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F627" w14:textId="08AD36E0" w:rsidR="00A23053" w:rsidRPr="00C9666A" w:rsidRDefault="0041459B" w:rsidP="00C9666A">
      <w:pPr>
        <w:spacing w:before="120" w:after="120"/>
        <w:ind w:right="-1"/>
        <w:jc w:val="both"/>
        <w:rPr>
          <w:rFonts w:ascii="Arial" w:hAnsi="Arial" w:cs="Arial"/>
          <w:b/>
        </w:rPr>
      </w:pPr>
      <w:r w:rsidRPr="00C9666A">
        <w:rPr>
          <w:rFonts w:ascii="Arial" w:hAnsi="Arial" w:cs="Arial"/>
        </w:rPr>
        <w:t>NOTA TÉCNICA DEL “</w:t>
      </w:r>
      <w:r w:rsidR="00CC3133" w:rsidRPr="00C9666A">
        <w:rPr>
          <w:rFonts w:ascii="Arial" w:hAnsi="Arial" w:cs="Arial"/>
        </w:rPr>
        <w:t xml:space="preserve">ANTEPROYECTO DE </w:t>
      </w:r>
      <w:r w:rsidR="00BC17F8" w:rsidRPr="00C9666A">
        <w:rPr>
          <w:rFonts w:ascii="Arial" w:hAnsi="Arial" w:cs="Arial"/>
        </w:rPr>
        <w:t xml:space="preserve">MODIFICACIÓN </w:t>
      </w:r>
      <w:r w:rsidR="0024491A">
        <w:rPr>
          <w:rFonts w:ascii="Arial" w:hAnsi="Arial" w:cs="Arial"/>
        </w:rPr>
        <w:t>AL</w:t>
      </w:r>
      <w:r w:rsidR="00BC17F8" w:rsidRPr="00C9666A">
        <w:rPr>
          <w:rFonts w:ascii="Arial" w:hAnsi="Arial" w:cs="Arial"/>
        </w:rPr>
        <w:t xml:space="preserve"> </w:t>
      </w:r>
      <w:r w:rsidR="00CC3133" w:rsidRPr="00C9666A">
        <w:rPr>
          <w:rFonts w:ascii="Arial" w:hAnsi="Arial" w:cs="Arial"/>
        </w:rPr>
        <w:t xml:space="preserve">CRITERIO TÉCNICO PARA EL CÁLCULO Y APLICACIÓN DE UN ÍNDICE CUANTITATIVO A FIN DE DETERMINAR EL GRADO DE CONCENTRACIÓN EN </w:t>
      </w:r>
      <w:r w:rsidR="00441962" w:rsidRPr="00C9666A">
        <w:rPr>
          <w:rFonts w:ascii="Arial" w:hAnsi="Arial" w:cs="Arial"/>
        </w:rPr>
        <w:t>LOS MERCADOS Y</w:t>
      </w:r>
      <w:r w:rsidR="00CC3133" w:rsidRPr="00C9666A">
        <w:rPr>
          <w:rFonts w:ascii="Arial" w:hAnsi="Arial" w:cs="Arial"/>
        </w:rPr>
        <w:t xml:space="preserve"> </w:t>
      </w:r>
      <w:r w:rsidR="0047683A" w:rsidRPr="00C9666A">
        <w:rPr>
          <w:rFonts w:ascii="Arial" w:hAnsi="Arial" w:cs="Arial"/>
        </w:rPr>
        <w:t xml:space="preserve">SERVICIOS CORRESPONDIENTES A LOS </w:t>
      </w:r>
      <w:r w:rsidR="00CC3133" w:rsidRPr="00C9666A">
        <w:rPr>
          <w:rFonts w:ascii="Arial" w:hAnsi="Arial" w:cs="Arial"/>
        </w:rPr>
        <w:t>SECTORES DE TELECOMUNICACIONES Y RADIODIFUSIÓN</w:t>
      </w:r>
      <w:r w:rsidRPr="00C9666A">
        <w:rPr>
          <w:rFonts w:ascii="Arial" w:hAnsi="Arial" w:cs="Arial"/>
        </w:rPr>
        <w:t>”</w:t>
      </w:r>
    </w:p>
    <w:p w14:paraId="4622054B" w14:textId="77777777" w:rsidR="00C262B6" w:rsidRPr="00C9666A" w:rsidRDefault="00C262B6" w:rsidP="00C9666A">
      <w:pPr>
        <w:spacing w:before="120" w:after="120"/>
        <w:ind w:right="-1"/>
        <w:rPr>
          <w:rFonts w:ascii="Arial" w:hAnsi="Arial" w:cs="Arial"/>
          <w:b/>
        </w:rPr>
      </w:pPr>
    </w:p>
    <w:sdt>
      <w:sdtPr>
        <w:rPr>
          <w:rFonts w:ascii="Arial" w:eastAsiaTheme="minorHAnsi" w:hAnsi="Arial" w:cs="Arial"/>
          <w:b/>
          <w:color w:val="auto"/>
          <w:sz w:val="22"/>
          <w:szCs w:val="22"/>
          <w:lang w:val="es-ES" w:eastAsia="en-US"/>
        </w:rPr>
        <w:id w:val="1175763392"/>
        <w:docPartObj>
          <w:docPartGallery w:val="Table of Contents"/>
          <w:docPartUnique/>
        </w:docPartObj>
      </w:sdtPr>
      <w:sdtEndPr>
        <w:rPr>
          <w:bCs/>
        </w:rPr>
      </w:sdtEndPr>
      <w:sdtContent>
        <w:p w14:paraId="2231E0E5" w14:textId="77777777" w:rsidR="002D3536" w:rsidRPr="00C9666A" w:rsidRDefault="002D3536" w:rsidP="00C9666A">
          <w:pPr>
            <w:pStyle w:val="TtuloTDC"/>
            <w:spacing w:before="120" w:after="120" w:line="276" w:lineRule="auto"/>
            <w:rPr>
              <w:rFonts w:ascii="Arial" w:hAnsi="Arial" w:cs="Arial"/>
              <w:b/>
              <w:color w:val="auto"/>
              <w:sz w:val="22"/>
              <w:lang w:val="es-ES"/>
            </w:rPr>
          </w:pPr>
          <w:r w:rsidRPr="00C9666A">
            <w:rPr>
              <w:rFonts w:ascii="Arial" w:hAnsi="Arial" w:cs="Arial"/>
              <w:b/>
              <w:color w:val="auto"/>
              <w:sz w:val="22"/>
              <w:lang w:val="es-ES"/>
            </w:rPr>
            <w:t>CONTENIDO</w:t>
          </w:r>
        </w:p>
        <w:p w14:paraId="6E8D7214" w14:textId="77777777" w:rsidR="002D3536" w:rsidRPr="00C9666A" w:rsidRDefault="002D3536" w:rsidP="00C9666A">
          <w:pPr>
            <w:spacing w:before="120" w:after="120"/>
            <w:rPr>
              <w:rFonts w:ascii="Arial" w:hAnsi="Arial" w:cs="Arial"/>
              <w:b/>
              <w:lang w:val="es-ES" w:eastAsia="es-MX"/>
            </w:rPr>
          </w:pPr>
        </w:p>
        <w:p w14:paraId="29A2EFB6" w14:textId="77777777" w:rsidR="007474BD" w:rsidRPr="00C9666A" w:rsidRDefault="002D3536" w:rsidP="00C9666A">
          <w:pPr>
            <w:pStyle w:val="TDC1"/>
            <w:spacing w:before="120" w:after="120" w:line="276" w:lineRule="auto"/>
            <w:rPr>
              <w:rFonts w:ascii="Arial" w:hAnsi="Arial" w:cs="Arial"/>
              <w:noProof/>
            </w:rPr>
          </w:pPr>
          <w:r w:rsidRPr="00C9666A">
            <w:rPr>
              <w:rFonts w:ascii="Arial" w:hAnsi="Arial" w:cs="Arial"/>
              <w:b/>
            </w:rPr>
            <w:fldChar w:fldCharType="begin"/>
          </w:r>
          <w:r w:rsidRPr="00C9666A">
            <w:rPr>
              <w:rFonts w:ascii="Arial" w:hAnsi="Arial" w:cs="Arial"/>
              <w:b/>
            </w:rPr>
            <w:instrText xml:space="preserve"> TOC \o "1-3" \h \z \u </w:instrText>
          </w:r>
          <w:r w:rsidRPr="00C9666A">
            <w:rPr>
              <w:rFonts w:ascii="Arial" w:hAnsi="Arial" w:cs="Arial"/>
              <w:b/>
            </w:rPr>
            <w:fldChar w:fldCharType="separate"/>
          </w:r>
          <w:hyperlink w:anchor="_Toc432706528" w:history="1">
            <w:r w:rsidR="007474BD" w:rsidRPr="00C9666A">
              <w:rPr>
                <w:rStyle w:val="Hipervnculo"/>
                <w:rFonts w:ascii="Arial" w:hAnsi="Arial" w:cs="Arial"/>
                <w:b/>
                <w:noProof/>
              </w:rPr>
              <w:t>I.</w:t>
            </w:r>
            <w:r w:rsidR="007474BD" w:rsidRPr="00C9666A">
              <w:rPr>
                <w:rFonts w:ascii="Arial" w:hAnsi="Arial" w:cs="Arial"/>
                <w:noProof/>
              </w:rPr>
              <w:tab/>
            </w:r>
            <w:r w:rsidR="007474BD" w:rsidRPr="00C9666A">
              <w:rPr>
                <w:rStyle w:val="Hipervnculo"/>
                <w:rFonts w:ascii="Arial" w:hAnsi="Arial" w:cs="Arial"/>
                <w:b/>
                <w:noProof/>
              </w:rPr>
              <w:t>Introducción</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_Toc432706528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2</w:t>
            </w:r>
            <w:r w:rsidR="007474BD" w:rsidRPr="00C9666A">
              <w:rPr>
                <w:rFonts w:ascii="Arial" w:hAnsi="Arial" w:cs="Arial"/>
                <w:noProof/>
                <w:webHidden/>
              </w:rPr>
              <w:fldChar w:fldCharType="end"/>
            </w:r>
          </w:hyperlink>
        </w:p>
        <w:p w14:paraId="6AD2EF6F" w14:textId="77777777" w:rsidR="007474BD" w:rsidRPr="00C9666A" w:rsidRDefault="00B35551" w:rsidP="00C9666A">
          <w:pPr>
            <w:pStyle w:val="TDC1"/>
            <w:spacing w:before="120" w:after="120" w:line="276" w:lineRule="auto"/>
            <w:rPr>
              <w:rFonts w:ascii="Arial" w:hAnsi="Arial" w:cs="Arial"/>
              <w:noProof/>
            </w:rPr>
          </w:pPr>
          <w:hyperlink w:anchor="_Toc432706529" w:history="1">
            <w:r w:rsidR="007474BD" w:rsidRPr="00C9666A">
              <w:rPr>
                <w:rStyle w:val="Hipervnculo"/>
                <w:rFonts w:ascii="Arial" w:hAnsi="Arial" w:cs="Arial"/>
                <w:b/>
                <w:noProof/>
              </w:rPr>
              <w:t>I.</w:t>
            </w:r>
            <w:r w:rsidR="007474BD" w:rsidRPr="00C9666A">
              <w:rPr>
                <w:rFonts w:ascii="Arial" w:hAnsi="Arial" w:cs="Arial"/>
                <w:noProof/>
              </w:rPr>
              <w:tab/>
            </w:r>
            <w:r w:rsidR="007474BD" w:rsidRPr="00C9666A">
              <w:rPr>
                <w:rStyle w:val="Hipervnculo"/>
                <w:rFonts w:ascii="Arial" w:hAnsi="Arial" w:cs="Arial"/>
                <w:b/>
                <w:noProof/>
              </w:rPr>
              <w:t>Marco legal</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_Toc432706529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3</w:t>
            </w:r>
            <w:r w:rsidR="007474BD" w:rsidRPr="00C9666A">
              <w:rPr>
                <w:rFonts w:ascii="Arial" w:hAnsi="Arial" w:cs="Arial"/>
                <w:noProof/>
                <w:webHidden/>
              </w:rPr>
              <w:fldChar w:fldCharType="end"/>
            </w:r>
          </w:hyperlink>
        </w:p>
        <w:p w14:paraId="393858C1" w14:textId="77777777" w:rsidR="007474BD" w:rsidRPr="00C9666A" w:rsidRDefault="00B35551" w:rsidP="00C9666A">
          <w:pPr>
            <w:pStyle w:val="TDC1"/>
            <w:spacing w:before="120" w:after="120" w:line="276" w:lineRule="auto"/>
            <w:rPr>
              <w:rFonts w:ascii="Arial" w:hAnsi="Arial" w:cs="Arial"/>
              <w:noProof/>
            </w:rPr>
          </w:pPr>
          <w:hyperlink w:anchor="_Toc432706530" w:history="1">
            <w:r w:rsidR="007474BD" w:rsidRPr="00C9666A">
              <w:rPr>
                <w:rStyle w:val="Hipervnculo"/>
                <w:rFonts w:ascii="Arial" w:hAnsi="Arial" w:cs="Arial"/>
                <w:b/>
                <w:noProof/>
              </w:rPr>
              <w:t>II.</w:t>
            </w:r>
            <w:r w:rsidR="007474BD" w:rsidRPr="00C9666A">
              <w:rPr>
                <w:rFonts w:ascii="Arial" w:hAnsi="Arial" w:cs="Arial"/>
                <w:noProof/>
              </w:rPr>
              <w:tab/>
            </w:r>
            <w:r w:rsidR="007474BD" w:rsidRPr="00C9666A">
              <w:rPr>
                <w:rStyle w:val="Hipervnculo"/>
                <w:rFonts w:ascii="Arial" w:hAnsi="Arial" w:cs="Arial"/>
                <w:b/>
                <w:noProof/>
              </w:rPr>
              <w:t>Métodos de cálculo para determinar el grado de concentración</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_Toc432706530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5</w:t>
            </w:r>
            <w:r w:rsidR="007474BD" w:rsidRPr="00C9666A">
              <w:rPr>
                <w:rFonts w:ascii="Arial" w:hAnsi="Arial" w:cs="Arial"/>
                <w:noProof/>
                <w:webHidden/>
              </w:rPr>
              <w:fldChar w:fldCharType="end"/>
            </w:r>
          </w:hyperlink>
        </w:p>
        <w:p w14:paraId="41B1BF73" w14:textId="77777777" w:rsidR="007474BD" w:rsidRPr="00C9666A" w:rsidRDefault="00B35551" w:rsidP="00C9666A">
          <w:pPr>
            <w:pStyle w:val="TDC1"/>
            <w:spacing w:before="120" w:after="120" w:line="276" w:lineRule="auto"/>
            <w:rPr>
              <w:rFonts w:ascii="Arial" w:hAnsi="Arial" w:cs="Arial"/>
              <w:noProof/>
            </w:rPr>
          </w:pPr>
          <w:hyperlink w:anchor="_Toc432706531" w:history="1">
            <w:r w:rsidR="007474BD" w:rsidRPr="00C9666A">
              <w:rPr>
                <w:rStyle w:val="Hipervnculo"/>
                <w:rFonts w:ascii="Arial" w:hAnsi="Arial" w:cs="Arial"/>
                <w:b/>
                <w:noProof/>
              </w:rPr>
              <w:t>III.</w:t>
            </w:r>
            <w:r w:rsidR="007474BD" w:rsidRPr="00C9666A">
              <w:rPr>
                <w:rFonts w:ascii="Arial" w:hAnsi="Arial" w:cs="Arial"/>
                <w:noProof/>
              </w:rPr>
              <w:tab/>
            </w:r>
            <w:r w:rsidR="007474BD" w:rsidRPr="00C9666A">
              <w:rPr>
                <w:rStyle w:val="Hipervnculo"/>
                <w:rFonts w:ascii="Arial" w:hAnsi="Arial" w:cs="Arial"/>
                <w:b/>
                <w:noProof/>
              </w:rPr>
              <w:t>IHH</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_Toc432706531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7</w:t>
            </w:r>
            <w:r w:rsidR="007474BD" w:rsidRPr="00C9666A">
              <w:rPr>
                <w:rFonts w:ascii="Arial" w:hAnsi="Arial" w:cs="Arial"/>
                <w:noProof/>
                <w:webHidden/>
              </w:rPr>
              <w:fldChar w:fldCharType="end"/>
            </w:r>
          </w:hyperlink>
        </w:p>
        <w:p w14:paraId="5B0A88BA" w14:textId="77777777" w:rsidR="007474BD" w:rsidRPr="00C9666A" w:rsidRDefault="00B35551" w:rsidP="00C9666A">
          <w:pPr>
            <w:pStyle w:val="TDC1"/>
            <w:spacing w:before="120" w:after="120" w:line="276" w:lineRule="auto"/>
            <w:rPr>
              <w:rFonts w:ascii="Arial" w:hAnsi="Arial" w:cs="Arial"/>
              <w:noProof/>
            </w:rPr>
          </w:pPr>
          <w:hyperlink w:anchor="_Toc432706532" w:history="1">
            <w:r w:rsidR="007474BD" w:rsidRPr="00C9666A">
              <w:rPr>
                <w:rStyle w:val="Hipervnculo"/>
                <w:rFonts w:ascii="Arial" w:hAnsi="Arial" w:cs="Arial"/>
                <w:b/>
                <w:noProof/>
              </w:rPr>
              <w:t>IV.</w:t>
            </w:r>
            <w:r w:rsidR="007474BD" w:rsidRPr="00C9666A">
              <w:rPr>
                <w:rFonts w:ascii="Arial" w:hAnsi="Arial" w:cs="Arial"/>
                <w:noProof/>
              </w:rPr>
              <w:tab/>
            </w:r>
            <w:r w:rsidR="007474BD" w:rsidRPr="00C9666A">
              <w:rPr>
                <w:rStyle w:val="Hipervnculo"/>
                <w:rFonts w:ascii="Arial" w:hAnsi="Arial" w:cs="Arial"/>
                <w:b/>
                <w:noProof/>
              </w:rPr>
              <w:t>ID</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_Toc432706532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11</w:t>
            </w:r>
            <w:r w:rsidR="007474BD" w:rsidRPr="00C9666A">
              <w:rPr>
                <w:rFonts w:ascii="Arial" w:hAnsi="Arial" w:cs="Arial"/>
                <w:noProof/>
                <w:webHidden/>
              </w:rPr>
              <w:fldChar w:fldCharType="end"/>
            </w:r>
          </w:hyperlink>
        </w:p>
        <w:p w14:paraId="3E2C1B44" w14:textId="77777777" w:rsidR="007474BD" w:rsidRPr="00C9666A" w:rsidRDefault="00B35551" w:rsidP="00C9666A">
          <w:pPr>
            <w:pStyle w:val="TDC1"/>
            <w:spacing w:before="120" w:after="120" w:line="276" w:lineRule="auto"/>
            <w:rPr>
              <w:rFonts w:ascii="Arial" w:hAnsi="Arial" w:cs="Arial"/>
              <w:noProof/>
            </w:rPr>
          </w:pPr>
          <w:hyperlink w:anchor="_Toc432706533" w:history="1">
            <w:r w:rsidR="007474BD" w:rsidRPr="00C9666A">
              <w:rPr>
                <w:rStyle w:val="Hipervnculo"/>
                <w:rFonts w:ascii="Arial" w:hAnsi="Arial" w:cs="Arial"/>
                <w:b/>
                <w:noProof/>
              </w:rPr>
              <w:t>V.</w:t>
            </w:r>
            <w:r w:rsidR="007474BD" w:rsidRPr="00C9666A">
              <w:rPr>
                <w:rFonts w:ascii="Arial" w:hAnsi="Arial" w:cs="Arial"/>
                <w:noProof/>
              </w:rPr>
              <w:tab/>
            </w:r>
            <w:r w:rsidR="007474BD" w:rsidRPr="00C9666A">
              <w:rPr>
                <w:rStyle w:val="Hipervnculo"/>
                <w:rFonts w:ascii="Arial" w:hAnsi="Arial" w:cs="Arial"/>
                <w:b/>
                <w:noProof/>
              </w:rPr>
              <w:t>Selección de umbrales</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_Toc432706533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14</w:t>
            </w:r>
            <w:r w:rsidR="007474BD" w:rsidRPr="00C9666A">
              <w:rPr>
                <w:rFonts w:ascii="Arial" w:hAnsi="Arial" w:cs="Arial"/>
                <w:noProof/>
                <w:webHidden/>
              </w:rPr>
              <w:fldChar w:fldCharType="end"/>
            </w:r>
          </w:hyperlink>
        </w:p>
        <w:p w14:paraId="3D1ED56C" w14:textId="77777777" w:rsidR="007474BD" w:rsidRPr="00C9666A" w:rsidRDefault="00B35551" w:rsidP="00C9666A">
          <w:pPr>
            <w:pStyle w:val="TDC1"/>
            <w:spacing w:before="120" w:after="120" w:line="276" w:lineRule="auto"/>
            <w:rPr>
              <w:rFonts w:ascii="Arial" w:hAnsi="Arial" w:cs="Arial"/>
              <w:noProof/>
            </w:rPr>
          </w:pPr>
          <w:hyperlink w:anchor="_Toc432706534" w:history="1">
            <w:r w:rsidR="007474BD" w:rsidRPr="00C9666A">
              <w:rPr>
                <w:rStyle w:val="Hipervnculo"/>
                <w:rFonts w:ascii="Arial" w:hAnsi="Arial" w:cs="Arial"/>
                <w:b/>
                <w:noProof/>
              </w:rPr>
              <w:t>VI.</w:t>
            </w:r>
            <w:r w:rsidR="007474BD" w:rsidRPr="00C9666A">
              <w:rPr>
                <w:rFonts w:ascii="Arial" w:hAnsi="Arial" w:cs="Arial"/>
                <w:noProof/>
              </w:rPr>
              <w:tab/>
            </w:r>
            <w:r w:rsidR="007474BD" w:rsidRPr="00C9666A">
              <w:rPr>
                <w:rStyle w:val="Hipervnculo"/>
                <w:rFonts w:ascii="Arial" w:hAnsi="Arial" w:cs="Arial"/>
                <w:b/>
                <w:noProof/>
              </w:rPr>
              <w:t>Resumen</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_Toc432706534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29</w:t>
            </w:r>
            <w:r w:rsidR="007474BD" w:rsidRPr="00C9666A">
              <w:rPr>
                <w:rFonts w:ascii="Arial" w:hAnsi="Arial" w:cs="Arial"/>
                <w:noProof/>
                <w:webHidden/>
              </w:rPr>
              <w:fldChar w:fldCharType="end"/>
            </w:r>
          </w:hyperlink>
        </w:p>
        <w:p w14:paraId="62EE6247" w14:textId="77777777" w:rsidR="007474BD" w:rsidRPr="00C9666A" w:rsidRDefault="00B35551" w:rsidP="00C9666A">
          <w:pPr>
            <w:pStyle w:val="TDC1"/>
            <w:spacing w:before="120" w:after="120" w:line="276" w:lineRule="auto"/>
            <w:rPr>
              <w:rFonts w:ascii="Arial" w:hAnsi="Arial" w:cs="Arial"/>
              <w:noProof/>
            </w:rPr>
          </w:pPr>
          <w:hyperlink w:anchor="_Toc432706535" w:history="1">
            <w:r w:rsidR="007474BD" w:rsidRPr="00C9666A">
              <w:rPr>
                <w:rStyle w:val="Hipervnculo"/>
                <w:rFonts w:ascii="Arial" w:hAnsi="Arial" w:cs="Arial"/>
                <w:b/>
                <w:noProof/>
              </w:rPr>
              <w:t>VII.</w:t>
            </w:r>
            <w:r w:rsidR="007474BD" w:rsidRPr="00C9666A">
              <w:rPr>
                <w:rFonts w:ascii="Arial" w:hAnsi="Arial" w:cs="Arial"/>
                <w:noProof/>
              </w:rPr>
              <w:tab/>
            </w:r>
            <w:r w:rsidR="007474BD" w:rsidRPr="00C9666A">
              <w:rPr>
                <w:rStyle w:val="Hipervnculo"/>
                <w:rFonts w:ascii="Arial" w:hAnsi="Arial" w:cs="Arial"/>
                <w:b/>
                <w:noProof/>
              </w:rPr>
              <w:t>Índice propuesto y su aplicación para los sectores de Telecomunicaciones y Radiodifusión</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_Toc432706535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31</w:t>
            </w:r>
            <w:r w:rsidR="007474BD" w:rsidRPr="00C9666A">
              <w:rPr>
                <w:rFonts w:ascii="Arial" w:hAnsi="Arial" w:cs="Arial"/>
                <w:noProof/>
                <w:webHidden/>
              </w:rPr>
              <w:fldChar w:fldCharType="end"/>
            </w:r>
          </w:hyperlink>
        </w:p>
        <w:p w14:paraId="6E3D3A06" w14:textId="77777777" w:rsidR="007474BD" w:rsidRPr="00C9666A" w:rsidRDefault="00B35551" w:rsidP="00C9666A">
          <w:pPr>
            <w:pStyle w:val="TDC1"/>
            <w:spacing w:before="120" w:after="120" w:line="276" w:lineRule="auto"/>
            <w:rPr>
              <w:rFonts w:ascii="Arial" w:hAnsi="Arial" w:cs="Arial"/>
              <w:noProof/>
            </w:rPr>
          </w:pPr>
          <w:hyperlink w:anchor="_Toc432706536" w:history="1">
            <w:r w:rsidR="007474BD" w:rsidRPr="00C9666A">
              <w:rPr>
                <w:rStyle w:val="Hipervnculo"/>
                <w:rFonts w:ascii="Arial" w:hAnsi="Arial" w:cs="Arial"/>
                <w:b/>
                <w:noProof/>
              </w:rPr>
              <w:t>VIII.</w:t>
            </w:r>
            <w:r w:rsidR="007474BD" w:rsidRPr="00C9666A">
              <w:rPr>
                <w:rFonts w:ascii="Arial" w:hAnsi="Arial" w:cs="Arial"/>
                <w:noProof/>
              </w:rPr>
              <w:tab/>
            </w:r>
            <w:r w:rsidR="007474BD" w:rsidRPr="00C9666A">
              <w:rPr>
                <w:rStyle w:val="Hipervnculo"/>
                <w:rFonts w:ascii="Arial" w:hAnsi="Arial" w:cs="Arial"/>
                <w:b/>
                <w:noProof/>
              </w:rPr>
              <w:t>Análisis de la Propuesta</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_Toc432706536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32</w:t>
            </w:r>
            <w:r w:rsidR="007474BD" w:rsidRPr="00C9666A">
              <w:rPr>
                <w:rFonts w:ascii="Arial" w:hAnsi="Arial" w:cs="Arial"/>
                <w:noProof/>
                <w:webHidden/>
              </w:rPr>
              <w:fldChar w:fldCharType="end"/>
            </w:r>
          </w:hyperlink>
        </w:p>
        <w:p w14:paraId="3DE7D82A" w14:textId="77777777" w:rsidR="007474BD" w:rsidRPr="00C9666A" w:rsidRDefault="00B35551" w:rsidP="00C9666A">
          <w:pPr>
            <w:pStyle w:val="TDC1"/>
            <w:spacing w:before="120" w:after="120" w:line="276" w:lineRule="auto"/>
            <w:rPr>
              <w:rFonts w:ascii="Arial" w:hAnsi="Arial" w:cs="Arial"/>
              <w:noProof/>
            </w:rPr>
          </w:pPr>
          <w:hyperlink w:anchor="_Toc432706537" w:history="1">
            <w:r w:rsidR="007474BD" w:rsidRPr="00C9666A">
              <w:rPr>
                <w:rStyle w:val="Hipervnculo"/>
                <w:rFonts w:ascii="Arial" w:hAnsi="Arial" w:cs="Arial"/>
                <w:b/>
                <w:noProof/>
              </w:rPr>
              <w:t>IX.</w:t>
            </w:r>
            <w:r w:rsidR="007474BD" w:rsidRPr="00C9666A">
              <w:rPr>
                <w:rFonts w:ascii="Arial" w:hAnsi="Arial" w:cs="Arial"/>
                <w:noProof/>
              </w:rPr>
              <w:tab/>
            </w:r>
            <w:r w:rsidR="007474BD" w:rsidRPr="00C9666A">
              <w:rPr>
                <w:rStyle w:val="Hipervnculo"/>
                <w:rFonts w:ascii="Arial" w:hAnsi="Arial" w:cs="Arial"/>
                <w:b/>
                <w:noProof/>
              </w:rPr>
              <w:t>Artículo Noveno Transitorio del Decreto que expide la LFTR</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_Toc432706537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33</w:t>
            </w:r>
            <w:r w:rsidR="007474BD" w:rsidRPr="00C9666A">
              <w:rPr>
                <w:rFonts w:ascii="Arial" w:hAnsi="Arial" w:cs="Arial"/>
                <w:noProof/>
                <w:webHidden/>
              </w:rPr>
              <w:fldChar w:fldCharType="end"/>
            </w:r>
          </w:hyperlink>
        </w:p>
        <w:p w14:paraId="025C90F6" w14:textId="77777777" w:rsidR="007474BD" w:rsidRPr="00C9666A" w:rsidRDefault="00B35551" w:rsidP="00C9666A">
          <w:pPr>
            <w:pStyle w:val="TDC1"/>
            <w:spacing w:before="120" w:after="120" w:line="276" w:lineRule="auto"/>
            <w:rPr>
              <w:rFonts w:ascii="Arial" w:hAnsi="Arial" w:cs="Arial"/>
              <w:noProof/>
            </w:rPr>
          </w:pPr>
          <w:hyperlink w:anchor="_Toc432706538" w:history="1">
            <w:r w:rsidR="007474BD" w:rsidRPr="00C9666A">
              <w:rPr>
                <w:rStyle w:val="Hipervnculo"/>
                <w:rFonts w:ascii="Arial" w:hAnsi="Arial" w:cs="Arial"/>
                <w:b/>
                <w:noProof/>
              </w:rPr>
              <w:t>X.</w:t>
            </w:r>
            <w:r w:rsidR="007474BD" w:rsidRPr="00C9666A">
              <w:rPr>
                <w:rFonts w:ascii="Arial" w:hAnsi="Arial" w:cs="Arial"/>
                <w:noProof/>
              </w:rPr>
              <w:tab/>
            </w:r>
            <w:r w:rsidR="007474BD" w:rsidRPr="00C9666A">
              <w:rPr>
                <w:rStyle w:val="Hipervnculo"/>
                <w:rFonts w:ascii="Arial" w:hAnsi="Arial" w:cs="Arial"/>
                <w:b/>
                <w:noProof/>
              </w:rPr>
              <w:t>Bibliografía</w:t>
            </w:r>
            <w:r w:rsidR="007474BD" w:rsidRPr="00C9666A">
              <w:rPr>
                <w:rFonts w:ascii="Arial" w:hAnsi="Arial" w:cs="Arial"/>
                <w:noProof/>
                <w:webHidden/>
              </w:rPr>
              <w:tab/>
            </w:r>
            <w:r w:rsidR="007474BD" w:rsidRPr="00C9666A">
              <w:rPr>
                <w:rFonts w:ascii="Arial" w:hAnsi="Arial" w:cs="Arial"/>
                <w:noProof/>
                <w:webHidden/>
              </w:rPr>
              <w:fldChar w:fldCharType="begin"/>
            </w:r>
            <w:r w:rsidR="007474BD" w:rsidRPr="00C9666A">
              <w:rPr>
                <w:rFonts w:ascii="Arial" w:hAnsi="Arial" w:cs="Arial"/>
                <w:noProof/>
                <w:webHidden/>
              </w:rPr>
              <w:instrText xml:space="preserve"> PAGEREF _Toc432706538 \h </w:instrText>
            </w:r>
            <w:r w:rsidR="007474BD" w:rsidRPr="00C9666A">
              <w:rPr>
                <w:rFonts w:ascii="Arial" w:hAnsi="Arial" w:cs="Arial"/>
                <w:noProof/>
                <w:webHidden/>
              </w:rPr>
            </w:r>
            <w:r w:rsidR="007474BD" w:rsidRPr="00C9666A">
              <w:rPr>
                <w:rFonts w:ascii="Arial" w:hAnsi="Arial" w:cs="Arial"/>
                <w:noProof/>
                <w:webHidden/>
              </w:rPr>
              <w:fldChar w:fldCharType="separate"/>
            </w:r>
            <w:r w:rsidR="007474BD" w:rsidRPr="00C9666A">
              <w:rPr>
                <w:rFonts w:ascii="Arial" w:hAnsi="Arial" w:cs="Arial"/>
                <w:noProof/>
                <w:webHidden/>
              </w:rPr>
              <w:t>36</w:t>
            </w:r>
            <w:r w:rsidR="007474BD" w:rsidRPr="00C9666A">
              <w:rPr>
                <w:rFonts w:ascii="Arial" w:hAnsi="Arial" w:cs="Arial"/>
                <w:noProof/>
                <w:webHidden/>
              </w:rPr>
              <w:fldChar w:fldCharType="end"/>
            </w:r>
          </w:hyperlink>
        </w:p>
        <w:p w14:paraId="222BA440" w14:textId="4D58E20F" w:rsidR="002D3536" w:rsidRPr="00C9666A" w:rsidRDefault="002D3536" w:rsidP="00C9666A">
          <w:pPr>
            <w:spacing w:before="120" w:after="120"/>
            <w:rPr>
              <w:rFonts w:ascii="Arial" w:hAnsi="Arial" w:cs="Arial"/>
            </w:rPr>
          </w:pPr>
          <w:r w:rsidRPr="00C9666A">
            <w:rPr>
              <w:rFonts w:ascii="Arial" w:hAnsi="Arial" w:cs="Arial"/>
              <w:b/>
              <w:bCs/>
              <w:lang w:val="es-ES"/>
            </w:rPr>
            <w:fldChar w:fldCharType="end"/>
          </w:r>
        </w:p>
      </w:sdtContent>
    </w:sdt>
    <w:p w14:paraId="7F48E29E" w14:textId="77777777" w:rsidR="009B4F84" w:rsidRPr="00C9666A" w:rsidRDefault="009B4F84" w:rsidP="00C9666A">
      <w:pPr>
        <w:spacing w:before="120" w:after="120"/>
        <w:rPr>
          <w:rFonts w:ascii="Arial" w:eastAsiaTheme="majorEastAsia" w:hAnsi="Arial" w:cs="Arial"/>
          <w:b/>
          <w:szCs w:val="32"/>
        </w:rPr>
      </w:pPr>
      <w:r w:rsidRPr="00C9666A">
        <w:rPr>
          <w:rFonts w:ascii="Arial" w:hAnsi="Arial" w:cs="Arial"/>
          <w:b/>
        </w:rPr>
        <w:br w:type="page"/>
      </w:r>
    </w:p>
    <w:p w14:paraId="2A2AD085" w14:textId="77777777" w:rsidR="00C262B6" w:rsidRPr="00C9666A" w:rsidRDefault="006A6217" w:rsidP="00C9666A">
      <w:pPr>
        <w:pStyle w:val="Ttulo1"/>
        <w:numPr>
          <w:ilvl w:val="0"/>
          <w:numId w:val="31"/>
        </w:numPr>
        <w:spacing w:before="120" w:after="120"/>
        <w:rPr>
          <w:rFonts w:ascii="Arial" w:hAnsi="Arial" w:cs="Arial"/>
          <w:b/>
          <w:color w:val="auto"/>
          <w:sz w:val="26"/>
          <w:szCs w:val="26"/>
        </w:rPr>
      </w:pPr>
      <w:bookmarkStart w:id="0" w:name="_Toc432706528"/>
      <w:r w:rsidRPr="00C9666A">
        <w:rPr>
          <w:rFonts w:ascii="Arial" w:hAnsi="Arial" w:cs="Arial"/>
          <w:b/>
          <w:color w:val="auto"/>
          <w:sz w:val="26"/>
          <w:szCs w:val="26"/>
        </w:rPr>
        <w:lastRenderedPageBreak/>
        <w:t>Introducción</w:t>
      </w:r>
      <w:bookmarkEnd w:id="0"/>
    </w:p>
    <w:p w14:paraId="376EEF85" w14:textId="748478C9" w:rsidR="00AF11BE" w:rsidRPr="00C9666A" w:rsidRDefault="00AF11BE" w:rsidP="00C9666A">
      <w:pPr>
        <w:keepNext/>
        <w:spacing w:before="120" w:after="120"/>
        <w:jc w:val="both"/>
        <w:rPr>
          <w:rStyle w:val="Refdecomentario"/>
          <w:rFonts w:ascii="Arial" w:hAnsi="Arial" w:cs="Arial"/>
        </w:rPr>
      </w:pPr>
      <w:r w:rsidRPr="00C9666A">
        <w:rPr>
          <w:rFonts w:ascii="Arial" w:eastAsia="Times New Roman" w:hAnsi="Arial" w:cs="Arial"/>
          <w:bCs/>
          <w:color w:val="000000"/>
          <w:lang w:eastAsia="es-MX"/>
        </w:rPr>
        <w:t xml:space="preserve">De conformidad con lo dispuesto en el artículo 28 párrafo décimo sexto de la </w:t>
      </w:r>
      <w:r w:rsidR="00441962" w:rsidRPr="00C9666A">
        <w:rPr>
          <w:rFonts w:ascii="Arial" w:eastAsia="Times New Roman" w:hAnsi="Arial" w:cs="Arial"/>
          <w:bCs/>
          <w:color w:val="000000"/>
          <w:lang w:eastAsia="es-MX"/>
        </w:rPr>
        <w:t>Constitución Política de los Estados Unidos Mexicanos (</w:t>
      </w:r>
      <w:r w:rsidRPr="00C9666A">
        <w:rPr>
          <w:rFonts w:ascii="Arial" w:eastAsia="Times New Roman" w:hAnsi="Arial" w:cs="Arial"/>
          <w:bCs/>
          <w:color w:val="000000"/>
          <w:lang w:eastAsia="es-MX"/>
        </w:rPr>
        <w:t>CPEUM</w:t>
      </w:r>
      <w:r w:rsidR="00441962" w:rsidRPr="00C9666A">
        <w:rPr>
          <w:rFonts w:ascii="Arial" w:eastAsia="Times New Roman" w:hAnsi="Arial" w:cs="Arial"/>
          <w:bCs/>
          <w:color w:val="000000"/>
          <w:lang w:eastAsia="es-MX"/>
        </w:rPr>
        <w:t>)</w:t>
      </w:r>
      <w:r w:rsidR="00C9666A">
        <w:rPr>
          <w:rFonts w:ascii="Arial" w:eastAsia="Times New Roman" w:hAnsi="Arial" w:cs="Arial"/>
          <w:bCs/>
          <w:color w:val="000000"/>
          <w:lang w:eastAsia="es-MX"/>
        </w:rPr>
        <w:t>; 5 párrafo primero</w:t>
      </w:r>
      <w:r w:rsidRPr="00C9666A">
        <w:rPr>
          <w:rFonts w:ascii="Arial" w:eastAsia="Times New Roman" w:hAnsi="Arial" w:cs="Arial"/>
          <w:bCs/>
          <w:color w:val="000000"/>
          <w:lang w:eastAsia="es-MX"/>
        </w:rPr>
        <w:t xml:space="preserve"> de la Ley Federal de Co</w:t>
      </w:r>
      <w:r w:rsidR="00C9666A">
        <w:rPr>
          <w:rFonts w:ascii="Arial" w:eastAsia="Times New Roman" w:hAnsi="Arial" w:cs="Arial"/>
          <w:bCs/>
          <w:color w:val="000000"/>
          <w:lang w:eastAsia="es-MX"/>
        </w:rPr>
        <w:t>mpetencia Económica (LFCE); y 7 párrafo tercero</w:t>
      </w:r>
      <w:r w:rsidRPr="00C9666A">
        <w:rPr>
          <w:rFonts w:ascii="Arial" w:eastAsia="Times New Roman" w:hAnsi="Arial" w:cs="Arial"/>
          <w:bCs/>
          <w:color w:val="000000"/>
          <w:lang w:eastAsia="es-MX"/>
        </w:rPr>
        <w:t xml:space="preserve"> de la Ley Federal de Telecomunicaciones y Radiodifusión (LFTR), el Instituto </w:t>
      </w:r>
      <w:r w:rsidR="00075AA5" w:rsidRPr="00C9666A">
        <w:rPr>
          <w:rFonts w:ascii="Arial" w:eastAsia="Times New Roman" w:hAnsi="Arial" w:cs="Arial"/>
          <w:bCs/>
          <w:color w:val="000000"/>
          <w:lang w:eastAsia="es-MX"/>
        </w:rPr>
        <w:t xml:space="preserve">Federal de Telecomunicaciones (Instituto) </w:t>
      </w:r>
      <w:r w:rsidRPr="00C9666A">
        <w:rPr>
          <w:rFonts w:ascii="Arial" w:eastAsia="Times New Roman" w:hAnsi="Arial" w:cs="Arial"/>
          <w:bCs/>
          <w:color w:val="000000"/>
          <w:lang w:eastAsia="es-MX"/>
        </w:rPr>
        <w:t>es un órgano autónomo, con personalidad jurídica y patrimonio propio que tiene por objeto el desarrollo eficiente de la radiodifusión y las telecomunicaciones, y para tales efectos tendrá a su cargo, la regulación, promoción y supervisión, entre otros, del acceso a infraestructura pasiva y otros insumos esenciales, además de ser 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p>
    <w:p w14:paraId="0F2CF6BE" w14:textId="77777777" w:rsidR="000616C0" w:rsidRPr="00C9666A" w:rsidRDefault="000616C0" w:rsidP="00C9666A">
      <w:pPr>
        <w:spacing w:before="120" w:after="120"/>
        <w:ind w:right="-1"/>
        <w:jc w:val="both"/>
        <w:rPr>
          <w:rFonts w:ascii="Arial" w:hAnsi="Arial" w:cs="Arial"/>
        </w:rPr>
      </w:pPr>
      <w:r w:rsidRPr="00C9666A">
        <w:rPr>
          <w:rFonts w:ascii="Arial" w:hAnsi="Arial" w:cs="Arial"/>
        </w:rPr>
        <w:t>Así, el Instituto es la autoridad encargada de proteger el proceso de competencia y libre concurrencia en los sectores de radiodifusión y telecomunicaciones, mediante la prevención y eliminación de monopolios, prácticas monopólicas y demás restricciones al funcionamiento eficiente de los mercados de bienes y servicios.</w:t>
      </w:r>
      <w:r w:rsidR="006E1940" w:rsidRPr="00C9666A">
        <w:rPr>
          <w:rFonts w:ascii="Arial" w:hAnsi="Arial" w:cs="Arial"/>
        </w:rPr>
        <w:t xml:space="preserve"> Asimismo, tiene la facultad pa</w:t>
      </w:r>
      <w:r w:rsidR="0083641B" w:rsidRPr="00C9666A">
        <w:rPr>
          <w:rFonts w:ascii="Arial" w:hAnsi="Arial" w:cs="Arial"/>
        </w:rPr>
        <w:t xml:space="preserve">ra llevar a cabo el análisis del grado de </w:t>
      </w:r>
      <w:r w:rsidR="006E1940" w:rsidRPr="00C9666A">
        <w:rPr>
          <w:rFonts w:ascii="Arial" w:hAnsi="Arial" w:cs="Arial"/>
        </w:rPr>
        <w:t>concentraci</w:t>
      </w:r>
      <w:r w:rsidR="0083641B" w:rsidRPr="00C9666A">
        <w:rPr>
          <w:rFonts w:ascii="Arial" w:hAnsi="Arial" w:cs="Arial"/>
        </w:rPr>
        <w:t xml:space="preserve">ón </w:t>
      </w:r>
      <w:r w:rsidR="006E1940" w:rsidRPr="00C9666A">
        <w:rPr>
          <w:rFonts w:ascii="Arial" w:hAnsi="Arial" w:cs="Arial"/>
        </w:rPr>
        <w:t xml:space="preserve">en </w:t>
      </w:r>
      <w:r w:rsidR="0083641B" w:rsidRPr="00C9666A">
        <w:rPr>
          <w:rFonts w:ascii="Arial" w:hAnsi="Arial" w:cs="Arial"/>
        </w:rPr>
        <w:t xml:space="preserve">los mercados y </w:t>
      </w:r>
      <w:r w:rsidR="0047683A" w:rsidRPr="00C9666A">
        <w:rPr>
          <w:rFonts w:ascii="Arial" w:hAnsi="Arial" w:cs="Arial"/>
        </w:rPr>
        <w:t xml:space="preserve">servicios correspondientes a </w:t>
      </w:r>
      <w:r w:rsidR="0083641B" w:rsidRPr="00C9666A">
        <w:rPr>
          <w:rFonts w:ascii="Arial" w:hAnsi="Arial" w:cs="Arial"/>
        </w:rPr>
        <w:t xml:space="preserve">los </w:t>
      </w:r>
      <w:r w:rsidR="006E1940" w:rsidRPr="00C9666A">
        <w:rPr>
          <w:rFonts w:ascii="Arial" w:hAnsi="Arial" w:cs="Arial"/>
        </w:rPr>
        <w:t>sectores</w:t>
      </w:r>
      <w:r w:rsidR="0083641B" w:rsidRPr="00C9666A">
        <w:rPr>
          <w:rFonts w:ascii="Arial" w:hAnsi="Arial" w:cs="Arial"/>
        </w:rPr>
        <w:t xml:space="preserve"> de radiodifusión y telecomunicaciones</w:t>
      </w:r>
      <w:r w:rsidR="006E1940" w:rsidRPr="00C9666A">
        <w:rPr>
          <w:rFonts w:ascii="Arial" w:hAnsi="Arial" w:cs="Arial"/>
        </w:rPr>
        <w:t>.</w:t>
      </w:r>
    </w:p>
    <w:p w14:paraId="3EA17E7A" w14:textId="77777777" w:rsidR="0096026B" w:rsidRPr="00C9666A" w:rsidRDefault="0096026B" w:rsidP="00C9666A">
      <w:pPr>
        <w:spacing w:before="120" w:after="120"/>
        <w:ind w:right="-1" w:firstLine="1"/>
        <w:jc w:val="both"/>
        <w:rPr>
          <w:rFonts w:ascii="Arial" w:hAnsi="Arial" w:cs="Arial"/>
        </w:rPr>
      </w:pPr>
      <w:r w:rsidRPr="00C9666A">
        <w:rPr>
          <w:rFonts w:ascii="Arial" w:hAnsi="Arial" w:cs="Arial"/>
        </w:rPr>
        <w:t>La medición del grado de concentración debe atender el principio de transparencia, tal como lo establece el artículo 13 de las Disposiciones Regulatorias de la Ley Federal de Competencia Económica para los sectores de telecomunicaciones y radiodifusión:</w:t>
      </w:r>
      <w:r w:rsidRPr="00C9666A">
        <w:rPr>
          <w:rStyle w:val="Refdenotaalpie"/>
          <w:rFonts w:ascii="Arial" w:hAnsi="Arial" w:cs="Arial"/>
        </w:rPr>
        <w:footnoteReference w:id="1"/>
      </w:r>
      <w:r w:rsidRPr="00C9666A">
        <w:rPr>
          <w:rFonts w:ascii="Arial" w:hAnsi="Arial" w:cs="Arial"/>
        </w:rPr>
        <w:t xml:space="preserve"> </w:t>
      </w:r>
    </w:p>
    <w:p w14:paraId="7F34680F" w14:textId="77777777" w:rsidR="0096026B" w:rsidRPr="00C9666A" w:rsidRDefault="0096026B" w:rsidP="00C9666A">
      <w:pPr>
        <w:spacing w:before="120" w:after="120"/>
        <w:ind w:left="426" w:right="424" w:firstLine="1"/>
        <w:jc w:val="both"/>
        <w:rPr>
          <w:rFonts w:ascii="Arial" w:hAnsi="Arial" w:cs="Arial"/>
          <w:i/>
          <w:sz w:val="20"/>
          <w:szCs w:val="20"/>
        </w:rPr>
      </w:pPr>
      <w:r w:rsidRPr="00C9666A">
        <w:rPr>
          <w:rFonts w:ascii="Arial" w:hAnsi="Arial" w:cs="Arial"/>
          <w:i/>
          <w:sz w:val="20"/>
          <w:szCs w:val="20"/>
        </w:rPr>
        <w:t xml:space="preserve">“Artículo 13. El Instituto publicará en el Diario Oficial de la Federación los </w:t>
      </w:r>
      <w:r w:rsidRPr="00C9666A">
        <w:rPr>
          <w:rFonts w:ascii="Arial" w:hAnsi="Arial" w:cs="Arial"/>
          <w:b/>
          <w:i/>
          <w:sz w:val="20"/>
          <w:szCs w:val="20"/>
          <w:u w:val="single"/>
        </w:rPr>
        <w:t>métodos de cálculo para determinar el grado de concentración</w:t>
      </w:r>
      <w:r w:rsidRPr="00C9666A">
        <w:rPr>
          <w:rFonts w:ascii="Arial" w:hAnsi="Arial" w:cs="Arial"/>
          <w:i/>
          <w:sz w:val="20"/>
          <w:szCs w:val="20"/>
        </w:rPr>
        <w:t xml:space="preserve"> que exista en el mercado relevante, así como los criterios técnicos para su aplicación.”</w:t>
      </w:r>
    </w:p>
    <w:p w14:paraId="1889130B" w14:textId="77777777" w:rsidR="0096026B" w:rsidRPr="00C9666A" w:rsidRDefault="0096026B" w:rsidP="00C9666A">
      <w:pPr>
        <w:spacing w:before="120" w:after="120"/>
        <w:ind w:left="567" w:right="-1" w:firstLine="1"/>
        <w:jc w:val="right"/>
        <w:rPr>
          <w:rFonts w:ascii="Arial" w:hAnsi="Arial" w:cs="Arial"/>
          <w:sz w:val="20"/>
          <w:szCs w:val="20"/>
        </w:rPr>
      </w:pPr>
      <w:r w:rsidRPr="00C9666A">
        <w:rPr>
          <w:rFonts w:ascii="Arial" w:hAnsi="Arial" w:cs="Arial"/>
          <w:sz w:val="20"/>
          <w:szCs w:val="20"/>
        </w:rPr>
        <w:t>[Énfasis añadido]</w:t>
      </w:r>
    </w:p>
    <w:p w14:paraId="72133ED8" w14:textId="1E7E6C2E" w:rsidR="00014277" w:rsidRPr="00C9666A" w:rsidRDefault="00014277" w:rsidP="00C9666A">
      <w:pPr>
        <w:spacing w:before="120" w:after="120"/>
        <w:jc w:val="both"/>
        <w:rPr>
          <w:rFonts w:ascii="Arial" w:hAnsi="Arial" w:cs="Arial"/>
          <w:color w:val="2F2F2F"/>
          <w:shd w:val="clear" w:color="auto" w:fill="FFFFFF"/>
        </w:rPr>
      </w:pPr>
      <w:r w:rsidRPr="00C9666A">
        <w:rPr>
          <w:rFonts w:ascii="Arial" w:hAnsi="Arial" w:cs="Arial"/>
        </w:rPr>
        <w:t>En este sentido el 11 de abril de 2016, el DOF publicó el “</w:t>
      </w:r>
      <w:r w:rsidRPr="00C9666A">
        <w:rPr>
          <w:rFonts w:ascii="Arial" w:hAnsi="Arial" w:cs="Arial"/>
          <w:i/>
        </w:rPr>
        <w:t>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w:t>
      </w:r>
      <w:r w:rsidRPr="00C9666A">
        <w:rPr>
          <w:rFonts w:ascii="Arial" w:hAnsi="Arial" w:cs="Arial"/>
        </w:rPr>
        <w:t xml:space="preserve">” </w:t>
      </w:r>
      <w:r w:rsidR="00D4689D">
        <w:rPr>
          <w:rFonts w:ascii="Arial" w:hAnsi="Arial" w:cs="Arial"/>
        </w:rPr>
        <w:t xml:space="preserve">(Criterio Técnico) </w:t>
      </w:r>
      <w:r w:rsidRPr="00C9666A">
        <w:rPr>
          <w:rFonts w:ascii="Arial" w:hAnsi="Arial" w:cs="Arial"/>
        </w:rPr>
        <w:t xml:space="preserve">donde se dio a conocer el índice que Instituto utilizaría para determinar los niveles de concentración en los mercados y servicios que éste analiza, así como los umbrales que se tomarán como indicio para </w:t>
      </w:r>
      <w:r w:rsidRPr="00C9666A">
        <w:rPr>
          <w:rFonts w:ascii="Arial" w:hAnsi="Arial" w:cs="Arial"/>
          <w:color w:val="2F2F2F"/>
          <w:shd w:val="clear" w:color="auto" w:fill="FFFFFF"/>
        </w:rPr>
        <w:t>las concentraciones que tienen poca probabilidad de obstaculizar,</w:t>
      </w:r>
      <w:r w:rsidR="00B4578D">
        <w:rPr>
          <w:rFonts w:ascii="Arial" w:hAnsi="Arial" w:cs="Arial"/>
          <w:color w:val="2F2F2F"/>
          <w:shd w:val="clear" w:color="auto" w:fill="FFFFFF"/>
        </w:rPr>
        <w:t xml:space="preserve"> </w:t>
      </w:r>
      <w:r w:rsidRPr="00C9666A">
        <w:rPr>
          <w:rFonts w:ascii="Arial" w:hAnsi="Arial" w:cs="Arial"/>
          <w:color w:val="2F2F2F"/>
          <w:shd w:val="clear" w:color="auto" w:fill="FFFFFF"/>
        </w:rPr>
        <w:t>disminuir, dañar o impedir la competencia y la libre concurrencia.</w:t>
      </w:r>
    </w:p>
    <w:p w14:paraId="3D173515" w14:textId="5A3391F2" w:rsidR="00F427CB" w:rsidRPr="00C9666A" w:rsidRDefault="00D4689D" w:rsidP="00C9666A">
      <w:pPr>
        <w:spacing w:before="120" w:after="120"/>
        <w:jc w:val="both"/>
        <w:rPr>
          <w:rFonts w:ascii="Arial" w:hAnsi="Arial" w:cs="Arial"/>
          <w:color w:val="2F2F2F"/>
          <w:shd w:val="clear" w:color="auto" w:fill="FFFFFF"/>
        </w:rPr>
      </w:pPr>
      <w:r>
        <w:rPr>
          <w:rFonts w:ascii="Arial" w:hAnsi="Arial" w:cs="Arial"/>
          <w:color w:val="2F2F2F"/>
          <w:shd w:val="clear" w:color="auto" w:fill="FFFFFF"/>
        </w:rPr>
        <w:t>En relación a lo anterior</w:t>
      </w:r>
      <w:r w:rsidR="00F427CB" w:rsidRPr="00C9666A">
        <w:rPr>
          <w:rFonts w:ascii="Arial" w:hAnsi="Arial" w:cs="Arial"/>
          <w:color w:val="2F2F2F"/>
          <w:shd w:val="clear" w:color="auto" w:fill="FFFFFF"/>
        </w:rPr>
        <w:t>, el último párrafo del artículo 138 de la LFCE establece lo siguiente:</w:t>
      </w:r>
    </w:p>
    <w:p w14:paraId="11933060" w14:textId="6A0B7585" w:rsidR="00F427CB" w:rsidRPr="00C9666A" w:rsidRDefault="00F427CB" w:rsidP="00C9666A">
      <w:pPr>
        <w:spacing w:before="120" w:after="120"/>
        <w:ind w:left="426" w:right="424"/>
        <w:jc w:val="both"/>
        <w:rPr>
          <w:rFonts w:ascii="Arial" w:hAnsi="Arial" w:cs="Arial"/>
          <w:i/>
          <w:color w:val="2F2F2F"/>
          <w:sz w:val="20"/>
          <w:szCs w:val="20"/>
          <w:shd w:val="clear" w:color="auto" w:fill="FFFFFF"/>
        </w:rPr>
      </w:pPr>
      <w:r w:rsidRPr="00C9666A">
        <w:rPr>
          <w:rFonts w:ascii="Arial" w:hAnsi="Arial" w:cs="Arial"/>
          <w:i/>
          <w:color w:val="2F2F2F"/>
          <w:sz w:val="20"/>
          <w:szCs w:val="20"/>
          <w:shd w:val="clear" w:color="auto" w:fill="FFFFFF"/>
        </w:rPr>
        <w:t xml:space="preserve">“Artículo 138.  </w:t>
      </w:r>
    </w:p>
    <w:p w14:paraId="54A86541" w14:textId="47B263A3" w:rsidR="00F427CB" w:rsidRPr="00C9666A" w:rsidRDefault="00F427CB" w:rsidP="00C9666A">
      <w:pPr>
        <w:spacing w:before="120" w:after="120"/>
        <w:ind w:left="426" w:right="424"/>
        <w:jc w:val="both"/>
        <w:rPr>
          <w:rFonts w:ascii="Arial" w:hAnsi="Arial" w:cs="Arial"/>
          <w:i/>
          <w:color w:val="2F2F2F"/>
          <w:sz w:val="20"/>
          <w:szCs w:val="20"/>
          <w:shd w:val="clear" w:color="auto" w:fill="FFFFFF"/>
        </w:rPr>
      </w:pPr>
      <w:r w:rsidRPr="00C9666A">
        <w:rPr>
          <w:rFonts w:ascii="Arial" w:hAnsi="Arial" w:cs="Arial"/>
          <w:i/>
          <w:color w:val="2F2F2F"/>
          <w:sz w:val="20"/>
          <w:szCs w:val="20"/>
          <w:shd w:val="clear" w:color="auto" w:fill="FFFFFF"/>
        </w:rPr>
        <w:t>(…)</w:t>
      </w:r>
    </w:p>
    <w:p w14:paraId="21A538A9" w14:textId="2A716E18" w:rsidR="00F427CB" w:rsidRPr="00C9666A" w:rsidRDefault="00F427CB" w:rsidP="00C9666A">
      <w:pPr>
        <w:spacing w:before="120" w:after="120"/>
        <w:ind w:left="426" w:right="424"/>
        <w:jc w:val="both"/>
        <w:rPr>
          <w:rFonts w:ascii="Arial" w:hAnsi="Arial" w:cs="Arial"/>
          <w:i/>
          <w:color w:val="2F2F2F"/>
          <w:sz w:val="20"/>
          <w:szCs w:val="20"/>
          <w:shd w:val="clear" w:color="auto" w:fill="FFFFFF"/>
        </w:rPr>
      </w:pPr>
      <w:r w:rsidRPr="00C9666A">
        <w:rPr>
          <w:rFonts w:ascii="Arial" w:hAnsi="Arial" w:cs="Arial"/>
          <w:i/>
          <w:color w:val="2F2F2F"/>
          <w:sz w:val="20"/>
          <w:szCs w:val="20"/>
          <w:shd w:val="clear" w:color="auto" w:fill="FFFFFF"/>
        </w:rPr>
        <w:lastRenderedPageBreak/>
        <w:t xml:space="preserve">Las directrices, guías, lineamientos y criterios técnicos referidos en este artículo, </w:t>
      </w:r>
      <w:r w:rsidRPr="00C9666A">
        <w:rPr>
          <w:rFonts w:ascii="Arial" w:hAnsi="Arial" w:cs="Arial"/>
          <w:b/>
          <w:i/>
          <w:color w:val="2F2F2F"/>
          <w:sz w:val="20"/>
          <w:szCs w:val="20"/>
          <w:shd w:val="clear" w:color="auto" w:fill="FFFFFF"/>
        </w:rPr>
        <w:t>deberán revisarse por lo menos cada cinco años</w:t>
      </w:r>
      <w:r w:rsidRPr="00C9666A">
        <w:rPr>
          <w:rFonts w:ascii="Arial" w:hAnsi="Arial" w:cs="Arial"/>
          <w:i/>
          <w:color w:val="2F2F2F"/>
          <w:sz w:val="20"/>
          <w:szCs w:val="20"/>
          <w:shd w:val="clear" w:color="auto" w:fill="FFFFFF"/>
        </w:rPr>
        <w:t>, de conformidad con lo señalado el artículo 12, fracción XXII, de esta Ley.”</w:t>
      </w:r>
    </w:p>
    <w:p w14:paraId="5C9955E6" w14:textId="4493910F" w:rsidR="00F427CB" w:rsidRPr="00C9666A" w:rsidRDefault="00F427CB" w:rsidP="00C9666A">
      <w:pPr>
        <w:spacing w:before="120" w:after="120"/>
        <w:ind w:left="426" w:right="424"/>
        <w:jc w:val="right"/>
        <w:rPr>
          <w:rFonts w:ascii="Arial" w:hAnsi="Arial" w:cs="Arial"/>
          <w:sz w:val="20"/>
          <w:szCs w:val="20"/>
        </w:rPr>
      </w:pPr>
      <w:r w:rsidRPr="00C9666A">
        <w:rPr>
          <w:rFonts w:ascii="Arial" w:hAnsi="Arial" w:cs="Arial"/>
          <w:color w:val="2F2F2F"/>
          <w:sz w:val="20"/>
          <w:szCs w:val="20"/>
          <w:shd w:val="clear" w:color="auto" w:fill="FFFFFF"/>
        </w:rPr>
        <w:t>[Énfasis añadido]</w:t>
      </w:r>
    </w:p>
    <w:p w14:paraId="367C993F" w14:textId="2FB7A5AE" w:rsidR="0096026B" w:rsidRPr="00C9666A" w:rsidRDefault="002D5457" w:rsidP="00C9666A">
      <w:pPr>
        <w:spacing w:before="120" w:after="120"/>
        <w:ind w:right="-1" w:firstLine="1"/>
        <w:jc w:val="both"/>
        <w:rPr>
          <w:rFonts w:ascii="Arial" w:hAnsi="Arial" w:cs="Arial"/>
        </w:rPr>
      </w:pPr>
      <w:r w:rsidRPr="00C9666A">
        <w:rPr>
          <w:rFonts w:ascii="Arial" w:hAnsi="Arial" w:cs="Arial"/>
        </w:rPr>
        <w:t>El</w:t>
      </w:r>
      <w:r w:rsidR="0096026B" w:rsidRPr="00C9666A">
        <w:rPr>
          <w:rFonts w:ascii="Arial" w:hAnsi="Arial" w:cs="Arial"/>
        </w:rPr>
        <w:t xml:space="preserve"> objetivo de este documento es presentar y analizar los métodos más utilizado</w:t>
      </w:r>
      <w:r w:rsidR="0083641B" w:rsidRPr="00C9666A">
        <w:rPr>
          <w:rFonts w:ascii="Arial" w:hAnsi="Arial" w:cs="Arial"/>
        </w:rPr>
        <w:t>s</w:t>
      </w:r>
      <w:r w:rsidR="00D4689D">
        <w:rPr>
          <w:rFonts w:ascii="Arial" w:hAnsi="Arial" w:cs="Arial"/>
        </w:rPr>
        <w:t xml:space="preserve"> actualmente</w:t>
      </w:r>
      <w:r w:rsidR="0096026B" w:rsidRPr="00C9666A">
        <w:rPr>
          <w:rFonts w:ascii="Arial" w:hAnsi="Arial" w:cs="Arial"/>
        </w:rPr>
        <w:t xml:space="preserve"> para estimar el grado de concentración y, con base en dicho análisis, así como en la experiencia en México en los sectores de telecomunicaciones y radiodifusión, </w:t>
      </w:r>
      <w:r w:rsidR="00D4689D">
        <w:rPr>
          <w:rFonts w:ascii="Arial" w:hAnsi="Arial" w:cs="Arial"/>
        </w:rPr>
        <w:t xml:space="preserve">determinar si </w:t>
      </w:r>
      <w:r w:rsidR="0096026B" w:rsidRPr="00C9666A">
        <w:rPr>
          <w:rFonts w:ascii="Arial" w:hAnsi="Arial" w:cs="Arial"/>
        </w:rPr>
        <w:t xml:space="preserve"> </w:t>
      </w:r>
      <w:r w:rsidR="00D4689D">
        <w:rPr>
          <w:rFonts w:ascii="Arial" w:hAnsi="Arial" w:cs="Arial"/>
        </w:rPr>
        <w:t xml:space="preserve">el </w:t>
      </w:r>
      <w:r w:rsidR="0096026B" w:rsidRPr="00C9666A">
        <w:rPr>
          <w:rFonts w:ascii="Arial" w:hAnsi="Arial" w:cs="Arial"/>
        </w:rPr>
        <w:t>índice</w:t>
      </w:r>
      <w:r w:rsidR="00D4689D">
        <w:rPr>
          <w:rFonts w:ascii="Arial" w:hAnsi="Arial" w:cs="Arial"/>
        </w:rPr>
        <w:t xml:space="preserve"> que utiliza el Instituto como herramienta en el análisis de concentraciones sigue siendo aplicable</w:t>
      </w:r>
      <w:r w:rsidR="0096026B" w:rsidRPr="00C9666A">
        <w:rPr>
          <w:rFonts w:ascii="Arial" w:hAnsi="Arial" w:cs="Arial"/>
        </w:rPr>
        <w:t xml:space="preserve"> y </w:t>
      </w:r>
      <w:r w:rsidR="00D4689D">
        <w:rPr>
          <w:rFonts w:ascii="Arial" w:hAnsi="Arial" w:cs="Arial"/>
        </w:rPr>
        <w:t xml:space="preserve">en su caso actualizar </w:t>
      </w:r>
      <w:r w:rsidR="0096026B" w:rsidRPr="00C9666A">
        <w:rPr>
          <w:rFonts w:ascii="Arial" w:hAnsi="Arial" w:cs="Arial"/>
        </w:rPr>
        <w:t>l</w:t>
      </w:r>
      <w:r w:rsidR="008B3EB9" w:rsidRPr="00C9666A">
        <w:rPr>
          <w:rFonts w:ascii="Arial" w:hAnsi="Arial" w:cs="Arial"/>
        </w:rPr>
        <w:t>os criterios de su aplicación.</w:t>
      </w:r>
    </w:p>
    <w:p w14:paraId="2D73EF54" w14:textId="335BDD87" w:rsidR="0096026B" w:rsidRPr="00C9666A" w:rsidRDefault="002D5457"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L</w:t>
      </w:r>
      <w:r w:rsidR="0096026B" w:rsidRPr="00C9666A">
        <w:rPr>
          <w:rFonts w:ascii="Arial" w:hAnsi="Arial" w:cs="Arial"/>
          <w:color w:val="auto"/>
          <w:sz w:val="22"/>
          <w:szCs w:val="22"/>
        </w:rPr>
        <w:t xml:space="preserve">os índices </w:t>
      </w:r>
      <w:r w:rsidRPr="00C9666A">
        <w:rPr>
          <w:rFonts w:ascii="Arial" w:hAnsi="Arial" w:cs="Arial"/>
          <w:color w:val="auto"/>
          <w:sz w:val="22"/>
          <w:szCs w:val="22"/>
        </w:rPr>
        <w:t xml:space="preserve">u otras </w:t>
      </w:r>
      <w:r w:rsidR="0096026B" w:rsidRPr="00C9666A">
        <w:rPr>
          <w:rFonts w:ascii="Arial" w:hAnsi="Arial" w:cs="Arial"/>
          <w:color w:val="auto"/>
          <w:sz w:val="22"/>
          <w:szCs w:val="22"/>
        </w:rPr>
        <w:t>medida</w:t>
      </w:r>
      <w:r w:rsidRPr="00C9666A">
        <w:rPr>
          <w:rFonts w:ascii="Arial" w:hAnsi="Arial" w:cs="Arial"/>
          <w:color w:val="auto"/>
          <w:sz w:val="22"/>
          <w:szCs w:val="22"/>
        </w:rPr>
        <w:t>s</w:t>
      </w:r>
      <w:r w:rsidR="0096026B" w:rsidRPr="00C9666A">
        <w:rPr>
          <w:rFonts w:ascii="Arial" w:hAnsi="Arial" w:cs="Arial"/>
          <w:color w:val="auto"/>
          <w:sz w:val="22"/>
          <w:szCs w:val="22"/>
        </w:rPr>
        <w:t xml:space="preserve"> de concentración </w:t>
      </w:r>
      <w:r w:rsidRPr="00C9666A">
        <w:rPr>
          <w:rFonts w:ascii="Arial" w:hAnsi="Arial" w:cs="Arial"/>
          <w:color w:val="auto"/>
          <w:sz w:val="22"/>
          <w:szCs w:val="22"/>
        </w:rPr>
        <w:t xml:space="preserve">constituyen </w:t>
      </w:r>
      <w:r w:rsidR="009E0456">
        <w:rPr>
          <w:rFonts w:ascii="Arial" w:hAnsi="Arial" w:cs="Arial"/>
          <w:color w:val="auto"/>
          <w:sz w:val="22"/>
          <w:szCs w:val="22"/>
        </w:rPr>
        <w:t>referencias</w:t>
      </w:r>
      <w:r w:rsidR="009E0456" w:rsidRPr="00C9666A">
        <w:rPr>
          <w:rFonts w:ascii="Arial" w:hAnsi="Arial" w:cs="Arial"/>
          <w:color w:val="auto"/>
          <w:sz w:val="22"/>
          <w:szCs w:val="22"/>
        </w:rPr>
        <w:t xml:space="preserve"> </w:t>
      </w:r>
      <w:r w:rsidRPr="00C9666A">
        <w:rPr>
          <w:rFonts w:ascii="Arial" w:hAnsi="Arial" w:cs="Arial"/>
          <w:color w:val="auto"/>
          <w:sz w:val="22"/>
          <w:szCs w:val="22"/>
        </w:rPr>
        <w:t xml:space="preserve">para identificar </w:t>
      </w:r>
      <w:r w:rsidR="0096026B" w:rsidRPr="00C9666A">
        <w:rPr>
          <w:rFonts w:ascii="Arial" w:hAnsi="Arial" w:cs="Arial"/>
          <w:color w:val="auto"/>
          <w:sz w:val="22"/>
          <w:szCs w:val="22"/>
        </w:rPr>
        <w:t>probl</w:t>
      </w:r>
      <w:r w:rsidRPr="00C9666A">
        <w:rPr>
          <w:rFonts w:ascii="Arial" w:hAnsi="Arial" w:cs="Arial"/>
          <w:color w:val="auto"/>
          <w:sz w:val="22"/>
          <w:szCs w:val="22"/>
        </w:rPr>
        <w:t>emas potenciales de competencia</w:t>
      </w:r>
      <w:r w:rsidR="0096026B" w:rsidRPr="00C9666A">
        <w:rPr>
          <w:rFonts w:ascii="Arial" w:hAnsi="Arial" w:cs="Arial"/>
          <w:color w:val="auto"/>
          <w:sz w:val="22"/>
          <w:szCs w:val="22"/>
        </w:rPr>
        <w:t xml:space="preserve"> y no </w:t>
      </w:r>
      <w:r w:rsidRPr="00C9666A">
        <w:rPr>
          <w:rFonts w:ascii="Arial" w:hAnsi="Arial" w:cs="Arial"/>
          <w:color w:val="auto"/>
          <w:sz w:val="22"/>
          <w:szCs w:val="22"/>
        </w:rPr>
        <w:t xml:space="preserve">son </w:t>
      </w:r>
      <w:r w:rsidR="0096026B" w:rsidRPr="00C9666A">
        <w:rPr>
          <w:rFonts w:ascii="Arial" w:hAnsi="Arial" w:cs="Arial"/>
          <w:color w:val="auto"/>
          <w:sz w:val="22"/>
          <w:szCs w:val="22"/>
        </w:rPr>
        <w:t>factor</w:t>
      </w:r>
      <w:r w:rsidRPr="00C9666A">
        <w:rPr>
          <w:rFonts w:ascii="Arial" w:hAnsi="Arial" w:cs="Arial"/>
          <w:color w:val="auto"/>
          <w:sz w:val="22"/>
          <w:szCs w:val="22"/>
        </w:rPr>
        <w:t>es</w:t>
      </w:r>
      <w:r w:rsidR="0096026B" w:rsidRPr="00C9666A">
        <w:rPr>
          <w:rFonts w:ascii="Arial" w:hAnsi="Arial" w:cs="Arial"/>
          <w:color w:val="auto"/>
          <w:sz w:val="22"/>
          <w:szCs w:val="22"/>
        </w:rPr>
        <w:t xml:space="preserve"> determinante</w:t>
      </w:r>
      <w:r w:rsidRPr="00C9666A">
        <w:rPr>
          <w:rFonts w:ascii="Arial" w:hAnsi="Arial" w:cs="Arial"/>
          <w:color w:val="auto"/>
          <w:sz w:val="22"/>
          <w:szCs w:val="22"/>
        </w:rPr>
        <w:t>s</w:t>
      </w:r>
      <w:r w:rsidR="0096026B" w:rsidRPr="00C9666A">
        <w:rPr>
          <w:rFonts w:ascii="Arial" w:hAnsi="Arial" w:cs="Arial"/>
          <w:color w:val="auto"/>
          <w:sz w:val="22"/>
          <w:szCs w:val="22"/>
        </w:rPr>
        <w:t xml:space="preserve"> por sí mismo</w:t>
      </w:r>
      <w:r w:rsidRPr="00C9666A">
        <w:rPr>
          <w:rFonts w:ascii="Arial" w:hAnsi="Arial" w:cs="Arial"/>
          <w:color w:val="auto"/>
          <w:sz w:val="22"/>
          <w:szCs w:val="22"/>
        </w:rPr>
        <w:t>s</w:t>
      </w:r>
      <w:r w:rsidR="0096026B" w:rsidRPr="00C9666A">
        <w:rPr>
          <w:rFonts w:ascii="Arial" w:hAnsi="Arial" w:cs="Arial"/>
          <w:color w:val="auto"/>
          <w:sz w:val="22"/>
          <w:szCs w:val="22"/>
        </w:rPr>
        <w:t>.</w:t>
      </w:r>
      <w:r w:rsidRPr="00C9666A">
        <w:rPr>
          <w:rFonts w:ascii="Arial" w:hAnsi="Arial" w:cs="Arial"/>
          <w:color w:val="auto"/>
          <w:sz w:val="22"/>
          <w:szCs w:val="22"/>
        </w:rPr>
        <w:t xml:space="preserve"> </w:t>
      </w:r>
      <w:r w:rsidR="0096026B" w:rsidRPr="00C9666A">
        <w:rPr>
          <w:rFonts w:ascii="Arial" w:hAnsi="Arial" w:cs="Arial"/>
          <w:color w:val="auto"/>
          <w:sz w:val="22"/>
          <w:szCs w:val="22"/>
        </w:rPr>
        <w:t xml:space="preserve">Es decir, los </w:t>
      </w:r>
      <w:r w:rsidR="0083641B" w:rsidRPr="00C9666A">
        <w:rPr>
          <w:rFonts w:ascii="Arial" w:hAnsi="Arial" w:cs="Arial"/>
          <w:color w:val="auto"/>
          <w:sz w:val="22"/>
          <w:szCs w:val="22"/>
        </w:rPr>
        <w:t xml:space="preserve">niveles </w:t>
      </w:r>
      <w:r w:rsidR="0096026B" w:rsidRPr="00C9666A">
        <w:rPr>
          <w:rFonts w:ascii="Arial" w:hAnsi="Arial" w:cs="Arial"/>
          <w:color w:val="auto"/>
          <w:sz w:val="22"/>
          <w:szCs w:val="22"/>
        </w:rPr>
        <w:t xml:space="preserve">de los índices no deben considerarse como un instrumento vinculante para concluir </w:t>
      </w:r>
      <w:r w:rsidR="00A4555C" w:rsidRPr="00C9666A">
        <w:rPr>
          <w:rFonts w:ascii="Arial" w:hAnsi="Arial" w:cs="Arial"/>
          <w:color w:val="auto"/>
          <w:sz w:val="22"/>
          <w:szCs w:val="22"/>
        </w:rPr>
        <w:t>sobre los hechos o actos analizados</w:t>
      </w:r>
      <w:r w:rsidR="0083641B" w:rsidRPr="00C9666A">
        <w:rPr>
          <w:rFonts w:ascii="Arial" w:hAnsi="Arial" w:cs="Arial"/>
          <w:color w:val="auto"/>
          <w:sz w:val="22"/>
          <w:szCs w:val="22"/>
        </w:rPr>
        <w:t xml:space="preserve">, sino que </w:t>
      </w:r>
      <w:r w:rsidR="0047683A" w:rsidRPr="00C9666A">
        <w:rPr>
          <w:rFonts w:ascii="Arial" w:hAnsi="Arial" w:cs="Arial"/>
          <w:color w:val="auto"/>
          <w:sz w:val="22"/>
          <w:szCs w:val="22"/>
        </w:rPr>
        <w:t xml:space="preserve">son parte de </w:t>
      </w:r>
      <w:r w:rsidR="0096026B" w:rsidRPr="00C9666A">
        <w:rPr>
          <w:rFonts w:ascii="Arial" w:hAnsi="Arial" w:cs="Arial"/>
          <w:color w:val="auto"/>
          <w:sz w:val="22"/>
          <w:szCs w:val="22"/>
        </w:rPr>
        <w:t xml:space="preserve">un análisis </w:t>
      </w:r>
      <w:r w:rsidR="0047683A" w:rsidRPr="00C9666A">
        <w:rPr>
          <w:rFonts w:ascii="Arial" w:hAnsi="Arial" w:cs="Arial"/>
          <w:color w:val="auto"/>
          <w:sz w:val="22"/>
          <w:szCs w:val="22"/>
        </w:rPr>
        <w:t xml:space="preserve">completo </w:t>
      </w:r>
      <w:r w:rsidR="0096026B" w:rsidRPr="00C9666A">
        <w:rPr>
          <w:rFonts w:ascii="Arial" w:hAnsi="Arial" w:cs="Arial"/>
          <w:color w:val="auto"/>
          <w:sz w:val="22"/>
          <w:szCs w:val="22"/>
        </w:rPr>
        <w:t>en términos de</w:t>
      </w:r>
      <w:r w:rsidR="0047683A" w:rsidRPr="00C9666A">
        <w:rPr>
          <w:rFonts w:ascii="Arial" w:hAnsi="Arial" w:cs="Arial"/>
          <w:color w:val="auto"/>
          <w:sz w:val="22"/>
          <w:szCs w:val="22"/>
        </w:rPr>
        <w:t>, entre otras consideraciones,</w:t>
      </w:r>
      <w:r w:rsidR="0096026B" w:rsidRPr="00C9666A">
        <w:rPr>
          <w:rFonts w:ascii="Arial" w:hAnsi="Arial" w:cs="Arial"/>
          <w:color w:val="auto"/>
          <w:sz w:val="22"/>
          <w:szCs w:val="22"/>
        </w:rPr>
        <w:t xml:space="preserve"> barreras</w:t>
      </w:r>
      <w:r w:rsidR="0083641B" w:rsidRPr="00C9666A">
        <w:rPr>
          <w:rFonts w:ascii="Arial" w:hAnsi="Arial" w:cs="Arial"/>
          <w:color w:val="auto"/>
          <w:sz w:val="22"/>
          <w:szCs w:val="22"/>
        </w:rPr>
        <w:t xml:space="preserve"> a la entrada, poder sustancial y</w:t>
      </w:r>
      <w:r w:rsidR="0096026B" w:rsidRPr="00C9666A">
        <w:rPr>
          <w:rFonts w:ascii="Arial" w:hAnsi="Arial" w:cs="Arial"/>
          <w:color w:val="auto"/>
          <w:sz w:val="22"/>
          <w:szCs w:val="22"/>
        </w:rPr>
        <w:t xml:space="preserve"> efectos</w:t>
      </w:r>
      <w:r w:rsidR="0083641B" w:rsidRPr="00C9666A">
        <w:rPr>
          <w:rFonts w:ascii="Arial" w:hAnsi="Arial" w:cs="Arial"/>
          <w:color w:val="auto"/>
          <w:sz w:val="22"/>
          <w:szCs w:val="22"/>
        </w:rPr>
        <w:t xml:space="preserve">, incluyendo las </w:t>
      </w:r>
      <w:r w:rsidR="0096026B" w:rsidRPr="00C9666A">
        <w:rPr>
          <w:rFonts w:ascii="Arial" w:hAnsi="Arial" w:cs="Arial"/>
          <w:color w:val="auto"/>
          <w:sz w:val="22"/>
          <w:szCs w:val="22"/>
        </w:rPr>
        <w:t>eficiencias económicas. Así, los índices de concentración deben considerarse sólo como una herramienta que permite a la autoridad identificar las concentraciones sobre las cuales debe llevar a cabo un análisis exhaustivo.</w:t>
      </w:r>
      <w:r w:rsidR="0083641B" w:rsidRPr="00C9666A">
        <w:rPr>
          <w:rFonts w:ascii="Arial" w:hAnsi="Arial" w:cs="Arial"/>
          <w:color w:val="auto"/>
          <w:sz w:val="22"/>
          <w:szCs w:val="22"/>
        </w:rPr>
        <w:t xml:space="preserve"> Este uso coincide con las recomendaciones de organismos internacionales especializados, como la Red Internacional de Competencia (ICN, por sus siglas en inglés).</w:t>
      </w:r>
      <w:r w:rsidR="0083641B" w:rsidRPr="00C9666A">
        <w:rPr>
          <w:rStyle w:val="Refdenotaalpie"/>
          <w:rFonts w:ascii="Arial" w:hAnsi="Arial" w:cs="Arial"/>
          <w:color w:val="auto"/>
          <w:sz w:val="22"/>
          <w:szCs w:val="22"/>
        </w:rPr>
        <w:footnoteReference w:id="2"/>
      </w:r>
    </w:p>
    <w:p w14:paraId="51E7D1F0" w14:textId="696A4088" w:rsidR="0096026B" w:rsidRPr="00C9666A" w:rsidRDefault="0096026B"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sz w:val="22"/>
          <w:szCs w:val="22"/>
        </w:rPr>
        <w:t>Por lo anterior, el índice de concentración</w:t>
      </w:r>
      <w:r w:rsidR="00D4689D">
        <w:rPr>
          <w:rFonts w:ascii="Arial" w:hAnsi="Arial" w:cs="Arial"/>
          <w:sz w:val="22"/>
          <w:szCs w:val="22"/>
        </w:rPr>
        <w:t xml:space="preserve"> y los criterios de aplicación</w:t>
      </w:r>
      <w:r w:rsidRPr="00C9666A">
        <w:rPr>
          <w:rFonts w:ascii="Arial" w:hAnsi="Arial" w:cs="Arial"/>
          <w:sz w:val="22"/>
          <w:szCs w:val="22"/>
        </w:rPr>
        <w:t xml:space="preserve"> que se propone</w:t>
      </w:r>
      <w:r w:rsidR="00D4689D">
        <w:rPr>
          <w:rFonts w:ascii="Arial" w:hAnsi="Arial" w:cs="Arial"/>
          <w:sz w:val="22"/>
          <w:szCs w:val="22"/>
        </w:rPr>
        <w:t>n</w:t>
      </w:r>
      <w:r w:rsidRPr="00C9666A">
        <w:rPr>
          <w:rFonts w:ascii="Arial" w:hAnsi="Arial" w:cs="Arial"/>
          <w:sz w:val="22"/>
          <w:szCs w:val="22"/>
        </w:rPr>
        <w:t xml:space="preserve"> será considerado por el Instituto sólo como una referencia</w:t>
      </w:r>
      <w:r w:rsidR="0083641B" w:rsidRPr="00C9666A">
        <w:rPr>
          <w:rFonts w:ascii="Arial" w:hAnsi="Arial" w:cs="Arial"/>
          <w:sz w:val="22"/>
          <w:szCs w:val="22"/>
        </w:rPr>
        <w:t xml:space="preserve"> en el análisis en materia de competencia económica de asuntos que se tramiten en términos de la LFCE y la LFTR</w:t>
      </w:r>
      <w:r w:rsidRPr="00C9666A">
        <w:rPr>
          <w:rFonts w:ascii="Arial" w:hAnsi="Arial" w:cs="Arial"/>
          <w:sz w:val="22"/>
          <w:szCs w:val="22"/>
        </w:rPr>
        <w:t>, sin que se le otorgue el carácter de vinculante para r</w:t>
      </w:r>
      <w:r w:rsidR="0083641B" w:rsidRPr="00C9666A">
        <w:rPr>
          <w:rFonts w:ascii="Arial" w:hAnsi="Arial" w:cs="Arial"/>
          <w:sz w:val="22"/>
          <w:szCs w:val="22"/>
        </w:rPr>
        <w:t>esolver</w:t>
      </w:r>
      <w:r w:rsidRPr="00C9666A">
        <w:rPr>
          <w:rFonts w:ascii="Arial" w:hAnsi="Arial" w:cs="Arial"/>
          <w:sz w:val="22"/>
          <w:szCs w:val="22"/>
        </w:rPr>
        <w:t>.</w:t>
      </w:r>
    </w:p>
    <w:p w14:paraId="456DC392" w14:textId="77777777" w:rsidR="0096026B" w:rsidRPr="00C9666A" w:rsidRDefault="0096026B" w:rsidP="00C9666A">
      <w:pPr>
        <w:spacing w:before="120" w:after="120"/>
        <w:ind w:right="-1"/>
        <w:jc w:val="both"/>
        <w:rPr>
          <w:rFonts w:ascii="Arial" w:hAnsi="Arial" w:cs="Arial"/>
        </w:rPr>
      </w:pPr>
    </w:p>
    <w:p w14:paraId="1EF49AA6" w14:textId="77777777" w:rsidR="0083641B" w:rsidRPr="00C9666A" w:rsidRDefault="0083641B" w:rsidP="00C9666A">
      <w:pPr>
        <w:pStyle w:val="Ttulo1"/>
        <w:numPr>
          <w:ilvl w:val="0"/>
          <w:numId w:val="38"/>
        </w:numPr>
        <w:spacing w:before="120" w:after="120"/>
        <w:rPr>
          <w:rFonts w:ascii="Arial" w:hAnsi="Arial" w:cs="Arial"/>
          <w:b/>
          <w:color w:val="auto"/>
          <w:sz w:val="22"/>
        </w:rPr>
      </w:pPr>
      <w:bookmarkStart w:id="1" w:name="_Toc432706529"/>
      <w:r w:rsidRPr="00C9666A">
        <w:rPr>
          <w:rFonts w:ascii="Arial" w:hAnsi="Arial" w:cs="Arial"/>
          <w:b/>
          <w:color w:val="auto"/>
          <w:sz w:val="22"/>
        </w:rPr>
        <w:t>Marco legal</w:t>
      </w:r>
      <w:bookmarkEnd w:id="1"/>
    </w:p>
    <w:p w14:paraId="559B98BE" w14:textId="77777777" w:rsidR="00AF11BE" w:rsidRPr="00C9666A" w:rsidRDefault="0083641B" w:rsidP="00C9666A">
      <w:pPr>
        <w:spacing w:before="120" w:after="120"/>
        <w:jc w:val="both"/>
        <w:rPr>
          <w:rFonts w:ascii="Arial" w:hAnsi="Arial" w:cs="Arial"/>
          <w:b/>
          <w:i/>
        </w:rPr>
      </w:pPr>
      <w:r w:rsidRPr="00C9666A">
        <w:rPr>
          <w:rFonts w:ascii="Arial" w:hAnsi="Arial" w:cs="Arial"/>
          <w:b/>
          <w:i/>
        </w:rPr>
        <w:t xml:space="preserve">En materia de concentraciones </w:t>
      </w:r>
    </w:p>
    <w:p w14:paraId="4D3F84B8" w14:textId="77777777" w:rsidR="00AD5478" w:rsidRPr="00C9666A" w:rsidRDefault="00AF11BE" w:rsidP="00C9666A">
      <w:pPr>
        <w:spacing w:before="120" w:after="120"/>
        <w:ind w:right="-1" w:firstLine="1"/>
        <w:jc w:val="both"/>
        <w:rPr>
          <w:rFonts w:ascii="Arial" w:hAnsi="Arial" w:cs="Arial"/>
        </w:rPr>
      </w:pPr>
      <w:r w:rsidRPr="00C9666A">
        <w:rPr>
          <w:rFonts w:ascii="Arial" w:hAnsi="Arial" w:cs="Arial"/>
        </w:rPr>
        <w:t>De acuerdo con el artículo 61</w:t>
      </w:r>
      <w:r w:rsidR="00C262B6" w:rsidRPr="00C9666A">
        <w:rPr>
          <w:rFonts w:ascii="Arial" w:hAnsi="Arial" w:cs="Arial"/>
        </w:rPr>
        <w:t xml:space="preserve"> de la LFCE,</w:t>
      </w:r>
      <w:r w:rsidR="0032415D" w:rsidRPr="00C9666A">
        <w:rPr>
          <w:rFonts w:ascii="Arial" w:hAnsi="Arial" w:cs="Arial"/>
        </w:rPr>
        <w:t xml:space="preserve"> </w:t>
      </w:r>
      <w:r w:rsidRPr="00C9666A">
        <w:rPr>
          <w:rFonts w:ascii="Arial" w:hAnsi="Arial" w:cs="Arial"/>
        </w:rPr>
        <w:t>una concentración se define como sigue</w:t>
      </w:r>
      <w:r w:rsidR="0032415D" w:rsidRPr="00C9666A">
        <w:rPr>
          <w:rFonts w:ascii="Arial" w:hAnsi="Arial" w:cs="Arial"/>
        </w:rPr>
        <w:t>:</w:t>
      </w:r>
    </w:p>
    <w:p w14:paraId="7F92D25B" w14:textId="77777777" w:rsidR="00090D68" w:rsidRPr="00C9666A" w:rsidRDefault="00AF11BE" w:rsidP="00C9666A">
      <w:pPr>
        <w:spacing w:before="120" w:after="120"/>
        <w:ind w:left="426" w:right="424" w:firstLine="1"/>
        <w:jc w:val="both"/>
        <w:rPr>
          <w:rFonts w:ascii="Arial" w:hAnsi="Arial" w:cs="Arial"/>
          <w:i/>
          <w:sz w:val="20"/>
          <w:szCs w:val="20"/>
        </w:rPr>
      </w:pPr>
      <w:r w:rsidRPr="00C9666A">
        <w:rPr>
          <w:rFonts w:ascii="Arial" w:hAnsi="Arial" w:cs="Arial"/>
          <w:i/>
          <w:sz w:val="20"/>
          <w:szCs w:val="20"/>
        </w:rPr>
        <w:t xml:space="preserve">“Artículo 61. Para los efectos de esta Ley, se entiende por </w:t>
      </w:r>
      <w:r w:rsidRPr="00C9666A">
        <w:rPr>
          <w:rFonts w:ascii="Arial" w:hAnsi="Arial" w:cs="Arial"/>
          <w:b/>
          <w:i/>
          <w:sz w:val="20"/>
          <w:szCs w:val="20"/>
          <w:u w:val="single"/>
        </w:rPr>
        <w:t>concentración</w:t>
      </w:r>
      <w:r w:rsidRPr="00C9666A">
        <w:rPr>
          <w:rFonts w:ascii="Arial" w:hAnsi="Arial" w:cs="Arial"/>
          <w:i/>
          <w:sz w:val="20"/>
          <w:szCs w:val="20"/>
        </w:rPr>
        <w:t xml:space="preserve"> la fusión, adquisición del control o cualquier acto por virtud del cual se unan sociedades, asociaciones, acciones, partes sociales, fideicomisos o activos en general que se realice entre competidores, proveedores, clientes o cualesquiera otros agentes económicos. (…</w:t>
      </w:r>
      <w:r w:rsidR="00090D68" w:rsidRPr="00C9666A">
        <w:rPr>
          <w:rFonts w:ascii="Arial" w:hAnsi="Arial" w:cs="Arial"/>
          <w:i/>
          <w:sz w:val="20"/>
          <w:szCs w:val="20"/>
        </w:rPr>
        <w:t>)”</w:t>
      </w:r>
    </w:p>
    <w:p w14:paraId="3E9CE94A" w14:textId="77777777" w:rsidR="00AF11BE" w:rsidRPr="00C9666A" w:rsidRDefault="00AF11BE" w:rsidP="00C9666A">
      <w:pPr>
        <w:spacing w:before="120" w:after="120"/>
        <w:ind w:left="426" w:right="424" w:firstLine="1"/>
        <w:jc w:val="right"/>
        <w:rPr>
          <w:rFonts w:ascii="Arial" w:hAnsi="Arial" w:cs="Arial"/>
          <w:i/>
          <w:sz w:val="20"/>
          <w:szCs w:val="20"/>
        </w:rPr>
      </w:pPr>
      <w:r w:rsidRPr="00C9666A">
        <w:rPr>
          <w:rFonts w:ascii="Arial" w:hAnsi="Arial" w:cs="Arial"/>
          <w:i/>
          <w:sz w:val="20"/>
          <w:szCs w:val="20"/>
        </w:rPr>
        <w:t>[Énfasis añadido]</w:t>
      </w:r>
    </w:p>
    <w:p w14:paraId="08936EF2" w14:textId="76457D41" w:rsidR="00AF11BE" w:rsidRPr="009A2ACC" w:rsidRDefault="00C262B6" w:rsidP="009A2ACC">
      <w:pPr>
        <w:spacing w:before="120" w:after="120"/>
        <w:ind w:right="-1" w:firstLine="1"/>
        <w:jc w:val="both"/>
        <w:rPr>
          <w:rFonts w:ascii="Arial" w:hAnsi="Arial" w:cs="Arial"/>
        </w:rPr>
      </w:pPr>
      <w:r w:rsidRPr="00C9666A">
        <w:rPr>
          <w:rFonts w:ascii="Arial" w:hAnsi="Arial" w:cs="Arial"/>
        </w:rPr>
        <w:t>En ese sentido, la LFCE</w:t>
      </w:r>
      <w:r w:rsidR="00D40D18" w:rsidRPr="00C9666A">
        <w:rPr>
          <w:rFonts w:ascii="Arial" w:hAnsi="Arial" w:cs="Arial"/>
        </w:rPr>
        <w:t>,</w:t>
      </w:r>
      <w:r w:rsidRPr="00C9666A">
        <w:rPr>
          <w:rFonts w:ascii="Arial" w:hAnsi="Arial" w:cs="Arial"/>
        </w:rPr>
        <w:t xml:space="preserve"> </w:t>
      </w:r>
      <w:r w:rsidR="00D40D18" w:rsidRPr="00C9666A">
        <w:rPr>
          <w:rFonts w:ascii="Arial" w:hAnsi="Arial" w:cs="Arial"/>
        </w:rPr>
        <w:t xml:space="preserve">en el artículo </w:t>
      </w:r>
      <w:r w:rsidR="00753252" w:rsidRPr="00C9666A">
        <w:rPr>
          <w:rFonts w:ascii="Arial" w:hAnsi="Arial" w:cs="Arial"/>
        </w:rPr>
        <w:t>61</w:t>
      </w:r>
      <w:r w:rsidR="00D40D18" w:rsidRPr="00C9666A">
        <w:rPr>
          <w:rFonts w:ascii="Arial" w:hAnsi="Arial" w:cs="Arial"/>
        </w:rPr>
        <w:t xml:space="preserve">, </w:t>
      </w:r>
      <w:r w:rsidRPr="00C9666A">
        <w:rPr>
          <w:rFonts w:ascii="Arial" w:hAnsi="Arial" w:cs="Arial"/>
        </w:rPr>
        <w:t xml:space="preserve">establece </w:t>
      </w:r>
      <w:r w:rsidR="0032415D" w:rsidRPr="00C9666A">
        <w:rPr>
          <w:rFonts w:ascii="Arial" w:hAnsi="Arial" w:cs="Arial"/>
        </w:rPr>
        <w:t>el</w:t>
      </w:r>
      <w:r w:rsidRPr="00C9666A">
        <w:rPr>
          <w:rFonts w:ascii="Arial" w:hAnsi="Arial" w:cs="Arial"/>
        </w:rPr>
        <w:t xml:space="preserve"> tipo de concentraciones </w:t>
      </w:r>
      <w:r w:rsidR="0032415D" w:rsidRPr="00C9666A">
        <w:rPr>
          <w:rFonts w:ascii="Arial" w:hAnsi="Arial" w:cs="Arial"/>
        </w:rPr>
        <w:t xml:space="preserve">que </w:t>
      </w:r>
      <w:r w:rsidR="00753252" w:rsidRPr="00C9666A">
        <w:rPr>
          <w:rFonts w:ascii="Arial" w:hAnsi="Arial" w:cs="Arial"/>
        </w:rPr>
        <w:t xml:space="preserve">no se autorizarán o, en su caso, que serán investigadas </w:t>
      </w:r>
      <w:r w:rsidRPr="00C9666A">
        <w:rPr>
          <w:rFonts w:ascii="Arial" w:hAnsi="Arial" w:cs="Arial"/>
        </w:rPr>
        <w:t>y sanciona</w:t>
      </w:r>
      <w:r w:rsidR="00753252" w:rsidRPr="00C9666A">
        <w:rPr>
          <w:rFonts w:ascii="Arial" w:hAnsi="Arial" w:cs="Arial"/>
        </w:rPr>
        <w:t>das</w:t>
      </w:r>
      <w:r w:rsidRPr="00C9666A">
        <w:rPr>
          <w:rFonts w:ascii="Arial" w:hAnsi="Arial" w:cs="Arial"/>
        </w:rPr>
        <w:t>:</w:t>
      </w:r>
    </w:p>
    <w:p w14:paraId="1B140140" w14:textId="77777777" w:rsidR="00753252" w:rsidRPr="00C9666A" w:rsidRDefault="00753252" w:rsidP="00C9666A">
      <w:pPr>
        <w:spacing w:before="120" w:after="120"/>
        <w:ind w:left="426" w:right="424" w:firstLine="1"/>
        <w:jc w:val="both"/>
        <w:rPr>
          <w:rFonts w:ascii="Arial" w:hAnsi="Arial" w:cs="Arial"/>
          <w:sz w:val="20"/>
          <w:szCs w:val="20"/>
        </w:rPr>
      </w:pPr>
      <w:r w:rsidRPr="00C9666A">
        <w:rPr>
          <w:rFonts w:ascii="Arial" w:hAnsi="Arial" w:cs="Arial"/>
          <w:sz w:val="20"/>
          <w:szCs w:val="20"/>
        </w:rPr>
        <w:t>“</w:t>
      </w:r>
      <w:r w:rsidRPr="00C9666A">
        <w:rPr>
          <w:rFonts w:ascii="Arial" w:hAnsi="Arial" w:cs="Arial"/>
          <w:i/>
          <w:sz w:val="20"/>
          <w:szCs w:val="20"/>
        </w:rPr>
        <w:t>(…) La Comisión no autorizará o en su caso investigará y sancionará aquellas concentraciones cuyo objeto o efecto sea disminuir, dañar o impedir la competencia y la libre concurrencia respecto de bienes o servicios iguales, similares o sustancialmente relacionados.</w:t>
      </w:r>
      <w:r w:rsidRPr="00C9666A">
        <w:rPr>
          <w:rFonts w:ascii="Arial" w:hAnsi="Arial" w:cs="Arial"/>
          <w:sz w:val="20"/>
          <w:szCs w:val="20"/>
        </w:rPr>
        <w:t>”</w:t>
      </w:r>
    </w:p>
    <w:p w14:paraId="073C616B" w14:textId="77777777" w:rsidR="00C262B6" w:rsidRPr="00C9666A" w:rsidRDefault="00090D68" w:rsidP="00C9666A">
      <w:pPr>
        <w:spacing w:before="120" w:after="120"/>
        <w:ind w:right="-1" w:firstLine="1"/>
        <w:jc w:val="both"/>
        <w:rPr>
          <w:rFonts w:ascii="Arial" w:hAnsi="Arial" w:cs="Arial"/>
        </w:rPr>
      </w:pPr>
      <w:r w:rsidRPr="00C9666A">
        <w:rPr>
          <w:rFonts w:ascii="Arial" w:hAnsi="Arial" w:cs="Arial"/>
        </w:rPr>
        <w:lastRenderedPageBreak/>
        <w:t>E</w:t>
      </w:r>
      <w:r w:rsidR="00C262B6" w:rsidRPr="00C9666A">
        <w:rPr>
          <w:rFonts w:ascii="Arial" w:hAnsi="Arial" w:cs="Arial"/>
        </w:rPr>
        <w:t xml:space="preserve">n el artículo </w:t>
      </w:r>
      <w:r w:rsidRPr="00C9666A">
        <w:rPr>
          <w:rFonts w:ascii="Arial" w:hAnsi="Arial" w:cs="Arial"/>
        </w:rPr>
        <w:t>63</w:t>
      </w:r>
      <w:r w:rsidR="003A6D10" w:rsidRPr="00C9666A">
        <w:rPr>
          <w:rFonts w:ascii="Arial" w:hAnsi="Arial" w:cs="Arial"/>
        </w:rPr>
        <w:t>,</w:t>
      </w:r>
      <w:r w:rsidR="00C262B6" w:rsidRPr="00C9666A">
        <w:rPr>
          <w:rFonts w:ascii="Arial" w:hAnsi="Arial" w:cs="Arial"/>
        </w:rPr>
        <w:t xml:space="preserve"> </w:t>
      </w:r>
      <w:r w:rsidR="003A6D10" w:rsidRPr="00C9666A">
        <w:rPr>
          <w:rFonts w:ascii="Arial" w:hAnsi="Arial" w:cs="Arial"/>
        </w:rPr>
        <w:t xml:space="preserve">la LFCE </w:t>
      </w:r>
      <w:r w:rsidR="00C262B6" w:rsidRPr="00C9666A">
        <w:rPr>
          <w:rFonts w:ascii="Arial" w:hAnsi="Arial" w:cs="Arial"/>
        </w:rPr>
        <w:t xml:space="preserve">dicta que para determinar si </w:t>
      </w:r>
      <w:r w:rsidRPr="00C9666A">
        <w:rPr>
          <w:rFonts w:ascii="Arial" w:hAnsi="Arial" w:cs="Arial"/>
        </w:rPr>
        <w:t xml:space="preserve">una </w:t>
      </w:r>
      <w:r w:rsidR="00C262B6" w:rsidRPr="00C9666A">
        <w:rPr>
          <w:rFonts w:ascii="Arial" w:hAnsi="Arial" w:cs="Arial"/>
        </w:rPr>
        <w:t xml:space="preserve">concentración </w:t>
      </w:r>
      <w:r w:rsidRPr="00C9666A">
        <w:rPr>
          <w:rFonts w:ascii="Arial" w:hAnsi="Arial" w:cs="Arial"/>
        </w:rPr>
        <w:t xml:space="preserve">no </w:t>
      </w:r>
      <w:r w:rsidR="00C262B6" w:rsidRPr="00C9666A">
        <w:rPr>
          <w:rFonts w:ascii="Arial" w:hAnsi="Arial" w:cs="Arial"/>
        </w:rPr>
        <w:t xml:space="preserve">debe </w:t>
      </w:r>
      <w:r w:rsidRPr="00C9666A">
        <w:rPr>
          <w:rFonts w:ascii="Arial" w:hAnsi="Arial" w:cs="Arial"/>
        </w:rPr>
        <w:t>ser autorizada o debe ser sancionada</w:t>
      </w:r>
      <w:r w:rsidR="00C262B6" w:rsidRPr="00C9666A">
        <w:rPr>
          <w:rFonts w:ascii="Arial" w:hAnsi="Arial" w:cs="Arial"/>
        </w:rPr>
        <w:t>, se debe considerar, entre otras cosas, el grado de concen</w:t>
      </w:r>
      <w:r w:rsidRPr="00C9666A">
        <w:rPr>
          <w:rFonts w:ascii="Arial" w:hAnsi="Arial" w:cs="Arial"/>
        </w:rPr>
        <w:t>tración en el mercado relevante.</w:t>
      </w:r>
    </w:p>
    <w:p w14:paraId="5B1B4A1F" w14:textId="77777777" w:rsidR="00090D68" w:rsidRPr="00C9666A" w:rsidRDefault="00090D68" w:rsidP="00C9666A">
      <w:pPr>
        <w:spacing w:before="120" w:after="120"/>
        <w:ind w:left="567" w:right="424" w:firstLine="1"/>
        <w:jc w:val="both"/>
        <w:rPr>
          <w:rFonts w:ascii="Arial" w:hAnsi="Arial" w:cs="Arial"/>
          <w:i/>
          <w:sz w:val="20"/>
          <w:szCs w:val="20"/>
        </w:rPr>
      </w:pPr>
      <w:r w:rsidRPr="00C9666A">
        <w:rPr>
          <w:rFonts w:ascii="Arial" w:hAnsi="Arial" w:cs="Arial"/>
          <w:i/>
          <w:sz w:val="20"/>
          <w:szCs w:val="20"/>
        </w:rPr>
        <w:t>“Artículo 63. Para determinar si la concentración no debe ser autorizada o debe ser sancionada en los términos de esta Ley, se considerarán los siguientes elementos:</w:t>
      </w:r>
    </w:p>
    <w:p w14:paraId="40F76CCA" w14:textId="77777777" w:rsidR="00090D68" w:rsidRPr="00C9666A" w:rsidRDefault="00090D68" w:rsidP="00C9666A">
      <w:pPr>
        <w:spacing w:before="120" w:after="120"/>
        <w:ind w:left="567" w:right="424" w:firstLine="1"/>
        <w:jc w:val="both"/>
        <w:rPr>
          <w:rFonts w:ascii="Arial" w:hAnsi="Arial" w:cs="Arial"/>
          <w:i/>
          <w:sz w:val="20"/>
          <w:szCs w:val="20"/>
        </w:rPr>
      </w:pPr>
      <w:r w:rsidRPr="00C9666A">
        <w:rPr>
          <w:rFonts w:ascii="Arial" w:hAnsi="Arial" w:cs="Arial"/>
          <w:i/>
          <w:sz w:val="20"/>
          <w:szCs w:val="20"/>
        </w:rPr>
        <w:t>(…)</w:t>
      </w:r>
    </w:p>
    <w:p w14:paraId="6F155FF1" w14:textId="77777777" w:rsidR="00090D68" w:rsidRPr="00C9666A" w:rsidRDefault="00090D68" w:rsidP="00C9666A">
      <w:pPr>
        <w:spacing w:before="120" w:after="120"/>
        <w:ind w:left="567" w:right="424" w:firstLine="1"/>
        <w:jc w:val="both"/>
        <w:rPr>
          <w:rFonts w:ascii="Arial" w:hAnsi="Arial" w:cs="Arial"/>
          <w:i/>
          <w:sz w:val="20"/>
          <w:szCs w:val="20"/>
        </w:rPr>
      </w:pPr>
      <w:r w:rsidRPr="00C9666A">
        <w:rPr>
          <w:rFonts w:ascii="Arial" w:hAnsi="Arial" w:cs="Arial"/>
          <w:i/>
          <w:sz w:val="20"/>
          <w:szCs w:val="20"/>
        </w:rPr>
        <w:t xml:space="preserve">II. La identificación de los principales agentes económicos que abastecen el mercado de que se trate, el análisis de su poder en el mercado relevante, de acuerdo con esta Ley, </w:t>
      </w:r>
      <w:r w:rsidRPr="00C9666A">
        <w:rPr>
          <w:rFonts w:ascii="Arial" w:hAnsi="Arial" w:cs="Arial"/>
          <w:b/>
          <w:i/>
          <w:sz w:val="20"/>
          <w:szCs w:val="20"/>
          <w:u w:val="single"/>
        </w:rPr>
        <w:t>el grado de concentración en dicho mercado</w:t>
      </w:r>
      <w:r w:rsidRPr="00C9666A">
        <w:rPr>
          <w:rFonts w:ascii="Arial" w:hAnsi="Arial" w:cs="Arial"/>
          <w:i/>
          <w:sz w:val="20"/>
          <w:szCs w:val="20"/>
        </w:rPr>
        <w:t>;</w:t>
      </w:r>
    </w:p>
    <w:p w14:paraId="220E833C" w14:textId="77777777" w:rsidR="00090D68" w:rsidRPr="00C9666A" w:rsidRDefault="00090D68" w:rsidP="00C9666A">
      <w:pPr>
        <w:spacing w:before="120" w:after="120"/>
        <w:ind w:left="567" w:right="424" w:firstLine="1"/>
        <w:jc w:val="both"/>
        <w:rPr>
          <w:rFonts w:ascii="Arial" w:hAnsi="Arial" w:cs="Arial"/>
          <w:i/>
          <w:sz w:val="20"/>
          <w:szCs w:val="20"/>
        </w:rPr>
      </w:pPr>
      <w:r w:rsidRPr="00C9666A">
        <w:rPr>
          <w:rFonts w:ascii="Arial" w:hAnsi="Arial" w:cs="Arial"/>
          <w:i/>
          <w:sz w:val="20"/>
          <w:szCs w:val="20"/>
        </w:rPr>
        <w:t xml:space="preserve">(…)” </w:t>
      </w:r>
    </w:p>
    <w:p w14:paraId="21CD50D1" w14:textId="77777777" w:rsidR="00090D68" w:rsidRPr="00C9666A" w:rsidRDefault="00090D68" w:rsidP="00C9666A">
      <w:pPr>
        <w:spacing w:before="120" w:after="120"/>
        <w:ind w:left="567" w:right="424" w:firstLine="1"/>
        <w:jc w:val="right"/>
        <w:rPr>
          <w:rFonts w:ascii="Arial" w:hAnsi="Arial" w:cs="Arial"/>
          <w:i/>
          <w:sz w:val="20"/>
          <w:szCs w:val="20"/>
        </w:rPr>
      </w:pPr>
      <w:r w:rsidRPr="00C9666A">
        <w:rPr>
          <w:rFonts w:ascii="Arial" w:hAnsi="Arial" w:cs="Arial"/>
          <w:sz w:val="20"/>
          <w:szCs w:val="20"/>
        </w:rPr>
        <w:t>[Énfasis añadido]</w:t>
      </w:r>
    </w:p>
    <w:p w14:paraId="53F3215F" w14:textId="0BC7DD6E" w:rsidR="0083641B" w:rsidRPr="00C9666A" w:rsidRDefault="00407C48" w:rsidP="00C9666A">
      <w:pPr>
        <w:spacing w:before="120" w:after="120"/>
        <w:ind w:right="-1" w:firstLine="1"/>
        <w:jc w:val="both"/>
        <w:rPr>
          <w:rFonts w:ascii="Arial" w:hAnsi="Arial" w:cs="Arial"/>
        </w:rPr>
      </w:pPr>
      <w:r w:rsidRPr="00C9666A">
        <w:rPr>
          <w:rFonts w:ascii="Arial" w:hAnsi="Arial" w:cs="Arial"/>
        </w:rPr>
        <w:t>Conceptualmente l</w:t>
      </w:r>
      <w:r w:rsidR="0083641B" w:rsidRPr="00C9666A">
        <w:rPr>
          <w:rFonts w:ascii="Arial" w:hAnsi="Arial" w:cs="Arial"/>
        </w:rPr>
        <w:t xml:space="preserve">a razón por la cual debe llevarse a cabo un análisis </w:t>
      </w:r>
      <w:proofErr w:type="spellStart"/>
      <w:r w:rsidR="0083641B" w:rsidRPr="00C9666A">
        <w:rPr>
          <w:rFonts w:ascii="Arial" w:hAnsi="Arial" w:cs="Arial"/>
          <w:i/>
        </w:rPr>
        <w:t>ex-ante</w:t>
      </w:r>
      <w:proofErr w:type="spellEnd"/>
      <w:r w:rsidR="0083641B" w:rsidRPr="00C9666A">
        <w:rPr>
          <w:rFonts w:ascii="Arial" w:hAnsi="Arial" w:cs="Arial"/>
        </w:rPr>
        <w:t xml:space="preserve"> de las concentraciones radica en que éstas pueden afectar el proceso de competencia y libre concurrencia en los mercados. Las vías por las cuales se puede deteriorar el proceso de competencia son dos:</w:t>
      </w:r>
      <w:r w:rsidR="0083641B" w:rsidRPr="00C9666A">
        <w:rPr>
          <w:rStyle w:val="Refdenotaalpie"/>
          <w:rFonts w:ascii="Arial" w:hAnsi="Arial" w:cs="Arial"/>
        </w:rPr>
        <w:footnoteReference w:id="3"/>
      </w:r>
    </w:p>
    <w:p w14:paraId="006061EA" w14:textId="77777777" w:rsidR="0083641B" w:rsidRPr="00C9666A" w:rsidRDefault="0083641B" w:rsidP="00C9666A">
      <w:pPr>
        <w:pStyle w:val="Prrafodelista"/>
        <w:numPr>
          <w:ilvl w:val="0"/>
          <w:numId w:val="5"/>
        </w:numPr>
        <w:spacing w:before="120" w:after="120"/>
        <w:ind w:left="720" w:firstLine="0"/>
        <w:contextualSpacing w:val="0"/>
        <w:jc w:val="both"/>
        <w:rPr>
          <w:rFonts w:ascii="Arial" w:hAnsi="Arial" w:cs="Arial"/>
        </w:rPr>
      </w:pPr>
      <w:r w:rsidRPr="00C9666A">
        <w:rPr>
          <w:rFonts w:ascii="Arial" w:hAnsi="Arial" w:cs="Arial"/>
          <w:b/>
        </w:rPr>
        <w:t>efectos unilaterales</w:t>
      </w:r>
      <w:r w:rsidRPr="00C9666A">
        <w:rPr>
          <w:rFonts w:ascii="Arial" w:hAnsi="Arial" w:cs="Arial"/>
        </w:rPr>
        <w:t>: las concentraciones pueden conferir o incrementar el poder de mercado de un agente económico y crear condiciones para que éste lo ejerza; y</w:t>
      </w:r>
    </w:p>
    <w:p w14:paraId="0C991126" w14:textId="77777777" w:rsidR="0083641B" w:rsidRPr="00C9666A" w:rsidRDefault="0083641B" w:rsidP="00C9666A">
      <w:pPr>
        <w:pStyle w:val="Prrafodelista"/>
        <w:numPr>
          <w:ilvl w:val="0"/>
          <w:numId w:val="5"/>
        </w:numPr>
        <w:spacing w:before="120" w:after="120"/>
        <w:ind w:right="-1" w:firstLine="1"/>
        <w:jc w:val="both"/>
        <w:rPr>
          <w:rFonts w:ascii="Arial" w:hAnsi="Arial" w:cs="Arial"/>
        </w:rPr>
      </w:pPr>
      <w:r w:rsidRPr="00C9666A">
        <w:rPr>
          <w:rFonts w:ascii="Arial" w:hAnsi="Arial" w:cs="Arial"/>
          <w:b/>
        </w:rPr>
        <w:t>efectos multilaterales o coordinados</w:t>
      </w:r>
      <w:r w:rsidRPr="00C9666A">
        <w:rPr>
          <w:rFonts w:ascii="Arial" w:hAnsi="Arial" w:cs="Arial"/>
        </w:rPr>
        <w:t>: las concentraciones pueden facilitar o incrementar la habilidad de un grupo de empresas para incurrir en prácticas monopólicas, pues la reducción en el número de competidores facilita los comportamientos coordinados entre ellos.</w:t>
      </w:r>
    </w:p>
    <w:p w14:paraId="3F0FC4C2" w14:textId="77777777" w:rsidR="00C262B6" w:rsidRPr="00C9666A" w:rsidRDefault="00407C48" w:rsidP="00C9666A">
      <w:pPr>
        <w:spacing w:before="120" w:after="120"/>
        <w:ind w:right="-1" w:firstLine="1"/>
        <w:jc w:val="both"/>
        <w:rPr>
          <w:rFonts w:ascii="Arial" w:hAnsi="Arial" w:cs="Arial"/>
        </w:rPr>
      </w:pPr>
      <w:r w:rsidRPr="00C9666A">
        <w:rPr>
          <w:rFonts w:ascii="Arial" w:hAnsi="Arial" w:cs="Arial"/>
        </w:rPr>
        <w:t>La LFCE incorpora estos criterios para prevenir concentraciones contrarias al interés público y, por tanto, ilícitas</w:t>
      </w:r>
      <w:r w:rsidR="0047683A" w:rsidRPr="00C9666A">
        <w:rPr>
          <w:rFonts w:ascii="Arial" w:hAnsi="Arial" w:cs="Arial"/>
        </w:rPr>
        <w:t>,</w:t>
      </w:r>
      <w:r w:rsidRPr="00C9666A">
        <w:rPr>
          <w:rFonts w:ascii="Arial" w:hAnsi="Arial" w:cs="Arial"/>
        </w:rPr>
        <w:t xml:space="preserve"> en los siguientes términos:</w:t>
      </w:r>
    </w:p>
    <w:p w14:paraId="16ACC6E0" w14:textId="77777777" w:rsidR="00407C48" w:rsidRPr="00C9666A" w:rsidRDefault="00407C48" w:rsidP="00C9666A">
      <w:pPr>
        <w:spacing w:before="120" w:after="120"/>
        <w:ind w:left="426" w:right="424" w:firstLine="1"/>
        <w:jc w:val="both"/>
        <w:rPr>
          <w:rFonts w:ascii="Arial" w:hAnsi="Arial" w:cs="Arial"/>
          <w:i/>
          <w:sz w:val="20"/>
          <w:szCs w:val="20"/>
        </w:rPr>
      </w:pPr>
      <w:r w:rsidRPr="00C9666A">
        <w:rPr>
          <w:rFonts w:ascii="Arial" w:hAnsi="Arial" w:cs="Arial"/>
          <w:i/>
          <w:sz w:val="20"/>
          <w:szCs w:val="20"/>
        </w:rPr>
        <w:t xml:space="preserve">“Artículo 64. La Comisión considerará como indicios de una concentración ilícita, que la concentración o tentativa de la misma: </w:t>
      </w:r>
    </w:p>
    <w:p w14:paraId="7D563971" w14:textId="77777777" w:rsidR="00407C48" w:rsidRPr="00C9666A" w:rsidRDefault="00407C48" w:rsidP="00C9666A">
      <w:pPr>
        <w:pStyle w:val="Prrafodelista"/>
        <w:numPr>
          <w:ilvl w:val="0"/>
          <w:numId w:val="39"/>
        </w:numPr>
        <w:spacing w:before="120" w:after="120"/>
        <w:ind w:left="1134" w:right="424"/>
        <w:contextualSpacing w:val="0"/>
        <w:jc w:val="both"/>
        <w:rPr>
          <w:rFonts w:ascii="Arial" w:hAnsi="Arial" w:cs="Arial"/>
          <w:i/>
          <w:sz w:val="20"/>
          <w:szCs w:val="20"/>
        </w:rPr>
      </w:pPr>
      <w:r w:rsidRPr="00C9666A">
        <w:rPr>
          <w:rFonts w:ascii="Arial" w:hAnsi="Arial" w:cs="Arial"/>
          <w:i/>
          <w:sz w:val="20"/>
          <w:szCs w:val="20"/>
        </w:rPr>
        <w:t xml:space="preserve">Confiera o pueda conferir al </w:t>
      </w:r>
      <w:proofErr w:type="spellStart"/>
      <w:r w:rsidRPr="00C9666A">
        <w:rPr>
          <w:rFonts w:ascii="Arial" w:hAnsi="Arial" w:cs="Arial"/>
          <w:i/>
          <w:sz w:val="20"/>
          <w:szCs w:val="20"/>
        </w:rPr>
        <w:t>fusionante</w:t>
      </w:r>
      <w:proofErr w:type="spellEnd"/>
      <w:r w:rsidRPr="00C9666A">
        <w:rPr>
          <w:rFonts w:ascii="Arial" w:hAnsi="Arial" w:cs="Arial"/>
          <w:i/>
          <w:sz w:val="20"/>
          <w:szCs w:val="20"/>
        </w:rPr>
        <w:t xml:space="preserve">, al adquirente o Agente Económico resultante de la concentración, poder sustancial en los términos de esta Ley, o incremente o pueda incrementar dicho poder sustancial, con lo cual se pueda obstaculizar, disminuir, dañar o impedir la libre concurrencia y la competencia económica; </w:t>
      </w:r>
    </w:p>
    <w:p w14:paraId="6FE69B7C" w14:textId="77777777" w:rsidR="00407C48" w:rsidRPr="00C9666A" w:rsidRDefault="00407C48" w:rsidP="00C9666A">
      <w:pPr>
        <w:pStyle w:val="Prrafodelista"/>
        <w:numPr>
          <w:ilvl w:val="0"/>
          <w:numId w:val="39"/>
        </w:numPr>
        <w:spacing w:before="120" w:after="120"/>
        <w:ind w:left="1134" w:right="424"/>
        <w:contextualSpacing w:val="0"/>
        <w:jc w:val="both"/>
        <w:rPr>
          <w:rFonts w:ascii="Arial" w:hAnsi="Arial" w:cs="Arial"/>
          <w:i/>
          <w:sz w:val="20"/>
          <w:szCs w:val="20"/>
        </w:rPr>
      </w:pPr>
      <w:r w:rsidRPr="00C9666A">
        <w:rPr>
          <w:rFonts w:ascii="Arial" w:hAnsi="Arial" w:cs="Arial"/>
          <w:i/>
          <w:sz w:val="20"/>
          <w:szCs w:val="20"/>
        </w:rPr>
        <w:t xml:space="preserve">Tenga o pueda tener por objeto o efecto establecer barreras a la entrada, impedir a terceros el acceso al mercado relevante, a mercados relacionados o a insumos esenciales, o desplazar a otros Agentes Económicos, o </w:t>
      </w:r>
    </w:p>
    <w:p w14:paraId="7CE7D290" w14:textId="77777777" w:rsidR="00407C48" w:rsidRPr="00C9666A" w:rsidRDefault="00407C48" w:rsidP="00C9666A">
      <w:pPr>
        <w:pStyle w:val="Prrafodelista"/>
        <w:numPr>
          <w:ilvl w:val="0"/>
          <w:numId w:val="39"/>
        </w:numPr>
        <w:spacing w:before="120" w:after="120"/>
        <w:ind w:left="1134" w:right="424"/>
        <w:contextualSpacing w:val="0"/>
        <w:jc w:val="both"/>
        <w:rPr>
          <w:rFonts w:ascii="Arial" w:hAnsi="Arial" w:cs="Arial"/>
          <w:i/>
          <w:sz w:val="20"/>
          <w:szCs w:val="20"/>
        </w:rPr>
      </w:pPr>
      <w:r w:rsidRPr="00C9666A">
        <w:rPr>
          <w:rFonts w:ascii="Arial" w:hAnsi="Arial" w:cs="Arial"/>
          <w:i/>
          <w:sz w:val="20"/>
          <w:szCs w:val="20"/>
        </w:rPr>
        <w:t>Tenga por objeto o efecto facilitar sustancialmente a los participantes en dicha concentración el ejercicio de conductas prohibidas por esta Ley, y particularmente, de las prácticas monopólicas.”</w:t>
      </w:r>
    </w:p>
    <w:p w14:paraId="6485DB84" w14:textId="77777777" w:rsidR="00407C48" w:rsidRPr="00C9666A" w:rsidRDefault="00407C48" w:rsidP="008C2BA0">
      <w:pPr>
        <w:keepNext/>
        <w:spacing w:before="120" w:after="120"/>
        <w:jc w:val="both"/>
        <w:rPr>
          <w:rFonts w:ascii="Arial" w:hAnsi="Arial" w:cs="Arial"/>
          <w:b/>
          <w:i/>
        </w:rPr>
      </w:pPr>
      <w:r w:rsidRPr="00C9666A">
        <w:rPr>
          <w:rFonts w:ascii="Arial" w:hAnsi="Arial" w:cs="Arial"/>
          <w:b/>
          <w:i/>
        </w:rPr>
        <w:lastRenderedPageBreak/>
        <w:t>Otros procedimientos en los que se analiza el grado de concentración</w:t>
      </w:r>
    </w:p>
    <w:p w14:paraId="7E4344DF" w14:textId="2CCB4FE0" w:rsidR="00407C48" w:rsidRPr="00C9666A" w:rsidRDefault="00407C48" w:rsidP="00C9666A">
      <w:pPr>
        <w:spacing w:before="120" w:after="120"/>
        <w:jc w:val="both"/>
        <w:rPr>
          <w:rFonts w:ascii="Arial" w:hAnsi="Arial" w:cs="Arial"/>
        </w:rPr>
      </w:pPr>
      <w:r w:rsidRPr="00C9666A">
        <w:rPr>
          <w:rFonts w:ascii="Arial" w:hAnsi="Arial" w:cs="Arial"/>
        </w:rPr>
        <w:t xml:space="preserve">Tanto la LFCE como la LFTR establecen procedimientos en los que se requiere del análisis </w:t>
      </w:r>
      <w:r w:rsidR="005D310C" w:rsidRPr="00C9666A">
        <w:rPr>
          <w:rFonts w:ascii="Arial" w:hAnsi="Arial" w:cs="Arial"/>
        </w:rPr>
        <w:t>en materia de competencia económica, que incluye</w:t>
      </w:r>
      <w:r w:rsidR="00ED65EA" w:rsidRPr="00C9666A">
        <w:rPr>
          <w:rFonts w:ascii="Arial" w:hAnsi="Arial" w:cs="Arial"/>
        </w:rPr>
        <w:t>,</w:t>
      </w:r>
      <w:r w:rsidR="005D310C" w:rsidRPr="00C9666A">
        <w:rPr>
          <w:rFonts w:ascii="Arial" w:hAnsi="Arial" w:cs="Arial"/>
        </w:rPr>
        <w:t xml:space="preserve"> pero no se limita a la evaluación </w:t>
      </w:r>
      <w:r w:rsidRPr="00C9666A">
        <w:rPr>
          <w:rFonts w:ascii="Arial" w:hAnsi="Arial" w:cs="Arial"/>
        </w:rPr>
        <w:t>del grado de concentración del</w:t>
      </w:r>
      <w:r w:rsidR="00C5276C" w:rsidRPr="00C9666A">
        <w:rPr>
          <w:rFonts w:ascii="Arial" w:hAnsi="Arial" w:cs="Arial"/>
        </w:rPr>
        <w:t xml:space="preserve"> (de los)</w:t>
      </w:r>
      <w:r w:rsidRPr="00C9666A">
        <w:rPr>
          <w:rFonts w:ascii="Arial" w:hAnsi="Arial" w:cs="Arial"/>
        </w:rPr>
        <w:t xml:space="preserve"> mercado</w:t>
      </w:r>
      <w:r w:rsidR="00C5276C" w:rsidRPr="00C9666A">
        <w:rPr>
          <w:rFonts w:ascii="Arial" w:hAnsi="Arial" w:cs="Arial"/>
        </w:rPr>
        <w:t>(s)</w:t>
      </w:r>
      <w:r w:rsidRPr="00C9666A">
        <w:rPr>
          <w:rFonts w:ascii="Arial" w:hAnsi="Arial" w:cs="Arial"/>
        </w:rPr>
        <w:t xml:space="preserve"> o del</w:t>
      </w:r>
      <w:r w:rsidR="00C5276C" w:rsidRPr="00C9666A">
        <w:rPr>
          <w:rFonts w:ascii="Arial" w:hAnsi="Arial" w:cs="Arial"/>
        </w:rPr>
        <w:t xml:space="preserve"> (de los)</w:t>
      </w:r>
      <w:r w:rsidRPr="00C9666A">
        <w:rPr>
          <w:rFonts w:ascii="Arial" w:hAnsi="Arial" w:cs="Arial"/>
        </w:rPr>
        <w:t xml:space="preserve"> sector</w:t>
      </w:r>
      <w:r w:rsidR="00C5276C" w:rsidRPr="00C9666A">
        <w:rPr>
          <w:rFonts w:ascii="Arial" w:hAnsi="Arial" w:cs="Arial"/>
        </w:rPr>
        <w:t>(es) involucrado(s)</w:t>
      </w:r>
      <w:r w:rsidRPr="00C9666A">
        <w:rPr>
          <w:rFonts w:ascii="Arial" w:hAnsi="Arial" w:cs="Arial"/>
        </w:rPr>
        <w:t>.</w:t>
      </w:r>
    </w:p>
    <w:p w14:paraId="75B60AC1" w14:textId="77777777" w:rsidR="00407C48" w:rsidRPr="00C9666A" w:rsidRDefault="00C5276C" w:rsidP="00C9666A">
      <w:pPr>
        <w:spacing w:before="120" w:after="120"/>
        <w:jc w:val="both"/>
        <w:rPr>
          <w:rFonts w:ascii="Arial" w:hAnsi="Arial" w:cs="Arial"/>
        </w:rPr>
      </w:pPr>
      <w:r w:rsidRPr="00C9666A">
        <w:rPr>
          <w:rFonts w:ascii="Arial" w:hAnsi="Arial" w:cs="Arial"/>
        </w:rPr>
        <w:t>Además de la notificación de concentraciones, la LFCE prevé el análisis de los niveles de concentración, como parte de la determinación del poder sustancial de mercado,</w:t>
      </w:r>
      <w:r w:rsidRPr="00C9666A">
        <w:rPr>
          <w:rStyle w:val="Refdenotaalpie"/>
          <w:rFonts w:ascii="Arial" w:hAnsi="Arial" w:cs="Arial"/>
        </w:rPr>
        <w:footnoteReference w:id="4"/>
      </w:r>
      <w:r w:rsidRPr="00C9666A">
        <w:rPr>
          <w:rFonts w:ascii="Arial" w:hAnsi="Arial" w:cs="Arial"/>
        </w:rPr>
        <w:t xml:space="preserve"> en los procedimientos de investigación de prácticas monopólicas relativas y concentraciones ilícitas;</w:t>
      </w:r>
      <w:r w:rsidRPr="00C9666A">
        <w:rPr>
          <w:rStyle w:val="Refdenotaalpie"/>
          <w:rFonts w:ascii="Arial" w:hAnsi="Arial" w:cs="Arial"/>
        </w:rPr>
        <w:footnoteReference w:id="5"/>
      </w:r>
      <w:r w:rsidRPr="00C9666A">
        <w:rPr>
          <w:rFonts w:ascii="Arial" w:hAnsi="Arial" w:cs="Arial"/>
        </w:rPr>
        <w:t xml:space="preserve"> para determinar insumos esenciales o barreras a la competencia;</w:t>
      </w:r>
      <w:r w:rsidRPr="00C9666A">
        <w:rPr>
          <w:rStyle w:val="Refdenotaalpie"/>
          <w:rFonts w:ascii="Arial" w:hAnsi="Arial" w:cs="Arial"/>
        </w:rPr>
        <w:footnoteReference w:id="6"/>
      </w:r>
      <w:r w:rsidRPr="00C9666A">
        <w:rPr>
          <w:rFonts w:ascii="Arial" w:hAnsi="Arial" w:cs="Arial"/>
        </w:rPr>
        <w:t xml:space="preserve"> para resolver sobre condiciones de mercado,</w:t>
      </w:r>
      <w:r w:rsidRPr="00C9666A">
        <w:rPr>
          <w:rStyle w:val="Refdenotaalpie"/>
          <w:rFonts w:ascii="Arial" w:hAnsi="Arial" w:cs="Arial"/>
        </w:rPr>
        <w:footnoteReference w:id="7"/>
      </w:r>
      <w:r w:rsidRPr="00C9666A">
        <w:rPr>
          <w:rFonts w:ascii="Arial" w:hAnsi="Arial" w:cs="Arial"/>
        </w:rPr>
        <w:t xml:space="preserve"> y para emitir opiniones o resoluciones en el otorgamiento de concesiones, permisos y análogos</w:t>
      </w:r>
      <w:r w:rsidRPr="00C9666A">
        <w:rPr>
          <w:rStyle w:val="Refdenotaalpie"/>
          <w:rFonts w:ascii="Arial" w:hAnsi="Arial" w:cs="Arial"/>
        </w:rPr>
        <w:footnoteReference w:id="8"/>
      </w:r>
      <w:r w:rsidRPr="00C9666A">
        <w:rPr>
          <w:rFonts w:ascii="Arial" w:hAnsi="Arial" w:cs="Arial"/>
        </w:rPr>
        <w:t xml:space="preserve">. </w:t>
      </w:r>
      <w:r w:rsidR="00DB43FF" w:rsidRPr="00C9666A">
        <w:rPr>
          <w:rFonts w:ascii="Arial" w:hAnsi="Arial" w:cs="Arial"/>
        </w:rPr>
        <w:t xml:space="preserve">En estos procedimientos los niveles de análisis pueden realizarse en </w:t>
      </w:r>
      <w:r w:rsidR="00DB43FF" w:rsidRPr="00C9666A">
        <w:rPr>
          <w:rFonts w:ascii="Arial" w:hAnsi="Arial" w:cs="Arial"/>
          <w:i/>
        </w:rPr>
        <w:t xml:space="preserve">mercados relevantes </w:t>
      </w:r>
      <w:r w:rsidR="00DB43FF" w:rsidRPr="00C9666A">
        <w:rPr>
          <w:rFonts w:ascii="Arial" w:hAnsi="Arial" w:cs="Arial"/>
        </w:rPr>
        <w:t xml:space="preserve">y/o en </w:t>
      </w:r>
      <w:r w:rsidR="00DB43FF" w:rsidRPr="00C9666A">
        <w:rPr>
          <w:rFonts w:ascii="Arial" w:hAnsi="Arial" w:cs="Arial"/>
          <w:i/>
        </w:rPr>
        <w:t>mercados relacionados</w:t>
      </w:r>
      <w:r w:rsidR="000F0DDE" w:rsidRPr="00C9666A">
        <w:rPr>
          <w:rFonts w:ascii="Arial" w:hAnsi="Arial" w:cs="Arial"/>
        </w:rPr>
        <w:t>.</w:t>
      </w:r>
    </w:p>
    <w:p w14:paraId="63C7961B" w14:textId="460AEC7B" w:rsidR="00C5276C" w:rsidRDefault="00C5276C" w:rsidP="00C9666A">
      <w:pPr>
        <w:spacing w:before="120" w:after="120"/>
        <w:jc w:val="both"/>
        <w:rPr>
          <w:rFonts w:ascii="Arial" w:hAnsi="Arial" w:cs="Arial"/>
        </w:rPr>
      </w:pPr>
      <w:r w:rsidRPr="00C9666A">
        <w:rPr>
          <w:rFonts w:ascii="Arial" w:hAnsi="Arial" w:cs="Arial"/>
        </w:rPr>
        <w:t>El an</w:t>
      </w:r>
      <w:r w:rsidR="00DB43FF" w:rsidRPr="00C9666A">
        <w:rPr>
          <w:rFonts w:ascii="Arial" w:hAnsi="Arial" w:cs="Arial"/>
        </w:rPr>
        <w:t xml:space="preserve">álisis del grado de </w:t>
      </w:r>
      <w:r w:rsidRPr="00C9666A">
        <w:rPr>
          <w:rFonts w:ascii="Arial" w:hAnsi="Arial" w:cs="Arial"/>
        </w:rPr>
        <w:t xml:space="preserve">concentración, </w:t>
      </w:r>
      <w:r w:rsidR="00DB43FF" w:rsidRPr="00C9666A">
        <w:rPr>
          <w:rFonts w:ascii="Arial" w:hAnsi="Arial" w:cs="Arial"/>
        </w:rPr>
        <w:t xml:space="preserve">también puede utilizarse </w:t>
      </w:r>
      <w:r w:rsidRPr="00C9666A">
        <w:rPr>
          <w:rFonts w:ascii="Arial" w:hAnsi="Arial" w:cs="Arial"/>
        </w:rPr>
        <w:t xml:space="preserve">en la evaluación de solicitudes </w:t>
      </w:r>
      <w:r w:rsidR="00DB43FF" w:rsidRPr="00C9666A">
        <w:rPr>
          <w:rFonts w:ascii="Arial" w:hAnsi="Arial" w:cs="Arial"/>
        </w:rPr>
        <w:t>que se tramitan en términos de la LFTR para</w:t>
      </w:r>
      <w:r w:rsidR="005D310C" w:rsidRPr="00C9666A">
        <w:rPr>
          <w:rFonts w:ascii="Arial" w:hAnsi="Arial" w:cs="Arial"/>
        </w:rPr>
        <w:t xml:space="preserve"> otorgar derechos de uso del espectro radioeléctrico o la prestación de servicios </w:t>
      </w:r>
      <w:r w:rsidR="00A778BB" w:rsidRPr="00C9666A">
        <w:rPr>
          <w:rFonts w:ascii="Arial" w:hAnsi="Arial" w:cs="Arial"/>
        </w:rPr>
        <w:t xml:space="preserve">comerciales </w:t>
      </w:r>
      <w:r w:rsidR="005D310C" w:rsidRPr="00C9666A">
        <w:rPr>
          <w:rFonts w:ascii="Arial" w:hAnsi="Arial" w:cs="Arial"/>
        </w:rPr>
        <w:t xml:space="preserve">de telecomunicaciones y radiodifusión </w:t>
      </w:r>
      <w:r w:rsidR="00A778BB" w:rsidRPr="00C9666A">
        <w:rPr>
          <w:rFonts w:ascii="Arial" w:hAnsi="Arial" w:cs="Arial"/>
        </w:rPr>
        <w:t xml:space="preserve">en el territorio nacional </w:t>
      </w:r>
      <w:r w:rsidR="005D310C" w:rsidRPr="00C9666A">
        <w:rPr>
          <w:rFonts w:ascii="Arial" w:hAnsi="Arial" w:cs="Arial"/>
        </w:rPr>
        <w:t>a través de</w:t>
      </w:r>
      <w:r w:rsidR="00DB43FF" w:rsidRPr="00C9666A">
        <w:rPr>
          <w:rFonts w:ascii="Arial" w:hAnsi="Arial" w:cs="Arial"/>
        </w:rPr>
        <w:t>: (a) licitaciones públicas, cesiones de derechos</w:t>
      </w:r>
      <w:r w:rsidR="005D310C" w:rsidRPr="00C9666A">
        <w:rPr>
          <w:rFonts w:ascii="Arial" w:hAnsi="Arial" w:cs="Arial"/>
        </w:rPr>
        <w:t xml:space="preserve">, </w:t>
      </w:r>
      <w:r w:rsidR="00DB43FF" w:rsidRPr="00C9666A">
        <w:rPr>
          <w:rFonts w:ascii="Arial" w:hAnsi="Arial" w:cs="Arial"/>
        </w:rPr>
        <w:t xml:space="preserve">prórrogas </w:t>
      </w:r>
      <w:r w:rsidRPr="00C9666A">
        <w:rPr>
          <w:rFonts w:ascii="Arial" w:hAnsi="Arial" w:cs="Arial"/>
        </w:rPr>
        <w:t>de concesiones</w:t>
      </w:r>
      <w:r w:rsidR="00DB43FF" w:rsidRPr="00C9666A">
        <w:rPr>
          <w:rFonts w:ascii="Arial" w:hAnsi="Arial" w:cs="Arial"/>
        </w:rPr>
        <w:t xml:space="preserve">, permisos </w:t>
      </w:r>
      <w:r w:rsidR="00A778BB" w:rsidRPr="00C9666A">
        <w:rPr>
          <w:rFonts w:ascii="Arial" w:hAnsi="Arial" w:cs="Arial"/>
        </w:rPr>
        <w:t>o</w:t>
      </w:r>
      <w:r w:rsidR="00DB43FF" w:rsidRPr="00C9666A">
        <w:rPr>
          <w:rFonts w:ascii="Arial" w:hAnsi="Arial" w:cs="Arial"/>
        </w:rPr>
        <w:t xml:space="preserve"> autorizaciones; (b) venta de acciones, enajenaciones, desincorporaciones o movimientos en la estructura accionaria de Agentes Económicos concesionarios; y (c) arrendamiento o cambio de band</w:t>
      </w:r>
      <w:r w:rsidR="00A778BB" w:rsidRPr="00C9666A">
        <w:rPr>
          <w:rFonts w:ascii="Arial" w:hAnsi="Arial" w:cs="Arial"/>
        </w:rPr>
        <w:t>as</w:t>
      </w:r>
      <w:r w:rsidR="00DB43FF" w:rsidRPr="00C9666A">
        <w:rPr>
          <w:rFonts w:ascii="Arial" w:hAnsi="Arial" w:cs="Arial"/>
        </w:rPr>
        <w:t xml:space="preserve"> de frecuencias del espectro radioeléctrico.</w:t>
      </w:r>
    </w:p>
    <w:p w14:paraId="2C1F03C6" w14:textId="77777777" w:rsidR="00E57DED" w:rsidRPr="00C9666A" w:rsidRDefault="00E57DED" w:rsidP="00C9666A">
      <w:pPr>
        <w:spacing w:before="120" w:after="120"/>
        <w:jc w:val="both"/>
        <w:rPr>
          <w:rFonts w:ascii="Arial" w:hAnsi="Arial" w:cs="Arial"/>
        </w:rPr>
      </w:pPr>
    </w:p>
    <w:p w14:paraId="7AD67DB8" w14:textId="77777777" w:rsidR="00C262B6" w:rsidRPr="00C9666A" w:rsidRDefault="00C262B6" w:rsidP="00C9666A">
      <w:pPr>
        <w:pStyle w:val="Ttulo1"/>
        <w:numPr>
          <w:ilvl w:val="0"/>
          <w:numId w:val="38"/>
        </w:numPr>
        <w:spacing w:before="120" w:after="120"/>
        <w:rPr>
          <w:rFonts w:ascii="Arial" w:hAnsi="Arial" w:cs="Arial"/>
          <w:b/>
          <w:color w:val="auto"/>
          <w:sz w:val="22"/>
        </w:rPr>
      </w:pPr>
      <w:bookmarkStart w:id="2" w:name="_Toc432706530"/>
      <w:r w:rsidRPr="00C9666A">
        <w:rPr>
          <w:rFonts w:ascii="Arial" w:hAnsi="Arial" w:cs="Arial"/>
          <w:b/>
          <w:color w:val="auto"/>
          <w:sz w:val="22"/>
        </w:rPr>
        <w:t>Método</w:t>
      </w:r>
      <w:r w:rsidR="00021911" w:rsidRPr="00C9666A">
        <w:rPr>
          <w:rFonts w:ascii="Arial" w:hAnsi="Arial" w:cs="Arial"/>
          <w:b/>
          <w:color w:val="auto"/>
          <w:sz w:val="22"/>
        </w:rPr>
        <w:t>s</w:t>
      </w:r>
      <w:r w:rsidRPr="00C9666A">
        <w:rPr>
          <w:rFonts w:ascii="Arial" w:hAnsi="Arial" w:cs="Arial"/>
          <w:b/>
          <w:color w:val="auto"/>
          <w:sz w:val="22"/>
        </w:rPr>
        <w:t xml:space="preserve"> de cálculo para determinar el grado de concentración</w:t>
      </w:r>
      <w:bookmarkEnd w:id="2"/>
    </w:p>
    <w:p w14:paraId="0E4C4A50" w14:textId="77777777" w:rsidR="00021911" w:rsidRPr="00C9666A" w:rsidRDefault="00D2123F"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sz w:val="22"/>
          <w:szCs w:val="22"/>
        </w:rPr>
        <w:t>La</w:t>
      </w:r>
      <w:r w:rsidR="006A6217" w:rsidRPr="00C9666A">
        <w:rPr>
          <w:rFonts w:ascii="Arial" w:hAnsi="Arial" w:cs="Arial"/>
          <w:sz w:val="22"/>
          <w:szCs w:val="22"/>
        </w:rPr>
        <w:t xml:space="preserve">s autoridades en materia </w:t>
      </w:r>
      <w:r w:rsidRPr="00C9666A">
        <w:rPr>
          <w:rFonts w:ascii="Arial" w:hAnsi="Arial" w:cs="Arial"/>
          <w:sz w:val="22"/>
          <w:szCs w:val="22"/>
        </w:rPr>
        <w:t xml:space="preserve">de competencia económica </w:t>
      </w:r>
      <w:r w:rsidR="006A6217" w:rsidRPr="00C9666A">
        <w:rPr>
          <w:rFonts w:ascii="Arial" w:hAnsi="Arial" w:cs="Arial"/>
          <w:sz w:val="22"/>
          <w:szCs w:val="22"/>
        </w:rPr>
        <w:t xml:space="preserve">en el ámbito internacional </w:t>
      </w:r>
      <w:r w:rsidR="006A6217" w:rsidRPr="00C9666A">
        <w:rPr>
          <w:rFonts w:ascii="Arial" w:hAnsi="Arial" w:cs="Arial"/>
          <w:color w:val="auto"/>
          <w:sz w:val="22"/>
          <w:szCs w:val="22"/>
        </w:rPr>
        <w:t>utilizan</w:t>
      </w:r>
      <w:r w:rsidR="002D7C8D" w:rsidRPr="00C9666A">
        <w:rPr>
          <w:rFonts w:ascii="Arial" w:hAnsi="Arial" w:cs="Arial"/>
          <w:color w:val="auto"/>
          <w:sz w:val="22"/>
          <w:szCs w:val="22"/>
        </w:rPr>
        <w:t xml:space="preserve">, principalmente, </w:t>
      </w:r>
      <w:r w:rsidR="00C262B6" w:rsidRPr="00C9666A">
        <w:rPr>
          <w:rFonts w:ascii="Arial" w:hAnsi="Arial" w:cs="Arial"/>
          <w:color w:val="auto"/>
          <w:sz w:val="22"/>
          <w:szCs w:val="22"/>
        </w:rPr>
        <w:t>dos instrumentos para calcular el grado de concentración</w:t>
      </w:r>
      <w:r w:rsidRPr="00C9666A">
        <w:rPr>
          <w:rFonts w:ascii="Arial" w:hAnsi="Arial" w:cs="Arial"/>
          <w:color w:val="auto"/>
          <w:sz w:val="22"/>
          <w:szCs w:val="22"/>
        </w:rPr>
        <w:t>: 1) participaciones e 2) índices de concentración</w:t>
      </w:r>
      <w:r w:rsidR="00C554F0" w:rsidRPr="00C9666A">
        <w:rPr>
          <w:rFonts w:ascii="Arial" w:hAnsi="Arial" w:cs="Arial"/>
          <w:color w:val="auto"/>
          <w:sz w:val="22"/>
          <w:szCs w:val="22"/>
        </w:rPr>
        <w:t xml:space="preserve">. </w:t>
      </w:r>
    </w:p>
    <w:p w14:paraId="5973B188" w14:textId="36A79BB9" w:rsidR="00D2123F" w:rsidRPr="00C9666A" w:rsidRDefault="00C262B6"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 xml:space="preserve">Las </w:t>
      </w:r>
      <w:r w:rsidRPr="00C9666A">
        <w:rPr>
          <w:rFonts w:ascii="Arial" w:hAnsi="Arial" w:cs="Arial"/>
          <w:b/>
          <w:color w:val="auto"/>
          <w:sz w:val="22"/>
          <w:szCs w:val="22"/>
        </w:rPr>
        <w:t xml:space="preserve">participaciones </w:t>
      </w:r>
      <w:r w:rsidR="00441962" w:rsidRPr="00C9666A">
        <w:rPr>
          <w:rFonts w:ascii="Arial" w:hAnsi="Arial" w:cs="Arial"/>
          <w:color w:val="auto"/>
          <w:sz w:val="22"/>
          <w:szCs w:val="22"/>
        </w:rPr>
        <w:t>constituyen un indicio</w:t>
      </w:r>
      <w:r w:rsidRPr="00C9666A">
        <w:rPr>
          <w:rFonts w:ascii="Arial" w:hAnsi="Arial" w:cs="Arial"/>
          <w:color w:val="auto"/>
          <w:sz w:val="22"/>
          <w:szCs w:val="22"/>
        </w:rPr>
        <w:t xml:space="preserve"> para identificar a los competidores y el posicionamiento que éstos tienen en los mercados</w:t>
      </w:r>
      <w:r w:rsidR="00A778BB" w:rsidRPr="00C9666A">
        <w:rPr>
          <w:rFonts w:ascii="Arial" w:hAnsi="Arial" w:cs="Arial"/>
          <w:color w:val="auto"/>
          <w:sz w:val="22"/>
          <w:szCs w:val="22"/>
        </w:rPr>
        <w:t xml:space="preserve"> o servicios analizados</w:t>
      </w:r>
      <w:r w:rsidR="00E57DED">
        <w:rPr>
          <w:rFonts w:ascii="Arial" w:hAnsi="Arial" w:cs="Arial"/>
          <w:color w:val="auto"/>
          <w:sz w:val="22"/>
          <w:szCs w:val="22"/>
        </w:rPr>
        <w:t xml:space="preserve">. </w:t>
      </w:r>
    </w:p>
    <w:p w14:paraId="466E87F2" w14:textId="77777777" w:rsidR="00C262B6" w:rsidRPr="00C9666A" w:rsidRDefault="00C262B6"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 xml:space="preserve">En segundo lugar, los </w:t>
      </w:r>
      <w:r w:rsidRPr="00C9666A">
        <w:rPr>
          <w:rFonts w:ascii="Arial" w:hAnsi="Arial" w:cs="Arial"/>
          <w:b/>
          <w:color w:val="auto"/>
          <w:sz w:val="22"/>
          <w:szCs w:val="22"/>
        </w:rPr>
        <w:t>índices de concentración</w:t>
      </w:r>
      <w:r w:rsidRPr="00C9666A">
        <w:rPr>
          <w:rFonts w:ascii="Arial" w:hAnsi="Arial" w:cs="Arial"/>
          <w:color w:val="auto"/>
          <w:sz w:val="22"/>
          <w:szCs w:val="22"/>
        </w:rPr>
        <w:t xml:space="preserve"> se han convertido en una herramienta importante </w:t>
      </w:r>
      <w:r w:rsidR="006712EF" w:rsidRPr="00C9666A">
        <w:rPr>
          <w:rFonts w:ascii="Arial" w:hAnsi="Arial" w:cs="Arial"/>
          <w:color w:val="auto"/>
          <w:sz w:val="22"/>
          <w:szCs w:val="22"/>
        </w:rPr>
        <w:t>que permite</w:t>
      </w:r>
      <w:r w:rsidRPr="00C9666A">
        <w:rPr>
          <w:rFonts w:ascii="Arial" w:hAnsi="Arial" w:cs="Arial"/>
          <w:color w:val="auto"/>
          <w:sz w:val="22"/>
          <w:szCs w:val="22"/>
        </w:rPr>
        <w:t xml:space="preserve"> contar con una medición formal de los niveles de concentración. Los índices de concentración tienen como objetivo fundamental cuantificar el grado de concentración existente en un</w:t>
      </w:r>
      <w:r w:rsidR="00441962" w:rsidRPr="00C9666A">
        <w:rPr>
          <w:rFonts w:ascii="Arial" w:hAnsi="Arial" w:cs="Arial"/>
          <w:color w:val="auto"/>
          <w:sz w:val="22"/>
          <w:szCs w:val="22"/>
        </w:rPr>
        <w:t xml:space="preserve">a actividad económica </w:t>
      </w:r>
      <w:r w:rsidR="0096026B" w:rsidRPr="00C9666A">
        <w:rPr>
          <w:rFonts w:ascii="Arial" w:hAnsi="Arial" w:cs="Arial"/>
          <w:color w:val="auto"/>
          <w:sz w:val="22"/>
          <w:szCs w:val="22"/>
        </w:rPr>
        <w:t xml:space="preserve">en un ámbito o alcance </w:t>
      </w:r>
      <w:r w:rsidR="00441962" w:rsidRPr="00C9666A">
        <w:rPr>
          <w:rFonts w:ascii="Arial" w:hAnsi="Arial" w:cs="Arial"/>
          <w:color w:val="auto"/>
          <w:sz w:val="22"/>
          <w:szCs w:val="22"/>
        </w:rPr>
        <w:t>determinad</w:t>
      </w:r>
      <w:r w:rsidR="0096026B" w:rsidRPr="00C9666A">
        <w:rPr>
          <w:rFonts w:ascii="Arial" w:hAnsi="Arial" w:cs="Arial"/>
          <w:color w:val="auto"/>
          <w:sz w:val="22"/>
          <w:szCs w:val="22"/>
        </w:rPr>
        <w:t>o</w:t>
      </w:r>
      <w:r w:rsidR="00441962" w:rsidRPr="00C9666A">
        <w:rPr>
          <w:rFonts w:ascii="Arial" w:hAnsi="Arial" w:cs="Arial"/>
          <w:color w:val="auto"/>
          <w:sz w:val="22"/>
          <w:szCs w:val="22"/>
        </w:rPr>
        <w:t>, como un</w:t>
      </w:r>
      <w:r w:rsidRPr="00C9666A">
        <w:rPr>
          <w:rFonts w:ascii="Arial" w:hAnsi="Arial" w:cs="Arial"/>
          <w:color w:val="auto"/>
          <w:sz w:val="22"/>
          <w:szCs w:val="22"/>
        </w:rPr>
        <w:t xml:space="preserve"> mercado</w:t>
      </w:r>
      <w:r w:rsidR="00441962" w:rsidRPr="00C9666A">
        <w:rPr>
          <w:rFonts w:ascii="Arial" w:hAnsi="Arial" w:cs="Arial"/>
          <w:color w:val="auto"/>
          <w:sz w:val="22"/>
          <w:szCs w:val="22"/>
        </w:rPr>
        <w:t>,</w:t>
      </w:r>
      <w:r w:rsidR="00A778BB" w:rsidRPr="00C9666A">
        <w:rPr>
          <w:rFonts w:ascii="Arial" w:hAnsi="Arial" w:cs="Arial"/>
          <w:color w:val="auto"/>
          <w:sz w:val="22"/>
          <w:szCs w:val="22"/>
        </w:rPr>
        <w:t xml:space="preserve"> un servicio,</w:t>
      </w:r>
      <w:r w:rsidR="00441962" w:rsidRPr="00C9666A">
        <w:rPr>
          <w:rFonts w:ascii="Arial" w:hAnsi="Arial" w:cs="Arial"/>
          <w:color w:val="auto"/>
          <w:sz w:val="22"/>
          <w:szCs w:val="22"/>
        </w:rPr>
        <w:t xml:space="preserve"> una industria o un sector.</w:t>
      </w:r>
      <w:r w:rsidRPr="00C9666A">
        <w:rPr>
          <w:rFonts w:ascii="Arial" w:hAnsi="Arial" w:cs="Arial"/>
          <w:color w:val="auto"/>
          <w:sz w:val="22"/>
          <w:szCs w:val="22"/>
        </w:rPr>
        <w:t xml:space="preserve"> </w:t>
      </w:r>
      <w:r w:rsidR="00441962" w:rsidRPr="00C9666A">
        <w:rPr>
          <w:rFonts w:ascii="Arial" w:hAnsi="Arial" w:cs="Arial"/>
          <w:color w:val="auto"/>
          <w:sz w:val="22"/>
          <w:szCs w:val="22"/>
        </w:rPr>
        <w:t>E</w:t>
      </w:r>
      <w:r w:rsidRPr="00C9666A">
        <w:rPr>
          <w:rFonts w:ascii="Arial" w:hAnsi="Arial" w:cs="Arial"/>
          <w:color w:val="auto"/>
          <w:sz w:val="22"/>
          <w:szCs w:val="22"/>
        </w:rPr>
        <w:t xml:space="preserve">s decir, </w:t>
      </w:r>
      <w:r w:rsidR="00441962" w:rsidRPr="00C9666A">
        <w:rPr>
          <w:rFonts w:ascii="Arial" w:hAnsi="Arial" w:cs="Arial"/>
          <w:color w:val="auto"/>
          <w:sz w:val="22"/>
          <w:szCs w:val="22"/>
        </w:rPr>
        <w:t xml:space="preserve">miden </w:t>
      </w:r>
      <w:r w:rsidRPr="00C9666A">
        <w:rPr>
          <w:rFonts w:ascii="Arial" w:hAnsi="Arial" w:cs="Arial"/>
          <w:color w:val="auto"/>
          <w:sz w:val="22"/>
          <w:szCs w:val="22"/>
        </w:rPr>
        <w:t xml:space="preserve">la forma en que se reparte o distribuye una </w:t>
      </w:r>
      <w:r w:rsidR="00D2123F" w:rsidRPr="00C9666A">
        <w:rPr>
          <w:rFonts w:ascii="Arial" w:hAnsi="Arial" w:cs="Arial"/>
          <w:color w:val="auto"/>
          <w:sz w:val="22"/>
          <w:szCs w:val="22"/>
        </w:rPr>
        <w:t>variable</w:t>
      </w:r>
      <w:r w:rsidRPr="00C9666A">
        <w:rPr>
          <w:rFonts w:ascii="Arial" w:hAnsi="Arial" w:cs="Arial"/>
          <w:color w:val="auto"/>
          <w:sz w:val="22"/>
          <w:szCs w:val="22"/>
        </w:rPr>
        <w:t xml:space="preserve"> económica (ventas, ingreso</w:t>
      </w:r>
      <w:r w:rsidR="00D2123F" w:rsidRPr="00C9666A">
        <w:rPr>
          <w:rFonts w:ascii="Arial" w:hAnsi="Arial" w:cs="Arial"/>
          <w:color w:val="auto"/>
          <w:sz w:val="22"/>
          <w:szCs w:val="22"/>
        </w:rPr>
        <w:t>s</w:t>
      </w:r>
      <w:r w:rsidRPr="00C9666A">
        <w:rPr>
          <w:rFonts w:ascii="Arial" w:hAnsi="Arial" w:cs="Arial"/>
          <w:color w:val="auto"/>
          <w:sz w:val="22"/>
          <w:szCs w:val="22"/>
        </w:rPr>
        <w:t>, capacidad</w:t>
      </w:r>
      <w:r w:rsidR="00A778BB" w:rsidRPr="00C9666A">
        <w:rPr>
          <w:rFonts w:ascii="Arial" w:hAnsi="Arial" w:cs="Arial"/>
          <w:color w:val="auto"/>
          <w:sz w:val="22"/>
          <w:szCs w:val="22"/>
        </w:rPr>
        <w:t xml:space="preserve"> u otros</w:t>
      </w:r>
      <w:r w:rsidRPr="00C9666A">
        <w:rPr>
          <w:rFonts w:ascii="Arial" w:hAnsi="Arial" w:cs="Arial"/>
          <w:color w:val="auto"/>
          <w:sz w:val="22"/>
          <w:szCs w:val="22"/>
        </w:rPr>
        <w:t xml:space="preserve">) entre un número determinado de competidores. </w:t>
      </w:r>
    </w:p>
    <w:p w14:paraId="19622B14" w14:textId="77777777" w:rsidR="006A39DC" w:rsidRPr="00C9666A" w:rsidRDefault="006A39DC" w:rsidP="00C9666A">
      <w:pPr>
        <w:pStyle w:val="Default"/>
        <w:spacing w:before="120" w:after="120" w:line="276" w:lineRule="auto"/>
        <w:ind w:right="-1"/>
        <w:jc w:val="both"/>
        <w:rPr>
          <w:rFonts w:ascii="Arial" w:hAnsi="Arial" w:cs="Arial"/>
          <w:color w:val="auto"/>
          <w:sz w:val="22"/>
          <w:szCs w:val="22"/>
        </w:rPr>
      </w:pPr>
    </w:p>
    <w:p w14:paraId="661B61C6" w14:textId="77777777" w:rsidR="00C262B6" w:rsidRPr="00C9666A" w:rsidRDefault="00C262B6"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lastRenderedPageBreak/>
        <w:t xml:space="preserve">Una de las medidas </w:t>
      </w:r>
      <w:r w:rsidR="00021911" w:rsidRPr="00C9666A">
        <w:rPr>
          <w:rFonts w:ascii="Arial" w:hAnsi="Arial" w:cs="Arial"/>
          <w:color w:val="auto"/>
          <w:sz w:val="22"/>
          <w:szCs w:val="22"/>
        </w:rPr>
        <w:t xml:space="preserve">de concentración </w:t>
      </w:r>
      <w:r w:rsidRPr="00C9666A">
        <w:rPr>
          <w:rFonts w:ascii="Arial" w:hAnsi="Arial" w:cs="Arial"/>
          <w:color w:val="auto"/>
          <w:sz w:val="22"/>
          <w:szCs w:val="22"/>
        </w:rPr>
        <w:t xml:space="preserve">más utilizadas en competencia económica es el </w:t>
      </w:r>
      <w:r w:rsidRPr="00C9666A">
        <w:rPr>
          <w:rFonts w:ascii="Arial" w:hAnsi="Arial" w:cs="Arial"/>
          <w:b/>
          <w:color w:val="auto"/>
          <w:sz w:val="22"/>
          <w:szCs w:val="22"/>
        </w:rPr>
        <w:t xml:space="preserve">Índice de </w:t>
      </w:r>
      <w:proofErr w:type="spellStart"/>
      <w:r w:rsidRPr="00C9666A">
        <w:rPr>
          <w:rFonts w:ascii="Arial" w:hAnsi="Arial" w:cs="Arial"/>
          <w:b/>
          <w:color w:val="auto"/>
          <w:sz w:val="22"/>
          <w:szCs w:val="22"/>
        </w:rPr>
        <w:t>Herfindahl-Hirschman</w:t>
      </w:r>
      <w:proofErr w:type="spellEnd"/>
      <w:r w:rsidR="00441962" w:rsidRPr="00C9666A">
        <w:rPr>
          <w:rFonts w:ascii="Arial" w:hAnsi="Arial" w:cs="Arial"/>
          <w:b/>
          <w:color w:val="auto"/>
          <w:sz w:val="22"/>
          <w:szCs w:val="22"/>
        </w:rPr>
        <w:t xml:space="preserve"> (IHH)</w:t>
      </w:r>
      <w:r w:rsidRPr="00C9666A">
        <w:rPr>
          <w:rFonts w:ascii="Arial" w:hAnsi="Arial" w:cs="Arial"/>
          <w:color w:val="auto"/>
          <w:sz w:val="22"/>
          <w:szCs w:val="22"/>
        </w:rPr>
        <w:t xml:space="preserve">. Este índice se obtiene a partir de la suma de las participaciones, previamente elevadas al cuadrado, de cada uno de los </w:t>
      </w:r>
      <w:r w:rsidR="00F00D5D" w:rsidRPr="00C9666A">
        <w:rPr>
          <w:rFonts w:ascii="Arial" w:hAnsi="Arial" w:cs="Arial"/>
          <w:color w:val="auto"/>
          <w:sz w:val="22"/>
          <w:szCs w:val="22"/>
        </w:rPr>
        <w:t>agentes económicos</w:t>
      </w:r>
      <w:r w:rsidRPr="00C9666A">
        <w:rPr>
          <w:rFonts w:ascii="Arial" w:hAnsi="Arial" w:cs="Arial"/>
          <w:color w:val="auto"/>
          <w:sz w:val="22"/>
          <w:szCs w:val="22"/>
        </w:rPr>
        <w:t xml:space="preserve"> en el mercado.</w:t>
      </w:r>
      <w:r w:rsidR="002D7C8D" w:rsidRPr="00C9666A">
        <w:rPr>
          <w:rStyle w:val="Refdenotaalpie"/>
          <w:rFonts w:ascii="Arial" w:hAnsi="Arial" w:cs="Arial"/>
          <w:color w:val="auto"/>
          <w:sz w:val="22"/>
          <w:szCs w:val="22"/>
        </w:rPr>
        <w:footnoteReference w:id="9"/>
      </w:r>
    </w:p>
    <w:p w14:paraId="0E3F85A9" w14:textId="43DA63AF" w:rsidR="00441962" w:rsidRPr="00C9666A" w:rsidRDefault="00BC42BE" w:rsidP="00C9666A">
      <w:pPr>
        <w:shd w:val="clear" w:color="auto" w:fill="FFFFFF"/>
        <w:spacing w:before="120" w:after="120"/>
        <w:ind w:right="-1" w:firstLine="288"/>
        <w:jc w:val="center"/>
        <w:rPr>
          <w:rFonts w:ascii="Arial" w:eastAsia="Times New Roman" w:hAnsi="Arial" w:cs="Arial"/>
          <w:color w:val="000000"/>
          <w:lang w:eastAsia="es-MX"/>
        </w:rPr>
      </w:pPr>
      <m:oMathPara>
        <m:oMath>
          <m:r>
            <w:rPr>
              <w:rFonts w:ascii="Cambria Math" w:eastAsia="Times New Roman" w:hAnsi="Cambria Math" w:cs="Arial"/>
              <w:color w:val="000000"/>
              <w:lang w:eastAsia="es-MX"/>
            </w:rPr>
            <m:t xml:space="preserve">IHH= </m:t>
          </m:r>
          <m:nary>
            <m:naryPr>
              <m:chr m:val="∑"/>
              <m:limLoc m:val="undOvr"/>
              <m:ctrlPr>
                <w:rPr>
                  <w:rFonts w:ascii="Cambria Math" w:eastAsia="Times New Roman" w:hAnsi="Cambria Math" w:cs="Arial"/>
                  <w:i/>
                  <w:color w:val="000000"/>
                  <w:lang w:eastAsia="es-MX"/>
                </w:rPr>
              </m:ctrlPr>
            </m:naryPr>
            <m:sub>
              <m:r>
                <w:rPr>
                  <w:rFonts w:ascii="Cambria Math" w:eastAsia="Times New Roman" w:hAnsi="Cambria Math" w:cs="Arial"/>
                  <w:color w:val="000000"/>
                  <w:lang w:eastAsia="es-MX"/>
                </w:rPr>
                <m:t>i=1</m:t>
              </m:r>
            </m:sub>
            <m:sup>
              <m:r>
                <w:rPr>
                  <w:rFonts w:ascii="Cambria Math" w:eastAsia="Times New Roman" w:hAnsi="Cambria Math" w:cs="Arial"/>
                  <w:color w:val="000000"/>
                  <w:lang w:eastAsia="es-MX"/>
                </w:rPr>
                <m:t>N</m:t>
              </m:r>
            </m:sup>
            <m:e>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up>
                  <m:r>
                    <w:rPr>
                      <w:rFonts w:ascii="Cambria Math" w:eastAsia="Times New Roman" w:hAnsi="Cambria Math" w:cs="Arial"/>
                      <w:color w:val="000000"/>
                      <w:lang w:eastAsia="es-MX"/>
                    </w:rPr>
                    <m:t>2</m:t>
                  </m:r>
                </m:sup>
              </m:sSubSup>
            </m:e>
          </m:nary>
        </m:oMath>
      </m:oMathPara>
    </w:p>
    <w:p w14:paraId="6BB985C7" w14:textId="77777777" w:rsidR="00DB43FF" w:rsidRPr="00C9666A" w:rsidRDefault="00441962" w:rsidP="00C9666A">
      <w:pPr>
        <w:pStyle w:val="Default"/>
        <w:keepNext/>
        <w:spacing w:before="120" w:after="120" w:line="276" w:lineRule="auto"/>
        <w:jc w:val="both"/>
        <w:rPr>
          <w:rFonts w:ascii="Arial" w:hAnsi="Arial" w:cs="Arial"/>
          <w:color w:val="auto"/>
          <w:sz w:val="22"/>
          <w:szCs w:val="22"/>
        </w:rPr>
      </w:pPr>
      <w:r w:rsidRPr="00C9666A">
        <w:rPr>
          <w:rFonts w:ascii="Arial" w:hAnsi="Arial" w:cs="Arial"/>
          <w:color w:val="auto"/>
          <w:sz w:val="22"/>
          <w:szCs w:val="22"/>
        </w:rPr>
        <w:t>Donde</w:t>
      </w:r>
      <w:r w:rsidR="00DB43FF" w:rsidRPr="00C9666A">
        <w:rPr>
          <w:rFonts w:ascii="Arial" w:hAnsi="Arial" w:cs="Arial"/>
          <w:color w:val="auto"/>
          <w:sz w:val="22"/>
          <w:szCs w:val="22"/>
        </w:rPr>
        <w:t>:</w:t>
      </w:r>
    </w:p>
    <w:p w14:paraId="474E17E2" w14:textId="77777777" w:rsidR="00986DA3" w:rsidRPr="00C9666A" w:rsidRDefault="00B35551" w:rsidP="00C9666A">
      <w:pPr>
        <w:pStyle w:val="Default"/>
        <w:spacing w:before="120" w:after="120" w:line="276" w:lineRule="auto"/>
        <w:ind w:left="708" w:right="-1"/>
        <w:jc w:val="both"/>
        <w:rPr>
          <w:rFonts w:ascii="Arial" w:eastAsia="Times New Roman" w:hAnsi="Arial" w:cs="Arial"/>
          <w:sz w:val="22"/>
          <w:szCs w:val="22"/>
          <w:lang w:eastAsia="es-MX"/>
        </w:rPr>
      </w:pPr>
      <m:oMath>
        <m:sSub>
          <m:sSubPr>
            <m:ctrlPr>
              <w:rPr>
                <w:rFonts w:ascii="Cambria Math" w:eastAsia="Times New Roman" w:hAnsi="Cambria Math" w:cs="Arial"/>
                <w:i/>
                <w:sz w:val="22"/>
                <w:szCs w:val="22"/>
                <w:lang w:eastAsia="es-MX"/>
              </w:rPr>
            </m:ctrlPr>
          </m:sSubPr>
          <m:e>
            <m:r>
              <w:rPr>
                <w:rFonts w:ascii="Cambria Math" w:eastAsia="Times New Roman" w:hAnsi="Cambria Math" w:cs="Arial"/>
                <w:sz w:val="22"/>
                <w:szCs w:val="22"/>
                <w:lang w:eastAsia="es-MX"/>
              </w:rPr>
              <m:t>α</m:t>
            </m:r>
          </m:e>
          <m:sub>
            <m:r>
              <w:rPr>
                <w:rFonts w:ascii="Cambria Math" w:eastAsia="Times New Roman" w:hAnsi="Cambria Math" w:cs="Arial"/>
                <w:sz w:val="22"/>
                <w:szCs w:val="22"/>
                <w:lang w:eastAsia="es-MX"/>
              </w:rPr>
              <m:t>i</m:t>
            </m:r>
          </m:sub>
        </m:sSub>
      </m:oMath>
      <w:r w:rsidR="00441962" w:rsidRPr="00C9666A">
        <w:rPr>
          <w:rFonts w:ascii="Arial" w:eastAsia="Times New Roman" w:hAnsi="Arial" w:cs="Arial"/>
          <w:sz w:val="22"/>
          <w:szCs w:val="22"/>
          <w:lang w:eastAsia="es-MX"/>
        </w:rPr>
        <w:t xml:space="preserve">, es la </w:t>
      </w:r>
      <w:r w:rsidR="00441962" w:rsidRPr="00C9666A">
        <w:rPr>
          <w:rFonts w:ascii="Arial" w:eastAsia="Times New Roman" w:hAnsi="Arial" w:cs="Arial"/>
          <w:b/>
          <w:sz w:val="22"/>
          <w:szCs w:val="22"/>
          <w:lang w:eastAsia="es-MX"/>
        </w:rPr>
        <w:t xml:space="preserve">participación </w:t>
      </w:r>
      <w:r w:rsidR="00441962" w:rsidRPr="00C9666A">
        <w:rPr>
          <w:rFonts w:ascii="Arial" w:eastAsia="Times New Roman" w:hAnsi="Arial" w:cs="Arial"/>
          <w:sz w:val="22"/>
          <w:szCs w:val="22"/>
          <w:lang w:eastAsia="es-MX"/>
        </w:rPr>
        <w:t xml:space="preserve">del </w:t>
      </w:r>
      <m:oMath>
        <m:r>
          <w:rPr>
            <w:rFonts w:ascii="Cambria Math" w:eastAsia="Times New Roman" w:hAnsi="Cambria Math" w:cs="Arial"/>
            <w:sz w:val="22"/>
            <w:szCs w:val="22"/>
            <w:lang w:eastAsia="es-MX"/>
          </w:rPr>
          <m:t>i</m:t>
        </m:r>
      </m:oMath>
      <w:r w:rsidR="00441962" w:rsidRPr="00C9666A">
        <w:rPr>
          <w:rFonts w:ascii="Arial" w:eastAsia="Times New Roman" w:hAnsi="Arial" w:cs="Arial"/>
          <w:sz w:val="22"/>
          <w:szCs w:val="22"/>
          <w:lang w:eastAsia="es-MX"/>
        </w:rPr>
        <w:t>-ésimo agente económico</w:t>
      </w:r>
      <w:r w:rsidR="00193362" w:rsidRPr="00C9666A">
        <w:rPr>
          <w:rFonts w:ascii="Arial" w:eastAsia="Times New Roman" w:hAnsi="Arial" w:cs="Arial"/>
          <w:sz w:val="22"/>
          <w:szCs w:val="22"/>
          <w:lang w:eastAsia="es-MX"/>
        </w:rPr>
        <w:t xml:space="preserve"> y toma valores entre cero y cien</w:t>
      </w:r>
      <w:r w:rsidR="00DB43FF" w:rsidRPr="00C9666A">
        <w:rPr>
          <w:rFonts w:ascii="Arial" w:eastAsia="Times New Roman" w:hAnsi="Arial" w:cs="Arial"/>
          <w:sz w:val="22"/>
          <w:szCs w:val="22"/>
          <w:lang w:eastAsia="es-MX"/>
        </w:rPr>
        <w:t xml:space="preserve">, y </w:t>
      </w:r>
    </w:p>
    <w:p w14:paraId="19F704DB" w14:textId="0F5AEEA8" w:rsidR="00DB43FF" w:rsidRPr="00C9666A" w:rsidRDefault="00DB43FF" w:rsidP="00C9666A">
      <w:pPr>
        <w:pStyle w:val="Default"/>
        <w:spacing w:before="120" w:after="120" w:line="276" w:lineRule="auto"/>
        <w:ind w:left="708" w:right="-1"/>
        <w:jc w:val="both"/>
        <w:rPr>
          <w:rFonts w:ascii="Arial" w:hAnsi="Arial" w:cs="Arial"/>
          <w:color w:val="auto"/>
          <w:sz w:val="22"/>
          <w:szCs w:val="22"/>
        </w:rPr>
      </w:pPr>
      <w:r w:rsidRPr="00C9666A">
        <w:rPr>
          <w:rFonts w:ascii="Arial" w:eastAsia="Times New Roman" w:hAnsi="Arial" w:cs="Arial"/>
          <w:sz w:val="22"/>
          <w:szCs w:val="22"/>
          <w:lang w:eastAsia="es-MX"/>
        </w:rPr>
        <w:t>N es el número de participantes identificados en la actividad económica que se encuentra en análisis (mercado relevante, mercado</w:t>
      </w:r>
      <w:r w:rsidR="00AF38D1">
        <w:rPr>
          <w:rFonts w:ascii="Arial" w:eastAsia="Times New Roman" w:hAnsi="Arial" w:cs="Arial"/>
          <w:sz w:val="22"/>
          <w:szCs w:val="22"/>
          <w:lang w:eastAsia="es-MX"/>
        </w:rPr>
        <w:t xml:space="preserve"> relacionado</w:t>
      </w:r>
      <w:r w:rsidRPr="00C9666A">
        <w:rPr>
          <w:rFonts w:ascii="Arial" w:eastAsia="Times New Roman" w:hAnsi="Arial" w:cs="Arial"/>
          <w:sz w:val="22"/>
          <w:szCs w:val="22"/>
          <w:lang w:eastAsia="es-MX"/>
        </w:rPr>
        <w:t xml:space="preserve">, servicio o sector). </w:t>
      </w:r>
    </w:p>
    <w:p w14:paraId="7CE795A6" w14:textId="1963CB80" w:rsidR="00986DA3" w:rsidRPr="00C9666A" w:rsidRDefault="00CB1488"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Existen o</w:t>
      </w:r>
      <w:r w:rsidR="00CE052C" w:rsidRPr="00C9666A">
        <w:rPr>
          <w:rFonts w:ascii="Arial" w:hAnsi="Arial" w:cs="Arial"/>
          <w:color w:val="auto"/>
          <w:sz w:val="22"/>
          <w:szCs w:val="22"/>
        </w:rPr>
        <w:t>tr</w:t>
      </w:r>
      <w:r w:rsidR="00AD5478" w:rsidRPr="00C9666A">
        <w:rPr>
          <w:rFonts w:ascii="Arial" w:hAnsi="Arial" w:cs="Arial"/>
          <w:color w:val="auto"/>
          <w:sz w:val="22"/>
          <w:szCs w:val="22"/>
        </w:rPr>
        <w:t>os</w:t>
      </w:r>
      <w:r w:rsidR="00CE052C" w:rsidRPr="00C9666A">
        <w:rPr>
          <w:rFonts w:ascii="Arial" w:hAnsi="Arial" w:cs="Arial"/>
          <w:color w:val="auto"/>
          <w:sz w:val="22"/>
          <w:szCs w:val="22"/>
        </w:rPr>
        <w:t xml:space="preserve"> </w:t>
      </w:r>
      <w:r w:rsidR="00AD5478" w:rsidRPr="00C9666A">
        <w:rPr>
          <w:rFonts w:ascii="Arial" w:hAnsi="Arial" w:cs="Arial"/>
          <w:color w:val="auto"/>
          <w:sz w:val="22"/>
          <w:szCs w:val="22"/>
        </w:rPr>
        <w:t>indicadores de concentración</w:t>
      </w:r>
      <w:r w:rsidRPr="00C9666A">
        <w:rPr>
          <w:rFonts w:ascii="Arial" w:hAnsi="Arial" w:cs="Arial"/>
          <w:color w:val="auto"/>
          <w:sz w:val="22"/>
          <w:szCs w:val="22"/>
        </w:rPr>
        <w:t>, como</w:t>
      </w:r>
      <w:r w:rsidR="00AE04C9" w:rsidRPr="00C9666A">
        <w:rPr>
          <w:rFonts w:ascii="Arial" w:hAnsi="Arial" w:cs="Arial"/>
          <w:color w:val="auto"/>
          <w:sz w:val="22"/>
          <w:szCs w:val="22"/>
        </w:rPr>
        <w:t xml:space="preserve"> la</w:t>
      </w:r>
      <w:r w:rsidR="00986DA3" w:rsidRPr="00C9666A">
        <w:rPr>
          <w:rFonts w:ascii="Arial" w:hAnsi="Arial" w:cs="Arial"/>
          <w:color w:val="auto"/>
          <w:sz w:val="22"/>
          <w:szCs w:val="22"/>
        </w:rPr>
        <w:t>s</w:t>
      </w:r>
      <w:r w:rsidR="00CE052C" w:rsidRPr="00C9666A">
        <w:rPr>
          <w:rFonts w:ascii="Arial" w:hAnsi="Arial" w:cs="Arial"/>
          <w:color w:val="auto"/>
          <w:sz w:val="22"/>
          <w:szCs w:val="22"/>
        </w:rPr>
        <w:t xml:space="preserve"> </w:t>
      </w:r>
      <w:r w:rsidR="00AE04C9" w:rsidRPr="00C9666A">
        <w:rPr>
          <w:rFonts w:ascii="Arial" w:hAnsi="Arial" w:cs="Arial"/>
          <w:b/>
          <w:color w:val="auto"/>
          <w:sz w:val="22"/>
          <w:szCs w:val="22"/>
        </w:rPr>
        <w:t>proporciones</w:t>
      </w:r>
      <w:r w:rsidR="00CE052C" w:rsidRPr="00C9666A">
        <w:rPr>
          <w:rFonts w:ascii="Arial" w:hAnsi="Arial" w:cs="Arial"/>
          <w:b/>
          <w:color w:val="auto"/>
          <w:sz w:val="22"/>
          <w:szCs w:val="22"/>
        </w:rPr>
        <w:t xml:space="preserve"> de concentración</w:t>
      </w:r>
      <w:r w:rsidR="00986DA3" w:rsidRPr="00C9666A">
        <w:rPr>
          <w:rFonts w:ascii="Arial" w:hAnsi="Arial" w:cs="Arial"/>
          <w:b/>
          <w:color w:val="auto"/>
          <w:sz w:val="22"/>
          <w:szCs w:val="22"/>
        </w:rPr>
        <w:t xml:space="preserve"> </w:t>
      </w:r>
      <w:r w:rsidR="00986DA3" w:rsidRPr="00C9666A">
        <w:rPr>
          <w:rFonts w:ascii="Arial" w:hAnsi="Arial" w:cs="Arial"/>
          <w:color w:val="auto"/>
          <w:sz w:val="22"/>
          <w:szCs w:val="22"/>
        </w:rPr>
        <w:t>(</w:t>
      </w:r>
      <w:r w:rsidR="00AE04C9" w:rsidRPr="00C9666A">
        <w:rPr>
          <w:rFonts w:ascii="Arial" w:hAnsi="Arial" w:cs="Arial"/>
          <w:b/>
          <w:color w:val="auto"/>
          <w:sz w:val="22"/>
          <w:szCs w:val="22"/>
        </w:rPr>
        <w:t>CR</w:t>
      </w:r>
      <w:r w:rsidR="00AE04C9" w:rsidRPr="00C9666A">
        <w:rPr>
          <w:rFonts w:ascii="Arial" w:hAnsi="Arial" w:cs="Arial"/>
          <w:color w:val="auto"/>
          <w:sz w:val="22"/>
          <w:szCs w:val="22"/>
        </w:rPr>
        <w:t xml:space="preserve">, por </w:t>
      </w:r>
      <w:r w:rsidR="00441962" w:rsidRPr="00C9666A">
        <w:rPr>
          <w:rFonts w:ascii="Arial" w:hAnsi="Arial" w:cs="Arial"/>
          <w:color w:val="auto"/>
          <w:sz w:val="22"/>
          <w:szCs w:val="22"/>
        </w:rPr>
        <w:t xml:space="preserve">las </w:t>
      </w:r>
      <w:r w:rsidR="00AE04C9" w:rsidRPr="00C9666A">
        <w:rPr>
          <w:rFonts w:ascii="Arial" w:hAnsi="Arial" w:cs="Arial"/>
          <w:color w:val="auto"/>
          <w:sz w:val="22"/>
          <w:szCs w:val="22"/>
        </w:rPr>
        <w:t xml:space="preserve">siglas en inglés de </w:t>
      </w:r>
      <w:proofErr w:type="spellStart"/>
      <w:r w:rsidR="00986DA3" w:rsidRPr="00C9666A">
        <w:rPr>
          <w:rFonts w:ascii="Arial" w:hAnsi="Arial" w:cs="Arial"/>
          <w:i/>
          <w:color w:val="auto"/>
          <w:sz w:val="22"/>
          <w:szCs w:val="22"/>
        </w:rPr>
        <w:t>concentration</w:t>
      </w:r>
      <w:proofErr w:type="spellEnd"/>
      <w:r w:rsidR="00986DA3" w:rsidRPr="00C9666A">
        <w:rPr>
          <w:rFonts w:ascii="Arial" w:hAnsi="Arial" w:cs="Arial"/>
          <w:i/>
          <w:color w:val="auto"/>
          <w:sz w:val="22"/>
          <w:szCs w:val="22"/>
        </w:rPr>
        <w:t xml:space="preserve"> ratio</w:t>
      </w:r>
      <w:r w:rsidR="00986DA3" w:rsidRPr="00C9666A">
        <w:rPr>
          <w:rFonts w:ascii="Arial" w:hAnsi="Arial" w:cs="Arial"/>
          <w:color w:val="auto"/>
          <w:sz w:val="22"/>
          <w:szCs w:val="22"/>
        </w:rPr>
        <w:t xml:space="preserve">), </w:t>
      </w:r>
      <w:r w:rsidR="00B965C3">
        <w:rPr>
          <w:rFonts w:ascii="Arial" w:hAnsi="Arial" w:cs="Arial"/>
          <w:color w:val="auto"/>
          <w:sz w:val="22"/>
          <w:szCs w:val="22"/>
        </w:rPr>
        <w:t xml:space="preserve">utilizado por algunos países, </w:t>
      </w:r>
      <w:r w:rsidR="00986DA3" w:rsidRPr="00C9666A">
        <w:rPr>
          <w:rFonts w:ascii="Arial" w:hAnsi="Arial" w:cs="Arial"/>
          <w:color w:val="auto"/>
          <w:sz w:val="22"/>
          <w:szCs w:val="22"/>
        </w:rPr>
        <w:t>que</w:t>
      </w:r>
      <w:r w:rsidR="00CE052C" w:rsidRPr="00C9666A">
        <w:rPr>
          <w:rFonts w:ascii="Arial" w:hAnsi="Arial" w:cs="Arial"/>
          <w:color w:val="auto"/>
          <w:sz w:val="22"/>
          <w:szCs w:val="22"/>
        </w:rPr>
        <w:t xml:space="preserve"> se definen como la participación de mercado conjunta de las principales empresas del mercado</w:t>
      </w:r>
      <w:r w:rsidR="00986DA3" w:rsidRPr="00C9666A">
        <w:rPr>
          <w:rFonts w:ascii="Arial" w:hAnsi="Arial" w:cs="Arial"/>
          <w:color w:val="auto"/>
          <w:sz w:val="22"/>
          <w:szCs w:val="22"/>
        </w:rPr>
        <w:t>. S</w:t>
      </w:r>
      <w:r w:rsidR="00CE052C" w:rsidRPr="00C9666A">
        <w:rPr>
          <w:rFonts w:ascii="Arial" w:hAnsi="Arial" w:cs="Arial"/>
          <w:color w:val="auto"/>
          <w:sz w:val="22"/>
          <w:szCs w:val="22"/>
        </w:rPr>
        <w:t xml:space="preserve">i son 3 empresas, se denota como </w:t>
      </w:r>
      <w:r w:rsidR="00CE052C" w:rsidRPr="00C9666A">
        <w:rPr>
          <w:rFonts w:ascii="Arial" w:hAnsi="Arial" w:cs="Arial"/>
          <w:b/>
          <w:color w:val="auto"/>
          <w:sz w:val="22"/>
          <w:szCs w:val="22"/>
        </w:rPr>
        <w:t>CR3</w:t>
      </w:r>
      <w:r w:rsidR="00CE052C" w:rsidRPr="00C9666A">
        <w:rPr>
          <w:rFonts w:ascii="Arial" w:hAnsi="Arial" w:cs="Arial"/>
          <w:color w:val="auto"/>
          <w:sz w:val="22"/>
          <w:szCs w:val="22"/>
        </w:rPr>
        <w:t xml:space="preserve">, si son 4 como </w:t>
      </w:r>
      <w:r w:rsidR="00CE052C" w:rsidRPr="00C9666A">
        <w:rPr>
          <w:rFonts w:ascii="Arial" w:hAnsi="Arial" w:cs="Arial"/>
          <w:b/>
          <w:color w:val="auto"/>
          <w:sz w:val="22"/>
          <w:szCs w:val="22"/>
        </w:rPr>
        <w:t>CR4</w:t>
      </w:r>
      <w:r w:rsidR="00CE052C" w:rsidRPr="00C9666A">
        <w:rPr>
          <w:rFonts w:ascii="Arial" w:hAnsi="Arial" w:cs="Arial"/>
          <w:color w:val="auto"/>
          <w:sz w:val="22"/>
          <w:szCs w:val="22"/>
        </w:rPr>
        <w:t xml:space="preserve">, </w:t>
      </w:r>
      <w:r w:rsidR="00986DA3" w:rsidRPr="00C9666A">
        <w:rPr>
          <w:rFonts w:ascii="Arial" w:hAnsi="Arial" w:cs="Arial"/>
          <w:color w:val="auto"/>
          <w:sz w:val="22"/>
          <w:szCs w:val="22"/>
        </w:rPr>
        <w:t>y así sucesivamente</w:t>
      </w:r>
      <w:r w:rsidR="00CE052C" w:rsidRPr="00C9666A">
        <w:rPr>
          <w:rFonts w:ascii="Arial" w:hAnsi="Arial" w:cs="Arial"/>
          <w:color w:val="auto"/>
          <w:sz w:val="22"/>
          <w:szCs w:val="22"/>
        </w:rPr>
        <w:t>.</w:t>
      </w:r>
      <w:r w:rsidR="00B5570E" w:rsidRPr="00C9666A">
        <w:rPr>
          <w:rStyle w:val="Refdenotaalpie"/>
          <w:rFonts w:ascii="Arial" w:hAnsi="Arial" w:cs="Arial"/>
          <w:color w:val="auto"/>
          <w:sz w:val="22"/>
          <w:szCs w:val="22"/>
        </w:rPr>
        <w:footnoteReference w:id="10"/>
      </w:r>
    </w:p>
    <w:p w14:paraId="4C2B9315" w14:textId="77777777" w:rsidR="00CE052C" w:rsidRPr="00C9666A" w:rsidRDefault="00AE04C9"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 xml:space="preserve">Dentro de los indicadores de concentración, los </w:t>
      </w:r>
      <w:r w:rsidRPr="00C9666A">
        <w:rPr>
          <w:rFonts w:ascii="Arial" w:hAnsi="Arial" w:cs="Arial"/>
          <w:b/>
          <w:color w:val="auto"/>
          <w:sz w:val="22"/>
          <w:szCs w:val="22"/>
        </w:rPr>
        <w:t>CR</w:t>
      </w:r>
      <w:r w:rsidR="00CE052C" w:rsidRPr="00C9666A">
        <w:rPr>
          <w:rFonts w:ascii="Arial" w:hAnsi="Arial" w:cs="Arial"/>
          <w:color w:val="auto"/>
          <w:sz w:val="22"/>
          <w:szCs w:val="22"/>
        </w:rPr>
        <w:t xml:space="preserve"> </w:t>
      </w:r>
      <w:r w:rsidR="00021911" w:rsidRPr="00C9666A">
        <w:rPr>
          <w:rFonts w:ascii="Arial" w:hAnsi="Arial" w:cs="Arial"/>
          <w:color w:val="auto"/>
          <w:sz w:val="22"/>
          <w:szCs w:val="22"/>
        </w:rPr>
        <w:t xml:space="preserve">tienen </w:t>
      </w:r>
      <w:r w:rsidRPr="00C9666A">
        <w:rPr>
          <w:rFonts w:ascii="Arial" w:hAnsi="Arial" w:cs="Arial"/>
          <w:color w:val="auto"/>
          <w:sz w:val="22"/>
          <w:szCs w:val="22"/>
        </w:rPr>
        <w:t xml:space="preserve">la desventaja </w:t>
      </w:r>
      <w:r w:rsidR="00021911" w:rsidRPr="00C9666A">
        <w:rPr>
          <w:rFonts w:ascii="Arial" w:hAnsi="Arial" w:cs="Arial"/>
          <w:color w:val="auto"/>
          <w:sz w:val="22"/>
          <w:szCs w:val="22"/>
        </w:rPr>
        <w:t>de que</w:t>
      </w:r>
      <w:r w:rsidR="00CE052C" w:rsidRPr="00C9666A">
        <w:rPr>
          <w:rFonts w:ascii="Arial" w:hAnsi="Arial" w:cs="Arial"/>
          <w:color w:val="auto"/>
          <w:sz w:val="22"/>
          <w:szCs w:val="22"/>
        </w:rPr>
        <w:t xml:space="preserve"> no</w:t>
      </w:r>
      <w:r w:rsidR="00B5570E" w:rsidRPr="00C9666A">
        <w:rPr>
          <w:rFonts w:ascii="Arial" w:hAnsi="Arial" w:cs="Arial"/>
          <w:color w:val="auto"/>
          <w:sz w:val="22"/>
          <w:szCs w:val="22"/>
        </w:rPr>
        <w:t xml:space="preserve"> consideran </w:t>
      </w:r>
      <w:r w:rsidR="00F00D5D" w:rsidRPr="00C9666A">
        <w:rPr>
          <w:rFonts w:ascii="Arial" w:hAnsi="Arial" w:cs="Arial"/>
          <w:color w:val="auto"/>
          <w:sz w:val="22"/>
          <w:szCs w:val="22"/>
        </w:rPr>
        <w:t xml:space="preserve">todo </w:t>
      </w:r>
      <w:r w:rsidR="00B5570E" w:rsidRPr="00C9666A">
        <w:rPr>
          <w:rFonts w:ascii="Arial" w:hAnsi="Arial" w:cs="Arial"/>
          <w:color w:val="auto"/>
          <w:sz w:val="22"/>
          <w:szCs w:val="22"/>
        </w:rPr>
        <w:t>el mercado.</w:t>
      </w:r>
      <w:r w:rsidR="00CE052C" w:rsidRPr="00C9666A">
        <w:rPr>
          <w:rFonts w:ascii="Arial" w:hAnsi="Arial" w:cs="Arial"/>
          <w:color w:val="auto"/>
          <w:sz w:val="22"/>
          <w:szCs w:val="22"/>
        </w:rPr>
        <w:t xml:space="preserve"> </w:t>
      </w:r>
      <w:r w:rsidR="00B5570E" w:rsidRPr="00C9666A">
        <w:rPr>
          <w:rFonts w:ascii="Arial" w:hAnsi="Arial" w:cs="Arial"/>
          <w:color w:val="auto"/>
          <w:sz w:val="22"/>
          <w:szCs w:val="22"/>
        </w:rPr>
        <w:t>P</w:t>
      </w:r>
      <w:r w:rsidR="00CE052C" w:rsidRPr="00C9666A">
        <w:rPr>
          <w:rFonts w:ascii="Arial" w:hAnsi="Arial" w:cs="Arial"/>
          <w:color w:val="auto"/>
          <w:sz w:val="22"/>
          <w:szCs w:val="22"/>
        </w:rPr>
        <w:t xml:space="preserve">or ejemplo, si </w:t>
      </w:r>
      <w:r w:rsidRPr="00C9666A">
        <w:rPr>
          <w:rFonts w:ascii="Arial" w:hAnsi="Arial" w:cs="Arial"/>
          <w:color w:val="auto"/>
          <w:sz w:val="22"/>
          <w:szCs w:val="22"/>
        </w:rPr>
        <w:t>se calcula</w:t>
      </w:r>
      <w:r w:rsidR="00B5570E" w:rsidRPr="00C9666A">
        <w:rPr>
          <w:rFonts w:ascii="Arial" w:hAnsi="Arial" w:cs="Arial"/>
          <w:color w:val="auto"/>
          <w:sz w:val="22"/>
          <w:szCs w:val="22"/>
        </w:rPr>
        <w:t xml:space="preserve"> el</w:t>
      </w:r>
      <w:r w:rsidR="00CE052C" w:rsidRPr="00C9666A">
        <w:rPr>
          <w:rFonts w:ascii="Arial" w:hAnsi="Arial" w:cs="Arial"/>
          <w:color w:val="auto"/>
          <w:sz w:val="22"/>
          <w:szCs w:val="22"/>
        </w:rPr>
        <w:t xml:space="preserve"> </w:t>
      </w:r>
      <w:r w:rsidR="00CE052C" w:rsidRPr="00C9666A">
        <w:rPr>
          <w:rFonts w:ascii="Arial" w:hAnsi="Arial" w:cs="Arial"/>
          <w:b/>
          <w:color w:val="auto"/>
          <w:sz w:val="22"/>
          <w:szCs w:val="22"/>
        </w:rPr>
        <w:t>CR3</w:t>
      </w:r>
      <w:r w:rsidR="00CE052C" w:rsidRPr="00C9666A">
        <w:rPr>
          <w:rFonts w:ascii="Arial" w:hAnsi="Arial" w:cs="Arial"/>
          <w:color w:val="auto"/>
          <w:sz w:val="22"/>
          <w:szCs w:val="22"/>
        </w:rPr>
        <w:t xml:space="preserve">, y </w:t>
      </w:r>
      <w:r w:rsidR="00F00D5D" w:rsidRPr="00C9666A">
        <w:rPr>
          <w:rFonts w:ascii="Arial" w:hAnsi="Arial" w:cs="Arial"/>
          <w:color w:val="auto"/>
          <w:sz w:val="22"/>
          <w:szCs w:val="22"/>
        </w:rPr>
        <w:t>los agentes económicos</w:t>
      </w:r>
      <w:r w:rsidR="00CE052C" w:rsidRPr="00C9666A">
        <w:rPr>
          <w:rFonts w:ascii="Arial" w:hAnsi="Arial" w:cs="Arial"/>
          <w:color w:val="auto"/>
          <w:sz w:val="22"/>
          <w:szCs w:val="22"/>
        </w:rPr>
        <w:t xml:space="preserve"> tienen participaci</w:t>
      </w:r>
      <w:r w:rsidR="00F00D5D" w:rsidRPr="00C9666A">
        <w:rPr>
          <w:rFonts w:ascii="Arial" w:hAnsi="Arial" w:cs="Arial"/>
          <w:color w:val="auto"/>
          <w:sz w:val="22"/>
          <w:szCs w:val="22"/>
        </w:rPr>
        <w:t>ones iguales a</w:t>
      </w:r>
      <w:r w:rsidR="00CE052C" w:rsidRPr="00C9666A">
        <w:rPr>
          <w:rFonts w:ascii="Arial" w:hAnsi="Arial" w:cs="Arial"/>
          <w:color w:val="auto"/>
          <w:sz w:val="22"/>
          <w:szCs w:val="22"/>
        </w:rPr>
        <w:t xml:space="preserve"> 15%, entonces </w:t>
      </w:r>
      <w:r w:rsidRPr="00C9666A">
        <w:rPr>
          <w:rFonts w:ascii="Arial" w:hAnsi="Arial" w:cs="Arial"/>
          <w:color w:val="auto"/>
          <w:sz w:val="22"/>
          <w:szCs w:val="22"/>
        </w:rPr>
        <w:t xml:space="preserve">se </w:t>
      </w:r>
      <w:r w:rsidR="00CE052C" w:rsidRPr="00C9666A">
        <w:rPr>
          <w:rFonts w:ascii="Arial" w:hAnsi="Arial" w:cs="Arial"/>
          <w:color w:val="auto"/>
          <w:sz w:val="22"/>
          <w:szCs w:val="22"/>
        </w:rPr>
        <w:t>toma</w:t>
      </w:r>
      <w:r w:rsidR="00021911" w:rsidRPr="00C9666A">
        <w:rPr>
          <w:rFonts w:ascii="Arial" w:hAnsi="Arial" w:cs="Arial"/>
          <w:color w:val="auto"/>
          <w:sz w:val="22"/>
          <w:szCs w:val="22"/>
        </w:rPr>
        <w:t>ría</w:t>
      </w:r>
      <w:r w:rsidR="00CE052C" w:rsidRPr="00C9666A">
        <w:rPr>
          <w:rFonts w:ascii="Arial" w:hAnsi="Arial" w:cs="Arial"/>
          <w:color w:val="auto"/>
          <w:sz w:val="22"/>
          <w:szCs w:val="22"/>
        </w:rPr>
        <w:t xml:space="preserve"> en cuenta </w:t>
      </w:r>
      <w:r w:rsidR="00AB5B1E" w:rsidRPr="00C9666A">
        <w:rPr>
          <w:rFonts w:ascii="Arial" w:hAnsi="Arial" w:cs="Arial"/>
          <w:color w:val="auto"/>
          <w:sz w:val="22"/>
          <w:szCs w:val="22"/>
        </w:rPr>
        <w:t xml:space="preserve">sólo </w:t>
      </w:r>
      <w:r w:rsidR="00CE052C" w:rsidRPr="00C9666A">
        <w:rPr>
          <w:rFonts w:ascii="Arial" w:hAnsi="Arial" w:cs="Arial"/>
          <w:color w:val="auto"/>
          <w:sz w:val="22"/>
          <w:szCs w:val="22"/>
        </w:rPr>
        <w:t xml:space="preserve">el 45% del mercado. Además, si </w:t>
      </w:r>
      <w:r w:rsidRPr="00C9666A">
        <w:rPr>
          <w:rFonts w:ascii="Arial" w:hAnsi="Arial" w:cs="Arial"/>
          <w:color w:val="auto"/>
          <w:sz w:val="22"/>
          <w:szCs w:val="22"/>
        </w:rPr>
        <w:t>se deseara</w:t>
      </w:r>
      <w:r w:rsidR="00CE052C" w:rsidRPr="00C9666A">
        <w:rPr>
          <w:rFonts w:ascii="Arial" w:hAnsi="Arial" w:cs="Arial"/>
          <w:color w:val="auto"/>
          <w:sz w:val="22"/>
          <w:szCs w:val="22"/>
        </w:rPr>
        <w:t xml:space="preserve"> medir </w:t>
      </w:r>
      <w:r w:rsidR="006712EF" w:rsidRPr="00C9666A">
        <w:rPr>
          <w:rFonts w:ascii="Arial" w:hAnsi="Arial" w:cs="Arial"/>
          <w:color w:val="auto"/>
          <w:sz w:val="22"/>
          <w:szCs w:val="22"/>
        </w:rPr>
        <w:t xml:space="preserve">el cambio en </w:t>
      </w:r>
      <w:r w:rsidR="00CE052C" w:rsidRPr="00C9666A">
        <w:rPr>
          <w:rFonts w:ascii="Arial" w:hAnsi="Arial" w:cs="Arial"/>
          <w:color w:val="auto"/>
          <w:sz w:val="22"/>
          <w:szCs w:val="22"/>
        </w:rPr>
        <w:t xml:space="preserve">la </w:t>
      </w:r>
      <w:r w:rsidR="006712EF" w:rsidRPr="00C9666A">
        <w:rPr>
          <w:rFonts w:ascii="Arial" w:hAnsi="Arial" w:cs="Arial"/>
          <w:color w:val="auto"/>
          <w:sz w:val="22"/>
          <w:szCs w:val="22"/>
        </w:rPr>
        <w:t xml:space="preserve">concentración de mercado derivado de la </w:t>
      </w:r>
      <w:r w:rsidR="00CE052C" w:rsidRPr="00C9666A">
        <w:rPr>
          <w:rFonts w:ascii="Arial" w:hAnsi="Arial" w:cs="Arial"/>
          <w:color w:val="auto"/>
          <w:sz w:val="22"/>
          <w:szCs w:val="22"/>
        </w:rPr>
        <w:t xml:space="preserve">fusión de </w:t>
      </w:r>
      <w:r w:rsidR="00F81E40" w:rsidRPr="00C9666A">
        <w:rPr>
          <w:rFonts w:ascii="Arial" w:hAnsi="Arial" w:cs="Arial"/>
          <w:color w:val="auto"/>
          <w:sz w:val="22"/>
          <w:szCs w:val="22"/>
        </w:rPr>
        <w:t>los participantes</w:t>
      </w:r>
      <w:r w:rsidR="00CE052C" w:rsidRPr="00C9666A">
        <w:rPr>
          <w:rFonts w:ascii="Arial" w:hAnsi="Arial" w:cs="Arial"/>
          <w:color w:val="auto"/>
          <w:sz w:val="22"/>
          <w:szCs w:val="22"/>
        </w:rPr>
        <w:t xml:space="preserve"> 4 y </w:t>
      </w:r>
      <w:r w:rsidR="00B5570E" w:rsidRPr="00C9666A">
        <w:rPr>
          <w:rFonts w:ascii="Arial" w:hAnsi="Arial" w:cs="Arial"/>
          <w:color w:val="auto"/>
          <w:sz w:val="22"/>
          <w:szCs w:val="22"/>
        </w:rPr>
        <w:t>5</w:t>
      </w:r>
      <w:r w:rsidR="00CE052C" w:rsidRPr="00C9666A">
        <w:rPr>
          <w:rFonts w:ascii="Arial" w:hAnsi="Arial" w:cs="Arial"/>
          <w:color w:val="auto"/>
          <w:sz w:val="22"/>
          <w:szCs w:val="22"/>
        </w:rPr>
        <w:t xml:space="preserve">, </w:t>
      </w:r>
      <w:r w:rsidRPr="00C9666A">
        <w:rPr>
          <w:rFonts w:ascii="Arial" w:hAnsi="Arial" w:cs="Arial"/>
          <w:color w:val="auto"/>
          <w:sz w:val="22"/>
          <w:szCs w:val="22"/>
        </w:rPr>
        <w:t xml:space="preserve">el </w:t>
      </w:r>
      <w:r w:rsidR="00CE052C" w:rsidRPr="00C9666A">
        <w:rPr>
          <w:rFonts w:ascii="Arial" w:hAnsi="Arial" w:cs="Arial"/>
          <w:b/>
          <w:color w:val="auto"/>
          <w:sz w:val="22"/>
          <w:szCs w:val="22"/>
        </w:rPr>
        <w:t>CR3</w:t>
      </w:r>
      <w:r w:rsidR="00CE052C" w:rsidRPr="00C9666A">
        <w:rPr>
          <w:rFonts w:ascii="Arial" w:hAnsi="Arial" w:cs="Arial"/>
          <w:color w:val="auto"/>
          <w:sz w:val="22"/>
          <w:szCs w:val="22"/>
        </w:rPr>
        <w:t xml:space="preserve"> </w:t>
      </w:r>
      <w:r w:rsidRPr="00C9666A">
        <w:rPr>
          <w:rFonts w:ascii="Arial" w:hAnsi="Arial" w:cs="Arial"/>
          <w:color w:val="auto"/>
          <w:sz w:val="22"/>
          <w:szCs w:val="22"/>
        </w:rPr>
        <w:t xml:space="preserve">no reflejaría tal cambio pues </w:t>
      </w:r>
      <w:r w:rsidR="00CB1488" w:rsidRPr="00C9666A">
        <w:rPr>
          <w:rFonts w:ascii="Arial" w:hAnsi="Arial" w:cs="Arial"/>
          <w:color w:val="auto"/>
          <w:sz w:val="22"/>
          <w:szCs w:val="22"/>
        </w:rPr>
        <w:t xml:space="preserve">su valor </w:t>
      </w:r>
      <w:r w:rsidR="00CE052C" w:rsidRPr="00C9666A">
        <w:rPr>
          <w:rFonts w:ascii="Arial" w:hAnsi="Arial" w:cs="Arial"/>
          <w:color w:val="auto"/>
          <w:sz w:val="22"/>
          <w:szCs w:val="22"/>
        </w:rPr>
        <w:t>se mant</w:t>
      </w:r>
      <w:r w:rsidRPr="00C9666A">
        <w:rPr>
          <w:rFonts w:ascii="Arial" w:hAnsi="Arial" w:cs="Arial"/>
          <w:color w:val="auto"/>
          <w:sz w:val="22"/>
          <w:szCs w:val="22"/>
        </w:rPr>
        <w:t>endría igual.</w:t>
      </w:r>
    </w:p>
    <w:p w14:paraId="744F94BD" w14:textId="59271A04" w:rsidR="00C262B6" w:rsidRPr="00C9666A" w:rsidRDefault="00C262B6" w:rsidP="00C9666A">
      <w:pPr>
        <w:pStyle w:val="Default"/>
        <w:spacing w:before="120" w:after="120" w:line="276" w:lineRule="auto"/>
        <w:ind w:right="-1"/>
        <w:jc w:val="both"/>
        <w:rPr>
          <w:rFonts w:ascii="Arial" w:hAnsi="Arial" w:cs="Arial"/>
          <w:color w:val="auto"/>
          <w:sz w:val="22"/>
          <w:szCs w:val="22"/>
        </w:rPr>
      </w:pPr>
      <w:r w:rsidRPr="00C9666A">
        <w:rPr>
          <w:rFonts w:ascii="Arial" w:hAnsi="Arial" w:cs="Arial"/>
          <w:color w:val="auto"/>
          <w:sz w:val="22"/>
          <w:szCs w:val="22"/>
        </w:rPr>
        <w:t xml:space="preserve">En México, además del </w:t>
      </w:r>
      <w:r w:rsidR="00CB1488" w:rsidRPr="00C9666A">
        <w:rPr>
          <w:rFonts w:ascii="Arial" w:hAnsi="Arial" w:cs="Arial"/>
          <w:color w:val="auto"/>
          <w:sz w:val="22"/>
          <w:szCs w:val="22"/>
        </w:rPr>
        <w:t>IHH</w:t>
      </w:r>
      <w:r w:rsidRPr="00C9666A">
        <w:rPr>
          <w:rFonts w:ascii="Arial" w:hAnsi="Arial" w:cs="Arial"/>
          <w:color w:val="auto"/>
          <w:sz w:val="22"/>
          <w:szCs w:val="22"/>
        </w:rPr>
        <w:t xml:space="preserve">, la </w:t>
      </w:r>
      <w:r w:rsidR="00021911" w:rsidRPr="00C9666A">
        <w:rPr>
          <w:rFonts w:ascii="Arial" w:hAnsi="Arial" w:cs="Arial"/>
          <w:color w:val="auto"/>
          <w:sz w:val="22"/>
          <w:szCs w:val="22"/>
        </w:rPr>
        <w:t xml:space="preserve">extinta </w:t>
      </w:r>
      <w:r w:rsidRPr="00C9666A">
        <w:rPr>
          <w:rFonts w:ascii="Arial" w:hAnsi="Arial" w:cs="Arial"/>
          <w:color w:val="auto"/>
          <w:sz w:val="22"/>
          <w:szCs w:val="22"/>
        </w:rPr>
        <w:t>Comisión Federal de Competencia</w:t>
      </w:r>
      <w:r w:rsidR="00673340" w:rsidRPr="00C9666A">
        <w:rPr>
          <w:rFonts w:ascii="Arial" w:hAnsi="Arial" w:cs="Arial"/>
          <w:color w:val="auto"/>
          <w:sz w:val="22"/>
          <w:szCs w:val="22"/>
        </w:rPr>
        <w:t xml:space="preserve"> (CFC)</w:t>
      </w:r>
      <w:r w:rsidRPr="00C9666A">
        <w:rPr>
          <w:rFonts w:ascii="Arial" w:hAnsi="Arial" w:cs="Arial"/>
          <w:color w:val="auto"/>
          <w:sz w:val="22"/>
          <w:szCs w:val="22"/>
        </w:rPr>
        <w:t xml:space="preserve"> utiliza</w:t>
      </w:r>
      <w:r w:rsidR="00021911" w:rsidRPr="00C9666A">
        <w:rPr>
          <w:rFonts w:ascii="Arial" w:hAnsi="Arial" w:cs="Arial"/>
          <w:color w:val="auto"/>
          <w:sz w:val="22"/>
          <w:szCs w:val="22"/>
        </w:rPr>
        <w:t>ba</w:t>
      </w:r>
      <w:r w:rsidRPr="00C9666A">
        <w:rPr>
          <w:rFonts w:ascii="Arial" w:hAnsi="Arial" w:cs="Arial"/>
          <w:color w:val="auto"/>
          <w:sz w:val="22"/>
          <w:szCs w:val="22"/>
        </w:rPr>
        <w:t xml:space="preserve"> </w:t>
      </w:r>
      <w:r w:rsidR="006A39DC" w:rsidRPr="00C9666A">
        <w:rPr>
          <w:rFonts w:ascii="Arial" w:hAnsi="Arial" w:cs="Arial"/>
          <w:color w:val="auto"/>
          <w:sz w:val="22"/>
          <w:szCs w:val="22"/>
        </w:rPr>
        <w:t>el</w:t>
      </w:r>
      <w:r w:rsidRPr="00C9666A">
        <w:rPr>
          <w:rFonts w:ascii="Arial" w:hAnsi="Arial" w:cs="Arial"/>
          <w:color w:val="auto"/>
          <w:sz w:val="22"/>
          <w:szCs w:val="22"/>
        </w:rPr>
        <w:t xml:space="preserve"> </w:t>
      </w:r>
      <w:r w:rsidRPr="00C9666A">
        <w:rPr>
          <w:rFonts w:ascii="Arial" w:hAnsi="Arial" w:cs="Arial"/>
          <w:b/>
          <w:color w:val="auto"/>
          <w:sz w:val="22"/>
          <w:szCs w:val="22"/>
        </w:rPr>
        <w:t>índice de dominancia</w:t>
      </w:r>
      <w:r w:rsidR="00564D68" w:rsidRPr="00C9666A">
        <w:rPr>
          <w:rFonts w:ascii="Arial" w:hAnsi="Arial" w:cs="Arial"/>
          <w:color w:val="auto"/>
          <w:sz w:val="22"/>
          <w:szCs w:val="22"/>
        </w:rPr>
        <w:t xml:space="preserve"> (</w:t>
      </w:r>
      <w:r w:rsidR="00CD5F2C" w:rsidRPr="00C9666A">
        <w:rPr>
          <w:rFonts w:ascii="Arial" w:hAnsi="Arial" w:cs="Arial"/>
          <w:color w:val="auto"/>
          <w:sz w:val="22"/>
          <w:szCs w:val="22"/>
        </w:rPr>
        <w:t>ID</w:t>
      </w:r>
      <w:r w:rsidR="00564D68" w:rsidRPr="00C9666A">
        <w:rPr>
          <w:rFonts w:ascii="Arial" w:hAnsi="Arial" w:cs="Arial"/>
          <w:color w:val="auto"/>
          <w:sz w:val="22"/>
          <w:szCs w:val="22"/>
        </w:rPr>
        <w:t>)</w:t>
      </w:r>
      <w:r w:rsidRPr="00C9666A">
        <w:rPr>
          <w:rFonts w:ascii="Arial" w:hAnsi="Arial" w:cs="Arial"/>
          <w:color w:val="auto"/>
          <w:sz w:val="22"/>
          <w:szCs w:val="22"/>
        </w:rPr>
        <w:t>.</w:t>
      </w:r>
      <w:r w:rsidR="00C554F0" w:rsidRPr="00C9666A">
        <w:rPr>
          <w:rStyle w:val="Refdenotaalpie"/>
          <w:rFonts w:ascii="Arial" w:hAnsi="Arial" w:cs="Arial"/>
          <w:color w:val="auto"/>
          <w:sz w:val="22"/>
          <w:szCs w:val="22"/>
        </w:rPr>
        <w:footnoteReference w:id="11"/>
      </w:r>
      <w:r w:rsidRPr="00C9666A">
        <w:rPr>
          <w:rFonts w:ascii="Arial" w:hAnsi="Arial" w:cs="Arial"/>
          <w:color w:val="auto"/>
          <w:sz w:val="22"/>
          <w:szCs w:val="22"/>
        </w:rPr>
        <w:t xml:space="preserve"> Este índice </w:t>
      </w:r>
      <w:r w:rsidR="00C554F0" w:rsidRPr="00C9666A">
        <w:rPr>
          <w:rFonts w:ascii="Arial" w:hAnsi="Arial" w:cs="Arial"/>
          <w:color w:val="auto"/>
          <w:sz w:val="22"/>
          <w:szCs w:val="22"/>
        </w:rPr>
        <w:t xml:space="preserve">se calcula como el </w:t>
      </w:r>
      <w:r w:rsidR="001A7595" w:rsidRPr="00C9666A">
        <w:rPr>
          <w:rFonts w:ascii="Arial" w:hAnsi="Arial" w:cs="Arial"/>
          <w:color w:val="auto"/>
          <w:sz w:val="22"/>
          <w:szCs w:val="22"/>
        </w:rPr>
        <w:t>IHH</w:t>
      </w:r>
      <w:r w:rsidR="00C554F0" w:rsidRPr="00C9666A">
        <w:rPr>
          <w:rFonts w:ascii="Arial" w:hAnsi="Arial" w:cs="Arial"/>
          <w:color w:val="auto"/>
          <w:sz w:val="22"/>
          <w:szCs w:val="22"/>
        </w:rPr>
        <w:t xml:space="preserve">, pero en lugar de las participaciones de mercado, la variable es la contribución de cada empresa al </w:t>
      </w:r>
      <w:r w:rsidR="00F00D5D" w:rsidRPr="00C9666A">
        <w:rPr>
          <w:rFonts w:ascii="Arial" w:hAnsi="Arial" w:cs="Arial"/>
          <w:color w:val="auto"/>
          <w:sz w:val="22"/>
          <w:szCs w:val="22"/>
        </w:rPr>
        <w:t>IHH</w:t>
      </w:r>
      <w:r w:rsidRPr="00C9666A">
        <w:rPr>
          <w:rFonts w:ascii="Arial" w:hAnsi="Arial" w:cs="Arial"/>
          <w:color w:val="auto"/>
          <w:sz w:val="22"/>
          <w:szCs w:val="22"/>
        </w:rPr>
        <w:t xml:space="preserve">. </w:t>
      </w:r>
    </w:p>
    <w:p w14:paraId="1AF94400" w14:textId="03203BAA" w:rsidR="00193362" w:rsidRPr="00687AB4" w:rsidRDefault="00193362" w:rsidP="00C9666A">
      <w:pPr>
        <w:shd w:val="clear" w:color="auto" w:fill="FFFFFF"/>
        <w:spacing w:before="120" w:after="120"/>
        <w:ind w:right="-1" w:firstLine="288"/>
        <w:jc w:val="center"/>
        <w:rPr>
          <w:rFonts w:ascii="Arial" w:eastAsia="Times New Roman" w:hAnsi="Arial" w:cs="Arial"/>
          <w:color w:val="000000"/>
          <w:lang w:eastAsia="es-MX"/>
        </w:rPr>
      </w:pPr>
      <w:r w:rsidRPr="00687AB4">
        <w:rPr>
          <w:rFonts w:ascii="Arial" w:eastAsiaTheme="minorEastAsia" w:hAnsi="Arial" w:cs="Arial"/>
          <w:color w:val="000000"/>
          <w:lang w:eastAsia="es-MX"/>
        </w:rPr>
        <w:t xml:space="preserve"> </w:t>
      </w:r>
      <m:oMath>
        <m:r>
          <w:rPr>
            <w:rFonts w:ascii="Cambria Math" w:eastAsiaTheme="minorEastAsia" w:hAnsi="Cambria Math" w:cs="Arial"/>
            <w:color w:val="000000"/>
            <w:lang w:val="en-US" w:eastAsia="es-MX"/>
          </w:rPr>
          <m:t>ID</m:t>
        </m:r>
        <m:r>
          <w:rPr>
            <w:rFonts w:ascii="Cambria Math" w:eastAsiaTheme="minorEastAsia" w:hAnsi="Cambria Math" w:cs="Arial"/>
            <w:color w:val="000000"/>
            <w:lang w:eastAsia="es-MX"/>
          </w:rPr>
          <m:t>=</m:t>
        </m:r>
        <m:nary>
          <m:naryPr>
            <m:chr m:val="∑"/>
            <m:limLoc m:val="subSup"/>
            <m:ctrlPr>
              <w:rPr>
                <w:rFonts w:ascii="Cambria Math" w:eastAsiaTheme="minorEastAsia" w:hAnsi="Cambria Math" w:cs="Arial"/>
                <w:i/>
                <w:color w:val="000000"/>
                <w:lang w:eastAsia="es-MX"/>
              </w:rPr>
            </m:ctrlPr>
          </m:naryPr>
          <m:sub>
            <m:r>
              <w:rPr>
                <w:rFonts w:ascii="Cambria Math" w:eastAsiaTheme="minorEastAsia" w:hAnsi="Cambria Math" w:cs="Arial"/>
                <w:color w:val="000000"/>
                <w:lang w:eastAsia="es-MX"/>
              </w:rPr>
              <m:t>i=1</m:t>
            </m:r>
          </m:sub>
          <m:sup>
            <m:r>
              <w:rPr>
                <w:rFonts w:ascii="Cambria Math" w:eastAsiaTheme="minorEastAsia" w:hAnsi="Cambria Math" w:cs="Arial"/>
                <w:color w:val="000000"/>
                <w:lang w:eastAsia="es-MX"/>
              </w:rPr>
              <m:t>N</m:t>
            </m:r>
          </m:sup>
          <m:e>
            <m:sSup>
              <m:sSupPr>
                <m:ctrlPr>
                  <w:rPr>
                    <w:rFonts w:ascii="Cambria Math" w:eastAsia="Times New Roman" w:hAnsi="Cambria Math" w:cs="Arial"/>
                    <w:i/>
                    <w:color w:val="000000"/>
                    <w:lang w:eastAsia="es-MX"/>
                  </w:rPr>
                </m:ctrlPr>
              </m:sSupPr>
              <m:e>
                <m:d>
                  <m:dPr>
                    <m:ctrlPr>
                      <w:rPr>
                        <w:rFonts w:ascii="Cambria Math" w:eastAsia="Times New Roman" w:hAnsi="Cambria Math" w:cs="Arial"/>
                        <w:i/>
                        <w:color w:val="000000"/>
                        <w:lang w:eastAsia="es-MX"/>
                      </w:rPr>
                    </m:ctrlPr>
                  </m:dPr>
                  <m:e>
                    <m:f>
                      <m:fPr>
                        <m:ctrlPr>
                          <w:rPr>
                            <w:rFonts w:ascii="Cambria Math" w:eastAsia="Times New Roman" w:hAnsi="Cambria Math" w:cs="Arial"/>
                            <w:i/>
                            <w:color w:val="000000"/>
                            <w:lang w:eastAsia="es-MX"/>
                          </w:rPr>
                        </m:ctrlPr>
                      </m:fPr>
                      <m:num>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up>
                            <m:r>
                              <w:rPr>
                                <w:rFonts w:ascii="Cambria Math" w:eastAsia="Times New Roman" w:hAnsi="Cambria Math" w:cs="Arial"/>
                                <w:color w:val="000000"/>
                                <w:lang w:eastAsia="es-MX"/>
                              </w:rPr>
                              <m:t>2</m:t>
                            </m:r>
                          </m:sup>
                        </m:sSubSup>
                      </m:num>
                      <m:den>
                        <m:r>
                          <m:rPr>
                            <m:sty m:val="p"/>
                          </m:rPr>
                          <w:rPr>
                            <w:rFonts w:ascii="Cambria Math" w:eastAsia="Times New Roman" w:hAnsi="Cambria Math" w:cs="Arial"/>
                            <w:color w:val="000000"/>
                            <w:lang w:eastAsia="es-MX"/>
                          </w:rPr>
                          <m:t>IHH</m:t>
                        </m:r>
                      </m:den>
                    </m:f>
                    <m:r>
                      <w:rPr>
                        <w:rFonts w:ascii="Cambria Math" w:eastAsia="Times New Roman" w:hAnsi="Cambria Math" w:cs="Arial"/>
                        <w:color w:val="000000"/>
                        <w:lang w:eastAsia="es-MX"/>
                      </w:rPr>
                      <m:t>x100</m:t>
                    </m:r>
                  </m:e>
                </m:d>
              </m:e>
              <m:sup>
                <m:r>
                  <w:rPr>
                    <w:rFonts w:ascii="Cambria Math" w:eastAsia="Times New Roman" w:hAnsi="Cambria Math" w:cs="Arial"/>
                    <w:color w:val="000000"/>
                    <w:lang w:eastAsia="es-MX"/>
                  </w:rPr>
                  <m:t>2</m:t>
                </m:r>
              </m:sup>
            </m:sSup>
          </m:e>
        </m:nary>
      </m:oMath>
    </w:p>
    <w:p w14:paraId="2D9DD4DA" w14:textId="58146348" w:rsidR="001F371A" w:rsidRPr="001F371A" w:rsidRDefault="008D0968" w:rsidP="008D0968">
      <w:pPr>
        <w:pStyle w:val="Default"/>
        <w:spacing w:before="120" w:after="120" w:line="276" w:lineRule="auto"/>
        <w:ind w:right="-1"/>
        <w:jc w:val="both"/>
        <w:rPr>
          <w:rFonts w:ascii="Arial" w:hAnsi="Arial" w:cs="Arial"/>
          <w:sz w:val="22"/>
          <w:szCs w:val="22"/>
        </w:rPr>
      </w:pPr>
      <w:r w:rsidRPr="004528E7">
        <w:rPr>
          <w:rFonts w:ascii="Arial" w:hAnsi="Arial" w:cs="Arial"/>
          <w:sz w:val="22"/>
          <w:szCs w:val="22"/>
        </w:rPr>
        <w:t>Para mediciones del grado de concentración en términos del artículo 63, el Criterio Técnico del IFT</w:t>
      </w:r>
      <w:r w:rsidR="004E006E" w:rsidRPr="00E33942">
        <w:rPr>
          <w:rFonts w:ascii="Arial" w:hAnsi="Arial" w:cs="Arial"/>
          <w:sz w:val="22"/>
          <w:szCs w:val="22"/>
        </w:rPr>
        <w:t xml:space="preserve">, emitido el 11 de abril de 2016, </w:t>
      </w:r>
      <w:r w:rsidR="004E006E" w:rsidRPr="004528E7">
        <w:rPr>
          <w:rFonts w:ascii="Arial" w:hAnsi="Arial" w:cs="Arial"/>
          <w:sz w:val="22"/>
          <w:szCs w:val="22"/>
        </w:rPr>
        <w:t>sólo adoptó el IHH</w:t>
      </w:r>
      <w:r w:rsidRPr="004528E7">
        <w:rPr>
          <w:rFonts w:ascii="Arial" w:hAnsi="Arial" w:cs="Arial"/>
          <w:b/>
          <w:bCs/>
          <w:sz w:val="22"/>
          <w:szCs w:val="22"/>
        </w:rPr>
        <w:t xml:space="preserve">. </w:t>
      </w:r>
      <w:r w:rsidR="001F371A" w:rsidRPr="004528E7">
        <w:rPr>
          <w:rFonts w:ascii="Arial" w:hAnsi="Arial" w:cs="Arial"/>
          <w:sz w:val="22"/>
          <w:szCs w:val="22"/>
        </w:rPr>
        <w:t>Al respecto, en la Nota Técnica que acompañó al Anteproyecto del Criterio Técnico en la consulta pública correspondiente, se indicó que</w:t>
      </w:r>
      <w:r w:rsidR="004528E7">
        <w:rPr>
          <w:rFonts w:ascii="Arial" w:hAnsi="Arial" w:cs="Arial"/>
          <w:sz w:val="22"/>
          <w:szCs w:val="22"/>
        </w:rPr>
        <w:t>:</w:t>
      </w:r>
      <w:r w:rsidR="001F371A">
        <w:rPr>
          <w:rFonts w:ascii="Arial" w:hAnsi="Arial" w:cs="Arial"/>
          <w:sz w:val="22"/>
          <w:szCs w:val="22"/>
        </w:rPr>
        <w:t xml:space="preserve"> “</w:t>
      </w:r>
      <w:r w:rsidR="001F371A" w:rsidRPr="001F371A">
        <w:rPr>
          <w:rFonts w:ascii="Arial" w:hAnsi="Arial" w:cs="Arial"/>
          <w:i/>
          <w:iCs/>
          <w:sz w:val="20"/>
          <w:szCs w:val="20"/>
        </w:rPr>
        <w:t xml:space="preserve">La aplicación del ID, bajo determinadas condiciones, no es un indicador efectivo para identificar las transacciones u operaciones que generen una reducción en el número de participantes y un incremento </w:t>
      </w:r>
      <w:r w:rsidR="001F371A" w:rsidRPr="001F371A">
        <w:rPr>
          <w:rFonts w:ascii="Arial" w:hAnsi="Arial" w:cs="Arial"/>
          <w:i/>
          <w:iCs/>
          <w:sz w:val="20"/>
          <w:szCs w:val="20"/>
        </w:rPr>
        <w:lastRenderedPageBreak/>
        <w:t>en los niveles de concentración, por lo que puede dar lugar a conclusiones erróneas</w:t>
      </w:r>
      <w:r w:rsidR="001F371A" w:rsidRPr="001F371A" w:rsidDel="006C2FF0">
        <w:rPr>
          <w:rFonts w:ascii="Arial" w:hAnsi="Arial" w:cs="Arial"/>
          <w:i/>
          <w:iCs/>
          <w:sz w:val="20"/>
          <w:szCs w:val="20"/>
        </w:rPr>
        <w:t xml:space="preserve"> </w:t>
      </w:r>
      <w:r w:rsidR="001F371A" w:rsidRPr="001F371A">
        <w:rPr>
          <w:rFonts w:ascii="Arial" w:hAnsi="Arial" w:cs="Arial"/>
          <w:i/>
          <w:iCs/>
          <w:sz w:val="20"/>
          <w:szCs w:val="20"/>
        </w:rPr>
        <w:t>cuando los agentes económicos involucrados tengan participaciones sustanciales y simétricas</w:t>
      </w:r>
      <w:r w:rsidR="001F371A" w:rsidRPr="001F371A">
        <w:rPr>
          <w:rFonts w:ascii="Arial" w:hAnsi="Arial" w:cs="Arial"/>
          <w:sz w:val="20"/>
          <w:szCs w:val="20"/>
        </w:rPr>
        <w:t>.</w:t>
      </w:r>
      <w:r w:rsidR="001F371A">
        <w:rPr>
          <w:rFonts w:ascii="Arial" w:hAnsi="Arial" w:cs="Arial"/>
        </w:rPr>
        <w:t>”</w:t>
      </w:r>
      <w:r w:rsidR="001F371A" w:rsidRPr="001F371A">
        <w:rPr>
          <w:rFonts w:ascii="Arial" w:hAnsi="Arial" w:cs="Arial"/>
          <w:sz w:val="22"/>
          <w:szCs w:val="22"/>
        </w:rPr>
        <w:t xml:space="preserve"> </w:t>
      </w:r>
    </w:p>
    <w:p w14:paraId="46577588" w14:textId="31684620" w:rsidR="00122B0E" w:rsidRPr="008D0968" w:rsidRDefault="004528E7" w:rsidP="008D0968">
      <w:pPr>
        <w:pStyle w:val="Default"/>
        <w:spacing w:before="120" w:after="120" w:line="276" w:lineRule="auto"/>
        <w:ind w:right="-1"/>
        <w:jc w:val="both"/>
        <w:rPr>
          <w:rFonts w:ascii="Arial" w:hAnsi="Arial" w:cs="Arial"/>
          <w:sz w:val="22"/>
          <w:szCs w:val="22"/>
        </w:rPr>
      </w:pPr>
      <w:r>
        <w:rPr>
          <w:rFonts w:ascii="Arial" w:hAnsi="Arial" w:cs="Arial"/>
          <w:sz w:val="22"/>
          <w:szCs w:val="22"/>
        </w:rPr>
        <w:t>Por las mismas razones, e</w:t>
      </w:r>
      <w:r w:rsidR="00122B0E" w:rsidRPr="008D0968">
        <w:rPr>
          <w:rFonts w:ascii="Arial" w:hAnsi="Arial" w:cs="Arial"/>
          <w:sz w:val="22"/>
          <w:szCs w:val="22"/>
        </w:rPr>
        <w:t xml:space="preserve">n el </w:t>
      </w:r>
      <w:r>
        <w:rPr>
          <w:rFonts w:ascii="Arial" w:hAnsi="Arial" w:cs="Arial"/>
          <w:sz w:val="22"/>
          <w:szCs w:val="22"/>
        </w:rPr>
        <w:t>Ante</w:t>
      </w:r>
      <w:r w:rsidR="00122B0E" w:rsidRPr="008D0968">
        <w:rPr>
          <w:rFonts w:ascii="Arial" w:hAnsi="Arial" w:cs="Arial"/>
          <w:sz w:val="22"/>
          <w:szCs w:val="22"/>
        </w:rPr>
        <w:t xml:space="preserve">proyecto que se </w:t>
      </w:r>
      <w:r w:rsidR="00A778BB" w:rsidRPr="008D0968">
        <w:rPr>
          <w:rFonts w:ascii="Arial" w:hAnsi="Arial" w:cs="Arial"/>
          <w:sz w:val="22"/>
          <w:szCs w:val="22"/>
        </w:rPr>
        <w:t>somete a Consulta Pública</w:t>
      </w:r>
      <w:r w:rsidR="00122B0E" w:rsidRPr="008D0968">
        <w:rPr>
          <w:rFonts w:ascii="Arial" w:hAnsi="Arial" w:cs="Arial"/>
          <w:sz w:val="22"/>
          <w:szCs w:val="22"/>
        </w:rPr>
        <w:t xml:space="preserve">, se propone </w:t>
      </w:r>
      <w:r w:rsidR="00B965C3" w:rsidRPr="008D0968">
        <w:rPr>
          <w:rFonts w:ascii="Arial" w:hAnsi="Arial" w:cs="Arial"/>
          <w:sz w:val="22"/>
          <w:szCs w:val="22"/>
        </w:rPr>
        <w:t xml:space="preserve">seguir </w:t>
      </w:r>
      <w:r w:rsidR="00122B0E" w:rsidRPr="008D0968">
        <w:rPr>
          <w:rFonts w:ascii="Arial" w:hAnsi="Arial" w:cs="Arial"/>
          <w:sz w:val="22"/>
          <w:szCs w:val="22"/>
        </w:rPr>
        <w:t>adopta</w:t>
      </w:r>
      <w:r w:rsidR="00B965C3" w:rsidRPr="008D0968">
        <w:rPr>
          <w:rFonts w:ascii="Arial" w:hAnsi="Arial" w:cs="Arial"/>
          <w:sz w:val="22"/>
          <w:szCs w:val="22"/>
        </w:rPr>
        <w:t>ndo</w:t>
      </w:r>
      <w:r w:rsidR="00122B0E" w:rsidRPr="008D0968">
        <w:rPr>
          <w:rFonts w:ascii="Arial" w:hAnsi="Arial" w:cs="Arial"/>
          <w:sz w:val="22"/>
          <w:szCs w:val="22"/>
        </w:rPr>
        <w:t xml:space="preserve"> únicamente el IHH como indicador del grado de concentración en todos los procedimientos de la LFCE y LFTR que lo requieran, excepto </w:t>
      </w:r>
      <w:r w:rsidR="00DE48CA" w:rsidRPr="008D0968">
        <w:rPr>
          <w:rFonts w:ascii="Arial" w:hAnsi="Arial" w:cs="Arial"/>
          <w:sz w:val="22"/>
          <w:szCs w:val="22"/>
        </w:rPr>
        <w:t>cuando el Instituto resuelva conforme a lo</w:t>
      </w:r>
      <w:r w:rsidR="00122B0E" w:rsidRPr="008D0968">
        <w:rPr>
          <w:rFonts w:ascii="Arial" w:hAnsi="Arial" w:cs="Arial"/>
          <w:sz w:val="22"/>
          <w:szCs w:val="22"/>
        </w:rPr>
        <w:t xml:space="preserve"> previsto en el artículo Noveno Transitorio del Decreto que expidió la LFTR, el cual explícitamente </w:t>
      </w:r>
      <w:r w:rsidR="00DE48CA" w:rsidRPr="008D0968">
        <w:rPr>
          <w:rFonts w:ascii="Arial" w:hAnsi="Arial" w:cs="Arial"/>
          <w:sz w:val="22"/>
          <w:szCs w:val="22"/>
        </w:rPr>
        <w:t>señala el cálculo y aplicación del</w:t>
      </w:r>
      <w:r w:rsidR="00122B0E" w:rsidRPr="008D0968">
        <w:rPr>
          <w:rFonts w:ascii="Arial" w:hAnsi="Arial" w:cs="Arial"/>
          <w:sz w:val="22"/>
          <w:szCs w:val="22"/>
        </w:rPr>
        <w:t xml:space="preserve"> IHH y el ID.</w:t>
      </w:r>
    </w:p>
    <w:p w14:paraId="1987E5FF" w14:textId="77777777" w:rsidR="005B7070" w:rsidRPr="005B7070" w:rsidRDefault="005B7070" w:rsidP="005B7070">
      <w:pPr>
        <w:spacing w:before="120" w:after="120"/>
        <w:jc w:val="both"/>
        <w:rPr>
          <w:rFonts w:ascii="Arial" w:hAnsi="Arial" w:cs="Arial"/>
        </w:rPr>
      </w:pPr>
    </w:p>
    <w:p w14:paraId="79758B65" w14:textId="77777777" w:rsidR="00C262B6" w:rsidRPr="00C9666A" w:rsidRDefault="00193362" w:rsidP="00C9666A">
      <w:pPr>
        <w:pStyle w:val="Ttulo1"/>
        <w:numPr>
          <w:ilvl w:val="0"/>
          <w:numId w:val="38"/>
        </w:numPr>
        <w:spacing w:before="120" w:after="120"/>
        <w:rPr>
          <w:rFonts w:ascii="Arial" w:hAnsi="Arial" w:cs="Arial"/>
          <w:b/>
          <w:color w:val="auto"/>
          <w:sz w:val="22"/>
        </w:rPr>
      </w:pPr>
      <w:bookmarkStart w:id="3" w:name="_Toc432706531"/>
      <w:r w:rsidRPr="00C9666A">
        <w:rPr>
          <w:rFonts w:ascii="Arial" w:hAnsi="Arial" w:cs="Arial"/>
          <w:b/>
          <w:color w:val="auto"/>
          <w:sz w:val="22"/>
        </w:rPr>
        <w:t>IHH</w:t>
      </w:r>
      <w:bookmarkEnd w:id="3"/>
    </w:p>
    <w:p w14:paraId="7B0943C3" w14:textId="77777777" w:rsidR="00C262B6" w:rsidRPr="00C9666A" w:rsidRDefault="00C262B6"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Para el cálculo del </w:t>
      </w:r>
      <w:r w:rsidR="00193362" w:rsidRPr="00C9666A">
        <w:rPr>
          <w:rFonts w:ascii="Arial" w:eastAsia="Times New Roman" w:hAnsi="Arial" w:cs="Arial"/>
          <w:color w:val="000000"/>
          <w:lang w:eastAsia="es-MX"/>
        </w:rPr>
        <w:t>IHH</w:t>
      </w:r>
      <w:r w:rsidRPr="00C9666A">
        <w:rPr>
          <w:rFonts w:ascii="Arial" w:eastAsia="Times New Roman" w:hAnsi="Arial" w:cs="Arial"/>
          <w:color w:val="000000"/>
          <w:lang w:eastAsia="es-MX"/>
        </w:rPr>
        <w:t xml:space="preserve"> se requiere </w:t>
      </w:r>
      <w:r w:rsidR="00DF1C25" w:rsidRPr="00C9666A">
        <w:rPr>
          <w:rFonts w:ascii="Arial" w:eastAsia="Times New Roman" w:hAnsi="Arial" w:cs="Arial"/>
          <w:color w:val="000000"/>
          <w:lang w:eastAsia="es-MX"/>
        </w:rPr>
        <w:t xml:space="preserve">información de </w:t>
      </w:r>
      <w:r w:rsidRPr="00C9666A">
        <w:rPr>
          <w:rFonts w:ascii="Arial" w:eastAsia="Times New Roman" w:hAnsi="Arial" w:cs="Arial"/>
          <w:color w:val="000000"/>
          <w:lang w:eastAsia="es-MX"/>
        </w:rPr>
        <w:t xml:space="preserve">participaciones </w:t>
      </w:r>
      <w:r w:rsidR="00DF1C25" w:rsidRPr="00C9666A">
        <w:rPr>
          <w:rFonts w:ascii="Arial" w:eastAsia="Times New Roman" w:hAnsi="Arial" w:cs="Arial"/>
          <w:color w:val="000000"/>
          <w:lang w:eastAsia="es-MX"/>
        </w:rPr>
        <w:t xml:space="preserve">en términos de algún </w:t>
      </w:r>
      <w:r w:rsidRPr="00C9666A">
        <w:rPr>
          <w:rFonts w:ascii="Arial" w:eastAsia="Times New Roman" w:hAnsi="Arial" w:cs="Arial"/>
          <w:color w:val="000000"/>
          <w:lang w:eastAsia="es-MX"/>
        </w:rPr>
        <w:t>indicador aceptable, por ejemplo</w:t>
      </w:r>
      <w:r w:rsidR="00CE1C21" w:rsidRPr="00C9666A">
        <w:rPr>
          <w:rFonts w:ascii="Arial" w:eastAsia="Times New Roman" w:hAnsi="Arial" w:cs="Arial"/>
          <w:color w:val="000000"/>
          <w:lang w:eastAsia="es-MX"/>
        </w:rPr>
        <w:t>:</w:t>
      </w:r>
      <w:r w:rsidRPr="00C9666A">
        <w:rPr>
          <w:rFonts w:ascii="Arial" w:eastAsia="Times New Roman" w:hAnsi="Arial" w:cs="Arial"/>
          <w:color w:val="000000"/>
          <w:lang w:eastAsia="es-MX"/>
        </w:rPr>
        <w:t xml:space="preserve"> ventas,</w:t>
      </w:r>
      <w:r w:rsidR="00AE5A5E" w:rsidRPr="00C9666A">
        <w:rPr>
          <w:rFonts w:ascii="Arial" w:eastAsia="Times New Roman" w:hAnsi="Arial" w:cs="Arial"/>
          <w:color w:val="000000"/>
          <w:lang w:eastAsia="es-MX"/>
        </w:rPr>
        <w:t xml:space="preserve"> </w:t>
      </w:r>
      <w:r w:rsidR="001241A4" w:rsidRPr="00C9666A">
        <w:rPr>
          <w:rFonts w:ascii="Arial" w:eastAsia="Times New Roman" w:hAnsi="Arial" w:cs="Arial"/>
          <w:color w:val="000000"/>
          <w:lang w:eastAsia="es-MX"/>
        </w:rPr>
        <w:t>suscripciones</w:t>
      </w:r>
      <w:r w:rsidR="00193362" w:rsidRPr="00C9666A">
        <w:rPr>
          <w:rFonts w:ascii="Arial" w:eastAsia="Times New Roman" w:hAnsi="Arial" w:cs="Arial"/>
          <w:color w:val="000000"/>
          <w:lang w:eastAsia="es-MX"/>
        </w:rPr>
        <w:t xml:space="preserve"> de usuarios finales</w:t>
      </w:r>
      <w:r w:rsidR="00AE5A5E" w:rsidRPr="00C9666A">
        <w:rPr>
          <w:rFonts w:ascii="Arial" w:eastAsia="Times New Roman" w:hAnsi="Arial" w:cs="Arial"/>
          <w:color w:val="000000"/>
          <w:lang w:eastAsia="es-MX"/>
        </w:rPr>
        <w:t>,</w:t>
      </w:r>
      <w:r w:rsidRPr="00C9666A">
        <w:rPr>
          <w:rFonts w:ascii="Arial" w:eastAsia="Times New Roman" w:hAnsi="Arial" w:cs="Arial"/>
          <w:color w:val="000000"/>
          <w:lang w:eastAsia="es-MX"/>
        </w:rPr>
        <w:t xml:space="preserve"> ingresos, capacidad instalada, etc. </w:t>
      </w:r>
      <w:r w:rsidR="00FE560F" w:rsidRPr="00C9666A">
        <w:rPr>
          <w:rFonts w:ascii="Arial" w:eastAsia="Times New Roman" w:hAnsi="Arial" w:cs="Arial"/>
          <w:color w:val="000000"/>
          <w:lang w:eastAsia="es-MX"/>
        </w:rPr>
        <w:t>P</w:t>
      </w:r>
      <w:r w:rsidRPr="00C9666A">
        <w:rPr>
          <w:rFonts w:ascii="Arial" w:eastAsia="Times New Roman" w:hAnsi="Arial" w:cs="Arial"/>
          <w:color w:val="000000"/>
          <w:lang w:eastAsia="es-MX"/>
        </w:rPr>
        <w:t xml:space="preserve">or ejemplo, </w:t>
      </w:r>
      <w:r w:rsidR="00F00D5D" w:rsidRPr="00C9666A">
        <w:rPr>
          <w:rFonts w:ascii="Arial" w:eastAsia="Times New Roman" w:hAnsi="Arial" w:cs="Arial"/>
          <w:color w:val="000000"/>
          <w:lang w:eastAsia="es-MX"/>
        </w:rPr>
        <w:t xml:space="preserve">si se considera la variable de valor de las ventas y se define a </w:t>
      </w:r>
      <m:oMath>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V</m:t>
            </m:r>
          </m:e>
          <m:sub>
            <m:r>
              <w:rPr>
                <w:rFonts w:ascii="Cambria Math" w:eastAsia="Times New Roman" w:hAnsi="Cambria Math" w:cs="Arial"/>
                <w:color w:val="000000"/>
                <w:lang w:eastAsia="es-MX"/>
              </w:rPr>
              <m:t>i</m:t>
            </m:r>
          </m:sub>
        </m:sSub>
      </m:oMath>
      <w:r w:rsidR="00F00D5D" w:rsidRPr="00C9666A">
        <w:rPr>
          <w:rFonts w:ascii="Arial" w:eastAsia="Times New Roman" w:hAnsi="Arial" w:cs="Arial"/>
          <w:i/>
          <w:color w:val="000000"/>
          <w:lang w:eastAsia="es-MX"/>
        </w:rPr>
        <w:t xml:space="preserve"> </w:t>
      </w:r>
      <w:r w:rsidR="00F00D5D" w:rsidRPr="00C9666A">
        <w:rPr>
          <w:rFonts w:ascii="Arial" w:eastAsia="Times New Roman" w:hAnsi="Arial" w:cs="Arial"/>
          <w:color w:val="000000"/>
          <w:lang w:eastAsia="es-MX"/>
        </w:rPr>
        <w:t xml:space="preserve">como el valor de ventas del </w:t>
      </w:r>
      <m:oMath>
        <m:r>
          <w:rPr>
            <w:rFonts w:ascii="Cambria Math" w:eastAsia="Times New Roman" w:hAnsi="Cambria Math" w:cs="Arial"/>
            <w:color w:val="000000"/>
            <w:lang w:eastAsia="es-MX"/>
          </w:rPr>
          <m:t>i</m:t>
        </m:r>
      </m:oMath>
      <w:r w:rsidR="00F00D5D" w:rsidRPr="00C9666A">
        <w:rPr>
          <w:rFonts w:ascii="Arial" w:eastAsia="Times New Roman" w:hAnsi="Arial" w:cs="Arial"/>
          <w:color w:val="000000"/>
          <w:lang w:eastAsia="es-MX"/>
        </w:rPr>
        <w:t>-ésimo agente económico</w:t>
      </w:r>
      <w:r w:rsidRPr="00C9666A">
        <w:rPr>
          <w:rFonts w:ascii="Arial" w:eastAsia="Times New Roman" w:hAnsi="Arial" w:cs="Arial"/>
          <w:color w:val="000000"/>
          <w:lang w:eastAsia="es-MX"/>
        </w:rPr>
        <w:t xml:space="preserve"> y a </w:t>
      </w:r>
      <m:oMath>
        <m:r>
          <w:rPr>
            <w:rFonts w:ascii="Cambria Math" w:eastAsia="Times New Roman" w:hAnsi="Cambria Math" w:cs="Arial"/>
            <w:color w:val="000000"/>
            <w:lang w:eastAsia="es-MX"/>
          </w:rPr>
          <m:t>V</m:t>
        </m:r>
      </m:oMath>
      <w:r w:rsidR="00AB5B1E" w:rsidRPr="00C9666A">
        <w:rPr>
          <w:rFonts w:ascii="Arial" w:eastAsia="Times New Roman" w:hAnsi="Arial" w:cs="Arial"/>
          <w:color w:val="000000"/>
          <w:lang w:eastAsia="es-MX"/>
        </w:rPr>
        <w:t xml:space="preserve"> </w:t>
      </w:r>
      <w:r w:rsidRPr="00C9666A">
        <w:rPr>
          <w:rFonts w:ascii="Arial" w:eastAsia="Times New Roman" w:hAnsi="Arial" w:cs="Arial"/>
          <w:color w:val="000000"/>
          <w:lang w:eastAsia="es-MX"/>
        </w:rPr>
        <w:t xml:space="preserve">como el valor de ventas </w:t>
      </w:r>
      <w:r w:rsidR="00F00D5D" w:rsidRPr="00C9666A">
        <w:rPr>
          <w:rFonts w:ascii="Arial" w:eastAsia="Times New Roman" w:hAnsi="Arial" w:cs="Arial"/>
          <w:color w:val="000000"/>
          <w:lang w:eastAsia="es-MX"/>
        </w:rPr>
        <w:t xml:space="preserve">total, </w:t>
      </w:r>
      <w:r w:rsidR="00CE1C21" w:rsidRPr="00C9666A">
        <w:rPr>
          <w:rFonts w:ascii="Arial" w:eastAsia="Times New Roman" w:hAnsi="Arial" w:cs="Arial"/>
          <w:color w:val="000000"/>
          <w:lang w:eastAsia="es-MX"/>
        </w:rPr>
        <w:t>donde</w:t>
      </w:r>
      <w:r w:rsidRPr="00C9666A">
        <w:rPr>
          <w:rFonts w:ascii="Arial" w:eastAsia="Times New Roman" w:hAnsi="Arial" w:cs="Arial"/>
          <w:color w:val="000000"/>
          <w:lang w:eastAsia="es-MX"/>
        </w:rPr>
        <w:t xml:space="preserve"> </w:t>
      </w:r>
      <m:oMath>
        <m:r>
          <w:rPr>
            <w:rFonts w:ascii="Cambria Math" w:eastAsia="Times New Roman" w:hAnsi="Cambria Math" w:cs="Arial"/>
            <w:color w:val="000000"/>
            <w:lang w:eastAsia="es-MX"/>
          </w:rPr>
          <m:t>V=</m:t>
        </m:r>
        <m:nary>
          <m:naryPr>
            <m:chr m:val="∑"/>
            <m:limLoc m:val="undOvr"/>
            <m:supHide m:val="1"/>
            <m:ctrlPr>
              <w:rPr>
                <w:rFonts w:ascii="Cambria Math" w:eastAsia="Times New Roman" w:hAnsi="Cambria Math" w:cs="Arial"/>
                <w:i/>
                <w:color w:val="000000"/>
                <w:lang w:eastAsia="es-MX"/>
              </w:rPr>
            </m:ctrlPr>
          </m:naryPr>
          <m:sub>
            <m:r>
              <w:rPr>
                <w:rFonts w:ascii="Cambria Math" w:eastAsia="Times New Roman" w:hAnsi="Cambria Math" w:cs="Arial"/>
                <w:color w:val="000000"/>
                <w:lang w:eastAsia="es-MX"/>
              </w:rPr>
              <m:t>i</m:t>
            </m:r>
          </m:sub>
          <m:sup/>
          <m:e>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V</m:t>
                </m:r>
              </m:e>
              <m:sub>
                <m:r>
                  <w:rPr>
                    <w:rFonts w:ascii="Cambria Math" w:eastAsia="Times New Roman" w:hAnsi="Cambria Math" w:cs="Arial"/>
                    <w:color w:val="000000"/>
                    <w:lang w:eastAsia="es-MX"/>
                  </w:rPr>
                  <m:t>i</m:t>
                </m:r>
              </m:sub>
            </m:sSub>
          </m:e>
        </m:nary>
      </m:oMath>
      <w:r w:rsidR="00CE1C21" w:rsidRPr="00C9666A">
        <w:rPr>
          <w:rFonts w:ascii="Arial" w:eastAsia="Times New Roman" w:hAnsi="Arial" w:cs="Arial"/>
          <w:i/>
          <w:color w:val="000000"/>
          <w:lang w:eastAsia="es-MX"/>
        </w:rPr>
        <w:t>,</w:t>
      </w:r>
      <w:r w:rsidRPr="00C9666A">
        <w:rPr>
          <w:rFonts w:ascii="Arial" w:eastAsia="Times New Roman" w:hAnsi="Arial" w:cs="Arial"/>
          <w:color w:val="000000"/>
          <w:lang w:eastAsia="es-MX"/>
        </w:rPr>
        <w:t xml:space="preserve"> </w:t>
      </w:r>
      <w:r w:rsidR="00CE1C21" w:rsidRPr="00C9666A">
        <w:rPr>
          <w:rFonts w:ascii="Arial" w:eastAsia="Times New Roman" w:hAnsi="Arial" w:cs="Arial"/>
          <w:color w:val="000000"/>
          <w:lang w:eastAsia="es-MX"/>
        </w:rPr>
        <w:t>e</w:t>
      </w:r>
      <w:r w:rsidRPr="00C9666A">
        <w:rPr>
          <w:rFonts w:ascii="Arial" w:eastAsia="Times New Roman" w:hAnsi="Arial" w:cs="Arial"/>
          <w:color w:val="000000"/>
          <w:lang w:eastAsia="es-MX"/>
        </w:rPr>
        <w:t xml:space="preserve">ntonces, la </w:t>
      </w:r>
      <w:r w:rsidRPr="00C9666A">
        <w:rPr>
          <w:rFonts w:ascii="Arial" w:eastAsia="Times New Roman" w:hAnsi="Arial" w:cs="Arial"/>
          <w:b/>
          <w:color w:val="000000"/>
          <w:lang w:eastAsia="es-MX"/>
        </w:rPr>
        <w:t xml:space="preserve">participación </w:t>
      </w:r>
      <w:r w:rsidRPr="00C9666A">
        <w:rPr>
          <w:rFonts w:ascii="Arial" w:eastAsia="Times New Roman" w:hAnsi="Arial" w:cs="Arial"/>
          <w:color w:val="000000"/>
          <w:lang w:eastAsia="es-MX"/>
        </w:rPr>
        <w:t xml:space="preserve">del </w:t>
      </w:r>
      <m:oMath>
        <m:r>
          <w:rPr>
            <w:rFonts w:ascii="Cambria Math" w:eastAsia="Times New Roman" w:hAnsi="Cambria Math" w:cs="Arial"/>
            <w:color w:val="000000"/>
            <w:lang w:eastAsia="es-MX"/>
          </w:rPr>
          <m:t>i</m:t>
        </m:r>
      </m:oMath>
      <w:r w:rsidR="00CE1C21" w:rsidRPr="00C9666A">
        <w:rPr>
          <w:rFonts w:ascii="Arial" w:eastAsia="Times New Roman" w:hAnsi="Arial" w:cs="Arial"/>
          <w:color w:val="000000"/>
          <w:lang w:eastAsia="es-MX"/>
        </w:rPr>
        <w:t xml:space="preserve">-ésimo </w:t>
      </w:r>
      <w:r w:rsidRPr="00C9666A">
        <w:rPr>
          <w:rFonts w:ascii="Arial" w:eastAsia="Times New Roman" w:hAnsi="Arial" w:cs="Arial"/>
          <w:color w:val="000000"/>
          <w:lang w:eastAsia="es-MX"/>
        </w:rPr>
        <w:t>agente económico en el mercado,</w:t>
      </w:r>
      <w:r w:rsidR="00510CF5" w:rsidRPr="00C9666A">
        <w:rPr>
          <w:rFonts w:ascii="Arial" w:eastAsia="Times New Roman" w:hAnsi="Arial" w:cs="Arial"/>
          <w:color w:val="000000"/>
          <w:lang w:eastAsia="es-MX"/>
        </w:rPr>
        <w:t xml:space="preserve"> que se identificará como</w:t>
      </w:r>
      <w:r w:rsidRPr="00C9666A">
        <w:rPr>
          <w:rFonts w:ascii="Arial" w:eastAsia="Times New Roman" w:hAnsi="Arial" w:cs="Arial"/>
          <w:color w:val="000000"/>
          <w:lang w:eastAsia="es-MX"/>
        </w:rPr>
        <w:t xml:space="preserve"> </w:t>
      </w:r>
      <m:oMath>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oMath>
      <w:r w:rsidRPr="00C9666A">
        <w:rPr>
          <w:rFonts w:ascii="Arial" w:eastAsia="Times New Roman" w:hAnsi="Arial" w:cs="Arial"/>
          <w:color w:val="000000"/>
          <w:lang w:eastAsia="es-MX"/>
        </w:rPr>
        <w:t>, se define como:</w:t>
      </w:r>
    </w:p>
    <w:p w14:paraId="28870B20" w14:textId="77777777" w:rsidR="00C262B6" w:rsidRPr="00C9666A" w:rsidRDefault="00B35551" w:rsidP="00C9666A">
      <w:pPr>
        <w:shd w:val="clear" w:color="auto" w:fill="FFFFFF"/>
        <w:spacing w:before="120" w:after="120"/>
        <w:ind w:right="-1"/>
        <w:jc w:val="both"/>
        <w:rPr>
          <w:rFonts w:ascii="Arial" w:eastAsia="Times New Roman" w:hAnsi="Arial" w:cs="Arial"/>
          <w:i/>
          <w:color w:val="000000"/>
          <w:lang w:eastAsia="es-MX"/>
        </w:rPr>
      </w:pPr>
      <m:oMathPara>
        <m:oMath>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r>
            <w:rPr>
              <w:rFonts w:ascii="Cambria Math" w:eastAsia="Times New Roman" w:hAnsi="Cambria Math" w:cs="Arial"/>
              <w:color w:val="000000"/>
              <w:lang w:eastAsia="es-MX"/>
            </w:rPr>
            <m:t>=</m:t>
          </m:r>
          <m:d>
            <m:dPr>
              <m:ctrlPr>
                <w:rPr>
                  <w:rFonts w:ascii="Cambria Math" w:eastAsia="Times New Roman" w:hAnsi="Cambria Math" w:cs="Arial"/>
                  <w:i/>
                  <w:color w:val="000000"/>
                  <w:lang w:eastAsia="es-MX"/>
                </w:rPr>
              </m:ctrlPr>
            </m:dPr>
            <m:e>
              <m:f>
                <m:fPr>
                  <m:ctrlPr>
                    <w:rPr>
                      <w:rFonts w:ascii="Cambria Math" w:eastAsia="Times New Roman" w:hAnsi="Cambria Math" w:cs="Arial"/>
                      <w:i/>
                      <w:color w:val="000000"/>
                      <w:lang w:eastAsia="es-MX"/>
                    </w:rPr>
                  </m:ctrlPr>
                </m:fPr>
                <m:num>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V</m:t>
                      </m:r>
                    </m:e>
                    <m:sub>
                      <m:r>
                        <w:rPr>
                          <w:rFonts w:ascii="Cambria Math" w:eastAsia="Times New Roman" w:hAnsi="Cambria Math" w:cs="Arial"/>
                          <w:color w:val="000000"/>
                          <w:lang w:eastAsia="es-MX"/>
                        </w:rPr>
                        <m:t>i</m:t>
                      </m:r>
                    </m:sub>
                  </m:sSub>
                </m:num>
                <m:den>
                  <m:r>
                    <w:rPr>
                      <w:rFonts w:ascii="Cambria Math" w:eastAsia="Times New Roman" w:hAnsi="Cambria Math" w:cs="Arial"/>
                      <w:color w:val="000000"/>
                      <w:lang w:eastAsia="es-MX"/>
                    </w:rPr>
                    <m:t>V</m:t>
                  </m:r>
                </m:den>
              </m:f>
            </m:e>
          </m:d>
          <m:r>
            <w:rPr>
              <w:rFonts w:ascii="Cambria Math" w:eastAsia="Times New Roman" w:hAnsi="Cambria Math" w:cs="Arial"/>
              <w:color w:val="000000"/>
              <w:lang w:eastAsia="es-MX"/>
            </w:rPr>
            <m:t xml:space="preserve"> X 100</m:t>
          </m:r>
        </m:oMath>
      </m:oMathPara>
    </w:p>
    <w:p w14:paraId="4751F03E" w14:textId="77777777" w:rsidR="00C262B6" w:rsidRPr="00C9666A" w:rsidRDefault="00AE5A5E"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Tomando la expresión anterior, </w:t>
      </w:r>
      <w:r w:rsidR="00C262B6" w:rsidRPr="00C9666A">
        <w:rPr>
          <w:rFonts w:ascii="Arial" w:eastAsia="Times New Roman" w:hAnsi="Arial" w:cs="Arial"/>
          <w:color w:val="000000"/>
          <w:lang w:eastAsia="es-MX"/>
        </w:rPr>
        <w:t xml:space="preserve">el </w:t>
      </w:r>
      <w:r w:rsidR="00193362" w:rsidRPr="00C9666A">
        <w:rPr>
          <w:rFonts w:ascii="Arial" w:eastAsia="Times New Roman" w:hAnsi="Arial" w:cs="Arial"/>
          <w:b/>
          <w:color w:val="000000"/>
          <w:lang w:eastAsia="es-MX"/>
        </w:rPr>
        <w:t>I</w:t>
      </w:r>
      <w:r w:rsidR="00C262B6" w:rsidRPr="00C9666A">
        <w:rPr>
          <w:rFonts w:ascii="Arial" w:eastAsia="Times New Roman" w:hAnsi="Arial" w:cs="Arial"/>
          <w:b/>
          <w:color w:val="000000"/>
          <w:lang w:eastAsia="es-MX"/>
        </w:rPr>
        <w:t>H</w:t>
      </w:r>
      <w:r w:rsidR="00DF1C25" w:rsidRPr="00C9666A">
        <w:rPr>
          <w:rFonts w:ascii="Arial" w:eastAsia="Times New Roman" w:hAnsi="Arial" w:cs="Arial"/>
          <w:b/>
          <w:color w:val="000000"/>
          <w:lang w:eastAsia="es-MX"/>
        </w:rPr>
        <w:t>H</w:t>
      </w:r>
      <w:r w:rsidR="00C262B6" w:rsidRPr="00C9666A">
        <w:rPr>
          <w:rFonts w:ascii="Arial" w:eastAsia="Times New Roman" w:hAnsi="Arial" w:cs="Arial"/>
          <w:color w:val="000000"/>
          <w:lang w:eastAsia="es-MX"/>
        </w:rPr>
        <w:t xml:space="preserve"> se define como la suma de las participaciones de cada agente ec</w:t>
      </w:r>
      <w:r w:rsidR="00D77A59" w:rsidRPr="00C9666A">
        <w:rPr>
          <w:rFonts w:ascii="Arial" w:eastAsia="Times New Roman" w:hAnsi="Arial" w:cs="Arial"/>
          <w:color w:val="000000"/>
          <w:lang w:eastAsia="es-MX"/>
        </w:rPr>
        <w:t xml:space="preserve">onómico en el mercado </w:t>
      </w:r>
      <w:r w:rsidR="00C262B6" w:rsidRPr="00C9666A">
        <w:rPr>
          <w:rFonts w:ascii="Arial" w:eastAsia="Times New Roman" w:hAnsi="Arial" w:cs="Arial"/>
          <w:color w:val="000000"/>
          <w:lang w:eastAsia="es-MX"/>
        </w:rPr>
        <w:t>elevadas al cuadrado, es decir,</w:t>
      </w:r>
      <w:r w:rsidR="002257D7" w:rsidRPr="00C9666A">
        <w:rPr>
          <w:rStyle w:val="Refdenotaalpie"/>
          <w:rFonts w:ascii="Arial" w:eastAsia="Times New Roman" w:hAnsi="Arial" w:cs="Arial"/>
          <w:color w:val="000000"/>
          <w:lang w:eastAsia="es-MX"/>
        </w:rPr>
        <w:footnoteReference w:id="12"/>
      </w:r>
    </w:p>
    <w:p w14:paraId="475CB878" w14:textId="2EF01127" w:rsidR="00F36799" w:rsidRPr="00C9666A" w:rsidRDefault="00687AB4" w:rsidP="00C9666A">
      <w:pPr>
        <w:shd w:val="clear" w:color="auto" w:fill="FFFFFF"/>
        <w:spacing w:before="120" w:after="120"/>
        <w:ind w:right="-1" w:firstLine="288"/>
        <w:jc w:val="center"/>
        <w:rPr>
          <w:rFonts w:ascii="Arial" w:eastAsia="Times New Roman" w:hAnsi="Arial" w:cs="Arial"/>
          <w:color w:val="000000"/>
          <w:lang w:eastAsia="es-MX"/>
        </w:rPr>
      </w:pPr>
      <m:oMathPara>
        <m:oMath>
          <m:r>
            <w:rPr>
              <w:rFonts w:ascii="Cambria Math" w:eastAsia="Times New Roman" w:hAnsi="Cambria Math" w:cs="Arial"/>
              <w:color w:val="000000"/>
              <w:lang w:eastAsia="es-MX"/>
            </w:rPr>
            <m:t>IHH=</m:t>
          </m:r>
          <m:nary>
            <m:naryPr>
              <m:chr m:val="∑"/>
              <m:limLoc m:val="subSup"/>
              <m:ctrlPr>
                <w:rPr>
                  <w:rFonts w:ascii="Cambria Math" w:eastAsia="Times New Roman" w:hAnsi="Cambria Math" w:cs="Arial"/>
                  <w:i/>
                  <w:color w:val="000000"/>
                  <w:lang w:eastAsia="es-MX"/>
                </w:rPr>
              </m:ctrlPr>
            </m:naryPr>
            <m:sub>
              <m:r>
                <w:rPr>
                  <w:rFonts w:ascii="Cambria Math" w:eastAsia="Times New Roman" w:hAnsi="Cambria Math" w:cs="Arial"/>
                  <w:color w:val="000000"/>
                  <w:lang w:eastAsia="es-MX"/>
                </w:rPr>
                <m:t>i=1</m:t>
              </m:r>
            </m:sub>
            <m:sup>
              <m:r>
                <w:rPr>
                  <w:rFonts w:ascii="Cambria Math" w:eastAsia="Times New Roman" w:hAnsi="Cambria Math" w:cs="Arial"/>
                  <w:color w:val="000000"/>
                  <w:lang w:eastAsia="es-MX"/>
                </w:rPr>
                <m:t>N</m:t>
              </m:r>
            </m:sup>
            <m:e>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up>
                  <m:r>
                    <w:rPr>
                      <w:rFonts w:ascii="Cambria Math" w:eastAsia="Times New Roman" w:hAnsi="Cambria Math" w:cs="Arial"/>
                      <w:color w:val="000000"/>
                      <w:lang w:eastAsia="es-MX"/>
                    </w:rPr>
                    <m:t>2</m:t>
                  </m:r>
                </m:sup>
              </m:sSubSup>
            </m:e>
          </m:nary>
        </m:oMath>
      </m:oMathPara>
    </w:p>
    <w:p w14:paraId="1CE8EE62" w14:textId="77777777" w:rsidR="00B53527" w:rsidRPr="00C9666A" w:rsidRDefault="00A9592E"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Nótese que, por definición, el </w:t>
      </w:r>
      <w:r w:rsidR="00193362" w:rsidRPr="00C9666A">
        <w:rPr>
          <w:rFonts w:ascii="Arial" w:eastAsia="Times New Roman" w:hAnsi="Arial" w:cs="Arial"/>
          <w:color w:val="000000"/>
          <w:lang w:eastAsia="es-MX"/>
        </w:rPr>
        <w:t>I</w:t>
      </w:r>
      <w:r w:rsidR="00C262B6" w:rsidRPr="00C9666A">
        <w:rPr>
          <w:rFonts w:ascii="Arial" w:eastAsia="Times New Roman" w:hAnsi="Arial" w:cs="Arial"/>
          <w:color w:val="000000"/>
          <w:lang w:eastAsia="es-MX"/>
        </w:rPr>
        <w:t>H</w:t>
      </w:r>
      <w:r w:rsidR="00A117C6" w:rsidRPr="00C9666A">
        <w:rPr>
          <w:rFonts w:ascii="Arial" w:eastAsia="Times New Roman" w:hAnsi="Arial" w:cs="Arial"/>
          <w:color w:val="000000"/>
          <w:lang w:eastAsia="es-MX"/>
        </w:rPr>
        <w:t>H</w:t>
      </w:r>
      <w:r w:rsidR="00C262B6" w:rsidRPr="00C9666A">
        <w:rPr>
          <w:rFonts w:ascii="Arial" w:eastAsia="Times New Roman" w:hAnsi="Arial" w:cs="Arial"/>
          <w:color w:val="000000"/>
          <w:lang w:eastAsia="es-MX"/>
        </w:rPr>
        <w:t xml:space="preserve"> </w:t>
      </w:r>
      <w:r w:rsidRPr="00C9666A">
        <w:rPr>
          <w:rFonts w:ascii="Arial" w:eastAsia="Times New Roman" w:hAnsi="Arial" w:cs="Arial"/>
          <w:color w:val="000000"/>
          <w:lang w:eastAsia="es-MX"/>
        </w:rPr>
        <w:t xml:space="preserve">considera </w:t>
      </w:r>
      <w:r w:rsidR="00F00D5D" w:rsidRPr="00C9666A">
        <w:rPr>
          <w:rFonts w:ascii="Arial" w:hAnsi="Arial" w:cs="Arial"/>
          <w:color w:val="000000"/>
        </w:rPr>
        <w:t xml:space="preserve">todo el mercado y el tamaño relativo de </w:t>
      </w:r>
      <w:r w:rsidR="00815A30" w:rsidRPr="00C9666A">
        <w:rPr>
          <w:rFonts w:ascii="Arial" w:hAnsi="Arial" w:cs="Arial"/>
          <w:color w:val="000000"/>
        </w:rPr>
        <w:t>los agentes económicos</w:t>
      </w:r>
      <w:r w:rsidR="00815A30" w:rsidRPr="00C9666A">
        <w:rPr>
          <w:rFonts w:ascii="Arial" w:eastAsia="Times New Roman" w:hAnsi="Arial" w:cs="Arial"/>
          <w:color w:val="000000"/>
          <w:lang w:eastAsia="es-MX"/>
        </w:rPr>
        <w:t>, aunque en ocasiones no se cuenta con información de la participación de cada uno de los agentes económicos, principalmente los de menor participación.</w:t>
      </w:r>
    </w:p>
    <w:p w14:paraId="44B77E9F" w14:textId="77777777" w:rsidR="00C262B6" w:rsidRPr="00C9666A" w:rsidRDefault="00CE1C21"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t>Reescribiendo</w:t>
      </w:r>
      <w:r w:rsidR="00C262B6" w:rsidRPr="00C9666A">
        <w:rPr>
          <w:rFonts w:ascii="Arial" w:eastAsia="Times New Roman" w:hAnsi="Arial" w:cs="Arial"/>
          <w:color w:val="000000"/>
          <w:lang w:eastAsia="es-MX"/>
        </w:rPr>
        <w:t xml:space="preserve"> la ecuación anterior</w:t>
      </w:r>
      <w:r w:rsidR="00A9592E" w:rsidRPr="00C9666A">
        <w:rPr>
          <w:rFonts w:ascii="Arial" w:eastAsia="Times New Roman" w:hAnsi="Arial" w:cs="Arial"/>
          <w:color w:val="000000"/>
          <w:lang w:eastAsia="es-MX"/>
        </w:rPr>
        <w:t xml:space="preserve">, el </w:t>
      </w:r>
      <w:r w:rsidR="00193362" w:rsidRPr="00C9666A">
        <w:rPr>
          <w:rFonts w:ascii="Arial" w:eastAsia="Times New Roman" w:hAnsi="Arial" w:cs="Arial"/>
          <w:color w:val="000000"/>
          <w:lang w:eastAsia="es-MX"/>
        </w:rPr>
        <w:t>IHH</w:t>
      </w:r>
      <w:r w:rsidR="00C262B6" w:rsidRPr="00C9666A">
        <w:rPr>
          <w:rFonts w:ascii="Arial" w:eastAsia="Times New Roman" w:hAnsi="Arial" w:cs="Arial"/>
          <w:color w:val="000000"/>
          <w:lang w:eastAsia="es-MX"/>
        </w:rPr>
        <w:t xml:space="preserve"> </w:t>
      </w:r>
      <w:r w:rsidR="00B53527" w:rsidRPr="00C9666A">
        <w:rPr>
          <w:rFonts w:ascii="Arial" w:eastAsia="Times New Roman" w:hAnsi="Arial" w:cs="Arial"/>
          <w:color w:val="000000"/>
          <w:lang w:eastAsia="es-MX"/>
        </w:rPr>
        <w:t>se puede entender</w:t>
      </w:r>
      <w:r w:rsidR="00C262B6" w:rsidRPr="00C9666A">
        <w:rPr>
          <w:rFonts w:ascii="Arial" w:eastAsia="Times New Roman" w:hAnsi="Arial" w:cs="Arial"/>
          <w:color w:val="000000"/>
          <w:lang w:eastAsia="es-MX"/>
        </w:rPr>
        <w:t xml:space="preserve"> </w:t>
      </w:r>
      <w:r w:rsidR="00B53527" w:rsidRPr="00C9666A">
        <w:rPr>
          <w:rFonts w:ascii="Arial" w:eastAsia="Times New Roman" w:hAnsi="Arial" w:cs="Arial"/>
          <w:color w:val="000000"/>
          <w:lang w:eastAsia="es-MX"/>
        </w:rPr>
        <w:t xml:space="preserve">como </w:t>
      </w:r>
      <w:r w:rsidR="00C262B6" w:rsidRPr="00C9666A">
        <w:rPr>
          <w:rFonts w:ascii="Arial" w:eastAsia="Times New Roman" w:hAnsi="Arial" w:cs="Arial"/>
          <w:color w:val="000000"/>
          <w:lang w:eastAsia="es-MX"/>
        </w:rPr>
        <w:t xml:space="preserve">un promedio </w:t>
      </w:r>
      <w:r w:rsidR="00A9592E" w:rsidRPr="00C9666A">
        <w:rPr>
          <w:rFonts w:ascii="Arial" w:eastAsia="Times New Roman" w:hAnsi="Arial" w:cs="Arial"/>
          <w:color w:val="000000"/>
          <w:lang w:eastAsia="es-MX"/>
        </w:rPr>
        <w:t xml:space="preserve">ponderado </w:t>
      </w:r>
      <w:r w:rsidR="00C262B6" w:rsidRPr="00C9666A">
        <w:rPr>
          <w:rFonts w:ascii="Arial" w:eastAsia="Times New Roman" w:hAnsi="Arial" w:cs="Arial"/>
          <w:color w:val="000000"/>
          <w:lang w:eastAsia="es-MX"/>
        </w:rPr>
        <w:t xml:space="preserve">de las participaciones de mercado de los agentes económicos, </w:t>
      </w:r>
      <w:r w:rsidR="00A9592E" w:rsidRPr="00C9666A">
        <w:rPr>
          <w:rFonts w:ascii="Arial" w:eastAsia="Times New Roman" w:hAnsi="Arial" w:cs="Arial"/>
          <w:color w:val="000000"/>
          <w:lang w:eastAsia="es-MX"/>
        </w:rPr>
        <w:t xml:space="preserve">donde las ponderaciones son </w:t>
      </w:r>
      <w:r w:rsidR="00C262B6" w:rsidRPr="00C9666A">
        <w:rPr>
          <w:rFonts w:ascii="Arial" w:eastAsia="Times New Roman" w:hAnsi="Arial" w:cs="Arial"/>
          <w:color w:val="000000"/>
          <w:lang w:eastAsia="es-MX"/>
        </w:rPr>
        <w:t xml:space="preserve">las </w:t>
      </w:r>
      <w:r w:rsidR="001A7D46" w:rsidRPr="00C9666A">
        <w:rPr>
          <w:rFonts w:ascii="Arial" w:eastAsia="Times New Roman" w:hAnsi="Arial" w:cs="Arial"/>
          <w:color w:val="000000"/>
          <w:lang w:eastAsia="es-MX"/>
        </w:rPr>
        <w:t xml:space="preserve">propias </w:t>
      </w:r>
      <w:r w:rsidR="00C262B6" w:rsidRPr="00C9666A">
        <w:rPr>
          <w:rFonts w:ascii="Arial" w:eastAsia="Times New Roman" w:hAnsi="Arial" w:cs="Arial"/>
          <w:color w:val="000000"/>
          <w:lang w:eastAsia="es-MX"/>
        </w:rPr>
        <w:t>participaciones de mercado</w:t>
      </w:r>
      <w:r w:rsidRPr="00C9666A">
        <w:rPr>
          <w:rFonts w:ascii="Arial" w:eastAsia="Times New Roman" w:hAnsi="Arial" w:cs="Arial"/>
          <w:color w:val="000000"/>
          <w:lang w:eastAsia="es-MX"/>
        </w:rPr>
        <w:t>. Esto es</w:t>
      </w:r>
      <w:r w:rsidR="00C262B6" w:rsidRPr="00C9666A">
        <w:rPr>
          <w:rFonts w:ascii="Arial" w:eastAsia="Times New Roman" w:hAnsi="Arial" w:cs="Arial"/>
          <w:color w:val="000000"/>
          <w:lang w:eastAsia="es-MX"/>
        </w:rPr>
        <w:t>:</w:t>
      </w:r>
    </w:p>
    <w:p w14:paraId="592556A1" w14:textId="343C175B" w:rsidR="00C262B6" w:rsidRPr="00C9666A" w:rsidRDefault="00A9592E" w:rsidP="00C9666A">
      <w:pPr>
        <w:shd w:val="clear" w:color="auto" w:fill="FFFFFF"/>
        <w:spacing w:before="120" w:after="120"/>
        <w:ind w:right="-1" w:firstLine="288"/>
        <w:jc w:val="center"/>
        <w:rPr>
          <w:rFonts w:ascii="Arial" w:eastAsia="Times New Roman" w:hAnsi="Arial" w:cs="Arial"/>
          <w:color w:val="000000"/>
          <w:lang w:eastAsia="es-MX"/>
        </w:rPr>
      </w:pPr>
      <w:r w:rsidRPr="00C9666A">
        <w:rPr>
          <w:rFonts w:ascii="Arial" w:eastAsia="Times New Roman" w:hAnsi="Arial" w:cs="Arial"/>
          <w:color w:val="000000"/>
          <w:lang w:eastAsia="es-MX"/>
        </w:rPr>
        <w:t xml:space="preserve"> </w:t>
      </w:r>
      <m:oMath>
        <m:r>
          <w:rPr>
            <w:rFonts w:ascii="Cambria Math" w:eastAsia="Times New Roman" w:hAnsi="Cambria Math" w:cs="Arial"/>
            <w:color w:val="000000"/>
            <w:lang w:eastAsia="es-MX"/>
          </w:rPr>
          <m:t>IHH=</m:t>
        </m:r>
        <m:nary>
          <m:naryPr>
            <m:chr m:val="∑"/>
            <m:limLoc m:val="undOvr"/>
            <m:supHide m:val="1"/>
            <m:ctrlPr>
              <w:rPr>
                <w:rFonts w:ascii="Cambria Math" w:eastAsia="Times New Roman" w:hAnsi="Cambria Math" w:cs="Arial"/>
                <w:i/>
                <w:color w:val="000000"/>
                <w:lang w:eastAsia="es-MX"/>
              </w:rPr>
            </m:ctrlPr>
          </m:naryPr>
          <m:sub>
            <m:r>
              <w:rPr>
                <w:rFonts w:ascii="Cambria Math" w:eastAsia="Times New Roman" w:hAnsi="Cambria Math" w:cs="Arial"/>
                <w:color w:val="000000"/>
                <w:lang w:eastAsia="es-MX"/>
              </w:rPr>
              <m:t>i</m:t>
            </m:r>
          </m:sub>
          <m:sup/>
          <m:e>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e>
        </m:nary>
      </m:oMath>
    </w:p>
    <w:p w14:paraId="31A01014" w14:textId="77777777" w:rsidR="00C262B6" w:rsidRPr="00C9666A" w:rsidRDefault="00B53527" w:rsidP="00C9666A">
      <w:pPr>
        <w:shd w:val="clear" w:color="auto" w:fill="FFFFFF"/>
        <w:spacing w:before="120" w:after="120"/>
        <w:ind w:right="-1"/>
        <w:rPr>
          <w:rFonts w:ascii="Arial" w:eastAsia="Times New Roman" w:hAnsi="Arial" w:cs="Arial"/>
          <w:color w:val="000000"/>
          <w:lang w:eastAsia="es-MX"/>
        </w:rPr>
      </w:pPr>
      <w:r w:rsidRPr="00C9666A">
        <w:rPr>
          <w:rFonts w:ascii="Arial" w:eastAsia="Times New Roman" w:hAnsi="Arial" w:cs="Arial"/>
          <w:color w:val="000000"/>
          <w:lang w:eastAsia="es-MX"/>
        </w:rPr>
        <w:t>d</w:t>
      </w:r>
      <w:r w:rsidR="00C262B6" w:rsidRPr="00C9666A">
        <w:rPr>
          <w:rFonts w:ascii="Arial" w:eastAsia="Times New Roman" w:hAnsi="Arial" w:cs="Arial"/>
          <w:color w:val="000000"/>
          <w:lang w:eastAsia="es-MX"/>
        </w:rPr>
        <w:t>onde</w:t>
      </w:r>
      <w:r w:rsidR="00376657" w:rsidRPr="00C9666A">
        <w:rPr>
          <w:rFonts w:ascii="Arial" w:eastAsia="Times New Roman" w:hAnsi="Arial" w:cs="Arial"/>
          <w:color w:val="000000"/>
          <w:lang w:eastAsia="es-MX"/>
        </w:rPr>
        <w:t xml:space="preserve"> los ponderadores están dados por</w:t>
      </w:r>
      <w:r w:rsidR="00C262B6" w:rsidRPr="00C9666A">
        <w:rPr>
          <w:rFonts w:ascii="Arial" w:eastAsia="Times New Roman" w:hAnsi="Arial" w:cs="Arial"/>
          <w:color w:val="000000"/>
          <w:lang w:eastAsia="es-MX"/>
        </w:rPr>
        <w:t xml:space="preserve"> </w:t>
      </w:r>
      <m:oMath>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oMath>
      <w:r w:rsidR="00C262B6" w:rsidRPr="00C9666A">
        <w:rPr>
          <w:rFonts w:ascii="Arial" w:eastAsia="Times New Roman" w:hAnsi="Arial" w:cs="Arial"/>
          <w:color w:val="000000"/>
          <w:lang w:eastAsia="es-MX"/>
        </w:rPr>
        <w:t xml:space="preserve"> y </w:t>
      </w:r>
      <m:oMath>
        <m:nary>
          <m:naryPr>
            <m:chr m:val="∑"/>
            <m:limLoc m:val="undOvr"/>
            <m:supHide m:val="1"/>
            <m:ctrlPr>
              <w:rPr>
                <w:rFonts w:ascii="Cambria Math" w:eastAsia="Times New Roman" w:hAnsi="Cambria Math" w:cs="Arial"/>
                <w:i/>
                <w:color w:val="000000"/>
                <w:lang w:eastAsia="es-MX"/>
              </w:rPr>
            </m:ctrlPr>
          </m:naryPr>
          <m:sub>
            <m:r>
              <w:rPr>
                <w:rFonts w:ascii="Cambria Math" w:eastAsia="Times New Roman" w:hAnsi="Cambria Math" w:cs="Arial"/>
                <w:color w:val="000000"/>
                <w:lang w:eastAsia="es-MX"/>
              </w:rPr>
              <m:t>i</m:t>
            </m:r>
          </m:sub>
          <m:sup/>
          <m:e>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e>
        </m:nary>
        <m:r>
          <w:rPr>
            <w:rFonts w:ascii="Cambria Math" w:eastAsia="Times New Roman" w:hAnsi="Cambria Math" w:cs="Arial"/>
            <w:color w:val="000000"/>
            <w:lang w:eastAsia="es-MX"/>
          </w:rPr>
          <m:t>=100</m:t>
        </m:r>
      </m:oMath>
      <w:r w:rsidR="00C262B6" w:rsidRPr="00C9666A">
        <w:rPr>
          <w:rFonts w:ascii="Arial" w:eastAsia="Times New Roman" w:hAnsi="Arial" w:cs="Arial"/>
          <w:color w:val="000000"/>
          <w:lang w:eastAsia="es-MX"/>
        </w:rPr>
        <w:t>.</w:t>
      </w:r>
    </w:p>
    <w:p w14:paraId="5CAD80AB" w14:textId="77777777" w:rsidR="00C262B6" w:rsidRPr="00C9666A" w:rsidRDefault="00CE1C21"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t>Por la forma en que se defin</w:t>
      </w:r>
      <w:r w:rsidR="00B53527" w:rsidRPr="00C9666A">
        <w:rPr>
          <w:rFonts w:ascii="Arial" w:eastAsia="Times New Roman" w:hAnsi="Arial" w:cs="Arial"/>
          <w:color w:val="000000"/>
          <w:lang w:eastAsia="es-MX"/>
        </w:rPr>
        <w:t>e</w:t>
      </w:r>
      <w:r w:rsidRPr="00C9666A">
        <w:rPr>
          <w:rFonts w:ascii="Arial" w:eastAsia="Times New Roman" w:hAnsi="Arial" w:cs="Arial"/>
          <w:color w:val="000000"/>
          <w:lang w:eastAsia="es-MX"/>
        </w:rPr>
        <w:t xml:space="preserve"> e</w:t>
      </w:r>
      <w:r w:rsidR="00634DDB" w:rsidRPr="00C9666A">
        <w:rPr>
          <w:rFonts w:ascii="Arial" w:eastAsia="Times New Roman" w:hAnsi="Arial" w:cs="Arial"/>
          <w:color w:val="000000"/>
          <w:lang w:eastAsia="es-MX"/>
        </w:rPr>
        <w:t>l</w:t>
      </w:r>
      <w:r w:rsidR="00C262B6" w:rsidRPr="00C9666A">
        <w:rPr>
          <w:rFonts w:ascii="Arial" w:eastAsia="Times New Roman" w:hAnsi="Arial" w:cs="Arial"/>
          <w:color w:val="000000"/>
          <w:lang w:eastAsia="es-MX"/>
        </w:rPr>
        <w:t xml:space="preserve"> </w:t>
      </w:r>
      <w:r w:rsidR="00193362" w:rsidRPr="00C9666A">
        <w:rPr>
          <w:rFonts w:ascii="Arial" w:eastAsia="Times New Roman" w:hAnsi="Arial" w:cs="Arial"/>
          <w:color w:val="000000"/>
          <w:lang w:eastAsia="es-MX"/>
        </w:rPr>
        <w:t>IHH</w:t>
      </w:r>
      <w:r w:rsidR="00B53527" w:rsidRPr="00C9666A">
        <w:rPr>
          <w:rFonts w:ascii="Arial" w:eastAsia="Times New Roman" w:hAnsi="Arial" w:cs="Arial"/>
          <w:color w:val="000000"/>
          <w:lang w:eastAsia="es-MX"/>
        </w:rPr>
        <w:t>, éste</w:t>
      </w:r>
      <w:r w:rsidR="00634DDB" w:rsidRPr="00C9666A">
        <w:rPr>
          <w:rFonts w:ascii="Arial" w:eastAsia="Times New Roman" w:hAnsi="Arial" w:cs="Arial"/>
          <w:color w:val="000000"/>
          <w:lang w:eastAsia="es-MX"/>
        </w:rPr>
        <w:t xml:space="preserve"> </w:t>
      </w:r>
      <w:r w:rsidR="00C262B6" w:rsidRPr="00C9666A">
        <w:rPr>
          <w:rFonts w:ascii="Arial" w:eastAsia="Times New Roman" w:hAnsi="Arial" w:cs="Arial"/>
          <w:color w:val="000000"/>
          <w:lang w:eastAsia="es-MX"/>
        </w:rPr>
        <w:t xml:space="preserve">puede tomar valores entre cero y diez mil. El valor mínimo corresponde a una situación en la cual el mercado se divide entre un gran número de agentes económicos, cada uno de tamaño poco significativo. En el otro extremo, el valor máximo corresponde a una situación de monopolio, en </w:t>
      </w:r>
      <w:r w:rsidR="00634DDB" w:rsidRPr="00C9666A">
        <w:rPr>
          <w:rFonts w:ascii="Arial" w:eastAsia="Times New Roman" w:hAnsi="Arial" w:cs="Arial"/>
          <w:color w:val="000000"/>
          <w:lang w:eastAsia="es-MX"/>
        </w:rPr>
        <w:t xml:space="preserve">el </w:t>
      </w:r>
      <w:r w:rsidR="00C262B6" w:rsidRPr="00C9666A">
        <w:rPr>
          <w:rFonts w:ascii="Arial" w:eastAsia="Times New Roman" w:hAnsi="Arial" w:cs="Arial"/>
          <w:color w:val="000000"/>
          <w:lang w:eastAsia="es-MX"/>
        </w:rPr>
        <w:t>que un único agente económico detenta el cien por ciento del mercado.</w:t>
      </w:r>
      <w:r w:rsidR="001A7D46" w:rsidRPr="00C9666A">
        <w:rPr>
          <w:rFonts w:ascii="Arial" w:eastAsia="Times New Roman" w:hAnsi="Arial" w:cs="Arial"/>
          <w:color w:val="000000"/>
          <w:lang w:eastAsia="es-MX"/>
        </w:rPr>
        <w:t xml:space="preserve"> Así, entre más alto sea el valor del </w:t>
      </w:r>
      <w:r w:rsidR="00193362" w:rsidRPr="00C9666A">
        <w:rPr>
          <w:rFonts w:ascii="Arial" w:eastAsia="Times New Roman" w:hAnsi="Arial" w:cs="Arial"/>
          <w:color w:val="000000"/>
          <w:lang w:eastAsia="es-MX"/>
        </w:rPr>
        <w:t>IHH</w:t>
      </w:r>
      <w:r w:rsidR="001A7D46" w:rsidRPr="00C9666A">
        <w:rPr>
          <w:rFonts w:ascii="Arial" w:eastAsia="Times New Roman" w:hAnsi="Arial" w:cs="Arial"/>
          <w:color w:val="000000"/>
          <w:lang w:eastAsia="es-MX"/>
        </w:rPr>
        <w:t xml:space="preserve">, más concentrado será el mercado analizado. </w:t>
      </w:r>
    </w:p>
    <w:p w14:paraId="0CA403F8" w14:textId="77777777" w:rsidR="00C262B6" w:rsidRPr="00C9666A" w:rsidRDefault="00C262B6" w:rsidP="00C9666A">
      <w:pPr>
        <w:shd w:val="clear" w:color="auto" w:fill="FFFFFF"/>
        <w:spacing w:before="120" w:after="120"/>
        <w:ind w:right="-1"/>
        <w:jc w:val="both"/>
        <w:rPr>
          <w:rFonts w:ascii="Arial" w:eastAsia="Times New Roman" w:hAnsi="Arial" w:cs="Arial"/>
          <w:color w:val="000000"/>
          <w:lang w:eastAsia="es-MX"/>
        </w:rPr>
      </w:pPr>
      <w:r w:rsidRPr="00C9666A">
        <w:rPr>
          <w:rFonts w:ascii="Arial" w:eastAsia="Times New Roman" w:hAnsi="Arial" w:cs="Arial"/>
          <w:color w:val="000000"/>
          <w:lang w:eastAsia="es-MX"/>
        </w:rPr>
        <w:lastRenderedPageBreak/>
        <w:t xml:space="preserve">Por ejemplo, para un mercado de 4 empresas con participaciones de mercado </w:t>
      </w:r>
      <w:r w:rsidR="00193362" w:rsidRPr="00C9666A">
        <w:rPr>
          <w:rFonts w:ascii="Arial" w:eastAsia="Times New Roman" w:hAnsi="Arial" w:cs="Arial"/>
          <w:color w:val="000000"/>
          <w:lang w:eastAsia="es-MX"/>
        </w:rPr>
        <w:t>iguales</w:t>
      </w:r>
      <w:r w:rsidR="00CE1C21" w:rsidRPr="00C9666A">
        <w:rPr>
          <w:rFonts w:ascii="Arial" w:eastAsia="Times New Roman" w:hAnsi="Arial" w:cs="Arial"/>
          <w:color w:val="000000"/>
          <w:lang w:eastAsia="es-MX"/>
        </w:rPr>
        <w:t>,</w:t>
      </w:r>
      <w:r w:rsidRPr="00C9666A">
        <w:rPr>
          <w:rFonts w:ascii="Arial" w:eastAsia="Times New Roman" w:hAnsi="Arial" w:cs="Arial"/>
          <w:color w:val="000000"/>
          <w:lang w:eastAsia="es-MX"/>
        </w:rPr>
        <w:t xml:space="preserve"> el </w:t>
      </w:r>
      <w:r w:rsidR="00193362" w:rsidRPr="00C9666A">
        <w:rPr>
          <w:rFonts w:ascii="Arial" w:eastAsia="Times New Roman" w:hAnsi="Arial" w:cs="Arial"/>
          <w:color w:val="000000"/>
          <w:lang w:eastAsia="es-MX"/>
        </w:rPr>
        <w:t>IHH</w:t>
      </w:r>
      <w:r w:rsidRPr="00C9666A">
        <w:rPr>
          <w:rFonts w:ascii="Arial" w:eastAsia="Times New Roman" w:hAnsi="Arial" w:cs="Arial"/>
          <w:color w:val="000000"/>
          <w:lang w:eastAsia="es-MX"/>
        </w:rPr>
        <w:t xml:space="preserve"> se calcula como:</w:t>
      </w:r>
    </w:p>
    <w:p w14:paraId="250AFFB1" w14:textId="594746A2" w:rsidR="00C262B6" w:rsidRPr="00C9666A" w:rsidRDefault="00687AB4" w:rsidP="00C9666A">
      <w:pPr>
        <w:shd w:val="clear" w:color="auto" w:fill="FFFFFF"/>
        <w:spacing w:before="120" w:after="120"/>
        <w:ind w:right="-1"/>
        <w:jc w:val="center"/>
        <w:rPr>
          <w:rFonts w:ascii="Arial" w:eastAsia="Times New Roman" w:hAnsi="Arial" w:cs="Arial"/>
          <w:color w:val="000000"/>
          <w:lang w:eastAsia="es-MX"/>
        </w:rPr>
      </w:pPr>
      <m:oMathPara>
        <m:oMath>
          <m:r>
            <w:rPr>
              <w:rFonts w:ascii="Cambria Math" w:eastAsia="Times New Roman" w:hAnsi="Cambria Math" w:cs="Arial"/>
              <w:color w:val="000000"/>
              <w:lang w:eastAsia="es-MX"/>
            </w:rPr>
            <m:t>IHH=(</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)=2,500</m:t>
          </m:r>
        </m:oMath>
      </m:oMathPara>
    </w:p>
    <w:p w14:paraId="44C1D68B" w14:textId="77777777" w:rsidR="00C262B6" w:rsidRPr="00C9666A" w:rsidRDefault="00021C19" w:rsidP="00C9666A">
      <w:pPr>
        <w:shd w:val="clear" w:color="auto" w:fill="FFFFFF"/>
        <w:spacing w:before="120" w:after="120"/>
        <w:ind w:right="-1"/>
        <w:jc w:val="both"/>
        <w:rPr>
          <w:rFonts w:ascii="Arial" w:hAnsi="Arial" w:cs="Arial"/>
          <w:color w:val="000000"/>
        </w:rPr>
      </w:pPr>
      <w:r w:rsidRPr="00C9666A">
        <w:rPr>
          <w:rFonts w:ascii="Arial" w:hAnsi="Arial" w:cs="Arial"/>
          <w:color w:val="000000"/>
        </w:rPr>
        <w:t>Ante un cambio en la estructura de mercado, por ejemplo</w:t>
      </w:r>
      <w:r w:rsidR="007C3FFD" w:rsidRPr="00C9666A">
        <w:rPr>
          <w:rFonts w:ascii="Arial" w:hAnsi="Arial" w:cs="Arial"/>
          <w:color w:val="000000"/>
        </w:rPr>
        <w:t xml:space="preserve">, </w:t>
      </w:r>
      <w:r w:rsidR="004E6F11" w:rsidRPr="00C9666A">
        <w:rPr>
          <w:rFonts w:ascii="Arial" w:hAnsi="Arial" w:cs="Arial"/>
          <w:color w:val="000000"/>
        </w:rPr>
        <w:t>si</w:t>
      </w:r>
      <w:r w:rsidR="00C262B6" w:rsidRPr="00C9666A">
        <w:rPr>
          <w:rFonts w:ascii="Arial" w:hAnsi="Arial" w:cs="Arial"/>
          <w:color w:val="000000"/>
        </w:rPr>
        <w:t xml:space="preserve"> </w:t>
      </w:r>
      <w:r w:rsidR="00193362" w:rsidRPr="00C9666A">
        <w:rPr>
          <w:rFonts w:ascii="Arial" w:hAnsi="Arial" w:cs="Arial"/>
          <w:color w:val="000000"/>
        </w:rPr>
        <w:t>un agente económico</w:t>
      </w:r>
      <w:r w:rsidR="00C262B6" w:rsidRPr="00C9666A">
        <w:rPr>
          <w:rFonts w:ascii="Arial" w:hAnsi="Arial" w:cs="Arial"/>
          <w:color w:val="000000"/>
        </w:rPr>
        <w:t xml:space="preserve"> aument</w:t>
      </w:r>
      <w:r w:rsidR="004E6F11" w:rsidRPr="00C9666A">
        <w:rPr>
          <w:rFonts w:ascii="Arial" w:hAnsi="Arial" w:cs="Arial"/>
          <w:color w:val="000000"/>
        </w:rPr>
        <w:t>a</w:t>
      </w:r>
      <w:r w:rsidR="00C262B6" w:rsidRPr="00C9666A">
        <w:rPr>
          <w:rFonts w:ascii="Arial" w:hAnsi="Arial" w:cs="Arial"/>
          <w:color w:val="000000"/>
        </w:rPr>
        <w:t xml:space="preserve"> su participación mientras que otr</w:t>
      </w:r>
      <w:r w:rsidRPr="00C9666A">
        <w:rPr>
          <w:rFonts w:ascii="Arial" w:hAnsi="Arial" w:cs="Arial"/>
          <w:color w:val="000000"/>
        </w:rPr>
        <w:t>o</w:t>
      </w:r>
      <w:r w:rsidR="00C262B6" w:rsidRPr="00C9666A">
        <w:rPr>
          <w:rFonts w:ascii="Arial" w:hAnsi="Arial" w:cs="Arial"/>
          <w:color w:val="000000"/>
        </w:rPr>
        <w:t xml:space="preserve"> u otr</w:t>
      </w:r>
      <w:r w:rsidRPr="00C9666A">
        <w:rPr>
          <w:rFonts w:ascii="Arial" w:hAnsi="Arial" w:cs="Arial"/>
          <w:color w:val="000000"/>
        </w:rPr>
        <w:t>o</w:t>
      </w:r>
      <w:r w:rsidR="00C262B6" w:rsidRPr="00C9666A">
        <w:rPr>
          <w:rFonts w:ascii="Arial" w:hAnsi="Arial" w:cs="Arial"/>
          <w:color w:val="000000"/>
        </w:rPr>
        <w:t xml:space="preserve">s </w:t>
      </w:r>
      <w:r w:rsidRPr="00C9666A">
        <w:rPr>
          <w:rFonts w:ascii="Arial" w:hAnsi="Arial" w:cs="Arial"/>
          <w:color w:val="000000"/>
        </w:rPr>
        <w:t>lo reducen</w:t>
      </w:r>
      <w:r w:rsidR="00C262B6" w:rsidRPr="00C9666A">
        <w:rPr>
          <w:rFonts w:ascii="Arial" w:hAnsi="Arial" w:cs="Arial"/>
          <w:color w:val="000000"/>
        </w:rPr>
        <w:t>, se verá reflejad</w:t>
      </w:r>
      <w:r w:rsidR="00CE1C21" w:rsidRPr="00C9666A">
        <w:rPr>
          <w:rFonts w:ascii="Arial" w:hAnsi="Arial" w:cs="Arial"/>
          <w:color w:val="000000"/>
        </w:rPr>
        <w:t>a</w:t>
      </w:r>
      <w:r w:rsidR="00C262B6" w:rsidRPr="00C9666A">
        <w:rPr>
          <w:rFonts w:ascii="Arial" w:hAnsi="Arial" w:cs="Arial"/>
          <w:color w:val="000000"/>
        </w:rPr>
        <w:t xml:space="preserve"> en un aumento del </w:t>
      </w:r>
      <w:r w:rsidR="00193362" w:rsidRPr="00C9666A">
        <w:rPr>
          <w:rFonts w:ascii="Arial" w:hAnsi="Arial" w:cs="Arial"/>
          <w:color w:val="000000"/>
        </w:rPr>
        <w:t>IHH</w:t>
      </w:r>
      <w:r w:rsidR="00C262B6" w:rsidRPr="00C9666A">
        <w:rPr>
          <w:rFonts w:ascii="Arial" w:hAnsi="Arial" w:cs="Arial"/>
          <w:color w:val="000000"/>
        </w:rPr>
        <w:t xml:space="preserve">. </w:t>
      </w:r>
      <w:r w:rsidR="00CE1C21" w:rsidRPr="00C9666A">
        <w:rPr>
          <w:rFonts w:ascii="Arial" w:hAnsi="Arial" w:cs="Arial"/>
          <w:color w:val="000000"/>
        </w:rPr>
        <w:t>En el e</w:t>
      </w:r>
      <w:r w:rsidR="00C262B6" w:rsidRPr="00C9666A">
        <w:rPr>
          <w:rFonts w:ascii="Arial" w:hAnsi="Arial" w:cs="Arial"/>
          <w:color w:val="000000"/>
        </w:rPr>
        <w:t>jemplo</w:t>
      </w:r>
      <w:r w:rsidR="00CE1C21" w:rsidRPr="00C9666A">
        <w:rPr>
          <w:rFonts w:ascii="Arial" w:hAnsi="Arial" w:cs="Arial"/>
          <w:color w:val="000000"/>
        </w:rPr>
        <w:t xml:space="preserve"> anterior</w:t>
      </w:r>
      <w:r w:rsidR="00C262B6" w:rsidRPr="00C9666A">
        <w:rPr>
          <w:rFonts w:ascii="Arial" w:hAnsi="Arial" w:cs="Arial"/>
          <w:color w:val="000000"/>
        </w:rPr>
        <w:t>, si la primera empresa aumenta su participación a 30% y la segunda empresa la disminuye a 20%, el valor de</w:t>
      </w:r>
      <w:r w:rsidR="004E6F11" w:rsidRPr="00C9666A">
        <w:rPr>
          <w:rFonts w:ascii="Arial" w:hAnsi="Arial" w:cs="Arial"/>
          <w:color w:val="000000"/>
        </w:rPr>
        <w:t xml:space="preserve">l </w:t>
      </w:r>
      <w:r w:rsidR="00193362" w:rsidRPr="00C9666A">
        <w:rPr>
          <w:rFonts w:ascii="Arial" w:hAnsi="Arial" w:cs="Arial"/>
          <w:color w:val="000000"/>
        </w:rPr>
        <w:t>IHH</w:t>
      </w:r>
      <w:r w:rsidR="00C262B6" w:rsidRPr="00C9666A">
        <w:rPr>
          <w:rFonts w:ascii="Arial" w:hAnsi="Arial" w:cs="Arial"/>
          <w:color w:val="000000"/>
        </w:rPr>
        <w:t xml:space="preserve"> </w:t>
      </w:r>
      <w:r w:rsidR="006D16DC" w:rsidRPr="00C9666A">
        <w:rPr>
          <w:rFonts w:ascii="Arial" w:hAnsi="Arial" w:cs="Arial"/>
          <w:color w:val="000000"/>
        </w:rPr>
        <w:t>aumenta 50 puntos</w:t>
      </w:r>
      <w:r w:rsidR="00C262B6" w:rsidRPr="00C9666A">
        <w:rPr>
          <w:rFonts w:ascii="Arial" w:hAnsi="Arial" w:cs="Arial"/>
          <w:color w:val="000000"/>
        </w:rPr>
        <w:t>:</w:t>
      </w:r>
    </w:p>
    <w:p w14:paraId="39081D84" w14:textId="22DD9791" w:rsidR="00C262B6" w:rsidRPr="00C9666A" w:rsidRDefault="00687AB4" w:rsidP="00C9666A">
      <w:pPr>
        <w:shd w:val="clear" w:color="auto" w:fill="FFFFFF"/>
        <w:spacing w:before="120" w:after="120"/>
        <w:ind w:right="-1" w:firstLine="288"/>
        <w:jc w:val="center"/>
        <w:rPr>
          <w:rFonts w:ascii="Arial" w:eastAsia="Times New Roman" w:hAnsi="Arial" w:cs="Arial"/>
          <w:color w:val="000000"/>
          <w:lang w:eastAsia="es-MX"/>
        </w:rPr>
      </w:pPr>
      <m:oMathPara>
        <m:oMath>
          <m:r>
            <w:rPr>
              <w:rFonts w:ascii="Cambria Math" w:eastAsia="Times New Roman" w:hAnsi="Cambria Math" w:cs="Arial"/>
              <w:color w:val="000000"/>
              <w:lang w:eastAsia="es-MX"/>
            </w:rPr>
            <m:t>IHH=(</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30</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20</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p>
            <m:sSupPr>
              <m:ctrlPr>
                <w:rPr>
                  <w:rFonts w:ascii="Cambria Math" w:eastAsia="Times New Roman" w:hAnsi="Cambria Math" w:cs="Arial"/>
                  <w:i/>
                  <w:color w:val="000000"/>
                  <w:lang w:eastAsia="es-MX"/>
                </w:rPr>
              </m:ctrlPr>
            </m:sSupPr>
            <m:e>
              <m:r>
                <w:rPr>
                  <w:rFonts w:ascii="Cambria Math" w:eastAsia="Times New Roman" w:hAnsi="Cambria Math" w:cs="Arial"/>
                  <w:color w:val="000000"/>
                  <w:lang w:eastAsia="es-MX"/>
                </w:rPr>
                <m:t>25</m:t>
              </m:r>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)=2,550</m:t>
          </m:r>
        </m:oMath>
      </m:oMathPara>
    </w:p>
    <w:p w14:paraId="34FB87B2" w14:textId="272F7A35" w:rsidR="00021C19" w:rsidRPr="00C9666A" w:rsidRDefault="00FF6FEC" w:rsidP="00C9666A">
      <w:pPr>
        <w:shd w:val="clear" w:color="auto" w:fill="FFFFFF"/>
        <w:spacing w:before="120" w:after="120"/>
        <w:ind w:right="-1"/>
        <w:jc w:val="both"/>
        <w:rPr>
          <w:rFonts w:ascii="Arial" w:hAnsi="Arial" w:cs="Arial"/>
          <w:color w:val="000000"/>
        </w:rPr>
      </w:pPr>
      <w:r w:rsidRPr="00C9666A">
        <w:rPr>
          <w:rFonts w:ascii="Arial" w:hAnsi="Arial" w:cs="Arial"/>
          <w:color w:val="000000"/>
        </w:rPr>
        <w:t xml:space="preserve">Esta variación en la estructura del mercado, que puede ser consecuencia, por ejemplo, de una concentración, se puede medir en términos de </w:t>
      </w:r>
      <w:r w:rsidRPr="00C9666A">
        <w:rPr>
          <w:rFonts w:ascii="Arial" w:hAnsi="Arial" w:cs="Arial"/>
          <w:b/>
          <w:color w:val="000000"/>
        </w:rPr>
        <w:t xml:space="preserve">la </w:t>
      </w:r>
      <w:r w:rsidR="001B1534" w:rsidRPr="00C9666A">
        <w:rPr>
          <w:rFonts w:ascii="Arial" w:hAnsi="Arial" w:cs="Arial"/>
          <w:b/>
          <w:color w:val="000000"/>
        </w:rPr>
        <w:t xml:space="preserve">variación del </w:t>
      </w:r>
      <w:r w:rsidR="00193362" w:rsidRPr="00C9666A">
        <w:rPr>
          <w:rFonts w:ascii="Arial" w:hAnsi="Arial" w:cs="Arial"/>
          <w:b/>
          <w:color w:val="000000"/>
        </w:rPr>
        <w:t>IHH</w:t>
      </w:r>
      <w:r w:rsidRPr="00C9666A">
        <w:rPr>
          <w:rFonts w:ascii="Arial" w:hAnsi="Arial" w:cs="Arial"/>
          <w:b/>
          <w:color w:val="000000"/>
        </w:rPr>
        <w:t xml:space="preserve"> (</w:t>
      </w:r>
      <m:oMath>
        <m:r>
          <m:rPr>
            <m:sty m:val="b"/>
          </m:rPr>
          <w:rPr>
            <w:rFonts w:ascii="Cambria Math" w:hAnsi="Cambria Math" w:cs="Arial"/>
            <w:color w:val="000000"/>
          </w:rPr>
          <m:t>∆IHH</m:t>
        </m:r>
      </m:oMath>
      <w:r w:rsidRPr="00C9666A">
        <w:rPr>
          <w:rFonts w:ascii="Arial" w:hAnsi="Arial" w:cs="Arial"/>
          <w:b/>
          <w:color w:val="000000"/>
        </w:rPr>
        <w:t>)</w:t>
      </w:r>
      <w:r w:rsidR="00C262B6" w:rsidRPr="00C9666A">
        <w:rPr>
          <w:rFonts w:ascii="Arial" w:hAnsi="Arial" w:cs="Arial"/>
          <w:b/>
          <w:color w:val="000000"/>
        </w:rPr>
        <w:t>.</w:t>
      </w:r>
      <w:r w:rsidR="00C262B6" w:rsidRPr="00C9666A">
        <w:rPr>
          <w:rFonts w:ascii="Arial" w:hAnsi="Arial" w:cs="Arial"/>
          <w:color w:val="000000"/>
        </w:rPr>
        <w:t xml:space="preserve"> La </w:t>
      </w:r>
      <m:oMath>
        <m:r>
          <m:rPr>
            <m:sty m:val="p"/>
          </m:rPr>
          <w:rPr>
            <w:rFonts w:ascii="Cambria Math" w:hAnsi="Cambria Math" w:cs="Arial"/>
            <w:color w:val="000000"/>
          </w:rPr>
          <m:t>∆IHH</m:t>
        </m:r>
      </m:oMath>
      <w:r w:rsidR="00C262B6" w:rsidRPr="00C9666A">
        <w:rPr>
          <w:rFonts w:ascii="Arial" w:hAnsi="Arial" w:cs="Arial"/>
          <w:color w:val="000000"/>
        </w:rPr>
        <w:t xml:space="preserve"> se calcula como la diferencia de los valores </w:t>
      </w:r>
      <w:r w:rsidRPr="00C9666A">
        <w:rPr>
          <w:rFonts w:ascii="Arial" w:hAnsi="Arial" w:cs="Arial"/>
          <w:color w:val="000000"/>
        </w:rPr>
        <w:t xml:space="preserve">que toma </w:t>
      </w:r>
      <w:r w:rsidR="00C262B6" w:rsidRPr="00C9666A">
        <w:rPr>
          <w:rFonts w:ascii="Arial" w:hAnsi="Arial" w:cs="Arial"/>
          <w:color w:val="000000"/>
        </w:rPr>
        <w:t>e</w:t>
      </w:r>
      <w:r w:rsidRPr="00C9666A">
        <w:rPr>
          <w:rFonts w:ascii="Arial" w:hAnsi="Arial" w:cs="Arial"/>
          <w:color w:val="000000"/>
        </w:rPr>
        <w:t xml:space="preserve">l </w:t>
      </w:r>
      <w:r w:rsidR="00193362" w:rsidRPr="00C9666A">
        <w:rPr>
          <w:rFonts w:ascii="Arial" w:hAnsi="Arial" w:cs="Arial"/>
          <w:color w:val="000000"/>
        </w:rPr>
        <w:t>IHH</w:t>
      </w:r>
      <w:r w:rsidR="00C262B6" w:rsidRPr="00C9666A">
        <w:rPr>
          <w:rFonts w:ascii="Arial" w:hAnsi="Arial" w:cs="Arial"/>
          <w:color w:val="000000"/>
        </w:rPr>
        <w:t xml:space="preserve"> </w:t>
      </w:r>
      <w:r w:rsidRPr="00C9666A">
        <w:rPr>
          <w:rFonts w:ascii="Arial" w:hAnsi="Arial" w:cs="Arial"/>
          <w:color w:val="000000"/>
        </w:rPr>
        <w:t>después</w:t>
      </w:r>
      <w:r w:rsidR="00B62C3A" w:rsidRPr="00C9666A">
        <w:rPr>
          <w:rFonts w:ascii="Arial" w:hAnsi="Arial" w:cs="Arial"/>
          <w:color w:val="000000"/>
        </w:rPr>
        <w:t xml:space="preserve"> (</w:t>
      </w:r>
      <m:oMath>
        <m:r>
          <w:rPr>
            <w:rFonts w:ascii="Cambria Math" w:hAnsi="Cambria Math" w:cs="Arial"/>
            <w:color w:val="000000"/>
          </w:rPr>
          <m:t>I</m:t>
        </m:r>
        <m:sSub>
          <m:sSubPr>
            <m:ctrlPr>
              <w:rPr>
                <w:rFonts w:ascii="Cambria Math" w:hAnsi="Cambria Math" w:cs="Arial"/>
                <w:i/>
                <w:color w:val="000000"/>
              </w:rPr>
            </m:ctrlPr>
          </m:sSubPr>
          <m:e>
            <m:r>
              <w:rPr>
                <w:rFonts w:ascii="Cambria Math" w:hAnsi="Cambria Math" w:cs="Arial"/>
                <w:color w:val="000000"/>
              </w:rPr>
              <m:t>HH</m:t>
            </m:r>
          </m:e>
          <m:sub>
            <m:r>
              <w:rPr>
                <w:rFonts w:ascii="Cambria Math" w:hAnsi="Cambria Math" w:cs="Arial"/>
                <w:color w:val="000000"/>
              </w:rPr>
              <m:t>D</m:t>
            </m:r>
          </m:sub>
        </m:sSub>
      </m:oMath>
      <w:r w:rsidR="00B62C3A" w:rsidRPr="00C9666A">
        <w:rPr>
          <w:rFonts w:ascii="Arial" w:hAnsi="Arial" w:cs="Arial"/>
          <w:color w:val="000000"/>
        </w:rPr>
        <w:t>)</w:t>
      </w:r>
      <w:r w:rsidRPr="00C9666A">
        <w:rPr>
          <w:rFonts w:ascii="Arial" w:hAnsi="Arial" w:cs="Arial"/>
          <w:color w:val="000000"/>
        </w:rPr>
        <w:t xml:space="preserve"> y an</w:t>
      </w:r>
      <w:r w:rsidR="00C262B6" w:rsidRPr="00C9666A">
        <w:rPr>
          <w:rFonts w:ascii="Arial" w:hAnsi="Arial" w:cs="Arial"/>
          <w:color w:val="000000"/>
        </w:rPr>
        <w:t>tes</w:t>
      </w:r>
      <w:r w:rsidR="00B62C3A" w:rsidRPr="00C9666A">
        <w:rPr>
          <w:rFonts w:ascii="Arial" w:hAnsi="Arial" w:cs="Arial"/>
          <w:color w:val="000000"/>
        </w:rPr>
        <w:t xml:space="preserve"> (</w:t>
      </w:r>
      <m:oMath>
        <m:r>
          <w:rPr>
            <w:rFonts w:ascii="Cambria Math" w:hAnsi="Cambria Math" w:cs="Arial"/>
            <w:color w:val="000000"/>
          </w:rPr>
          <m:t>I</m:t>
        </m:r>
        <m:sSub>
          <m:sSubPr>
            <m:ctrlPr>
              <w:rPr>
                <w:rFonts w:ascii="Cambria Math" w:hAnsi="Cambria Math" w:cs="Arial"/>
                <w:i/>
                <w:color w:val="000000"/>
              </w:rPr>
            </m:ctrlPr>
          </m:sSubPr>
          <m:e>
            <m:r>
              <w:rPr>
                <w:rFonts w:ascii="Cambria Math" w:hAnsi="Cambria Math" w:cs="Arial"/>
                <w:color w:val="000000"/>
              </w:rPr>
              <m:t>HH</m:t>
            </m:r>
          </m:e>
          <m:sub>
            <m:r>
              <w:rPr>
                <w:rFonts w:ascii="Cambria Math" w:hAnsi="Cambria Math" w:cs="Arial"/>
                <w:color w:val="000000"/>
              </w:rPr>
              <m:t>A</m:t>
            </m:r>
          </m:sub>
        </m:sSub>
      </m:oMath>
      <w:r w:rsidR="00B62C3A" w:rsidRPr="00C9666A">
        <w:rPr>
          <w:rFonts w:ascii="Arial" w:eastAsiaTheme="minorEastAsia" w:hAnsi="Arial" w:cs="Arial"/>
          <w:color w:val="000000"/>
        </w:rPr>
        <w:t>)</w:t>
      </w:r>
      <w:r w:rsidR="00C262B6" w:rsidRPr="00C9666A">
        <w:rPr>
          <w:rFonts w:ascii="Arial" w:hAnsi="Arial" w:cs="Arial"/>
          <w:color w:val="000000"/>
        </w:rPr>
        <w:t xml:space="preserve"> de la concentración.</w:t>
      </w:r>
    </w:p>
    <w:p w14:paraId="5ABE9C96" w14:textId="77777777" w:rsidR="00FF6FEC" w:rsidRPr="00C9666A" w:rsidRDefault="00B62C3A" w:rsidP="00C9666A">
      <w:pPr>
        <w:shd w:val="clear" w:color="auto" w:fill="FFFFFF"/>
        <w:spacing w:before="120" w:after="120"/>
        <w:ind w:right="-1"/>
        <w:jc w:val="both"/>
        <w:rPr>
          <w:rFonts w:ascii="Arial" w:hAnsi="Arial" w:cs="Arial"/>
          <w:color w:val="000000"/>
        </w:rPr>
      </w:pPr>
      <w:r w:rsidRPr="00C9666A">
        <w:rPr>
          <w:rFonts w:ascii="Arial" w:hAnsi="Arial" w:cs="Arial"/>
          <w:color w:val="000000"/>
        </w:rPr>
        <w:t xml:space="preserve">En el cálculo del </w:t>
      </w:r>
      <m:oMath>
        <m:r>
          <w:rPr>
            <w:rFonts w:ascii="Cambria Math" w:hAnsi="Cambria Math" w:cs="Arial"/>
            <w:color w:val="000000"/>
          </w:rPr>
          <m:t>I</m:t>
        </m:r>
        <m:sSub>
          <m:sSubPr>
            <m:ctrlPr>
              <w:rPr>
                <w:rFonts w:ascii="Cambria Math" w:hAnsi="Cambria Math" w:cs="Arial"/>
                <w:i/>
                <w:color w:val="000000"/>
              </w:rPr>
            </m:ctrlPr>
          </m:sSubPr>
          <m:e>
            <m:r>
              <w:rPr>
                <w:rFonts w:ascii="Cambria Math" w:hAnsi="Cambria Math" w:cs="Arial"/>
                <w:color w:val="000000"/>
              </w:rPr>
              <m:t>HH</m:t>
            </m:r>
          </m:e>
          <m:sub>
            <m:r>
              <w:rPr>
                <w:rFonts w:ascii="Cambria Math" w:hAnsi="Cambria Math" w:cs="Arial"/>
                <w:color w:val="000000"/>
              </w:rPr>
              <m:t>D</m:t>
            </m:r>
          </m:sub>
        </m:sSub>
      </m:oMath>
      <w:r w:rsidRPr="00C9666A">
        <w:rPr>
          <w:rFonts w:ascii="Arial" w:hAnsi="Arial" w:cs="Arial"/>
          <w:color w:val="000000"/>
        </w:rPr>
        <w:t xml:space="preserve"> se considera la participación de mercado que tendría el agente económico resultante de la concentración, mientras que en el cálculo del </w:t>
      </w:r>
      <m:oMath>
        <m:r>
          <w:rPr>
            <w:rFonts w:ascii="Cambria Math" w:hAnsi="Cambria Math" w:cs="Arial"/>
            <w:color w:val="000000"/>
          </w:rPr>
          <m:t>I</m:t>
        </m:r>
        <m:sSub>
          <m:sSubPr>
            <m:ctrlPr>
              <w:rPr>
                <w:rFonts w:ascii="Cambria Math" w:hAnsi="Cambria Math" w:cs="Arial"/>
                <w:i/>
                <w:color w:val="000000"/>
              </w:rPr>
            </m:ctrlPr>
          </m:sSubPr>
          <m:e>
            <m:r>
              <w:rPr>
                <w:rFonts w:ascii="Cambria Math" w:hAnsi="Cambria Math" w:cs="Arial"/>
                <w:color w:val="000000"/>
              </w:rPr>
              <m:t>HH</m:t>
            </m:r>
          </m:e>
          <m:sub>
            <m:r>
              <w:rPr>
                <w:rFonts w:ascii="Cambria Math" w:hAnsi="Cambria Math" w:cs="Arial"/>
                <w:color w:val="000000"/>
              </w:rPr>
              <m:t>A</m:t>
            </m:r>
          </m:sub>
        </m:sSub>
      </m:oMath>
      <w:r w:rsidRPr="00C9666A">
        <w:rPr>
          <w:rFonts w:ascii="Arial" w:hAnsi="Arial" w:cs="Arial"/>
          <w:color w:val="000000"/>
        </w:rPr>
        <w:t xml:space="preserve"> se consideran las participaciones de mercado por separado de cada una de las personas que se concentran; en ambos casos, las participaciones de mercado de los agentes económicos no </w:t>
      </w:r>
      <w:r w:rsidR="00021C19" w:rsidRPr="00C9666A">
        <w:rPr>
          <w:rFonts w:ascii="Arial" w:hAnsi="Arial" w:cs="Arial"/>
          <w:color w:val="000000"/>
        </w:rPr>
        <w:t xml:space="preserve">involucrados </w:t>
      </w:r>
      <w:r w:rsidRPr="00C9666A">
        <w:rPr>
          <w:rFonts w:ascii="Arial" w:hAnsi="Arial" w:cs="Arial"/>
          <w:color w:val="000000"/>
        </w:rPr>
        <w:t>en la concentración se mantienen sin variación.</w:t>
      </w:r>
    </w:p>
    <w:p w14:paraId="1526ECEE" w14:textId="77777777" w:rsidR="00C262B6" w:rsidRPr="00C9666A" w:rsidRDefault="00C262B6" w:rsidP="00C9666A">
      <w:pPr>
        <w:shd w:val="clear" w:color="auto" w:fill="FFFFFF"/>
        <w:spacing w:before="120" w:after="120"/>
        <w:ind w:right="-1"/>
        <w:jc w:val="both"/>
        <w:rPr>
          <w:rFonts w:ascii="Arial" w:hAnsi="Arial" w:cs="Arial"/>
          <w:color w:val="000000"/>
        </w:rPr>
      </w:pPr>
      <w:r w:rsidRPr="00C9666A">
        <w:rPr>
          <w:rFonts w:ascii="Arial" w:hAnsi="Arial" w:cs="Arial"/>
          <w:color w:val="000000"/>
        </w:rPr>
        <w:t xml:space="preserve">Por ejemplo, </w:t>
      </w:r>
      <w:r w:rsidR="007754E3" w:rsidRPr="00C9666A">
        <w:rPr>
          <w:rFonts w:ascii="Arial" w:hAnsi="Arial" w:cs="Arial"/>
          <w:color w:val="000000"/>
        </w:rPr>
        <w:t>en el caso particular de que 2 (</w:t>
      </w:r>
      <w:r w:rsidRPr="00C9666A">
        <w:rPr>
          <w:rFonts w:ascii="Arial" w:hAnsi="Arial" w:cs="Arial"/>
          <w:color w:val="000000"/>
        </w:rPr>
        <w:t>dos</w:t>
      </w:r>
      <w:r w:rsidR="007754E3" w:rsidRPr="00C9666A">
        <w:rPr>
          <w:rFonts w:ascii="Arial" w:hAnsi="Arial" w:cs="Arial"/>
          <w:color w:val="000000"/>
        </w:rPr>
        <w:t>)</w:t>
      </w:r>
      <w:r w:rsidRPr="00C9666A">
        <w:rPr>
          <w:rFonts w:ascii="Arial" w:hAnsi="Arial" w:cs="Arial"/>
          <w:color w:val="000000"/>
        </w:rPr>
        <w:t xml:space="preserve"> agentes económicos con participaci</w:t>
      </w:r>
      <w:r w:rsidR="007754E3" w:rsidRPr="00C9666A">
        <w:rPr>
          <w:rFonts w:ascii="Arial" w:hAnsi="Arial" w:cs="Arial"/>
          <w:color w:val="000000"/>
        </w:rPr>
        <w:t>ones</w:t>
      </w:r>
      <w:r w:rsidR="00FF6FEC" w:rsidRPr="00C9666A">
        <w:rPr>
          <w:rFonts w:ascii="Arial" w:hAnsi="Arial" w:cs="Arial"/>
          <w:color w:val="000000"/>
        </w:rPr>
        <w:t xml:space="preserve"> </w:t>
      </w:r>
      <m:oMath>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1</m:t>
            </m:r>
          </m:sub>
        </m:sSub>
      </m:oMath>
      <w:r w:rsidRPr="00C9666A">
        <w:rPr>
          <w:rFonts w:ascii="Arial" w:hAnsi="Arial" w:cs="Arial"/>
          <w:color w:val="000000"/>
        </w:rPr>
        <w:t xml:space="preserve"> y </w:t>
      </w:r>
      <m:oMath>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2</m:t>
            </m:r>
          </m:sub>
        </m:sSub>
      </m:oMath>
      <w:r w:rsidRPr="00C9666A">
        <w:rPr>
          <w:rFonts w:ascii="Arial" w:hAnsi="Arial" w:cs="Arial"/>
          <w:color w:val="000000"/>
        </w:rPr>
        <w:t xml:space="preserve"> en un mercado de </w:t>
      </w:r>
      <w:r w:rsidRPr="00C9666A">
        <w:rPr>
          <w:rFonts w:ascii="Arial" w:hAnsi="Arial" w:cs="Arial"/>
          <w:i/>
          <w:color w:val="000000"/>
        </w:rPr>
        <w:t>N</w:t>
      </w:r>
      <w:r w:rsidRPr="00C9666A">
        <w:rPr>
          <w:rFonts w:ascii="Arial" w:hAnsi="Arial" w:cs="Arial"/>
          <w:color w:val="000000"/>
        </w:rPr>
        <w:t xml:space="preserve"> empresas plantea</w:t>
      </w:r>
      <w:r w:rsidR="007754E3" w:rsidRPr="00C9666A">
        <w:rPr>
          <w:rFonts w:ascii="Arial" w:hAnsi="Arial" w:cs="Arial"/>
          <w:color w:val="000000"/>
        </w:rPr>
        <w:t>ran</w:t>
      </w:r>
      <w:r w:rsidRPr="00C9666A">
        <w:rPr>
          <w:rFonts w:ascii="Arial" w:hAnsi="Arial" w:cs="Arial"/>
          <w:color w:val="000000"/>
        </w:rPr>
        <w:t xml:space="preserve"> concentrarse, </w:t>
      </w:r>
      <w:r w:rsidR="00D81AB0" w:rsidRPr="00C9666A">
        <w:rPr>
          <w:rFonts w:ascii="Arial" w:hAnsi="Arial" w:cs="Arial"/>
          <w:color w:val="000000"/>
        </w:rPr>
        <w:t>la variación del</w:t>
      </w:r>
      <w:r w:rsidRPr="00C9666A">
        <w:rPr>
          <w:rFonts w:ascii="Arial" w:hAnsi="Arial" w:cs="Arial"/>
          <w:color w:val="000000"/>
        </w:rPr>
        <w:t xml:space="preserve"> </w:t>
      </w:r>
      <w:r w:rsidR="00193362" w:rsidRPr="00C9666A">
        <w:rPr>
          <w:rFonts w:ascii="Arial" w:hAnsi="Arial" w:cs="Arial"/>
          <w:color w:val="000000"/>
        </w:rPr>
        <w:t>IHH</w:t>
      </w:r>
      <w:r w:rsidRPr="00C9666A">
        <w:rPr>
          <w:rFonts w:ascii="Arial" w:hAnsi="Arial" w:cs="Arial"/>
          <w:color w:val="000000"/>
        </w:rPr>
        <w:t xml:space="preserve"> se calcula</w:t>
      </w:r>
      <w:r w:rsidR="00D81AB0" w:rsidRPr="00C9666A">
        <w:rPr>
          <w:rFonts w:ascii="Arial" w:hAnsi="Arial" w:cs="Arial"/>
          <w:color w:val="000000"/>
        </w:rPr>
        <w:t>ría</w:t>
      </w:r>
      <w:r w:rsidRPr="00C9666A">
        <w:rPr>
          <w:rFonts w:ascii="Arial" w:hAnsi="Arial" w:cs="Arial"/>
          <w:color w:val="000000"/>
        </w:rPr>
        <w:t xml:space="preserve"> como sigue:</w:t>
      </w:r>
    </w:p>
    <w:p w14:paraId="15B219FC" w14:textId="77777777" w:rsidR="00D81AB0" w:rsidRPr="00C9666A" w:rsidRDefault="00C262B6" w:rsidP="00C9666A">
      <w:pPr>
        <w:shd w:val="clear" w:color="auto" w:fill="FFFFFF"/>
        <w:spacing w:before="120" w:after="120"/>
        <w:ind w:right="-1"/>
        <w:jc w:val="both"/>
        <w:rPr>
          <w:rFonts w:ascii="Arial" w:eastAsiaTheme="minorEastAsia" w:hAnsi="Arial" w:cs="Arial"/>
          <w:color w:val="000000"/>
        </w:rPr>
      </w:pPr>
      <m:oMathPara>
        <m:oMathParaPr>
          <m:jc m:val="left"/>
        </m:oMathParaPr>
        <m:oMath>
          <m:r>
            <w:rPr>
              <w:rFonts w:ascii="Cambria Math" w:hAnsi="Cambria Math" w:cs="Arial"/>
              <w:color w:val="000000"/>
            </w:rPr>
            <m:t xml:space="preserve">∆HH =                                                            </m:t>
          </m:r>
          <m:sSub>
            <m:sSubPr>
              <m:ctrlPr>
                <w:rPr>
                  <w:rFonts w:ascii="Cambria Math" w:hAnsi="Cambria Math" w:cs="Arial"/>
                  <w:i/>
                  <w:color w:val="000000"/>
                </w:rPr>
              </m:ctrlPr>
            </m:sSubPr>
            <m:e>
              <m:r>
                <w:rPr>
                  <w:rFonts w:ascii="Cambria Math" w:hAnsi="Cambria Math" w:cs="Arial"/>
                  <w:color w:val="000000"/>
                </w:rPr>
                <m:t>IHH</m:t>
              </m:r>
            </m:e>
            <m:sub>
              <m:r>
                <w:rPr>
                  <w:rFonts w:ascii="Cambria Math" w:hAnsi="Cambria Math" w:cs="Arial"/>
                  <w:color w:val="000000"/>
                </w:rPr>
                <m:t>D</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IHH</m:t>
              </m:r>
            </m:e>
            <m:sub>
              <m:r>
                <w:rPr>
                  <w:rFonts w:ascii="Cambria Math" w:hAnsi="Cambria Math" w:cs="Arial"/>
                  <w:color w:val="000000"/>
                </w:rPr>
                <m:t>A</m:t>
              </m:r>
            </m:sub>
          </m:sSub>
        </m:oMath>
      </m:oMathPara>
    </w:p>
    <w:p w14:paraId="6C9B8307" w14:textId="77777777" w:rsidR="00C262B6" w:rsidRPr="00C9666A" w:rsidRDefault="00D81AB0" w:rsidP="00C9666A">
      <w:pPr>
        <w:shd w:val="clear" w:color="auto" w:fill="FFFFFF"/>
        <w:spacing w:before="120" w:after="120"/>
        <w:ind w:left="567" w:right="-1"/>
        <w:jc w:val="both"/>
        <w:rPr>
          <w:rFonts w:ascii="Arial" w:eastAsiaTheme="minorEastAsia" w:hAnsi="Arial" w:cs="Arial"/>
          <w:color w:val="000000"/>
        </w:rPr>
      </w:pPr>
      <m:oMathPara>
        <m:oMathParaPr>
          <m:jc m:val="left"/>
        </m:oMathParaPr>
        <m:oMath>
          <m:r>
            <w:rPr>
              <w:rFonts w:ascii="Cambria Math" w:eastAsiaTheme="minorEastAsia" w:hAnsi="Cambria Math" w:cs="Arial"/>
              <w:color w:val="000000"/>
            </w:rPr>
            <m:t xml:space="preserve">=                </m:t>
          </m:r>
          <m:d>
            <m:dPr>
              <m:begChr m:val="["/>
              <m:endChr m:val="]"/>
              <m:ctrlPr>
                <w:rPr>
                  <w:rFonts w:ascii="Cambria Math" w:hAnsi="Cambria Math" w:cs="Arial"/>
                  <w:i/>
                  <w:color w:val="000000"/>
                </w:rPr>
              </m:ctrlPr>
            </m:dPr>
            <m:e>
              <m:sSup>
                <m:sSupPr>
                  <m:ctrlPr>
                    <w:rPr>
                      <w:rFonts w:ascii="Cambria Math" w:hAnsi="Cambria Math" w:cs="Arial"/>
                      <w:i/>
                      <w:color w:val="000000"/>
                    </w:rPr>
                  </m:ctrlPr>
                </m:sSupPr>
                <m:e>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1</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2</m:t>
                          </m:r>
                        </m:sub>
                      </m:sSub>
                    </m:e>
                  </m:d>
                </m:e>
                <m:sup>
                  <m:r>
                    <w:rPr>
                      <w:rFonts w:ascii="Cambria Math" w:hAnsi="Cambria Math" w:cs="Arial"/>
                      <w:color w:val="000000"/>
                    </w:rPr>
                    <m:t>2</m:t>
                  </m:r>
                </m:sup>
              </m:s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3</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N</m:t>
                  </m:r>
                </m:sub>
                <m:sup>
                  <m:r>
                    <w:rPr>
                      <w:rFonts w:ascii="Cambria Math" w:hAnsi="Cambria Math" w:cs="Arial"/>
                      <w:color w:val="000000"/>
                    </w:rPr>
                    <m:t>2</m:t>
                  </m:r>
                </m:sup>
              </m:sSubSup>
            </m:e>
          </m:d>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1</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2</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3</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N</m:t>
              </m:r>
            </m:sub>
            <m:sup>
              <m:r>
                <w:rPr>
                  <w:rFonts w:ascii="Cambria Math" w:hAnsi="Cambria Math" w:cs="Arial"/>
                  <w:color w:val="000000"/>
                </w:rPr>
                <m:t>2</m:t>
              </m:r>
            </m:sup>
          </m:sSubSup>
          <m:r>
            <w:rPr>
              <w:rFonts w:ascii="Cambria Math" w:hAnsi="Cambria Math" w:cs="Arial"/>
              <w:color w:val="000000"/>
            </w:rPr>
            <m:t>]</m:t>
          </m:r>
        </m:oMath>
      </m:oMathPara>
    </w:p>
    <w:p w14:paraId="24FEA35F" w14:textId="77777777" w:rsidR="00C262B6" w:rsidRPr="00C9666A" w:rsidRDefault="00D81AB0" w:rsidP="00C9666A">
      <w:pPr>
        <w:shd w:val="clear" w:color="auto" w:fill="FFFFFF"/>
        <w:spacing w:before="120" w:after="120"/>
        <w:ind w:left="567" w:right="-1"/>
        <w:jc w:val="both"/>
        <w:rPr>
          <w:rFonts w:ascii="Arial" w:eastAsiaTheme="minorEastAsia" w:hAnsi="Arial" w:cs="Arial"/>
          <w:color w:val="000000"/>
        </w:rPr>
      </w:pPr>
      <m:oMathPara>
        <m:oMathParaPr>
          <m:jc m:val="left"/>
        </m:oMathParaPr>
        <m:oMath>
          <m:r>
            <w:rPr>
              <w:rFonts w:ascii="Cambria Math" w:hAnsi="Cambria Math" w:cs="Arial"/>
              <w:color w:val="000000"/>
            </w:rPr>
            <m:t>=</m:t>
          </m:r>
          <m:d>
            <m:dPr>
              <m:begChr m:val="["/>
              <m:endChr m:val="]"/>
              <m:ctrlPr>
                <w:rPr>
                  <w:rFonts w:ascii="Cambria Math" w:hAnsi="Cambria Math" w:cs="Arial"/>
                  <w:i/>
                  <w:color w:val="000000"/>
                </w:rPr>
              </m:ctrlPr>
            </m:dPr>
            <m:e>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1</m:t>
                  </m:r>
                </m:sub>
                <m:sup>
                  <m:r>
                    <w:rPr>
                      <w:rFonts w:ascii="Cambria Math" w:hAnsi="Cambria Math" w:cs="Arial"/>
                      <w:color w:val="000000"/>
                    </w:rPr>
                    <m:t>2</m:t>
                  </m:r>
                </m:sup>
              </m:sSubSup>
              <m:r>
                <w:rPr>
                  <w:rFonts w:ascii="Cambria Math" w:hAnsi="Cambria Math" w:cs="Arial"/>
                  <w:color w:val="000000"/>
                </w:rPr>
                <m:t>+2</m:t>
              </m:r>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1</m:t>
                  </m:r>
                </m:sub>
              </m:sSub>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 xml:space="preserve">2 </m:t>
                  </m:r>
                </m:sub>
              </m:sSub>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2</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3</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N</m:t>
                  </m:r>
                </m:sub>
                <m:sup>
                  <m:r>
                    <w:rPr>
                      <w:rFonts w:ascii="Cambria Math" w:hAnsi="Cambria Math" w:cs="Arial"/>
                      <w:color w:val="000000"/>
                    </w:rPr>
                    <m:t>2</m:t>
                  </m:r>
                </m:sup>
              </m:sSubSup>
            </m:e>
          </m:d>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1</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2</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3</m:t>
              </m:r>
            </m:sub>
            <m:sup>
              <m:r>
                <w:rPr>
                  <w:rFonts w:ascii="Cambria Math" w:hAnsi="Cambria Math" w:cs="Arial"/>
                  <w:color w:val="000000"/>
                </w:rPr>
                <m:t>2</m:t>
              </m:r>
            </m:sup>
          </m:sSubSup>
          <m:r>
            <w:rPr>
              <w:rFonts w:ascii="Cambria Math" w:hAnsi="Cambria Math" w:cs="Arial"/>
              <w:color w:val="000000"/>
            </w:rPr>
            <m:t>+…+</m:t>
          </m:r>
          <m:sSubSup>
            <m:sSubSupPr>
              <m:ctrlPr>
                <w:rPr>
                  <w:rFonts w:ascii="Cambria Math" w:hAnsi="Cambria Math" w:cs="Arial"/>
                  <w:i/>
                  <w:color w:val="000000"/>
                </w:rPr>
              </m:ctrlPr>
            </m:sSubSupPr>
            <m:e>
              <m:r>
                <w:rPr>
                  <w:rFonts w:ascii="Cambria Math" w:hAnsi="Cambria Math" w:cs="Arial"/>
                  <w:color w:val="000000"/>
                </w:rPr>
                <m:t>α</m:t>
              </m:r>
            </m:e>
            <m:sub>
              <m:r>
                <w:rPr>
                  <w:rFonts w:ascii="Cambria Math" w:hAnsi="Cambria Math" w:cs="Arial"/>
                  <w:color w:val="000000"/>
                </w:rPr>
                <m:t>N</m:t>
              </m:r>
            </m:sub>
            <m:sup>
              <m:r>
                <w:rPr>
                  <w:rFonts w:ascii="Cambria Math" w:hAnsi="Cambria Math" w:cs="Arial"/>
                  <w:color w:val="000000"/>
                </w:rPr>
                <m:t>2</m:t>
              </m:r>
            </m:sup>
          </m:sSubSup>
          <m:r>
            <w:rPr>
              <w:rFonts w:ascii="Cambria Math" w:hAnsi="Cambria Math" w:cs="Arial"/>
              <w:color w:val="000000"/>
            </w:rPr>
            <m:t>]</m:t>
          </m:r>
        </m:oMath>
      </m:oMathPara>
    </w:p>
    <w:p w14:paraId="57CE48DB" w14:textId="77777777" w:rsidR="00C262B6" w:rsidRPr="00C9666A" w:rsidRDefault="00C262B6" w:rsidP="00C9666A">
      <w:pPr>
        <w:shd w:val="clear" w:color="auto" w:fill="FFFFFF"/>
        <w:spacing w:before="120" w:after="120"/>
        <w:ind w:left="567" w:right="-1"/>
        <w:jc w:val="both"/>
        <w:rPr>
          <w:rFonts w:ascii="Arial" w:hAnsi="Arial" w:cs="Arial"/>
        </w:rPr>
      </w:pPr>
      <m:oMathPara>
        <m:oMathParaPr>
          <m:jc m:val="left"/>
        </m:oMathParaPr>
        <m:oMath>
          <m:r>
            <w:rPr>
              <w:rFonts w:ascii="Cambria Math" w:hAnsi="Cambria Math" w:cs="Arial"/>
              <w:color w:val="000000"/>
            </w:rPr>
            <m:t>=              2</m:t>
          </m:r>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1</m:t>
              </m:r>
            </m:sub>
          </m:sSub>
          <m:sSub>
            <m:sSubPr>
              <m:ctrlPr>
                <w:rPr>
                  <w:rFonts w:ascii="Cambria Math" w:hAnsi="Cambria Math" w:cs="Arial"/>
                  <w:i/>
                  <w:color w:val="000000"/>
                </w:rPr>
              </m:ctrlPr>
            </m:sSubPr>
            <m:e>
              <m:r>
                <w:rPr>
                  <w:rFonts w:ascii="Cambria Math" w:hAnsi="Cambria Math" w:cs="Arial"/>
                  <w:color w:val="000000"/>
                </w:rPr>
                <m:t>α</m:t>
              </m:r>
            </m:e>
            <m:sub>
              <m:r>
                <w:rPr>
                  <w:rFonts w:ascii="Cambria Math" w:hAnsi="Cambria Math" w:cs="Arial"/>
                  <w:color w:val="000000"/>
                </w:rPr>
                <m:t xml:space="preserve">2 </m:t>
              </m:r>
            </m:sub>
          </m:sSub>
        </m:oMath>
      </m:oMathPara>
    </w:p>
    <w:p w14:paraId="1FCDCF21" w14:textId="77777777" w:rsidR="00C262B6" w:rsidRPr="00C9666A" w:rsidRDefault="00C262B6" w:rsidP="00C9666A">
      <w:pPr>
        <w:shd w:val="clear" w:color="auto" w:fill="FFFFFF"/>
        <w:spacing w:before="120" w:after="120"/>
        <w:ind w:right="-1"/>
        <w:jc w:val="both"/>
        <w:rPr>
          <w:rFonts w:ascii="Arial" w:hAnsi="Arial" w:cs="Arial"/>
          <w:color w:val="000000"/>
        </w:rPr>
      </w:pPr>
    </w:p>
    <w:p w14:paraId="358FE919" w14:textId="77777777" w:rsidR="00C262B6" w:rsidRPr="00C9666A" w:rsidRDefault="00CE0C08" w:rsidP="00C9666A">
      <w:pPr>
        <w:pStyle w:val="Default"/>
        <w:keepNext/>
        <w:spacing w:before="120" w:after="120" w:line="276" w:lineRule="auto"/>
        <w:ind w:left="851"/>
        <w:jc w:val="both"/>
        <w:rPr>
          <w:rFonts w:ascii="Arial" w:hAnsi="Arial" w:cs="Arial"/>
          <w:b/>
          <w:sz w:val="22"/>
          <w:szCs w:val="22"/>
        </w:rPr>
      </w:pPr>
      <w:r w:rsidRPr="00C9666A">
        <w:rPr>
          <w:rFonts w:ascii="Arial" w:hAnsi="Arial" w:cs="Arial"/>
          <w:b/>
          <w:sz w:val="22"/>
          <w:szCs w:val="22"/>
        </w:rPr>
        <w:t xml:space="preserve">III.1. </w:t>
      </w:r>
      <w:r w:rsidR="00C262B6" w:rsidRPr="00C9666A">
        <w:rPr>
          <w:rFonts w:ascii="Arial" w:hAnsi="Arial" w:cs="Arial"/>
          <w:b/>
          <w:sz w:val="22"/>
          <w:szCs w:val="22"/>
        </w:rPr>
        <w:t xml:space="preserve">Propiedades del </w:t>
      </w:r>
      <w:r w:rsidR="00193362" w:rsidRPr="00C9666A">
        <w:rPr>
          <w:rFonts w:ascii="Arial" w:hAnsi="Arial" w:cs="Arial"/>
          <w:b/>
          <w:sz w:val="22"/>
          <w:szCs w:val="22"/>
        </w:rPr>
        <w:t>IHH</w:t>
      </w:r>
    </w:p>
    <w:p w14:paraId="0B6E310A" w14:textId="49A10708" w:rsidR="00F4311C" w:rsidRPr="00C9666A" w:rsidRDefault="00122B0E" w:rsidP="00C9666A">
      <w:pPr>
        <w:spacing w:before="120" w:after="120"/>
        <w:ind w:right="-1" w:firstLine="1"/>
        <w:jc w:val="both"/>
        <w:rPr>
          <w:rFonts w:ascii="Arial" w:hAnsi="Arial" w:cs="Arial"/>
        </w:rPr>
      </w:pPr>
      <w:r w:rsidRPr="00C9666A">
        <w:rPr>
          <w:rFonts w:ascii="Arial" w:hAnsi="Arial" w:cs="Arial"/>
          <w:color w:val="000000"/>
        </w:rPr>
        <w:t>En la práctica internacional, e</w:t>
      </w:r>
      <w:r w:rsidR="00021C19" w:rsidRPr="00C9666A">
        <w:rPr>
          <w:rFonts w:ascii="Arial" w:hAnsi="Arial" w:cs="Arial"/>
          <w:color w:val="000000"/>
        </w:rPr>
        <w:t xml:space="preserve">l IHH es el más utilizado para evaluar estructuras de mercado que pudieran conducir a situaciones anticompetitivas. </w:t>
      </w:r>
      <w:r w:rsidR="00F4311C" w:rsidRPr="00C9666A">
        <w:rPr>
          <w:rFonts w:ascii="Arial" w:hAnsi="Arial" w:cs="Arial"/>
          <w:color w:val="000000"/>
        </w:rPr>
        <w:t>E</w:t>
      </w:r>
      <w:r w:rsidR="00F4311C" w:rsidRPr="00C9666A">
        <w:rPr>
          <w:rFonts w:ascii="Arial" w:eastAsia="Times New Roman" w:hAnsi="Arial" w:cs="Arial"/>
          <w:lang w:eastAsia="es-MX"/>
        </w:rPr>
        <w:t xml:space="preserve">l IHH indica el grado de concentración en el mercado y </w:t>
      </w:r>
      <m:oMath>
        <m:r>
          <m:rPr>
            <m:sty m:val="p"/>
          </m:rPr>
          <w:rPr>
            <w:rFonts w:ascii="Cambria Math" w:hAnsi="Cambria Math" w:cs="Arial"/>
          </w:rPr>
          <m:t>∆IHH</m:t>
        </m:r>
      </m:oMath>
      <w:r w:rsidR="00F4311C" w:rsidRPr="00C9666A">
        <w:rPr>
          <w:rFonts w:ascii="Arial" w:eastAsia="Times New Roman" w:hAnsi="Arial" w:cs="Arial"/>
          <w:lang w:eastAsia="es-MX"/>
        </w:rPr>
        <w:t xml:space="preserve"> refleja el cambio como consecuencia de una concentración entre agentes económicos determinados.</w:t>
      </w:r>
      <w:r w:rsidR="00F4311C" w:rsidRPr="00C9666A">
        <w:rPr>
          <w:rFonts w:ascii="Arial" w:hAnsi="Arial" w:cs="Arial"/>
        </w:rPr>
        <w:t xml:space="preserve"> </w:t>
      </w:r>
    </w:p>
    <w:p w14:paraId="6CB98CA3" w14:textId="77777777" w:rsidR="00C262B6" w:rsidRPr="00C9666A" w:rsidRDefault="00C262B6" w:rsidP="00C9666A">
      <w:pPr>
        <w:spacing w:before="120" w:after="120"/>
        <w:ind w:right="-1" w:firstLine="1"/>
        <w:jc w:val="both"/>
        <w:rPr>
          <w:rFonts w:ascii="Arial" w:hAnsi="Arial" w:cs="Arial"/>
        </w:rPr>
      </w:pPr>
      <w:r w:rsidRPr="00C9666A">
        <w:rPr>
          <w:rFonts w:ascii="Arial" w:hAnsi="Arial" w:cs="Arial"/>
        </w:rPr>
        <w:t xml:space="preserve">Algunas de las </w:t>
      </w:r>
      <w:r w:rsidR="001E0BD3" w:rsidRPr="00C9666A">
        <w:rPr>
          <w:rFonts w:ascii="Arial" w:hAnsi="Arial" w:cs="Arial"/>
        </w:rPr>
        <w:t>propiedades</w:t>
      </w:r>
      <w:r w:rsidRPr="00C9666A">
        <w:rPr>
          <w:rFonts w:ascii="Arial" w:hAnsi="Arial" w:cs="Arial"/>
        </w:rPr>
        <w:t xml:space="preserve"> más relevantes del </w:t>
      </w:r>
      <w:r w:rsidR="00193362" w:rsidRPr="00C9666A">
        <w:rPr>
          <w:rFonts w:ascii="Arial" w:hAnsi="Arial" w:cs="Arial"/>
        </w:rPr>
        <w:t>IHH</w:t>
      </w:r>
      <w:r w:rsidR="0079069C" w:rsidRPr="00C9666A">
        <w:rPr>
          <w:rFonts w:ascii="Arial" w:hAnsi="Arial" w:cs="Arial"/>
        </w:rPr>
        <w:t xml:space="preserve"> que </w:t>
      </w:r>
      <w:r w:rsidR="0079069C" w:rsidRPr="00C9666A">
        <w:rPr>
          <w:rFonts w:ascii="Arial" w:eastAsia="Times New Roman" w:hAnsi="Arial" w:cs="Arial"/>
          <w:lang w:eastAsia="es-MX"/>
        </w:rPr>
        <w:t xml:space="preserve">han propiciado que las autoridades de competencia económica </w:t>
      </w:r>
      <w:r w:rsidR="008E742D" w:rsidRPr="00C9666A">
        <w:rPr>
          <w:rFonts w:ascii="Arial" w:eastAsia="Times New Roman" w:hAnsi="Arial" w:cs="Arial"/>
          <w:lang w:eastAsia="es-MX"/>
        </w:rPr>
        <w:t xml:space="preserve">lo </w:t>
      </w:r>
      <w:r w:rsidR="0079069C" w:rsidRPr="00C9666A">
        <w:rPr>
          <w:rFonts w:ascii="Arial" w:eastAsia="Times New Roman" w:hAnsi="Arial" w:cs="Arial"/>
          <w:lang w:eastAsia="es-MX"/>
        </w:rPr>
        <w:t>utilicen para medir el grado de concentración en el mercado</w:t>
      </w:r>
      <w:r w:rsidR="008E742D" w:rsidRPr="00C9666A">
        <w:rPr>
          <w:rFonts w:ascii="Arial" w:eastAsia="Times New Roman" w:hAnsi="Arial" w:cs="Arial"/>
          <w:lang w:eastAsia="es-MX"/>
        </w:rPr>
        <w:t>,</w:t>
      </w:r>
      <w:r w:rsidR="0079069C" w:rsidRPr="00C9666A">
        <w:rPr>
          <w:rFonts w:ascii="Arial" w:hAnsi="Arial" w:cs="Arial"/>
        </w:rPr>
        <w:t xml:space="preserve"> </w:t>
      </w:r>
      <w:r w:rsidRPr="00C9666A">
        <w:rPr>
          <w:rFonts w:ascii="Arial" w:hAnsi="Arial" w:cs="Arial"/>
        </w:rPr>
        <w:t>son las siguientes:</w:t>
      </w:r>
      <w:r w:rsidR="001B46B9" w:rsidRPr="00C9666A">
        <w:rPr>
          <w:rStyle w:val="Refdenotaalpie"/>
          <w:rFonts w:ascii="Arial" w:hAnsi="Arial" w:cs="Arial"/>
          <w:bCs/>
          <w:lang w:val="en-US"/>
        </w:rPr>
        <w:footnoteReference w:id="13"/>
      </w:r>
    </w:p>
    <w:p w14:paraId="4FDDCE6F" w14:textId="77777777" w:rsidR="00BE0EE4" w:rsidRPr="00C9666A" w:rsidRDefault="00BE0EE4" w:rsidP="00C9666A">
      <w:pPr>
        <w:pStyle w:val="Default"/>
        <w:numPr>
          <w:ilvl w:val="0"/>
          <w:numId w:val="2"/>
        </w:numPr>
        <w:spacing w:before="120" w:after="120" w:line="276" w:lineRule="auto"/>
        <w:jc w:val="both"/>
        <w:rPr>
          <w:rFonts w:ascii="Arial" w:hAnsi="Arial" w:cs="Arial"/>
          <w:sz w:val="22"/>
          <w:szCs w:val="22"/>
        </w:rPr>
      </w:pPr>
      <w:r w:rsidRPr="00C9666A">
        <w:rPr>
          <w:rFonts w:ascii="Arial" w:hAnsi="Arial" w:cs="Arial"/>
          <w:b/>
          <w:sz w:val="22"/>
          <w:szCs w:val="22"/>
        </w:rPr>
        <w:t xml:space="preserve">El </w:t>
      </w:r>
      <w:r w:rsidR="00193362" w:rsidRPr="00C9666A">
        <w:rPr>
          <w:rFonts w:ascii="Arial" w:hAnsi="Arial" w:cs="Arial"/>
          <w:b/>
          <w:sz w:val="22"/>
          <w:szCs w:val="22"/>
        </w:rPr>
        <w:t>IHH</w:t>
      </w:r>
      <w:r w:rsidR="008E5B30" w:rsidRPr="00C9666A">
        <w:rPr>
          <w:rFonts w:ascii="Arial" w:hAnsi="Arial" w:cs="Arial"/>
          <w:b/>
          <w:sz w:val="22"/>
          <w:szCs w:val="22"/>
        </w:rPr>
        <w:t xml:space="preserve"> </w:t>
      </w:r>
      <w:r w:rsidR="00021C19" w:rsidRPr="00C9666A">
        <w:rPr>
          <w:rFonts w:ascii="Arial" w:hAnsi="Arial" w:cs="Arial"/>
          <w:b/>
          <w:sz w:val="22"/>
          <w:szCs w:val="22"/>
        </w:rPr>
        <w:t>considera tod</w:t>
      </w:r>
      <w:r w:rsidR="00122B0E" w:rsidRPr="00C9666A">
        <w:rPr>
          <w:rFonts w:ascii="Arial" w:hAnsi="Arial" w:cs="Arial"/>
          <w:b/>
          <w:sz w:val="22"/>
          <w:szCs w:val="22"/>
        </w:rPr>
        <w:t>a</w:t>
      </w:r>
      <w:r w:rsidR="00021C19" w:rsidRPr="00C9666A">
        <w:rPr>
          <w:rFonts w:ascii="Arial" w:hAnsi="Arial" w:cs="Arial"/>
          <w:b/>
          <w:sz w:val="22"/>
          <w:szCs w:val="22"/>
        </w:rPr>
        <w:t xml:space="preserve"> </w:t>
      </w:r>
      <w:r w:rsidR="00122B0E" w:rsidRPr="00C9666A">
        <w:rPr>
          <w:rFonts w:ascii="Arial" w:hAnsi="Arial" w:cs="Arial"/>
          <w:b/>
          <w:sz w:val="22"/>
          <w:szCs w:val="22"/>
        </w:rPr>
        <w:t xml:space="preserve">la actividad económica analizada </w:t>
      </w:r>
      <w:r w:rsidR="00021C19" w:rsidRPr="00C9666A">
        <w:rPr>
          <w:rFonts w:ascii="Arial" w:hAnsi="Arial" w:cs="Arial"/>
          <w:b/>
          <w:sz w:val="22"/>
          <w:szCs w:val="22"/>
        </w:rPr>
        <w:t xml:space="preserve">y </w:t>
      </w:r>
      <w:r w:rsidR="008E5B30" w:rsidRPr="00C9666A">
        <w:rPr>
          <w:rFonts w:ascii="Arial" w:hAnsi="Arial" w:cs="Arial"/>
          <w:b/>
          <w:sz w:val="22"/>
          <w:szCs w:val="22"/>
        </w:rPr>
        <w:t>refleja la</w:t>
      </w:r>
      <w:r w:rsidR="00021C19" w:rsidRPr="00C9666A">
        <w:rPr>
          <w:rFonts w:ascii="Arial" w:hAnsi="Arial" w:cs="Arial"/>
          <w:b/>
          <w:sz w:val="22"/>
          <w:szCs w:val="22"/>
        </w:rPr>
        <w:t xml:space="preserve"> posición relativa de</w:t>
      </w:r>
      <w:r w:rsidR="00122B0E" w:rsidRPr="00C9666A">
        <w:rPr>
          <w:rFonts w:ascii="Arial" w:hAnsi="Arial" w:cs="Arial"/>
          <w:b/>
          <w:sz w:val="22"/>
          <w:szCs w:val="22"/>
        </w:rPr>
        <w:t xml:space="preserve"> </w:t>
      </w:r>
      <w:r w:rsidR="00021C19" w:rsidRPr="00C9666A">
        <w:rPr>
          <w:rFonts w:ascii="Arial" w:hAnsi="Arial" w:cs="Arial"/>
          <w:b/>
          <w:sz w:val="22"/>
          <w:szCs w:val="22"/>
        </w:rPr>
        <w:t>los agente</w:t>
      </w:r>
      <w:r w:rsidR="008E5B30" w:rsidRPr="00C9666A">
        <w:rPr>
          <w:rFonts w:ascii="Arial" w:hAnsi="Arial" w:cs="Arial"/>
          <w:b/>
          <w:sz w:val="22"/>
          <w:szCs w:val="22"/>
        </w:rPr>
        <w:t>s</w:t>
      </w:r>
      <w:r w:rsidR="00021C19" w:rsidRPr="00C9666A">
        <w:rPr>
          <w:rFonts w:ascii="Arial" w:hAnsi="Arial" w:cs="Arial"/>
          <w:b/>
          <w:sz w:val="22"/>
          <w:szCs w:val="22"/>
        </w:rPr>
        <w:t xml:space="preserve"> económicos</w:t>
      </w:r>
      <w:r w:rsidR="008E5B30" w:rsidRPr="00C9666A">
        <w:rPr>
          <w:rFonts w:ascii="Arial" w:hAnsi="Arial" w:cs="Arial"/>
          <w:b/>
          <w:sz w:val="22"/>
          <w:szCs w:val="22"/>
        </w:rPr>
        <w:t xml:space="preserve">. </w:t>
      </w:r>
      <w:r w:rsidR="008E5B30" w:rsidRPr="00C9666A">
        <w:rPr>
          <w:rFonts w:ascii="Arial" w:hAnsi="Arial" w:cs="Arial"/>
          <w:sz w:val="22"/>
          <w:szCs w:val="22"/>
        </w:rPr>
        <w:t xml:space="preserve">Esta es una característica intrínseca de su definición y se considera como una ventaja sobre los </w:t>
      </w:r>
      <w:r w:rsidRPr="00C9666A">
        <w:rPr>
          <w:rFonts w:ascii="Arial" w:hAnsi="Arial" w:cs="Arial"/>
          <w:b/>
          <w:sz w:val="22"/>
          <w:szCs w:val="22"/>
        </w:rPr>
        <w:t>CR</w:t>
      </w:r>
      <w:r w:rsidR="008E5B30" w:rsidRPr="00C9666A">
        <w:rPr>
          <w:rFonts w:ascii="Arial" w:hAnsi="Arial" w:cs="Arial"/>
          <w:sz w:val="22"/>
          <w:szCs w:val="22"/>
        </w:rPr>
        <w:t xml:space="preserve">. Lo anterior, debido a que en el caso del </w:t>
      </w:r>
      <w:r w:rsidR="00193362" w:rsidRPr="00C9666A">
        <w:rPr>
          <w:rFonts w:ascii="Arial" w:hAnsi="Arial" w:cs="Arial"/>
          <w:sz w:val="22"/>
          <w:szCs w:val="22"/>
        </w:rPr>
        <w:t>IHH</w:t>
      </w:r>
      <w:r w:rsidR="008E5B30" w:rsidRPr="00C9666A">
        <w:rPr>
          <w:rFonts w:ascii="Arial" w:hAnsi="Arial" w:cs="Arial"/>
          <w:sz w:val="22"/>
          <w:szCs w:val="22"/>
        </w:rPr>
        <w:t xml:space="preserve"> </w:t>
      </w:r>
      <w:r w:rsidR="008E5B30" w:rsidRPr="00C9666A">
        <w:rPr>
          <w:rFonts w:ascii="Arial" w:hAnsi="Arial" w:cs="Arial"/>
          <w:sz w:val="22"/>
          <w:szCs w:val="22"/>
        </w:rPr>
        <w:lastRenderedPageBreak/>
        <w:t xml:space="preserve">no es necesario determinar </w:t>
      </w:r>
      <w:r w:rsidR="008E5B30" w:rsidRPr="00C9666A">
        <w:rPr>
          <w:rFonts w:ascii="Arial" w:hAnsi="Arial" w:cs="Arial"/>
          <w:i/>
          <w:sz w:val="22"/>
          <w:szCs w:val="22"/>
        </w:rPr>
        <w:t>a priori</w:t>
      </w:r>
      <w:r w:rsidR="008E5B30" w:rsidRPr="00C9666A">
        <w:rPr>
          <w:rFonts w:ascii="Arial" w:hAnsi="Arial" w:cs="Arial"/>
          <w:sz w:val="22"/>
          <w:szCs w:val="22"/>
        </w:rPr>
        <w:t xml:space="preserve"> la cantidad de </w:t>
      </w:r>
      <w:r w:rsidR="005329DD" w:rsidRPr="00C9666A">
        <w:rPr>
          <w:rFonts w:ascii="Arial" w:hAnsi="Arial" w:cs="Arial"/>
          <w:sz w:val="22"/>
          <w:szCs w:val="22"/>
        </w:rPr>
        <w:t>agentes económicos</w:t>
      </w:r>
      <w:r w:rsidR="008E5B30" w:rsidRPr="00C9666A">
        <w:rPr>
          <w:rFonts w:ascii="Arial" w:hAnsi="Arial" w:cs="Arial"/>
          <w:sz w:val="22"/>
          <w:szCs w:val="22"/>
        </w:rPr>
        <w:t xml:space="preserve"> más importantes para calcularlo.</w:t>
      </w:r>
    </w:p>
    <w:p w14:paraId="0B455457" w14:textId="10674456" w:rsidR="00BE0EE4" w:rsidRPr="00C9666A" w:rsidRDefault="00BE0EE4" w:rsidP="00C9666A">
      <w:pPr>
        <w:pStyle w:val="Default"/>
        <w:numPr>
          <w:ilvl w:val="0"/>
          <w:numId w:val="2"/>
        </w:numPr>
        <w:spacing w:before="120" w:after="120" w:line="276" w:lineRule="auto"/>
        <w:jc w:val="both"/>
        <w:rPr>
          <w:rFonts w:ascii="Arial" w:hAnsi="Arial" w:cs="Arial"/>
          <w:sz w:val="22"/>
          <w:szCs w:val="22"/>
        </w:rPr>
      </w:pPr>
      <w:r w:rsidRPr="00C9666A">
        <w:rPr>
          <w:rFonts w:ascii="Arial" w:hAnsi="Arial" w:cs="Arial"/>
          <w:b/>
          <w:sz w:val="22"/>
          <w:szCs w:val="22"/>
        </w:rPr>
        <w:t xml:space="preserve">El </w:t>
      </w:r>
      <w:r w:rsidR="00193362" w:rsidRPr="00C9666A">
        <w:rPr>
          <w:rFonts w:ascii="Arial" w:hAnsi="Arial" w:cs="Arial"/>
          <w:b/>
          <w:sz w:val="22"/>
          <w:szCs w:val="22"/>
        </w:rPr>
        <w:t>IHH</w:t>
      </w:r>
      <w:r w:rsidR="00C262B6" w:rsidRPr="00C9666A">
        <w:rPr>
          <w:rFonts w:ascii="Arial" w:hAnsi="Arial" w:cs="Arial"/>
          <w:b/>
          <w:sz w:val="22"/>
          <w:szCs w:val="22"/>
        </w:rPr>
        <w:t xml:space="preserve"> aumenta cuando el número de empresas disminuye</w:t>
      </w:r>
      <w:r w:rsidR="00C262B6" w:rsidRPr="00C9666A">
        <w:rPr>
          <w:rFonts w:ascii="Arial" w:hAnsi="Arial" w:cs="Arial"/>
          <w:sz w:val="22"/>
          <w:szCs w:val="22"/>
        </w:rPr>
        <w:t xml:space="preserve">. </w:t>
      </w:r>
      <w:r w:rsidR="001B1534" w:rsidRPr="00C9666A">
        <w:rPr>
          <w:rFonts w:ascii="Arial" w:hAnsi="Arial" w:cs="Arial"/>
          <w:sz w:val="22"/>
          <w:szCs w:val="22"/>
        </w:rPr>
        <w:t>Esta característica implica que</w:t>
      </w:r>
      <w:r w:rsidR="00C262B6" w:rsidRPr="00C9666A">
        <w:rPr>
          <w:rFonts w:ascii="Arial" w:hAnsi="Arial" w:cs="Arial"/>
          <w:sz w:val="22"/>
          <w:szCs w:val="22"/>
        </w:rPr>
        <w:t xml:space="preserve"> cualquier fusión o adquisición </w:t>
      </w:r>
      <w:r w:rsidR="001B1534" w:rsidRPr="00C9666A">
        <w:rPr>
          <w:rFonts w:ascii="Arial" w:hAnsi="Arial" w:cs="Arial"/>
          <w:sz w:val="22"/>
          <w:szCs w:val="22"/>
        </w:rPr>
        <w:t>co</w:t>
      </w:r>
      <w:r w:rsidR="00C262B6" w:rsidRPr="00C9666A">
        <w:rPr>
          <w:rFonts w:ascii="Arial" w:hAnsi="Arial" w:cs="Arial"/>
          <w:sz w:val="22"/>
          <w:szCs w:val="22"/>
        </w:rPr>
        <w:t xml:space="preserve">mpleta entre dos o más empresas </w:t>
      </w:r>
      <w:r w:rsidR="005329DD" w:rsidRPr="00C9666A">
        <w:rPr>
          <w:rFonts w:ascii="Arial" w:hAnsi="Arial" w:cs="Arial"/>
          <w:sz w:val="22"/>
          <w:szCs w:val="22"/>
        </w:rPr>
        <w:t>se ve reflejada en un valor más alto</w:t>
      </w:r>
      <w:r w:rsidR="00C262B6" w:rsidRPr="00C9666A">
        <w:rPr>
          <w:rFonts w:ascii="Arial" w:hAnsi="Arial" w:cs="Arial"/>
          <w:sz w:val="22"/>
          <w:szCs w:val="22"/>
        </w:rPr>
        <w:t xml:space="preserve"> de</w:t>
      </w:r>
      <w:r w:rsidR="005329DD" w:rsidRPr="00C9666A">
        <w:rPr>
          <w:rFonts w:ascii="Arial" w:hAnsi="Arial" w:cs="Arial"/>
          <w:sz w:val="22"/>
          <w:szCs w:val="22"/>
        </w:rPr>
        <w:t xml:space="preserve">l </w:t>
      </w:r>
      <w:r w:rsidR="00193362" w:rsidRPr="00C9666A">
        <w:rPr>
          <w:rFonts w:ascii="Arial" w:hAnsi="Arial" w:cs="Arial"/>
          <w:sz w:val="22"/>
          <w:szCs w:val="22"/>
        </w:rPr>
        <w:t>IHH</w:t>
      </w:r>
      <w:r w:rsidR="00C262B6" w:rsidRPr="00C9666A">
        <w:rPr>
          <w:rFonts w:ascii="Arial" w:hAnsi="Arial" w:cs="Arial"/>
          <w:sz w:val="22"/>
          <w:szCs w:val="22"/>
        </w:rPr>
        <w:t>.</w:t>
      </w:r>
      <w:r w:rsidR="00F4311C" w:rsidRPr="00C9666A">
        <w:rPr>
          <w:rFonts w:ascii="Arial" w:eastAsia="Times New Roman" w:hAnsi="Arial" w:cs="Arial"/>
          <w:sz w:val="22"/>
          <w:szCs w:val="22"/>
          <w:lang w:eastAsia="es-MX"/>
        </w:rPr>
        <w:t xml:space="preserve"> Entre más pequeño sea el número de </w:t>
      </w:r>
      <w:r w:rsidR="00122B0E" w:rsidRPr="00C9666A">
        <w:rPr>
          <w:rFonts w:ascii="Arial" w:eastAsia="Times New Roman" w:hAnsi="Arial" w:cs="Arial"/>
          <w:sz w:val="22"/>
          <w:szCs w:val="22"/>
          <w:lang w:eastAsia="es-MX"/>
        </w:rPr>
        <w:t>participantes</w:t>
      </w:r>
      <w:r w:rsidR="00F4311C" w:rsidRPr="00C9666A">
        <w:rPr>
          <w:rFonts w:ascii="Arial" w:eastAsia="Times New Roman" w:hAnsi="Arial" w:cs="Arial"/>
          <w:sz w:val="22"/>
          <w:szCs w:val="22"/>
          <w:lang w:eastAsia="es-MX"/>
        </w:rPr>
        <w:t xml:space="preserve">, es más probable que </w:t>
      </w:r>
      <w:r w:rsidR="00122B0E" w:rsidRPr="00C9666A">
        <w:rPr>
          <w:rFonts w:ascii="Arial" w:eastAsia="Times New Roman" w:hAnsi="Arial" w:cs="Arial"/>
          <w:sz w:val="22"/>
          <w:szCs w:val="22"/>
          <w:lang w:eastAsia="es-MX"/>
        </w:rPr>
        <w:t>las variaciones en el número de participantes o de las participaciones,</w:t>
      </w:r>
      <w:r w:rsidR="00F4311C" w:rsidRPr="00C9666A">
        <w:rPr>
          <w:rFonts w:ascii="Arial" w:eastAsia="Times New Roman" w:hAnsi="Arial" w:cs="Arial"/>
          <w:sz w:val="22"/>
          <w:szCs w:val="22"/>
          <w:lang w:eastAsia="es-MX"/>
        </w:rPr>
        <w:t xml:space="preserve"> </w:t>
      </w:r>
      <w:r w:rsidR="009E2686" w:rsidRPr="00C9666A">
        <w:rPr>
          <w:rFonts w:ascii="Arial" w:eastAsia="Times New Roman" w:hAnsi="Arial" w:cs="Arial"/>
          <w:sz w:val="22"/>
          <w:szCs w:val="22"/>
          <w:lang w:eastAsia="es-MX"/>
        </w:rPr>
        <w:t xml:space="preserve">modifiquen las condiciones de </w:t>
      </w:r>
      <w:r w:rsidR="00F4311C" w:rsidRPr="00C9666A">
        <w:rPr>
          <w:rFonts w:ascii="Arial" w:eastAsia="Times New Roman" w:hAnsi="Arial" w:cs="Arial"/>
          <w:sz w:val="22"/>
          <w:szCs w:val="22"/>
          <w:lang w:eastAsia="es-MX"/>
        </w:rPr>
        <w:t>competencia para el resto de los agentes económicos. Est</w:t>
      </w:r>
      <w:r w:rsidR="009E2686" w:rsidRPr="00C9666A">
        <w:rPr>
          <w:rFonts w:ascii="Arial" w:eastAsia="Times New Roman" w:hAnsi="Arial" w:cs="Arial"/>
          <w:sz w:val="22"/>
          <w:szCs w:val="22"/>
          <w:lang w:eastAsia="es-MX"/>
        </w:rPr>
        <w:t>os cambios en las condiciones de</w:t>
      </w:r>
      <w:r w:rsidR="00F4311C" w:rsidRPr="00C9666A">
        <w:rPr>
          <w:rFonts w:ascii="Arial" w:eastAsia="Times New Roman" w:hAnsi="Arial" w:cs="Arial"/>
          <w:sz w:val="22"/>
          <w:szCs w:val="22"/>
          <w:lang w:eastAsia="es-MX"/>
        </w:rPr>
        <w:t xml:space="preserve"> competencia </w:t>
      </w:r>
      <w:r w:rsidR="00D75E6D" w:rsidRPr="00C9666A">
        <w:rPr>
          <w:rFonts w:ascii="Arial" w:eastAsia="Times New Roman" w:hAnsi="Arial" w:cs="Arial"/>
          <w:sz w:val="22"/>
          <w:szCs w:val="22"/>
          <w:lang w:eastAsia="es-MX"/>
        </w:rPr>
        <w:t>son</w:t>
      </w:r>
      <w:r w:rsidR="00F4311C" w:rsidRPr="00C9666A">
        <w:rPr>
          <w:rFonts w:ascii="Arial" w:eastAsia="Times New Roman" w:hAnsi="Arial" w:cs="Arial"/>
          <w:sz w:val="22"/>
          <w:szCs w:val="22"/>
          <w:lang w:eastAsia="es-MX"/>
        </w:rPr>
        <w:t xml:space="preserve"> capturad</w:t>
      </w:r>
      <w:r w:rsidR="00D75E6D" w:rsidRPr="00C9666A">
        <w:rPr>
          <w:rFonts w:ascii="Arial" w:eastAsia="Times New Roman" w:hAnsi="Arial" w:cs="Arial"/>
          <w:sz w:val="22"/>
          <w:szCs w:val="22"/>
          <w:lang w:eastAsia="es-MX"/>
        </w:rPr>
        <w:t>os</w:t>
      </w:r>
      <w:r w:rsidR="00F4311C" w:rsidRPr="00C9666A">
        <w:rPr>
          <w:rFonts w:ascii="Arial" w:eastAsia="Times New Roman" w:hAnsi="Arial" w:cs="Arial"/>
          <w:sz w:val="22"/>
          <w:szCs w:val="22"/>
          <w:lang w:eastAsia="es-MX"/>
        </w:rPr>
        <w:t xml:space="preserve"> mediante un</w:t>
      </w:r>
      <w:r w:rsidR="009E2686" w:rsidRPr="00C9666A">
        <w:rPr>
          <w:rFonts w:ascii="Arial" w:eastAsia="Times New Roman" w:hAnsi="Arial" w:cs="Arial"/>
          <w:sz w:val="22"/>
          <w:szCs w:val="22"/>
          <w:lang w:eastAsia="es-MX"/>
        </w:rPr>
        <w:t xml:space="preserve">a variación </w:t>
      </w:r>
      <w:r w:rsidR="00F4311C" w:rsidRPr="00C9666A">
        <w:rPr>
          <w:rFonts w:ascii="Arial" w:eastAsia="Times New Roman" w:hAnsi="Arial" w:cs="Arial"/>
          <w:sz w:val="22"/>
          <w:szCs w:val="22"/>
          <w:lang w:eastAsia="es-MX"/>
        </w:rPr>
        <w:t>del IHH, pues éste aumenta cuando el número de competidores disminuye</w:t>
      </w:r>
      <w:r w:rsidR="009E2686" w:rsidRPr="00C9666A">
        <w:rPr>
          <w:rFonts w:ascii="Arial" w:eastAsia="Times New Roman" w:hAnsi="Arial" w:cs="Arial"/>
          <w:sz w:val="22"/>
          <w:szCs w:val="22"/>
          <w:lang w:eastAsia="es-MX"/>
        </w:rPr>
        <w:t xml:space="preserve"> y </w:t>
      </w:r>
      <w:r w:rsidR="0025760C" w:rsidRPr="00C9666A">
        <w:rPr>
          <w:rFonts w:ascii="Arial" w:eastAsia="Times New Roman" w:hAnsi="Arial" w:cs="Arial"/>
          <w:sz w:val="22"/>
          <w:szCs w:val="22"/>
          <w:lang w:eastAsia="es-MX"/>
        </w:rPr>
        <w:t>viceversa</w:t>
      </w:r>
      <w:r w:rsidR="00F4311C" w:rsidRPr="00C9666A">
        <w:rPr>
          <w:rFonts w:ascii="Arial" w:eastAsia="Times New Roman" w:hAnsi="Arial" w:cs="Arial"/>
          <w:sz w:val="22"/>
          <w:szCs w:val="22"/>
          <w:lang w:eastAsia="es-MX"/>
        </w:rPr>
        <w:t>.</w:t>
      </w:r>
    </w:p>
    <w:p w14:paraId="7DC1432D" w14:textId="77777777" w:rsidR="00BE0EE4" w:rsidRPr="00C9666A" w:rsidRDefault="00C262B6" w:rsidP="00C9666A">
      <w:pPr>
        <w:pStyle w:val="Default"/>
        <w:numPr>
          <w:ilvl w:val="0"/>
          <w:numId w:val="2"/>
        </w:numPr>
        <w:spacing w:before="120" w:after="120" w:line="276" w:lineRule="auto"/>
        <w:jc w:val="both"/>
        <w:rPr>
          <w:rFonts w:ascii="Arial" w:hAnsi="Arial" w:cs="Arial"/>
          <w:sz w:val="22"/>
          <w:szCs w:val="22"/>
        </w:rPr>
      </w:pPr>
      <w:r w:rsidRPr="00C9666A">
        <w:rPr>
          <w:rFonts w:ascii="Arial" w:hAnsi="Arial" w:cs="Arial"/>
          <w:b/>
          <w:sz w:val="22"/>
          <w:szCs w:val="22"/>
        </w:rPr>
        <w:t xml:space="preserve">El </w:t>
      </w:r>
      <w:r w:rsidR="00193362" w:rsidRPr="00C9666A">
        <w:rPr>
          <w:rFonts w:ascii="Arial" w:hAnsi="Arial" w:cs="Arial"/>
          <w:b/>
          <w:sz w:val="22"/>
          <w:szCs w:val="22"/>
        </w:rPr>
        <w:t>IHH</w:t>
      </w:r>
      <w:r w:rsidRPr="00C9666A">
        <w:rPr>
          <w:rFonts w:ascii="Arial" w:hAnsi="Arial" w:cs="Arial"/>
          <w:b/>
          <w:sz w:val="22"/>
          <w:szCs w:val="22"/>
        </w:rPr>
        <w:t xml:space="preserve"> es sensible a las participaciones.</w:t>
      </w:r>
      <w:r w:rsidRPr="00C9666A">
        <w:rPr>
          <w:rFonts w:ascii="Arial" w:hAnsi="Arial" w:cs="Arial"/>
          <w:sz w:val="22"/>
          <w:szCs w:val="22"/>
        </w:rPr>
        <w:t xml:space="preserve"> </w:t>
      </w:r>
      <w:r w:rsidR="005329DD" w:rsidRPr="00C9666A">
        <w:rPr>
          <w:rFonts w:ascii="Arial" w:hAnsi="Arial" w:cs="Arial"/>
          <w:sz w:val="22"/>
          <w:szCs w:val="22"/>
        </w:rPr>
        <w:t xml:space="preserve">Dado un número de agentes económicos, el </w:t>
      </w:r>
      <w:r w:rsidR="00193362" w:rsidRPr="00C9666A">
        <w:rPr>
          <w:rFonts w:ascii="Arial" w:hAnsi="Arial" w:cs="Arial"/>
          <w:sz w:val="22"/>
          <w:szCs w:val="22"/>
        </w:rPr>
        <w:t>IHH</w:t>
      </w:r>
      <w:r w:rsidRPr="00C9666A">
        <w:rPr>
          <w:rFonts w:ascii="Arial" w:hAnsi="Arial" w:cs="Arial"/>
          <w:sz w:val="22"/>
          <w:szCs w:val="22"/>
        </w:rPr>
        <w:t xml:space="preserve"> alcanzará su valor mínimo cuando las participaciones de mercado sean </w:t>
      </w:r>
      <w:r w:rsidR="00F4311C" w:rsidRPr="00C9666A">
        <w:rPr>
          <w:rFonts w:ascii="Arial" w:hAnsi="Arial" w:cs="Arial"/>
          <w:sz w:val="22"/>
          <w:szCs w:val="22"/>
        </w:rPr>
        <w:t xml:space="preserve">iguales </w:t>
      </w:r>
      <w:r w:rsidRPr="00C9666A">
        <w:rPr>
          <w:rFonts w:ascii="Arial" w:hAnsi="Arial" w:cs="Arial"/>
          <w:sz w:val="22"/>
          <w:szCs w:val="22"/>
        </w:rPr>
        <w:t xml:space="preserve">y alcanzará su máximo cuando </w:t>
      </w:r>
      <w:r w:rsidR="00815A30" w:rsidRPr="00C9666A">
        <w:rPr>
          <w:rFonts w:ascii="Arial" w:hAnsi="Arial" w:cs="Arial"/>
          <w:sz w:val="22"/>
          <w:szCs w:val="22"/>
        </w:rPr>
        <w:t>uno de los agentes económicos</w:t>
      </w:r>
      <w:r w:rsidRPr="00C9666A">
        <w:rPr>
          <w:rFonts w:ascii="Arial" w:hAnsi="Arial" w:cs="Arial"/>
          <w:sz w:val="22"/>
          <w:szCs w:val="22"/>
        </w:rPr>
        <w:t xml:space="preserve"> concentre gran parte del mercado. Por ejemplo, en un mercado de </w:t>
      </w:r>
      <w:r w:rsidR="005329DD" w:rsidRPr="00C9666A">
        <w:rPr>
          <w:rFonts w:ascii="Arial" w:hAnsi="Arial" w:cs="Arial"/>
          <w:sz w:val="22"/>
          <w:szCs w:val="22"/>
        </w:rPr>
        <w:t>4</w:t>
      </w:r>
      <w:r w:rsidRPr="00C9666A">
        <w:rPr>
          <w:rFonts w:ascii="Arial" w:hAnsi="Arial" w:cs="Arial"/>
          <w:sz w:val="22"/>
          <w:szCs w:val="22"/>
        </w:rPr>
        <w:t xml:space="preserve"> </w:t>
      </w:r>
      <w:r w:rsidR="00815A30" w:rsidRPr="00C9666A">
        <w:rPr>
          <w:rFonts w:ascii="Arial" w:hAnsi="Arial" w:cs="Arial"/>
          <w:sz w:val="22"/>
          <w:szCs w:val="22"/>
        </w:rPr>
        <w:t xml:space="preserve">agentes económicos </w:t>
      </w:r>
      <w:r w:rsidRPr="00C9666A">
        <w:rPr>
          <w:rFonts w:ascii="Arial" w:hAnsi="Arial" w:cs="Arial"/>
          <w:sz w:val="22"/>
          <w:szCs w:val="22"/>
        </w:rPr>
        <w:t>con 25% de participación cada un</w:t>
      </w:r>
      <w:r w:rsidR="005329DD" w:rsidRPr="00C9666A">
        <w:rPr>
          <w:rFonts w:ascii="Arial" w:hAnsi="Arial" w:cs="Arial"/>
          <w:sz w:val="22"/>
          <w:szCs w:val="22"/>
        </w:rPr>
        <w:t>o</w:t>
      </w:r>
      <w:r w:rsidRPr="00C9666A">
        <w:rPr>
          <w:rFonts w:ascii="Arial" w:hAnsi="Arial" w:cs="Arial"/>
          <w:sz w:val="22"/>
          <w:szCs w:val="22"/>
        </w:rPr>
        <w:t xml:space="preserve">, el valor del </w:t>
      </w:r>
      <w:r w:rsidR="00193362" w:rsidRPr="00C9666A">
        <w:rPr>
          <w:rFonts w:ascii="Arial" w:hAnsi="Arial" w:cs="Arial"/>
          <w:sz w:val="22"/>
          <w:szCs w:val="22"/>
        </w:rPr>
        <w:t>IHH</w:t>
      </w:r>
      <w:r w:rsidR="005329DD" w:rsidRPr="00C9666A">
        <w:rPr>
          <w:rFonts w:ascii="Arial" w:hAnsi="Arial" w:cs="Arial"/>
          <w:sz w:val="22"/>
          <w:szCs w:val="22"/>
        </w:rPr>
        <w:t xml:space="preserve"> es 2,500</w:t>
      </w:r>
      <w:r w:rsidR="00F4311C" w:rsidRPr="00C9666A">
        <w:rPr>
          <w:rFonts w:ascii="Arial" w:hAnsi="Arial" w:cs="Arial"/>
          <w:sz w:val="22"/>
          <w:szCs w:val="22"/>
        </w:rPr>
        <w:t xml:space="preserve"> puntos</w:t>
      </w:r>
      <w:r w:rsidR="005329DD" w:rsidRPr="00C9666A">
        <w:rPr>
          <w:rFonts w:ascii="Arial" w:hAnsi="Arial" w:cs="Arial"/>
          <w:sz w:val="22"/>
          <w:szCs w:val="22"/>
        </w:rPr>
        <w:t>;</w:t>
      </w:r>
      <w:r w:rsidRPr="00C9666A">
        <w:rPr>
          <w:rFonts w:ascii="Arial" w:hAnsi="Arial" w:cs="Arial"/>
          <w:sz w:val="22"/>
          <w:szCs w:val="22"/>
        </w:rPr>
        <w:t xml:space="preserve"> </w:t>
      </w:r>
      <w:r w:rsidR="005329DD" w:rsidRPr="00C9666A">
        <w:rPr>
          <w:rFonts w:ascii="Arial" w:hAnsi="Arial" w:cs="Arial"/>
          <w:sz w:val="22"/>
          <w:szCs w:val="22"/>
        </w:rPr>
        <w:t>s</w:t>
      </w:r>
      <w:r w:rsidRPr="00C9666A">
        <w:rPr>
          <w:rFonts w:ascii="Arial" w:hAnsi="Arial" w:cs="Arial"/>
          <w:sz w:val="22"/>
          <w:szCs w:val="22"/>
        </w:rPr>
        <w:t xml:space="preserve">i las participaciones fueran </w:t>
      </w:r>
      <w:r w:rsidR="005329DD" w:rsidRPr="00C9666A">
        <w:rPr>
          <w:rFonts w:ascii="Arial" w:hAnsi="Arial" w:cs="Arial"/>
          <w:sz w:val="22"/>
          <w:szCs w:val="22"/>
        </w:rPr>
        <w:t xml:space="preserve">97%, 1%, 1% y 1%, el valor del </w:t>
      </w:r>
      <w:r w:rsidR="00193362" w:rsidRPr="00C9666A">
        <w:rPr>
          <w:rFonts w:ascii="Arial" w:hAnsi="Arial" w:cs="Arial"/>
          <w:sz w:val="22"/>
          <w:szCs w:val="22"/>
        </w:rPr>
        <w:t>IHH</w:t>
      </w:r>
      <w:r w:rsidRPr="00C9666A">
        <w:rPr>
          <w:rFonts w:ascii="Arial" w:hAnsi="Arial" w:cs="Arial"/>
          <w:sz w:val="22"/>
          <w:szCs w:val="22"/>
        </w:rPr>
        <w:t xml:space="preserve"> se </w:t>
      </w:r>
      <w:r w:rsidR="00F4311C" w:rsidRPr="00C9666A">
        <w:rPr>
          <w:rFonts w:ascii="Arial" w:hAnsi="Arial" w:cs="Arial"/>
          <w:sz w:val="22"/>
          <w:szCs w:val="22"/>
        </w:rPr>
        <w:t xml:space="preserve">incrementa </w:t>
      </w:r>
      <w:r w:rsidRPr="00C9666A">
        <w:rPr>
          <w:rFonts w:ascii="Arial" w:hAnsi="Arial" w:cs="Arial"/>
          <w:sz w:val="22"/>
          <w:szCs w:val="22"/>
        </w:rPr>
        <w:t>a 9,412</w:t>
      </w:r>
      <w:r w:rsidR="00F4311C" w:rsidRPr="00C9666A">
        <w:rPr>
          <w:rFonts w:ascii="Arial" w:hAnsi="Arial" w:cs="Arial"/>
          <w:sz w:val="22"/>
          <w:szCs w:val="22"/>
        </w:rPr>
        <w:t xml:space="preserve"> puntos</w:t>
      </w:r>
      <w:r w:rsidRPr="00C9666A">
        <w:rPr>
          <w:rFonts w:ascii="Arial" w:hAnsi="Arial" w:cs="Arial"/>
          <w:sz w:val="22"/>
          <w:szCs w:val="22"/>
        </w:rPr>
        <w:t>.</w:t>
      </w:r>
    </w:p>
    <w:p w14:paraId="7A3B10AD" w14:textId="77777777" w:rsidR="00C262B6" w:rsidRPr="00C9666A" w:rsidRDefault="0079069C" w:rsidP="00C9666A">
      <w:pPr>
        <w:pStyle w:val="Default"/>
        <w:spacing w:before="120" w:after="120" w:line="276" w:lineRule="auto"/>
        <w:ind w:left="714"/>
        <w:jc w:val="both"/>
        <w:rPr>
          <w:rFonts w:ascii="Arial" w:hAnsi="Arial" w:cs="Arial"/>
          <w:sz w:val="22"/>
          <w:szCs w:val="22"/>
        </w:rPr>
      </w:pPr>
      <w:r w:rsidRPr="00C9666A">
        <w:rPr>
          <w:rFonts w:ascii="Arial" w:hAnsi="Arial" w:cs="Arial"/>
          <w:sz w:val="22"/>
          <w:szCs w:val="22"/>
        </w:rPr>
        <w:t>Esta sensibilidad</w:t>
      </w:r>
      <w:r w:rsidR="00C262B6" w:rsidRPr="00C9666A">
        <w:rPr>
          <w:rFonts w:ascii="Arial" w:hAnsi="Arial" w:cs="Arial"/>
          <w:sz w:val="22"/>
          <w:szCs w:val="22"/>
        </w:rPr>
        <w:t xml:space="preserve"> </w:t>
      </w:r>
      <w:r w:rsidRPr="00C9666A">
        <w:rPr>
          <w:rFonts w:ascii="Arial" w:hAnsi="Arial" w:cs="Arial"/>
          <w:sz w:val="22"/>
          <w:szCs w:val="22"/>
        </w:rPr>
        <w:t xml:space="preserve">del </w:t>
      </w:r>
      <w:r w:rsidR="00193362" w:rsidRPr="00C9666A">
        <w:rPr>
          <w:rFonts w:ascii="Arial" w:hAnsi="Arial" w:cs="Arial"/>
          <w:sz w:val="22"/>
          <w:szCs w:val="22"/>
        </w:rPr>
        <w:t>IHH</w:t>
      </w:r>
      <w:r w:rsidRPr="00C9666A">
        <w:rPr>
          <w:rFonts w:ascii="Arial" w:hAnsi="Arial" w:cs="Arial"/>
          <w:sz w:val="22"/>
          <w:szCs w:val="22"/>
        </w:rPr>
        <w:t xml:space="preserve"> implica que se debe tener particular cuidado con las estimaciones de las participaciones. </w:t>
      </w:r>
      <w:r w:rsidR="00C262B6" w:rsidRPr="00C9666A">
        <w:rPr>
          <w:rFonts w:ascii="Arial" w:hAnsi="Arial" w:cs="Arial"/>
          <w:sz w:val="22"/>
          <w:szCs w:val="22"/>
        </w:rPr>
        <w:t xml:space="preserve">Por ejemplo, en un mercado de 4 </w:t>
      </w:r>
      <w:r w:rsidR="00815A30" w:rsidRPr="00C9666A">
        <w:rPr>
          <w:rFonts w:ascii="Arial" w:hAnsi="Arial" w:cs="Arial"/>
          <w:sz w:val="22"/>
          <w:szCs w:val="22"/>
        </w:rPr>
        <w:t xml:space="preserve">agentes económicos </w:t>
      </w:r>
      <w:r w:rsidR="00C262B6" w:rsidRPr="00C9666A">
        <w:rPr>
          <w:rFonts w:ascii="Arial" w:hAnsi="Arial" w:cs="Arial"/>
          <w:sz w:val="22"/>
          <w:szCs w:val="22"/>
        </w:rPr>
        <w:t>con participaciones</w:t>
      </w:r>
      <w:r w:rsidR="00C76103" w:rsidRPr="00C9666A">
        <w:rPr>
          <w:rFonts w:ascii="Arial" w:hAnsi="Arial" w:cs="Arial"/>
          <w:sz w:val="22"/>
          <w:szCs w:val="22"/>
        </w:rPr>
        <w:t>:</w:t>
      </w:r>
      <w:r w:rsidR="00C262B6" w:rsidRPr="00C9666A">
        <w:rPr>
          <w:rFonts w:ascii="Arial" w:hAnsi="Arial" w:cs="Arial"/>
          <w:sz w:val="22"/>
          <w:szCs w:val="22"/>
        </w:rPr>
        <w:t xml:space="preserve"> 40%, 40%, 10% y 10%, el valor del </w:t>
      </w:r>
      <w:r w:rsidR="00193362" w:rsidRPr="00C9666A">
        <w:rPr>
          <w:rFonts w:ascii="Arial" w:hAnsi="Arial" w:cs="Arial"/>
          <w:sz w:val="22"/>
          <w:szCs w:val="22"/>
        </w:rPr>
        <w:t>IHH</w:t>
      </w:r>
      <w:r w:rsidR="00C262B6" w:rsidRPr="00C9666A">
        <w:rPr>
          <w:rFonts w:ascii="Arial" w:hAnsi="Arial" w:cs="Arial"/>
          <w:sz w:val="22"/>
          <w:szCs w:val="22"/>
        </w:rPr>
        <w:t xml:space="preserve"> es 3,400</w:t>
      </w:r>
      <w:r w:rsidR="00F4311C" w:rsidRPr="00C9666A">
        <w:rPr>
          <w:rFonts w:ascii="Arial" w:hAnsi="Arial" w:cs="Arial"/>
          <w:sz w:val="22"/>
          <w:szCs w:val="22"/>
        </w:rPr>
        <w:t xml:space="preserve"> puntos</w:t>
      </w:r>
      <w:r w:rsidR="00C262B6" w:rsidRPr="00C9666A">
        <w:rPr>
          <w:rFonts w:ascii="Arial" w:hAnsi="Arial" w:cs="Arial"/>
          <w:sz w:val="22"/>
          <w:szCs w:val="22"/>
        </w:rPr>
        <w:t>. Supongamos que la</w:t>
      </w:r>
      <w:r w:rsidR="00E74ED3" w:rsidRPr="00C9666A">
        <w:rPr>
          <w:rFonts w:ascii="Arial" w:hAnsi="Arial" w:cs="Arial"/>
          <w:sz w:val="22"/>
          <w:szCs w:val="22"/>
        </w:rPr>
        <w:t>s participaciones</w:t>
      </w:r>
      <w:r w:rsidR="00C262B6" w:rsidRPr="00C9666A">
        <w:rPr>
          <w:rFonts w:ascii="Arial" w:hAnsi="Arial" w:cs="Arial"/>
          <w:sz w:val="22"/>
          <w:szCs w:val="22"/>
        </w:rPr>
        <w:t xml:space="preserve"> </w:t>
      </w:r>
      <w:r w:rsidRPr="00C9666A">
        <w:rPr>
          <w:rFonts w:ascii="Arial" w:hAnsi="Arial" w:cs="Arial"/>
          <w:sz w:val="22"/>
          <w:szCs w:val="22"/>
        </w:rPr>
        <w:t xml:space="preserve">en realidad </w:t>
      </w:r>
      <w:r w:rsidR="00815A30" w:rsidRPr="00C9666A">
        <w:rPr>
          <w:rFonts w:ascii="Arial" w:hAnsi="Arial" w:cs="Arial"/>
          <w:sz w:val="22"/>
          <w:szCs w:val="22"/>
        </w:rPr>
        <w:t>fuesen</w:t>
      </w:r>
      <w:r w:rsidR="00C262B6" w:rsidRPr="00C9666A">
        <w:rPr>
          <w:rFonts w:ascii="Arial" w:hAnsi="Arial" w:cs="Arial"/>
          <w:sz w:val="22"/>
          <w:szCs w:val="22"/>
        </w:rPr>
        <w:t xml:space="preserve">: 45%, 40%, 10% y 5%, </w:t>
      </w:r>
      <w:r w:rsidR="00E74ED3" w:rsidRPr="00C9666A">
        <w:rPr>
          <w:rFonts w:ascii="Arial" w:hAnsi="Arial" w:cs="Arial"/>
          <w:sz w:val="22"/>
          <w:szCs w:val="22"/>
        </w:rPr>
        <w:t xml:space="preserve">entonces </w:t>
      </w:r>
      <w:r w:rsidR="00C262B6" w:rsidRPr="00C9666A">
        <w:rPr>
          <w:rFonts w:ascii="Arial" w:hAnsi="Arial" w:cs="Arial"/>
          <w:sz w:val="22"/>
          <w:szCs w:val="22"/>
        </w:rPr>
        <w:t xml:space="preserve">el </w:t>
      </w:r>
      <w:r w:rsidR="00193362" w:rsidRPr="00C9666A">
        <w:rPr>
          <w:rFonts w:ascii="Arial" w:hAnsi="Arial" w:cs="Arial"/>
          <w:sz w:val="22"/>
          <w:szCs w:val="22"/>
        </w:rPr>
        <w:t>IHH</w:t>
      </w:r>
      <w:r w:rsidR="00C262B6" w:rsidRPr="00C9666A">
        <w:rPr>
          <w:rFonts w:ascii="Arial" w:hAnsi="Arial" w:cs="Arial"/>
          <w:sz w:val="22"/>
          <w:szCs w:val="22"/>
        </w:rPr>
        <w:t xml:space="preserve"> alcanza un valor de 3,750</w:t>
      </w:r>
      <w:r w:rsidR="00F4311C" w:rsidRPr="00C9666A">
        <w:rPr>
          <w:rFonts w:ascii="Arial" w:hAnsi="Arial" w:cs="Arial"/>
          <w:sz w:val="22"/>
          <w:szCs w:val="22"/>
        </w:rPr>
        <w:t xml:space="preserve"> puntos</w:t>
      </w:r>
      <w:r w:rsidR="00C262B6" w:rsidRPr="00C9666A">
        <w:rPr>
          <w:rFonts w:ascii="Arial" w:hAnsi="Arial" w:cs="Arial"/>
          <w:sz w:val="22"/>
          <w:szCs w:val="22"/>
        </w:rPr>
        <w:t>, es decir, mayor en 350 puntos</w:t>
      </w:r>
      <w:r w:rsidRPr="00C9666A">
        <w:rPr>
          <w:rFonts w:ascii="Arial" w:hAnsi="Arial" w:cs="Arial"/>
          <w:sz w:val="22"/>
          <w:szCs w:val="22"/>
        </w:rPr>
        <w:t xml:space="preserve"> al valor inicial</w:t>
      </w:r>
      <w:r w:rsidR="00C262B6" w:rsidRPr="00C9666A">
        <w:rPr>
          <w:rFonts w:ascii="Arial" w:hAnsi="Arial" w:cs="Arial"/>
          <w:sz w:val="22"/>
          <w:szCs w:val="22"/>
        </w:rPr>
        <w:t xml:space="preserve"> (más del 10%).</w:t>
      </w:r>
    </w:p>
    <w:p w14:paraId="42796E81" w14:textId="77777777" w:rsidR="008E742D" w:rsidRPr="00C9666A" w:rsidRDefault="00C84A11" w:rsidP="00C9666A">
      <w:pPr>
        <w:pStyle w:val="Default"/>
        <w:spacing w:before="120" w:after="120" w:line="276" w:lineRule="auto"/>
        <w:ind w:right="-1"/>
        <w:jc w:val="both"/>
        <w:rPr>
          <w:rFonts w:ascii="Arial" w:eastAsia="Times New Roman" w:hAnsi="Arial" w:cs="Arial"/>
          <w:sz w:val="22"/>
          <w:szCs w:val="22"/>
          <w:lang w:eastAsia="es-MX"/>
        </w:rPr>
      </w:pPr>
      <w:r w:rsidRPr="00C9666A">
        <w:rPr>
          <w:rFonts w:ascii="Arial" w:eastAsia="Times New Roman" w:hAnsi="Arial" w:cs="Arial"/>
          <w:sz w:val="22"/>
          <w:szCs w:val="22"/>
          <w:lang w:eastAsia="es-MX"/>
        </w:rPr>
        <w:t xml:space="preserve">Adicionalmente, dado que el </w:t>
      </w:r>
      <w:r w:rsidR="00193362" w:rsidRPr="00C9666A">
        <w:rPr>
          <w:rFonts w:ascii="Arial" w:eastAsia="Times New Roman" w:hAnsi="Arial" w:cs="Arial"/>
          <w:sz w:val="22"/>
          <w:szCs w:val="22"/>
          <w:lang w:eastAsia="es-MX"/>
        </w:rPr>
        <w:t>IHH</w:t>
      </w:r>
      <w:r w:rsidR="008E742D" w:rsidRPr="00C9666A">
        <w:rPr>
          <w:rFonts w:ascii="Arial" w:eastAsia="Times New Roman" w:hAnsi="Arial" w:cs="Arial"/>
          <w:sz w:val="22"/>
          <w:szCs w:val="22"/>
          <w:lang w:eastAsia="es-MX"/>
        </w:rPr>
        <w:t xml:space="preserve"> </w:t>
      </w:r>
      <w:r w:rsidRPr="00C9666A">
        <w:rPr>
          <w:rFonts w:ascii="Arial" w:eastAsia="Times New Roman" w:hAnsi="Arial" w:cs="Arial"/>
          <w:sz w:val="22"/>
          <w:szCs w:val="22"/>
          <w:lang w:eastAsia="es-MX"/>
        </w:rPr>
        <w:t xml:space="preserve">es un promedio ponderado </w:t>
      </w:r>
      <w:r w:rsidR="00F4311C" w:rsidRPr="00C9666A">
        <w:rPr>
          <w:rFonts w:ascii="Arial" w:eastAsia="Times New Roman" w:hAnsi="Arial" w:cs="Arial"/>
          <w:sz w:val="22"/>
          <w:szCs w:val="22"/>
          <w:lang w:eastAsia="es-MX"/>
        </w:rPr>
        <w:t>que</w:t>
      </w:r>
      <w:r w:rsidRPr="00C9666A">
        <w:rPr>
          <w:rFonts w:ascii="Arial" w:eastAsia="Times New Roman" w:hAnsi="Arial" w:cs="Arial"/>
          <w:sz w:val="22"/>
          <w:szCs w:val="22"/>
          <w:lang w:eastAsia="es-MX"/>
        </w:rPr>
        <w:t xml:space="preserve"> asigna un mayor peso a las participaciones </w:t>
      </w:r>
      <w:r w:rsidR="00F4311C" w:rsidRPr="00C9666A">
        <w:rPr>
          <w:rFonts w:ascii="Arial" w:eastAsia="Times New Roman" w:hAnsi="Arial" w:cs="Arial"/>
          <w:sz w:val="22"/>
          <w:szCs w:val="22"/>
          <w:lang w:eastAsia="es-MX"/>
        </w:rPr>
        <w:t>más altas,</w:t>
      </w:r>
      <w:r w:rsidR="008E742D" w:rsidRPr="00C9666A">
        <w:rPr>
          <w:rFonts w:ascii="Arial" w:eastAsia="Times New Roman" w:hAnsi="Arial" w:cs="Arial"/>
          <w:sz w:val="22"/>
          <w:szCs w:val="22"/>
          <w:lang w:eastAsia="es-MX"/>
        </w:rPr>
        <w:t xml:space="preserve"> </w:t>
      </w:r>
      <w:r w:rsidR="00827E13" w:rsidRPr="00C9666A">
        <w:rPr>
          <w:rFonts w:ascii="Arial" w:eastAsia="Times New Roman" w:hAnsi="Arial" w:cs="Arial"/>
          <w:sz w:val="22"/>
          <w:szCs w:val="22"/>
          <w:lang w:eastAsia="es-MX"/>
        </w:rPr>
        <w:t>la</w:t>
      </w:r>
      <w:r w:rsidR="008E742D" w:rsidRPr="00C9666A">
        <w:rPr>
          <w:rFonts w:ascii="Arial" w:eastAsia="Times New Roman" w:hAnsi="Arial" w:cs="Arial"/>
          <w:sz w:val="22"/>
          <w:szCs w:val="22"/>
          <w:lang w:eastAsia="es-MX"/>
        </w:rPr>
        <w:t xml:space="preserve"> </w:t>
      </w:r>
      <w:r w:rsidR="00827E13" w:rsidRPr="00C9666A">
        <w:rPr>
          <w:rFonts w:ascii="Arial" w:eastAsia="Times New Roman" w:hAnsi="Arial" w:cs="Arial"/>
          <w:sz w:val="22"/>
          <w:szCs w:val="22"/>
          <w:lang w:eastAsia="es-MX"/>
        </w:rPr>
        <w:t xml:space="preserve">concentración de agentes económicos </w:t>
      </w:r>
      <w:r w:rsidR="008E742D" w:rsidRPr="00C9666A">
        <w:rPr>
          <w:rFonts w:ascii="Arial" w:eastAsia="Times New Roman" w:hAnsi="Arial" w:cs="Arial"/>
          <w:sz w:val="22"/>
          <w:szCs w:val="22"/>
          <w:lang w:eastAsia="es-MX"/>
        </w:rPr>
        <w:t>de mayor tamaño</w:t>
      </w:r>
      <w:r w:rsidR="00827E13" w:rsidRPr="00C9666A">
        <w:rPr>
          <w:rFonts w:ascii="Arial" w:eastAsia="Times New Roman" w:hAnsi="Arial" w:cs="Arial"/>
          <w:sz w:val="22"/>
          <w:szCs w:val="22"/>
          <w:lang w:eastAsia="es-MX"/>
        </w:rPr>
        <w:t xml:space="preserve"> se refleja en una </w:t>
      </w:r>
      <w:r w:rsidR="008E742D" w:rsidRPr="00C9666A">
        <w:rPr>
          <w:rFonts w:ascii="Arial" w:eastAsia="Times New Roman" w:hAnsi="Arial" w:cs="Arial"/>
          <w:sz w:val="22"/>
          <w:szCs w:val="22"/>
          <w:lang w:eastAsia="es-MX"/>
        </w:rPr>
        <w:t xml:space="preserve">variación </w:t>
      </w:r>
      <w:r w:rsidR="00815A30" w:rsidRPr="00C9666A">
        <w:rPr>
          <w:rFonts w:ascii="Arial" w:eastAsia="Times New Roman" w:hAnsi="Arial" w:cs="Arial"/>
          <w:sz w:val="22"/>
          <w:szCs w:val="22"/>
          <w:lang w:eastAsia="es-MX"/>
        </w:rPr>
        <w:t>más grande</w:t>
      </w:r>
      <w:r w:rsidR="00F4311C" w:rsidRPr="00C9666A">
        <w:rPr>
          <w:rFonts w:ascii="Arial" w:eastAsia="Times New Roman" w:hAnsi="Arial" w:cs="Arial"/>
          <w:sz w:val="22"/>
          <w:szCs w:val="22"/>
          <w:lang w:eastAsia="es-MX"/>
        </w:rPr>
        <w:t xml:space="preserve"> </w:t>
      </w:r>
      <w:r w:rsidR="008E742D" w:rsidRPr="00C9666A">
        <w:rPr>
          <w:rFonts w:ascii="Arial" w:eastAsia="Times New Roman" w:hAnsi="Arial" w:cs="Arial"/>
          <w:sz w:val="22"/>
          <w:szCs w:val="22"/>
          <w:lang w:eastAsia="es-MX"/>
        </w:rPr>
        <w:t xml:space="preserve">del </w:t>
      </w:r>
      <w:r w:rsidR="00193362" w:rsidRPr="00C9666A">
        <w:rPr>
          <w:rFonts w:ascii="Arial" w:eastAsia="Times New Roman" w:hAnsi="Arial" w:cs="Arial"/>
          <w:sz w:val="22"/>
          <w:szCs w:val="22"/>
          <w:lang w:eastAsia="es-MX"/>
        </w:rPr>
        <w:t>IHH</w:t>
      </w:r>
      <w:r w:rsidR="008E742D" w:rsidRPr="00C9666A">
        <w:rPr>
          <w:rFonts w:ascii="Arial" w:eastAsia="Times New Roman" w:hAnsi="Arial" w:cs="Arial"/>
          <w:sz w:val="22"/>
          <w:szCs w:val="22"/>
          <w:lang w:eastAsia="es-MX"/>
        </w:rPr>
        <w:t>.</w:t>
      </w:r>
      <w:r w:rsidR="00107F0D" w:rsidRPr="00C9666A">
        <w:rPr>
          <w:rFonts w:ascii="Arial" w:eastAsia="Times New Roman" w:hAnsi="Arial" w:cs="Arial"/>
          <w:sz w:val="22"/>
          <w:szCs w:val="22"/>
          <w:lang w:eastAsia="es-MX"/>
        </w:rPr>
        <w:t xml:space="preserve"> </w:t>
      </w:r>
    </w:p>
    <w:p w14:paraId="479125D3" w14:textId="77777777" w:rsidR="003E5EB8" w:rsidRPr="00C9666A" w:rsidRDefault="003E5EB8" w:rsidP="00C9666A">
      <w:pPr>
        <w:pStyle w:val="Default"/>
        <w:spacing w:before="120" w:after="120" w:line="276" w:lineRule="auto"/>
        <w:ind w:right="-1"/>
        <w:jc w:val="both"/>
        <w:rPr>
          <w:rFonts w:ascii="Arial" w:hAnsi="Arial" w:cs="Arial"/>
          <w:sz w:val="22"/>
          <w:szCs w:val="22"/>
        </w:rPr>
      </w:pPr>
    </w:p>
    <w:p w14:paraId="0B4F7691" w14:textId="351A4C74" w:rsidR="00827E13" w:rsidRPr="002270AE" w:rsidRDefault="003E5EB8" w:rsidP="002270AE">
      <w:pPr>
        <w:pStyle w:val="Default"/>
        <w:keepNext/>
        <w:spacing w:before="120" w:after="120" w:line="276" w:lineRule="auto"/>
        <w:ind w:left="851"/>
        <w:jc w:val="both"/>
        <w:rPr>
          <w:rFonts w:ascii="Arial" w:hAnsi="Arial" w:cs="Arial"/>
          <w:b/>
          <w:sz w:val="22"/>
          <w:szCs w:val="22"/>
        </w:rPr>
      </w:pPr>
      <w:r w:rsidRPr="00C9666A">
        <w:rPr>
          <w:rFonts w:ascii="Arial" w:hAnsi="Arial" w:cs="Arial"/>
          <w:b/>
          <w:sz w:val="22"/>
          <w:szCs w:val="22"/>
        </w:rPr>
        <w:t xml:space="preserve">III.2. </w:t>
      </w:r>
      <w:r w:rsidR="00F4311C" w:rsidRPr="00C9666A">
        <w:rPr>
          <w:rFonts w:ascii="Arial" w:hAnsi="Arial" w:cs="Arial"/>
          <w:b/>
          <w:sz w:val="22"/>
          <w:szCs w:val="22"/>
        </w:rPr>
        <w:t>El</w:t>
      </w:r>
      <w:r w:rsidRPr="00C9666A">
        <w:rPr>
          <w:rFonts w:ascii="Arial" w:hAnsi="Arial" w:cs="Arial"/>
          <w:b/>
          <w:sz w:val="22"/>
          <w:szCs w:val="22"/>
        </w:rPr>
        <w:t xml:space="preserve"> </w:t>
      </w:r>
      <w:r w:rsidR="00193362" w:rsidRPr="00C9666A">
        <w:rPr>
          <w:rFonts w:ascii="Arial" w:hAnsi="Arial" w:cs="Arial"/>
          <w:b/>
          <w:sz w:val="22"/>
          <w:szCs w:val="22"/>
        </w:rPr>
        <w:t>IHH</w:t>
      </w:r>
      <w:r w:rsidR="00F4311C" w:rsidRPr="00C9666A">
        <w:rPr>
          <w:rFonts w:ascii="Arial" w:hAnsi="Arial" w:cs="Arial"/>
          <w:b/>
          <w:sz w:val="22"/>
          <w:szCs w:val="22"/>
        </w:rPr>
        <w:t xml:space="preserve"> </w:t>
      </w:r>
      <w:r w:rsidR="009E2686" w:rsidRPr="00C9666A">
        <w:rPr>
          <w:rFonts w:ascii="Arial" w:hAnsi="Arial" w:cs="Arial"/>
          <w:b/>
          <w:sz w:val="22"/>
          <w:szCs w:val="22"/>
        </w:rPr>
        <w:t xml:space="preserve">es un indicador de la capacidad </w:t>
      </w:r>
      <w:r w:rsidR="00F4311C" w:rsidRPr="00C9666A">
        <w:rPr>
          <w:rFonts w:ascii="Arial" w:hAnsi="Arial" w:cs="Arial"/>
          <w:b/>
          <w:sz w:val="22"/>
          <w:szCs w:val="22"/>
        </w:rPr>
        <w:t xml:space="preserve">de los agentes económicos para </w:t>
      </w:r>
      <w:r w:rsidR="009E2686" w:rsidRPr="00C9666A">
        <w:rPr>
          <w:rFonts w:ascii="Arial" w:hAnsi="Arial" w:cs="Arial"/>
          <w:b/>
          <w:sz w:val="22"/>
          <w:szCs w:val="22"/>
        </w:rPr>
        <w:t>fijar precios o restringir el abasto</w:t>
      </w:r>
    </w:p>
    <w:p w14:paraId="02844629" w14:textId="77777777" w:rsidR="00827E13" w:rsidRPr="00C9666A" w:rsidRDefault="00E74ED3"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Consideremos un mercado</w:t>
      </w:r>
      <w:r w:rsidR="003E5EB8" w:rsidRPr="00C9666A">
        <w:rPr>
          <w:rFonts w:ascii="Arial" w:hAnsi="Arial" w:cs="Arial"/>
          <w:sz w:val="22"/>
          <w:szCs w:val="22"/>
        </w:rPr>
        <w:t xml:space="preserve"> </w:t>
      </w:r>
      <w:r w:rsidRPr="00C9666A">
        <w:rPr>
          <w:rFonts w:ascii="Arial" w:hAnsi="Arial" w:cs="Arial"/>
          <w:sz w:val="22"/>
          <w:szCs w:val="22"/>
        </w:rPr>
        <w:t>con</w:t>
      </w:r>
      <w:r w:rsidR="003E5EB8" w:rsidRPr="00C9666A">
        <w:rPr>
          <w:rFonts w:ascii="Arial" w:hAnsi="Arial" w:cs="Arial"/>
          <w:sz w:val="22"/>
          <w:szCs w:val="22"/>
        </w:rPr>
        <w:t xml:space="preserve"> </w:t>
      </w:r>
      <w:r w:rsidR="009E2686" w:rsidRPr="00C9666A">
        <w:rPr>
          <w:rFonts w:ascii="Arial" w:hAnsi="Arial" w:cs="Arial"/>
          <w:sz w:val="22"/>
          <w:szCs w:val="22"/>
        </w:rPr>
        <w:t>N</w:t>
      </w:r>
      <w:r w:rsidR="003E5EB8" w:rsidRPr="00C9666A">
        <w:rPr>
          <w:rFonts w:ascii="Arial" w:hAnsi="Arial" w:cs="Arial"/>
          <w:sz w:val="22"/>
          <w:szCs w:val="22"/>
        </w:rPr>
        <w:t xml:space="preserve"> empresas</w:t>
      </w:r>
      <w:r w:rsidR="00067D35" w:rsidRPr="00C9666A">
        <w:rPr>
          <w:rFonts w:ascii="Arial" w:hAnsi="Arial" w:cs="Arial"/>
          <w:sz w:val="22"/>
          <w:szCs w:val="22"/>
        </w:rPr>
        <w:t xml:space="preserve"> (un oligopolio)</w:t>
      </w:r>
      <w:r w:rsidR="003E5EB8" w:rsidRPr="00C9666A">
        <w:rPr>
          <w:rFonts w:ascii="Arial" w:hAnsi="Arial" w:cs="Arial"/>
          <w:sz w:val="22"/>
          <w:szCs w:val="22"/>
        </w:rPr>
        <w:t xml:space="preserve"> que producen un bien </w:t>
      </w:r>
      <w:r w:rsidR="000A4F4E" w:rsidRPr="00C9666A">
        <w:rPr>
          <w:rFonts w:ascii="Arial" w:hAnsi="Arial" w:cs="Arial"/>
          <w:sz w:val="22"/>
          <w:szCs w:val="22"/>
        </w:rPr>
        <w:t xml:space="preserve">o servicio </w:t>
      </w:r>
      <w:r w:rsidR="003E5EB8" w:rsidRPr="00C9666A">
        <w:rPr>
          <w:rFonts w:ascii="Arial" w:hAnsi="Arial" w:cs="Arial"/>
          <w:sz w:val="22"/>
          <w:szCs w:val="22"/>
        </w:rPr>
        <w:t xml:space="preserve">homogéneo y </w:t>
      </w:r>
      <w:r w:rsidRPr="00C9666A">
        <w:rPr>
          <w:rFonts w:ascii="Arial" w:hAnsi="Arial" w:cs="Arial"/>
          <w:sz w:val="22"/>
          <w:szCs w:val="22"/>
        </w:rPr>
        <w:t xml:space="preserve">que </w:t>
      </w:r>
      <w:r w:rsidR="003E5EB8" w:rsidRPr="00C9666A">
        <w:rPr>
          <w:rFonts w:ascii="Arial" w:hAnsi="Arial" w:cs="Arial"/>
          <w:sz w:val="22"/>
          <w:szCs w:val="22"/>
        </w:rPr>
        <w:t>maximizan beneficios</w:t>
      </w:r>
      <w:r w:rsidRPr="00C9666A">
        <w:rPr>
          <w:rFonts w:ascii="Arial" w:hAnsi="Arial" w:cs="Arial"/>
          <w:sz w:val="22"/>
          <w:szCs w:val="22"/>
        </w:rPr>
        <w:t>. Entonces,</w:t>
      </w:r>
      <w:r w:rsidR="003E5EB8" w:rsidRPr="00C9666A">
        <w:rPr>
          <w:rFonts w:ascii="Arial" w:hAnsi="Arial" w:cs="Arial"/>
          <w:sz w:val="22"/>
          <w:szCs w:val="22"/>
        </w:rPr>
        <w:t xml:space="preserve"> se puede derivar una medida de poder de mercado, conocido como </w:t>
      </w:r>
      <w:r w:rsidR="003E5EB8" w:rsidRPr="00C9666A">
        <w:rPr>
          <w:rFonts w:ascii="Arial" w:hAnsi="Arial" w:cs="Arial"/>
          <w:b/>
          <w:sz w:val="22"/>
          <w:szCs w:val="22"/>
        </w:rPr>
        <w:t>índice de Lerner</w:t>
      </w:r>
      <w:r w:rsidR="00954E07" w:rsidRPr="00C9666A">
        <w:rPr>
          <w:rFonts w:ascii="Arial" w:hAnsi="Arial" w:cs="Arial"/>
          <w:b/>
          <w:sz w:val="22"/>
          <w:szCs w:val="22"/>
        </w:rPr>
        <w:t>,</w:t>
      </w:r>
      <w:r w:rsidR="00954E07" w:rsidRPr="00C9666A">
        <w:rPr>
          <w:rFonts w:ascii="Arial" w:hAnsi="Arial" w:cs="Arial"/>
          <w:sz w:val="22"/>
          <w:szCs w:val="22"/>
        </w:rPr>
        <w:t xml:space="preserve"> el cual se define para cada empresa como sigue.</w:t>
      </w:r>
    </w:p>
    <w:p w14:paraId="1A050B3F" w14:textId="77777777" w:rsidR="00827E13" w:rsidRPr="00C9666A" w:rsidRDefault="00B35551" w:rsidP="00C9666A">
      <w:pPr>
        <w:pStyle w:val="Default"/>
        <w:spacing w:before="120" w:after="120" w:line="276" w:lineRule="auto"/>
        <w:ind w:right="-1"/>
        <w:jc w:val="center"/>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P-</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num>
          <m:den>
            <m:r>
              <w:rPr>
                <w:rFonts w:ascii="Cambria Math" w:hAnsi="Cambria Math" w:cs="Arial"/>
                <w:sz w:val="22"/>
                <w:szCs w:val="22"/>
              </w:rPr>
              <m:t>P</m:t>
            </m:r>
          </m:den>
        </m:f>
      </m:oMath>
      <w:r w:rsidR="003E5EB8" w:rsidRPr="00C9666A">
        <w:rPr>
          <w:rFonts w:ascii="Arial" w:eastAsiaTheme="minorEastAsia" w:hAnsi="Arial" w:cs="Arial"/>
          <w:sz w:val="22"/>
          <w:szCs w:val="22"/>
        </w:rPr>
        <w:t>,</w:t>
      </w:r>
    </w:p>
    <w:p w14:paraId="1A895651" w14:textId="77777777" w:rsidR="009E2686" w:rsidRPr="00C9666A" w:rsidRDefault="009E2686"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D</w:t>
      </w:r>
      <w:r w:rsidR="003E5EB8" w:rsidRPr="00C9666A">
        <w:rPr>
          <w:rFonts w:ascii="Arial" w:hAnsi="Arial" w:cs="Arial"/>
          <w:sz w:val="22"/>
          <w:szCs w:val="22"/>
        </w:rPr>
        <w:t>onde</w:t>
      </w:r>
      <w:r w:rsidRPr="00C9666A">
        <w:rPr>
          <w:rFonts w:ascii="Arial" w:hAnsi="Arial" w:cs="Arial"/>
          <w:sz w:val="22"/>
          <w:szCs w:val="22"/>
        </w:rPr>
        <w:t>:</w:t>
      </w:r>
    </w:p>
    <w:p w14:paraId="21C12D08" w14:textId="77777777" w:rsidR="009E2686" w:rsidRPr="00C9666A" w:rsidRDefault="003E5EB8" w:rsidP="00C9666A">
      <w:pPr>
        <w:pStyle w:val="Default"/>
        <w:spacing w:before="120" w:after="120" w:line="276" w:lineRule="auto"/>
        <w:ind w:left="708" w:right="-1"/>
        <w:jc w:val="both"/>
        <w:rPr>
          <w:rFonts w:ascii="Arial" w:eastAsiaTheme="minorEastAsia" w:hAnsi="Arial" w:cs="Arial"/>
          <w:sz w:val="22"/>
          <w:szCs w:val="22"/>
        </w:rPr>
      </w:pPr>
      <m:oMath>
        <m:r>
          <w:rPr>
            <w:rFonts w:ascii="Cambria Math" w:hAnsi="Cambria Math" w:cs="Arial"/>
            <w:sz w:val="22"/>
            <w:szCs w:val="22"/>
          </w:rPr>
          <m:t>P</m:t>
        </m:r>
      </m:oMath>
      <w:r w:rsidRPr="00C9666A">
        <w:rPr>
          <w:rFonts w:ascii="Arial" w:hAnsi="Arial" w:cs="Arial"/>
          <w:sz w:val="22"/>
          <w:szCs w:val="22"/>
        </w:rPr>
        <w:t xml:space="preserve"> es el precio</w:t>
      </w:r>
      <w:r w:rsidR="00827E13" w:rsidRPr="00C9666A">
        <w:rPr>
          <w:rFonts w:ascii="Arial" w:hAnsi="Arial" w:cs="Arial"/>
          <w:sz w:val="22"/>
          <w:szCs w:val="22"/>
        </w:rPr>
        <w:t xml:space="preserve"> del bien o servicio</w:t>
      </w:r>
      <w:r w:rsidR="009E2686" w:rsidRPr="00C9666A">
        <w:rPr>
          <w:rFonts w:ascii="Arial" w:hAnsi="Arial" w:cs="Arial"/>
          <w:sz w:val="22"/>
          <w:szCs w:val="22"/>
        </w:rPr>
        <w:t>,</w:t>
      </w:r>
      <w:r w:rsidRPr="00C9666A">
        <w:rPr>
          <w:rFonts w:ascii="Arial" w:hAnsi="Arial" w:cs="Arial"/>
          <w:sz w:val="22"/>
          <w:szCs w:val="22"/>
        </w:rPr>
        <w:t xml:space="preserve"> y </w:t>
      </w:r>
    </w:p>
    <w:p w14:paraId="0AE949F3" w14:textId="77777777" w:rsidR="00827E13" w:rsidRPr="00C9666A" w:rsidRDefault="00B35551" w:rsidP="00C9666A">
      <w:pPr>
        <w:pStyle w:val="Default"/>
        <w:spacing w:before="120" w:after="120" w:line="276" w:lineRule="auto"/>
        <w:ind w:left="708" w:right="-1"/>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oMath>
      <w:r w:rsidR="003E5EB8" w:rsidRPr="00C9666A">
        <w:rPr>
          <w:rFonts w:ascii="Arial" w:hAnsi="Arial" w:cs="Arial"/>
          <w:sz w:val="22"/>
          <w:szCs w:val="22"/>
        </w:rPr>
        <w:t xml:space="preserve"> es el costo marginal</w:t>
      </w:r>
      <w:r w:rsidR="0061150A" w:rsidRPr="00C9666A">
        <w:rPr>
          <w:rFonts w:ascii="Arial" w:hAnsi="Arial" w:cs="Arial"/>
          <w:sz w:val="22"/>
          <w:szCs w:val="22"/>
        </w:rPr>
        <w:t xml:space="preserve"> </w:t>
      </w:r>
      <w:r w:rsidR="00827E13" w:rsidRPr="00C9666A">
        <w:rPr>
          <w:rFonts w:ascii="Arial" w:hAnsi="Arial" w:cs="Arial"/>
          <w:sz w:val="22"/>
          <w:szCs w:val="22"/>
        </w:rPr>
        <w:t xml:space="preserve">en el que incurre </w:t>
      </w:r>
      <w:r w:rsidR="0061150A" w:rsidRPr="00C9666A">
        <w:rPr>
          <w:rFonts w:ascii="Arial" w:hAnsi="Arial" w:cs="Arial"/>
          <w:sz w:val="22"/>
          <w:szCs w:val="22"/>
        </w:rPr>
        <w:t xml:space="preserve">la empresa </w:t>
      </w:r>
      <m:oMath>
        <m:r>
          <w:rPr>
            <w:rFonts w:ascii="Cambria Math" w:hAnsi="Cambria Math" w:cs="Arial"/>
            <w:sz w:val="22"/>
            <w:szCs w:val="22"/>
          </w:rPr>
          <m:t>i</m:t>
        </m:r>
      </m:oMath>
      <w:r w:rsidR="00827E13" w:rsidRPr="00C9666A">
        <w:rPr>
          <w:rFonts w:ascii="Arial" w:eastAsiaTheme="minorEastAsia" w:hAnsi="Arial" w:cs="Arial"/>
          <w:sz w:val="22"/>
          <w:szCs w:val="22"/>
        </w:rPr>
        <w:t xml:space="preserve"> para producirlo</w:t>
      </w:r>
      <w:r w:rsidR="0061150A" w:rsidRPr="00C9666A">
        <w:rPr>
          <w:rFonts w:ascii="Arial" w:eastAsiaTheme="minorEastAsia" w:hAnsi="Arial" w:cs="Arial"/>
          <w:sz w:val="22"/>
          <w:szCs w:val="22"/>
        </w:rPr>
        <w:t>.</w:t>
      </w:r>
    </w:p>
    <w:p w14:paraId="0BA8FD68" w14:textId="77777777" w:rsidR="006B420D" w:rsidRPr="00C9666A" w:rsidRDefault="003E5EB8"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Por ejemplo, en un mercado </w:t>
      </w:r>
      <w:r w:rsidR="006B420D" w:rsidRPr="00C9666A">
        <w:rPr>
          <w:rFonts w:ascii="Arial" w:hAnsi="Arial" w:cs="Arial"/>
          <w:sz w:val="22"/>
          <w:szCs w:val="22"/>
        </w:rPr>
        <w:t xml:space="preserve">donde </w:t>
      </w:r>
      <w:r w:rsidRPr="00C9666A">
        <w:rPr>
          <w:rFonts w:ascii="Arial" w:hAnsi="Arial" w:cs="Arial"/>
          <w:sz w:val="22"/>
          <w:szCs w:val="22"/>
        </w:rPr>
        <w:t>los precios son iguales a los costos</w:t>
      </w:r>
      <w:r w:rsidR="006B420D" w:rsidRPr="00C9666A">
        <w:rPr>
          <w:rFonts w:ascii="Arial" w:hAnsi="Arial" w:cs="Arial"/>
          <w:sz w:val="22"/>
          <w:szCs w:val="22"/>
        </w:rPr>
        <w:t xml:space="preserve"> (situación de competencia perfecta),</w:t>
      </w:r>
      <w:r w:rsidRPr="00C9666A">
        <w:rPr>
          <w:rFonts w:ascii="Arial" w:hAnsi="Arial" w:cs="Arial"/>
          <w:sz w:val="22"/>
          <w:szCs w:val="22"/>
        </w:rPr>
        <w:t xml:space="preserve"> el índice de Lerner </w:t>
      </w:r>
      <w:r w:rsidR="006B420D" w:rsidRPr="00C9666A">
        <w:rPr>
          <w:rFonts w:ascii="Arial" w:hAnsi="Arial" w:cs="Arial"/>
          <w:sz w:val="22"/>
          <w:szCs w:val="22"/>
        </w:rPr>
        <w:t>es</w:t>
      </w:r>
      <w:r w:rsidRPr="00C9666A">
        <w:rPr>
          <w:rFonts w:ascii="Arial" w:hAnsi="Arial" w:cs="Arial"/>
          <w:sz w:val="22"/>
          <w:szCs w:val="22"/>
        </w:rPr>
        <w:t xml:space="preserve"> cero. En un caso </w:t>
      </w:r>
      <w:r w:rsidR="00E74ED3" w:rsidRPr="00C9666A">
        <w:rPr>
          <w:rFonts w:ascii="Arial" w:hAnsi="Arial" w:cs="Arial"/>
          <w:sz w:val="22"/>
          <w:szCs w:val="22"/>
        </w:rPr>
        <w:t xml:space="preserve">contrario, </w:t>
      </w:r>
      <w:r w:rsidRPr="00C9666A">
        <w:rPr>
          <w:rFonts w:ascii="Arial" w:hAnsi="Arial" w:cs="Arial"/>
          <w:sz w:val="22"/>
          <w:szCs w:val="22"/>
        </w:rPr>
        <w:t>en el que una empresa fijara un precio de 10 cuando el costo marginal es de 1, el índice de Lerner valdría 0.9.</w:t>
      </w:r>
    </w:p>
    <w:p w14:paraId="55181ABC" w14:textId="77777777" w:rsidR="003E5EB8" w:rsidRPr="00C9666A" w:rsidRDefault="006B420D"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lastRenderedPageBreak/>
        <w:t>Lo anterior significa que</w:t>
      </w:r>
      <w:r w:rsidR="003E5EB8" w:rsidRPr="00C9666A">
        <w:rPr>
          <w:rFonts w:ascii="Arial" w:hAnsi="Arial" w:cs="Arial"/>
          <w:sz w:val="22"/>
          <w:szCs w:val="22"/>
        </w:rPr>
        <w:t xml:space="preserve"> situaciones en las que </w:t>
      </w:r>
      <w:r w:rsidR="00F81E40" w:rsidRPr="00C9666A">
        <w:rPr>
          <w:rFonts w:ascii="Arial" w:hAnsi="Arial" w:cs="Arial"/>
          <w:sz w:val="22"/>
          <w:szCs w:val="22"/>
        </w:rPr>
        <w:t>los participantes</w:t>
      </w:r>
      <w:r w:rsidR="003E5EB8" w:rsidRPr="00C9666A">
        <w:rPr>
          <w:rFonts w:ascii="Arial" w:hAnsi="Arial" w:cs="Arial"/>
          <w:sz w:val="22"/>
          <w:szCs w:val="22"/>
        </w:rPr>
        <w:t xml:space="preserve"> </w:t>
      </w:r>
      <w:r w:rsidR="004943D1" w:rsidRPr="00C9666A">
        <w:rPr>
          <w:rFonts w:ascii="Arial" w:hAnsi="Arial" w:cs="Arial"/>
          <w:sz w:val="22"/>
          <w:szCs w:val="22"/>
        </w:rPr>
        <w:t xml:space="preserve">tienen la capacidad de </w:t>
      </w:r>
      <w:r w:rsidR="003E5EB8" w:rsidRPr="00C9666A">
        <w:rPr>
          <w:rFonts w:ascii="Arial" w:hAnsi="Arial" w:cs="Arial"/>
          <w:sz w:val="22"/>
          <w:szCs w:val="22"/>
        </w:rPr>
        <w:t xml:space="preserve">fijar precios por encima de los costos, se reflejan en un índice de Lerner mayor. En ese sentido, el índice de Lerner refleja </w:t>
      </w:r>
      <w:r w:rsidR="00E74ED3" w:rsidRPr="00C9666A">
        <w:rPr>
          <w:rFonts w:ascii="Arial" w:hAnsi="Arial" w:cs="Arial"/>
          <w:sz w:val="22"/>
          <w:szCs w:val="22"/>
        </w:rPr>
        <w:t>la capacidad</w:t>
      </w:r>
      <w:r w:rsidR="003E5EB8" w:rsidRPr="00C9666A">
        <w:rPr>
          <w:rFonts w:ascii="Arial" w:hAnsi="Arial" w:cs="Arial"/>
          <w:sz w:val="22"/>
          <w:szCs w:val="22"/>
        </w:rPr>
        <w:t xml:space="preserve"> de </w:t>
      </w:r>
      <w:r w:rsidR="00F81E40" w:rsidRPr="00C9666A">
        <w:rPr>
          <w:rFonts w:ascii="Arial" w:hAnsi="Arial" w:cs="Arial"/>
          <w:sz w:val="22"/>
          <w:szCs w:val="22"/>
        </w:rPr>
        <w:t>los participantes</w:t>
      </w:r>
      <w:r w:rsidR="00E74ED3" w:rsidRPr="00C9666A">
        <w:rPr>
          <w:rFonts w:ascii="Arial" w:hAnsi="Arial" w:cs="Arial"/>
          <w:sz w:val="22"/>
          <w:szCs w:val="22"/>
        </w:rPr>
        <w:t xml:space="preserve"> para fijar precios</w:t>
      </w:r>
      <w:r w:rsidR="003E5EB8" w:rsidRPr="00C9666A">
        <w:rPr>
          <w:rFonts w:ascii="Arial" w:hAnsi="Arial" w:cs="Arial"/>
          <w:sz w:val="22"/>
          <w:szCs w:val="22"/>
        </w:rPr>
        <w:t>.</w:t>
      </w:r>
    </w:p>
    <w:p w14:paraId="1071AE99" w14:textId="77777777" w:rsidR="0061150A" w:rsidRPr="00C9666A" w:rsidRDefault="0061150A"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Partiendo del problema de maximización de </w:t>
      </w:r>
      <w:r w:rsidR="00415BDC" w:rsidRPr="00C9666A">
        <w:rPr>
          <w:rFonts w:ascii="Arial" w:hAnsi="Arial" w:cs="Arial"/>
          <w:sz w:val="22"/>
          <w:szCs w:val="22"/>
        </w:rPr>
        <w:t>los participantes</w:t>
      </w:r>
      <w:r w:rsidR="00E50022" w:rsidRPr="00C9666A">
        <w:rPr>
          <w:rFonts w:ascii="Arial" w:hAnsi="Arial" w:cs="Arial"/>
          <w:sz w:val="22"/>
          <w:szCs w:val="22"/>
        </w:rPr>
        <w:t xml:space="preserve"> en una situación </w:t>
      </w:r>
      <w:r w:rsidR="004943D1" w:rsidRPr="00C9666A">
        <w:rPr>
          <w:rFonts w:ascii="Arial" w:hAnsi="Arial" w:cs="Arial"/>
          <w:sz w:val="22"/>
          <w:szCs w:val="22"/>
        </w:rPr>
        <w:t>donde compiten en cantidades</w:t>
      </w:r>
      <w:r w:rsidRPr="00C9666A">
        <w:rPr>
          <w:rFonts w:ascii="Arial" w:hAnsi="Arial" w:cs="Arial"/>
          <w:sz w:val="22"/>
          <w:szCs w:val="22"/>
        </w:rPr>
        <w:t>,</w:t>
      </w:r>
      <w:r w:rsidR="00954E07" w:rsidRPr="00C9666A">
        <w:rPr>
          <w:rStyle w:val="Refdenotaalpie"/>
          <w:rFonts w:ascii="Arial" w:hAnsi="Arial" w:cs="Arial"/>
          <w:sz w:val="22"/>
          <w:szCs w:val="22"/>
        </w:rPr>
        <w:footnoteReference w:id="14"/>
      </w:r>
      <w:r w:rsidRPr="00C9666A">
        <w:rPr>
          <w:rFonts w:ascii="Arial" w:hAnsi="Arial" w:cs="Arial"/>
          <w:sz w:val="22"/>
          <w:szCs w:val="22"/>
        </w:rPr>
        <w:t xml:space="preserve"> se puede mostrar que:</w:t>
      </w:r>
    </w:p>
    <w:p w14:paraId="6A72E28C" w14:textId="77777777" w:rsidR="00954E07" w:rsidRPr="00C9666A" w:rsidRDefault="00954E07" w:rsidP="00C9666A">
      <w:pPr>
        <w:pStyle w:val="Default"/>
        <w:spacing w:before="120" w:after="120" w:line="276" w:lineRule="auto"/>
        <w:ind w:right="-1"/>
        <w:jc w:val="both"/>
        <w:rPr>
          <w:rFonts w:ascii="Arial" w:hAnsi="Arial" w:cs="Arial"/>
          <w:sz w:val="22"/>
          <w:szCs w:val="22"/>
        </w:rPr>
      </w:pPr>
      <m:oMathPara>
        <m:oMath>
          <m:r>
            <w:rPr>
              <w:rFonts w:ascii="Cambria Math" w:hAnsi="Cambria Math" w:cs="Arial"/>
              <w:sz w:val="22"/>
              <w:szCs w:val="22"/>
            </w:rPr>
            <m:t xml:space="preserve">Max </m:t>
          </m:r>
          <m:sSub>
            <m:sSubPr>
              <m:ctrlPr>
                <w:rPr>
                  <w:rFonts w:ascii="Cambria Math" w:hAnsi="Cambria Math" w:cs="Arial"/>
                  <w:i/>
                  <w:sz w:val="22"/>
                  <w:szCs w:val="22"/>
                </w:rPr>
              </m:ctrlPr>
            </m:sSubPr>
            <m:e>
              <m:r>
                <m:rPr>
                  <m:sty m:val="p"/>
                </m:rPr>
                <w:rPr>
                  <w:rFonts w:ascii="Cambria Math" w:hAnsi="Cambria Math" w:cs="Arial"/>
                  <w:sz w:val="22"/>
                  <w:szCs w:val="22"/>
                </w:rPr>
                <m:t>Π</m:t>
              </m:r>
            </m:e>
            <m:sub>
              <m:r>
                <w:rPr>
                  <w:rFonts w:ascii="Cambria Math" w:hAnsi="Cambria Math" w:cs="Arial"/>
                  <w:sz w:val="22"/>
                  <w:szCs w:val="22"/>
                </w:rPr>
                <m:t>i</m:t>
              </m:r>
            </m:sub>
          </m:sSub>
          <m:r>
            <w:rPr>
              <w:rFonts w:ascii="Cambria Math" w:hAnsi="Cambria Math" w:cs="Arial"/>
              <w:sz w:val="22"/>
              <w:szCs w:val="22"/>
            </w:rPr>
            <m:t>=P</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i</m:t>
              </m:r>
            </m:sub>
          </m:sSub>
        </m:oMath>
      </m:oMathPara>
    </w:p>
    <w:p w14:paraId="04F055E7" w14:textId="77777777" w:rsidR="00827E13" w:rsidRPr="00C9666A" w:rsidRDefault="00954E07" w:rsidP="00C9666A">
      <w:pPr>
        <w:pStyle w:val="Default"/>
        <w:spacing w:before="120" w:after="120" w:line="276" w:lineRule="auto"/>
        <w:ind w:right="-1"/>
        <w:jc w:val="both"/>
        <w:rPr>
          <w:rFonts w:ascii="Arial" w:hAnsi="Arial" w:cs="Arial"/>
          <w:sz w:val="22"/>
          <w:szCs w:val="22"/>
        </w:rPr>
      </w:pPr>
      <m:oMathPara>
        <m:oMath>
          <m:r>
            <w:rPr>
              <w:rFonts w:ascii="Cambria Math" w:hAnsi="Cambria Math" w:cs="Arial"/>
              <w:sz w:val="22"/>
              <w:szCs w:val="22"/>
            </w:rPr>
            <m:t>⟹</m:t>
          </m:r>
        </m:oMath>
      </m:oMathPara>
    </w:p>
    <w:p w14:paraId="3ADA68F8" w14:textId="77777777" w:rsidR="0061150A" w:rsidRPr="00C9666A" w:rsidRDefault="00B35551" w:rsidP="00C9666A">
      <w:pPr>
        <w:pStyle w:val="Default"/>
        <w:spacing w:before="120" w:after="120" w:line="276" w:lineRule="auto"/>
        <w:ind w:right="-1"/>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P-</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num>
            <m:den>
              <m:r>
                <w:rPr>
                  <w:rFonts w:ascii="Cambria Math" w:hAnsi="Cambria Math" w:cs="Arial"/>
                  <w:sz w:val="22"/>
                  <w:szCs w:val="22"/>
                </w:rPr>
                <m:t>P</m:t>
              </m:r>
            </m:den>
          </m:f>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i</m:t>
                  </m:r>
                </m:sub>
              </m:sSub>
            </m:num>
            <m:den>
              <m:r>
                <w:rPr>
                  <w:rFonts w:ascii="Cambria Math" w:eastAsiaTheme="minorEastAsia" w:hAnsi="Cambria Math" w:cs="Arial"/>
                  <w:sz w:val="22"/>
                  <w:szCs w:val="22"/>
                </w:rPr>
                <m:t>ϵ</m:t>
              </m:r>
            </m:den>
          </m:f>
        </m:oMath>
      </m:oMathPara>
    </w:p>
    <w:p w14:paraId="73E66EF1" w14:textId="77777777" w:rsidR="005C630E" w:rsidRPr="00C9666A" w:rsidRDefault="0061150A" w:rsidP="00C9666A">
      <w:pPr>
        <w:pStyle w:val="Default"/>
        <w:spacing w:before="120" w:after="120" w:line="276" w:lineRule="auto"/>
        <w:ind w:right="-1"/>
        <w:jc w:val="both"/>
        <w:rPr>
          <w:rFonts w:ascii="Arial" w:eastAsiaTheme="minorEastAsia" w:hAnsi="Arial" w:cs="Arial"/>
          <w:sz w:val="22"/>
          <w:szCs w:val="22"/>
        </w:rPr>
      </w:pPr>
      <w:r w:rsidRPr="00C9666A">
        <w:rPr>
          <w:rFonts w:ascii="Arial" w:hAnsi="Arial" w:cs="Arial"/>
          <w:sz w:val="22"/>
          <w:szCs w:val="22"/>
        </w:rPr>
        <w:t>Donde</w:t>
      </w:r>
      <w:r w:rsidR="00954E07" w:rsidRPr="00C9666A">
        <w:rPr>
          <w:rFonts w:ascii="Arial" w:hAnsi="Arial" w:cs="Arial"/>
          <w:sz w:val="22"/>
          <w:szCs w:val="22"/>
        </w:rPr>
        <w:t xml:space="preserve"> </w:t>
      </w:r>
      <m:oMath>
        <m:sSub>
          <m:sSubPr>
            <m:ctrlPr>
              <w:rPr>
                <w:rFonts w:ascii="Cambria Math" w:hAnsi="Cambria Math" w:cs="Arial"/>
                <w:i/>
                <w:sz w:val="22"/>
                <w:szCs w:val="22"/>
              </w:rPr>
            </m:ctrlPr>
          </m:sSubPr>
          <m:e>
            <m:r>
              <m:rPr>
                <m:sty m:val="p"/>
              </m:rPr>
              <w:rPr>
                <w:rFonts w:ascii="Cambria Math" w:hAnsi="Cambria Math" w:cs="Arial"/>
                <w:sz w:val="22"/>
                <w:szCs w:val="22"/>
              </w:rPr>
              <m:t>Π</m:t>
            </m:r>
          </m:e>
          <m:sub>
            <m:r>
              <w:rPr>
                <w:rFonts w:ascii="Cambria Math" w:hAnsi="Cambria Math" w:cs="Arial"/>
                <w:sz w:val="22"/>
                <w:szCs w:val="22"/>
              </w:rPr>
              <m:t>i</m:t>
            </m:r>
          </m:sub>
        </m:sSub>
      </m:oMath>
      <w:r w:rsidR="00954E07" w:rsidRPr="00C9666A">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i</m:t>
            </m:r>
          </m:sub>
        </m:sSub>
      </m:oMath>
      <w:r w:rsidR="00A81A05" w:rsidRPr="00C9666A">
        <w:rPr>
          <w:rFonts w:ascii="Arial" w:eastAsiaTheme="minorEastAsia" w:hAnsi="Arial" w:cs="Arial"/>
          <w:sz w:val="22"/>
          <w:szCs w:val="22"/>
        </w:rPr>
        <w:t xml:space="preserve"> </w:t>
      </w:r>
      <w:r w:rsidR="00954E07" w:rsidRPr="00C9666A">
        <w:rPr>
          <w:rFonts w:ascii="Arial" w:eastAsiaTheme="minorEastAsia" w:hAnsi="Arial" w:cs="Arial"/>
          <w:sz w:val="22"/>
          <w:szCs w:val="22"/>
        </w:rPr>
        <w:t xml:space="preserve">y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i</m:t>
            </m:r>
          </m:sub>
        </m:sSub>
      </m:oMath>
      <w:r w:rsidR="00954E07" w:rsidRPr="00C9666A">
        <w:rPr>
          <w:rFonts w:ascii="Arial" w:eastAsiaTheme="minorEastAsia" w:hAnsi="Arial" w:cs="Arial"/>
          <w:sz w:val="22"/>
          <w:szCs w:val="22"/>
        </w:rPr>
        <w:t xml:space="preserve"> son</w:t>
      </w:r>
      <w:r w:rsidR="00A81A05" w:rsidRPr="00C9666A">
        <w:rPr>
          <w:rFonts w:ascii="Arial" w:eastAsiaTheme="minorEastAsia" w:hAnsi="Arial" w:cs="Arial"/>
          <w:sz w:val="22"/>
          <w:szCs w:val="22"/>
        </w:rPr>
        <w:t>, respectivamente,</w:t>
      </w:r>
      <w:r w:rsidR="00954E07" w:rsidRPr="00C9666A">
        <w:rPr>
          <w:rFonts w:ascii="Arial" w:eastAsiaTheme="minorEastAsia" w:hAnsi="Arial" w:cs="Arial"/>
          <w:sz w:val="22"/>
          <w:szCs w:val="22"/>
        </w:rPr>
        <w:t xml:space="preserve"> los ingresos</w:t>
      </w:r>
      <w:r w:rsidR="00A81A05" w:rsidRPr="00C9666A">
        <w:rPr>
          <w:rFonts w:ascii="Arial" w:eastAsiaTheme="minorEastAsia" w:hAnsi="Arial" w:cs="Arial"/>
          <w:sz w:val="22"/>
          <w:szCs w:val="22"/>
        </w:rPr>
        <w:t xml:space="preserve">, la cantidad producida y </w:t>
      </w:r>
      <w:r w:rsidR="00892F4D" w:rsidRPr="00C9666A">
        <w:rPr>
          <w:rFonts w:ascii="Arial" w:eastAsiaTheme="minorEastAsia" w:hAnsi="Arial" w:cs="Arial"/>
          <w:sz w:val="22"/>
          <w:szCs w:val="22"/>
        </w:rPr>
        <w:t>la participación de</w:t>
      </w:r>
      <w:r w:rsidR="00415BDC" w:rsidRPr="00C9666A">
        <w:rPr>
          <w:rFonts w:ascii="Arial" w:eastAsiaTheme="minorEastAsia" w:hAnsi="Arial" w:cs="Arial"/>
          <w:sz w:val="22"/>
          <w:szCs w:val="22"/>
        </w:rPr>
        <w:t xml:space="preserve">l participante </w:t>
      </w:r>
      <m:oMath>
        <m:r>
          <w:rPr>
            <w:rFonts w:ascii="Cambria Math" w:hAnsi="Cambria Math" w:cs="Arial"/>
            <w:sz w:val="22"/>
            <w:szCs w:val="22"/>
          </w:rPr>
          <m:t>i</m:t>
        </m:r>
      </m:oMath>
      <w:r w:rsidR="00A81A05" w:rsidRPr="00C9666A">
        <w:rPr>
          <w:rFonts w:ascii="Arial" w:eastAsiaTheme="minorEastAsia" w:hAnsi="Arial" w:cs="Arial"/>
          <w:sz w:val="22"/>
          <w:szCs w:val="22"/>
        </w:rPr>
        <w:t>,</w:t>
      </w:r>
      <w:r w:rsidR="00892F4D" w:rsidRPr="00C9666A">
        <w:rPr>
          <w:rFonts w:ascii="Arial" w:eastAsiaTheme="minorEastAsia" w:hAnsi="Arial" w:cs="Arial"/>
          <w:sz w:val="22"/>
          <w:szCs w:val="22"/>
        </w:rPr>
        <w:t xml:space="preserve"> y </w:t>
      </w:r>
      <m:oMath>
        <m:r>
          <w:rPr>
            <w:rFonts w:ascii="Cambria Math" w:hAnsi="Cambria Math" w:cs="Arial"/>
            <w:sz w:val="22"/>
            <w:szCs w:val="22"/>
          </w:rPr>
          <m:t>ϵ</m:t>
        </m:r>
      </m:oMath>
      <w:r w:rsidRPr="00C9666A">
        <w:rPr>
          <w:rFonts w:ascii="Arial" w:eastAsiaTheme="minorEastAsia" w:hAnsi="Arial" w:cs="Arial"/>
          <w:sz w:val="22"/>
          <w:szCs w:val="22"/>
        </w:rPr>
        <w:t xml:space="preserve"> es la elasticidad de la demanda.</w:t>
      </w:r>
    </w:p>
    <w:p w14:paraId="785D5A41" w14:textId="77777777" w:rsidR="0061150A" w:rsidRPr="00C9666A" w:rsidRDefault="00852A47" w:rsidP="00C9666A">
      <w:pPr>
        <w:pStyle w:val="Default"/>
        <w:spacing w:before="120" w:after="120" w:line="276" w:lineRule="auto"/>
        <w:ind w:right="-1"/>
        <w:jc w:val="both"/>
        <w:rPr>
          <w:rFonts w:ascii="Arial" w:eastAsiaTheme="minorEastAsia" w:hAnsi="Arial" w:cs="Arial"/>
          <w:sz w:val="22"/>
          <w:szCs w:val="22"/>
        </w:rPr>
      </w:pPr>
      <w:r w:rsidRPr="00C9666A">
        <w:rPr>
          <w:rFonts w:ascii="Arial" w:eastAsiaTheme="minorEastAsia" w:hAnsi="Arial" w:cs="Arial"/>
          <w:sz w:val="22"/>
          <w:szCs w:val="22"/>
        </w:rPr>
        <w:t>Multiplicando ambos lados de la ecuación</w:t>
      </w:r>
      <w:r w:rsidR="005F7D19" w:rsidRPr="00C9666A">
        <w:rPr>
          <w:rFonts w:ascii="Arial" w:eastAsiaTheme="minorEastAsia" w:hAnsi="Arial" w:cs="Arial"/>
          <w:sz w:val="22"/>
          <w:szCs w:val="22"/>
        </w:rPr>
        <w:t xml:space="preserve"> anterior</w:t>
      </w:r>
      <w:r w:rsidRPr="00C9666A">
        <w:rPr>
          <w:rFonts w:ascii="Arial" w:eastAsiaTheme="minorEastAsia" w:hAnsi="Arial" w:cs="Arial"/>
          <w:sz w:val="22"/>
          <w:szCs w:val="22"/>
        </w:rPr>
        <w:t xml:space="preserve"> por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i</m:t>
            </m:r>
          </m:sub>
        </m:sSub>
      </m:oMath>
      <w:r w:rsidRPr="00C9666A">
        <w:rPr>
          <w:rFonts w:ascii="Arial" w:eastAsiaTheme="minorEastAsia" w:hAnsi="Arial" w:cs="Arial"/>
          <w:sz w:val="22"/>
          <w:szCs w:val="22"/>
        </w:rPr>
        <w:t xml:space="preserve"> y sumando para </w:t>
      </w:r>
      <w:r w:rsidR="00415BDC" w:rsidRPr="00C9666A">
        <w:rPr>
          <w:rFonts w:ascii="Arial" w:eastAsiaTheme="minorEastAsia" w:hAnsi="Arial" w:cs="Arial"/>
          <w:sz w:val="22"/>
          <w:szCs w:val="22"/>
        </w:rPr>
        <w:t xml:space="preserve">los </w:t>
      </w:r>
      <w:r w:rsidRPr="00C9666A">
        <w:rPr>
          <w:rFonts w:ascii="Arial" w:eastAsiaTheme="minorEastAsia" w:hAnsi="Arial" w:cs="Arial"/>
          <w:i/>
          <w:sz w:val="22"/>
          <w:szCs w:val="22"/>
        </w:rPr>
        <w:t>n</w:t>
      </w:r>
      <w:r w:rsidRPr="00C9666A">
        <w:rPr>
          <w:rFonts w:ascii="Arial" w:eastAsiaTheme="minorEastAsia" w:hAnsi="Arial" w:cs="Arial"/>
          <w:sz w:val="22"/>
          <w:szCs w:val="22"/>
        </w:rPr>
        <w:t xml:space="preserve"> </w:t>
      </w:r>
      <w:r w:rsidR="00415BDC" w:rsidRPr="00C9666A">
        <w:rPr>
          <w:rFonts w:ascii="Arial" w:eastAsiaTheme="minorEastAsia" w:hAnsi="Arial" w:cs="Arial"/>
          <w:sz w:val="22"/>
          <w:szCs w:val="22"/>
        </w:rPr>
        <w:t>participantes</w:t>
      </w:r>
      <w:r w:rsidRPr="00C9666A">
        <w:rPr>
          <w:rFonts w:ascii="Arial" w:eastAsiaTheme="minorEastAsia" w:hAnsi="Arial" w:cs="Arial"/>
          <w:sz w:val="22"/>
          <w:szCs w:val="22"/>
        </w:rPr>
        <w:t>, se obtiene:</w:t>
      </w:r>
    </w:p>
    <w:p w14:paraId="618E80E3" w14:textId="77777777" w:rsidR="00852A47" w:rsidRPr="00C9666A" w:rsidRDefault="00B35551" w:rsidP="00C9666A">
      <w:pPr>
        <w:pStyle w:val="Default"/>
        <w:spacing w:before="120" w:after="120" w:line="276" w:lineRule="auto"/>
        <w:ind w:left="3544"/>
        <w:jc w:val="center"/>
        <w:rPr>
          <w:rFonts w:ascii="Arial" w:eastAsiaTheme="minorEastAsia" w:hAnsi="Arial" w:cs="Arial"/>
          <w:sz w:val="22"/>
          <w:szCs w:val="22"/>
        </w:rPr>
      </w:pPr>
      <m:oMathPara>
        <m:oMathParaPr>
          <m:jc m:val="left"/>
        </m:oMathParaPr>
        <m:oMath>
          <m:nary>
            <m:naryPr>
              <m:chr m:val="∑"/>
              <m:limLoc m:val="undOvr"/>
              <m:ctrlPr>
                <w:rPr>
                  <w:rFonts w:ascii="Cambria Math" w:eastAsiaTheme="minorEastAsia" w:hAnsi="Cambria Math" w:cs="Arial"/>
                  <w:i/>
                  <w:sz w:val="22"/>
                  <w:szCs w:val="22"/>
                </w:rPr>
              </m:ctrlPr>
            </m:naryPr>
            <m:sub>
              <m:r>
                <w:rPr>
                  <w:rFonts w:ascii="Cambria Math" w:eastAsiaTheme="minorEastAsia" w:hAnsi="Cambria Math" w:cs="Arial"/>
                  <w:sz w:val="22"/>
                  <w:szCs w:val="22"/>
                </w:rPr>
                <m:t>i=1</m:t>
              </m:r>
            </m:sub>
            <m:sup>
              <m:r>
                <w:rPr>
                  <w:rFonts w:ascii="Cambria Math" w:eastAsiaTheme="minorEastAsia" w:hAnsi="Cambria Math" w:cs="Arial"/>
                  <w:sz w:val="22"/>
                  <w:szCs w:val="22"/>
                </w:rPr>
                <m:t>n</m:t>
              </m:r>
            </m:sup>
            <m:e>
              <m:sSub>
                <m:sSubPr>
                  <m:ctrlPr>
                    <w:rPr>
                      <w:rFonts w:ascii="Cambria Math" w:eastAsiaTheme="minorEastAsia" w:hAnsi="Cambria Math" w:cs="Arial"/>
                      <w:i/>
                      <w:sz w:val="22"/>
                      <w:szCs w:val="22"/>
                    </w:rPr>
                  </m:ctrlPr>
                </m:sSubPr>
                <m:e>
                  <m:r>
                    <w:rPr>
                      <w:rFonts w:ascii="Cambria Math" w:hAnsi="Cambria Math" w:cs="Arial"/>
                      <w:sz w:val="22"/>
                      <w:szCs w:val="22"/>
                    </w:rPr>
                    <m:t>α</m:t>
                  </m:r>
                </m:e>
                <m:sub>
                  <m:r>
                    <w:rPr>
                      <w:rFonts w:ascii="Cambria Math" w:eastAsiaTheme="minorEastAsia" w:hAnsi="Cambria Math" w:cs="Arial"/>
                      <w:sz w:val="22"/>
                      <w:szCs w:val="22"/>
                    </w:rPr>
                    <m:t>i</m:t>
                  </m:r>
                </m:sub>
              </m:sSub>
            </m:e>
          </m:nary>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i</m:t>
              </m:r>
            </m:sub>
          </m:sSub>
          <m:r>
            <w:rPr>
              <w:rFonts w:ascii="Cambria Math" w:eastAsiaTheme="minorEastAsia" w:hAnsi="Cambria Math" w:cs="Arial"/>
              <w:sz w:val="22"/>
              <w:szCs w:val="22"/>
            </w:rPr>
            <m:t>=-</m:t>
          </m:r>
          <m:nary>
            <m:naryPr>
              <m:chr m:val="∑"/>
              <m:limLoc m:val="undOvr"/>
              <m:ctrlPr>
                <w:rPr>
                  <w:rFonts w:ascii="Cambria Math" w:eastAsiaTheme="minorEastAsia" w:hAnsi="Cambria Math" w:cs="Arial"/>
                  <w:i/>
                  <w:sz w:val="22"/>
                  <w:szCs w:val="22"/>
                </w:rPr>
              </m:ctrlPr>
            </m:naryPr>
            <m:sub>
              <m:r>
                <w:rPr>
                  <w:rFonts w:ascii="Cambria Math" w:eastAsiaTheme="minorEastAsia" w:hAnsi="Cambria Math" w:cs="Arial"/>
                  <w:sz w:val="22"/>
                  <w:szCs w:val="22"/>
                </w:rPr>
                <m:t>i=1</m:t>
              </m:r>
            </m:sub>
            <m:sup>
              <m:r>
                <w:rPr>
                  <w:rFonts w:ascii="Cambria Math" w:eastAsiaTheme="minorEastAsia" w:hAnsi="Cambria Math" w:cs="Arial"/>
                  <w:sz w:val="22"/>
                  <w:szCs w:val="22"/>
                </w:rPr>
                <m:t>n</m:t>
              </m:r>
            </m:sup>
            <m:e>
              <m:sSub>
                <m:sSubPr>
                  <m:ctrlPr>
                    <w:rPr>
                      <w:rFonts w:ascii="Cambria Math" w:eastAsiaTheme="minorEastAsia" w:hAnsi="Cambria Math" w:cs="Arial"/>
                      <w:i/>
                      <w:sz w:val="22"/>
                      <w:szCs w:val="22"/>
                    </w:rPr>
                  </m:ctrlPr>
                </m:sSubPr>
                <m:e>
                  <m:r>
                    <w:rPr>
                      <w:rFonts w:ascii="Cambria Math" w:hAnsi="Cambria Math" w:cs="Arial"/>
                      <w:sz w:val="22"/>
                      <w:szCs w:val="22"/>
                    </w:rPr>
                    <m:t>α</m:t>
                  </m:r>
                </m:e>
                <m:sub>
                  <m:r>
                    <w:rPr>
                      <w:rFonts w:ascii="Cambria Math" w:eastAsiaTheme="minorEastAsia" w:hAnsi="Cambria Math" w:cs="Arial"/>
                      <w:sz w:val="22"/>
                      <w:szCs w:val="22"/>
                    </w:rPr>
                    <m:t>i</m:t>
                  </m:r>
                </m:sub>
              </m:sSub>
              <m:d>
                <m:dPr>
                  <m:ctrlPr>
                    <w:rPr>
                      <w:rFonts w:ascii="Cambria Math" w:eastAsiaTheme="minorEastAsia"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i</m:t>
                          </m:r>
                        </m:sub>
                      </m:sSub>
                    </m:num>
                    <m:den>
                      <m:r>
                        <w:rPr>
                          <w:rFonts w:ascii="Cambria Math" w:eastAsiaTheme="minorEastAsia" w:hAnsi="Cambria Math" w:cs="Arial"/>
                          <w:sz w:val="22"/>
                          <w:szCs w:val="22"/>
                        </w:rPr>
                        <m:t>ϵ</m:t>
                      </m:r>
                    </m:den>
                  </m:f>
                </m:e>
              </m:d>
            </m:e>
          </m:nary>
        </m:oMath>
      </m:oMathPara>
    </w:p>
    <w:p w14:paraId="32F362BA" w14:textId="77777777" w:rsidR="00852A47" w:rsidRPr="00C9666A" w:rsidRDefault="005F7D19" w:rsidP="00C9666A">
      <w:pPr>
        <w:pStyle w:val="Default"/>
        <w:spacing w:before="120" w:after="120" w:line="276" w:lineRule="auto"/>
        <w:ind w:left="4962"/>
        <w:jc w:val="center"/>
        <w:rPr>
          <w:rFonts w:ascii="Arial" w:eastAsiaTheme="minorEastAsia" w:hAnsi="Arial" w:cs="Arial"/>
          <w:sz w:val="22"/>
          <w:szCs w:val="22"/>
        </w:rPr>
      </w:pPr>
      <m:oMathPara>
        <m:oMathParaPr>
          <m:jc m:val="left"/>
        </m:oMathParaPr>
        <m:oMath>
          <m:r>
            <w:rPr>
              <w:rFonts w:ascii="Cambria Math" w:eastAsiaTheme="minorEastAsia" w:hAnsi="Cambria Math" w:cs="Arial"/>
              <w:sz w:val="22"/>
              <w:szCs w:val="22"/>
            </w:rPr>
            <m:t>=</m:t>
          </m:r>
          <m:d>
            <m:dPr>
              <m:ctrlPr>
                <w:rPr>
                  <w:rFonts w:ascii="Cambria Math" w:eastAsiaTheme="minorEastAsia"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eastAsiaTheme="minorEastAsia" w:hAnsi="Cambria Math" w:cs="Arial"/>
                      <w:sz w:val="22"/>
                      <w:szCs w:val="22"/>
                    </w:rPr>
                    <m:t>-ϵ</m:t>
                  </m:r>
                </m:den>
              </m:f>
            </m:e>
          </m:d>
          <m:nary>
            <m:naryPr>
              <m:chr m:val="∑"/>
              <m:limLoc m:val="undOvr"/>
              <m:ctrlPr>
                <w:rPr>
                  <w:rFonts w:ascii="Cambria Math" w:eastAsiaTheme="minorEastAsia" w:hAnsi="Cambria Math" w:cs="Arial"/>
                  <w:i/>
                  <w:sz w:val="22"/>
                  <w:szCs w:val="22"/>
                </w:rPr>
              </m:ctrlPr>
            </m:naryPr>
            <m:sub>
              <m:r>
                <w:rPr>
                  <w:rFonts w:ascii="Cambria Math" w:eastAsiaTheme="minorEastAsia" w:hAnsi="Cambria Math" w:cs="Arial"/>
                  <w:sz w:val="22"/>
                  <w:szCs w:val="22"/>
                </w:rPr>
                <m:t>i=1</m:t>
              </m:r>
            </m:sub>
            <m:sup>
              <m:r>
                <w:rPr>
                  <w:rFonts w:ascii="Cambria Math" w:eastAsiaTheme="minorEastAsia" w:hAnsi="Cambria Math" w:cs="Arial"/>
                  <w:sz w:val="22"/>
                  <w:szCs w:val="22"/>
                </w:rPr>
                <m:t>n</m:t>
              </m:r>
            </m:sup>
            <m:e>
              <m:sSubSup>
                <m:sSubSupPr>
                  <m:ctrlPr>
                    <w:rPr>
                      <w:rFonts w:ascii="Cambria Math" w:eastAsiaTheme="minorEastAsia" w:hAnsi="Cambria Math" w:cs="Arial"/>
                      <w:i/>
                      <w:sz w:val="22"/>
                      <w:szCs w:val="22"/>
                    </w:rPr>
                  </m:ctrlPr>
                </m:sSubSupPr>
                <m:e>
                  <m:r>
                    <w:rPr>
                      <w:rFonts w:ascii="Cambria Math" w:hAnsi="Cambria Math" w:cs="Arial"/>
                      <w:sz w:val="22"/>
                      <w:szCs w:val="22"/>
                    </w:rPr>
                    <m:t>α</m:t>
                  </m:r>
                </m:e>
                <m:sub>
                  <m:r>
                    <w:rPr>
                      <w:rFonts w:ascii="Cambria Math" w:eastAsiaTheme="minorEastAsia" w:hAnsi="Cambria Math" w:cs="Arial"/>
                      <w:sz w:val="22"/>
                      <w:szCs w:val="22"/>
                    </w:rPr>
                    <m:t>i</m:t>
                  </m:r>
                </m:sub>
                <m:sup>
                  <m:r>
                    <w:rPr>
                      <w:rFonts w:ascii="Cambria Math" w:eastAsiaTheme="minorEastAsia" w:hAnsi="Cambria Math" w:cs="Arial"/>
                      <w:sz w:val="22"/>
                      <w:szCs w:val="22"/>
                    </w:rPr>
                    <m:t>2</m:t>
                  </m:r>
                </m:sup>
              </m:sSubSup>
            </m:e>
          </m:nary>
        </m:oMath>
      </m:oMathPara>
    </w:p>
    <w:p w14:paraId="3E1F4061" w14:textId="77777777" w:rsidR="00243B96" w:rsidRPr="00C9666A" w:rsidRDefault="001E0BD3" w:rsidP="00C9666A">
      <w:pPr>
        <w:pStyle w:val="Default"/>
        <w:spacing w:before="120" w:after="120" w:line="276" w:lineRule="auto"/>
        <w:ind w:left="4962" w:right="-1"/>
        <w:jc w:val="center"/>
        <w:rPr>
          <w:rFonts w:ascii="Arial" w:eastAsiaTheme="minorEastAsia" w:hAnsi="Arial" w:cs="Arial"/>
          <w:sz w:val="22"/>
          <w:szCs w:val="22"/>
        </w:rPr>
      </w:pPr>
      <m:oMathPara>
        <m:oMathParaPr>
          <m:jc m:val="left"/>
        </m:oMathParaPr>
        <m:oMath>
          <m:r>
            <w:rPr>
              <w:rFonts w:ascii="Cambria Math" w:eastAsiaTheme="minorEastAsia" w:hAnsi="Cambria Math" w:cs="Arial"/>
              <w:sz w:val="22"/>
              <w:szCs w:val="22"/>
            </w:rPr>
            <m:t>=</m:t>
          </m:r>
          <m:f>
            <m:fPr>
              <m:ctrlPr>
                <w:rPr>
                  <w:rFonts w:ascii="Cambria Math" w:eastAsiaTheme="minorEastAsia" w:hAnsi="Cambria Math" w:cs="Arial"/>
                  <w:sz w:val="22"/>
                  <w:szCs w:val="22"/>
                </w:rPr>
              </m:ctrlPr>
            </m:fPr>
            <m:num>
              <m:r>
                <m:rPr>
                  <m:sty m:val="p"/>
                </m:rPr>
                <w:rPr>
                  <w:rFonts w:ascii="Cambria Math" w:eastAsiaTheme="minorEastAsia" w:hAnsi="Cambria Math" w:cs="Arial"/>
                  <w:sz w:val="22"/>
                  <w:szCs w:val="22"/>
                </w:rPr>
                <m:t>IHH</m:t>
              </m:r>
            </m:num>
            <m:den>
              <m:r>
                <w:rPr>
                  <w:rFonts w:ascii="Cambria Math" w:eastAsiaTheme="minorEastAsia" w:hAnsi="Cambria Math" w:cs="Arial"/>
                  <w:sz w:val="22"/>
                  <w:szCs w:val="22"/>
                </w:rPr>
                <m:t>-ϵ</m:t>
              </m:r>
            </m:den>
          </m:f>
        </m:oMath>
      </m:oMathPara>
    </w:p>
    <w:p w14:paraId="1B7B7F17" w14:textId="77777777" w:rsidR="004943D1" w:rsidRPr="00C9666A" w:rsidRDefault="00852A47"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De l</w:t>
      </w:r>
      <w:r w:rsidR="00E74ED3" w:rsidRPr="00C9666A">
        <w:rPr>
          <w:rFonts w:ascii="Arial" w:hAnsi="Arial" w:cs="Arial"/>
          <w:sz w:val="22"/>
          <w:szCs w:val="22"/>
        </w:rPr>
        <w:t>a</w:t>
      </w:r>
      <w:r w:rsidRPr="00C9666A">
        <w:rPr>
          <w:rFonts w:ascii="Arial" w:hAnsi="Arial" w:cs="Arial"/>
          <w:sz w:val="22"/>
          <w:szCs w:val="22"/>
        </w:rPr>
        <w:t xml:space="preserve"> </w:t>
      </w:r>
      <w:r w:rsidR="00E74ED3" w:rsidRPr="00C9666A">
        <w:rPr>
          <w:rFonts w:ascii="Arial" w:hAnsi="Arial" w:cs="Arial"/>
          <w:sz w:val="22"/>
          <w:szCs w:val="22"/>
        </w:rPr>
        <w:t xml:space="preserve">expresión </w:t>
      </w:r>
      <w:r w:rsidRPr="00C9666A">
        <w:rPr>
          <w:rFonts w:ascii="Arial" w:hAnsi="Arial" w:cs="Arial"/>
          <w:sz w:val="22"/>
          <w:szCs w:val="22"/>
        </w:rPr>
        <w:t xml:space="preserve">anterior se observa que </w:t>
      </w:r>
      <w:r w:rsidR="009445A1" w:rsidRPr="00C9666A">
        <w:rPr>
          <w:rFonts w:ascii="Arial" w:hAnsi="Arial" w:cs="Arial"/>
          <w:sz w:val="22"/>
          <w:szCs w:val="22"/>
        </w:rPr>
        <w:t xml:space="preserve">existe una relación directa entre </w:t>
      </w:r>
      <w:r w:rsidR="00AA7A1D" w:rsidRPr="00C9666A">
        <w:rPr>
          <w:rFonts w:ascii="Arial" w:hAnsi="Arial" w:cs="Arial"/>
          <w:sz w:val="22"/>
          <w:szCs w:val="22"/>
        </w:rPr>
        <w:t xml:space="preserve">el </w:t>
      </w:r>
      <w:r w:rsidR="00193362" w:rsidRPr="00C9666A">
        <w:rPr>
          <w:rFonts w:ascii="Arial" w:hAnsi="Arial" w:cs="Arial"/>
          <w:sz w:val="22"/>
          <w:szCs w:val="22"/>
        </w:rPr>
        <w:t>IHH</w:t>
      </w:r>
      <w:r w:rsidR="00AA7A1D" w:rsidRPr="00C9666A">
        <w:rPr>
          <w:rFonts w:ascii="Arial" w:hAnsi="Arial" w:cs="Arial"/>
          <w:sz w:val="22"/>
          <w:szCs w:val="22"/>
        </w:rPr>
        <w:t xml:space="preserve"> </w:t>
      </w:r>
      <w:r w:rsidR="009445A1" w:rsidRPr="00C9666A">
        <w:rPr>
          <w:rFonts w:ascii="Arial" w:hAnsi="Arial" w:cs="Arial"/>
          <w:sz w:val="22"/>
          <w:szCs w:val="22"/>
        </w:rPr>
        <w:t xml:space="preserve">y el </w:t>
      </w:r>
      <w:r w:rsidR="00AA7A1D" w:rsidRPr="00C9666A">
        <w:rPr>
          <w:rFonts w:ascii="Arial" w:hAnsi="Arial" w:cs="Arial"/>
          <w:sz w:val="22"/>
          <w:szCs w:val="22"/>
        </w:rPr>
        <w:t>índice de Lerner</w:t>
      </w:r>
      <w:r w:rsidRPr="00C9666A">
        <w:rPr>
          <w:rFonts w:ascii="Arial" w:hAnsi="Arial" w:cs="Arial"/>
          <w:sz w:val="22"/>
          <w:szCs w:val="22"/>
        </w:rPr>
        <w:t xml:space="preserve">. </w:t>
      </w:r>
      <w:r w:rsidR="00A64B86" w:rsidRPr="00C9666A">
        <w:rPr>
          <w:rFonts w:ascii="Arial" w:hAnsi="Arial" w:cs="Arial"/>
          <w:sz w:val="22"/>
          <w:szCs w:val="22"/>
        </w:rPr>
        <w:t xml:space="preserve">El IHH dividido por la elasticidad de la demanda, es igual al promedio de los índices de Lerner de </w:t>
      </w:r>
      <w:r w:rsidR="00F81E40" w:rsidRPr="00C9666A">
        <w:rPr>
          <w:rFonts w:ascii="Arial" w:hAnsi="Arial" w:cs="Arial"/>
          <w:sz w:val="22"/>
          <w:szCs w:val="22"/>
        </w:rPr>
        <w:t>los participantes</w:t>
      </w:r>
      <w:r w:rsidR="00A64B86" w:rsidRPr="00C9666A">
        <w:rPr>
          <w:rFonts w:ascii="Arial" w:hAnsi="Arial" w:cs="Arial"/>
          <w:sz w:val="22"/>
          <w:szCs w:val="22"/>
        </w:rPr>
        <w:t xml:space="preserve">, ponderado por las respectivas participaciones. En ese sentido, dado que el índice de Lerner es una medida de poder de mercado de </w:t>
      </w:r>
      <w:r w:rsidR="00F81E40" w:rsidRPr="00C9666A">
        <w:rPr>
          <w:rFonts w:ascii="Arial" w:hAnsi="Arial" w:cs="Arial"/>
          <w:sz w:val="22"/>
          <w:szCs w:val="22"/>
        </w:rPr>
        <w:t>los participantes</w:t>
      </w:r>
      <w:r w:rsidR="00A64B86" w:rsidRPr="00C9666A">
        <w:rPr>
          <w:rFonts w:ascii="Arial" w:hAnsi="Arial" w:cs="Arial"/>
          <w:sz w:val="22"/>
          <w:szCs w:val="22"/>
        </w:rPr>
        <w:t>, el IHH también se puede interpretar como un promedio ponderado de la capacidad de los agentes económicos para fijar precios</w:t>
      </w:r>
      <w:r w:rsidR="004943D1" w:rsidRPr="00C9666A">
        <w:rPr>
          <w:rFonts w:ascii="Arial" w:hAnsi="Arial" w:cs="Arial"/>
          <w:sz w:val="22"/>
          <w:szCs w:val="22"/>
        </w:rPr>
        <w:t xml:space="preserve"> y tiene la ventaja que no es necesario estimar la elasticidad de la demanda</w:t>
      </w:r>
      <w:r w:rsidR="005C630E" w:rsidRPr="00C9666A">
        <w:rPr>
          <w:rFonts w:ascii="Arial" w:hAnsi="Arial" w:cs="Arial"/>
          <w:sz w:val="22"/>
          <w:szCs w:val="22"/>
        </w:rPr>
        <w:t xml:space="preserve"> para calcularlo</w:t>
      </w:r>
      <w:r w:rsidR="004943D1" w:rsidRPr="00C9666A">
        <w:rPr>
          <w:rFonts w:ascii="Arial" w:hAnsi="Arial" w:cs="Arial"/>
          <w:sz w:val="22"/>
          <w:szCs w:val="22"/>
        </w:rPr>
        <w:t>.</w:t>
      </w:r>
    </w:p>
    <w:p w14:paraId="5880F6B2" w14:textId="77777777" w:rsidR="00852A47" w:rsidRPr="00C9666A" w:rsidRDefault="004943D1"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E</w:t>
      </w:r>
      <w:r w:rsidR="00152181" w:rsidRPr="00C9666A">
        <w:rPr>
          <w:rFonts w:ascii="Arial" w:hAnsi="Arial" w:cs="Arial"/>
          <w:sz w:val="22"/>
          <w:szCs w:val="22"/>
        </w:rPr>
        <w:t xml:space="preserve">l sustento microeconómico </w:t>
      </w:r>
      <w:r w:rsidRPr="00C9666A">
        <w:rPr>
          <w:rFonts w:ascii="Arial" w:hAnsi="Arial" w:cs="Arial"/>
          <w:sz w:val="22"/>
          <w:szCs w:val="22"/>
        </w:rPr>
        <w:t xml:space="preserve">que el IHH hereda </w:t>
      </w:r>
      <w:r w:rsidR="00152181" w:rsidRPr="00C9666A">
        <w:rPr>
          <w:rFonts w:ascii="Arial" w:hAnsi="Arial" w:cs="Arial"/>
          <w:sz w:val="22"/>
          <w:szCs w:val="22"/>
        </w:rPr>
        <w:t>del índice de Lerner</w:t>
      </w:r>
      <w:r w:rsidRPr="00C9666A">
        <w:rPr>
          <w:rFonts w:ascii="Arial" w:hAnsi="Arial" w:cs="Arial"/>
          <w:sz w:val="22"/>
          <w:szCs w:val="22"/>
        </w:rPr>
        <w:t xml:space="preserve"> es una característica</w:t>
      </w:r>
      <w:r w:rsidR="000A2B4D" w:rsidRPr="00C9666A">
        <w:rPr>
          <w:rFonts w:ascii="Arial" w:hAnsi="Arial" w:cs="Arial"/>
          <w:sz w:val="22"/>
          <w:szCs w:val="22"/>
        </w:rPr>
        <w:t xml:space="preserve"> que no tienen</w:t>
      </w:r>
      <w:r w:rsidR="00152181" w:rsidRPr="00C9666A">
        <w:rPr>
          <w:rFonts w:ascii="Arial" w:hAnsi="Arial" w:cs="Arial"/>
          <w:sz w:val="22"/>
          <w:szCs w:val="22"/>
        </w:rPr>
        <w:t xml:space="preserve"> otros indicadores de concentración como </w:t>
      </w:r>
      <w:r w:rsidR="000A2B4D" w:rsidRPr="00C9666A">
        <w:rPr>
          <w:rFonts w:ascii="Arial" w:hAnsi="Arial" w:cs="Arial"/>
          <w:sz w:val="22"/>
          <w:szCs w:val="22"/>
        </w:rPr>
        <w:t xml:space="preserve">los </w:t>
      </w:r>
      <w:r w:rsidR="00022EE4" w:rsidRPr="00C9666A">
        <w:rPr>
          <w:rFonts w:ascii="Arial" w:hAnsi="Arial" w:cs="Arial"/>
          <w:b/>
          <w:sz w:val="22"/>
          <w:szCs w:val="22"/>
        </w:rPr>
        <w:t>CR</w:t>
      </w:r>
      <w:r w:rsidR="00E33C7C" w:rsidRPr="00C9666A">
        <w:rPr>
          <w:rFonts w:ascii="Arial" w:hAnsi="Arial" w:cs="Arial"/>
          <w:sz w:val="22"/>
          <w:szCs w:val="22"/>
        </w:rPr>
        <w:t>.</w:t>
      </w:r>
    </w:p>
    <w:p w14:paraId="13338072" w14:textId="77777777" w:rsidR="005D5E17" w:rsidRPr="00C9666A" w:rsidRDefault="005D5E17" w:rsidP="00C9666A">
      <w:pPr>
        <w:autoSpaceDE w:val="0"/>
        <w:autoSpaceDN w:val="0"/>
        <w:adjustRightInd w:val="0"/>
        <w:spacing w:before="120" w:after="120"/>
        <w:ind w:right="-1"/>
        <w:jc w:val="both"/>
        <w:rPr>
          <w:rFonts w:ascii="Arial" w:hAnsi="Arial" w:cs="Arial"/>
        </w:rPr>
      </w:pPr>
      <w:bookmarkStart w:id="4" w:name="_Toc429485024"/>
      <w:bookmarkStart w:id="5" w:name="_Toc429485025"/>
      <w:bookmarkEnd w:id="4"/>
      <w:bookmarkEnd w:id="5"/>
    </w:p>
    <w:p w14:paraId="39D34106" w14:textId="77777777" w:rsidR="00D72179" w:rsidRPr="00C9666A" w:rsidRDefault="00D72179" w:rsidP="00C9666A">
      <w:pPr>
        <w:pStyle w:val="Ttulo1"/>
        <w:keepLines w:val="0"/>
        <w:numPr>
          <w:ilvl w:val="0"/>
          <w:numId w:val="38"/>
        </w:numPr>
        <w:spacing w:before="120" w:after="120"/>
        <w:rPr>
          <w:rFonts w:ascii="Arial" w:hAnsi="Arial" w:cs="Arial"/>
          <w:b/>
          <w:color w:val="auto"/>
          <w:sz w:val="22"/>
        </w:rPr>
      </w:pPr>
      <w:bookmarkStart w:id="6" w:name="_Toc432706533"/>
      <w:r w:rsidRPr="00C9666A">
        <w:rPr>
          <w:rFonts w:ascii="Arial" w:hAnsi="Arial" w:cs="Arial"/>
          <w:b/>
          <w:color w:val="auto"/>
          <w:sz w:val="22"/>
        </w:rPr>
        <w:t>Selección de umbrales</w:t>
      </w:r>
      <w:bookmarkEnd w:id="6"/>
    </w:p>
    <w:p w14:paraId="54C3AD5E" w14:textId="77777777" w:rsidR="00D72179" w:rsidRPr="00C9666A" w:rsidRDefault="00D72179" w:rsidP="00C9666A">
      <w:pPr>
        <w:spacing w:before="120" w:after="120"/>
        <w:jc w:val="both"/>
        <w:rPr>
          <w:rFonts w:ascii="Arial" w:hAnsi="Arial" w:cs="Arial"/>
        </w:rPr>
      </w:pPr>
      <w:r w:rsidRPr="00C9666A">
        <w:rPr>
          <w:rFonts w:ascii="Arial" w:hAnsi="Arial" w:cs="Arial"/>
        </w:rPr>
        <w:t>El objeto de los mecanismos establecidos en la CPEUM y la LFCE para el control y el análisis de las concentraciones, consiste en prevenir y, en su caso, sancionar las transacciones que generen fenó</w:t>
      </w:r>
      <w:r w:rsidR="001B47CB" w:rsidRPr="00C9666A">
        <w:rPr>
          <w:rFonts w:ascii="Arial" w:hAnsi="Arial" w:cs="Arial"/>
        </w:rPr>
        <w:t>menos de concentración contrario</w:t>
      </w:r>
      <w:r w:rsidRPr="00C9666A">
        <w:rPr>
          <w:rFonts w:ascii="Arial" w:hAnsi="Arial" w:cs="Arial"/>
        </w:rPr>
        <w:t>s al interés público a través de los procedimientos previstos en la LFCE.</w:t>
      </w:r>
      <w:r w:rsidR="001B47CB" w:rsidRPr="00C9666A">
        <w:rPr>
          <w:rStyle w:val="Refdenotaalpie"/>
          <w:rFonts w:ascii="Arial" w:hAnsi="Arial" w:cs="Arial"/>
        </w:rPr>
        <w:footnoteReference w:id="15"/>
      </w:r>
      <w:r w:rsidRPr="00C9666A">
        <w:rPr>
          <w:rFonts w:ascii="Arial" w:hAnsi="Arial" w:cs="Arial"/>
        </w:rPr>
        <w:t xml:space="preserve"> En este sentido, se desprende que el propósito preventivo de la obligación de notificar las concentraciones antes de su realización no debe imponer costos </w:t>
      </w:r>
      <w:r w:rsidRPr="00C9666A">
        <w:rPr>
          <w:rFonts w:ascii="Arial" w:hAnsi="Arial" w:cs="Arial"/>
        </w:rPr>
        <w:lastRenderedPageBreak/>
        <w:t>regulatorios innecesarios para las transacciones que no generan riesgos para el proceso de competencia y libre concurrencia.</w:t>
      </w:r>
      <w:r w:rsidR="001B47CB" w:rsidRPr="00C9666A">
        <w:rPr>
          <w:rStyle w:val="Refdenotaalpie"/>
          <w:rFonts w:ascii="Arial" w:hAnsi="Arial" w:cs="Arial"/>
        </w:rPr>
        <w:footnoteReference w:id="16"/>
      </w:r>
      <w:r w:rsidRPr="00C9666A">
        <w:rPr>
          <w:rFonts w:ascii="Arial" w:hAnsi="Arial" w:cs="Arial"/>
        </w:rPr>
        <w:t xml:space="preserve"> Este objeto es consistente con el de otros regímenes de control de concentraciones adoptados en la práctica internacional.</w:t>
      </w:r>
      <w:r w:rsidR="001B47CB" w:rsidRPr="00C9666A">
        <w:rPr>
          <w:rStyle w:val="Refdenotaalpie"/>
          <w:rFonts w:ascii="Arial" w:hAnsi="Arial" w:cs="Arial"/>
        </w:rPr>
        <w:footnoteReference w:id="17"/>
      </w:r>
    </w:p>
    <w:p w14:paraId="0EAE3719" w14:textId="0FA70999" w:rsidR="004A08C8" w:rsidRPr="00C9666A" w:rsidRDefault="001B47CB" w:rsidP="00C9666A">
      <w:pPr>
        <w:autoSpaceDE w:val="0"/>
        <w:autoSpaceDN w:val="0"/>
        <w:adjustRightInd w:val="0"/>
        <w:spacing w:before="120" w:after="120"/>
        <w:ind w:right="-1"/>
        <w:jc w:val="both"/>
        <w:rPr>
          <w:rFonts w:ascii="Arial" w:hAnsi="Arial" w:cs="Arial"/>
        </w:rPr>
      </w:pPr>
      <w:r w:rsidRPr="00C9666A">
        <w:rPr>
          <w:rFonts w:ascii="Arial" w:hAnsi="Arial" w:cs="Arial"/>
        </w:rPr>
        <w:t xml:space="preserve">En el contexto anterior, el Instituto establece umbrales del IHH y de la </w:t>
      </w:r>
      <m:oMath>
        <m:r>
          <m:rPr>
            <m:sty m:val="p"/>
          </m:rPr>
          <w:rPr>
            <w:rFonts w:ascii="Cambria Math" w:hAnsi="Cambria Math" w:cs="Arial"/>
          </w:rPr>
          <m:t>∆IHH</m:t>
        </m:r>
      </m:oMath>
      <w:r w:rsidRPr="00C9666A">
        <w:rPr>
          <w:rFonts w:ascii="Arial" w:eastAsia="Times New Roman" w:hAnsi="Arial" w:cs="Arial"/>
          <w:lang w:eastAsia="es-MX"/>
        </w:rPr>
        <w:t xml:space="preserve"> </w:t>
      </w:r>
      <w:r w:rsidRPr="00C9666A">
        <w:rPr>
          <w:rFonts w:ascii="Arial" w:hAnsi="Arial" w:cs="Arial"/>
        </w:rPr>
        <w:t>que permitan identificar operaciones que podrían implicar riesgos a la competencia económica y libre concurrencia y operaciones que no requieren de un análisis profundo en virtud de que previsiblemente no generan riesgos.</w:t>
      </w:r>
    </w:p>
    <w:p w14:paraId="0FA5560A" w14:textId="77777777" w:rsidR="001B47CB" w:rsidRPr="00C9666A" w:rsidRDefault="001B47CB" w:rsidP="00C9666A">
      <w:pPr>
        <w:autoSpaceDE w:val="0"/>
        <w:autoSpaceDN w:val="0"/>
        <w:adjustRightInd w:val="0"/>
        <w:spacing w:before="120" w:after="120"/>
        <w:ind w:right="-1"/>
        <w:jc w:val="both"/>
        <w:rPr>
          <w:rFonts w:ascii="Arial" w:hAnsi="Arial" w:cs="Arial"/>
          <w:color w:val="000000"/>
        </w:rPr>
      </w:pPr>
      <w:r w:rsidRPr="00C9666A">
        <w:rPr>
          <w:rFonts w:ascii="Arial" w:hAnsi="Arial" w:cs="Arial"/>
          <w:color w:val="000000"/>
        </w:rPr>
        <w:t>En el establecimiento de estos umbrales, el Instituto ha considerado:</w:t>
      </w:r>
    </w:p>
    <w:p w14:paraId="0D2E5B74" w14:textId="77777777" w:rsidR="002523B8" w:rsidRPr="00C9666A" w:rsidRDefault="002523B8" w:rsidP="00C9666A">
      <w:pPr>
        <w:pStyle w:val="Prrafodelista"/>
        <w:numPr>
          <w:ilvl w:val="0"/>
          <w:numId w:val="36"/>
        </w:numPr>
        <w:autoSpaceDE w:val="0"/>
        <w:autoSpaceDN w:val="0"/>
        <w:adjustRightInd w:val="0"/>
        <w:spacing w:before="120" w:after="120"/>
        <w:ind w:left="426" w:right="-1"/>
        <w:jc w:val="both"/>
        <w:rPr>
          <w:rFonts w:ascii="Arial" w:hAnsi="Arial" w:cs="Arial"/>
          <w:color w:val="000000"/>
        </w:rPr>
      </w:pPr>
      <w:r w:rsidRPr="00C9666A">
        <w:rPr>
          <w:rFonts w:ascii="Arial" w:hAnsi="Arial" w:cs="Arial"/>
          <w:color w:val="000000"/>
        </w:rPr>
        <w:t>Criterios utilizados por otras autoridades de competencia en el mundo y en México,</w:t>
      </w:r>
    </w:p>
    <w:p w14:paraId="6299A085" w14:textId="77777777" w:rsidR="002523B8" w:rsidRPr="00C9666A" w:rsidRDefault="002523B8" w:rsidP="00C9666A">
      <w:pPr>
        <w:pStyle w:val="Prrafodelista"/>
        <w:numPr>
          <w:ilvl w:val="0"/>
          <w:numId w:val="36"/>
        </w:numPr>
        <w:autoSpaceDE w:val="0"/>
        <w:autoSpaceDN w:val="0"/>
        <w:adjustRightInd w:val="0"/>
        <w:spacing w:before="120" w:after="120"/>
        <w:ind w:left="426" w:right="-1"/>
        <w:jc w:val="both"/>
        <w:rPr>
          <w:rFonts w:ascii="Arial" w:hAnsi="Arial" w:cs="Arial"/>
          <w:color w:val="000000"/>
        </w:rPr>
      </w:pPr>
      <w:r w:rsidRPr="00C9666A">
        <w:rPr>
          <w:rFonts w:ascii="Arial" w:hAnsi="Arial" w:cs="Arial"/>
          <w:color w:val="000000"/>
        </w:rPr>
        <w:t>Las estructuras actuales de diversos mercados en los sectores de telecomunicaciones y radiodifusión,</w:t>
      </w:r>
    </w:p>
    <w:p w14:paraId="0A55CD9A" w14:textId="77777777" w:rsidR="001B47CB" w:rsidRPr="00C9666A" w:rsidRDefault="001B47CB" w:rsidP="00C9666A">
      <w:pPr>
        <w:pStyle w:val="Prrafodelista"/>
        <w:numPr>
          <w:ilvl w:val="0"/>
          <w:numId w:val="36"/>
        </w:numPr>
        <w:autoSpaceDE w:val="0"/>
        <w:autoSpaceDN w:val="0"/>
        <w:adjustRightInd w:val="0"/>
        <w:spacing w:before="120" w:after="120"/>
        <w:ind w:left="426" w:right="-1"/>
        <w:jc w:val="both"/>
        <w:rPr>
          <w:rFonts w:ascii="Arial" w:hAnsi="Arial" w:cs="Arial"/>
          <w:color w:val="000000"/>
        </w:rPr>
      </w:pPr>
      <w:r w:rsidRPr="00C9666A">
        <w:rPr>
          <w:rFonts w:ascii="Arial" w:hAnsi="Arial" w:cs="Arial"/>
          <w:color w:val="000000"/>
        </w:rPr>
        <w:t>Resoluciones previas que se han tomado para los sectores de telecomunicaciones y radiodifusión, tanto en el mismo Instituto como en práctica decisoria de la extinta Comisión Federal de Competencia</w:t>
      </w:r>
      <w:r w:rsidR="002523B8" w:rsidRPr="00C9666A">
        <w:rPr>
          <w:rFonts w:ascii="Arial" w:hAnsi="Arial" w:cs="Arial"/>
          <w:color w:val="000000"/>
        </w:rPr>
        <w:t>, y</w:t>
      </w:r>
    </w:p>
    <w:p w14:paraId="3065B502" w14:textId="77777777" w:rsidR="001B47CB" w:rsidRPr="00C9666A" w:rsidRDefault="001B47CB" w:rsidP="00C9666A">
      <w:pPr>
        <w:pStyle w:val="Prrafodelista"/>
        <w:numPr>
          <w:ilvl w:val="0"/>
          <w:numId w:val="36"/>
        </w:numPr>
        <w:autoSpaceDE w:val="0"/>
        <w:autoSpaceDN w:val="0"/>
        <w:adjustRightInd w:val="0"/>
        <w:spacing w:before="120" w:after="120"/>
        <w:ind w:left="426" w:right="-1"/>
        <w:jc w:val="both"/>
        <w:rPr>
          <w:rFonts w:ascii="Arial" w:hAnsi="Arial" w:cs="Arial"/>
          <w:color w:val="000000"/>
        </w:rPr>
      </w:pPr>
      <w:r w:rsidRPr="00C9666A">
        <w:rPr>
          <w:rFonts w:ascii="Arial" w:hAnsi="Arial" w:cs="Arial"/>
          <w:color w:val="000000"/>
        </w:rPr>
        <w:t>Las posibles modificaciones que podrían experimentar las estructuras de los mercados analizados, como consecuencia de mayor disponibilidad de recursos o entrada de nuevos participantes</w:t>
      </w:r>
      <w:r w:rsidR="002523B8" w:rsidRPr="00C9666A">
        <w:rPr>
          <w:rFonts w:ascii="Arial" w:hAnsi="Arial" w:cs="Arial"/>
          <w:color w:val="000000"/>
        </w:rPr>
        <w:t>.</w:t>
      </w:r>
    </w:p>
    <w:p w14:paraId="48DDEB9D" w14:textId="77777777" w:rsidR="00D72179" w:rsidRPr="00C9666A" w:rsidRDefault="00D72179" w:rsidP="00C9666A">
      <w:pPr>
        <w:spacing w:before="120" w:after="120"/>
        <w:rPr>
          <w:rFonts w:ascii="Arial" w:hAnsi="Arial" w:cs="Arial"/>
        </w:rPr>
      </w:pPr>
    </w:p>
    <w:p w14:paraId="04A4B05E" w14:textId="5D3EE5B5" w:rsidR="001B47CB" w:rsidRPr="00C9666A" w:rsidRDefault="001E3B08" w:rsidP="00C9666A">
      <w:pPr>
        <w:pStyle w:val="Default"/>
        <w:keepNext/>
        <w:spacing w:before="120" w:after="120" w:line="276" w:lineRule="auto"/>
        <w:ind w:left="851"/>
        <w:jc w:val="both"/>
        <w:rPr>
          <w:rFonts w:ascii="Arial" w:hAnsi="Arial" w:cs="Arial"/>
          <w:b/>
          <w:sz w:val="22"/>
          <w:szCs w:val="22"/>
        </w:rPr>
      </w:pPr>
      <w:r>
        <w:rPr>
          <w:rFonts w:ascii="Arial" w:hAnsi="Arial" w:cs="Arial"/>
          <w:b/>
          <w:sz w:val="22"/>
          <w:szCs w:val="22"/>
        </w:rPr>
        <w:t>I</w:t>
      </w:r>
      <w:r w:rsidR="00B77632" w:rsidRPr="00C9666A">
        <w:rPr>
          <w:rFonts w:ascii="Arial" w:hAnsi="Arial" w:cs="Arial"/>
          <w:b/>
          <w:sz w:val="22"/>
          <w:szCs w:val="22"/>
        </w:rPr>
        <w:t>V</w:t>
      </w:r>
      <w:r w:rsidR="00C262B6" w:rsidRPr="00C9666A">
        <w:rPr>
          <w:rFonts w:ascii="Arial" w:hAnsi="Arial" w:cs="Arial"/>
          <w:b/>
          <w:sz w:val="22"/>
          <w:szCs w:val="22"/>
        </w:rPr>
        <w:t xml:space="preserve">.1. </w:t>
      </w:r>
      <w:r w:rsidR="001B47CB" w:rsidRPr="00C9666A">
        <w:rPr>
          <w:rFonts w:ascii="Arial" w:hAnsi="Arial" w:cs="Arial"/>
          <w:b/>
          <w:color w:val="auto"/>
          <w:sz w:val="22"/>
        </w:rPr>
        <w:t>Referencias Internacionales</w:t>
      </w:r>
    </w:p>
    <w:p w14:paraId="7A07F461" w14:textId="4686FB45" w:rsidR="000E28CB" w:rsidRPr="00C9666A" w:rsidRDefault="000E28CB"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De manera general, las autoridades de competencia utilizan umbrales del IHH y la </w:t>
      </w:r>
      <m:oMath>
        <m:r>
          <m:rPr>
            <m:sty m:val="p"/>
          </m:rPr>
          <w:rPr>
            <w:rFonts w:ascii="Cambria Math" w:hAnsi="Cambria Math" w:cs="Arial"/>
            <w:sz w:val="22"/>
            <w:szCs w:val="22"/>
          </w:rPr>
          <m:t>∆IHH</m:t>
        </m:r>
      </m:oMath>
      <w:r w:rsidRPr="00C9666A">
        <w:rPr>
          <w:rFonts w:ascii="Arial" w:eastAsia="Times New Roman" w:hAnsi="Arial" w:cs="Arial"/>
          <w:sz w:val="22"/>
          <w:szCs w:val="22"/>
          <w:lang w:eastAsia="es-MX"/>
        </w:rPr>
        <w:t xml:space="preserve"> </w:t>
      </w:r>
      <w:r w:rsidRPr="00C9666A">
        <w:rPr>
          <w:rFonts w:ascii="Arial" w:hAnsi="Arial" w:cs="Arial"/>
          <w:sz w:val="22"/>
          <w:szCs w:val="22"/>
        </w:rPr>
        <w:t>con tres propósitos:</w:t>
      </w:r>
    </w:p>
    <w:p w14:paraId="43F9EF44" w14:textId="77777777" w:rsidR="000E28CB" w:rsidRPr="00C9666A" w:rsidRDefault="000E28CB" w:rsidP="00C9666A">
      <w:pPr>
        <w:pStyle w:val="Default"/>
        <w:numPr>
          <w:ilvl w:val="0"/>
          <w:numId w:val="9"/>
        </w:numPr>
        <w:spacing w:before="120" w:after="120" w:line="276" w:lineRule="auto"/>
        <w:ind w:left="1077"/>
        <w:jc w:val="both"/>
        <w:rPr>
          <w:rFonts w:ascii="Arial" w:hAnsi="Arial" w:cs="Arial"/>
          <w:sz w:val="22"/>
          <w:szCs w:val="22"/>
        </w:rPr>
      </w:pPr>
      <w:r w:rsidRPr="00C9666A">
        <w:rPr>
          <w:rFonts w:ascii="Arial" w:hAnsi="Arial" w:cs="Arial"/>
          <w:sz w:val="22"/>
          <w:szCs w:val="22"/>
        </w:rPr>
        <w:t>Identificar las situaciones en las que no intervendrá la autoridad,</w:t>
      </w:r>
    </w:p>
    <w:p w14:paraId="665CDD9D" w14:textId="77777777" w:rsidR="000E28CB" w:rsidRPr="00C9666A" w:rsidRDefault="000E28CB" w:rsidP="00C9666A">
      <w:pPr>
        <w:pStyle w:val="Default"/>
        <w:numPr>
          <w:ilvl w:val="0"/>
          <w:numId w:val="9"/>
        </w:numPr>
        <w:spacing w:before="120" w:after="120" w:line="276" w:lineRule="auto"/>
        <w:ind w:left="1077"/>
        <w:jc w:val="both"/>
        <w:rPr>
          <w:rFonts w:ascii="Arial" w:hAnsi="Arial" w:cs="Arial"/>
          <w:sz w:val="22"/>
          <w:szCs w:val="22"/>
        </w:rPr>
      </w:pPr>
      <w:r w:rsidRPr="00C9666A">
        <w:rPr>
          <w:rFonts w:ascii="Arial" w:hAnsi="Arial" w:cs="Arial"/>
          <w:sz w:val="22"/>
          <w:szCs w:val="22"/>
        </w:rPr>
        <w:t>Establecer un nivel de concentración a partir del cual la autoridad hará una revisión más estricta de las operaciones, y</w:t>
      </w:r>
    </w:p>
    <w:p w14:paraId="13AECF0B" w14:textId="2E300C6E" w:rsidR="000E28CB" w:rsidRPr="00C9666A" w:rsidRDefault="000E28CB" w:rsidP="00C9666A">
      <w:pPr>
        <w:pStyle w:val="Default"/>
        <w:numPr>
          <w:ilvl w:val="0"/>
          <w:numId w:val="9"/>
        </w:numPr>
        <w:spacing w:before="120" w:after="120" w:line="276" w:lineRule="auto"/>
        <w:ind w:right="-1"/>
        <w:jc w:val="both"/>
        <w:rPr>
          <w:rFonts w:ascii="Arial" w:hAnsi="Arial" w:cs="Arial"/>
          <w:sz w:val="22"/>
          <w:szCs w:val="22"/>
        </w:rPr>
      </w:pPr>
      <w:r w:rsidRPr="00C9666A">
        <w:rPr>
          <w:rFonts w:ascii="Arial" w:hAnsi="Arial" w:cs="Arial"/>
          <w:sz w:val="22"/>
          <w:szCs w:val="22"/>
        </w:rPr>
        <w:t xml:space="preserve">Medir cuantitativamente, a través de la </w:t>
      </w:r>
      <m:oMath>
        <m:r>
          <m:rPr>
            <m:sty m:val="p"/>
          </m:rPr>
          <w:rPr>
            <w:rFonts w:ascii="Cambria Math" w:hAnsi="Cambria Math" w:cs="Arial"/>
            <w:sz w:val="22"/>
            <w:szCs w:val="22"/>
          </w:rPr>
          <m:t>∆IHH</m:t>
        </m:r>
      </m:oMath>
      <w:r w:rsidRPr="00C9666A">
        <w:rPr>
          <w:rFonts w:ascii="Arial" w:hAnsi="Arial" w:cs="Arial"/>
          <w:sz w:val="22"/>
          <w:szCs w:val="22"/>
        </w:rPr>
        <w:t>, el impacto en la competencia de una concentración.</w:t>
      </w:r>
    </w:p>
    <w:p w14:paraId="03EF7786" w14:textId="27F75697" w:rsidR="000E28CB" w:rsidRDefault="000E28CB" w:rsidP="00C9666A">
      <w:pPr>
        <w:pStyle w:val="Default"/>
        <w:spacing w:before="120" w:after="120" w:line="276" w:lineRule="auto"/>
        <w:ind w:right="-1"/>
        <w:jc w:val="both"/>
        <w:rPr>
          <w:rFonts w:ascii="Arial" w:eastAsia="Times New Roman" w:hAnsi="Arial" w:cs="Arial"/>
          <w:sz w:val="22"/>
          <w:szCs w:val="22"/>
          <w:lang w:eastAsia="es-MX"/>
        </w:rPr>
      </w:pPr>
      <w:r w:rsidRPr="00C9666A">
        <w:rPr>
          <w:rFonts w:ascii="Arial" w:hAnsi="Arial" w:cs="Arial"/>
          <w:sz w:val="22"/>
          <w:szCs w:val="22"/>
        </w:rPr>
        <w:t xml:space="preserve">En el siguiente cuadro se presenta en orden alfabético un comparativo de criterios utilizados por distintas agencias en materia de competencia para el análisis de </w:t>
      </w:r>
      <w:r w:rsidRPr="00C9666A">
        <w:rPr>
          <w:rFonts w:ascii="Arial" w:eastAsia="Times New Roman" w:hAnsi="Arial" w:cs="Arial"/>
          <w:sz w:val="22"/>
          <w:szCs w:val="22"/>
          <w:lang w:eastAsia="es-MX"/>
        </w:rPr>
        <w:t>concentraciones y de dominancia.</w:t>
      </w:r>
    </w:p>
    <w:p w14:paraId="29FB62D7" w14:textId="586640B6" w:rsidR="00762DE2" w:rsidRPr="00C9666A" w:rsidRDefault="00762DE2" w:rsidP="00C9666A">
      <w:pPr>
        <w:pStyle w:val="Default"/>
        <w:spacing w:before="120" w:after="120" w:line="276" w:lineRule="auto"/>
        <w:ind w:right="-1"/>
        <w:jc w:val="both"/>
        <w:rPr>
          <w:rFonts w:ascii="Arial" w:eastAsia="Times New Roman" w:hAnsi="Arial" w:cs="Arial"/>
          <w:sz w:val="22"/>
          <w:szCs w:val="22"/>
          <w:lang w:eastAsia="es-MX"/>
        </w:rPr>
      </w:pPr>
    </w:p>
    <w:p w14:paraId="7BE76597" w14:textId="15164104" w:rsidR="006B2B59" w:rsidRPr="00C9666A" w:rsidRDefault="006B2B59" w:rsidP="00D92DEF">
      <w:pPr>
        <w:pStyle w:val="Default"/>
        <w:keepNext/>
        <w:numPr>
          <w:ilvl w:val="0"/>
          <w:numId w:val="44"/>
        </w:numPr>
        <w:spacing w:before="120" w:after="120" w:line="276" w:lineRule="auto"/>
        <w:jc w:val="center"/>
        <w:rPr>
          <w:rFonts w:ascii="Arial" w:eastAsia="Times New Roman" w:hAnsi="Arial" w:cs="Arial"/>
          <w:b/>
          <w:sz w:val="22"/>
          <w:szCs w:val="22"/>
          <w:lang w:eastAsia="es-MX"/>
        </w:rPr>
      </w:pPr>
      <w:r w:rsidRPr="00C9666A">
        <w:rPr>
          <w:rFonts w:ascii="Arial" w:eastAsia="Times New Roman" w:hAnsi="Arial" w:cs="Arial"/>
          <w:b/>
          <w:sz w:val="22"/>
          <w:szCs w:val="22"/>
          <w:lang w:eastAsia="es-MX"/>
        </w:rPr>
        <w:lastRenderedPageBreak/>
        <w:t>Referencias internacionales</w:t>
      </w:r>
    </w:p>
    <w:tbl>
      <w:tblPr>
        <w:tblStyle w:val="Tablaconcuadrcula"/>
        <w:tblW w:w="0" w:type="auto"/>
        <w:jc w:val="center"/>
        <w:tblLook w:val="04A0" w:firstRow="1" w:lastRow="0" w:firstColumn="1" w:lastColumn="0" w:noHBand="0" w:noVBand="1"/>
      </w:tblPr>
      <w:tblGrid>
        <w:gridCol w:w="1852"/>
        <w:gridCol w:w="7493"/>
      </w:tblGrid>
      <w:tr w:rsidR="002504C5" w:rsidRPr="00C9666A" w14:paraId="1C150675" w14:textId="77777777" w:rsidTr="000E0124">
        <w:trPr>
          <w:tblHeader/>
          <w:jc w:val="center"/>
        </w:trPr>
        <w:tc>
          <w:tcPr>
            <w:tcW w:w="1852" w:type="dxa"/>
            <w:shd w:val="clear" w:color="auto" w:fill="9BBB59" w:themeFill="accent3"/>
            <w:vAlign w:val="center"/>
          </w:tcPr>
          <w:p w14:paraId="77315AF9" w14:textId="77777777" w:rsidR="002504C5" w:rsidRPr="00C9666A" w:rsidRDefault="002504C5" w:rsidP="00C9666A">
            <w:pPr>
              <w:spacing w:before="120" w:after="120" w:line="276" w:lineRule="auto"/>
              <w:ind w:right="-1"/>
              <w:jc w:val="center"/>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Jurisdicción (autoridad)</w:t>
            </w:r>
          </w:p>
        </w:tc>
        <w:tc>
          <w:tcPr>
            <w:tcW w:w="7493" w:type="dxa"/>
            <w:shd w:val="clear" w:color="auto" w:fill="9BBB59" w:themeFill="accent3"/>
            <w:vAlign w:val="center"/>
          </w:tcPr>
          <w:p w14:paraId="3B7BEBE2" w14:textId="77777777" w:rsidR="002504C5" w:rsidRPr="00C9666A" w:rsidRDefault="002504C5" w:rsidP="00C9666A">
            <w:pPr>
              <w:autoSpaceDE w:val="0"/>
              <w:autoSpaceDN w:val="0"/>
              <w:adjustRightInd w:val="0"/>
              <w:spacing w:before="120" w:after="120" w:line="276" w:lineRule="auto"/>
              <w:ind w:right="-1"/>
              <w:jc w:val="center"/>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Criterios</w:t>
            </w:r>
          </w:p>
        </w:tc>
      </w:tr>
      <w:tr w:rsidR="002714DC" w:rsidRPr="00C9666A" w14:paraId="1836AEE8" w14:textId="77777777" w:rsidTr="000E0124">
        <w:trPr>
          <w:jc w:val="center"/>
        </w:trPr>
        <w:tc>
          <w:tcPr>
            <w:tcW w:w="1852" w:type="dxa"/>
          </w:tcPr>
          <w:p w14:paraId="6DA589AC" w14:textId="77777777" w:rsidR="00551741"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Australia</w:t>
            </w:r>
          </w:p>
          <w:p w14:paraId="029F7D28" w14:textId="77777777" w:rsidR="002714DC"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(ACCC)</w:t>
            </w:r>
          </w:p>
        </w:tc>
        <w:tc>
          <w:tcPr>
            <w:tcW w:w="7493" w:type="dxa"/>
          </w:tcPr>
          <w:p w14:paraId="4630CB25" w14:textId="71EB422B" w:rsidR="003D31DB" w:rsidRPr="00C9666A" w:rsidRDefault="00054D3F"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Es</w:t>
            </w:r>
            <w:r w:rsidR="002714DC" w:rsidRPr="00C9666A">
              <w:rPr>
                <w:rFonts w:ascii="Arial" w:eastAsia="Times New Roman" w:hAnsi="Arial" w:cs="Arial"/>
                <w:color w:val="000000"/>
                <w:sz w:val="18"/>
                <w:szCs w:val="18"/>
                <w:lang w:eastAsia="es-MX"/>
              </w:rPr>
              <w:t xml:space="preserve"> poco probable que la ACCC identifique problemas de competencia cuando posterior a la concentración:</w:t>
            </w:r>
            <w:r w:rsidR="00551741" w:rsidRPr="00C9666A">
              <w:rPr>
                <w:rStyle w:val="Refdenotaalpie"/>
                <w:rFonts w:ascii="Arial" w:eastAsia="Times New Roman" w:hAnsi="Arial" w:cs="Arial"/>
                <w:color w:val="000000"/>
                <w:sz w:val="18"/>
                <w:szCs w:val="18"/>
                <w:lang w:eastAsia="es-MX"/>
              </w:rPr>
              <w:footnoteReference w:id="18"/>
            </w:r>
          </w:p>
          <w:p w14:paraId="58EE2F98" w14:textId="77777777" w:rsidR="002714DC" w:rsidRPr="00C9666A" w:rsidRDefault="00193362" w:rsidP="00CC256D">
            <w:pPr>
              <w:pStyle w:val="Prrafodelista"/>
              <w:numPr>
                <w:ilvl w:val="0"/>
                <w:numId w:val="16"/>
              </w:numPr>
              <w:spacing w:before="120" w:after="120" w:line="276" w:lineRule="auto"/>
              <w:ind w:left="601"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w:t>
            </w:r>
            <w:r w:rsidR="00983E27" w:rsidRPr="00C9666A">
              <w:rPr>
                <w:rFonts w:ascii="Arial" w:eastAsia="Times New Roman" w:hAnsi="Arial" w:cs="Arial"/>
                <w:color w:val="000000"/>
                <w:sz w:val="18"/>
                <w:szCs w:val="18"/>
                <w:lang w:eastAsia="es-MX"/>
              </w:rPr>
              <w:t xml:space="preserve"> &lt; </w:t>
            </w:r>
            <w:r w:rsidR="002714DC" w:rsidRPr="00C9666A">
              <w:rPr>
                <w:rFonts w:ascii="Arial" w:eastAsia="Times New Roman" w:hAnsi="Arial" w:cs="Arial"/>
                <w:color w:val="000000"/>
                <w:sz w:val="18"/>
                <w:szCs w:val="18"/>
                <w:lang w:eastAsia="es-MX"/>
              </w:rPr>
              <w:t>2,000</w:t>
            </w:r>
            <w:r w:rsidR="000E28CB" w:rsidRPr="00C9666A">
              <w:rPr>
                <w:rFonts w:ascii="Arial" w:eastAsia="Times New Roman" w:hAnsi="Arial" w:cs="Arial"/>
                <w:color w:val="000000"/>
                <w:sz w:val="18"/>
                <w:szCs w:val="18"/>
                <w:lang w:eastAsia="es-MX"/>
              </w:rPr>
              <w:t xml:space="preserve"> puntos</w:t>
            </w:r>
            <w:r w:rsidR="00983E27" w:rsidRPr="00C9666A">
              <w:rPr>
                <w:rFonts w:ascii="Arial" w:eastAsia="Times New Roman" w:hAnsi="Arial" w:cs="Arial"/>
                <w:color w:val="000000"/>
                <w:sz w:val="18"/>
                <w:szCs w:val="18"/>
                <w:lang w:eastAsia="es-MX"/>
              </w:rPr>
              <w:t>;</w:t>
            </w:r>
            <w:r w:rsidR="002714DC" w:rsidRPr="00C9666A">
              <w:rPr>
                <w:rFonts w:ascii="Arial" w:eastAsia="Times New Roman" w:hAnsi="Arial" w:cs="Arial"/>
                <w:color w:val="000000"/>
                <w:sz w:val="18"/>
                <w:szCs w:val="18"/>
                <w:lang w:eastAsia="es-MX"/>
              </w:rPr>
              <w:t xml:space="preserve"> o</w:t>
            </w:r>
          </w:p>
          <w:p w14:paraId="7ED8A6E4" w14:textId="5B9C9EA6" w:rsidR="003D31DB" w:rsidRPr="00CC256D" w:rsidRDefault="00193362" w:rsidP="00CC256D">
            <w:pPr>
              <w:pStyle w:val="Prrafodelista"/>
              <w:numPr>
                <w:ilvl w:val="0"/>
                <w:numId w:val="16"/>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w:t>
            </w:r>
            <w:r w:rsidR="00983E27" w:rsidRPr="00C9666A">
              <w:rPr>
                <w:rFonts w:ascii="Arial" w:eastAsia="Times New Roman" w:hAnsi="Arial" w:cs="Arial"/>
                <w:color w:val="000000"/>
                <w:sz w:val="18"/>
                <w:szCs w:val="18"/>
                <w:lang w:eastAsia="es-MX"/>
              </w:rPr>
              <w:t xml:space="preserve"> &gt;</w:t>
            </w:r>
            <w:r w:rsidR="002714DC" w:rsidRPr="00C9666A">
              <w:rPr>
                <w:rFonts w:ascii="Arial" w:eastAsia="Times New Roman" w:hAnsi="Arial" w:cs="Arial"/>
                <w:color w:val="000000"/>
                <w:sz w:val="18"/>
                <w:szCs w:val="18"/>
                <w:lang w:eastAsia="es-MX"/>
              </w:rPr>
              <w:t xml:space="preserve"> 2,000 con </w:t>
            </w:r>
            <w:r w:rsidR="002714DC" w:rsidRPr="00C9666A">
              <w:rPr>
                <w:rFonts w:ascii="Arial" w:eastAsia="Times New Roman" w:hAnsi="Arial" w:cs="Arial"/>
                <w:color w:val="000000"/>
                <w:lang w:eastAsia="es-MX"/>
              </w:rPr>
              <w:t>Δ</w:t>
            </w:r>
            <w:r w:rsidR="00892B14" w:rsidRPr="00687AB4">
              <w:rPr>
                <w:rFonts w:ascii="Arial" w:eastAsia="Times New Roman" w:hAnsi="Arial" w:cs="Arial"/>
                <w:color w:val="000000"/>
                <w:sz w:val="18"/>
                <w:lang w:eastAsia="es-MX"/>
              </w:rPr>
              <w:t>I</w:t>
            </w:r>
            <w:r w:rsidR="002714DC" w:rsidRPr="00C9666A">
              <w:rPr>
                <w:rFonts w:ascii="Arial" w:eastAsia="Times New Roman" w:hAnsi="Arial" w:cs="Arial"/>
                <w:color w:val="000000"/>
                <w:sz w:val="18"/>
                <w:szCs w:val="18"/>
                <w:lang w:eastAsia="es-MX"/>
              </w:rPr>
              <w:t xml:space="preserve">HH </w:t>
            </w:r>
            <w:r w:rsidR="00983E27" w:rsidRPr="00C9666A">
              <w:rPr>
                <w:rFonts w:ascii="Arial" w:eastAsia="Times New Roman" w:hAnsi="Arial" w:cs="Arial"/>
                <w:color w:val="000000"/>
                <w:sz w:val="18"/>
                <w:szCs w:val="18"/>
                <w:lang w:eastAsia="es-MX"/>
              </w:rPr>
              <w:t xml:space="preserve">&lt; </w:t>
            </w:r>
            <w:r w:rsidR="002714DC" w:rsidRPr="00C9666A">
              <w:rPr>
                <w:rFonts w:ascii="Arial" w:eastAsia="Times New Roman" w:hAnsi="Arial" w:cs="Arial"/>
                <w:color w:val="000000"/>
                <w:sz w:val="18"/>
                <w:szCs w:val="18"/>
                <w:lang w:eastAsia="es-MX"/>
              </w:rPr>
              <w:t>100</w:t>
            </w:r>
            <w:r w:rsidR="000E28CB" w:rsidRPr="00C9666A">
              <w:rPr>
                <w:rFonts w:ascii="Arial" w:eastAsia="Times New Roman" w:hAnsi="Arial" w:cs="Arial"/>
                <w:color w:val="000000"/>
                <w:sz w:val="18"/>
                <w:szCs w:val="18"/>
                <w:lang w:eastAsia="es-MX"/>
              </w:rPr>
              <w:t xml:space="preserve"> puntos</w:t>
            </w:r>
            <w:r w:rsidR="002714DC" w:rsidRPr="00C9666A">
              <w:rPr>
                <w:rFonts w:ascii="Arial" w:eastAsia="Times New Roman" w:hAnsi="Arial" w:cs="Arial"/>
                <w:color w:val="000000"/>
                <w:sz w:val="18"/>
                <w:szCs w:val="18"/>
                <w:lang w:eastAsia="es-MX"/>
              </w:rPr>
              <w:t>.</w:t>
            </w:r>
          </w:p>
          <w:p w14:paraId="6137EE45" w14:textId="7A85E4FF" w:rsidR="003D31DB"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Las concentraciones que cumplan los criterios anteriores pueden originar problemas de competencia si se cumple alguna de las siguientes condiciones:</w:t>
            </w:r>
          </w:p>
          <w:p w14:paraId="39BCC268" w14:textId="77777777" w:rsidR="002714DC" w:rsidRPr="00C9666A" w:rsidRDefault="002714DC" w:rsidP="00C9666A">
            <w:pPr>
              <w:pStyle w:val="Prrafodelista"/>
              <w:numPr>
                <w:ilvl w:val="0"/>
                <w:numId w:val="17"/>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Los clientes consideran que los productos de </w:t>
            </w:r>
            <w:r w:rsidR="00F81E40" w:rsidRPr="00C9666A">
              <w:rPr>
                <w:rFonts w:ascii="Arial" w:eastAsia="Times New Roman" w:hAnsi="Arial" w:cs="Arial"/>
                <w:color w:val="000000"/>
                <w:sz w:val="18"/>
                <w:szCs w:val="18"/>
                <w:lang w:eastAsia="es-MX"/>
              </w:rPr>
              <w:t>los participantes</w:t>
            </w:r>
            <w:r w:rsidRPr="00C9666A">
              <w:rPr>
                <w:rFonts w:ascii="Arial" w:eastAsia="Times New Roman" w:hAnsi="Arial" w:cs="Arial"/>
                <w:color w:val="000000"/>
                <w:sz w:val="18"/>
                <w:szCs w:val="18"/>
                <w:lang w:eastAsia="es-MX"/>
              </w:rPr>
              <w:t xml:space="preserve"> que se concentran son sustitutos cercanos</w:t>
            </w:r>
            <w:r w:rsidR="00E2534D" w:rsidRPr="00C9666A">
              <w:rPr>
                <w:rFonts w:ascii="Arial" w:eastAsia="Times New Roman" w:hAnsi="Arial" w:cs="Arial"/>
                <w:color w:val="000000"/>
                <w:sz w:val="18"/>
                <w:szCs w:val="18"/>
                <w:lang w:eastAsia="es-MX"/>
              </w:rPr>
              <w:t>,</w:t>
            </w:r>
            <w:r w:rsidRPr="00C9666A">
              <w:rPr>
                <w:rFonts w:ascii="Arial" w:eastAsia="Times New Roman" w:hAnsi="Arial" w:cs="Arial"/>
                <w:color w:val="000000"/>
                <w:sz w:val="18"/>
                <w:szCs w:val="18"/>
                <w:lang w:eastAsia="es-MX"/>
              </w:rPr>
              <w:t xml:space="preserve"> o</w:t>
            </w:r>
          </w:p>
          <w:p w14:paraId="197AD47E" w14:textId="77777777" w:rsidR="002714DC" w:rsidRPr="00C9666A" w:rsidRDefault="002714DC" w:rsidP="00C9666A">
            <w:pPr>
              <w:pStyle w:val="Prrafodelista"/>
              <w:numPr>
                <w:ilvl w:val="0"/>
                <w:numId w:val="17"/>
              </w:numPr>
              <w:spacing w:before="120" w:after="120" w:line="276" w:lineRule="auto"/>
              <w:ind w:left="600" w:right="-1" w:hanging="425"/>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La empresa adquirida ha mostrado un rápido crecimiento en su participación de mercado, ha desarrollado innovación o ha cobrado precios más bajos que sus competidores.</w:t>
            </w:r>
          </w:p>
        </w:tc>
      </w:tr>
      <w:tr w:rsidR="002714DC" w:rsidRPr="00C9666A" w14:paraId="7658EC21" w14:textId="77777777" w:rsidTr="000E0124">
        <w:trPr>
          <w:jc w:val="center"/>
        </w:trPr>
        <w:tc>
          <w:tcPr>
            <w:tcW w:w="1852" w:type="dxa"/>
          </w:tcPr>
          <w:p w14:paraId="04E0B88D" w14:textId="77777777" w:rsidR="002714DC"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Alemania</w:t>
            </w:r>
          </w:p>
          <w:p w14:paraId="3C14AA87" w14:textId="77777777" w:rsidR="003F065F" w:rsidRPr="00C9666A" w:rsidRDefault="003F065F"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w:t>
            </w:r>
            <w:proofErr w:type="spellStart"/>
            <w:r w:rsidRPr="00C9666A">
              <w:rPr>
                <w:rFonts w:ascii="Arial" w:hAnsi="Arial" w:cs="Arial"/>
                <w:bCs/>
                <w:color w:val="252525"/>
                <w:sz w:val="18"/>
                <w:szCs w:val="18"/>
                <w:shd w:val="clear" w:color="auto" w:fill="FFFFFF"/>
              </w:rPr>
              <w:t>Bundeskartellamt</w:t>
            </w:r>
            <w:proofErr w:type="spellEnd"/>
            <w:r w:rsidRPr="00C9666A">
              <w:rPr>
                <w:rFonts w:ascii="Arial" w:eastAsia="Times New Roman" w:hAnsi="Arial" w:cs="Arial"/>
                <w:color w:val="000000"/>
                <w:sz w:val="18"/>
                <w:szCs w:val="18"/>
                <w:lang w:eastAsia="es-MX"/>
              </w:rPr>
              <w:t>)</w:t>
            </w:r>
          </w:p>
        </w:tc>
        <w:tc>
          <w:tcPr>
            <w:tcW w:w="7493" w:type="dxa"/>
          </w:tcPr>
          <w:p w14:paraId="20234D97" w14:textId="7565C079" w:rsidR="005C4F85"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Se presumirá que una empresa es </w:t>
            </w:r>
            <w:r w:rsidRPr="00C9666A">
              <w:rPr>
                <w:rFonts w:ascii="Arial" w:eastAsia="Times New Roman" w:hAnsi="Arial" w:cs="Arial"/>
                <w:b/>
                <w:color w:val="000000"/>
                <w:sz w:val="18"/>
                <w:szCs w:val="18"/>
                <w:lang w:eastAsia="es-MX"/>
              </w:rPr>
              <w:t>dominante</w:t>
            </w:r>
            <w:r w:rsidRPr="00C9666A">
              <w:rPr>
                <w:rFonts w:ascii="Arial" w:eastAsia="Times New Roman" w:hAnsi="Arial" w:cs="Arial"/>
                <w:color w:val="000000"/>
                <w:sz w:val="18"/>
                <w:szCs w:val="18"/>
                <w:lang w:eastAsia="es-MX"/>
              </w:rPr>
              <w:t xml:space="preserve"> si tiene al menos una tercera parte del mercado </w:t>
            </w:r>
            <w:r w:rsidRPr="00C9666A">
              <w:rPr>
                <w:rFonts w:ascii="Arial" w:eastAsia="Times New Roman" w:hAnsi="Arial" w:cs="Arial"/>
                <w:b/>
                <w:color w:val="000000"/>
                <w:sz w:val="18"/>
                <w:szCs w:val="18"/>
                <w:lang w:eastAsia="es-MX"/>
              </w:rPr>
              <w:t>(33%).</w:t>
            </w:r>
          </w:p>
          <w:p w14:paraId="05645D38" w14:textId="349DCE2A" w:rsidR="005C4F85" w:rsidRPr="00C9666A" w:rsidRDefault="002714DC"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A menos que </w:t>
            </w:r>
            <w:r w:rsidR="00F81E40" w:rsidRPr="00C9666A">
              <w:rPr>
                <w:rFonts w:ascii="Arial" w:eastAsia="Times New Roman" w:hAnsi="Arial" w:cs="Arial"/>
                <w:color w:val="000000"/>
                <w:sz w:val="18"/>
                <w:szCs w:val="18"/>
                <w:lang w:eastAsia="es-MX"/>
              </w:rPr>
              <w:t>los participantes</w:t>
            </w:r>
            <w:r w:rsidRPr="00C9666A">
              <w:rPr>
                <w:rFonts w:ascii="Arial" w:eastAsia="Times New Roman" w:hAnsi="Arial" w:cs="Arial"/>
                <w:color w:val="000000"/>
                <w:sz w:val="18"/>
                <w:szCs w:val="18"/>
                <w:lang w:eastAsia="es-MX"/>
              </w:rPr>
              <w:t xml:space="preserve"> demuestren que existe competencia sustancial entre ellas, se presumirá que un número de empresas son </w:t>
            </w:r>
            <w:r w:rsidRPr="00C9666A">
              <w:rPr>
                <w:rFonts w:ascii="Arial" w:eastAsia="Times New Roman" w:hAnsi="Arial" w:cs="Arial"/>
                <w:b/>
                <w:color w:val="000000"/>
                <w:sz w:val="18"/>
                <w:szCs w:val="18"/>
                <w:lang w:eastAsia="es-MX"/>
              </w:rPr>
              <w:t>dominantes</w:t>
            </w:r>
            <w:r w:rsidRPr="00C9666A">
              <w:rPr>
                <w:rFonts w:ascii="Arial" w:eastAsia="Times New Roman" w:hAnsi="Arial" w:cs="Arial"/>
                <w:color w:val="000000"/>
                <w:sz w:val="18"/>
                <w:szCs w:val="18"/>
                <w:lang w:eastAsia="es-MX"/>
              </w:rPr>
              <w:t xml:space="preserve"> si </w:t>
            </w:r>
            <w:r w:rsidRPr="00C9666A">
              <w:rPr>
                <w:rFonts w:ascii="Arial" w:eastAsia="Times New Roman" w:hAnsi="Arial" w:cs="Arial"/>
                <w:b/>
                <w:color w:val="000000"/>
                <w:sz w:val="18"/>
                <w:szCs w:val="18"/>
                <w:lang w:eastAsia="es-MX"/>
              </w:rPr>
              <w:t>tres o menos</w:t>
            </w:r>
            <w:r w:rsidRPr="00C9666A">
              <w:rPr>
                <w:rFonts w:ascii="Arial" w:eastAsia="Times New Roman" w:hAnsi="Arial" w:cs="Arial"/>
                <w:color w:val="000000"/>
                <w:sz w:val="18"/>
                <w:szCs w:val="18"/>
                <w:lang w:eastAsia="es-MX"/>
              </w:rPr>
              <w:t xml:space="preserve"> alcanzan una participación de mercado combinada del </w:t>
            </w:r>
            <w:r w:rsidRPr="00C9666A">
              <w:rPr>
                <w:rFonts w:ascii="Arial" w:eastAsia="Times New Roman" w:hAnsi="Arial" w:cs="Arial"/>
                <w:b/>
                <w:color w:val="000000"/>
                <w:sz w:val="18"/>
                <w:szCs w:val="18"/>
                <w:lang w:eastAsia="es-MX"/>
              </w:rPr>
              <w:t>50%</w:t>
            </w:r>
            <w:r w:rsidRPr="00C9666A">
              <w:rPr>
                <w:rFonts w:ascii="Arial" w:eastAsia="Times New Roman" w:hAnsi="Arial" w:cs="Arial"/>
                <w:color w:val="000000"/>
                <w:sz w:val="18"/>
                <w:szCs w:val="18"/>
                <w:lang w:eastAsia="es-MX"/>
              </w:rPr>
              <w:t xml:space="preserve">; o si </w:t>
            </w:r>
            <w:r w:rsidRPr="00C9666A">
              <w:rPr>
                <w:rFonts w:ascii="Arial" w:eastAsia="Times New Roman" w:hAnsi="Arial" w:cs="Arial"/>
                <w:b/>
                <w:color w:val="000000"/>
                <w:sz w:val="18"/>
                <w:szCs w:val="18"/>
                <w:lang w:eastAsia="es-MX"/>
              </w:rPr>
              <w:t>cinco o menos</w:t>
            </w:r>
            <w:r w:rsidRPr="00C9666A">
              <w:rPr>
                <w:rFonts w:ascii="Arial" w:eastAsia="Times New Roman" w:hAnsi="Arial" w:cs="Arial"/>
                <w:color w:val="000000"/>
                <w:sz w:val="18"/>
                <w:szCs w:val="18"/>
                <w:lang w:eastAsia="es-MX"/>
              </w:rPr>
              <w:t xml:space="preserve"> alcanzan una participación de mercado combinada de</w:t>
            </w:r>
            <w:r w:rsidR="00C173CF" w:rsidRPr="00C9666A">
              <w:rPr>
                <w:rFonts w:ascii="Arial" w:eastAsia="Times New Roman" w:hAnsi="Arial" w:cs="Arial"/>
                <w:color w:val="000000"/>
                <w:sz w:val="18"/>
                <w:szCs w:val="18"/>
                <w:lang w:eastAsia="es-MX"/>
              </w:rPr>
              <w:t xml:space="preserve"> dos terceras partes</w:t>
            </w:r>
            <w:r w:rsidRPr="00C9666A">
              <w:rPr>
                <w:rFonts w:ascii="Arial" w:eastAsia="Times New Roman" w:hAnsi="Arial" w:cs="Arial"/>
                <w:color w:val="000000"/>
                <w:sz w:val="18"/>
                <w:szCs w:val="18"/>
                <w:lang w:eastAsia="es-MX"/>
              </w:rPr>
              <w:t xml:space="preserve"> </w:t>
            </w:r>
            <w:r w:rsidR="00C173CF" w:rsidRPr="00C9666A">
              <w:rPr>
                <w:rFonts w:ascii="Arial" w:eastAsia="Times New Roman" w:hAnsi="Arial" w:cs="Arial"/>
                <w:color w:val="000000"/>
                <w:sz w:val="18"/>
                <w:szCs w:val="18"/>
                <w:lang w:eastAsia="es-MX"/>
              </w:rPr>
              <w:t>(</w:t>
            </w:r>
            <w:r w:rsidRPr="00C9666A">
              <w:rPr>
                <w:rFonts w:ascii="Arial" w:eastAsia="Times New Roman" w:hAnsi="Arial" w:cs="Arial"/>
                <w:b/>
                <w:color w:val="000000"/>
                <w:sz w:val="18"/>
                <w:szCs w:val="18"/>
                <w:lang w:eastAsia="es-MX"/>
              </w:rPr>
              <w:t>6</w:t>
            </w:r>
            <w:r w:rsidR="00C173CF" w:rsidRPr="00C9666A">
              <w:rPr>
                <w:rFonts w:ascii="Arial" w:eastAsia="Times New Roman" w:hAnsi="Arial" w:cs="Arial"/>
                <w:b/>
                <w:color w:val="000000"/>
                <w:sz w:val="18"/>
                <w:szCs w:val="18"/>
                <w:lang w:eastAsia="es-MX"/>
              </w:rPr>
              <w:t>7</w:t>
            </w:r>
            <w:r w:rsidRPr="00C9666A">
              <w:rPr>
                <w:rFonts w:ascii="Arial" w:eastAsia="Times New Roman" w:hAnsi="Arial" w:cs="Arial"/>
                <w:b/>
                <w:color w:val="000000"/>
                <w:sz w:val="18"/>
                <w:szCs w:val="18"/>
                <w:lang w:eastAsia="es-MX"/>
              </w:rPr>
              <w:t>%</w:t>
            </w:r>
            <w:r w:rsidR="00C173CF" w:rsidRPr="00C9666A">
              <w:rPr>
                <w:rFonts w:ascii="Arial" w:eastAsia="Times New Roman" w:hAnsi="Arial" w:cs="Arial"/>
                <w:b/>
                <w:color w:val="000000"/>
                <w:sz w:val="18"/>
                <w:szCs w:val="18"/>
                <w:lang w:eastAsia="es-MX"/>
              </w:rPr>
              <w:t>)</w:t>
            </w:r>
            <w:r w:rsidRPr="00C9666A">
              <w:rPr>
                <w:rFonts w:ascii="Arial" w:eastAsia="Times New Roman" w:hAnsi="Arial" w:cs="Arial"/>
                <w:b/>
                <w:color w:val="000000"/>
                <w:sz w:val="18"/>
                <w:szCs w:val="18"/>
                <w:lang w:eastAsia="es-MX"/>
              </w:rPr>
              <w:t>.</w:t>
            </w:r>
            <w:r w:rsidR="00551741" w:rsidRPr="00C9666A">
              <w:rPr>
                <w:rStyle w:val="Refdenotaalpie"/>
                <w:rFonts w:ascii="Arial" w:eastAsia="Times New Roman" w:hAnsi="Arial" w:cs="Arial"/>
                <w:color w:val="000000"/>
                <w:sz w:val="18"/>
                <w:szCs w:val="18"/>
                <w:lang w:eastAsia="es-MX"/>
              </w:rPr>
              <w:footnoteReference w:id="19"/>
            </w:r>
          </w:p>
        </w:tc>
      </w:tr>
      <w:tr w:rsidR="003F065F" w:rsidRPr="00C9666A" w14:paraId="4EA20739" w14:textId="77777777" w:rsidTr="000E0124">
        <w:trPr>
          <w:jc w:val="center"/>
        </w:trPr>
        <w:tc>
          <w:tcPr>
            <w:tcW w:w="1852" w:type="dxa"/>
          </w:tcPr>
          <w:p w14:paraId="4C67B66F" w14:textId="77777777" w:rsidR="003F065F" w:rsidRPr="00C9666A" w:rsidRDefault="003F065F"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Estados Unidos de América</w:t>
            </w:r>
          </w:p>
          <w:p w14:paraId="41CE9152" w14:textId="77777777" w:rsidR="003F065F" w:rsidRPr="00C9666A" w:rsidRDefault="003F065F"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(DOJ y FTC)</w:t>
            </w:r>
          </w:p>
        </w:tc>
        <w:tc>
          <w:tcPr>
            <w:tcW w:w="7493" w:type="dxa"/>
          </w:tcPr>
          <w:p w14:paraId="0BBDCAC1" w14:textId="479F3D68" w:rsidR="003F065F" w:rsidRPr="00C9666A" w:rsidRDefault="003F065F" w:rsidP="00C9666A">
            <w:pPr>
              <w:pStyle w:val="Default"/>
              <w:spacing w:before="120" w:after="120" w:line="276" w:lineRule="auto"/>
              <w:ind w:right="-1"/>
              <w:jc w:val="both"/>
              <w:rPr>
                <w:rFonts w:ascii="Arial" w:hAnsi="Arial" w:cs="Arial"/>
                <w:sz w:val="18"/>
                <w:szCs w:val="18"/>
              </w:rPr>
            </w:pPr>
            <w:r w:rsidRPr="00C9666A">
              <w:rPr>
                <w:rFonts w:ascii="Arial" w:hAnsi="Arial" w:cs="Arial"/>
                <w:sz w:val="18"/>
                <w:szCs w:val="18"/>
              </w:rPr>
              <w:t>Las directrices de concentraciones de 2010 del Departamento de Justicia (</w:t>
            </w:r>
            <w:r w:rsidRPr="00C9666A">
              <w:rPr>
                <w:rFonts w:ascii="Arial" w:hAnsi="Arial" w:cs="Arial"/>
                <w:i/>
                <w:sz w:val="18"/>
                <w:szCs w:val="18"/>
              </w:rPr>
              <w:t>DOJ</w:t>
            </w:r>
            <w:r w:rsidRPr="00C9666A">
              <w:rPr>
                <w:rFonts w:ascii="Arial" w:hAnsi="Arial" w:cs="Arial"/>
                <w:sz w:val="18"/>
                <w:szCs w:val="18"/>
              </w:rPr>
              <w:t>, por sus siglas en inglés) y la Comisión Federal de Comercio (</w:t>
            </w:r>
            <w:r w:rsidRPr="00C9666A">
              <w:rPr>
                <w:rFonts w:ascii="Arial" w:hAnsi="Arial" w:cs="Arial"/>
                <w:i/>
                <w:sz w:val="18"/>
                <w:szCs w:val="18"/>
              </w:rPr>
              <w:t>FTC</w:t>
            </w:r>
            <w:r w:rsidRPr="00C9666A">
              <w:rPr>
                <w:rFonts w:ascii="Arial" w:hAnsi="Arial" w:cs="Arial"/>
                <w:sz w:val="18"/>
                <w:szCs w:val="18"/>
              </w:rPr>
              <w:t>, por sus siglas en inglés) de los Estados Unidos de América, identifican los siguientes tipos de mercado de acuerdo al valor del IHH:</w:t>
            </w:r>
            <w:r w:rsidRPr="00C9666A">
              <w:rPr>
                <w:rStyle w:val="Refdenotaalpie"/>
                <w:rFonts w:ascii="Arial" w:hAnsi="Arial" w:cs="Arial"/>
                <w:sz w:val="18"/>
                <w:szCs w:val="18"/>
              </w:rPr>
              <w:footnoteReference w:id="20"/>
            </w:r>
          </w:p>
          <w:p w14:paraId="0B18167F" w14:textId="77777777" w:rsidR="003F065F" w:rsidRPr="00C9666A" w:rsidRDefault="003F065F" w:rsidP="00C9666A">
            <w:pPr>
              <w:pStyle w:val="Default"/>
              <w:numPr>
                <w:ilvl w:val="0"/>
                <w:numId w:val="8"/>
              </w:numPr>
              <w:spacing w:before="120" w:after="120" w:line="276" w:lineRule="auto"/>
              <w:ind w:left="714" w:hanging="357"/>
              <w:jc w:val="both"/>
              <w:rPr>
                <w:rFonts w:ascii="Arial" w:hAnsi="Arial" w:cs="Arial"/>
                <w:sz w:val="18"/>
                <w:szCs w:val="18"/>
              </w:rPr>
            </w:pPr>
            <w:r w:rsidRPr="00C9666A">
              <w:rPr>
                <w:rFonts w:ascii="Arial" w:hAnsi="Arial" w:cs="Arial"/>
                <w:sz w:val="18"/>
                <w:szCs w:val="18"/>
              </w:rPr>
              <w:t>Mercado No Concentrado: IHH &lt; 1,500 puntos;</w:t>
            </w:r>
          </w:p>
          <w:p w14:paraId="3623CB72" w14:textId="77777777" w:rsidR="003F065F" w:rsidRPr="00C9666A" w:rsidRDefault="003F065F" w:rsidP="00C9666A">
            <w:pPr>
              <w:pStyle w:val="Default"/>
              <w:numPr>
                <w:ilvl w:val="0"/>
                <w:numId w:val="8"/>
              </w:numPr>
              <w:spacing w:before="120" w:after="120" w:line="276" w:lineRule="auto"/>
              <w:ind w:left="714" w:hanging="357"/>
              <w:jc w:val="both"/>
              <w:rPr>
                <w:rFonts w:ascii="Arial" w:hAnsi="Arial" w:cs="Arial"/>
                <w:sz w:val="18"/>
                <w:szCs w:val="18"/>
              </w:rPr>
            </w:pPr>
            <w:r w:rsidRPr="00C9666A">
              <w:rPr>
                <w:rFonts w:ascii="Arial" w:hAnsi="Arial" w:cs="Arial"/>
                <w:sz w:val="18"/>
                <w:szCs w:val="18"/>
              </w:rPr>
              <w:t>Mercado Moderadamente Concentrado: 1,500 &lt; IHH &lt; 2,500 puntos;</w:t>
            </w:r>
          </w:p>
          <w:p w14:paraId="4A83A41F" w14:textId="0D2755FB" w:rsidR="003F065F" w:rsidRPr="00CC256D" w:rsidRDefault="003F065F" w:rsidP="00C9666A">
            <w:pPr>
              <w:pStyle w:val="Default"/>
              <w:numPr>
                <w:ilvl w:val="0"/>
                <w:numId w:val="8"/>
              </w:numPr>
              <w:spacing w:before="120" w:after="120" w:line="276" w:lineRule="auto"/>
              <w:ind w:right="-1"/>
              <w:jc w:val="both"/>
              <w:rPr>
                <w:rFonts w:ascii="Arial" w:hAnsi="Arial" w:cs="Arial"/>
                <w:sz w:val="18"/>
                <w:szCs w:val="18"/>
              </w:rPr>
            </w:pPr>
            <w:r w:rsidRPr="00C9666A">
              <w:rPr>
                <w:rFonts w:ascii="Arial" w:hAnsi="Arial" w:cs="Arial"/>
                <w:sz w:val="18"/>
                <w:szCs w:val="18"/>
              </w:rPr>
              <w:t>Mercado Altamente Concentrado: IHH &gt; 2,500 puntos.</w:t>
            </w:r>
          </w:p>
          <w:p w14:paraId="373C13ED" w14:textId="77777777" w:rsidR="003F065F" w:rsidRPr="00C9666A" w:rsidRDefault="003F065F" w:rsidP="00C9666A">
            <w:pPr>
              <w:pStyle w:val="Default"/>
              <w:spacing w:before="120" w:after="120" w:line="276" w:lineRule="auto"/>
              <w:ind w:right="-1"/>
              <w:jc w:val="both"/>
              <w:rPr>
                <w:rFonts w:ascii="Arial" w:hAnsi="Arial" w:cs="Arial"/>
                <w:sz w:val="18"/>
                <w:szCs w:val="18"/>
              </w:rPr>
            </w:pPr>
            <w:r w:rsidRPr="00C9666A">
              <w:rPr>
                <w:rFonts w:ascii="Arial" w:hAnsi="Arial" w:cs="Arial"/>
                <w:sz w:val="18"/>
                <w:szCs w:val="18"/>
              </w:rPr>
              <w:t xml:space="preserve">Asimismo, el </w:t>
            </w:r>
            <w:r w:rsidRPr="00C9666A">
              <w:rPr>
                <w:rFonts w:ascii="Arial" w:hAnsi="Arial" w:cs="Arial"/>
                <w:i/>
                <w:sz w:val="18"/>
                <w:szCs w:val="18"/>
              </w:rPr>
              <w:t>DOJ</w:t>
            </w:r>
            <w:r w:rsidRPr="00C9666A">
              <w:rPr>
                <w:rFonts w:ascii="Arial" w:hAnsi="Arial" w:cs="Arial"/>
                <w:sz w:val="18"/>
                <w:szCs w:val="18"/>
              </w:rPr>
              <w:t xml:space="preserve"> y la </w:t>
            </w:r>
            <w:r w:rsidRPr="00C9666A">
              <w:rPr>
                <w:rFonts w:ascii="Arial" w:hAnsi="Arial" w:cs="Arial"/>
                <w:i/>
                <w:sz w:val="18"/>
                <w:szCs w:val="18"/>
              </w:rPr>
              <w:t>FTC</w:t>
            </w:r>
            <w:r w:rsidRPr="00C9666A">
              <w:rPr>
                <w:rFonts w:ascii="Arial" w:hAnsi="Arial" w:cs="Arial"/>
                <w:sz w:val="18"/>
                <w:szCs w:val="18"/>
              </w:rPr>
              <w:t xml:space="preserve"> señalan los siguientes estándares generales para el análisis de las concentraciones:</w:t>
            </w:r>
            <w:r w:rsidRPr="00C9666A">
              <w:rPr>
                <w:rStyle w:val="Refdenotaalpie"/>
                <w:rFonts w:ascii="Arial" w:hAnsi="Arial" w:cs="Arial"/>
                <w:sz w:val="18"/>
                <w:szCs w:val="18"/>
              </w:rPr>
              <w:footnoteReference w:id="21"/>
            </w:r>
          </w:p>
          <w:p w14:paraId="0D864B17" w14:textId="4801EC91" w:rsidR="003F065F" w:rsidRPr="00C9666A" w:rsidRDefault="003F065F" w:rsidP="00C9666A">
            <w:pPr>
              <w:pStyle w:val="Default"/>
              <w:numPr>
                <w:ilvl w:val="0"/>
                <w:numId w:val="10"/>
              </w:numPr>
              <w:spacing w:before="120" w:after="120" w:line="276" w:lineRule="auto"/>
              <w:ind w:left="714" w:hanging="357"/>
              <w:jc w:val="both"/>
              <w:rPr>
                <w:rFonts w:ascii="Arial" w:hAnsi="Arial" w:cs="Arial"/>
                <w:sz w:val="18"/>
                <w:szCs w:val="18"/>
              </w:rPr>
            </w:pPr>
            <w:r w:rsidRPr="00C9666A">
              <w:rPr>
                <w:rFonts w:ascii="Arial" w:hAnsi="Arial" w:cs="Arial"/>
                <w:i/>
                <w:sz w:val="18"/>
                <w:szCs w:val="18"/>
              </w:rPr>
              <w:lastRenderedPageBreak/>
              <w:t>Cambios pequeños en la concentración</w:t>
            </w:r>
            <w:r w:rsidRPr="00C9666A">
              <w:rPr>
                <w:rFonts w:ascii="Arial" w:hAnsi="Arial" w:cs="Arial"/>
                <w:sz w:val="18"/>
                <w:szCs w:val="18"/>
              </w:rPr>
              <w:t xml:space="preserve">: es poco probable que concentraciones con </w:t>
            </w:r>
            <m:oMath>
              <m:r>
                <m:rPr>
                  <m:sty m:val="p"/>
                </m:rPr>
                <w:rPr>
                  <w:rFonts w:ascii="Cambria Math" w:hAnsi="Cambria Math" w:cs="Arial"/>
                  <w:sz w:val="18"/>
                  <w:szCs w:val="18"/>
                </w:rPr>
                <m:t>∆IHH</m:t>
              </m:r>
              <m:r>
                <w:rPr>
                  <w:rFonts w:ascii="Cambria Math" w:eastAsiaTheme="minorEastAsia" w:hAnsi="Cambria Math" w:cs="Arial"/>
                  <w:sz w:val="18"/>
                  <w:szCs w:val="18"/>
                </w:rPr>
                <m:t>&lt;100</m:t>
              </m:r>
            </m:oMath>
            <w:r w:rsidRPr="00C9666A">
              <w:rPr>
                <w:rFonts w:ascii="Arial" w:eastAsia="Times New Roman" w:hAnsi="Arial" w:cs="Arial"/>
                <w:sz w:val="18"/>
                <w:szCs w:val="18"/>
                <w:lang w:eastAsia="es-MX"/>
              </w:rPr>
              <w:t xml:space="preserve"> </w:t>
            </w:r>
            <w:r w:rsidRPr="00C9666A">
              <w:rPr>
                <w:rFonts w:ascii="Arial" w:hAnsi="Arial" w:cs="Arial"/>
                <w:sz w:val="18"/>
                <w:szCs w:val="18"/>
              </w:rPr>
              <w:t>tengan efectos adversos a la competencia y generalmente no requieren mayor análisis;</w:t>
            </w:r>
            <w:r w:rsidRPr="00C9666A">
              <w:rPr>
                <w:rStyle w:val="Refdenotaalpie"/>
                <w:rFonts w:ascii="Arial" w:hAnsi="Arial" w:cs="Arial"/>
                <w:sz w:val="18"/>
                <w:szCs w:val="18"/>
              </w:rPr>
              <w:footnoteReference w:id="22"/>
            </w:r>
          </w:p>
          <w:p w14:paraId="73FB5D56" w14:textId="77777777" w:rsidR="003F065F" w:rsidRPr="00C9666A" w:rsidRDefault="003F065F" w:rsidP="00C9666A">
            <w:pPr>
              <w:pStyle w:val="Default"/>
              <w:numPr>
                <w:ilvl w:val="0"/>
                <w:numId w:val="10"/>
              </w:numPr>
              <w:spacing w:before="120" w:after="120" w:line="276" w:lineRule="auto"/>
              <w:ind w:left="714" w:hanging="357"/>
              <w:jc w:val="both"/>
              <w:rPr>
                <w:rFonts w:ascii="Arial" w:hAnsi="Arial" w:cs="Arial"/>
                <w:sz w:val="18"/>
                <w:szCs w:val="18"/>
              </w:rPr>
            </w:pPr>
            <w:r w:rsidRPr="00C9666A">
              <w:rPr>
                <w:rFonts w:ascii="Arial" w:hAnsi="Arial" w:cs="Arial"/>
                <w:i/>
                <w:sz w:val="18"/>
                <w:szCs w:val="18"/>
              </w:rPr>
              <w:t>Mercados no concentrados</w:t>
            </w:r>
            <w:r w:rsidRPr="00C9666A">
              <w:rPr>
                <w:rFonts w:ascii="Arial" w:hAnsi="Arial" w:cs="Arial"/>
                <w:sz w:val="18"/>
                <w:szCs w:val="18"/>
              </w:rPr>
              <w:t>: es poco probable que concentraciones con un IHH &lt; 1,500 tengan efectos adversos a la competencia y generalmente no requieren mayor análisis;</w:t>
            </w:r>
          </w:p>
          <w:p w14:paraId="0D389DFD" w14:textId="2F95F7C8" w:rsidR="003F065F" w:rsidRPr="00C9666A" w:rsidRDefault="003F065F" w:rsidP="00C9666A">
            <w:pPr>
              <w:pStyle w:val="Default"/>
              <w:numPr>
                <w:ilvl w:val="0"/>
                <w:numId w:val="10"/>
              </w:numPr>
              <w:spacing w:before="120" w:after="120" w:line="276" w:lineRule="auto"/>
              <w:ind w:left="714" w:hanging="357"/>
              <w:jc w:val="both"/>
              <w:rPr>
                <w:rFonts w:ascii="Arial" w:hAnsi="Arial" w:cs="Arial"/>
                <w:sz w:val="18"/>
                <w:szCs w:val="18"/>
              </w:rPr>
            </w:pPr>
            <w:r w:rsidRPr="00C9666A">
              <w:rPr>
                <w:rFonts w:ascii="Arial" w:hAnsi="Arial" w:cs="Arial"/>
                <w:i/>
                <w:sz w:val="18"/>
                <w:szCs w:val="18"/>
              </w:rPr>
              <w:t>Mercados moderadamente concentrados</w:t>
            </w:r>
            <w:r w:rsidRPr="00C9666A">
              <w:rPr>
                <w:rFonts w:ascii="Arial" w:hAnsi="Arial" w:cs="Arial"/>
                <w:sz w:val="18"/>
                <w:szCs w:val="18"/>
              </w:rPr>
              <w:t xml:space="preserve">: concentraciones con </w:t>
            </w:r>
            <w:r w:rsidRPr="00C9666A">
              <w:rPr>
                <w:rFonts w:ascii="Arial" w:hAnsi="Arial" w:cs="Arial"/>
                <w:b/>
                <w:sz w:val="18"/>
                <w:szCs w:val="18"/>
              </w:rPr>
              <w:t>1,500 &lt; IHH &lt; 2,500</w:t>
            </w:r>
            <w:r w:rsidRPr="00C9666A">
              <w:rPr>
                <w:rFonts w:ascii="Arial" w:hAnsi="Arial" w:cs="Arial"/>
                <w:sz w:val="18"/>
                <w:szCs w:val="18"/>
              </w:rPr>
              <w:t xml:space="preserve"> y que involucran un </w:t>
            </w:r>
            <m:oMath>
              <m:r>
                <m:rPr>
                  <m:sty m:val="b"/>
                </m:rPr>
                <w:rPr>
                  <w:rFonts w:ascii="Cambria Math" w:hAnsi="Cambria Math" w:cs="Arial"/>
                  <w:sz w:val="18"/>
                  <w:szCs w:val="18"/>
                </w:rPr>
                <m:t>∆IHH</m:t>
              </m:r>
              <m:r>
                <m:rPr>
                  <m:sty m:val="bi"/>
                </m:rPr>
                <w:rPr>
                  <w:rFonts w:ascii="Cambria Math" w:eastAsiaTheme="minorEastAsia" w:hAnsi="Cambria Math" w:cs="Arial"/>
                  <w:sz w:val="18"/>
                  <w:szCs w:val="18"/>
                </w:rPr>
                <m:t>&gt;100</m:t>
              </m:r>
            </m:oMath>
            <w:r w:rsidRPr="00C9666A">
              <w:rPr>
                <w:rFonts w:ascii="Arial" w:hAnsi="Arial" w:cs="Arial"/>
                <w:sz w:val="18"/>
                <w:szCs w:val="18"/>
              </w:rPr>
              <w:t>, potencialmente originan problemas de competencia y frecuentemente requieren escrutinio; y</w:t>
            </w:r>
          </w:p>
          <w:p w14:paraId="50119C32" w14:textId="54E10C80" w:rsidR="003F065F" w:rsidRPr="00C9666A" w:rsidRDefault="003F065F" w:rsidP="00C9666A">
            <w:pPr>
              <w:pStyle w:val="Default"/>
              <w:numPr>
                <w:ilvl w:val="0"/>
                <w:numId w:val="10"/>
              </w:numPr>
              <w:spacing w:before="120" w:after="120" w:line="276" w:lineRule="auto"/>
              <w:ind w:right="-1"/>
              <w:jc w:val="both"/>
              <w:rPr>
                <w:rFonts w:ascii="Arial" w:eastAsia="Times New Roman" w:hAnsi="Arial" w:cs="Arial"/>
                <w:sz w:val="18"/>
                <w:szCs w:val="18"/>
                <w:lang w:eastAsia="es-MX"/>
              </w:rPr>
            </w:pPr>
            <w:r w:rsidRPr="00C9666A">
              <w:rPr>
                <w:rFonts w:ascii="Arial" w:hAnsi="Arial" w:cs="Arial"/>
                <w:i/>
                <w:sz w:val="18"/>
                <w:szCs w:val="18"/>
              </w:rPr>
              <w:t>Mercados altamente concentrados</w:t>
            </w:r>
            <w:r w:rsidRPr="00C9666A">
              <w:rPr>
                <w:rFonts w:ascii="Arial" w:hAnsi="Arial" w:cs="Arial"/>
                <w:sz w:val="18"/>
                <w:szCs w:val="18"/>
              </w:rPr>
              <w:t xml:space="preserve">: concentraciones con un </w:t>
            </w:r>
            <w:r w:rsidRPr="00C9666A">
              <w:rPr>
                <w:rFonts w:ascii="Arial" w:hAnsi="Arial" w:cs="Arial"/>
                <w:b/>
                <w:sz w:val="18"/>
                <w:szCs w:val="18"/>
              </w:rPr>
              <w:t>IHH &gt; 2,500</w:t>
            </w:r>
            <w:r w:rsidRPr="00C9666A">
              <w:rPr>
                <w:rFonts w:ascii="Arial" w:hAnsi="Arial" w:cs="Arial"/>
                <w:sz w:val="18"/>
                <w:szCs w:val="18"/>
              </w:rPr>
              <w:t xml:space="preserve"> y que involucran un </w:t>
            </w:r>
            <m:oMath>
              <m:r>
                <m:rPr>
                  <m:sty m:val="p"/>
                </m:rPr>
                <w:rPr>
                  <w:rFonts w:ascii="Cambria Math" w:hAnsi="Cambria Math" w:cs="Arial"/>
                  <w:sz w:val="18"/>
                  <w:szCs w:val="18"/>
                </w:rPr>
                <m:t>∆IHH</m:t>
              </m:r>
            </m:oMath>
            <w:r w:rsidRPr="00C9666A">
              <w:rPr>
                <w:rFonts w:ascii="Arial" w:hAnsi="Arial" w:cs="Arial"/>
                <w:sz w:val="18"/>
                <w:szCs w:val="18"/>
              </w:rPr>
              <w:t xml:space="preserve"> entre 100 y 200, potencialmente originarían problemas de competencia y frecuentemente requieren escrutinio. Se presumirá que concentraciones con un IHH &gt; 2,500 y que involucran un </w:t>
            </w:r>
            <m:oMath>
              <m:r>
                <m:rPr>
                  <m:sty m:val="p"/>
                </m:rPr>
                <w:rPr>
                  <w:rFonts w:ascii="Cambria Math" w:hAnsi="Cambria Math" w:cs="Arial"/>
                  <w:sz w:val="18"/>
                  <w:szCs w:val="18"/>
                </w:rPr>
                <m:t>∆IHH&gt;</m:t>
              </m:r>
              <m:r>
                <w:rPr>
                  <w:rFonts w:ascii="Cambria Math" w:eastAsiaTheme="minorEastAsia" w:hAnsi="Cambria Math" w:cs="Arial"/>
                  <w:sz w:val="18"/>
                  <w:szCs w:val="18"/>
                </w:rPr>
                <m:t>200</m:t>
              </m:r>
            </m:oMath>
            <w:r w:rsidRPr="00C9666A">
              <w:rPr>
                <w:rFonts w:ascii="Arial" w:hAnsi="Arial" w:cs="Arial"/>
                <w:sz w:val="18"/>
                <w:szCs w:val="18"/>
              </w:rPr>
              <w:t>, probablemente aumenten el poder de mercado.</w:t>
            </w:r>
          </w:p>
        </w:tc>
      </w:tr>
      <w:tr w:rsidR="00EB63CB" w:rsidRPr="00C9666A" w14:paraId="53166671" w14:textId="77777777" w:rsidTr="000E0124">
        <w:trPr>
          <w:jc w:val="center"/>
        </w:trPr>
        <w:tc>
          <w:tcPr>
            <w:tcW w:w="1852" w:type="dxa"/>
          </w:tcPr>
          <w:p w14:paraId="38FC067A" w14:textId="77777777"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Chile</w:t>
            </w:r>
          </w:p>
          <w:p w14:paraId="379137F5" w14:textId="77777777"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(FNE)</w:t>
            </w:r>
          </w:p>
        </w:tc>
        <w:tc>
          <w:tcPr>
            <w:tcW w:w="7493" w:type="dxa"/>
          </w:tcPr>
          <w:p w14:paraId="37DA2762" w14:textId="061C7769" w:rsidR="00EB63CB" w:rsidRPr="00C9666A" w:rsidRDefault="00EB63CB" w:rsidP="00C9666A">
            <w:pPr>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 </w:t>
            </w:r>
            <w:r w:rsidR="00551741" w:rsidRPr="00C9666A">
              <w:rPr>
                <w:rFonts w:ascii="Arial" w:eastAsia="Times New Roman" w:hAnsi="Arial" w:cs="Arial"/>
                <w:color w:val="000000"/>
                <w:sz w:val="18"/>
                <w:szCs w:val="18"/>
                <w:lang w:eastAsia="es-MX"/>
              </w:rPr>
              <w:t>Fiscalía Nacional Económica de Chile (</w:t>
            </w:r>
            <w:r w:rsidRPr="00C9666A">
              <w:rPr>
                <w:rFonts w:ascii="Arial" w:eastAsia="Times New Roman" w:hAnsi="Arial" w:cs="Arial"/>
                <w:color w:val="000000"/>
                <w:sz w:val="18"/>
                <w:szCs w:val="18"/>
                <w:lang w:eastAsia="es-MX"/>
              </w:rPr>
              <w:t>FNE</w:t>
            </w:r>
            <w:r w:rsidR="00551741" w:rsidRPr="00C9666A">
              <w:rPr>
                <w:rFonts w:ascii="Arial" w:eastAsia="Times New Roman" w:hAnsi="Arial" w:cs="Arial"/>
                <w:color w:val="000000"/>
                <w:sz w:val="18"/>
                <w:szCs w:val="18"/>
                <w:lang w:eastAsia="es-MX"/>
              </w:rPr>
              <w:t>)</w:t>
            </w:r>
            <w:r w:rsidRPr="00C9666A">
              <w:rPr>
                <w:rFonts w:ascii="Arial" w:eastAsia="Times New Roman" w:hAnsi="Arial" w:cs="Arial"/>
                <w:color w:val="000000"/>
                <w:sz w:val="18"/>
                <w:szCs w:val="18"/>
                <w:lang w:eastAsia="es-MX"/>
              </w:rPr>
              <w:t xml:space="preserve"> presume que las concentraciones que no sobrepasan un determinado umbral tienen un escaso potencial anticompetitivo. En consecuencia, la FNE descartará un mayor análisis:</w:t>
            </w:r>
            <w:r w:rsidR="00551741" w:rsidRPr="00C9666A">
              <w:rPr>
                <w:rStyle w:val="Refdenotaalpie"/>
                <w:rFonts w:ascii="Arial" w:eastAsia="Times New Roman" w:hAnsi="Arial" w:cs="Arial"/>
                <w:color w:val="000000"/>
                <w:sz w:val="18"/>
                <w:szCs w:val="18"/>
                <w:lang w:eastAsia="es-MX"/>
              </w:rPr>
              <w:footnoteReference w:id="23"/>
            </w:r>
          </w:p>
          <w:p w14:paraId="4725A2E8" w14:textId="77777777" w:rsidR="00EB63CB" w:rsidRPr="00C9666A" w:rsidRDefault="00EB63CB" w:rsidP="00C9666A">
            <w:pPr>
              <w:pStyle w:val="Prrafodelista"/>
              <w:numPr>
                <w:ilvl w:val="0"/>
                <w:numId w:val="1"/>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Si posterior a la operación,</w:t>
            </w:r>
            <w:r w:rsidR="00E2534D" w:rsidRPr="00C9666A">
              <w:rPr>
                <w:rFonts w:ascii="Arial" w:eastAsia="Times New Roman" w:hAnsi="Arial" w:cs="Arial"/>
                <w:color w:val="000000"/>
                <w:sz w:val="18"/>
                <w:szCs w:val="18"/>
                <w:lang w:eastAsia="es-MX"/>
              </w:rPr>
              <w:t xml:space="preserve"> el</w:t>
            </w:r>
            <w:r w:rsidRPr="00C9666A">
              <w:rPr>
                <w:rFonts w:ascii="Arial" w:eastAsia="Times New Roman" w:hAnsi="Arial" w:cs="Arial"/>
                <w:color w:val="000000"/>
                <w:sz w:val="18"/>
                <w:szCs w:val="18"/>
                <w:lang w:eastAsia="es-MX"/>
              </w:rPr>
              <w:t xml:space="preserve">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&lt; 1,500</w:t>
            </w:r>
            <w:r w:rsidR="00551741" w:rsidRPr="00C9666A">
              <w:rPr>
                <w:rFonts w:ascii="Arial" w:eastAsia="Times New Roman" w:hAnsi="Arial" w:cs="Arial"/>
                <w:color w:val="000000"/>
                <w:sz w:val="18"/>
                <w:szCs w:val="18"/>
                <w:lang w:eastAsia="es-MX"/>
              </w:rPr>
              <w:t xml:space="preserve"> puntos</w:t>
            </w:r>
            <w:r w:rsidRPr="00C9666A">
              <w:rPr>
                <w:rFonts w:ascii="Arial" w:eastAsia="Times New Roman" w:hAnsi="Arial" w:cs="Arial"/>
                <w:color w:val="000000"/>
                <w:sz w:val="18"/>
                <w:szCs w:val="18"/>
                <w:lang w:eastAsia="es-MX"/>
              </w:rPr>
              <w:t>;</w:t>
            </w:r>
          </w:p>
          <w:p w14:paraId="09E782FD" w14:textId="0A70DDA7" w:rsidR="00EB63CB" w:rsidRPr="00C9666A" w:rsidRDefault="00EB63CB" w:rsidP="00C9666A">
            <w:pPr>
              <w:pStyle w:val="Prrafodelista"/>
              <w:numPr>
                <w:ilvl w:val="0"/>
                <w:numId w:val="1"/>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Si 1,500 &lt;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&lt; 2,500 </w:t>
            </w:r>
            <w:r w:rsidR="00551741" w:rsidRPr="00C9666A">
              <w:rPr>
                <w:rFonts w:ascii="Arial" w:eastAsia="Times New Roman" w:hAnsi="Arial" w:cs="Arial"/>
                <w:color w:val="000000"/>
                <w:sz w:val="18"/>
                <w:szCs w:val="18"/>
                <w:lang w:eastAsia="es-MX"/>
              </w:rPr>
              <w:t xml:space="preserve">puntos </w:t>
            </w:r>
            <w:r w:rsidRPr="00C9666A">
              <w:rPr>
                <w:rFonts w:ascii="Arial" w:eastAsia="Times New Roman" w:hAnsi="Arial" w:cs="Arial"/>
                <w:color w:val="000000"/>
                <w:sz w:val="18"/>
                <w:szCs w:val="18"/>
                <w:lang w:eastAsia="es-MX"/>
              </w:rPr>
              <w:t>(mercado moderadamente concentrado) y Δ</w:t>
            </w:r>
            <w:r w:rsidR="00501345" w:rsidRPr="00C9666A">
              <w:rPr>
                <w:rFonts w:ascii="Arial" w:eastAsia="Times New Roman" w:hAnsi="Arial" w:cs="Arial"/>
                <w:color w:val="000000"/>
                <w:sz w:val="18"/>
                <w:szCs w:val="18"/>
                <w:lang w:eastAsia="es-MX"/>
              </w:rPr>
              <w:t>I</w:t>
            </w:r>
            <w:r w:rsidRPr="00C9666A">
              <w:rPr>
                <w:rFonts w:ascii="Arial" w:eastAsia="Times New Roman" w:hAnsi="Arial" w:cs="Arial"/>
                <w:color w:val="000000"/>
                <w:sz w:val="18"/>
                <w:szCs w:val="18"/>
                <w:lang w:eastAsia="es-MX"/>
              </w:rPr>
              <w:t>HH &lt; 200</w:t>
            </w:r>
            <w:r w:rsidR="00551741" w:rsidRPr="00C9666A">
              <w:rPr>
                <w:rFonts w:ascii="Arial" w:eastAsia="Times New Roman" w:hAnsi="Arial" w:cs="Arial"/>
                <w:color w:val="000000"/>
                <w:sz w:val="18"/>
                <w:szCs w:val="18"/>
                <w:lang w:eastAsia="es-MX"/>
              </w:rPr>
              <w:t xml:space="preserve"> puntos</w:t>
            </w:r>
            <w:r w:rsidRPr="00C9666A">
              <w:rPr>
                <w:rFonts w:ascii="Arial" w:eastAsia="Times New Roman" w:hAnsi="Arial" w:cs="Arial"/>
                <w:color w:val="000000"/>
                <w:sz w:val="18"/>
                <w:szCs w:val="18"/>
                <w:lang w:eastAsia="es-MX"/>
              </w:rPr>
              <w:t>; y</w:t>
            </w:r>
          </w:p>
          <w:p w14:paraId="3043BA5C" w14:textId="4DD65319" w:rsidR="00EB63CB" w:rsidRPr="00CC256D" w:rsidRDefault="00EB63CB" w:rsidP="00C9666A">
            <w:pPr>
              <w:pStyle w:val="Prrafodelista"/>
              <w:numPr>
                <w:ilvl w:val="0"/>
                <w:numId w:val="1"/>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Si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&gt; 2,500 </w:t>
            </w:r>
            <w:r w:rsidR="00551741" w:rsidRPr="00C9666A">
              <w:rPr>
                <w:rFonts w:ascii="Arial" w:eastAsia="Times New Roman" w:hAnsi="Arial" w:cs="Arial"/>
                <w:color w:val="000000"/>
                <w:sz w:val="18"/>
                <w:szCs w:val="18"/>
                <w:lang w:eastAsia="es-MX"/>
              </w:rPr>
              <w:t xml:space="preserve">puntos </w:t>
            </w:r>
            <w:r w:rsidRPr="00C9666A">
              <w:rPr>
                <w:rFonts w:ascii="Arial" w:eastAsia="Times New Roman" w:hAnsi="Arial" w:cs="Arial"/>
                <w:color w:val="000000"/>
                <w:sz w:val="18"/>
                <w:szCs w:val="18"/>
                <w:lang w:eastAsia="es-MX"/>
              </w:rPr>
              <w:t>(mercado altamente concentrado) y Δ</w:t>
            </w:r>
            <w:r w:rsidR="00501345" w:rsidRPr="00C9666A">
              <w:rPr>
                <w:rFonts w:ascii="Arial" w:eastAsia="Times New Roman" w:hAnsi="Arial" w:cs="Arial"/>
                <w:color w:val="000000"/>
                <w:sz w:val="18"/>
                <w:szCs w:val="18"/>
                <w:lang w:eastAsia="es-MX"/>
              </w:rPr>
              <w:t>I</w:t>
            </w:r>
            <w:r w:rsidRPr="00C9666A">
              <w:rPr>
                <w:rFonts w:ascii="Arial" w:eastAsia="Times New Roman" w:hAnsi="Arial" w:cs="Arial"/>
                <w:color w:val="000000"/>
                <w:sz w:val="18"/>
                <w:szCs w:val="18"/>
                <w:lang w:eastAsia="es-MX"/>
              </w:rPr>
              <w:t>HH &lt; 100</w:t>
            </w:r>
            <w:r w:rsidR="00551741" w:rsidRPr="00C9666A">
              <w:rPr>
                <w:rFonts w:ascii="Arial" w:eastAsia="Times New Roman" w:hAnsi="Arial" w:cs="Arial"/>
                <w:color w:val="000000"/>
                <w:sz w:val="18"/>
                <w:szCs w:val="18"/>
                <w:lang w:eastAsia="es-MX"/>
              </w:rPr>
              <w:t xml:space="preserve"> puntos</w:t>
            </w:r>
            <w:r w:rsidRPr="00C9666A">
              <w:rPr>
                <w:rFonts w:ascii="Arial" w:eastAsia="Times New Roman" w:hAnsi="Arial" w:cs="Arial"/>
                <w:color w:val="000000"/>
                <w:sz w:val="18"/>
                <w:szCs w:val="18"/>
                <w:lang w:eastAsia="es-MX"/>
              </w:rPr>
              <w:t>.</w:t>
            </w:r>
          </w:p>
          <w:p w14:paraId="141BD584" w14:textId="511B0AA9" w:rsidR="00EB63CB" w:rsidRPr="00C9666A" w:rsidRDefault="00EB63CB" w:rsidP="00C9666A">
            <w:pPr>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 FNE analizará con </w:t>
            </w:r>
            <w:r w:rsidR="00E2534D" w:rsidRPr="00C9666A">
              <w:rPr>
                <w:rFonts w:ascii="Arial" w:eastAsia="Times New Roman" w:hAnsi="Arial" w:cs="Arial"/>
                <w:color w:val="000000"/>
                <w:sz w:val="18"/>
                <w:szCs w:val="18"/>
                <w:lang w:eastAsia="es-MX"/>
              </w:rPr>
              <w:t>profundidad</w:t>
            </w:r>
            <w:r w:rsidRPr="00C9666A">
              <w:rPr>
                <w:rFonts w:ascii="Arial" w:eastAsia="Times New Roman" w:hAnsi="Arial" w:cs="Arial"/>
                <w:color w:val="000000"/>
                <w:sz w:val="18"/>
                <w:szCs w:val="18"/>
                <w:lang w:eastAsia="es-MX"/>
              </w:rPr>
              <w:t xml:space="preserve"> las operaciones que sobrepasen dichos umbrales.</w:t>
            </w:r>
          </w:p>
          <w:p w14:paraId="07E2C9AC" w14:textId="631307B4" w:rsidR="00EB63CB" w:rsidRPr="00C9666A" w:rsidRDefault="00EB63CB" w:rsidP="00C9666A">
            <w:pPr>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Aun cuando una concentración cumpla con los umbrales anteriores, la FNE podrá analizarla detenidamente cuando concurran circunstancias especiales, tales como:</w:t>
            </w:r>
          </w:p>
          <w:p w14:paraId="225F8ACD" w14:textId="77777777" w:rsidR="00EB63CB" w:rsidRPr="00C9666A" w:rsidRDefault="00EB63CB" w:rsidP="00C9666A">
            <w:pPr>
              <w:pStyle w:val="Prrafodelista"/>
              <w:numPr>
                <w:ilvl w:val="0"/>
                <w:numId w:val="15"/>
              </w:numPr>
              <w:autoSpaceDE w:val="0"/>
              <w:autoSpaceDN w:val="0"/>
              <w:adjustRightInd w:val="0"/>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Que una de las partes involucradas en la operación sea un competidor potencial, o un actor recién ingresado, con una cuota de mercado pequeña que no necesariamente refleje su participación potencial en un futuro razonablemente previsible; </w:t>
            </w:r>
          </w:p>
          <w:p w14:paraId="465CA09B" w14:textId="77777777" w:rsidR="00EB63CB" w:rsidRPr="00C9666A" w:rsidRDefault="00EB63CB" w:rsidP="00C9666A">
            <w:pPr>
              <w:pStyle w:val="Prrafodelista"/>
              <w:numPr>
                <w:ilvl w:val="0"/>
                <w:numId w:val="15"/>
              </w:numPr>
              <w:autoSpaceDE w:val="0"/>
              <w:autoSpaceDN w:val="0"/>
              <w:adjustRightInd w:val="0"/>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Que alguna de las partes de la concentración sea un innovador importante o un competidor especialmente retador (</w:t>
            </w:r>
            <w:proofErr w:type="spellStart"/>
            <w:r w:rsidRPr="00C9666A">
              <w:rPr>
                <w:rFonts w:ascii="Arial" w:eastAsia="Times New Roman" w:hAnsi="Arial" w:cs="Arial"/>
                <w:i/>
                <w:color w:val="000000"/>
                <w:sz w:val="18"/>
                <w:szCs w:val="18"/>
                <w:lang w:eastAsia="es-MX"/>
              </w:rPr>
              <w:t>maverick</w:t>
            </w:r>
            <w:proofErr w:type="spellEnd"/>
            <w:r w:rsidRPr="00C9666A">
              <w:rPr>
                <w:rFonts w:ascii="Arial" w:eastAsia="Times New Roman" w:hAnsi="Arial" w:cs="Arial"/>
                <w:color w:val="000000"/>
                <w:sz w:val="18"/>
                <w:szCs w:val="18"/>
                <w:lang w:eastAsia="es-MX"/>
              </w:rPr>
              <w:t xml:space="preserve">) e independiente, en un sentido que no se refleje en las cuotas de mercado; o, </w:t>
            </w:r>
          </w:p>
          <w:p w14:paraId="6A8A34BF" w14:textId="77777777" w:rsidR="00EB63CB" w:rsidRPr="00C9666A" w:rsidRDefault="00EB63CB" w:rsidP="00C9666A">
            <w:pPr>
              <w:pStyle w:val="Prrafodelista"/>
              <w:numPr>
                <w:ilvl w:val="0"/>
                <w:numId w:val="15"/>
              </w:numPr>
              <w:autoSpaceDE w:val="0"/>
              <w:autoSpaceDN w:val="0"/>
              <w:adjustRightInd w:val="0"/>
              <w:spacing w:before="120" w:after="120" w:line="276" w:lineRule="auto"/>
              <w:ind w:left="600" w:hanging="425"/>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Que haya indicios actuales de coordinación, o los haya habido en el pasado reciente. </w:t>
            </w:r>
          </w:p>
        </w:tc>
      </w:tr>
      <w:tr w:rsidR="00EB63CB" w:rsidRPr="00C9666A" w14:paraId="5DDE6CFA" w14:textId="77777777" w:rsidTr="000E0124">
        <w:trPr>
          <w:jc w:val="center"/>
        </w:trPr>
        <w:tc>
          <w:tcPr>
            <w:tcW w:w="1852" w:type="dxa"/>
          </w:tcPr>
          <w:p w14:paraId="1D64DBD6" w14:textId="77777777" w:rsidR="00551741"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Irlanda</w:t>
            </w:r>
          </w:p>
          <w:p w14:paraId="415271F7" w14:textId="77777777" w:rsidR="00EB63CB" w:rsidRPr="00C9666A" w:rsidRDefault="00551741"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(CCPC)</w:t>
            </w:r>
          </w:p>
        </w:tc>
        <w:tc>
          <w:tcPr>
            <w:tcW w:w="7493" w:type="dxa"/>
          </w:tcPr>
          <w:p w14:paraId="58A03B6F" w14:textId="4C9E79B9" w:rsidR="00EB63CB" w:rsidRPr="00C9666A" w:rsidRDefault="00EB63CB" w:rsidP="00CC256D">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 </w:t>
            </w:r>
            <w:r w:rsidR="00551741" w:rsidRPr="00C9666A">
              <w:rPr>
                <w:rFonts w:ascii="Arial" w:eastAsia="Times New Roman" w:hAnsi="Arial" w:cs="Arial"/>
                <w:color w:val="000000"/>
                <w:sz w:val="18"/>
                <w:szCs w:val="18"/>
                <w:lang w:eastAsia="es-MX"/>
              </w:rPr>
              <w:t xml:space="preserve">CCPC (del inglés </w:t>
            </w:r>
            <w:proofErr w:type="spellStart"/>
            <w:r w:rsidR="00551741" w:rsidRPr="00C9666A">
              <w:rPr>
                <w:rFonts w:ascii="Arial" w:eastAsia="Times New Roman" w:hAnsi="Arial" w:cs="Arial"/>
                <w:i/>
                <w:color w:val="000000"/>
                <w:sz w:val="18"/>
                <w:szCs w:val="18"/>
                <w:lang w:eastAsia="es-MX"/>
              </w:rPr>
              <w:t>Competition</w:t>
            </w:r>
            <w:proofErr w:type="spellEnd"/>
            <w:r w:rsidR="00551741" w:rsidRPr="00C9666A">
              <w:rPr>
                <w:rFonts w:ascii="Arial" w:eastAsia="Times New Roman" w:hAnsi="Arial" w:cs="Arial"/>
                <w:i/>
                <w:color w:val="000000"/>
                <w:sz w:val="18"/>
                <w:szCs w:val="18"/>
                <w:lang w:eastAsia="es-MX"/>
              </w:rPr>
              <w:t xml:space="preserve"> and </w:t>
            </w:r>
            <w:proofErr w:type="spellStart"/>
            <w:r w:rsidR="00BC3853" w:rsidRPr="00C9666A">
              <w:rPr>
                <w:rFonts w:ascii="Arial" w:eastAsia="Times New Roman" w:hAnsi="Arial" w:cs="Arial"/>
                <w:i/>
                <w:color w:val="000000"/>
                <w:sz w:val="18"/>
                <w:szCs w:val="18"/>
                <w:lang w:eastAsia="es-MX"/>
              </w:rPr>
              <w:t>Consumer</w:t>
            </w:r>
            <w:proofErr w:type="spellEnd"/>
            <w:r w:rsidR="00BC3853" w:rsidRPr="00C9666A">
              <w:rPr>
                <w:rFonts w:ascii="Arial" w:eastAsia="Times New Roman" w:hAnsi="Arial" w:cs="Arial"/>
                <w:i/>
                <w:color w:val="000000"/>
                <w:sz w:val="18"/>
                <w:szCs w:val="18"/>
                <w:lang w:eastAsia="es-MX"/>
              </w:rPr>
              <w:t xml:space="preserve"> </w:t>
            </w:r>
            <w:proofErr w:type="spellStart"/>
            <w:r w:rsidR="00BC3853" w:rsidRPr="00C9666A">
              <w:rPr>
                <w:rFonts w:ascii="Arial" w:eastAsia="Times New Roman" w:hAnsi="Arial" w:cs="Arial"/>
                <w:i/>
                <w:color w:val="000000"/>
                <w:sz w:val="18"/>
                <w:szCs w:val="18"/>
                <w:lang w:eastAsia="es-MX"/>
              </w:rPr>
              <w:t>Protection</w:t>
            </w:r>
            <w:proofErr w:type="spellEnd"/>
            <w:r w:rsidR="00BC3853" w:rsidRPr="00C9666A">
              <w:rPr>
                <w:rFonts w:ascii="Arial" w:eastAsia="Times New Roman" w:hAnsi="Arial" w:cs="Arial"/>
                <w:i/>
                <w:color w:val="000000"/>
                <w:sz w:val="18"/>
                <w:szCs w:val="18"/>
                <w:lang w:eastAsia="es-MX"/>
              </w:rPr>
              <w:t xml:space="preserve"> </w:t>
            </w:r>
            <w:proofErr w:type="spellStart"/>
            <w:r w:rsidR="00BC3853" w:rsidRPr="00C9666A">
              <w:rPr>
                <w:rFonts w:ascii="Arial" w:eastAsia="Times New Roman" w:hAnsi="Arial" w:cs="Arial"/>
                <w:i/>
                <w:color w:val="000000"/>
                <w:sz w:val="18"/>
                <w:szCs w:val="18"/>
                <w:lang w:eastAsia="es-MX"/>
              </w:rPr>
              <w:t>Commission</w:t>
            </w:r>
            <w:proofErr w:type="spellEnd"/>
            <w:r w:rsidR="00551741" w:rsidRPr="00C9666A">
              <w:rPr>
                <w:rFonts w:ascii="Arial" w:eastAsia="Times New Roman" w:hAnsi="Arial" w:cs="Arial"/>
                <w:color w:val="000000"/>
                <w:sz w:val="18"/>
                <w:szCs w:val="18"/>
                <w:lang w:eastAsia="es-MX"/>
              </w:rPr>
              <w:t xml:space="preserve">) </w:t>
            </w:r>
            <w:r w:rsidRPr="00C9666A">
              <w:rPr>
                <w:rFonts w:ascii="Arial" w:eastAsia="Times New Roman" w:hAnsi="Arial" w:cs="Arial"/>
                <w:color w:val="000000"/>
                <w:sz w:val="18"/>
                <w:szCs w:val="18"/>
                <w:lang w:eastAsia="es-MX"/>
              </w:rPr>
              <w:t>considerará que situaciones como las siguientes, después de la concentración</w:t>
            </w:r>
            <w:r w:rsidR="00551741" w:rsidRPr="00C9666A">
              <w:rPr>
                <w:rFonts w:ascii="Arial" w:eastAsia="Times New Roman" w:hAnsi="Arial" w:cs="Arial"/>
                <w:color w:val="000000"/>
                <w:sz w:val="18"/>
                <w:szCs w:val="18"/>
                <w:lang w:eastAsia="es-MX"/>
              </w:rPr>
              <w:t xml:space="preserve">, </w:t>
            </w:r>
            <w:r w:rsidR="00BC3853" w:rsidRPr="00C9666A">
              <w:rPr>
                <w:rFonts w:ascii="Arial" w:eastAsia="Times New Roman" w:hAnsi="Arial" w:cs="Arial"/>
                <w:color w:val="000000"/>
                <w:sz w:val="18"/>
                <w:szCs w:val="18"/>
                <w:lang w:eastAsia="es-MX"/>
              </w:rPr>
              <w:t xml:space="preserve">no </w:t>
            </w:r>
            <w:r w:rsidR="00551741" w:rsidRPr="00C9666A">
              <w:rPr>
                <w:rFonts w:ascii="Arial" w:eastAsia="Times New Roman" w:hAnsi="Arial" w:cs="Arial"/>
                <w:color w:val="000000"/>
                <w:sz w:val="18"/>
                <w:szCs w:val="18"/>
                <w:lang w:eastAsia="es-MX"/>
              </w:rPr>
              <w:t>causa</w:t>
            </w:r>
            <w:r w:rsidRPr="00C9666A">
              <w:rPr>
                <w:rFonts w:ascii="Arial" w:eastAsia="Times New Roman" w:hAnsi="Arial" w:cs="Arial"/>
                <w:color w:val="000000"/>
                <w:sz w:val="18"/>
                <w:szCs w:val="18"/>
                <w:lang w:eastAsia="es-MX"/>
              </w:rPr>
              <w:t xml:space="preserve">n preocupación de efectos </w:t>
            </w:r>
            <w:r w:rsidRPr="00C9666A">
              <w:rPr>
                <w:rFonts w:ascii="Arial" w:hAnsi="Arial" w:cs="Arial"/>
                <w:sz w:val="18"/>
                <w:szCs w:val="18"/>
              </w:rPr>
              <w:t>adversos a la competencia</w:t>
            </w:r>
            <w:r w:rsidRPr="00C9666A">
              <w:rPr>
                <w:rFonts w:ascii="Arial" w:eastAsia="Times New Roman" w:hAnsi="Arial" w:cs="Arial"/>
                <w:color w:val="000000"/>
                <w:sz w:val="18"/>
                <w:szCs w:val="18"/>
                <w:lang w:eastAsia="es-MX"/>
              </w:rPr>
              <w:t>:</w:t>
            </w:r>
            <w:r w:rsidR="00551741" w:rsidRPr="00C9666A">
              <w:rPr>
                <w:rStyle w:val="Refdenotaalpie"/>
                <w:rFonts w:ascii="Arial" w:eastAsia="Times New Roman" w:hAnsi="Arial" w:cs="Arial"/>
                <w:color w:val="000000"/>
                <w:sz w:val="18"/>
                <w:szCs w:val="18"/>
                <w:lang w:eastAsia="es-MX"/>
              </w:rPr>
              <w:footnoteReference w:id="24"/>
            </w:r>
          </w:p>
          <w:p w14:paraId="16150132" w14:textId="77777777" w:rsidR="00EB63CB" w:rsidRPr="00C9666A" w:rsidRDefault="00193362" w:rsidP="00C9666A">
            <w:pPr>
              <w:pStyle w:val="Prrafodelista"/>
              <w:numPr>
                <w:ilvl w:val="0"/>
                <w:numId w:val="18"/>
              </w:numPr>
              <w:autoSpaceDE w:val="0"/>
              <w:autoSpaceDN w:val="0"/>
              <w:adjustRightInd w:val="0"/>
              <w:spacing w:before="120" w:after="120" w:line="276" w:lineRule="auto"/>
              <w:ind w:left="600"/>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w:t>
            </w:r>
            <w:r w:rsidR="00EB63CB" w:rsidRPr="00C9666A">
              <w:rPr>
                <w:rFonts w:ascii="Arial" w:eastAsia="Times New Roman" w:hAnsi="Arial" w:cs="Arial"/>
                <w:color w:val="000000"/>
                <w:sz w:val="18"/>
                <w:szCs w:val="18"/>
                <w:lang w:eastAsia="es-MX"/>
              </w:rPr>
              <w:t xml:space="preserve"> &lt; 1,000</w:t>
            </w:r>
            <w:r w:rsidR="00BC3853" w:rsidRPr="00C9666A">
              <w:rPr>
                <w:rFonts w:ascii="Arial" w:eastAsia="Times New Roman" w:hAnsi="Arial" w:cs="Arial"/>
                <w:color w:val="000000"/>
                <w:sz w:val="18"/>
                <w:szCs w:val="18"/>
                <w:lang w:eastAsia="es-MX"/>
              </w:rPr>
              <w:t xml:space="preserve"> puntos</w:t>
            </w:r>
            <w:r w:rsidR="00EB63CB" w:rsidRPr="00C9666A">
              <w:rPr>
                <w:rFonts w:ascii="Arial" w:eastAsia="Times New Roman" w:hAnsi="Arial" w:cs="Arial"/>
                <w:color w:val="000000"/>
                <w:sz w:val="18"/>
                <w:szCs w:val="18"/>
                <w:lang w:eastAsia="es-MX"/>
              </w:rPr>
              <w:t>;</w:t>
            </w:r>
          </w:p>
          <w:p w14:paraId="3EDB95E9" w14:textId="0B1A8084" w:rsidR="00EB63CB" w:rsidRPr="00C9666A" w:rsidRDefault="00EB63CB" w:rsidP="00C9666A">
            <w:pPr>
              <w:pStyle w:val="Prrafodelista"/>
              <w:numPr>
                <w:ilvl w:val="0"/>
                <w:numId w:val="18"/>
              </w:numPr>
              <w:autoSpaceDE w:val="0"/>
              <w:autoSpaceDN w:val="0"/>
              <w:adjustRightInd w:val="0"/>
              <w:spacing w:before="120" w:after="120" w:line="276" w:lineRule="auto"/>
              <w:ind w:left="600"/>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 xml:space="preserve">1,000 &lt;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&lt; 2,000 y Δ</w:t>
            </w:r>
            <w:r w:rsidR="00990168" w:rsidRPr="00C9666A">
              <w:rPr>
                <w:rFonts w:ascii="Arial" w:eastAsia="Times New Roman" w:hAnsi="Arial" w:cs="Arial"/>
                <w:color w:val="000000"/>
                <w:sz w:val="18"/>
                <w:szCs w:val="18"/>
                <w:lang w:eastAsia="es-MX"/>
              </w:rPr>
              <w:t>I</w:t>
            </w:r>
            <w:r w:rsidRPr="00C9666A">
              <w:rPr>
                <w:rFonts w:ascii="Arial" w:eastAsia="Times New Roman" w:hAnsi="Arial" w:cs="Arial"/>
                <w:color w:val="000000"/>
                <w:sz w:val="18"/>
                <w:szCs w:val="18"/>
                <w:lang w:eastAsia="es-MX"/>
              </w:rPr>
              <w:t>HH &lt; 250</w:t>
            </w:r>
            <w:r w:rsidR="00BC3853" w:rsidRPr="00C9666A">
              <w:rPr>
                <w:rFonts w:ascii="Arial" w:eastAsia="Times New Roman" w:hAnsi="Arial" w:cs="Arial"/>
                <w:color w:val="000000"/>
                <w:sz w:val="18"/>
                <w:szCs w:val="18"/>
                <w:lang w:eastAsia="es-MX"/>
              </w:rPr>
              <w:t xml:space="preserve"> puntos</w:t>
            </w:r>
            <w:r w:rsidRPr="00C9666A">
              <w:rPr>
                <w:rFonts w:ascii="Arial" w:eastAsia="Times New Roman" w:hAnsi="Arial" w:cs="Arial"/>
                <w:color w:val="000000"/>
                <w:sz w:val="18"/>
                <w:szCs w:val="18"/>
                <w:lang w:eastAsia="es-MX"/>
              </w:rPr>
              <w:t>; o</w:t>
            </w:r>
          </w:p>
          <w:p w14:paraId="3190BF09" w14:textId="3C147436" w:rsidR="00EB63CB" w:rsidRPr="00CC256D" w:rsidRDefault="00193362"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w:t>
            </w:r>
            <w:r w:rsidR="00EB63CB" w:rsidRPr="00C9666A">
              <w:rPr>
                <w:rFonts w:ascii="Arial" w:eastAsia="Times New Roman" w:hAnsi="Arial" w:cs="Arial"/>
                <w:color w:val="000000"/>
                <w:sz w:val="18"/>
                <w:szCs w:val="18"/>
                <w:lang w:eastAsia="es-MX"/>
              </w:rPr>
              <w:t xml:space="preserve"> &gt; 2,000 y Δ</w:t>
            </w:r>
            <w:r w:rsidR="00990168" w:rsidRPr="00C9666A">
              <w:rPr>
                <w:rFonts w:ascii="Arial" w:eastAsia="Times New Roman" w:hAnsi="Arial" w:cs="Arial"/>
                <w:color w:val="000000"/>
                <w:sz w:val="18"/>
                <w:szCs w:val="18"/>
                <w:lang w:eastAsia="es-MX"/>
              </w:rPr>
              <w:t>I</w:t>
            </w:r>
            <w:r w:rsidR="00EB63CB" w:rsidRPr="00C9666A">
              <w:rPr>
                <w:rFonts w:ascii="Arial" w:eastAsia="Times New Roman" w:hAnsi="Arial" w:cs="Arial"/>
                <w:color w:val="000000"/>
                <w:sz w:val="18"/>
                <w:szCs w:val="18"/>
                <w:lang w:eastAsia="es-MX"/>
              </w:rPr>
              <w:t>HH &lt; 150</w:t>
            </w:r>
            <w:r w:rsidR="00BC3853" w:rsidRPr="00C9666A">
              <w:rPr>
                <w:rFonts w:ascii="Arial" w:eastAsia="Times New Roman" w:hAnsi="Arial" w:cs="Arial"/>
                <w:color w:val="000000"/>
                <w:sz w:val="18"/>
                <w:szCs w:val="18"/>
                <w:lang w:eastAsia="es-MX"/>
              </w:rPr>
              <w:t xml:space="preserve"> puntos</w:t>
            </w:r>
            <w:r w:rsidR="00EB63CB" w:rsidRPr="00C9666A">
              <w:rPr>
                <w:rFonts w:ascii="Arial" w:eastAsia="Times New Roman" w:hAnsi="Arial" w:cs="Arial"/>
                <w:color w:val="000000"/>
                <w:sz w:val="18"/>
                <w:szCs w:val="18"/>
                <w:lang w:eastAsia="es-MX"/>
              </w:rPr>
              <w:t>.</w:t>
            </w:r>
          </w:p>
          <w:p w14:paraId="51695961" w14:textId="41D9D4E3"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 Comisión </w:t>
            </w:r>
            <w:r w:rsidR="00E2534D" w:rsidRPr="00C9666A">
              <w:rPr>
                <w:rFonts w:ascii="Arial" w:eastAsia="Times New Roman" w:hAnsi="Arial" w:cs="Arial"/>
                <w:color w:val="000000"/>
                <w:sz w:val="18"/>
                <w:szCs w:val="18"/>
                <w:lang w:eastAsia="es-MX"/>
              </w:rPr>
              <w:t>emplea los siguientes elementos para identificar</w:t>
            </w:r>
            <w:r w:rsidR="00676F73" w:rsidRPr="00C9666A">
              <w:rPr>
                <w:rFonts w:ascii="Arial" w:eastAsia="Times New Roman" w:hAnsi="Arial" w:cs="Arial"/>
                <w:color w:val="000000"/>
                <w:sz w:val="18"/>
                <w:szCs w:val="18"/>
                <w:lang w:eastAsia="es-MX"/>
              </w:rPr>
              <w:t xml:space="preserve"> las situaciones que requieren un mayor análisis en materia de competencia económica</w:t>
            </w:r>
            <w:r w:rsidRPr="00C9666A">
              <w:rPr>
                <w:rFonts w:ascii="Arial" w:eastAsia="Times New Roman" w:hAnsi="Arial" w:cs="Arial"/>
                <w:color w:val="000000"/>
                <w:sz w:val="18"/>
                <w:szCs w:val="18"/>
                <w:lang w:eastAsia="es-MX"/>
              </w:rPr>
              <w:t>:</w:t>
            </w:r>
          </w:p>
          <w:p w14:paraId="5196CCC2" w14:textId="77777777" w:rsidR="00EB63CB" w:rsidRPr="00C9666A" w:rsidRDefault="00EB63CB" w:rsidP="00C9666A">
            <w:pPr>
              <w:pStyle w:val="Prrafodelista"/>
              <w:numPr>
                <w:ilvl w:val="0"/>
                <w:numId w:val="18"/>
              </w:numPr>
              <w:spacing w:before="120" w:after="120" w:line="276" w:lineRule="auto"/>
              <w:ind w:left="600"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Los clientes consideran que los productos de </w:t>
            </w:r>
            <w:r w:rsidR="00F81E40" w:rsidRPr="00C9666A">
              <w:rPr>
                <w:rFonts w:ascii="Arial" w:eastAsia="Times New Roman" w:hAnsi="Arial" w:cs="Arial"/>
                <w:color w:val="000000"/>
                <w:sz w:val="18"/>
                <w:szCs w:val="18"/>
                <w:lang w:eastAsia="es-MX"/>
              </w:rPr>
              <w:t>los participantes</w:t>
            </w:r>
            <w:r w:rsidRPr="00C9666A">
              <w:rPr>
                <w:rFonts w:ascii="Arial" w:eastAsia="Times New Roman" w:hAnsi="Arial" w:cs="Arial"/>
                <w:color w:val="000000"/>
                <w:sz w:val="18"/>
                <w:szCs w:val="18"/>
                <w:lang w:eastAsia="es-MX"/>
              </w:rPr>
              <w:t xml:space="preserve"> que se concentran son sustitutos cercanos</w:t>
            </w:r>
            <w:r w:rsidR="00E2534D" w:rsidRPr="00C9666A">
              <w:rPr>
                <w:rFonts w:ascii="Arial" w:eastAsia="Times New Roman" w:hAnsi="Arial" w:cs="Arial"/>
                <w:color w:val="000000"/>
                <w:sz w:val="18"/>
                <w:szCs w:val="18"/>
                <w:lang w:eastAsia="es-MX"/>
              </w:rPr>
              <w:t>,</w:t>
            </w:r>
          </w:p>
          <w:p w14:paraId="213A053F" w14:textId="77777777" w:rsidR="00EB63CB" w:rsidRPr="00C9666A" w:rsidRDefault="00F81E40"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Uno</w:t>
            </w:r>
            <w:r w:rsidR="00EB63CB" w:rsidRPr="00C9666A">
              <w:rPr>
                <w:rFonts w:ascii="Arial" w:eastAsia="Times New Roman" w:hAnsi="Arial" w:cs="Arial"/>
                <w:color w:val="000000"/>
                <w:sz w:val="18"/>
                <w:szCs w:val="18"/>
                <w:lang w:eastAsia="es-MX"/>
              </w:rPr>
              <w:t xml:space="preserve"> </w:t>
            </w:r>
            <w:r w:rsidRPr="00C9666A">
              <w:rPr>
                <w:rFonts w:ascii="Arial" w:eastAsia="Times New Roman" w:hAnsi="Arial" w:cs="Arial"/>
                <w:color w:val="000000"/>
                <w:sz w:val="18"/>
                <w:szCs w:val="18"/>
                <w:lang w:eastAsia="es-MX"/>
              </w:rPr>
              <w:t xml:space="preserve">de los </w:t>
            </w:r>
            <w:r w:rsidR="00EB63CB" w:rsidRPr="00C9666A">
              <w:rPr>
                <w:rFonts w:ascii="Arial" w:eastAsia="Times New Roman" w:hAnsi="Arial" w:cs="Arial"/>
                <w:color w:val="000000"/>
                <w:sz w:val="18"/>
                <w:szCs w:val="18"/>
                <w:lang w:eastAsia="es-MX"/>
              </w:rPr>
              <w:t>participantes en la concentración es una empresa disruptiva (</w:t>
            </w:r>
            <w:proofErr w:type="spellStart"/>
            <w:r w:rsidR="00EB63CB" w:rsidRPr="00C9666A">
              <w:rPr>
                <w:rFonts w:ascii="Arial" w:eastAsia="Times New Roman" w:hAnsi="Arial" w:cs="Arial"/>
                <w:i/>
                <w:color w:val="000000"/>
                <w:sz w:val="18"/>
                <w:szCs w:val="18"/>
                <w:lang w:eastAsia="es-MX"/>
              </w:rPr>
              <w:t>maverick</w:t>
            </w:r>
            <w:proofErr w:type="spellEnd"/>
            <w:r w:rsidR="00EB63CB" w:rsidRPr="00C9666A">
              <w:rPr>
                <w:rFonts w:ascii="Arial" w:eastAsia="Times New Roman" w:hAnsi="Arial" w:cs="Arial"/>
                <w:color w:val="000000"/>
                <w:sz w:val="18"/>
                <w:szCs w:val="18"/>
                <w:lang w:eastAsia="es-MX"/>
              </w:rPr>
              <w:t>),</w:t>
            </w:r>
            <w:r w:rsidR="00E2534D" w:rsidRPr="00C9666A">
              <w:rPr>
                <w:rFonts w:ascii="Arial" w:eastAsia="Times New Roman" w:hAnsi="Arial" w:cs="Arial"/>
                <w:color w:val="000000"/>
                <w:sz w:val="18"/>
                <w:szCs w:val="18"/>
                <w:lang w:eastAsia="es-MX"/>
              </w:rPr>
              <w:t xml:space="preserve"> que </w:t>
            </w:r>
            <w:r w:rsidR="00EB63CB" w:rsidRPr="00C9666A">
              <w:rPr>
                <w:rFonts w:ascii="Arial" w:eastAsia="Times New Roman" w:hAnsi="Arial" w:cs="Arial"/>
                <w:color w:val="000000"/>
                <w:sz w:val="18"/>
                <w:szCs w:val="18"/>
                <w:lang w:eastAsia="es-MX"/>
              </w:rPr>
              <w:t>ha tenido un rápido crecimiento, ha innovado y/o ha ofrecido precios menores que el resto de competidores</w:t>
            </w:r>
            <w:r w:rsidR="00E2534D" w:rsidRPr="00C9666A">
              <w:rPr>
                <w:rFonts w:ascii="Arial" w:eastAsia="Times New Roman" w:hAnsi="Arial" w:cs="Arial"/>
                <w:color w:val="000000"/>
                <w:sz w:val="18"/>
                <w:szCs w:val="18"/>
                <w:lang w:eastAsia="es-MX"/>
              </w:rPr>
              <w:t>,</w:t>
            </w:r>
          </w:p>
          <w:p w14:paraId="49E80266" w14:textId="77777777" w:rsidR="00EB63CB" w:rsidRPr="00C9666A" w:rsidRDefault="00EB63CB"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En la concentración participa un operador potencial </w:t>
            </w:r>
            <w:r w:rsidR="00E2534D" w:rsidRPr="00C9666A">
              <w:rPr>
                <w:rFonts w:ascii="Arial" w:eastAsia="Times New Roman" w:hAnsi="Arial" w:cs="Arial"/>
                <w:color w:val="000000"/>
                <w:sz w:val="18"/>
                <w:szCs w:val="18"/>
                <w:lang w:eastAsia="es-MX"/>
              </w:rPr>
              <w:t>o recién incorporado al mercado,</w:t>
            </w:r>
          </w:p>
          <w:p w14:paraId="64B0EBF4" w14:textId="77777777" w:rsidR="00EB63CB" w:rsidRPr="00C9666A" w:rsidRDefault="00EB63CB"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Existencia de bar</w:t>
            </w:r>
            <w:r w:rsidR="00E2534D" w:rsidRPr="00C9666A">
              <w:rPr>
                <w:rFonts w:ascii="Arial" w:eastAsia="Times New Roman" w:hAnsi="Arial" w:cs="Arial"/>
                <w:color w:val="000000"/>
                <w:sz w:val="18"/>
                <w:szCs w:val="18"/>
                <w:lang w:eastAsia="es-MX"/>
              </w:rPr>
              <w:t>reras a la entrada regulatorias,</w:t>
            </w:r>
          </w:p>
          <w:p w14:paraId="7258D4DE" w14:textId="77777777" w:rsidR="00EB63CB" w:rsidRPr="00C9666A" w:rsidRDefault="00EB63CB"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Altos costos para los </w:t>
            </w:r>
            <w:r w:rsidR="00E2534D" w:rsidRPr="00C9666A">
              <w:rPr>
                <w:rFonts w:ascii="Arial" w:eastAsia="Times New Roman" w:hAnsi="Arial" w:cs="Arial"/>
                <w:color w:val="000000"/>
                <w:sz w:val="18"/>
                <w:szCs w:val="18"/>
                <w:lang w:eastAsia="es-MX"/>
              </w:rPr>
              <w:t>clientes</w:t>
            </w:r>
            <w:r w:rsidRPr="00C9666A">
              <w:rPr>
                <w:rFonts w:ascii="Arial" w:eastAsia="Times New Roman" w:hAnsi="Arial" w:cs="Arial"/>
                <w:color w:val="000000"/>
                <w:sz w:val="18"/>
                <w:szCs w:val="18"/>
                <w:lang w:eastAsia="es-MX"/>
              </w:rPr>
              <w:t xml:space="preserve"> para cambiar de proveedor (</w:t>
            </w:r>
            <w:proofErr w:type="spellStart"/>
            <w:r w:rsidRPr="00C9666A">
              <w:rPr>
                <w:rFonts w:ascii="Arial" w:eastAsia="Times New Roman" w:hAnsi="Arial" w:cs="Arial"/>
                <w:i/>
                <w:color w:val="000000"/>
                <w:sz w:val="18"/>
                <w:szCs w:val="18"/>
                <w:lang w:eastAsia="es-MX"/>
              </w:rPr>
              <w:t>switching</w:t>
            </w:r>
            <w:proofErr w:type="spellEnd"/>
            <w:r w:rsidRPr="00C9666A">
              <w:rPr>
                <w:rFonts w:ascii="Arial" w:eastAsia="Times New Roman" w:hAnsi="Arial" w:cs="Arial"/>
                <w:i/>
                <w:color w:val="000000"/>
                <w:sz w:val="18"/>
                <w:szCs w:val="18"/>
                <w:lang w:eastAsia="es-MX"/>
              </w:rPr>
              <w:t xml:space="preserve"> </w:t>
            </w:r>
            <w:proofErr w:type="spellStart"/>
            <w:r w:rsidRPr="00C9666A">
              <w:rPr>
                <w:rFonts w:ascii="Arial" w:eastAsia="Times New Roman" w:hAnsi="Arial" w:cs="Arial"/>
                <w:i/>
                <w:color w:val="000000"/>
                <w:sz w:val="18"/>
                <w:szCs w:val="18"/>
                <w:lang w:eastAsia="es-MX"/>
              </w:rPr>
              <w:t>costs</w:t>
            </w:r>
            <w:proofErr w:type="spellEnd"/>
            <w:r w:rsidR="00E2534D" w:rsidRPr="00C9666A">
              <w:rPr>
                <w:rFonts w:ascii="Arial" w:eastAsia="Times New Roman" w:hAnsi="Arial" w:cs="Arial"/>
                <w:color w:val="000000"/>
                <w:sz w:val="18"/>
                <w:szCs w:val="18"/>
                <w:lang w:eastAsia="es-MX"/>
              </w:rPr>
              <w:t>), o</w:t>
            </w:r>
          </w:p>
          <w:p w14:paraId="54EB31B2" w14:textId="77777777" w:rsidR="00EB63CB" w:rsidRPr="00C9666A" w:rsidRDefault="00EB63CB" w:rsidP="00C9666A">
            <w:pPr>
              <w:pStyle w:val="Prrafodelista"/>
              <w:numPr>
                <w:ilvl w:val="0"/>
                <w:numId w:val="18"/>
              </w:numPr>
              <w:spacing w:before="120" w:after="120" w:line="276" w:lineRule="auto"/>
              <w:ind w:left="600" w:right="-1"/>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Que haya indicios actuales de coordinación, o los haya habido en el pasado reciente.</w:t>
            </w:r>
          </w:p>
        </w:tc>
      </w:tr>
      <w:tr w:rsidR="000E0124" w:rsidRPr="00C9666A" w14:paraId="1F47CA15" w14:textId="77777777" w:rsidTr="000E0124">
        <w:trPr>
          <w:jc w:val="center"/>
        </w:trPr>
        <w:tc>
          <w:tcPr>
            <w:tcW w:w="1852" w:type="dxa"/>
            <w:vMerge w:val="restart"/>
          </w:tcPr>
          <w:p w14:paraId="3907A191" w14:textId="77777777" w:rsidR="000E0124" w:rsidRPr="00C9666A" w:rsidRDefault="000E0124"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México</w:t>
            </w:r>
          </w:p>
          <w:p w14:paraId="74CDFCFB" w14:textId="4CCA50E2" w:rsidR="000E0124" w:rsidRPr="00C9666A" w:rsidRDefault="000E0124"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(CFC</w:t>
            </w:r>
            <w:r w:rsidR="004E006E">
              <w:rPr>
                <w:rFonts w:ascii="Arial" w:eastAsia="Times New Roman" w:hAnsi="Arial" w:cs="Arial"/>
                <w:color w:val="000000"/>
                <w:sz w:val="18"/>
                <w:szCs w:val="18"/>
                <w:lang w:eastAsia="es-MX"/>
              </w:rPr>
              <w:t xml:space="preserve"> y</w:t>
            </w:r>
            <w:r w:rsidRPr="00C9666A">
              <w:rPr>
                <w:rFonts w:ascii="Arial" w:eastAsia="Times New Roman" w:hAnsi="Arial" w:cs="Arial"/>
                <w:color w:val="000000"/>
                <w:sz w:val="18"/>
                <w:szCs w:val="18"/>
                <w:lang w:eastAsia="es-MX"/>
              </w:rPr>
              <w:t xml:space="preserve"> CFCE)</w:t>
            </w:r>
          </w:p>
        </w:tc>
        <w:tc>
          <w:tcPr>
            <w:tcW w:w="7493" w:type="dxa"/>
          </w:tcPr>
          <w:p w14:paraId="4CAD6B79" w14:textId="088DB9EF" w:rsidR="000E0124" w:rsidRPr="00C9666A" w:rsidRDefault="000E0124" w:rsidP="00C9666A">
            <w:pPr>
              <w:spacing w:before="120" w:after="120" w:line="276" w:lineRule="auto"/>
              <w:ind w:right="-1"/>
              <w:jc w:val="both"/>
              <w:rPr>
                <w:rFonts w:ascii="Arial" w:hAnsi="Arial" w:cs="Arial"/>
                <w:color w:val="000000"/>
                <w:sz w:val="18"/>
                <w:szCs w:val="18"/>
              </w:rPr>
            </w:pPr>
            <w:r w:rsidRPr="00C9666A">
              <w:rPr>
                <w:rFonts w:ascii="Arial" w:hAnsi="Arial" w:cs="Arial"/>
                <w:color w:val="000000"/>
                <w:sz w:val="18"/>
                <w:szCs w:val="18"/>
              </w:rPr>
              <w:t>La extinta CFC consideraba que una concentración tiene pocas probabilidades de afectar el proceso de competencia y libre concurrencia cuando el resultado estimado de la concentración arroja alguno de los siguientes resultados:</w:t>
            </w:r>
            <w:r w:rsidRPr="00C9666A">
              <w:rPr>
                <w:rStyle w:val="Refdenotaalpie"/>
                <w:rFonts w:ascii="Arial" w:eastAsia="Times New Roman" w:hAnsi="Arial" w:cs="Arial"/>
                <w:color w:val="000000"/>
                <w:sz w:val="18"/>
                <w:szCs w:val="18"/>
                <w:lang w:eastAsia="es-MX"/>
              </w:rPr>
              <w:footnoteReference w:id="25"/>
            </w:r>
          </w:p>
          <w:p w14:paraId="3400DB9F" w14:textId="026BE059" w:rsidR="000E0124" w:rsidRPr="00C9666A" w:rsidRDefault="000E0124" w:rsidP="00C9666A">
            <w:pPr>
              <w:pStyle w:val="Prrafodelista"/>
              <w:numPr>
                <w:ilvl w:val="0"/>
                <w:numId w:val="19"/>
              </w:numPr>
              <w:shd w:val="clear" w:color="auto" w:fill="FFFFFF"/>
              <w:spacing w:before="120" w:after="120" w:line="276" w:lineRule="auto"/>
              <w:ind w:left="600"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Δ</w:t>
            </w:r>
            <w:r w:rsidR="00892B14" w:rsidRPr="00F64EAA">
              <w:rPr>
                <w:rFonts w:ascii="Arial" w:eastAsia="Times New Roman" w:hAnsi="Arial" w:cs="Arial"/>
                <w:color w:val="000000"/>
                <w:sz w:val="18"/>
                <w:lang w:eastAsia="es-MX"/>
              </w:rPr>
              <w:t>I</w:t>
            </w:r>
            <w:r w:rsidRPr="00C9666A">
              <w:rPr>
                <w:rFonts w:ascii="Arial" w:eastAsia="Times New Roman" w:hAnsi="Arial" w:cs="Arial"/>
                <w:color w:val="000000"/>
                <w:sz w:val="18"/>
                <w:szCs w:val="18"/>
                <w:lang w:eastAsia="es-MX"/>
              </w:rPr>
              <w:t>HH &lt; 75 puntos;</w:t>
            </w:r>
          </w:p>
          <w:p w14:paraId="1FF6345C" w14:textId="77777777" w:rsidR="000E0124" w:rsidRPr="00C9666A" w:rsidRDefault="000E0124" w:rsidP="00C9666A">
            <w:pPr>
              <w:pStyle w:val="Prrafodelista"/>
              <w:numPr>
                <w:ilvl w:val="0"/>
                <w:numId w:val="19"/>
              </w:numPr>
              <w:shd w:val="clear" w:color="auto" w:fill="FFFFFF"/>
              <w:spacing w:before="120" w:after="120" w:line="276" w:lineRule="auto"/>
              <w:ind w:left="600"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 &lt; 2,000 puntos;</w:t>
            </w:r>
          </w:p>
          <w:p w14:paraId="43437FD8" w14:textId="78B709CF" w:rsidR="000E0124" w:rsidRPr="00C9666A" w:rsidRDefault="000E0124" w:rsidP="00C9666A">
            <w:pPr>
              <w:pStyle w:val="Prrafodelista"/>
              <w:numPr>
                <w:ilvl w:val="0"/>
                <w:numId w:val="19"/>
              </w:numPr>
              <w:shd w:val="clear" w:color="auto" w:fill="FFFFFF"/>
              <w:spacing w:before="120" w:after="120" w:line="276" w:lineRule="auto"/>
              <w:ind w:left="600"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Disminuya el valor del ID;</w:t>
            </w:r>
          </w:p>
          <w:p w14:paraId="1578444E" w14:textId="28B268B2" w:rsidR="000E0124" w:rsidRPr="00CC256D" w:rsidRDefault="000E0124" w:rsidP="00C9666A">
            <w:pPr>
              <w:pStyle w:val="Prrafodelista"/>
              <w:numPr>
                <w:ilvl w:val="0"/>
                <w:numId w:val="19"/>
              </w:numPr>
              <w:shd w:val="clear" w:color="auto" w:fill="FFFFFF"/>
              <w:spacing w:before="120" w:after="120" w:line="276" w:lineRule="auto"/>
              <w:ind w:left="600" w:right="-1"/>
              <w:jc w:val="both"/>
              <w:rPr>
                <w:rFonts w:ascii="Arial" w:eastAsia="Times New Roman" w:hAnsi="Arial" w:cs="Arial"/>
                <w:color w:val="2F2F2F"/>
                <w:sz w:val="18"/>
                <w:szCs w:val="18"/>
                <w:lang w:eastAsia="es-MX"/>
              </w:rPr>
            </w:pPr>
            <w:r w:rsidRPr="00C9666A">
              <w:rPr>
                <w:rFonts w:ascii="Arial" w:eastAsia="Times New Roman" w:hAnsi="Arial" w:cs="Arial"/>
                <w:color w:val="000000"/>
                <w:sz w:val="18"/>
                <w:szCs w:val="18"/>
                <w:lang w:eastAsia="es-MX"/>
              </w:rPr>
              <w:t>ID &lt; 2,500 puntos.</w:t>
            </w:r>
          </w:p>
          <w:p w14:paraId="778E67DD" w14:textId="4022B268" w:rsidR="000E0124" w:rsidRPr="00C9666A" w:rsidRDefault="000E0124" w:rsidP="00C9666A">
            <w:pPr>
              <w:shd w:val="clear" w:color="auto" w:fill="FFFFFF"/>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La CFC consideraba que una concentración puede disminuir, dañar o impedir la competencia y libre concurrencia, aun cuando las estimaciones de los índices actualicen alguno de los resultados anteriores, cuando los agentes económicos involucrados en la concentración se ubiquen en cualquiera de los siguientes casos:</w:t>
            </w:r>
          </w:p>
          <w:p w14:paraId="2D33824C" w14:textId="77777777" w:rsidR="000E0124" w:rsidRPr="00C9666A" w:rsidRDefault="000E0124" w:rsidP="00C9666A">
            <w:pPr>
              <w:pStyle w:val="Prrafodelista"/>
              <w:numPr>
                <w:ilvl w:val="0"/>
                <w:numId w:val="20"/>
              </w:numPr>
              <w:shd w:val="clear" w:color="auto" w:fill="FFFFFF"/>
              <w:spacing w:before="120" w:after="120" w:line="276" w:lineRule="auto"/>
              <w:ind w:left="595"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Hayan participado en concentraciones previas en el mismo mercado relevante</w:t>
            </w:r>
            <w:r w:rsidR="00676F73" w:rsidRPr="00C9666A">
              <w:rPr>
                <w:rFonts w:ascii="Arial" w:eastAsia="Times New Roman" w:hAnsi="Arial" w:cs="Arial"/>
                <w:color w:val="000000"/>
                <w:sz w:val="18"/>
                <w:szCs w:val="18"/>
                <w:lang w:eastAsia="es-MX"/>
              </w:rPr>
              <w:t>,</w:t>
            </w:r>
          </w:p>
          <w:p w14:paraId="2C1A5E93" w14:textId="77777777" w:rsidR="000E0124" w:rsidRPr="00C9666A" w:rsidRDefault="000E0124" w:rsidP="00C9666A">
            <w:pPr>
              <w:pStyle w:val="Prrafodelista"/>
              <w:numPr>
                <w:ilvl w:val="0"/>
                <w:numId w:val="20"/>
              </w:numPr>
              <w:shd w:val="clear" w:color="auto" w:fill="FFFFFF"/>
              <w:spacing w:before="120" w:after="120" w:line="276" w:lineRule="auto"/>
              <w:ind w:left="595"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Por su relación patrimonial con otros agentes, puedan adquirir acceso privilegiado a algún insumo importante, u obtener ventajas en la distribución, comercialización o publicidad del bien o servicio del mercado relevante</w:t>
            </w:r>
            <w:r w:rsidR="00676F73" w:rsidRPr="00C9666A">
              <w:rPr>
                <w:rFonts w:ascii="Arial" w:eastAsia="Times New Roman" w:hAnsi="Arial" w:cs="Arial"/>
                <w:color w:val="000000"/>
                <w:sz w:val="18"/>
                <w:szCs w:val="18"/>
                <w:lang w:eastAsia="es-MX"/>
              </w:rPr>
              <w:t>,</w:t>
            </w:r>
          </w:p>
          <w:p w14:paraId="0AAAF364" w14:textId="77777777" w:rsidR="000E0124" w:rsidRPr="00C9666A" w:rsidRDefault="000E0124" w:rsidP="00C9666A">
            <w:pPr>
              <w:pStyle w:val="Prrafodelista"/>
              <w:numPr>
                <w:ilvl w:val="0"/>
                <w:numId w:val="20"/>
              </w:numPr>
              <w:shd w:val="clear" w:color="auto" w:fill="FFFFFF"/>
              <w:spacing w:before="120" w:after="120" w:line="276" w:lineRule="auto"/>
              <w:ind w:left="595"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Tengan o puedan llegar a adquirir poder sustancial en mercados relevantes relacionados</w:t>
            </w:r>
            <w:r w:rsidR="00676F73" w:rsidRPr="00C9666A">
              <w:rPr>
                <w:rFonts w:ascii="Arial" w:eastAsia="Times New Roman" w:hAnsi="Arial" w:cs="Arial"/>
                <w:color w:val="000000"/>
                <w:sz w:val="18"/>
                <w:szCs w:val="18"/>
                <w:lang w:eastAsia="es-MX"/>
              </w:rPr>
              <w:t>, o</w:t>
            </w:r>
          </w:p>
          <w:p w14:paraId="70D46586" w14:textId="51AAA0AD" w:rsidR="000E0124" w:rsidRPr="00CC256D" w:rsidRDefault="000E0124" w:rsidP="00C9666A">
            <w:pPr>
              <w:pStyle w:val="Prrafodelista"/>
              <w:numPr>
                <w:ilvl w:val="0"/>
                <w:numId w:val="20"/>
              </w:numPr>
              <w:shd w:val="clear" w:color="auto" w:fill="FFFFFF"/>
              <w:spacing w:before="120" w:after="120" w:line="276" w:lineRule="auto"/>
              <w:ind w:left="600"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Actualicen algún otro supuesto que a juicio de la CFC pudiera significar una concentración de poder de mercado que no se refleja en las participaciones actuales en el mercado relevante y, por tanto, su efecto no es captado por los índices de concentración.</w:t>
            </w:r>
          </w:p>
        </w:tc>
      </w:tr>
      <w:tr w:rsidR="000E0124" w:rsidRPr="00C9666A" w14:paraId="1A66BACC" w14:textId="77777777" w:rsidTr="000E0124">
        <w:trPr>
          <w:jc w:val="center"/>
        </w:trPr>
        <w:tc>
          <w:tcPr>
            <w:tcW w:w="1852" w:type="dxa"/>
            <w:vMerge/>
          </w:tcPr>
          <w:p w14:paraId="2020399C" w14:textId="77777777" w:rsidR="000E0124" w:rsidRPr="00C9666A" w:rsidRDefault="000E0124" w:rsidP="00C9666A">
            <w:pPr>
              <w:spacing w:before="120" w:after="120" w:line="276" w:lineRule="auto"/>
              <w:ind w:right="-1"/>
              <w:jc w:val="both"/>
              <w:rPr>
                <w:rFonts w:ascii="Arial" w:eastAsia="Times New Roman" w:hAnsi="Arial" w:cs="Arial"/>
                <w:color w:val="000000"/>
                <w:sz w:val="18"/>
                <w:szCs w:val="18"/>
                <w:lang w:eastAsia="es-MX"/>
              </w:rPr>
            </w:pPr>
          </w:p>
        </w:tc>
        <w:tc>
          <w:tcPr>
            <w:tcW w:w="7493" w:type="dxa"/>
          </w:tcPr>
          <w:p w14:paraId="5D6A9E42" w14:textId="0E231C8C" w:rsidR="00676F73" w:rsidRPr="00CC256D" w:rsidRDefault="00676F73" w:rsidP="0079117E">
            <w:pPr>
              <w:shd w:val="clear" w:color="auto" w:fill="FFFFFF"/>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 Comisión Federal de Competencia Económica (CFCE) considera, como una primera aproximación al análisis de los efectos probables de una concentración en el mercado relevante, que ésta tendría poca probabilidad de obstaculizar, disminuir, dañar o impedir la </w:t>
            </w:r>
            <w:r w:rsidRPr="00C9666A">
              <w:rPr>
                <w:rFonts w:ascii="Arial" w:eastAsia="Times New Roman" w:hAnsi="Arial" w:cs="Arial"/>
                <w:color w:val="000000"/>
                <w:sz w:val="18"/>
                <w:szCs w:val="18"/>
                <w:lang w:eastAsia="es-MX"/>
              </w:rPr>
              <w:lastRenderedPageBreak/>
              <w:t>libre concurrencia o la competencia económica en dicho mercado relevante, cuando ocurra alguno de los siguientes resultados:</w:t>
            </w:r>
            <w:r w:rsidRPr="00C9666A">
              <w:rPr>
                <w:rStyle w:val="Refdenotaalpie"/>
                <w:rFonts w:ascii="Arial" w:eastAsia="Times New Roman" w:hAnsi="Arial" w:cs="Arial"/>
                <w:color w:val="000000"/>
                <w:sz w:val="18"/>
                <w:szCs w:val="18"/>
                <w:lang w:eastAsia="es-MX"/>
              </w:rPr>
              <w:footnoteReference w:id="26"/>
            </w:r>
          </w:p>
          <w:p w14:paraId="5E463712" w14:textId="15B001F5" w:rsidR="00676F73" w:rsidRPr="00C9666A" w:rsidRDefault="00676F73" w:rsidP="00A87D4D">
            <w:pPr>
              <w:pStyle w:val="Prrafodelista"/>
              <w:numPr>
                <w:ilvl w:val="0"/>
                <w:numId w:val="19"/>
              </w:numPr>
              <w:shd w:val="clear" w:color="auto" w:fill="FFFFFF"/>
              <w:spacing w:before="120" w:after="120" w:line="276" w:lineRule="auto"/>
              <w:ind w:left="600"/>
              <w:contextualSpacing w:val="0"/>
              <w:jc w:val="both"/>
              <w:rPr>
                <w:rFonts w:ascii="Arial" w:eastAsia="Times New Roman" w:hAnsi="Arial" w:cs="Arial"/>
                <w:color w:val="000000"/>
                <w:sz w:val="18"/>
                <w:szCs w:val="18"/>
                <w:lang w:eastAsia="es-MX"/>
              </w:rPr>
            </w:pPr>
            <w:r w:rsidRPr="00DC4B1D">
              <w:rPr>
                <w:rFonts w:ascii="Arial" w:eastAsia="Times New Roman" w:hAnsi="Arial" w:cs="Arial"/>
                <w:color w:val="000000"/>
                <w:sz w:val="18"/>
                <w:szCs w:val="18"/>
                <w:lang w:eastAsia="es-MX"/>
              </w:rPr>
              <w:t>Δ</w:t>
            </w:r>
            <w:r w:rsidR="00892B14" w:rsidRPr="00A87D4D">
              <w:rPr>
                <w:rFonts w:ascii="Arial" w:eastAsia="Times New Roman" w:hAnsi="Arial" w:cs="Arial"/>
                <w:color w:val="000000"/>
                <w:sz w:val="18"/>
                <w:szCs w:val="18"/>
                <w:lang w:eastAsia="es-MX"/>
              </w:rPr>
              <w:t>I</w:t>
            </w:r>
            <w:r w:rsidRPr="00DC4B1D">
              <w:rPr>
                <w:rFonts w:ascii="Arial" w:eastAsia="Times New Roman" w:hAnsi="Arial" w:cs="Arial"/>
                <w:color w:val="000000"/>
                <w:sz w:val="18"/>
                <w:szCs w:val="18"/>
                <w:lang w:eastAsia="es-MX"/>
              </w:rPr>
              <w:t>H</w:t>
            </w:r>
            <w:r w:rsidRPr="00C9666A">
              <w:rPr>
                <w:rFonts w:ascii="Arial" w:eastAsia="Times New Roman" w:hAnsi="Arial" w:cs="Arial"/>
                <w:color w:val="000000"/>
                <w:sz w:val="18"/>
                <w:szCs w:val="18"/>
                <w:lang w:eastAsia="es-MX"/>
              </w:rPr>
              <w:t>H &lt; 100 puntos;</w:t>
            </w:r>
          </w:p>
          <w:p w14:paraId="46BB995C" w14:textId="77777777" w:rsidR="00676F73" w:rsidRPr="00C9666A" w:rsidRDefault="00676F73" w:rsidP="00A87D4D">
            <w:pPr>
              <w:pStyle w:val="Prrafodelista"/>
              <w:numPr>
                <w:ilvl w:val="0"/>
                <w:numId w:val="19"/>
              </w:numPr>
              <w:shd w:val="clear" w:color="auto" w:fill="FFFFFF"/>
              <w:spacing w:before="120" w:after="120" w:line="276" w:lineRule="auto"/>
              <w:ind w:left="600"/>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 &lt; 2,000 puntos;</w:t>
            </w:r>
          </w:p>
          <w:p w14:paraId="25F746E0" w14:textId="77777777" w:rsidR="000E0124" w:rsidRPr="00C9666A" w:rsidRDefault="00676F73" w:rsidP="00A87D4D">
            <w:pPr>
              <w:pStyle w:val="Prrafodelista"/>
              <w:numPr>
                <w:ilvl w:val="0"/>
                <w:numId w:val="19"/>
              </w:numPr>
              <w:shd w:val="clear" w:color="auto" w:fill="FFFFFF"/>
              <w:spacing w:before="120" w:after="120" w:line="276" w:lineRule="auto"/>
              <w:ind w:left="600"/>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2,000 &lt; IHH &lt; 2,500, 100 &lt; ΔHH &lt; 150 puntos y el agente económico resultante después de la operación no se encuentre dentro de los cuatro agentes económicos con mayor participación de mercado.</w:t>
            </w:r>
          </w:p>
        </w:tc>
      </w:tr>
      <w:tr w:rsidR="00EB63CB" w:rsidRPr="00C9666A" w14:paraId="10808F32" w14:textId="77777777" w:rsidTr="000E0124">
        <w:trPr>
          <w:jc w:val="center"/>
        </w:trPr>
        <w:tc>
          <w:tcPr>
            <w:tcW w:w="1852" w:type="dxa"/>
          </w:tcPr>
          <w:p w14:paraId="7218D928" w14:textId="77777777" w:rsidR="00EB63CB" w:rsidRPr="0079117E"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 xml:space="preserve">Reino </w:t>
            </w:r>
            <w:r w:rsidRPr="0079117E">
              <w:rPr>
                <w:rFonts w:ascii="Arial" w:eastAsia="Times New Roman" w:hAnsi="Arial" w:cs="Arial"/>
                <w:color w:val="000000"/>
                <w:sz w:val="18"/>
                <w:szCs w:val="18"/>
                <w:lang w:eastAsia="es-MX"/>
              </w:rPr>
              <w:t>Unido</w:t>
            </w:r>
          </w:p>
          <w:p w14:paraId="3E4FC473" w14:textId="77777777"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79117E">
              <w:rPr>
                <w:rFonts w:ascii="Arial" w:eastAsia="Times New Roman" w:hAnsi="Arial" w:cs="Arial"/>
                <w:color w:val="000000"/>
                <w:sz w:val="18"/>
                <w:szCs w:val="18"/>
                <w:lang w:eastAsia="es-MX"/>
              </w:rPr>
              <w:t>(</w:t>
            </w:r>
            <w:r w:rsidR="00D43ADE" w:rsidRPr="0079117E">
              <w:rPr>
                <w:rFonts w:ascii="Arial" w:eastAsia="Times New Roman" w:hAnsi="Arial" w:cs="Arial"/>
                <w:color w:val="000000"/>
                <w:sz w:val="18"/>
                <w:szCs w:val="18"/>
                <w:lang w:eastAsia="es-MX"/>
              </w:rPr>
              <w:t>CMA</w:t>
            </w:r>
            <w:r w:rsidRPr="0079117E">
              <w:rPr>
                <w:rFonts w:ascii="Arial" w:eastAsia="Times New Roman" w:hAnsi="Arial" w:cs="Arial"/>
                <w:color w:val="000000"/>
                <w:sz w:val="18"/>
                <w:szCs w:val="18"/>
                <w:lang w:eastAsia="es-MX"/>
              </w:rPr>
              <w:t>)</w:t>
            </w:r>
          </w:p>
        </w:tc>
        <w:tc>
          <w:tcPr>
            <w:tcW w:w="7493" w:type="dxa"/>
          </w:tcPr>
          <w:p w14:paraId="76FE15A8" w14:textId="375B6044"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hAnsi="Arial" w:cs="Arial"/>
                <w:color w:val="000000"/>
                <w:sz w:val="18"/>
                <w:szCs w:val="18"/>
              </w:rPr>
              <w:t xml:space="preserve">Las decisiones históricas de la </w:t>
            </w:r>
            <w:r w:rsidR="00D43ADE" w:rsidRPr="00C9666A">
              <w:rPr>
                <w:rFonts w:ascii="Arial" w:hAnsi="Arial" w:cs="Arial"/>
                <w:color w:val="000000"/>
                <w:sz w:val="18"/>
                <w:szCs w:val="18"/>
              </w:rPr>
              <w:t xml:space="preserve">autoridad </w:t>
            </w:r>
            <w:r w:rsidRPr="00C9666A">
              <w:rPr>
                <w:rFonts w:ascii="Arial" w:hAnsi="Arial" w:cs="Arial"/>
                <w:color w:val="000000"/>
                <w:sz w:val="18"/>
                <w:szCs w:val="18"/>
              </w:rPr>
              <w:t>en concentraciones en mercados donde los productos son no-diferenciados indican que participaciones de mercado combinadas</w:t>
            </w:r>
            <w:r w:rsidRPr="00C9666A">
              <w:rPr>
                <w:rFonts w:ascii="Arial" w:eastAsia="Times New Roman" w:hAnsi="Arial" w:cs="Arial"/>
                <w:color w:val="000000"/>
                <w:sz w:val="18"/>
                <w:szCs w:val="18"/>
                <w:lang w:eastAsia="es-MX"/>
              </w:rPr>
              <w:t xml:space="preserve"> </w:t>
            </w:r>
            <w:r w:rsidRPr="00C9666A">
              <w:rPr>
                <w:rFonts w:ascii="Arial" w:eastAsia="Times New Roman" w:hAnsi="Arial" w:cs="Arial"/>
                <w:b/>
                <w:color w:val="000000"/>
                <w:sz w:val="18"/>
                <w:szCs w:val="18"/>
                <w:lang w:eastAsia="es-MX"/>
              </w:rPr>
              <w:t>menores a 40%</w:t>
            </w:r>
            <w:r w:rsidRPr="00C9666A">
              <w:rPr>
                <w:rFonts w:ascii="Arial" w:eastAsia="Times New Roman" w:hAnsi="Arial" w:cs="Arial"/>
                <w:color w:val="000000"/>
                <w:sz w:val="18"/>
                <w:szCs w:val="18"/>
                <w:lang w:eastAsia="es-MX"/>
              </w:rPr>
              <w:t xml:space="preserve">, no preocupan a la </w:t>
            </w:r>
            <w:r w:rsidRPr="00C9666A">
              <w:rPr>
                <w:rFonts w:ascii="Arial" w:eastAsia="Times New Roman" w:hAnsi="Arial" w:cs="Arial"/>
                <w:i/>
                <w:color w:val="000000"/>
                <w:sz w:val="18"/>
                <w:szCs w:val="18"/>
                <w:lang w:eastAsia="es-MX"/>
              </w:rPr>
              <w:t>OFT</w:t>
            </w:r>
            <w:r w:rsidRPr="00C9666A">
              <w:rPr>
                <w:rFonts w:ascii="Arial" w:eastAsia="Times New Roman" w:hAnsi="Arial" w:cs="Arial"/>
                <w:color w:val="000000"/>
                <w:sz w:val="18"/>
                <w:szCs w:val="18"/>
                <w:lang w:eastAsia="es-MX"/>
              </w:rPr>
              <w:t xml:space="preserve"> (como </w:t>
            </w:r>
            <w:r w:rsidRPr="00C9666A">
              <w:rPr>
                <w:rFonts w:ascii="Arial" w:eastAsia="Times New Roman" w:hAnsi="Arial" w:cs="Arial"/>
                <w:b/>
                <w:color w:val="000000"/>
                <w:sz w:val="18"/>
                <w:szCs w:val="18"/>
                <w:lang w:eastAsia="es-MX"/>
              </w:rPr>
              <w:t>efectos unilaterales</w:t>
            </w:r>
            <w:r w:rsidRPr="00C9666A">
              <w:rPr>
                <w:rFonts w:ascii="Arial" w:eastAsia="Times New Roman" w:hAnsi="Arial" w:cs="Arial"/>
                <w:color w:val="000000"/>
                <w:sz w:val="18"/>
                <w:szCs w:val="18"/>
                <w:lang w:eastAsia="es-MX"/>
              </w:rPr>
              <w:t>).</w:t>
            </w:r>
            <w:r w:rsidR="00D43ADE" w:rsidRPr="00C9666A">
              <w:rPr>
                <w:rStyle w:val="Refdenotaalpie"/>
                <w:rFonts w:ascii="Arial" w:eastAsia="Times New Roman" w:hAnsi="Arial" w:cs="Arial"/>
                <w:color w:val="000000"/>
                <w:sz w:val="18"/>
                <w:szCs w:val="18"/>
                <w:lang w:eastAsia="es-MX"/>
              </w:rPr>
              <w:footnoteReference w:id="27"/>
            </w:r>
          </w:p>
          <w:p w14:paraId="4E51802F" w14:textId="7B6E8630"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Las decisiones históricas en concentraciones que involucran a minoristas indican que la </w:t>
            </w:r>
            <w:r w:rsidR="00D43ADE" w:rsidRPr="00C9666A">
              <w:rPr>
                <w:rFonts w:ascii="Arial" w:eastAsia="Times New Roman" w:hAnsi="Arial" w:cs="Arial"/>
                <w:color w:val="000000"/>
                <w:sz w:val="18"/>
                <w:szCs w:val="18"/>
                <w:lang w:eastAsia="es-MX"/>
              </w:rPr>
              <w:t xml:space="preserve">autoridad </w:t>
            </w:r>
            <w:r w:rsidRPr="00C9666A">
              <w:rPr>
                <w:rFonts w:ascii="Arial" w:eastAsia="Times New Roman" w:hAnsi="Arial" w:cs="Arial"/>
                <w:color w:val="000000"/>
                <w:sz w:val="18"/>
                <w:szCs w:val="18"/>
                <w:lang w:eastAsia="es-MX"/>
              </w:rPr>
              <w:t xml:space="preserve">no se ha preocupado cuando se reduce el número de </w:t>
            </w:r>
            <w:r w:rsidRPr="00C9666A">
              <w:rPr>
                <w:rFonts w:ascii="Arial" w:eastAsia="Times New Roman" w:hAnsi="Arial" w:cs="Arial"/>
                <w:b/>
                <w:color w:val="000000"/>
                <w:sz w:val="18"/>
                <w:szCs w:val="18"/>
                <w:lang w:eastAsia="es-MX"/>
              </w:rPr>
              <w:t>empresas de 5 a 4 (o más)</w:t>
            </w:r>
            <w:r w:rsidRPr="00C9666A">
              <w:rPr>
                <w:rFonts w:ascii="Arial" w:eastAsia="Times New Roman" w:hAnsi="Arial" w:cs="Arial"/>
                <w:color w:val="000000"/>
                <w:sz w:val="18"/>
                <w:szCs w:val="18"/>
                <w:lang w:eastAsia="es-MX"/>
              </w:rPr>
              <w:t>.</w:t>
            </w:r>
          </w:p>
          <w:p w14:paraId="107702E5" w14:textId="6C336A3B"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Con respecto al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la </w:t>
            </w:r>
            <w:r w:rsidR="00D43ADE" w:rsidRPr="00C9666A">
              <w:rPr>
                <w:rFonts w:ascii="Arial" w:eastAsia="Times New Roman" w:hAnsi="Arial" w:cs="Arial"/>
                <w:color w:val="000000"/>
                <w:sz w:val="18"/>
                <w:szCs w:val="18"/>
                <w:lang w:eastAsia="es-MX"/>
              </w:rPr>
              <w:t>autoridad</w:t>
            </w:r>
            <w:r w:rsidRPr="00C9666A">
              <w:rPr>
                <w:rFonts w:ascii="Arial" w:eastAsia="Times New Roman" w:hAnsi="Arial" w:cs="Arial"/>
                <w:i/>
                <w:color w:val="000000"/>
                <w:sz w:val="18"/>
                <w:szCs w:val="18"/>
                <w:lang w:eastAsia="es-MX"/>
              </w:rPr>
              <w:t xml:space="preserve"> </w:t>
            </w:r>
            <w:r w:rsidRPr="00C9666A">
              <w:rPr>
                <w:rFonts w:ascii="Arial" w:eastAsia="Times New Roman" w:hAnsi="Arial" w:cs="Arial"/>
                <w:color w:val="000000"/>
                <w:sz w:val="18"/>
                <w:szCs w:val="18"/>
                <w:lang w:eastAsia="es-MX"/>
              </w:rPr>
              <w:t>analizará los siguientes umbrales:</w:t>
            </w:r>
          </w:p>
          <w:p w14:paraId="40B6D3DF" w14:textId="38DDA65B" w:rsidR="00EB63CB" w:rsidRPr="00C9666A" w:rsidRDefault="00EB63CB" w:rsidP="00C9666A">
            <w:pPr>
              <w:pStyle w:val="Prrafodelista"/>
              <w:numPr>
                <w:ilvl w:val="0"/>
                <w:numId w:val="14"/>
              </w:numPr>
              <w:spacing w:before="120" w:after="120" w:line="276" w:lineRule="auto"/>
              <w:ind w:left="600" w:hanging="425"/>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En un mercado con 1,000 &lt;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&lt; 2,000 </w:t>
            </w:r>
            <w:r w:rsidR="00D43ADE" w:rsidRPr="00C9666A">
              <w:rPr>
                <w:rFonts w:ascii="Arial" w:eastAsia="Times New Roman" w:hAnsi="Arial" w:cs="Arial"/>
                <w:color w:val="000000"/>
                <w:sz w:val="18"/>
                <w:szCs w:val="18"/>
                <w:lang w:eastAsia="es-MX"/>
              </w:rPr>
              <w:t xml:space="preserve">puntos </w:t>
            </w:r>
            <w:r w:rsidRPr="00C9666A">
              <w:rPr>
                <w:rFonts w:ascii="Arial" w:eastAsia="Times New Roman" w:hAnsi="Arial" w:cs="Arial"/>
                <w:color w:val="000000"/>
                <w:sz w:val="18"/>
                <w:szCs w:val="18"/>
                <w:lang w:eastAsia="es-MX"/>
              </w:rPr>
              <w:t>(mercado concentrado), es poco probable que una concentración horizontal que genere un Δ</w:t>
            </w:r>
            <w:r w:rsidR="00990168" w:rsidRPr="00C9666A">
              <w:rPr>
                <w:rFonts w:ascii="Arial" w:eastAsia="Times New Roman" w:hAnsi="Arial" w:cs="Arial"/>
                <w:color w:val="000000"/>
                <w:sz w:val="18"/>
                <w:szCs w:val="18"/>
                <w:lang w:eastAsia="es-MX"/>
              </w:rPr>
              <w:t>I</w:t>
            </w:r>
            <w:r w:rsidRPr="00C9666A">
              <w:rPr>
                <w:rFonts w:ascii="Arial" w:eastAsia="Times New Roman" w:hAnsi="Arial" w:cs="Arial"/>
                <w:color w:val="000000"/>
                <w:sz w:val="18"/>
                <w:szCs w:val="18"/>
                <w:lang w:eastAsia="es-MX"/>
              </w:rPr>
              <w:t>HH &lt; 250</w:t>
            </w:r>
            <w:r w:rsidR="00D43ADE" w:rsidRPr="00C9666A">
              <w:rPr>
                <w:rFonts w:ascii="Arial" w:eastAsia="Times New Roman" w:hAnsi="Arial" w:cs="Arial"/>
                <w:color w:val="000000"/>
                <w:sz w:val="18"/>
                <w:szCs w:val="18"/>
                <w:lang w:eastAsia="es-MX"/>
              </w:rPr>
              <w:t xml:space="preserve"> puntos</w:t>
            </w:r>
            <w:r w:rsidR="00990168" w:rsidRPr="00C9666A">
              <w:rPr>
                <w:rFonts w:ascii="Arial" w:eastAsia="Times New Roman" w:hAnsi="Arial" w:cs="Arial"/>
                <w:color w:val="000000"/>
                <w:sz w:val="18"/>
                <w:szCs w:val="18"/>
                <w:lang w:eastAsia="es-MX"/>
              </w:rPr>
              <w:t>,</w:t>
            </w:r>
            <w:r w:rsidRPr="00C9666A">
              <w:rPr>
                <w:rFonts w:ascii="Arial" w:eastAsia="Times New Roman" w:hAnsi="Arial" w:cs="Arial"/>
                <w:color w:val="000000"/>
                <w:sz w:val="18"/>
                <w:szCs w:val="18"/>
                <w:lang w:eastAsia="es-MX"/>
              </w:rPr>
              <w:t xml:space="preserve"> cause preocupación;</w:t>
            </w:r>
          </w:p>
          <w:p w14:paraId="40EAF332" w14:textId="3584F869" w:rsidR="00EB63CB" w:rsidRPr="00C9666A" w:rsidRDefault="00EB63CB" w:rsidP="00C9666A">
            <w:pPr>
              <w:pStyle w:val="Prrafodelista"/>
              <w:numPr>
                <w:ilvl w:val="0"/>
                <w:numId w:val="14"/>
              </w:numPr>
              <w:spacing w:before="120" w:after="120" w:line="276" w:lineRule="auto"/>
              <w:ind w:left="600" w:right="-1" w:hanging="425"/>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En un mercado con </w:t>
            </w:r>
            <w:r w:rsidR="00193362" w:rsidRPr="00C9666A">
              <w:rPr>
                <w:rFonts w:ascii="Arial" w:eastAsia="Times New Roman" w:hAnsi="Arial" w:cs="Arial"/>
                <w:color w:val="000000"/>
                <w:sz w:val="18"/>
                <w:szCs w:val="18"/>
                <w:lang w:eastAsia="es-MX"/>
              </w:rPr>
              <w:t>IHH</w:t>
            </w:r>
            <w:r w:rsidRPr="00C9666A">
              <w:rPr>
                <w:rFonts w:ascii="Arial" w:eastAsia="Times New Roman" w:hAnsi="Arial" w:cs="Arial"/>
                <w:color w:val="000000"/>
                <w:sz w:val="18"/>
                <w:szCs w:val="18"/>
                <w:lang w:eastAsia="es-MX"/>
              </w:rPr>
              <w:t xml:space="preserve"> &gt; 2,000</w:t>
            </w:r>
            <w:r w:rsidR="00D43ADE" w:rsidRPr="00C9666A">
              <w:rPr>
                <w:rFonts w:ascii="Arial" w:eastAsia="Times New Roman" w:hAnsi="Arial" w:cs="Arial"/>
                <w:color w:val="000000"/>
                <w:sz w:val="18"/>
                <w:szCs w:val="18"/>
                <w:lang w:eastAsia="es-MX"/>
              </w:rPr>
              <w:t xml:space="preserve"> puntos</w:t>
            </w:r>
            <w:r w:rsidRPr="00C9666A">
              <w:rPr>
                <w:rFonts w:ascii="Arial" w:eastAsia="Times New Roman" w:hAnsi="Arial" w:cs="Arial"/>
                <w:color w:val="000000"/>
                <w:sz w:val="18"/>
                <w:szCs w:val="18"/>
                <w:lang w:eastAsia="es-MX"/>
              </w:rPr>
              <w:t xml:space="preserve"> (mercado altamente concentrado), es poco probable que una concentración horizontal que genere un Δ</w:t>
            </w:r>
            <w:r w:rsidR="00F64EAA">
              <w:rPr>
                <w:rFonts w:ascii="Arial" w:eastAsia="Times New Roman" w:hAnsi="Arial" w:cs="Arial"/>
                <w:color w:val="000000"/>
                <w:sz w:val="18"/>
                <w:szCs w:val="18"/>
                <w:lang w:eastAsia="es-MX"/>
              </w:rPr>
              <w:t>I</w:t>
            </w:r>
            <w:r w:rsidRPr="00C9666A">
              <w:rPr>
                <w:rFonts w:ascii="Arial" w:eastAsia="Times New Roman" w:hAnsi="Arial" w:cs="Arial"/>
                <w:color w:val="000000"/>
                <w:sz w:val="18"/>
                <w:szCs w:val="18"/>
                <w:lang w:eastAsia="es-MX"/>
              </w:rPr>
              <w:t xml:space="preserve">HH &lt; 150 </w:t>
            </w:r>
            <w:r w:rsidR="00D43ADE" w:rsidRPr="00C9666A">
              <w:rPr>
                <w:rFonts w:ascii="Arial" w:eastAsia="Times New Roman" w:hAnsi="Arial" w:cs="Arial"/>
                <w:color w:val="000000"/>
                <w:sz w:val="18"/>
                <w:szCs w:val="18"/>
                <w:lang w:eastAsia="es-MX"/>
              </w:rPr>
              <w:t xml:space="preserve">puntos </w:t>
            </w:r>
            <w:r w:rsidRPr="00C9666A">
              <w:rPr>
                <w:rFonts w:ascii="Arial" w:eastAsia="Times New Roman" w:hAnsi="Arial" w:cs="Arial"/>
                <w:color w:val="000000"/>
                <w:sz w:val="18"/>
                <w:szCs w:val="18"/>
                <w:lang w:eastAsia="es-MX"/>
              </w:rPr>
              <w:t>cause preocupación.</w:t>
            </w:r>
          </w:p>
        </w:tc>
      </w:tr>
      <w:tr w:rsidR="00EB63CB" w:rsidRPr="00C9666A" w14:paraId="7F1A62AA" w14:textId="77777777" w:rsidTr="000E0124">
        <w:trPr>
          <w:jc w:val="center"/>
        </w:trPr>
        <w:tc>
          <w:tcPr>
            <w:tcW w:w="1852" w:type="dxa"/>
          </w:tcPr>
          <w:p w14:paraId="2F023653" w14:textId="77777777"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Unión Europea</w:t>
            </w:r>
          </w:p>
          <w:p w14:paraId="02EADABC" w14:textId="77777777" w:rsidR="00EB63CB" w:rsidRPr="00C9666A" w:rsidRDefault="00EB63CB"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w:t>
            </w:r>
            <w:r w:rsidR="00676F73" w:rsidRPr="00C9666A">
              <w:rPr>
                <w:rFonts w:ascii="Arial" w:eastAsia="Times New Roman" w:hAnsi="Arial" w:cs="Arial"/>
                <w:color w:val="000000"/>
                <w:sz w:val="18"/>
                <w:szCs w:val="18"/>
                <w:lang w:eastAsia="es-MX"/>
              </w:rPr>
              <w:t>CE</w:t>
            </w:r>
            <w:r w:rsidRPr="00C9666A">
              <w:rPr>
                <w:rFonts w:ascii="Arial" w:eastAsia="Times New Roman" w:hAnsi="Arial" w:cs="Arial"/>
                <w:color w:val="000000"/>
                <w:sz w:val="18"/>
                <w:szCs w:val="18"/>
                <w:lang w:eastAsia="es-MX"/>
              </w:rPr>
              <w:t>)</w:t>
            </w:r>
          </w:p>
        </w:tc>
        <w:tc>
          <w:tcPr>
            <w:tcW w:w="7493" w:type="dxa"/>
          </w:tcPr>
          <w:p w14:paraId="5B5E02A8" w14:textId="0AF85BD7" w:rsidR="00EB63CB" w:rsidRPr="00C9666A" w:rsidRDefault="00676F73" w:rsidP="00C9666A">
            <w:pPr>
              <w:autoSpaceDE w:val="0"/>
              <w:autoSpaceDN w:val="0"/>
              <w:adjustRightInd w:val="0"/>
              <w:spacing w:before="120" w:after="120" w:line="276" w:lineRule="auto"/>
              <w:ind w:right="-1"/>
              <w:jc w:val="both"/>
              <w:rPr>
                <w:rFonts w:ascii="Arial" w:hAnsi="Arial" w:cs="Arial"/>
                <w:sz w:val="18"/>
                <w:szCs w:val="18"/>
              </w:rPr>
            </w:pPr>
            <w:r w:rsidRPr="00C9666A">
              <w:rPr>
                <w:rFonts w:ascii="Arial" w:eastAsia="Times New Roman" w:hAnsi="Arial" w:cs="Arial"/>
                <w:color w:val="000000"/>
                <w:sz w:val="18"/>
                <w:szCs w:val="18"/>
                <w:lang w:eastAsia="es-MX"/>
              </w:rPr>
              <w:t>La Comisión Europea (CE) señala que</w:t>
            </w:r>
            <w:r w:rsidR="00EB63CB" w:rsidRPr="00C9666A">
              <w:rPr>
                <w:rFonts w:ascii="Arial" w:eastAsia="Times New Roman" w:hAnsi="Arial" w:cs="Arial"/>
                <w:color w:val="000000"/>
                <w:sz w:val="18"/>
                <w:szCs w:val="18"/>
                <w:lang w:eastAsia="es-MX"/>
              </w:rPr>
              <w:t xml:space="preserve"> las participaciones de mercado </w:t>
            </w:r>
            <w:r w:rsidR="00EB63CB" w:rsidRPr="00C9666A">
              <w:rPr>
                <w:rFonts w:ascii="Arial" w:eastAsia="Times New Roman" w:hAnsi="Arial" w:cs="Arial"/>
                <w:b/>
                <w:color w:val="000000"/>
                <w:sz w:val="18"/>
                <w:szCs w:val="18"/>
                <w:lang w:eastAsia="es-MX"/>
              </w:rPr>
              <w:t>superiores al 50%</w:t>
            </w:r>
            <w:r w:rsidR="00EB63CB" w:rsidRPr="00C9666A">
              <w:rPr>
                <w:rFonts w:ascii="Arial" w:eastAsia="Times New Roman" w:hAnsi="Arial" w:cs="Arial"/>
                <w:color w:val="000000"/>
                <w:sz w:val="18"/>
                <w:szCs w:val="18"/>
                <w:lang w:eastAsia="es-MX"/>
              </w:rPr>
              <w:t xml:space="preserve"> pueden probar por sí mismas la existencia de una posición </w:t>
            </w:r>
            <w:r w:rsidR="00EB63CB" w:rsidRPr="00C9666A">
              <w:rPr>
                <w:rFonts w:ascii="Arial" w:eastAsia="Times New Roman" w:hAnsi="Arial" w:cs="Arial"/>
                <w:b/>
                <w:color w:val="000000"/>
                <w:sz w:val="18"/>
                <w:szCs w:val="18"/>
                <w:lang w:eastAsia="es-MX"/>
              </w:rPr>
              <w:t>dominante</w:t>
            </w:r>
            <w:r w:rsidR="00EB63CB" w:rsidRPr="00C9666A">
              <w:rPr>
                <w:rFonts w:ascii="Arial" w:eastAsia="Times New Roman" w:hAnsi="Arial" w:cs="Arial"/>
                <w:color w:val="000000"/>
                <w:sz w:val="18"/>
                <w:szCs w:val="18"/>
                <w:lang w:eastAsia="es-MX"/>
              </w:rPr>
              <w:t xml:space="preserve">. Asimismo, la CE ha considerado que determinadas concentraciones que daban lugar a empresas con participaciones de mercado entre </w:t>
            </w:r>
            <w:r w:rsidR="00EB63CB" w:rsidRPr="00C9666A">
              <w:rPr>
                <w:rFonts w:ascii="Arial" w:eastAsia="Times New Roman" w:hAnsi="Arial" w:cs="Arial"/>
                <w:b/>
                <w:color w:val="000000"/>
                <w:sz w:val="18"/>
                <w:szCs w:val="18"/>
                <w:lang w:eastAsia="es-MX"/>
              </w:rPr>
              <w:t>40% y 50%,</w:t>
            </w:r>
            <w:r w:rsidR="00EB63CB" w:rsidRPr="00C9666A">
              <w:rPr>
                <w:rFonts w:ascii="Arial" w:eastAsia="Times New Roman" w:hAnsi="Arial" w:cs="Arial"/>
                <w:color w:val="000000"/>
                <w:sz w:val="18"/>
                <w:szCs w:val="18"/>
                <w:lang w:eastAsia="es-MX"/>
              </w:rPr>
              <w:t xml:space="preserve"> y en algunos casos incluso por debajo de 40%, creaban o reforzaban una posición dominante</w:t>
            </w:r>
            <w:r w:rsidR="00EB63CB" w:rsidRPr="00C9666A">
              <w:rPr>
                <w:rFonts w:ascii="Arial" w:hAnsi="Arial" w:cs="Arial"/>
                <w:sz w:val="18"/>
                <w:szCs w:val="18"/>
              </w:rPr>
              <w:t>.</w:t>
            </w:r>
            <w:r w:rsidR="00054D3F" w:rsidRPr="00C9666A">
              <w:rPr>
                <w:rStyle w:val="Refdenotaalpie"/>
                <w:rFonts w:ascii="Arial" w:eastAsia="Times New Roman" w:hAnsi="Arial" w:cs="Arial"/>
                <w:color w:val="000000"/>
                <w:sz w:val="18"/>
                <w:szCs w:val="18"/>
                <w:lang w:eastAsia="es-MX"/>
              </w:rPr>
              <w:footnoteReference w:id="28"/>
            </w:r>
          </w:p>
          <w:p w14:paraId="42701B0A" w14:textId="51D10F37" w:rsidR="00EB63CB" w:rsidRPr="00C9666A" w:rsidRDefault="00EB63CB" w:rsidP="00A87D4D">
            <w:pPr>
              <w:autoSpaceDE w:val="0"/>
              <w:autoSpaceDN w:val="0"/>
              <w:adjustRightInd w:val="0"/>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Es improbable que la CE detecte problemas de competencia horizontal en un mercado en el que después de la concentración se tenga lo siguiente:</w:t>
            </w:r>
          </w:p>
          <w:p w14:paraId="61CA1BF5" w14:textId="77777777" w:rsidR="00EB63CB" w:rsidRPr="00DC4B1D" w:rsidRDefault="00193362" w:rsidP="00A87D4D">
            <w:pPr>
              <w:pStyle w:val="Prrafodelista"/>
              <w:numPr>
                <w:ilvl w:val="0"/>
                <w:numId w:val="11"/>
              </w:numPr>
              <w:autoSpaceDE w:val="0"/>
              <w:autoSpaceDN w:val="0"/>
              <w:adjustRightInd w:val="0"/>
              <w:spacing w:before="120" w:after="120" w:line="276" w:lineRule="auto"/>
              <w:ind w:left="549"/>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w:t>
            </w:r>
            <w:r w:rsidR="00EB63CB" w:rsidRPr="00C9666A">
              <w:rPr>
                <w:rFonts w:ascii="Arial" w:eastAsia="Times New Roman" w:hAnsi="Arial" w:cs="Arial"/>
                <w:color w:val="000000"/>
                <w:sz w:val="18"/>
                <w:szCs w:val="18"/>
                <w:lang w:eastAsia="es-MX"/>
              </w:rPr>
              <w:t xml:space="preserve"> &lt; 1,</w:t>
            </w:r>
            <w:r w:rsidR="00EB63CB" w:rsidRPr="00DC4B1D">
              <w:rPr>
                <w:rFonts w:ascii="Arial" w:eastAsia="Times New Roman" w:hAnsi="Arial" w:cs="Arial"/>
                <w:color w:val="000000"/>
                <w:sz w:val="18"/>
                <w:szCs w:val="18"/>
                <w:lang w:eastAsia="es-MX"/>
              </w:rPr>
              <w:t>000</w:t>
            </w:r>
            <w:r w:rsidR="00054D3F" w:rsidRPr="00DC4B1D">
              <w:rPr>
                <w:rFonts w:ascii="Arial" w:eastAsia="Times New Roman" w:hAnsi="Arial" w:cs="Arial"/>
                <w:color w:val="000000"/>
                <w:sz w:val="18"/>
                <w:szCs w:val="18"/>
                <w:lang w:eastAsia="es-MX"/>
              </w:rPr>
              <w:t xml:space="preserve"> puntos</w:t>
            </w:r>
            <w:r w:rsidR="00EB63CB" w:rsidRPr="00DC4B1D">
              <w:rPr>
                <w:rFonts w:ascii="Arial" w:eastAsia="Times New Roman" w:hAnsi="Arial" w:cs="Arial"/>
                <w:color w:val="000000"/>
                <w:sz w:val="18"/>
                <w:szCs w:val="18"/>
                <w:lang w:eastAsia="es-MX"/>
              </w:rPr>
              <w:t>;</w:t>
            </w:r>
          </w:p>
          <w:p w14:paraId="219F713A" w14:textId="661C9B1B" w:rsidR="00054D3F" w:rsidRPr="00DC4B1D" w:rsidRDefault="00EB63CB" w:rsidP="00A87D4D">
            <w:pPr>
              <w:pStyle w:val="Prrafodelista"/>
              <w:numPr>
                <w:ilvl w:val="0"/>
                <w:numId w:val="11"/>
              </w:numPr>
              <w:autoSpaceDE w:val="0"/>
              <w:autoSpaceDN w:val="0"/>
              <w:adjustRightInd w:val="0"/>
              <w:spacing w:before="120" w:after="120" w:line="276" w:lineRule="auto"/>
              <w:ind w:left="549"/>
              <w:contextualSpacing w:val="0"/>
              <w:jc w:val="both"/>
              <w:rPr>
                <w:rFonts w:ascii="Arial" w:eastAsia="Times New Roman" w:hAnsi="Arial" w:cs="Arial"/>
                <w:color w:val="000000"/>
                <w:sz w:val="18"/>
                <w:szCs w:val="18"/>
                <w:lang w:eastAsia="es-MX"/>
              </w:rPr>
            </w:pPr>
            <w:r w:rsidRPr="00DC4B1D">
              <w:rPr>
                <w:rFonts w:ascii="Arial" w:eastAsia="Times New Roman" w:hAnsi="Arial" w:cs="Arial"/>
                <w:color w:val="000000"/>
                <w:sz w:val="18"/>
                <w:szCs w:val="18"/>
                <w:lang w:eastAsia="es-MX"/>
              </w:rPr>
              <w:t xml:space="preserve">1,000 &lt; </w:t>
            </w:r>
            <w:r w:rsidR="00193362" w:rsidRPr="00DC4B1D">
              <w:rPr>
                <w:rFonts w:ascii="Arial" w:eastAsia="Times New Roman" w:hAnsi="Arial" w:cs="Arial"/>
                <w:color w:val="000000"/>
                <w:sz w:val="18"/>
                <w:szCs w:val="18"/>
                <w:lang w:eastAsia="es-MX"/>
              </w:rPr>
              <w:t>IHH</w:t>
            </w:r>
            <w:r w:rsidRPr="00DC4B1D">
              <w:rPr>
                <w:rFonts w:ascii="Arial" w:eastAsia="Times New Roman" w:hAnsi="Arial" w:cs="Arial"/>
                <w:color w:val="000000"/>
                <w:sz w:val="18"/>
                <w:szCs w:val="18"/>
                <w:lang w:eastAsia="es-MX"/>
              </w:rPr>
              <w:t xml:space="preserve"> &lt; 2,000 y Δ</w:t>
            </w:r>
            <w:r w:rsidR="00892B14" w:rsidRPr="00DC4B1D">
              <w:rPr>
                <w:rFonts w:ascii="Arial" w:eastAsia="Times New Roman" w:hAnsi="Arial" w:cs="Arial"/>
                <w:color w:val="000000"/>
                <w:sz w:val="18"/>
                <w:szCs w:val="18"/>
                <w:lang w:eastAsia="es-MX"/>
              </w:rPr>
              <w:t>I</w:t>
            </w:r>
            <w:r w:rsidRPr="00DC4B1D">
              <w:rPr>
                <w:rFonts w:ascii="Arial" w:eastAsia="Times New Roman" w:hAnsi="Arial" w:cs="Arial"/>
                <w:color w:val="000000"/>
                <w:sz w:val="18"/>
                <w:szCs w:val="18"/>
                <w:lang w:eastAsia="es-MX"/>
              </w:rPr>
              <w:t>HH &lt; 250</w:t>
            </w:r>
            <w:r w:rsidR="00054D3F" w:rsidRPr="00DC4B1D">
              <w:rPr>
                <w:rFonts w:ascii="Arial" w:eastAsia="Times New Roman" w:hAnsi="Arial" w:cs="Arial"/>
                <w:color w:val="000000"/>
                <w:sz w:val="18"/>
                <w:szCs w:val="18"/>
                <w:lang w:eastAsia="es-MX"/>
              </w:rPr>
              <w:t xml:space="preserve"> puntos</w:t>
            </w:r>
            <w:r w:rsidRPr="00DC4B1D">
              <w:rPr>
                <w:rFonts w:ascii="Arial" w:eastAsia="Times New Roman" w:hAnsi="Arial" w:cs="Arial"/>
                <w:color w:val="000000"/>
                <w:sz w:val="18"/>
                <w:szCs w:val="18"/>
                <w:lang w:eastAsia="es-MX"/>
              </w:rPr>
              <w:t>; o</w:t>
            </w:r>
          </w:p>
          <w:p w14:paraId="0FB13C1B" w14:textId="6121647F" w:rsidR="00EB63CB" w:rsidRPr="00CC256D" w:rsidRDefault="00193362" w:rsidP="00A87D4D">
            <w:pPr>
              <w:pStyle w:val="Prrafodelista"/>
              <w:numPr>
                <w:ilvl w:val="0"/>
                <w:numId w:val="11"/>
              </w:numPr>
              <w:autoSpaceDE w:val="0"/>
              <w:autoSpaceDN w:val="0"/>
              <w:adjustRightInd w:val="0"/>
              <w:spacing w:before="120" w:after="120" w:line="276" w:lineRule="auto"/>
              <w:ind w:left="549"/>
              <w:contextualSpacing w:val="0"/>
              <w:jc w:val="both"/>
              <w:rPr>
                <w:rFonts w:ascii="Arial" w:eastAsia="Times New Roman" w:hAnsi="Arial" w:cs="Arial"/>
                <w:color w:val="000000"/>
                <w:sz w:val="18"/>
                <w:szCs w:val="18"/>
                <w:lang w:eastAsia="es-MX"/>
              </w:rPr>
            </w:pPr>
            <w:r w:rsidRPr="00DC4B1D">
              <w:rPr>
                <w:rFonts w:ascii="Arial" w:eastAsia="Times New Roman" w:hAnsi="Arial" w:cs="Arial"/>
                <w:color w:val="000000"/>
                <w:sz w:val="18"/>
                <w:szCs w:val="18"/>
                <w:lang w:eastAsia="es-MX"/>
              </w:rPr>
              <w:t>IHH</w:t>
            </w:r>
            <w:r w:rsidR="00EB63CB" w:rsidRPr="00DC4B1D">
              <w:rPr>
                <w:rFonts w:ascii="Arial" w:eastAsia="Times New Roman" w:hAnsi="Arial" w:cs="Arial"/>
                <w:color w:val="000000"/>
                <w:sz w:val="18"/>
                <w:szCs w:val="18"/>
                <w:lang w:eastAsia="es-MX"/>
              </w:rPr>
              <w:t xml:space="preserve"> &gt; 2,000 y Δ</w:t>
            </w:r>
            <w:r w:rsidR="00892B14" w:rsidRPr="00DC4B1D">
              <w:rPr>
                <w:rFonts w:ascii="Arial" w:eastAsia="Times New Roman" w:hAnsi="Arial" w:cs="Arial"/>
                <w:color w:val="000000"/>
                <w:sz w:val="18"/>
                <w:szCs w:val="18"/>
                <w:lang w:eastAsia="es-MX"/>
              </w:rPr>
              <w:t>I</w:t>
            </w:r>
            <w:r w:rsidR="00EB63CB" w:rsidRPr="00DC4B1D">
              <w:rPr>
                <w:rFonts w:ascii="Arial" w:eastAsia="Times New Roman" w:hAnsi="Arial" w:cs="Arial"/>
                <w:color w:val="000000"/>
                <w:sz w:val="18"/>
                <w:szCs w:val="18"/>
                <w:lang w:eastAsia="es-MX"/>
              </w:rPr>
              <w:t>HH &lt; 150</w:t>
            </w:r>
            <w:r w:rsidR="00054D3F" w:rsidRPr="00C9666A">
              <w:rPr>
                <w:rFonts w:ascii="Arial" w:eastAsia="Times New Roman" w:hAnsi="Arial" w:cs="Arial"/>
                <w:color w:val="000000"/>
                <w:sz w:val="18"/>
                <w:szCs w:val="18"/>
                <w:lang w:eastAsia="es-MX"/>
              </w:rPr>
              <w:t xml:space="preserve"> puntos</w:t>
            </w:r>
            <w:r w:rsidR="00EB63CB" w:rsidRPr="00C9666A">
              <w:rPr>
                <w:rFonts w:ascii="Arial" w:eastAsia="Times New Roman" w:hAnsi="Arial" w:cs="Arial"/>
                <w:color w:val="000000"/>
                <w:sz w:val="18"/>
                <w:szCs w:val="18"/>
                <w:lang w:eastAsia="es-MX"/>
              </w:rPr>
              <w:t>.</w:t>
            </w:r>
          </w:p>
          <w:p w14:paraId="5BC78385" w14:textId="115562C5" w:rsidR="00EB63CB" w:rsidRPr="00C9666A" w:rsidRDefault="00EB63CB" w:rsidP="00A87D4D">
            <w:pPr>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Lo anterior, con excepción de que se den circunstancias especiales como una o varias de las siguientes:</w:t>
            </w:r>
          </w:p>
          <w:p w14:paraId="100D5C29" w14:textId="77777777" w:rsidR="00EB63CB" w:rsidRPr="00C9666A" w:rsidRDefault="00EB63CB" w:rsidP="00C9666A">
            <w:pPr>
              <w:pStyle w:val="Prrafodelista"/>
              <w:numPr>
                <w:ilvl w:val="0"/>
                <w:numId w:val="12"/>
              </w:numPr>
              <w:autoSpaceDE w:val="0"/>
              <w:autoSpaceDN w:val="0"/>
              <w:adjustRightInd w:val="0"/>
              <w:spacing w:before="120" w:after="120" w:line="276" w:lineRule="auto"/>
              <w:ind w:left="544"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Una concentración en la que participe un operador potencial o recién incorporado al mercado con una pequeña cuota de mercado;</w:t>
            </w:r>
          </w:p>
          <w:p w14:paraId="6B955860" w14:textId="77777777" w:rsidR="00EB63CB" w:rsidRPr="00C9666A" w:rsidRDefault="00EB63CB" w:rsidP="00C9666A">
            <w:pPr>
              <w:pStyle w:val="Prrafodelista"/>
              <w:numPr>
                <w:ilvl w:val="0"/>
                <w:numId w:val="12"/>
              </w:numPr>
              <w:autoSpaceDE w:val="0"/>
              <w:autoSpaceDN w:val="0"/>
              <w:adjustRightInd w:val="0"/>
              <w:spacing w:before="120" w:after="120" w:line="276" w:lineRule="auto"/>
              <w:ind w:left="544"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Una o varias de las partes de la concentración son innovadores importantes en un sentido que no se refleja en las cuotas de mercado;</w:t>
            </w:r>
          </w:p>
          <w:p w14:paraId="5B6C3FA7" w14:textId="77777777" w:rsidR="00EB63CB" w:rsidRPr="00C9666A" w:rsidRDefault="00EB63CB" w:rsidP="00C9666A">
            <w:pPr>
              <w:pStyle w:val="Prrafodelista"/>
              <w:numPr>
                <w:ilvl w:val="0"/>
                <w:numId w:val="12"/>
              </w:numPr>
              <w:autoSpaceDE w:val="0"/>
              <w:autoSpaceDN w:val="0"/>
              <w:adjustRightInd w:val="0"/>
              <w:spacing w:before="120" w:after="120" w:line="276" w:lineRule="auto"/>
              <w:ind w:left="544"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Hay un elevado volumen de participaciones cruzadas entre los operadores del mercado;</w:t>
            </w:r>
          </w:p>
          <w:p w14:paraId="62D2CF58" w14:textId="77777777" w:rsidR="00EB63CB" w:rsidRPr="00C9666A" w:rsidRDefault="00EB63CB" w:rsidP="00C9666A">
            <w:pPr>
              <w:pStyle w:val="Prrafodelista"/>
              <w:numPr>
                <w:ilvl w:val="0"/>
                <w:numId w:val="12"/>
              </w:numPr>
              <w:autoSpaceDE w:val="0"/>
              <w:autoSpaceDN w:val="0"/>
              <w:adjustRightInd w:val="0"/>
              <w:spacing w:before="120" w:after="120" w:line="276" w:lineRule="auto"/>
              <w:ind w:left="544" w:hanging="357"/>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Un</w:t>
            </w:r>
            <w:r w:rsidR="00F81E40" w:rsidRPr="00C9666A">
              <w:rPr>
                <w:rFonts w:ascii="Arial" w:eastAsia="Times New Roman" w:hAnsi="Arial" w:cs="Arial"/>
                <w:color w:val="000000"/>
                <w:sz w:val="18"/>
                <w:szCs w:val="18"/>
                <w:lang w:eastAsia="es-MX"/>
              </w:rPr>
              <w:t>o</w:t>
            </w:r>
            <w:r w:rsidRPr="00C9666A">
              <w:rPr>
                <w:rFonts w:ascii="Arial" w:eastAsia="Times New Roman" w:hAnsi="Arial" w:cs="Arial"/>
                <w:color w:val="000000"/>
                <w:sz w:val="18"/>
                <w:szCs w:val="18"/>
                <w:lang w:eastAsia="es-MX"/>
              </w:rPr>
              <w:t xml:space="preserve"> </w:t>
            </w:r>
            <w:r w:rsidR="00F81E40" w:rsidRPr="00C9666A">
              <w:rPr>
                <w:rFonts w:ascii="Arial" w:eastAsia="Times New Roman" w:hAnsi="Arial" w:cs="Arial"/>
                <w:color w:val="000000"/>
                <w:sz w:val="18"/>
                <w:szCs w:val="18"/>
                <w:lang w:eastAsia="es-MX"/>
              </w:rPr>
              <w:t>de los</w:t>
            </w:r>
            <w:r w:rsidRPr="00C9666A">
              <w:rPr>
                <w:rFonts w:ascii="Arial" w:eastAsia="Times New Roman" w:hAnsi="Arial" w:cs="Arial"/>
                <w:color w:val="000000"/>
                <w:sz w:val="18"/>
                <w:szCs w:val="18"/>
                <w:lang w:eastAsia="es-MX"/>
              </w:rPr>
              <w:t xml:space="preserve"> participantes en la concentración es una empresa disruptiva (</w:t>
            </w:r>
            <w:proofErr w:type="spellStart"/>
            <w:r w:rsidRPr="00C9666A">
              <w:rPr>
                <w:rFonts w:ascii="Arial" w:eastAsia="Times New Roman" w:hAnsi="Arial" w:cs="Arial"/>
                <w:i/>
                <w:color w:val="000000"/>
                <w:sz w:val="18"/>
                <w:szCs w:val="18"/>
                <w:lang w:eastAsia="es-MX"/>
              </w:rPr>
              <w:t>maverick</w:t>
            </w:r>
            <w:proofErr w:type="spellEnd"/>
            <w:r w:rsidRPr="00C9666A">
              <w:rPr>
                <w:rFonts w:ascii="Arial" w:eastAsia="Times New Roman" w:hAnsi="Arial" w:cs="Arial"/>
                <w:color w:val="000000"/>
                <w:sz w:val="18"/>
                <w:szCs w:val="18"/>
                <w:lang w:eastAsia="es-MX"/>
              </w:rPr>
              <w:t>) que muy probablemente romperá la conducta coordinada;</w:t>
            </w:r>
          </w:p>
          <w:p w14:paraId="4C694F77" w14:textId="77777777" w:rsidR="00EB63CB" w:rsidRPr="00C9666A" w:rsidRDefault="00EB63CB" w:rsidP="00C9666A">
            <w:pPr>
              <w:pStyle w:val="Prrafodelista"/>
              <w:numPr>
                <w:ilvl w:val="0"/>
                <w:numId w:val="12"/>
              </w:numPr>
              <w:autoSpaceDE w:val="0"/>
              <w:autoSpaceDN w:val="0"/>
              <w:adjustRightInd w:val="0"/>
              <w:spacing w:before="120" w:after="120" w:line="276" w:lineRule="auto"/>
              <w:ind w:left="549"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Hay indicios de coordinación –o de prácticas que la propicien– en el pasado o en el presente.</w:t>
            </w:r>
          </w:p>
        </w:tc>
      </w:tr>
      <w:tr w:rsidR="00227FB2" w:rsidRPr="00C9666A" w14:paraId="41D95EF9" w14:textId="77777777" w:rsidTr="000E0124">
        <w:trPr>
          <w:jc w:val="center"/>
        </w:trPr>
        <w:tc>
          <w:tcPr>
            <w:tcW w:w="1852" w:type="dxa"/>
          </w:tcPr>
          <w:p w14:paraId="52473DFE" w14:textId="1371C24D" w:rsidR="00227FB2" w:rsidRPr="00C9666A" w:rsidRDefault="00227FB2" w:rsidP="00C9666A">
            <w:pPr>
              <w:spacing w:before="120" w:after="120" w:line="276" w:lineRule="auto"/>
              <w:ind w:right="-1"/>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lastRenderedPageBreak/>
              <w:t>Nigeria</w:t>
            </w:r>
            <w:r w:rsidR="00D73744" w:rsidRPr="00C9666A">
              <w:rPr>
                <w:rFonts w:ascii="Arial" w:eastAsia="Times New Roman" w:hAnsi="Arial" w:cs="Arial"/>
                <w:color w:val="000000"/>
                <w:sz w:val="18"/>
                <w:szCs w:val="18"/>
                <w:lang w:eastAsia="es-MX"/>
              </w:rPr>
              <w:t xml:space="preserve"> (FCCPC)</w:t>
            </w:r>
          </w:p>
        </w:tc>
        <w:tc>
          <w:tcPr>
            <w:tcW w:w="7493" w:type="dxa"/>
          </w:tcPr>
          <w:p w14:paraId="15D0D557" w14:textId="3D5223BC" w:rsidR="00227FB2" w:rsidRPr="00C9666A" w:rsidRDefault="00227FB2" w:rsidP="00A87D4D">
            <w:pPr>
              <w:autoSpaceDE w:val="0"/>
              <w:autoSpaceDN w:val="0"/>
              <w:adjustRightInd w:val="0"/>
              <w:spacing w:before="120" w:after="120" w:line="276" w:lineRule="auto"/>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La Comisión Federal de Competencia y Protección al Consumidor (FCCPC por sus siglas en inglés) señala que en general, los problemas de competencia son poco probables con</w:t>
            </w:r>
            <w:r w:rsidR="00BF0D1F" w:rsidRPr="00C9666A">
              <w:rPr>
                <w:rFonts w:ascii="Arial" w:eastAsia="Times New Roman" w:hAnsi="Arial" w:cs="Arial"/>
                <w:color w:val="000000"/>
                <w:sz w:val="18"/>
                <w:szCs w:val="18"/>
                <w:lang w:eastAsia="es-MX"/>
              </w:rPr>
              <w:t xml:space="preserve"> después de la concentración se tiene</w:t>
            </w:r>
            <w:r w:rsidRPr="00C9666A">
              <w:rPr>
                <w:rFonts w:ascii="Arial" w:eastAsia="Times New Roman" w:hAnsi="Arial" w:cs="Arial"/>
                <w:color w:val="000000"/>
                <w:sz w:val="18"/>
                <w:szCs w:val="18"/>
                <w:lang w:eastAsia="es-MX"/>
              </w:rPr>
              <w:t>:</w:t>
            </w:r>
          </w:p>
          <w:p w14:paraId="757F472C" w14:textId="25B66D39" w:rsidR="00227FB2" w:rsidRPr="00C9666A" w:rsidRDefault="00BF0D1F" w:rsidP="00A87D4D">
            <w:pPr>
              <w:pStyle w:val="Prrafodelista"/>
              <w:numPr>
                <w:ilvl w:val="0"/>
                <w:numId w:val="41"/>
              </w:numPr>
              <w:autoSpaceDE w:val="0"/>
              <w:autoSpaceDN w:val="0"/>
              <w:adjustRightInd w:val="0"/>
              <w:spacing w:before="120" w:after="120" w:line="276" w:lineRule="auto"/>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IHH&lt;1,000</w:t>
            </w:r>
          </w:p>
          <w:p w14:paraId="6DF8FD36" w14:textId="451F1A79" w:rsidR="00BF0D1F" w:rsidRPr="00C9666A" w:rsidRDefault="00BF0D1F" w:rsidP="00A87D4D">
            <w:pPr>
              <w:pStyle w:val="Prrafodelista"/>
              <w:numPr>
                <w:ilvl w:val="0"/>
                <w:numId w:val="41"/>
              </w:numPr>
              <w:autoSpaceDE w:val="0"/>
              <w:autoSpaceDN w:val="0"/>
              <w:adjustRightInd w:val="0"/>
              <w:spacing w:before="120" w:after="120" w:line="276" w:lineRule="auto"/>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 xml:space="preserve">1,000&lt;IHH&lt;2,000, pero una </w:t>
            </w:r>
            <m:oMath>
              <m:r>
                <w:rPr>
                  <w:rFonts w:ascii="Cambria Math" w:eastAsia="Times New Roman" w:hAnsi="Cambria Math" w:cs="Arial"/>
                  <w:color w:val="000000"/>
                  <w:sz w:val="18"/>
                  <w:szCs w:val="18"/>
                  <w:lang w:eastAsia="es-MX"/>
                </w:rPr>
                <m:t>∆IHH</m:t>
              </m:r>
            </m:oMath>
            <w:r w:rsidRPr="00C9666A">
              <w:rPr>
                <w:rFonts w:ascii="Arial" w:eastAsia="Times New Roman" w:hAnsi="Arial" w:cs="Arial"/>
                <w:color w:val="000000"/>
                <w:sz w:val="18"/>
                <w:szCs w:val="18"/>
                <w:lang w:eastAsia="es-MX"/>
              </w:rPr>
              <w:t>&lt;250; y</w:t>
            </w:r>
          </w:p>
          <w:p w14:paraId="12221DAE" w14:textId="2FF4AA43" w:rsidR="00BF0D1F" w:rsidRPr="00C9666A" w:rsidRDefault="00BF0D1F" w:rsidP="00A87D4D">
            <w:pPr>
              <w:pStyle w:val="Prrafodelista"/>
              <w:numPr>
                <w:ilvl w:val="0"/>
                <w:numId w:val="41"/>
              </w:numPr>
              <w:autoSpaceDE w:val="0"/>
              <w:autoSpaceDN w:val="0"/>
              <w:adjustRightInd w:val="0"/>
              <w:spacing w:before="120" w:after="120" w:line="276" w:lineRule="auto"/>
              <w:contextualSpacing w:val="0"/>
              <w:jc w:val="both"/>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IHH&gt;2,00</w:t>
            </w:r>
            <w:r w:rsidR="00CC256D">
              <w:rPr>
                <w:rFonts w:ascii="Arial" w:eastAsia="Times New Roman" w:hAnsi="Arial" w:cs="Arial"/>
                <w:color w:val="000000"/>
                <w:sz w:val="18"/>
                <w:szCs w:val="18"/>
                <w:lang w:eastAsia="es-MX"/>
              </w:rPr>
              <w:t>0</w:t>
            </w:r>
            <w:r w:rsidRPr="00C9666A">
              <w:rPr>
                <w:rFonts w:ascii="Arial" w:eastAsia="Times New Roman" w:hAnsi="Arial" w:cs="Arial"/>
                <w:color w:val="000000"/>
                <w:sz w:val="18"/>
                <w:szCs w:val="18"/>
                <w:lang w:eastAsia="es-MX"/>
              </w:rPr>
              <w:t xml:space="preserve">, pero una </w:t>
            </w:r>
            <m:oMath>
              <m:r>
                <w:rPr>
                  <w:rFonts w:ascii="Cambria Math" w:eastAsia="Times New Roman" w:hAnsi="Cambria Math" w:cs="Arial"/>
                  <w:color w:val="000000"/>
                  <w:sz w:val="18"/>
                  <w:szCs w:val="18"/>
                  <w:lang w:eastAsia="es-MX"/>
                </w:rPr>
                <m:t>∆IHH</m:t>
              </m:r>
            </m:oMath>
            <w:r w:rsidRPr="00C9666A">
              <w:rPr>
                <w:rFonts w:ascii="Arial" w:eastAsia="Times New Roman" w:hAnsi="Arial" w:cs="Arial"/>
                <w:color w:val="000000"/>
                <w:sz w:val="18"/>
                <w:szCs w:val="18"/>
                <w:lang w:eastAsia="es-MX"/>
              </w:rPr>
              <w:t>&lt;150</w:t>
            </w:r>
          </w:p>
        </w:tc>
      </w:tr>
    </w:tbl>
    <w:p w14:paraId="73558595" w14:textId="57E63970" w:rsidR="002D5256" w:rsidRDefault="002D5256" w:rsidP="00C9666A">
      <w:pPr>
        <w:pStyle w:val="Default"/>
        <w:spacing w:before="120" w:after="120" w:line="276" w:lineRule="auto"/>
        <w:ind w:right="-1"/>
        <w:jc w:val="both"/>
        <w:rPr>
          <w:rFonts w:ascii="Arial" w:hAnsi="Arial" w:cs="Arial"/>
          <w:color w:val="auto"/>
          <w:sz w:val="22"/>
          <w:szCs w:val="22"/>
        </w:rPr>
      </w:pPr>
      <w:r>
        <w:rPr>
          <w:rFonts w:ascii="Arial" w:hAnsi="Arial" w:cs="Arial"/>
          <w:sz w:val="22"/>
          <w:szCs w:val="22"/>
        </w:rPr>
        <w:t xml:space="preserve">Adicionalmente, de acuerdo a la </w:t>
      </w:r>
      <w:r w:rsidRPr="00C9666A">
        <w:rPr>
          <w:rFonts w:ascii="Arial" w:hAnsi="Arial" w:cs="Arial"/>
          <w:color w:val="auto"/>
          <w:sz w:val="22"/>
          <w:szCs w:val="22"/>
        </w:rPr>
        <w:t>Red Internacional de Competencia</w:t>
      </w:r>
      <w:r>
        <w:rPr>
          <w:rFonts w:ascii="Arial" w:hAnsi="Arial" w:cs="Arial"/>
          <w:color w:val="auto"/>
          <w:sz w:val="22"/>
          <w:szCs w:val="22"/>
        </w:rPr>
        <w:t xml:space="preserve">, en su reporte de proyecto de </w:t>
      </w:r>
      <w:r w:rsidR="00597CF9">
        <w:rPr>
          <w:rFonts w:ascii="Arial" w:hAnsi="Arial" w:cs="Arial"/>
          <w:color w:val="auto"/>
          <w:sz w:val="22"/>
          <w:szCs w:val="22"/>
        </w:rPr>
        <w:t xml:space="preserve">conglomerados, mencionan que de acuerdo a una encuesta realizada a </w:t>
      </w:r>
      <w:r w:rsidR="00521F3A">
        <w:rPr>
          <w:rFonts w:ascii="Arial" w:hAnsi="Arial" w:cs="Arial"/>
          <w:color w:val="auto"/>
          <w:sz w:val="22"/>
          <w:szCs w:val="22"/>
        </w:rPr>
        <w:t>34</w:t>
      </w:r>
      <w:r w:rsidR="00597CF9">
        <w:rPr>
          <w:rFonts w:ascii="Arial" w:hAnsi="Arial" w:cs="Arial"/>
          <w:color w:val="auto"/>
          <w:sz w:val="22"/>
          <w:szCs w:val="22"/>
        </w:rPr>
        <w:t xml:space="preserve"> </w:t>
      </w:r>
      <w:r w:rsidR="004E006E">
        <w:rPr>
          <w:rFonts w:ascii="Arial" w:hAnsi="Arial" w:cs="Arial"/>
          <w:color w:val="auto"/>
          <w:sz w:val="22"/>
          <w:szCs w:val="22"/>
        </w:rPr>
        <w:t xml:space="preserve">(treinta y cuatro) </w:t>
      </w:r>
      <w:r w:rsidR="00597CF9">
        <w:rPr>
          <w:rFonts w:ascii="Arial" w:hAnsi="Arial" w:cs="Arial"/>
          <w:color w:val="auto"/>
          <w:sz w:val="22"/>
          <w:szCs w:val="22"/>
        </w:rPr>
        <w:t xml:space="preserve">países miembros de la red para comprender el proceso de revisión en la práctica de fusiones de conglomerado, </w:t>
      </w:r>
      <w:r w:rsidR="00521F3A">
        <w:rPr>
          <w:rFonts w:ascii="Arial" w:hAnsi="Arial" w:cs="Arial"/>
          <w:color w:val="auto"/>
          <w:sz w:val="22"/>
          <w:szCs w:val="22"/>
        </w:rPr>
        <w:t xml:space="preserve">10 </w:t>
      </w:r>
      <w:r w:rsidR="0024491A">
        <w:rPr>
          <w:rFonts w:ascii="Arial" w:hAnsi="Arial" w:cs="Arial"/>
          <w:color w:val="auto"/>
          <w:sz w:val="22"/>
          <w:szCs w:val="22"/>
        </w:rPr>
        <w:t xml:space="preserve">(diez) </w:t>
      </w:r>
      <w:r w:rsidR="00521F3A">
        <w:rPr>
          <w:rFonts w:ascii="Arial" w:hAnsi="Arial" w:cs="Arial"/>
          <w:color w:val="auto"/>
          <w:sz w:val="22"/>
          <w:szCs w:val="22"/>
        </w:rPr>
        <w:t xml:space="preserve">de esas autoridades </w:t>
      </w:r>
      <w:r w:rsidR="00B81102">
        <w:rPr>
          <w:rFonts w:ascii="Arial" w:hAnsi="Arial" w:cs="Arial"/>
          <w:color w:val="auto"/>
          <w:sz w:val="22"/>
          <w:szCs w:val="22"/>
        </w:rPr>
        <w:t xml:space="preserve">confían en una combinación de participación de mercado e IHH para implementar medidas estructurales y 6 </w:t>
      </w:r>
      <w:r w:rsidR="004E006E">
        <w:rPr>
          <w:rFonts w:ascii="Arial" w:hAnsi="Arial" w:cs="Arial"/>
          <w:color w:val="auto"/>
          <w:sz w:val="22"/>
          <w:szCs w:val="22"/>
        </w:rPr>
        <w:t xml:space="preserve">(seis) </w:t>
      </w:r>
      <w:r w:rsidR="00B81102">
        <w:rPr>
          <w:rFonts w:ascii="Arial" w:hAnsi="Arial" w:cs="Arial"/>
          <w:color w:val="auto"/>
          <w:sz w:val="22"/>
          <w:szCs w:val="22"/>
        </w:rPr>
        <w:t xml:space="preserve">de ellas dependen exclusivamente de la </w:t>
      </w:r>
      <w:r w:rsidR="0082451F">
        <w:rPr>
          <w:rFonts w:ascii="Arial" w:hAnsi="Arial" w:cs="Arial"/>
          <w:color w:val="auto"/>
          <w:sz w:val="22"/>
          <w:szCs w:val="22"/>
        </w:rPr>
        <w:t xml:space="preserve">participación </w:t>
      </w:r>
      <w:r w:rsidR="00B81102">
        <w:rPr>
          <w:rFonts w:ascii="Arial" w:hAnsi="Arial" w:cs="Arial"/>
          <w:color w:val="auto"/>
          <w:sz w:val="22"/>
          <w:szCs w:val="22"/>
        </w:rPr>
        <w:t>de mercado</w:t>
      </w:r>
      <w:r w:rsidR="00FD7F52">
        <w:rPr>
          <w:rFonts w:ascii="Arial" w:hAnsi="Arial" w:cs="Arial"/>
          <w:color w:val="auto"/>
          <w:sz w:val="22"/>
          <w:szCs w:val="22"/>
        </w:rPr>
        <w:t xml:space="preserve">. Para estas autoridades generalmente se considera que las funciones de conglomerados no plantean problemas de competencia si la participación de mercado después de la concentración está por debajo del 25-30% en cada mercado definido y con un </w:t>
      </w:r>
      <w:r w:rsidR="0082451F">
        <w:rPr>
          <w:rFonts w:ascii="Arial" w:hAnsi="Arial" w:cs="Arial"/>
          <w:color w:val="auto"/>
          <w:sz w:val="22"/>
          <w:szCs w:val="22"/>
        </w:rPr>
        <w:t>I</w:t>
      </w:r>
      <w:r w:rsidR="00FD7F52">
        <w:rPr>
          <w:rFonts w:ascii="Arial" w:hAnsi="Arial" w:cs="Arial"/>
          <w:color w:val="auto"/>
          <w:sz w:val="22"/>
          <w:szCs w:val="22"/>
        </w:rPr>
        <w:t>HH por debajo de 2,000</w:t>
      </w:r>
      <w:r w:rsidR="0082451F">
        <w:rPr>
          <w:rFonts w:ascii="Arial" w:hAnsi="Arial" w:cs="Arial"/>
          <w:color w:val="auto"/>
          <w:sz w:val="22"/>
          <w:szCs w:val="22"/>
        </w:rPr>
        <w:t xml:space="preserve"> puntos</w:t>
      </w:r>
      <w:r w:rsidR="00FD7F52">
        <w:rPr>
          <w:rFonts w:ascii="Arial" w:hAnsi="Arial" w:cs="Arial"/>
          <w:color w:val="auto"/>
          <w:sz w:val="22"/>
          <w:szCs w:val="22"/>
        </w:rPr>
        <w:t>.</w:t>
      </w:r>
      <w:r w:rsidR="000657A0" w:rsidRPr="000657A0">
        <w:rPr>
          <w:rStyle w:val="Refdenotaalpie"/>
          <w:rFonts w:ascii="Arial" w:hAnsi="Arial" w:cs="Arial"/>
        </w:rPr>
        <w:t xml:space="preserve"> </w:t>
      </w:r>
      <w:r w:rsidR="000657A0" w:rsidRPr="00C9666A">
        <w:rPr>
          <w:rStyle w:val="Refdenotaalpie"/>
          <w:rFonts w:ascii="Arial" w:hAnsi="Arial" w:cs="Arial"/>
        </w:rPr>
        <w:footnoteReference w:id="29"/>
      </w:r>
    </w:p>
    <w:p w14:paraId="13942649" w14:textId="604C990B" w:rsidR="006B2A0C" w:rsidRPr="00C9666A" w:rsidRDefault="004648FF"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En el ámbito internacional, existen pocas referencias específicas para los mercados en</w:t>
      </w:r>
      <w:r w:rsidR="00D227B2" w:rsidRPr="00C9666A">
        <w:rPr>
          <w:rFonts w:ascii="Arial" w:hAnsi="Arial" w:cs="Arial"/>
          <w:sz w:val="22"/>
          <w:szCs w:val="22"/>
        </w:rPr>
        <w:t xml:space="preserve"> los sectores de</w:t>
      </w:r>
      <w:r w:rsidRPr="00C9666A">
        <w:rPr>
          <w:rFonts w:ascii="Arial" w:hAnsi="Arial" w:cs="Arial"/>
          <w:sz w:val="22"/>
          <w:szCs w:val="22"/>
        </w:rPr>
        <w:t xml:space="preserve"> telecomunicaciones y radiodifusión</w:t>
      </w:r>
      <w:r w:rsidR="006B2A0C" w:rsidRPr="00C9666A">
        <w:rPr>
          <w:rFonts w:ascii="Arial" w:hAnsi="Arial" w:cs="Arial"/>
          <w:sz w:val="22"/>
          <w:szCs w:val="22"/>
        </w:rPr>
        <w:t>.</w:t>
      </w:r>
      <w:r w:rsidR="00A23053" w:rsidRPr="00C9666A">
        <w:rPr>
          <w:rFonts w:ascii="Arial" w:hAnsi="Arial" w:cs="Arial"/>
          <w:sz w:val="22"/>
          <w:szCs w:val="22"/>
        </w:rPr>
        <w:t xml:space="preserve"> En el siguiente cuadro se presenta</w:t>
      </w:r>
      <w:r w:rsidR="00EB63CB" w:rsidRPr="00C9666A">
        <w:rPr>
          <w:rFonts w:ascii="Arial" w:hAnsi="Arial" w:cs="Arial"/>
          <w:sz w:val="22"/>
          <w:szCs w:val="22"/>
        </w:rPr>
        <w:t>n algunos criterios establecidos en la jurisdicción de l</w:t>
      </w:r>
      <w:r w:rsidR="00A23053" w:rsidRPr="00C9666A">
        <w:rPr>
          <w:rFonts w:ascii="Arial" w:hAnsi="Arial" w:cs="Arial"/>
          <w:sz w:val="22"/>
          <w:szCs w:val="22"/>
        </w:rPr>
        <w:t>a India.</w:t>
      </w:r>
      <w:r w:rsidR="006B2A0C" w:rsidRPr="00C9666A">
        <w:rPr>
          <w:rFonts w:ascii="Arial" w:hAnsi="Arial" w:cs="Arial"/>
          <w:sz w:val="22"/>
          <w:szCs w:val="22"/>
        </w:rPr>
        <w:t xml:space="preserve"> </w:t>
      </w:r>
    </w:p>
    <w:p w14:paraId="358D7751" w14:textId="77777777" w:rsidR="006463AD" w:rsidRPr="00C9666A" w:rsidRDefault="006463AD" w:rsidP="00C9666A">
      <w:pPr>
        <w:pStyle w:val="Default"/>
        <w:spacing w:before="120" w:after="120" w:line="276" w:lineRule="auto"/>
        <w:ind w:right="-1"/>
        <w:jc w:val="both"/>
        <w:rPr>
          <w:rFonts w:ascii="Arial" w:hAnsi="Arial" w:cs="Arial"/>
          <w:sz w:val="22"/>
          <w:szCs w:val="22"/>
        </w:rPr>
      </w:pPr>
    </w:p>
    <w:p w14:paraId="0F272C21" w14:textId="662D42EF" w:rsidR="006B2B59" w:rsidRPr="00C9666A" w:rsidRDefault="006B2B59" w:rsidP="00D92DEF">
      <w:pPr>
        <w:pStyle w:val="Default"/>
        <w:keepNext/>
        <w:numPr>
          <w:ilvl w:val="0"/>
          <w:numId w:val="44"/>
        </w:numPr>
        <w:spacing w:before="120" w:after="120" w:line="276" w:lineRule="auto"/>
        <w:jc w:val="center"/>
        <w:rPr>
          <w:rFonts w:ascii="Arial" w:hAnsi="Arial" w:cs="Arial"/>
          <w:b/>
          <w:sz w:val="22"/>
          <w:szCs w:val="22"/>
        </w:rPr>
      </w:pPr>
      <w:r w:rsidRPr="00C9666A">
        <w:rPr>
          <w:rFonts w:ascii="Arial" w:hAnsi="Arial" w:cs="Arial"/>
          <w:b/>
          <w:sz w:val="22"/>
          <w:szCs w:val="22"/>
        </w:rPr>
        <w:t>Referencias internacionales en telecomunicaciones</w:t>
      </w:r>
    </w:p>
    <w:tbl>
      <w:tblPr>
        <w:tblStyle w:val="Tablaconcuadrcula"/>
        <w:tblW w:w="0" w:type="auto"/>
        <w:tblLook w:val="04A0" w:firstRow="1" w:lastRow="0" w:firstColumn="1" w:lastColumn="0" w:noHBand="0" w:noVBand="1"/>
      </w:tblPr>
      <w:tblGrid>
        <w:gridCol w:w="1652"/>
        <w:gridCol w:w="7693"/>
      </w:tblGrid>
      <w:tr w:rsidR="007D0C1D" w:rsidRPr="00C9666A" w14:paraId="3656EBFA" w14:textId="77777777" w:rsidTr="007D0C1D">
        <w:trPr>
          <w:tblHeader/>
        </w:trPr>
        <w:tc>
          <w:tcPr>
            <w:tcW w:w="9464" w:type="dxa"/>
            <w:gridSpan w:val="2"/>
            <w:shd w:val="clear" w:color="auto" w:fill="9BBB59" w:themeFill="accent3"/>
          </w:tcPr>
          <w:p w14:paraId="6CD4AF53" w14:textId="77777777" w:rsidR="007D0C1D" w:rsidRPr="00C9666A" w:rsidRDefault="007D0C1D" w:rsidP="00C9666A">
            <w:pPr>
              <w:spacing w:before="120" w:after="120" w:line="276" w:lineRule="auto"/>
              <w:ind w:right="-1"/>
              <w:jc w:val="center"/>
              <w:rPr>
                <w:rFonts w:ascii="Arial" w:hAnsi="Arial" w:cs="Arial"/>
                <w:b/>
                <w:color w:val="000000"/>
                <w:sz w:val="18"/>
              </w:rPr>
            </w:pPr>
            <w:r w:rsidRPr="00C9666A">
              <w:rPr>
                <w:rFonts w:ascii="Arial" w:hAnsi="Arial" w:cs="Arial"/>
                <w:b/>
                <w:color w:val="FFFFFF" w:themeColor="background1"/>
                <w:sz w:val="18"/>
              </w:rPr>
              <w:t>Criterios en telecomunicaciones</w:t>
            </w:r>
          </w:p>
        </w:tc>
      </w:tr>
      <w:tr w:rsidR="00D6309D" w:rsidRPr="00C9666A" w14:paraId="313DB195" w14:textId="77777777" w:rsidTr="00EB63CB">
        <w:tc>
          <w:tcPr>
            <w:tcW w:w="1668" w:type="dxa"/>
          </w:tcPr>
          <w:p w14:paraId="3FA7B428" w14:textId="77777777" w:rsidR="00D6309D" w:rsidRPr="00C9666A" w:rsidRDefault="00D6309D" w:rsidP="00C9666A">
            <w:pPr>
              <w:spacing w:before="120" w:after="120" w:line="276" w:lineRule="auto"/>
              <w:ind w:right="-1"/>
              <w:jc w:val="both"/>
              <w:rPr>
                <w:rFonts w:ascii="Arial" w:eastAsia="Times New Roman" w:hAnsi="Arial" w:cs="Arial"/>
                <w:color w:val="000000"/>
                <w:sz w:val="18"/>
                <w:lang w:eastAsia="es-MX"/>
              </w:rPr>
            </w:pPr>
            <w:r w:rsidRPr="00C9666A">
              <w:rPr>
                <w:rFonts w:ascii="Arial" w:eastAsia="Times New Roman" w:hAnsi="Arial" w:cs="Arial"/>
                <w:color w:val="000000"/>
                <w:sz w:val="18"/>
                <w:lang w:eastAsia="es-MX"/>
              </w:rPr>
              <w:t xml:space="preserve">India </w:t>
            </w:r>
            <w:r w:rsidR="00B17B0B" w:rsidRPr="00C9666A">
              <w:rPr>
                <w:rFonts w:ascii="Arial" w:eastAsia="Times New Roman" w:hAnsi="Arial" w:cs="Arial"/>
                <w:color w:val="000000"/>
                <w:sz w:val="18"/>
                <w:lang w:eastAsia="es-MX"/>
              </w:rPr>
              <w:t>(2004)</w:t>
            </w:r>
          </w:p>
        </w:tc>
        <w:tc>
          <w:tcPr>
            <w:tcW w:w="7796" w:type="dxa"/>
          </w:tcPr>
          <w:p w14:paraId="1FB7304F" w14:textId="25ABE7F4" w:rsidR="00D6309D" w:rsidRPr="00C9666A" w:rsidRDefault="00D6309D" w:rsidP="00D21B6C">
            <w:pPr>
              <w:spacing w:before="120" w:after="120" w:line="276" w:lineRule="auto"/>
              <w:ind w:right="-1"/>
              <w:jc w:val="both"/>
              <w:rPr>
                <w:rFonts w:ascii="Arial" w:hAnsi="Arial" w:cs="Arial"/>
                <w:color w:val="000000"/>
                <w:sz w:val="18"/>
              </w:rPr>
            </w:pPr>
            <w:r w:rsidRPr="00C9666A">
              <w:rPr>
                <w:rFonts w:ascii="Arial" w:hAnsi="Arial" w:cs="Arial"/>
                <w:color w:val="000000"/>
                <w:sz w:val="18"/>
              </w:rPr>
              <w:t xml:space="preserve">La guía de concentraciones de concesiones en áreas de servicio </w:t>
            </w:r>
            <w:r w:rsidR="004F6A33" w:rsidRPr="00C9666A">
              <w:rPr>
                <w:rFonts w:ascii="Arial" w:hAnsi="Arial" w:cs="Arial"/>
                <w:color w:val="000000"/>
                <w:sz w:val="18"/>
              </w:rPr>
              <w:t>publicada en</w:t>
            </w:r>
            <w:r w:rsidRPr="00C9666A">
              <w:rPr>
                <w:rFonts w:ascii="Arial" w:hAnsi="Arial" w:cs="Arial"/>
                <w:color w:val="000000"/>
                <w:sz w:val="18"/>
              </w:rPr>
              <w:t xml:space="preserve"> </w:t>
            </w:r>
            <w:r w:rsidRPr="00C9666A">
              <w:rPr>
                <w:rFonts w:ascii="Arial" w:hAnsi="Arial" w:cs="Arial"/>
                <w:b/>
                <w:color w:val="000000"/>
                <w:sz w:val="18"/>
              </w:rPr>
              <w:t>2004</w:t>
            </w:r>
            <w:r w:rsidRPr="00C9666A">
              <w:rPr>
                <w:rFonts w:ascii="Arial" w:hAnsi="Arial" w:cs="Arial"/>
                <w:color w:val="000000"/>
                <w:sz w:val="18"/>
              </w:rPr>
              <w:t xml:space="preserve"> </w:t>
            </w:r>
            <w:r w:rsidR="004F6A33" w:rsidRPr="00C9666A">
              <w:rPr>
                <w:rFonts w:ascii="Arial" w:hAnsi="Arial" w:cs="Arial"/>
                <w:color w:val="000000"/>
                <w:sz w:val="18"/>
              </w:rPr>
              <w:t xml:space="preserve">por el Departamento de Telecomunicaciones (DOT, por las siglas de </w:t>
            </w:r>
            <w:proofErr w:type="spellStart"/>
            <w:r w:rsidR="004F6A33" w:rsidRPr="00C9666A">
              <w:rPr>
                <w:rFonts w:ascii="Arial" w:hAnsi="Arial" w:cs="Arial"/>
                <w:i/>
                <w:color w:val="000000"/>
                <w:sz w:val="18"/>
              </w:rPr>
              <w:t>Department</w:t>
            </w:r>
            <w:proofErr w:type="spellEnd"/>
            <w:r w:rsidR="004F6A33" w:rsidRPr="00C9666A">
              <w:rPr>
                <w:rFonts w:ascii="Arial" w:hAnsi="Arial" w:cs="Arial"/>
                <w:i/>
                <w:color w:val="000000"/>
                <w:sz w:val="18"/>
              </w:rPr>
              <w:t xml:space="preserve"> </w:t>
            </w:r>
            <w:proofErr w:type="spellStart"/>
            <w:r w:rsidR="004F6A33" w:rsidRPr="00C9666A">
              <w:rPr>
                <w:rFonts w:ascii="Arial" w:hAnsi="Arial" w:cs="Arial"/>
                <w:i/>
                <w:color w:val="000000"/>
                <w:sz w:val="18"/>
              </w:rPr>
              <w:t>of</w:t>
            </w:r>
            <w:proofErr w:type="spellEnd"/>
            <w:r w:rsidR="004F6A33" w:rsidRPr="00C9666A">
              <w:rPr>
                <w:rFonts w:ascii="Arial" w:hAnsi="Arial" w:cs="Arial"/>
                <w:i/>
                <w:color w:val="000000"/>
                <w:sz w:val="18"/>
              </w:rPr>
              <w:t xml:space="preserve"> </w:t>
            </w:r>
            <w:proofErr w:type="spellStart"/>
            <w:r w:rsidR="004F6A33" w:rsidRPr="00C9666A">
              <w:rPr>
                <w:rFonts w:ascii="Arial" w:hAnsi="Arial" w:cs="Arial"/>
                <w:i/>
                <w:color w:val="000000"/>
                <w:sz w:val="18"/>
              </w:rPr>
              <w:t>Telecommunications</w:t>
            </w:r>
            <w:proofErr w:type="spellEnd"/>
            <w:r w:rsidR="004F6A33" w:rsidRPr="00C9666A">
              <w:rPr>
                <w:rFonts w:ascii="Arial" w:hAnsi="Arial" w:cs="Arial"/>
                <w:color w:val="000000"/>
                <w:sz w:val="18"/>
              </w:rPr>
              <w:t xml:space="preserve">) </w:t>
            </w:r>
            <w:r w:rsidRPr="00C9666A">
              <w:rPr>
                <w:rFonts w:ascii="Arial" w:hAnsi="Arial" w:cs="Arial"/>
                <w:color w:val="000000"/>
                <w:sz w:val="18"/>
              </w:rPr>
              <w:t>establecen lo siguiente:</w:t>
            </w:r>
            <w:r w:rsidR="004F6A33" w:rsidRPr="00C9666A">
              <w:rPr>
                <w:rStyle w:val="Refdenotaalpie"/>
                <w:rFonts w:ascii="Arial" w:eastAsia="Times New Roman" w:hAnsi="Arial" w:cs="Arial"/>
                <w:color w:val="000000"/>
                <w:sz w:val="18"/>
                <w:lang w:eastAsia="es-MX"/>
              </w:rPr>
              <w:footnoteReference w:id="30"/>
            </w:r>
          </w:p>
          <w:p w14:paraId="0FDD7E12" w14:textId="77777777" w:rsidR="00ED4A42" w:rsidRPr="00C9666A" w:rsidRDefault="00D6309D" w:rsidP="00C9666A">
            <w:pPr>
              <w:pStyle w:val="Prrafodelista"/>
              <w:numPr>
                <w:ilvl w:val="0"/>
                <w:numId w:val="21"/>
              </w:numPr>
              <w:spacing w:before="120" w:after="120" w:line="276" w:lineRule="auto"/>
              <w:ind w:left="453" w:hanging="357"/>
              <w:contextualSpacing w:val="0"/>
              <w:jc w:val="both"/>
              <w:rPr>
                <w:rFonts w:ascii="Arial" w:hAnsi="Arial" w:cs="Arial"/>
                <w:color w:val="000000"/>
                <w:sz w:val="18"/>
              </w:rPr>
            </w:pPr>
            <w:r w:rsidRPr="00C9666A">
              <w:rPr>
                <w:rFonts w:ascii="Arial" w:hAnsi="Arial" w:cs="Arial"/>
                <w:color w:val="000000"/>
                <w:sz w:val="18"/>
              </w:rPr>
              <w:t>Las fusiones se restringen a la misma área de servicio</w:t>
            </w:r>
            <w:r w:rsidR="00ED4A42" w:rsidRPr="00C9666A">
              <w:rPr>
                <w:rFonts w:ascii="Arial" w:hAnsi="Arial" w:cs="Arial"/>
                <w:color w:val="000000"/>
                <w:sz w:val="18"/>
              </w:rPr>
              <w:t>. Podrán ser las siguientes: Móvil con móvil, fijo con fijo, unificado con unificado, fijo con un</w:t>
            </w:r>
            <w:r w:rsidR="004F6A33" w:rsidRPr="00C9666A">
              <w:rPr>
                <w:rFonts w:ascii="Arial" w:hAnsi="Arial" w:cs="Arial"/>
                <w:color w:val="000000"/>
                <w:sz w:val="18"/>
              </w:rPr>
              <w:t>ificado y móvil con unificado.</w:t>
            </w:r>
          </w:p>
          <w:p w14:paraId="3F3A30D0" w14:textId="77777777" w:rsidR="00D6309D" w:rsidRPr="00C9666A" w:rsidRDefault="00D6309D" w:rsidP="00C9666A">
            <w:pPr>
              <w:pStyle w:val="Prrafodelista"/>
              <w:numPr>
                <w:ilvl w:val="0"/>
                <w:numId w:val="21"/>
              </w:numPr>
              <w:spacing w:before="120" w:after="120" w:line="276" w:lineRule="auto"/>
              <w:ind w:left="453" w:hanging="357"/>
              <w:contextualSpacing w:val="0"/>
              <w:jc w:val="both"/>
              <w:rPr>
                <w:rFonts w:ascii="Arial" w:hAnsi="Arial" w:cs="Arial"/>
                <w:color w:val="000000"/>
                <w:sz w:val="18"/>
              </w:rPr>
            </w:pPr>
            <w:r w:rsidRPr="00C9666A">
              <w:rPr>
                <w:rFonts w:ascii="Arial" w:hAnsi="Arial" w:cs="Arial"/>
                <w:color w:val="000000"/>
                <w:sz w:val="18"/>
              </w:rPr>
              <w:t xml:space="preserve">Se permitirán fusiones sujeto a que </w:t>
            </w:r>
            <w:r w:rsidR="004F6A33" w:rsidRPr="00C9666A">
              <w:rPr>
                <w:rFonts w:ascii="Arial" w:hAnsi="Arial" w:cs="Arial"/>
                <w:color w:val="000000"/>
                <w:sz w:val="18"/>
              </w:rPr>
              <w:t xml:space="preserve">después de la transacción </w:t>
            </w:r>
            <w:r w:rsidRPr="00C9666A">
              <w:rPr>
                <w:rFonts w:ascii="Arial" w:hAnsi="Arial" w:cs="Arial"/>
                <w:color w:val="000000"/>
                <w:sz w:val="18"/>
              </w:rPr>
              <w:t xml:space="preserve">haya </w:t>
            </w:r>
            <w:r w:rsidRPr="00C9666A">
              <w:rPr>
                <w:rFonts w:ascii="Arial" w:hAnsi="Arial" w:cs="Arial"/>
                <w:b/>
                <w:color w:val="000000"/>
                <w:sz w:val="18"/>
              </w:rPr>
              <w:t>al menos 3 operadores</w:t>
            </w:r>
            <w:r w:rsidRPr="00C9666A">
              <w:rPr>
                <w:rFonts w:ascii="Arial" w:hAnsi="Arial" w:cs="Arial"/>
                <w:color w:val="000000"/>
                <w:sz w:val="18"/>
              </w:rPr>
              <w:t xml:space="preserve"> en el área de servicio.</w:t>
            </w:r>
          </w:p>
          <w:p w14:paraId="366F5ED9" w14:textId="77777777" w:rsidR="00D6309D" w:rsidRPr="00C9666A" w:rsidRDefault="00D6309D" w:rsidP="00C9666A">
            <w:pPr>
              <w:pStyle w:val="Prrafodelista"/>
              <w:numPr>
                <w:ilvl w:val="0"/>
                <w:numId w:val="21"/>
              </w:numPr>
              <w:spacing w:before="120" w:after="120" w:line="276" w:lineRule="auto"/>
              <w:ind w:left="459" w:right="-1"/>
              <w:contextualSpacing w:val="0"/>
              <w:jc w:val="both"/>
              <w:rPr>
                <w:rFonts w:ascii="Arial" w:hAnsi="Arial" w:cs="Arial"/>
                <w:color w:val="000000"/>
                <w:sz w:val="18"/>
              </w:rPr>
            </w:pPr>
            <w:r w:rsidRPr="00C9666A">
              <w:rPr>
                <w:rFonts w:ascii="Arial" w:hAnsi="Arial" w:cs="Arial"/>
                <w:color w:val="000000"/>
                <w:sz w:val="18"/>
              </w:rPr>
              <w:t xml:space="preserve">No se permitirán fusiones que conduzcan a una situación en la que la participación de mercado, </w:t>
            </w:r>
            <w:r w:rsidR="004F6A33" w:rsidRPr="00C9666A">
              <w:rPr>
                <w:rFonts w:ascii="Arial" w:hAnsi="Arial" w:cs="Arial"/>
                <w:color w:val="000000"/>
                <w:sz w:val="18"/>
              </w:rPr>
              <w:t>después de la transacción</w:t>
            </w:r>
            <w:r w:rsidRPr="00C9666A">
              <w:rPr>
                <w:rFonts w:ascii="Arial" w:hAnsi="Arial" w:cs="Arial"/>
                <w:color w:val="000000"/>
                <w:sz w:val="18"/>
              </w:rPr>
              <w:t xml:space="preserve">, sea de </w:t>
            </w:r>
            <w:r w:rsidRPr="00C9666A">
              <w:rPr>
                <w:rFonts w:ascii="Arial" w:hAnsi="Arial" w:cs="Arial"/>
                <w:b/>
                <w:color w:val="000000"/>
                <w:sz w:val="18"/>
              </w:rPr>
              <w:t>67% o más</w:t>
            </w:r>
            <w:r w:rsidRPr="00C9666A">
              <w:rPr>
                <w:rFonts w:ascii="Arial" w:hAnsi="Arial" w:cs="Arial"/>
                <w:color w:val="000000"/>
                <w:sz w:val="18"/>
              </w:rPr>
              <w:t>.</w:t>
            </w:r>
          </w:p>
          <w:p w14:paraId="4F1344A8" w14:textId="77777777" w:rsidR="00ED4A42" w:rsidRPr="00C9666A" w:rsidRDefault="0015441B" w:rsidP="00C9666A">
            <w:pPr>
              <w:pStyle w:val="Prrafodelista"/>
              <w:numPr>
                <w:ilvl w:val="0"/>
                <w:numId w:val="4"/>
              </w:numPr>
              <w:spacing w:before="120" w:after="120" w:line="276" w:lineRule="auto"/>
              <w:ind w:left="0" w:right="-1"/>
              <w:contextualSpacing w:val="0"/>
              <w:jc w:val="both"/>
              <w:rPr>
                <w:rFonts w:ascii="Arial" w:hAnsi="Arial" w:cs="Arial"/>
                <w:color w:val="000000"/>
                <w:sz w:val="18"/>
              </w:rPr>
            </w:pPr>
            <w:r w:rsidRPr="00C9666A">
              <w:rPr>
                <w:rFonts w:ascii="Arial" w:hAnsi="Arial" w:cs="Arial"/>
                <w:color w:val="000000"/>
                <w:sz w:val="18"/>
              </w:rPr>
              <w:lastRenderedPageBreak/>
              <w:t>El órgano regulador</w:t>
            </w:r>
            <w:r w:rsidR="007D0C1D" w:rsidRPr="00C9666A">
              <w:rPr>
                <w:rFonts w:ascii="Arial" w:hAnsi="Arial" w:cs="Arial"/>
                <w:color w:val="000000"/>
                <w:sz w:val="18"/>
              </w:rPr>
              <w:t xml:space="preserve"> de la India</w:t>
            </w:r>
            <w:r w:rsidRPr="00C9666A">
              <w:rPr>
                <w:rFonts w:ascii="Arial" w:hAnsi="Arial" w:cs="Arial"/>
                <w:color w:val="000000"/>
                <w:sz w:val="18"/>
              </w:rPr>
              <w:t xml:space="preserve">, TRAI, ha establecido que un operador con </w:t>
            </w:r>
            <w:r w:rsidRPr="00C9666A">
              <w:rPr>
                <w:rFonts w:ascii="Arial" w:hAnsi="Arial" w:cs="Arial"/>
                <w:b/>
                <w:color w:val="000000"/>
                <w:sz w:val="18"/>
              </w:rPr>
              <w:t>30% o más</w:t>
            </w:r>
            <w:r w:rsidRPr="00C9666A">
              <w:rPr>
                <w:rFonts w:ascii="Arial" w:hAnsi="Arial" w:cs="Arial"/>
                <w:color w:val="000000"/>
                <w:sz w:val="18"/>
              </w:rPr>
              <w:t xml:space="preserve"> de participación de mercado tiene Poder Significativo de Mercado (</w:t>
            </w:r>
            <w:r w:rsidRPr="00C9666A">
              <w:rPr>
                <w:rFonts w:ascii="Arial" w:hAnsi="Arial" w:cs="Arial"/>
                <w:b/>
                <w:color w:val="000000"/>
                <w:sz w:val="18"/>
              </w:rPr>
              <w:t>PSM</w:t>
            </w:r>
            <w:r w:rsidRPr="00C9666A">
              <w:rPr>
                <w:rFonts w:ascii="Arial" w:hAnsi="Arial" w:cs="Arial"/>
                <w:color w:val="000000"/>
                <w:sz w:val="18"/>
              </w:rPr>
              <w:t xml:space="preserve">). En caso de que el operador </w:t>
            </w:r>
            <w:r w:rsidR="007D0C1D" w:rsidRPr="00C9666A">
              <w:rPr>
                <w:rFonts w:ascii="Arial" w:hAnsi="Arial" w:cs="Arial"/>
                <w:color w:val="000000"/>
                <w:sz w:val="18"/>
              </w:rPr>
              <w:t>a</w:t>
            </w:r>
            <w:r w:rsidRPr="00C9666A">
              <w:rPr>
                <w:rFonts w:ascii="Arial" w:hAnsi="Arial" w:cs="Arial"/>
                <w:color w:val="000000"/>
                <w:sz w:val="18"/>
              </w:rPr>
              <w:t>dquiera PSM</w:t>
            </w:r>
            <w:r w:rsidR="007D0C1D" w:rsidRPr="00C9666A">
              <w:rPr>
                <w:rFonts w:ascii="Arial" w:hAnsi="Arial" w:cs="Arial"/>
                <w:color w:val="000000"/>
                <w:sz w:val="18"/>
              </w:rPr>
              <w:t xml:space="preserve"> como consecuencia de la fusión</w:t>
            </w:r>
            <w:r w:rsidRPr="00C9666A">
              <w:rPr>
                <w:rFonts w:ascii="Arial" w:hAnsi="Arial" w:cs="Arial"/>
                <w:color w:val="000000"/>
                <w:sz w:val="18"/>
              </w:rPr>
              <w:t>, le aplicará la regulación correspondiente a operadores con PSM.</w:t>
            </w:r>
          </w:p>
        </w:tc>
      </w:tr>
      <w:tr w:rsidR="00ED4A42" w:rsidRPr="00C9666A" w14:paraId="271123BE" w14:textId="77777777" w:rsidTr="00EB63CB">
        <w:tc>
          <w:tcPr>
            <w:tcW w:w="1668" w:type="dxa"/>
          </w:tcPr>
          <w:p w14:paraId="26D25EB9" w14:textId="77777777" w:rsidR="00ED4A42" w:rsidRPr="00C9666A" w:rsidRDefault="00ED4A42" w:rsidP="00C9666A">
            <w:pPr>
              <w:spacing w:before="120" w:after="120" w:line="276" w:lineRule="auto"/>
              <w:ind w:right="-1"/>
              <w:jc w:val="both"/>
              <w:rPr>
                <w:rFonts w:ascii="Arial" w:eastAsia="Times New Roman" w:hAnsi="Arial" w:cs="Arial"/>
                <w:color w:val="000000"/>
                <w:sz w:val="18"/>
                <w:lang w:eastAsia="es-MX"/>
              </w:rPr>
            </w:pPr>
            <w:r w:rsidRPr="00C9666A">
              <w:rPr>
                <w:rFonts w:ascii="Arial" w:eastAsia="Times New Roman" w:hAnsi="Arial" w:cs="Arial"/>
                <w:color w:val="000000"/>
                <w:sz w:val="18"/>
                <w:lang w:eastAsia="es-MX"/>
              </w:rPr>
              <w:lastRenderedPageBreak/>
              <w:t>India (2008)</w:t>
            </w:r>
          </w:p>
        </w:tc>
        <w:tc>
          <w:tcPr>
            <w:tcW w:w="7796" w:type="dxa"/>
          </w:tcPr>
          <w:p w14:paraId="673640CF" w14:textId="668DB312" w:rsidR="007D0C1D" w:rsidRPr="00C9666A" w:rsidRDefault="00ED4A42" w:rsidP="00C9666A">
            <w:pPr>
              <w:spacing w:before="120" w:after="120" w:line="276" w:lineRule="auto"/>
              <w:ind w:right="-1"/>
              <w:jc w:val="both"/>
              <w:rPr>
                <w:rFonts w:ascii="Arial" w:hAnsi="Arial" w:cs="Arial"/>
                <w:color w:val="000000"/>
                <w:sz w:val="18"/>
              </w:rPr>
            </w:pPr>
            <w:r w:rsidRPr="00C9666A">
              <w:rPr>
                <w:rFonts w:ascii="Arial" w:hAnsi="Arial" w:cs="Arial"/>
                <w:color w:val="000000"/>
                <w:sz w:val="18"/>
              </w:rPr>
              <w:t xml:space="preserve">En </w:t>
            </w:r>
            <w:r w:rsidRPr="00C9666A">
              <w:rPr>
                <w:rFonts w:ascii="Arial" w:hAnsi="Arial" w:cs="Arial"/>
                <w:b/>
                <w:color w:val="000000"/>
                <w:sz w:val="18"/>
              </w:rPr>
              <w:t>2008</w:t>
            </w:r>
            <w:r w:rsidRPr="00C9666A">
              <w:rPr>
                <w:rFonts w:ascii="Arial" w:hAnsi="Arial" w:cs="Arial"/>
                <w:color w:val="000000"/>
                <w:sz w:val="18"/>
              </w:rPr>
              <w:t xml:space="preserve">, el gobierno de la India llevó a cabo una revisión de la guía de 2004. La nueva guía, </w:t>
            </w:r>
            <w:r w:rsidR="00A5378D" w:rsidRPr="00C9666A">
              <w:rPr>
                <w:rFonts w:ascii="Arial" w:hAnsi="Arial" w:cs="Arial"/>
                <w:color w:val="000000"/>
                <w:sz w:val="18"/>
              </w:rPr>
              <w:t xml:space="preserve">que </w:t>
            </w:r>
            <w:r w:rsidRPr="00C9666A">
              <w:rPr>
                <w:rFonts w:ascii="Arial" w:hAnsi="Arial" w:cs="Arial"/>
                <w:color w:val="000000"/>
                <w:sz w:val="18"/>
              </w:rPr>
              <w:t>sustituyó a la de 2004</w:t>
            </w:r>
            <w:r w:rsidR="00A5378D" w:rsidRPr="00C9666A">
              <w:rPr>
                <w:rFonts w:ascii="Arial" w:hAnsi="Arial" w:cs="Arial"/>
                <w:color w:val="000000"/>
                <w:sz w:val="18"/>
              </w:rPr>
              <w:t xml:space="preserve"> y está vigente actualmente</w:t>
            </w:r>
            <w:r w:rsidRPr="00C9666A">
              <w:rPr>
                <w:rFonts w:ascii="Arial" w:hAnsi="Arial" w:cs="Arial"/>
                <w:color w:val="000000"/>
                <w:sz w:val="18"/>
              </w:rPr>
              <w:t>, establece lo siguiente:</w:t>
            </w:r>
            <w:r w:rsidR="004F6A33" w:rsidRPr="00C9666A">
              <w:rPr>
                <w:rStyle w:val="Refdenotaalpie"/>
                <w:rFonts w:ascii="Arial" w:eastAsia="Times New Roman" w:hAnsi="Arial" w:cs="Arial"/>
                <w:color w:val="000000"/>
                <w:sz w:val="18"/>
                <w:lang w:eastAsia="es-MX"/>
              </w:rPr>
              <w:footnoteReference w:id="31"/>
            </w:r>
          </w:p>
          <w:p w14:paraId="27614601" w14:textId="77777777" w:rsidR="00ED4A42" w:rsidRPr="00C9666A" w:rsidRDefault="00ED4A42" w:rsidP="00C9666A">
            <w:pPr>
              <w:pStyle w:val="Prrafodelista"/>
              <w:numPr>
                <w:ilvl w:val="0"/>
                <w:numId w:val="4"/>
              </w:numPr>
              <w:spacing w:before="120" w:after="120" w:line="276" w:lineRule="auto"/>
              <w:ind w:left="453" w:hanging="357"/>
              <w:contextualSpacing w:val="0"/>
              <w:jc w:val="both"/>
              <w:rPr>
                <w:rFonts w:ascii="Arial" w:hAnsi="Arial" w:cs="Arial"/>
                <w:color w:val="000000"/>
                <w:sz w:val="18"/>
              </w:rPr>
            </w:pPr>
            <w:r w:rsidRPr="00C9666A">
              <w:rPr>
                <w:rFonts w:ascii="Arial" w:hAnsi="Arial" w:cs="Arial"/>
                <w:color w:val="000000"/>
                <w:sz w:val="18"/>
              </w:rPr>
              <w:t>El mercado será el de servicios fijos y móviles</w:t>
            </w:r>
            <w:r w:rsidR="004F6A33" w:rsidRPr="00C9666A">
              <w:rPr>
                <w:rFonts w:ascii="Arial" w:hAnsi="Arial" w:cs="Arial"/>
                <w:color w:val="000000"/>
                <w:sz w:val="18"/>
              </w:rPr>
              <w:t>.</w:t>
            </w:r>
          </w:p>
          <w:p w14:paraId="59C7510E" w14:textId="77777777" w:rsidR="00ED4A42" w:rsidRPr="00C9666A" w:rsidRDefault="00ED4A42" w:rsidP="00C9666A">
            <w:pPr>
              <w:pStyle w:val="Prrafodelista"/>
              <w:numPr>
                <w:ilvl w:val="0"/>
                <w:numId w:val="4"/>
              </w:numPr>
              <w:spacing w:before="120" w:after="120" w:line="276" w:lineRule="auto"/>
              <w:ind w:left="453" w:hanging="357"/>
              <w:contextualSpacing w:val="0"/>
              <w:jc w:val="both"/>
              <w:rPr>
                <w:rFonts w:ascii="Arial" w:hAnsi="Arial" w:cs="Arial"/>
                <w:color w:val="000000"/>
                <w:sz w:val="18"/>
              </w:rPr>
            </w:pPr>
            <w:r w:rsidRPr="00C9666A">
              <w:rPr>
                <w:rFonts w:ascii="Arial" w:hAnsi="Arial" w:cs="Arial"/>
                <w:color w:val="000000"/>
                <w:sz w:val="18"/>
              </w:rPr>
              <w:t xml:space="preserve">La participación de mercado en el mercado del concesionario resultante </w:t>
            </w:r>
            <w:r w:rsidRPr="00C9666A">
              <w:rPr>
                <w:rFonts w:ascii="Arial" w:hAnsi="Arial" w:cs="Arial"/>
                <w:b/>
                <w:color w:val="000000"/>
                <w:sz w:val="18"/>
              </w:rPr>
              <w:t>no será mayor a 40%</w:t>
            </w:r>
            <w:r w:rsidR="004F6A33" w:rsidRPr="00C9666A">
              <w:rPr>
                <w:rFonts w:ascii="Arial" w:hAnsi="Arial" w:cs="Arial"/>
                <w:color w:val="000000"/>
                <w:sz w:val="18"/>
              </w:rPr>
              <w:t>.</w:t>
            </w:r>
          </w:p>
          <w:p w14:paraId="4E7D64DF" w14:textId="77777777" w:rsidR="008408ED" w:rsidRPr="00C9666A" w:rsidRDefault="008408ED" w:rsidP="00C9666A">
            <w:pPr>
              <w:pStyle w:val="Prrafodelista"/>
              <w:numPr>
                <w:ilvl w:val="0"/>
                <w:numId w:val="4"/>
              </w:numPr>
              <w:spacing w:before="120" w:after="120" w:line="276" w:lineRule="auto"/>
              <w:ind w:left="453" w:hanging="357"/>
              <w:contextualSpacing w:val="0"/>
              <w:jc w:val="both"/>
              <w:rPr>
                <w:rFonts w:ascii="Arial" w:hAnsi="Arial" w:cs="Arial"/>
                <w:color w:val="000000"/>
                <w:sz w:val="18"/>
              </w:rPr>
            </w:pPr>
            <w:r w:rsidRPr="00C9666A">
              <w:rPr>
                <w:rFonts w:ascii="Arial" w:hAnsi="Arial" w:cs="Arial"/>
                <w:b/>
                <w:color w:val="000000"/>
                <w:sz w:val="18"/>
              </w:rPr>
              <w:t>No</w:t>
            </w:r>
            <w:r w:rsidRPr="00C9666A">
              <w:rPr>
                <w:rFonts w:ascii="Arial" w:hAnsi="Arial" w:cs="Arial"/>
                <w:color w:val="000000"/>
                <w:sz w:val="18"/>
              </w:rPr>
              <w:t xml:space="preserve"> se permitirán fusiones si, </w:t>
            </w:r>
            <w:r w:rsidR="004F6A33" w:rsidRPr="00C9666A">
              <w:rPr>
                <w:rFonts w:ascii="Arial" w:hAnsi="Arial" w:cs="Arial"/>
                <w:color w:val="000000"/>
                <w:sz w:val="18"/>
              </w:rPr>
              <w:t>después de la transacción</w:t>
            </w:r>
            <w:r w:rsidRPr="00C9666A">
              <w:rPr>
                <w:rFonts w:ascii="Arial" w:hAnsi="Arial" w:cs="Arial"/>
                <w:color w:val="000000"/>
                <w:sz w:val="18"/>
              </w:rPr>
              <w:t xml:space="preserve">, el número de operadores se reduce a </w:t>
            </w:r>
            <w:r w:rsidRPr="00C9666A">
              <w:rPr>
                <w:rFonts w:ascii="Arial" w:hAnsi="Arial" w:cs="Arial"/>
                <w:b/>
                <w:color w:val="000000"/>
                <w:sz w:val="18"/>
              </w:rPr>
              <w:t xml:space="preserve">menos de 4 </w:t>
            </w:r>
            <w:r w:rsidR="004F6A33" w:rsidRPr="00C9666A">
              <w:rPr>
                <w:rFonts w:ascii="Arial" w:hAnsi="Arial" w:cs="Arial"/>
                <w:color w:val="000000"/>
                <w:sz w:val="18"/>
              </w:rPr>
              <w:t>en el área de servicio.</w:t>
            </w:r>
          </w:p>
          <w:p w14:paraId="3B93903C" w14:textId="77777777" w:rsidR="00ED4A42" w:rsidRPr="00C9666A" w:rsidRDefault="00ED4A42" w:rsidP="00C9666A">
            <w:pPr>
              <w:pStyle w:val="Prrafodelista"/>
              <w:numPr>
                <w:ilvl w:val="0"/>
                <w:numId w:val="4"/>
              </w:numPr>
              <w:spacing w:before="120" w:after="120" w:line="276" w:lineRule="auto"/>
              <w:ind w:left="459" w:right="-1"/>
              <w:jc w:val="both"/>
              <w:rPr>
                <w:rFonts w:ascii="Arial" w:hAnsi="Arial" w:cs="Arial"/>
                <w:color w:val="000000"/>
                <w:sz w:val="18"/>
              </w:rPr>
            </w:pPr>
            <w:r w:rsidRPr="00C9666A">
              <w:rPr>
                <w:rFonts w:ascii="Arial" w:hAnsi="Arial" w:cs="Arial"/>
                <w:color w:val="000000"/>
                <w:sz w:val="18"/>
              </w:rPr>
              <w:t>En caso de que el operador producto de la fusión adquiera PSM, le aplicará la regulación correspondiente a operadores con PSM</w:t>
            </w:r>
            <w:r w:rsidR="008408ED" w:rsidRPr="00C9666A">
              <w:rPr>
                <w:rFonts w:ascii="Arial" w:hAnsi="Arial" w:cs="Arial"/>
                <w:color w:val="000000"/>
                <w:sz w:val="18"/>
              </w:rPr>
              <w:t>.</w:t>
            </w:r>
          </w:p>
        </w:tc>
      </w:tr>
      <w:tr w:rsidR="000E7A9B" w:rsidRPr="00C9666A" w14:paraId="24530F3E" w14:textId="77777777" w:rsidTr="00EB63CB">
        <w:tc>
          <w:tcPr>
            <w:tcW w:w="1668" w:type="dxa"/>
          </w:tcPr>
          <w:p w14:paraId="5794F09C" w14:textId="77777777" w:rsidR="000E7A9B" w:rsidRPr="00C9666A" w:rsidRDefault="000E7A9B" w:rsidP="00C9666A">
            <w:pPr>
              <w:spacing w:before="120" w:after="120" w:line="276" w:lineRule="auto"/>
              <w:ind w:right="-1"/>
              <w:jc w:val="both"/>
              <w:rPr>
                <w:rFonts w:ascii="Arial" w:eastAsia="Times New Roman" w:hAnsi="Arial" w:cs="Arial"/>
                <w:color w:val="000000"/>
                <w:sz w:val="18"/>
                <w:lang w:eastAsia="es-MX"/>
              </w:rPr>
            </w:pPr>
            <w:r w:rsidRPr="00C9666A">
              <w:rPr>
                <w:rFonts w:ascii="Arial" w:eastAsia="Times New Roman" w:hAnsi="Arial" w:cs="Arial"/>
                <w:color w:val="000000"/>
                <w:sz w:val="18"/>
                <w:lang w:eastAsia="es-MX"/>
              </w:rPr>
              <w:t>India</w:t>
            </w:r>
            <w:r w:rsidR="007D0C1D" w:rsidRPr="00C9666A">
              <w:rPr>
                <w:rFonts w:ascii="Arial" w:eastAsia="Times New Roman" w:hAnsi="Arial" w:cs="Arial"/>
                <w:color w:val="000000"/>
                <w:sz w:val="18"/>
                <w:lang w:eastAsia="es-MX"/>
              </w:rPr>
              <w:t xml:space="preserve"> (2013)</w:t>
            </w:r>
          </w:p>
        </w:tc>
        <w:tc>
          <w:tcPr>
            <w:tcW w:w="7796" w:type="dxa"/>
          </w:tcPr>
          <w:p w14:paraId="07DF808B" w14:textId="77777777" w:rsidR="000E7A9B" w:rsidRPr="00C9666A" w:rsidRDefault="000E7A9B" w:rsidP="00C9666A">
            <w:pPr>
              <w:spacing w:before="120" w:after="120" w:line="276" w:lineRule="auto"/>
              <w:ind w:right="-1"/>
              <w:jc w:val="both"/>
              <w:rPr>
                <w:rFonts w:ascii="Arial" w:eastAsia="Times New Roman" w:hAnsi="Arial" w:cs="Arial"/>
                <w:color w:val="000000"/>
                <w:sz w:val="18"/>
                <w:lang w:eastAsia="es-MX"/>
              </w:rPr>
            </w:pPr>
            <w:r w:rsidRPr="00C9666A">
              <w:rPr>
                <w:rFonts w:ascii="Arial" w:hAnsi="Arial" w:cs="Arial"/>
                <w:color w:val="000000"/>
                <w:sz w:val="18"/>
              </w:rPr>
              <w:t xml:space="preserve">En diciembre de </w:t>
            </w:r>
            <w:r w:rsidRPr="00C9666A">
              <w:rPr>
                <w:rFonts w:ascii="Arial" w:hAnsi="Arial" w:cs="Arial"/>
                <w:b/>
                <w:color w:val="000000"/>
                <w:sz w:val="18"/>
              </w:rPr>
              <w:t>2013</w:t>
            </w:r>
            <w:r w:rsidRPr="00C9666A">
              <w:rPr>
                <w:rFonts w:ascii="Arial" w:hAnsi="Arial" w:cs="Arial"/>
                <w:color w:val="000000"/>
                <w:sz w:val="18"/>
              </w:rPr>
              <w:t xml:space="preserve"> se aprobó una propuesta </w:t>
            </w:r>
            <w:r w:rsidRPr="00C9666A">
              <w:rPr>
                <w:rFonts w:ascii="Arial" w:eastAsia="Times New Roman" w:hAnsi="Arial" w:cs="Arial"/>
                <w:color w:val="000000"/>
                <w:sz w:val="18"/>
                <w:lang w:eastAsia="es-MX"/>
              </w:rPr>
              <w:t>para modificar las reglas de concentraciones y adquisiciones para el sector de telecomunicaciones. Dicha propuesta consiste en permitir concentraciones de operadores móviles si su participación de mercado (en términos de suscriptores)</w:t>
            </w:r>
            <w:r w:rsidR="004F6A33" w:rsidRPr="00C9666A">
              <w:rPr>
                <w:rFonts w:ascii="Arial" w:eastAsia="Times New Roman" w:hAnsi="Arial" w:cs="Arial"/>
                <w:color w:val="000000"/>
                <w:sz w:val="18"/>
                <w:lang w:eastAsia="es-MX"/>
              </w:rPr>
              <w:t>,</w:t>
            </w:r>
            <w:r w:rsidRPr="00C9666A">
              <w:rPr>
                <w:rFonts w:ascii="Arial" w:eastAsia="Times New Roman" w:hAnsi="Arial" w:cs="Arial"/>
                <w:color w:val="000000"/>
                <w:sz w:val="18"/>
                <w:lang w:eastAsia="es-MX"/>
              </w:rPr>
              <w:t xml:space="preserve"> </w:t>
            </w:r>
            <w:r w:rsidR="004F6A33" w:rsidRPr="00C9666A">
              <w:rPr>
                <w:rFonts w:ascii="Arial" w:hAnsi="Arial" w:cs="Arial"/>
                <w:color w:val="000000"/>
                <w:sz w:val="18"/>
              </w:rPr>
              <w:t>después de la transacción,</w:t>
            </w:r>
            <w:r w:rsidR="004F6A33" w:rsidRPr="00C9666A">
              <w:rPr>
                <w:rFonts w:ascii="Arial" w:eastAsia="Times New Roman" w:hAnsi="Arial" w:cs="Arial"/>
                <w:color w:val="000000"/>
                <w:sz w:val="18"/>
                <w:lang w:eastAsia="es-MX"/>
              </w:rPr>
              <w:t xml:space="preserve"> </w:t>
            </w:r>
            <w:r w:rsidRPr="00C9666A">
              <w:rPr>
                <w:rFonts w:ascii="Arial" w:eastAsia="Times New Roman" w:hAnsi="Arial" w:cs="Arial"/>
                <w:color w:val="000000"/>
                <w:sz w:val="18"/>
                <w:lang w:eastAsia="es-MX"/>
              </w:rPr>
              <w:t xml:space="preserve">no supera el </w:t>
            </w:r>
            <w:r w:rsidRPr="00C9666A">
              <w:rPr>
                <w:rFonts w:ascii="Arial" w:eastAsia="Times New Roman" w:hAnsi="Arial" w:cs="Arial"/>
                <w:b/>
                <w:color w:val="000000"/>
                <w:sz w:val="18"/>
                <w:lang w:eastAsia="es-MX"/>
              </w:rPr>
              <w:t>50%</w:t>
            </w:r>
            <w:r w:rsidRPr="00C9666A">
              <w:rPr>
                <w:rFonts w:ascii="Arial" w:eastAsia="Times New Roman" w:hAnsi="Arial" w:cs="Arial"/>
                <w:color w:val="000000"/>
                <w:sz w:val="18"/>
                <w:lang w:eastAsia="es-MX"/>
              </w:rPr>
              <w:t>.</w:t>
            </w:r>
            <w:r w:rsidR="004F6A33" w:rsidRPr="00C9666A">
              <w:rPr>
                <w:rStyle w:val="Refdenotaalpie"/>
                <w:rFonts w:ascii="Arial" w:eastAsia="Times New Roman" w:hAnsi="Arial" w:cs="Arial"/>
                <w:color w:val="000000"/>
                <w:sz w:val="18"/>
                <w:lang w:eastAsia="es-MX"/>
              </w:rPr>
              <w:footnoteReference w:id="32"/>
            </w:r>
          </w:p>
        </w:tc>
      </w:tr>
    </w:tbl>
    <w:p w14:paraId="405DC3C6" w14:textId="77777777" w:rsidR="004F6A33" w:rsidRPr="00C9666A" w:rsidRDefault="004F6A33" w:rsidP="00C9666A">
      <w:pPr>
        <w:pStyle w:val="Default"/>
        <w:spacing w:before="120" w:after="120" w:line="276" w:lineRule="auto"/>
        <w:ind w:right="-1"/>
        <w:rPr>
          <w:rFonts w:ascii="Arial" w:hAnsi="Arial" w:cs="Arial"/>
          <w:sz w:val="22"/>
          <w:szCs w:val="22"/>
        </w:rPr>
      </w:pPr>
    </w:p>
    <w:p w14:paraId="06E49AC8" w14:textId="50FF3322" w:rsidR="004F6A33" w:rsidRPr="00CC256D" w:rsidRDefault="001E3B08" w:rsidP="00D92DEF">
      <w:pPr>
        <w:pStyle w:val="Default"/>
        <w:keepNext/>
        <w:spacing w:before="120" w:after="120" w:line="276" w:lineRule="auto"/>
        <w:ind w:left="851"/>
        <w:jc w:val="both"/>
        <w:rPr>
          <w:rFonts w:ascii="Arial" w:hAnsi="Arial" w:cs="Arial"/>
          <w:b/>
          <w:sz w:val="22"/>
          <w:szCs w:val="22"/>
        </w:rPr>
      </w:pPr>
      <w:r>
        <w:rPr>
          <w:rFonts w:ascii="Arial" w:hAnsi="Arial" w:cs="Arial"/>
          <w:b/>
          <w:sz w:val="22"/>
          <w:szCs w:val="22"/>
        </w:rPr>
        <w:t>I</w:t>
      </w:r>
      <w:r w:rsidR="004F6A33" w:rsidRPr="00C9666A">
        <w:rPr>
          <w:rFonts w:ascii="Arial" w:hAnsi="Arial" w:cs="Arial"/>
          <w:b/>
          <w:sz w:val="22"/>
          <w:szCs w:val="22"/>
        </w:rPr>
        <w:t xml:space="preserve">V.2. </w:t>
      </w:r>
      <w:r w:rsidR="00B47C36" w:rsidRPr="00C9666A">
        <w:rPr>
          <w:rFonts w:ascii="Arial" w:hAnsi="Arial" w:cs="Arial"/>
          <w:b/>
          <w:color w:val="auto"/>
          <w:sz w:val="22"/>
          <w:szCs w:val="22"/>
        </w:rPr>
        <w:t xml:space="preserve">Grado de concentración en </w:t>
      </w:r>
      <w:r w:rsidR="00B47C36" w:rsidRPr="00C9666A">
        <w:rPr>
          <w:rFonts w:ascii="Arial" w:hAnsi="Arial" w:cs="Arial"/>
          <w:b/>
          <w:sz w:val="22"/>
          <w:szCs w:val="22"/>
        </w:rPr>
        <w:t>diversos mercados en los sectores de telecomunicaciones y radiodifusión</w:t>
      </w:r>
    </w:p>
    <w:p w14:paraId="61A2EE8B" w14:textId="601C6EF1" w:rsidR="00B5567C" w:rsidRPr="00C9666A" w:rsidRDefault="00C262B6" w:rsidP="00C9666A">
      <w:pPr>
        <w:spacing w:before="120" w:after="120"/>
        <w:ind w:right="-1"/>
        <w:jc w:val="both"/>
        <w:rPr>
          <w:rFonts w:ascii="Arial" w:hAnsi="Arial" w:cs="Arial"/>
        </w:rPr>
      </w:pPr>
      <w:r w:rsidRPr="00C9666A">
        <w:rPr>
          <w:rFonts w:ascii="Arial" w:hAnsi="Arial" w:cs="Arial"/>
        </w:rPr>
        <w:t xml:space="preserve">En esta sección se </w:t>
      </w:r>
      <w:r w:rsidR="00B47C36" w:rsidRPr="00C9666A">
        <w:rPr>
          <w:rFonts w:ascii="Arial" w:hAnsi="Arial" w:cs="Arial"/>
        </w:rPr>
        <w:t xml:space="preserve">comparan </w:t>
      </w:r>
      <w:r w:rsidR="00D308B1" w:rsidRPr="00C9666A">
        <w:rPr>
          <w:rFonts w:ascii="Arial" w:hAnsi="Arial" w:cs="Arial"/>
        </w:rPr>
        <w:t>estimaciones de</w:t>
      </w:r>
      <w:r w:rsidRPr="00C9666A">
        <w:rPr>
          <w:rFonts w:ascii="Arial" w:hAnsi="Arial" w:cs="Arial"/>
        </w:rPr>
        <w:t xml:space="preserve">l </w:t>
      </w:r>
      <w:r w:rsidR="00193362" w:rsidRPr="00C9666A">
        <w:rPr>
          <w:rFonts w:ascii="Arial" w:hAnsi="Arial" w:cs="Arial"/>
        </w:rPr>
        <w:t>IHH</w:t>
      </w:r>
      <w:r w:rsidRPr="00C9666A">
        <w:rPr>
          <w:rFonts w:ascii="Arial" w:hAnsi="Arial" w:cs="Arial"/>
        </w:rPr>
        <w:t xml:space="preserve"> para los </w:t>
      </w:r>
      <w:r w:rsidR="00B47C36" w:rsidRPr="00C9666A">
        <w:rPr>
          <w:rFonts w:ascii="Arial" w:hAnsi="Arial" w:cs="Arial"/>
        </w:rPr>
        <w:t xml:space="preserve">servicios </w:t>
      </w:r>
      <w:r w:rsidRPr="00C9666A">
        <w:rPr>
          <w:rFonts w:ascii="Arial" w:hAnsi="Arial" w:cs="Arial"/>
        </w:rPr>
        <w:t>móvil</w:t>
      </w:r>
      <w:r w:rsidR="0026145B" w:rsidRPr="00C9666A">
        <w:rPr>
          <w:rFonts w:ascii="Arial" w:hAnsi="Arial" w:cs="Arial"/>
        </w:rPr>
        <w:t>es</w:t>
      </w:r>
      <w:r w:rsidR="0082451F">
        <w:rPr>
          <w:rFonts w:ascii="Arial" w:hAnsi="Arial" w:cs="Arial"/>
        </w:rPr>
        <w:t xml:space="preserve"> (telefonía y acceso a Internet)</w:t>
      </w:r>
      <w:r w:rsidRPr="00C9666A">
        <w:rPr>
          <w:rFonts w:ascii="Arial" w:hAnsi="Arial" w:cs="Arial"/>
        </w:rPr>
        <w:t>, telefonía fija</w:t>
      </w:r>
      <w:r w:rsidR="0082451F">
        <w:rPr>
          <w:rFonts w:ascii="Arial" w:hAnsi="Arial" w:cs="Arial"/>
        </w:rPr>
        <w:t>, acceso a Internet fijo</w:t>
      </w:r>
      <w:r w:rsidR="00BF40E4" w:rsidRPr="00C9666A">
        <w:rPr>
          <w:rFonts w:ascii="Arial" w:hAnsi="Arial" w:cs="Arial"/>
        </w:rPr>
        <w:t xml:space="preserve"> y televisión </w:t>
      </w:r>
      <w:r w:rsidR="0082451F">
        <w:rPr>
          <w:rFonts w:ascii="Arial" w:hAnsi="Arial" w:cs="Arial"/>
        </w:rPr>
        <w:t xml:space="preserve">y audio </w:t>
      </w:r>
      <w:r w:rsidR="00BF40E4" w:rsidRPr="00C9666A">
        <w:rPr>
          <w:rFonts w:ascii="Arial" w:hAnsi="Arial" w:cs="Arial"/>
        </w:rPr>
        <w:t>restringid</w:t>
      </w:r>
      <w:r w:rsidR="0082451F">
        <w:rPr>
          <w:rFonts w:ascii="Arial" w:hAnsi="Arial" w:cs="Arial"/>
        </w:rPr>
        <w:t>os (STAR)</w:t>
      </w:r>
      <w:r w:rsidR="00B47C36" w:rsidRPr="00C9666A">
        <w:rPr>
          <w:rFonts w:ascii="Arial" w:hAnsi="Arial" w:cs="Arial"/>
        </w:rPr>
        <w:t>,</w:t>
      </w:r>
      <w:r w:rsidR="00887EA8" w:rsidRPr="00C9666A">
        <w:rPr>
          <w:rFonts w:ascii="Arial" w:hAnsi="Arial" w:cs="Arial"/>
        </w:rPr>
        <w:t xml:space="preserve"> en </w:t>
      </w:r>
      <w:r w:rsidRPr="00C9666A">
        <w:rPr>
          <w:rFonts w:ascii="Arial" w:hAnsi="Arial" w:cs="Arial"/>
        </w:rPr>
        <w:t>diferentes países</w:t>
      </w:r>
      <w:r w:rsidR="00317D63" w:rsidRPr="00C9666A">
        <w:rPr>
          <w:rFonts w:ascii="Arial" w:hAnsi="Arial" w:cs="Arial"/>
        </w:rPr>
        <w:t>.</w:t>
      </w:r>
    </w:p>
    <w:p w14:paraId="42A6315F" w14:textId="77777777" w:rsidR="006B2B59" w:rsidRPr="00C9666A" w:rsidRDefault="006B2B59" w:rsidP="00C9666A">
      <w:pPr>
        <w:keepNext/>
        <w:spacing w:before="120" w:after="120"/>
        <w:jc w:val="both"/>
        <w:rPr>
          <w:rFonts w:ascii="Arial" w:hAnsi="Arial" w:cs="Arial"/>
          <w:b/>
        </w:rPr>
      </w:pPr>
      <w:r w:rsidRPr="00C9666A">
        <w:rPr>
          <w:rFonts w:ascii="Arial" w:hAnsi="Arial" w:cs="Arial"/>
          <w:b/>
        </w:rPr>
        <w:t>Figura 1. Índices de concentración en diversos países</w:t>
      </w:r>
    </w:p>
    <w:p w14:paraId="7CC0F268" w14:textId="599C094F" w:rsidR="00C262B6" w:rsidRPr="00C9666A" w:rsidRDefault="00C262B6" w:rsidP="00C9666A">
      <w:pPr>
        <w:spacing w:before="120" w:after="120"/>
        <w:ind w:right="-1"/>
        <w:jc w:val="both"/>
        <w:rPr>
          <w:rFonts w:ascii="Arial" w:hAnsi="Arial" w:cs="Arial"/>
        </w:rPr>
      </w:pPr>
    </w:p>
    <w:p w14:paraId="743ACE1D" w14:textId="0BEE0738" w:rsidR="00FA119B" w:rsidRPr="00C9666A" w:rsidRDefault="00FA119B" w:rsidP="00C9666A">
      <w:pPr>
        <w:spacing w:before="120" w:after="120"/>
        <w:ind w:right="-1"/>
        <w:jc w:val="center"/>
        <w:rPr>
          <w:rFonts w:ascii="Arial" w:hAnsi="Arial" w:cs="Arial"/>
          <w:sz w:val="16"/>
          <w:szCs w:val="16"/>
        </w:rPr>
      </w:pPr>
      <w:r w:rsidRPr="00C9666A">
        <w:rPr>
          <w:rFonts w:ascii="Arial" w:hAnsi="Arial" w:cs="Arial"/>
          <w:noProof/>
          <w:lang w:eastAsia="es-MX"/>
        </w:rPr>
        <w:lastRenderedPageBreak/>
        <w:drawing>
          <wp:inline distT="0" distB="0" distL="0" distR="0" wp14:anchorId="1E766683" wp14:editId="11DDC4EE">
            <wp:extent cx="4526915" cy="2294965"/>
            <wp:effectExtent l="0" t="0" r="6985" b="1016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208B60" w14:textId="1DE7CBCD" w:rsidR="00C262B6" w:rsidRPr="00FC3B8A" w:rsidRDefault="00C262B6" w:rsidP="00C9666A">
      <w:pPr>
        <w:spacing w:before="120" w:after="120"/>
        <w:ind w:left="1276" w:right="-1"/>
        <w:rPr>
          <w:rFonts w:ascii="Arial" w:hAnsi="Arial" w:cs="Arial"/>
          <w:sz w:val="14"/>
          <w:szCs w:val="14"/>
        </w:rPr>
      </w:pPr>
      <w:r w:rsidRPr="00FC3B8A">
        <w:rPr>
          <w:rFonts w:ascii="Arial" w:hAnsi="Arial" w:cs="Arial"/>
          <w:sz w:val="14"/>
          <w:szCs w:val="14"/>
        </w:rPr>
        <w:t xml:space="preserve">Fuente: </w:t>
      </w:r>
      <w:r w:rsidR="00B47C36" w:rsidRPr="00FC3B8A">
        <w:rPr>
          <w:rFonts w:ascii="Arial" w:hAnsi="Arial" w:cs="Arial"/>
          <w:sz w:val="14"/>
          <w:szCs w:val="14"/>
        </w:rPr>
        <w:t xml:space="preserve">Estimaciones propias con información de </w:t>
      </w:r>
      <w:proofErr w:type="spellStart"/>
      <w:r w:rsidR="001E468C" w:rsidRPr="00FC3B8A">
        <w:rPr>
          <w:rFonts w:ascii="Arial" w:hAnsi="Arial" w:cs="Arial"/>
          <w:sz w:val="14"/>
          <w:szCs w:val="14"/>
        </w:rPr>
        <w:t>GlobalData</w:t>
      </w:r>
      <w:proofErr w:type="spellEnd"/>
      <w:r w:rsidRPr="00FC3B8A">
        <w:rPr>
          <w:rFonts w:ascii="Arial" w:hAnsi="Arial" w:cs="Arial"/>
          <w:sz w:val="14"/>
          <w:szCs w:val="14"/>
        </w:rPr>
        <w:t xml:space="preserve"> (201</w:t>
      </w:r>
      <w:r w:rsidR="001E468C" w:rsidRPr="00FC3B8A">
        <w:rPr>
          <w:rFonts w:ascii="Arial" w:hAnsi="Arial" w:cs="Arial"/>
          <w:sz w:val="14"/>
          <w:szCs w:val="14"/>
        </w:rPr>
        <w:t>9</w:t>
      </w:r>
      <w:r w:rsidRPr="00FC3B8A">
        <w:rPr>
          <w:rFonts w:ascii="Arial" w:hAnsi="Arial" w:cs="Arial"/>
          <w:sz w:val="14"/>
          <w:szCs w:val="14"/>
        </w:rPr>
        <w:t>).</w:t>
      </w:r>
    </w:p>
    <w:p w14:paraId="288FA4A3" w14:textId="71421F2C" w:rsidR="00E51EC4" w:rsidRPr="00C9666A" w:rsidRDefault="00E51EC4" w:rsidP="00C9666A">
      <w:pPr>
        <w:spacing w:before="120" w:after="120"/>
        <w:ind w:right="-1"/>
        <w:rPr>
          <w:rFonts w:ascii="Arial" w:hAnsi="Arial" w:cs="Arial"/>
        </w:rPr>
      </w:pPr>
    </w:p>
    <w:p w14:paraId="10B2C157" w14:textId="40DF52E5" w:rsidR="00FA119B" w:rsidRPr="00C9666A" w:rsidRDefault="00FA119B" w:rsidP="00C9666A">
      <w:pPr>
        <w:spacing w:before="120" w:after="120"/>
        <w:ind w:right="-1"/>
        <w:jc w:val="center"/>
        <w:rPr>
          <w:rFonts w:ascii="Arial" w:hAnsi="Arial" w:cs="Arial"/>
        </w:rPr>
      </w:pPr>
      <w:r w:rsidRPr="00C9666A">
        <w:rPr>
          <w:rFonts w:ascii="Arial" w:hAnsi="Arial" w:cs="Arial"/>
          <w:noProof/>
          <w:lang w:eastAsia="es-MX"/>
        </w:rPr>
        <w:drawing>
          <wp:inline distT="0" distB="0" distL="0" distR="0" wp14:anchorId="10C917E8" wp14:editId="42781677">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54AD2" w14:textId="77777777" w:rsidR="0026145B" w:rsidRPr="00FC3B8A" w:rsidRDefault="0026145B" w:rsidP="00C9666A">
      <w:pPr>
        <w:spacing w:before="120" w:after="120"/>
        <w:ind w:left="1276" w:right="-1"/>
        <w:rPr>
          <w:rFonts w:ascii="Arial" w:hAnsi="Arial" w:cs="Arial"/>
          <w:sz w:val="14"/>
          <w:szCs w:val="14"/>
        </w:rPr>
      </w:pPr>
      <w:r w:rsidRPr="00FC3B8A">
        <w:rPr>
          <w:rFonts w:ascii="Arial" w:hAnsi="Arial" w:cs="Arial"/>
          <w:sz w:val="14"/>
          <w:szCs w:val="14"/>
        </w:rPr>
        <w:t xml:space="preserve">Fuente: Estimaciones propias con información de </w:t>
      </w:r>
      <w:proofErr w:type="spellStart"/>
      <w:r w:rsidRPr="00FC3B8A">
        <w:rPr>
          <w:rFonts w:ascii="Arial" w:hAnsi="Arial" w:cs="Arial"/>
          <w:sz w:val="14"/>
          <w:szCs w:val="14"/>
        </w:rPr>
        <w:t>GlobalData</w:t>
      </w:r>
      <w:proofErr w:type="spellEnd"/>
      <w:r w:rsidRPr="00FC3B8A">
        <w:rPr>
          <w:rFonts w:ascii="Arial" w:hAnsi="Arial" w:cs="Arial"/>
          <w:sz w:val="14"/>
          <w:szCs w:val="14"/>
        </w:rPr>
        <w:t xml:space="preserve"> (2019).</w:t>
      </w:r>
    </w:p>
    <w:p w14:paraId="14CD7740" w14:textId="796673C7" w:rsidR="0026145B" w:rsidRPr="00C9666A" w:rsidRDefault="0026145B" w:rsidP="00C9666A">
      <w:pPr>
        <w:spacing w:before="120" w:after="120"/>
        <w:ind w:right="-1"/>
        <w:jc w:val="center"/>
        <w:rPr>
          <w:rFonts w:ascii="Arial" w:hAnsi="Arial" w:cs="Arial"/>
        </w:rPr>
      </w:pPr>
      <w:r w:rsidRPr="00C9666A">
        <w:rPr>
          <w:rFonts w:ascii="Arial" w:hAnsi="Arial" w:cs="Arial"/>
          <w:noProof/>
          <w:lang w:eastAsia="es-MX"/>
        </w:rPr>
        <w:lastRenderedPageBreak/>
        <w:drawing>
          <wp:inline distT="0" distB="0" distL="0" distR="0" wp14:anchorId="05B2CA40" wp14:editId="38E44B87">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A8E553" w14:textId="0976F0D6" w:rsidR="0026145B" w:rsidRPr="00C9666A" w:rsidRDefault="0026145B" w:rsidP="00C9666A">
      <w:pPr>
        <w:spacing w:before="120" w:after="120"/>
        <w:ind w:left="1276" w:right="-1"/>
        <w:rPr>
          <w:rFonts w:ascii="Arial" w:hAnsi="Arial" w:cs="Arial"/>
          <w:sz w:val="16"/>
          <w:szCs w:val="16"/>
        </w:rPr>
      </w:pPr>
      <w:r w:rsidRPr="00C9666A">
        <w:rPr>
          <w:rFonts w:ascii="Arial" w:hAnsi="Arial" w:cs="Arial"/>
          <w:sz w:val="16"/>
          <w:szCs w:val="16"/>
        </w:rPr>
        <w:t xml:space="preserve">Fuente: Estimaciones propias con información de </w:t>
      </w:r>
      <w:proofErr w:type="spellStart"/>
      <w:r w:rsidRPr="00C9666A">
        <w:rPr>
          <w:rFonts w:ascii="Arial" w:hAnsi="Arial" w:cs="Arial"/>
          <w:sz w:val="16"/>
          <w:szCs w:val="16"/>
        </w:rPr>
        <w:t>GlobalData</w:t>
      </w:r>
      <w:proofErr w:type="spellEnd"/>
      <w:r w:rsidRPr="00C9666A">
        <w:rPr>
          <w:rFonts w:ascii="Arial" w:hAnsi="Arial" w:cs="Arial"/>
          <w:sz w:val="16"/>
          <w:szCs w:val="16"/>
        </w:rPr>
        <w:t xml:space="preserve"> (2019).</w:t>
      </w:r>
    </w:p>
    <w:p w14:paraId="1E6DFB93" w14:textId="4256D7EF" w:rsidR="0026145B" w:rsidRPr="00C9666A" w:rsidRDefault="0026145B" w:rsidP="00C9666A">
      <w:pPr>
        <w:spacing w:before="120" w:after="120"/>
        <w:ind w:right="-1"/>
        <w:jc w:val="center"/>
        <w:rPr>
          <w:rFonts w:ascii="Arial" w:hAnsi="Arial" w:cs="Arial"/>
        </w:rPr>
      </w:pPr>
    </w:p>
    <w:p w14:paraId="18A6B256" w14:textId="33762F8A" w:rsidR="005F7321" w:rsidRPr="00C9666A" w:rsidRDefault="005F7321" w:rsidP="00C9666A">
      <w:pPr>
        <w:spacing w:before="120" w:after="120"/>
        <w:ind w:right="-1"/>
        <w:jc w:val="center"/>
        <w:rPr>
          <w:rFonts w:ascii="Arial" w:hAnsi="Arial" w:cs="Arial"/>
        </w:rPr>
      </w:pPr>
      <w:r w:rsidRPr="00C9666A">
        <w:rPr>
          <w:rFonts w:ascii="Arial" w:hAnsi="Arial" w:cs="Arial"/>
          <w:noProof/>
          <w:lang w:eastAsia="es-MX"/>
        </w:rPr>
        <w:drawing>
          <wp:inline distT="0" distB="0" distL="0" distR="0" wp14:anchorId="0EB37F03" wp14:editId="3524993E">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515160" w14:textId="77777777" w:rsidR="005F7321" w:rsidRPr="00C9666A" w:rsidRDefault="005F7321" w:rsidP="00C9666A">
      <w:pPr>
        <w:spacing w:before="120" w:after="120"/>
        <w:ind w:left="1276" w:right="-1"/>
        <w:rPr>
          <w:rFonts w:ascii="Arial" w:hAnsi="Arial" w:cs="Arial"/>
          <w:sz w:val="16"/>
          <w:szCs w:val="16"/>
        </w:rPr>
      </w:pPr>
      <w:r w:rsidRPr="00C9666A">
        <w:rPr>
          <w:rFonts w:ascii="Arial" w:hAnsi="Arial" w:cs="Arial"/>
          <w:sz w:val="16"/>
          <w:szCs w:val="16"/>
        </w:rPr>
        <w:t xml:space="preserve">Fuente: Estimaciones propias con información de </w:t>
      </w:r>
      <w:proofErr w:type="spellStart"/>
      <w:r w:rsidRPr="00C9666A">
        <w:rPr>
          <w:rFonts w:ascii="Arial" w:hAnsi="Arial" w:cs="Arial"/>
          <w:sz w:val="16"/>
          <w:szCs w:val="16"/>
        </w:rPr>
        <w:t>GlobalData</w:t>
      </w:r>
      <w:proofErr w:type="spellEnd"/>
      <w:r w:rsidRPr="00C9666A">
        <w:rPr>
          <w:rFonts w:ascii="Arial" w:hAnsi="Arial" w:cs="Arial"/>
          <w:sz w:val="16"/>
          <w:szCs w:val="16"/>
        </w:rPr>
        <w:t xml:space="preserve"> (2019).</w:t>
      </w:r>
    </w:p>
    <w:p w14:paraId="52ACC0C8" w14:textId="191E3160" w:rsidR="002E3835" w:rsidRPr="00C9666A" w:rsidRDefault="002E3835" w:rsidP="00C9666A">
      <w:pPr>
        <w:spacing w:before="120" w:after="120"/>
        <w:ind w:right="-1"/>
        <w:jc w:val="both"/>
        <w:rPr>
          <w:rFonts w:ascii="Arial" w:hAnsi="Arial" w:cs="Arial"/>
        </w:rPr>
      </w:pPr>
      <w:r w:rsidRPr="00C9666A">
        <w:rPr>
          <w:rFonts w:ascii="Arial" w:hAnsi="Arial" w:cs="Arial"/>
        </w:rPr>
        <w:t xml:space="preserve">Se observa que los mercados en los sectores de telecomunicaciones se caracterizan por ser altamente concentrados. Aun en los países con valores bajos del </w:t>
      </w:r>
      <w:r w:rsidR="00193362" w:rsidRPr="00C9666A">
        <w:rPr>
          <w:rFonts w:ascii="Arial" w:hAnsi="Arial" w:cs="Arial"/>
        </w:rPr>
        <w:t>IHH</w:t>
      </w:r>
      <w:r w:rsidRPr="00C9666A">
        <w:rPr>
          <w:rFonts w:ascii="Arial" w:hAnsi="Arial" w:cs="Arial"/>
        </w:rPr>
        <w:t xml:space="preserve">, éste es superior a 1,500 puntos. </w:t>
      </w:r>
    </w:p>
    <w:p w14:paraId="0AA6E802" w14:textId="69598C25" w:rsidR="002E3835" w:rsidRPr="00C9666A" w:rsidRDefault="001E3B08" w:rsidP="00C9666A">
      <w:pPr>
        <w:pStyle w:val="Default"/>
        <w:keepNext/>
        <w:spacing w:before="120" w:after="120" w:line="276" w:lineRule="auto"/>
        <w:ind w:left="851"/>
        <w:jc w:val="both"/>
        <w:rPr>
          <w:rFonts w:ascii="Arial" w:hAnsi="Arial" w:cs="Arial"/>
          <w:b/>
          <w:sz w:val="22"/>
          <w:szCs w:val="22"/>
        </w:rPr>
      </w:pPr>
      <w:r>
        <w:rPr>
          <w:rFonts w:ascii="Arial" w:hAnsi="Arial" w:cs="Arial"/>
          <w:b/>
          <w:sz w:val="22"/>
          <w:szCs w:val="22"/>
        </w:rPr>
        <w:t>I</w:t>
      </w:r>
      <w:r w:rsidR="002E3835" w:rsidRPr="00C9666A">
        <w:rPr>
          <w:rFonts w:ascii="Arial" w:hAnsi="Arial" w:cs="Arial"/>
          <w:b/>
          <w:sz w:val="22"/>
          <w:szCs w:val="22"/>
        </w:rPr>
        <w:t>V.</w:t>
      </w:r>
      <w:r w:rsidR="002523B8" w:rsidRPr="00C9666A">
        <w:rPr>
          <w:rFonts w:ascii="Arial" w:hAnsi="Arial" w:cs="Arial"/>
          <w:b/>
          <w:sz w:val="22"/>
          <w:szCs w:val="22"/>
        </w:rPr>
        <w:t>3</w:t>
      </w:r>
      <w:r w:rsidR="002E3835" w:rsidRPr="00C9666A">
        <w:rPr>
          <w:rFonts w:ascii="Arial" w:hAnsi="Arial" w:cs="Arial"/>
          <w:b/>
          <w:sz w:val="22"/>
          <w:szCs w:val="22"/>
        </w:rPr>
        <w:t>. Experiencia en México</w:t>
      </w:r>
    </w:p>
    <w:p w14:paraId="0A83ABAE" w14:textId="20B136D2" w:rsidR="002E3835" w:rsidRPr="00C9666A" w:rsidRDefault="002E3835"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La extinta Comisión Federal de Competencia evaluó concentraciones en los sectores de telecomunicaciones y radiodifusión notificadas hasta junio de 2013, fecha en que se creó el Instituto y a partir de la cual ha sido este Instituto la autoridad facultada para evaluar las concentraciones en estos sectores conforme a la Ley Federal de Competencia Económica. </w:t>
      </w:r>
    </w:p>
    <w:p w14:paraId="785DE1B6" w14:textId="0A3C4F33" w:rsidR="006C0808" w:rsidRPr="00C9666A" w:rsidRDefault="006C0808" w:rsidP="00C9666A">
      <w:pPr>
        <w:spacing w:before="120" w:after="120"/>
        <w:ind w:right="-1"/>
        <w:jc w:val="both"/>
        <w:rPr>
          <w:rFonts w:ascii="Arial" w:hAnsi="Arial" w:cs="Arial"/>
        </w:rPr>
      </w:pPr>
      <w:r w:rsidRPr="00C9666A">
        <w:rPr>
          <w:rFonts w:ascii="Arial" w:hAnsi="Arial" w:cs="Arial"/>
        </w:rPr>
        <w:lastRenderedPageBreak/>
        <w:t xml:space="preserve">En el siguiente cuadro se </w:t>
      </w:r>
      <w:r w:rsidR="002B564F" w:rsidRPr="00C9666A">
        <w:rPr>
          <w:rFonts w:ascii="Arial" w:hAnsi="Arial" w:cs="Arial"/>
        </w:rPr>
        <w:t>resumen los valores</w:t>
      </w:r>
      <w:r w:rsidRPr="00C9666A">
        <w:rPr>
          <w:rFonts w:ascii="Arial" w:hAnsi="Arial" w:cs="Arial"/>
        </w:rPr>
        <w:t xml:space="preserve"> </w:t>
      </w:r>
      <w:r w:rsidR="002B564F" w:rsidRPr="00C9666A">
        <w:rPr>
          <w:rFonts w:ascii="Arial" w:hAnsi="Arial" w:cs="Arial"/>
        </w:rPr>
        <w:t>del</w:t>
      </w:r>
      <w:r w:rsidRPr="00C9666A">
        <w:rPr>
          <w:rFonts w:ascii="Arial" w:hAnsi="Arial" w:cs="Arial"/>
        </w:rPr>
        <w:t xml:space="preserve"> </w:t>
      </w:r>
      <w:r w:rsidR="002523B8" w:rsidRPr="00C9666A">
        <w:rPr>
          <w:rFonts w:ascii="Arial" w:hAnsi="Arial" w:cs="Arial"/>
        </w:rPr>
        <w:t>I</w:t>
      </w:r>
      <w:r w:rsidRPr="00C9666A">
        <w:rPr>
          <w:rFonts w:ascii="Arial" w:hAnsi="Arial" w:cs="Arial"/>
        </w:rPr>
        <w:t xml:space="preserve">HH para distintos </w:t>
      </w:r>
      <w:r w:rsidR="002523B8" w:rsidRPr="00C9666A">
        <w:rPr>
          <w:rFonts w:ascii="Arial" w:hAnsi="Arial" w:cs="Arial"/>
        </w:rPr>
        <w:t xml:space="preserve">servicios </w:t>
      </w:r>
      <w:r w:rsidR="002E3835" w:rsidRPr="00C9666A">
        <w:rPr>
          <w:rFonts w:ascii="Arial" w:hAnsi="Arial" w:cs="Arial"/>
        </w:rPr>
        <w:t>en el sector de</w:t>
      </w:r>
      <w:r w:rsidR="00C84F21" w:rsidRPr="00C9666A">
        <w:rPr>
          <w:rFonts w:ascii="Arial" w:hAnsi="Arial" w:cs="Arial"/>
        </w:rPr>
        <w:t xml:space="preserve"> telecomunicaciones </w:t>
      </w:r>
      <w:r w:rsidRPr="00C9666A">
        <w:rPr>
          <w:rFonts w:ascii="Arial" w:hAnsi="Arial" w:cs="Arial"/>
        </w:rPr>
        <w:t>en México.</w:t>
      </w:r>
      <w:r w:rsidR="002E3835" w:rsidRPr="00C9666A">
        <w:rPr>
          <w:rFonts w:ascii="Arial" w:hAnsi="Arial" w:cs="Arial"/>
        </w:rPr>
        <w:t xml:space="preserve"> </w:t>
      </w:r>
    </w:p>
    <w:p w14:paraId="23DCE7EF" w14:textId="780E2CF2" w:rsidR="006B2B59" w:rsidRPr="0079117E" w:rsidRDefault="0082451F" w:rsidP="00D92DEF">
      <w:pPr>
        <w:pStyle w:val="Default"/>
        <w:keepNext/>
        <w:numPr>
          <w:ilvl w:val="0"/>
          <w:numId w:val="44"/>
        </w:numPr>
        <w:spacing w:before="120" w:after="120" w:line="276" w:lineRule="auto"/>
        <w:jc w:val="center"/>
        <w:rPr>
          <w:rFonts w:ascii="Arial" w:hAnsi="Arial" w:cs="Arial"/>
          <w:b/>
          <w:sz w:val="22"/>
          <w:szCs w:val="22"/>
        </w:rPr>
      </w:pPr>
      <w:r w:rsidRPr="0079117E">
        <w:rPr>
          <w:rFonts w:ascii="Arial" w:hAnsi="Arial" w:cs="Arial"/>
          <w:b/>
          <w:sz w:val="22"/>
          <w:szCs w:val="22"/>
        </w:rPr>
        <w:t>IHH</w:t>
      </w:r>
      <w:r w:rsidR="006B2B59" w:rsidRPr="0079117E">
        <w:rPr>
          <w:rFonts w:ascii="Arial" w:hAnsi="Arial" w:cs="Arial"/>
          <w:b/>
          <w:sz w:val="22"/>
          <w:szCs w:val="22"/>
        </w:rPr>
        <w:t xml:space="preserve"> en </w:t>
      </w:r>
      <w:r w:rsidR="00037B95" w:rsidRPr="0079117E">
        <w:rPr>
          <w:rFonts w:ascii="Arial" w:hAnsi="Arial" w:cs="Arial"/>
          <w:b/>
          <w:sz w:val="22"/>
          <w:szCs w:val="22"/>
        </w:rPr>
        <w:t>México</w:t>
      </w:r>
      <w:r w:rsidR="00072F9A" w:rsidRPr="0079117E">
        <w:rPr>
          <w:rFonts w:ascii="Arial" w:hAnsi="Arial" w:cs="Arial"/>
          <w:b/>
          <w:sz w:val="22"/>
          <w:szCs w:val="22"/>
        </w:rPr>
        <w:t xml:space="preserve"> para servicios de Telecomunicaciones</w:t>
      </w:r>
    </w:p>
    <w:tbl>
      <w:tblPr>
        <w:tblW w:w="8683" w:type="dxa"/>
        <w:jc w:val="center"/>
        <w:tblCellMar>
          <w:left w:w="70" w:type="dxa"/>
          <w:right w:w="70" w:type="dxa"/>
        </w:tblCellMar>
        <w:tblLook w:val="04A0" w:firstRow="1" w:lastRow="0" w:firstColumn="1" w:lastColumn="0" w:noHBand="0" w:noVBand="1"/>
      </w:tblPr>
      <w:tblGrid>
        <w:gridCol w:w="3772"/>
        <w:gridCol w:w="1023"/>
        <w:gridCol w:w="2922"/>
        <w:gridCol w:w="966"/>
      </w:tblGrid>
      <w:tr w:rsidR="003435CC" w:rsidRPr="00C9666A" w14:paraId="783A352E" w14:textId="77777777" w:rsidTr="00B63A07">
        <w:trPr>
          <w:trHeight w:val="315"/>
          <w:jc w:val="center"/>
        </w:trPr>
        <w:tc>
          <w:tcPr>
            <w:tcW w:w="3772" w:type="dxa"/>
            <w:tcBorders>
              <w:top w:val="nil"/>
              <w:left w:val="nil"/>
              <w:bottom w:val="double" w:sz="6" w:space="0" w:color="auto"/>
              <w:right w:val="nil"/>
            </w:tcBorders>
            <w:shd w:val="clear" w:color="auto" w:fill="92D050"/>
            <w:noWrap/>
            <w:vAlign w:val="center"/>
            <w:hideMark/>
          </w:tcPr>
          <w:p w14:paraId="6CBA7D29" w14:textId="77777777" w:rsidR="003435CC" w:rsidRPr="00C9666A" w:rsidRDefault="003435CC" w:rsidP="00FC3B8A">
            <w:pPr>
              <w:spacing w:after="0"/>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 Servicio</w:t>
            </w:r>
          </w:p>
        </w:tc>
        <w:tc>
          <w:tcPr>
            <w:tcW w:w="1023" w:type="dxa"/>
            <w:tcBorders>
              <w:top w:val="double" w:sz="4" w:space="0" w:color="auto"/>
              <w:left w:val="nil"/>
              <w:bottom w:val="double" w:sz="6" w:space="0" w:color="auto"/>
              <w:right w:val="nil"/>
            </w:tcBorders>
            <w:shd w:val="clear" w:color="auto" w:fill="92D050"/>
            <w:noWrap/>
            <w:vAlign w:val="center"/>
            <w:hideMark/>
          </w:tcPr>
          <w:p w14:paraId="496076B8" w14:textId="77777777" w:rsidR="003435CC" w:rsidRPr="00C9666A" w:rsidRDefault="003435CC" w:rsidP="00FC3B8A">
            <w:pPr>
              <w:spacing w:after="0"/>
              <w:jc w:val="center"/>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IHH</w:t>
            </w:r>
          </w:p>
        </w:tc>
        <w:tc>
          <w:tcPr>
            <w:tcW w:w="2922" w:type="dxa"/>
            <w:tcBorders>
              <w:top w:val="double" w:sz="4" w:space="0" w:color="auto"/>
              <w:left w:val="nil"/>
              <w:bottom w:val="double" w:sz="6" w:space="0" w:color="auto"/>
              <w:right w:val="nil"/>
            </w:tcBorders>
            <w:shd w:val="clear" w:color="auto" w:fill="92D050"/>
          </w:tcPr>
          <w:p w14:paraId="5765657C" w14:textId="77777777" w:rsidR="003435CC" w:rsidRPr="00C9666A" w:rsidRDefault="003435CC" w:rsidP="00FC3B8A">
            <w:pPr>
              <w:spacing w:after="0"/>
              <w:jc w:val="center"/>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Fuente</w:t>
            </w:r>
          </w:p>
        </w:tc>
        <w:tc>
          <w:tcPr>
            <w:tcW w:w="966" w:type="dxa"/>
            <w:tcBorders>
              <w:top w:val="double" w:sz="4" w:space="0" w:color="auto"/>
              <w:left w:val="nil"/>
              <w:bottom w:val="double" w:sz="6" w:space="0" w:color="auto"/>
              <w:right w:val="nil"/>
            </w:tcBorders>
            <w:shd w:val="clear" w:color="auto" w:fill="92D050"/>
          </w:tcPr>
          <w:p w14:paraId="67F334B7" w14:textId="77777777" w:rsidR="003435CC" w:rsidRPr="00C9666A" w:rsidRDefault="003435CC" w:rsidP="00FC3B8A">
            <w:pPr>
              <w:spacing w:after="0"/>
              <w:jc w:val="center"/>
              <w:rPr>
                <w:rFonts w:ascii="Arial" w:eastAsia="Times New Roman" w:hAnsi="Arial" w:cs="Arial"/>
                <w:b/>
                <w:color w:val="FFFFFF" w:themeColor="background1"/>
                <w:sz w:val="18"/>
                <w:szCs w:val="18"/>
                <w:lang w:eastAsia="es-MX"/>
              </w:rPr>
            </w:pPr>
            <w:r w:rsidRPr="00C9666A">
              <w:rPr>
                <w:rFonts w:ascii="Arial" w:eastAsia="Times New Roman" w:hAnsi="Arial" w:cs="Arial"/>
                <w:b/>
                <w:color w:val="FFFFFF" w:themeColor="background1"/>
                <w:sz w:val="18"/>
                <w:szCs w:val="18"/>
                <w:lang w:eastAsia="es-MX"/>
              </w:rPr>
              <w:t>Fecha</w:t>
            </w:r>
          </w:p>
        </w:tc>
      </w:tr>
      <w:tr w:rsidR="003435CC" w:rsidRPr="00C9666A" w14:paraId="412BC839"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6C172AB5" w14:textId="77777777"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i/>
                <w:color w:val="000000"/>
                <w:sz w:val="18"/>
                <w:szCs w:val="18"/>
                <w:lang w:eastAsia="es-MX"/>
              </w:rPr>
              <w:t>Hosting</w:t>
            </w:r>
            <w:r w:rsidRPr="00C9666A">
              <w:rPr>
                <w:rFonts w:ascii="Arial" w:eastAsia="Times New Roman" w:hAnsi="Arial" w:cs="Arial"/>
                <w:color w:val="000000"/>
                <w:sz w:val="18"/>
                <w:szCs w:val="18"/>
                <w:lang w:eastAsia="es-MX"/>
              </w:rPr>
              <w:t xml:space="preserve"> y </w:t>
            </w:r>
            <w:r w:rsidRPr="00C9666A">
              <w:rPr>
                <w:rFonts w:ascii="Arial" w:eastAsia="Times New Roman" w:hAnsi="Arial" w:cs="Arial"/>
                <w:i/>
                <w:color w:val="000000"/>
                <w:sz w:val="18"/>
                <w:szCs w:val="18"/>
                <w:lang w:eastAsia="es-MX"/>
              </w:rPr>
              <w:t xml:space="preserve">Cloud </w:t>
            </w:r>
            <w:proofErr w:type="spellStart"/>
            <w:r w:rsidRPr="00C9666A">
              <w:rPr>
                <w:rFonts w:ascii="Arial" w:eastAsia="Times New Roman" w:hAnsi="Arial" w:cs="Arial"/>
                <w:i/>
                <w:color w:val="000000"/>
                <w:sz w:val="18"/>
                <w:szCs w:val="18"/>
                <w:lang w:eastAsia="es-MX"/>
              </w:rPr>
              <w:t>computing</w:t>
            </w:r>
            <w:proofErr w:type="spellEnd"/>
          </w:p>
        </w:tc>
        <w:tc>
          <w:tcPr>
            <w:tcW w:w="1023" w:type="dxa"/>
            <w:tcBorders>
              <w:top w:val="nil"/>
              <w:left w:val="nil"/>
              <w:bottom w:val="single" w:sz="4" w:space="0" w:color="auto"/>
              <w:right w:val="nil"/>
            </w:tcBorders>
            <w:shd w:val="clear" w:color="auto" w:fill="auto"/>
            <w:noWrap/>
            <w:vAlign w:val="center"/>
          </w:tcPr>
          <w:p w14:paraId="4FCE4B7A"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2,037</w:t>
            </w:r>
          </w:p>
        </w:tc>
        <w:tc>
          <w:tcPr>
            <w:tcW w:w="2922" w:type="dxa"/>
            <w:tcBorders>
              <w:top w:val="nil"/>
              <w:left w:val="nil"/>
              <w:bottom w:val="single" w:sz="4" w:space="0" w:color="auto"/>
              <w:right w:val="nil"/>
            </w:tcBorders>
            <w:vAlign w:val="center"/>
          </w:tcPr>
          <w:p w14:paraId="017B1FEA"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Expediente UCE/CNC-004-2014</w:t>
            </w:r>
          </w:p>
        </w:tc>
        <w:tc>
          <w:tcPr>
            <w:tcW w:w="966" w:type="dxa"/>
            <w:tcBorders>
              <w:top w:val="nil"/>
              <w:left w:val="nil"/>
              <w:bottom w:val="single" w:sz="4" w:space="0" w:color="auto"/>
              <w:right w:val="nil"/>
            </w:tcBorders>
            <w:vAlign w:val="center"/>
          </w:tcPr>
          <w:p w14:paraId="6B83FA72"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2012</w:t>
            </w:r>
          </w:p>
        </w:tc>
      </w:tr>
      <w:tr w:rsidR="003435CC" w:rsidRPr="00C9666A" w14:paraId="0CF0C58E"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hideMark/>
          </w:tcPr>
          <w:p w14:paraId="47AD0BCC" w14:textId="77777777"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Provisión de capacidad satelital para servicios fijos satelitales</w:t>
            </w:r>
          </w:p>
        </w:tc>
        <w:tc>
          <w:tcPr>
            <w:tcW w:w="1023" w:type="dxa"/>
            <w:tcBorders>
              <w:top w:val="nil"/>
              <w:left w:val="nil"/>
              <w:bottom w:val="single" w:sz="4" w:space="0" w:color="auto"/>
              <w:right w:val="nil"/>
            </w:tcBorders>
            <w:shd w:val="clear" w:color="auto" w:fill="auto"/>
            <w:noWrap/>
            <w:vAlign w:val="center"/>
            <w:hideMark/>
          </w:tcPr>
          <w:p w14:paraId="54AA69D3"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4,317</w:t>
            </w:r>
          </w:p>
        </w:tc>
        <w:tc>
          <w:tcPr>
            <w:tcW w:w="2922" w:type="dxa"/>
            <w:tcBorders>
              <w:top w:val="nil"/>
              <w:left w:val="nil"/>
              <w:bottom w:val="single" w:sz="4" w:space="0" w:color="auto"/>
              <w:right w:val="nil"/>
            </w:tcBorders>
            <w:vAlign w:val="center"/>
          </w:tcPr>
          <w:p w14:paraId="34C4B84F"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Expediente E-IFT/DGCCC/CNC/0002/2013</w:t>
            </w:r>
          </w:p>
        </w:tc>
        <w:tc>
          <w:tcPr>
            <w:tcW w:w="966" w:type="dxa"/>
            <w:tcBorders>
              <w:top w:val="nil"/>
              <w:left w:val="nil"/>
              <w:bottom w:val="single" w:sz="4" w:space="0" w:color="auto"/>
              <w:right w:val="nil"/>
            </w:tcBorders>
            <w:vAlign w:val="center"/>
          </w:tcPr>
          <w:p w14:paraId="79DF774D"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2012</w:t>
            </w:r>
          </w:p>
        </w:tc>
      </w:tr>
      <w:tr w:rsidR="003435CC" w:rsidRPr="00C9666A" w14:paraId="43539A6A"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0BD78060" w14:textId="77777777"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Radiolocalización móvil de vehículos</w:t>
            </w:r>
          </w:p>
        </w:tc>
        <w:tc>
          <w:tcPr>
            <w:tcW w:w="1023" w:type="dxa"/>
            <w:tcBorders>
              <w:top w:val="nil"/>
              <w:left w:val="nil"/>
              <w:bottom w:val="single" w:sz="4" w:space="0" w:color="auto"/>
              <w:right w:val="nil"/>
            </w:tcBorders>
            <w:shd w:val="clear" w:color="auto" w:fill="auto"/>
            <w:noWrap/>
            <w:vAlign w:val="center"/>
          </w:tcPr>
          <w:p w14:paraId="6564A7A8"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3,489</w:t>
            </w:r>
          </w:p>
        </w:tc>
        <w:tc>
          <w:tcPr>
            <w:tcW w:w="2922" w:type="dxa"/>
            <w:tcBorders>
              <w:top w:val="nil"/>
              <w:left w:val="nil"/>
              <w:bottom w:val="single" w:sz="4" w:space="0" w:color="auto"/>
              <w:right w:val="nil"/>
            </w:tcBorders>
            <w:vAlign w:val="center"/>
          </w:tcPr>
          <w:p w14:paraId="257E9848"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Expediente E-IFT/DGCCC/CNC/0001/2013</w:t>
            </w:r>
          </w:p>
        </w:tc>
        <w:tc>
          <w:tcPr>
            <w:tcW w:w="966" w:type="dxa"/>
            <w:tcBorders>
              <w:top w:val="nil"/>
              <w:left w:val="nil"/>
              <w:bottom w:val="single" w:sz="4" w:space="0" w:color="auto"/>
              <w:right w:val="nil"/>
            </w:tcBorders>
            <w:vAlign w:val="center"/>
          </w:tcPr>
          <w:p w14:paraId="04A4DA33"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2012</w:t>
            </w:r>
          </w:p>
        </w:tc>
      </w:tr>
      <w:tr w:rsidR="003435CC" w:rsidRPr="00C9666A" w14:paraId="6861B42B"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79579DB6" w14:textId="77777777"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Sitios para telecomunicaciones</w:t>
            </w:r>
          </w:p>
        </w:tc>
        <w:tc>
          <w:tcPr>
            <w:tcW w:w="1023" w:type="dxa"/>
            <w:tcBorders>
              <w:top w:val="nil"/>
              <w:left w:val="nil"/>
              <w:bottom w:val="single" w:sz="4" w:space="0" w:color="auto"/>
              <w:right w:val="nil"/>
            </w:tcBorders>
            <w:shd w:val="clear" w:color="auto" w:fill="auto"/>
            <w:noWrap/>
            <w:vAlign w:val="center"/>
          </w:tcPr>
          <w:p w14:paraId="314A3AB7"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4,030</w:t>
            </w:r>
          </w:p>
        </w:tc>
        <w:tc>
          <w:tcPr>
            <w:tcW w:w="2922" w:type="dxa"/>
            <w:tcBorders>
              <w:top w:val="nil"/>
              <w:left w:val="nil"/>
              <w:bottom w:val="single" w:sz="4" w:space="0" w:color="auto"/>
              <w:right w:val="nil"/>
            </w:tcBorders>
            <w:vAlign w:val="center"/>
          </w:tcPr>
          <w:p w14:paraId="38469E53"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Expediente UCE/CNC-005-2014</w:t>
            </w:r>
          </w:p>
        </w:tc>
        <w:tc>
          <w:tcPr>
            <w:tcW w:w="966" w:type="dxa"/>
            <w:tcBorders>
              <w:top w:val="nil"/>
              <w:left w:val="nil"/>
              <w:bottom w:val="single" w:sz="4" w:space="0" w:color="auto"/>
              <w:right w:val="nil"/>
            </w:tcBorders>
            <w:vAlign w:val="center"/>
          </w:tcPr>
          <w:p w14:paraId="0834B072" w14:textId="01230A9D"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3T2014</w:t>
            </w:r>
          </w:p>
        </w:tc>
      </w:tr>
      <w:tr w:rsidR="003435CC" w:rsidRPr="00C9666A" w14:paraId="37F00CDB"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0749BCA7" w14:textId="52DF3121"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Tele</w:t>
            </w:r>
            <w:r w:rsidR="0082451F">
              <w:rPr>
                <w:rFonts w:ascii="Arial" w:eastAsia="Times New Roman" w:hAnsi="Arial" w:cs="Arial"/>
                <w:color w:val="000000"/>
                <w:sz w:val="18"/>
                <w:szCs w:val="18"/>
                <w:lang w:eastAsia="es-MX"/>
              </w:rPr>
              <w:t>comunicaciones móviles</w:t>
            </w:r>
          </w:p>
        </w:tc>
        <w:tc>
          <w:tcPr>
            <w:tcW w:w="1023" w:type="dxa"/>
            <w:tcBorders>
              <w:top w:val="nil"/>
              <w:left w:val="nil"/>
              <w:bottom w:val="single" w:sz="4" w:space="0" w:color="auto"/>
              <w:right w:val="nil"/>
            </w:tcBorders>
            <w:shd w:val="clear" w:color="auto" w:fill="auto"/>
            <w:noWrap/>
            <w:vAlign w:val="center"/>
          </w:tcPr>
          <w:p w14:paraId="32D6FCC7"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5,833</w:t>
            </w:r>
          </w:p>
        </w:tc>
        <w:tc>
          <w:tcPr>
            <w:tcW w:w="2922" w:type="dxa"/>
            <w:tcBorders>
              <w:top w:val="nil"/>
              <w:left w:val="nil"/>
              <w:bottom w:val="single" w:sz="4" w:space="0" w:color="auto"/>
              <w:right w:val="nil"/>
            </w:tcBorders>
            <w:vAlign w:val="center"/>
          </w:tcPr>
          <w:p w14:paraId="766AFC97"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Expediente UCE/CNC-001-2015</w:t>
            </w:r>
          </w:p>
        </w:tc>
        <w:tc>
          <w:tcPr>
            <w:tcW w:w="966" w:type="dxa"/>
            <w:tcBorders>
              <w:top w:val="nil"/>
              <w:left w:val="nil"/>
              <w:bottom w:val="single" w:sz="4" w:space="0" w:color="auto"/>
              <w:right w:val="nil"/>
            </w:tcBorders>
            <w:vAlign w:val="center"/>
          </w:tcPr>
          <w:p w14:paraId="016918FB"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2T2014</w:t>
            </w:r>
          </w:p>
        </w:tc>
      </w:tr>
      <w:tr w:rsidR="003435CC" w:rsidRPr="00C9666A" w14:paraId="37C4F0EE" w14:textId="77777777" w:rsidTr="00B63A07">
        <w:trPr>
          <w:trHeight w:val="315"/>
          <w:jc w:val="center"/>
        </w:trPr>
        <w:tc>
          <w:tcPr>
            <w:tcW w:w="3772" w:type="dxa"/>
            <w:tcBorders>
              <w:top w:val="nil"/>
              <w:left w:val="nil"/>
              <w:bottom w:val="single" w:sz="4" w:space="0" w:color="auto"/>
              <w:right w:val="nil"/>
            </w:tcBorders>
            <w:shd w:val="clear" w:color="auto" w:fill="auto"/>
            <w:noWrap/>
            <w:vAlign w:val="center"/>
            <w:hideMark/>
          </w:tcPr>
          <w:p w14:paraId="0F2A05D4" w14:textId="77777777" w:rsidR="003435CC" w:rsidRPr="00C9666A" w:rsidRDefault="003435CC" w:rsidP="00FC3B8A">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Telefonía Fija</w:t>
            </w:r>
          </w:p>
        </w:tc>
        <w:tc>
          <w:tcPr>
            <w:tcW w:w="1023" w:type="dxa"/>
            <w:tcBorders>
              <w:top w:val="nil"/>
              <w:left w:val="nil"/>
              <w:bottom w:val="single" w:sz="4" w:space="0" w:color="auto"/>
              <w:right w:val="nil"/>
            </w:tcBorders>
            <w:shd w:val="clear" w:color="auto" w:fill="auto"/>
            <w:noWrap/>
            <w:vAlign w:val="center"/>
            <w:hideMark/>
          </w:tcPr>
          <w:p w14:paraId="5A2E53E8" w14:textId="30C7F50D" w:rsidR="003435CC" w:rsidRPr="00C9666A" w:rsidRDefault="003435CC" w:rsidP="00FC3B8A">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3,135</w:t>
            </w:r>
          </w:p>
        </w:tc>
        <w:tc>
          <w:tcPr>
            <w:tcW w:w="2922" w:type="dxa"/>
            <w:tcBorders>
              <w:top w:val="nil"/>
              <w:left w:val="nil"/>
              <w:bottom w:val="single" w:sz="4" w:space="0" w:color="auto"/>
              <w:right w:val="nil"/>
            </w:tcBorders>
            <w:vAlign w:val="center"/>
          </w:tcPr>
          <w:p w14:paraId="7BABC59A" w14:textId="77777777" w:rsidR="003435CC" w:rsidRPr="00C9666A" w:rsidRDefault="003435CC" w:rsidP="00FC3B8A">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Base de datos del Instituto</w:t>
            </w:r>
            <w:r w:rsidRPr="00C9666A">
              <w:rPr>
                <w:rStyle w:val="Refdenotaalpie"/>
                <w:rFonts w:ascii="Arial" w:eastAsia="Times New Roman" w:hAnsi="Arial" w:cs="Arial"/>
                <w:color w:val="000000"/>
                <w:sz w:val="18"/>
                <w:szCs w:val="18"/>
                <w:lang w:eastAsia="es-MX"/>
              </w:rPr>
              <w:footnoteReference w:id="33"/>
            </w:r>
          </w:p>
        </w:tc>
        <w:tc>
          <w:tcPr>
            <w:tcW w:w="966" w:type="dxa"/>
            <w:tcBorders>
              <w:top w:val="nil"/>
              <w:left w:val="nil"/>
              <w:bottom w:val="single" w:sz="4" w:space="0" w:color="auto"/>
              <w:right w:val="nil"/>
            </w:tcBorders>
            <w:vAlign w:val="center"/>
          </w:tcPr>
          <w:p w14:paraId="07C8A740" w14:textId="27F23B2D" w:rsidR="003435CC" w:rsidRPr="00C9666A" w:rsidRDefault="003435CC" w:rsidP="0015790D">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Dic/2020</w:t>
            </w:r>
          </w:p>
        </w:tc>
      </w:tr>
      <w:tr w:rsidR="003435CC" w:rsidRPr="00C9666A" w14:paraId="42281D86" w14:textId="77777777" w:rsidTr="00B63A07">
        <w:trPr>
          <w:trHeight w:val="315"/>
          <w:jc w:val="center"/>
        </w:trPr>
        <w:tc>
          <w:tcPr>
            <w:tcW w:w="3772" w:type="dxa"/>
            <w:tcBorders>
              <w:top w:val="nil"/>
              <w:left w:val="nil"/>
              <w:bottom w:val="single" w:sz="4" w:space="0" w:color="auto"/>
              <w:right w:val="nil"/>
            </w:tcBorders>
            <w:shd w:val="clear" w:color="auto" w:fill="auto"/>
            <w:noWrap/>
            <w:vAlign w:val="center"/>
          </w:tcPr>
          <w:p w14:paraId="195BBA86" w14:textId="576CAA82" w:rsidR="003435CC" w:rsidRPr="00C9666A" w:rsidRDefault="0082451F" w:rsidP="00EE1699">
            <w:pPr>
              <w:spacing w:after="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Acceso a Internet Fijo</w:t>
            </w:r>
          </w:p>
        </w:tc>
        <w:tc>
          <w:tcPr>
            <w:tcW w:w="1023" w:type="dxa"/>
            <w:tcBorders>
              <w:top w:val="nil"/>
              <w:left w:val="nil"/>
              <w:bottom w:val="single" w:sz="4" w:space="0" w:color="auto"/>
              <w:right w:val="nil"/>
            </w:tcBorders>
            <w:shd w:val="clear" w:color="auto" w:fill="auto"/>
            <w:noWrap/>
            <w:vAlign w:val="center"/>
          </w:tcPr>
          <w:p w14:paraId="6F0F54E8" w14:textId="317EB87A" w:rsidR="003435CC" w:rsidRPr="00C9666A" w:rsidRDefault="003435CC" w:rsidP="00EE1699">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3,085</w:t>
            </w:r>
          </w:p>
        </w:tc>
        <w:tc>
          <w:tcPr>
            <w:tcW w:w="2922" w:type="dxa"/>
            <w:tcBorders>
              <w:top w:val="nil"/>
              <w:left w:val="nil"/>
              <w:bottom w:val="single" w:sz="4" w:space="0" w:color="auto"/>
              <w:right w:val="nil"/>
            </w:tcBorders>
            <w:vAlign w:val="center"/>
          </w:tcPr>
          <w:p w14:paraId="4308E9EF" w14:textId="77777777" w:rsidR="003435CC" w:rsidRPr="00C9666A" w:rsidRDefault="003435CC" w:rsidP="00EE1699">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48035030" w14:textId="3A15A9F2" w:rsidR="003435CC" w:rsidRPr="00C9666A" w:rsidRDefault="003435CC" w:rsidP="0015790D">
            <w:pPr>
              <w:spacing w:after="0"/>
              <w:jc w:val="center"/>
              <w:rPr>
                <w:rFonts w:ascii="Arial" w:eastAsia="Times New Roman" w:hAnsi="Arial" w:cs="Arial"/>
                <w:color w:val="000000"/>
                <w:sz w:val="18"/>
                <w:szCs w:val="18"/>
                <w:lang w:eastAsia="es-MX"/>
              </w:rPr>
            </w:pPr>
            <w:r w:rsidRPr="00F83F80">
              <w:rPr>
                <w:rFonts w:ascii="Arial" w:eastAsia="Times New Roman" w:hAnsi="Arial" w:cs="Arial"/>
                <w:color w:val="000000"/>
                <w:sz w:val="18"/>
                <w:szCs w:val="18"/>
                <w:lang w:eastAsia="es-MX"/>
              </w:rPr>
              <w:t>Dic/2020</w:t>
            </w:r>
          </w:p>
        </w:tc>
      </w:tr>
      <w:tr w:rsidR="003435CC" w:rsidRPr="00C9666A" w14:paraId="6438E6D0"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18018096" w14:textId="77777777" w:rsidR="003435CC" w:rsidRPr="00C9666A" w:rsidRDefault="003435CC" w:rsidP="00EE1699">
            <w:pPr>
              <w:spacing w:after="0"/>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Telefonía Móvil</w:t>
            </w:r>
          </w:p>
        </w:tc>
        <w:tc>
          <w:tcPr>
            <w:tcW w:w="1023" w:type="dxa"/>
            <w:tcBorders>
              <w:top w:val="nil"/>
              <w:left w:val="nil"/>
              <w:bottom w:val="single" w:sz="4" w:space="0" w:color="auto"/>
              <w:right w:val="nil"/>
            </w:tcBorders>
            <w:shd w:val="clear" w:color="auto" w:fill="auto"/>
            <w:noWrap/>
            <w:vAlign w:val="center"/>
          </w:tcPr>
          <w:p w14:paraId="0CAECB58" w14:textId="67C81821" w:rsidR="003435CC" w:rsidRPr="00C9666A" w:rsidRDefault="003435CC" w:rsidP="00EE1699">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4,555</w:t>
            </w:r>
          </w:p>
        </w:tc>
        <w:tc>
          <w:tcPr>
            <w:tcW w:w="2922" w:type="dxa"/>
            <w:tcBorders>
              <w:top w:val="nil"/>
              <w:left w:val="nil"/>
              <w:bottom w:val="single" w:sz="4" w:space="0" w:color="auto"/>
              <w:right w:val="nil"/>
            </w:tcBorders>
            <w:vAlign w:val="center"/>
          </w:tcPr>
          <w:p w14:paraId="414561BC" w14:textId="77777777" w:rsidR="003435CC" w:rsidRPr="00C9666A" w:rsidRDefault="003435CC" w:rsidP="00EE1699">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1DC330EE" w14:textId="6C2587FF" w:rsidR="003435CC" w:rsidRPr="00C9666A" w:rsidRDefault="003435CC" w:rsidP="0015790D">
            <w:pPr>
              <w:spacing w:after="0"/>
              <w:jc w:val="center"/>
              <w:rPr>
                <w:rFonts w:ascii="Arial" w:eastAsia="Times New Roman" w:hAnsi="Arial" w:cs="Arial"/>
                <w:color w:val="000000"/>
                <w:sz w:val="18"/>
                <w:szCs w:val="18"/>
                <w:lang w:eastAsia="es-MX"/>
              </w:rPr>
            </w:pPr>
            <w:r w:rsidRPr="00F83F80">
              <w:rPr>
                <w:rFonts w:ascii="Arial" w:eastAsia="Times New Roman" w:hAnsi="Arial" w:cs="Arial"/>
                <w:color w:val="000000"/>
                <w:sz w:val="18"/>
                <w:szCs w:val="18"/>
                <w:lang w:eastAsia="es-MX"/>
              </w:rPr>
              <w:t>Dic/2020</w:t>
            </w:r>
          </w:p>
        </w:tc>
      </w:tr>
      <w:tr w:rsidR="003435CC" w:rsidRPr="00C9666A" w14:paraId="7C97A82A" w14:textId="77777777" w:rsidTr="00B63A07">
        <w:trPr>
          <w:trHeight w:val="300"/>
          <w:jc w:val="center"/>
        </w:trPr>
        <w:tc>
          <w:tcPr>
            <w:tcW w:w="3772" w:type="dxa"/>
            <w:tcBorders>
              <w:top w:val="nil"/>
              <w:left w:val="nil"/>
              <w:bottom w:val="single" w:sz="4" w:space="0" w:color="auto"/>
              <w:right w:val="nil"/>
            </w:tcBorders>
            <w:shd w:val="clear" w:color="auto" w:fill="auto"/>
            <w:noWrap/>
            <w:vAlign w:val="center"/>
          </w:tcPr>
          <w:p w14:paraId="75FB96EC" w14:textId="7ED6302A" w:rsidR="003435CC" w:rsidRPr="00C9666A" w:rsidRDefault="0082451F" w:rsidP="00EE1699">
            <w:pPr>
              <w:spacing w:after="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Acceso a Internet </w:t>
            </w:r>
            <w:r w:rsidR="003435CC" w:rsidRPr="00C9666A">
              <w:rPr>
                <w:rFonts w:ascii="Arial" w:eastAsia="Times New Roman" w:hAnsi="Arial" w:cs="Arial"/>
                <w:color w:val="000000"/>
                <w:sz w:val="18"/>
                <w:szCs w:val="18"/>
                <w:lang w:eastAsia="es-MX"/>
              </w:rPr>
              <w:t>Móvil</w:t>
            </w:r>
          </w:p>
        </w:tc>
        <w:tc>
          <w:tcPr>
            <w:tcW w:w="1023" w:type="dxa"/>
            <w:tcBorders>
              <w:top w:val="nil"/>
              <w:left w:val="nil"/>
              <w:bottom w:val="single" w:sz="4" w:space="0" w:color="auto"/>
              <w:right w:val="nil"/>
            </w:tcBorders>
            <w:shd w:val="clear" w:color="auto" w:fill="auto"/>
            <w:noWrap/>
            <w:vAlign w:val="center"/>
          </w:tcPr>
          <w:p w14:paraId="4FD9C203" w14:textId="56404FD8" w:rsidR="003435CC" w:rsidRPr="00C9666A" w:rsidRDefault="003435CC" w:rsidP="00EE1699">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5,419</w:t>
            </w:r>
          </w:p>
        </w:tc>
        <w:tc>
          <w:tcPr>
            <w:tcW w:w="2922" w:type="dxa"/>
            <w:tcBorders>
              <w:top w:val="nil"/>
              <w:left w:val="nil"/>
              <w:bottom w:val="single" w:sz="4" w:space="0" w:color="auto"/>
              <w:right w:val="nil"/>
            </w:tcBorders>
            <w:vAlign w:val="center"/>
          </w:tcPr>
          <w:p w14:paraId="1C2A2E04" w14:textId="77777777" w:rsidR="003435CC" w:rsidRPr="00C9666A" w:rsidRDefault="003435CC" w:rsidP="00EE1699">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19340B06" w14:textId="76DF2EBB" w:rsidR="003435CC" w:rsidRPr="00C9666A" w:rsidRDefault="003435CC" w:rsidP="0015790D">
            <w:pPr>
              <w:spacing w:after="0"/>
              <w:jc w:val="center"/>
              <w:rPr>
                <w:rFonts w:ascii="Arial" w:eastAsia="Times New Roman" w:hAnsi="Arial" w:cs="Arial"/>
                <w:color w:val="000000"/>
                <w:sz w:val="18"/>
                <w:szCs w:val="18"/>
                <w:lang w:eastAsia="es-MX"/>
              </w:rPr>
            </w:pPr>
            <w:r w:rsidRPr="00F83F80">
              <w:rPr>
                <w:rFonts w:ascii="Arial" w:eastAsia="Times New Roman" w:hAnsi="Arial" w:cs="Arial"/>
                <w:color w:val="000000"/>
                <w:sz w:val="18"/>
                <w:szCs w:val="18"/>
                <w:lang w:eastAsia="es-MX"/>
              </w:rPr>
              <w:t>Dic/2020</w:t>
            </w:r>
          </w:p>
        </w:tc>
      </w:tr>
      <w:tr w:rsidR="003435CC" w:rsidRPr="00C9666A" w14:paraId="3E59A7FE" w14:textId="77777777" w:rsidTr="00B63A07">
        <w:trPr>
          <w:trHeight w:val="300"/>
          <w:jc w:val="center"/>
        </w:trPr>
        <w:tc>
          <w:tcPr>
            <w:tcW w:w="3772" w:type="dxa"/>
            <w:tcBorders>
              <w:top w:val="nil"/>
              <w:left w:val="nil"/>
              <w:bottom w:val="double" w:sz="4" w:space="0" w:color="auto"/>
              <w:right w:val="nil"/>
            </w:tcBorders>
            <w:shd w:val="clear" w:color="auto" w:fill="auto"/>
            <w:noWrap/>
            <w:vAlign w:val="center"/>
            <w:hideMark/>
          </w:tcPr>
          <w:p w14:paraId="611B3BEE" w14:textId="7A02AD85" w:rsidR="003435CC" w:rsidRPr="00C9666A" w:rsidRDefault="0082451F" w:rsidP="00EE1699">
            <w:pPr>
              <w:spacing w:after="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STAR</w:t>
            </w:r>
            <w:r w:rsidR="003435CC" w:rsidRPr="00C9666A">
              <w:rPr>
                <w:rFonts w:ascii="Arial" w:eastAsia="Times New Roman" w:hAnsi="Arial" w:cs="Arial"/>
                <w:color w:val="000000"/>
                <w:sz w:val="18"/>
                <w:szCs w:val="18"/>
                <w:lang w:eastAsia="es-MX"/>
              </w:rPr>
              <w:t xml:space="preserve"> (nivel nacional)</w:t>
            </w:r>
          </w:p>
        </w:tc>
        <w:tc>
          <w:tcPr>
            <w:tcW w:w="1023" w:type="dxa"/>
            <w:tcBorders>
              <w:top w:val="nil"/>
              <w:left w:val="nil"/>
              <w:bottom w:val="double" w:sz="4" w:space="0" w:color="auto"/>
              <w:right w:val="nil"/>
            </w:tcBorders>
            <w:shd w:val="clear" w:color="auto" w:fill="auto"/>
            <w:noWrap/>
            <w:vAlign w:val="center"/>
          </w:tcPr>
          <w:p w14:paraId="6CD71038" w14:textId="5083A717" w:rsidR="003435CC" w:rsidRPr="00C9666A" w:rsidRDefault="003435CC" w:rsidP="00EE1699">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4,538</w:t>
            </w:r>
          </w:p>
        </w:tc>
        <w:tc>
          <w:tcPr>
            <w:tcW w:w="2922" w:type="dxa"/>
            <w:tcBorders>
              <w:top w:val="nil"/>
              <w:left w:val="nil"/>
              <w:bottom w:val="double" w:sz="4" w:space="0" w:color="auto"/>
              <w:right w:val="nil"/>
            </w:tcBorders>
            <w:vAlign w:val="center"/>
          </w:tcPr>
          <w:p w14:paraId="49D81720" w14:textId="77777777" w:rsidR="003435CC" w:rsidRPr="00C9666A" w:rsidRDefault="003435CC" w:rsidP="00EE1699">
            <w:pPr>
              <w:spacing w:after="0"/>
              <w:jc w:val="center"/>
              <w:rPr>
                <w:rFonts w:ascii="Arial" w:eastAsia="Times New Roman" w:hAnsi="Arial" w:cs="Arial"/>
                <w:color w:val="000000"/>
                <w:sz w:val="18"/>
                <w:szCs w:val="18"/>
                <w:lang w:eastAsia="es-MX"/>
              </w:rPr>
            </w:pPr>
            <w:r w:rsidRPr="00C9666A">
              <w:rPr>
                <w:rFonts w:ascii="Arial" w:eastAsia="Times New Roman" w:hAnsi="Arial" w:cs="Arial"/>
                <w:color w:val="000000"/>
                <w:sz w:val="18"/>
                <w:szCs w:val="18"/>
                <w:lang w:eastAsia="es-MX"/>
              </w:rPr>
              <w:t>Base de datos del Instituto</w:t>
            </w:r>
          </w:p>
        </w:tc>
        <w:tc>
          <w:tcPr>
            <w:tcW w:w="966" w:type="dxa"/>
            <w:tcBorders>
              <w:top w:val="nil"/>
              <w:left w:val="nil"/>
              <w:bottom w:val="double" w:sz="4" w:space="0" w:color="auto"/>
              <w:right w:val="nil"/>
            </w:tcBorders>
            <w:vAlign w:val="center"/>
          </w:tcPr>
          <w:p w14:paraId="01FC1260" w14:textId="6B10A7C1" w:rsidR="003435CC" w:rsidRPr="00C9666A" w:rsidRDefault="003435CC" w:rsidP="0015790D">
            <w:pPr>
              <w:spacing w:after="0"/>
              <w:jc w:val="center"/>
              <w:rPr>
                <w:rFonts w:ascii="Arial" w:eastAsia="Times New Roman" w:hAnsi="Arial" w:cs="Arial"/>
                <w:color w:val="000000"/>
                <w:sz w:val="18"/>
                <w:szCs w:val="18"/>
                <w:lang w:eastAsia="es-MX"/>
              </w:rPr>
            </w:pPr>
            <w:r w:rsidRPr="00F83F80">
              <w:rPr>
                <w:rFonts w:ascii="Arial" w:eastAsia="Times New Roman" w:hAnsi="Arial" w:cs="Arial"/>
                <w:color w:val="000000"/>
                <w:sz w:val="18"/>
                <w:szCs w:val="18"/>
                <w:lang w:eastAsia="es-MX"/>
              </w:rPr>
              <w:t>Dic/2020</w:t>
            </w:r>
          </w:p>
        </w:tc>
      </w:tr>
    </w:tbl>
    <w:p w14:paraId="3764AA7B" w14:textId="77777777" w:rsidR="003435CC" w:rsidRDefault="003435CC" w:rsidP="003435CC">
      <w:pPr>
        <w:spacing w:before="120" w:after="120"/>
        <w:ind w:right="-1"/>
        <w:jc w:val="both"/>
        <w:rPr>
          <w:rFonts w:ascii="Arial" w:hAnsi="Arial" w:cs="Arial"/>
        </w:rPr>
      </w:pPr>
    </w:p>
    <w:p w14:paraId="7EE06A42" w14:textId="31F7487A" w:rsidR="003435CC" w:rsidRPr="00C9666A" w:rsidRDefault="003435CC" w:rsidP="003435CC">
      <w:pPr>
        <w:spacing w:before="120" w:after="120"/>
        <w:ind w:right="-1"/>
        <w:jc w:val="both"/>
        <w:rPr>
          <w:rFonts w:ascii="Arial" w:hAnsi="Arial" w:cs="Arial"/>
        </w:rPr>
      </w:pPr>
      <w:r>
        <w:rPr>
          <w:rFonts w:ascii="Arial" w:hAnsi="Arial" w:cs="Arial"/>
        </w:rPr>
        <w:t>Adicionalmente, e</w:t>
      </w:r>
      <w:r w:rsidRPr="00C9666A">
        <w:rPr>
          <w:rFonts w:ascii="Arial" w:hAnsi="Arial" w:cs="Arial"/>
        </w:rPr>
        <w:t>n el siguiente cuadro se resumen los valores del IHH</w:t>
      </w:r>
      <w:r w:rsidR="00712A5A">
        <w:rPr>
          <w:rFonts w:ascii="Arial" w:hAnsi="Arial" w:cs="Arial"/>
        </w:rPr>
        <w:t xml:space="preserve"> (en términos de la tenencia de frecuencias)</w:t>
      </w:r>
      <w:r>
        <w:rPr>
          <w:rFonts w:ascii="Arial" w:hAnsi="Arial" w:cs="Arial"/>
        </w:rPr>
        <w:t xml:space="preserve"> antes y después de la licitación de frecuencias</w:t>
      </w:r>
      <w:r w:rsidRPr="00C9666A">
        <w:rPr>
          <w:rFonts w:ascii="Arial" w:hAnsi="Arial" w:cs="Arial"/>
        </w:rPr>
        <w:t xml:space="preserve"> </w:t>
      </w:r>
      <w:r>
        <w:rPr>
          <w:rFonts w:ascii="Arial" w:hAnsi="Arial" w:cs="Arial"/>
        </w:rPr>
        <w:t>para los servicios de radiodifusión</w:t>
      </w:r>
      <w:r w:rsidR="00712A5A">
        <w:rPr>
          <w:rFonts w:ascii="Arial" w:hAnsi="Arial" w:cs="Arial"/>
        </w:rPr>
        <w:t xml:space="preserve"> sonora y de televisión abierta</w:t>
      </w:r>
      <w:r w:rsidR="003F50FF">
        <w:rPr>
          <w:rFonts w:ascii="Arial" w:hAnsi="Arial" w:cs="Arial"/>
        </w:rPr>
        <w:t xml:space="preserve"> (licitaciones No. IFT-4 y No. IFT-6</w:t>
      </w:r>
      <w:r w:rsidR="00712A5A">
        <w:rPr>
          <w:rFonts w:ascii="Arial" w:hAnsi="Arial" w:cs="Arial"/>
        </w:rPr>
        <w:t>, respectivamente</w:t>
      </w:r>
      <w:r w:rsidR="003F50FF">
        <w:rPr>
          <w:rFonts w:ascii="Arial" w:hAnsi="Arial" w:cs="Arial"/>
        </w:rPr>
        <w:t>)</w:t>
      </w:r>
      <w:r>
        <w:rPr>
          <w:rFonts w:ascii="Arial" w:hAnsi="Arial" w:cs="Arial"/>
        </w:rPr>
        <w:t xml:space="preserve">, en </w:t>
      </w:r>
      <w:r w:rsidRPr="00C9666A">
        <w:rPr>
          <w:rFonts w:ascii="Arial" w:hAnsi="Arial" w:cs="Arial"/>
        </w:rPr>
        <w:t>distint</w:t>
      </w:r>
      <w:r>
        <w:rPr>
          <w:rFonts w:ascii="Arial" w:hAnsi="Arial" w:cs="Arial"/>
        </w:rPr>
        <w:t>as</w:t>
      </w:r>
      <w:r w:rsidRPr="00C9666A">
        <w:rPr>
          <w:rFonts w:ascii="Arial" w:hAnsi="Arial" w:cs="Arial"/>
        </w:rPr>
        <w:t xml:space="preserve"> </w:t>
      </w:r>
      <w:r>
        <w:rPr>
          <w:rFonts w:ascii="Arial" w:hAnsi="Arial" w:cs="Arial"/>
        </w:rPr>
        <w:t>localidades de</w:t>
      </w:r>
      <w:r w:rsidRPr="00C9666A">
        <w:rPr>
          <w:rFonts w:ascii="Arial" w:hAnsi="Arial" w:cs="Arial"/>
        </w:rPr>
        <w:t xml:space="preserve"> México</w:t>
      </w:r>
      <w:r w:rsidR="003F50FF">
        <w:rPr>
          <w:rFonts w:ascii="Arial" w:hAnsi="Arial" w:cs="Arial"/>
        </w:rPr>
        <w:t xml:space="preserve"> para las cuales se identifican </w:t>
      </w:r>
      <w:r w:rsidR="0079117E">
        <w:rPr>
          <w:rFonts w:ascii="Arial" w:hAnsi="Arial" w:cs="Arial"/>
        </w:rPr>
        <w:t>tres o más</w:t>
      </w:r>
      <w:r w:rsidR="003F50FF">
        <w:rPr>
          <w:rFonts w:ascii="Arial" w:hAnsi="Arial" w:cs="Arial"/>
        </w:rPr>
        <w:t xml:space="preserve"> competidores con frecuencias con cobertura de servicio</w:t>
      </w:r>
      <w:r>
        <w:rPr>
          <w:rFonts w:ascii="Arial" w:hAnsi="Arial" w:cs="Arial"/>
        </w:rPr>
        <w:t xml:space="preserve">. </w:t>
      </w:r>
      <w:r w:rsidRPr="00C9666A">
        <w:rPr>
          <w:rFonts w:ascii="Arial" w:hAnsi="Arial" w:cs="Arial"/>
        </w:rPr>
        <w:t xml:space="preserve"> </w:t>
      </w:r>
    </w:p>
    <w:p w14:paraId="6DE8AB67" w14:textId="3243CACE" w:rsidR="003435CC" w:rsidRPr="0079117E" w:rsidRDefault="00712A5A" w:rsidP="00B63A07">
      <w:pPr>
        <w:pStyle w:val="Default"/>
        <w:keepNext/>
        <w:numPr>
          <w:ilvl w:val="0"/>
          <w:numId w:val="44"/>
        </w:numPr>
        <w:spacing w:before="120" w:after="120" w:line="276" w:lineRule="auto"/>
        <w:jc w:val="center"/>
        <w:rPr>
          <w:rFonts w:ascii="Arial" w:hAnsi="Arial" w:cs="Arial"/>
          <w:b/>
          <w:sz w:val="22"/>
          <w:szCs w:val="22"/>
        </w:rPr>
      </w:pPr>
      <w:r w:rsidRPr="0079117E">
        <w:rPr>
          <w:rFonts w:ascii="Arial" w:hAnsi="Arial" w:cs="Arial"/>
          <w:b/>
          <w:sz w:val="22"/>
          <w:szCs w:val="22"/>
        </w:rPr>
        <w:t>IHH</w:t>
      </w:r>
      <w:r w:rsidR="003435CC" w:rsidRPr="0079117E">
        <w:rPr>
          <w:rFonts w:ascii="Arial" w:hAnsi="Arial" w:cs="Arial"/>
          <w:b/>
          <w:sz w:val="22"/>
          <w:szCs w:val="22"/>
        </w:rPr>
        <w:t xml:space="preserve"> en México</w:t>
      </w:r>
      <w:r w:rsidR="00072F9A" w:rsidRPr="0079117E">
        <w:rPr>
          <w:rFonts w:ascii="Arial" w:hAnsi="Arial" w:cs="Arial"/>
          <w:b/>
          <w:sz w:val="22"/>
          <w:szCs w:val="22"/>
        </w:rPr>
        <w:t xml:space="preserve"> para servicios de </w:t>
      </w:r>
      <w:r w:rsidR="005217D3" w:rsidRPr="0079117E">
        <w:rPr>
          <w:rFonts w:ascii="Arial" w:hAnsi="Arial" w:cs="Arial"/>
          <w:b/>
          <w:sz w:val="22"/>
          <w:szCs w:val="22"/>
        </w:rPr>
        <w:t>radiodifusión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763"/>
        <w:gridCol w:w="850"/>
        <w:gridCol w:w="850"/>
        <w:gridCol w:w="887"/>
        <w:gridCol w:w="1474"/>
        <w:gridCol w:w="763"/>
        <w:gridCol w:w="850"/>
        <w:gridCol w:w="850"/>
        <w:gridCol w:w="887"/>
      </w:tblGrid>
      <w:tr w:rsidR="00B63A07" w:rsidRPr="00B63A07" w14:paraId="3A74FBA9" w14:textId="77777777" w:rsidTr="00B63A07">
        <w:trPr>
          <w:trHeight w:val="290"/>
          <w:tblHeader/>
          <w:jc w:val="center"/>
        </w:trPr>
        <w:tc>
          <w:tcPr>
            <w:tcW w:w="1474" w:type="dxa"/>
            <w:shd w:val="clear" w:color="auto" w:fill="92D050"/>
            <w:noWrap/>
            <w:vAlign w:val="center"/>
            <w:hideMark/>
          </w:tcPr>
          <w:p w14:paraId="5610C658"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Localidad (Estado)</w:t>
            </w:r>
          </w:p>
        </w:tc>
        <w:tc>
          <w:tcPr>
            <w:tcW w:w="763" w:type="dxa"/>
            <w:shd w:val="clear" w:color="auto" w:fill="92D050"/>
            <w:noWrap/>
            <w:vAlign w:val="center"/>
            <w:hideMark/>
          </w:tcPr>
          <w:p w14:paraId="5C960A8A"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Servicio</w:t>
            </w:r>
          </w:p>
        </w:tc>
        <w:tc>
          <w:tcPr>
            <w:tcW w:w="850" w:type="dxa"/>
            <w:shd w:val="clear" w:color="auto" w:fill="92D050"/>
            <w:noWrap/>
            <w:vAlign w:val="center"/>
            <w:hideMark/>
          </w:tcPr>
          <w:p w14:paraId="031F318B"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IHH antes</w:t>
            </w:r>
          </w:p>
        </w:tc>
        <w:tc>
          <w:tcPr>
            <w:tcW w:w="850" w:type="dxa"/>
            <w:shd w:val="clear" w:color="auto" w:fill="92D050"/>
            <w:noWrap/>
            <w:vAlign w:val="center"/>
            <w:hideMark/>
          </w:tcPr>
          <w:p w14:paraId="5EBC5A11"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IHH después</w:t>
            </w:r>
          </w:p>
        </w:tc>
        <w:tc>
          <w:tcPr>
            <w:tcW w:w="887" w:type="dxa"/>
            <w:shd w:val="clear" w:color="auto" w:fill="92D050"/>
            <w:noWrap/>
            <w:vAlign w:val="center"/>
            <w:hideMark/>
          </w:tcPr>
          <w:p w14:paraId="7AD81D55"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Licitación</w:t>
            </w:r>
          </w:p>
        </w:tc>
        <w:tc>
          <w:tcPr>
            <w:tcW w:w="1474" w:type="dxa"/>
            <w:shd w:val="clear" w:color="auto" w:fill="92D050"/>
            <w:noWrap/>
            <w:vAlign w:val="center"/>
            <w:hideMark/>
          </w:tcPr>
          <w:p w14:paraId="4FEA50F2"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Localidad (Estado)</w:t>
            </w:r>
          </w:p>
        </w:tc>
        <w:tc>
          <w:tcPr>
            <w:tcW w:w="763" w:type="dxa"/>
            <w:shd w:val="clear" w:color="auto" w:fill="92D050"/>
            <w:noWrap/>
            <w:vAlign w:val="center"/>
            <w:hideMark/>
          </w:tcPr>
          <w:p w14:paraId="6B30328C"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Servicio</w:t>
            </w:r>
          </w:p>
        </w:tc>
        <w:tc>
          <w:tcPr>
            <w:tcW w:w="850" w:type="dxa"/>
            <w:shd w:val="clear" w:color="auto" w:fill="92D050"/>
            <w:noWrap/>
            <w:vAlign w:val="center"/>
            <w:hideMark/>
          </w:tcPr>
          <w:p w14:paraId="33100E82"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IHH antes</w:t>
            </w:r>
          </w:p>
        </w:tc>
        <w:tc>
          <w:tcPr>
            <w:tcW w:w="850" w:type="dxa"/>
            <w:shd w:val="clear" w:color="auto" w:fill="92D050"/>
            <w:noWrap/>
            <w:vAlign w:val="center"/>
            <w:hideMark/>
          </w:tcPr>
          <w:p w14:paraId="0A096F91"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IHH después</w:t>
            </w:r>
          </w:p>
        </w:tc>
        <w:tc>
          <w:tcPr>
            <w:tcW w:w="887" w:type="dxa"/>
            <w:shd w:val="clear" w:color="auto" w:fill="92D050"/>
            <w:noWrap/>
            <w:vAlign w:val="center"/>
            <w:hideMark/>
          </w:tcPr>
          <w:p w14:paraId="2709B517" w14:textId="77777777" w:rsidR="00B63A07" w:rsidRPr="00B63A07" w:rsidRDefault="00B63A07" w:rsidP="003F50FF">
            <w:pPr>
              <w:spacing w:after="0" w:line="240" w:lineRule="auto"/>
              <w:jc w:val="center"/>
              <w:rPr>
                <w:rFonts w:ascii="Arial" w:eastAsia="Times New Roman" w:hAnsi="Arial" w:cs="Arial"/>
                <w:b/>
                <w:bCs/>
                <w:color w:val="FFFFFF" w:themeColor="background1"/>
                <w:sz w:val="16"/>
                <w:szCs w:val="16"/>
                <w:lang w:eastAsia="es-MX"/>
              </w:rPr>
            </w:pPr>
            <w:r w:rsidRPr="00B63A07">
              <w:rPr>
                <w:rFonts w:ascii="Arial" w:eastAsia="Times New Roman" w:hAnsi="Arial" w:cs="Arial"/>
                <w:b/>
                <w:bCs/>
                <w:color w:val="FFFFFF" w:themeColor="background1"/>
                <w:sz w:val="16"/>
                <w:szCs w:val="16"/>
                <w:lang w:eastAsia="es-MX"/>
              </w:rPr>
              <w:t>Licitación</w:t>
            </w:r>
          </w:p>
        </w:tc>
      </w:tr>
      <w:tr w:rsidR="003F50FF" w:rsidRPr="00B63A07" w14:paraId="0E6B54B5" w14:textId="77777777" w:rsidTr="003F50FF">
        <w:trPr>
          <w:trHeight w:val="300"/>
          <w:jc w:val="center"/>
        </w:trPr>
        <w:tc>
          <w:tcPr>
            <w:tcW w:w="1474" w:type="dxa"/>
            <w:shd w:val="clear" w:color="auto" w:fill="auto"/>
            <w:vAlign w:val="center"/>
            <w:hideMark/>
          </w:tcPr>
          <w:p w14:paraId="34E76719"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Ensenada (BC)</w:t>
            </w:r>
          </w:p>
        </w:tc>
        <w:tc>
          <w:tcPr>
            <w:tcW w:w="763" w:type="dxa"/>
            <w:shd w:val="clear" w:color="auto" w:fill="auto"/>
            <w:vAlign w:val="center"/>
            <w:hideMark/>
          </w:tcPr>
          <w:p w14:paraId="2C6B08B8"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shd w:val="clear" w:color="auto" w:fill="auto"/>
            <w:noWrap/>
            <w:vAlign w:val="center"/>
            <w:hideMark/>
          </w:tcPr>
          <w:p w14:paraId="213A3E22" w14:textId="105B745F"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2,188</w:t>
            </w:r>
          </w:p>
        </w:tc>
        <w:tc>
          <w:tcPr>
            <w:tcW w:w="850" w:type="dxa"/>
            <w:shd w:val="clear" w:color="auto" w:fill="auto"/>
            <w:noWrap/>
            <w:vAlign w:val="center"/>
            <w:hideMark/>
          </w:tcPr>
          <w:p w14:paraId="526E562C" w14:textId="5C23FFDD"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1,600</w:t>
            </w:r>
          </w:p>
        </w:tc>
        <w:tc>
          <w:tcPr>
            <w:tcW w:w="887" w:type="dxa"/>
            <w:shd w:val="clear" w:color="auto" w:fill="auto"/>
            <w:noWrap/>
            <w:vAlign w:val="center"/>
            <w:hideMark/>
          </w:tcPr>
          <w:p w14:paraId="6DECBC2F"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tcPr>
          <w:p w14:paraId="2DFC4DFD" w14:textId="0B806B0D"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Acaponeta- Tecuala</w:t>
            </w:r>
          </w:p>
        </w:tc>
        <w:tc>
          <w:tcPr>
            <w:tcW w:w="763" w:type="dxa"/>
            <w:shd w:val="clear" w:color="auto" w:fill="auto"/>
            <w:vAlign w:val="center"/>
          </w:tcPr>
          <w:p w14:paraId="4348A094" w14:textId="58977E74"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TDT</w:t>
            </w:r>
          </w:p>
        </w:tc>
        <w:tc>
          <w:tcPr>
            <w:tcW w:w="850" w:type="dxa"/>
            <w:shd w:val="clear" w:color="auto" w:fill="auto"/>
            <w:noWrap/>
            <w:vAlign w:val="center"/>
          </w:tcPr>
          <w:p w14:paraId="5445140C" w14:textId="46DB12D7"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5,556</w:t>
            </w:r>
          </w:p>
        </w:tc>
        <w:tc>
          <w:tcPr>
            <w:tcW w:w="850" w:type="dxa"/>
            <w:shd w:val="clear" w:color="auto" w:fill="auto"/>
            <w:noWrap/>
            <w:vAlign w:val="center"/>
          </w:tcPr>
          <w:p w14:paraId="791EF8BB" w14:textId="5D6E8EC1"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3,086</w:t>
            </w:r>
          </w:p>
        </w:tc>
        <w:tc>
          <w:tcPr>
            <w:tcW w:w="887" w:type="dxa"/>
            <w:shd w:val="clear" w:color="auto" w:fill="auto"/>
            <w:noWrap/>
            <w:vAlign w:val="center"/>
          </w:tcPr>
          <w:p w14:paraId="34391F1C" w14:textId="75677B58"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IFT-6</w:t>
            </w:r>
          </w:p>
        </w:tc>
      </w:tr>
      <w:tr w:rsidR="003F50FF" w:rsidRPr="00B63A07" w14:paraId="11684345" w14:textId="77777777" w:rsidTr="003F50FF">
        <w:trPr>
          <w:trHeight w:val="300"/>
          <w:jc w:val="center"/>
        </w:trPr>
        <w:tc>
          <w:tcPr>
            <w:tcW w:w="1474" w:type="dxa"/>
            <w:shd w:val="clear" w:color="auto" w:fill="auto"/>
            <w:vAlign w:val="center"/>
            <w:hideMark/>
          </w:tcPr>
          <w:p w14:paraId="469D6DEF"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La Paz (BCS)</w:t>
            </w:r>
          </w:p>
        </w:tc>
        <w:tc>
          <w:tcPr>
            <w:tcW w:w="763" w:type="dxa"/>
            <w:shd w:val="clear" w:color="auto" w:fill="auto"/>
            <w:vAlign w:val="center"/>
            <w:hideMark/>
          </w:tcPr>
          <w:p w14:paraId="208F3CEC"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shd w:val="clear" w:color="auto" w:fill="auto"/>
            <w:noWrap/>
            <w:vAlign w:val="center"/>
            <w:hideMark/>
          </w:tcPr>
          <w:p w14:paraId="3220EE12" w14:textId="7E50DBCC"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3,438</w:t>
            </w:r>
          </w:p>
        </w:tc>
        <w:tc>
          <w:tcPr>
            <w:tcW w:w="850" w:type="dxa"/>
            <w:shd w:val="clear" w:color="auto" w:fill="auto"/>
            <w:noWrap/>
            <w:vAlign w:val="center"/>
            <w:hideMark/>
          </w:tcPr>
          <w:p w14:paraId="3459F531" w14:textId="34149F36"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2,840</w:t>
            </w:r>
          </w:p>
        </w:tc>
        <w:tc>
          <w:tcPr>
            <w:tcW w:w="887" w:type="dxa"/>
            <w:shd w:val="clear" w:color="auto" w:fill="auto"/>
            <w:noWrap/>
            <w:vAlign w:val="center"/>
            <w:hideMark/>
          </w:tcPr>
          <w:p w14:paraId="7A202BAB"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tcPr>
          <w:p w14:paraId="3F383B47" w14:textId="1DF3DB21"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Agualeguas</w:t>
            </w:r>
          </w:p>
        </w:tc>
        <w:tc>
          <w:tcPr>
            <w:tcW w:w="763" w:type="dxa"/>
            <w:shd w:val="clear" w:color="auto" w:fill="auto"/>
            <w:vAlign w:val="center"/>
          </w:tcPr>
          <w:p w14:paraId="6B46EBE1" w14:textId="2F2A33B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TDT</w:t>
            </w:r>
          </w:p>
        </w:tc>
        <w:tc>
          <w:tcPr>
            <w:tcW w:w="850" w:type="dxa"/>
            <w:shd w:val="clear" w:color="auto" w:fill="auto"/>
            <w:noWrap/>
            <w:vAlign w:val="center"/>
          </w:tcPr>
          <w:p w14:paraId="1AD415D2" w14:textId="010ECC33"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w:t>
            </w:r>
          </w:p>
        </w:tc>
        <w:tc>
          <w:tcPr>
            <w:tcW w:w="850" w:type="dxa"/>
            <w:shd w:val="clear" w:color="auto" w:fill="auto"/>
            <w:noWrap/>
            <w:vAlign w:val="center"/>
          </w:tcPr>
          <w:p w14:paraId="5555CF29" w14:textId="2FBC7667"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shd w:val="clear" w:color="auto" w:fill="auto"/>
            <w:noWrap/>
            <w:vAlign w:val="center"/>
          </w:tcPr>
          <w:p w14:paraId="57F948BC" w14:textId="6C1717E5"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IFT-6</w:t>
            </w:r>
          </w:p>
        </w:tc>
      </w:tr>
      <w:tr w:rsidR="003F50FF" w:rsidRPr="00B63A07" w14:paraId="2B3F0BF7" w14:textId="77777777" w:rsidTr="003F50FF">
        <w:trPr>
          <w:trHeight w:val="490"/>
          <w:jc w:val="center"/>
        </w:trPr>
        <w:tc>
          <w:tcPr>
            <w:tcW w:w="1474" w:type="dxa"/>
            <w:shd w:val="clear" w:color="auto" w:fill="auto"/>
            <w:vAlign w:val="center"/>
            <w:hideMark/>
          </w:tcPr>
          <w:p w14:paraId="67E961EA"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San José del Cabo (BCS)</w:t>
            </w:r>
          </w:p>
        </w:tc>
        <w:tc>
          <w:tcPr>
            <w:tcW w:w="763" w:type="dxa"/>
            <w:shd w:val="clear" w:color="auto" w:fill="auto"/>
            <w:vAlign w:val="center"/>
            <w:hideMark/>
          </w:tcPr>
          <w:p w14:paraId="7F5E4285"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shd w:val="clear" w:color="auto" w:fill="auto"/>
            <w:noWrap/>
            <w:vAlign w:val="center"/>
            <w:hideMark/>
          </w:tcPr>
          <w:p w14:paraId="5E2AD376" w14:textId="47F7AD82"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w:t>
            </w:r>
          </w:p>
        </w:tc>
        <w:tc>
          <w:tcPr>
            <w:tcW w:w="850" w:type="dxa"/>
            <w:shd w:val="clear" w:color="auto" w:fill="auto"/>
            <w:noWrap/>
            <w:vAlign w:val="center"/>
            <w:hideMark/>
          </w:tcPr>
          <w:p w14:paraId="2BFF4C7B" w14:textId="335C7FAD"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shd w:val="clear" w:color="auto" w:fill="auto"/>
            <w:noWrap/>
            <w:vAlign w:val="center"/>
            <w:hideMark/>
          </w:tcPr>
          <w:p w14:paraId="7C25D2C3" w14:textId="7777777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tcPr>
          <w:p w14:paraId="52137900" w14:textId="4CFCA6A9"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Cabo San Lucas- San José del Cabo</w:t>
            </w:r>
          </w:p>
        </w:tc>
        <w:tc>
          <w:tcPr>
            <w:tcW w:w="763" w:type="dxa"/>
            <w:shd w:val="clear" w:color="auto" w:fill="auto"/>
            <w:vAlign w:val="center"/>
          </w:tcPr>
          <w:p w14:paraId="5015E012" w14:textId="13928A5F"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TDT</w:t>
            </w:r>
          </w:p>
        </w:tc>
        <w:tc>
          <w:tcPr>
            <w:tcW w:w="850" w:type="dxa"/>
            <w:shd w:val="clear" w:color="auto" w:fill="auto"/>
            <w:noWrap/>
            <w:vAlign w:val="center"/>
          </w:tcPr>
          <w:p w14:paraId="72420208" w14:textId="77D32458"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5,556</w:t>
            </w:r>
          </w:p>
        </w:tc>
        <w:tc>
          <w:tcPr>
            <w:tcW w:w="850" w:type="dxa"/>
            <w:shd w:val="clear" w:color="auto" w:fill="auto"/>
            <w:noWrap/>
            <w:vAlign w:val="center"/>
          </w:tcPr>
          <w:p w14:paraId="6954D188" w14:textId="7A2628E5"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2,800</w:t>
            </w:r>
          </w:p>
        </w:tc>
        <w:tc>
          <w:tcPr>
            <w:tcW w:w="887" w:type="dxa"/>
            <w:shd w:val="clear" w:color="auto" w:fill="auto"/>
            <w:noWrap/>
            <w:vAlign w:val="center"/>
          </w:tcPr>
          <w:p w14:paraId="75F74C82" w14:textId="24FBCCCF"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IFT-6</w:t>
            </w:r>
          </w:p>
        </w:tc>
      </w:tr>
      <w:tr w:rsidR="003F50FF" w:rsidRPr="00B63A07" w14:paraId="6CA2A8EB" w14:textId="77777777" w:rsidTr="003F50FF">
        <w:trPr>
          <w:trHeight w:val="490"/>
          <w:jc w:val="center"/>
        </w:trPr>
        <w:tc>
          <w:tcPr>
            <w:tcW w:w="1474" w:type="dxa"/>
            <w:shd w:val="clear" w:color="auto" w:fill="auto"/>
            <w:vAlign w:val="center"/>
          </w:tcPr>
          <w:p w14:paraId="2CBADC92" w14:textId="50B5C8F4"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Ciudad del Carmen (Camp)</w:t>
            </w:r>
          </w:p>
        </w:tc>
        <w:tc>
          <w:tcPr>
            <w:tcW w:w="763" w:type="dxa"/>
            <w:shd w:val="clear" w:color="auto" w:fill="auto"/>
            <w:vAlign w:val="center"/>
          </w:tcPr>
          <w:p w14:paraId="17AC9EB7" w14:textId="1F4A522C"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shd w:val="clear" w:color="auto" w:fill="auto"/>
            <w:noWrap/>
            <w:vAlign w:val="center"/>
          </w:tcPr>
          <w:p w14:paraId="54518581" w14:textId="715445EB"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w:t>
            </w:r>
          </w:p>
        </w:tc>
        <w:tc>
          <w:tcPr>
            <w:tcW w:w="850" w:type="dxa"/>
            <w:shd w:val="clear" w:color="auto" w:fill="auto"/>
            <w:noWrap/>
            <w:vAlign w:val="center"/>
          </w:tcPr>
          <w:p w14:paraId="567B9A73" w14:textId="4DDB4FEB"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2,245</w:t>
            </w:r>
          </w:p>
        </w:tc>
        <w:tc>
          <w:tcPr>
            <w:tcW w:w="887" w:type="dxa"/>
            <w:shd w:val="clear" w:color="auto" w:fill="auto"/>
            <w:noWrap/>
            <w:vAlign w:val="center"/>
          </w:tcPr>
          <w:p w14:paraId="5EE11FE4" w14:textId="1B3BAA48"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tcPr>
          <w:p w14:paraId="7D91602A" w14:textId="6AECDF2A"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Campeche</w:t>
            </w:r>
          </w:p>
        </w:tc>
        <w:tc>
          <w:tcPr>
            <w:tcW w:w="763" w:type="dxa"/>
            <w:shd w:val="clear" w:color="auto" w:fill="auto"/>
            <w:vAlign w:val="center"/>
          </w:tcPr>
          <w:p w14:paraId="4D233281" w14:textId="1C3A306B"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TDT</w:t>
            </w:r>
          </w:p>
        </w:tc>
        <w:tc>
          <w:tcPr>
            <w:tcW w:w="850" w:type="dxa"/>
            <w:shd w:val="clear" w:color="auto" w:fill="auto"/>
            <w:noWrap/>
            <w:vAlign w:val="center"/>
          </w:tcPr>
          <w:p w14:paraId="5A555375" w14:textId="7F602A8C"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w:t>
            </w:r>
          </w:p>
        </w:tc>
        <w:tc>
          <w:tcPr>
            <w:tcW w:w="850" w:type="dxa"/>
            <w:shd w:val="clear" w:color="auto" w:fill="auto"/>
            <w:noWrap/>
            <w:vAlign w:val="center"/>
          </w:tcPr>
          <w:p w14:paraId="166F8C1E" w14:textId="274D271C"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2,778</w:t>
            </w:r>
          </w:p>
        </w:tc>
        <w:tc>
          <w:tcPr>
            <w:tcW w:w="887" w:type="dxa"/>
            <w:shd w:val="clear" w:color="auto" w:fill="auto"/>
            <w:noWrap/>
            <w:vAlign w:val="center"/>
          </w:tcPr>
          <w:p w14:paraId="505F21DB" w14:textId="55E22687"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IFT-6</w:t>
            </w:r>
          </w:p>
        </w:tc>
      </w:tr>
      <w:tr w:rsidR="003F50FF" w:rsidRPr="00B63A07" w14:paraId="5F4F07B2" w14:textId="77777777" w:rsidTr="00B63A07">
        <w:trPr>
          <w:trHeight w:val="490"/>
          <w:jc w:val="center"/>
        </w:trPr>
        <w:tc>
          <w:tcPr>
            <w:tcW w:w="1474" w:type="dxa"/>
            <w:shd w:val="clear" w:color="auto" w:fill="auto"/>
            <w:vAlign w:val="center"/>
            <w:hideMark/>
          </w:tcPr>
          <w:p w14:paraId="6F961D1E" w14:textId="7154D1BD"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Comitán de Domínguez (Chis)</w:t>
            </w:r>
          </w:p>
        </w:tc>
        <w:tc>
          <w:tcPr>
            <w:tcW w:w="763" w:type="dxa"/>
            <w:shd w:val="clear" w:color="auto" w:fill="auto"/>
            <w:vAlign w:val="center"/>
            <w:hideMark/>
          </w:tcPr>
          <w:p w14:paraId="6CE806D3" w14:textId="2208ACA4"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shd w:val="clear" w:color="auto" w:fill="auto"/>
            <w:noWrap/>
            <w:vAlign w:val="center"/>
            <w:hideMark/>
          </w:tcPr>
          <w:p w14:paraId="1C5AC178" w14:textId="767584A8"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5,556</w:t>
            </w:r>
          </w:p>
        </w:tc>
        <w:tc>
          <w:tcPr>
            <w:tcW w:w="850" w:type="dxa"/>
            <w:shd w:val="clear" w:color="auto" w:fill="auto"/>
            <w:noWrap/>
            <w:vAlign w:val="center"/>
            <w:hideMark/>
          </w:tcPr>
          <w:p w14:paraId="60BCD2F6" w14:textId="624F78A5"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3,750</w:t>
            </w:r>
          </w:p>
        </w:tc>
        <w:tc>
          <w:tcPr>
            <w:tcW w:w="887" w:type="dxa"/>
            <w:shd w:val="clear" w:color="auto" w:fill="auto"/>
            <w:noWrap/>
            <w:vAlign w:val="center"/>
            <w:hideMark/>
          </w:tcPr>
          <w:p w14:paraId="46F61450" w14:textId="719772B2"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hideMark/>
          </w:tcPr>
          <w:p w14:paraId="69761EF2" w14:textId="6FE301C2"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Chetumal</w:t>
            </w:r>
          </w:p>
        </w:tc>
        <w:tc>
          <w:tcPr>
            <w:tcW w:w="763" w:type="dxa"/>
            <w:shd w:val="clear" w:color="auto" w:fill="auto"/>
            <w:vAlign w:val="center"/>
            <w:hideMark/>
          </w:tcPr>
          <w:p w14:paraId="738E1A9A" w14:textId="6468422C"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TDT</w:t>
            </w:r>
          </w:p>
        </w:tc>
        <w:tc>
          <w:tcPr>
            <w:tcW w:w="850" w:type="dxa"/>
            <w:shd w:val="clear" w:color="auto" w:fill="auto"/>
            <w:vAlign w:val="center"/>
            <w:hideMark/>
          </w:tcPr>
          <w:p w14:paraId="2D9F8D58" w14:textId="6144C790"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w:t>
            </w:r>
          </w:p>
        </w:tc>
        <w:tc>
          <w:tcPr>
            <w:tcW w:w="850" w:type="dxa"/>
            <w:shd w:val="clear" w:color="auto" w:fill="auto"/>
            <w:vAlign w:val="center"/>
            <w:hideMark/>
          </w:tcPr>
          <w:p w14:paraId="5CFE2522" w14:textId="34F2FAE3"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3,600</w:t>
            </w:r>
          </w:p>
        </w:tc>
        <w:tc>
          <w:tcPr>
            <w:tcW w:w="887" w:type="dxa"/>
            <w:shd w:val="clear" w:color="auto" w:fill="auto"/>
            <w:noWrap/>
            <w:vAlign w:val="center"/>
            <w:hideMark/>
          </w:tcPr>
          <w:p w14:paraId="1CE38416" w14:textId="6C2369BB"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IFT-6</w:t>
            </w:r>
          </w:p>
        </w:tc>
      </w:tr>
      <w:tr w:rsidR="003F50FF" w:rsidRPr="00B63A07" w14:paraId="6C13F2BC" w14:textId="77777777" w:rsidTr="00B63A07">
        <w:trPr>
          <w:trHeight w:val="300"/>
          <w:jc w:val="center"/>
        </w:trPr>
        <w:tc>
          <w:tcPr>
            <w:tcW w:w="1474" w:type="dxa"/>
            <w:shd w:val="clear" w:color="auto" w:fill="auto"/>
            <w:vAlign w:val="center"/>
            <w:hideMark/>
          </w:tcPr>
          <w:p w14:paraId="3B098F3C" w14:textId="613414B3"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Chilpancingo (Gro)</w:t>
            </w:r>
          </w:p>
        </w:tc>
        <w:tc>
          <w:tcPr>
            <w:tcW w:w="763" w:type="dxa"/>
            <w:shd w:val="clear" w:color="auto" w:fill="auto"/>
            <w:vAlign w:val="center"/>
            <w:hideMark/>
          </w:tcPr>
          <w:p w14:paraId="78C8C025" w14:textId="10539D75"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FM</w:t>
            </w:r>
          </w:p>
        </w:tc>
        <w:tc>
          <w:tcPr>
            <w:tcW w:w="850" w:type="dxa"/>
            <w:shd w:val="clear" w:color="auto" w:fill="auto"/>
            <w:noWrap/>
            <w:vAlign w:val="center"/>
            <w:hideMark/>
          </w:tcPr>
          <w:p w14:paraId="488032FE" w14:textId="21BE6003"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w:t>
            </w:r>
          </w:p>
        </w:tc>
        <w:tc>
          <w:tcPr>
            <w:tcW w:w="850" w:type="dxa"/>
            <w:shd w:val="clear" w:color="auto" w:fill="auto"/>
            <w:noWrap/>
            <w:vAlign w:val="center"/>
            <w:hideMark/>
          </w:tcPr>
          <w:p w14:paraId="7931154F" w14:textId="117E90F7"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2,222</w:t>
            </w:r>
          </w:p>
        </w:tc>
        <w:tc>
          <w:tcPr>
            <w:tcW w:w="887" w:type="dxa"/>
            <w:shd w:val="clear" w:color="auto" w:fill="auto"/>
            <w:noWrap/>
            <w:vAlign w:val="center"/>
            <w:hideMark/>
          </w:tcPr>
          <w:p w14:paraId="6B0B6C23" w14:textId="7D83E550"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IFT-4</w:t>
            </w:r>
          </w:p>
        </w:tc>
        <w:tc>
          <w:tcPr>
            <w:tcW w:w="1474" w:type="dxa"/>
            <w:shd w:val="clear" w:color="auto" w:fill="auto"/>
            <w:vAlign w:val="center"/>
            <w:hideMark/>
          </w:tcPr>
          <w:p w14:paraId="30405F0C" w14:textId="2583932E"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Cuencamé</w:t>
            </w:r>
          </w:p>
        </w:tc>
        <w:tc>
          <w:tcPr>
            <w:tcW w:w="763" w:type="dxa"/>
            <w:shd w:val="clear" w:color="auto" w:fill="auto"/>
            <w:vAlign w:val="center"/>
            <w:hideMark/>
          </w:tcPr>
          <w:p w14:paraId="308B0B3A" w14:textId="1EABC535"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TDT</w:t>
            </w:r>
          </w:p>
        </w:tc>
        <w:tc>
          <w:tcPr>
            <w:tcW w:w="850" w:type="dxa"/>
            <w:shd w:val="clear" w:color="auto" w:fill="auto"/>
            <w:vAlign w:val="center"/>
            <w:hideMark/>
          </w:tcPr>
          <w:p w14:paraId="613A8EEE" w14:textId="63AAE8F5"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w:t>
            </w:r>
          </w:p>
        </w:tc>
        <w:tc>
          <w:tcPr>
            <w:tcW w:w="850" w:type="dxa"/>
            <w:shd w:val="clear" w:color="auto" w:fill="auto"/>
            <w:vAlign w:val="center"/>
            <w:hideMark/>
          </w:tcPr>
          <w:p w14:paraId="1E8A18A7" w14:textId="5DF848C9"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shd w:val="clear" w:color="auto" w:fill="auto"/>
            <w:noWrap/>
            <w:vAlign w:val="center"/>
            <w:hideMark/>
          </w:tcPr>
          <w:p w14:paraId="32E0907E" w14:textId="2AB7A6CF"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IFT-6</w:t>
            </w:r>
          </w:p>
        </w:tc>
      </w:tr>
      <w:tr w:rsidR="003F50FF" w:rsidRPr="00B63A07" w14:paraId="540C7BA9" w14:textId="77777777" w:rsidTr="00B63A07">
        <w:trPr>
          <w:trHeight w:val="490"/>
          <w:jc w:val="center"/>
        </w:trPr>
        <w:tc>
          <w:tcPr>
            <w:tcW w:w="1474" w:type="dxa"/>
            <w:shd w:val="clear" w:color="auto" w:fill="auto"/>
            <w:vAlign w:val="center"/>
            <w:hideMark/>
          </w:tcPr>
          <w:p w14:paraId="545402A4" w14:textId="55C136FB"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Puerto Vallarta (Jal)</w:t>
            </w:r>
          </w:p>
        </w:tc>
        <w:tc>
          <w:tcPr>
            <w:tcW w:w="763" w:type="dxa"/>
            <w:shd w:val="clear" w:color="auto" w:fill="auto"/>
            <w:vAlign w:val="center"/>
            <w:hideMark/>
          </w:tcPr>
          <w:p w14:paraId="35F64098" w14:textId="3CC9A26C"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FM</w:t>
            </w:r>
          </w:p>
        </w:tc>
        <w:tc>
          <w:tcPr>
            <w:tcW w:w="850" w:type="dxa"/>
            <w:shd w:val="clear" w:color="auto" w:fill="auto"/>
            <w:noWrap/>
            <w:vAlign w:val="center"/>
            <w:hideMark/>
          </w:tcPr>
          <w:p w14:paraId="4318DA17" w14:textId="388025B7"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1,875</w:t>
            </w:r>
          </w:p>
        </w:tc>
        <w:tc>
          <w:tcPr>
            <w:tcW w:w="850" w:type="dxa"/>
            <w:shd w:val="clear" w:color="auto" w:fill="auto"/>
            <w:noWrap/>
            <w:vAlign w:val="center"/>
            <w:hideMark/>
          </w:tcPr>
          <w:p w14:paraId="2B737A26" w14:textId="02BF7C7D"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1,400</w:t>
            </w:r>
          </w:p>
        </w:tc>
        <w:tc>
          <w:tcPr>
            <w:tcW w:w="887" w:type="dxa"/>
            <w:shd w:val="clear" w:color="auto" w:fill="auto"/>
            <w:noWrap/>
            <w:vAlign w:val="center"/>
            <w:hideMark/>
          </w:tcPr>
          <w:p w14:paraId="0821DCD3" w14:textId="2859C498"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BA0034">
              <w:rPr>
                <w:rFonts w:ascii="Arial" w:eastAsia="Times New Roman" w:hAnsi="Arial" w:cs="Arial"/>
                <w:color w:val="000000"/>
                <w:sz w:val="16"/>
                <w:szCs w:val="16"/>
                <w:lang w:eastAsia="es-MX"/>
              </w:rPr>
              <w:t>IFT-4</w:t>
            </w:r>
          </w:p>
        </w:tc>
        <w:tc>
          <w:tcPr>
            <w:tcW w:w="1474" w:type="dxa"/>
            <w:shd w:val="clear" w:color="auto" w:fill="auto"/>
            <w:vAlign w:val="center"/>
            <w:hideMark/>
          </w:tcPr>
          <w:p w14:paraId="1621360A" w14:textId="719F0670"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Delicias</w:t>
            </w:r>
          </w:p>
        </w:tc>
        <w:tc>
          <w:tcPr>
            <w:tcW w:w="763" w:type="dxa"/>
            <w:shd w:val="clear" w:color="auto" w:fill="auto"/>
            <w:vAlign w:val="center"/>
            <w:hideMark/>
          </w:tcPr>
          <w:p w14:paraId="1322D7A1" w14:textId="77A13E82"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TDT</w:t>
            </w:r>
          </w:p>
        </w:tc>
        <w:tc>
          <w:tcPr>
            <w:tcW w:w="850" w:type="dxa"/>
            <w:shd w:val="clear" w:color="auto" w:fill="auto"/>
            <w:vAlign w:val="center"/>
            <w:hideMark/>
          </w:tcPr>
          <w:p w14:paraId="3AB70598" w14:textId="7EA357B6"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5,200</w:t>
            </w:r>
          </w:p>
        </w:tc>
        <w:tc>
          <w:tcPr>
            <w:tcW w:w="850" w:type="dxa"/>
            <w:shd w:val="clear" w:color="auto" w:fill="auto"/>
            <w:vAlign w:val="center"/>
            <w:hideMark/>
          </w:tcPr>
          <w:p w14:paraId="1A5E6459" w14:textId="5F097605" w:rsidR="003F50FF" w:rsidRPr="00457229"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3,061</w:t>
            </w:r>
          </w:p>
        </w:tc>
        <w:tc>
          <w:tcPr>
            <w:tcW w:w="887" w:type="dxa"/>
            <w:shd w:val="clear" w:color="auto" w:fill="auto"/>
            <w:noWrap/>
            <w:vAlign w:val="center"/>
            <w:hideMark/>
          </w:tcPr>
          <w:p w14:paraId="323C72CA" w14:textId="1C26ADDD" w:rsidR="003F50FF" w:rsidRPr="00457229"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IFT-6</w:t>
            </w:r>
          </w:p>
        </w:tc>
      </w:tr>
      <w:tr w:rsidR="003F50FF" w:rsidRPr="00B63A07" w14:paraId="182D3E70" w14:textId="77777777" w:rsidTr="00B63A07">
        <w:trPr>
          <w:trHeight w:val="300"/>
          <w:jc w:val="center"/>
        </w:trPr>
        <w:tc>
          <w:tcPr>
            <w:tcW w:w="1474" w:type="dxa"/>
            <w:shd w:val="clear" w:color="auto" w:fill="auto"/>
            <w:vAlign w:val="center"/>
            <w:hideMark/>
          </w:tcPr>
          <w:p w14:paraId="5FC73F6D" w14:textId="6CCF09B1"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Huajuapan de León (</w:t>
            </w:r>
            <w:proofErr w:type="spellStart"/>
            <w:r w:rsidRPr="00F91AC0">
              <w:rPr>
                <w:rFonts w:ascii="Arial" w:eastAsia="Times New Roman" w:hAnsi="Arial" w:cs="Arial"/>
                <w:color w:val="000000"/>
                <w:sz w:val="16"/>
                <w:szCs w:val="16"/>
                <w:lang w:eastAsia="es-MX"/>
              </w:rPr>
              <w:t>Oax</w:t>
            </w:r>
            <w:proofErr w:type="spellEnd"/>
            <w:r w:rsidRPr="00F91AC0">
              <w:rPr>
                <w:rFonts w:ascii="Arial" w:eastAsia="Times New Roman" w:hAnsi="Arial" w:cs="Arial"/>
                <w:color w:val="000000"/>
                <w:sz w:val="16"/>
                <w:szCs w:val="16"/>
                <w:lang w:eastAsia="es-MX"/>
              </w:rPr>
              <w:t>)</w:t>
            </w:r>
          </w:p>
        </w:tc>
        <w:tc>
          <w:tcPr>
            <w:tcW w:w="763" w:type="dxa"/>
            <w:shd w:val="clear" w:color="auto" w:fill="auto"/>
            <w:vAlign w:val="center"/>
            <w:hideMark/>
          </w:tcPr>
          <w:p w14:paraId="79D92A43" w14:textId="52262D21"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FM</w:t>
            </w:r>
          </w:p>
        </w:tc>
        <w:tc>
          <w:tcPr>
            <w:tcW w:w="850" w:type="dxa"/>
            <w:shd w:val="clear" w:color="auto" w:fill="auto"/>
            <w:noWrap/>
            <w:vAlign w:val="center"/>
            <w:hideMark/>
          </w:tcPr>
          <w:p w14:paraId="1B373B3C" w14:textId="57A1430E"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w:t>
            </w:r>
          </w:p>
        </w:tc>
        <w:tc>
          <w:tcPr>
            <w:tcW w:w="850" w:type="dxa"/>
            <w:shd w:val="clear" w:color="auto" w:fill="auto"/>
            <w:noWrap/>
            <w:vAlign w:val="center"/>
            <w:hideMark/>
          </w:tcPr>
          <w:p w14:paraId="30E8400B" w14:textId="045C0FB5"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shd w:val="clear" w:color="auto" w:fill="auto"/>
            <w:noWrap/>
            <w:vAlign w:val="center"/>
            <w:hideMark/>
          </w:tcPr>
          <w:p w14:paraId="58EDB844" w14:textId="777928BF"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IFT-4</w:t>
            </w:r>
          </w:p>
        </w:tc>
        <w:tc>
          <w:tcPr>
            <w:tcW w:w="1474" w:type="dxa"/>
            <w:shd w:val="clear" w:color="auto" w:fill="auto"/>
            <w:vAlign w:val="center"/>
            <w:hideMark/>
          </w:tcPr>
          <w:p w14:paraId="32C2F37A" w14:textId="2C4BFC71"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Guadalajara</w:t>
            </w:r>
          </w:p>
        </w:tc>
        <w:tc>
          <w:tcPr>
            <w:tcW w:w="763" w:type="dxa"/>
            <w:shd w:val="clear" w:color="auto" w:fill="auto"/>
            <w:vAlign w:val="center"/>
            <w:hideMark/>
          </w:tcPr>
          <w:p w14:paraId="7C0362F0" w14:textId="4299C0B4"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TDT</w:t>
            </w:r>
          </w:p>
        </w:tc>
        <w:tc>
          <w:tcPr>
            <w:tcW w:w="850" w:type="dxa"/>
            <w:shd w:val="clear" w:color="auto" w:fill="auto"/>
            <w:vAlign w:val="center"/>
            <w:hideMark/>
          </w:tcPr>
          <w:p w14:paraId="28F7864D" w14:textId="6DD5E16F"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5,918</w:t>
            </w:r>
          </w:p>
        </w:tc>
        <w:tc>
          <w:tcPr>
            <w:tcW w:w="850" w:type="dxa"/>
            <w:shd w:val="clear" w:color="auto" w:fill="auto"/>
            <w:vAlign w:val="center"/>
            <w:hideMark/>
          </w:tcPr>
          <w:p w14:paraId="3AE80E37" w14:textId="5A6F38A8"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3,200</w:t>
            </w:r>
          </w:p>
        </w:tc>
        <w:tc>
          <w:tcPr>
            <w:tcW w:w="887" w:type="dxa"/>
            <w:shd w:val="clear" w:color="auto" w:fill="auto"/>
            <w:noWrap/>
            <w:vAlign w:val="center"/>
            <w:hideMark/>
          </w:tcPr>
          <w:p w14:paraId="73763070" w14:textId="0336FB0F"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362617">
              <w:rPr>
                <w:rFonts w:ascii="Arial" w:eastAsia="Times New Roman" w:hAnsi="Arial" w:cs="Arial"/>
                <w:color w:val="000000"/>
                <w:sz w:val="16"/>
                <w:szCs w:val="16"/>
                <w:lang w:eastAsia="es-MX"/>
              </w:rPr>
              <w:t>IFT-6</w:t>
            </w:r>
          </w:p>
        </w:tc>
      </w:tr>
      <w:tr w:rsidR="003F50FF" w:rsidRPr="00B63A07" w14:paraId="2A7FF0AD" w14:textId="77777777" w:rsidTr="00B63A07">
        <w:trPr>
          <w:trHeight w:val="490"/>
          <w:jc w:val="center"/>
        </w:trPr>
        <w:tc>
          <w:tcPr>
            <w:tcW w:w="1474" w:type="dxa"/>
            <w:shd w:val="clear" w:color="auto" w:fill="auto"/>
            <w:vAlign w:val="center"/>
            <w:hideMark/>
          </w:tcPr>
          <w:p w14:paraId="1AC10B02" w14:textId="3FE37943"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Salina Cruz (</w:t>
            </w:r>
            <w:proofErr w:type="spellStart"/>
            <w:r w:rsidRPr="00F91AC0">
              <w:rPr>
                <w:rFonts w:ascii="Arial" w:eastAsia="Times New Roman" w:hAnsi="Arial" w:cs="Arial"/>
                <w:color w:val="000000"/>
                <w:sz w:val="16"/>
                <w:szCs w:val="16"/>
                <w:lang w:eastAsia="es-MX"/>
              </w:rPr>
              <w:t>Oax</w:t>
            </w:r>
            <w:proofErr w:type="spellEnd"/>
            <w:r w:rsidRPr="00F91AC0">
              <w:rPr>
                <w:rFonts w:ascii="Arial" w:eastAsia="Times New Roman" w:hAnsi="Arial" w:cs="Arial"/>
                <w:color w:val="000000"/>
                <w:sz w:val="16"/>
                <w:szCs w:val="16"/>
                <w:lang w:eastAsia="es-MX"/>
              </w:rPr>
              <w:t>)</w:t>
            </w:r>
          </w:p>
        </w:tc>
        <w:tc>
          <w:tcPr>
            <w:tcW w:w="763" w:type="dxa"/>
            <w:shd w:val="clear" w:color="auto" w:fill="auto"/>
            <w:vAlign w:val="center"/>
            <w:hideMark/>
          </w:tcPr>
          <w:p w14:paraId="7AD007AA" w14:textId="35FB301D"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FM</w:t>
            </w:r>
          </w:p>
        </w:tc>
        <w:tc>
          <w:tcPr>
            <w:tcW w:w="850" w:type="dxa"/>
            <w:shd w:val="clear" w:color="auto" w:fill="auto"/>
            <w:noWrap/>
            <w:vAlign w:val="center"/>
            <w:hideMark/>
          </w:tcPr>
          <w:p w14:paraId="19C310F4" w14:textId="1F896FEA"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w:t>
            </w:r>
          </w:p>
        </w:tc>
        <w:tc>
          <w:tcPr>
            <w:tcW w:w="850" w:type="dxa"/>
            <w:shd w:val="clear" w:color="auto" w:fill="auto"/>
            <w:noWrap/>
            <w:vAlign w:val="center"/>
            <w:hideMark/>
          </w:tcPr>
          <w:p w14:paraId="6B6E0E6B" w14:textId="21779EAA"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shd w:val="clear" w:color="auto" w:fill="auto"/>
            <w:noWrap/>
            <w:vAlign w:val="center"/>
            <w:hideMark/>
          </w:tcPr>
          <w:p w14:paraId="782C1E65" w14:textId="1F38482C"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F91AC0">
              <w:rPr>
                <w:rFonts w:ascii="Arial" w:eastAsia="Times New Roman" w:hAnsi="Arial" w:cs="Arial"/>
                <w:color w:val="000000"/>
                <w:sz w:val="16"/>
                <w:szCs w:val="16"/>
                <w:lang w:eastAsia="es-MX"/>
              </w:rPr>
              <w:t>IFT-4</w:t>
            </w:r>
          </w:p>
        </w:tc>
        <w:tc>
          <w:tcPr>
            <w:tcW w:w="1474" w:type="dxa"/>
            <w:shd w:val="clear" w:color="auto" w:fill="auto"/>
            <w:vAlign w:val="center"/>
            <w:hideMark/>
          </w:tcPr>
          <w:p w14:paraId="4F970EE3" w14:textId="0804A9CC"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Juárez</w:t>
            </w:r>
          </w:p>
        </w:tc>
        <w:tc>
          <w:tcPr>
            <w:tcW w:w="763" w:type="dxa"/>
            <w:shd w:val="clear" w:color="auto" w:fill="auto"/>
            <w:vAlign w:val="center"/>
            <w:hideMark/>
          </w:tcPr>
          <w:p w14:paraId="71230097" w14:textId="37DDA14E"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TDT</w:t>
            </w:r>
          </w:p>
        </w:tc>
        <w:tc>
          <w:tcPr>
            <w:tcW w:w="850" w:type="dxa"/>
            <w:shd w:val="clear" w:color="auto" w:fill="auto"/>
            <w:vAlign w:val="center"/>
            <w:hideMark/>
          </w:tcPr>
          <w:p w14:paraId="66DA90CC" w14:textId="32B36286"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4,286</w:t>
            </w:r>
          </w:p>
        </w:tc>
        <w:tc>
          <w:tcPr>
            <w:tcW w:w="850" w:type="dxa"/>
            <w:shd w:val="clear" w:color="auto" w:fill="auto"/>
            <w:vAlign w:val="center"/>
            <w:hideMark/>
          </w:tcPr>
          <w:p w14:paraId="69F1CA55" w14:textId="311F5BB8"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2,840</w:t>
            </w:r>
          </w:p>
        </w:tc>
        <w:tc>
          <w:tcPr>
            <w:tcW w:w="887" w:type="dxa"/>
            <w:shd w:val="clear" w:color="auto" w:fill="auto"/>
            <w:noWrap/>
            <w:vAlign w:val="center"/>
            <w:hideMark/>
          </w:tcPr>
          <w:p w14:paraId="7BEC121E" w14:textId="156C7D18"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IFT-6</w:t>
            </w:r>
          </w:p>
        </w:tc>
      </w:tr>
      <w:tr w:rsidR="003F50FF" w:rsidRPr="00B63A07" w14:paraId="5D14B996" w14:textId="77777777" w:rsidTr="00B63A07">
        <w:trPr>
          <w:trHeight w:val="300"/>
          <w:jc w:val="center"/>
        </w:trPr>
        <w:tc>
          <w:tcPr>
            <w:tcW w:w="1474" w:type="dxa"/>
            <w:shd w:val="clear" w:color="auto" w:fill="auto"/>
            <w:vAlign w:val="center"/>
            <w:hideMark/>
          </w:tcPr>
          <w:p w14:paraId="023A3596" w14:textId="74A2CEF3"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Mazatlán (Sin)</w:t>
            </w:r>
          </w:p>
        </w:tc>
        <w:tc>
          <w:tcPr>
            <w:tcW w:w="763" w:type="dxa"/>
            <w:shd w:val="clear" w:color="auto" w:fill="auto"/>
            <w:vAlign w:val="center"/>
            <w:hideMark/>
          </w:tcPr>
          <w:p w14:paraId="0E266754" w14:textId="4770FA9C"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FM</w:t>
            </w:r>
          </w:p>
        </w:tc>
        <w:tc>
          <w:tcPr>
            <w:tcW w:w="850" w:type="dxa"/>
            <w:shd w:val="clear" w:color="auto" w:fill="auto"/>
            <w:noWrap/>
            <w:vAlign w:val="center"/>
            <w:hideMark/>
          </w:tcPr>
          <w:p w14:paraId="7256BEF5" w14:textId="5CFDFCD7"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1,479</w:t>
            </w:r>
          </w:p>
        </w:tc>
        <w:tc>
          <w:tcPr>
            <w:tcW w:w="850" w:type="dxa"/>
            <w:shd w:val="clear" w:color="auto" w:fill="auto"/>
            <w:noWrap/>
            <w:vAlign w:val="center"/>
            <w:hideMark/>
          </w:tcPr>
          <w:p w14:paraId="04E8ABC0" w14:textId="3716ECDE"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1,327</w:t>
            </w:r>
          </w:p>
        </w:tc>
        <w:tc>
          <w:tcPr>
            <w:tcW w:w="887" w:type="dxa"/>
            <w:shd w:val="clear" w:color="auto" w:fill="auto"/>
            <w:noWrap/>
            <w:vAlign w:val="center"/>
            <w:hideMark/>
          </w:tcPr>
          <w:p w14:paraId="6D11AA35" w14:textId="161F4D1C"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IFT-4</w:t>
            </w:r>
          </w:p>
        </w:tc>
        <w:tc>
          <w:tcPr>
            <w:tcW w:w="1474" w:type="dxa"/>
            <w:shd w:val="clear" w:color="auto" w:fill="auto"/>
            <w:vAlign w:val="center"/>
            <w:hideMark/>
          </w:tcPr>
          <w:p w14:paraId="59BB9BB4" w14:textId="47795FFB"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Monclova-Frontera</w:t>
            </w:r>
          </w:p>
        </w:tc>
        <w:tc>
          <w:tcPr>
            <w:tcW w:w="763" w:type="dxa"/>
            <w:shd w:val="clear" w:color="auto" w:fill="auto"/>
            <w:vAlign w:val="center"/>
            <w:hideMark/>
          </w:tcPr>
          <w:p w14:paraId="0D512A53" w14:textId="138734D9"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TDT</w:t>
            </w:r>
          </w:p>
        </w:tc>
        <w:tc>
          <w:tcPr>
            <w:tcW w:w="850" w:type="dxa"/>
            <w:shd w:val="clear" w:color="auto" w:fill="auto"/>
            <w:vAlign w:val="center"/>
            <w:hideMark/>
          </w:tcPr>
          <w:p w14:paraId="7DD17523" w14:textId="24112C7C"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w:t>
            </w:r>
          </w:p>
        </w:tc>
        <w:tc>
          <w:tcPr>
            <w:tcW w:w="850" w:type="dxa"/>
            <w:shd w:val="clear" w:color="auto" w:fill="auto"/>
            <w:vAlign w:val="center"/>
            <w:hideMark/>
          </w:tcPr>
          <w:p w14:paraId="6787A863" w14:textId="6FA69D82"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3,600</w:t>
            </w:r>
          </w:p>
        </w:tc>
        <w:tc>
          <w:tcPr>
            <w:tcW w:w="887" w:type="dxa"/>
            <w:shd w:val="clear" w:color="auto" w:fill="auto"/>
            <w:noWrap/>
            <w:vAlign w:val="center"/>
            <w:hideMark/>
          </w:tcPr>
          <w:p w14:paraId="5A53D4BA" w14:textId="17171F70"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IFT-6</w:t>
            </w:r>
          </w:p>
        </w:tc>
      </w:tr>
      <w:tr w:rsidR="003F50FF" w:rsidRPr="00B63A07" w14:paraId="10D42DD2" w14:textId="77777777" w:rsidTr="00B63A07">
        <w:trPr>
          <w:trHeight w:val="490"/>
          <w:jc w:val="center"/>
        </w:trPr>
        <w:tc>
          <w:tcPr>
            <w:tcW w:w="1474" w:type="dxa"/>
            <w:shd w:val="clear" w:color="auto" w:fill="auto"/>
            <w:vAlign w:val="center"/>
            <w:hideMark/>
          </w:tcPr>
          <w:p w14:paraId="5A01620C" w14:textId="1055B6E0"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lastRenderedPageBreak/>
              <w:t>Navojoa (Son)</w:t>
            </w:r>
          </w:p>
        </w:tc>
        <w:tc>
          <w:tcPr>
            <w:tcW w:w="763" w:type="dxa"/>
            <w:shd w:val="clear" w:color="auto" w:fill="auto"/>
            <w:vAlign w:val="center"/>
            <w:hideMark/>
          </w:tcPr>
          <w:p w14:paraId="021B4CF1" w14:textId="3F7E82B1"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FM</w:t>
            </w:r>
          </w:p>
        </w:tc>
        <w:tc>
          <w:tcPr>
            <w:tcW w:w="850" w:type="dxa"/>
            <w:shd w:val="clear" w:color="auto" w:fill="auto"/>
            <w:noWrap/>
            <w:vAlign w:val="center"/>
            <w:hideMark/>
          </w:tcPr>
          <w:p w14:paraId="6C636036" w14:textId="1041597E"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3,750</w:t>
            </w:r>
          </w:p>
        </w:tc>
        <w:tc>
          <w:tcPr>
            <w:tcW w:w="850" w:type="dxa"/>
            <w:shd w:val="clear" w:color="auto" w:fill="auto"/>
            <w:noWrap/>
            <w:vAlign w:val="center"/>
            <w:hideMark/>
          </w:tcPr>
          <w:p w14:paraId="3B6EED55" w14:textId="107D563C"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2,778</w:t>
            </w:r>
          </w:p>
        </w:tc>
        <w:tc>
          <w:tcPr>
            <w:tcW w:w="887" w:type="dxa"/>
            <w:shd w:val="clear" w:color="auto" w:fill="auto"/>
            <w:noWrap/>
            <w:vAlign w:val="center"/>
            <w:hideMark/>
          </w:tcPr>
          <w:p w14:paraId="2993AE12" w14:textId="4DFFEF4B"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IFT-4</w:t>
            </w:r>
          </w:p>
        </w:tc>
        <w:tc>
          <w:tcPr>
            <w:tcW w:w="1474" w:type="dxa"/>
            <w:shd w:val="clear" w:color="auto" w:fill="auto"/>
            <w:vAlign w:val="center"/>
            <w:hideMark/>
          </w:tcPr>
          <w:p w14:paraId="2189BA5D" w14:textId="04EADC4F"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Puerto Vallarta</w:t>
            </w:r>
          </w:p>
        </w:tc>
        <w:tc>
          <w:tcPr>
            <w:tcW w:w="763" w:type="dxa"/>
            <w:shd w:val="clear" w:color="auto" w:fill="auto"/>
            <w:vAlign w:val="center"/>
            <w:hideMark/>
          </w:tcPr>
          <w:p w14:paraId="3BBF42C0" w14:textId="7C2CCF70"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TDT</w:t>
            </w:r>
          </w:p>
        </w:tc>
        <w:tc>
          <w:tcPr>
            <w:tcW w:w="850" w:type="dxa"/>
            <w:shd w:val="clear" w:color="auto" w:fill="auto"/>
            <w:vAlign w:val="center"/>
            <w:hideMark/>
          </w:tcPr>
          <w:p w14:paraId="337085BC" w14:textId="66AC4065"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w:t>
            </w:r>
          </w:p>
        </w:tc>
        <w:tc>
          <w:tcPr>
            <w:tcW w:w="850" w:type="dxa"/>
            <w:shd w:val="clear" w:color="auto" w:fill="auto"/>
            <w:vAlign w:val="center"/>
            <w:hideMark/>
          </w:tcPr>
          <w:p w14:paraId="7EC749CC" w14:textId="29FA5C7A"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3,600</w:t>
            </w:r>
          </w:p>
        </w:tc>
        <w:tc>
          <w:tcPr>
            <w:tcW w:w="887" w:type="dxa"/>
            <w:shd w:val="clear" w:color="auto" w:fill="auto"/>
            <w:noWrap/>
            <w:vAlign w:val="center"/>
            <w:hideMark/>
          </w:tcPr>
          <w:p w14:paraId="3E670268" w14:textId="0203E28E"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IFT-6</w:t>
            </w:r>
          </w:p>
        </w:tc>
      </w:tr>
      <w:tr w:rsidR="003F50FF" w:rsidRPr="00B63A07" w14:paraId="015B8C5B" w14:textId="77777777" w:rsidTr="003F50FF">
        <w:trPr>
          <w:trHeight w:val="490"/>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15486D" w14:textId="7F28C284"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Jalpa (Zac)</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18863A6" w14:textId="59BB362A"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FM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3C048" w14:textId="7E19DEF7"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45010" w14:textId="418BB7A5"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061B5" w14:textId="28110FFB"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457229">
              <w:rPr>
                <w:rFonts w:ascii="Arial" w:eastAsia="Times New Roman" w:hAnsi="Arial" w:cs="Arial"/>
                <w:color w:val="000000"/>
                <w:sz w:val="16"/>
                <w:szCs w:val="16"/>
                <w:lang w:eastAsia="es-MX"/>
              </w:rPr>
              <w:t>IFT-4</w:t>
            </w:r>
          </w:p>
        </w:tc>
        <w:tc>
          <w:tcPr>
            <w:tcW w:w="1474" w:type="dxa"/>
            <w:shd w:val="clear" w:color="auto" w:fill="auto"/>
            <w:vAlign w:val="center"/>
            <w:hideMark/>
          </w:tcPr>
          <w:p w14:paraId="78814C2B" w14:textId="6F7FB177"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Santiago Papasquiaro</w:t>
            </w:r>
          </w:p>
        </w:tc>
        <w:tc>
          <w:tcPr>
            <w:tcW w:w="763" w:type="dxa"/>
            <w:shd w:val="clear" w:color="auto" w:fill="auto"/>
            <w:vAlign w:val="center"/>
            <w:hideMark/>
          </w:tcPr>
          <w:p w14:paraId="135411B9" w14:textId="68B86FD3"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TDT</w:t>
            </w:r>
          </w:p>
        </w:tc>
        <w:tc>
          <w:tcPr>
            <w:tcW w:w="850" w:type="dxa"/>
            <w:shd w:val="clear" w:color="auto" w:fill="auto"/>
            <w:vAlign w:val="center"/>
            <w:hideMark/>
          </w:tcPr>
          <w:p w14:paraId="1B38A2AD" w14:textId="4C2660EA"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5,556</w:t>
            </w:r>
          </w:p>
        </w:tc>
        <w:tc>
          <w:tcPr>
            <w:tcW w:w="850" w:type="dxa"/>
            <w:shd w:val="clear" w:color="auto" w:fill="auto"/>
            <w:vAlign w:val="center"/>
            <w:hideMark/>
          </w:tcPr>
          <w:p w14:paraId="66C590BA" w14:textId="566FA2B8" w:rsidR="003F50FF" w:rsidRPr="00BA0034" w:rsidRDefault="003F50FF" w:rsidP="003F50F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2,800</w:t>
            </w:r>
          </w:p>
        </w:tc>
        <w:tc>
          <w:tcPr>
            <w:tcW w:w="887" w:type="dxa"/>
            <w:shd w:val="clear" w:color="auto" w:fill="auto"/>
            <w:noWrap/>
            <w:vAlign w:val="center"/>
            <w:hideMark/>
          </w:tcPr>
          <w:p w14:paraId="444E0D28" w14:textId="21DBD9B1" w:rsidR="003F50FF" w:rsidRPr="00BA0034" w:rsidRDefault="003F50FF" w:rsidP="003F50FF">
            <w:pPr>
              <w:spacing w:after="0" w:line="240" w:lineRule="auto"/>
              <w:jc w:val="center"/>
              <w:rPr>
                <w:rFonts w:ascii="Arial" w:eastAsia="Times New Roman" w:hAnsi="Arial" w:cs="Arial"/>
                <w:color w:val="000000"/>
                <w:sz w:val="16"/>
                <w:szCs w:val="16"/>
                <w:lang w:eastAsia="es-MX"/>
              </w:rPr>
            </w:pPr>
            <w:r w:rsidRPr="00050129">
              <w:rPr>
                <w:rFonts w:ascii="Arial" w:eastAsia="Times New Roman" w:hAnsi="Arial" w:cs="Arial"/>
                <w:color w:val="000000"/>
                <w:sz w:val="16"/>
                <w:szCs w:val="16"/>
                <w:lang w:eastAsia="es-MX"/>
              </w:rPr>
              <w:t>IFT-6</w:t>
            </w:r>
          </w:p>
        </w:tc>
      </w:tr>
    </w:tbl>
    <w:p w14:paraId="36C356A9" w14:textId="77777777" w:rsidR="003435CC" w:rsidRDefault="003435CC" w:rsidP="00D879AA">
      <w:pPr>
        <w:pStyle w:val="Default"/>
        <w:spacing w:before="120" w:after="120" w:line="276" w:lineRule="auto"/>
        <w:jc w:val="both"/>
        <w:rPr>
          <w:rFonts w:ascii="Arial" w:hAnsi="Arial" w:cs="Arial"/>
          <w:sz w:val="22"/>
          <w:szCs w:val="22"/>
        </w:rPr>
      </w:pPr>
    </w:p>
    <w:p w14:paraId="4ACA2D63" w14:textId="58F60F0D" w:rsidR="002E3835" w:rsidRPr="00C9666A" w:rsidRDefault="002E3835" w:rsidP="00D879AA">
      <w:pPr>
        <w:pStyle w:val="Default"/>
        <w:spacing w:before="120" w:after="120" w:line="276" w:lineRule="auto"/>
        <w:jc w:val="both"/>
        <w:rPr>
          <w:rFonts w:ascii="Arial" w:hAnsi="Arial" w:cs="Arial"/>
          <w:sz w:val="22"/>
          <w:szCs w:val="22"/>
        </w:rPr>
      </w:pPr>
      <w:r w:rsidRPr="00C9666A">
        <w:rPr>
          <w:rFonts w:ascii="Arial" w:hAnsi="Arial" w:cs="Arial"/>
          <w:sz w:val="22"/>
          <w:szCs w:val="22"/>
        </w:rPr>
        <w:t>A continuación</w:t>
      </w:r>
      <w:r w:rsidR="00712A5A">
        <w:rPr>
          <w:rFonts w:ascii="Arial" w:hAnsi="Arial" w:cs="Arial"/>
          <w:sz w:val="22"/>
          <w:szCs w:val="22"/>
        </w:rPr>
        <w:t>,</w:t>
      </w:r>
      <w:r w:rsidRPr="00C9666A">
        <w:rPr>
          <w:rFonts w:ascii="Arial" w:hAnsi="Arial" w:cs="Arial"/>
          <w:sz w:val="22"/>
          <w:szCs w:val="22"/>
        </w:rPr>
        <w:t xml:space="preserve"> se presentan los casos más relevantes </w:t>
      </w:r>
      <w:r w:rsidR="006B2B59" w:rsidRPr="00C9666A">
        <w:rPr>
          <w:rFonts w:ascii="Arial" w:hAnsi="Arial" w:cs="Arial"/>
          <w:sz w:val="22"/>
          <w:szCs w:val="22"/>
        </w:rPr>
        <w:t xml:space="preserve">que han sido analizados por la autoridad competente </w:t>
      </w:r>
      <w:r w:rsidRPr="00C9666A">
        <w:rPr>
          <w:rFonts w:ascii="Arial" w:hAnsi="Arial" w:cs="Arial"/>
          <w:sz w:val="22"/>
          <w:szCs w:val="22"/>
        </w:rPr>
        <w:t xml:space="preserve">y para los cuales se tiene información. </w:t>
      </w:r>
      <w:r w:rsidR="00A926E4" w:rsidRPr="00C9666A">
        <w:rPr>
          <w:rFonts w:ascii="Arial" w:hAnsi="Arial" w:cs="Arial"/>
          <w:sz w:val="22"/>
          <w:szCs w:val="22"/>
        </w:rPr>
        <w:t>La información que se señala con “</w:t>
      </w:r>
      <w:proofErr w:type="spellStart"/>
      <w:r w:rsidR="00A926E4" w:rsidRPr="00C9666A">
        <w:rPr>
          <w:rFonts w:ascii="Arial" w:hAnsi="Arial" w:cs="Arial"/>
          <w:sz w:val="22"/>
          <w:szCs w:val="22"/>
        </w:rPr>
        <w:t>xxxxx</w:t>
      </w:r>
      <w:proofErr w:type="spellEnd"/>
      <w:r w:rsidR="00A926E4" w:rsidRPr="00C9666A">
        <w:rPr>
          <w:rFonts w:ascii="Arial" w:hAnsi="Arial" w:cs="Arial"/>
          <w:sz w:val="22"/>
          <w:szCs w:val="22"/>
        </w:rPr>
        <w:t>” corresponde a información clasificada como confidencial dentro del expediente correspondiente.</w:t>
      </w:r>
    </w:p>
    <w:p w14:paraId="0C865709" w14:textId="77777777" w:rsidR="00975116" w:rsidRPr="00C9666A" w:rsidRDefault="00975116" w:rsidP="00C9666A">
      <w:pPr>
        <w:spacing w:before="120" w:after="120"/>
        <w:ind w:right="-1"/>
        <w:jc w:val="both"/>
        <w:rPr>
          <w:rFonts w:ascii="Arial" w:hAnsi="Arial" w:cs="Arial"/>
          <w:b/>
        </w:rPr>
        <w:sectPr w:rsidR="00975116" w:rsidRPr="00C9666A" w:rsidSect="005D310C">
          <w:headerReference w:type="default" r:id="rId12"/>
          <w:footerReference w:type="default" r:id="rId13"/>
          <w:pgSz w:w="12240" w:h="15840"/>
          <w:pgMar w:top="1417" w:right="1467" w:bottom="1417" w:left="1418" w:header="708" w:footer="708" w:gutter="0"/>
          <w:pgNumType w:start="1"/>
          <w:cols w:space="708"/>
          <w:docGrid w:linePitch="360"/>
        </w:sectPr>
      </w:pPr>
    </w:p>
    <w:p w14:paraId="18C5A713" w14:textId="07891D62" w:rsidR="00A512E5" w:rsidRPr="0079117E" w:rsidRDefault="00D24EC3" w:rsidP="00BB09C3">
      <w:pPr>
        <w:pStyle w:val="Default"/>
        <w:keepNext/>
        <w:numPr>
          <w:ilvl w:val="0"/>
          <w:numId w:val="44"/>
        </w:numPr>
        <w:spacing w:before="120" w:after="120" w:line="276" w:lineRule="auto"/>
        <w:jc w:val="center"/>
        <w:rPr>
          <w:rFonts w:ascii="Arial" w:hAnsi="Arial" w:cs="Arial"/>
          <w:b/>
          <w:sz w:val="22"/>
          <w:szCs w:val="22"/>
        </w:rPr>
      </w:pPr>
      <w:r w:rsidRPr="0079117E">
        <w:rPr>
          <w:rFonts w:ascii="Arial" w:hAnsi="Arial" w:cs="Arial"/>
          <w:b/>
          <w:sz w:val="22"/>
          <w:szCs w:val="22"/>
        </w:rPr>
        <w:lastRenderedPageBreak/>
        <w:t>Concentraciones</w:t>
      </w:r>
      <w:r w:rsidR="00A512E5" w:rsidRPr="0079117E">
        <w:rPr>
          <w:rFonts w:ascii="Arial" w:hAnsi="Arial" w:cs="Arial"/>
          <w:b/>
          <w:sz w:val="22"/>
          <w:szCs w:val="22"/>
        </w:rPr>
        <w:t xml:space="preserve"> evaluad</w:t>
      </w:r>
      <w:r w:rsidRPr="0079117E">
        <w:rPr>
          <w:rFonts w:ascii="Arial" w:hAnsi="Arial" w:cs="Arial"/>
          <w:b/>
          <w:sz w:val="22"/>
          <w:szCs w:val="22"/>
        </w:rPr>
        <w:t>a</w:t>
      </w:r>
      <w:r w:rsidR="00A512E5" w:rsidRPr="0079117E">
        <w:rPr>
          <w:rFonts w:ascii="Arial" w:hAnsi="Arial" w:cs="Arial"/>
          <w:b/>
          <w:sz w:val="22"/>
          <w:szCs w:val="22"/>
        </w:rPr>
        <w:t>s por la extinta CFC</w:t>
      </w:r>
    </w:p>
    <w:tbl>
      <w:tblPr>
        <w:tblW w:w="13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8"/>
        <w:gridCol w:w="1836"/>
        <w:gridCol w:w="1422"/>
        <w:gridCol w:w="1104"/>
        <w:gridCol w:w="815"/>
        <w:gridCol w:w="651"/>
        <w:gridCol w:w="770"/>
        <w:gridCol w:w="815"/>
        <w:gridCol w:w="627"/>
        <w:gridCol w:w="1460"/>
        <w:gridCol w:w="1013"/>
      </w:tblGrid>
      <w:tr w:rsidR="00F46306" w:rsidRPr="00C9666A" w14:paraId="55403E1E" w14:textId="77777777" w:rsidTr="00D92DEF">
        <w:trPr>
          <w:trHeight w:val="20"/>
          <w:tblHeader/>
          <w:jc w:val="center"/>
        </w:trPr>
        <w:tc>
          <w:tcPr>
            <w:tcW w:w="2668" w:type="dxa"/>
            <w:shd w:val="clear" w:color="auto" w:fill="92D050"/>
            <w:vAlign w:val="center"/>
          </w:tcPr>
          <w:p w14:paraId="71A73D38"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Agentes Económicos involucrados</w:t>
            </w:r>
          </w:p>
        </w:tc>
        <w:tc>
          <w:tcPr>
            <w:tcW w:w="1836" w:type="dxa"/>
            <w:shd w:val="clear" w:color="auto" w:fill="92D050"/>
            <w:vAlign w:val="center"/>
          </w:tcPr>
          <w:p w14:paraId="37E48BD3"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Mercado Relevante  (Analizado)</w:t>
            </w:r>
          </w:p>
        </w:tc>
        <w:tc>
          <w:tcPr>
            <w:tcW w:w="1422" w:type="dxa"/>
            <w:shd w:val="clear" w:color="auto" w:fill="92D050"/>
            <w:vAlign w:val="center"/>
            <w:hideMark/>
          </w:tcPr>
          <w:p w14:paraId="55D4E881"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Participación de Mercado</w:t>
            </w:r>
          </w:p>
        </w:tc>
        <w:tc>
          <w:tcPr>
            <w:tcW w:w="1104" w:type="dxa"/>
            <w:shd w:val="clear" w:color="auto" w:fill="92D050"/>
            <w:vAlign w:val="center"/>
            <w:hideMark/>
          </w:tcPr>
          <w:p w14:paraId="63E8884F" w14:textId="77777777" w:rsidR="00F46306" w:rsidRPr="00C9666A" w:rsidRDefault="00193362"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IHH</w:t>
            </w:r>
            <w:r w:rsidR="00F46306" w:rsidRPr="00C9666A">
              <w:rPr>
                <w:rFonts w:ascii="Arial" w:eastAsia="Times New Roman" w:hAnsi="Arial" w:cs="Arial"/>
                <w:b/>
                <w:bCs/>
                <w:color w:val="FFFFFF"/>
                <w:sz w:val="16"/>
                <w:szCs w:val="16"/>
                <w:lang w:eastAsia="es-MX"/>
              </w:rPr>
              <w:t xml:space="preserve"> Antes</w:t>
            </w:r>
          </w:p>
        </w:tc>
        <w:tc>
          <w:tcPr>
            <w:tcW w:w="815" w:type="dxa"/>
            <w:shd w:val="clear" w:color="auto" w:fill="92D050"/>
            <w:vAlign w:val="center"/>
            <w:hideMark/>
          </w:tcPr>
          <w:p w14:paraId="6AC22AAB" w14:textId="77777777" w:rsidR="00F46306" w:rsidRPr="00C9666A" w:rsidRDefault="00193362"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IHH</w:t>
            </w:r>
            <w:r w:rsidR="00F46306" w:rsidRPr="00C9666A">
              <w:rPr>
                <w:rFonts w:ascii="Arial" w:eastAsia="Times New Roman" w:hAnsi="Arial" w:cs="Arial"/>
                <w:b/>
                <w:bCs/>
                <w:color w:val="FFFFFF"/>
                <w:sz w:val="16"/>
                <w:szCs w:val="16"/>
                <w:lang w:eastAsia="es-MX"/>
              </w:rPr>
              <w:t xml:space="preserve"> Después</w:t>
            </w:r>
          </w:p>
        </w:tc>
        <w:tc>
          <w:tcPr>
            <w:tcW w:w="651" w:type="dxa"/>
            <w:shd w:val="clear" w:color="auto" w:fill="92D050"/>
            <w:vAlign w:val="center"/>
            <w:hideMark/>
          </w:tcPr>
          <w:p w14:paraId="35EBD882" w14:textId="0DDE991F" w:rsidR="00F46306" w:rsidRPr="00C9666A" w:rsidRDefault="00F46306" w:rsidP="00D92DEF">
            <w:pPr>
              <w:spacing w:after="0"/>
              <w:jc w:val="center"/>
              <w:rPr>
                <w:rFonts w:ascii="Arial" w:eastAsia="Times New Roman" w:hAnsi="Arial" w:cs="Arial"/>
                <w:color w:val="FFFFFF"/>
                <w:sz w:val="16"/>
                <w:szCs w:val="16"/>
                <w:lang w:eastAsia="es-MX"/>
              </w:rPr>
            </w:pPr>
            <m:oMathPara>
              <m:oMath>
                <m:r>
                  <m:rPr>
                    <m:sty m:val="p"/>
                  </m:rPr>
                  <w:rPr>
                    <w:rFonts w:ascii="Cambria Math" w:hAnsi="Cambria Math" w:cs="Arial"/>
                    <w:color w:val="FFFFFF" w:themeColor="background1"/>
                  </w:rPr>
                  <m:t>∆IHH</m:t>
                </m:r>
              </m:oMath>
            </m:oMathPara>
          </w:p>
        </w:tc>
        <w:tc>
          <w:tcPr>
            <w:tcW w:w="770" w:type="dxa"/>
            <w:shd w:val="clear" w:color="auto" w:fill="92D050"/>
            <w:vAlign w:val="center"/>
            <w:hideMark/>
          </w:tcPr>
          <w:p w14:paraId="33DDCCC4" w14:textId="77777777" w:rsidR="00F46306" w:rsidRPr="00C9666A" w:rsidRDefault="00A64B8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ID</w:t>
            </w:r>
            <w:r w:rsidR="00F46306" w:rsidRPr="00C9666A">
              <w:rPr>
                <w:rFonts w:ascii="Arial" w:eastAsia="Times New Roman" w:hAnsi="Arial" w:cs="Arial"/>
                <w:b/>
                <w:bCs/>
                <w:color w:val="FFFFFF"/>
                <w:sz w:val="16"/>
                <w:szCs w:val="16"/>
                <w:lang w:eastAsia="es-MX"/>
              </w:rPr>
              <w:t xml:space="preserve"> Antes</w:t>
            </w:r>
          </w:p>
        </w:tc>
        <w:tc>
          <w:tcPr>
            <w:tcW w:w="815" w:type="dxa"/>
            <w:shd w:val="clear" w:color="auto" w:fill="92D050"/>
            <w:vAlign w:val="center"/>
            <w:hideMark/>
          </w:tcPr>
          <w:p w14:paraId="5F05575D" w14:textId="77777777" w:rsidR="00F46306" w:rsidRPr="00C9666A" w:rsidRDefault="00A64B8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ID</w:t>
            </w:r>
            <w:r w:rsidR="00F46306" w:rsidRPr="00C9666A">
              <w:rPr>
                <w:rFonts w:ascii="Arial" w:eastAsia="Times New Roman" w:hAnsi="Arial" w:cs="Arial"/>
                <w:b/>
                <w:bCs/>
                <w:color w:val="FFFFFF"/>
                <w:sz w:val="16"/>
                <w:szCs w:val="16"/>
                <w:lang w:eastAsia="es-MX"/>
              </w:rPr>
              <w:t xml:space="preserve"> Después</w:t>
            </w:r>
          </w:p>
        </w:tc>
        <w:tc>
          <w:tcPr>
            <w:tcW w:w="627" w:type="dxa"/>
            <w:shd w:val="clear" w:color="auto" w:fill="92D050"/>
            <w:vAlign w:val="center"/>
            <w:hideMark/>
          </w:tcPr>
          <w:p w14:paraId="6AF574A8"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 xml:space="preserve">Δ </w:t>
            </w:r>
            <w:r w:rsidR="00A64B86" w:rsidRPr="00C9666A">
              <w:rPr>
                <w:rFonts w:ascii="Arial" w:eastAsia="Times New Roman" w:hAnsi="Arial" w:cs="Arial"/>
                <w:b/>
                <w:bCs/>
                <w:color w:val="FFFFFF"/>
                <w:sz w:val="16"/>
                <w:szCs w:val="16"/>
                <w:lang w:eastAsia="es-MX"/>
              </w:rPr>
              <w:t>ID</w:t>
            </w:r>
          </w:p>
        </w:tc>
        <w:tc>
          <w:tcPr>
            <w:tcW w:w="1460" w:type="dxa"/>
            <w:shd w:val="clear" w:color="auto" w:fill="92D050"/>
            <w:vAlign w:val="center"/>
          </w:tcPr>
          <w:p w14:paraId="6589441E"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Resolución</w:t>
            </w:r>
          </w:p>
        </w:tc>
        <w:tc>
          <w:tcPr>
            <w:tcW w:w="1013" w:type="dxa"/>
            <w:shd w:val="clear" w:color="auto" w:fill="92D050"/>
            <w:vAlign w:val="center"/>
          </w:tcPr>
          <w:p w14:paraId="5E073319" w14:textId="77777777" w:rsidR="00F46306" w:rsidRPr="00C9666A" w:rsidRDefault="00F46306" w:rsidP="00D92DEF">
            <w:pPr>
              <w:spacing w:after="0"/>
              <w:jc w:val="center"/>
              <w:rPr>
                <w:rFonts w:ascii="Arial" w:eastAsia="Times New Roman" w:hAnsi="Arial" w:cs="Arial"/>
                <w:b/>
                <w:bCs/>
                <w:color w:val="FFFFFF"/>
                <w:sz w:val="16"/>
                <w:szCs w:val="16"/>
                <w:lang w:eastAsia="es-MX"/>
              </w:rPr>
            </w:pPr>
            <w:r w:rsidRPr="00C9666A">
              <w:rPr>
                <w:rFonts w:ascii="Arial" w:eastAsia="Times New Roman" w:hAnsi="Arial" w:cs="Arial"/>
                <w:b/>
                <w:bCs/>
                <w:color w:val="FFFFFF"/>
                <w:sz w:val="16"/>
                <w:szCs w:val="16"/>
                <w:lang w:eastAsia="es-MX"/>
              </w:rPr>
              <w:t>Fecha de Resolución</w:t>
            </w:r>
          </w:p>
        </w:tc>
      </w:tr>
      <w:tr w:rsidR="00F46306" w:rsidRPr="00C9666A" w14:paraId="69D1811D" w14:textId="77777777" w:rsidTr="00D92DEF">
        <w:trPr>
          <w:trHeight w:val="20"/>
          <w:jc w:val="center"/>
        </w:trPr>
        <w:tc>
          <w:tcPr>
            <w:tcW w:w="2668" w:type="dxa"/>
            <w:shd w:val="clear" w:color="auto" w:fill="D9D9D9" w:themeFill="background1" w:themeFillShade="D9"/>
            <w:vAlign w:val="center"/>
          </w:tcPr>
          <w:p w14:paraId="1C9BDE4A"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Grupo Televisa, S.A. y Grupo ACIR Comunicaciones, S.A. de C.V.</w:t>
            </w:r>
          </w:p>
        </w:tc>
        <w:tc>
          <w:tcPr>
            <w:tcW w:w="1836" w:type="dxa"/>
            <w:shd w:val="clear" w:color="auto" w:fill="D9D9D9" w:themeFill="background1" w:themeFillShade="D9"/>
            <w:vAlign w:val="center"/>
          </w:tcPr>
          <w:p w14:paraId="22AB8B1C"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Servicios de difusión y publicidad en radio y televisión abierta</w:t>
            </w:r>
          </w:p>
        </w:tc>
        <w:tc>
          <w:tcPr>
            <w:tcW w:w="1422" w:type="dxa"/>
            <w:shd w:val="clear" w:color="auto" w:fill="D9D9D9" w:themeFill="background1" w:themeFillShade="D9"/>
            <w:vAlign w:val="center"/>
            <w:hideMark/>
          </w:tcPr>
          <w:p w14:paraId="2A047CED" w14:textId="77777777" w:rsidR="00F46306" w:rsidRPr="00C9666A" w:rsidRDefault="00FC6C4E"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D9D9D9" w:themeFill="background1" w:themeFillShade="D9"/>
            <w:vAlign w:val="center"/>
            <w:hideMark/>
          </w:tcPr>
          <w:p w14:paraId="09395C14"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D9D9D9" w:themeFill="background1" w:themeFillShade="D9"/>
            <w:vAlign w:val="center"/>
            <w:hideMark/>
          </w:tcPr>
          <w:p w14:paraId="788E25C8"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&gt;2000</w:t>
            </w:r>
          </w:p>
        </w:tc>
        <w:tc>
          <w:tcPr>
            <w:tcW w:w="651" w:type="dxa"/>
            <w:shd w:val="clear" w:color="auto" w:fill="D9D9D9" w:themeFill="background1" w:themeFillShade="D9"/>
            <w:vAlign w:val="center"/>
            <w:hideMark/>
          </w:tcPr>
          <w:p w14:paraId="004C648B"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253</w:t>
            </w:r>
          </w:p>
        </w:tc>
        <w:tc>
          <w:tcPr>
            <w:tcW w:w="770" w:type="dxa"/>
            <w:shd w:val="clear" w:color="auto" w:fill="D9D9D9" w:themeFill="background1" w:themeFillShade="D9"/>
            <w:vAlign w:val="center"/>
            <w:hideMark/>
          </w:tcPr>
          <w:p w14:paraId="0DB9D7C7" w14:textId="77777777" w:rsidR="00F46306" w:rsidRPr="00C9666A" w:rsidRDefault="00F46306" w:rsidP="00D92DEF">
            <w:pPr>
              <w:spacing w:after="0"/>
              <w:jc w:val="center"/>
              <w:rPr>
                <w:rFonts w:ascii="Arial" w:eastAsia="Times New Roman" w:hAnsi="Arial" w:cs="Arial"/>
                <w:color w:val="000000"/>
                <w:sz w:val="16"/>
                <w:szCs w:val="16"/>
                <w:lang w:eastAsia="es-MX"/>
              </w:rPr>
            </w:pPr>
          </w:p>
        </w:tc>
        <w:tc>
          <w:tcPr>
            <w:tcW w:w="815" w:type="dxa"/>
            <w:shd w:val="clear" w:color="auto" w:fill="D9D9D9" w:themeFill="background1" w:themeFillShade="D9"/>
            <w:vAlign w:val="center"/>
            <w:hideMark/>
          </w:tcPr>
          <w:p w14:paraId="2D97B860" w14:textId="77777777" w:rsidR="00F46306" w:rsidRPr="00C9666A" w:rsidRDefault="00A926E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&gt;2500</w:t>
            </w:r>
            <w:r w:rsidR="00F46306" w:rsidRPr="00C9666A">
              <w:rPr>
                <w:rFonts w:ascii="Arial" w:eastAsia="Times New Roman" w:hAnsi="Arial" w:cs="Arial"/>
                <w:color w:val="000000"/>
                <w:sz w:val="16"/>
                <w:szCs w:val="16"/>
                <w:lang w:eastAsia="es-MX"/>
              </w:rPr>
              <w:t> </w:t>
            </w:r>
          </w:p>
        </w:tc>
        <w:tc>
          <w:tcPr>
            <w:tcW w:w="627" w:type="dxa"/>
            <w:shd w:val="clear" w:color="auto" w:fill="D9D9D9" w:themeFill="background1" w:themeFillShade="D9"/>
            <w:vAlign w:val="center"/>
            <w:hideMark/>
          </w:tcPr>
          <w:p w14:paraId="3088FCDF"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shd w:val="clear" w:color="auto" w:fill="D9D9D9" w:themeFill="background1" w:themeFillShade="D9"/>
            <w:vAlign w:val="center"/>
          </w:tcPr>
          <w:p w14:paraId="1259B355"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No se autoriza</w:t>
            </w:r>
          </w:p>
        </w:tc>
        <w:tc>
          <w:tcPr>
            <w:tcW w:w="1013" w:type="dxa"/>
            <w:shd w:val="clear" w:color="auto" w:fill="D9D9D9" w:themeFill="background1" w:themeFillShade="D9"/>
            <w:vAlign w:val="center"/>
          </w:tcPr>
          <w:p w14:paraId="16417FD3" w14:textId="77777777" w:rsidR="00F46306" w:rsidRPr="00C9666A" w:rsidRDefault="00F46306" w:rsidP="00D92DEF">
            <w:pPr>
              <w:spacing w:after="0"/>
              <w:jc w:val="right"/>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30/11/2000</w:t>
            </w:r>
          </w:p>
        </w:tc>
      </w:tr>
      <w:tr w:rsidR="00F46306" w:rsidRPr="00C9666A" w14:paraId="1E346971" w14:textId="77777777" w:rsidTr="00D92DEF">
        <w:trPr>
          <w:trHeight w:val="20"/>
          <w:jc w:val="center"/>
        </w:trPr>
        <w:tc>
          <w:tcPr>
            <w:tcW w:w="2668" w:type="dxa"/>
            <w:shd w:val="clear" w:color="auto" w:fill="A6A6A6" w:themeFill="background1" w:themeFillShade="A6"/>
            <w:vAlign w:val="center"/>
          </w:tcPr>
          <w:p w14:paraId="25532FF8"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Corporativo Vasco de Quiroga, S.A. de C.V., Grupo Televisa, S.A. y Televisión Internacional, S.A. de C.V.</w:t>
            </w:r>
          </w:p>
        </w:tc>
        <w:tc>
          <w:tcPr>
            <w:tcW w:w="1836" w:type="dxa"/>
            <w:shd w:val="clear" w:color="auto" w:fill="A6A6A6" w:themeFill="background1" w:themeFillShade="A6"/>
            <w:vAlign w:val="center"/>
          </w:tcPr>
          <w:p w14:paraId="03640F4B"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TV restringida</w:t>
            </w:r>
          </w:p>
        </w:tc>
        <w:tc>
          <w:tcPr>
            <w:tcW w:w="1422" w:type="dxa"/>
            <w:shd w:val="clear" w:color="auto" w:fill="A6A6A6" w:themeFill="background1" w:themeFillShade="A6"/>
            <w:vAlign w:val="center"/>
            <w:hideMark/>
          </w:tcPr>
          <w:p w14:paraId="30AB6DB0" w14:textId="77777777" w:rsidR="00F46306" w:rsidRPr="00C9666A" w:rsidRDefault="00FC6C4E"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B9BD0AE"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3,502</w:t>
            </w:r>
          </w:p>
        </w:tc>
        <w:tc>
          <w:tcPr>
            <w:tcW w:w="815" w:type="dxa"/>
            <w:shd w:val="clear" w:color="auto" w:fill="A6A6A6" w:themeFill="background1" w:themeFillShade="A6"/>
            <w:vAlign w:val="center"/>
            <w:hideMark/>
          </w:tcPr>
          <w:p w14:paraId="63A17196"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5,226</w:t>
            </w:r>
          </w:p>
        </w:tc>
        <w:tc>
          <w:tcPr>
            <w:tcW w:w="651" w:type="dxa"/>
            <w:shd w:val="clear" w:color="auto" w:fill="A6A6A6" w:themeFill="background1" w:themeFillShade="A6"/>
            <w:vAlign w:val="center"/>
            <w:hideMark/>
          </w:tcPr>
          <w:p w14:paraId="438F612E"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1,724</w:t>
            </w:r>
          </w:p>
        </w:tc>
        <w:tc>
          <w:tcPr>
            <w:tcW w:w="770" w:type="dxa"/>
            <w:shd w:val="clear" w:color="auto" w:fill="A6A6A6" w:themeFill="background1" w:themeFillShade="A6"/>
            <w:vAlign w:val="center"/>
            <w:hideMark/>
          </w:tcPr>
          <w:p w14:paraId="6E900BCF"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4,518</w:t>
            </w:r>
          </w:p>
        </w:tc>
        <w:tc>
          <w:tcPr>
            <w:tcW w:w="815" w:type="dxa"/>
            <w:shd w:val="clear" w:color="auto" w:fill="A6A6A6" w:themeFill="background1" w:themeFillShade="A6"/>
            <w:vAlign w:val="center"/>
            <w:hideMark/>
          </w:tcPr>
          <w:p w14:paraId="2721E5D5"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6,719</w:t>
            </w:r>
          </w:p>
        </w:tc>
        <w:tc>
          <w:tcPr>
            <w:tcW w:w="627" w:type="dxa"/>
            <w:shd w:val="clear" w:color="auto" w:fill="A6A6A6" w:themeFill="background1" w:themeFillShade="A6"/>
            <w:vAlign w:val="center"/>
            <w:hideMark/>
          </w:tcPr>
          <w:p w14:paraId="5A7AE9EE"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2,201</w:t>
            </w:r>
          </w:p>
        </w:tc>
        <w:tc>
          <w:tcPr>
            <w:tcW w:w="1460" w:type="dxa"/>
            <w:shd w:val="clear" w:color="auto" w:fill="A6A6A6" w:themeFill="background1" w:themeFillShade="A6"/>
            <w:vAlign w:val="center"/>
          </w:tcPr>
          <w:p w14:paraId="386D293A"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Se autoriza </w:t>
            </w:r>
            <w:r w:rsidR="0018605B" w:rsidRPr="00C9666A">
              <w:rPr>
                <w:rFonts w:ascii="Arial" w:eastAsia="Times New Roman" w:hAnsi="Arial" w:cs="Arial"/>
                <w:color w:val="000000"/>
                <w:sz w:val="16"/>
                <w:szCs w:val="16"/>
                <w:lang w:eastAsia="es-MX"/>
              </w:rPr>
              <w:t>sujeto a</w:t>
            </w:r>
            <w:r w:rsidRPr="00C9666A">
              <w:rPr>
                <w:rFonts w:ascii="Arial" w:eastAsia="Times New Roman" w:hAnsi="Arial" w:cs="Arial"/>
                <w:color w:val="000000"/>
                <w:sz w:val="16"/>
                <w:szCs w:val="16"/>
                <w:lang w:eastAsia="es-MX"/>
              </w:rPr>
              <w:t xml:space="preserve"> condiciones</w:t>
            </w:r>
          </w:p>
        </w:tc>
        <w:tc>
          <w:tcPr>
            <w:tcW w:w="1013" w:type="dxa"/>
            <w:shd w:val="clear" w:color="auto" w:fill="A6A6A6" w:themeFill="background1" w:themeFillShade="A6"/>
            <w:vAlign w:val="center"/>
          </w:tcPr>
          <w:p w14:paraId="4ED360C6" w14:textId="77777777" w:rsidR="00F46306" w:rsidRPr="00C9666A" w:rsidRDefault="00F46306" w:rsidP="00D92DEF">
            <w:pPr>
              <w:spacing w:after="0"/>
              <w:jc w:val="right"/>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28/09/2006</w:t>
            </w:r>
          </w:p>
        </w:tc>
      </w:tr>
      <w:tr w:rsidR="00F46306" w:rsidRPr="00C9666A" w14:paraId="31CACE49" w14:textId="77777777" w:rsidTr="00D92DEF">
        <w:trPr>
          <w:trHeight w:val="20"/>
          <w:jc w:val="center"/>
        </w:trPr>
        <w:tc>
          <w:tcPr>
            <w:tcW w:w="2668" w:type="dxa"/>
            <w:shd w:val="clear" w:color="auto" w:fill="D9D9D9" w:themeFill="background1" w:themeFillShade="D9"/>
            <w:vAlign w:val="center"/>
          </w:tcPr>
          <w:p w14:paraId="5BBDE1E6"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Corporativo Vasco de Quiroga, S.A. de C.V., Grupo Televisa, S.A. y Televisión Internacional, S.A. de C.V.</w:t>
            </w:r>
          </w:p>
        </w:tc>
        <w:tc>
          <w:tcPr>
            <w:tcW w:w="1836" w:type="dxa"/>
            <w:shd w:val="clear" w:color="auto" w:fill="D9D9D9" w:themeFill="background1" w:themeFillShade="D9"/>
            <w:vAlign w:val="center"/>
          </w:tcPr>
          <w:p w14:paraId="1E902A32" w14:textId="77777777"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Acceso a Internet Fijo</w:t>
            </w:r>
          </w:p>
        </w:tc>
        <w:tc>
          <w:tcPr>
            <w:tcW w:w="1422" w:type="dxa"/>
            <w:shd w:val="clear" w:color="auto" w:fill="D9D9D9" w:themeFill="background1" w:themeFillShade="D9"/>
            <w:vAlign w:val="center"/>
            <w:hideMark/>
          </w:tcPr>
          <w:p w14:paraId="1BAF7A63" w14:textId="77777777" w:rsidR="00F46306" w:rsidRPr="00C9666A" w:rsidRDefault="00A926E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r w:rsidR="000B1B06" w:rsidRPr="00C9666A">
              <w:rPr>
                <w:rFonts w:ascii="Arial" w:eastAsia="Times New Roman" w:hAnsi="Arial" w:cs="Arial"/>
                <w:color w:val="000000"/>
                <w:sz w:val="16"/>
                <w:szCs w:val="16"/>
                <w:lang w:eastAsia="es-MX"/>
              </w:rPr>
              <w:t xml:space="preserve"> </w:t>
            </w:r>
          </w:p>
        </w:tc>
        <w:tc>
          <w:tcPr>
            <w:tcW w:w="1104" w:type="dxa"/>
            <w:shd w:val="clear" w:color="auto" w:fill="D9D9D9" w:themeFill="background1" w:themeFillShade="D9"/>
            <w:vAlign w:val="center"/>
            <w:hideMark/>
          </w:tcPr>
          <w:p w14:paraId="35F6E09D"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D9D9D9" w:themeFill="background1" w:themeFillShade="D9"/>
            <w:vAlign w:val="center"/>
            <w:hideMark/>
          </w:tcPr>
          <w:p w14:paraId="5B13A6CC"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51" w:type="dxa"/>
            <w:shd w:val="clear" w:color="auto" w:fill="D9D9D9" w:themeFill="background1" w:themeFillShade="D9"/>
            <w:vAlign w:val="center"/>
            <w:hideMark/>
          </w:tcPr>
          <w:p w14:paraId="1BF2D00E"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770" w:type="dxa"/>
            <w:shd w:val="clear" w:color="auto" w:fill="D9D9D9" w:themeFill="background1" w:themeFillShade="D9"/>
            <w:vAlign w:val="center"/>
            <w:hideMark/>
          </w:tcPr>
          <w:p w14:paraId="4D246ACC"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D9D9D9" w:themeFill="background1" w:themeFillShade="D9"/>
            <w:vAlign w:val="center"/>
            <w:hideMark/>
          </w:tcPr>
          <w:p w14:paraId="0921F96B"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27" w:type="dxa"/>
            <w:shd w:val="clear" w:color="auto" w:fill="D9D9D9" w:themeFill="background1" w:themeFillShade="D9"/>
            <w:vAlign w:val="center"/>
            <w:hideMark/>
          </w:tcPr>
          <w:p w14:paraId="776A2129" w14:textId="77777777" w:rsidR="00F46306" w:rsidRPr="00C9666A" w:rsidRDefault="00F463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shd w:val="clear" w:color="auto" w:fill="D9D9D9" w:themeFill="background1" w:themeFillShade="D9"/>
            <w:vAlign w:val="center"/>
          </w:tcPr>
          <w:p w14:paraId="3D8710F0" w14:textId="1503616F" w:rsidR="00F46306" w:rsidRPr="00C9666A" w:rsidRDefault="00F463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Se autoriza </w:t>
            </w:r>
            <w:r w:rsidR="0018605B" w:rsidRPr="00C9666A">
              <w:rPr>
                <w:rFonts w:ascii="Arial" w:eastAsia="Times New Roman" w:hAnsi="Arial" w:cs="Arial"/>
                <w:color w:val="000000"/>
                <w:sz w:val="16"/>
                <w:szCs w:val="16"/>
                <w:lang w:eastAsia="es-MX"/>
              </w:rPr>
              <w:t xml:space="preserve">sujeto a </w:t>
            </w:r>
            <w:r w:rsidRPr="00C9666A">
              <w:rPr>
                <w:rFonts w:ascii="Arial" w:eastAsia="Times New Roman" w:hAnsi="Arial" w:cs="Arial"/>
                <w:color w:val="000000"/>
                <w:sz w:val="16"/>
                <w:szCs w:val="16"/>
                <w:lang w:eastAsia="es-MX"/>
              </w:rPr>
              <w:t>condiciones</w:t>
            </w:r>
          </w:p>
        </w:tc>
        <w:tc>
          <w:tcPr>
            <w:tcW w:w="1013" w:type="dxa"/>
            <w:shd w:val="clear" w:color="auto" w:fill="D9D9D9" w:themeFill="background1" w:themeFillShade="D9"/>
            <w:vAlign w:val="center"/>
          </w:tcPr>
          <w:p w14:paraId="01A1A886" w14:textId="77777777" w:rsidR="00F46306" w:rsidRPr="00C9666A" w:rsidRDefault="00F46306" w:rsidP="00D92DEF">
            <w:pPr>
              <w:spacing w:after="0"/>
              <w:jc w:val="right"/>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28/09/2006</w:t>
            </w:r>
          </w:p>
        </w:tc>
      </w:tr>
      <w:tr w:rsidR="0018605B" w:rsidRPr="00C9666A" w14:paraId="0C5602F7" w14:textId="77777777" w:rsidTr="00D92DEF">
        <w:trPr>
          <w:trHeight w:val="20"/>
          <w:jc w:val="center"/>
        </w:trPr>
        <w:tc>
          <w:tcPr>
            <w:tcW w:w="2668" w:type="dxa"/>
            <w:vMerge w:val="restart"/>
            <w:shd w:val="clear" w:color="auto" w:fill="A6A6A6" w:themeFill="background1" w:themeFillShade="A6"/>
            <w:vAlign w:val="center"/>
          </w:tcPr>
          <w:p w14:paraId="4C588370"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PAXIA, S.A. de C.V., Grupo Televisa, S.A.B. y Cablemás, S.A. de C.V.</w:t>
            </w:r>
          </w:p>
          <w:p w14:paraId="7AB73883"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1FFF36C"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32A5D90"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7B54234B"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5DAE71C"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19E1088C"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911A17F"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46D7FA4"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57C6B61B"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7D45097D"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5C89FEE3"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5043BAF"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7E726DA8"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06E5B202"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4EAA076"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81AAF60"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2C6CDEB"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FD67442"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136D12F"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4F03BD4F"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5D82533E"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BC05FAA"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4E22FD69"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F607A57"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342233D"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B4EA783"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537D29F3"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03BF358F"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5976601A"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2D51A548"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303E7AD9" w14:textId="77777777" w:rsidR="0018605B" w:rsidRPr="00C9666A" w:rsidRDefault="0018605B" w:rsidP="00D92DEF">
            <w:pPr>
              <w:spacing w:after="0"/>
              <w:jc w:val="center"/>
              <w:rPr>
                <w:rFonts w:ascii="Arial" w:eastAsia="Times New Roman" w:hAnsi="Arial" w:cs="Arial"/>
                <w:color w:val="000000"/>
                <w:sz w:val="16"/>
                <w:szCs w:val="16"/>
                <w:lang w:eastAsia="es-MX"/>
              </w:rPr>
            </w:pPr>
          </w:p>
          <w:p w14:paraId="67FB9971" w14:textId="77777777" w:rsidR="0018605B" w:rsidRPr="00C9666A" w:rsidRDefault="0018605B" w:rsidP="00D92DEF">
            <w:pPr>
              <w:spacing w:after="0"/>
              <w:jc w:val="center"/>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3A3A703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TV restringida</w:t>
            </w:r>
          </w:p>
        </w:tc>
        <w:tc>
          <w:tcPr>
            <w:tcW w:w="1422" w:type="dxa"/>
            <w:shd w:val="clear" w:color="auto" w:fill="A6A6A6" w:themeFill="background1" w:themeFillShade="A6"/>
            <w:vAlign w:val="center"/>
          </w:tcPr>
          <w:p w14:paraId="6EF105D0" w14:textId="77777777" w:rsidR="0018605B" w:rsidRPr="00C9666A" w:rsidRDefault="0018605B" w:rsidP="00D92DEF">
            <w:pPr>
              <w:spacing w:after="0"/>
              <w:jc w:val="center"/>
              <w:rPr>
                <w:rFonts w:ascii="Arial" w:eastAsia="Times New Roman" w:hAnsi="Arial" w:cs="Arial"/>
                <w:color w:val="000000"/>
                <w:sz w:val="16"/>
                <w:szCs w:val="16"/>
                <w:lang w:eastAsia="es-MX"/>
              </w:rPr>
            </w:pPr>
          </w:p>
        </w:tc>
        <w:tc>
          <w:tcPr>
            <w:tcW w:w="1104" w:type="dxa"/>
            <w:shd w:val="clear" w:color="auto" w:fill="A6A6A6" w:themeFill="background1" w:themeFillShade="A6"/>
            <w:vAlign w:val="center"/>
            <w:hideMark/>
          </w:tcPr>
          <w:p w14:paraId="2F78F01A" w14:textId="77777777" w:rsidR="0018605B" w:rsidRPr="00C9666A" w:rsidRDefault="0018605B" w:rsidP="00D92DEF">
            <w:pPr>
              <w:spacing w:after="0"/>
              <w:jc w:val="center"/>
              <w:rPr>
                <w:rFonts w:ascii="Arial" w:eastAsia="Times New Roman" w:hAnsi="Arial" w:cs="Arial"/>
                <w:color w:val="FF0000"/>
                <w:sz w:val="16"/>
                <w:szCs w:val="16"/>
                <w:lang w:eastAsia="es-MX"/>
              </w:rPr>
            </w:pPr>
            <w:r w:rsidRPr="00C9666A">
              <w:rPr>
                <w:rFonts w:ascii="Arial" w:eastAsia="Times New Roman" w:hAnsi="Arial" w:cs="Arial"/>
                <w:color w:val="FF0000"/>
                <w:sz w:val="16"/>
                <w:szCs w:val="16"/>
                <w:lang w:eastAsia="es-MX"/>
              </w:rPr>
              <w:t> </w:t>
            </w:r>
          </w:p>
        </w:tc>
        <w:tc>
          <w:tcPr>
            <w:tcW w:w="815" w:type="dxa"/>
            <w:shd w:val="clear" w:color="auto" w:fill="A6A6A6" w:themeFill="background1" w:themeFillShade="A6"/>
            <w:vAlign w:val="center"/>
            <w:hideMark/>
          </w:tcPr>
          <w:p w14:paraId="4D9FF2E1" w14:textId="77777777" w:rsidR="0018605B" w:rsidRPr="00C9666A" w:rsidRDefault="0018605B"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51" w:type="dxa"/>
            <w:shd w:val="clear" w:color="auto" w:fill="A6A6A6" w:themeFill="background1" w:themeFillShade="A6"/>
            <w:vAlign w:val="center"/>
            <w:hideMark/>
          </w:tcPr>
          <w:p w14:paraId="0C358EFD" w14:textId="77777777" w:rsidR="0018605B" w:rsidRPr="00C9666A" w:rsidRDefault="0018605B"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770" w:type="dxa"/>
            <w:shd w:val="clear" w:color="auto" w:fill="A6A6A6" w:themeFill="background1" w:themeFillShade="A6"/>
            <w:vAlign w:val="center"/>
            <w:hideMark/>
          </w:tcPr>
          <w:p w14:paraId="7DBB2CF0" w14:textId="77777777" w:rsidR="0018605B" w:rsidRPr="00C9666A" w:rsidRDefault="0018605B"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10B7F9C3" w14:textId="77777777" w:rsidR="0018605B" w:rsidRPr="00C9666A" w:rsidRDefault="0018605B"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27" w:type="dxa"/>
            <w:shd w:val="clear" w:color="auto" w:fill="A6A6A6" w:themeFill="background1" w:themeFillShade="A6"/>
            <w:vAlign w:val="center"/>
            <w:hideMark/>
          </w:tcPr>
          <w:p w14:paraId="7CF56A01" w14:textId="77777777" w:rsidR="0018605B" w:rsidRPr="00C9666A" w:rsidRDefault="0018605B"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vMerge w:val="restart"/>
            <w:shd w:val="clear" w:color="auto" w:fill="A6A6A6" w:themeFill="background1" w:themeFillShade="A6"/>
            <w:vAlign w:val="center"/>
          </w:tcPr>
          <w:p w14:paraId="6DF0A318"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 sujeto a condiciones</w:t>
            </w:r>
          </w:p>
          <w:p w14:paraId="43ADBDF0"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B5C8184"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6E1A349"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941E49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FEB29C2"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BADB417"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01E2D48A"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600611C"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079A6B1C"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A0BC5F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0B7A3A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00DF33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239667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F1DC8D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4AF9EF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0739F3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EB0B1B7"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B9E890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BFCB42E"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899173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41D406C"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13D5118"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85CC1B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9813618"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D0506AB"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4DDA0B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56A869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 </w:t>
            </w:r>
          </w:p>
          <w:p w14:paraId="52B9EBA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1914FB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EACCDB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65DC1D2"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5E1805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013" w:type="dxa"/>
            <w:vMerge w:val="restart"/>
            <w:shd w:val="clear" w:color="auto" w:fill="A6A6A6" w:themeFill="background1" w:themeFillShade="A6"/>
            <w:vAlign w:val="center"/>
          </w:tcPr>
          <w:p w14:paraId="070638EB" w14:textId="77777777" w:rsidR="0018605B" w:rsidRPr="00C9666A" w:rsidRDefault="0018605B" w:rsidP="00D92DEF">
            <w:pPr>
              <w:spacing w:after="0"/>
              <w:jc w:val="right"/>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08/08/2007</w:t>
            </w:r>
          </w:p>
          <w:p w14:paraId="14C24DA4"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D293DE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237CE82"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1FA2F1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5EE35DE"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E95405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ED145E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D72BCA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5BC2C8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F0448F8"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27058D0"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0B0C142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96F02C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2CA4C8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05E5E442"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5F7260F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1FEA4EB"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109A642"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A3C187A"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E83ECBD"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61E087F"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6938B119"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3EEEF86E"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0BD6076"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2C2A7A2B"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749D7B4A"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588FC483"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E72AE88"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 </w:t>
            </w:r>
          </w:p>
          <w:p w14:paraId="309E6230"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729898E"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1F8ED651"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p w14:paraId="45C0B113" w14:textId="77777777" w:rsidR="0018605B" w:rsidRPr="00C9666A" w:rsidRDefault="0018605B"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r>
      <w:tr w:rsidR="000B1B06" w:rsidRPr="00C9666A" w14:paraId="4356BDBA" w14:textId="77777777" w:rsidTr="00D92DEF">
        <w:trPr>
          <w:trHeight w:val="20"/>
          <w:jc w:val="center"/>
        </w:trPr>
        <w:tc>
          <w:tcPr>
            <w:tcW w:w="2668" w:type="dxa"/>
            <w:vMerge/>
            <w:shd w:val="clear" w:color="auto" w:fill="A6A6A6" w:themeFill="background1" w:themeFillShade="A6"/>
            <w:vAlign w:val="center"/>
          </w:tcPr>
          <w:p w14:paraId="5ABC8822"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0DBF685B"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Ensenada</w:t>
            </w:r>
          </w:p>
        </w:tc>
        <w:tc>
          <w:tcPr>
            <w:tcW w:w="1422" w:type="dxa"/>
            <w:shd w:val="clear" w:color="auto" w:fill="A6A6A6" w:themeFill="background1" w:themeFillShade="A6"/>
          </w:tcPr>
          <w:p w14:paraId="03132309"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1033B7A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6,259</w:t>
            </w:r>
          </w:p>
        </w:tc>
        <w:tc>
          <w:tcPr>
            <w:tcW w:w="815" w:type="dxa"/>
            <w:shd w:val="clear" w:color="auto" w:fill="A6A6A6" w:themeFill="background1" w:themeFillShade="A6"/>
            <w:vAlign w:val="center"/>
            <w:hideMark/>
          </w:tcPr>
          <w:p w14:paraId="2B1A7CE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9,895</w:t>
            </w:r>
          </w:p>
        </w:tc>
        <w:tc>
          <w:tcPr>
            <w:tcW w:w="651" w:type="dxa"/>
            <w:shd w:val="clear" w:color="auto" w:fill="A6A6A6" w:themeFill="background1" w:themeFillShade="A6"/>
            <w:vAlign w:val="center"/>
            <w:hideMark/>
          </w:tcPr>
          <w:p w14:paraId="3235BF7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3,636</w:t>
            </w:r>
          </w:p>
        </w:tc>
        <w:tc>
          <w:tcPr>
            <w:tcW w:w="770" w:type="dxa"/>
            <w:shd w:val="clear" w:color="auto" w:fill="A6A6A6" w:themeFill="background1" w:themeFillShade="A6"/>
            <w:vAlign w:val="center"/>
            <w:hideMark/>
          </w:tcPr>
          <w:p w14:paraId="52FE4DF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8,311</w:t>
            </w:r>
          </w:p>
        </w:tc>
        <w:tc>
          <w:tcPr>
            <w:tcW w:w="815" w:type="dxa"/>
            <w:shd w:val="clear" w:color="auto" w:fill="A6A6A6" w:themeFill="background1" w:themeFillShade="A6"/>
            <w:vAlign w:val="center"/>
            <w:hideMark/>
          </w:tcPr>
          <w:p w14:paraId="010280A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9,999</w:t>
            </w:r>
          </w:p>
        </w:tc>
        <w:tc>
          <w:tcPr>
            <w:tcW w:w="627" w:type="dxa"/>
            <w:shd w:val="clear" w:color="auto" w:fill="A6A6A6" w:themeFill="background1" w:themeFillShade="A6"/>
            <w:vAlign w:val="center"/>
            <w:hideMark/>
          </w:tcPr>
          <w:p w14:paraId="580E8B2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1,688</w:t>
            </w:r>
          </w:p>
        </w:tc>
        <w:tc>
          <w:tcPr>
            <w:tcW w:w="1460" w:type="dxa"/>
            <w:vMerge/>
            <w:shd w:val="clear" w:color="auto" w:fill="A6A6A6" w:themeFill="background1" w:themeFillShade="A6"/>
            <w:vAlign w:val="center"/>
          </w:tcPr>
          <w:p w14:paraId="40FCC350"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3BDDB432"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379E3885" w14:textId="77777777" w:rsidTr="00D92DEF">
        <w:trPr>
          <w:trHeight w:val="20"/>
          <w:jc w:val="center"/>
        </w:trPr>
        <w:tc>
          <w:tcPr>
            <w:tcW w:w="2668" w:type="dxa"/>
            <w:vMerge/>
            <w:shd w:val="clear" w:color="auto" w:fill="A6A6A6" w:themeFill="background1" w:themeFillShade="A6"/>
            <w:vAlign w:val="center"/>
          </w:tcPr>
          <w:p w14:paraId="71B9610F"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FCD6A2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Mexicali</w:t>
            </w:r>
          </w:p>
        </w:tc>
        <w:tc>
          <w:tcPr>
            <w:tcW w:w="1422" w:type="dxa"/>
            <w:shd w:val="clear" w:color="auto" w:fill="A6A6A6" w:themeFill="background1" w:themeFillShade="A6"/>
          </w:tcPr>
          <w:p w14:paraId="366DE449"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0DB8C1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5,863</w:t>
            </w:r>
          </w:p>
        </w:tc>
        <w:tc>
          <w:tcPr>
            <w:tcW w:w="815" w:type="dxa"/>
            <w:shd w:val="clear" w:color="auto" w:fill="A6A6A6" w:themeFill="background1" w:themeFillShade="A6"/>
            <w:vAlign w:val="center"/>
            <w:hideMark/>
          </w:tcPr>
          <w:p w14:paraId="7199A0A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9,996</w:t>
            </w:r>
          </w:p>
        </w:tc>
        <w:tc>
          <w:tcPr>
            <w:tcW w:w="651" w:type="dxa"/>
            <w:shd w:val="clear" w:color="auto" w:fill="A6A6A6" w:themeFill="background1" w:themeFillShade="A6"/>
            <w:vAlign w:val="center"/>
            <w:hideMark/>
          </w:tcPr>
          <w:p w14:paraId="2DB4E1C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4,134</w:t>
            </w:r>
          </w:p>
        </w:tc>
        <w:tc>
          <w:tcPr>
            <w:tcW w:w="770" w:type="dxa"/>
            <w:shd w:val="clear" w:color="auto" w:fill="A6A6A6" w:themeFill="background1" w:themeFillShade="A6"/>
            <w:vAlign w:val="center"/>
            <w:hideMark/>
          </w:tcPr>
          <w:p w14:paraId="0F46C20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7,515</w:t>
            </w:r>
          </w:p>
        </w:tc>
        <w:tc>
          <w:tcPr>
            <w:tcW w:w="815" w:type="dxa"/>
            <w:shd w:val="clear" w:color="auto" w:fill="A6A6A6" w:themeFill="background1" w:themeFillShade="A6"/>
            <w:vAlign w:val="center"/>
            <w:hideMark/>
          </w:tcPr>
          <w:p w14:paraId="288D35A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4C4FC4E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2,485</w:t>
            </w:r>
          </w:p>
        </w:tc>
        <w:tc>
          <w:tcPr>
            <w:tcW w:w="1460" w:type="dxa"/>
            <w:vMerge/>
            <w:shd w:val="clear" w:color="auto" w:fill="A6A6A6" w:themeFill="background1" w:themeFillShade="A6"/>
            <w:vAlign w:val="center"/>
          </w:tcPr>
          <w:p w14:paraId="2B4169BF"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07829517"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41D46CA3" w14:textId="77777777" w:rsidTr="00D92DEF">
        <w:trPr>
          <w:trHeight w:val="20"/>
          <w:jc w:val="center"/>
        </w:trPr>
        <w:tc>
          <w:tcPr>
            <w:tcW w:w="2668" w:type="dxa"/>
            <w:vMerge/>
            <w:shd w:val="clear" w:color="auto" w:fill="A6A6A6" w:themeFill="background1" w:themeFillShade="A6"/>
            <w:vAlign w:val="center"/>
          </w:tcPr>
          <w:p w14:paraId="4BEB23C0"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16C76A00"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Tijuana</w:t>
            </w:r>
          </w:p>
        </w:tc>
        <w:tc>
          <w:tcPr>
            <w:tcW w:w="1422" w:type="dxa"/>
            <w:shd w:val="clear" w:color="auto" w:fill="A6A6A6" w:themeFill="background1" w:themeFillShade="A6"/>
          </w:tcPr>
          <w:p w14:paraId="7B3A2F07"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022B261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5,602</w:t>
            </w:r>
          </w:p>
        </w:tc>
        <w:tc>
          <w:tcPr>
            <w:tcW w:w="815" w:type="dxa"/>
            <w:shd w:val="clear" w:color="auto" w:fill="A6A6A6" w:themeFill="background1" w:themeFillShade="A6"/>
            <w:vAlign w:val="center"/>
            <w:hideMark/>
          </w:tcPr>
          <w:p w14:paraId="4C62091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9,805</w:t>
            </w:r>
          </w:p>
        </w:tc>
        <w:tc>
          <w:tcPr>
            <w:tcW w:w="651" w:type="dxa"/>
            <w:shd w:val="clear" w:color="auto" w:fill="A6A6A6" w:themeFill="background1" w:themeFillShade="A6"/>
            <w:vAlign w:val="center"/>
            <w:hideMark/>
          </w:tcPr>
          <w:p w14:paraId="6802A58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4,203</w:t>
            </w:r>
          </w:p>
        </w:tc>
        <w:tc>
          <w:tcPr>
            <w:tcW w:w="770" w:type="dxa"/>
            <w:shd w:val="clear" w:color="auto" w:fill="A6A6A6" w:themeFill="background1" w:themeFillShade="A6"/>
            <w:vAlign w:val="center"/>
            <w:hideMark/>
          </w:tcPr>
          <w:p w14:paraId="4895CA9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7,183</w:t>
            </w:r>
          </w:p>
        </w:tc>
        <w:tc>
          <w:tcPr>
            <w:tcW w:w="815" w:type="dxa"/>
            <w:shd w:val="clear" w:color="auto" w:fill="A6A6A6" w:themeFill="background1" w:themeFillShade="A6"/>
            <w:vAlign w:val="center"/>
            <w:hideMark/>
          </w:tcPr>
          <w:p w14:paraId="35890D4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9,998</w:t>
            </w:r>
          </w:p>
        </w:tc>
        <w:tc>
          <w:tcPr>
            <w:tcW w:w="627" w:type="dxa"/>
            <w:shd w:val="clear" w:color="auto" w:fill="A6A6A6" w:themeFill="background1" w:themeFillShade="A6"/>
            <w:vAlign w:val="center"/>
            <w:hideMark/>
          </w:tcPr>
          <w:p w14:paraId="65CFD04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2,815</w:t>
            </w:r>
          </w:p>
        </w:tc>
        <w:tc>
          <w:tcPr>
            <w:tcW w:w="1460" w:type="dxa"/>
            <w:vMerge/>
            <w:shd w:val="clear" w:color="auto" w:fill="A6A6A6" w:themeFill="background1" w:themeFillShade="A6"/>
            <w:vAlign w:val="center"/>
          </w:tcPr>
          <w:p w14:paraId="70774D46"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BDC69D2"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CEDCF70" w14:textId="77777777" w:rsidTr="00D92DEF">
        <w:trPr>
          <w:trHeight w:val="20"/>
          <w:jc w:val="center"/>
        </w:trPr>
        <w:tc>
          <w:tcPr>
            <w:tcW w:w="2668" w:type="dxa"/>
            <w:vMerge/>
            <w:shd w:val="clear" w:color="auto" w:fill="A6A6A6" w:themeFill="background1" w:themeFillShade="A6"/>
            <w:vAlign w:val="center"/>
          </w:tcPr>
          <w:p w14:paraId="0D5890C5"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19B68A18"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Campeche</w:t>
            </w:r>
          </w:p>
        </w:tc>
        <w:tc>
          <w:tcPr>
            <w:tcW w:w="1422" w:type="dxa"/>
            <w:shd w:val="clear" w:color="auto" w:fill="A6A6A6" w:themeFill="background1" w:themeFillShade="A6"/>
          </w:tcPr>
          <w:p w14:paraId="0ADC7ADC"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7620FF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8,767</w:t>
            </w:r>
          </w:p>
        </w:tc>
        <w:tc>
          <w:tcPr>
            <w:tcW w:w="815" w:type="dxa"/>
            <w:shd w:val="clear" w:color="auto" w:fill="A6A6A6" w:themeFill="background1" w:themeFillShade="A6"/>
            <w:vAlign w:val="center"/>
            <w:hideMark/>
          </w:tcPr>
          <w:p w14:paraId="180BE3A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9,992</w:t>
            </w:r>
          </w:p>
        </w:tc>
        <w:tc>
          <w:tcPr>
            <w:tcW w:w="651" w:type="dxa"/>
            <w:shd w:val="clear" w:color="auto" w:fill="A6A6A6" w:themeFill="background1" w:themeFillShade="A6"/>
            <w:vAlign w:val="center"/>
            <w:hideMark/>
          </w:tcPr>
          <w:p w14:paraId="1B2964D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1,225</w:t>
            </w:r>
          </w:p>
        </w:tc>
        <w:tc>
          <w:tcPr>
            <w:tcW w:w="770" w:type="dxa"/>
            <w:shd w:val="clear" w:color="auto" w:fill="A6A6A6" w:themeFill="background1" w:themeFillShade="A6"/>
            <w:vAlign w:val="center"/>
            <w:hideMark/>
          </w:tcPr>
          <w:p w14:paraId="1E0E90E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9,902</w:t>
            </w:r>
          </w:p>
        </w:tc>
        <w:tc>
          <w:tcPr>
            <w:tcW w:w="815" w:type="dxa"/>
            <w:shd w:val="clear" w:color="auto" w:fill="A6A6A6" w:themeFill="background1" w:themeFillShade="A6"/>
            <w:vAlign w:val="center"/>
            <w:hideMark/>
          </w:tcPr>
          <w:p w14:paraId="2FD8DC7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D8F453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w:t>
            </w:r>
          </w:p>
        </w:tc>
        <w:tc>
          <w:tcPr>
            <w:tcW w:w="1460" w:type="dxa"/>
            <w:vMerge/>
            <w:shd w:val="clear" w:color="auto" w:fill="A6A6A6" w:themeFill="background1" w:themeFillShade="A6"/>
            <w:vAlign w:val="center"/>
          </w:tcPr>
          <w:p w14:paraId="6C5FCD82"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325BF5B4"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2032BFC2" w14:textId="77777777" w:rsidTr="00D92DEF">
        <w:trPr>
          <w:trHeight w:val="20"/>
          <w:jc w:val="center"/>
        </w:trPr>
        <w:tc>
          <w:tcPr>
            <w:tcW w:w="2668" w:type="dxa"/>
            <w:vMerge/>
            <w:shd w:val="clear" w:color="auto" w:fill="A6A6A6" w:themeFill="background1" w:themeFillShade="A6"/>
            <w:vAlign w:val="center"/>
          </w:tcPr>
          <w:p w14:paraId="1A3BB563"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7FAA4531"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Camargo</w:t>
            </w:r>
          </w:p>
        </w:tc>
        <w:tc>
          <w:tcPr>
            <w:tcW w:w="1422" w:type="dxa"/>
            <w:shd w:val="clear" w:color="auto" w:fill="A6A6A6" w:themeFill="background1" w:themeFillShade="A6"/>
          </w:tcPr>
          <w:p w14:paraId="422D6BC7"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38C784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8,788</w:t>
            </w:r>
          </w:p>
        </w:tc>
        <w:tc>
          <w:tcPr>
            <w:tcW w:w="815" w:type="dxa"/>
            <w:shd w:val="clear" w:color="auto" w:fill="A6A6A6" w:themeFill="background1" w:themeFillShade="A6"/>
            <w:vAlign w:val="center"/>
            <w:hideMark/>
          </w:tcPr>
          <w:p w14:paraId="1EEE099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2CF3A82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1,212</w:t>
            </w:r>
          </w:p>
        </w:tc>
        <w:tc>
          <w:tcPr>
            <w:tcW w:w="770" w:type="dxa"/>
            <w:shd w:val="clear" w:color="auto" w:fill="A6A6A6" w:themeFill="background1" w:themeFillShade="A6"/>
            <w:vAlign w:val="center"/>
            <w:hideMark/>
          </w:tcPr>
          <w:p w14:paraId="1A85902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9,905</w:t>
            </w:r>
          </w:p>
        </w:tc>
        <w:tc>
          <w:tcPr>
            <w:tcW w:w="815" w:type="dxa"/>
            <w:shd w:val="clear" w:color="auto" w:fill="A6A6A6" w:themeFill="background1" w:themeFillShade="A6"/>
            <w:vAlign w:val="center"/>
            <w:hideMark/>
          </w:tcPr>
          <w:p w14:paraId="10F8927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B17DF0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95</w:t>
            </w:r>
          </w:p>
        </w:tc>
        <w:tc>
          <w:tcPr>
            <w:tcW w:w="1460" w:type="dxa"/>
            <w:vMerge/>
            <w:shd w:val="clear" w:color="auto" w:fill="A6A6A6" w:themeFill="background1" w:themeFillShade="A6"/>
            <w:vAlign w:val="center"/>
          </w:tcPr>
          <w:p w14:paraId="4DD517A4"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02F8DC94"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70116F80" w14:textId="77777777" w:rsidTr="00D92DEF">
        <w:trPr>
          <w:trHeight w:val="20"/>
          <w:jc w:val="center"/>
        </w:trPr>
        <w:tc>
          <w:tcPr>
            <w:tcW w:w="2668" w:type="dxa"/>
            <w:vMerge/>
            <w:shd w:val="clear" w:color="auto" w:fill="A6A6A6" w:themeFill="background1" w:themeFillShade="A6"/>
            <w:vAlign w:val="center"/>
          </w:tcPr>
          <w:p w14:paraId="55F32C7A"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CFE1B3C"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Cd Juárez</w:t>
            </w:r>
          </w:p>
        </w:tc>
        <w:tc>
          <w:tcPr>
            <w:tcW w:w="1422" w:type="dxa"/>
            <w:shd w:val="clear" w:color="auto" w:fill="A6A6A6" w:themeFill="background1" w:themeFillShade="A6"/>
          </w:tcPr>
          <w:p w14:paraId="6B67C19C"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067B5E6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5,278</w:t>
            </w:r>
          </w:p>
        </w:tc>
        <w:tc>
          <w:tcPr>
            <w:tcW w:w="815" w:type="dxa"/>
            <w:shd w:val="clear" w:color="auto" w:fill="A6A6A6" w:themeFill="background1" w:themeFillShade="A6"/>
            <w:vAlign w:val="center"/>
            <w:hideMark/>
          </w:tcPr>
          <w:p w14:paraId="45E1827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6,451</w:t>
            </w:r>
          </w:p>
        </w:tc>
        <w:tc>
          <w:tcPr>
            <w:tcW w:w="651" w:type="dxa"/>
            <w:shd w:val="clear" w:color="auto" w:fill="A6A6A6" w:themeFill="background1" w:themeFillShade="A6"/>
            <w:vAlign w:val="center"/>
            <w:hideMark/>
          </w:tcPr>
          <w:p w14:paraId="7755E78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1,173</w:t>
            </w:r>
          </w:p>
        </w:tc>
        <w:tc>
          <w:tcPr>
            <w:tcW w:w="770" w:type="dxa"/>
            <w:shd w:val="clear" w:color="auto" w:fill="A6A6A6" w:themeFill="background1" w:themeFillShade="A6"/>
            <w:vAlign w:val="center"/>
            <w:hideMark/>
          </w:tcPr>
          <w:p w14:paraId="35A085B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7,940</w:t>
            </w:r>
          </w:p>
        </w:tc>
        <w:tc>
          <w:tcPr>
            <w:tcW w:w="815" w:type="dxa"/>
            <w:shd w:val="clear" w:color="auto" w:fill="A6A6A6" w:themeFill="background1" w:themeFillShade="A6"/>
            <w:vAlign w:val="center"/>
            <w:hideMark/>
          </w:tcPr>
          <w:p w14:paraId="6A362BD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8,487</w:t>
            </w:r>
          </w:p>
        </w:tc>
        <w:tc>
          <w:tcPr>
            <w:tcW w:w="627" w:type="dxa"/>
            <w:shd w:val="clear" w:color="auto" w:fill="A6A6A6" w:themeFill="background1" w:themeFillShade="A6"/>
            <w:vAlign w:val="center"/>
            <w:hideMark/>
          </w:tcPr>
          <w:p w14:paraId="3B3DEFE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546</w:t>
            </w:r>
          </w:p>
        </w:tc>
        <w:tc>
          <w:tcPr>
            <w:tcW w:w="1460" w:type="dxa"/>
            <w:vMerge/>
            <w:shd w:val="clear" w:color="auto" w:fill="A6A6A6" w:themeFill="background1" w:themeFillShade="A6"/>
            <w:vAlign w:val="center"/>
          </w:tcPr>
          <w:p w14:paraId="5229BF0B"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692FD70"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5DC1B93" w14:textId="77777777" w:rsidTr="00D92DEF">
        <w:trPr>
          <w:trHeight w:val="20"/>
          <w:jc w:val="center"/>
        </w:trPr>
        <w:tc>
          <w:tcPr>
            <w:tcW w:w="2668" w:type="dxa"/>
            <w:vMerge/>
            <w:shd w:val="clear" w:color="auto" w:fill="A6A6A6" w:themeFill="background1" w:themeFillShade="A6"/>
            <w:vAlign w:val="center"/>
          </w:tcPr>
          <w:p w14:paraId="67EF7C15"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97811C2" w14:textId="77777777" w:rsidR="000B1B06" w:rsidRPr="00C9666A" w:rsidRDefault="000B1B06" w:rsidP="00D92DEF">
            <w:pPr>
              <w:spacing w:after="0"/>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Cuauhtemoc</w:t>
            </w:r>
            <w:proofErr w:type="spellEnd"/>
          </w:p>
        </w:tc>
        <w:tc>
          <w:tcPr>
            <w:tcW w:w="1422" w:type="dxa"/>
            <w:shd w:val="clear" w:color="auto" w:fill="A6A6A6" w:themeFill="background1" w:themeFillShade="A6"/>
          </w:tcPr>
          <w:p w14:paraId="3E4E4167"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5B2FE4E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5,817</w:t>
            </w:r>
          </w:p>
        </w:tc>
        <w:tc>
          <w:tcPr>
            <w:tcW w:w="815" w:type="dxa"/>
            <w:shd w:val="clear" w:color="auto" w:fill="A6A6A6" w:themeFill="background1" w:themeFillShade="A6"/>
            <w:vAlign w:val="center"/>
            <w:hideMark/>
          </w:tcPr>
          <w:p w14:paraId="576D85F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1FB99EA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4,183</w:t>
            </w:r>
          </w:p>
        </w:tc>
        <w:tc>
          <w:tcPr>
            <w:tcW w:w="770" w:type="dxa"/>
            <w:shd w:val="clear" w:color="auto" w:fill="A6A6A6" w:themeFill="background1" w:themeFillShade="A6"/>
            <w:vAlign w:val="center"/>
            <w:hideMark/>
          </w:tcPr>
          <w:p w14:paraId="2F08A73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7,415</w:t>
            </w:r>
          </w:p>
        </w:tc>
        <w:tc>
          <w:tcPr>
            <w:tcW w:w="815" w:type="dxa"/>
            <w:shd w:val="clear" w:color="auto" w:fill="A6A6A6" w:themeFill="background1" w:themeFillShade="A6"/>
            <w:vAlign w:val="center"/>
            <w:hideMark/>
          </w:tcPr>
          <w:p w14:paraId="7A04B3E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177E3C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2,585</w:t>
            </w:r>
          </w:p>
        </w:tc>
        <w:tc>
          <w:tcPr>
            <w:tcW w:w="1460" w:type="dxa"/>
            <w:vMerge/>
            <w:shd w:val="clear" w:color="auto" w:fill="A6A6A6" w:themeFill="background1" w:themeFillShade="A6"/>
            <w:vAlign w:val="center"/>
          </w:tcPr>
          <w:p w14:paraId="0F6AA1EA"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08D24635"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2593CBA1" w14:textId="77777777" w:rsidTr="00D92DEF">
        <w:trPr>
          <w:trHeight w:val="20"/>
          <w:jc w:val="center"/>
        </w:trPr>
        <w:tc>
          <w:tcPr>
            <w:tcW w:w="2668" w:type="dxa"/>
            <w:vMerge/>
            <w:shd w:val="clear" w:color="auto" w:fill="A6A6A6" w:themeFill="background1" w:themeFillShade="A6"/>
            <w:vAlign w:val="center"/>
          </w:tcPr>
          <w:p w14:paraId="681A9258"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5E6D1FCB"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Chihuahua</w:t>
            </w:r>
          </w:p>
        </w:tc>
        <w:tc>
          <w:tcPr>
            <w:tcW w:w="1422" w:type="dxa"/>
            <w:shd w:val="clear" w:color="auto" w:fill="A6A6A6" w:themeFill="background1" w:themeFillShade="A6"/>
          </w:tcPr>
          <w:p w14:paraId="1B69A92E"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F8C1BE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5,357</w:t>
            </w:r>
          </w:p>
        </w:tc>
        <w:tc>
          <w:tcPr>
            <w:tcW w:w="815" w:type="dxa"/>
            <w:shd w:val="clear" w:color="auto" w:fill="A6A6A6" w:themeFill="background1" w:themeFillShade="A6"/>
            <w:vAlign w:val="center"/>
            <w:hideMark/>
          </w:tcPr>
          <w:p w14:paraId="7D17771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6,417</w:t>
            </w:r>
          </w:p>
        </w:tc>
        <w:tc>
          <w:tcPr>
            <w:tcW w:w="651" w:type="dxa"/>
            <w:shd w:val="clear" w:color="auto" w:fill="A6A6A6" w:themeFill="background1" w:themeFillShade="A6"/>
            <w:vAlign w:val="center"/>
            <w:hideMark/>
          </w:tcPr>
          <w:p w14:paraId="08405EB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1,060</w:t>
            </w:r>
          </w:p>
        </w:tc>
        <w:tc>
          <w:tcPr>
            <w:tcW w:w="770" w:type="dxa"/>
            <w:shd w:val="clear" w:color="auto" w:fill="A6A6A6" w:themeFill="background1" w:themeFillShade="A6"/>
            <w:vAlign w:val="center"/>
            <w:hideMark/>
          </w:tcPr>
          <w:p w14:paraId="287F20C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8,848</w:t>
            </w:r>
          </w:p>
        </w:tc>
        <w:tc>
          <w:tcPr>
            <w:tcW w:w="815" w:type="dxa"/>
            <w:shd w:val="clear" w:color="auto" w:fill="A6A6A6" w:themeFill="background1" w:themeFillShade="A6"/>
            <w:vAlign w:val="center"/>
            <w:hideMark/>
          </w:tcPr>
          <w:p w14:paraId="3018200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9,195</w:t>
            </w:r>
          </w:p>
        </w:tc>
        <w:tc>
          <w:tcPr>
            <w:tcW w:w="627" w:type="dxa"/>
            <w:shd w:val="clear" w:color="auto" w:fill="A6A6A6" w:themeFill="background1" w:themeFillShade="A6"/>
            <w:vAlign w:val="center"/>
            <w:hideMark/>
          </w:tcPr>
          <w:p w14:paraId="28922BF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348</w:t>
            </w:r>
          </w:p>
        </w:tc>
        <w:tc>
          <w:tcPr>
            <w:tcW w:w="1460" w:type="dxa"/>
            <w:vMerge/>
            <w:shd w:val="clear" w:color="auto" w:fill="A6A6A6" w:themeFill="background1" w:themeFillShade="A6"/>
            <w:vAlign w:val="center"/>
          </w:tcPr>
          <w:p w14:paraId="0AADD178"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9498C2F"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2D5A17F1" w14:textId="77777777" w:rsidTr="00D92DEF">
        <w:trPr>
          <w:trHeight w:val="20"/>
          <w:jc w:val="center"/>
        </w:trPr>
        <w:tc>
          <w:tcPr>
            <w:tcW w:w="2668" w:type="dxa"/>
            <w:vMerge/>
            <w:shd w:val="clear" w:color="auto" w:fill="A6A6A6" w:themeFill="background1" w:themeFillShade="A6"/>
            <w:vAlign w:val="center"/>
          </w:tcPr>
          <w:p w14:paraId="31F7B030"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062EECF8"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Delicias</w:t>
            </w:r>
          </w:p>
        </w:tc>
        <w:tc>
          <w:tcPr>
            <w:tcW w:w="1422" w:type="dxa"/>
            <w:shd w:val="clear" w:color="auto" w:fill="A6A6A6" w:themeFill="background1" w:themeFillShade="A6"/>
          </w:tcPr>
          <w:p w14:paraId="51459D2A"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76AB418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7,717</w:t>
            </w:r>
          </w:p>
        </w:tc>
        <w:tc>
          <w:tcPr>
            <w:tcW w:w="815" w:type="dxa"/>
            <w:shd w:val="clear" w:color="auto" w:fill="A6A6A6" w:themeFill="background1" w:themeFillShade="A6"/>
            <w:vAlign w:val="center"/>
            <w:hideMark/>
          </w:tcPr>
          <w:p w14:paraId="22FCC54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5628554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2,283</w:t>
            </w:r>
          </w:p>
        </w:tc>
        <w:tc>
          <w:tcPr>
            <w:tcW w:w="770" w:type="dxa"/>
            <w:shd w:val="clear" w:color="auto" w:fill="A6A6A6" w:themeFill="background1" w:themeFillShade="A6"/>
            <w:vAlign w:val="center"/>
            <w:hideMark/>
          </w:tcPr>
          <w:p w14:paraId="645BAE7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9,562</w:t>
            </w:r>
          </w:p>
        </w:tc>
        <w:tc>
          <w:tcPr>
            <w:tcW w:w="815" w:type="dxa"/>
            <w:shd w:val="clear" w:color="auto" w:fill="A6A6A6" w:themeFill="background1" w:themeFillShade="A6"/>
            <w:vAlign w:val="center"/>
            <w:hideMark/>
          </w:tcPr>
          <w:p w14:paraId="2C414E9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606FFF1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438</w:t>
            </w:r>
          </w:p>
        </w:tc>
        <w:tc>
          <w:tcPr>
            <w:tcW w:w="1460" w:type="dxa"/>
            <w:vMerge/>
            <w:shd w:val="clear" w:color="auto" w:fill="A6A6A6" w:themeFill="background1" w:themeFillShade="A6"/>
            <w:vAlign w:val="center"/>
          </w:tcPr>
          <w:p w14:paraId="439B180F"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FF6E273"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788A71DD" w14:textId="77777777" w:rsidTr="00D92DEF">
        <w:trPr>
          <w:trHeight w:val="20"/>
          <w:jc w:val="center"/>
        </w:trPr>
        <w:tc>
          <w:tcPr>
            <w:tcW w:w="2668" w:type="dxa"/>
            <w:vMerge/>
            <w:shd w:val="clear" w:color="auto" w:fill="A6A6A6" w:themeFill="background1" w:themeFillShade="A6"/>
            <w:vAlign w:val="center"/>
          </w:tcPr>
          <w:p w14:paraId="74553AEF"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04C2E07C" w14:textId="77777777" w:rsidR="000B1B06" w:rsidRPr="00C9666A" w:rsidRDefault="000B1B06" w:rsidP="00D92DEF">
            <w:pPr>
              <w:spacing w:after="0"/>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Hgo</w:t>
            </w:r>
            <w:proofErr w:type="spellEnd"/>
            <w:r w:rsidRPr="00C9666A">
              <w:rPr>
                <w:rFonts w:ascii="Arial" w:eastAsia="Times New Roman" w:hAnsi="Arial" w:cs="Arial"/>
                <w:color w:val="000000"/>
                <w:sz w:val="16"/>
                <w:szCs w:val="16"/>
                <w:lang w:eastAsia="es-MX"/>
              </w:rPr>
              <w:t>. de parral</w:t>
            </w:r>
          </w:p>
        </w:tc>
        <w:tc>
          <w:tcPr>
            <w:tcW w:w="1422" w:type="dxa"/>
            <w:shd w:val="clear" w:color="auto" w:fill="A6A6A6" w:themeFill="background1" w:themeFillShade="A6"/>
          </w:tcPr>
          <w:p w14:paraId="432A99B0"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5456C7F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8,180</w:t>
            </w:r>
          </w:p>
        </w:tc>
        <w:tc>
          <w:tcPr>
            <w:tcW w:w="815" w:type="dxa"/>
            <w:shd w:val="clear" w:color="auto" w:fill="A6A6A6" w:themeFill="background1" w:themeFillShade="A6"/>
            <w:vAlign w:val="center"/>
            <w:hideMark/>
          </w:tcPr>
          <w:p w14:paraId="2041E5B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9,956</w:t>
            </w:r>
          </w:p>
        </w:tc>
        <w:tc>
          <w:tcPr>
            <w:tcW w:w="651" w:type="dxa"/>
            <w:shd w:val="clear" w:color="auto" w:fill="A6A6A6" w:themeFill="background1" w:themeFillShade="A6"/>
            <w:vAlign w:val="center"/>
            <w:hideMark/>
          </w:tcPr>
          <w:p w14:paraId="1B172E1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1,777</w:t>
            </w:r>
          </w:p>
        </w:tc>
        <w:tc>
          <w:tcPr>
            <w:tcW w:w="770" w:type="dxa"/>
            <w:shd w:val="clear" w:color="auto" w:fill="A6A6A6" w:themeFill="background1" w:themeFillShade="A6"/>
            <w:vAlign w:val="center"/>
            <w:hideMark/>
          </w:tcPr>
          <w:p w14:paraId="634F3B0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9,764</w:t>
            </w:r>
          </w:p>
        </w:tc>
        <w:tc>
          <w:tcPr>
            <w:tcW w:w="815" w:type="dxa"/>
            <w:shd w:val="clear" w:color="auto" w:fill="A6A6A6" w:themeFill="background1" w:themeFillShade="A6"/>
            <w:vAlign w:val="center"/>
            <w:hideMark/>
          </w:tcPr>
          <w:p w14:paraId="7198A19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077BBEC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236</w:t>
            </w:r>
          </w:p>
        </w:tc>
        <w:tc>
          <w:tcPr>
            <w:tcW w:w="1460" w:type="dxa"/>
            <w:vMerge/>
            <w:shd w:val="clear" w:color="auto" w:fill="A6A6A6" w:themeFill="background1" w:themeFillShade="A6"/>
            <w:vAlign w:val="center"/>
          </w:tcPr>
          <w:p w14:paraId="31519BB3"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2CEF49A"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798F1A56" w14:textId="77777777" w:rsidTr="00D92DEF">
        <w:trPr>
          <w:trHeight w:val="20"/>
          <w:jc w:val="center"/>
        </w:trPr>
        <w:tc>
          <w:tcPr>
            <w:tcW w:w="2668" w:type="dxa"/>
            <w:vMerge/>
            <w:shd w:val="clear" w:color="auto" w:fill="A6A6A6" w:themeFill="background1" w:themeFillShade="A6"/>
            <w:vAlign w:val="center"/>
          </w:tcPr>
          <w:p w14:paraId="723F14C8"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790D334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Acapulco</w:t>
            </w:r>
          </w:p>
        </w:tc>
        <w:tc>
          <w:tcPr>
            <w:tcW w:w="1422" w:type="dxa"/>
            <w:shd w:val="clear" w:color="auto" w:fill="A6A6A6" w:themeFill="background1" w:themeFillShade="A6"/>
          </w:tcPr>
          <w:p w14:paraId="0A74A63A"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819AF8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6,466</w:t>
            </w:r>
          </w:p>
        </w:tc>
        <w:tc>
          <w:tcPr>
            <w:tcW w:w="815" w:type="dxa"/>
            <w:shd w:val="clear" w:color="auto" w:fill="A6A6A6" w:themeFill="background1" w:themeFillShade="A6"/>
            <w:vAlign w:val="center"/>
            <w:hideMark/>
          </w:tcPr>
          <w:p w14:paraId="4C707BB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9,991</w:t>
            </w:r>
          </w:p>
        </w:tc>
        <w:tc>
          <w:tcPr>
            <w:tcW w:w="651" w:type="dxa"/>
            <w:shd w:val="clear" w:color="auto" w:fill="A6A6A6" w:themeFill="background1" w:themeFillShade="A6"/>
            <w:vAlign w:val="center"/>
            <w:hideMark/>
          </w:tcPr>
          <w:p w14:paraId="12468D2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3,524</w:t>
            </w:r>
          </w:p>
        </w:tc>
        <w:tc>
          <w:tcPr>
            <w:tcW w:w="770" w:type="dxa"/>
            <w:shd w:val="clear" w:color="auto" w:fill="A6A6A6" w:themeFill="background1" w:themeFillShade="A6"/>
            <w:vAlign w:val="center"/>
            <w:hideMark/>
          </w:tcPr>
          <w:p w14:paraId="37A2903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8,515</w:t>
            </w:r>
          </w:p>
        </w:tc>
        <w:tc>
          <w:tcPr>
            <w:tcW w:w="815" w:type="dxa"/>
            <w:shd w:val="clear" w:color="auto" w:fill="A6A6A6" w:themeFill="background1" w:themeFillShade="A6"/>
            <w:vAlign w:val="center"/>
            <w:hideMark/>
          </w:tcPr>
          <w:p w14:paraId="7283C03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43729C5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1,485</w:t>
            </w:r>
          </w:p>
        </w:tc>
        <w:tc>
          <w:tcPr>
            <w:tcW w:w="1460" w:type="dxa"/>
            <w:vMerge/>
            <w:shd w:val="clear" w:color="auto" w:fill="A6A6A6" w:themeFill="background1" w:themeFillShade="A6"/>
            <w:vAlign w:val="center"/>
          </w:tcPr>
          <w:p w14:paraId="1EE531E4"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59B7C1B5"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63D0E5DF" w14:textId="77777777" w:rsidTr="00D92DEF">
        <w:trPr>
          <w:trHeight w:val="20"/>
          <w:jc w:val="center"/>
        </w:trPr>
        <w:tc>
          <w:tcPr>
            <w:tcW w:w="2668" w:type="dxa"/>
            <w:vMerge/>
            <w:shd w:val="clear" w:color="auto" w:fill="A6A6A6" w:themeFill="background1" w:themeFillShade="A6"/>
            <w:vAlign w:val="center"/>
          </w:tcPr>
          <w:p w14:paraId="01F2506E"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80430C0"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Chilpancingo</w:t>
            </w:r>
          </w:p>
        </w:tc>
        <w:tc>
          <w:tcPr>
            <w:tcW w:w="1422" w:type="dxa"/>
            <w:shd w:val="clear" w:color="auto" w:fill="A6A6A6" w:themeFill="background1" w:themeFillShade="A6"/>
          </w:tcPr>
          <w:p w14:paraId="63CF16B5"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1AA7103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4,429</w:t>
            </w:r>
          </w:p>
        </w:tc>
        <w:tc>
          <w:tcPr>
            <w:tcW w:w="815" w:type="dxa"/>
            <w:shd w:val="clear" w:color="auto" w:fill="A6A6A6" w:themeFill="background1" w:themeFillShade="A6"/>
            <w:vAlign w:val="center"/>
            <w:hideMark/>
          </w:tcPr>
          <w:p w14:paraId="1627095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7,455</w:t>
            </w:r>
          </w:p>
        </w:tc>
        <w:tc>
          <w:tcPr>
            <w:tcW w:w="651" w:type="dxa"/>
            <w:shd w:val="clear" w:color="auto" w:fill="A6A6A6" w:themeFill="background1" w:themeFillShade="A6"/>
            <w:vAlign w:val="center"/>
            <w:hideMark/>
          </w:tcPr>
          <w:p w14:paraId="729E413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3,026</w:t>
            </w:r>
          </w:p>
        </w:tc>
        <w:tc>
          <w:tcPr>
            <w:tcW w:w="770" w:type="dxa"/>
            <w:shd w:val="clear" w:color="auto" w:fill="A6A6A6" w:themeFill="background1" w:themeFillShade="A6"/>
            <w:vAlign w:val="center"/>
            <w:hideMark/>
          </w:tcPr>
          <w:p w14:paraId="3C39E44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6,706</w:t>
            </w:r>
          </w:p>
        </w:tc>
        <w:tc>
          <w:tcPr>
            <w:tcW w:w="815" w:type="dxa"/>
            <w:shd w:val="clear" w:color="auto" w:fill="A6A6A6" w:themeFill="background1" w:themeFillShade="A6"/>
            <w:vAlign w:val="center"/>
            <w:hideMark/>
          </w:tcPr>
          <w:p w14:paraId="13F7624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9,417</w:t>
            </w:r>
          </w:p>
        </w:tc>
        <w:tc>
          <w:tcPr>
            <w:tcW w:w="627" w:type="dxa"/>
            <w:shd w:val="clear" w:color="auto" w:fill="A6A6A6" w:themeFill="background1" w:themeFillShade="A6"/>
            <w:vAlign w:val="center"/>
            <w:hideMark/>
          </w:tcPr>
          <w:p w14:paraId="1481A8D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2,711</w:t>
            </w:r>
          </w:p>
        </w:tc>
        <w:tc>
          <w:tcPr>
            <w:tcW w:w="1460" w:type="dxa"/>
            <w:vMerge/>
            <w:shd w:val="clear" w:color="auto" w:fill="A6A6A6" w:themeFill="background1" w:themeFillShade="A6"/>
            <w:vAlign w:val="center"/>
          </w:tcPr>
          <w:p w14:paraId="4D3612CC"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E7BF0C8"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3B19C80D" w14:textId="77777777" w:rsidTr="00D92DEF">
        <w:trPr>
          <w:trHeight w:val="20"/>
          <w:jc w:val="center"/>
        </w:trPr>
        <w:tc>
          <w:tcPr>
            <w:tcW w:w="2668" w:type="dxa"/>
            <w:vMerge/>
            <w:shd w:val="clear" w:color="auto" w:fill="A6A6A6" w:themeFill="background1" w:themeFillShade="A6"/>
            <w:vAlign w:val="center"/>
          </w:tcPr>
          <w:p w14:paraId="600F8536"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E76435B"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Tepeji del Rio</w:t>
            </w:r>
          </w:p>
        </w:tc>
        <w:tc>
          <w:tcPr>
            <w:tcW w:w="1422" w:type="dxa"/>
            <w:shd w:val="clear" w:color="auto" w:fill="A6A6A6" w:themeFill="background1" w:themeFillShade="A6"/>
          </w:tcPr>
          <w:p w14:paraId="2A02D2A0"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957126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5,637</w:t>
            </w:r>
          </w:p>
        </w:tc>
        <w:tc>
          <w:tcPr>
            <w:tcW w:w="815" w:type="dxa"/>
            <w:shd w:val="clear" w:color="auto" w:fill="A6A6A6" w:themeFill="background1" w:themeFillShade="A6"/>
            <w:vAlign w:val="center"/>
            <w:hideMark/>
          </w:tcPr>
          <w:p w14:paraId="2C6AB25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1447BBA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4,363</w:t>
            </w:r>
          </w:p>
        </w:tc>
        <w:tc>
          <w:tcPr>
            <w:tcW w:w="770" w:type="dxa"/>
            <w:shd w:val="clear" w:color="auto" w:fill="A6A6A6" w:themeFill="background1" w:themeFillShade="A6"/>
            <w:vAlign w:val="center"/>
            <w:hideMark/>
          </w:tcPr>
          <w:p w14:paraId="1EF68A3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7,004</w:t>
            </w:r>
          </w:p>
        </w:tc>
        <w:tc>
          <w:tcPr>
            <w:tcW w:w="815" w:type="dxa"/>
            <w:shd w:val="clear" w:color="auto" w:fill="A6A6A6" w:themeFill="background1" w:themeFillShade="A6"/>
            <w:vAlign w:val="center"/>
            <w:hideMark/>
          </w:tcPr>
          <w:p w14:paraId="7320978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4461D71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2,996</w:t>
            </w:r>
          </w:p>
        </w:tc>
        <w:tc>
          <w:tcPr>
            <w:tcW w:w="1460" w:type="dxa"/>
            <w:vMerge/>
            <w:shd w:val="clear" w:color="auto" w:fill="A6A6A6" w:themeFill="background1" w:themeFillShade="A6"/>
            <w:vAlign w:val="center"/>
          </w:tcPr>
          <w:p w14:paraId="78850D94"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366D583"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6453E60" w14:textId="77777777" w:rsidTr="00D92DEF">
        <w:trPr>
          <w:trHeight w:val="20"/>
          <w:jc w:val="center"/>
        </w:trPr>
        <w:tc>
          <w:tcPr>
            <w:tcW w:w="2668" w:type="dxa"/>
            <w:vMerge/>
            <w:shd w:val="clear" w:color="auto" w:fill="A6A6A6" w:themeFill="background1" w:themeFillShade="A6"/>
            <w:vAlign w:val="center"/>
          </w:tcPr>
          <w:p w14:paraId="671C5CCF"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62152FB"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Lagos de Moreno</w:t>
            </w:r>
          </w:p>
        </w:tc>
        <w:tc>
          <w:tcPr>
            <w:tcW w:w="1422" w:type="dxa"/>
            <w:shd w:val="clear" w:color="auto" w:fill="A6A6A6" w:themeFill="background1" w:themeFillShade="A6"/>
          </w:tcPr>
          <w:p w14:paraId="0779429A"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51FCB22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8,343</w:t>
            </w:r>
          </w:p>
        </w:tc>
        <w:tc>
          <w:tcPr>
            <w:tcW w:w="815" w:type="dxa"/>
            <w:shd w:val="clear" w:color="auto" w:fill="A6A6A6" w:themeFill="background1" w:themeFillShade="A6"/>
            <w:vAlign w:val="center"/>
            <w:hideMark/>
          </w:tcPr>
          <w:p w14:paraId="664AB84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5B8CC4F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1,657</w:t>
            </w:r>
          </w:p>
        </w:tc>
        <w:tc>
          <w:tcPr>
            <w:tcW w:w="770" w:type="dxa"/>
            <w:shd w:val="clear" w:color="auto" w:fill="A6A6A6" w:themeFill="background1" w:themeFillShade="A6"/>
            <w:vAlign w:val="center"/>
            <w:hideMark/>
          </w:tcPr>
          <w:p w14:paraId="426D795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9,803</w:t>
            </w:r>
          </w:p>
        </w:tc>
        <w:tc>
          <w:tcPr>
            <w:tcW w:w="815" w:type="dxa"/>
            <w:shd w:val="clear" w:color="auto" w:fill="A6A6A6" w:themeFill="background1" w:themeFillShade="A6"/>
            <w:vAlign w:val="center"/>
            <w:hideMark/>
          </w:tcPr>
          <w:p w14:paraId="7CD50C9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1451051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197</w:t>
            </w:r>
          </w:p>
        </w:tc>
        <w:tc>
          <w:tcPr>
            <w:tcW w:w="1460" w:type="dxa"/>
            <w:vMerge/>
            <w:shd w:val="clear" w:color="auto" w:fill="A6A6A6" w:themeFill="background1" w:themeFillShade="A6"/>
            <w:vAlign w:val="center"/>
          </w:tcPr>
          <w:p w14:paraId="033C8C70"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4E452B2"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30B7C60D" w14:textId="77777777" w:rsidTr="00D92DEF">
        <w:trPr>
          <w:trHeight w:val="20"/>
          <w:jc w:val="center"/>
        </w:trPr>
        <w:tc>
          <w:tcPr>
            <w:tcW w:w="2668" w:type="dxa"/>
            <w:vMerge/>
            <w:shd w:val="clear" w:color="auto" w:fill="A6A6A6" w:themeFill="background1" w:themeFillShade="A6"/>
            <w:vAlign w:val="center"/>
          </w:tcPr>
          <w:p w14:paraId="2976ACD6"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8D15DEA"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Ixtapaluca</w:t>
            </w:r>
          </w:p>
        </w:tc>
        <w:tc>
          <w:tcPr>
            <w:tcW w:w="1422" w:type="dxa"/>
            <w:shd w:val="clear" w:color="auto" w:fill="A6A6A6" w:themeFill="background1" w:themeFillShade="A6"/>
          </w:tcPr>
          <w:p w14:paraId="230CC17C"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B6785F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4,286</w:t>
            </w:r>
          </w:p>
        </w:tc>
        <w:tc>
          <w:tcPr>
            <w:tcW w:w="815" w:type="dxa"/>
            <w:shd w:val="clear" w:color="auto" w:fill="A6A6A6" w:themeFill="background1" w:themeFillShade="A6"/>
            <w:vAlign w:val="center"/>
            <w:hideMark/>
          </w:tcPr>
          <w:p w14:paraId="0D8B3F5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6,748</w:t>
            </w:r>
          </w:p>
        </w:tc>
        <w:tc>
          <w:tcPr>
            <w:tcW w:w="651" w:type="dxa"/>
            <w:shd w:val="clear" w:color="auto" w:fill="A6A6A6" w:themeFill="background1" w:themeFillShade="A6"/>
            <w:vAlign w:val="center"/>
            <w:hideMark/>
          </w:tcPr>
          <w:p w14:paraId="320A4BB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2,462</w:t>
            </w:r>
          </w:p>
        </w:tc>
        <w:tc>
          <w:tcPr>
            <w:tcW w:w="770" w:type="dxa"/>
            <w:shd w:val="clear" w:color="auto" w:fill="A6A6A6" w:themeFill="background1" w:themeFillShade="A6"/>
            <w:vAlign w:val="center"/>
            <w:hideMark/>
          </w:tcPr>
          <w:p w14:paraId="50088F0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6,592</w:t>
            </w:r>
          </w:p>
        </w:tc>
        <w:tc>
          <w:tcPr>
            <w:tcW w:w="815" w:type="dxa"/>
            <w:shd w:val="clear" w:color="auto" w:fill="A6A6A6" w:themeFill="background1" w:themeFillShade="A6"/>
            <w:vAlign w:val="center"/>
            <w:hideMark/>
          </w:tcPr>
          <w:p w14:paraId="736361D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8,839</w:t>
            </w:r>
          </w:p>
        </w:tc>
        <w:tc>
          <w:tcPr>
            <w:tcW w:w="627" w:type="dxa"/>
            <w:shd w:val="clear" w:color="auto" w:fill="A6A6A6" w:themeFill="background1" w:themeFillShade="A6"/>
            <w:vAlign w:val="center"/>
            <w:hideMark/>
          </w:tcPr>
          <w:p w14:paraId="46AE848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2,247</w:t>
            </w:r>
          </w:p>
        </w:tc>
        <w:tc>
          <w:tcPr>
            <w:tcW w:w="1460" w:type="dxa"/>
            <w:vMerge/>
            <w:shd w:val="clear" w:color="auto" w:fill="A6A6A6" w:themeFill="background1" w:themeFillShade="A6"/>
            <w:vAlign w:val="center"/>
          </w:tcPr>
          <w:p w14:paraId="301FD54A"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504636F9"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5D68BA59" w14:textId="77777777" w:rsidTr="00D92DEF">
        <w:trPr>
          <w:trHeight w:val="20"/>
          <w:jc w:val="center"/>
        </w:trPr>
        <w:tc>
          <w:tcPr>
            <w:tcW w:w="2668" w:type="dxa"/>
            <w:vMerge/>
            <w:shd w:val="clear" w:color="auto" w:fill="A6A6A6" w:themeFill="background1" w:themeFillShade="A6"/>
            <w:vAlign w:val="center"/>
          </w:tcPr>
          <w:p w14:paraId="1535A12A"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57483D3"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Los Reyes Acaquilpan</w:t>
            </w:r>
          </w:p>
        </w:tc>
        <w:tc>
          <w:tcPr>
            <w:tcW w:w="1422" w:type="dxa"/>
            <w:shd w:val="clear" w:color="auto" w:fill="A6A6A6" w:themeFill="background1" w:themeFillShade="A6"/>
          </w:tcPr>
          <w:p w14:paraId="21F21F01"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09C2BA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ND</w:t>
            </w:r>
          </w:p>
        </w:tc>
        <w:tc>
          <w:tcPr>
            <w:tcW w:w="815" w:type="dxa"/>
            <w:shd w:val="clear" w:color="auto" w:fill="A6A6A6" w:themeFill="background1" w:themeFillShade="A6"/>
            <w:vAlign w:val="center"/>
            <w:hideMark/>
          </w:tcPr>
          <w:p w14:paraId="62445C2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7390D30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ND</w:t>
            </w:r>
          </w:p>
        </w:tc>
        <w:tc>
          <w:tcPr>
            <w:tcW w:w="770" w:type="dxa"/>
            <w:shd w:val="clear" w:color="auto" w:fill="A6A6A6" w:themeFill="background1" w:themeFillShade="A6"/>
            <w:vAlign w:val="center"/>
            <w:hideMark/>
          </w:tcPr>
          <w:p w14:paraId="15FCCBF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ND</w:t>
            </w:r>
          </w:p>
        </w:tc>
        <w:tc>
          <w:tcPr>
            <w:tcW w:w="815" w:type="dxa"/>
            <w:shd w:val="clear" w:color="auto" w:fill="A6A6A6" w:themeFill="background1" w:themeFillShade="A6"/>
            <w:vAlign w:val="center"/>
            <w:hideMark/>
          </w:tcPr>
          <w:p w14:paraId="1E28EE7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3500B4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ND</w:t>
            </w:r>
          </w:p>
        </w:tc>
        <w:tc>
          <w:tcPr>
            <w:tcW w:w="1460" w:type="dxa"/>
            <w:vMerge/>
            <w:shd w:val="clear" w:color="auto" w:fill="A6A6A6" w:themeFill="background1" w:themeFillShade="A6"/>
            <w:vAlign w:val="center"/>
          </w:tcPr>
          <w:p w14:paraId="50CCFB9B"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62DD4339"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19B33470" w14:textId="77777777" w:rsidTr="00D92DEF">
        <w:trPr>
          <w:trHeight w:val="20"/>
          <w:jc w:val="center"/>
        </w:trPr>
        <w:tc>
          <w:tcPr>
            <w:tcW w:w="2668" w:type="dxa"/>
            <w:vMerge/>
            <w:shd w:val="clear" w:color="auto" w:fill="A6A6A6" w:themeFill="background1" w:themeFillShade="A6"/>
            <w:vAlign w:val="center"/>
          </w:tcPr>
          <w:p w14:paraId="15C1BD9A"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44938B8C"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Chimalhuacán</w:t>
            </w:r>
          </w:p>
        </w:tc>
        <w:tc>
          <w:tcPr>
            <w:tcW w:w="1422" w:type="dxa"/>
            <w:shd w:val="clear" w:color="auto" w:fill="A6A6A6" w:themeFill="background1" w:themeFillShade="A6"/>
          </w:tcPr>
          <w:p w14:paraId="6B5D4217"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73BD4A1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8,153</w:t>
            </w:r>
          </w:p>
        </w:tc>
        <w:tc>
          <w:tcPr>
            <w:tcW w:w="815" w:type="dxa"/>
            <w:shd w:val="clear" w:color="auto" w:fill="A6A6A6" w:themeFill="background1" w:themeFillShade="A6"/>
            <w:vAlign w:val="center"/>
            <w:hideMark/>
          </w:tcPr>
          <w:p w14:paraId="3FD0373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31E1F66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1,847</w:t>
            </w:r>
          </w:p>
        </w:tc>
        <w:tc>
          <w:tcPr>
            <w:tcW w:w="770" w:type="dxa"/>
            <w:shd w:val="clear" w:color="auto" w:fill="A6A6A6" w:themeFill="background1" w:themeFillShade="A6"/>
            <w:vAlign w:val="center"/>
            <w:hideMark/>
          </w:tcPr>
          <w:p w14:paraId="44B63EE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9,743</w:t>
            </w:r>
          </w:p>
        </w:tc>
        <w:tc>
          <w:tcPr>
            <w:tcW w:w="815" w:type="dxa"/>
            <w:shd w:val="clear" w:color="auto" w:fill="A6A6A6" w:themeFill="background1" w:themeFillShade="A6"/>
            <w:vAlign w:val="center"/>
            <w:hideMark/>
          </w:tcPr>
          <w:p w14:paraId="1E9734C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9D1680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257</w:t>
            </w:r>
          </w:p>
        </w:tc>
        <w:tc>
          <w:tcPr>
            <w:tcW w:w="1460" w:type="dxa"/>
            <w:vMerge/>
            <w:shd w:val="clear" w:color="auto" w:fill="A6A6A6" w:themeFill="background1" w:themeFillShade="A6"/>
            <w:vAlign w:val="center"/>
          </w:tcPr>
          <w:p w14:paraId="618FA56F"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5ECA8091"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50F97763" w14:textId="77777777" w:rsidTr="00D92DEF">
        <w:trPr>
          <w:trHeight w:val="20"/>
          <w:jc w:val="center"/>
        </w:trPr>
        <w:tc>
          <w:tcPr>
            <w:tcW w:w="2668" w:type="dxa"/>
            <w:vMerge/>
            <w:shd w:val="clear" w:color="auto" w:fill="A6A6A6" w:themeFill="background1" w:themeFillShade="A6"/>
            <w:vAlign w:val="center"/>
          </w:tcPr>
          <w:p w14:paraId="0AEF6689"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1D3D51F0"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Cuernavaca</w:t>
            </w:r>
          </w:p>
        </w:tc>
        <w:tc>
          <w:tcPr>
            <w:tcW w:w="1422" w:type="dxa"/>
            <w:shd w:val="clear" w:color="auto" w:fill="A6A6A6" w:themeFill="background1" w:themeFillShade="A6"/>
          </w:tcPr>
          <w:p w14:paraId="547D388E"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2EF8DA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6,677</w:t>
            </w:r>
          </w:p>
        </w:tc>
        <w:tc>
          <w:tcPr>
            <w:tcW w:w="815" w:type="dxa"/>
            <w:shd w:val="clear" w:color="auto" w:fill="A6A6A6" w:themeFill="background1" w:themeFillShade="A6"/>
            <w:vAlign w:val="center"/>
            <w:hideMark/>
          </w:tcPr>
          <w:p w14:paraId="1B1A395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8,501</w:t>
            </w:r>
          </w:p>
        </w:tc>
        <w:tc>
          <w:tcPr>
            <w:tcW w:w="651" w:type="dxa"/>
            <w:shd w:val="clear" w:color="auto" w:fill="A6A6A6" w:themeFill="background1" w:themeFillShade="A6"/>
            <w:vAlign w:val="center"/>
            <w:hideMark/>
          </w:tcPr>
          <w:p w14:paraId="58170AE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1,824</w:t>
            </w:r>
          </w:p>
        </w:tc>
        <w:tc>
          <w:tcPr>
            <w:tcW w:w="770" w:type="dxa"/>
            <w:shd w:val="clear" w:color="auto" w:fill="A6A6A6" w:themeFill="background1" w:themeFillShade="A6"/>
            <w:vAlign w:val="center"/>
            <w:hideMark/>
          </w:tcPr>
          <w:p w14:paraId="070B597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9,531</w:t>
            </w:r>
          </w:p>
        </w:tc>
        <w:tc>
          <w:tcPr>
            <w:tcW w:w="815" w:type="dxa"/>
            <w:shd w:val="clear" w:color="auto" w:fill="A6A6A6" w:themeFill="background1" w:themeFillShade="A6"/>
            <w:vAlign w:val="center"/>
            <w:hideMark/>
          </w:tcPr>
          <w:p w14:paraId="5974715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9,925</w:t>
            </w:r>
          </w:p>
        </w:tc>
        <w:tc>
          <w:tcPr>
            <w:tcW w:w="627" w:type="dxa"/>
            <w:shd w:val="clear" w:color="auto" w:fill="A6A6A6" w:themeFill="background1" w:themeFillShade="A6"/>
            <w:vAlign w:val="center"/>
            <w:hideMark/>
          </w:tcPr>
          <w:p w14:paraId="632BFBA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394</w:t>
            </w:r>
          </w:p>
        </w:tc>
        <w:tc>
          <w:tcPr>
            <w:tcW w:w="1460" w:type="dxa"/>
            <w:vMerge/>
            <w:shd w:val="clear" w:color="auto" w:fill="A6A6A6" w:themeFill="background1" w:themeFillShade="A6"/>
            <w:vAlign w:val="center"/>
          </w:tcPr>
          <w:p w14:paraId="29621D98"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34162796"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07A24BE" w14:textId="77777777" w:rsidTr="00D92DEF">
        <w:trPr>
          <w:trHeight w:val="20"/>
          <w:jc w:val="center"/>
        </w:trPr>
        <w:tc>
          <w:tcPr>
            <w:tcW w:w="2668" w:type="dxa"/>
            <w:vMerge/>
            <w:shd w:val="clear" w:color="auto" w:fill="A6A6A6" w:themeFill="background1" w:themeFillShade="A6"/>
            <w:vAlign w:val="center"/>
          </w:tcPr>
          <w:p w14:paraId="0D65FF43"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1CFE6F3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Yautepec</w:t>
            </w:r>
          </w:p>
        </w:tc>
        <w:tc>
          <w:tcPr>
            <w:tcW w:w="1422" w:type="dxa"/>
            <w:shd w:val="clear" w:color="auto" w:fill="A6A6A6" w:themeFill="background1" w:themeFillShade="A6"/>
          </w:tcPr>
          <w:p w14:paraId="67FCEAC4"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CC748F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3,630</w:t>
            </w:r>
          </w:p>
        </w:tc>
        <w:tc>
          <w:tcPr>
            <w:tcW w:w="815" w:type="dxa"/>
            <w:shd w:val="clear" w:color="auto" w:fill="A6A6A6" w:themeFill="background1" w:themeFillShade="A6"/>
            <w:vAlign w:val="center"/>
            <w:hideMark/>
          </w:tcPr>
          <w:p w14:paraId="34478E9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5,671</w:t>
            </w:r>
          </w:p>
        </w:tc>
        <w:tc>
          <w:tcPr>
            <w:tcW w:w="651" w:type="dxa"/>
            <w:shd w:val="clear" w:color="auto" w:fill="A6A6A6" w:themeFill="background1" w:themeFillShade="A6"/>
            <w:vAlign w:val="center"/>
            <w:hideMark/>
          </w:tcPr>
          <w:p w14:paraId="3836F72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2,041</w:t>
            </w:r>
          </w:p>
        </w:tc>
        <w:tc>
          <w:tcPr>
            <w:tcW w:w="770" w:type="dxa"/>
            <w:shd w:val="clear" w:color="auto" w:fill="A6A6A6" w:themeFill="background1" w:themeFillShade="A6"/>
            <w:vAlign w:val="center"/>
            <w:hideMark/>
          </w:tcPr>
          <w:p w14:paraId="2FB5408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4,418</w:t>
            </w:r>
          </w:p>
        </w:tc>
        <w:tc>
          <w:tcPr>
            <w:tcW w:w="815" w:type="dxa"/>
            <w:shd w:val="clear" w:color="auto" w:fill="A6A6A6" w:themeFill="background1" w:themeFillShade="A6"/>
            <w:vAlign w:val="center"/>
            <w:hideMark/>
          </w:tcPr>
          <w:p w14:paraId="57796A4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7,086</w:t>
            </w:r>
          </w:p>
        </w:tc>
        <w:tc>
          <w:tcPr>
            <w:tcW w:w="627" w:type="dxa"/>
            <w:shd w:val="clear" w:color="auto" w:fill="A6A6A6" w:themeFill="background1" w:themeFillShade="A6"/>
            <w:vAlign w:val="center"/>
            <w:hideMark/>
          </w:tcPr>
          <w:p w14:paraId="67F04EC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2,668</w:t>
            </w:r>
          </w:p>
        </w:tc>
        <w:tc>
          <w:tcPr>
            <w:tcW w:w="1460" w:type="dxa"/>
            <w:vMerge/>
            <w:shd w:val="clear" w:color="auto" w:fill="A6A6A6" w:themeFill="background1" w:themeFillShade="A6"/>
            <w:vAlign w:val="center"/>
          </w:tcPr>
          <w:p w14:paraId="090B590D"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13640E02"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25C48E97" w14:textId="77777777" w:rsidTr="00D92DEF">
        <w:trPr>
          <w:trHeight w:val="20"/>
          <w:jc w:val="center"/>
        </w:trPr>
        <w:tc>
          <w:tcPr>
            <w:tcW w:w="2668" w:type="dxa"/>
            <w:vMerge/>
            <w:shd w:val="clear" w:color="auto" w:fill="A6A6A6" w:themeFill="background1" w:themeFillShade="A6"/>
            <w:vAlign w:val="center"/>
          </w:tcPr>
          <w:p w14:paraId="68E04179"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7E3C9E7D"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Cuautla de Zaragoza</w:t>
            </w:r>
          </w:p>
        </w:tc>
        <w:tc>
          <w:tcPr>
            <w:tcW w:w="1422" w:type="dxa"/>
            <w:shd w:val="clear" w:color="auto" w:fill="A6A6A6" w:themeFill="background1" w:themeFillShade="A6"/>
          </w:tcPr>
          <w:p w14:paraId="76991D6A"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B0A5D0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4,602</w:t>
            </w:r>
          </w:p>
        </w:tc>
        <w:tc>
          <w:tcPr>
            <w:tcW w:w="815" w:type="dxa"/>
            <w:shd w:val="clear" w:color="auto" w:fill="A6A6A6" w:themeFill="background1" w:themeFillShade="A6"/>
            <w:vAlign w:val="center"/>
            <w:hideMark/>
          </w:tcPr>
          <w:p w14:paraId="079F903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5,301</w:t>
            </w:r>
          </w:p>
        </w:tc>
        <w:tc>
          <w:tcPr>
            <w:tcW w:w="651" w:type="dxa"/>
            <w:shd w:val="clear" w:color="auto" w:fill="A6A6A6" w:themeFill="background1" w:themeFillShade="A6"/>
            <w:vAlign w:val="center"/>
            <w:hideMark/>
          </w:tcPr>
          <w:p w14:paraId="0F6C4A2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699</w:t>
            </w:r>
          </w:p>
        </w:tc>
        <w:tc>
          <w:tcPr>
            <w:tcW w:w="770" w:type="dxa"/>
            <w:shd w:val="clear" w:color="auto" w:fill="A6A6A6" w:themeFill="background1" w:themeFillShade="A6"/>
            <w:vAlign w:val="center"/>
            <w:hideMark/>
          </w:tcPr>
          <w:p w14:paraId="4865682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8,925</w:t>
            </w:r>
          </w:p>
        </w:tc>
        <w:tc>
          <w:tcPr>
            <w:tcW w:w="815" w:type="dxa"/>
            <w:shd w:val="clear" w:color="auto" w:fill="A6A6A6" w:themeFill="background1" w:themeFillShade="A6"/>
            <w:vAlign w:val="center"/>
            <w:hideMark/>
          </w:tcPr>
          <w:p w14:paraId="755A4E0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9,250</w:t>
            </w:r>
          </w:p>
        </w:tc>
        <w:tc>
          <w:tcPr>
            <w:tcW w:w="627" w:type="dxa"/>
            <w:shd w:val="clear" w:color="auto" w:fill="A6A6A6" w:themeFill="background1" w:themeFillShade="A6"/>
            <w:vAlign w:val="center"/>
            <w:hideMark/>
          </w:tcPr>
          <w:p w14:paraId="2471426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324</w:t>
            </w:r>
          </w:p>
        </w:tc>
        <w:tc>
          <w:tcPr>
            <w:tcW w:w="1460" w:type="dxa"/>
            <w:vMerge/>
            <w:shd w:val="clear" w:color="auto" w:fill="A6A6A6" w:themeFill="background1" w:themeFillShade="A6"/>
            <w:vAlign w:val="center"/>
          </w:tcPr>
          <w:p w14:paraId="280D6906"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582CB78"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668ADF13" w14:textId="77777777" w:rsidTr="00D92DEF">
        <w:trPr>
          <w:trHeight w:val="20"/>
          <w:jc w:val="center"/>
        </w:trPr>
        <w:tc>
          <w:tcPr>
            <w:tcW w:w="2668" w:type="dxa"/>
            <w:vMerge/>
            <w:shd w:val="clear" w:color="auto" w:fill="A6A6A6" w:themeFill="background1" w:themeFillShade="A6"/>
            <w:vAlign w:val="center"/>
          </w:tcPr>
          <w:p w14:paraId="009F0216"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F1FC78D"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Oaxaca</w:t>
            </w:r>
          </w:p>
        </w:tc>
        <w:tc>
          <w:tcPr>
            <w:tcW w:w="1422" w:type="dxa"/>
            <w:shd w:val="clear" w:color="auto" w:fill="A6A6A6" w:themeFill="background1" w:themeFillShade="A6"/>
          </w:tcPr>
          <w:p w14:paraId="313769F4"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5E8931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6,180</w:t>
            </w:r>
          </w:p>
        </w:tc>
        <w:tc>
          <w:tcPr>
            <w:tcW w:w="815" w:type="dxa"/>
            <w:shd w:val="clear" w:color="auto" w:fill="A6A6A6" w:themeFill="background1" w:themeFillShade="A6"/>
            <w:vAlign w:val="center"/>
            <w:hideMark/>
          </w:tcPr>
          <w:p w14:paraId="365F2D2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9,982</w:t>
            </w:r>
          </w:p>
        </w:tc>
        <w:tc>
          <w:tcPr>
            <w:tcW w:w="651" w:type="dxa"/>
            <w:shd w:val="clear" w:color="auto" w:fill="A6A6A6" w:themeFill="background1" w:themeFillShade="A6"/>
            <w:vAlign w:val="center"/>
            <w:hideMark/>
          </w:tcPr>
          <w:p w14:paraId="7C53DE3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3,803</w:t>
            </w:r>
          </w:p>
        </w:tc>
        <w:tc>
          <w:tcPr>
            <w:tcW w:w="770" w:type="dxa"/>
            <w:shd w:val="clear" w:color="auto" w:fill="A6A6A6" w:themeFill="background1" w:themeFillShade="A6"/>
            <w:vAlign w:val="center"/>
            <w:hideMark/>
          </w:tcPr>
          <w:p w14:paraId="38802AB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8,107</w:t>
            </w:r>
          </w:p>
        </w:tc>
        <w:tc>
          <w:tcPr>
            <w:tcW w:w="815" w:type="dxa"/>
            <w:shd w:val="clear" w:color="auto" w:fill="A6A6A6" w:themeFill="background1" w:themeFillShade="A6"/>
            <w:vAlign w:val="center"/>
            <w:hideMark/>
          </w:tcPr>
          <w:p w14:paraId="27F450D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62CDA96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1,893</w:t>
            </w:r>
          </w:p>
        </w:tc>
        <w:tc>
          <w:tcPr>
            <w:tcW w:w="1460" w:type="dxa"/>
            <w:vMerge/>
            <w:shd w:val="clear" w:color="auto" w:fill="A6A6A6" w:themeFill="background1" w:themeFillShade="A6"/>
            <w:vAlign w:val="center"/>
          </w:tcPr>
          <w:p w14:paraId="06E802AD"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0DBB53CF"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23FEF49" w14:textId="77777777" w:rsidTr="00D92DEF">
        <w:trPr>
          <w:trHeight w:val="20"/>
          <w:jc w:val="center"/>
        </w:trPr>
        <w:tc>
          <w:tcPr>
            <w:tcW w:w="2668" w:type="dxa"/>
            <w:vMerge/>
            <w:shd w:val="clear" w:color="auto" w:fill="A6A6A6" w:themeFill="background1" w:themeFillShade="A6"/>
            <w:vAlign w:val="center"/>
          </w:tcPr>
          <w:p w14:paraId="789CC28D"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30E09595"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Cancún </w:t>
            </w:r>
          </w:p>
        </w:tc>
        <w:tc>
          <w:tcPr>
            <w:tcW w:w="1422" w:type="dxa"/>
            <w:shd w:val="clear" w:color="auto" w:fill="A6A6A6" w:themeFill="background1" w:themeFillShade="A6"/>
          </w:tcPr>
          <w:p w14:paraId="32D7406F"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06CFAAD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5,942</w:t>
            </w:r>
          </w:p>
        </w:tc>
        <w:tc>
          <w:tcPr>
            <w:tcW w:w="815" w:type="dxa"/>
            <w:shd w:val="clear" w:color="auto" w:fill="A6A6A6" w:themeFill="background1" w:themeFillShade="A6"/>
            <w:vAlign w:val="center"/>
            <w:hideMark/>
          </w:tcPr>
          <w:p w14:paraId="67DA66C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9,929</w:t>
            </w:r>
          </w:p>
        </w:tc>
        <w:tc>
          <w:tcPr>
            <w:tcW w:w="651" w:type="dxa"/>
            <w:shd w:val="clear" w:color="auto" w:fill="A6A6A6" w:themeFill="background1" w:themeFillShade="A6"/>
            <w:vAlign w:val="center"/>
            <w:hideMark/>
          </w:tcPr>
          <w:p w14:paraId="40A6BF1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3,987</w:t>
            </w:r>
          </w:p>
        </w:tc>
        <w:tc>
          <w:tcPr>
            <w:tcW w:w="770" w:type="dxa"/>
            <w:shd w:val="clear" w:color="auto" w:fill="A6A6A6" w:themeFill="background1" w:themeFillShade="A6"/>
            <w:vAlign w:val="center"/>
            <w:hideMark/>
          </w:tcPr>
          <w:p w14:paraId="57FE599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7,748</w:t>
            </w:r>
          </w:p>
        </w:tc>
        <w:tc>
          <w:tcPr>
            <w:tcW w:w="815" w:type="dxa"/>
            <w:shd w:val="clear" w:color="auto" w:fill="A6A6A6" w:themeFill="background1" w:themeFillShade="A6"/>
            <w:vAlign w:val="center"/>
            <w:hideMark/>
          </w:tcPr>
          <w:p w14:paraId="53BF7CB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7421A07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2,251</w:t>
            </w:r>
          </w:p>
        </w:tc>
        <w:tc>
          <w:tcPr>
            <w:tcW w:w="1460" w:type="dxa"/>
            <w:vMerge/>
            <w:shd w:val="clear" w:color="auto" w:fill="A6A6A6" w:themeFill="background1" w:themeFillShade="A6"/>
            <w:vAlign w:val="center"/>
          </w:tcPr>
          <w:p w14:paraId="491724AB"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17E689C4"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64D9EB4" w14:textId="77777777" w:rsidTr="00D92DEF">
        <w:trPr>
          <w:trHeight w:val="20"/>
          <w:jc w:val="center"/>
        </w:trPr>
        <w:tc>
          <w:tcPr>
            <w:tcW w:w="2668" w:type="dxa"/>
            <w:vMerge/>
            <w:shd w:val="clear" w:color="auto" w:fill="A6A6A6" w:themeFill="background1" w:themeFillShade="A6"/>
            <w:vAlign w:val="center"/>
          </w:tcPr>
          <w:p w14:paraId="69CB7725"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3DA6A60D"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Chetumal</w:t>
            </w:r>
          </w:p>
        </w:tc>
        <w:tc>
          <w:tcPr>
            <w:tcW w:w="1422" w:type="dxa"/>
            <w:shd w:val="clear" w:color="auto" w:fill="A6A6A6" w:themeFill="background1" w:themeFillShade="A6"/>
          </w:tcPr>
          <w:p w14:paraId="3D3D28E0"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6E55DF4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5,768</w:t>
            </w:r>
          </w:p>
        </w:tc>
        <w:tc>
          <w:tcPr>
            <w:tcW w:w="815" w:type="dxa"/>
            <w:shd w:val="clear" w:color="auto" w:fill="A6A6A6" w:themeFill="background1" w:themeFillShade="A6"/>
            <w:vAlign w:val="center"/>
            <w:hideMark/>
          </w:tcPr>
          <w:p w14:paraId="6F63B90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5FBF172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4,232</w:t>
            </w:r>
          </w:p>
        </w:tc>
        <w:tc>
          <w:tcPr>
            <w:tcW w:w="770" w:type="dxa"/>
            <w:shd w:val="clear" w:color="auto" w:fill="A6A6A6" w:themeFill="background1" w:themeFillShade="A6"/>
            <w:vAlign w:val="center"/>
            <w:hideMark/>
          </w:tcPr>
          <w:p w14:paraId="40E79DD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7,309</w:t>
            </w:r>
          </w:p>
        </w:tc>
        <w:tc>
          <w:tcPr>
            <w:tcW w:w="815" w:type="dxa"/>
            <w:shd w:val="clear" w:color="auto" w:fill="A6A6A6" w:themeFill="background1" w:themeFillShade="A6"/>
            <w:vAlign w:val="center"/>
            <w:hideMark/>
          </w:tcPr>
          <w:p w14:paraId="109E1752"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1BF167B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2,691</w:t>
            </w:r>
          </w:p>
        </w:tc>
        <w:tc>
          <w:tcPr>
            <w:tcW w:w="1460" w:type="dxa"/>
            <w:vMerge/>
            <w:shd w:val="clear" w:color="auto" w:fill="A6A6A6" w:themeFill="background1" w:themeFillShade="A6"/>
            <w:vAlign w:val="center"/>
          </w:tcPr>
          <w:p w14:paraId="17241FBD"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5FE243BD"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049AC264" w14:textId="77777777" w:rsidTr="00D92DEF">
        <w:trPr>
          <w:trHeight w:val="20"/>
          <w:jc w:val="center"/>
        </w:trPr>
        <w:tc>
          <w:tcPr>
            <w:tcW w:w="2668" w:type="dxa"/>
            <w:vMerge/>
            <w:shd w:val="clear" w:color="auto" w:fill="A6A6A6" w:themeFill="background1" w:themeFillShade="A6"/>
            <w:vAlign w:val="center"/>
          </w:tcPr>
          <w:p w14:paraId="6ACE0839"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7D1E72AE"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Cozumel</w:t>
            </w:r>
          </w:p>
        </w:tc>
        <w:tc>
          <w:tcPr>
            <w:tcW w:w="1422" w:type="dxa"/>
            <w:shd w:val="clear" w:color="auto" w:fill="A6A6A6" w:themeFill="background1" w:themeFillShade="A6"/>
          </w:tcPr>
          <w:p w14:paraId="142286B5"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0B968D3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5,288</w:t>
            </w:r>
          </w:p>
        </w:tc>
        <w:tc>
          <w:tcPr>
            <w:tcW w:w="815" w:type="dxa"/>
            <w:shd w:val="clear" w:color="auto" w:fill="A6A6A6" w:themeFill="background1" w:themeFillShade="A6"/>
            <w:vAlign w:val="center"/>
            <w:hideMark/>
          </w:tcPr>
          <w:p w14:paraId="29B4716A"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9,269</w:t>
            </w:r>
          </w:p>
        </w:tc>
        <w:tc>
          <w:tcPr>
            <w:tcW w:w="651" w:type="dxa"/>
            <w:shd w:val="clear" w:color="auto" w:fill="A6A6A6" w:themeFill="background1" w:themeFillShade="A6"/>
            <w:vAlign w:val="center"/>
            <w:hideMark/>
          </w:tcPr>
          <w:p w14:paraId="0A6FC1B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3,981</w:t>
            </w:r>
          </w:p>
        </w:tc>
        <w:tc>
          <w:tcPr>
            <w:tcW w:w="770" w:type="dxa"/>
            <w:shd w:val="clear" w:color="auto" w:fill="A6A6A6" w:themeFill="background1" w:themeFillShade="A6"/>
            <w:vAlign w:val="center"/>
            <w:hideMark/>
          </w:tcPr>
          <w:p w14:paraId="7C66FA3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7,129</w:t>
            </w:r>
          </w:p>
        </w:tc>
        <w:tc>
          <w:tcPr>
            <w:tcW w:w="815" w:type="dxa"/>
            <w:shd w:val="clear" w:color="auto" w:fill="A6A6A6" w:themeFill="background1" w:themeFillShade="A6"/>
            <w:vAlign w:val="center"/>
            <w:hideMark/>
          </w:tcPr>
          <w:p w14:paraId="159927E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9,979</w:t>
            </w:r>
          </w:p>
        </w:tc>
        <w:tc>
          <w:tcPr>
            <w:tcW w:w="627" w:type="dxa"/>
            <w:shd w:val="clear" w:color="auto" w:fill="A6A6A6" w:themeFill="background1" w:themeFillShade="A6"/>
            <w:vAlign w:val="center"/>
            <w:hideMark/>
          </w:tcPr>
          <w:p w14:paraId="2F9CBDB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2,850</w:t>
            </w:r>
          </w:p>
        </w:tc>
        <w:tc>
          <w:tcPr>
            <w:tcW w:w="1460" w:type="dxa"/>
            <w:vMerge/>
            <w:shd w:val="clear" w:color="auto" w:fill="A6A6A6" w:themeFill="background1" w:themeFillShade="A6"/>
            <w:vAlign w:val="center"/>
          </w:tcPr>
          <w:p w14:paraId="2B278F98"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7BC79D6"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625DF0DD" w14:textId="77777777" w:rsidTr="00D92DEF">
        <w:trPr>
          <w:trHeight w:val="20"/>
          <w:jc w:val="center"/>
        </w:trPr>
        <w:tc>
          <w:tcPr>
            <w:tcW w:w="2668" w:type="dxa"/>
            <w:vMerge/>
            <w:shd w:val="clear" w:color="auto" w:fill="A6A6A6" w:themeFill="background1" w:themeFillShade="A6"/>
            <w:vAlign w:val="center"/>
          </w:tcPr>
          <w:p w14:paraId="402019EB"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2A8F30ED" w14:textId="77777777" w:rsidR="000B1B06" w:rsidRPr="00C9666A" w:rsidRDefault="000B1B06" w:rsidP="00D92DEF">
            <w:pPr>
              <w:spacing w:after="0"/>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Tulúm</w:t>
            </w:r>
            <w:proofErr w:type="spellEnd"/>
          </w:p>
        </w:tc>
        <w:tc>
          <w:tcPr>
            <w:tcW w:w="1422" w:type="dxa"/>
            <w:shd w:val="clear" w:color="auto" w:fill="A6A6A6" w:themeFill="background1" w:themeFillShade="A6"/>
          </w:tcPr>
          <w:p w14:paraId="5254C4CB"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190E91A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4,738</w:t>
            </w:r>
          </w:p>
        </w:tc>
        <w:tc>
          <w:tcPr>
            <w:tcW w:w="815" w:type="dxa"/>
            <w:shd w:val="clear" w:color="auto" w:fill="A6A6A6" w:themeFill="background1" w:themeFillShade="A6"/>
            <w:vAlign w:val="center"/>
            <w:hideMark/>
          </w:tcPr>
          <w:p w14:paraId="5EF5F7A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8,204</w:t>
            </w:r>
          </w:p>
        </w:tc>
        <w:tc>
          <w:tcPr>
            <w:tcW w:w="651" w:type="dxa"/>
            <w:shd w:val="clear" w:color="auto" w:fill="A6A6A6" w:themeFill="background1" w:themeFillShade="A6"/>
            <w:vAlign w:val="center"/>
            <w:hideMark/>
          </w:tcPr>
          <w:p w14:paraId="1D2A888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3,466</w:t>
            </w:r>
          </w:p>
        </w:tc>
        <w:tc>
          <w:tcPr>
            <w:tcW w:w="770" w:type="dxa"/>
            <w:shd w:val="clear" w:color="auto" w:fill="A6A6A6" w:themeFill="background1" w:themeFillShade="A6"/>
            <w:vAlign w:val="center"/>
            <w:hideMark/>
          </w:tcPr>
          <w:p w14:paraId="03C55C9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6,914</w:t>
            </w:r>
          </w:p>
        </w:tc>
        <w:tc>
          <w:tcPr>
            <w:tcW w:w="815" w:type="dxa"/>
            <w:shd w:val="clear" w:color="auto" w:fill="A6A6A6" w:themeFill="background1" w:themeFillShade="A6"/>
            <w:vAlign w:val="center"/>
            <w:hideMark/>
          </w:tcPr>
          <w:p w14:paraId="457EF99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9,760</w:t>
            </w:r>
          </w:p>
        </w:tc>
        <w:tc>
          <w:tcPr>
            <w:tcW w:w="627" w:type="dxa"/>
            <w:shd w:val="clear" w:color="auto" w:fill="A6A6A6" w:themeFill="background1" w:themeFillShade="A6"/>
            <w:vAlign w:val="center"/>
            <w:hideMark/>
          </w:tcPr>
          <w:p w14:paraId="333A91D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2,847</w:t>
            </w:r>
          </w:p>
        </w:tc>
        <w:tc>
          <w:tcPr>
            <w:tcW w:w="1460" w:type="dxa"/>
            <w:vMerge/>
            <w:shd w:val="clear" w:color="auto" w:fill="A6A6A6" w:themeFill="background1" w:themeFillShade="A6"/>
            <w:vAlign w:val="center"/>
          </w:tcPr>
          <w:p w14:paraId="68F9B979"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F4D4507"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2C0F5B63" w14:textId="77777777" w:rsidTr="00D92DEF">
        <w:trPr>
          <w:trHeight w:val="20"/>
          <w:jc w:val="center"/>
        </w:trPr>
        <w:tc>
          <w:tcPr>
            <w:tcW w:w="2668" w:type="dxa"/>
            <w:vMerge/>
            <w:shd w:val="clear" w:color="auto" w:fill="A6A6A6" w:themeFill="background1" w:themeFillShade="A6"/>
            <w:vAlign w:val="center"/>
          </w:tcPr>
          <w:p w14:paraId="48EE2786"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736F265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Cd. Valles</w:t>
            </w:r>
          </w:p>
        </w:tc>
        <w:tc>
          <w:tcPr>
            <w:tcW w:w="1422" w:type="dxa"/>
            <w:shd w:val="clear" w:color="auto" w:fill="A6A6A6" w:themeFill="background1" w:themeFillShade="A6"/>
          </w:tcPr>
          <w:p w14:paraId="0A1E5EE1"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A2A82A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5,041</w:t>
            </w:r>
          </w:p>
        </w:tc>
        <w:tc>
          <w:tcPr>
            <w:tcW w:w="815" w:type="dxa"/>
            <w:shd w:val="clear" w:color="auto" w:fill="A6A6A6" w:themeFill="background1" w:themeFillShade="A6"/>
            <w:vAlign w:val="center"/>
            <w:hideMark/>
          </w:tcPr>
          <w:p w14:paraId="5BE415B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6,168</w:t>
            </w:r>
          </w:p>
        </w:tc>
        <w:tc>
          <w:tcPr>
            <w:tcW w:w="651" w:type="dxa"/>
            <w:shd w:val="clear" w:color="auto" w:fill="A6A6A6" w:themeFill="background1" w:themeFillShade="A6"/>
            <w:vAlign w:val="center"/>
            <w:hideMark/>
          </w:tcPr>
          <w:p w14:paraId="5822ED4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1,127</w:t>
            </w:r>
          </w:p>
        </w:tc>
        <w:tc>
          <w:tcPr>
            <w:tcW w:w="770" w:type="dxa"/>
            <w:shd w:val="clear" w:color="auto" w:fill="A6A6A6" w:themeFill="background1" w:themeFillShade="A6"/>
            <w:vAlign w:val="center"/>
            <w:hideMark/>
          </w:tcPr>
          <w:p w14:paraId="4EF5425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7,453</w:t>
            </w:r>
          </w:p>
        </w:tc>
        <w:tc>
          <w:tcPr>
            <w:tcW w:w="815" w:type="dxa"/>
            <w:shd w:val="clear" w:color="auto" w:fill="A6A6A6" w:themeFill="background1" w:themeFillShade="A6"/>
            <w:vAlign w:val="center"/>
            <w:hideMark/>
          </w:tcPr>
          <w:p w14:paraId="31FEC804"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8,070</w:t>
            </w:r>
          </w:p>
        </w:tc>
        <w:tc>
          <w:tcPr>
            <w:tcW w:w="627" w:type="dxa"/>
            <w:shd w:val="clear" w:color="auto" w:fill="A6A6A6" w:themeFill="background1" w:themeFillShade="A6"/>
            <w:vAlign w:val="center"/>
            <w:hideMark/>
          </w:tcPr>
          <w:p w14:paraId="164C151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618</w:t>
            </w:r>
          </w:p>
        </w:tc>
        <w:tc>
          <w:tcPr>
            <w:tcW w:w="1460" w:type="dxa"/>
            <w:vMerge/>
            <w:shd w:val="clear" w:color="auto" w:fill="A6A6A6" w:themeFill="background1" w:themeFillShade="A6"/>
            <w:vAlign w:val="center"/>
          </w:tcPr>
          <w:p w14:paraId="7FD148A6"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1ADD04D7"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5BF50D91" w14:textId="77777777" w:rsidTr="00D92DEF">
        <w:trPr>
          <w:trHeight w:val="20"/>
          <w:jc w:val="center"/>
        </w:trPr>
        <w:tc>
          <w:tcPr>
            <w:tcW w:w="2668" w:type="dxa"/>
            <w:vMerge/>
            <w:shd w:val="clear" w:color="auto" w:fill="A6A6A6" w:themeFill="background1" w:themeFillShade="A6"/>
            <w:vAlign w:val="center"/>
          </w:tcPr>
          <w:p w14:paraId="6431B00B"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13B6FFC"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Cd. Mante</w:t>
            </w:r>
          </w:p>
        </w:tc>
        <w:tc>
          <w:tcPr>
            <w:tcW w:w="1422" w:type="dxa"/>
            <w:shd w:val="clear" w:color="auto" w:fill="A6A6A6" w:themeFill="background1" w:themeFillShade="A6"/>
          </w:tcPr>
          <w:p w14:paraId="4043F628"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0A472DA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7,827</w:t>
            </w:r>
          </w:p>
        </w:tc>
        <w:tc>
          <w:tcPr>
            <w:tcW w:w="815" w:type="dxa"/>
            <w:shd w:val="clear" w:color="auto" w:fill="A6A6A6" w:themeFill="background1" w:themeFillShade="A6"/>
            <w:vAlign w:val="center"/>
            <w:hideMark/>
          </w:tcPr>
          <w:p w14:paraId="67B03B2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6EDB652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2,173</w:t>
            </w:r>
          </w:p>
        </w:tc>
        <w:tc>
          <w:tcPr>
            <w:tcW w:w="770" w:type="dxa"/>
            <w:shd w:val="clear" w:color="auto" w:fill="A6A6A6" w:themeFill="background1" w:themeFillShade="A6"/>
            <w:vAlign w:val="center"/>
            <w:hideMark/>
          </w:tcPr>
          <w:p w14:paraId="71C42BE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9,615</w:t>
            </w:r>
          </w:p>
        </w:tc>
        <w:tc>
          <w:tcPr>
            <w:tcW w:w="815" w:type="dxa"/>
            <w:shd w:val="clear" w:color="auto" w:fill="A6A6A6" w:themeFill="background1" w:themeFillShade="A6"/>
            <w:vAlign w:val="center"/>
            <w:hideMark/>
          </w:tcPr>
          <w:p w14:paraId="0DD6547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7272BDE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385</w:t>
            </w:r>
          </w:p>
        </w:tc>
        <w:tc>
          <w:tcPr>
            <w:tcW w:w="1460" w:type="dxa"/>
            <w:vMerge/>
            <w:shd w:val="clear" w:color="auto" w:fill="A6A6A6" w:themeFill="background1" w:themeFillShade="A6"/>
            <w:vAlign w:val="center"/>
          </w:tcPr>
          <w:p w14:paraId="36EB557A"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7D3B0328"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3E26CC61" w14:textId="77777777" w:rsidTr="00D92DEF">
        <w:trPr>
          <w:trHeight w:val="20"/>
          <w:jc w:val="center"/>
        </w:trPr>
        <w:tc>
          <w:tcPr>
            <w:tcW w:w="2668" w:type="dxa"/>
            <w:vMerge/>
            <w:shd w:val="clear" w:color="auto" w:fill="A6A6A6" w:themeFill="background1" w:themeFillShade="A6"/>
            <w:vAlign w:val="center"/>
          </w:tcPr>
          <w:p w14:paraId="63164D37"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99D132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Coatzacoalcos</w:t>
            </w:r>
          </w:p>
        </w:tc>
        <w:tc>
          <w:tcPr>
            <w:tcW w:w="1422" w:type="dxa"/>
            <w:shd w:val="clear" w:color="auto" w:fill="A6A6A6" w:themeFill="background1" w:themeFillShade="A6"/>
          </w:tcPr>
          <w:p w14:paraId="49F435F4"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8C69E5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4,635</w:t>
            </w:r>
          </w:p>
        </w:tc>
        <w:tc>
          <w:tcPr>
            <w:tcW w:w="815" w:type="dxa"/>
            <w:shd w:val="clear" w:color="auto" w:fill="A6A6A6" w:themeFill="background1" w:themeFillShade="A6"/>
            <w:vAlign w:val="center"/>
            <w:hideMark/>
          </w:tcPr>
          <w:p w14:paraId="36B655F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7,194</w:t>
            </w:r>
          </w:p>
        </w:tc>
        <w:tc>
          <w:tcPr>
            <w:tcW w:w="651" w:type="dxa"/>
            <w:shd w:val="clear" w:color="auto" w:fill="A6A6A6" w:themeFill="background1" w:themeFillShade="A6"/>
            <w:vAlign w:val="center"/>
            <w:hideMark/>
          </w:tcPr>
          <w:p w14:paraId="0C0D9C9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2,559</w:t>
            </w:r>
          </w:p>
        </w:tc>
        <w:tc>
          <w:tcPr>
            <w:tcW w:w="770" w:type="dxa"/>
            <w:shd w:val="clear" w:color="auto" w:fill="A6A6A6" w:themeFill="background1" w:themeFillShade="A6"/>
            <w:vAlign w:val="center"/>
            <w:hideMark/>
          </w:tcPr>
          <w:p w14:paraId="013CD98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7,322</w:t>
            </w:r>
          </w:p>
        </w:tc>
        <w:tc>
          <w:tcPr>
            <w:tcW w:w="815" w:type="dxa"/>
            <w:shd w:val="clear" w:color="auto" w:fill="A6A6A6" w:themeFill="background1" w:themeFillShade="A6"/>
            <w:vAlign w:val="center"/>
            <w:hideMark/>
          </w:tcPr>
          <w:p w14:paraId="1671918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9,239</w:t>
            </w:r>
          </w:p>
        </w:tc>
        <w:tc>
          <w:tcPr>
            <w:tcW w:w="627" w:type="dxa"/>
            <w:shd w:val="clear" w:color="auto" w:fill="A6A6A6" w:themeFill="background1" w:themeFillShade="A6"/>
            <w:vAlign w:val="center"/>
            <w:hideMark/>
          </w:tcPr>
          <w:p w14:paraId="1DE94D4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1,917</w:t>
            </w:r>
          </w:p>
        </w:tc>
        <w:tc>
          <w:tcPr>
            <w:tcW w:w="1460" w:type="dxa"/>
            <w:vMerge/>
            <w:shd w:val="clear" w:color="auto" w:fill="A6A6A6" w:themeFill="background1" w:themeFillShade="A6"/>
            <w:vAlign w:val="center"/>
          </w:tcPr>
          <w:p w14:paraId="1A4567BB"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73A93A19"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4667EB34" w14:textId="77777777" w:rsidTr="00D92DEF">
        <w:trPr>
          <w:trHeight w:val="20"/>
          <w:jc w:val="center"/>
        </w:trPr>
        <w:tc>
          <w:tcPr>
            <w:tcW w:w="2668" w:type="dxa"/>
            <w:vMerge/>
            <w:shd w:val="clear" w:color="auto" w:fill="A6A6A6" w:themeFill="background1" w:themeFillShade="A6"/>
            <w:vAlign w:val="center"/>
          </w:tcPr>
          <w:p w14:paraId="717B67B2"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26461C4A"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Coatzintla</w:t>
            </w:r>
          </w:p>
        </w:tc>
        <w:tc>
          <w:tcPr>
            <w:tcW w:w="1422" w:type="dxa"/>
            <w:shd w:val="clear" w:color="auto" w:fill="A6A6A6" w:themeFill="background1" w:themeFillShade="A6"/>
          </w:tcPr>
          <w:p w14:paraId="6AB809D6"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315E577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7,133</w:t>
            </w:r>
          </w:p>
        </w:tc>
        <w:tc>
          <w:tcPr>
            <w:tcW w:w="815" w:type="dxa"/>
            <w:shd w:val="clear" w:color="auto" w:fill="A6A6A6" w:themeFill="background1" w:themeFillShade="A6"/>
            <w:vAlign w:val="center"/>
            <w:hideMark/>
          </w:tcPr>
          <w:p w14:paraId="0B4E72A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5B92601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2,867</w:t>
            </w:r>
          </w:p>
        </w:tc>
        <w:tc>
          <w:tcPr>
            <w:tcW w:w="770" w:type="dxa"/>
            <w:shd w:val="clear" w:color="auto" w:fill="A6A6A6" w:themeFill="background1" w:themeFillShade="A6"/>
            <w:vAlign w:val="center"/>
            <w:hideMark/>
          </w:tcPr>
          <w:p w14:paraId="197E2FC0"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9,192</w:t>
            </w:r>
          </w:p>
        </w:tc>
        <w:tc>
          <w:tcPr>
            <w:tcW w:w="815" w:type="dxa"/>
            <w:shd w:val="clear" w:color="auto" w:fill="A6A6A6" w:themeFill="background1" w:themeFillShade="A6"/>
            <w:vAlign w:val="center"/>
            <w:hideMark/>
          </w:tcPr>
          <w:p w14:paraId="18FA8BD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5ED3FF63"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808</w:t>
            </w:r>
          </w:p>
        </w:tc>
        <w:tc>
          <w:tcPr>
            <w:tcW w:w="1460" w:type="dxa"/>
            <w:vMerge/>
            <w:shd w:val="clear" w:color="auto" w:fill="A6A6A6" w:themeFill="background1" w:themeFillShade="A6"/>
            <w:vAlign w:val="center"/>
          </w:tcPr>
          <w:p w14:paraId="05F966F7"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BEFB7B8"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77ABC90B" w14:textId="77777777" w:rsidTr="00D92DEF">
        <w:trPr>
          <w:trHeight w:val="20"/>
          <w:jc w:val="center"/>
        </w:trPr>
        <w:tc>
          <w:tcPr>
            <w:tcW w:w="2668" w:type="dxa"/>
            <w:vMerge/>
            <w:shd w:val="clear" w:color="auto" w:fill="A6A6A6" w:themeFill="background1" w:themeFillShade="A6"/>
            <w:vAlign w:val="center"/>
          </w:tcPr>
          <w:p w14:paraId="1BB7102C"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58F41923"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Minatitlán</w:t>
            </w:r>
          </w:p>
        </w:tc>
        <w:tc>
          <w:tcPr>
            <w:tcW w:w="1422" w:type="dxa"/>
            <w:shd w:val="clear" w:color="auto" w:fill="A6A6A6" w:themeFill="background1" w:themeFillShade="A6"/>
          </w:tcPr>
          <w:p w14:paraId="2775338D"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564767E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8,316</w:t>
            </w:r>
          </w:p>
        </w:tc>
        <w:tc>
          <w:tcPr>
            <w:tcW w:w="815" w:type="dxa"/>
            <w:shd w:val="clear" w:color="auto" w:fill="A6A6A6" w:themeFill="background1" w:themeFillShade="A6"/>
            <w:vAlign w:val="center"/>
            <w:hideMark/>
          </w:tcPr>
          <w:p w14:paraId="0C6A3E9F"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51" w:type="dxa"/>
            <w:shd w:val="clear" w:color="auto" w:fill="A6A6A6" w:themeFill="background1" w:themeFillShade="A6"/>
            <w:vAlign w:val="center"/>
            <w:hideMark/>
          </w:tcPr>
          <w:p w14:paraId="62F11F98"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1,684</w:t>
            </w:r>
          </w:p>
        </w:tc>
        <w:tc>
          <w:tcPr>
            <w:tcW w:w="770" w:type="dxa"/>
            <w:shd w:val="clear" w:color="auto" w:fill="A6A6A6" w:themeFill="background1" w:themeFillShade="A6"/>
            <w:vAlign w:val="center"/>
            <w:hideMark/>
          </w:tcPr>
          <w:p w14:paraId="5755EF2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9,795</w:t>
            </w:r>
          </w:p>
        </w:tc>
        <w:tc>
          <w:tcPr>
            <w:tcW w:w="815" w:type="dxa"/>
            <w:shd w:val="clear" w:color="auto" w:fill="A6A6A6" w:themeFill="background1" w:themeFillShade="A6"/>
            <w:vAlign w:val="center"/>
            <w:hideMark/>
          </w:tcPr>
          <w:p w14:paraId="16C451F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0489E779"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205</w:t>
            </w:r>
          </w:p>
        </w:tc>
        <w:tc>
          <w:tcPr>
            <w:tcW w:w="1460" w:type="dxa"/>
            <w:vMerge/>
            <w:shd w:val="clear" w:color="auto" w:fill="A6A6A6" w:themeFill="background1" w:themeFillShade="A6"/>
            <w:vAlign w:val="center"/>
          </w:tcPr>
          <w:p w14:paraId="3981C5E7"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2920A8E"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49D915EA" w14:textId="77777777" w:rsidTr="00D92DEF">
        <w:trPr>
          <w:trHeight w:val="20"/>
          <w:jc w:val="center"/>
        </w:trPr>
        <w:tc>
          <w:tcPr>
            <w:tcW w:w="2668" w:type="dxa"/>
            <w:vMerge/>
            <w:shd w:val="clear" w:color="auto" w:fill="A6A6A6" w:themeFill="background1" w:themeFillShade="A6"/>
            <w:vAlign w:val="center"/>
          </w:tcPr>
          <w:p w14:paraId="144C9493"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58EC7C54"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Poza Rica</w:t>
            </w:r>
          </w:p>
        </w:tc>
        <w:tc>
          <w:tcPr>
            <w:tcW w:w="1422" w:type="dxa"/>
            <w:shd w:val="clear" w:color="auto" w:fill="A6A6A6" w:themeFill="background1" w:themeFillShade="A6"/>
          </w:tcPr>
          <w:p w14:paraId="036A93D0"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2AB53841"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6,402</w:t>
            </w:r>
          </w:p>
        </w:tc>
        <w:tc>
          <w:tcPr>
            <w:tcW w:w="815" w:type="dxa"/>
            <w:shd w:val="clear" w:color="auto" w:fill="A6A6A6" w:themeFill="background1" w:themeFillShade="A6"/>
            <w:vAlign w:val="center"/>
            <w:hideMark/>
          </w:tcPr>
          <w:p w14:paraId="053BD71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9,991</w:t>
            </w:r>
          </w:p>
        </w:tc>
        <w:tc>
          <w:tcPr>
            <w:tcW w:w="651" w:type="dxa"/>
            <w:shd w:val="clear" w:color="auto" w:fill="A6A6A6" w:themeFill="background1" w:themeFillShade="A6"/>
            <w:vAlign w:val="center"/>
            <w:hideMark/>
          </w:tcPr>
          <w:p w14:paraId="63B7D0D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3,589</w:t>
            </w:r>
          </w:p>
        </w:tc>
        <w:tc>
          <w:tcPr>
            <w:tcW w:w="770" w:type="dxa"/>
            <w:shd w:val="clear" w:color="auto" w:fill="A6A6A6" w:themeFill="background1" w:themeFillShade="A6"/>
            <w:vAlign w:val="center"/>
            <w:hideMark/>
          </w:tcPr>
          <w:p w14:paraId="1DD3C47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8,429</w:t>
            </w:r>
          </w:p>
        </w:tc>
        <w:tc>
          <w:tcPr>
            <w:tcW w:w="815" w:type="dxa"/>
            <w:shd w:val="clear" w:color="auto" w:fill="A6A6A6" w:themeFill="background1" w:themeFillShade="A6"/>
            <w:vAlign w:val="center"/>
            <w:hideMark/>
          </w:tcPr>
          <w:p w14:paraId="6025B6F7"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10,000</w:t>
            </w:r>
          </w:p>
        </w:tc>
        <w:tc>
          <w:tcPr>
            <w:tcW w:w="627" w:type="dxa"/>
            <w:shd w:val="clear" w:color="auto" w:fill="A6A6A6" w:themeFill="background1" w:themeFillShade="A6"/>
            <w:vAlign w:val="center"/>
            <w:hideMark/>
          </w:tcPr>
          <w:p w14:paraId="21E90D7B"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1,571</w:t>
            </w:r>
          </w:p>
        </w:tc>
        <w:tc>
          <w:tcPr>
            <w:tcW w:w="1460" w:type="dxa"/>
            <w:vMerge/>
            <w:shd w:val="clear" w:color="auto" w:fill="A6A6A6" w:themeFill="background1" w:themeFillShade="A6"/>
            <w:vAlign w:val="center"/>
          </w:tcPr>
          <w:p w14:paraId="04B6E2CE"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7727B85F" w14:textId="77777777" w:rsidR="000B1B06" w:rsidRPr="00C9666A" w:rsidRDefault="000B1B06" w:rsidP="00D92DEF">
            <w:pPr>
              <w:spacing w:after="0"/>
              <w:rPr>
                <w:rFonts w:ascii="Arial" w:eastAsia="Times New Roman" w:hAnsi="Arial" w:cs="Arial"/>
                <w:color w:val="000000"/>
                <w:sz w:val="16"/>
                <w:szCs w:val="16"/>
                <w:lang w:eastAsia="es-MX"/>
              </w:rPr>
            </w:pPr>
          </w:p>
        </w:tc>
      </w:tr>
      <w:tr w:rsidR="000B1B06" w:rsidRPr="00C9666A" w14:paraId="689296FE" w14:textId="77777777" w:rsidTr="00D92DEF">
        <w:trPr>
          <w:trHeight w:val="20"/>
          <w:jc w:val="center"/>
        </w:trPr>
        <w:tc>
          <w:tcPr>
            <w:tcW w:w="2668" w:type="dxa"/>
            <w:vMerge/>
            <w:shd w:val="clear" w:color="auto" w:fill="A6A6A6" w:themeFill="background1" w:themeFillShade="A6"/>
            <w:vAlign w:val="center"/>
          </w:tcPr>
          <w:p w14:paraId="282A8029" w14:textId="77777777" w:rsidR="000B1B06" w:rsidRPr="00C9666A" w:rsidRDefault="000B1B06"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018369AF" w14:textId="77777777" w:rsidR="000B1B06" w:rsidRPr="00C9666A" w:rsidRDefault="000B1B06"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Mérida</w:t>
            </w:r>
          </w:p>
        </w:tc>
        <w:tc>
          <w:tcPr>
            <w:tcW w:w="1422" w:type="dxa"/>
            <w:shd w:val="clear" w:color="auto" w:fill="A6A6A6" w:themeFill="background1" w:themeFillShade="A6"/>
          </w:tcPr>
          <w:p w14:paraId="297A0850" w14:textId="77777777" w:rsidR="000B1B06" w:rsidRPr="00C9666A" w:rsidRDefault="00BF5994"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99D9F35"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5,224</w:t>
            </w:r>
          </w:p>
        </w:tc>
        <w:tc>
          <w:tcPr>
            <w:tcW w:w="815" w:type="dxa"/>
            <w:shd w:val="clear" w:color="auto" w:fill="A6A6A6" w:themeFill="background1" w:themeFillShade="A6"/>
            <w:vAlign w:val="center"/>
            <w:hideMark/>
          </w:tcPr>
          <w:p w14:paraId="3EF197CC"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6,566</w:t>
            </w:r>
          </w:p>
        </w:tc>
        <w:tc>
          <w:tcPr>
            <w:tcW w:w="651" w:type="dxa"/>
            <w:shd w:val="clear" w:color="auto" w:fill="A6A6A6" w:themeFill="background1" w:themeFillShade="A6"/>
            <w:vAlign w:val="center"/>
            <w:hideMark/>
          </w:tcPr>
          <w:p w14:paraId="55593FA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1,342</w:t>
            </w:r>
          </w:p>
        </w:tc>
        <w:tc>
          <w:tcPr>
            <w:tcW w:w="770" w:type="dxa"/>
            <w:shd w:val="clear" w:color="auto" w:fill="A6A6A6" w:themeFill="background1" w:themeFillShade="A6"/>
            <w:vAlign w:val="center"/>
            <w:hideMark/>
          </w:tcPr>
          <w:p w14:paraId="5BECD67E"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8,126</w:t>
            </w:r>
          </w:p>
        </w:tc>
        <w:tc>
          <w:tcPr>
            <w:tcW w:w="815" w:type="dxa"/>
            <w:shd w:val="clear" w:color="auto" w:fill="A6A6A6" w:themeFill="background1" w:themeFillShade="A6"/>
            <w:vAlign w:val="center"/>
            <w:hideMark/>
          </w:tcPr>
          <w:p w14:paraId="27ED8946"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8,749</w:t>
            </w:r>
          </w:p>
        </w:tc>
        <w:tc>
          <w:tcPr>
            <w:tcW w:w="627" w:type="dxa"/>
            <w:shd w:val="clear" w:color="auto" w:fill="A6A6A6" w:themeFill="background1" w:themeFillShade="A6"/>
            <w:vAlign w:val="center"/>
            <w:hideMark/>
          </w:tcPr>
          <w:p w14:paraId="5EB812AD" w14:textId="77777777" w:rsidR="000B1B06" w:rsidRPr="00C9666A" w:rsidRDefault="000B1B0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623</w:t>
            </w:r>
          </w:p>
        </w:tc>
        <w:tc>
          <w:tcPr>
            <w:tcW w:w="1460" w:type="dxa"/>
            <w:vMerge/>
            <w:shd w:val="clear" w:color="auto" w:fill="A6A6A6" w:themeFill="background1" w:themeFillShade="A6"/>
            <w:vAlign w:val="center"/>
          </w:tcPr>
          <w:p w14:paraId="56B1654A" w14:textId="77777777" w:rsidR="000B1B06" w:rsidRPr="00C9666A" w:rsidRDefault="000B1B06"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6E87BE0B" w14:textId="77777777" w:rsidR="000B1B06" w:rsidRPr="00C9666A" w:rsidRDefault="000B1B06" w:rsidP="00D92DEF">
            <w:pPr>
              <w:spacing w:after="0"/>
              <w:rPr>
                <w:rFonts w:ascii="Arial" w:eastAsia="Times New Roman" w:hAnsi="Arial" w:cs="Arial"/>
                <w:color w:val="000000"/>
                <w:sz w:val="16"/>
                <w:szCs w:val="16"/>
                <w:lang w:eastAsia="es-MX"/>
              </w:rPr>
            </w:pPr>
          </w:p>
        </w:tc>
      </w:tr>
      <w:tr w:rsidR="00F47524" w:rsidRPr="00C9666A" w14:paraId="4E0278BA" w14:textId="77777777" w:rsidTr="00D92DEF">
        <w:trPr>
          <w:trHeight w:val="620"/>
          <w:jc w:val="center"/>
        </w:trPr>
        <w:tc>
          <w:tcPr>
            <w:tcW w:w="2668" w:type="dxa"/>
            <w:vMerge w:val="restart"/>
            <w:shd w:val="clear" w:color="auto" w:fill="D9D9D9" w:themeFill="background1" w:themeFillShade="D9"/>
            <w:vAlign w:val="center"/>
          </w:tcPr>
          <w:p w14:paraId="5AB776CC"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Grupo Televisa, S.A.B., Corporativo Vasco de Quiroga, S.A. de C.V. y GSF Telecom Holdings, S.A.P.I. de C.V.</w:t>
            </w:r>
          </w:p>
        </w:tc>
        <w:tc>
          <w:tcPr>
            <w:tcW w:w="1836" w:type="dxa"/>
            <w:shd w:val="clear" w:color="auto" w:fill="D9D9D9" w:themeFill="background1" w:themeFillShade="D9"/>
            <w:vAlign w:val="center"/>
          </w:tcPr>
          <w:p w14:paraId="4B5558DC"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TV restringida</w:t>
            </w:r>
          </w:p>
        </w:tc>
        <w:tc>
          <w:tcPr>
            <w:tcW w:w="1422" w:type="dxa"/>
            <w:shd w:val="clear" w:color="auto" w:fill="D9D9D9" w:themeFill="background1" w:themeFillShade="D9"/>
            <w:vAlign w:val="center"/>
            <w:hideMark/>
          </w:tcPr>
          <w:p w14:paraId="243EC737" w14:textId="77777777" w:rsidR="00F47524" w:rsidRPr="00C9666A" w:rsidRDefault="00C440F9"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D9D9D9" w:themeFill="background1" w:themeFillShade="D9"/>
            <w:vAlign w:val="center"/>
            <w:hideMark/>
          </w:tcPr>
          <w:p w14:paraId="176D53E9"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5,219.30</w:t>
            </w:r>
          </w:p>
        </w:tc>
        <w:tc>
          <w:tcPr>
            <w:tcW w:w="815" w:type="dxa"/>
            <w:shd w:val="clear" w:color="auto" w:fill="D9D9D9" w:themeFill="background1" w:themeFillShade="D9"/>
            <w:vAlign w:val="center"/>
            <w:hideMark/>
          </w:tcPr>
          <w:p w14:paraId="5838DDB2"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5,226.80</w:t>
            </w:r>
          </w:p>
        </w:tc>
        <w:tc>
          <w:tcPr>
            <w:tcW w:w="651" w:type="dxa"/>
            <w:shd w:val="clear" w:color="auto" w:fill="D9D9D9" w:themeFill="background1" w:themeFillShade="D9"/>
            <w:vAlign w:val="center"/>
            <w:hideMark/>
          </w:tcPr>
          <w:p w14:paraId="189DDD84"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7.5</w:t>
            </w:r>
          </w:p>
        </w:tc>
        <w:tc>
          <w:tcPr>
            <w:tcW w:w="770" w:type="dxa"/>
            <w:shd w:val="clear" w:color="auto" w:fill="D9D9D9" w:themeFill="background1" w:themeFillShade="D9"/>
            <w:vAlign w:val="center"/>
            <w:hideMark/>
          </w:tcPr>
          <w:p w14:paraId="7B47E159"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6,819.30</w:t>
            </w:r>
          </w:p>
        </w:tc>
        <w:tc>
          <w:tcPr>
            <w:tcW w:w="815" w:type="dxa"/>
            <w:shd w:val="clear" w:color="auto" w:fill="D9D9D9" w:themeFill="background1" w:themeFillShade="D9"/>
            <w:vAlign w:val="center"/>
            <w:hideMark/>
          </w:tcPr>
          <w:p w14:paraId="0F9D0FB7"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6,822.80</w:t>
            </w:r>
          </w:p>
        </w:tc>
        <w:tc>
          <w:tcPr>
            <w:tcW w:w="627" w:type="dxa"/>
            <w:shd w:val="clear" w:color="auto" w:fill="D9D9D9" w:themeFill="background1" w:themeFillShade="D9"/>
            <w:vAlign w:val="center"/>
            <w:hideMark/>
          </w:tcPr>
          <w:p w14:paraId="1770A70A"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w:t>
            </w:r>
          </w:p>
        </w:tc>
        <w:tc>
          <w:tcPr>
            <w:tcW w:w="1460" w:type="dxa"/>
            <w:vMerge w:val="restart"/>
            <w:shd w:val="clear" w:color="auto" w:fill="D9D9D9" w:themeFill="background1" w:themeFillShade="D9"/>
            <w:vAlign w:val="center"/>
          </w:tcPr>
          <w:p w14:paraId="57C4F004" w14:textId="77777777" w:rsidR="00F47524" w:rsidRPr="00C9666A" w:rsidRDefault="00975116"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E</w:t>
            </w:r>
            <w:r w:rsidR="00F47524" w:rsidRPr="00C9666A">
              <w:rPr>
                <w:rFonts w:ascii="Arial" w:eastAsia="Times New Roman" w:hAnsi="Arial" w:cs="Arial"/>
                <w:color w:val="000000"/>
                <w:sz w:val="16"/>
                <w:szCs w:val="16"/>
                <w:lang w:eastAsia="es-MX"/>
              </w:rPr>
              <w:t xml:space="preserve">n Reconsideración se autorizó </w:t>
            </w:r>
            <w:r w:rsidRPr="00C9666A">
              <w:rPr>
                <w:rFonts w:ascii="Arial" w:eastAsia="Times New Roman" w:hAnsi="Arial" w:cs="Arial"/>
                <w:color w:val="000000"/>
                <w:sz w:val="16"/>
                <w:szCs w:val="16"/>
                <w:lang w:eastAsia="es-MX"/>
              </w:rPr>
              <w:t xml:space="preserve">sujeto a </w:t>
            </w:r>
            <w:r w:rsidR="00F47524" w:rsidRPr="00C9666A">
              <w:rPr>
                <w:rFonts w:ascii="Arial" w:eastAsia="Times New Roman" w:hAnsi="Arial" w:cs="Arial"/>
                <w:color w:val="000000"/>
                <w:sz w:val="16"/>
                <w:szCs w:val="16"/>
                <w:lang w:eastAsia="es-MX"/>
              </w:rPr>
              <w:t>condiciones</w:t>
            </w:r>
          </w:p>
        </w:tc>
        <w:tc>
          <w:tcPr>
            <w:tcW w:w="1013" w:type="dxa"/>
            <w:vMerge w:val="restart"/>
            <w:shd w:val="clear" w:color="auto" w:fill="D9D9D9" w:themeFill="background1" w:themeFillShade="D9"/>
            <w:vAlign w:val="center"/>
          </w:tcPr>
          <w:p w14:paraId="3938AAF0"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24/01/2012</w:t>
            </w:r>
          </w:p>
        </w:tc>
      </w:tr>
      <w:tr w:rsidR="00F47524" w:rsidRPr="00C9666A" w14:paraId="75386D6A" w14:textId="77777777" w:rsidTr="00D92DEF">
        <w:trPr>
          <w:trHeight w:val="701"/>
          <w:jc w:val="center"/>
        </w:trPr>
        <w:tc>
          <w:tcPr>
            <w:tcW w:w="2668" w:type="dxa"/>
            <w:vMerge/>
            <w:shd w:val="clear" w:color="auto" w:fill="D9D9D9" w:themeFill="background1" w:themeFillShade="D9"/>
            <w:vAlign w:val="center"/>
          </w:tcPr>
          <w:p w14:paraId="4FDE529C" w14:textId="77777777" w:rsidR="00F47524" w:rsidRPr="00C9666A" w:rsidRDefault="00F47524" w:rsidP="00D92DEF">
            <w:pPr>
              <w:spacing w:after="0"/>
              <w:rPr>
                <w:rFonts w:ascii="Arial" w:eastAsia="Times New Roman" w:hAnsi="Arial" w:cs="Arial"/>
                <w:color w:val="000000"/>
                <w:sz w:val="16"/>
                <w:szCs w:val="16"/>
                <w:lang w:eastAsia="es-MX"/>
              </w:rPr>
            </w:pPr>
          </w:p>
        </w:tc>
        <w:tc>
          <w:tcPr>
            <w:tcW w:w="1836" w:type="dxa"/>
            <w:shd w:val="clear" w:color="auto" w:fill="D9D9D9" w:themeFill="background1" w:themeFillShade="D9"/>
            <w:vAlign w:val="center"/>
          </w:tcPr>
          <w:p w14:paraId="1F13F8C0"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Acceso a Internet Fijo</w:t>
            </w:r>
          </w:p>
        </w:tc>
        <w:tc>
          <w:tcPr>
            <w:tcW w:w="1422" w:type="dxa"/>
            <w:shd w:val="clear" w:color="auto" w:fill="D9D9D9" w:themeFill="background1" w:themeFillShade="D9"/>
            <w:vAlign w:val="center"/>
            <w:hideMark/>
          </w:tcPr>
          <w:p w14:paraId="5C3A9B90" w14:textId="77777777" w:rsidR="00F47524" w:rsidRPr="00C9666A" w:rsidRDefault="00C440F9"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D9D9D9" w:themeFill="background1" w:themeFillShade="D9"/>
            <w:vAlign w:val="center"/>
            <w:hideMark/>
          </w:tcPr>
          <w:p w14:paraId="4F6EDDE5"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4,078.40</w:t>
            </w:r>
          </w:p>
        </w:tc>
        <w:tc>
          <w:tcPr>
            <w:tcW w:w="815" w:type="dxa"/>
            <w:shd w:val="clear" w:color="auto" w:fill="D9D9D9" w:themeFill="background1" w:themeFillShade="D9"/>
            <w:vAlign w:val="center"/>
            <w:hideMark/>
          </w:tcPr>
          <w:p w14:paraId="6B437A52"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4,078.60</w:t>
            </w:r>
          </w:p>
        </w:tc>
        <w:tc>
          <w:tcPr>
            <w:tcW w:w="651" w:type="dxa"/>
            <w:shd w:val="clear" w:color="auto" w:fill="D9D9D9" w:themeFill="background1" w:themeFillShade="D9"/>
            <w:vAlign w:val="center"/>
            <w:hideMark/>
          </w:tcPr>
          <w:p w14:paraId="16B89DB8"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0.2</w:t>
            </w:r>
          </w:p>
        </w:tc>
        <w:tc>
          <w:tcPr>
            <w:tcW w:w="770" w:type="dxa"/>
            <w:shd w:val="clear" w:color="auto" w:fill="D9D9D9" w:themeFill="background1" w:themeFillShade="D9"/>
            <w:vAlign w:val="center"/>
            <w:hideMark/>
          </w:tcPr>
          <w:p w14:paraId="43874E1F"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6,500.60</w:t>
            </w:r>
          </w:p>
        </w:tc>
        <w:tc>
          <w:tcPr>
            <w:tcW w:w="815" w:type="dxa"/>
            <w:shd w:val="clear" w:color="auto" w:fill="D9D9D9" w:themeFill="background1" w:themeFillShade="D9"/>
            <w:vAlign w:val="center"/>
            <w:hideMark/>
          </w:tcPr>
          <w:p w14:paraId="38CCD088"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6,499.70</w:t>
            </w:r>
          </w:p>
        </w:tc>
        <w:tc>
          <w:tcPr>
            <w:tcW w:w="627" w:type="dxa"/>
            <w:shd w:val="clear" w:color="auto" w:fill="D9D9D9" w:themeFill="background1" w:themeFillShade="D9"/>
            <w:vAlign w:val="center"/>
            <w:hideMark/>
          </w:tcPr>
          <w:p w14:paraId="2468C002"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-0.9</w:t>
            </w:r>
          </w:p>
        </w:tc>
        <w:tc>
          <w:tcPr>
            <w:tcW w:w="1460" w:type="dxa"/>
            <w:vMerge/>
            <w:shd w:val="clear" w:color="auto" w:fill="D9D9D9" w:themeFill="background1" w:themeFillShade="D9"/>
            <w:vAlign w:val="center"/>
          </w:tcPr>
          <w:p w14:paraId="619AD4F5" w14:textId="77777777" w:rsidR="00F47524" w:rsidRPr="00C9666A" w:rsidRDefault="00F47524" w:rsidP="00D92DEF">
            <w:pPr>
              <w:spacing w:after="0"/>
              <w:rPr>
                <w:rFonts w:ascii="Arial" w:eastAsia="Times New Roman" w:hAnsi="Arial" w:cs="Arial"/>
                <w:color w:val="000000"/>
                <w:sz w:val="16"/>
                <w:szCs w:val="16"/>
                <w:lang w:eastAsia="es-MX"/>
              </w:rPr>
            </w:pPr>
          </w:p>
        </w:tc>
        <w:tc>
          <w:tcPr>
            <w:tcW w:w="1013" w:type="dxa"/>
            <w:vMerge/>
            <w:shd w:val="clear" w:color="auto" w:fill="D9D9D9" w:themeFill="background1" w:themeFillShade="D9"/>
            <w:vAlign w:val="center"/>
          </w:tcPr>
          <w:p w14:paraId="0BE898BE" w14:textId="77777777" w:rsidR="00F47524" w:rsidRPr="00C9666A" w:rsidRDefault="00F47524" w:rsidP="00D92DEF">
            <w:pPr>
              <w:spacing w:after="0"/>
              <w:rPr>
                <w:rFonts w:ascii="Arial" w:eastAsia="Times New Roman" w:hAnsi="Arial" w:cs="Arial"/>
                <w:color w:val="000000"/>
                <w:sz w:val="16"/>
                <w:szCs w:val="16"/>
                <w:lang w:eastAsia="es-MX"/>
              </w:rPr>
            </w:pPr>
          </w:p>
        </w:tc>
      </w:tr>
      <w:tr w:rsidR="00F47524" w:rsidRPr="00C9666A" w14:paraId="57A65082" w14:textId="77777777" w:rsidTr="00D92DEF">
        <w:trPr>
          <w:trHeight w:val="20"/>
          <w:jc w:val="center"/>
        </w:trPr>
        <w:tc>
          <w:tcPr>
            <w:tcW w:w="2668" w:type="dxa"/>
            <w:vMerge/>
            <w:shd w:val="clear" w:color="auto" w:fill="D9D9D9" w:themeFill="background1" w:themeFillShade="D9"/>
            <w:vAlign w:val="center"/>
          </w:tcPr>
          <w:p w14:paraId="10CA64C9" w14:textId="77777777" w:rsidR="00F47524" w:rsidRPr="00C9666A" w:rsidRDefault="00F47524" w:rsidP="00D92DEF">
            <w:pPr>
              <w:spacing w:after="0"/>
              <w:rPr>
                <w:rFonts w:ascii="Arial" w:eastAsia="Times New Roman" w:hAnsi="Arial" w:cs="Arial"/>
                <w:color w:val="000000"/>
                <w:sz w:val="16"/>
                <w:szCs w:val="16"/>
                <w:lang w:eastAsia="es-MX"/>
              </w:rPr>
            </w:pPr>
          </w:p>
        </w:tc>
        <w:tc>
          <w:tcPr>
            <w:tcW w:w="1836" w:type="dxa"/>
            <w:shd w:val="clear" w:color="auto" w:fill="D9D9D9" w:themeFill="background1" w:themeFillShade="D9"/>
            <w:vAlign w:val="center"/>
          </w:tcPr>
          <w:p w14:paraId="3F892E70"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Telefonía fija </w:t>
            </w:r>
          </w:p>
        </w:tc>
        <w:tc>
          <w:tcPr>
            <w:tcW w:w="1422" w:type="dxa"/>
            <w:shd w:val="clear" w:color="auto" w:fill="D9D9D9" w:themeFill="background1" w:themeFillShade="D9"/>
            <w:vAlign w:val="center"/>
            <w:hideMark/>
          </w:tcPr>
          <w:p w14:paraId="0CC75A1A" w14:textId="77777777" w:rsidR="00F47524" w:rsidRPr="00C9666A" w:rsidRDefault="00C440F9"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D9D9D9" w:themeFill="background1" w:themeFillShade="D9"/>
            <w:vAlign w:val="center"/>
            <w:hideMark/>
          </w:tcPr>
          <w:p w14:paraId="56D861FF"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6,339.60</w:t>
            </w:r>
          </w:p>
        </w:tc>
        <w:tc>
          <w:tcPr>
            <w:tcW w:w="815" w:type="dxa"/>
            <w:shd w:val="clear" w:color="auto" w:fill="D9D9D9" w:themeFill="background1" w:themeFillShade="D9"/>
            <w:vAlign w:val="center"/>
            <w:hideMark/>
          </w:tcPr>
          <w:p w14:paraId="46346993"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6,340.30</w:t>
            </w:r>
          </w:p>
        </w:tc>
        <w:tc>
          <w:tcPr>
            <w:tcW w:w="651" w:type="dxa"/>
            <w:shd w:val="clear" w:color="auto" w:fill="D9D9D9" w:themeFill="background1" w:themeFillShade="D9"/>
            <w:vAlign w:val="center"/>
            <w:hideMark/>
          </w:tcPr>
          <w:p w14:paraId="63C3027E"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0.7</w:t>
            </w:r>
          </w:p>
        </w:tc>
        <w:tc>
          <w:tcPr>
            <w:tcW w:w="770" w:type="dxa"/>
            <w:shd w:val="clear" w:color="auto" w:fill="D9D9D9" w:themeFill="background1" w:themeFillShade="D9"/>
            <w:vAlign w:val="center"/>
            <w:hideMark/>
          </w:tcPr>
          <w:p w14:paraId="4B4390A9"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9,838.10</w:t>
            </w:r>
          </w:p>
        </w:tc>
        <w:tc>
          <w:tcPr>
            <w:tcW w:w="815" w:type="dxa"/>
            <w:shd w:val="clear" w:color="auto" w:fill="D9D9D9" w:themeFill="background1" w:themeFillShade="D9"/>
            <w:vAlign w:val="center"/>
            <w:hideMark/>
          </w:tcPr>
          <w:p w14:paraId="7A118B04"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9,836.10</w:t>
            </w:r>
          </w:p>
        </w:tc>
        <w:tc>
          <w:tcPr>
            <w:tcW w:w="627" w:type="dxa"/>
            <w:shd w:val="clear" w:color="auto" w:fill="D9D9D9" w:themeFill="background1" w:themeFillShade="D9"/>
            <w:vAlign w:val="center"/>
            <w:hideMark/>
          </w:tcPr>
          <w:p w14:paraId="0E0F20AD"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-2.00</w:t>
            </w:r>
          </w:p>
        </w:tc>
        <w:tc>
          <w:tcPr>
            <w:tcW w:w="1460" w:type="dxa"/>
            <w:vMerge/>
            <w:shd w:val="clear" w:color="auto" w:fill="D9D9D9" w:themeFill="background1" w:themeFillShade="D9"/>
            <w:vAlign w:val="center"/>
          </w:tcPr>
          <w:p w14:paraId="75654903" w14:textId="77777777" w:rsidR="00F47524" w:rsidRPr="00C9666A" w:rsidRDefault="00F47524" w:rsidP="00D92DEF">
            <w:pPr>
              <w:spacing w:after="0"/>
              <w:rPr>
                <w:rFonts w:ascii="Arial" w:eastAsia="Times New Roman" w:hAnsi="Arial" w:cs="Arial"/>
                <w:color w:val="000000"/>
                <w:sz w:val="16"/>
                <w:szCs w:val="16"/>
                <w:lang w:eastAsia="es-MX"/>
              </w:rPr>
            </w:pPr>
          </w:p>
        </w:tc>
        <w:tc>
          <w:tcPr>
            <w:tcW w:w="1013" w:type="dxa"/>
            <w:vMerge/>
            <w:shd w:val="clear" w:color="auto" w:fill="D9D9D9" w:themeFill="background1" w:themeFillShade="D9"/>
            <w:vAlign w:val="center"/>
          </w:tcPr>
          <w:p w14:paraId="49AEF2D2" w14:textId="77777777" w:rsidR="00F47524" w:rsidRPr="00C9666A" w:rsidRDefault="00F47524" w:rsidP="00D92DEF">
            <w:pPr>
              <w:spacing w:after="0"/>
              <w:rPr>
                <w:rFonts w:ascii="Arial" w:eastAsia="Times New Roman" w:hAnsi="Arial" w:cs="Arial"/>
                <w:color w:val="000000"/>
                <w:sz w:val="16"/>
                <w:szCs w:val="16"/>
                <w:lang w:eastAsia="es-MX"/>
              </w:rPr>
            </w:pPr>
          </w:p>
        </w:tc>
      </w:tr>
      <w:tr w:rsidR="00F47524" w:rsidRPr="00C9666A" w14:paraId="33FD246C" w14:textId="77777777" w:rsidTr="00D92DEF">
        <w:trPr>
          <w:trHeight w:val="20"/>
          <w:jc w:val="center"/>
        </w:trPr>
        <w:tc>
          <w:tcPr>
            <w:tcW w:w="2668" w:type="dxa"/>
            <w:vMerge w:val="restart"/>
            <w:shd w:val="clear" w:color="auto" w:fill="A6A6A6" w:themeFill="background1" w:themeFillShade="A6"/>
            <w:vAlign w:val="center"/>
          </w:tcPr>
          <w:p w14:paraId="226B6C7C"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PAXIA, S.A. de C.V., Grupo Televisa, S.A.B. y Cablemás, S.A. de C.V.</w:t>
            </w:r>
          </w:p>
        </w:tc>
        <w:tc>
          <w:tcPr>
            <w:tcW w:w="1836" w:type="dxa"/>
            <w:shd w:val="clear" w:color="auto" w:fill="A6A6A6" w:themeFill="background1" w:themeFillShade="A6"/>
            <w:vAlign w:val="center"/>
          </w:tcPr>
          <w:p w14:paraId="0E2DA20C"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Acceso a Internet Fijo</w:t>
            </w:r>
          </w:p>
        </w:tc>
        <w:tc>
          <w:tcPr>
            <w:tcW w:w="1422" w:type="dxa"/>
            <w:shd w:val="clear" w:color="auto" w:fill="A6A6A6" w:themeFill="background1" w:themeFillShade="A6"/>
            <w:vAlign w:val="center"/>
          </w:tcPr>
          <w:p w14:paraId="07AE6767" w14:textId="77777777" w:rsidR="00F47524" w:rsidRPr="00C9666A" w:rsidRDefault="00CB677C"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8C18101"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427EF21C"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51" w:type="dxa"/>
            <w:shd w:val="clear" w:color="auto" w:fill="A6A6A6" w:themeFill="background1" w:themeFillShade="A6"/>
            <w:vAlign w:val="center"/>
            <w:hideMark/>
          </w:tcPr>
          <w:p w14:paraId="1B1AE17C"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770" w:type="dxa"/>
            <w:shd w:val="clear" w:color="auto" w:fill="A6A6A6" w:themeFill="background1" w:themeFillShade="A6"/>
            <w:vAlign w:val="center"/>
            <w:hideMark/>
          </w:tcPr>
          <w:p w14:paraId="71490632"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197F9631"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27" w:type="dxa"/>
            <w:shd w:val="clear" w:color="auto" w:fill="A6A6A6" w:themeFill="background1" w:themeFillShade="A6"/>
            <w:vAlign w:val="center"/>
            <w:hideMark/>
          </w:tcPr>
          <w:p w14:paraId="4EB18A2D"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vMerge w:val="restart"/>
            <w:shd w:val="clear" w:color="auto" w:fill="A6A6A6" w:themeFill="background1" w:themeFillShade="A6"/>
            <w:vAlign w:val="center"/>
          </w:tcPr>
          <w:p w14:paraId="0C0EB8EB"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Se autoriza </w:t>
            </w:r>
            <w:r w:rsidR="00975116" w:rsidRPr="00C9666A">
              <w:rPr>
                <w:rFonts w:ascii="Arial" w:eastAsia="Times New Roman" w:hAnsi="Arial" w:cs="Arial"/>
                <w:color w:val="000000"/>
                <w:sz w:val="16"/>
                <w:szCs w:val="16"/>
                <w:lang w:eastAsia="es-MX"/>
              </w:rPr>
              <w:t>sujeto a</w:t>
            </w:r>
            <w:r w:rsidRPr="00C9666A">
              <w:rPr>
                <w:rFonts w:ascii="Arial" w:eastAsia="Times New Roman" w:hAnsi="Arial" w:cs="Arial"/>
                <w:color w:val="000000"/>
                <w:sz w:val="16"/>
                <w:szCs w:val="16"/>
                <w:lang w:eastAsia="es-MX"/>
              </w:rPr>
              <w:t xml:space="preserve"> condiciones</w:t>
            </w:r>
          </w:p>
        </w:tc>
        <w:tc>
          <w:tcPr>
            <w:tcW w:w="1013" w:type="dxa"/>
            <w:vMerge w:val="restart"/>
            <w:shd w:val="clear" w:color="auto" w:fill="A6A6A6" w:themeFill="background1" w:themeFillShade="A6"/>
            <w:vAlign w:val="center"/>
          </w:tcPr>
          <w:p w14:paraId="2BD8B74F" w14:textId="77777777" w:rsidR="00F47524" w:rsidRPr="00C9666A" w:rsidRDefault="00F47524" w:rsidP="00D92DEF">
            <w:pPr>
              <w:spacing w:after="0"/>
              <w:jc w:val="right"/>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08/08/2007</w:t>
            </w:r>
          </w:p>
        </w:tc>
      </w:tr>
      <w:tr w:rsidR="00F47524" w:rsidRPr="00C9666A" w14:paraId="7ECB0406" w14:textId="77777777" w:rsidTr="00D92DEF">
        <w:trPr>
          <w:trHeight w:val="20"/>
          <w:jc w:val="center"/>
        </w:trPr>
        <w:tc>
          <w:tcPr>
            <w:tcW w:w="2668" w:type="dxa"/>
            <w:vMerge/>
            <w:shd w:val="clear" w:color="auto" w:fill="A6A6A6" w:themeFill="background1" w:themeFillShade="A6"/>
            <w:vAlign w:val="center"/>
          </w:tcPr>
          <w:p w14:paraId="116B0B18" w14:textId="77777777" w:rsidR="00F47524" w:rsidRPr="00C9666A" w:rsidRDefault="00F47524"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5295529D"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Telefonía fija </w:t>
            </w:r>
          </w:p>
        </w:tc>
        <w:tc>
          <w:tcPr>
            <w:tcW w:w="1422" w:type="dxa"/>
            <w:shd w:val="clear" w:color="auto" w:fill="A6A6A6" w:themeFill="background1" w:themeFillShade="A6"/>
            <w:vAlign w:val="center"/>
          </w:tcPr>
          <w:p w14:paraId="458F2208" w14:textId="77777777" w:rsidR="00F47524" w:rsidRPr="00C9666A" w:rsidRDefault="00CB677C"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1F19744F"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2E8FC7A7"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51" w:type="dxa"/>
            <w:shd w:val="clear" w:color="auto" w:fill="A6A6A6" w:themeFill="background1" w:themeFillShade="A6"/>
            <w:vAlign w:val="center"/>
            <w:hideMark/>
          </w:tcPr>
          <w:p w14:paraId="5CEB1A0C"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770" w:type="dxa"/>
            <w:shd w:val="clear" w:color="auto" w:fill="A6A6A6" w:themeFill="background1" w:themeFillShade="A6"/>
            <w:vAlign w:val="center"/>
            <w:hideMark/>
          </w:tcPr>
          <w:p w14:paraId="42532A08"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0B804F6C"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27" w:type="dxa"/>
            <w:shd w:val="clear" w:color="auto" w:fill="A6A6A6" w:themeFill="background1" w:themeFillShade="A6"/>
            <w:vAlign w:val="center"/>
            <w:hideMark/>
          </w:tcPr>
          <w:p w14:paraId="5473A5E5"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vMerge/>
            <w:shd w:val="clear" w:color="auto" w:fill="A6A6A6" w:themeFill="background1" w:themeFillShade="A6"/>
            <w:vAlign w:val="center"/>
          </w:tcPr>
          <w:p w14:paraId="73B01CDA" w14:textId="77777777" w:rsidR="00F47524" w:rsidRPr="00C9666A" w:rsidRDefault="00F47524"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464FCF28" w14:textId="77777777" w:rsidR="00F47524" w:rsidRPr="00C9666A" w:rsidRDefault="00F47524" w:rsidP="00D92DEF">
            <w:pPr>
              <w:spacing w:after="0"/>
              <w:jc w:val="right"/>
              <w:rPr>
                <w:rFonts w:ascii="Arial" w:eastAsia="Times New Roman" w:hAnsi="Arial" w:cs="Arial"/>
                <w:color w:val="000000"/>
                <w:sz w:val="16"/>
                <w:szCs w:val="16"/>
                <w:lang w:eastAsia="es-MX"/>
              </w:rPr>
            </w:pPr>
          </w:p>
        </w:tc>
      </w:tr>
      <w:tr w:rsidR="00F47524" w:rsidRPr="00C9666A" w14:paraId="4BD0E7ED" w14:textId="77777777" w:rsidTr="00D92DEF">
        <w:trPr>
          <w:trHeight w:val="20"/>
          <w:jc w:val="center"/>
        </w:trPr>
        <w:tc>
          <w:tcPr>
            <w:tcW w:w="2668" w:type="dxa"/>
            <w:vMerge/>
            <w:shd w:val="clear" w:color="auto" w:fill="A6A6A6" w:themeFill="background1" w:themeFillShade="A6"/>
            <w:vAlign w:val="center"/>
          </w:tcPr>
          <w:p w14:paraId="4D6659DB" w14:textId="77777777" w:rsidR="00F47524" w:rsidRPr="00C9666A" w:rsidRDefault="00F47524" w:rsidP="00D92DEF">
            <w:pPr>
              <w:spacing w:after="0"/>
              <w:rPr>
                <w:rFonts w:ascii="Arial" w:eastAsia="Times New Roman" w:hAnsi="Arial" w:cs="Arial"/>
                <w:color w:val="000000"/>
                <w:sz w:val="16"/>
                <w:szCs w:val="16"/>
                <w:lang w:eastAsia="es-MX"/>
              </w:rPr>
            </w:pPr>
          </w:p>
        </w:tc>
        <w:tc>
          <w:tcPr>
            <w:tcW w:w="1836" w:type="dxa"/>
            <w:shd w:val="clear" w:color="auto" w:fill="A6A6A6" w:themeFill="background1" w:themeFillShade="A6"/>
            <w:vAlign w:val="center"/>
          </w:tcPr>
          <w:p w14:paraId="6A92142D" w14:textId="77777777" w:rsidR="00F47524" w:rsidRPr="00C9666A" w:rsidRDefault="00F47524"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Interconexión</w:t>
            </w:r>
          </w:p>
        </w:tc>
        <w:tc>
          <w:tcPr>
            <w:tcW w:w="1422" w:type="dxa"/>
            <w:shd w:val="clear" w:color="auto" w:fill="A6A6A6" w:themeFill="background1" w:themeFillShade="A6"/>
            <w:vAlign w:val="center"/>
          </w:tcPr>
          <w:p w14:paraId="011CF897" w14:textId="77777777" w:rsidR="00F47524" w:rsidRPr="00C9666A" w:rsidRDefault="00CB677C"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1104" w:type="dxa"/>
            <w:shd w:val="clear" w:color="auto" w:fill="A6A6A6" w:themeFill="background1" w:themeFillShade="A6"/>
            <w:vAlign w:val="center"/>
            <w:hideMark/>
          </w:tcPr>
          <w:p w14:paraId="4F795E18"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7E1BA31F"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51" w:type="dxa"/>
            <w:shd w:val="clear" w:color="auto" w:fill="A6A6A6" w:themeFill="background1" w:themeFillShade="A6"/>
            <w:vAlign w:val="center"/>
            <w:hideMark/>
          </w:tcPr>
          <w:p w14:paraId="054DD0DB"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770" w:type="dxa"/>
            <w:shd w:val="clear" w:color="auto" w:fill="A6A6A6" w:themeFill="background1" w:themeFillShade="A6"/>
            <w:vAlign w:val="center"/>
            <w:hideMark/>
          </w:tcPr>
          <w:p w14:paraId="155206F3"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815" w:type="dxa"/>
            <w:shd w:val="clear" w:color="auto" w:fill="A6A6A6" w:themeFill="background1" w:themeFillShade="A6"/>
            <w:vAlign w:val="center"/>
            <w:hideMark/>
          </w:tcPr>
          <w:p w14:paraId="06E16442"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627" w:type="dxa"/>
            <w:shd w:val="clear" w:color="auto" w:fill="A6A6A6" w:themeFill="background1" w:themeFillShade="A6"/>
            <w:vAlign w:val="center"/>
            <w:hideMark/>
          </w:tcPr>
          <w:p w14:paraId="0FCFF280" w14:textId="77777777" w:rsidR="00F47524" w:rsidRPr="00C9666A" w:rsidRDefault="00F47524"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w:t>
            </w:r>
          </w:p>
        </w:tc>
        <w:tc>
          <w:tcPr>
            <w:tcW w:w="1460" w:type="dxa"/>
            <w:vMerge/>
            <w:shd w:val="clear" w:color="auto" w:fill="A6A6A6" w:themeFill="background1" w:themeFillShade="A6"/>
            <w:vAlign w:val="center"/>
          </w:tcPr>
          <w:p w14:paraId="3796C6A8" w14:textId="77777777" w:rsidR="00F47524" w:rsidRPr="00C9666A" w:rsidRDefault="00F47524" w:rsidP="00D92DEF">
            <w:pPr>
              <w:spacing w:after="0"/>
              <w:rPr>
                <w:rFonts w:ascii="Arial" w:eastAsia="Times New Roman" w:hAnsi="Arial" w:cs="Arial"/>
                <w:color w:val="000000"/>
                <w:sz w:val="16"/>
                <w:szCs w:val="16"/>
                <w:lang w:eastAsia="es-MX"/>
              </w:rPr>
            </w:pPr>
          </w:p>
        </w:tc>
        <w:tc>
          <w:tcPr>
            <w:tcW w:w="1013" w:type="dxa"/>
            <w:vMerge/>
            <w:shd w:val="clear" w:color="auto" w:fill="A6A6A6" w:themeFill="background1" w:themeFillShade="A6"/>
            <w:vAlign w:val="center"/>
          </w:tcPr>
          <w:p w14:paraId="2E4FF0AD" w14:textId="77777777" w:rsidR="00F47524" w:rsidRPr="00C9666A" w:rsidRDefault="00F47524" w:rsidP="00D92DEF">
            <w:pPr>
              <w:spacing w:after="0"/>
              <w:jc w:val="right"/>
              <w:rPr>
                <w:rFonts w:ascii="Arial" w:eastAsia="Times New Roman" w:hAnsi="Arial" w:cs="Arial"/>
                <w:color w:val="000000"/>
                <w:sz w:val="16"/>
                <w:szCs w:val="16"/>
                <w:lang w:eastAsia="es-MX"/>
              </w:rPr>
            </w:pPr>
          </w:p>
        </w:tc>
      </w:tr>
    </w:tbl>
    <w:p w14:paraId="285E4917" w14:textId="42B62B24" w:rsidR="00975116" w:rsidRDefault="00975116" w:rsidP="00C9666A">
      <w:pPr>
        <w:keepNext/>
        <w:spacing w:before="120" w:after="120"/>
        <w:jc w:val="both"/>
        <w:rPr>
          <w:rFonts w:ascii="Arial" w:hAnsi="Arial" w:cs="Arial"/>
          <w:b/>
        </w:rPr>
      </w:pPr>
    </w:p>
    <w:p w14:paraId="46A5E040" w14:textId="21CA8F25" w:rsidR="00D92DEF" w:rsidRPr="00C9666A" w:rsidRDefault="00D92DEF" w:rsidP="00C9666A">
      <w:pPr>
        <w:keepNext/>
        <w:spacing w:before="120" w:after="120"/>
        <w:jc w:val="both"/>
        <w:rPr>
          <w:rFonts w:ascii="Arial" w:hAnsi="Arial" w:cs="Arial"/>
          <w:b/>
        </w:rPr>
        <w:sectPr w:rsidR="00D92DEF" w:rsidRPr="00C9666A" w:rsidSect="00975116">
          <w:pgSz w:w="15840" w:h="12240" w:orient="landscape"/>
          <w:pgMar w:top="1418" w:right="1418" w:bottom="1469" w:left="1418" w:header="709" w:footer="709" w:gutter="0"/>
          <w:cols w:space="708"/>
          <w:docGrid w:linePitch="360"/>
        </w:sectPr>
      </w:pPr>
    </w:p>
    <w:p w14:paraId="4417EC2A" w14:textId="77777777" w:rsidR="00D92DEF" w:rsidRDefault="00D92DEF" w:rsidP="007E2B22">
      <w:pPr>
        <w:pStyle w:val="Default"/>
        <w:keepNext/>
        <w:spacing w:before="120" w:after="120" w:line="276" w:lineRule="auto"/>
        <w:rPr>
          <w:rFonts w:ascii="Arial" w:hAnsi="Arial" w:cs="Arial"/>
          <w:b/>
        </w:rPr>
      </w:pPr>
    </w:p>
    <w:p w14:paraId="73B7F6C3" w14:textId="55D76A5A" w:rsidR="00122FB3" w:rsidRPr="0079117E" w:rsidRDefault="00D92DEF" w:rsidP="0079117E">
      <w:pPr>
        <w:pStyle w:val="Default"/>
        <w:keepNext/>
        <w:numPr>
          <w:ilvl w:val="0"/>
          <w:numId w:val="44"/>
        </w:numPr>
        <w:spacing w:before="120" w:after="120" w:line="276" w:lineRule="auto"/>
        <w:jc w:val="center"/>
        <w:rPr>
          <w:rFonts w:ascii="Arial" w:hAnsi="Arial" w:cs="Arial"/>
          <w:b/>
          <w:sz w:val="22"/>
          <w:szCs w:val="22"/>
        </w:rPr>
      </w:pPr>
      <w:r w:rsidRPr="0079117E">
        <w:rPr>
          <w:rFonts w:ascii="Arial" w:hAnsi="Arial" w:cs="Arial"/>
          <w:b/>
          <w:sz w:val="22"/>
          <w:szCs w:val="22"/>
        </w:rPr>
        <w:t>Concentraciones evaluadas por el Instituto</w:t>
      </w:r>
    </w:p>
    <w:tbl>
      <w:tblPr>
        <w:tblW w:w="476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898"/>
        <w:gridCol w:w="1762"/>
        <w:gridCol w:w="1156"/>
        <w:gridCol w:w="1136"/>
        <w:gridCol w:w="1133"/>
        <w:gridCol w:w="960"/>
        <w:gridCol w:w="1532"/>
        <w:gridCol w:w="1131"/>
      </w:tblGrid>
      <w:tr w:rsidR="00FC45DA" w:rsidRPr="00C9666A" w14:paraId="77EE7948" w14:textId="77777777" w:rsidTr="002C46BD">
        <w:trPr>
          <w:trHeight w:val="20"/>
          <w:tblHeader/>
          <w:jc w:val="right"/>
        </w:trPr>
        <w:tc>
          <w:tcPr>
            <w:tcW w:w="1077" w:type="pct"/>
            <w:shd w:val="clear" w:color="auto" w:fill="92D050"/>
            <w:vAlign w:val="center"/>
          </w:tcPr>
          <w:p w14:paraId="07786B26"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b/>
                <w:bCs/>
                <w:color w:val="FFFFFF"/>
                <w:sz w:val="16"/>
                <w:szCs w:val="16"/>
                <w:lang w:eastAsia="es-MX"/>
              </w:rPr>
              <w:t>Agentes Económicos involucrados</w:t>
            </w:r>
          </w:p>
        </w:tc>
        <w:tc>
          <w:tcPr>
            <w:tcW w:w="363" w:type="pct"/>
            <w:shd w:val="clear" w:color="auto" w:fill="92D050"/>
            <w:vAlign w:val="center"/>
          </w:tcPr>
          <w:p w14:paraId="31B33AB1"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b/>
                <w:bCs/>
                <w:color w:val="FFFFFF"/>
                <w:sz w:val="16"/>
                <w:szCs w:val="16"/>
                <w:lang w:eastAsia="es-MX"/>
              </w:rPr>
              <w:t>Tipo</w:t>
            </w:r>
          </w:p>
        </w:tc>
        <w:tc>
          <w:tcPr>
            <w:tcW w:w="712" w:type="pct"/>
            <w:shd w:val="clear" w:color="auto" w:fill="92D050"/>
            <w:vAlign w:val="center"/>
          </w:tcPr>
          <w:p w14:paraId="43DF7760" w14:textId="662E6B48"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Mercado Relevante (Analizado)</w:t>
            </w:r>
          </w:p>
        </w:tc>
        <w:tc>
          <w:tcPr>
            <w:tcW w:w="467" w:type="pct"/>
            <w:shd w:val="clear" w:color="auto" w:fill="92D050"/>
            <w:vAlign w:val="center"/>
          </w:tcPr>
          <w:p w14:paraId="6EF37BB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Participación de Mercado</w:t>
            </w:r>
          </w:p>
        </w:tc>
        <w:tc>
          <w:tcPr>
            <w:tcW w:w="459" w:type="pct"/>
            <w:shd w:val="clear" w:color="auto" w:fill="92D050"/>
            <w:vAlign w:val="center"/>
          </w:tcPr>
          <w:p w14:paraId="0DDE424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IHH Antes</w:t>
            </w:r>
          </w:p>
        </w:tc>
        <w:tc>
          <w:tcPr>
            <w:tcW w:w="458" w:type="pct"/>
            <w:shd w:val="clear" w:color="auto" w:fill="92D050"/>
            <w:vAlign w:val="center"/>
          </w:tcPr>
          <w:p w14:paraId="22A137C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IHH Después</w:t>
            </w:r>
          </w:p>
        </w:tc>
        <w:tc>
          <w:tcPr>
            <w:tcW w:w="388" w:type="pct"/>
            <w:shd w:val="clear" w:color="auto" w:fill="92D050"/>
            <w:vAlign w:val="center"/>
          </w:tcPr>
          <w:p w14:paraId="1DE641B6" w14:textId="77777777" w:rsidR="00AD6627" w:rsidRPr="00C9666A" w:rsidRDefault="00AD6627" w:rsidP="00D92DEF">
            <w:pPr>
              <w:spacing w:after="0"/>
              <w:jc w:val="center"/>
              <w:rPr>
                <w:rFonts w:ascii="Arial" w:eastAsia="Times New Roman" w:hAnsi="Arial" w:cs="Arial"/>
                <w:color w:val="000000"/>
                <w:sz w:val="16"/>
                <w:szCs w:val="16"/>
                <w:lang w:eastAsia="es-MX"/>
              </w:rPr>
            </w:pPr>
            <m:oMathPara>
              <m:oMath>
                <m:r>
                  <m:rPr>
                    <m:sty m:val="p"/>
                  </m:rPr>
                  <w:rPr>
                    <w:rFonts w:ascii="Cambria Math" w:hAnsi="Cambria Math" w:cs="Arial"/>
                    <w:color w:val="FFFFFF" w:themeColor="background1"/>
                    <w:sz w:val="16"/>
                    <w:szCs w:val="16"/>
                  </w:rPr>
                  <m:t>∆IHH</m:t>
                </m:r>
              </m:oMath>
            </m:oMathPara>
          </w:p>
        </w:tc>
        <w:tc>
          <w:tcPr>
            <w:tcW w:w="619" w:type="pct"/>
            <w:shd w:val="clear" w:color="auto" w:fill="92D050"/>
            <w:vAlign w:val="center"/>
          </w:tcPr>
          <w:p w14:paraId="7E7801B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Resolución</w:t>
            </w:r>
          </w:p>
        </w:tc>
        <w:tc>
          <w:tcPr>
            <w:tcW w:w="457" w:type="pct"/>
            <w:shd w:val="clear" w:color="auto" w:fill="92D050"/>
            <w:vAlign w:val="center"/>
          </w:tcPr>
          <w:p w14:paraId="5CE5D37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b/>
                <w:bCs/>
                <w:color w:val="FFFFFF"/>
                <w:sz w:val="16"/>
                <w:szCs w:val="16"/>
                <w:lang w:eastAsia="es-MX"/>
              </w:rPr>
              <w:t>Fecha de Resolución</w:t>
            </w:r>
          </w:p>
        </w:tc>
      </w:tr>
      <w:tr w:rsidR="00FC45DA" w:rsidRPr="00C9666A" w14:paraId="2E4AB515" w14:textId="77777777" w:rsidTr="002C46BD">
        <w:trPr>
          <w:trHeight w:val="20"/>
          <w:jc w:val="right"/>
        </w:trPr>
        <w:tc>
          <w:tcPr>
            <w:tcW w:w="1077" w:type="pct"/>
            <w:shd w:val="clear" w:color="auto" w:fill="FFFFFF" w:themeFill="background1"/>
            <w:vAlign w:val="center"/>
            <w:hideMark/>
          </w:tcPr>
          <w:p w14:paraId="12AFC56E"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color w:val="000000"/>
                <w:sz w:val="16"/>
                <w:szCs w:val="16"/>
                <w:lang w:val="en-US" w:eastAsia="es-MX"/>
              </w:rPr>
              <w:t>CORONADO HOLDINGS, LLC y QUALCOMM INCORPORATED</w:t>
            </w:r>
          </w:p>
        </w:tc>
        <w:tc>
          <w:tcPr>
            <w:tcW w:w="363" w:type="pct"/>
            <w:shd w:val="clear" w:color="auto" w:fill="FFFFFF" w:themeFill="background1"/>
            <w:vAlign w:val="center"/>
          </w:tcPr>
          <w:p w14:paraId="7C35D39D"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color w:val="000000"/>
                <w:sz w:val="16"/>
                <w:szCs w:val="16"/>
                <w:lang w:val="en-US" w:eastAsia="es-MX"/>
              </w:rPr>
              <w:t>CNC-001-2013</w:t>
            </w:r>
          </w:p>
        </w:tc>
        <w:tc>
          <w:tcPr>
            <w:tcW w:w="712" w:type="pct"/>
            <w:shd w:val="clear" w:color="auto" w:fill="FFFFFF" w:themeFill="background1"/>
            <w:vAlign w:val="center"/>
            <w:hideMark/>
          </w:tcPr>
          <w:p w14:paraId="3804394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Radiolocalización móvil de vehículos</w:t>
            </w:r>
          </w:p>
        </w:tc>
        <w:tc>
          <w:tcPr>
            <w:tcW w:w="467" w:type="pct"/>
            <w:shd w:val="clear" w:color="auto" w:fill="FFFFFF" w:themeFill="background1"/>
            <w:vAlign w:val="center"/>
            <w:hideMark/>
          </w:tcPr>
          <w:p w14:paraId="151538F9"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FFFFFF" w:themeFill="background1"/>
            <w:vAlign w:val="center"/>
            <w:hideMark/>
          </w:tcPr>
          <w:p w14:paraId="6A37716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3,489</w:t>
            </w:r>
          </w:p>
        </w:tc>
        <w:tc>
          <w:tcPr>
            <w:tcW w:w="458" w:type="pct"/>
            <w:shd w:val="clear" w:color="auto" w:fill="FFFFFF" w:themeFill="background1"/>
            <w:vAlign w:val="center"/>
            <w:hideMark/>
          </w:tcPr>
          <w:p w14:paraId="6C07AC6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3,489</w:t>
            </w:r>
          </w:p>
        </w:tc>
        <w:tc>
          <w:tcPr>
            <w:tcW w:w="388" w:type="pct"/>
            <w:shd w:val="clear" w:color="auto" w:fill="FFFFFF" w:themeFill="background1"/>
            <w:vAlign w:val="center"/>
            <w:hideMark/>
          </w:tcPr>
          <w:p w14:paraId="7D6CE52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w:t>
            </w:r>
          </w:p>
        </w:tc>
        <w:tc>
          <w:tcPr>
            <w:tcW w:w="619" w:type="pct"/>
            <w:shd w:val="clear" w:color="auto" w:fill="FFFFFF" w:themeFill="background1"/>
            <w:vAlign w:val="center"/>
            <w:hideMark/>
          </w:tcPr>
          <w:p w14:paraId="27A208C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FFFFFF" w:themeFill="background1"/>
            <w:vAlign w:val="center"/>
            <w:hideMark/>
          </w:tcPr>
          <w:p w14:paraId="0E38A62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06/11/2013</w:t>
            </w:r>
          </w:p>
        </w:tc>
      </w:tr>
      <w:tr w:rsidR="00FC45DA" w:rsidRPr="00C9666A" w14:paraId="3A28B189" w14:textId="77777777" w:rsidTr="002C46BD">
        <w:trPr>
          <w:trHeight w:val="20"/>
          <w:jc w:val="right"/>
        </w:trPr>
        <w:tc>
          <w:tcPr>
            <w:tcW w:w="1077" w:type="pct"/>
            <w:shd w:val="clear" w:color="auto" w:fill="D9D9D9" w:themeFill="background1" w:themeFillShade="D9"/>
            <w:vAlign w:val="center"/>
            <w:hideMark/>
          </w:tcPr>
          <w:p w14:paraId="03119FB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Satélites Mexicanos, S.A. de C.V. y Eutelsat, S.A.</w:t>
            </w:r>
          </w:p>
        </w:tc>
        <w:tc>
          <w:tcPr>
            <w:tcW w:w="363" w:type="pct"/>
            <w:shd w:val="clear" w:color="auto" w:fill="D9D9D9" w:themeFill="background1" w:themeFillShade="D9"/>
            <w:vAlign w:val="center"/>
          </w:tcPr>
          <w:p w14:paraId="562965C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CNC-002-2013</w:t>
            </w:r>
          </w:p>
        </w:tc>
        <w:tc>
          <w:tcPr>
            <w:tcW w:w="712" w:type="pct"/>
            <w:shd w:val="clear" w:color="auto" w:fill="D9D9D9" w:themeFill="background1" w:themeFillShade="D9"/>
            <w:vAlign w:val="center"/>
            <w:hideMark/>
          </w:tcPr>
          <w:p w14:paraId="0D3280E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Provisión de capacidad satelital para servicios fijos satelitales</w:t>
            </w:r>
          </w:p>
        </w:tc>
        <w:tc>
          <w:tcPr>
            <w:tcW w:w="467" w:type="pct"/>
            <w:shd w:val="clear" w:color="auto" w:fill="D9D9D9" w:themeFill="background1" w:themeFillShade="D9"/>
            <w:vAlign w:val="center"/>
            <w:hideMark/>
          </w:tcPr>
          <w:p w14:paraId="6586EC56"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hideMark/>
          </w:tcPr>
          <w:p w14:paraId="04258CB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4,153</w:t>
            </w:r>
          </w:p>
        </w:tc>
        <w:tc>
          <w:tcPr>
            <w:tcW w:w="458" w:type="pct"/>
            <w:shd w:val="clear" w:color="auto" w:fill="D9D9D9" w:themeFill="background1" w:themeFillShade="D9"/>
            <w:vAlign w:val="center"/>
            <w:hideMark/>
          </w:tcPr>
          <w:p w14:paraId="2F940A6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4,318</w:t>
            </w:r>
          </w:p>
        </w:tc>
        <w:tc>
          <w:tcPr>
            <w:tcW w:w="388" w:type="pct"/>
            <w:shd w:val="clear" w:color="auto" w:fill="D9D9D9" w:themeFill="background1" w:themeFillShade="D9"/>
            <w:vAlign w:val="center"/>
            <w:hideMark/>
          </w:tcPr>
          <w:p w14:paraId="5D607EB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165</w:t>
            </w:r>
          </w:p>
        </w:tc>
        <w:tc>
          <w:tcPr>
            <w:tcW w:w="619" w:type="pct"/>
            <w:shd w:val="clear" w:color="auto" w:fill="D9D9D9" w:themeFill="background1" w:themeFillShade="D9"/>
            <w:vAlign w:val="center"/>
            <w:hideMark/>
          </w:tcPr>
          <w:p w14:paraId="210293C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D9D9D9" w:themeFill="background1" w:themeFillShade="D9"/>
            <w:vAlign w:val="center"/>
            <w:hideMark/>
          </w:tcPr>
          <w:p w14:paraId="7AEB910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27/11/2013</w:t>
            </w:r>
          </w:p>
        </w:tc>
      </w:tr>
      <w:tr w:rsidR="00FC45DA" w:rsidRPr="00C9666A" w14:paraId="6524BF74" w14:textId="77777777" w:rsidTr="002C46BD">
        <w:trPr>
          <w:trHeight w:val="20"/>
          <w:jc w:val="right"/>
        </w:trPr>
        <w:tc>
          <w:tcPr>
            <w:tcW w:w="1077" w:type="pct"/>
            <w:shd w:val="clear" w:color="auto" w:fill="FFFFFF" w:themeFill="background1"/>
            <w:vAlign w:val="center"/>
            <w:hideMark/>
          </w:tcPr>
          <w:p w14:paraId="462F9A8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GTP GLOBAL TOWERS MÉXICO, S. DE R.L. DE C.V., MMIF TELECOMMUNICATIONS CAPITAL, S.A.P.I. DE C.V., SOFOM E.N.R., DIGITAL BRIDGE MX, S. DE R.L. DE C.V.</w:t>
            </w:r>
          </w:p>
        </w:tc>
        <w:tc>
          <w:tcPr>
            <w:tcW w:w="363" w:type="pct"/>
            <w:shd w:val="clear" w:color="auto" w:fill="FFFFFF" w:themeFill="background1"/>
            <w:vAlign w:val="center"/>
          </w:tcPr>
          <w:p w14:paraId="2B480B0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CNC-001-2014</w:t>
            </w:r>
          </w:p>
        </w:tc>
        <w:tc>
          <w:tcPr>
            <w:tcW w:w="712" w:type="pct"/>
            <w:shd w:val="clear" w:color="auto" w:fill="FFFFFF" w:themeFill="background1"/>
            <w:vAlign w:val="center"/>
            <w:hideMark/>
          </w:tcPr>
          <w:p w14:paraId="05DAF6A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Sitios de Telecomunicaciones</w:t>
            </w:r>
          </w:p>
        </w:tc>
        <w:tc>
          <w:tcPr>
            <w:tcW w:w="467" w:type="pct"/>
            <w:shd w:val="clear" w:color="auto" w:fill="FFFFFF" w:themeFill="background1"/>
            <w:vAlign w:val="center"/>
            <w:hideMark/>
          </w:tcPr>
          <w:p w14:paraId="3C358E4E"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FFFFFF" w:themeFill="background1"/>
            <w:vAlign w:val="center"/>
            <w:hideMark/>
          </w:tcPr>
          <w:p w14:paraId="6DA1292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4,170</w:t>
            </w:r>
          </w:p>
        </w:tc>
        <w:tc>
          <w:tcPr>
            <w:tcW w:w="458" w:type="pct"/>
            <w:shd w:val="clear" w:color="auto" w:fill="FFFFFF" w:themeFill="background1"/>
            <w:vAlign w:val="center"/>
            <w:hideMark/>
          </w:tcPr>
          <w:p w14:paraId="5AB5208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4,170</w:t>
            </w:r>
          </w:p>
        </w:tc>
        <w:tc>
          <w:tcPr>
            <w:tcW w:w="388" w:type="pct"/>
            <w:shd w:val="clear" w:color="auto" w:fill="FFFFFF" w:themeFill="background1"/>
            <w:vAlign w:val="center"/>
            <w:hideMark/>
          </w:tcPr>
          <w:p w14:paraId="71ACAC3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w:t>
            </w:r>
          </w:p>
        </w:tc>
        <w:tc>
          <w:tcPr>
            <w:tcW w:w="619" w:type="pct"/>
            <w:shd w:val="clear" w:color="auto" w:fill="FFFFFF" w:themeFill="background1"/>
            <w:vAlign w:val="center"/>
            <w:hideMark/>
          </w:tcPr>
          <w:p w14:paraId="799D51B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FFFFFF" w:themeFill="background1"/>
            <w:vAlign w:val="center"/>
            <w:hideMark/>
          </w:tcPr>
          <w:p w14:paraId="2353E92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16/04/2014</w:t>
            </w:r>
          </w:p>
        </w:tc>
      </w:tr>
      <w:tr w:rsidR="00FC45DA" w:rsidRPr="00C9666A" w14:paraId="3F71C8BB" w14:textId="77777777" w:rsidTr="002C46BD">
        <w:trPr>
          <w:trHeight w:val="20"/>
          <w:jc w:val="right"/>
        </w:trPr>
        <w:tc>
          <w:tcPr>
            <w:tcW w:w="1077" w:type="pct"/>
            <w:shd w:val="clear" w:color="auto" w:fill="D9D9D9" w:themeFill="background1" w:themeFillShade="D9"/>
            <w:vAlign w:val="center"/>
            <w:hideMark/>
          </w:tcPr>
          <w:p w14:paraId="4DD1C51E"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SixSigma</w:t>
            </w:r>
            <w:proofErr w:type="spellEnd"/>
            <w:r w:rsidRPr="00C9666A">
              <w:rPr>
                <w:rFonts w:ascii="Arial" w:eastAsia="Times New Roman" w:hAnsi="Arial" w:cs="Arial"/>
                <w:color w:val="000000"/>
                <w:sz w:val="16"/>
                <w:szCs w:val="16"/>
                <w:lang w:eastAsia="es-MX"/>
              </w:rPr>
              <w:t xml:space="preserve"> Networks México, S.A. de C.V. y </w:t>
            </w:r>
            <w:proofErr w:type="spellStart"/>
            <w:r w:rsidRPr="00C9666A">
              <w:rPr>
                <w:rFonts w:ascii="Arial" w:eastAsia="Times New Roman" w:hAnsi="Arial" w:cs="Arial"/>
                <w:color w:val="000000"/>
                <w:sz w:val="16"/>
                <w:szCs w:val="16"/>
                <w:lang w:eastAsia="es-MX"/>
              </w:rPr>
              <w:t>Metronet</w:t>
            </w:r>
            <w:proofErr w:type="spellEnd"/>
            <w:r w:rsidRPr="00C9666A">
              <w:rPr>
                <w:rFonts w:ascii="Arial" w:eastAsia="Times New Roman" w:hAnsi="Arial" w:cs="Arial"/>
                <w:color w:val="000000"/>
                <w:sz w:val="16"/>
                <w:szCs w:val="16"/>
                <w:lang w:eastAsia="es-MX"/>
              </w:rPr>
              <w:t>, S.A.P.I. de C.V.</w:t>
            </w:r>
          </w:p>
        </w:tc>
        <w:tc>
          <w:tcPr>
            <w:tcW w:w="363" w:type="pct"/>
            <w:shd w:val="clear" w:color="auto" w:fill="D9D9D9" w:themeFill="background1" w:themeFillShade="D9"/>
            <w:vAlign w:val="center"/>
          </w:tcPr>
          <w:p w14:paraId="0383F30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CNC-004-2014</w:t>
            </w:r>
          </w:p>
        </w:tc>
        <w:tc>
          <w:tcPr>
            <w:tcW w:w="712" w:type="pct"/>
            <w:shd w:val="clear" w:color="auto" w:fill="D9D9D9" w:themeFill="background1" w:themeFillShade="D9"/>
            <w:vAlign w:val="center"/>
            <w:hideMark/>
          </w:tcPr>
          <w:p w14:paraId="780F394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Centros de datos (Hosting)</w:t>
            </w:r>
          </w:p>
        </w:tc>
        <w:tc>
          <w:tcPr>
            <w:tcW w:w="467" w:type="pct"/>
            <w:shd w:val="clear" w:color="auto" w:fill="D9D9D9" w:themeFill="background1" w:themeFillShade="D9"/>
            <w:vAlign w:val="center"/>
            <w:hideMark/>
          </w:tcPr>
          <w:p w14:paraId="7B15E5B5"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hideMark/>
          </w:tcPr>
          <w:p w14:paraId="121A4D8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2,034</w:t>
            </w:r>
          </w:p>
        </w:tc>
        <w:tc>
          <w:tcPr>
            <w:tcW w:w="458" w:type="pct"/>
            <w:shd w:val="clear" w:color="auto" w:fill="D9D9D9" w:themeFill="background1" w:themeFillShade="D9"/>
            <w:vAlign w:val="center"/>
            <w:hideMark/>
          </w:tcPr>
          <w:p w14:paraId="161C5EB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2,037</w:t>
            </w:r>
          </w:p>
        </w:tc>
        <w:tc>
          <w:tcPr>
            <w:tcW w:w="388" w:type="pct"/>
            <w:shd w:val="clear" w:color="auto" w:fill="D9D9D9" w:themeFill="background1" w:themeFillShade="D9"/>
            <w:vAlign w:val="center"/>
            <w:hideMark/>
          </w:tcPr>
          <w:p w14:paraId="5969D72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w:t>
            </w:r>
          </w:p>
        </w:tc>
        <w:tc>
          <w:tcPr>
            <w:tcW w:w="619" w:type="pct"/>
            <w:shd w:val="clear" w:color="auto" w:fill="D9D9D9" w:themeFill="background1" w:themeFillShade="D9"/>
            <w:vAlign w:val="center"/>
            <w:hideMark/>
          </w:tcPr>
          <w:p w14:paraId="4820BBF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D9D9D9" w:themeFill="background1" w:themeFillShade="D9"/>
            <w:vAlign w:val="center"/>
            <w:hideMark/>
          </w:tcPr>
          <w:p w14:paraId="2AD81A3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01/10/2014</w:t>
            </w:r>
          </w:p>
        </w:tc>
      </w:tr>
      <w:tr w:rsidR="00FC45DA" w:rsidRPr="00C9666A" w14:paraId="684695A3" w14:textId="77777777" w:rsidTr="002C46BD">
        <w:trPr>
          <w:trHeight w:val="20"/>
          <w:jc w:val="right"/>
        </w:trPr>
        <w:tc>
          <w:tcPr>
            <w:tcW w:w="1077" w:type="pct"/>
            <w:shd w:val="clear" w:color="auto" w:fill="FFFFFF" w:themeFill="background1"/>
            <w:vAlign w:val="center"/>
            <w:hideMark/>
          </w:tcPr>
          <w:p w14:paraId="0B2E7C3D"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Mexico</w:t>
            </w:r>
            <w:proofErr w:type="spellEnd"/>
            <w:r w:rsidRPr="00C9666A">
              <w:rPr>
                <w:rFonts w:ascii="Arial" w:eastAsia="Times New Roman" w:hAnsi="Arial" w:cs="Arial"/>
                <w:color w:val="000000"/>
                <w:sz w:val="16"/>
                <w:szCs w:val="16"/>
                <w:lang w:eastAsia="es-MX"/>
              </w:rPr>
              <w:t xml:space="preserve"> Tower </w:t>
            </w:r>
            <w:proofErr w:type="spellStart"/>
            <w:r w:rsidRPr="00C9666A">
              <w:rPr>
                <w:rFonts w:ascii="Arial" w:eastAsia="Times New Roman" w:hAnsi="Arial" w:cs="Arial"/>
                <w:color w:val="000000"/>
                <w:sz w:val="16"/>
                <w:szCs w:val="16"/>
                <w:lang w:eastAsia="es-MX"/>
              </w:rPr>
              <w:t>Partners</w:t>
            </w:r>
            <w:proofErr w:type="spellEnd"/>
            <w:r w:rsidRPr="00C9666A">
              <w:rPr>
                <w:rFonts w:ascii="Arial" w:eastAsia="Times New Roman" w:hAnsi="Arial" w:cs="Arial"/>
                <w:color w:val="000000"/>
                <w:sz w:val="16"/>
                <w:szCs w:val="16"/>
                <w:lang w:eastAsia="es-MX"/>
              </w:rPr>
              <w:t>, S.A.P.I. de C.V. y TGA Tower Ventures, S.A. de C.V.</w:t>
            </w:r>
          </w:p>
        </w:tc>
        <w:tc>
          <w:tcPr>
            <w:tcW w:w="363" w:type="pct"/>
            <w:shd w:val="clear" w:color="auto" w:fill="FFFFFF" w:themeFill="background1"/>
            <w:vAlign w:val="center"/>
          </w:tcPr>
          <w:p w14:paraId="1160DC8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CNC-007-2014</w:t>
            </w:r>
          </w:p>
        </w:tc>
        <w:tc>
          <w:tcPr>
            <w:tcW w:w="712" w:type="pct"/>
            <w:shd w:val="clear" w:color="auto" w:fill="FFFFFF" w:themeFill="background1"/>
            <w:vAlign w:val="center"/>
            <w:hideMark/>
          </w:tcPr>
          <w:p w14:paraId="4BF8A22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Sitios de Telecomunicaciones</w:t>
            </w:r>
          </w:p>
        </w:tc>
        <w:tc>
          <w:tcPr>
            <w:tcW w:w="467" w:type="pct"/>
            <w:shd w:val="clear" w:color="auto" w:fill="FFFFFF" w:themeFill="background1"/>
            <w:vAlign w:val="center"/>
            <w:hideMark/>
          </w:tcPr>
          <w:p w14:paraId="1C72533E"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FFFFFF" w:themeFill="background1"/>
            <w:vAlign w:val="center"/>
            <w:hideMark/>
          </w:tcPr>
          <w:p w14:paraId="68F0428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4,021</w:t>
            </w:r>
          </w:p>
        </w:tc>
        <w:tc>
          <w:tcPr>
            <w:tcW w:w="458" w:type="pct"/>
            <w:shd w:val="clear" w:color="auto" w:fill="FFFFFF" w:themeFill="background1"/>
            <w:vAlign w:val="center"/>
            <w:hideMark/>
          </w:tcPr>
          <w:p w14:paraId="6434CFB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4,030</w:t>
            </w:r>
          </w:p>
        </w:tc>
        <w:tc>
          <w:tcPr>
            <w:tcW w:w="388" w:type="pct"/>
            <w:shd w:val="clear" w:color="auto" w:fill="FFFFFF" w:themeFill="background1"/>
            <w:vAlign w:val="center"/>
            <w:hideMark/>
          </w:tcPr>
          <w:p w14:paraId="591192C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w:t>
            </w:r>
          </w:p>
        </w:tc>
        <w:tc>
          <w:tcPr>
            <w:tcW w:w="619" w:type="pct"/>
            <w:shd w:val="clear" w:color="auto" w:fill="FFFFFF" w:themeFill="background1"/>
            <w:vAlign w:val="center"/>
            <w:hideMark/>
          </w:tcPr>
          <w:p w14:paraId="3046621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FFFFFF" w:themeFill="background1"/>
            <w:vAlign w:val="center"/>
            <w:hideMark/>
          </w:tcPr>
          <w:p w14:paraId="172E5A3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18/03/2015</w:t>
            </w:r>
          </w:p>
        </w:tc>
      </w:tr>
      <w:tr w:rsidR="00FC45DA" w:rsidRPr="00C9666A" w14:paraId="3A355B8D" w14:textId="77777777" w:rsidTr="002C46BD">
        <w:trPr>
          <w:trHeight w:val="20"/>
          <w:jc w:val="right"/>
        </w:trPr>
        <w:tc>
          <w:tcPr>
            <w:tcW w:w="1077" w:type="pct"/>
            <w:shd w:val="clear" w:color="auto" w:fill="D9D9D9" w:themeFill="background1" w:themeFillShade="D9"/>
            <w:vAlign w:val="center"/>
            <w:hideMark/>
          </w:tcPr>
          <w:p w14:paraId="76E782E0"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color w:val="000000"/>
                <w:sz w:val="16"/>
                <w:szCs w:val="16"/>
                <w:lang w:val="en-US" w:eastAsia="es-MX"/>
              </w:rPr>
              <w:t>NII Holdings, INC. y AT&amp;T, INC.</w:t>
            </w:r>
          </w:p>
        </w:tc>
        <w:tc>
          <w:tcPr>
            <w:tcW w:w="363" w:type="pct"/>
            <w:shd w:val="clear" w:color="auto" w:fill="D9D9D9" w:themeFill="background1" w:themeFillShade="D9"/>
            <w:vAlign w:val="center"/>
          </w:tcPr>
          <w:p w14:paraId="2A94C47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CNC-001-2015</w:t>
            </w:r>
          </w:p>
        </w:tc>
        <w:tc>
          <w:tcPr>
            <w:tcW w:w="712" w:type="pct"/>
            <w:shd w:val="clear" w:color="auto" w:fill="D9D9D9" w:themeFill="background1" w:themeFillShade="D9"/>
            <w:vAlign w:val="center"/>
            <w:hideMark/>
          </w:tcPr>
          <w:p w14:paraId="2841AAB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Telecomunicaciones móviles</w:t>
            </w:r>
          </w:p>
        </w:tc>
        <w:tc>
          <w:tcPr>
            <w:tcW w:w="467" w:type="pct"/>
            <w:shd w:val="clear" w:color="auto" w:fill="D9D9D9" w:themeFill="background1" w:themeFillShade="D9"/>
            <w:vAlign w:val="center"/>
            <w:hideMark/>
          </w:tcPr>
          <w:p w14:paraId="7A3F5C76"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hideMark/>
          </w:tcPr>
          <w:p w14:paraId="6BCB123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5,708</w:t>
            </w:r>
          </w:p>
        </w:tc>
        <w:tc>
          <w:tcPr>
            <w:tcW w:w="458" w:type="pct"/>
            <w:shd w:val="clear" w:color="auto" w:fill="D9D9D9" w:themeFill="background1" w:themeFillShade="D9"/>
            <w:vAlign w:val="center"/>
            <w:hideMark/>
          </w:tcPr>
          <w:p w14:paraId="6887228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5,833</w:t>
            </w:r>
          </w:p>
        </w:tc>
        <w:tc>
          <w:tcPr>
            <w:tcW w:w="388" w:type="pct"/>
            <w:shd w:val="clear" w:color="auto" w:fill="D9D9D9" w:themeFill="background1" w:themeFillShade="D9"/>
            <w:vAlign w:val="center"/>
            <w:hideMark/>
          </w:tcPr>
          <w:p w14:paraId="234528D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125</w:t>
            </w:r>
          </w:p>
        </w:tc>
        <w:tc>
          <w:tcPr>
            <w:tcW w:w="619" w:type="pct"/>
            <w:shd w:val="clear" w:color="auto" w:fill="D9D9D9" w:themeFill="background1" w:themeFillShade="D9"/>
            <w:vAlign w:val="center"/>
            <w:hideMark/>
          </w:tcPr>
          <w:p w14:paraId="3477D50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 con condiciones</w:t>
            </w:r>
          </w:p>
        </w:tc>
        <w:tc>
          <w:tcPr>
            <w:tcW w:w="457" w:type="pct"/>
            <w:shd w:val="clear" w:color="auto" w:fill="D9D9D9" w:themeFill="background1" w:themeFillShade="D9"/>
            <w:vAlign w:val="center"/>
            <w:hideMark/>
          </w:tcPr>
          <w:p w14:paraId="7435421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29/04/2015</w:t>
            </w:r>
          </w:p>
        </w:tc>
      </w:tr>
      <w:tr w:rsidR="00FC45DA" w:rsidRPr="00C9666A" w14:paraId="1B4F0CCD" w14:textId="77777777" w:rsidTr="002C46BD">
        <w:trPr>
          <w:trHeight w:val="20"/>
          <w:jc w:val="right"/>
        </w:trPr>
        <w:tc>
          <w:tcPr>
            <w:tcW w:w="1077" w:type="pct"/>
            <w:shd w:val="clear" w:color="auto" w:fill="auto"/>
            <w:vAlign w:val="center"/>
          </w:tcPr>
          <w:p w14:paraId="2C05F8FB" w14:textId="77777777" w:rsidR="00AD6627" w:rsidRPr="00AD6627" w:rsidRDefault="00AD6627" w:rsidP="00D92DEF">
            <w:pPr>
              <w:spacing w:after="0"/>
              <w:jc w:val="center"/>
              <w:rPr>
                <w:rFonts w:ascii="Arial" w:eastAsia="Times New Roman" w:hAnsi="Arial" w:cs="Arial"/>
                <w:color w:val="000000"/>
                <w:sz w:val="16"/>
                <w:szCs w:val="16"/>
                <w:lang w:eastAsia="es-MX"/>
              </w:rPr>
            </w:pPr>
            <w:r w:rsidRPr="00AD6627">
              <w:rPr>
                <w:rFonts w:ascii="Arial" w:eastAsia="Times New Roman" w:hAnsi="Arial" w:cs="Arial"/>
                <w:color w:val="000000"/>
                <w:sz w:val="16"/>
                <w:szCs w:val="16"/>
                <w:lang w:eastAsia="es-MX"/>
              </w:rPr>
              <w:t>Nokia y Alcatel-</w:t>
            </w:r>
            <w:proofErr w:type="spellStart"/>
            <w:r w:rsidRPr="00AD6627">
              <w:rPr>
                <w:rFonts w:ascii="Arial" w:eastAsia="Times New Roman" w:hAnsi="Arial" w:cs="Arial"/>
                <w:color w:val="000000"/>
                <w:sz w:val="16"/>
                <w:szCs w:val="16"/>
                <w:lang w:eastAsia="es-MX"/>
              </w:rPr>
              <w:t>Lucent</w:t>
            </w:r>
            <w:proofErr w:type="spellEnd"/>
          </w:p>
        </w:tc>
        <w:tc>
          <w:tcPr>
            <w:tcW w:w="363" w:type="pct"/>
            <w:shd w:val="clear" w:color="auto" w:fill="auto"/>
            <w:vAlign w:val="center"/>
          </w:tcPr>
          <w:p w14:paraId="7C2D76F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CNC-002-2015</w:t>
            </w:r>
          </w:p>
        </w:tc>
        <w:tc>
          <w:tcPr>
            <w:tcW w:w="712" w:type="pct"/>
            <w:shd w:val="clear" w:color="auto" w:fill="auto"/>
            <w:vAlign w:val="center"/>
          </w:tcPr>
          <w:p w14:paraId="7739F45D" w14:textId="18D69C61"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Equipos de infraestructura activa, servicios conexos y servicios no conexos</w:t>
            </w:r>
          </w:p>
        </w:tc>
        <w:tc>
          <w:tcPr>
            <w:tcW w:w="467" w:type="pct"/>
            <w:shd w:val="clear" w:color="auto" w:fill="auto"/>
            <w:vAlign w:val="center"/>
          </w:tcPr>
          <w:p w14:paraId="05607FC3"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6212059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 Entre1,350-3,788</w:t>
            </w:r>
          </w:p>
        </w:tc>
        <w:tc>
          <w:tcPr>
            <w:tcW w:w="458" w:type="pct"/>
            <w:shd w:val="clear" w:color="auto" w:fill="auto"/>
            <w:vAlign w:val="center"/>
          </w:tcPr>
          <w:p w14:paraId="686CB8E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Entre 1,514-3,912</w:t>
            </w:r>
          </w:p>
        </w:tc>
        <w:tc>
          <w:tcPr>
            <w:tcW w:w="388" w:type="pct"/>
            <w:shd w:val="clear" w:color="auto" w:fill="auto"/>
            <w:vAlign w:val="center"/>
          </w:tcPr>
          <w:p w14:paraId="2DFE9AB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Entre 24-514</w:t>
            </w:r>
          </w:p>
        </w:tc>
        <w:tc>
          <w:tcPr>
            <w:tcW w:w="619" w:type="pct"/>
            <w:shd w:val="clear" w:color="auto" w:fill="auto"/>
            <w:vAlign w:val="center"/>
          </w:tcPr>
          <w:p w14:paraId="6C93C313" w14:textId="6C0111AE" w:rsidR="00AD6627" w:rsidRPr="00C9666A" w:rsidRDefault="00AD6627" w:rsidP="00D92DEF">
            <w:pPr>
              <w:spacing w:after="0"/>
              <w:jc w:val="center"/>
              <w:rPr>
                <w:rFonts w:ascii="Arial" w:eastAsia="Times New Roman" w:hAnsi="Arial" w:cs="Arial"/>
                <w:color w:val="000000"/>
                <w:sz w:val="16"/>
                <w:szCs w:val="16"/>
                <w:lang w:eastAsia="es-MX"/>
              </w:rPr>
            </w:pPr>
            <w:r w:rsidRPr="00FC45DA">
              <w:rPr>
                <w:rFonts w:ascii="Arial" w:eastAsia="Times New Roman" w:hAnsi="Arial" w:cs="Arial"/>
                <w:color w:val="000000"/>
                <w:sz w:val="16"/>
                <w:szCs w:val="16"/>
                <w:lang w:eastAsia="es-MX"/>
              </w:rPr>
              <w:t>Se autoriza</w:t>
            </w:r>
          </w:p>
        </w:tc>
        <w:tc>
          <w:tcPr>
            <w:tcW w:w="457" w:type="pct"/>
            <w:shd w:val="clear" w:color="auto" w:fill="auto"/>
            <w:vAlign w:val="center"/>
          </w:tcPr>
          <w:p w14:paraId="7BAF9E0B" w14:textId="77777777" w:rsidR="00AD6627" w:rsidRPr="00AD6627" w:rsidRDefault="00AD6627" w:rsidP="00D92DEF">
            <w:pPr>
              <w:spacing w:after="0"/>
              <w:jc w:val="center"/>
              <w:rPr>
                <w:rFonts w:ascii="Arial" w:eastAsia="Times New Roman" w:hAnsi="Arial" w:cs="Arial"/>
                <w:color w:val="000000"/>
                <w:sz w:val="16"/>
                <w:szCs w:val="16"/>
                <w:lang w:eastAsia="es-MX"/>
              </w:rPr>
            </w:pPr>
            <w:r w:rsidRPr="00AD6627">
              <w:rPr>
                <w:rFonts w:ascii="Arial" w:eastAsia="Times New Roman" w:hAnsi="Arial" w:cs="Arial"/>
                <w:color w:val="000000"/>
                <w:sz w:val="16"/>
                <w:szCs w:val="16"/>
                <w:lang w:eastAsia="es-MX"/>
              </w:rPr>
              <w:t>20/10/2015</w:t>
            </w:r>
          </w:p>
        </w:tc>
      </w:tr>
      <w:tr w:rsidR="00FC45DA" w:rsidRPr="00C9666A" w14:paraId="2D1965DB" w14:textId="77777777" w:rsidTr="002C46BD">
        <w:trPr>
          <w:trHeight w:val="20"/>
          <w:jc w:val="right"/>
        </w:trPr>
        <w:tc>
          <w:tcPr>
            <w:tcW w:w="1077" w:type="pct"/>
            <w:shd w:val="clear" w:color="auto" w:fill="D9D9D9" w:themeFill="background1" w:themeFillShade="D9"/>
            <w:vAlign w:val="center"/>
          </w:tcPr>
          <w:p w14:paraId="42AAD13D"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hAnsi="Arial" w:cs="Arial"/>
                <w:sz w:val="18"/>
                <w:szCs w:val="18"/>
              </w:rPr>
              <w:t>Telcel-MVS</w:t>
            </w:r>
          </w:p>
        </w:tc>
        <w:tc>
          <w:tcPr>
            <w:tcW w:w="363" w:type="pct"/>
            <w:shd w:val="clear" w:color="auto" w:fill="D9D9D9" w:themeFill="background1" w:themeFillShade="D9"/>
            <w:vAlign w:val="center"/>
          </w:tcPr>
          <w:p w14:paraId="2E29F6EA" w14:textId="3C0A2D00"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w:t>
            </w:r>
            <w:r>
              <w:rPr>
                <w:rFonts w:ascii="Arial" w:eastAsia="Times New Roman" w:hAnsi="Arial" w:cs="Arial"/>
                <w:color w:val="000000"/>
                <w:sz w:val="16"/>
                <w:szCs w:val="16"/>
                <w:lang w:eastAsia="es-MX"/>
              </w:rPr>
              <w:t>-003-2016</w:t>
            </w:r>
          </w:p>
        </w:tc>
        <w:tc>
          <w:tcPr>
            <w:tcW w:w="712" w:type="pct"/>
            <w:shd w:val="clear" w:color="auto" w:fill="D9D9D9" w:themeFill="background1" w:themeFillShade="D9"/>
            <w:vAlign w:val="center"/>
          </w:tcPr>
          <w:p w14:paraId="1AF23C1D" w14:textId="001021FF" w:rsidR="00AD6627" w:rsidRPr="00C9666A" w:rsidRDefault="00AD6627"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Tenencia de espectro radioeléctrico</w:t>
            </w:r>
          </w:p>
        </w:tc>
        <w:tc>
          <w:tcPr>
            <w:tcW w:w="467" w:type="pct"/>
            <w:shd w:val="clear" w:color="auto" w:fill="D9D9D9" w:themeFill="background1" w:themeFillShade="D9"/>
            <w:vAlign w:val="center"/>
          </w:tcPr>
          <w:p w14:paraId="59F8D47D" w14:textId="77777777" w:rsidR="00AD6627" w:rsidRPr="00C9666A" w:rsidRDefault="00AD6627" w:rsidP="00D92DEF">
            <w:pPr>
              <w:spacing w:after="0"/>
              <w:rPr>
                <w:rFonts w:ascii="Arial" w:eastAsia="Times New Roman" w:hAnsi="Arial" w:cs="Arial"/>
                <w:color w:val="000000"/>
                <w:sz w:val="16"/>
                <w:szCs w:val="16"/>
                <w:lang w:eastAsia="es-MX"/>
              </w:rPr>
            </w:pPr>
            <w:r w:rsidRPr="00C9666A">
              <w:rPr>
                <w:rFonts w:ascii="Arial" w:eastAsia="Times New Roman" w:hAnsi="Arial" w:cs="Arial"/>
                <w:b/>
                <w:color w:val="000000"/>
                <w:sz w:val="16"/>
                <w:szCs w:val="16"/>
                <w:lang w:eastAsia="es-MX"/>
              </w:rPr>
              <w:t>Antes:</w:t>
            </w:r>
            <w:r w:rsidRPr="00C9666A">
              <w:rPr>
                <w:rFonts w:ascii="Arial" w:eastAsia="Times New Roman" w:hAnsi="Arial" w:cs="Arial"/>
                <w:color w:val="000000"/>
                <w:sz w:val="16"/>
                <w:szCs w:val="16"/>
                <w:lang w:eastAsia="es-MX"/>
              </w:rPr>
              <w:t xml:space="preserve"> Telcel (24.68) y DIGICRD (10.3)</w:t>
            </w:r>
          </w:p>
          <w:p w14:paraId="39FCA2D7" w14:textId="77777777" w:rsidR="00AD6627" w:rsidRPr="00C9666A" w:rsidRDefault="00AD6627" w:rsidP="00D92DEF">
            <w:pPr>
              <w:spacing w:after="0"/>
              <w:rPr>
                <w:rFonts w:ascii="Arial" w:eastAsia="Times New Roman" w:hAnsi="Arial" w:cs="Arial"/>
                <w:color w:val="000000"/>
                <w:sz w:val="16"/>
                <w:szCs w:val="16"/>
                <w:lang w:eastAsia="es-MX"/>
              </w:rPr>
            </w:pPr>
            <w:r w:rsidRPr="00C9666A">
              <w:rPr>
                <w:rFonts w:ascii="Arial" w:eastAsia="Times New Roman" w:hAnsi="Arial" w:cs="Arial"/>
                <w:b/>
                <w:color w:val="000000"/>
                <w:sz w:val="16"/>
                <w:szCs w:val="16"/>
                <w:lang w:eastAsia="es-MX"/>
              </w:rPr>
              <w:t>Después:</w:t>
            </w:r>
            <w:r w:rsidRPr="00C9666A">
              <w:rPr>
                <w:rFonts w:ascii="Arial" w:eastAsia="Times New Roman" w:hAnsi="Arial" w:cs="Arial"/>
                <w:color w:val="000000"/>
                <w:sz w:val="16"/>
                <w:szCs w:val="16"/>
                <w:lang w:eastAsia="es-MX"/>
              </w:rPr>
              <w:t xml:space="preserve"> (34.98)</w:t>
            </w:r>
          </w:p>
        </w:tc>
        <w:tc>
          <w:tcPr>
            <w:tcW w:w="459" w:type="pct"/>
            <w:shd w:val="clear" w:color="auto" w:fill="D9D9D9" w:themeFill="background1" w:themeFillShade="D9"/>
            <w:vAlign w:val="center"/>
          </w:tcPr>
          <w:p w14:paraId="2BFFED5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2,130</w:t>
            </w:r>
          </w:p>
        </w:tc>
        <w:tc>
          <w:tcPr>
            <w:tcW w:w="458" w:type="pct"/>
            <w:shd w:val="clear" w:color="auto" w:fill="D9D9D9" w:themeFill="background1" w:themeFillShade="D9"/>
            <w:vAlign w:val="center"/>
          </w:tcPr>
          <w:p w14:paraId="14421222" w14:textId="77777777" w:rsidR="00AD6627" w:rsidRPr="00C9666A" w:rsidRDefault="00AD6627" w:rsidP="00D92DEF">
            <w:pPr>
              <w:spacing w:after="0"/>
              <w:jc w:val="center"/>
              <w:rPr>
                <w:rFonts w:ascii="Arial" w:hAnsi="Arial" w:cs="Arial"/>
                <w:bCs/>
                <w:color w:val="000000"/>
                <w:sz w:val="16"/>
                <w:szCs w:val="16"/>
              </w:rPr>
            </w:pPr>
            <w:r w:rsidRPr="00C9666A">
              <w:rPr>
                <w:rFonts w:ascii="Arial" w:eastAsia="Times New Roman" w:hAnsi="Arial" w:cs="Arial"/>
                <w:color w:val="000000"/>
                <w:sz w:val="16"/>
                <w:szCs w:val="16"/>
                <w:lang w:eastAsia="es-MX"/>
              </w:rPr>
              <w:t>2,</w:t>
            </w:r>
            <w:r w:rsidRPr="00C9666A">
              <w:rPr>
                <w:rFonts w:ascii="Arial" w:hAnsi="Arial" w:cs="Arial"/>
                <w:bCs/>
                <w:color w:val="000000"/>
                <w:sz w:val="16"/>
                <w:szCs w:val="16"/>
              </w:rPr>
              <w:t>638</w:t>
            </w:r>
          </w:p>
        </w:tc>
        <w:tc>
          <w:tcPr>
            <w:tcW w:w="388" w:type="pct"/>
            <w:shd w:val="clear" w:color="auto" w:fill="D9D9D9" w:themeFill="background1" w:themeFillShade="D9"/>
            <w:vAlign w:val="center"/>
          </w:tcPr>
          <w:p w14:paraId="45BE53CE" w14:textId="77777777" w:rsidR="00AD6627" w:rsidRPr="00C9666A" w:rsidRDefault="00AD6627" w:rsidP="00D92DEF">
            <w:pPr>
              <w:spacing w:after="0"/>
              <w:jc w:val="center"/>
              <w:rPr>
                <w:rFonts w:ascii="Arial" w:eastAsia="Times New Roman" w:hAnsi="Arial" w:cs="Arial"/>
                <w:sz w:val="16"/>
                <w:szCs w:val="16"/>
                <w:lang w:eastAsia="es-MX"/>
              </w:rPr>
            </w:pPr>
            <w:r w:rsidRPr="00C9666A">
              <w:rPr>
                <w:rFonts w:ascii="Arial" w:eastAsia="Times New Roman" w:hAnsi="Arial" w:cs="Arial"/>
                <w:sz w:val="16"/>
                <w:szCs w:val="16"/>
                <w:lang w:eastAsia="es-MX"/>
              </w:rPr>
              <w:t>508</w:t>
            </w:r>
          </w:p>
        </w:tc>
        <w:tc>
          <w:tcPr>
            <w:tcW w:w="619" w:type="pct"/>
            <w:shd w:val="clear" w:color="auto" w:fill="D9D9D9" w:themeFill="background1" w:themeFillShade="D9"/>
            <w:vAlign w:val="center"/>
          </w:tcPr>
          <w:p w14:paraId="76C9F5C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D9D9D9" w:themeFill="background1" w:themeFillShade="D9"/>
            <w:vAlign w:val="center"/>
          </w:tcPr>
          <w:p w14:paraId="3CE80BCC" w14:textId="77777777" w:rsidR="00AD6627" w:rsidRPr="00C966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27/04/2017</w:t>
            </w:r>
          </w:p>
        </w:tc>
      </w:tr>
      <w:tr w:rsidR="00FC45DA" w:rsidRPr="00C9666A" w14:paraId="29FE300A" w14:textId="77777777" w:rsidTr="002C46BD">
        <w:trPr>
          <w:trHeight w:val="20"/>
          <w:jc w:val="right"/>
        </w:trPr>
        <w:tc>
          <w:tcPr>
            <w:tcW w:w="1077" w:type="pct"/>
            <w:shd w:val="clear" w:color="auto" w:fill="auto"/>
            <w:vAlign w:val="center"/>
          </w:tcPr>
          <w:p w14:paraId="426546BE" w14:textId="6A13B38C"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hAnsi="Arial" w:cs="Arial"/>
                <w:sz w:val="18"/>
                <w:szCs w:val="18"/>
              </w:rPr>
              <w:t xml:space="preserve">Axtel, S.A.B. de C.V. &amp; </w:t>
            </w:r>
            <w:proofErr w:type="spellStart"/>
            <w:r w:rsidRPr="00C9666A">
              <w:rPr>
                <w:rFonts w:ascii="Arial" w:hAnsi="Arial" w:cs="Arial"/>
                <w:sz w:val="18"/>
                <w:szCs w:val="18"/>
              </w:rPr>
              <w:t>Matc</w:t>
            </w:r>
            <w:proofErr w:type="spellEnd"/>
            <w:r w:rsidRPr="00C9666A">
              <w:rPr>
                <w:rFonts w:ascii="Arial" w:hAnsi="Arial" w:cs="Arial"/>
                <w:sz w:val="18"/>
                <w:szCs w:val="18"/>
              </w:rPr>
              <w:t xml:space="preserve"> Digital, S. de R.L. de C.V</w:t>
            </w:r>
            <w:r>
              <w:rPr>
                <w:rFonts w:ascii="Arial" w:hAnsi="Arial" w:cs="Arial"/>
                <w:sz w:val="18"/>
                <w:szCs w:val="18"/>
              </w:rPr>
              <w:t>.</w:t>
            </w:r>
          </w:p>
        </w:tc>
        <w:tc>
          <w:tcPr>
            <w:tcW w:w="363" w:type="pct"/>
            <w:shd w:val="clear" w:color="auto" w:fill="auto"/>
            <w:vAlign w:val="center"/>
          </w:tcPr>
          <w:p w14:paraId="4257CC1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CNC-002-2017</w:t>
            </w:r>
          </w:p>
        </w:tc>
        <w:tc>
          <w:tcPr>
            <w:tcW w:w="712" w:type="pct"/>
            <w:shd w:val="clear" w:color="auto" w:fill="auto"/>
            <w:vAlign w:val="center"/>
          </w:tcPr>
          <w:p w14:paraId="3D3DDC8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Tenencia de torres de telecomunicaciones</w:t>
            </w:r>
          </w:p>
        </w:tc>
        <w:tc>
          <w:tcPr>
            <w:tcW w:w="467" w:type="pct"/>
            <w:shd w:val="clear" w:color="auto" w:fill="auto"/>
            <w:vAlign w:val="center"/>
          </w:tcPr>
          <w:p w14:paraId="09432EFF"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716EA65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3,553</w:t>
            </w:r>
          </w:p>
        </w:tc>
        <w:tc>
          <w:tcPr>
            <w:tcW w:w="458" w:type="pct"/>
            <w:shd w:val="clear" w:color="auto" w:fill="auto"/>
            <w:vAlign w:val="center"/>
          </w:tcPr>
          <w:p w14:paraId="3CEFDF7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3,582</w:t>
            </w:r>
          </w:p>
        </w:tc>
        <w:tc>
          <w:tcPr>
            <w:tcW w:w="388" w:type="pct"/>
            <w:shd w:val="clear" w:color="auto" w:fill="auto"/>
            <w:vAlign w:val="center"/>
          </w:tcPr>
          <w:p w14:paraId="595D01A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29</w:t>
            </w:r>
          </w:p>
        </w:tc>
        <w:tc>
          <w:tcPr>
            <w:tcW w:w="619" w:type="pct"/>
            <w:shd w:val="clear" w:color="auto" w:fill="auto"/>
            <w:vAlign w:val="center"/>
          </w:tcPr>
          <w:p w14:paraId="5B245F4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auto"/>
            <w:vAlign w:val="center"/>
          </w:tcPr>
          <w:p w14:paraId="1D679650" w14:textId="77777777" w:rsidR="00AD6627" w:rsidRPr="00C966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18/10/2017</w:t>
            </w:r>
          </w:p>
        </w:tc>
      </w:tr>
      <w:tr w:rsidR="00FC45DA" w:rsidRPr="00C9666A" w14:paraId="2AE7AB80" w14:textId="77777777" w:rsidTr="002C46BD">
        <w:trPr>
          <w:trHeight w:val="20"/>
          <w:jc w:val="right"/>
        </w:trPr>
        <w:tc>
          <w:tcPr>
            <w:tcW w:w="1077" w:type="pct"/>
            <w:shd w:val="clear" w:color="auto" w:fill="D9D9D9" w:themeFill="background1" w:themeFillShade="D9"/>
            <w:vAlign w:val="center"/>
          </w:tcPr>
          <w:p w14:paraId="1785B339"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hAnsi="Arial" w:cs="Arial"/>
                <w:sz w:val="18"/>
                <w:szCs w:val="18"/>
                <w:lang w:val="en-US"/>
              </w:rPr>
              <w:t>Twenty-First Century Fox, Inc. &amp; The Walt Disney Company</w:t>
            </w:r>
          </w:p>
        </w:tc>
        <w:tc>
          <w:tcPr>
            <w:tcW w:w="363" w:type="pct"/>
            <w:shd w:val="clear" w:color="auto" w:fill="D9D9D9" w:themeFill="background1" w:themeFillShade="D9"/>
            <w:vAlign w:val="center"/>
          </w:tcPr>
          <w:p w14:paraId="7F393F0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CNC-001-2018</w:t>
            </w:r>
          </w:p>
        </w:tc>
        <w:tc>
          <w:tcPr>
            <w:tcW w:w="712" w:type="pct"/>
            <w:shd w:val="clear" w:color="auto" w:fill="D9D9D9" w:themeFill="background1" w:themeFillShade="D9"/>
            <w:vAlign w:val="center"/>
          </w:tcPr>
          <w:p w14:paraId="5234385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Provisión y licenciamiento de contenidos audiovisuales a proveedores del STAR </w:t>
            </w:r>
            <w:r w:rsidRPr="00C9666A">
              <w:rPr>
                <w:rFonts w:ascii="Arial" w:eastAsia="Times New Roman" w:hAnsi="Arial" w:cs="Arial"/>
                <w:color w:val="000000"/>
                <w:sz w:val="16"/>
                <w:szCs w:val="16"/>
                <w:lang w:eastAsia="es-MX"/>
              </w:rPr>
              <w:lastRenderedPageBreak/>
              <w:t xml:space="preserve">en las categorías programáticas de infantil, fáctico y deportes  </w:t>
            </w:r>
          </w:p>
        </w:tc>
        <w:tc>
          <w:tcPr>
            <w:tcW w:w="467" w:type="pct"/>
            <w:shd w:val="clear" w:color="auto" w:fill="D9D9D9" w:themeFill="background1" w:themeFillShade="D9"/>
            <w:vAlign w:val="center"/>
          </w:tcPr>
          <w:p w14:paraId="3862A6B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XXXX</w:t>
            </w:r>
          </w:p>
        </w:tc>
        <w:tc>
          <w:tcPr>
            <w:tcW w:w="459" w:type="pct"/>
            <w:shd w:val="clear" w:color="auto" w:fill="D9D9D9" w:themeFill="background1" w:themeFillShade="D9"/>
            <w:vAlign w:val="center"/>
          </w:tcPr>
          <w:p w14:paraId="3BA39CE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2,850-3550</w:t>
            </w:r>
          </w:p>
        </w:tc>
        <w:tc>
          <w:tcPr>
            <w:tcW w:w="458" w:type="pct"/>
            <w:shd w:val="clear" w:color="auto" w:fill="D9D9D9" w:themeFill="background1" w:themeFillShade="D9"/>
            <w:vAlign w:val="center"/>
          </w:tcPr>
          <w:p w14:paraId="0EC6B6D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2,914-6,657</w:t>
            </w:r>
          </w:p>
        </w:tc>
        <w:tc>
          <w:tcPr>
            <w:tcW w:w="388" w:type="pct"/>
            <w:shd w:val="clear" w:color="auto" w:fill="D9D9D9" w:themeFill="background1" w:themeFillShade="D9"/>
            <w:vAlign w:val="center"/>
          </w:tcPr>
          <w:p w14:paraId="7860172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64-3,125</w:t>
            </w:r>
          </w:p>
        </w:tc>
        <w:tc>
          <w:tcPr>
            <w:tcW w:w="619" w:type="pct"/>
            <w:shd w:val="clear" w:color="auto" w:fill="D9D9D9" w:themeFill="background1" w:themeFillShade="D9"/>
            <w:vAlign w:val="center"/>
          </w:tcPr>
          <w:p w14:paraId="134CEF89" w14:textId="77777777" w:rsidR="00AD6627" w:rsidRPr="00C966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 autoriza sujeta a</w:t>
            </w:r>
            <w:r w:rsidRPr="00D879AA">
              <w:rPr>
                <w:rFonts w:ascii="Arial" w:eastAsia="Times New Roman" w:hAnsi="Arial" w:cs="Arial"/>
                <w:color w:val="000000"/>
                <w:sz w:val="16"/>
                <w:szCs w:val="16"/>
                <w:lang w:eastAsia="es-MX"/>
              </w:rPr>
              <w:t xml:space="preserve"> condiciones</w:t>
            </w:r>
          </w:p>
        </w:tc>
        <w:tc>
          <w:tcPr>
            <w:tcW w:w="457" w:type="pct"/>
            <w:shd w:val="clear" w:color="auto" w:fill="D9D9D9" w:themeFill="background1" w:themeFillShade="D9"/>
            <w:vAlign w:val="center"/>
          </w:tcPr>
          <w:p w14:paraId="098E15D1" w14:textId="77777777" w:rsidR="00AD6627" w:rsidRPr="00C966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11/03/2019</w:t>
            </w:r>
          </w:p>
        </w:tc>
      </w:tr>
      <w:tr w:rsidR="00FC45DA" w:rsidRPr="00C9666A" w14:paraId="526C3ACB" w14:textId="77777777" w:rsidTr="002C46BD">
        <w:trPr>
          <w:trHeight w:val="20"/>
          <w:jc w:val="right"/>
        </w:trPr>
        <w:tc>
          <w:tcPr>
            <w:tcW w:w="1077" w:type="pct"/>
            <w:shd w:val="clear" w:color="auto" w:fill="auto"/>
            <w:vAlign w:val="center"/>
          </w:tcPr>
          <w:p w14:paraId="14AB064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hAnsi="Arial" w:cs="Arial"/>
                <w:sz w:val="18"/>
                <w:szCs w:val="18"/>
              </w:rPr>
              <w:t xml:space="preserve">Neutral Networks, S. de R.L. de C.V., </w:t>
            </w:r>
            <w:proofErr w:type="spellStart"/>
            <w:r w:rsidRPr="00C9666A">
              <w:rPr>
                <w:rFonts w:ascii="Arial" w:hAnsi="Arial" w:cs="Arial"/>
                <w:sz w:val="18"/>
                <w:szCs w:val="18"/>
              </w:rPr>
              <w:t>Even</w:t>
            </w:r>
            <w:proofErr w:type="spellEnd"/>
            <w:r w:rsidRPr="00C9666A">
              <w:rPr>
                <w:rFonts w:ascii="Arial" w:hAnsi="Arial" w:cs="Arial"/>
                <w:sz w:val="18"/>
                <w:szCs w:val="18"/>
              </w:rPr>
              <w:t xml:space="preserve"> Telecom, S.A. de C.V. &amp; Pegaso PCS, S.A. de C.V. </w:t>
            </w:r>
          </w:p>
        </w:tc>
        <w:tc>
          <w:tcPr>
            <w:tcW w:w="363" w:type="pct"/>
            <w:shd w:val="clear" w:color="auto" w:fill="auto"/>
            <w:vAlign w:val="center"/>
          </w:tcPr>
          <w:p w14:paraId="001D5F5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CNC-002-2018</w:t>
            </w:r>
          </w:p>
        </w:tc>
        <w:tc>
          <w:tcPr>
            <w:tcW w:w="712" w:type="pct"/>
            <w:shd w:val="clear" w:color="auto" w:fill="auto"/>
            <w:vAlign w:val="center"/>
          </w:tcPr>
          <w:p w14:paraId="01DE416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Tenencia de fibra óptica</w:t>
            </w:r>
          </w:p>
        </w:tc>
        <w:tc>
          <w:tcPr>
            <w:tcW w:w="467" w:type="pct"/>
            <w:shd w:val="clear" w:color="auto" w:fill="auto"/>
            <w:vAlign w:val="center"/>
          </w:tcPr>
          <w:p w14:paraId="467FCEE1"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w:t>
            </w:r>
            <w:proofErr w:type="spellEnd"/>
          </w:p>
        </w:tc>
        <w:tc>
          <w:tcPr>
            <w:tcW w:w="459" w:type="pct"/>
            <w:shd w:val="clear" w:color="auto" w:fill="auto"/>
            <w:vAlign w:val="center"/>
          </w:tcPr>
          <w:p w14:paraId="30307A6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4,007</w:t>
            </w:r>
          </w:p>
        </w:tc>
        <w:tc>
          <w:tcPr>
            <w:tcW w:w="458" w:type="pct"/>
            <w:shd w:val="clear" w:color="auto" w:fill="auto"/>
            <w:vAlign w:val="center"/>
          </w:tcPr>
          <w:p w14:paraId="4ED376F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4,006</w:t>
            </w:r>
          </w:p>
        </w:tc>
        <w:tc>
          <w:tcPr>
            <w:tcW w:w="388" w:type="pct"/>
            <w:shd w:val="clear" w:color="auto" w:fill="auto"/>
            <w:vAlign w:val="center"/>
          </w:tcPr>
          <w:p w14:paraId="21879D2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w:t>
            </w:r>
          </w:p>
        </w:tc>
        <w:tc>
          <w:tcPr>
            <w:tcW w:w="619" w:type="pct"/>
            <w:shd w:val="clear" w:color="auto" w:fill="auto"/>
            <w:vAlign w:val="center"/>
          </w:tcPr>
          <w:p w14:paraId="04C69F1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auto"/>
            <w:vAlign w:val="center"/>
          </w:tcPr>
          <w:p w14:paraId="52D1B727" w14:textId="77777777" w:rsidR="00AD6627" w:rsidRPr="00C966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14/11/2018</w:t>
            </w:r>
          </w:p>
        </w:tc>
      </w:tr>
      <w:tr w:rsidR="00FC45DA" w:rsidRPr="00C9666A" w14:paraId="065AD1FB" w14:textId="77777777" w:rsidTr="002C46BD">
        <w:trPr>
          <w:trHeight w:val="20"/>
          <w:jc w:val="right"/>
        </w:trPr>
        <w:tc>
          <w:tcPr>
            <w:tcW w:w="1077" w:type="pct"/>
            <w:shd w:val="clear" w:color="auto" w:fill="D9D9D9" w:themeFill="background1" w:themeFillShade="D9"/>
            <w:vAlign w:val="center"/>
          </w:tcPr>
          <w:p w14:paraId="1D185F9B"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hAnsi="Arial" w:cs="Arial"/>
                <w:sz w:val="18"/>
                <w:szCs w:val="18"/>
                <w:lang w:val="en-US"/>
              </w:rPr>
              <w:t xml:space="preserve">CommScope Holding Company, Inc. &amp; Arris </w:t>
            </w:r>
            <w:proofErr w:type="spellStart"/>
            <w:r w:rsidRPr="00C9666A">
              <w:rPr>
                <w:rFonts w:ascii="Arial" w:hAnsi="Arial" w:cs="Arial"/>
                <w:sz w:val="18"/>
                <w:szCs w:val="18"/>
                <w:lang w:val="en-US"/>
              </w:rPr>
              <w:t>Internacional</w:t>
            </w:r>
            <w:proofErr w:type="spellEnd"/>
            <w:r w:rsidRPr="00C9666A">
              <w:rPr>
                <w:rFonts w:ascii="Arial" w:hAnsi="Arial" w:cs="Arial"/>
                <w:sz w:val="18"/>
                <w:szCs w:val="18"/>
                <w:lang w:val="en-US"/>
              </w:rPr>
              <w:t>, Plc.</w:t>
            </w:r>
          </w:p>
        </w:tc>
        <w:tc>
          <w:tcPr>
            <w:tcW w:w="363" w:type="pct"/>
            <w:shd w:val="clear" w:color="auto" w:fill="D9D9D9" w:themeFill="background1" w:themeFillShade="D9"/>
            <w:vAlign w:val="center"/>
          </w:tcPr>
          <w:p w14:paraId="4B187953" w14:textId="77777777" w:rsidR="00AD6627" w:rsidRPr="00C9666A" w:rsidRDefault="00AD6627" w:rsidP="00D92DEF">
            <w:pPr>
              <w:spacing w:after="0"/>
              <w:jc w:val="center"/>
              <w:rPr>
                <w:rFonts w:ascii="Arial" w:eastAsia="Times New Roman" w:hAnsi="Arial" w:cs="Arial"/>
                <w:color w:val="000000"/>
                <w:sz w:val="16"/>
                <w:szCs w:val="16"/>
                <w:lang w:val="en-US" w:eastAsia="es-MX"/>
              </w:rPr>
            </w:pPr>
            <w:r w:rsidRPr="00C9666A">
              <w:rPr>
                <w:rFonts w:ascii="Arial" w:eastAsia="Times New Roman" w:hAnsi="Arial" w:cs="Arial"/>
                <w:color w:val="000000"/>
                <w:sz w:val="16"/>
                <w:szCs w:val="16"/>
                <w:lang w:eastAsia="es-MX"/>
              </w:rPr>
              <w:t>CNC-001-2019</w:t>
            </w:r>
          </w:p>
        </w:tc>
        <w:tc>
          <w:tcPr>
            <w:tcW w:w="712" w:type="pct"/>
            <w:shd w:val="clear" w:color="auto" w:fill="D9D9D9" w:themeFill="background1" w:themeFillShade="D9"/>
            <w:vAlign w:val="center"/>
          </w:tcPr>
          <w:p w14:paraId="04F351F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Provisión de elementos activos y pasivos para cableado de redes de operadores; y de productos y soluciones de telecomunicaciones para cobertura inalámbrica y de capacidad</w:t>
            </w:r>
          </w:p>
        </w:tc>
        <w:tc>
          <w:tcPr>
            <w:tcW w:w="467" w:type="pct"/>
            <w:shd w:val="clear" w:color="auto" w:fill="D9D9D9" w:themeFill="background1" w:themeFillShade="D9"/>
            <w:vAlign w:val="center"/>
          </w:tcPr>
          <w:p w14:paraId="059BA73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&lt;15% en cada caso</w:t>
            </w:r>
          </w:p>
        </w:tc>
        <w:tc>
          <w:tcPr>
            <w:tcW w:w="459" w:type="pct"/>
            <w:shd w:val="clear" w:color="auto" w:fill="D9D9D9" w:themeFill="background1" w:themeFillShade="D9"/>
            <w:vAlign w:val="center"/>
          </w:tcPr>
          <w:p w14:paraId="3F6B2EA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D9D9D9" w:themeFill="background1" w:themeFillShade="D9"/>
            <w:vAlign w:val="center"/>
          </w:tcPr>
          <w:p w14:paraId="0DE929D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388" w:type="pct"/>
            <w:shd w:val="clear" w:color="auto" w:fill="D9D9D9" w:themeFill="background1" w:themeFillShade="D9"/>
            <w:vAlign w:val="center"/>
          </w:tcPr>
          <w:p w14:paraId="44F7C66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D9D9D9" w:themeFill="background1" w:themeFillShade="D9"/>
            <w:vAlign w:val="center"/>
          </w:tcPr>
          <w:p w14:paraId="044E8CC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D9D9D9" w:themeFill="background1" w:themeFillShade="D9"/>
            <w:vAlign w:val="center"/>
          </w:tcPr>
          <w:p w14:paraId="547ACEC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03/04/2019</w:t>
            </w:r>
          </w:p>
        </w:tc>
      </w:tr>
      <w:tr w:rsidR="00FC45DA" w:rsidRPr="00C9666A" w14:paraId="762EFE8A" w14:textId="77777777" w:rsidTr="002C46BD">
        <w:trPr>
          <w:trHeight w:val="20"/>
          <w:jc w:val="right"/>
        </w:trPr>
        <w:tc>
          <w:tcPr>
            <w:tcW w:w="1077" w:type="pct"/>
            <w:shd w:val="clear" w:color="auto" w:fill="auto"/>
            <w:vAlign w:val="center"/>
          </w:tcPr>
          <w:p w14:paraId="65363411"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hAnsi="Arial" w:cs="Arial"/>
                <w:sz w:val="18"/>
                <w:szCs w:val="18"/>
              </w:rPr>
              <w:t>Equinix</w:t>
            </w:r>
            <w:proofErr w:type="spellEnd"/>
            <w:r w:rsidRPr="00C9666A">
              <w:rPr>
                <w:rFonts w:ascii="Arial" w:hAnsi="Arial" w:cs="Arial"/>
                <w:sz w:val="18"/>
                <w:szCs w:val="18"/>
              </w:rPr>
              <w:t>, Inc., Axtel, S.A.B. de C.V. &amp; Servicios Axtel, S.A. de C.V.</w:t>
            </w:r>
          </w:p>
        </w:tc>
        <w:tc>
          <w:tcPr>
            <w:tcW w:w="363" w:type="pct"/>
            <w:shd w:val="clear" w:color="auto" w:fill="auto"/>
            <w:vAlign w:val="center"/>
          </w:tcPr>
          <w:p w14:paraId="6B785E9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CNC-006-2019</w:t>
            </w:r>
          </w:p>
        </w:tc>
        <w:tc>
          <w:tcPr>
            <w:tcW w:w="712" w:type="pct"/>
            <w:shd w:val="clear" w:color="auto" w:fill="auto"/>
            <w:vAlign w:val="center"/>
          </w:tcPr>
          <w:p w14:paraId="03D2C99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Provisión del servicio de alojamiento en centro de datos</w:t>
            </w:r>
          </w:p>
        </w:tc>
        <w:tc>
          <w:tcPr>
            <w:tcW w:w="467" w:type="pct"/>
            <w:shd w:val="clear" w:color="auto" w:fill="auto"/>
            <w:vAlign w:val="center"/>
          </w:tcPr>
          <w:p w14:paraId="488B5E06" w14:textId="77777777" w:rsidR="00AD6627" w:rsidRPr="00C9666A" w:rsidRDefault="00AD6627" w:rsidP="00D92DEF">
            <w:pPr>
              <w:spacing w:after="0"/>
              <w:jc w:val="center"/>
              <w:rPr>
                <w:rFonts w:ascii="Arial" w:eastAsia="Times New Roman" w:hAnsi="Arial" w:cs="Arial"/>
                <w:color w:val="000000"/>
                <w:sz w:val="16"/>
                <w:szCs w:val="16"/>
                <w:lang w:eastAsia="es-MX"/>
              </w:rPr>
            </w:pPr>
          </w:p>
        </w:tc>
        <w:tc>
          <w:tcPr>
            <w:tcW w:w="459" w:type="pct"/>
            <w:shd w:val="clear" w:color="auto" w:fill="auto"/>
            <w:vAlign w:val="center"/>
          </w:tcPr>
          <w:p w14:paraId="25A2D55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2,856</w:t>
            </w:r>
          </w:p>
        </w:tc>
        <w:tc>
          <w:tcPr>
            <w:tcW w:w="458" w:type="pct"/>
            <w:shd w:val="clear" w:color="auto" w:fill="auto"/>
            <w:vAlign w:val="center"/>
          </w:tcPr>
          <w:p w14:paraId="72DE1C5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2,758</w:t>
            </w:r>
          </w:p>
        </w:tc>
        <w:tc>
          <w:tcPr>
            <w:tcW w:w="388" w:type="pct"/>
            <w:shd w:val="clear" w:color="auto" w:fill="auto"/>
            <w:vAlign w:val="center"/>
          </w:tcPr>
          <w:p w14:paraId="4DF19A2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-98</w:t>
            </w:r>
          </w:p>
        </w:tc>
        <w:tc>
          <w:tcPr>
            <w:tcW w:w="619" w:type="pct"/>
            <w:shd w:val="clear" w:color="auto" w:fill="auto"/>
            <w:vAlign w:val="center"/>
          </w:tcPr>
          <w:p w14:paraId="7FBDCCB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 autoriza</w:t>
            </w:r>
          </w:p>
        </w:tc>
        <w:tc>
          <w:tcPr>
            <w:tcW w:w="457" w:type="pct"/>
            <w:shd w:val="clear" w:color="auto" w:fill="auto"/>
            <w:vAlign w:val="center"/>
          </w:tcPr>
          <w:p w14:paraId="2F62A3B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03/04/2019</w:t>
            </w:r>
          </w:p>
        </w:tc>
      </w:tr>
      <w:tr w:rsidR="00FC45DA" w:rsidRPr="00C9666A" w14:paraId="1F05733B" w14:textId="77777777" w:rsidTr="002C46BD">
        <w:trPr>
          <w:trHeight w:val="20"/>
          <w:jc w:val="right"/>
        </w:trPr>
        <w:tc>
          <w:tcPr>
            <w:tcW w:w="1077" w:type="pct"/>
            <w:shd w:val="clear" w:color="auto" w:fill="D9D9D9" w:themeFill="background1" w:themeFillShade="D9"/>
            <w:vAlign w:val="center"/>
          </w:tcPr>
          <w:p w14:paraId="03E7DF4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Mega Cable S.A. de C.V. y TV Seybaplaya, S.A. de C.V.</w:t>
            </w:r>
          </w:p>
        </w:tc>
        <w:tc>
          <w:tcPr>
            <w:tcW w:w="363" w:type="pct"/>
            <w:shd w:val="clear" w:color="auto" w:fill="D9D9D9" w:themeFill="background1" w:themeFillShade="D9"/>
            <w:vAlign w:val="center"/>
          </w:tcPr>
          <w:p w14:paraId="716D9D6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AVC</w:t>
            </w:r>
          </w:p>
        </w:tc>
        <w:tc>
          <w:tcPr>
            <w:tcW w:w="712" w:type="pct"/>
            <w:shd w:val="clear" w:color="auto" w:fill="D9D9D9" w:themeFill="background1" w:themeFillShade="D9"/>
            <w:vAlign w:val="center"/>
          </w:tcPr>
          <w:p w14:paraId="153C66D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Producción y programación de contenidos para TV restringida y comercialización de publicidad para TV restringida.</w:t>
            </w:r>
          </w:p>
          <w:p w14:paraId="4942FC3C" w14:textId="77777777" w:rsidR="00AD6627" w:rsidRPr="00C9666A" w:rsidRDefault="00AD6627" w:rsidP="00D92DEF">
            <w:pPr>
              <w:spacing w:after="0"/>
              <w:jc w:val="center"/>
              <w:rPr>
                <w:rFonts w:ascii="Arial" w:eastAsia="Times New Roman" w:hAnsi="Arial" w:cs="Arial"/>
                <w:color w:val="000000"/>
                <w:sz w:val="16"/>
                <w:szCs w:val="16"/>
                <w:lang w:eastAsia="es-MX"/>
              </w:rPr>
            </w:pPr>
          </w:p>
        </w:tc>
        <w:tc>
          <w:tcPr>
            <w:tcW w:w="467" w:type="pct"/>
            <w:shd w:val="clear" w:color="auto" w:fill="D9D9D9" w:themeFill="background1" w:themeFillShade="D9"/>
            <w:vAlign w:val="center"/>
          </w:tcPr>
          <w:p w14:paraId="29D35C5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D9D9D9" w:themeFill="background1" w:themeFillShade="D9"/>
            <w:vAlign w:val="center"/>
          </w:tcPr>
          <w:p w14:paraId="2C8B626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D9D9D9" w:themeFill="background1" w:themeFillShade="D9"/>
            <w:vAlign w:val="center"/>
          </w:tcPr>
          <w:p w14:paraId="7A4BFF7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388" w:type="pct"/>
            <w:shd w:val="clear" w:color="auto" w:fill="D9D9D9" w:themeFill="background1" w:themeFillShade="D9"/>
            <w:vAlign w:val="center"/>
          </w:tcPr>
          <w:p w14:paraId="5094221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0.0006</w:t>
            </w:r>
          </w:p>
        </w:tc>
        <w:tc>
          <w:tcPr>
            <w:tcW w:w="619" w:type="pct"/>
            <w:shd w:val="clear" w:color="auto" w:fill="D9D9D9" w:themeFill="background1" w:themeFillShade="D9"/>
            <w:vAlign w:val="center"/>
          </w:tcPr>
          <w:p w14:paraId="02E2717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La operación no requiere autorización</w:t>
            </w:r>
          </w:p>
        </w:tc>
        <w:tc>
          <w:tcPr>
            <w:tcW w:w="457" w:type="pct"/>
            <w:shd w:val="clear" w:color="auto" w:fill="D9D9D9" w:themeFill="background1" w:themeFillShade="D9"/>
            <w:vAlign w:val="center"/>
          </w:tcPr>
          <w:p w14:paraId="4426C94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11/02/2015</w:t>
            </w:r>
          </w:p>
        </w:tc>
      </w:tr>
      <w:tr w:rsidR="00FC45DA" w:rsidRPr="00C9666A" w14:paraId="04E36EA1" w14:textId="77777777" w:rsidTr="002C46BD">
        <w:trPr>
          <w:trHeight w:val="20"/>
          <w:jc w:val="right"/>
        </w:trPr>
        <w:tc>
          <w:tcPr>
            <w:tcW w:w="1077" w:type="pct"/>
            <w:shd w:val="clear" w:color="auto" w:fill="auto"/>
            <w:vAlign w:val="center"/>
          </w:tcPr>
          <w:p w14:paraId="2F226A4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val="es-ES_tradnl" w:eastAsia="es-MX"/>
              </w:rPr>
              <w:t xml:space="preserve">Grupo Televisa, S.A.B. de C.V. </w:t>
            </w:r>
            <w:r w:rsidRPr="00C9666A">
              <w:rPr>
                <w:rFonts w:ascii="Arial" w:eastAsia="Times New Roman" w:hAnsi="Arial" w:cs="Arial"/>
                <w:color w:val="000000"/>
                <w:sz w:val="16"/>
                <w:szCs w:val="16"/>
                <w:lang w:eastAsia="es-MX"/>
              </w:rPr>
              <w:t>y Grupo HEVI (</w:t>
            </w:r>
            <w:r w:rsidRPr="00C9666A">
              <w:rPr>
                <w:rFonts w:ascii="Arial" w:eastAsia="Times New Roman" w:hAnsi="Arial" w:cs="Arial"/>
                <w:color w:val="000000"/>
                <w:sz w:val="16"/>
                <w:szCs w:val="16"/>
                <w:lang w:val="es-ES_tradnl" w:eastAsia="es-MX"/>
              </w:rPr>
              <w:t xml:space="preserve">Inmobiliaria </w:t>
            </w:r>
            <w:proofErr w:type="spellStart"/>
            <w:r w:rsidRPr="00C9666A">
              <w:rPr>
                <w:rFonts w:ascii="Arial" w:eastAsia="Times New Roman" w:hAnsi="Arial" w:cs="Arial"/>
                <w:color w:val="000000"/>
                <w:sz w:val="16"/>
                <w:szCs w:val="16"/>
                <w:lang w:val="es-ES_tradnl" w:eastAsia="es-MX"/>
              </w:rPr>
              <w:t>Hevi</w:t>
            </w:r>
            <w:proofErr w:type="spellEnd"/>
            <w:r w:rsidRPr="00C9666A">
              <w:rPr>
                <w:rFonts w:ascii="Arial" w:eastAsia="Times New Roman" w:hAnsi="Arial" w:cs="Arial"/>
                <w:color w:val="000000"/>
                <w:sz w:val="16"/>
                <w:szCs w:val="16"/>
                <w:lang w:val="es-ES_tradnl" w:eastAsia="es-MX"/>
              </w:rPr>
              <w:t>, S.A. de C.V. y subsidiarias)</w:t>
            </w:r>
          </w:p>
        </w:tc>
        <w:tc>
          <w:tcPr>
            <w:tcW w:w="363" w:type="pct"/>
            <w:shd w:val="clear" w:color="auto" w:fill="auto"/>
            <w:vAlign w:val="center"/>
          </w:tcPr>
          <w:p w14:paraId="56535F4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AVC</w:t>
            </w:r>
          </w:p>
        </w:tc>
        <w:tc>
          <w:tcPr>
            <w:tcW w:w="712" w:type="pct"/>
            <w:shd w:val="clear" w:color="auto" w:fill="auto"/>
            <w:vAlign w:val="center"/>
          </w:tcPr>
          <w:p w14:paraId="577B504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Telefonía fija, datos fijos, telefonía móvil, datos móviles, televisión restringida, radiolocalización móvil de personas y radiocomunicación especializada de flotillas</w:t>
            </w:r>
          </w:p>
        </w:tc>
        <w:tc>
          <w:tcPr>
            <w:tcW w:w="467" w:type="pct"/>
            <w:shd w:val="clear" w:color="auto" w:fill="auto"/>
            <w:vAlign w:val="center"/>
          </w:tcPr>
          <w:p w14:paraId="30C3AF0D"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5E1F57D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4,021</w:t>
            </w:r>
          </w:p>
        </w:tc>
        <w:tc>
          <w:tcPr>
            <w:tcW w:w="458" w:type="pct"/>
            <w:shd w:val="clear" w:color="auto" w:fill="auto"/>
            <w:vAlign w:val="center"/>
          </w:tcPr>
          <w:p w14:paraId="7379D64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4,027</w:t>
            </w:r>
          </w:p>
        </w:tc>
        <w:tc>
          <w:tcPr>
            <w:tcW w:w="388" w:type="pct"/>
            <w:shd w:val="clear" w:color="auto" w:fill="auto"/>
            <w:vAlign w:val="center"/>
          </w:tcPr>
          <w:p w14:paraId="241F4A3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w:t>
            </w:r>
          </w:p>
        </w:tc>
        <w:tc>
          <w:tcPr>
            <w:tcW w:w="619" w:type="pct"/>
            <w:shd w:val="clear" w:color="auto" w:fill="auto"/>
            <w:vAlign w:val="center"/>
          </w:tcPr>
          <w:p w14:paraId="4197ADC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La operación no requiere autorización</w:t>
            </w:r>
          </w:p>
        </w:tc>
        <w:tc>
          <w:tcPr>
            <w:tcW w:w="457" w:type="pct"/>
            <w:shd w:val="clear" w:color="auto" w:fill="auto"/>
            <w:vAlign w:val="center"/>
          </w:tcPr>
          <w:p w14:paraId="72F38FE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20/04/2015</w:t>
            </w:r>
          </w:p>
        </w:tc>
      </w:tr>
      <w:tr w:rsidR="00FC45DA" w:rsidRPr="00C9666A" w14:paraId="490D32BB" w14:textId="77777777" w:rsidTr="002C46BD">
        <w:trPr>
          <w:trHeight w:val="20"/>
          <w:jc w:val="right"/>
        </w:trPr>
        <w:tc>
          <w:tcPr>
            <w:tcW w:w="1077" w:type="pct"/>
            <w:shd w:val="clear" w:color="auto" w:fill="D9D9D9" w:themeFill="background1" w:themeFillShade="D9"/>
            <w:vAlign w:val="center"/>
          </w:tcPr>
          <w:p w14:paraId="2417B97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hAnsi="Arial" w:cs="Arial"/>
                <w:color w:val="000000"/>
                <w:sz w:val="16"/>
                <w:szCs w:val="16"/>
                <w:lang w:val="es-ES"/>
              </w:rPr>
              <w:lastRenderedPageBreak/>
              <w:t>XEAV, S.A. DE C.V. y México Radio, S.A. de C.V.</w:t>
            </w:r>
          </w:p>
        </w:tc>
        <w:tc>
          <w:tcPr>
            <w:tcW w:w="363" w:type="pct"/>
            <w:shd w:val="clear" w:color="auto" w:fill="D9D9D9" w:themeFill="background1" w:themeFillShade="D9"/>
            <w:vAlign w:val="center"/>
          </w:tcPr>
          <w:p w14:paraId="3D3376D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D9D9D9" w:themeFill="background1" w:themeFillShade="D9"/>
            <w:vAlign w:val="center"/>
          </w:tcPr>
          <w:p w14:paraId="7A637AD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556D38D1"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tcPr>
          <w:p w14:paraId="5A297D2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1,073</w:t>
            </w:r>
          </w:p>
        </w:tc>
        <w:tc>
          <w:tcPr>
            <w:tcW w:w="458" w:type="pct"/>
            <w:shd w:val="clear" w:color="auto" w:fill="D9D9D9" w:themeFill="background1" w:themeFillShade="D9"/>
            <w:vAlign w:val="center"/>
          </w:tcPr>
          <w:p w14:paraId="04B3D34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1,142</w:t>
            </w:r>
          </w:p>
        </w:tc>
        <w:tc>
          <w:tcPr>
            <w:tcW w:w="388" w:type="pct"/>
            <w:shd w:val="clear" w:color="auto" w:fill="D9D9D9" w:themeFill="background1" w:themeFillShade="D9"/>
            <w:vAlign w:val="center"/>
          </w:tcPr>
          <w:p w14:paraId="01BC4F6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69</w:t>
            </w:r>
          </w:p>
        </w:tc>
        <w:tc>
          <w:tcPr>
            <w:tcW w:w="619" w:type="pct"/>
            <w:shd w:val="clear" w:color="auto" w:fill="D9D9D9" w:themeFill="background1" w:themeFillShade="D9"/>
            <w:vAlign w:val="center"/>
          </w:tcPr>
          <w:p w14:paraId="0E14911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la cesión</w:t>
            </w:r>
          </w:p>
        </w:tc>
        <w:tc>
          <w:tcPr>
            <w:tcW w:w="457" w:type="pct"/>
            <w:shd w:val="clear" w:color="auto" w:fill="D9D9D9" w:themeFill="background1" w:themeFillShade="D9"/>
            <w:vAlign w:val="center"/>
          </w:tcPr>
          <w:p w14:paraId="460F03A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28/05/2014</w:t>
            </w:r>
          </w:p>
        </w:tc>
      </w:tr>
      <w:tr w:rsidR="00FC45DA" w:rsidRPr="00C9666A" w14:paraId="612A5695" w14:textId="77777777" w:rsidTr="002C46BD">
        <w:trPr>
          <w:trHeight w:val="20"/>
          <w:jc w:val="right"/>
        </w:trPr>
        <w:tc>
          <w:tcPr>
            <w:tcW w:w="1077" w:type="pct"/>
            <w:shd w:val="clear" w:color="auto" w:fill="auto"/>
            <w:vAlign w:val="center"/>
          </w:tcPr>
          <w:p w14:paraId="1A6007D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hAnsi="Arial" w:cs="Arial"/>
                <w:color w:val="000000"/>
                <w:sz w:val="16"/>
                <w:szCs w:val="16"/>
                <w:lang w:val="es-ES"/>
              </w:rPr>
              <w:t>Radio Promotora de Mexicali, S.A. de C.V. y México Radio, S.A. de C.V.</w:t>
            </w:r>
          </w:p>
        </w:tc>
        <w:tc>
          <w:tcPr>
            <w:tcW w:w="363" w:type="pct"/>
            <w:shd w:val="clear" w:color="auto" w:fill="auto"/>
            <w:vAlign w:val="center"/>
          </w:tcPr>
          <w:p w14:paraId="711905F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auto"/>
            <w:vAlign w:val="center"/>
          </w:tcPr>
          <w:p w14:paraId="6806A62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 en AM</w:t>
            </w:r>
          </w:p>
        </w:tc>
        <w:tc>
          <w:tcPr>
            <w:tcW w:w="467" w:type="pct"/>
            <w:shd w:val="clear" w:color="auto" w:fill="auto"/>
            <w:vAlign w:val="center"/>
          </w:tcPr>
          <w:p w14:paraId="6221F745"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4C17F39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val="es-ES" w:eastAsia="es-ES"/>
              </w:rPr>
              <w:t>1,805</w:t>
            </w:r>
          </w:p>
        </w:tc>
        <w:tc>
          <w:tcPr>
            <w:tcW w:w="458" w:type="pct"/>
            <w:shd w:val="clear" w:color="auto" w:fill="auto"/>
            <w:vAlign w:val="center"/>
          </w:tcPr>
          <w:p w14:paraId="4DEA07A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1,944</w:t>
            </w:r>
          </w:p>
        </w:tc>
        <w:tc>
          <w:tcPr>
            <w:tcW w:w="388" w:type="pct"/>
            <w:shd w:val="clear" w:color="auto" w:fill="auto"/>
            <w:vAlign w:val="center"/>
          </w:tcPr>
          <w:p w14:paraId="2633A8C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139</w:t>
            </w:r>
          </w:p>
        </w:tc>
        <w:tc>
          <w:tcPr>
            <w:tcW w:w="619" w:type="pct"/>
            <w:shd w:val="clear" w:color="auto" w:fill="auto"/>
            <w:vAlign w:val="center"/>
          </w:tcPr>
          <w:p w14:paraId="7EB6E1C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la cesión</w:t>
            </w:r>
          </w:p>
        </w:tc>
        <w:tc>
          <w:tcPr>
            <w:tcW w:w="457" w:type="pct"/>
            <w:shd w:val="clear" w:color="auto" w:fill="auto"/>
            <w:vAlign w:val="center"/>
          </w:tcPr>
          <w:p w14:paraId="4901B28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28/05/2014</w:t>
            </w:r>
          </w:p>
        </w:tc>
      </w:tr>
      <w:tr w:rsidR="00FC45DA" w:rsidRPr="00C9666A" w14:paraId="2015EA73" w14:textId="77777777" w:rsidTr="002C46BD">
        <w:trPr>
          <w:trHeight w:val="20"/>
          <w:jc w:val="right"/>
        </w:trPr>
        <w:tc>
          <w:tcPr>
            <w:tcW w:w="1077" w:type="pct"/>
            <w:shd w:val="clear" w:color="auto" w:fill="D9D9D9" w:themeFill="background1" w:themeFillShade="D9"/>
            <w:vAlign w:val="center"/>
          </w:tcPr>
          <w:p w14:paraId="304869CC" w14:textId="77777777" w:rsidR="00AD6627" w:rsidRPr="00C9666A" w:rsidRDefault="00AD6627" w:rsidP="00D92DEF">
            <w:pPr>
              <w:spacing w:after="0"/>
              <w:jc w:val="center"/>
              <w:rPr>
                <w:rFonts w:ascii="Arial" w:eastAsia="Times New Roman" w:hAnsi="Arial" w:cs="Arial"/>
                <w:color w:val="000000"/>
                <w:sz w:val="16"/>
                <w:szCs w:val="16"/>
                <w:lang w:val="es-ES" w:eastAsia="es-MX"/>
              </w:rPr>
            </w:pPr>
            <w:r w:rsidRPr="00C9666A">
              <w:rPr>
                <w:rFonts w:ascii="Arial" w:eastAsia="Times New Roman" w:hAnsi="Arial" w:cs="Arial"/>
                <w:color w:val="000000"/>
                <w:sz w:val="16"/>
                <w:szCs w:val="16"/>
                <w:lang w:val="es-ES" w:eastAsia="es-MX"/>
              </w:rPr>
              <w:t>Radiodifusora XERPR-AM, S.A. de C. V. y Radio Celebridad, S.A.</w:t>
            </w:r>
          </w:p>
        </w:tc>
        <w:tc>
          <w:tcPr>
            <w:tcW w:w="363" w:type="pct"/>
            <w:shd w:val="clear" w:color="auto" w:fill="D9D9D9" w:themeFill="background1" w:themeFillShade="D9"/>
            <w:vAlign w:val="center"/>
          </w:tcPr>
          <w:p w14:paraId="650F7E8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D9D9D9" w:themeFill="background1" w:themeFillShade="D9"/>
            <w:vAlign w:val="center"/>
          </w:tcPr>
          <w:p w14:paraId="1E756BC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 en FM</w:t>
            </w:r>
          </w:p>
        </w:tc>
        <w:tc>
          <w:tcPr>
            <w:tcW w:w="467" w:type="pct"/>
            <w:shd w:val="clear" w:color="auto" w:fill="D9D9D9" w:themeFill="background1" w:themeFillShade="D9"/>
            <w:vAlign w:val="center"/>
          </w:tcPr>
          <w:p w14:paraId="19B40191"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tcPr>
          <w:p w14:paraId="29ACD67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3,056</w:t>
            </w:r>
          </w:p>
        </w:tc>
        <w:tc>
          <w:tcPr>
            <w:tcW w:w="458" w:type="pct"/>
            <w:shd w:val="clear" w:color="auto" w:fill="D9D9D9" w:themeFill="background1" w:themeFillShade="D9"/>
            <w:vAlign w:val="center"/>
          </w:tcPr>
          <w:p w14:paraId="66AC754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3,750</w:t>
            </w:r>
          </w:p>
        </w:tc>
        <w:tc>
          <w:tcPr>
            <w:tcW w:w="388" w:type="pct"/>
            <w:shd w:val="clear" w:color="auto" w:fill="D9D9D9" w:themeFill="background1" w:themeFillShade="D9"/>
            <w:vAlign w:val="center"/>
          </w:tcPr>
          <w:p w14:paraId="011D4EF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694</w:t>
            </w:r>
          </w:p>
        </w:tc>
        <w:tc>
          <w:tcPr>
            <w:tcW w:w="619" w:type="pct"/>
            <w:shd w:val="clear" w:color="auto" w:fill="D9D9D9" w:themeFill="background1" w:themeFillShade="D9"/>
            <w:vAlign w:val="center"/>
          </w:tcPr>
          <w:p w14:paraId="5CFAB29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no favorable a la cesión</w:t>
            </w:r>
          </w:p>
        </w:tc>
        <w:tc>
          <w:tcPr>
            <w:tcW w:w="457" w:type="pct"/>
            <w:shd w:val="clear" w:color="auto" w:fill="D9D9D9" w:themeFill="background1" w:themeFillShade="D9"/>
            <w:vAlign w:val="center"/>
          </w:tcPr>
          <w:p w14:paraId="18A2294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18/03/2015</w:t>
            </w:r>
          </w:p>
        </w:tc>
      </w:tr>
      <w:tr w:rsidR="00FC45DA" w:rsidRPr="00C9666A" w14:paraId="5EEF8399" w14:textId="77777777" w:rsidTr="002C46BD">
        <w:trPr>
          <w:trHeight w:val="20"/>
          <w:jc w:val="right"/>
        </w:trPr>
        <w:tc>
          <w:tcPr>
            <w:tcW w:w="1077" w:type="pct"/>
            <w:shd w:val="clear" w:color="auto" w:fill="auto"/>
            <w:vAlign w:val="center"/>
          </w:tcPr>
          <w:p w14:paraId="03D001F7" w14:textId="3FDB7F2E"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val="es-ES" w:eastAsia="es-MX"/>
              </w:rPr>
              <w:t>Radiodifusora XETAK-AM, S.A. de C.V. e Información Radiofónica, S.A.</w:t>
            </w:r>
          </w:p>
        </w:tc>
        <w:tc>
          <w:tcPr>
            <w:tcW w:w="363" w:type="pct"/>
            <w:shd w:val="clear" w:color="auto" w:fill="auto"/>
            <w:vAlign w:val="center"/>
          </w:tcPr>
          <w:p w14:paraId="5DE81F7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auto"/>
            <w:vAlign w:val="center"/>
          </w:tcPr>
          <w:p w14:paraId="2D0B338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 en FM</w:t>
            </w:r>
          </w:p>
        </w:tc>
        <w:tc>
          <w:tcPr>
            <w:tcW w:w="467" w:type="pct"/>
            <w:shd w:val="clear" w:color="auto" w:fill="auto"/>
            <w:vAlign w:val="center"/>
          </w:tcPr>
          <w:p w14:paraId="21C49717"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0DE5070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3,719</w:t>
            </w:r>
          </w:p>
        </w:tc>
        <w:tc>
          <w:tcPr>
            <w:tcW w:w="458" w:type="pct"/>
            <w:shd w:val="clear" w:color="auto" w:fill="auto"/>
            <w:vAlign w:val="center"/>
          </w:tcPr>
          <w:p w14:paraId="264C525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4,380</w:t>
            </w:r>
          </w:p>
        </w:tc>
        <w:tc>
          <w:tcPr>
            <w:tcW w:w="388" w:type="pct"/>
            <w:shd w:val="clear" w:color="auto" w:fill="auto"/>
            <w:vAlign w:val="center"/>
          </w:tcPr>
          <w:p w14:paraId="58FECA0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661</w:t>
            </w:r>
          </w:p>
        </w:tc>
        <w:tc>
          <w:tcPr>
            <w:tcW w:w="619" w:type="pct"/>
            <w:shd w:val="clear" w:color="auto" w:fill="auto"/>
            <w:vAlign w:val="center"/>
          </w:tcPr>
          <w:p w14:paraId="2A4079D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no favorable a la cesión</w:t>
            </w:r>
          </w:p>
        </w:tc>
        <w:tc>
          <w:tcPr>
            <w:tcW w:w="457" w:type="pct"/>
            <w:shd w:val="clear" w:color="auto" w:fill="auto"/>
            <w:vAlign w:val="center"/>
          </w:tcPr>
          <w:p w14:paraId="06900A8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18/03/2015</w:t>
            </w:r>
          </w:p>
        </w:tc>
      </w:tr>
      <w:tr w:rsidR="00FC45DA" w:rsidRPr="00C9666A" w14:paraId="3CA67F20" w14:textId="77777777" w:rsidTr="002C46BD">
        <w:trPr>
          <w:trHeight w:val="20"/>
          <w:jc w:val="right"/>
        </w:trPr>
        <w:tc>
          <w:tcPr>
            <w:tcW w:w="1077" w:type="pct"/>
            <w:shd w:val="clear" w:color="auto" w:fill="D9D9D9" w:themeFill="background1" w:themeFillShade="D9"/>
            <w:vAlign w:val="center"/>
          </w:tcPr>
          <w:p w14:paraId="2598802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Radiodifusora XEYN-AM, S.A. de C.V. y Radio General, S.A.</w:t>
            </w:r>
          </w:p>
        </w:tc>
        <w:tc>
          <w:tcPr>
            <w:tcW w:w="363" w:type="pct"/>
            <w:shd w:val="clear" w:color="auto" w:fill="D9D9D9" w:themeFill="background1" w:themeFillShade="D9"/>
            <w:vAlign w:val="center"/>
          </w:tcPr>
          <w:p w14:paraId="6678ACB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D9D9D9" w:themeFill="background1" w:themeFillShade="D9"/>
            <w:vAlign w:val="center"/>
          </w:tcPr>
          <w:p w14:paraId="3E868E7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4B146EF4"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tcPr>
          <w:p w14:paraId="69F16CE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1,600</w:t>
            </w:r>
          </w:p>
        </w:tc>
        <w:tc>
          <w:tcPr>
            <w:tcW w:w="458" w:type="pct"/>
            <w:shd w:val="clear" w:color="auto" w:fill="D9D9D9" w:themeFill="background1" w:themeFillShade="D9"/>
            <w:vAlign w:val="center"/>
          </w:tcPr>
          <w:p w14:paraId="6DEC4AE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2,000</w:t>
            </w:r>
          </w:p>
        </w:tc>
        <w:tc>
          <w:tcPr>
            <w:tcW w:w="388" w:type="pct"/>
            <w:shd w:val="clear" w:color="auto" w:fill="D9D9D9" w:themeFill="background1" w:themeFillShade="D9"/>
            <w:vAlign w:val="center"/>
          </w:tcPr>
          <w:p w14:paraId="1D01C64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400</w:t>
            </w:r>
          </w:p>
        </w:tc>
        <w:tc>
          <w:tcPr>
            <w:tcW w:w="619" w:type="pct"/>
            <w:shd w:val="clear" w:color="auto" w:fill="D9D9D9" w:themeFill="background1" w:themeFillShade="D9"/>
            <w:vAlign w:val="center"/>
          </w:tcPr>
          <w:p w14:paraId="19714E1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la cesión</w:t>
            </w:r>
          </w:p>
        </w:tc>
        <w:tc>
          <w:tcPr>
            <w:tcW w:w="457" w:type="pct"/>
            <w:shd w:val="clear" w:color="auto" w:fill="D9D9D9" w:themeFill="background1" w:themeFillShade="D9"/>
            <w:vAlign w:val="center"/>
          </w:tcPr>
          <w:p w14:paraId="2ACE051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16/04/2014</w:t>
            </w:r>
          </w:p>
        </w:tc>
      </w:tr>
      <w:tr w:rsidR="00FC45DA" w:rsidRPr="00C9666A" w14:paraId="55FB09C2" w14:textId="77777777" w:rsidTr="002C46BD">
        <w:trPr>
          <w:trHeight w:val="20"/>
          <w:jc w:val="right"/>
        </w:trPr>
        <w:tc>
          <w:tcPr>
            <w:tcW w:w="1077" w:type="pct"/>
            <w:shd w:val="clear" w:color="auto" w:fill="auto"/>
            <w:vAlign w:val="center"/>
          </w:tcPr>
          <w:p w14:paraId="5A67CFC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Radiodifusora XEVHT-AM, S.A. de C.V. y Radio Unido S.A.</w:t>
            </w:r>
          </w:p>
        </w:tc>
        <w:tc>
          <w:tcPr>
            <w:tcW w:w="363" w:type="pct"/>
            <w:shd w:val="clear" w:color="auto" w:fill="auto"/>
            <w:vAlign w:val="center"/>
          </w:tcPr>
          <w:p w14:paraId="5B9C023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auto"/>
            <w:vAlign w:val="center"/>
          </w:tcPr>
          <w:p w14:paraId="0B0E569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401CD1CC"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2CA94B0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1,466</w:t>
            </w:r>
          </w:p>
        </w:tc>
        <w:tc>
          <w:tcPr>
            <w:tcW w:w="458" w:type="pct"/>
            <w:shd w:val="clear" w:color="auto" w:fill="auto"/>
            <w:vAlign w:val="center"/>
          </w:tcPr>
          <w:p w14:paraId="75AF8C0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1,555</w:t>
            </w:r>
          </w:p>
        </w:tc>
        <w:tc>
          <w:tcPr>
            <w:tcW w:w="388" w:type="pct"/>
            <w:shd w:val="clear" w:color="auto" w:fill="auto"/>
            <w:vAlign w:val="center"/>
          </w:tcPr>
          <w:p w14:paraId="6A9ADB0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89</w:t>
            </w:r>
          </w:p>
        </w:tc>
        <w:tc>
          <w:tcPr>
            <w:tcW w:w="619" w:type="pct"/>
            <w:shd w:val="clear" w:color="auto" w:fill="auto"/>
            <w:vAlign w:val="center"/>
          </w:tcPr>
          <w:p w14:paraId="1119DB7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la cesión</w:t>
            </w:r>
          </w:p>
        </w:tc>
        <w:tc>
          <w:tcPr>
            <w:tcW w:w="457" w:type="pct"/>
            <w:shd w:val="clear" w:color="auto" w:fill="auto"/>
            <w:vAlign w:val="center"/>
          </w:tcPr>
          <w:p w14:paraId="2804AA0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16/04/2014</w:t>
            </w:r>
          </w:p>
        </w:tc>
      </w:tr>
      <w:tr w:rsidR="00FC45DA" w:rsidRPr="00C9666A" w14:paraId="31B61FA5" w14:textId="77777777" w:rsidTr="002C46BD">
        <w:trPr>
          <w:trHeight w:val="20"/>
          <w:jc w:val="right"/>
        </w:trPr>
        <w:tc>
          <w:tcPr>
            <w:tcW w:w="1077" w:type="pct"/>
            <w:shd w:val="clear" w:color="auto" w:fill="D9D9D9" w:themeFill="background1" w:themeFillShade="D9"/>
            <w:vAlign w:val="center"/>
          </w:tcPr>
          <w:p w14:paraId="1AB23B0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val="es-ES" w:eastAsia="es-MX"/>
              </w:rPr>
              <w:t>María Cristina Romo Morales y Telecomunicaciones CH, S.A. de C.V.</w:t>
            </w:r>
          </w:p>
        </w:tc>
        <w:tc>
          <w:tcPr>
            <w:tcW w:w="363" w:type="pct"/>
            <w:shd w:val="clear" w:color="auto" w:fill="D9D9D9" w:themeFill="background1" w:themeFillShade="D9"/>
            <w:vAlign w:val="center"/>
          </w:tcPr>
          <w:p w14:paraId="4290714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OCC</w:t>
            </w:r>
          </w:p>
        </w:tc>
        <w:tc>
          <w:tcPr>
            <w:tcW w:w="712" w:type="pct"/>
            <w:shd w:val="clear" w:color="auto" w:fill="D9D9D9" w:themeFill="background1" w:themeFillShade="D9"/>
            <w:vAlign w:val="center"/>
          </w:tcPr>
          <w:p w14:paraId="3A56D84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30B3348B"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tcPr>
          <w:p w14:paraId="65F386C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1,348</w:t>
            </w:r>
          </w:p>
        </w:tc>
        <w:tc>
          <w:tcPr>
            <w:tcW w:w="458" w:type="pct"/>
            <w:shd w:val="clear" w:color="auto" w:fill="D9D9D9" w:themeFill="background1" w:themeFillShade="D9"/>
            <w:vAlign w:val="center"/>
          </w:tcPr>
          <w:p w14:paraId="4A8712D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1,403</w:t>
            </w:r>
          </w:p>
        </w:tc>
        <w:tc>
          <w:tcPr>
            <w:tcW w:w="388" w:type="pct"/>
            <w:shd w:val="clear" w:color="auto" w:fill="D9D9D9" w:themeFill="background1" w:themeFillShade="D9"/>
            <w:vAlign w:val="center"/>
          </w:tcPr>
          <w:p w14:paraId="3AEA3D3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26</w:t>
            </w:r>
          </w:p>
        </w:tc>
        <w:tc>
          <w:tcPr>
            <w:tcW w:w="619" w:type="pct"/>
            <w:shd w:val="clear" w:color="auto" w:fill="D9D9D9" w:themeFill="background1" w:themeFillShade="D9"/>
            <w:vAlign w:val="center"/>
          </w:tcPr>
          <w:p w14:paraId="0BB49AD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la cesión</w:t>
            </w:r>
          </w:p>
        </w:tc>
        <w:tc>
          <w:tcPr>
            <w:tcW w:w="457" w:type="pct"/>
            <w:shd w:val="clear" w:color="auto" w:fill="D9D9D9" w:themeFill="background1" w:themeFillShade="D9"/>
            <w:vAlign w:val="center"/>
          </w:tcPr>
          <w:p w14:paraId="2AA5B24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r>
      <w:tr w:rsidR="00FC45DA" w:rsidRPr="00C9666A" w14:paraId="35DAF329" w14:textId="77777777" w:rsidTr="002C46BD">
        <w:trPr>
          <w:trHeight w:val="20"/>
          <w:jc w:val="right"/>
        </w:trPr>
        <w:tc>
          <w:tcPr>
            <w:tcW w:w="1077" w:type="pct"/>
            <w:shd w:val="clear" w:color="auto" w:fill="FFFFFF" w:themeFill="background1"/>
            <w:vAlign w:val="center"/>
          </w:tcPr>
          <w:p w14:paraId="32E8D77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val="es-ES" w:eastAsia="es-MX"/>
              </w:rPr>
              <w:t>Hispasat México, S.A. de C.V.</w:t>
            </w:r>
          </w:p>
        </w:tc>
        <w:tc>
          <w:tcPr>
            <w:tcW w:w="363" w:type="pct"/>
            <w:shd w:val="clear" w:color="auto" w:fill="FFFFFF" w:themeFill="background1"/>
            <w:vAlign w:val="center"/>
          </w:tcPr>
          <w:p w14:paraId="299E672A"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OLC</w:t>
            </w:r>
          </w:p>
        </w:tc>
        <w:tc>
          <w:tcPr>
            <w:tcW w:w="712" w:type="pct"/>
            <w:shd w:val="clear" w:color="auto" w:fill="FFFFFF" w:themeFill="background1"/>
            <w:vAlign w:val="center"/>
          </w:tcPr>
          <w:p w14:paraId="3CE890E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Servicios de capacidad satelital (mayoristas)</w:t>
            </w:r>
          </w:p>
        </w:tc>
        <w:tc>
          <w:tcPr>
            <w:tcW w:w="467" w:type="pct"/>
            <w:shd w:val="clear" w:color="auto" w:fill="FFFFFF" w:themeFill="background1"/>
            <w:vAlign w:val="center"/>
          </w:tcPr>
          <w:p w14:paraId="410C7F55"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FFFFFF" w:themeFill="background1"/>
            <w:vAlign w:val="center"/>
          </w:tcPr>
          <w:p w14:paraId="177DB24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4,052</w:t>
            </w:r>
          </w:p>
        </w:tc>
        <w:tc>
          <w:tcPr>
            <w:tcW w:w="458" w:type="pct"/>
            <w:shd w:val="clear" w:color="auto" w:fill="FFFFFF" w:themeFill="background1"/>
            <w:vAlign w:val="center"/>
          </w:tcPr>
          <w:p w14:paraId="4C2E065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3,943</w:t>
            </w:r>
          </w:p>
        </w:tc>
        <w:tc>
          <w:tcPr>
            <w:tcW w:w="388" w:type="pct"/>
            <w:shd w:val="clear" w:color="auto" w:fill="FFFFFF" w:themeFill="background1"/>
            <w:vAlign w:val="center"/>
          </w:tcPr>
          <w:p w14:paraId="1CB5432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-109</w:t>
            </w:r>
          </w:p>
        </w:tc>
        <w:tc>
          <w:tcPr>
            <w:tcW w:w="619" w:type="pct"/>
            <w:shd w:val="clear" w:color="auto" w:fill="FFFFFF" w:themeFill="background1"/>
            <w:vAlign w:val="center"/>
          </w:tcPr>
          <w:p w14:paraId="21915BE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participación en licitación</w:t>
            </w:r>
          </w:p>
        </w:tc>
        <w:tc>
          <w:tcPr>
            <w:tcW w:w="457" w:type="pct"/>
            <w:shd w:val="clear" w:color="auto" w:fill="FFFFFF" w:themeFill="background1"/>
            <w:vAlign w:val="center"/>
          </w:tcPr>
          <w:p w14:paraId="6080521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r>
      <w:tr w:rsidR="00FC45DA" w:rsidRPr="00C9666A" w14:paraId="75D77698" w14:textId="77777777" w:rsidTr="002C46BD">
        <w:trPr>
          <w:trHeight w:val="20"/>
          <w:jc w:val="right"/>
        </w:trPr>
        <w:tc>
          <w:tcPr>
            <w:tcW w:w="1077" w:type="pct"/>
            <w:shd w:val="clear" w:color="auto" w:fill="D9D9D9" w:themeFill="background1" w:themeFillShade="D9"/>
            <w:vAlign w:val="center"/>
          </w:tcPr>
          <w:p w14:paraId="2BAF307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Cadena Tres I, S.A. de C.V.</w:t>
            </w:r>
          </w:p>
        </w:tc>
        <w:tc>
          <w:tcPr>
            <w:tcW w:w="363" w:type="pct"/>
            <w:shd w:val="clear" w:color="auto" w:fill="D9D9D9" w:themeFill="background1" w:themeFillShade="D9"/>
            <w:vAlign w:val="center"/>
          </w:tcPr>
          <w:p w14:paraId="7AE2B3B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OLC</w:t>
            </w:r>
          </w:p>
        </w:tc>
        <w:tc>
          <w:tcPr>
            <w:tcW w:w="712" w:type="pct"/>
            <w:shd w:val="clear" w:color="auto" w:fill="D9D9D9" w:themeFill="background1" w:themeFillShade="D9"/>
            <w:vAlign w:val="center"/>
          </w:tcPr>
          <w:p w14:paraId="6614A08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Servicio Público de Televisión Radiodifundida Digital (TV Abierta Digital)</w:t>
            </w:r>
          </w:p>
        </w:tc>
        <w:tc>
          <w:tcPr>
            <w:tcW w:w="467" w:type="pct"/>
            <w:shd w:val="clear" w:color="auto" w:fill="D9D9D9" w:themeFill="background1" w:themeFillShade="D9"/>
            <w:vAlign w:val="center"/>
          </w:tcPr>
          <w:p w14:paraId="405F7EC3"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D9D9D9" w:themeFill="background1" w:themeFillShade="D9"/>
            <w:vAlign w:val="center"/>
          </w:tcPr>
          <w:p w14:paraId="2A8ED44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5,156</w:t>
            </w:r>
          </w:p>
        </w:tc>
        <w:tc>
          <w:tcPr>
            <w:tcW w:w="458" w:type="pct"/>
            <w:shd w:val="clear" w:color="auto" w:fill="D9D9D9" w:themeFill="background1" w:themeFillShade="D9"/>
            <w:vAlign w:val="center"/>
          </w:tcPr>
          <w:p w14:paraId="4471C48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Dos casos:</w:t>
            </w:r>
          </w:p>
          <w:p w14:paraId="5B8CBBF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3,861</w:t>
            </w:r>
          </w:p>
          <w:p w14:paraId="4112EB0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4,029</w:t>
            </w:r>
          </w:p>
        </w:tc>
        <w:tc>
          <w:tcPr>
            <w:tcW w:w="388" w:type="pct"/>
            <w:shd w:val="clear" w:color="auto" w:fill="D9D9D9" w:themeFill="background1" w:themeFillShade="D9"/>
            <w:vAlign w:val="center"/>
          </w:tcPr>
          <w:p w14:paraId="0DCF93F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-1,295</w:t>
            </w:r>
          </w:p>
          <w:p w14:paraId="6F6CEA9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-1,127</w:t>
            </w:r>
          </w:p>
        </w:tc>
        <w:tc>
          <w:tcPr>
            <w:tcW w:w="619" w:type="pct"/>
            <w:shd w:val="clear" w:color="auto" w:fill="D9D9D9" w:themeFill="background1" w:themeFillShade="D9"/>
            <w:vAlign w:val="center"/>
          </w:tcPr>
          <w:p w14:paraId="6F64255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participación en licitación</w:t>
            </w:r>
          </w:p>
        </w:tc>
        <w:tc>
          <w:tcPr>
            <w:tcW w:w="457" w:type="pct"/>
            <w:shd w:val="clear" w:color="auto" w:fill="D9D9D9" w:themeFill="background1" w:themeFillShade="D9"/>
            <w:vAlign w:val="center"/>
          </w:tcPr>
          <w:p w14:paraId="6FFA713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13/11/2014</w:t>
            </w:r>
          </w:p>
        </w:tc>
      </w:tr>
      <w:tr w:rsidR="00FC45DA" w:rsidRPr="00C9666A" w14:paraId="7AB7B74D" w14:textId="77777777" w:rsidTr="002C46BD">
        <w:trPr>
          <w:trHeight w:val="20"/>
          <w:jc w:val="right"/>
        </w:trPr>
        <w:tc>
          <w:tcPr>
            <w:tcW w:w="1077" w:type="pct"/>
            <w:shd w:val="clear" w:color="auto" w:fill="FFFFFF" w:themeFill="background1"/>
            <w:vAlign w:val="center"/>
          </w:tcPr>
          <w:p w14:paraId="65ED970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Grupo Independiente de</w:t>
            </w:r>
          </w:p>
          <w:p w14:paraId="66C80AC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xml:space="preserve">Mujeres </w:t>
            </w:r>
            <w:r w:rsidRPr="00C9666A">
              <w:rPr>
                <w:rFonts w:ascii="Arial" w:eastAsia="Times New Roman" w:hAnsi="Arial" w:cs="Arial"/>
                <w:i/>
                <w:iCs/>
                <w:color w:val="000000"/>
                <w:sz w:val="16"/>
                <w:szCs w:val="16"/>
                <w:lang w:eastAsia="es-MX"/>
              </w:rPr>
              <w:t xml:space="preserve">de </w:t>
            </w:r>
            <w:proofErr w:type="spellStart"/>
            <w:r w:rsidRPr="00C9666A">
              <w:rPr>
                <w:rFonts w:ascii="Arial" w:eastAsia="Times New Roman" w:hAnsi="Arial" w:cs="Arial"/>
                <w:color w:val="000000"/>
                <w:sz w:val="16"/>
                <w:szCs w:val="16"/>
                <w:lang w:eastAsia="es-MX"/>
              </w:rPr>
              <w:t>Mlxquiahuala</w:t>
            </w:r>
            <w:proofErr w:type="spellEnd"/>
            <w:r w:rsidRPr="00C9666A">
              <w:rPr>
                <w:rFonts w:ascii="Arial" w:eastAsia="Times New Roman" w:hAnsi="Arial" w:cs="Arial"/>
                <w:color w:val="000000"/>
                <w:sz w:val="16"/>
                <w:szCs w:val="16"/>
                <w:lang w:eastAsia="es-MX"/>
              </w:rPr>
              <w:t>, A.C.</w:t>
            </w:r>
          </w:p>
        </w:tc>
        <w:tc>
          <w:tcPr>
            <w:tcW w:w="363" w:type="pct"/>
            <w:shd w:val="clear" w:color="auto" w:fill="FFFFFF" w:themeFill="background1"/>
            <w:vAlign w:val="center"/>
          </w:tcPr>
          <w:p w14:paraId="23539F8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FFFFFF" w:themeFill="background1"/>
            <w:vAlign w:val="center"/>
          </w:tcPr>
          <w:p w14:paraId="5A1C19A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FFFFFF" w:themeFill="background1"/>
            <w:vAlign w:val="center"/>
          </w:tcPr>
          <w:p w14:paraId="0311993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FFFFFF" w:themeFill="background1"/>
            <w:vAlign w:val="center"/>
          </w:tcPr>
          <w:p w14:paraId="5530135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FFFFFF" w:themeFill="background1"/>
            <w:vAlign w:val="center"/>
          </w:tcPr>
          <w:p w14:paraId="3062150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3,333</w:t>
            </w:r>
          </w:p>
          <w:p w14:paraId="3DCE393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2B74B962"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4,354 (audiencia)</w:t>
            </w:r>
          </w:p>
        </w:tc>
        <w:tc>
          <w:tcPr>
            <w:tcW w:w="388" w:type="pct"/>
            <w:shd w:val="clear" w:color="auto" w:fill="FFFFFF" w:themeFill="background1"/>
            <w:vAlign w:val="center"/>
          </w:tcPr>
          <w:p w14:paraId="37F8C15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FFFFFF" w:themeFill="background1"/>
            <w:vAlign w:val="center"/>
          </w:tcPr>
          <w:p w14:paraId="08280F5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FFFFFF" w:themeFill="background1"/>
            <w:vAlign w:val="center"/>
          </w:tcPr>
          <w:p w14:paraId="03E170F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2A17BE58" w14:textId="77777777" w:rsidTr="002C46BD">
        <w:trPr>
          <w:trHeight w:val="20"/>
          <w:jc w:val="right"/>
        </w:trPr>
        <w:tc>
          <w:tcPr>
            <w:tcW w:w="1077" w:type="pct"/>
            <w:shd w:val="clear" w:color="auto" w:fill="D9D9D9" w:themeFill="background1" w:themeFillShade="D9"/>
            <w:vAlign w:val="center"/>
          </w:tcPr>
          <w:p w14:paraId="750003A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Fundación de la Radio</w:t>
            </w:r>
          </w:p>
          <w:p w14:paraId="1C99E3A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Cultural, A.C.</w:t>
            </w:r>
          </w:p>
        </w:tc>
        <w:tc>
          <w:tcPr>
            <w:tcW w:w="363" w:type="pct"/>
            <w:shd w:val="clear" w:color="auto" w:fill="D9D9D9" w:themeFill="background1" w:themeFillShade="D9"/>
            <w:vAlign w:val="center"/>
          </w:tcPr>
          <w:p w14:paraId="56C0705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D9D9D9" w:themeFill="background1" w:themeFillShade="D9"/>
            <w:vAlign w:val="center"/>
          </w:tcPr>
          <w:p w14:paraId="2FA2833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D9D9D9" w:themeFill="background1" w:themeFillShade="D9"/>
            <w:vAlign w:val="center"/>
          </w:tcPr>
          <w:p w14:paraId="088F8A2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D9D9D9" w:themeFill="background1" w:themeFillShade="D9"/>
            <w:vAlign w:val="center"/>
          </w:tcPr>
          <w:p w14:paraId="05B3B91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D9D9D9" w:themeFill="background1" w:themeFillShade="D9"/>
            <w:vAlign w:val="center"/>
          </w:tcPr>
          <w:p w14:paraId="5AD130D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2,000</w:t>
            </w:r>
          </w:p>
          <w:p w14:paraId="264AFDB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25F376D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2,735 (audiencia)</w:t>
            </w:r>
          </w:p>
        </w:tc>
        <w:tc>
          <w:tcPr>
            <w:tcW w:w="388" w:type="pct"/>
            <w:shd w:val="clear" w:color="auto" w:fill="D9D9D9" w:themeFill="background1" w:themeFillShade="D9"/>
            <w:vAlign w:val="center"/>
          </w:tcPr>
          <w:p w14:paraId="08232CD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D9D9D9" w:themeFill="background1" w:themeFillShade="D9"/>
            <w:vAlign w:val="center"/>
          </w:tcPr>
          <w:p w14:paraId="0770885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D9D9D9" w:themeFill="background1" w:themeFillShade="D9"/>
            <w:vAlign w:val="center"/>
          </w:tcPr>
          <w:p w14:paraId="032B2AD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3AD81FE0" w14:textId="77777777" w:rsidTr="002C46BD">
        <w:trPr>
          <w:trHeight w:val="20"/>
          <w:jc w:val="right"/>
        </w:trPr>
        <w:tc>
          <w:tcPr>
            <w:tcW w:w="1077" w:type="pct"/>
            <w:shd w:val="clear" w:color="auto" w:fill="FFFFFF" w:themeFill="background1"/>
            <w:vAlign w:val="center"/>
          </w:tcPr>
          <w:p w14:paraId="6BEE04F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P/IFT/EXT/230215/55</w:t>
            </w:r>
          </w:p>
        </w:tc>
        <w:tc>
          <w:tcPr>
            <w:tcW w:w="363" w:type="pct"/>
            <w:shd w:val="clear" w:color="auto" w:fill="FFFFFF" w:themeFill="background1"/>
            <w:vAlign w:val="center"/>
          </w:tcPr>
          <w:p w14:paraId="254093A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FFFFFF" w:themeFill="background1"/>
            <w:vAlign w:val="center"/>
          </w:tcPr>
          <w:p w14:paraId="396C478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FFFFFF" w:themeFill="background1"/>
            <w:vAlign w:val="center"/>
          </w:tcPr>
          <w:p w14:paraId="0A01D1A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FFFFFF" w:themeFill="background1"/>
            <w:vAlign w:val="center"/>
          </w:tcPr>
          <w:p w14:paraId="02D5B17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FFFFFF" w:themeFill="background1"/>
            <w:vAlign w:val="center"/>
          </w:tcPr>
          <w:p w14:paraId="5B04FC7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2,077</w:t>
            </w:r>
          </w:p>
          <w:p w14:paraId="6957295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4FD9EEF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2,462 (audiencia)</w:t>
            </w:r>
          </w:p>
        </w:tc>
        <w:tc>
          <w:tcPr>
            <w:tcW w:w="388" w:type="pct"/>
            <w:shd w:val="clear" w:color="auto" w:fill="FFFFFF" w:themeFill="background1"/>
            <w:vAlign w:val="center"/>
          </w:tcPr>
          <w:p w14:paraId="76B10C9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FFFFFF" w:themeFill="background1"/>
            <w:vAlign w:val="center"/>
          </w:tcPr>
          <w:p w14:paraId="344309CF"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FFFFFF" w:themeFill="background1"/>
            <w:vAlign w:val="center"/>
          </w:tcPr>
          <w:p w14:paraId="0ADC273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4897462E" w14:textId="77777777" w:rsidTr="002C46BD">
        <w:trPr>
          <w:trHeight w:val="20"/>
          <w:jc w:val="right"/>
        </w:trPr>
        <w:tc>
          <w:tcPr>
            <w:tcW w:w="1077" w:type="pct"/>
            <w:shd w:val="clear" w:color="auto" w:fill="D9D9D9" w:themeFill="background1" w:themeFillShade="D9"/>
            <w:vAlign w:val="center"/>
          </w:tcPr>
          <w:p w14:paraId="104B9A2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lastRenderedPageBreak/>
              <w:t>Fundación de la Radio Cultural, A.C.</w:t>
            </w:r>
          </w:p>
        </w:tc>
        <w:tc>
          <w:tcPr>
            <w:tcW w:w="363" w:type="pct"/>
            <w:shd w:val="clear" w:color="auto" w:fill="D9D9D9" w:themeFill="background1" w:themeFillShade="D9"/>
            <w:vAlign w:val="center"/>
          </w:tcPr>
          <w:p w14:paraId="3F64E850"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D9D9D9" w:themeFill="background1" w:themeFillShade="D9"/>
            <w:vAlign w:val="center"/>
          </w:tcPr>
          <w:p w14:paraId="1D31165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D9D9D9" w:themeFill="background1" w:themeFillShade="D9"/>
            <w:vAlign w:val="center"/>
          </w:tcPr>
          <w:p w14:paraId="7F33A45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D9D9D9" w:themeFill="background1" w:themeFillShade="D9"/>
            <w:vAlign w:val="center"/>
          </w:tcPr>
          <w:p w14:paraId="7B3433B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D9D9D9" w:themeFill="background1" w:themeFillShade="D9"/>
            <w:vAlign w:val="center"/>
          </w:tcPr>
          <w:p w14:paraId="1CB0971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2,643</w:t>
            </w:r>
          </w:p>
          <w:p w14:paraId="3DA0722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tc>
        <w:tc>
          <w:tcPr>
            <w:tcW w:w="388" w:type="pct"/>
            <w:shd w:val="clear" w:color="auto" w:fill="D9D9D9" w:themeFill="background1" w:themeFillShade="D9"/>
            <w:vAlign w:val="center"/>
          </w:tcPr>
          <w:p w14:paraId="4F48B34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D9D9D9" w:themeFill="background1" w:themeFillShade="D9"/>
            <w:vAlign w:val="center"/>
          </w:tcPr>
          <w:p w14:paraId="553A886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D9D9D9" w:themeFill="background1" w:themeFillShade="D9"/>
            <w:vAlign w:val="center"/>
          </w:tcPr>
          <w:p w14:paraId="418FE6D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0BB8FD1D" w14:textId="77777777" w:rsidTr="002C46BD">
        <w:trPr>
          <w:trHeight w:val="20"/>
          <w:jc w:val="right"/>
        </w:trPr>
        <w:tc>
          <w:tcPr>
            <w:tcW w:w="1077" w:type="pct"/>
            <w:shd w:val="clear" w:color="auto" w:fill="auto"/>
            <w:vAlign w:val="center"/>
          </w:tcPr>
          <w:p w14:paraId="6E6C338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Fundación Garza Limón, A. C.,</w:t>
            </w:r>
          </w:p>
        </w:tc>
        <w:tc>
          <w:tcPr>
            <w:tcW w:w="363" w:type="pct"/>
            <w:shd w:val="clear" w:color="auto" w:fill="auto"/>
            <w:vAlign w:val="center"/>
          </w:tcPr>
          <w:p w14:paraId="480142D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auto"/>
            <w:vAlign w:val="center"/>
          </w:tcPr>
          <w:p w14:paraId="736F187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auto"/>
            <w:vAlign w:val="center"/>
          </w:tcPr>
          <w:p w14:paraId="080B451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auto"/>
            <w:vAlign w:val="center"/>
          </w:tcPr>
          <w:p w14:paraId="3366102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auto"/>
            <w:vAlign w:val="center"/>
          </w:tcPr>
          <w:p w14:paraId="6D871DC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1,400</w:t>
            </w:r>
          </w:p>
          <w:p w14:paraId="738E6B87"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39C00D3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1,443 (audiencia)</w:t>
            </w:r>
          </w:p>
        </w:tc>
        <w:tc>
          <w:tcPr>
            <w:tcW w:w="388" w:type="pct"/>
            <w:shd w:val="clear" w:color="auto" w:fill="auto"/>
            <w:vAlign w:val="center"/>
          </w:tcPr>
          <w:p w14:paraId="17C78B2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auto"/>
            <w:vAlign w:val="center"/>
          </w:tcPr>
          <w:p w14:paraId="0E6BE2F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auto"/>
            <w:vAlign w:val="center"/>
          </w:tcPr>
          <w:p w14:paraId="5BEF706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05415997" w14:textId="77777777" w:rsidTr="002C46BD">
        <w:trPr>
          <w:trHeight w:val="20"/>
          <w:jc w:val="right"/>
        </w:trPr>
        <w:tc>
          <w:tcPr>
            <w:tcW w:w="1077" w:type="pct"/>
            <w:shd w:val="clear" w:color="auto" w:fill="D9D9D9" w:themeFill="background1" w:themeFillShade="D9"/>
            <w:vAlign w:val="center"/>
          </w:tcPr>
          <w:p w14:paraId="52D2EA2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Fundación Garza Limón, A. C.,</w:t>
            </w:r>
          </w:p>
        </w:tc>
        <w:tc>
          <w:tcPr>
            <w:tcW w:w="363" w:type="pct"/>
            <w:shd w:val="clear" w:color="auto" w:fill="D9D9D9" w:themeFill="background1" w:themeFillShade="D9"/>
            <w:vAlign w:val="center"/>
          </w:tcPr>
          <w:p w14:paraId="006D7885"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D9D9D9" w:themeFill="background1" w:themeFillShade="D9"/>
            <w:vAlign w:val="center"/>
          </w:tcPr>
          <w:p w14:paraId="02B5291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67" w:type="pct"/>
            <w:shd w:val="clear" w:color="auto" w:fill="D9D9D9" w:themeFill="background1" w:themeFillShade="D9"/>
            <w:vAlign w:val="center"/>
          </w:tcPr>
          <w:p w14:paraId="7AF5EF4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9" w:type="pct"/>
            <w:shd w:val="clear" w:color="auto" w:fill="D9D9D9" w:themeFill="background1" w:themeFillShade="D9"/>
            <w:vAlign w:val="center"/>
          </w:tcPr>
          <w:p w14:paraId="47E89A2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D9D9D9" w:themeFill="background1" w:themeFillShade="D9"/>
            <w:vAlign w:val="center"/>
          </w:tcPr>
          <w:p w14:paraId="416E3C9B"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2,077</w:t>
            </w:r>
          </w:p>
          <w:p w14:paraId="3D17E4D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58B3FB5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2,462 (audiencia)</w:t>
            </w:r>
          </w:p>
        </w:tc>
        <w:tc>
          <w:tcPr>
            <w:tcW w:w="388" w:type="pct"/>
            <w:shd w:val="clear" w:color="auto" w:fill="D9D9D9" w:themeFill="background1" w:themeFillShade="D9"/>
            <w:vAlign w:val="center"/>
          </w:tcPr>
          <w:p w14:paraId="0BBDA7D3"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D9D9D9" w:themeFill="background1" w:themeFillShade="D9"/>
            <w:vAlign w:val="center"/>
          </w:tcPr>
          <w:p w14:paraId="0F2015B1"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favorable a permiso</w:t>
            </w:r>
          </w:p>
        </w:tc>
        <w:tc>
          <w:tcPr>
            <w:tcW w:w="457" w:type="pct"/>
            <w:shd w:val="clear" w:color="auto" w:fill="D9D9D9" w:themeFill="background1" w:themeFillShade="D9"/>
            <w:vAlign w:val="center"/>
          </w:tcPr>
          <w:p w14:paraId="5CECD8AD"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23/02/2015</w:t>
            </w:r>
          </w:p>
        </w:tc>
      </w:tr>
      <w:tr w:rsidR="00FC45DA" w:rsidRPr="00C9666A" w14:paraId="0C4A2605" w14:textId="77777777" w:rsidTr="002C46BD">
        <w:trPr>
          <w:trHeight w:val="20"/>
          <w:jc w:val="right"/>
        </w:trPr>
        <w:tc>
          <w:tcPr>
            <w:tcW w:w="1077" w:type="pct"/>
            <w:shd w:val="clear" w:color="auto" w:fill="auto"/>
            <w:vAlign w:val="center"/>
          </w:tcPr>
          <w:p w14:paraId="3716A92F" w14:textId="77777777" w:rsidR="00AD6627" w:rsidRPr="00C9666A" w:rsidRDefault="00AD6627" w:rsidP="00D92DEF">
            <w:pPr>
              <w:spacing w:after="0"/>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Fundación Cultural de Ahome, A. C. (P/IFT/011014/352)</w:t>
            </w:r>
          </w:p>
        </w:tc>
        <w:tc>
          <w:tcPr>
            <w:tcW w:w="363" w:type="pct"/>
            <w:shd w:val="clear" w:color="auto" w:fill="auto"/>
            <w:vAlign w:val="center"/>
          </w:tcPr>
          <w:p w14:paraId="7B6533C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ONP</w:t>
            </w:r>
          </w:p>
        </w:tc>
        <w:tc>
          <w:tcPr>
            <w:tcW w:w="712" w:type="pct"/>
            <w:shd w:val="clear" w:color="auto" w:fill="auto"/>
            <w:vAlign w:val="center"/>
          </w:tcPr>
          <w:p w14:paraId="74816DD4"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245F51EF" w14:textId="77777777" w:rsidR="00AD6627" w:rsidRPr="00C9666A" w:rsidRDefault="00AD6627" w:rsidP="00D92DEF">
            <w:pPr>
              <w:spacing w:after="0"/>
              <w:jc w:val="center"/>
              <w:rPr>
                <w:rFonts w:ascii="Arial" w:eastAsia="Times New Roman" w:hAnsi="Arial" w:cs="Arial"/>
                <w:color w:val="000000"/>
                <w:sz w:val="16"/>
                <w:szCs w:val="16"/>
                <w:lang w:eastAsia="es-MX"/>
              </w:rPr>
            </w:pPr>
            <w:proofErr w:type="spellStart"/>
            <w:r w:rsidRPr="00C9666A">
              <w:rPr>
                <w:rFonts w:ascii="Arial" w:eastAsia="Times New Roman" w:hAnsi="Arial" w:cs="Arial"/>
                <w:color w:val="000000"/>
                <w:sz w:val="16"/>
                <w:szCs w:val="16"/>
                <w:lang w:eastAsia="es-MX"/>
              </w:rPr>
              <w:t>xxxxx</w:t>
            </w:r>
            <w:proofErr w:type="spellEnd"/>
          </w:p>
        </w:tc>
        <w:tc>
          <w:tcPr>
            <w:tcW w:w="459" w:type="pct"/>
            <w:shd w:val="clear" w:color="auto" w:fill="auto"/>
            <w:vAlign w:val="center"/>
          </w:tcPr>
          <w:p w14:paraId="77D6F14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458" w:type="pct"/>
            <w:shd w:val="clear" w:color="auto" w:fill="auto"/>
            <w:vAlign w:val="center"/>
          </w:tcPr>
          <w:p w14:paraId="0BF3E8A6"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2,899</w:t>
            </w:r>
          </w:p>
          <w:p w14:paraId="2730DB7C"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 estaciones)</w:t>
            </w:r>
          </w:p>
          <w:p w14:paraId="1860D9D9"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3,333 (audiencia)</w:t>
            </w:r>
          </w:p>
        </w:tc>
        <w:tc>
          <w:tcPr>
            <w:tcW w:w="388" w:type="pct"/>
            <w:shd w:val="clear" w:color="auto" w:fill="auto"/>
            <w:vAlign w:val="center"/>
          </w:tcPr>
          <w:p w14:paraId="56921D57" w14:textId="29D3001E"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w:t>
            </w:r>
          </w:p>
        </w:tc>
        <w:tc>
          <w:tcPr>
            <w:tcW w:w="619" w:type="pct"/>
            <w:shd w:val="clear" w:color="auto" w:fill="auto"/>
            <w:vAlign w:val="center"/>
          </w:tcPr>
          <w:p w14:paraId="54BFFE28"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Opinión no favorable a permiso</w:t>
            </w:r>
          </w:p>
        </w:tc>
        <w:tc>
          <w:tcPr>
            <w:tcW w:w="457" w:type="pct"/>
            <w:shd w:val="clear" w:color="auto" w:fill="auto"/>
            <w:vAlign w:val="center"/>
          </w:tcPr>
          <w:p w14:paraId="6486391E" w14:textId="77777777" w:rsidR="00AD6627" w:rsidRPr="00C9666A" w:rsidRDefault="00AD6627" w:rsidP="00D92DEF">
            <w:pPr>
              <w:spacing w:after="0"/>
              <w:jc w:val="center"/>
              <w:rPr>
                <w:rFonts w:ascii="Arial" w:eastAsia="Times New Roman" w:hAnsi="Arial" w:cs="Arial"/>
                <w:color w:val="000000"/>
                <w:sz w:val="16"/>
                <w:szCs w:val="16"/>
                <w:lang w:eastAsia="es-MX"/>
              </w:rPr>
            </w:pPr>
            <w:r w:rsidRPr="00C9666A">
              <w:rPr>
                <w:rFonts w:ascii="Arial" w:eastAsia="Times New Roman" w:hAnsi="Arial" w:cs="Arial"/>
                <w:color w:val="000000"/>
                <w:sz w:val="16"/>
                <w:szCs w:val="16"/>
                <w:lang w:eastAsia="es-MX"/>
              </w:rPr>
              <w:t>01/10/2014</w:t>
            </w:r>
          </w:p>
        </w:tc>
      </w:tr>
      <w:tr w:rsidR="00FC45DA" w:rsidRPr="00FC45DA" w14:paraId="715473C0" w14:textId="77777777" w:rsidTr="002C46BD">
        <w:trPr>
          <w:trHeight w:val="20"/>
          <w:jc w:val="right"/>
        </w:trPr>
        <w:tc>
          <w:tcPr>
            <w:tcW w:w="1077" w:type="pct"/>
            <w:shd w:val="clear" w:color="auto" w:fill="D9D9D9" w:themeFill="background1" w:themeFillShade="D9"/>
            <w:vAlign w:val="center"/>
          </w:tcPr>
          <w:p w14:paraId="3E399389" w14:textId="645035BC" w:rsidR="00AD6627" w:rsidRPr="00FC45DA" w:rsidRDefault="00AD6627" w:rsidP="00D92DEF">
            <w:pPr>
              <w:spacing w:after="0"/>
              <w:rPr>
                <w:rFonts w:ascii="Arial" w:eastAsia="Times New Roman" w:hAnsi="Arial" w:cs="Arial"/>
                <w:color w:val="000000"/>
                <w:sz w:val="16"/>
                <w:szCs w:val="16"/>
                <w:lang w:val="en-US" w:eastAsia="es-MX"/>
              </w:rPr>
            </w:pPr>
            <w:r w:rsidRPr="00FC45DA">
              <w:rPr>
                <w:rFonts w:ascii="Arial" w:eastAsia="Times New Roman" w:hAnsi="Arial" w:cs="Arial"/>
                <w:color w:val="000000"/>
                <w:sz w:val="16"/>
                <w:szCs w:val="16"/>
                <w:lang w:val="en-US" w:eastAsia="es-MX"/>
              </w:rPr>
              <w:t>XETIA-AM, S.A. d</w:t>
            </w:r>
            <w:r w:rsidRPr="0041643F">
              <w:rPr>
                <w:rFonts w:ascii="Arial" w:eastAsia="Times New Roman" w:hAnsi="Arial" w:cs="Arial"/>
                <w:color w:val="000000"/>
                <w:sz w:val="16"/>
                <w:szCs w:val="16"/>
                <w:lang w:val="en-US" w:eastAsia="es-MX"/>
              </w:rPr>
              <w:t>e</w:t>
            </w:r>
            <w:r w:rsidRPr="002C46BD">
              <w:rPr>
                <w:rFonts w:ascii="Arial" w:eastAsia="Times New Roman" w:hAnsi="Arial" w:cs="Arial"/>
                <w:color w:val="000000"/>
                <w:sz w:val="16"/>
                <w:szCs w:val="16"/>
                <w:lang w:val="en-US" w:eastAsia="es-MX"/>
              </w:rPr>
              <w:t xml:space="preserve"> C.V. (P/IFT/EXT/0</w:t>
            </w:r>
            <w:r>
              <w:rPr>
                <w:rFonts w:ascii="Arial" w:eastAsia="Times New Roman" w:hAnsi="Arial" w:cs="Arial"/>
                <w:color w:val="000000"/>
                <w:sz w:val="16"/>
                <w:szCs w:val="16"/>
                <w:lang w:val="en-US" w:eastAsia="es-MX"/>
              </w:rPr>
              <w:t>5</w:t>
            </w:r>
            <w:r w:rsidRPr="00FC45DA">
              <w:rPr>
                <w:rFonts w:ascii="Arial" w:eastAsia="Times New Roman" w:hAnsi="Arial" w:cs="Arial"/>
                <w:color w:val="000000"/>
                <w:sz w:val="16"/>
                <w:szCs w:val="16"/>
                <w:lang w:val="en-US" w:eastAsia="es-MX"/>
              </w:rPr>
              <w:t>0</w:t>
            </w:r>
            <w:r>
              <w:rPr>
                <w:rFonts w:ascii="Arial" w:eastAsia="Times New Roman" w:hAnsi="Arial" w:cs="Arial"/>
                <w:color w:val="000000"/>
                <w:sz w:val="16"/>
                <w:szCs w:val="16"/>
                <w:lang w:val="en-US" w:eastAsia="es-MX"/>
              </w:rPr>
              <w:t>2</w:t>
            </w:r>
            <w:r w:rsidRPr="00FC45DA">
              <w:rPr>
                <w:rFonts w:ascii="Arial" w:eastAsia="Times New Roman" w:hAnsi="Arial" w:cs="Arial"/>
                <w:color w:val="000000"/>
                <w:sz w:val="16"/>
                <w:szCs w:val="16"/>
                <w:lang w:val="en-US" w:eastAsia="es-MX"/>
              </w:rPr>
              <w:t>20/</w:t>
            </w:r>
            <w:r>
              <w:rPr>
                <w:rFonts w:ascii="Arial" w:eastAsia="Times New Roman" w:hAnsi="Arial" w:cs="Arial"/>
                <w:color w:val="000000"/>
                <w:sz w:val="16"/>
                <w:szCs w:val="16"/>
                <w:lang w:val="en-US" w:eastAsia="es-MX"/>
              </w:rPr>
              <w:t>27</w:t>
            </w:r>
            <w:r w:rsidRPr="00FC45DA">
              <w:rPr>
                <w:rFonts w:ascii="Arial" w:eastAsia="Times New Roman" w:hAnsi="Arial" w:cs="Arial"/>
                <w:color w:val="000000"/>
                <w:sz w:val="16"/>
                <w:szCs w:val="16"/>
                <w:lang w:val="en-US" w:eastAsia="es-MX"/>
              </w:rPr>
              <w:t>)</w:t>
            </w:r>
          </w:p>
        </w:tc>
        <w:tc>
          <w:tcPr>
            <w:tcW w:w="363" w:type="pct"/>
            <w:shd w:val="clear" w:color="auto" w:fill="D9D9D9" w:themeFill="background1" w:themeFillShade="D9"/>
            <w:vAlign w:val="center"/>
          </w:tcPr>
          <w:p w14:paraId="41DDB607" w14:textId="0AA96745" w:rsidR="00AD6627" w:rsidRPr="00773E36"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ENR</w:t>
            </w:r>
          </w:p>
        </w:tc>
        <w:tc>
          <w:tcPr>
            <w:tcW w:w="712" w:type="pct"/>
            <w:shd w:val="clear" w:color="auto" w:fill="D9D9D9" w:themeFill="background1" w:themeFillShade="D9"/>
            <w:vAlign w:val="center"/>
          </w:tcPr>
          <w:p w14:paraId="719CFA6A" w14:textId="2B235C6B" w:rsidR="00AD6627" w:rsidRPr="00773E36"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51EDBC8B" w14:textId="77777777" w:rsidR="00AD6627" w:rsidRDefault="00AD6627" w:rsidP="0040515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31.25 (# </w:t>
            </w:r>
          </w:p>
          <w:p w14:paraId="2E3FA67A" w14:textId="28670DE5" w:rsidR="00AD6627" w:rsidRPr="00773E36" w:rsidRDefault="00AD6627" w:rsidP="0040515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estaciones)</w:t>
            </w:r>
          </w:p>
        </w:tc>
        <w:tc>
          <w:tcPr>
            <w:tcW w:w="459" w:type="pct"/>
            <w:shd w:val="clear" w:color="auto" w:fill="D9D9D9" w:themeFill="background1" w:themeFillShade="D9"/>
            <w:vAlign w:val="center"/>
          </w:tcPr>
          <w:p w14:paraId="5AE2546F" w14:textId="77777777" w:rsidR="00AD6627" w:rsidRPr="0040515A" w:rsidRDefault="00AD6627" w:rsidP="00BA606A">
            <w:pPr>
              <w:spacing w:after="0"/>
              <w:jc w:val="center"/>
              <w:rPr>
                <w:rFonts w:ascii="Arial" w:eastAsia="Times New Roman" w:hAnsi="Arial" w:cs="Arial"/>
                <w:color w:val="000000"/>
                <w:sz w:val="16"/>
                <w:szCs w:val="16"/>
                <w:lang w:eastAsia="es-MX"/>
              </w:rPr>
            </w:pPr>
          </w:p>
        </w:tc>
        <w:tc>
          <w:tcPr>
            <w:tcW w:w="458" w:type="pct"/>
            <w:shd w:val="clear" w:color="auto" w:fill="D9D9D9" w:themeFill="background1" w:themeFillShade="D9"/>
            <w:vAlign w:val="center"/>
          </w:tcPr>
          <w:p w14:paraId="1FE1B45D" w14:textId="77777777" w:rsidR="00AD6627" w:rsidRDefault="00AD6627" w:rsidP="0040515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1,719 (# </w:t>
            </w:r>
          </w:p>
          <w:p w14:paraId="37CE166B" w14:textId="30D10C48" w:rsidR="00AD6627" w:rsidRPr="0040515A" w:rsidRDefault="00AD6627" w:rsidP="0040515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estaciones)</w:t>
            </w:r>
          </w:p>
        </w:tc>
        <w:tc>
          <w:tcPr>
            <w:tcW w:w="388" w:type="pct"/>
            <w:shd w:val="clear" w:color="auto" w:fill="D9D9D9" w:themeFill="background1" w:themeFillShade="D9"/>
            <w:vAlign w:val="center"/>
          </w:tcPr>
          <w:p w14:paraId="783ED684" w14:textId="77777777" w:rsidR="00AD6627" w:rsidRPr="00AD6627" w:rsidRDefault="00AD6627" w:rsidP="00BA606A">
            <w:pPr>
              <w:spacing w:after="0"/>
              <w:jc w:val="center"/>
              <w:rPr>
                <w:rFonts w:ascii="Arial" w:eastAsia="Times New Roman" w:hAnsi="Arial" w:cs="Arial"/>
                <w:color w:val="000000"/>
                <w:sz w:val="16"/>
                <w:szCs w:val="16"/>
                <w:lang w:eastAsia="es-MX"/>
              </w:rPr>
            </w:pPr>
          </w:p>
        </w:tc>
        <w:tc>
          <w:tcPr>
            <w:tcW w:w="619" w:type="pct"/>
            <w:shd w:val="clear" w:color="auto" w:fill="D9D9D9" w:themeFill="background1" w:themeFillShade="D9"/>
            <w:vAlign w:val="center"/>
          </w:tcPr>
          <w:p w14:paraId="70ED66E1" w14:textId="2F4006F4" w:rsidR="00AD6627" w:rsidRPr="0041643F"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Opinión favorable</w:t>
            </w:r>
          </w:p>
        </w:tc>
        <w:tc>
          <w:tcPr>
            <w:tcW w:w="457" w:type="pct"/>
            <w:shd w:val="clear" w:color="auto" w:fill="D9D9D9" w:themeFill="background1" w:themeFillShade="D9"/>
            <w:vAlign w:val="center"/>
          </w:tcPr>
          <w:p w14:paraId="5E90BAA0" w14:textId="2B64B098" w:rsidR="00AD6627" w:rsidRPr="0041643F"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05/02/2020</w:t>
            </w:r>
          </w:p>
        </w:tc>
      </w:tr>
      <w:tr w:rsidR="00FC45DA" w:rsidRPr="00FC45DA" w14:paraId="4989BB35" w14:textId="77777777" w:rsidTr="002C46BD">
        <w:trPr>
          <w:trHeight w:val="20"/>
          <w:jc w:val="right"/>
        </w:trPr>
        <w:tc>
          <w:tcPr>
            <w:tcW w:w="1077" w:type="pct"/>
            <w:shd w:val="clear" w:color="auto" w:fill="auto"/>
            <w:vAlign w:val="center"/>
          </w:tcPr>
          <w:p w14:paraId="238DCDAF" w14:textId="26896D89" w:rsidR="00AD6627" w:rsidRPr="009E6BD6" w:rsidRDefault="00AD6627" w:rsidP="00D92DEF">
            <w:pPr>
              <w:spacing w:after="0"/>
              <w:rPr>
                <w:rFonts w:ascii="Arial" w:eastAsia="Times New Roman" w:hAnsi="Arial" w:cs="Arial"/>
                <w:color w:val="000000"/>
                <w:sz w:val="16"/>
                <w:szCs w:val="16"/>
                <w:lang w:eastAsia="es-MX"/>
              </w:rPr>
            </w:pPr>
            <w:r w:rsidRPr="00FC45DA">
              <w:rPr>
                <w:rFonts w:ascii="Arial" w:eastAsia="Times New Roman" w:hAnsi="Arial" w:cs="Arial"/>
                <w:color w:val="000000"/>
                <w:sz w:val="16"/>
                <w:szCs w:val="16"/>
                <w:lang w:eastAsia="es-MX"/>
              </w:rPr>
              <w:t>Radio Ritmo</w:t>
            </w:r>
            <w:r w:rsidRPr="009E6BD6">
              <w:rPr>
                <w:rFonts w:ascii="Arial" w:eastAsia="Times New Roman" w:hAnsi="Arial" w:cs="Arial"/>
                <w:color w:val="000000"/>
                <w:sz w:val="16"/>
                <w:szCs w:val="16"/>
                <w:lang w:eastAsia="es-MX"/>
              </w:rPr>
              <w:t xml:space="preserve">, S.A. de C.V. </w:t>
            </w:r>
            <w:r w:rsidRPr="00FC45DA">
              <w:rPr>
                <w:rFonts w:ascii="Arial" w:eastAsia="Times New Roman" w:hAnsi="Arial" w:cs="Arial"/>
                <w:color w:val="000000"/>
                <w:sz w:val="16"/>
                <w:szCs w:val="16"/>
                <w:lang w:eastAsia="es-MX"/>
              </w:rPr>
              <w:t>y Multimedios Rad</w:t>
            </w:r>
            <w:r>
              <w:rPr>
                <w:rFonts w:ascii="Arial" w:eastAsia="Times New Roman" w:hAnsi="Arial" w:cs="Arial"/>
                <w:color w:val="000000"/>
                <w:sz w:val="16"/>
                <w:szCs w:val="16"/>
                <w:lang w:eastAsia="es-MX"/>
              </w:rPr>
              <w:t xml:space="preserve">io, S.A. de C.V. </w:t>
            </w:r>
            <w:r w:rsidRPr="009E6BD6">
              <w:rPr>
                <w:rFonts w:ascii="Arial" w:eastAsia="Times New Roman" w:hAnsi="Arial" w:cs="Arial"/>
                <w:color w:val="000000"/>
                <w:sz w:val="16"/>
                <w:szCs w:val="16"/>
                <w:lang w:eastAsia="es-MX"/>
              </w:rPr>
              <w:t>(P/IFT/EXT/0</w:t>
            </w:r>
            <w:r w:rsidRPr="00FC45DA">
              <w:rPr>
                <w:rFonts w:ascii="Arial" w:eastAsia="Times New Roman" w:hAnsi="Arial" w:cs="Arial"/>
                <w:color w:val="000000"/>
                <w:sz w:val="16"/>
                <w:szCs w:val="16"/>
                <w:lang w:eastAsia="es-MX"/>
              </w:rPr>
              <w:t>1</w:t>
            </w:r>
            <w:r w:rsidRPr="009E6BD6">
              <w:rPr>
                <w:rFonts w:ascii="Arial" w:eastAsia="Times New Roman" w:hAnsi="Arial" w:cs="Arial"/>
                <w:color w:val="000000"/>
                <w:sz w:val="16"/>
                <w:szCs w:val="16"/>
                <w:lang w:eastAsia="es-MX"/>
              </w:rPr>
              <w:t>0</w:t>
            </w:r>
            <w:r w:rsidRPr="00FC45DA">
              <w:rPr>
                <w:rFonts w:ascii="Arial" w:eastAsia="Times New Roman" w:hAnsi="Arial" w:cs="Arial"/>
                <w:color w:val="000000"/>
                <w:sz w:val="16"/>
                <w:szCs w:val="16"/>
                <w:lang w:eastAsia="es-MX"/>
              </w:rPr>
              <w:t>420</w:t>
            </w:r>
            <w:r w:rsidRPr="009E6BD6">
              <w:rPr>
                <w:rFonts w:ascii="Arial" w:eastAsia="Times New Roman" w:hAnsi="Arial" w:cs="Arial"/>
                <w:color w:val="000000"/>
                <w:sz w:val="16"/>
                <w:szCs w:val="16"/>
                <w:lang w:eastAsia="es-MX"/>
              </w:rPr>
              <w:t>/10</w:t>
            </w:r>
            <w:r w:rsidRPr="00FC45DA">
              <w:rPr>
                <w:rFonts w:ascii="Arial" w:eastAsia="Times New Roman" w:hAnsi="Arial" w:cs="Arial"/>
                <w:color w:val="000000"/>
                <w:sz w:val="16"/>
                <w:szCs w:val="16"/>
                <w:lang w:eastAsia="es-MX"/>
              </w:rPr>
              <w:t>8</w:t>
            </w:r>
            <w:r w:rsidRPr="009E6BD6">
              <w:rPr>
                <w:rFonts w:ascii="Arial" w:eastAsia="Times New Roman" w:hAnsi="Arial" w:cs="Arial"/>
                <w:color w:val="000000"/>
                <w:sz w:val="16"/>
                <w:szCs w:val="16"/>
                <w:lang w:eastAsia="es-MX"/>
              </w:rPr>
              <w:t>)</w:t>
            </w:r>
          </w:p>
        </w:tc>
        <w:tc>
          <w:tcPr>
            <w:tcW w:w="363" w:type="pct"/>
            <w:shd w:val="clear" w:color="auto" w:fill="auto"/>
            <w:vAlign w:val="center"/>
          </w:tcPr>
          <w:p w14:paraId="121878EF" w14:textId="783C0567" w:rsidR="00AD6627"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ENR</w:t>
            </w:r>
          </w:p>
        </w:tc>
        <w:tc>
          <w:tcPr>
            <w:tcW w:w="712" w:type="pct"/>
            <w:shd w:val="clear" w:color="auto" w:fill="auto"/>
            <w:vAlign w:val="center"/>
          </w:tcPr>
          <w:p w14:paraId="4FE431CE" w14:textId="33C78363" w:rsidR="00AD6627"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26150307" w14:textId="23BDC466" w:rsidR="00AD6627" w:rsidRDefault="00AD6627" w:rsidP="009E6BD6">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15.39 (# </w:t>
            </w:r>
          </w:p>
          <w:p w14:paraId="00578288" w14:textId="0F21EE40" w:rsidR="00AD6627" w:rsidRDefault="00AD6627" w:rsidP="009E6BD6">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estaciones)</w:t>
            </w:r>
          </w:p>
        </w:tc>
        <w:tc>
          <w:tcPr>
            <w:tcW w:w="459" w:type="pct"/>
            <w:shd w:val="clear" w:color="auto" w:fill="auto"/>
            <w:vAlign w:val="center"/>
          </w:tcPr>
          <w:p w14:paraId="383754F4" w14:textId="77777777" w:rsidR="00AD6627" w:rsidRDefault="00AD6627" w:rsidP="00BA606A">
            <w:pPr>
              <w:spacing w:after="0"/>
              <w:jc w:val="center"/>
              <w:rPr>
                <w:rFonts w:ascii="Arial" w:eastAsia="Times New Roman" w:hAnsi="Arial" w:cs="Arial"/>
                <w:color w:val="000000"/>
                <w:sz w:val="16"/>
                <w:szCs w:val="16"/>
                <w:lang w:eastAsia="es-MX"/>
              </w:rPr>
            </w:pPr>
          </w:p>
        </w:tc>
        <w:tc>
          <w:tcPr>
            <w:tcW w:w="458" w:type="pct"/>
            <w:shd w:val="clear" w:color="auto" w:fill="auto"/>
            <w:vAlign w:val="center"/>
          </w:tcPr>
          <w:p w14:paraId="3DC2DB4D" w14:textId="77777777" w:rsidR="00AD6627" w:rsidRDefault="00AD6627" w:rsidP="00BA606A">
            <w:pPr>
              <w:spacing w:after="0"/>
              <w:jc w:val="center"/>
              <w:rPr>
                <w:rFonts w:ascii="Arial" w:eastAsia="Times New Roman" w:hAnsi="Arial" w:cs="Arial"/>
                <w:color w:val="000000"/>
                <w:sz w:val="16"/>
                <w:szCs w:val="16"/>
                <w:lang w:eastAsia="es-MX"/>
              </w:rPr>
            </w:pPr>
          </w:p>
        </w:tc>
        <w:tc>
          <w:tcPr>
            <w:tcW w:w="388" w:type="pct"/>
            <w:shd w:val="clear" w:color="auto" w:fill="auto"/>
            <w:vAlign w:val="center"/>
          </w:tcPr>
          <w:p w14:paraId="7763E5D9" w14:textId="4FD2B5A1" w:rsidR="00AD6627"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-474</w:t>
            </w:r>
          </w:p>
        </w:tc>
        <w:tc>
          <w:tcPr>
            <w:tcW w:w="619" w:type="pct"/>
            <w:shd w:val="clear" w:color="auto" w:fill="auto"/>
            <w:vAlign w:val="center"/>
          </w:tcPr>
          <w:p w14:paraId="05341992" w14:textId="3DE225AB" w:rsidR="00AD6627"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Opinión favorable</w:t>
            </w:r>
          </w:p>
        </w:tc>
        <w:tc>
          <w:tcPr>
            <w:tcW w:w="457" w:type="pct"/>
            <w:shd w:val="clear" w:color="auto" w:fill="auto"/>
            <w:vAlign w:val="center"/>
          </w:tcPr>
          <w:p w14:paraId="3AC598F5" w14:textId="7CE1F498" w:rsidR="00AD6627"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01/04/2020</w:t>
            </w:r>
          </w:p>
        </w:tc>
      </w:tr>
      <w:tr w:rsidR="00FC45DA" w:rsidRPr="00FC45DA" w14:paraId="5A4747B7" w14:textId="77777777" w:rsidTr="002C46BD">
        <w:trPr>
          <w:trHeight w:val="20"/>
          <w:jc w:val="right"/>
        </w:trPr>
        <w:tc>
          <w:tcPr>
            <w:tcW w:w="1077" w:type="pct"/>
            <w:shd w:val="clear" w:color="auto" w:fill="D9D9D9" w:themeFill="background1" w:themeFillShade="D9"/>
            <w:vAlign w:val="center"/>
          </w:tcPr>
          <w:p w14:paraId="2A246834" w14:textId="7BB3FBB6" w:rsidR="00AD6627" w:rsidRPr="00E67654" w:rsidRDefault="00AD6627" w:rsidP="00D92DEF">
            <w:pPr>
              <w:spacing w:after="0"/>
              <w:rPr>
                <w:rFonts w:ascii="Arial" w:eastAsia="Times New Roman" w:hAnsi="Arial" w:cs="Arial"/>
                <w:color w:val="000000"/>
                <w:sz w:val="16"/>
                <w:szCs w:val="16"/>
                <w:lang w:eastAsia="es-MX"/>
              </w:rPr>
            </w:pPr>
            <w:r w:rsidRPr="00E67654">
              <w:rPr>
                <w:rFonts w:ascii="Arial" w:eastAsia="Times New Roman" w:hAnsi="Arial" w:cs="Arial"/>
                <w:color w:val="000000"/>
                <w:sz w:val="16"/>
                <w:szCs w:val="16"/>
                <w:lang w:eastAsia="es-MX"/>
              </w:rPr>
              <w:t>Radio Integral, S.A. d</w:t>
            </w:r>
            <w:r w:rsidRPr="00FC45DA">
              <w:rPr>
                <w:rFonts w:ascii="Arial" w:eastAsia="Times New Roman" w:hAnsi="Arial" w:cs="Arial"/>
                <w:color w:val="000000"/>
                <w:sz w:val="16"/>
                <w:szCs w:val="16"/>
                <w:lang w:eastAsia="es-MX"/>
              </w:rPr>
              <w:t xml:space="preserve">e </w:t>
            </w:r>
            <w:r>
              <w:rPr>
                <w:rFonts w:ascii="Arial" w:eastAsia="Times New Roman" w:hAnsi="Arial" w:cs="Arial"/>
                <w:color w:val="000000"/>
                <w:sz w:val="16"/>
                <w:szCs w:val="16"/>
                <w:lang w:eastAsia="es-MX"/>
              </w:rPr>
              <w:t>C.V. a XEPJ de Guadalajara S.A. de C.V. (</w:t>
            </w:r>
            <w:r w:rsidRPr="00E23C62">
              <w:rPr>
                <w:rFonts w:ascii="Arial" w:eastAsia="Times New Roman" w:hAnsi="Arial" w:cs="Arial"/>
                <w:color w:val="000000"/>
                <w:sz w:val="16"/>
                <w:szCs w:val="16"/>
                <w:lang w:eastAsia="es-MX"/>
              </w:rPr>
              <w:t>P/IFT/170620/170</w:t>
            </w:r>
            <w:r>
              <w:rPr>
                <w:rFonts w:ascii="Arial" w:eastAsia="Times New Roman" w:hAnsi="Arial" w:cs="Arial"/>
                <w:color w:val="000000"/>
                <w:sz w:val="16"/>
                <w:szCs w:val="16"/>
                <w:lang w:eastAsia="es-MX"/>
              </w:rPr>
              <w:t>)</w:t>
            </w:r>
          </w:p>
        </w:tc>
        <w:tc>
          <w:tcPr>
            <w:tcW w:w="363" w:type="pct"/>
            <w:shd w:val="clear" w:color="auto" w:fill="D9D9D9" w:themeFill="background1" w:themeFillShade="D9"/>
            <w:vAlign w:val="center"/>
          </w:tcPr>
          <w:p w14:paraId="51BE5640" w14:textId="125A5D65" w:rsidR="00AD6627" w:rsidRPr="00E67654"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CCR</w:t>
            </w:r>
          </w:p>
        </w:tc>
        <w:tc>
          <w:tcPr>
            <w:tcW w:w="712" w:type="pct"/>
            <w:shd w:val="clear" w:color="auto" w:fill="D9D9D9" w:themeFill="background1" w:themeFillShade="D9"/>
            <w:vAlign w:val="center"/>
          </w:tcPr>
          <w:p w14:paraId="0DFFBA68" w14:textId="0F31F67B" w:rsidR="00AD6627" w:rsidRPr="00E67654"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73CECB9B" w14:textId="283A3529" w:rsidR="00AD6627" w:rsidRDefault="00AD6627" w:rsidP="009E1414">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29.41 (# </w:t>
            </w:r>
          </w:p>
          <w:p w14:paraId="3DC86976" w14:textId="75534320" w:rsidR="00AD6627" w:rsidRDefault="00AD6627" w:rsidP="00FC45DA">
            <w:pPr>
              <w:spacing w:after="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estaciones)</w:t>
            </w:r>
          </w:p>
          <w:p w14:paraId="269EE380" w14:textId="3D795F21" w:rsidR="00AD6627" w:rsidRPr="00E40659"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22.49 (audiencia)</w:t>
            </w:r>
          </w:p>
        </w:tc>
        <w:tc>
          <w:tcPr>
            <w:tcW w:w="459" w:type="pct"/>
            <w:shd w:val="clear" w:color="auto" w:fill="D9D9D9" w:themeFill="background1" w:themeFillShade="D9"/>
            <w:vAlign w:val="center"/>
          </w:tcPr>
          <w:p w14:paraId="2CECCE2E" w14:textId="413582E0" w:rsidR="00AD6627"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1,349 (# estaciones)</w:t>
            </w:r>
          </w:p>
          <w:p w14:paraId="388A766C" w14:textId="66DD674B" w:rsidR="00AD6627" w:rsidRPr="00E40659"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1,682 (audiencia)</w:t>
            </w:r>
          </w:p>
        </w:tc>
        <w:tc>
          <w:tcPr>
            <w:tcW w:w="458" w:type="pct"/>
            <w:shd w:val="clear" w:color="auto" w:fill="D9D9D9" w:themeFill="background1" w:themeFillShade="D9"/>
            <w:vAlign w:val="center"/>
          </w:tcPr>
          <w:p w14:paraId="29974D24" w14:textId="5EEC2337" w:rsidR="00AD6627"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1,626 (# estaciones)</w:t>
            </w:r>
          </w:p>
          <w:p w14:paraId="32EDEDAB" w14:textId="39AA697A" w:rsidR="00AD6627" w:rsidRPr="00EF66C3"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1,904 (audiencia)</w:t>
            </w:r>
          </w:p>
        </w:tc>
        <w:tc>
          <w:tcPr>
            <w:tcW w:w="388" w:type="pct"/>
            <w:shd w:val="clear" w:color="auto" w:fill="D9D9D9" w:themeFill="background1" w:themeFillShade="D9"/>
            <w:vAlign w:val="center"/>
          </w:tcPr>
          <w:p w14:paraId="7195677A" w14:textId="3D9FF44D" w:rsidR="00AD6627"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277 (# estaciones)</w:t>
            </w:r>
          </w:p>
          <w:p w14:paraId="6CC38A31" w14:textId="0CA3A2B4" w:rsidR="00AD6627" w:rsidRPr="00EF66C3" w:rsidRDefault="00AD6627" w:rsidP="00BA606A">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222 (audiencia)</w:t>
            </w:r>
          </w:p>
        </w:tc>
        <w:tc>
          <w:tcPr>
            <w:tcW w:w="619" w:type="pct"/>
            <w:shd w:val="clear" w:color="auto" w:fill="D9D9D9" w:themeFill="background1" w:themeFillShade="D9"/>
            <w:vAlign w:val="center"/>
          </w:tcPr>
          <w:p w14:paraId="6CA43F40" w14:textId="64C3A75E" w:rsidR="00AD6627" w:rsidRPr="00BA606A"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Opinión favorable</w:t>
            </w:r>
          </w:p>
        </w:tc>
        <w:tc>
          <w:tcPr>
            <w:tcW w:w="457" w:type="pct"/>
            <w:shd w:val="clear" w:color="auto" w:fill="D9D9D9" w:themeFill="background1" w:themeFillShade="D9"/>
            <w:vAlign w:val="center"/>
          </w:tcPr>
          <w:p w14:paraId="741B66E5" w14:textId="56544BBA" w:rsidR="00AD6627" w:rsidRPr="00EF66C3" w:rsidRDefault="00AD6627" w:rsidP="00D92DEF">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17/06/2020</w:t>
            </w:r>
          </w:p>
        </w:tc>
      </w:tr>
      <w:tr w:rsidR="00FC45DA" w:rsidRPr="00FC45DA" w14:paraId="465E3D37" w14:textId="77777777" w:rsidTr="002C46BD">
        <w:trPr>
          <w:trHeight w:val="20"/>
          <w:jc w:val="right"/>
        </w:trPr>
        <w:tc>
          <w:tcPr>
            <w:tcW w:w="1077" w:type="pct"/>
            <w:shd w:val="clear" w:color="auto" w:fill="auto"/>
            <w:vAlign w:val="center"/>
          </w:tcPr>
          <w:p w14:paraId="0C330C37" w14:textId="41940C07" w:rsidR="00AD6627" w:rsidRPr="00E67654" w:rsidRDefault="00AD6627" w:rsidP="00E23C62">
            <w:pPr>
              <w:spacing w:after="0"/>
              <w:rPr>
                <w:rFonts w:ascii="Arial" w:eastAsia="Times New Roman" w:hAnsi="Arial" w:cs="Arial"/>
                <w:color w:val="000000"/>
                <w:sz w:val="16"/>
                <w:szCs w:val="16"/>
                <w:lang w:eastAsia="es-MX"/>
              </w:rPr>
            </w:pPr>
            <w:r w:rsidRPr="00FC45DA">
              <w:rPr>
                <w:rFonts w:ascii="Arial" w:eastAsia="Times New Roman" w:hAnsi="Arial" w:cs="Arial"/>
                <w:color w:val="000000"/>
                <w:sz w:val="16"/>
                <w:szCs w:val="16"/>
                <w:lang w:eastAsia="es-MX"/>
              </w:rPr>
              <w:t xml:space="preserve">Radio Integral S.A. de </w:t>
            </w:r>
            <w:r>
              <w:rPr>
                <w:rFonts w:ascii="Arial" w:eastAsia="Times New Roman" w:hAnsi="Arial" w:cs="Arial"/>
                <w:color w:val="000000"/>
                <w:sz w:val="16"/>
                <w:szCs w:val="16"/>
                <w:lang w:eastAsia="es-MX"/>
              </w:rPr>
              <w:t>C.V. y Radio XHRZ León, S.A. de C.V. (</w:t>
            </w:r>
            <w:r w:rsidRPr="00E23C62">
              <w:rPr>
                <w:rFonts w:ascii="Arial" w:eastAsia="Times New Roman" w:hAnsi="Arial" w:cs="Arial"/>
                <w:color w:val="000000"/>
                <w:sz w:val="16"/>
                <w:szCs w:val="16"/>
                <w:lang w:eastAsia="es-MX"/>
              </w:rPr>
              <w:t>P/IFT/170620/17</w:t>
            </w:r>
            <w:r>
              <w:rPr>
                <w:rFonts w:ascii="Arial" w:eastAsia="Times New Roman" w:hAnsi="Arial" w:cs="Arial"/>
                <w:color w:val="000000"/>
                <w:sz w:val="16"/>
                <w:szCs w:val="16"/>
                <w:lang w:eastAsia="es-MX"/>
              </w:rPr>
              <w:t>1)</w:t>
            </w:r>
          </w:p>
        </w:tc>
        <w:tc>
          <w:tcPr>
            <w:tcW w:w="363" w:type="pct"/>
            <w:shd w:val="clear" w:color="auto" w:fill="auto"/>
            <w:vAlign w:val="center"/>
          </w:tcPr>
          <w:p w14:paraId="1D684451" w14:textId="170BAC22" w:rsidR="00AD6627" w:rsidRPr="00E67654"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CCR</w:t>
            </w:r>
          </w:p>
        </w:tc>
        <w:tc>
          <w:tcPr>
            <w:tcW w:w="712" w:type="pct"/>
            <w:shd w:val="clear" w:color="auto" w:fill="auto"/>
            <w:vAlign w:val="center"/>
          </w:tcPr>
          <w:p w14:paraId="4411A2F4" w14:textId="7F9EEE89" w:rsidR="00AD6627" w:rsidRPr="00E67654"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75F85BD8" w14:textId="0AA3C622"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28.57 (# estaciones)</w:t>
            </w:r>
          </w:p>
          <w:p w14:paraId="73A54813" w14:textId="51487709" w:rsidR="00AD6627" w:rsidRPr="00E40659"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24.71 (audiencia)</w:t>
            </w:r>
          </w:p>
        </w:tc>
        <w:tc>
          <w:tcPr>
            <w:tcW w:w="459" w:type="pct"/>
            <w:shd w:val="clear" w:color="auto" w:fill="auto"/>
            <w:vAlign w:val="center"/>
          </w:tcPr>
          <w:p w14:paraId="163FF72F" w14:textId="42A79E9E"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1,519 (# estaciones)</w:t>
            </w:r>
          </w:p>
          <w:p w14:paraId="26CAEE26" w14:textId="36003471" w:rsidR="00AD6627" w:rsidRPr="00E40659"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1,947 (audiencia)</w:t>
            </w:r>
          </w:p>
        </w:tc>
        <w:tc>
          <w:tcPr>
            <w:tcW w:w="458" w:type="pct"/>
            <w:shd w:val="clear" w:color="auto" w:fill="auto"/>
            <w:vAlign w:val="center"/>
          </w:tcPr>
          <w:p w14:paraId="5AB9C086" w14:textId="5518A896"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1,655 (# estaciones)</w:t>
            </w:r>
          </w:p>
          <w:p w14:paraId="521EFB59" w14:textId="21756877" w:rsidR="00AD6627" w:rsidRPr="00EF66C3"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2,026 (audiencia)</w:t>
            </w:r>
          </w:p>
        </w:tc>
        <w:tc>
          <w:tcPr>
            <w:tcW w:w="388" w:type="pct"/>
            <w:shd w:val="clear" w:color="auto" w:fill="auto"/>
            <w:vAlign w:val="center"/>
          </w:tcPr>
          <w:p w14:paraId="773C9EE9" w14:textId="2BCEB47D"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136 (# estaciones)</w:t>
            </w:r>
          </w:p>
          <w:p w14:paraId="099D737B" w14:textId="03E72988" w:rsidR="00AD6627" w:rsidRPr="00EF66C3"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79 (audiencia)</w:t>
            </w:r>
          </w:p>
        </w:tc>
        <w:tc>
          <w:tcPr>
            <w:tcW w:w="619" w:type="pct"/>
            <w:shd w:val="clear" w:color="auto" w:fill="auto"/>
            <w:vAlign w:val="center"/>
          </w:tcPr>
          <w:p w14:paraId="6ADDB29E" w14:textId="40F8AB52" w:rsidR="00AD6627" w:rsidRPr="00BA60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Opinión favorable</w:t>
            </w:r>
          </w:p>
        </w:tc>
        <w:tc>
          <w:tcPr>
            <w:tcW w:w="457" w:type="pct"/>
            <w:shd w:val="clear" w:color="auto" w:fill="auto"/>
            <w:vAlign w:val="center"/>
          </w:tcPr>
          <w:p w14:paraId="561A3489" w14:textId="447A3971" w:rsidR="00AD6627" w:rsidRPr="00EF66C3"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17/06/2020</w:t>
            </w:r>
          </w:p>
        </w:tc>
      </w:tr>
      <w:tr w:rsidR="00FC45DA" w:rsidRPr="00C9666A" w14:paraId="42A8FF32" w14:textId="77777777" w:rsidTr="002C46BD">
        <w:trPr>
          <w:trHeight w:val="20"/>
          <w:jc w:val="right"/>
        </w:trPr>
        <w:tc>
          <w:tcPr>
            <w:tcW w:w="1077" w:type="pct"/>
            <w:shd w:val="clear" w:color="auto" w:fill="auto"/>
            <w:vAlign w:val="center"/>
          </w:tcPr>
          <w:p w14:paraId="4566392B" w14:textId="77777777" w:rsidR="00AD6627" w:rsidRDefault="00AD6627" w:rsidP="00E23C62">
            <w:pPr>
              <w:spacing w:after="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LP Música, S.A. de C.V.</w:t>
            </w:r>
          </w:p>
          <w:p w14:paraId="60026260" w14:textId="181E0080" w:rsidR="00AD6627" w:rsidRDefault="00AD6627" w:rsidP="00E23C62">
            <w:pPr>
              <w:spacing w:after="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E23C62">
              <w:rPr>
                <w:rFonts w:ascii="Arial" w:eastAsia="Times New Roman" w:hAnsi="Arial" w:cs="Arial"/>
                <w:color w:val="000000"/>
                <w:sz w:val="16"/>
                <w:szCs w:val="16"/>
                <w:lang w:eastAsia="es-MX"/>
              </w:rPr>
              <w:t>P/IFT/170620/170</w:t>
            </w:r>
            <w:r>
              <w:rPr>
                <w:rFonts w:ascii="Arial" w:eastAsia="Times New Roman" w:hAnsi="Arial" w:cs="Arial"/>
                <w:color w:val="000000"/>
                <w:sz w:val="16"/>
                <w:szCs w:val="16"/>
                <w:lang w:eastAsia="es-MX"/>
              </w:rPr>
              <w:t>)</w:t>
            </w:r>
          </w:p>
        </w:tc>
        <w:tc>
          <w:tcPr>
            <w:tcW w:w="363" w:type="pct"/>
            <w:shd w:val="clear" w:color="auto" w:fill="auto"/>
            <w:vAlign w:val="center"/>
          </w:tcPr>
          <w:p w14:paraId="5684EAA5" w14:textId="45DB1A60"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ENR</w:t>
            </w:r>
          </w:p>
        </w:tc>
        <w:tc>
          <w:tcPr>
            <w:tcW w:w="712" w:type="pct"/>
            <w:shd w:val="clear" w:color="auto" w:fill="auto"/>
            <w:vAlign w:val="center"/>
          </w:tcPr>
          <w:p w14:paraId="442A99C0" w14:textId="0B76295F"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604F0D32" w14:textId="2272CBBA" w:rsidR="00AD6627" w:rsidRDefault="00AD6627" w:rsidP="00EC1F7B">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12.0 (# estaciones)</w:t>
            </w:r>
          </w:p>
          <w:p w14:paraId="3159447A" w14:textId="220D2321" w:rsidR="00AD6627" w:rsidRDefault="00AD6627" w:rsidP="00EC1F7B">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12.0 (audiencia)</w:t>
            </w:r>
          </w:p>
        </w:tc>
        <w:tc>
          <w:tcPr>
            <w:tcW w:w="459" w:type="pct"/>
            <w:shd w:val="clear" w:color="auto" w:fill="auto"/>
            <w:vAlign w:val="center"/>
          </w:tcPr>
          <w:p w14:paraId="48A4BB1C" w14:textId="77777777" w:rsidR="00AD6627" w:rsidRDefault="00AD6627" w:rsidP="00E23C62">
            <w:pPr>
              <w:spacing w:after="0"/>
              <w:jc w:val="center"/>
              <w:rPr>
                <w:rFonts w:ascii="Arial" w:eastAsia="Times New Roman" w:hAnsi="Arial" w:cs="Arial"/>
                <w:color w:val="000000"/>
                <w:sz w:val="16"/>
                <w:szCs w:val="16"/>
                <w:lang w:eastAsia="es-MX"/>
              </w:rPr>
            </w:pPr>
          </w:p>
        </w:tc>
        <w:tc>
          <w:tcPr>
            <w:tcW w:w="458" w:type="pct"/>
            <w:shd w:val="clear" w:color="auto" w:fill="auto"/>
            <w:vAlign w:val="center"/>
          </w:tcPr>
          <w:p w14:paraId="708D66F9" w14:textId="255BB09A" w:rsidR="00AD6627" w:rsidRDefault="00AD6627" w:rsidP="00EC1F7B">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1,136 (# estaciones)</w:t>
            </w:r>
          </w:p>
          <w:p w14:paraId="72AB0340" w14:textId="4D65015E" w:rsidR="00AD6627" w:rsidRDefault="00AD6627" w:rsidP="00EC1F7B">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1,580 (audiencia)</w:t>
            </w:r>
          </w:p>
        </w:tc>
        <w:tc>
          <w:tcPr>
            <w:tcW w:w="388" w:type="pct"/>
            <w:shd w:val="clear" w:color="auto" w:fill="auto"/>
            <w:vAlign w:val="center"/>
          </w:tcPr>
          <w:p w14:paraId="25A8A58A" w14:textId="77777777" w:rsidR="00AD6627" w:rsidRDefault="00AD6627" w:rsidP="00E23C62">
            <w:pPr>
              <w:spacing w:after="0"/>
              <w:jc w:val="center"/>
              <w:rPr>
                <w:rFonts w:ascii="Arial" w:eastAsia="Times New Roman" w:hAnsi="Arial" w:cs="Arial"/>
                <w:color w:val="000000"/>
                <w:sz w:val="16"/>
                <w:szCs w:val="16"/>
                <w:lang w:eastAsia="es-MX"/>
              </w:rPr>
            </w:pPr>
          </w:p>
        </w:tc>
        <w:tc>
          <w:tcPr>
            <w:tcW w:w="619" w:type="pct"/>
            <w:shd w:val="clear" w:color="auto" w:fill="auto"/>
            <w:vAlign w:val="center"/>
          </w:tcPr>
          <w:p w14:paraId="10F74A7E" w14:textId="77777777" w:rsidR="00AD6627" w:rsidRDefault="00AD6627" w:rsidP="00E23C62">
            <w:pPr>
              <w:spacing w:after="0"/>
              <w:jc w:val="center"/>
              <w:rPr>
                <w:rFonts w:ascii="Arial" w:eastAsia="Times New Roman" w:hAnsi="Arial" w:cs="Arial"/>
                <w:color w:val="000000"/>
                <w:sz w:val="16"/>
                <w:szCs w:val="16"/>
                <w:lang w:eastAsia="es-MX"/>
              </w:rPr>
            </w:pPr>
          </w:p>
        </w:tc>
        <w:tc>
          <w:tcPr>
            <w:tcW w:w="457" w:type="pct"/>
            <w:shd w:val="clear" w:color="auto" w:fill="auto"/>
            <w:vAlign w:val="center"/>
          </w:tcPr>
          <w:p w14:paraId="79F18C87" w14:textId="77777777" w:rsidR="00AD6627" w:rsidRDefault="00AD6627" w:rsidP="00E23C62">
            <w:pPr>
              <w:spacing w:after="0"/>
              <w:jc w:val="center"/>
              <w:rPr>
                <w:rFonts w:ascii="Arial" w:eastAsia="Times New Roman" w:hAnsi="Arial" w:cs="Arial"/>
                <w:color w:val="000000"/>
                <w:sz w:val="16"/>
                <w:szCs w:val="16"/>
                <w:lang w:eastAsia="es-MX"/>
              </w:rPr>
            </w:pPr>
          </w:p>
        </w:tc>
      </w:tr>
      <w:tr w:rsidR="00FC45DA" w:rsidRPr="00C9666A" w14:paraId="1493C94A" w14:textId="77777777" w:rsidTr="002C46BD">
        <w:trPr>
          <w:trHeight w:val="20"/>
          <w:jc w:val="right"/>
        </w:trPr>
        <w:tc>
          <w:tcPr>
            <w:tcW w:w="1077" w:type="pct"/>
            <w:shd w:val="clear" w:color="auto" w:fill="D9D9D9" w:themeFill="background1" w:themeFillShade="D9"/>
            <w:vAlign w:val="center"/>
          </w:tcPr>
          <w:p w14:paraId="4F6C2940" w14:textId="6C1A672F" w:rsidR="00AD6627" w:rsidRPr="00C9666A" w:rsidRDefault="00AD6627" w:rsidP="00E23C62">
            <w:pPr>
              <w:spacing w:after="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Tesoro, S.A. de C.V., Radio Armería, S.A. de C.V., ZZZ de Manzanillo, S.A. de C.V. y Radio XHEMAX, S.A. de C.V. (</w:t>
            </w:r>
            <w:r w:rsidRPr="00091E67">
              <w:rPr>
                <w:rFonts w:ascii="Arial" w:eastAsia="Times New Roman" w:hAnsi="Arial" w:cs="Arial"/>
                <w:color w:val="000000"/>
                <w:sz w:val="16"/>
                <w:szCs w:val="16"/>
                <w:lang w:eastAsia="es-MX"/>
              </w:rPr>
              <w:t>P/IFT/070421/157</w:t>
            </w:r>
            <w:r>
              <w:rPr>
                <w:rFonts w:ascii="Arial" w:eastAsia="Times New Roman" w:hAnsi="Arial" w:cs="Arial"/>
                <w:color w:val="000000"/>
                <w:sz w:val="16"/>
                <w:szCs w:val="16"/>
                <w:lang w:eastAsia="es-MX"/>
              </w:rPr>
              <w:t>)</w:t>
            </w:r>
          </w:p>
        </w:tc>
        <w:tc>
          <w:tcPr>
            <w:tcW w:w="363" w:type="pct"/>
            <w:shd w:val="clear" w:color="auto" w:fill="D9D9D9" w:themeFill="background1" w:themeFillShade="D9"/>
            <w:vAlign w:val="center"/>
          </w:tcPr>
          <w:p w14:paraId="03776D2C" w14:textId="3F060860"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CCR</w:t>
            </w:r>
          </w:p>
        </w:tc>
        <w:tc>
          <w:tcPr>
            <w:tcW w:w="712" w:type="pct"/>
            <w:shd w:val="clear" w:color="auto" w:fill="D9D9D9" w:themeFill="background1" w:themeFillShade="D9"/>
            <w:vAlign w:val="center"/>
          </w:tcPr>
          <w:p w14:paraId="17A3DA33" w14:textId="00078A4D"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D9D9D9" w:themeFill="background1" w:themeFillShade="D9"/>
            <w:vAlign w:val="center"/>
          </w:tcPr>
          <w:p w14:paraId="03F68643" w14:textId="25EA30E7"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42.86</w:t>
            </w:r>
            <w:r w:rsidR="00180D58">
              <w:rPr>
                <w:rFonts w:ascii="Arial" w:eastAsia="Times New Roman" w:hAnsi="Arial" w:cs="Arial"/>
                <w:color w:val="000000"/>
                <w:sz w:val="16"/>
                <w:szCs w:val="16"/>
                <w:lang w:eastAsia="es-MX"/>
              </w:rPr>
              <w:t xml:space="preserve"> (# estaciones)</w:t>
            </w:r>
          </w:p>
        </w:tc>
        <w:tc>
          <w:tcPr>
            <w:tcW w:w="459" w:type="pct"/>
            <w:shd w:val="clear" w:color="auto" w:fill="D9D9D9" w:themeFill="background1" w:themeFillShade="D9"/>
            <w:vAlign w:val="center"/>
          </w:tcPr>
          <w:p w14:paraId="23896081" w14:textId="7DC158EB"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w:t>
            </w:r>
            <w:r w:rsidR="00180D58">
              <w:rPr>
                <w:rFonts w:ascii="Arial" w:eastAsia="Times New Roman" w:hAnsi="Arial" w:cs="Arial"/>
                <w:color w:val="000000"/>
                <w:sz w:val="16"/>
                <w:szCs w:val="16"/>
                <w:lang w:eastAsia="es-MX"/>
              </w:rPr>
              <w:t xml:space="preserve"> (# estaciones)</w:t>
            </w:r>
          </w:p>
        </w:tc>
        <w:tc>
          <w:tcPr>
            <w:tcW w:w="458" w:type="pct"/>
            <w:shd w:val="clear" w:color="auto" w:fill="D9D9D9" w:themeFill="background1" w:themeFillShade="D9"/>
            <w:vAlign w:val="center"/>
          </w:tcPr>
          <w:p w14:paraId="6847F620" w14:textId="44C8210C"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2,653</w:t>
            </w:r>
            <w:r w:rsidR="00180D58">
              <w:rPr>
                <w:rFonts w:ascii="Arial" w:eastAsia="Times New Roman" w:hAnsi="Arial" w:cs="Arial"/>
                <w:color w:val="000000"/>
                <w:sz w:val="16"/>
                <w:szCs w:val="16"/>
                <w:lang w:eastAsia="es-MX"/>
              </w:rPr>
              <w:t xml:space="preserve"> (# estaciones)</w:t>
            </w:r>
          </w:p>
        </w:tc>
        <w:tc>
          <w:tcPr>
            <w:tcW w:w="388" w:type="pct"/>
            <w:shd w:val="clear" w:color="auto" w:fill="D9D9D9" w:themeFill="background1" w:themeFillShade="D9"/>
            <w:vAlign w:val="center"/>
          </w:tcPr>
          <w:p w14:paraId="2BBA0B7C" w14:textId="7A844479"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816</w:t>
            </w:r>
            <w:r w:rsidR="00180D58">
              <w:rPr>
                <w:rFonts w:ascii="Arial" w:eastAsia="Times New Roman" w:hAnsi="Arial" w:cs="Arial"/>
                <w:color w:val="000000"/>
                <w:sz w:val="16"/>
                <w:szCs w:val="16"/>
                <w:lang w:eastAsia="es-MX"/>
              </w:rPr>
              <w:t xml:space="preserve"> (# estaciones)</w:t>
            </w:r>
          </w:p>
        </w:tc>
        <w:tc>
          <w:tcPr>
            <w:tcW w:w="619" w:type="pct"/>
            <w:shd w:val="clear" w:color="auto" w:fill="D9D9D9" w:themeFill="background1" w:themeFillShade="D9"/>
            <w:vAlign w:val="center"/>
          </w:tcPr>
          <w:p w14:paraId="42300868" w14:textId="794881FA"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 autoriza sujeta a condiciones</w:t>
            </w:r>
          </w:p>
        </w:tc>
        <w:tc>
          <w:tcPr>
            <w:tcW w:w="457" w:type="pct"/>
            <w:shd w:val="clear" w:color="auto" w:fill="D9D9D9" w:themeFill="background1" w:themeFillShade="D9"/>
            <w:vAlign w:val="center"/>
          </w:tcPr>
          <w:p w14:paraId="47BF6508" w14:textId="6AFD8F62"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07/04/2021</w:t>
            </w:r>
          </w:p>
        </w:tc>
      </w:tr>
      <w:tr w:rsidR="00FC45DA" w:rsidRPr="00C9666A" w14:paraId="5F532513" w14:textId="77777777" w:rsidTr="002C46BD">
        <w:trPr>
          <w:trHeight w:val="20"/>
          <w:jc w:val="right"/>
        </w:trPr>
        <w:tc>
          <w:tcPr>
            <w:tcW w:w="1077" w:type="pct"/>
            <w:shd w:val="clear" w:color="auto" w:fill="auto"/>
            <w:vAlign w:val="center"/>
          </w:tcPr>
          <w:p w14:paraId="7BE36472" w14:textId="371F3595" w:rsidR="00AD6627" w:rsidRPr="00C9666A" w:rsidRDefault="00AD6627" w:rsidP="00E23C62">
            <w:pPr>
              <w:spacing w:after="0"/>
              <w:rPr>
                <w:rFonts w:ascii="Arial" w:eastAsia="Times New Roman" w:hAnsi="Arial" w:cs="Arial"/>
                <w:color w:val="000000"/>
                <w:sz w:val="16"/>
                <w:szCs w:val="16"/>
                <w:lang w:eastAsia="es-MX"/>
              </w:rPr>
            </w:pPr>
            <w:r w:rsidRPr="004A696D">
              <w:rPr>
                <w:rFonts w:ascii="Arial" w:eastAsia="Times New Roman" w:hAnsi="Arial" w:cs="Arial"/>
                <w:color w:val="000000"/>
                <w:sz w:val="16"/>
                <w:szCs w:val="16"/>
                <w:lang w:eastAsia="es-MX"/>
              </w:rPr>
              <w:lastRenderedPageBreak/>
              <w:t>XERL, Sucesores de J. Roberto Levy, S.A. de C.V.</w:t>
            </w:r>
            <w:r>
              <w:rPr>
                <w:rFonts w:ascii="Arial" w:eastAsia="Times New Roman" w:hAnsi="Arial" w:cs="Arial"/>
                <w:color w:val="000000"/>
                <w:sz w:val="16"/>
                <w:szCs w:val="16"/>
                <w:lang w:eastAsia="es-MX"/>
              </w:rPr>
              <w:t xml:space="preserve"> (</w:t>
            </w:r>
            <w:r w:rsidRPr="00091E67">
              <w:rPr>
                <w:rFonts w:ascii="Arial" w:eastAsia="Times New Roman" w:hAnsi="Arial" w:cs="Arial"/>
                <w:color w:val="000000"/>
                <w:sz w:val="16"/>
                <w:szCs w:val="16"/>
                <w:lang w:eastAsia="es-MX"/>
              </w:rPr>
              <w:t>P/IFT/</w:t>
            </w:r>
            <w:r>
              <w:rPr>
                <w:rFonts w:ascii="Arial" w:eastAsia="Times New Roman" w:hAnsi="Arial" w:cs="Arial"/>
                <w:color w:val="000000"/>
                <w:sz w:val="16"/>
                <w:szCs w:val="16"/>
                <w:lang w:eastAsia="es-MX"/>
              </w:rPr>
              <w:t>21</w:t>
            </w:r>
            <w:r w:rsidRPr="00091E67">
              <w:rPr>
                <w:rFonts w:ascii="Arial" w:eastAsia="Times New Roman" w:hAnsi="Arial" w:cs="Arial"/>
                <w:color w:val="000000"/>
                <w:sz w:val="16"/>
                <w:szCs w:val="16"/>
                <w:lang w:eastAsia="es-MX"/>
              </w:rPr>
              <w:t>0421/1</w:t>
            </w:r>
            <w:r>
              <w:rPr>
                <w:rFonts w:ascii="Arial" w:eastAsia="Times New Roman" w:hAnsi="Arial" w:cs="Arial"/>
                <w:color w:val="000000"/>
                <w:sz w:val="16"/>
                <w:szCs w:val="16"/>
                <w:lang w:eastAsia="es-MX"/>
              </w:rPr>
              <w:t>84)</w:t>
            </w:r>
          </w:p>
        </w:tc>
        <w:tc>
          <w:tcPr>
            <w:tcW w:w="363" w:type="pct"/>
            <w:shd w:val="clear" w:color="auto" w:fill="auto"/>
            <w:vAlign w:val="center"/>
          </w:tcPr>
          <w:p w14:paraId="5D917694" w14:textId="5DFDA220"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ENR</w:t>
            </w:r>
          </w:p>
        </w:tc>
        <w:tc>
          <w:tcPr>
            <w:tcW w:w="712" w:type="pct"/>
            <w:shd w:val="clear" w:color="auto" w:fill="auto"/>
            <w:vAlign w:val="center"/>
          </w:tcPr>
          <w:p w14:paraId="307EEDB3" w14:textId="369A0270"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Radio comercial abierta</w:t>
            </w:r>
          </w:p>
        </w:tc>
        <w:tc>
          <w:tcPr>
            <w:tcW w:w="467" w:type="pct"/>
            <w:shd w:val="clear" w:color="auto" w:fill="auto"/>
            <w:vAlign w:val="center"/>
          </w:tcPr>
          <w:p w14:paraId="4A095AF7" w14:textId="5465F958"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 (# estaciones)</w:t>
            </w:r>
          </w:p>
          <w:p w14:paraId="1071AF04" w14:textId="5F92542C"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25.61 (audiencia)</w:t>
            </w:r>
          </w:p>
        </w:tc>
        <w:tc>
          <w:tcPr>
            <w:tcW w:w="459" w:type="pct"/>
            <w:shd w:val="clear" w:color="auto" w:fill="auto"/>
            <w:vAlign w:val="center"/>
          </w:tcPr>
          <w:p w14:paraId="02B35633" w14:textId="765CD11E"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 (# estaciones)</w:t>
            </w:r>
          </w:p>
          <w:p w14:paraId="7453EEC3" w14:textId="6D8C1A7F"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2,483 (audiencia)</w:t>
            </w:r>
          </w:p>
        </w:tc>
        <w:tc>
          <w:tcPr>
            <w:tcW w:w="458" w:type="pct"/>
            <w:shd w:val="clear" w:color="auto" w:fill="auto"/>
            <w:vAlign w:val="center"/>
          </w:tcPr>
          <w:p w14:paraId="26B08BD3" w14:textId="4225F51E"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2,500 (# estaciones)</w:t>
            </w:r>
          </w:p>
          <w:p w14:paraId="52FBA587" w14:textId="2CDB0E24"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2,764 (audiencia)</w:t>
            </w:r>
          </w:p>
        </w:tc>
        <w:tc>
          <w:tcPr>
            <w:tcW w:w="388" w:type="pct"/>
            <w:shd w:val="clear" w:color="auto" w:fill="auto"/>
            <w:vAlign w:val="center"/>
          </w:tcPr>
          <w:p w14:paraId="7B2929EF" w14:textId="41453839" w:rsidR="00AD6627"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625 (# estaciones)</w:t>
            </w:r>
          </w:p>
          <w:p w14:paraId="1B09FB18" w14:textId="689090FB"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281 (audiencia)</w:t>
            </w:r>
          </w:p>
        </w:tc>
        <w:tc>
          <w:tcPr>
            <w:tcW w:w="619" w:type="pct"/>
            <w:shd w:val="clear" w:color="auto" w:fill="auto"/>
            <w:vAlign w:val="center"/>
          </w:tcPr>
          <w:p w14:paraId="5EA7E512" w14:textId="16515DEE"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 autoriza sujeta a condiciones</w:t>
            </w:r>
          </w:p>
        </w:tc>
        <w:tc>
          <w:tcPr>
            <w:tcW w:w="457" w:type="pct"/>
            <w:shd w:val="clear" w:color="auto" w:fill="auto"/>
            <w:vAlign w:val="center"/>
          </w:tcPr>
          <w:p w14:paraId="6A0BBCB4" w14:textId="22F835B1" w:rsidR="00AD6627" w:rsidRPr="00C9666A" w:rsidRDefault="00AD6627" w:rsidP="00E23C62">
            <w:pPr>
              <w:spacing w:after="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21/04/2021</w:t>
            </w:r>
          </w:p>
        </w:tc>
      </w:tr>
    </w:tbl>
    <w:p w14:paraId="2E071DF2" w14:textId="1C993A02" w:rsidR="00D92DEF" w:rsidRDefault="00D92DEF" w:rsidP="00C9666A">
      <w:pPr>
        <w:spacing w:before="120" w:after="120"/>
        <w:ind w:right="-1"/>
        <w:jc w:val="both"/>
        <w:rPr>
          <w:rFonts w:ascii="Arial" w:hAnsi="Arial" w:cs="Arial"/>
        </w:rPr>
      </w:pPr>
    </w:p>
    <w:p w14:paraId="3D531E44" w14:textId="77777777" w:rsidR="00D92DEF" w:rsidRPr="00C9666A" w:rsidRDefault="00D92DEF" w:rsidP="00C9666A">
      <w:pPr>
        <w:spacing w:before="120" w:after="120"/>
        <w:ind w:right="-1"/>
        <w:jc w:val="both"/>
        <w:rPr>
          <w:rFonts w:ascii="Arial" w:hAnsi="Arial" w:cs="Arial"/>
        </w:rPr>
      </w:pPr>
    </w:p>
    <w:p w14:paraId="73828668" w14:textId="77777777" w:rsidR="009A7628" w:rsidRPr="00C9666A" w:rsidRDefault="009A7628" w:rsidP="00C9666A">
      <w:pPr>
        <w:spacing w:before="120" w:after="120"/>
        <w:ind w:right="-1"/>
        <w:jc w:val="both"/>
        <w:rPr>
          <w:rFonts w:ascii="Arial" w:hAnsi="Arial" w:cs="Arial"/>
        </w:rPr>
        <w:sectPr w:rsidR="009A7628" w:rsidRPr="00C9666A" w:rsidSect="009A7628">
          <w:pgSz w:w="15840" w:h="12240" w:orient="landscape"/>
          <w:pgMar w:top="1418" w:right="1418" w:bottom="1469" w:left="1418" w:header="709" w:footer="709" w:gutter="0"/>
          <w:cols w:space="708"/>
          <w:docGrid w:linePitch="360"/>
        </w:sectPr>
      </w:pPr>
    </w:p>
    <w:p w14:paraId="41948416" w14:textId="116BC46E" w:rsidR="003F0F1A" w:rsidRDefault="003F0F1A" w:rsidP="00C9666A">
      <w:pPr>
        <w:spacing w:before="120" w:after="120"/>
        <w:ind w:right="-1"/>
        <w:jc w:val="both"/>
        <w:rPr>
          <w:rFonts w:ascii="Arial" w:hAnsi="Arial" w:cs="Arial"/>
        </w:rPr>
      </w:pPr>
      <w:r>
        <w:rPr>
          <w:rFonts w:ascii="Arial" w:hAnsi="Arial" w:cs="Arial"/>
        </w:rPr>
        <w:lastRenderedPageBreak/>
        <w:t xml:space="preserve">Adicionalmente, el Instituto ha establecido límites de </w:t>
      </w:r>
      <w:r w:rsidR="00541FF7">
        <w:rPr>
          <w:rFonts w:ascii="Arial" w:hAnsi="Arial" w:cs="Arial"/>
        </w:rPr>
        <w:t xml:space="preserve">acumulación de frecuencias para la </w:t>
      </w:r>
      <w:r>
        <w:rPr>
          <w:rFonts w:ascii="Arial" w:hAnsi="Arial" w:cs="Arial"/>
        </w:rPr>
        <w:t>participación</w:t>
      </w:r>
      <w:r w:rsidR="00541FF7">
        <w:rPr>
          <w:rFonts w:ascii="Arial" w:hAnsi="Arial" w:cs="Arial"/>
        </w:rPr>
        <w:t xml:space="preserve"> de interesados en las diferentes licitaciones de espectro radioeléctrico que ha implementado, </w:t>
      </w:r>
      <w:r>
        <w:rPr>
          <w:rFonts w:ascii="Arial" w:hAnsi="Arial" w:cs="Arial"/>
        </w:rPr>
        <w:t>con el objeto de prevenir concentraciones de espectro radioeléctrico contrarios al interés público.</w:t>
      </w:r>
    </w:p>
    <w:p w14:paraId="6E5B5F77" w14:textId="782E6F61" w:rsidR="00541FF7" w:rsidRPr="00A87D4D" w:rsidRDefault="00541FF7" w:rsidP="00C9666A">
      <w:pPr>
        <w:spacing w:before="120" w:after="120"/>
        <w:ind w:right="-1"/>
        <w:jc w:val="both"/>
        <w:rPr>
          <w:rFonts w:ascii="Arial" w:hAnsi="Arial" w:cs="Arial"/>
          <w:b/>
        </w:rPr>
      </w:pPr>
      <w:r w:rsidRPr="00A87D4D">
        <w:rPr>
          <w:rFonts w:ascii="Arial" w:hAnsi="Arial" w:cs="Arial"/>
          <w:b/>
        </w:rPr>
        <w:t>Licitaciones en el sector de telecomunicaciones:</w:t>
      </w:r>
    </w:p>
    <w:p w14:paraId="49AC2F3A" w14:textId="350C1D78" w:rsidR="008D45B1" w:rsidRDefault="009164C1" w:rsidP="00541FF7">
      <w:pPr>
        <w:pStyle w:val="Prrafodelista"/>
        <w:numPr>
          <w:ilvl w:val="0"/>
          <w:numId w:val="49"/>
        </w:numPr>
        <w:spacing w:before="120" w:after="120"/>
        <w:ind w:right="-1"/>
        <w:jc w:val="both"/>
        <w:rPr>
          <w:rFonts w:ascii="Arial" w:hAnsi="Arial" w:cs="Arial"/>
        </w:rPr>
      </w:pPr>
      <w:r>
        <w:rPr>
          <w:rFonts w:ascii="Arial" w:hAnsi="Arial" w:cs="Arial"/>
        </w:rPr>
        <w:t xml:space="preserve">Licitación No. IFT-3 (licitación de 80 MHz de </w:t>
      </w:r>
      <w:r w:rsidR="00A2737A">
        <w:rPr>
          <w:rFonts w:ascii="Arial" w:hAnsi="Arial" w:cs="Arial"/>
        </w:rPr>
        <w:t>espectro radioeléctrico disponibles en la banda de 1710-1780</w:t>
      </w:r>
      <w:r w:rsidR="007F452C">
        <w:rPr>
          <w:rFonts w:ascii="Arial" w:hAnsi="Arial" w:cs="Arial"/>
        </w:rPr>
        <w:t xml:space="preserve"> MHz /</w:t>
      </w:r>
      <w:r w:rsidR="007F452C" w:rsidRPr="00A87D4D">
        <w:rPr>
          <w:rFonts w:ascii="Arial" w:hAnsi="Arial" w:cs="Arial"/>
        </w:rPr>
        <w:t>2110-2180 MHz</w:t>
      </w:r>
      <w:r w:rsidR="00A2737A">
        <w:rPr>
          <w:rFonts w:ascii="Arial" w:hAnsi="Arial" w:cs="Arial"/>
        </w:rPr>
        <w:t xml:space="preserve"> -Banda AWS-)</w:t>
      </w:r>
    </w:p>
    <w:p w14:paraId="28F35016" w14:textId="77777777" w:rsidR="007F452C" w:rsidRDefault="007F452C" w:rsidP="00A87D4D">
      <w:pPr>
        <w:pStyle w:val="Prrafodelista"/>
        <w:spacing w:before="120" w:after="120"/>
        <w:ind w:right="-1"/>
        <w:jc w:val="both"/>
        <w:rPr>
          <w:rFonts w:ascii="Arial" w:hAnsi="Arial" w:cs="Arial"/>
        </w:rPr>
      </w:pPr>
    </w:p>
    <w:p w14:paraId="06703C91" w14:textId="757E3994" w:rsidR="007F452C" w:rsidRPr="005E29CB" w:rsidRDefault="007F452C" w:rsidP="00A87D4D">
      <w:pPr>
        <w:pStyle w:val="Prrafodelista"/>
        <w:spacing w:before="120" w:after="120"/>
        <w:ind w:left="1134" w:right="424"/>
        <w:contextualSpacing w:val="0"/>
        <w:jc w:val="both"/>
        <w:rPr>
          <w:rFonts w:ascii="Arial" w:hAnsi="Arial" w:cs="Arial"/>
          <w:i/>
          <w:sz w:val="20"/>
          <w:szCs w:val="20"/>
        </w:rPr>
      </w:pPr>
      <w:r>
        <w:rPr>
          <w:rFonts w:ascii="Arial" w:hAnsi="Arial" w:cs="Arial"/>
          <w:i/>
          <w:sz w:val="20"/>
          <w:szCs w:val="20"/>
        </w:rPr>
        <w:t>“</w:t>
      </w:r>
      <w:r w:rsidRPr="005E29CB">
        <w:rPr>
          <w:rFonts w:ascii="Arial" w:hAnsi="Arial" w:cs="Arial"/>
          <w:i/>
          <w:sz w:val="20"/>
          <w:szCs w:val="20"/>
        </w:rPr>
        <w:t>6.</w:t>
      </w:r>
      <w:r>
        <w:rPr>
          <w:rFonts w:ascii="Arial" w:hAnsi="Arial" w:cs="Arial"/>
          <w:i/>
          <w:sz w:val="20"/>
          <w:szCs w:val="20"/>
        </w:rPr>
        <w:t>1</w:t>
      </w:r>
      <w:r w:rsidRPr="005E29CB">
        <w:rPr>
          <w:rFonts w:ascii="Arial" w:hAnsi="Arial" w:cs="Arial"/>
          <w:i/>
          <w:sz w:val="20"/>
          <w:szCs w:val="20"/>
        </w:rPr>
        <w:t xml:space="preserve"> A fin de prevenir concentraciones de espectro radioel</w:t>
      </w:r>
      <w:r>
        <w:rPr>
          <w:rFonts w:ascii="Arial" w:hAnsi="Arial" w:cs="Arial"/>
          <w:i/>
          <w:sz w:val="20"/>
          <w:szCs w:val="20"/>
        </w:rPr>
        <w:t>é</w:t>
      </w:r>
      <w:r w:rsidRPr="005E29CB">
        <w:rPr>
          <w:rFonts w:ascii="Arial" w:hAnsi="Arial" w:cs="Arial"/>
          <w:i/>
          <w:sz w:val="20"/>
          <w:szCs w:val="20"/>
        </w:rPr>
        <w:t>ctrico contrarios al inter</w:t>
      </w:r>
      <w:r>
        <w:rPr>
          <w:rFonts w:ascii="Arial" w:hAnsi="Arial" w:cs="Arial"/>
          <w:i/>
          <w:sz w:val="20"/>
          <w:szCs w:val="20"/>
        </w:rPr>
        <w:t>é</w:t>
      </w:r>
      <w:r w:rsidR="00A2737A" w:rsidRPr="00A87D4D">
        <w:rPr>
          <w:rFonts w:ascii="Arial" w:hAnsi="Arial" w:cs="Arial"/>
          <w:i/>
          <w:sz w:val="20"/>
          <w:szCs w:val="20"/>
        </w:rPr>
        <w:t>s</w:t>
      </w:r>
      <w:r>
        <w:rPr>
          <w:rFonts w:ascii="Arial" w:hAnsi="Arial" w:cs="Arial"/>
          <w:i/>
          <w:sz w:val="20"/>
          <w:szCs w:val="20"/>
        </w:rPr>
        <w:t xml:space="preserve"> </w:t>
      </w:r>
      <w:r w:rsidRPr="005E29CB">
        <w:rPr>
          <w:rFonts w:ascii="Arial" w:hAnsi="Arial" w:cs="Arial"/>
          <w:i/>
          <w:sz w:val="20"/>
          <w:szCs w:val="20"/>
        </w:rPr>
        <w:t>p</w:t>
      </w:r>
      <w:r>
        <w:rPr>
          <w:rFonts w:ascii="Arial" w:hAnsi="Arial" w:cs="Arial"/>
          <w:i/>
          <w:sz w:val="20"/>
          <w:szCs w:val="20"/>
        </w:rPr>
        <w:t>ú</w:t>
      </w:r>
      <w:r w:rsidRPr="005E29CB">
        <w:rPr>
          <w:rFonts w:ascii="Arial" w:hAnsi="Arial" w:cs="Arial"/>
          <w:i/>
          <w:sz w:val="20"/>
          <w:szCs w:val="20"/>
        </w:rPr>
        <w:t>blico, los Participantes en la licita</w:t>
      </w:r>
      <w:r w:rsidR="00A2737A" w:rsidRPr="00A87D4D">
        <w:rPr>
          <w:rFonts w:ascii="Arial" w:hAnsi="Arial" w:cs="Arial"/>
          <w:i/>
          <w:sz w:val="20"/>
          <w:szCs w:val="20"/>
        </w:rPr>
        <w:t>ci</w:t>
      </w:r>
      <w:r>
        <w:rPr>
          <w:rFonts w:ascii="Arial" w:hAnsi="Arial" w:cs="Arial"/>
          <w:i/>
          <w:sz w:val="20"/>
          <w:szCs w:val="20"/>
        </w:rPr>
        <w:t>ó</w:t>
      </w:r>
      <w:r w:rsidR="00A2737A" w:rsidRPr="00A87D4D">
        <w:rPr>
          <w:rFonts w:ascii="Arial" w:hAnsi="Arial" w:cs="Arial"/>
          <w:i/>
          <w:sz w:val="20"/>
          <w:szCs w:val="20"/>
        </w:rPr>
        <w:t xml:space="preserve">n </w:t>
      </w:r>
      <w:r w:rsidRPr="005E29CB">
        <w:rPr>
          <w:rFonts w:ascii="Arial" w:hAnsi="Arial" w:cs="Arial"/>
          <w:i/>
          <w:sz w:val="20"/>
          <w:szCs w:val="20"/>
        </w:rPr>
        <w:t>deber</w:t>
      </w:r>
      <w:r>
        <w:rPr>
          <w:rFonts w:ascii="Arial" w:hAnsi="Arial" w:cs="Arial"/>
          <w:i/>
          <w:sz w:val="20"/>
          <w:szCs w:val="20"/>
        </w:rPr>
        <w:t>á</w:t>
      </w:r>
      <w:r w:rsidRPr="005E29CB">
        <w:rPr>
          <w:rFonts w:ascii="Arial" w:hAnsi="Arial" w:cs="Arial"/>
          <w:i/>
          <w:sz w:val="20"/>
          <w:szCs w:val="20"/>
        </w:rPr>
        <w:t>n sujetarse o un l</w:t>
      </w:r>
      <w:r>
        <w:rPr>
          <w:rFonts w:ascii="Arial" w:hAnsi="Arial" w:cs="Arial"/>
          <w:i/>
          <w:sz w:val="20"/>
          <w:szCs w:val="20"/>
        </w:rPr>
        <w:t>í</w:t>
      </w:r>
      <w:r w:rsidRPr="005E29CB">
        <w:rPr>
          <w:rFonts w:ascii="Arial" w:hAnsi="Arial" w:cs="Arial"/>
          <w:i/>
          <w:sz w:val="20"/>
          <w:szCs w:val="20"/>
        </w:rPr>
        <w:t>mite m</w:t>
      </w:r>
      <w:r>
        <w:rPr>
          <w:rFonts w:ascii="Arial" w:hAnsi="Arial" w:cs="Arial"/>
          <w:i/>
          <w:sz w:val="20"/>
          <w:szCs w:val="20"/>
        </w:rPr>
        <w:t>á</w:t>
      </w:r>
      <w:r w:rsidRPr="005E29CB">
        <w:rPr>
          <w:rFonts w:ascii="Arial" w:hAnsi="Arial" w:cs="Arial"/>
          <w:i/>
          <w:sz w:val="20"/>
          <w:szCs w:val="20"/>
        </w:rPr>
        <w:t>ximo de acumula</w:t>
      </w:r>
      <w:r w:rsidR="00A2737A" w:rsidRPr="00A87D4D">
        <w:rPr>
          <w:rFonts w:ascii="Arial" w:hAnsi="Arial" w:cs="Arial"/>
          <w:i/>
          <w:sz w:val="20"/>
          <w:szCs w:val="20"/>
        </w:rPr>
        <w:t>ci</w:t>
      </w:r>
      <w:r>
        <w:rPr>
          <w:rFonts w:ascii="Arial" w:hAnsi="Arial" w:cs="Arial"/>
          <w:i/>
          <w:sz w:val="20"/>
          <w:szCs w:val="20"/>
        </w:rPr>
        <w:t>ó</w:t>
      </w:r>
      <w:r w:rsidRPr="005E29CB">
        <w:rPr>
          <w:rFonts w:ascii="Arial" w:hAnsi="Arial" w:cs="Arial"/>
          <w:i/>
          <w:sz w:val="20"/>
          <w:szCs w:val="20"/>
        </w:rPr>
        <w:t>n de espectro en la Banda</w:t>
      </w:r>
      <w:r w:rsidR="00A2737A" w:rsidRPr="00A87D4D">
        <w:rPr>
          <w:rFonts w:ascii="Arial" w:hAnsi="Arial" w:cs="Arial"/>
          <w:i/>
          <w:sz w:val="20"/>
          <w:szCs w:val="20"/>
        </w:rPr>
        <w:t xml:space="preserve"> AWS de 80 MHz</w:t>
      </w:r>
      <w:r>
        <w:rPr>
          <w:rFonts w:ascii="Arial" w:hAnsi="Arial" w:cs="Arial"/>
          <w:i/>
          <w:sz w:val="20"/>
          <w:szCs w:val="20"/>
        </w:rPr>
        <w:t xml:space="preserve"> </w:t>
      </w:r>
      <w:r w:rsidRPr="005E29CB">
        <w:rPr>
          <w:rFonts w:ascii="Arial" w:hAnsi="Arial" w:cs="Arial"/>
          <w:i/>
          <w:sz w:val="20"/>
          <w:szCs w:val="20"/>
        </w:rPr>
        <w:t xml:space="preserve">(40 + 40 MHz), </w:t>
      </w:r>
      <w:r>
        <w:rPr>
          <w:rFonts w:ascii="Arial" w:hAnsi="Arial" w:cs="Arial"/>
          <w:i/>
          <w:sz w:val="20"/>
          <w:szCs w:val="20"/>
        </w:rPr>
        <w:t>a</w:t>
      </w:r>
      <w:r w:rsidRPr="005E29CB">
        <w:rPr>
          <w:rFonts w:ascii="Arial" w:hAnsi="Arial" w:cs="Arial"/>
          <w:i/>
          <w:sz w:val="20"/>
          <w:szCs w:val="20"/>
        </w:rPr>
        <w:t>s</w:t>
      </w:r>
      <w:r>
        <w:rPr>
          <w:rFonts w:ascii="Arial" w:hAnsi="Arial" w:cs="Arial"/>
          <w:i/>
          <w:sz w:val="20"/>
          <w:szCs w:val="20"/>
        </w:rPr>
        <w:t xml:space="preserve">í </w:t>
      </w:r>
      <w:r w:rsidRPr="005E29CB">
        <w:rPr>
          <w:rFonts w:ascii="Arial" w:hAnsi="Arial" w:cs="Arial"/>
          <w:i/>
          <w:sz w:val="20"/>
          <w:szCs w:val="20"/>
        </w:rPr>
        <w:t>como un l</w:t>
      </w:r>
      <w:r>
        <w:rPr>
          <w:rFonts w:ascii="Arial" w:hAnsi="Arial" w:cs="Arial"/>
          <w:i/>
          <w:sz w:val="20"/>
          <w:szCs w:val="20"/>
        </w:rPr>
        <w:t>í</w:t>
      </w:r>
      <w:r w:rsidRPr="005E29CB">
        <w:rPr>
          <w:rFonts w:ascii="Arial" w:hAnsi="Arial" w:cs="Arial"/>
          <w:i/>
          <w:sz w:val="20"/>
          <w:szCs w:val="20"/>
        </w:rPr>
        <w:t>mite especifico de 50 MHz para la Sub banda</w:t>
      </w:r>
      <w:r w:rsidR="00A2737A" w:rsidRPr="00A87D4D">
        <w:rPr>
          <w:rFonts w:ascii="Arial" w:hAnsi="Arial" w:cs="Arial"/>
          <w:i/>
          <w:sz w:val="20"/>
          <w:szCs w:val="20"/>
        </w:rPr>
        <w:t xml:space="preserve"> AWS-I (25 + 25MHz), en cu</w:t>
      </w:r>
      <w:r w:rsidRPr="005E29CB">
        <w:rPr>
          <w:rFonts w:ascii="Arial" w:hAnsi="Arial" w:cs="Arial"/>
          <w:i/>
          <w:sz w:val="20"/>
          <w:szCs w:val="20"/>
        </w:rPr>
        <w:t>alquier regi</w:t>
      </w:r>
      <w:r>
        <w:rPr>
          <w:rFonts w:ascii="Arial" w:hAnsi="Arial" w:cs="Arial"/>
          <w:i/>
          <w:sz w:val="20"/>
          <w:szCs w:val="20"/>
        </w:rPr>
        <w:t>ó</w:t>
      </w:r>
      <w:r w:rsidRPr="005E29CB">
        <w:rPr>
          <w:rFonts w:ascii="Arial" w:hAnsi="Arial" w:cs="Arial"/>
          <w:i/>
          <w:sz w:val="20"/>
          <w:szCs w:val="20"/>
        </w:rPr>
        <w:t>n del pa</w:t>
      </w:r>
      <w:r>
        <w:rPr>
          <w:rFonts w:ascii="Arial" w:hAnsi="Arial" w:cs="Arial"/>
          <w:i/>
          <w:sz w:val="20"/>
          <w:szCs w:val="20"/>
        </w:rPr>
        <w:t>í</w:t>
      </w:r>
      <w:r w:rsidRPr="005E29CB">
        <w:rPr>
          <w:rFonts w:ascii="Arial" w:hAnsi="Arial" w:cs="Arial"/>
          <w:i/>
          <w:sz w:val="20"/>
          <w:szCs w:val="20"/>
        </w:rPr>
        <w:t>s. El l</w:t>
      </w:r>
      <w:r>
        <w:rPr>
          <w:rFonts w:ascii="Arial" w:hAnsi="Arial" w:cs="Arial"/>
          <w:i/>
          <w:sz w:val="20"/>
          <w:szCs w:val="20"/>
        </w:rPr>
        <w:t>í</w:t>
      </w:r>
      <w:r w:rsidRPr="005E29CB">
        <w:rPr>
          <w:rFonts w:ascii="Arial" w:hAnsi="Arial" w:cs="Arial"/>
          <w:i/>
          <w:sz w:val="20"/>
          <w:szCs w:val="20"/>
        </w:rPr>
        <w:t>mite mencionado considera ta</w:t>
      </w:r>
      <w:r w:rsidR="00A2737A" w:rsidRPr="00A87D4D">
        <w:rPr>
          <w:rFonts w:ascii="Arial" w:hAnsi="Arial" w:cs="Arial"/>
          <w:i/>
          <w:sz w:val="20"/>
          <w:szCs w:val="20"/>
        </w:rPr>
        <w:t>nto el espectro previ</w:t>
      </w:r>
      <w:r>
        <w:rPr>
          <w:rFonts w:ascii="Arial" w:hAnsi="Arial" w:cs="Arial"/>
          <w:i/>
          <w:sz w:val="20"/>
          <w:szCs w:val="20"/>
        </w:rPr>
        <w:t>a</w:t>
      </w:r>
      <w:r w:rsidRPr="005E29CB">
        <w:rPr>
          <w:rFonts w:ascii="Arial" w:hAnsi="Arial" w:cs="Arial"/>
          <w:i/>
          <w:sz w:val="20"/>
          <w:szCs w:val="20"/>
        </w:rPr>
        <w:t xml:space="preserve">mente concesionado como el espectro que el Participante y su Grupo de </w:t>
      </w:r>
      <w:proofErr w:type="spellStart"/>
      <w:r w:rsidRPr="005E29CB">
        <w:rPr>
          <w:rFonts w:ascii="Arial" w:hAnsi="Arial" w:cs="Arial"/>
          <w:i/>
          <w:sz w:val="20"/>
          <w:szCs w:val="20"/>
        </w:rPr>
        <w:t>lnter</w:t>
      </w:r>
      <w:r>
        <w:rPr>
          <w:rFonts w:ascii="Arial" w:hAnsi="Arial" w:cs="Arial"/>
          <w:i/>
          <w:sz w:val="20"/>
          <w:szCs w:val="20"/>
        </w:rPr>
        <w:t>é</w:t>
      </w:r>
      <w:r w:rsidR="00A2737A" w:rsidRPr="00A87D4D">
        <w:rPr>
          <w:rFonts w:ascii="Arial" w:hAnsi="Arial" w:cs="Arial"/>
          <w:i/>
          <w:sz w:val="20"/>
          <w:szCs w:val="20"/>
        </w:rPr>
        <w:t>s</w:t>
      </w:r>
      <w:proofErr w:type="spellEnd"/>
      <w:r w:rsidR="00A2737A" w:rsidRPr="00A87D4D">
        <w:rPr>
          <w:rFonts w:ascii="Arial" w:hAnsi="Arial" w:cs="Arial"/>
          <w:i/>
          <w:sz w:val="20"/>
          <w:szCs w:val="20"/>
        </w:rPr>
        <w:t xml:space="preserve"> Econ</w:t>
      </w:r>
      <w:r>
        <w:rPr>
          <w:rFonts w:ascii="Arial" w:hAnsi="Arial" w:cs="Arial"/>
          <w:i/>
          <w:sz w:val="20"/>
          <w:szCs w:val="20"/>
        </w:rPr>
        <w:t>ó</w:t>
      </w:r>
      <w:r w:rsidR="00A2737A" w:rsidRPr="00A87D4D">
        <w:rPr>
          <w:rFonts w:ascii="Arial" w:hAnsi="Arial" w:cs="Arial"/>
          <w:i/>
          <w:sz w:val="20"/>
          <w:szCs w:val="20"/>
        </w:rPr>
        <w:t xml:space="preserve">mico </w:t>
      </w:r>
      <w:r>
        <w:rPr>
          <w:rFonts w:ascii="Arial" w:hAnsi="Arial" w:cs="Arial"/>
          <w:i/>
          <w:sz w:val="20"/>
          <w:szCs w:val="20"/>
        </w:rPr>
        <w:t>a</w:t>
      </w:r>
      <w:r w:rsidR="00A2737A" w:rsidRPr="00A87D4D">
        <w:rPr>
          <w:rFonts w:ascii="Arial" w:hAnsi="Arial" w:cs="Arial"/>
          <w:i/>
          <w:sz w:val="20"/>
          <w:szCs w:val="20"/>
        </w:rPr>
        <w:t>cu</w:t>
      </w:r>
      <w:r w:rsidRPr="005E29CB">
        <w:rPr>
          <w:rFonts w:ascii="Arial" w:hAnsi="Arial" w:cs="Arial"/>
          <w:i/>
          <w:sz w:val="20"/>
          <w:szCs w:val="20"/>
        </w:rPr>
        <w:t>mule en virtud de esto licitaci</w:t>
      </w:r>
      <w:r>
        <w:rPr>
          <w:rFonts w:ascii="Arial" w:hAnsi="Arial" w:cs="Arial"/>
          <w:i/>
          <w:sz w:val="20"/>
          <w:szCs w:val="20"/>
        </w:rPr>
        <w:t>ó</w:t>
      </w:r>
      <w:r w:rsidRPr="005E29CB">
        <w:rPr>
          <w:rFonts w:ascii="Arial" w:hAnsi="Arial" w:cs="Arial"/>
          <w:i/>
          <w:sz w:val="20"/>
          <w:szCs w:val="20"/>
        </w:rPr>
        <w:t xml:space="preserve">n. </w:t>
      </w:r>
    </w:p>
    <w:p w14:paraId="4E21A659" w14:textId="77777777" w:rsidR="001A7AB4" w:rsidRDefault="007F452C" w:rsidP="00A87D4D">
      <w:pPr>
        <w:pStyle w:val="Prrafodelista"/>
        <w:spacing w:before="120" w:after="120"/>
        <w:ind w:left="1134" w:right="424"/>
        <w:contextualSpacing w:val="0"/>
        <w:jc w:val="both"/>
        <w:rPr>
          <w:rFonts w:ascii="Arial" w:hAnsi="Arial" w:cs="Arial"/>
          <w:i/>
          <w:sz w:val="20"/>
          <w:szCs w:val="20"/>
        </w:rPr>
      </w:pPr>
      <w:r w:rsidRPr="005E29CB">
        <w:rPr>
          <w:rFonts w:ascii="Arial" w:hAnsi="Arial" w:cs="Arial"/>
          <w:i/>
          <w:sz w:val="20"/>
          <w:szCs w:val="20"/>
        </w:rPr>
        <w:t>Se tomar</w:t>
      </w:r>
      <w:r>
        <w:rPr>
          <w:rFonts w:ascii="Arial" w:hAnsi="Arial" w:cs="Arial"/>
          <w:i/>
          <w:sz w:val="20"/>
          <w:szCs w:val="20"/>
        </w:rPr>
        <w:t>á</w:t>
      </w:r>
      <w:r w:rsidRPr="005E29CB">
        <w:rPr>
          <w:rFonts w:ascii="Arial" w:hAnsi="Arial" w:cs="Arial"/>
          <w:i/>
          <w:sz w:val="20"/>
          <w:szCs w:val="20"/>
        </w:rPr>
        <w:t xml:space="preserve"> en cuenta el espectro concesionado o cualquier persona f</w:t>
      </w:r>
      <w:r>
        <w:rPr>
          <w:rFonts w:ascii="Arial" w:hAnsi="Arial" w:cs="Arial"/>
          <w:i/>
          <w:sz w:val="20"/>
          <w:szCs w:val="20"/>
        </w:rPr>
        <w:t>í</w:t>
      </w:r>
      <w:r w:rsidRPr="005E29CB">
        <w:rPr>
          <w:rFonts w:ascii="Arial" w:hAnsi="Arial" w:cs="Arial"/>
          <w:i/>
          <w:sz w:val="20"/>
          <w:szCs w:val="20"/>
        </w:rPr>
        <w:t>sica o moral integra</w:t>
      </w:r>
      <w:r w:rsidRPr="00141D3C">
        <w:rPr>
          <w:rFonts w:ascii="Arial" w:hAnsi="Arial" w:cs="Arial"/>
          <w:i/>
          <w:sz w:val="20"/>
          <w:szCs w:val="20"/>
        </w:rPr>
        <w:t xml:space="preserve">nte de un mismo Grupo de </w:t>
      </w:r>
      <w:proofErr w:type="spellStart"/>
      <w:r w:rsidRPr="00141D3C">
        <w:rPr>
          <w:rFonts w:ascii="Arial" w:hAnsi="Arial" w:cs="Arial"/>
          <w:i/>
          <w:sz w:val="20"/>
          <w:szCs w:val="20"/>
        </w:rPr>
        <w:t>lnter</w:t>
      </w:r>
      <w:r>
        <w:rPr>
          <w:rFonts w:ascii="Arial" w:hAnsi="Arial" w:cs="Arial"/>
          <w:i/>
          <w:sz w:val="20"/>
          <w:szCs w:val="20"/>
        </w:rPr>
        <w:t>és</w:t>
      </w:r>
      <w:proofErr w:type="spellEnd"/>
      <w:r w:rsidRPr="005E29CB">
        <w:rPr>
          <w:rFonts w:ascii="Arial" w:hAnsi="Arial" w:cs="Arial"/>
          <w:i/>
          <w:sz w:val="20"/>
          <w:szCs w:val="20"/>
        </w:rPr>
        <w:t xml:space="preserve"> Econ</w:t>
      </w:r>
      <w:r>
        <w:rPr>
          <w:rFonts w:ascii="Arial" w:hAnsi="Arial" w:cs="Arial"/>
          <w:i/>
          <w:sz w:val="20"/>
          <w:szCs w:val="20"/>
        </w:rPr>
        <w:t>ó</w:t>
      </w:r>
      <w:r w:rsidRPr="005E29CB">
        <w:rPr>
          <w:rFonts w:ascii="Arial" w:hAnsi="Arial" w:cs="Arial"/>
          <w:i/>
          <w:sz w:val="20"/>
          <w:szCs w:val="20"/>
        </w:rPr>
        <w:t>mico. El segmento de espectro ser</w:t>
      </w:r>
      <w:r>
        <w:rPr>
          <w:rFonts w:ascii="Arial" w:hAnsi="Arial" w:cs="Arial"/>
          <w:i/>
          <w:sz w:val="20"/>
          <w:szCs w:val="20"/>
        </w:rPr>
        <w:t>á</w:t>
      </w:r>
      <w:r w:rsidR="001A7AB4" w:rsidRPr="005E29CB">
        <w:rPr>
          <w:rFonts w:ascii="Arial" w:hAnsi="Arial" w:cs="Arial"/>
          <w:i/>
          <w:sz w:val="20"/>
          <w:szCs w:val="20"/>
        </w:rPr>
        <w:t xml:space="preserve"> el que resulte de acumular el espectro concesionado que mantenga el </w:t>
      </w:r>
      <w:proofErr w:type="spellStart"/>
      <w:r w:rsidR="001A7AB4" w:rsidRPr="005E29CB">
        <w:rPr>
          <w:rFonts w:ascii="Arial" w:hAnsi="Arial" w:cs="Arial"/>
          <w:i/>
          <w:sz w:val="20"/>
          <w:szCs w:val="20"/>
        </w:rPr>
        <w:t>lnteresado</w:t>
      </w:r>
      <w:proofErr w:type="spellEnd"/>
      <w:r w:rsidR="001A7AB4" w:rsidRPr="005E29CB">
        <w:rPr>
          <w:rFonts w:ascii="Arial" w:hAnsi="Arial" w:cs="Arial"/>
          <w:i/>
          <w:sz w:val="20"/>
          <w:szCs w:val="20"/>
        </w:rPr>
        <w:t xml:space="preserve"> o Pa</w:t>
      </w:r>
      <w:r w:rsidR="001A7AB4" w:rsidRPr="00141D3C">
        <w:rPr>
          <w:rFonts w:ascii="Arial" w:hAnsi="Arial" w:cs="Arial"/>
          <w:i/>
          <w:sz w:val="20"/>
          <w:szCs w:val="20"/>
        </w:rPr>
        <w:t xml:space="preserve">rticipante en la Banda AWS y, en su caso, su Grupo de </w:t>
      </w:r>
      <w:proofErr w:type="spellStart"/>
      <w:r w:rsidR="001A7AB4" w:rsidRPr="00141D3C">
        <w:rPr>
          <w:rFonts w:ascii="Arial" w:hAnsi="Arial" w:cs="Arial"/>
          <w:i/>
          <w:sz w:val="20"/>
          <w:szCs w:val="20"/>
        </w:rPr>
        <w:t>lnter</w:t>
      </w:r>
      <w:r w:rsidR="001A7AB4">
        <w:rPr>
          <w:rFonts w:ascii="Arial" w:hAnsi="Arial" w:cs="Arial"/>
          <w:i/>
          <w:sz w:val="20"/>
          <w:szCs w:val="20"/>
        </w:rPr>
        <w:t>é</w:t>
      </w:r>
      <w:r w:rsidR="001A7AB4" w:rsidRPr="005E29CB">
        <w:rPr>
          <w:rFonts w:ascii="Arial" w:hAnsi="Arial" w:cs="Arial"/>
          <w:i/>
          <w:sz w:val="20"/>
          <w:szCs w:val="20"/>
        </w:rPr>
        <w:t>s</w:t>
      </w:r>
      <w:proofErr w:type="spellEnd"/>
      <w:r w:rsidR="001A7AB4" w:rsidRPr="005E29CB">
        <w:rPr>
          <w:rFonts w:ascii="Arial" w:hAnsi="Arial" w:cs="Arial"/>
          <w:i/>
          <w:sz w:val="20"/>
          <w:szCs w:val="20"/>
        </w:rPr>
        <w:t xml:space="preserve"> Econ</w:t>
      </w:r>
      <w:r w:rsidR="001A7AB4">
        <w:rPr>
          <w:rFonts w:ascii="Arial" w:hAnsi="Arial" w:cs="Arial"/>
          <w:i/>
          <w:sz w:val="20"/>
          <w:szCs w:val="20"/>
        </w:rPr>
        <w:t>ó</w:t>
      </w:r>
      <w:r w:rsidR="00A2737A" w:rsidRPr="00A87D4D">
        <w:rPr>
          <w:rFonts w:ascii="Arial" w:hAnsi="Arial" w:cs="Arial"/>
          <w:i/>
          <w:sz w:val="20"/>
          <w:szCs w:val="20"/>
        </w:rPr>
        <w:t>mico,</w:t>
      </w:r>
      <w:r w:rsidR="001A7AB4" w:rsidRPr="005E29CB">
        <w:rPr>
          <w:rFonts w:ascii="Arial" w:hAnsi="Arial" w:cs="Arial"/>
          <w:i/>
          <w:sz w:val="20"/>
          <w:szCs w:val="20"/>
        </w:rPr>
        <w:t xml:space="preserve"> independientemente de que dichas concesiones tengan una</w:t>
      </w:r>
      <w:r w:rsidR="00A2737A" w:rsidRPr="00A87D4D">
        <w:rPr>
          <w:rFonts w:ascii="Arial" w:hAnsi="Arial" w:cs="Arial"/>
          <w:i/>
          <w:sz w:val="20"/>
          <w:szCs w:val="20"/>
        </w:rPr>
        <w:t xml:space="preserve"> c</w:t>
      </w:r>
      <w:r w:rsidR="001A7AB4" w:rsidRPr="005E29CB">
        <w:rPr>
          <w:rFonts w:ascii="Arial" w:hAnsi="Arial" w:cs="Arial"/>
          <w:i/>
          <w:sz w:val="20"/>
          <w:szCs w:val="20"/>
        </w:rPr>
        <w:t>obertura total o parcial del territorio naciona</w:t>
      </w:r>
      <w:r w:rsidR="00A2737A" w:rsidRPr="00A87D4D">
        <w:rPr>
          <w:rFonts w:ascii="Arial" w:hAnsi="Arial" w:cs="Arial"/>
          <w:i/>
          <w:sz w:val="20"/>
          <w:szCs w:val="20"/>
        </w:rPr>
        <w:t xml:space="preserve">l. </w:t>
      </w:r>
    </w:p>
    <w:p w14:paraId="2823FF49" w14:textId="4F1655C1" w:rsidR="00A2737A" w:rsidRDefault="001A7AB4" w:rsidP="00A87D4D">
      <w:pPr>
        <w:pStyle w:val="Prrafodelista"/>
        <w:spacing w:before="120" w:after="120"/>
        <w:ind w:left="1134" w:right="424"/>
        <w:contextualSpacing w:val="0"/>
        <w:jc w:val="both"/>
        <w:rPr>
          <w:rFonts w:ascii="Arial" w:hAnsi="Arial" w:cs="Arial"/>
          <w:i/>
          <w:sz w:val="20"/>
          <w:szCs w:val="20"/>
        </w:rPr>
      </w:pPr>
      <w:r w:rsidRPr="005E29CB">
        <w:rPr>
          <w:rFonts w:ascii="Arial" w:hAnsi="Arial" w:cs="Arial"/>
          <w:i/>
          <w:sz w:val="20"/>
          <w:szCs w:val="20"/>
        </w:rPr>
        <w:t>El ancho de banda m</w:t>
      </w:r>
      <w:r>
        <w:rPr>
          <w:rFonts w:ascii="Arial" w:hAnsi="Arial" w:cs="Arial"/>
          <w:i/>
          <w:sz w:val="20"/>
          <w:szCs w:val="20"/>
        </w:rPr>
        <w:t>á</w:t>
      </w:r>
      <w:r w:rsidRPr="005E29CB">
        <w:rPr>
          <w:rFonts w:ascii="Arial" w:hAnsi="Arial" w:cs="Arial"/>
          <w:i/>
          <w:sz w:val="20"/>
          <w:szCs w:val="20"/>
        </w:rPr>
        <w:t>ximo a obtener en la Licita</w:t>
      </w:r>
      <w:r w:rsidR="00A2737A" w:rsidRPr="00A87D4D">
        <w:rPr>
          <w:rFonts w:ascii="Arial" w:hAnsi="Arial" w:cs="Arial"/>
          <w:i/>
          <w:sz w:val="20"/>
          <w:szCs w:val="20"/>
        </w:rPr>
        <w:t>ci</w:t>
      </w:r>
      <w:r>
        <w:rPr>
          <w:rFonts w:ascii="Arial" w:hAnsi="Arial" w:cs="Arial"/>
          <w:i/>
          <w:sz w:val="20"/>
          <w:szCs w:val="20"/>
        </w:rPr>
        <w:t>ó</w:t>
      </w:r>
      <w:r w:rsidRPr="005E29CB">
        <w:rPr>
          <w:rFonts w:ascii="Arial" w:hAnsi="Arial" w:cs="Arial"/>
          <w:i/>
          <w:sz w:val="20"/>
          <w:szCs w:val="20"/>
        </w:rPr>
        <w:t>n ser</w:t>
      </w:r>
      <w:r>
        <w:rPr>
          <w:rFonts w:ascii="Arial" w:hAnsi="Arial" w:cs="Arial"/>
          <w:i/>
          <w:sz w:val="20"/>
          <w:szCs w:val="20"/>
        </w:rPr>
        <w:t>á</w:t>
      </w:r>
      <w:r w:rsidRPr="005E29CB">
        <w:rPr>
          <w:rFonts w:ascii="Arial" w:hAnsi="Arial" w:cs="Arial"/>
          <w:i/>
          <w:sz w:val="20"/>
          <w:szCs w:val="20"/>
        </w:rPr>
        <w:t xml:space="preserve"> igua</w:t>
      </w:r>
      <w:r w:rsidR="00A2737A" w:rsidRPr="00A87D4D">
        <w:rPr>
          <w:rFonts w:ascii="Arial" w:hAnsi="Arial" w:cs="Arial"/>
          <w:i/>
          <w:sz w:val="20"/>
          <w:szCs w:val="20"/>
        </w:rPr>
        <w:t>l</w:t>
      </w:r>
      <w:r>
        <w:rPr>
          <w:rFonts w:ascii="Arial" w:hAnsi="Arial" w:cs="Arial"/>
          <w:i/>
          <w:sz w:val="20"/>
          <w:szCs w:val="20"/>
        </w:rPr>
        <w:t xml:space="preserve"> </w:t>
      </w:r>
      <w:r w:rsidRPr="005E29CB">
        <w:rPr>
          <w:rFonts w:ascii="Arial" w:hAnsi="Arial" w:cs="Arial"/>
          <w:i/>
          <w:sz w:val="20"/>
          <w:szCs w:val="20"/>
        </w:rPr>
        <w:t>a</w:t>
      </w:r>
      <w:r w:rsidR="00A2737A" w:rsidRPr="00A87D4D">
        <w:rPr>
          <w:rFonts w:ascii="Arial" w:hAnsi="Arial" w:cs="Arial"/>
          <w:i/>
          <w:sz w:val="20"/>
          <w:szCs w:val="20"/>
        </w:rPr>
        <w:t>l</w:t>
      </w:r>
      <w:r>
        <w:rPr>
          <w:rFonts w:ascii="Arial" w:hAnsi="Arial" w:cs="Arial"/>
          <w:i/>
          <w:sz w:val="20"/>
          <w:szCs w:val="20"/>
        </w:rPr>
        <w:t xml:space="preserve"> </w:t>
      </w:r>
      <w:r w:rsidRPr="005E29CB">
        <w:rPr>
          <w:rFonts w:ascii="Arial" w:hAnsi="Arial" w:cs="Arial"/>
          <w:i/>
          <w:sz w:val="20"/>
          <w:szCs w:val="20"/>
        </w:rPr>
        <w:t>que resulte de restar al l</w:t>
      </w:r>
      <w:r>
        <w:rPr>
          <w:rFonts w:ascii="Arial" w:hAnsi="Arial" w:cs="Arial"/>
          <w:i/>
          <w:sz w:val="20"/>
          <w:szCs w:val="20"/>
        </w:rPr>
        <w:t>í</w:t>
      </w:r>
      <w:r w:rsidRPr="005E29CB">
        <w:rPr>
          <w:rFonts w:ascii="Arial" w:hAnsi="Arial" w:cs="Arial"/>
          <w:i/>
          <w:sz w:val="20"/>
          <w:szCs w:val="20"/>
        </w:rPr>
        <w:t>mite m</w:t>
      </w:r>
      <w:r>
        <w:rPr>
          <w:rFonts w:ascii="Arial" w:hAnsi="Arial" w:cs="Arial"/>
          <w:i/>
          <w:sz w:val="20"/>
          <w:szCs w:val="20"/>
        </w:rPr>
        <w:t>á</w:t>
      </w:r>
      <w:r w:rsidR="00A2737A" w:rsidRPr="00A87D4D">
        <w:rPr>
          <w:rFonts w:ascii="Arial" w:hAnsi="Arial" w:cs="Arial"/>
          <w:i/>
          <w:sz w:val="20"/>
          <w:szCs w:val="20"/>
        </w:rPr>
        <w:t>ximo de 80 MHz</w:t>
      </w:r>
      <w:r>
        <w:rPr>
          <w:rFonts w:ascii="Arial" w:hAnsi="Arial" w:cs="Arial"/>
          <w:i/>
          <w:sz w:val="20"/>
          <w:szCs w:val="20"/>
        </w:rPr>
        <w:t>,</w:t>
      </w:r>
      <w:r w:rsidRPr="005E29CB">
        <w:rPr>
          <w:rFonts w:ascii="Arial" w:hAnsi="Arial" w:cs="Arial"/>
          <w:i/>
          <w:sz w:val="20"/>
          <w:szCs w:val="20"/>
        </w:rPr>
        <w:t xml:space="preserve"> la tenencia de espectro que tenga concesionado el Participante y, en su ca</w:t>
      </w:r>
      <w:r w:rsidR="00A2737A" w:rsidRPr="00A87D4D">
        <w:rPr>
          <w:rFonts w:ascii="Arial" w:hAnsi="Arial" w:cs="Arial"/>
          <w:i/>
          <w:sz w:val="20"/>
          <w:szCs w:val="20"/>
        </w:rPr>
        <w:t xml:space="preserve">so, su Grupo de </w:t>
      </w:r>
      <w:proofErr w:type="spellStart"/>
      <w:r w:rsidR="00A2737A" w:rsidRPr="00A87D4D">
        <w:rPr>
          <w:rFonts w:ascii="Arial" w:hAnsi="Arial" w:cs="Arial"/>
          <w:i/>
          <w:sz w:val="20"/>
          <w:szCs w:val="20"/>
        </w:rPr>
        <w:t>lnte</w:t>
      </w:r>
      <w:r w:rsidRPr="005E29CB">
        <w:rPr>
          <w:rFonts w:ascii="Arial" w:hAnsi="Arial" w:cs="Arial"/>
          <w:i/>
          <w:sz w:val="20"/>
          <w:szCs w:val="20"/>
        </w:rPr>
        <w:t>r</w:t>
      </w:r>
      <w:r>
        <w:rPr>
          <w:rFonts w:ascii="Arial" w:hAnsi="Arial" w:cs="Arial"/>
          <w:i/>
          <w:sz w:val="20"/>
          <w:szCs w:val="20"/>
        </w:rPr>
        <w:t>é</w:t>
      </w:r>
      <w:r w:rsidRPr="005E29CB">
        <w:rPr>
          <w:rFonts w:ascii="Arial" w:hAnsi="Arial" w:cs="Arial"/>
          <w:i/>
          <w:sz w:val="20"/>
          <w:szCs w:val="20"/>
        </w:rPr>
        <w:t>s</w:t>
      </w:r>
      <w:proofErr w:type="spellEnd"/>
      <w:r w:rsidRPr="005E29CB">
        <w:rPr>
          <w:rFonts w:ascii="Arial" w:hAnsi="Arial" w:cs="Arial"/>
          <w:i/>
          <w:sz w:val="20"/>
          <w:szCs w:val="20"/>
        </w:rPr>
        <w:t xml:space="preserve"> Econ</w:t>
      </w:r>
      <w:r>
        <w:rPr>
          <w:rFonts w:ascii="Arial" w:hAnsi="Arial" w:cs="Arial"/>
          <w:i/>
          <w:sz w:val="20"/>
          <w:szCs w:val="20"/>
        </w:rPr>
        <w:t>ó</w:t>
      </w:r>
      <w:r w:rsidR="00A2737A" w:rsidRPr="00A87D4D">
        <w:rPr>
          <w:rFonts w:ascii="Arial" w:hAnsi="Arial" w:cs="Arial"/>
          <w:i/>
          <w:sz w:val="20"/>
          <w:szCs w:val="20"/>
        </w:rPr>
        <w:t>mico</w:t>
      </w:r>
      <w:r w:rsidRPr="005E29CB">
        <w:rPr>
          <w:rFonts w:ascii="Arial" w:hAnsi="Arial" w:cs="Arial"/>
          <w:i/>
          <w:sz w:val="20"/>
          <w:szCs w:val="20"/>
        </w:rPr>
        <w:t>, conforme lo dispuesto en el p</w:t>
      </w:r>
      <w:r>
        <w:rPr>
          <w:rFonts w:ascii="Arial" w:hAnsi="Arial" w:cs="Arial"/>
          <w:i/>
          <w:sz w:val="20"/>
          <w:szCs w:val="20"/>
        </w:rPr>
        <w:t>á</w:t>
      </w:r>
      <w:r w:rsidRPr="005E29CB">
        <w:rPr>
          <w:rFonts w:ascii="Arial" w:hAnsi="Arial" w:cs="Arial"/>
          <w:i/>
          <w:sz w:val="20"/>
          <w:szCs w:val="20"/>
        </w:rPr>
        <w:t>rrafo anterior. S</w:t>
      </w:r>
      <w:r>
        <w:rPr>
          <w:rFonts w:ascii="Arial" w:hAnsi="Arial" w:cs="Arial"/>
          <w:i/>
          <w:sz w:val="20"/>
          <w:szCs w:val="20"/>
        </w:rPr>
        <w:t>ó</w:t>
      </w:r>
      <w:r w:rsidRPr="005E29CB">
        <w:rPr>
          <w:rFonts w:ascii="Arial" w:hAnsi="Arial" w:cs="Arial"/>
          <w:i/>
          <w:sz w:val="20"/>
          <w:szCs w:val="20"/>
        </w:rPr>
        <w:t>lo podr</w:t>
      </w:r>
      <w:r>
        <w:rPr>
          <w:rFonts w:ascii="Arial" w:hAnsi="Arial" w:cs="Arial"/>
          <w:i/>
          <w:sz w:val="20"/>
          <w:szCs w:val="20"/>
        </w:rPr>
        <w:t>á</w:t>
      </w:r>
      <w:r w:rsidRPr="005E29CB">
        <w:rPr>
          <w:rFonts w:ascii="Arial" w:hAnsi="Arial" w:cs="Arial"/>
          <w:i/>
          <w:sz w:val="20"/>
          <w:szCs w:val="20"/>
        </w:rPr>
        <w:t xml:space="preserve"> haber un Participante en lo Licitaci</w:t>
      </w:r>
      <w:r>
        <w:rPr>
          <w:rFonts w:ascii="Arial" w:hAnsi="Arial" w:cs="Arial"/>
          <w:i/>
          <w:sz w:val="20"/>
          <w:szCs w:val="20"/>
        </w:rPr>
        <w:t>ó</w:t>
      </w:r>
      <w:r w:rsidRPr="005E29CB">
        <w:rPr>
          <w:rFonts w:ascii="Arial" w:hAnsi="Arial" w:cs="Arial"/>
          <w:i/>
          <w:sz w:val="20"/>
          <w:szCs w:val="20"/>
        </w:rPr>
        <w:t xml:space="preserve">n por Grupo de </w:t>
      </w:r>
      <w:proofErr w:type="spellStart"/>
      <w:r w:rsidRPr="005E29CB">
        <w:rPr>
          <w:rFonts w:ascii="Arial" w:hAnsi="Arial" w:cs="Arial"/>
          <w:i/>
          <w:sz w:val="20"/>
          <w:szCs w:val="20"/>
        </w:rPr>
        <w:t>lnter</w:t>
      </w:r>
      <w:r>
        <w:rPr>
          <w:rFonts w:ascii="Arial" w:hAnsi="Arial" w:cs="Arial"/>
          <w:i/>
          <w:sz w:val="20"/>
          <w:szCs w:val="20"/>
        </w:rPr>
        <w:t>é</w:t>
      </w:r>
      <w:r w:rsidRPr="005E29CB">
        <w:rPr>
          <w:rFonts w:ascii="Arial" w:hAnsi="Arial" w:cs="Arial"/>
          <w:i/>
          <w:sz w:val="20"/>
          <w:szCs w:val="20"/>
        </w:rPr>
        <w:t>s</w:t>
      </w:r>
      <w:proofErr w:type="spellEnd"/>
      <w:r w:rsidRPr="005E29CB">
        <w:rPr>
          <w:rFonts w:ascii="Arial" w:hAnsi="Arial" w:cs="Arial"/>
          <w:i/>
          <w:sz w:val="20"/>
          <w:szCs w:val="20"/>
        </w:rPr>
        <w:t xml:space="preserve"> Econ</w:t>
      </w:r>
      <w:r>
        <w:rPr>
          <w:rFonts w:ascii="Arial" w:hAnsi="Arial" w:cs="Arial"/>
          <w:i/>
          <w:sz w:val="20"/>
          <w:szCs w:val="20"/>
        </w:rPr>
        <w:t>ó</w:t>
      </w:r>
      <w:r w:rsidR="00A2737A" w:rsidRPr="00A87D4D">
        <w:rPr>
          <w:rFonts w:ascii="Arial" w:hAnsi="Arial" w:cs="Arial"/>
          <w:i/>
          <w:sz w:val="20"/>
          <w:szCs w:val="20"/>
        </w:rPr>
        <w:t>mico.</w:t>
      </w:r>
      <w:r w:rsidR="007F452C" w:rsidRPr="00A87D4D">
        <w:rPr>
          <w:rFonts w:ascii="Arial" w:hAnsi="Arial" w:cs="Arial"/>
          <w:i/>
          <w:sz w:val="20"/>
          <w:szCs w:val="20"/>
        </w:rPr>
        <w:t>”</w:t>
      </w:r>
    </w:p>
    <w:p w14:paraId="3603F7D9" w14:textId="0613C2D4" w:rsidR="001A7AB4" w:rsidRDefault="001A7AB4" w:rsidP="001A7AB4">
      <w:pPr>
        <w:pStyle w:val="Prrafodelista"/>
        <w:numPr>
          <w:ilvl w:val="0"/>
          <w:numId w:val="49"/>
        </w:numPr>
        <w:spacing w:before="120" w:after="120"/>
        <w:ind w:right="-1"/>
        <w:jc w:val="both"/>
        <w:rPr>
          <w:rFonts w:ascii="Arial" w:hAnsi="Arial" w:cs="Arial"/>
        </w:rPr>
      </w:pPr>
      <w:r>
        <w:rPr>
          <w:rFonts w:ascii="Arial" w:hAnsi="Arial" w:cs="Arial"/>
        </w:rPr>
        <w:t>Licitación No. IFT</w:t>
      </w:r>
      <w:r w:rsidR="005E29CB">
        <w:rPr>
          <w:rFonts w:ascii="Arial" w:hAnsi="Arial" w:cs="Arial"/>
        </w:rPr>
        <w:t>-5</w:t>
      </w:r>
      <w:r>
        <w:rPr>
          <w:rFonts w:ascii="Arial" w:hAnsi="Arial" w:cs="Arial"/>
        </w:rPr>
        <w:t xml:space="preserve"> (licitación de 80 MHz de espectro radioeléctrico disponibles en la banda de 1710-1780 MHz /</w:t>
      </w:r>
      <w:r w:rsidRPr="00B22CB5">
        <w:rPr>
          <w:rFonts w:ascii="Arial" w:hAnsi="Arial" w:cs="Arial"/>
        </w:rPr>
        <w:t>2110-2180 MHz</w:t>
      </w:r>
      <w:r>
        <w:rPr>
          <w:rFonts w:ascii="Arial" w:hAnsi="Arial" w:cs="Arial"/>
        </w:rPr>
        <w:t xml:space="preserve"> -Banda AWS-)</w:t>
      </w:r>
    </w:p>
    <w:p w14:paraId="5131CC0E" w14:textId="77777777" w:rsidR="007861A9" w:rsidRDefault="007861A9" w:rsidP="00A87D4D">
      <w:pPr>
        <w:spacing w:before="120" w:after="120"/>
        <w:ind w:left="1134" w:right="424"/>
        <w:jc w:val="both"/>
        <w:rPr>
          <w:rFonts w:ascii="Arial" w:hAnsi="Arial" w:cs="Arial"/>
          <w:i/>
          <w:sz w:val="20"/>
          <w:szCs w:val="20"/>
        </w:rPr>
      </w:pPr>
      <w:r>
        <w:rPr>
          <w:rFonts w:ascii="Arial" w:hAnsi="Arial" w:cs="Arial"/>
          <w:i/>
          <w:sz w:val="20"/>
          <w:szCs w:val="20"/>
        </w:rPr>
        <w:t>“</w:t>
      </w:r>
      <w:r w:rsidR="00141D3C" w:rsidRPr="00A87D4D">
        <w:rPr>
          <w:rFonts w:ascii="Arial" w:hAnsi="Arial" w:cs="Arial"/>
          <w:i/>
          <w:sz w:val="20"/>
          <w:szCs w:val="20"/>
        </w:rPr>
        <w:t xml:space="preserve">A fin de prevenir concentraciones de espectro radioeléctrico contrarias al interés público, los Participantes en la Licitación deberán sujetarse a un Límite de Acumulación de Espectro de un Bloque de espectro pareado de 10+10 MHz, conforme a los Bloques de espectro disponibles en esta Licitación. </w:t>
      </w:r>
    </w:p>
    <w:p w14:paraId="216116A8" w14:textId="706AEDCD" w:rsidR="00141D3C" w:rsidRPr="00A87D4D" w:rsidRDefault="00141D3C" w:rsidP="00A87D4D">
      <w:pPr>
        <w:spacing w:before="120" w:after="120"/>
        <w:ind w:left="1134" w:right="424"/>
        <w:jc w:val="both"/>
        <w:rPr>
          <w:rFonts w:ascii="Arial" w:hAnsi="Arial" w:cs="Arial"/>
          <w:i/>
          <w:sz w:val="20"/>
          <w:szCs w:val="20"/>
        </w:rPr>
      </w:pPr>
      <w:r w:rsidRPr="00A87D4D">
        <w:rPr>
          <w:rFonts w:ascii="Arial" w:hAnsi="Arial" w:cs="Arial"/>
          <w:i/>
          <w:sz w:val="20"/>
          <w:szCs w:val="20"/>
        </w:rPr>
        <w:t>El Límite de Acumulación de Espectro se aplicará a los Interesados evaluados bajo su dimensión de GIE.</w:t>
      </w:r>
      <w:r w:rsidR="007861A9">
        <w:rPr>
          <w:rFonts w:ascii="Arial" w:hAnsi="Arial" w:cs="Arial"/>
          <w:i/>
          <w:sz w:val="20"/>
          <w:szCs w:val="20"/>
        </w:rPr>
        <w:t>”</w:t>
      </w:r>
    </w:p>
    <w:p w14:paraId="310F6331" w14:textId="77777777" w:rsidR="00141D3C" w:rsidRPr="00A87D4D" w:rsidRDefault="00141D3C" w:rsidP="00A87D4D">
      <w:pPr>
        <w:pStyle w:val="Prrafodelista"/>
        <w:rPr>
          <w:rFonts w:ascii="Arial" w:hAnsi="Arial" w:cs="Arial"/>
        </w:rPr>
      </w:pPr>
    </w:p>
    <w:p w14:paraId="2873CD4F" w14:textId="1CD13814" w:rsidR="00541FF7" w:rsidRDefault="00541FF7" w:rsidP="00541FF7">
      <w:pPr>
        <w:pStyle w:val="Prrafodelista"/>
        <w:numPr>
          <w:ilvl w:val="0"/>
          <w:numId w:val="49"/>
        </w:numPr>
        <w:spacing w:before="120" w:after="120"/>
        <w:ind w:right="-1"/>
        <w:jc w:val="both"/>
        <w:rPr>
          <w:rFonts w:ascii="Arial" w:hAnsi="Arial" w:cs="Arial"/>
        </w:rPr>
      </w:pPr>
      <w:r>
        <w:rPr>
          <w:rFonts w:ascii="Arial" w:hAnsi="Arial" w:cs="Arial"/>
        </w:rPr>
        <w:t>Licitación No. IFT-7 (licitación de 120 MHz de espectro radioeléctrico en la banda de frecuencias 2500-2690 MHz):</w:t>
      </w:r>
    </w:p>
    <w:p w14:paraId="711B2694" w14:textId="42F77A93" w:rsidR="00541FF7" w:rsidRPr="00541FF7" w:rsidRDefault="00541FF7" w:rsidP="00541FF7">
      <w:pPr>
        <w:spacing w:before="120" w:after="120"/>
        <w:ind w:left="1134" w:right="424"/>
        <w:jc w:val="both"/>
        <w:rPr>
          <w:rFonts w:ascii="Arial" w:hAnsi="Arial" w:cs="Arial"/>
          <w:i/>
          <w:sz w:val="20"/>
          <w:szCs w:val="20"/>
        </w:rPr>
      </w:pPr>
      <w:r>
        <w:rPr>
          <w:rFonts w:ascii="Arial" w:hAnsi="Arial" w:cs="Arial"/>
          <w:i/>
          <w:sz w:val="20"/>
          <w:szCs w:val="20"/>
        </w:rPr>
        <w:t>“</w:t>
      </w:r>
      <w:r w:rsidRPr="00541FF7">
        <w:rPr>
          <w:rFonts w:ascii="Arial" w:hAnsi="Arial" w:cs="Arial"/>
          <w:i/>
          <w:sz w:val="20"/>
          <w:szCs w:val="20"/>
        </w:rPr>
        <w:t>El Límite de Acumulación de Espectro en el presente numeral se aplicará a los Interesados evaluados bajo su dimensión de GIE y considerando las personas con las que el GIE tiene vínculos de tipo comercial, organizativo, económico y jurídico, bajo los siguientes términos:</w:t>
      </w:r>
    </w:p>
    <w:p w14:paraId="6234545B" w14:textId="2A846F76" w:rsidR="00541FF7" w:rsidRPr="00541FF7" w:rsidRDefault="00541FF7" w:rsidP="00541FF7">
      <w:pPr>
        <w:spacing w:before="120" w:after="120"/>
        <w:ind w:left="1134" w:right="424"/>
        <w:jc w:val="both"/>
        <w:rPr>
          <w:rFonts w:ascii="Arial" w:hAnsi="Arial" w:cs="Arial"/>
          <w:i/>
          <w:sz w:val="20"/>
          <w:szCs w:val="20"/>
        </w:rPr>
      </w:pPr>
      <w:r w:rsidRPr="00541FF7">
        <w:rPr>
          <w:rFonts w:ascii="Arial" w:hAnsi="Arial" w:cs="Arial"/>
          <w:i/>
          <w:sz w:val="20"/>
          <w:szCs w:val="20"/>
        </w:rPr>
        <w:t>En la Etapa de Adjudicación, compuesta hasta por 2 (dos) fases, los Participantes estarán sujetos a un Límite de Acumulación de Espectro.</w:t>
      </w:r>
    </w:p>
    <w:p w14:paraId="4C6CDC6C" w14:textId="354A00CC" w:rsidR="00541FF7" w:rsidRPr="00541FF7" w:rsidRDefault="00541FF7" w:rsidP="00541FF7">
      <w:pPr>
        <w:spacing w:before="120" w:after="120"/>
        <w:ind w:left="1134" w:right="424"/>
        <w:jc w:val="both"/>
        <w:rPr>
          <w:rFonts w:ascii="Arial" w:hAnsi="Arial" w:cs="Arial"/>
          <w:i/>
          <w:sz w:val="20"/>
          <w:szCs w:val="20"/>
        </w:rPr>
      </w:pPr>
      <w:r w:rsidRPr="00541FF7">
        <w:rPr>
          <w:rFonts w:ascii="Arial" w:hAnsi="Arial" w:cs="Arial"/>
          <w:i/>
          <w:sz w:val="20"/>
          <w:szCs w:val="20"/>
        </w:rPr>
        <w:lastRenderedPageBreak/>
        <w:t xml:space="preserve">En este sentido, </w:t>
      </w:r>
      <w:r w:rsidRPr="00541FF7">
        <w:rPr>
          <w:rFonts w:ascii="Arial" w:hAnsi="Arial" w:cs="Arial"/>
          <w:b/>
          <w:i/>
          <w:sz w:val="20"/>
          <w:szCs w:val="20"/>
        </w:rPr>
        <w:t>el Límite de Acumulación de Espectro para la fase I será de 32.5%</w:t>
      </w:r>
      <w:r w:rsidRPr="00541FF7">
        <w:rPr>
          <w:rFonts w:ascii="Arial" w:hAnsi="Arial" w:cs="Arial"/>
          <w:i/>
          <w:sz w:val="20"/>
          <w:szCs w:val="20"/>
        </w:rPr>
        <w:t xml:space="preserve"> y, en caso de que existan bloques sin adjudicar al finalizar esta fase,</w:t>
      </w:r>
      <w:r w:rsidRPr="00541FF7" w:rsidDel="007F64EF">
        <w:rPr>
          <w:rFonts w:ascii="Arial" w:hAnsi="Arial" w:cs="Arial"/>
          <w:i/>
          <w:sz w:val="20"/>
          <w:szCs w:val="20"/>
        </w:rPr>
        <w:t xml:space="preserve"> </w:t>
      </w:r>
      <w:r w:rsidRPr="00541FF7">
        <w:rPr>
          <w:rFonts w:ascii="Arial" w:hAnsi="Arial" w:cs="Arial"/>
          <w:b/>
          <w:i/>
          <w:sz w:val="20"/>
          <w:szCs w:val="20"/>
        </w:rPr>
        <w:t>el límite se incrementará a 35% para la fase II</w:t>
      </w:r>
      <w:r w:rsidRPr="00541FF7">
        <w:rPr>
          <w:rFonts w:ascii="Arial" w:hAnsi="Arial" w:cs="Arial"/>
          <w:i/>
          <w:sz w:val="20"/>
          <w:szCs w:val="20"/>
        </w:rPr>
        <w:t xml:space="preserve">, tal como se muestra a continuación: </w:t>
      </w:r>
    </w:p>
    <w:p w14:paraId="075102A4" w14:textId="77777777" w:rsidR="00541FF7" w:rsidRPr="00541FF7" w:rsidRDefault="00541FF7" w:rsidP="00541FF7">
      <w:pPr>
        <w:spacing w:before="120" w:after="120"/>
        <w:ind w:left="1134" w:right="424"/>
        <w:jc w:val="center"/>
        <w:rPr>
          <w:rFonts w:ascii="Arial" w:hAnsi="Arial" w:cs="Arial"/>
          <w:i/>
          <w:sz w:val="20"/>
          <w:szCs w:val="20"/>
        </w:rPr>
      </w:pPr>
      <w:r w:rsidRPr="00541FF7">
        <w:rPr>
          <w:rFonts w:ascii="Arial" w:hAnsi="Arial" w:cs="Arial"/>
          <w:i/>
          <w:sz w:val="20"/>
          <w:szCs w:val="20"/>
        </w:rPr>
        <w:t>Fase I: 32.5% de espectro = 194.46 MHz</w:t>
      </w:r>
    </w:p>
    <w:p w14:paraId="3A6027CD" w14:textId="092A54E5" w:rsidR="00541FF7" w:rsidRDefault="00541FF7" w:rsidP="00541FF7">
      <w:pPr>
        <w:spacing w:before="120" w:after="120"/>
        <w:ind w:left="1134" w:right="424"/>
        <w:jc w:val="center"/>
        <w:rPr>
          <w:rFonts w:ascii="Arial" w:hAnsi="Arial" w:cs="Arial"/>
          <w:i/>
          <w:sz w:val="20"/>
          <w:szCs w:val="20"/>
        </w:rPr>
      </w:pPr>
      <w:r w:rsidRPr="00541FF7">
        <w:rPr>
          <w:rFonts w:ascii="Arial" w:hAnsi="Arial" w:cs="Arial"/>
          <w:i/>
          <w:sz w:val="20"/>
          <w:szCs w:val="20"/>
        </w:rPr>
        <w:t>Fase II:</w:t>
      </w:r>
      <w:r w:rsidRPr="00541FF7" w:rsidDel="00124144">
        <w:rPr>
          <w:rFonts w:ascii="Arial" w:hAnsi="Arial" w:cs="Arial"/>
          <w:i/>
          <w:sz w:val="20"/>
          <w:szCs w:val="20"/>
        </w:rPr>
        <w:t xml:space="preserve"> </w:t>
      </w:r>
      <w:r w:rsidRPr="00541FF7">
        <w:rPr>
          <w:rFonts w:ascii="Arial" w:hAnsi="Arial" w:cs="Arial"/>
          <w:i/>
          <w:sz w:val="20"/>
          <w:szCs w:val="20"/>
        </w:rPr>
        <w:t>35.0% de espectro = 209.42 MHz</w:t>
      </w:r>
      <w:r>
        <w:rPr>
          <w:rFonts w:ascii="Arial" w:hAnsi="Arial" w:cs="Arial"/>
          <w:i/>
          <w:sz w:val="20"/>
          <w:szCs w:val="20"/>
        </w:rPr>
        <w:t>”</w:t>
      </w:r>
    </w:p>
    <w:p w14:paraId="30570854" w14:textId="0C960B2F" w:rsidR="00541FF7" w:rsidRPr="00541FF7" w:rsidRDefault="00541FF7" w:rsidP="00541FF7">
      <w:pPr>
        <w:spacing w:before="120" w:after="120"/>
        <w:ind w:left="1134" w:right="424"/>
        <w:jc w:val="right"/>
        <w:rPr>
          <w:rFonts w:ascii="Arial" w:hAnsi="Arial" w:cs="Arial"/>
          <w:i/>
          <w:sz w:val="20"/>
          <w:szCs w:val="20"/>
        </w:rPr>
      </w:pPr>
      <w:r>
        <w:rPr>
          <w:rFonts w:ascii="Arial" w:hAnsi="Arial" w:cs="Arial"/>
          <w:i/>
          <w:sz w:val="20"/>
          <w:szCs w:val="20"/>
        </w:rPr>
        <w:t>(</w:t>
      </w:r>
      <w:r w:rsidRPr="00E71AC7">
        <w:rPr>
          <w:rFonts w:ascii="Arial" w:hAnsi="Arial" w:cs="Arial"/>
          <w:b/>
          <w:i/>
          <w:sz w:val="20"/>
          <w:szCs w:val="20"/>
        </w:rPr>
        <w:t>Énfasis añadido</w:t>
      </w:r>
      <w:r>
        <w:rPr>
          <w:rFonts w:ascii="Arial" w:hAnsi="Arial" w:cs="Arial"/>
          <w:i/>
          <w:sz w:val="20"/>
          <w:szCs w:val="20"/>
        </w:rPr>
        <w:t>)</w:t>
      </w:r>
    </w:p>
    <w:p w14:paraId="2D341F55" w14:textId="553D8A5F" w:rsidR="00270CAC" w:rsidRPr="00A87D4D" w:rsidRDefault="00541FF7" w:rsidP="00C9666A">
      <w:pPr>
        <w:spacing w:before="120" w:after="120"/>
        <w:ind w:right="-1"/>
        <w:jc w:val="both"/>
        <w:rPr>
          <w:rFonts w:ascii="Arial" w:hAnsi="Arial" w:cs="Arial"/>
          <w:b/>
        </w:rPr>
      </w:pPr>
      <w:r w:rsidRPr="00A87D4D">
        <w:rPr>
          <w:rFonts w:ascii="Arial" w:hAnsi="Arial" w:cs="Arial"/>
          <w:b/>
        </w:rPr>
        <w:t>Licitaciones en el sector de radiodifusión</w:t>
      </w:r>
      <w:r w:rsidR="00270CAC" w:rsidRPr="00A87D4D">
        <w:rPr>
          <w:rFonts w:ascii="Arial" w:hAnsi="Arial" w:cs="Arial"/>
          <w:b/>
        </w:rPr>
        <w:t>:</w:t>
      </w:r>
    </w:p>
    <w:p w14:paraId="4DD51810" w14:textId="1B2B8B52" w:rsidR="00270CAC" w:rsidRDefault="0037451E" w:rsidP="00434936">
      <w:pPr>
        <w:pStyle w:val="Prrafodelista"/>
        <w:numPr>
          <w:ilvl w:val="0"/>
          <w:numId w:val="45"/>
        </w:numPr>
        <w:spacing w:before="120" w:after="120"/>
        <w:ind w:right="-1"/>
        <w:contextualSpacing w:val="0"/>
        <w:jc w:val="both"/>
        <w:rPr>
          <w:rFonts w:ascii="Arial" w:hAnsi="Arial" w:cs="Arial"/>
        </w:rPr>
      </w:pPr>
      <w:r w:rsidRPr="0037451E">
        <w:rPr>
          <w:rFonts w:ascii="Arial" w:hAnsi="Arial" w:cs="Arial"/>
        </w:rPr>
        <w:t>Licitación No. IFT-4</w:t>
      </w:r>
      <w:r w:rsidR="00270CAC" w:rsidRPr="00A641E9">
        <w:rPr>
          <w:rFonts w:ascii="Arial" w:hAnsi="Arial" w:cs="Arial"/>
        </w:rPr>
        <w:t xml:space="preserve"> (</w:t>
      </w:r>
      <w:r w:rsidRPr="00A641E9">
        <w:rPr>
          <w:rFonts w:ascii="Arial" w:hAnsi="Arial" w:cs="Arial"/>
        </w:rPr>
        <w:t>licitación de</w:t>
      </w:r>
      <w:r w:rsidR="00270CAC" w:rsidRPr="00A641E9">
        <w:rPr>
          <w:rFonts w:ascii="Arial" w:hAnsi="Arial" w:cs="Arial"/>
        </w:rPr>
        <w:t xml:space="preserve"> </w:t>
      </w:r>
      <w:r>
        <w:rPr>
          <w:rFonts w:ascii="Arial" w:hAnsi="Arial" w:cs="Arial"/>
        </w:rPr>
        <w:t>frecuencias</w:t>
      </w:r>
      <w:r w:rsidR="00A641E9">
        <w:rPr>
          <w:rFonts w:ascii="Arial" w:hAnsi="Arial" w:cs="Arial"/>
        </w:rPr>
        <w:t xml:space="preserve"> de espectro radioeléctrico </w:t>
      </w:r>
      <w:r w:rsidR="00BB74BA">
        <w:rPr>
          <w:rFonts w:ascii="Arial" w:hAnsi="Arial" w:cs="Arial"/>
        </w:rPr>
        <w:t xml:space="preserve">para prestar el servicio de radiodifusión sonora </w:t>
      </w:r>
      <w:r w:rsidR="00A641E9">
        <w:rPr>
          <w:rFonts w:ascii="Arial" w:hAnsi="Arial" w:cs="Arial"/>
        </w:rPr>
        <w:t xml:space="preserve">en la banda FM y en la banda AM): </w:t>
      </w:r>
    </w:p>
    <w:p w14:paraId="371694D1" w14:textId="77777777" w:rsidR="00A641E9" w:rsidRDefault="00A641E9" w:rsidP="00434936">
      <w:pPr>
        <w:pStyle w:val="Prrafodelista"/>
        <w:spacing w:before="120" w:after="120"/>
        <w:ind w:left="1134" w:right="424"/>
        <w:contextualSpacing w:val="0"/>
        <w:jc w:val="both"/>
        <w:rPr>
          <w:rFonts w:ascii="Arial" w:hAnsi="Arial" w:cs="Arial"/>
          <w:i/>
          <w:sz w:val="20"/>
          <w:szCs w:val="20"/>
        </w:rPr>
      </w:pPr>
      <w:r>
        <w:rPr>
          <w:rFonts w:ascii="Arial" w:hAnsi="Arial" w:cs="Arial"/>
          <w:i/>
          <w:sz w:val="20"/>
          <w:szCs w:val="20"/>
        </w:rPr>
        <w:t>“</w:t>
      </w:r>
      <w:r w:rsidRPr="00BB74BA">
        <w:rPr>
          <w:rFonts w:ascii="Arial" w:hAnsi="Arial" w:cs="Arial"/>
          <w:i/>
          <w:sz w:val="20"/>
          <w:szCs w:val="20"/>
        </w:rPr>
        <w:t xml:space="preserve">Los Interesados no podrán participar por Lotes en </w:t>
      </w:r>
      <w:r w:rsidRPr="00A641E9">
        <w:rPr>
          <w:rFonts w:ascii="Arial" w:hAnsi="Arial" w:cs="Arial"/>
          <w:i/>
          <w:sz w:val="20"/>
          <w:szCs w:val="20"/>
        </w:rPr>
        <w:t>aquellas Localidades Obligatoria</w:t>
      </w:r>
      <w:r w:rsidRPr="00BB74BA">
        <w:rPr>
          <w:rFonts w:ascii="Arial" w:hAnsi="Arial" w:cs="Arial"/>
          <w:i/>
          <w:sz w:val="20"/>
          <w:szCs w:val="20"/>
        </w:rPr>
        <w:t xml:space="preserve">s/Principales a Servir en las que se cumpla cualquiera de los supuestos siguientes: </w:t>
      </w:r>
    </w:p>
    <w:p w14:paraId="27979599" w14:textId="77777777" w:rsidR="00A641E9" w:rsidRDefault="00A641E9" w:rsidP="00434936">
      <w:pPr>
        <w:pStyle w:val="Prrafodelista"/>
        <w:numPr>
          <w:ilvl w:val="0"/>
          <w:numId w:val="46"/>
        </w:numPr>
        <w:spacing w:before="120" w:after="120"/>
        <w:ind w:right="424"/>
        <w:contextualSpacing w:val="0"/>
        <w:jc w:val="both"/>
        <w:rPr>
          <w:rFonts w:ascii="Arial" w:hAnsi="Arial" w:cs="Arial"/>
          <w:i/>
          <w:sz w:val="20"/>
          <w:szCs w:val="20"/>
        </w:rPr>
      </w:pPr>
      <w:r w:rsidRPr="00BB74BA">
        <w:rPr>
          <w:rFonts w:ascii="Arial" w:hAnsi="Arial" w:cs="Arial"/>
          <w:i/>
          <w:sz w:val="20"/>
          <w:szCs w:val="20"/>
        </w:rPr>
        <w:t xml:space="preserve">El número de concesiones comerciales con cobertura en la Localidad que tengan -asignadas, más las que se podrían acumular </w:t>
      </w:r>
      <w:r w:rsidRPr="00BB74BA">
        <w:rPr>
          <w:rFonts w:ascii="Arial" w:hAnsi="Arial" w:cs="Arial"/>
          <w:b/>
          <w:i/>
          <w:sz w:val="20"/>
          <w:szCs w:val="20"/>
        </w:rPr>
        <w:t>sea mayor al 30% respecto al total de las frecuencias concesionadas de uso comercial más las que son objeto de este procedimiento de Licitación, en la Banda FM o en la Banda AM</w:t>
      </w:r>
      <w:r w:rsidRPr="00BB74BA">
        <w:rPr>
          <w:rFonts w:ascii="Arial" w:hAnsi="Arial" w:cs="Arial"/>
          <w:i/>
          <w:sz w:val="20"/>
          <w:szCs w:val="20"/>
        </w:rPr>
        <w:t xml:space="preserve">, dependiendo del Concurso de que se trate; o </w:t>
      </w:r>
    </w:p>
    <w:p w14:paraId="6457994D" w14:textId="77777777" w:rsidR="00A641E9" w:rsidRDefault="00A641E9" w:rsidP="00434936">
      <w:pPr>
        <w:pStyle w:val="Prrafodelista"/>
        <w:numPr>
          <w:ilvl w:val="0"/>
          <w:numId w:val="46"/>
        </w:numPr>
        <w:spacing w:before="120" w:after="120"/>
        <w:ind w:right="424"/>
        <w:contextualSpacing w:val="0"/>
        <w:jc w:val="both"/>
        <w:rPr>
          <w:rFonts w:ascii="Arial" w:hAnsi="Arial" w:cs="Arial"/>
          <w:i/>
          <w:sz w:val="20"/>
          <w:szCs w:val="20"/>
        </w:rPr>
      </w:pPr>
      <w:r w:rsidRPr="00BB74BA">
        <w:rPr>
          <w:rFonts w:ascii="Arial" w:hAnsi="Arial" w:cs="Arial"/>
          <w:i/>
          <w:sz w:val="20"/>
          <w:szCs w:val="20"/>
        </w:rPr>
        <w:t xml:space="preserve">El número de concesiones comerciales y de uso social con cobertura en la Localidad que tengan asignadas, más las que se podrían acumular </w:t>
      </w:r>
      <w:r w:rsidRPr="00BB74BA">
        <w:rPr>
          <w:rFonts w:ascii="Arial" w:hAnsi="Arial" w:cs="Arial"/>
          <w:b/>
          <w:i/>
          <w:sz w:val="20"/>
          <w:szCs w:val="20"/>
        </w:rPr>
        <w:t>sea mayor al 30% con respecto al total de las frecuencias concesionadas de uso comercial y de uso social, más las que son objeto de este procedimiento de Licitación en la Banda FM o en la Banda AM</w:t>
      </w:r>
      <w:r w:rsidRPr="00BB74BA">
        <w:rPr>
          <w:rFonts w:ascii="Arial" w:hAnsi="Arial" w:cs="Arial"/>
          <w:i/>
          <w:sz w:val="20"/>
          <w:szCs w:val="20"/>
        </w:rPr>
        <w:t xml:space="preserve">, dependiendo del Concurso de que se trate, o </w:t>
      </w:r>
    </w:p>
    <w:p w14:paraId="3F263565" w14:textId="149949D9" w:rsidR="00BB74BA" w:rsidRDefault="00A641E9" w:rsidP="00434936">
      <w:pPr>
        <w:pStyle w:val="Prrafodelista"/>
        <w:numPr>
          <w:ilvl w:val="0"/>
          <w:numId w:val="46"/>
        </w:numPr>
        <w:spacing w:before="120" w:after="120"/>
        <w:ind w:right="424"/>
        <w:contextualSpacing w:val="0"/>
        <w:jc w:val="both"/>
        <w:rPr>
          <w:rFonts w:ascii="Arial" w:hAnsi="Arial" w:cs="Arial"/>
          <w:i/>
          <w:sz w:val="20"/>
          <w:szCs w:val="20"/>
        </w:rPr>
      </w:pPr>
      <w:r w:rsidRPr="00BB74BA">
        <w:rPr>
          <w:rFonts w:ascii="Arial" w:hAnsi="Arial" w:cs="Arial"/>
          <w:i/>
          <w:sz w:val="20"/>
          <w:szCs w:val="20"/>
        </w:rPr>
        <w:t xml:space="preserve">En la Banda AM o Banda FM que no sea objeto del Concurso tengan </w:t>
      </w:r>
      <w:r w:rsidRPr="00BB74BA">
        <w:rPr>
          <w:rFonts w:ascii="Arial" w:hAnsi="Arial" w:cs="Arial"/>
          <w:b/>
          <w:i/>
          <w:sz w:val="20"/>
          <w:szCs w:val="20"/>
        </w:rPr>
        <w:t>más del 30% de las frecuencias concesionadas de uso comercial o de las frecuencias concesionadas de uso comercial y de uso social</w:t>
      </w:r>
      <w:r w:rsidRPr="00A641E9">
        <w:rPr>
          <w:rFonts w:ascii="Arial" w:hAnsi="Arial" w:cs="Arial"/>
          <w:i/>
          <w:sz w:val="20"/>
          <w:szCs w:val="20"/>
        </w:rPr>
        <w:t>. En</w:t>
      </w:r>
      <w:r w:rsidRPr="00BB74BA">
        <w:rPr>
          <w:rFonts w:ascii="Arial" w:hAnsi="Arial" w:cs="Arial"/>
          <w:i/>
          <w:sz w:val="20"/>
          <w:szCs w:val="20"/>
        </w:rPr>
        <w:t xml:space="preserve"> este supuesto, los Interesados podrán participar en el Concurso sí y sólo sí cuentan con la autorización expresa en la Constancia de Participación correspondiente, cuya emisión tomará en consideración el Dictamen de Competencia Económica.</w:t>
      </w:r>
      <w:r>
        <w:rPr>
          <w:rFonts w:ascii="Arial" w:hAnsi="Arial" w:cs="Arial"/>
          <w:i/>
          <w:sz w:val="20"/>
          <w:szCs w:val="20"/>
        </w:rPr>
        <w:t>”</w:t>
      </w:r>
    </w:p>
    <w:p w14:paraId="57B2CF70" w14:textId="3DAFBE2C" w:rsidR="002F0166" w:rsidRPr="002F0166" w:rsidRDefault="00434936" w:rsidP="00434936">
      <w:pPr>
        <w:pStyle w:val="Prrafodelista"/>
        <w:spacing w:before="120" w:after="120"/>
        <w:ind w:left="1494" w:right="424"/>
        <w:contextualSpacing w:val="0"/>
        <w:jc w:val="right"/>
        <w:rPr>
          <w:rFonts w:ascii="Arial" w:hAnsi="Arial" w:cs="Arial"/>
          <w:i/>
          <w:sz w:val="20"/>
          <w:szCs w:val="20"/>
        </w:rPr>
      </w:pPr>
      <w:r>
        <w:rPr>
          <w:rFonts w:ascii="Arial" w:hAnsi="Arial" w:cs="Arial"/>
          <w:i/>
          <w:sz w:val="20"/>
          <w:szCs w:val="20"/>
        </w:rPr>
        <w:t>(</w:t>
      </w:r>
      <w:r w:rsidRPr="00434936">
        <w:rPr>
          <w:rFonts w:ascii="Arial" w:hAnsi="Arial" w:cs="Arial"/>
          <w:b/>
          <w:i/>
          <w:sz w:val="20"/>
          <w:szCs w:val="20"/>
        </w:rPr>
        <w:t>Énfasis añadido</w:t>
      </w:r>
      <w:r>
        <w:rPr>
          <w:rFonts w:ascii="Arial" w:hAnsi="Arial" w:cs="Arial"/>
          <w:i/>
          <w:sz w:val="20"/>
          <w:szCs w:val="20"/>
        </w:rPr>
        <w:t>)</w:t>
      </w:r>
    </w:p>
    <w:p w14:paraId="239A220E" w14:textId="6A8B5CA3" w:rsidR="00BB74BA" w:rsidRPr="002F0166" w:rsidRDefault="00BB74BA" w:rsidP="002F0166">
      <w:pPr>
        <w:pStyle w:val="Prrafodelista"/>
        <w:numPr>
          <w:ilvl w:val="0"/>
          <w:numId w:val="45"/>
        </w:numPr>
        <w:spacing w:before="120" w:after="120"/>
        <w:ind w:right="-1"/>
        <w:contextualSpacing w:val="0"/>
        <w:jc w:val="both"/>
        <w:rPr>
          <w:rFonts w:ascii="Arial" w:hAnsi="Arial" w:cs="Arial"/>
        </w:rPr>
      </w:pPr>
      <w:r w:rsidRPr="00BB74BA">
        <w:rPr>
          <w:rFonts w:ascii="Arial" w:hAnsi="Arial" w:cs="Arial"/>
        </w:rPr>
        <w:t>Licitación No. IFT-6</w:t>
      </w:r>
      <w:r w:rsidRPr="002F0166">
        <w:rPr>
          <w:rFonts w:ascii="Arial" w:hAnsi="Arial" w:cs="Arial"/>
        </w:rPr>
        <w:t xml:space="preserve"> (licitación de </w:t>
      </w:r>
      <w:r>
        <w:rPr>
          <w:rFonts w:ascii="Arial" w:hAnsi="Arial" w:cs="Arial"/>
        </w:rPr>
        <w:t>canales de transmisión para prestar el servicio público de televisión radiodifundida digital)</w:t>
      </w:r>
      <w:r w:rsidRPr="002F0166">
        <w:rPr>
          <w:rFonts w:ascii="Arial" w:hAnsi="Arial" w:cs="Arial"/>
        </w:rPr>
        <w:t xml:space="preserve">: </w:t>
      </w:r>
    </w:p>
    <w:p w14:paraId="006449D5" w14:textId="2011464F" w:rsidR="00434936" w:rsidRDefault="00434936" w:rsidP="002F0166">
      <w:pPr>
        <w:spacing w:before="120" w:after="120"/>
        <w:ind w:left="1134" w:right="424"/>
        <w:jc w:val="both"/>
        <w:rPr>
          <w:rFonts w:ascii="Arial" w:hAnsi="Arial" w:cs="Arial"/>
          <w:i/>
          <w:sz w:val="20"/>
          <w:szCs w:val="20"/>
        </w:rPr>
      </w:pPr>
      <w:r>
        <w:rPr>
          <w:rFonts w:ascii="Arial" w:hAnsi="Arial" w:cs="Arial"/>
          <w:i/>
          <w:sz w:val="20"/>
          <w:szCs w:val="20"/>
        </w:rPr>
        <w:t>“</w:t>
      </w:r>
      <w:r w:rsidR="002F0166" w:rsidRPr="00434936">
        <w:rPr>
          <w:rFonts w:ascii="Arial" w:hAnsi="Arial" w:cs="Arial"/>
          <w:i/>
          <w:sz w:val="20"/>
          <w:szCs w:val="20"/>
        </w:rPr>
        <w:t xml:space="preserve">El límite </w:t>
      </w:r>
      <w:r w:rsidRPr="00434936">
        <w:rPr>
          <w:rFonts w:ascii="Arial" w:hAnsi="Arial" w:cs="Arial"/>
          <w:i/>
          <w:sz w:val="20"/>
          <w:szCs w:val="20"/>
        </w:rPr>
        <w:t>de acumulación de espectro radi</w:t>
      </w:r>
      <w:r w:rsidR="002F0166" w:rsidRPr="00434936">
        <w:rPr>
          <w:rFonts w:ascii="Arial" w:hAnsi="Arial" w:cs="Arial"/>
          <w:i/>
          <w:sz w:val="20"/>
          <w:szCs w:val="20"/>
        </w:rPr>
        <w:t>oeléctrico mencionado en el presente numeral se aplicará a los Interesados evaluados bajo su dimensión de GIE y considerando las personas con las que el GIE tiene vínculos de tipo comercial, organizativo, económico y jurídico,</w:t>
      </w:r>
      <w:r w:rsidRPr="00434936">
        <w:rPr>
          <w:rFonts w:ascii="Arial" w:hAnsi="Arial" w:cs="Arial"/>
          <w:i/>
          <w:sz w:val="20"/>
          <w:szCs w:val="20"/>
        </w:rPr>
        <w:t xml:space="preserve"> bajo los siguientes términos:</w:t>
      </w:r>
      <w:r w:rsidR="002F0166" w:rsidRPr="00434936">
        <w:rPr>
          <w:rFonts w:ascii="Arial" w:hAnsi="Arial" w:cs="Arial"/>
          <w:i/>
          <w:sz w:val="20"/>
          <w:szCs w:val="20"/>
        </w:rPr>
        <w:t xml:space="preserve"> </w:t>
      </w:r>
    </w:p>
    <w:p w14:paraId="5AFD40C1" w14:textId="757AD16C" w:rsidR="00BB74BA" w:rsidRPr="00434936" w:rsidRDefault="002F0166" w:rsidP="00434936">
      <w:pPr>
        <w:pStyle w:val="Prrafodelista"/>
        <w:numPr>
          <w:ilvl w:val="0"/>
          <w:numId w:val="47"/>
        </w:numPr>
        <w:spacing w:before="120" w:after="120"/>
        <w:ind w:right="424"/>
        <w:jc w:val="both"/>
        <w:rPr>
          <w:rFonts w:ascii="Arial" w:hAnsi="Arial" w:cs="Arial"/>
          <w:i/>
          <w:sz w:val="20"/>
          <w:szCs w:val="20"/>
        </w:rPr>
      </w:pPr>
      <w:r w:rsidRPr="00434936">
        <w:rPr>
          <w:rFonts w:ascii="Arial" w:hAnsi="Arial" w:cs="Arial"/>
          <w:i/>
          <w:sz w:val="20"/>
          <w:szCs w:val="20"/>
        </w:rPr>
        <w:t>Únicamente podrán participar por Canales de Transmisión siempre que no se rebase el límite de acumulación de 12 MHz en las Localidades Principales a Servir de la Zona de Cobertura correspondiente, tomando en cuenta tanto lo que se podría adquirir durante el proceso de Licitación, como lo previamente concesionado.</w:t>
      </w:r>
      <w:r w:rsidR="00434936">
        <w:rPr>
          <w:rFonts w:ascii="Arial" w:hAnsi="Arial" w:cs="Arial"/>
          <w:i/>
          <w:sz w:val="20"/>
          <w:szCs w:val="20"/>
        </w:rPr>
        <w:t>”</w:t>
      </w:r>
    </w:p>
    <w:p w14:paraId="716B2F73" w14:textId="52D3325E" w:rsidR="00D32875" w:rsidRPr="00C9666A" w:rsidRDefault="001F5210" w:rsidP="00C9666A">
      <w:pPr>
        <w:spacing w:before="120" w:after="120"/>
        <w:ind w:right="-1"/>
        <w:jc w:val="both"/>
        <w:rPr>
          <w:rFonts w:ascii="Arial" w:hAnsi="Arial" w:cs="Arial"/>
        </w:rPr>
      </w:pPr>
      <w:r w:rsidRPr="00C9666A">
        <w:rPr>
          <w:rFonts w:ascii="Arial" w:hAnsi="Arial" w:cs="Arial"/>
        </w:rPr>
        <w:lastRenderedPageBreak/>
        <w:t>De la experiencia acumulada, se observa</w:t>
      </w:r>
      <w:r w:rsidR="00D32875" w:rsidRPr="00C9666A">
        <w:rPr>
          <w:rFonts w:ascii="Arial" w:hAnsi="Arial" w:cs="Arial"/>
        </w:rPr>
        <w:t>n los siguientes elementos para los sectores de telecomunicaciones y radiodifusión:</w:t>
      </w:r>
    </w:p>
    <w:p w14:paraId="31E783A3" w14:textId="352D67A9" w:rsidR="00D32875" w:rsidRPr="00C9666A" w:rsidRDefault="00037B95" w:rsidP="005016CB">
      <w:pPr>
        <w:pStyle w:val="Prrafodelista"/>
        <w:numPr>
          <w:ilvl w:val="0"/>
          <w:numId w:val="35"/>
        </w:numPr>
        <w:spacing w:before="120" w:after="120"/>
        <w:ind w:left="1077"/>
        <w:contextualSpacing w:val="0"/>
        <w:jc w:val="both"/>
        <w:rPr>
          <w:rFonts w:ascii="Arial" w:hAnsi="Arial" w:cs="Arial"/>
        </w:rPr>
      </w:pPr>
      <w:r w:rsidRPr="00C9666A">
        <w:rPr>
          <w:rFonts w:ascii="Arial" w:hAnsi="Arial" w:cs="Arial"/>
        </w:rPr>
        <w:t xml:space="preserve">El </w:t>
      </w:r>
      <w:r w:rsidR="00193362" w:rsidRPr="00C9666A">
        <w:rPr>
          <w:rFonts w:ascii="Arial" w:hAnsi="Arial" w:cs="Arial"/>
        </w:rPr>
        <w:t>IHH</w:t>
      </w:r>
      <w:r w:rsidRPr="00C9666A">
        <w:rPr>
          <w:rFonts w:ascii="Arial" w:hAnsi="Arial" w:cs="Arial"/>
        </w:rPr>
        <w:t xml:space="preserve"> calculado en l</w:t>
      </w:r>
      <w:r w:rsidR="001707F1" w:rsidRPr="00C9666A">
        <w:rPr>
          <w:rFonts w:ascii="Arial" w:hAnsi="Arial" w:cs="Arial"/>
        </w:rPr>
        <w:t>os asuntos no autorizados</w:t>
      </w:r>
      <w:r w:rsidR="009A7628" w:rsidRPr="00C9666A">
        <w:rPr>
          <w:rFonts w:ascii="Arial" w:hAnsi="Arial" w:cs="Arial"/>
        </w:rPr>
        <w:t xml:space="preserve"> o con </w:t>
      </w:r>
      <w:r w:rsidR="001707F1" w:rsidRPr="00C9666A">
        <w:rPr>
          <w:rFonts w:ascii="Arial" w:hAnsi="Arial" w:cs="Arial"/>
        </w:rPr>
        <w:t xml:space="preserve">opinión </w:t>
      </w:r>
      <w:r w:rsidR="009A7628" w:rsidRPr="00C9666A">
        <w:rPr>
          <w:rFonts w:ascii="Arial" w:hAnsi="Arial" w:cs="Arial"/>
        </w:rPr>
        <w:t xml:space="preserve">no </w:t>
      </w:r>
      <w:r w:rsidR="001707F1" w:rsidRPr="00C9666A">
        <w:rPr>
          <w:rFonts w:ascii="Arial" w:hAnsi="Arial" w:cs="Arial"/>
        </w:rPr>
        <w:t xml:space="preserve">favorable, </w:t>
      </w:r>
      <w:r w:rsidRPr="00C9666A">
        <w:rPr>
          <w:rFonts w:ascii="Arial" w:hAnsi="Arial" w:cs="Arial"/>
        </w:rPr>
        <w:t>se ubican en un</w:t>
      </w:r>
      <w:r w:rsidR="009A7628" w:rsidRPr="00C9666A">
        <w:rPr>
          <w:rFonts w:ascii="Arial" w:hAnsi="Arial" w:cs="Arial"/>
        </w:rPr>
        <w:t xml:space="preserve"> rango de 2,</w:t>
      </w:r>
      <w:r w:rsidR="00FD7F52">
        <w:rPr>
          <w:rFonts w:ascii="Arial" w:hAnsi="Arial" w:cs="Arial"/>
        </w:rPr>
        <w:t>245</w:t>
      </w:r>
      <w:r w:rsidR="009A7628" w:rsidRPr="00C9666A">
        <w:rPr>
          <w:rFonts w:ascii="Arial" w:hAnsi="Arial" w:cs="Arial"/>
        </w:rPr>
        <w:t xml:space="preserve"> a 10,000 puntos, </w:t>
      </w:r>
    </w:p>
    <w:p w14:paraId="374D4EEF" w14:textId="6B0080A7" w:rsidR="00FD7F52" w:rsidRDefault="00FD7F52" w:rsidP="005016CB">
      <w:pPr>
        <w:pStyle w:val="Prrafodelista"/>
        <w:numPr>
          <w:ilvl w:val="0"/>
          <w:numId w:val="35"/>
        </w:numPr>
        <w:spacing w:before="120" w:after="120"/>
        <w:ind w:right="-1"/>
        <w:contextualSpacing w:val="0"/>
        <w:jc w:val="both"/>
        <w:rPr>
          <w:rFonts w:ascii="Arial" w:hAnsi="Arial" w:cs="Arial"/>
        </w:rPr>
      </w:pPr>
      <w:r>
        <w:rPr>
          <w:rFonts w:ascii="Arial" w:hAnsi="Arial" w:cs="Arial"/>
        </w:rPr>
        <w:t xml:space="preserve">En el sector de telecomunicaciones, </w:t>
      </w:r>
      <w:r w:rsidR="0070456A">
        <w:rPr>
          <w:rFonts w:ascii="Arial" w:hAnsi="Arial" w:cs="Arial"/>
        </w:rPr>
        <w:t xml:space="preserve">los niveles de concentración se mantienen elevados por encima de los 3,000 puntos. Además, </w:t>
      </w:r>
      <w:r>
        <w:rPr>
          <w:rFonts w:ascii="Arial" w:hAnsi="Arial" w:cs="Arial"/>
        </w:rPr>
        <w:t>n</w:t>
      </w:r>
      <w:r w:rsidR="00037B95" w:rsidRPr="00C9666A">
        <w:rPr>
          <w:rFonts w:ascii="Arial" w:hAnsi="Arial" w:cs="Arial"/>
        </w:rPr>
        <w:t xml:space="preserve">o se han rechazado operaciones en las que el </w:t>
      </w:r>
      <w:r w:rsidR="00F47524" w:rsidRPr="00C9666A">
        <w:rPr>
          <w:rFonts w:ascii="Arial" w:hAnsi="Arial" w:cs="Arial"/>
        </w:rPr>
        <w:t xml:space="preserve">agente económico resultante </w:t>
      </w:r>
      <w:r w:rsidR="00037B95" w:rsidRPr="00C9666A">
        <w:rPr>
          <w:rFonts w:ascii="Arial" w:hAnsi="Arial" w:cs="Arial"/>
        </w:rPr>
        <w:t xml:space="preserve">de la operación </w:t>
      </w:r>
      <w:r w:rsidR="00F47524" w:rsidRPr="00C9666A">
        <w:rPr>
          <w:rFonts w:ascii="Arial" w:hAnsi="Arial" w:cs="Arial"/>
        </w:rPr>
        <w:t xml:space="preserve">tiene el 35% </w:t>
      </w:r>
      <w:r w:rsidR="00037B95" w:rsidRPr="00C9666A">
        <w:rPr>
          <w:rFonts w:ascii="Arial" w:hAnsi="Arial" w:cs="Arial"/>
        </w:rPr>
        <w:t xml:space="preserve">o menos </w:t>
      </w:r>
      <w:r w:rsidR="00F47524" w:rsidRPr="00C9666A">
        <w:rPr>
          <w:rFonts w:ascii="Arial" w:hAnsi="Arial" w:cs="Arial"/>
        </w:rPr>
        <w:t xml:space="preserve">de participación </w:t>
      </w:r>
      <w:r w:rsidR="00037B95" w:rsidRPr="00C9666A">
        <w:rPr>
          <w:rFonts w:ascii="Arial" w:hAnsi="Arial" w:cs="Arial"/>
        </w:rPr>
        <w:t>de</w:t>
      </w:r>
      <w:r w:rsidR="00F47524" w:rsidRPr="00C9666A">
        <w:rPr>
          <w:rFonts w:ascii="Arial" w:hAnsi="Arial" w:cs="Arial"/>
        </w:rPr>
        <w:t xml:space="preserve"> mercado</w:t>
      </w:r>
      <w:r>
        <w:rPr>
          <w:rFonts w:ascii="Arial" w:hAnsi="Arial" w:cs="Arial"/>
        </w:rPr>
        <w:t>,</w:t>
      </w:r>
    </w:p>
    <w:p w14:paraId="5AB76A91" w14:textId="5C4F6217" w:rsidR="005016CB" w:rsidRPr="0070456A" w:rsidRDefault="00FD7F52" w:rsidP="0070456A">
      <w:pPr>
        <w:pStyle w:val="Prrafodelista"/>
        <w:numPr>
          <w:ilvl w:val="0"/>
          <w:numId w:val="35"/>
        </w:numPr>
        <w:spacing w:before="120" w:after="120"/>
        <w:ind w:right="-1"/>
        <w:contextualSpacing w:val="0"/>
        <w:jc w:val="both"/>
        <w:rPr>
          <w:rFonts w:ascii="Arial" w:hAnsi="Arial" w:cs="Arial"/>
        </w:rPr>
      </w:pPr>
      <w:r w:rsidRPr="0070456A">
        <w:rPr>
          <w:rFonts w:ascii="Arial" w:hAnsi="Arial" w:cs="Arial"/>
        </w:rPr>
        <w:t xml:space="preserve">En el sector de radiodifusión, </w:t>
      </w:r>
      <w:r w:rsidR="0070456A" w:rsidRPr="0070456A">
        <w:rPr>
          <w:rFonts w:ascii="Arial" w:hAnsi="Arial" w:cs="Arial"/>
        </w:rPr>
        <w:t>los mercados experimentan menor</w:t>
      </w:r>
      <w:r w:rsidR="0070456A">
        <w:rPr>
          <w:rFonts w:ascii="Arial" w:hAnsi="Arial" w:cs="Arial"/>
        </w:rPr>
        <w:t>es</w:t>
      </w:r>
      <w:r w:rsidR="0070456A" w:rsidRPr="0070456A">
        <w:rPr>
          <w:rFonts w:ascii="Arial" w:hAnsi="Arial" w:cs="Arial"/>
        </w:rPr>
        <w:t xml:space="preserve"> grado</w:t>
      </w:r>
      <w:r w:rsidR="0070456A">
        <w:rPr>
          <w:rFonts w:ascii="Arial" w:hAnsi="Arial" w:cs="Arial"/>
        </w:rPr>
        <w:t>s</w:t>
      </w:r>
      <w:r w:rsidR="0070456A" w:rsidRPr="0070456A">
        <w:rPr>
          <w:rFonts w:ascii="Arial" w:hAnsi="Arial" w:cs="Arial"/>
        </w:rPr>
        <w:t xml:space="preserve"> de concentración </w:t>
      </w:r>
      <w:r w:rsidR="0070456A">
        <w:rPr>
          <w:rFonts w:ascii="Arial" w:hAnsi="Arial" w:cs="Arial"/>
        </w:rPr>
        <w:t xml:space="preserve">y están disminuyendo como consecuencias de los procesos de licitación; hay mercados en los que </w:t>
      </w:r>
      <w:r w:rsidR="00A23369">
        <w:rPr>
          <w:rFonts w:ascii="Arial" w:hAnsi="Arial" w:cs="Arial"/>
        </w:rPr>
        <w:t>las licitaciones han provocado la disminución en los</w:t>
      </w:r>
      <w:r w:rsidR="0070456A">
        <w:rPr>
          <w:rFonts w:ascii="Arial" w:hAnsi="Arial" w:cs="Arial"/>
        </w:rPr>
        <w:t xml:space="preserve"> grado</w:t>
      </w:r>
      <w:r w:rsidR="00A23369">
        <w:rPr>
          <w:rFonts w:ascii="Arial" w:hAnsi="Arial" w:cs="Arial"/>
        </w:rPr>
        <w:t>s</w:t>
      </w:r>
      <w:r w:rsidR="0070456A">
        <w:rPr>
          <w:rFonts w:ascii="Arial" w:hAnsi="Arial" w:cs="Arial"/>
        </w:rPr>
        <w:t xml:space="preserve"> de concentración </w:t>
      </w:r>
      <w:r w:rsidR="00A23369">
        <w:rPr>
          <w:rFonts w:ascii="Arial" w:hAnsi="Arial" w:cs="Arial"/>
        </w:rPr>
        <w:t>a</w:t>
      </w:r>
      <w:r w:rsidR="0070456A">
        <w:rPr>
          <w:rFonts w:ascii="Arial" w:hAnsi="Arial" w:cs="Arial"/>
        </w:rPr>
        <w:t xml:space="preserve"> por debajo de los 2,000 puntos</w:t>
      </w:r>
      <w:r w:rsidR="00E6340E">
        <w:rPr>
          <w:rFonts w:ascii="Arial" w:hAnsi="Arial" w:cs="Arial"/>
        </w:rPr>
        <w:t xml:space="preserve">; en promedio, el IHH en </w:t>
      </w:r>
      <w:r w:rsidR="00A23369">
        <w:rPr>
          <w:rFonts w:ascii="Arial" w:hAnsi="Arial" w:cs="Arial"/>
        </w:rPr>
        <w:t>los</w:t>
      </w:r>
      <w:r w:rsidR="00E6340E">
        <w:rPr>
          <w:rFonts w:ascii="Arial" w:hAnsi="Arial" w:cs="Arial"/>
        </w:rPr>
        <w:t xml:space="preserve"> mercados </w:t>
      </w:r>
      <w:r w:rsidR="00A23369">
        <w:rPr>
          <w:rFonts w:ascii="Arial" w:hAnsi="Arial" w:cs="Arial"/>
        </w:rPr>
        <w:t xml:space="preserve">que han tenido procesos de licitación </w:t>
      </w:r>
      <w:r w:rsidR="00E6340E">
        <w:rPr>
          <w:rFonts w:ascii="Arial" w:hAnsi="Arial" w:cs="Arial"/>
        </w:rPr>
        <w:t>en la banda FM</w:t>
      </w:r>
      <w:r w:rsidR="00A23369">
        <w:rPr>
          <w:rFonts w:ascii="Arial" w:hAnsi="Arial" w:cs="Arial"/>
        </w:rPr>
        <w:t xml:space="preserve">, en los cuales se encuentran presentes </w:t>
      </w:r>
      <w:r w:rsidR="0079117E">
        <w:rPr>
          <w:rFonts w:ascii="Arial" w:hAnsi="Arial" w:cs="Arial"/>
        </w:rPr>
        <w:t xml:space="preserve">3 (tres) o más </w:t>
      </w:r>
      <w:r w:rsidR="00A23369">
        <w:rPr>
          <w:rFonts w:ascii="Arial" w:hAnsi="Arial" w:cs="Arial"/>
        </w:rPr>
        <w:t xml:space="preserve">competidores, </w:t>
      </w:r>
      <w:r w:rsidR="00E6340E">
        <w:rPr>
          <w:rFonts w:ascii="Arial" w:hAnsi="Arial" w:cs="Arial"/>
        </w:rPr>
        <w:t xml:space="preserve">se ubica </w:t>
      </w:r>
      <w:r w:rsidR="00712A5A">
        <w:rPr>
          <w:rFonts w:ascii="Arial" w:hAnsi="Arial" w:cs="Arial"/>
        </w:rPr>
        <w:t xml:space="preserve">en </w:t>
      </w:r>
      <w:r w:rsidR="00E6340E">
        <w:rPr>
          <w:rFonts w:ascii="Arial" w:hAnsi="Arial" w:cs="Arial"/>
        </w:rPr>
        <w:t>alrededor de los 2,700 puntos.</w:t>
      </w:r>
      <w:r w:rsidR="0070456A">
        <w:rPr>
          <w:rFonts w:ascii="Arial" w:hAnsi="Arial" w:cs="Arial"/>
        </w:rPr>
        <w:t xml:space="preserve"> </w:t>
      </w:r>
      <w:r w:rsidR="00E6340E">
        <w:rPr>
          <w:rFonts w:ascii="Arial" w:hAnsi="Arial" w:cs="Arial"/>
        </w:rPr>
        <w:t xml:space="preserve">Además, </w:t>
      </w:r>
      <w:r w:rsidRPr="0070456A">
        <w:rPr>
          <w:rFonts w:ascii="Arial" w:hAnsi="Arial" w:cs="Arial"/>
        </w:rPr>
        <w:t>para trámites regulatorios</w:t>
      </w:r>
      <w:r w:rsidR="00742E2E" w:rsidRPr="0070456A">
        <w:rPr>
          <w:rFonts w:ascii="Arial" w:hAnsi="Arial" w:cs="Arial"/>
        </w:rPr>
        <w:t xml:space="preserve"> y para la participación en licitaciones</w:t>
      </w:r>
      <w:r w:rsidRPr="0070456A">
        <w:rPr>
          <w:rFonts w:ascii="Arial" w:hAnsi="Arial" w:cs="Arial"/>
        </w:rPr>
        <w:t xml:space="preserve">, </w:t>
      </w:r>
      <w:r w:rsidR="005016CB" w:rsidRPr="0070456A">
        <w:rPr>
          <w:rFonts w:ascii="Arial" w:hAnsi="Arial" w:cs="Arial"/>
        </w:rPr>
        <w:t xml:space="preserve">en general </w:t>
      </w:r>
      <w:r w:rsidRPr="0070456A">
        <w:rPr>
          <w:rFonts w:ascii="Arial" w:hAnsi="Arial" w:cs="Arial"/>
        </w:rPr>
        <w:t>no se han rechazado operaciones en las que los agentes económicos tienen el 30% o menos de participación en el mercado.</w:t>
      </w:r>
      <w:r w:rsidR="00F47524" w:rsidRPr="0070456A">
        <w:rPr>
          <w:rFonts w:ascii="Arial" w:hAnsi="Arial" w:cs="Arial"/>
        </w:rPr>
        <w:t xml:space="preserve"> </w:t>
      </w:r>
    </w:p>
    <w:p w14:paraId="61588082" w14:textId="7F25C66A" w:rsidR="00522CDB" w:rsidRDefault="00E164DD" w:rsidP="00C9666A">
      <w:pPr>
        <w:spacing w:before="120" w:after="120"/>
        <w:ind w:right="-1"/>
        <w:jc w:val="both"/>
        <w:rPr>
          <w:rFonts w:ascii="Arial" w:hAnsi="Arial" w:cs="Arial"/>
        </w:rPr>
      </w:pPr>
      <w:r w:rsidRPr="00C9666A">
        <w:rPr>
          <w:rFonts w:ascii="Arial" w:hAnsi="Arial" w:cs="Arial"/>
        </w:rPr>
        <w:t>Respecto a</w:t>
      </w:r>
      <w:r w:rsidR="00414145">
        <w:rPr>
          <w:rFonts w:ascii="Arial" w:hAnsi="Arial" w:cs="Arial"/>
        </w:rPr>
        <w:t>l</w:t>
      </w:r>
      <w:r w:rsidRPr="00C9666A">
        <w:rPr>
          <w:rFonts w:ascii="Arial" w:hAnsi="Arial" w:cs="Arial"/>
        </w:rPr>
        <w:t xml:space="preserve"> umbral de 35%, se tiene como </w:t>
      </w:r>
      <w:r w:rsidR="00522CDB" w:rsidRPr="00C9666A">
        <w:rPr>
          <w:rFonts w:ascii="Arial" w:hAnsi="Arial" w:cs="Arial"/>
        </w:rPr>
        <w:t>referencia</w:t>
      </w:r>
      <w:r w:rsidRPr="00C9666A">
        <w:rPr>
          <w:rFonts w:ascii="Arial" w:hAnsi="Arial" w:cs="Arial"/>
        </w:rPr>
        <w:t xml:space="preserve"> un criterio establecido por</w:t>
      </w:r>
      <w:r w:rsidR="00CD766E" w:rsidRPr="00C9666A">
        <w:rPr>
          <w:rFonts w:ascii="Arial" w:hAnsi="Arial" w:cs="Arial"/>
        </w:rPr>
        <w:t xml:space="preserve"> el regulador de las telecomunicaciones de los Estados Unidos de América (FCC, por sus siglas en ingl</w:t>
      </w:r>
      <w:r w:rsidR="008223D4" w:rsidRPr="00C9666A">
        <w:rPr>
          <w:rFonts w:ascii="Arial" w:hAnsi="Arial" w:cs="Arial"/>
        </w:rPr>
        <w:t>é</w:t>
      </w:r>
      <w:r w:rsidR="00CD766E" w:rsidRPr="00C9666A">
        <w:rPr>
          <w:rFonts w:ascii="Arial" w:hAnsi="Arial" w:cs="Arial"/>
        </w:rPr>
        <w:t>s)</w:t>
      </w:r>
      <w:r w:rsidR="00E6340E">
        <w:rPr>
          <w:rFonts w:ascii="Arial" w:hAnsi="Arial" w:cs="Arial"/>
        </w:rPr>
        <w:t>, principalmente para acumulación de espectro en la prestación de servicios de telecomunicaciones móviles</w:t>
      </w:r>
      <w:r w:rsidRPr="00C9666A">
        <w:rPr>
          <w:rFonts w:ascii="Arial" w:hAnsi="Arial" w:cs="Arial"/>
        </w:rPr>
        <w:t>. En efecto, la FCC</w:t>
      </w:r>
      <w:r w:rsidR="00CD766E" w:rsidRPr="00C9666A">
        <w:rPr>
          <w:rFonts w:ascii="Arial" w:hAnsi="Arial" w:cs="Arial"/>
        </w:rPr>
        <w:t xml:space="preserve"> analiza con profundidad la asignación o transferencias de espectro radioeléctrico para internet móvil de banda ancha cuando el proveedor tiene aproximadamente 1/3</w:t>
      </w:r>
      <w:r w:rsidR="00560384" w:rsidRPr="00C9666A">
        <w:rPr>
          <w:rFonts w:ascii="Arial" w:hAnsi="Arial" w:cs="Arial"/>
        </w:rPr>
        <w:t xml:space="preserve"> (33%)</w:t>
      </w:r>
      <w:r w:rsidR="00CD766E" w:rsidRPr="00C9666A">
        <w:rPr>
          <w:rFonts w:ascii="Arial" w:hAnsi="Arial" w:cs="Arial"/>
        </w:rPr>
        <w:t xml:space="preserve"> o más del espectro disponible.</w:t>
      </w:r>
      <w:r w:rsidR="00471E4D" w:rsidRPr="00C9666A">
        <w:rPr>
          <w:rStyle w:val="Refdenotaalpie"/>
          <w:rFonts w:ascii="Arial" w:hAnsi="Arial" w:cs="Arial"/>
        </w:rPr>
        <w:footnoteReference w:id="34"/>
      </w:r>
      <w:r w:rsidR="00CD766E" w:rsidRPr="00C9666A">
        <w:rPr>
          <w:rFonts w:ascii="Arial" w:hAnsi="Arial" w:cs="Arial"/>
        </w:rPr>
        <w:t xml:space="preserve"> Si bien este umbral se encuentra en el contexto de espectro radioeléctrico, ofrece un</w:t>
      </w:r>
      <w:r w:rsidR="00560384" w:rsidRPr="00C9666A">
        <w:rPr>
          <w:rFonts w:ascii="Arial" w:hAnsi="Arial" w:cs="Arial"/>
        </w:rPr>
        <w:t xml:space="preserve"> porcentaje de</w:t>
      </w:r>
      <w:r w:rsidR="00CD766E" w:rsidRPr="00C9666A">
        <w:rPr>
          <w:rFonts w:ascii="Arial" w:hAnsi="Arial" w:cs="Arial"/>
        </w:rPr>
        <w:t xml:space="preserve"> referencia de acumulación en </w:t>
      </w:r>
      <w:r w:rsidR="00560384" w:rsidRPr="00C9666A">
        <w:rPr>
          <w:rFonts w:ascii="Arial" w:hAnsi="Arial" w:cs="Arial"/>
        </w:rPr>
        <w:t>el sector</w:t>
      </w:r>
      <w:r w:rsidR="00CD766E" w:rsidRPr="00C9666A">
        <w:rPr>
          <w:rFonts w:ascii="Arial" w:hAnsi="Arial" w:cs="Arial"/>
        </w:rPr>
        <w:t xml:space="preserve"> de telecomunicaciones</w:t>
      </w:r>
      <w:r w:rsidR="00560384" w:rsidRPr="00C9666A">
        <w:rPr>
          <w:rFonts w:ascii="Arial" w:hAnsi="Arial" w:cs="Arial"/>
        </w:rPr>
        <w:t xml:space="preserve"> a partir del cual es necesario llevar a cabo un análisis detallado de las transacciones</w:t>
      </w:r>
      <w:r w:rsidR="00CD766E" w:rsidRPr="00C9666A">
        <w:rPr>
          <w:rFonts w:ascii="Arial" w:hAnsi="Arial" w:cs="Arial"/>
        </w:rPr>
        <w:t xml:space="preserve">. </w:t>
      </w:r>
    </w:p>
    <w:p w14:paraId="270AFA11" w14:textId="6739BB5A" w:rsidR="00F64EAA" w:rsidRDefault="00F64EAA" w:rsidP="00C9666A">
      <w:pPr>
        <w:spacing w:before="120" w:after="120"/>
        <w:ind w:right="-1"/>
        <w:jc w:val="both"/>
        <w:rPr>
          <w:rFonts w:ascii="Arial" w:hAnsi="Arial" w:cs="Arial"/>
        </w:rPr>
      </w:pPr>
      <w:r>
        <w:rPr>
          <w:rFonts w:ascii="Arial" w:hAnsi="Arial" w:cs="Arial"/>
        </w:rPr>
        <w:t>Además</w:t>
      </w:r>
      <w:r w:rsidR="00712A5A">
        <w:rPr>
          <w:rFonts w:ascii="Arial" w:hAnsi="Arial" w:cs="Arial"/>
        </w:rPr>
        <w:t>, el umbral de 35% es</w:t>
      </w:r>
      <w:r>
        <w:rPr>
          <w:rFonts w:ascii="Arial" w:hAnsi="Arial" w:cs="Arial"/>
        </w:rPr>
        <w:t xml:space="preserve"> consistente con los límites de acumu</w:t>
      </w:r>
      <w:r w:rsidR="00066E57">
        <w:rPr>
          <w:rFonts w:ascii="Arial" w:hAnsi="Arial" w:cs="Arial"/>
        </w:rPr>
        <w:t>lación establecidos en las licitaciones de espectro radioeléctrico para servicios de telecomunicaciones realizadas por el Instituto.</w:t>
      </w:r>
    </w:p>
    <w:p w14:paraId="5ECC3B16" w14:textId="0FCC7390" w:rsidR="00066E57" w:rsidRPr="00C9666A" w:rsidRDefault="00461FA0" w:rsidP="00C9666A">
      <w:pPr>
        <w:spacing w:before="120" w:after="120"/>
        <w:ind w:right="-1"/>
        <w:jc w:val="both"/>
        <w:rPr>
          <w:rFonts w:ascii="Arial" w:hAnsi="Arial" w:cs="Arial"/>
        </w:rPr>
      </w:pPr>
      <w:r>
        <w:rPr>
          <w:rFonts w:ascii="Arial" w:hAnsi="Arial" w:cs="Arial"/>
        </w:rPr>
        <w:t>El</w:t>
      </w:r>
      <w:r w:rsidR="00066E57">
        <w:rPr>
          <w:rFonts w:ascii="Arial" w:hAnsi="Arial" w:cs="Arial"/>
        </w:rPr>
        <w:t xml:space="preserve"> umbral de 30% corresponde al límite de acumulación establecido para la participación de los interesados en la Licitación No. IFT-4 y la Licitación No. IFT-8.</w:t>
      </w:r>
    </w:p>
    <w:p w14:paraId="46DBDF2E" w14:textId="2C0EC0F9" w:rsidR="002C0D7A" w:rsidRPr="00C9666A" w:rsidRDefault="006B245E" w:rsidP="00A33C18">
      <w:pPr>
        <w:spacing w:before="120" w:after="120"/>
        <w:jc w:val="both"/>
        <w:rPr>
          <w:rFonts w:ascii="Arial" w:hAnsi="Arial" w:cs="Arial"/>
        </w:rPr>
      </w:pPr>
      <w:r w:rsidRPr="00C9666A">
        <w:rPr>
          <w:rFonts w:ascii="Arial" w:hAnsi="Arial" w:cs="Arial"/>
        </w:rPr>
        <w:t>L</w:t>
      </w:r>
      <w:r w:rsidR="002C0D7A" w:rsidRPr="00C9666A">
        <w:rPr>
          <w:rFonts w:ascii="Arial" w:hAnsi="Arial" w:cs="Arial"/>
          <w:color w:val="000000"/>
        </w:rPr>
        <w:t xml:space="preserve">as estructuras de competencia de los mercados </w:t>
      </w:r>
      <w:r w:rsidR="009A7628" w:rsidRPr="00C9666A">
        <w:rPr>
          <w:rFonts w:ascii="Arial" w:hAnsi="Arial" w:cs="Arial"/>
          <w:color w:val="000000"/>
        </w:rPr>
        <w:t>de los sectores de radiodifusión</w:t>
      </w:r>
      <w:r w:rsidR="00E6340E">
        <w:rPr>
          <w:rFonts w:ascii="Arial" w:hAnsi="Arial" w:cs="Arial"/>
          <w:color w:val="000000"/>
        </w:rPr>
        <w:t>, principalmente,</w:t>
      </w:r>
      <w:r w:rsidR="002C0D7A" w:rsidRPr="00C9666A">
        <w:rPr>
          <w:rFonts w:ascii="Arial" w:hAnsi="Arial" w:cs="Arial"/>
          <w:color w:val="000000"/>
        </w:rPr>
        <w:t xml:space="preserve"> podrían modificarse como consecuencia de</w:t>
      </w:r>
      <w:r w:rsidR="002C0D7A" w:rsidRPr="00C9666A">
        <w:rPr>
          <w:rFonts w:ascii="Arial" w:hAnsi="Arial" w:cs="Arial"/>
        </w:rPr>
        <w:t>:</w:t>
      </w:r>
    </w:p>
    <w:p w14:paraId="0BEEE5EC" w14:textId="48294803" w:rsidR="00E73EC8" w:rsidRPr="00A87D4D" w:rsidRDefault="002C0D7A" w:rsidP="00A33C18">
      <w:pPr>
        <w:pStyle w:val="Prrafodelista"/>
        <w:numPr>
          <w:ilvl w:val="0"/>
          <w:numId w:val="4"/>
        </w:numPr>
        <w:spacing w:before="120" w:after="120"/>
        <w:contextualSpacing w:val="0"/>
        <w:jc w:val="both"/>
        <w:rPr>
          <w:rFonts w:ascii="Arial" w:hAnsi="Arial" w:cs="Arial"/>
        </w:rPr>
      </w:pPr>
      <w:r w:rsidRPr="00C9666A">
        <w:rPr>
          <w:rFonts w:ascii="Arial" w:hAnsi="Arial" w:cs="Arial"/>
          <w:color w:val="000000"/>
        </w:rPr>
        <w:t>L</w:t>
      </w:r>
      <w:r w:rsidR="00E73EC8" w:rsidRPr="00C9666A">
        <w:rPr>
          <w:rFonts w:ascii="Arial" w:hAnsi="Arial" w:cs="Arial"/>
          <w:color w:val="000000"/>
        </w:rPr>
        <w:t xml:space="preserve">a </w:t>
      </w:r>
      <w:r w:rsidRPr="00C9666A">
        <w:rPr>
          <w:rFonts w:ascii="Arial" w:hAnsi="Arial" w:cs="Arial"/>
          <w:color w:val="000000"/>
        </w:rPr>
        <w:t>licitaci</w:t>
      </w:r>
      <w:r w:rsidR="00A928BC">
        <w:rPr>
          <w:rFonts w:ascii="Arial" w:hAnsi="Arial" w:cs="Arial"/>
          <w:color w:val="000000"/>
        </w:rPr>
        <w:t>ón de frecuencias del espectro radioeléctrico</w:t>
      </w:r>
      <w:r w:rsidRPr="00C9666A">
        <w:rPr>
          <w:rFonts w:ascii="Arial" w:hAnsi="Arial" w:cs="Arial"/>
          <w:color w:val="000000"/>
        </w:rPr>
        <w:t xml:space="preserve"> </w:t>
      </w:r>
      <w:r w:rsidR="00E73EC8" w:rsidRPr="00C9666A">
        <w:rPr>
          <w:rFonts w:ascii="Arial" w:hAnsi="Arial" w:cs="Arial"/>
          <w:color w:val="000000"/>
        </w:rPr>
        <w:t xml:space="preserve">que se prevén llevar </w:t>
      </w:r>
      <w:r w:rsidR="009A7628" w:rsidRPr="00C9666A">
        <w:rPr>
          <w:rFonts w:ascii="Arial" w:hAnsi="Arial" w:cs="Arial"/>
          <w:color w:val="000000"/>
        </w:rPr>
        <w:t>conforme a los programas de uso y aprovechamiento de bandas de frecuencias</w:t>
      </w:r>
      <w:r w:rsidR="00A928BC">
        <w:rPr>
          <w:rFonts w:ascii="Arial" w:hAnsi="Arial" w:cs="Arial"/>
          <w:color w:val="000000"/>
        </w:rPr>
        <w:t xml:space="preserve"> (Licitación No. IFT-8)</w:t>
      </w:r>
      <w:r w:rsidR="00461FA0">
        <w:rPr>
          <w:rFonts w:ascii="Arial" w:hAnsi="Arial" w:cs="Arial"/>
          <w:color w:val="000000"/>
        </w:rPr>
        <w:t>.</w:t>
      </w:r>
    </w:p>
    <w:p w14:paraId="66F758C3" w14:textId="050EF5D4" w:rsidR="00AE4CD4" w:rsidRPr="00C9666A" w:rsidRDefault="00AE4CD4" w:rsidP="00A33C18">
      <w:pPr>
        <w:spacing w:before="120" w:after="120"/>
        <w:jc w:val="both"/>
        <w:rPr>
          <w:rFonts w:ascii="Arial" w:hAnsi="Arial" w:cs="Arial"/>
        </w:rPr>
      </w:pPr>
      <w:r w:rsidRPr="00C9666A">
        <w:rPr>
          <w:rFonts w:ascii="Arial" w:hAnsi="Arial" w:cs="Arial"/>
        </w:rPr>
        <w:t xml:space="preserve">Las licitaciones implementadas por el Instituto y las que se prevén llevar a cabo </w:t>
      </w:r>
      <w:r w:rsidR="006B245E" w:rsidRPr="00C9666A">
        <w:rPr>
          <w:rFonts w:ascii="Arial" w:hAnsi="Arial" w:cs="Arial"/>
        </w:rPr>
        <w:t xml:space="preserve">pueden cambiar la estructura </w:t>
      </w:r>
      <w:r w:rsidRPr="00C9666A">
        <w:rPr>
          <w:rFonts w:ascii="Arial" w:hAnsi="Arial" w:cs="Arial"/>
        </w:rPr>
        <w:t xml:space="preserve">en </w:t>
      </w:r>
      <w:r w:rsidR="006B245E" w:rsidRPr="00C9666A">
        <w:rPr>
          <w:rFonts w:ascii="Arial" w:hAnsi="Arial" w:cs="Arial"/>
        </w:rPr>
        <w:t xml:space="preserve">los </w:t>
      </w:r>
      <w:r w:rsidRPr="00C9666A">
        <w:rPr>
          <w:rFonts w:ascii="Arial" w:hAnsi="Arial" w:cs="Arial"/>
        </w:rPr>
        <w:t xml:space="preserve">mercados del sector de radiodifusión, por lo que el valor inferior del </w:t>
      </w:r>
      <w:r w:rsidR="00193362" w:rsidRPr="00C9666A">
        <w:rPr>
          <w:rFonts w:ascii="Arial" w:hAnsi="Arial" w:cs="Arial"/>
        </w:rPr>
        <w:t>IHH</w:t>
      </w:r>
      <w:r w:rsidRPr="00C9666A">
        <w:rPr>
          <w:rFonts w:ascii="Arial" w:hAnsi="Arial" w:cs="Arial"/>
        </w:rPr>
        <w:t xml:space="preserve"> </w:t>
      </w:r>
      <w:r w:rsidRPr="00C9666A">
        <w:rPr>
          <w:rFonts w:ascii="Arial" w:hAnsi="Arial" w:cs="Arial"/>
        </w:rPr>
        <w:lastRenderedPageBreak/>
        <w:t xml:space="preserve">calculado </w:t>
      </w:r>
      <w:r w:rsidR="00C644CB" w:rsidRPr="00C9666A">
        <w:rPr>
          <w:rFonts w:ascii="Arial" w:hAnsi="Arial" w:cs="Arial"/>
        </w:rPr>
        <w:t xml:space="preserve">en asuntos no autorizados, </w:t>
      </w:r>
      <w:r w:rsidRPr="00C9666A">
        <w:rPr>
          <w:rFonts w:ascii="Arial" w:hAnsi="Arial" w:cs="Arial"/>
        </w:rPr>
        <w:t>2,</w:t>
      </w:r>
      <w:r w:rsidR="006F02D9">
        <w:rPr>
          <w:rFonts w:ascii="Arial" w:hAnsi="Arial" w:cs="Arial"/>
        </w:rPr>
        <w:t>245</w:t>
      </w:r>
      <w:r w:rsidRPr="00C9666A">
        <w:rPr>
          <w:rFonts w:ascii="Arial" w:hAnsi="Arial" w:cs="Arial"/>
        </w:rPr>
        <w:t xml:space="preserve"> puntos</w:t>
      </w:r>
      <w:r w:rsidR="00C644CB" w:rsidRPr="00C9666A">
        <w:rPr>
          <w:rFonts w:ascii="Arial" w:hAnsi="Arial" w:cs="Arial"/>
        </w:rPr>
        <w:t xml:space="preserve">, </w:t>
      </w:r>
      <w:r w:rsidR="006B245E" w:rsidRPr="00C9666A">
        <w:rPr>
          <w:rFonts w:ascii="Arial" w:hAnsi="Arial" w:cs="Arial"/>
        </w:rPr>
        <w:t xml:space="preserve">puede </w:t>
      </w:r>
      <w:r w:rsidR="00C644CB" w:rsidRPr="00C9666A">
        <w:rPr>
          <w:rFonts w:ascii="Arial" w:hAnsi="Arial" w:cs="Arial"/>
        </w:rPr>
        <w:t>reducirse para otros asuntos a evaluar por el Instituto.</w:t>
      </w:r>
      <w:r w:rsidRPr="00C9666A">
        <w:rPr>
          <w:rFonts w:ascii="Arial" w:hAnsi="Arial" w:cs="Arial"/>
        </w:rPr>
        <w:t xml:space="preserve"> </w:t>
      </w:r>
    </w:p>
    <w:p w14:paraId="7FF803AF" w14:textId="7B13D06F" w:rsidR="00AE4CD4" w:rsidRDefault="00DE4705" w:rsidP="00C9666A">
      <w:pPr>
        <w:spacing w:before="120" w:after="120"/>
        <w:ind w:right="-1"/>
        <w:jc w:val="both"/>
        <w:rPr>
          <w:rFonts w:ascii="Arial" w:hAnsi="Arial" w:cs="Arial"/>
        </w:rPr>
      </w:pPr>
      <w:r w:rsidRPr="00C9666A">
        <w:rPr>
          <w:rFonts w:ascii="Arial" w:hAnsi="Arial" w:cs="Arial"/>
        </w:rPr>
        <w:t xml:space="preserve">Por lo anterior, se </w:t>
      </w:r>
      <w:r w:rsidR="00461FA0">
        <w:rPr>
          <w:rFonts w:ascii="Arial" w:hAnsi="Arial" w:cs="Arial"/>
        </w:rPr>
        <w:t>considera conveniente</w:t>
      </w:r>
      <w:r w:rsidR="00461FA0" w:rsidRPr="00C9666A">
        <w:rPr>
          <w:rFonts w:ascii="Arial" w:hAnsi="Arial" w:cs="Arial"/>
        </w:rPr>
        <w:t xml:space="preserve"> </w:t>
      </w:r>
      <w:r w:rsidRPr="00C9666A">
        <w:rPr>
          <w:rFonts w:ascii="Arial" w:hAnsi="Arial" w:cs="Arial"/>
        </w:rPr>
        <w:t>analizar aquellos mercados cuyo valor de IHH se encuentre entre 2</w:t>
      </w:r>
      <w:r w:rsidR="009B4F84" w:rsidRPr="00C9666A">
        <w:rPr>
          <w:rFonts w:ascii="Arial" w:hAnsi="Arial" w:cs="Arial"/>
        </w:rPr>
        <w:t>,</w:t>
      </w:r>
      <w:r w:rsidRPr="00C9666A">
        <w:rPr>
          <w:rFonts w:ascii="Arial" w:hAnsi="Arial" w:cs="Arial"/>
        </w:rPr>
        <w:t xml:space="preserve">000 y </w:t>
      </w:r>
      <w:r w:rsidR="003B0222" w:rsidRPr="00C9666A">
        <w:rPr>
          <w:rFonts w:ascii="Arial" w:hAnsi="Arial" w:cs="Arial"/>
        </w:rPr>
        <w:t>2</w:t>
      </w:r>
      <w:r w:rsidR="009B4F84" w:rsidRPr="00C9666A">
        <w:rPr>
          <w:rFonts w:ascii="Arial" w:hAnsi="Arial" w:cs="Arial"/>
        </w:rPr>
        <w:t>,</w:t>
      </w:r>
      <w:r w:rsidR="003B0222" w:rsidRPr="00C9666A">
        <w:rPr>
          <w:rFonts w:ascii="Arial" w:hAnsi="Arial" w:cs="Arial"/>
        </w:rPr>
        <w:t>5</w:t>
      </w:r>
      <w:r w:rsidRPr="00C9666A">
        <w:rPr>
          <w:rFonts w:ascii="Arial" w:hAnsi="Arial" w:cs="Arial"/>
        </w:rPr>
        <w:t xml:space="preserve">00 puntos, es decir, que refleje una concentración moderada, y que la operación genere un </w:t>
      </w:r>
      <m:oMath>
        <m:r>
          <m:rPr>
            <m:sty m:val="p"/>
          </m:rPr>
          <w:rPr>
            <w:rFonts w:ascii="Cambria Math" w:hAnsi="Cambria Math" w:cs="Arial"/>
          </w:rPr>
          <m:t>∆IHH</m:t>
        </m:r>
      </m:oMath>
      <w:r w:rsidRPr="00C9666A">
        <w:rPr>
          <w:rFonts w:ascii="Arial" w:hAnsi="Arial" w:cs="Arial"/>
        </w:rPr>
        <w:t xml:space="preserve"> </w:t>
      </w:r>
      <m:oMath>
        <m:r>
          <w:rPr>
            <w:rFonts w:ascii="Cambria Math" w:hAnsi="Cambria Math" w:cs="Arial"/>
          </w:rPr>
          <m:t>&gt;</m:t>
        </m:r>
      </m:oMath>
      <w:r w:rsidRPr="00C9666A">
        <w:rPr>
          <w:rFonts w:ascii="Arial" w:hAnsi="Arial" w:cs="Arial"/>
        </w:rPr>
        <w:t xml:space="preserve"> 150 puntos. Asimismo, se propone </w:t>
      </w:r>
      <w:r w:rsidR="004C7917" w:rsidRPr="00C9666A">
        <w:rPr>
          <w:rFonts w:ascii="Arial" w:hAnsi="Arial" w:cs="Arial"/>
        </w:rPr>
        <w:t>considerar que existen potenciales riesgos de que una operación tiene por objeto o efecto obstaculizar, disminuir, dañar o impedir la competencia y la libre concurrencia, si sucede, por ejemplo, que los agentes económicos involucrados en la operación alcancen una participación superior al treinta y cinco por ciento o cuando e</w:t>
      </w:r>
      <w:r w:rsidR="004C7917" w:rsidRPr="00C9666A">
        <w:rPr>
          <w:rFonts w:ascii="Arial" w:eastAsia="Times New Roman" w:hAnsi="Arial" w:cs="Arial"/>
          <w:color w:val="000000"/>
          <w:lang w:eastAsia="es-MX"/>
        </w:rPr>
        <w:t xml:space="preserve">l agente económico adquirido sea un agente económico disruptivo (conocido como </w:t>
      </w:r>
      <w:proofErr w:type="spellStart"/>
      <w:r w:rsidR="004C7917" w:rsidRPr="00C9666A">
        <w:rPr>
          <w:rFonts w:ascii="Arial" w:eastAsia="Times New Roman" w:hAnsi="Arial" w:cs="Arial"/>
          <w:i/>
          <w:color w:val="000000"/>
          <w:lang w:eastAsia="es-MX"/>
        </w:rPr>
        <w:t>maverick</w:t>
      </w:r>
      <w:proofErr w:type="spellEnd"/>
      <w:r w:rsidR="004C7917" w:rsidRPr="00C9666A">
        <w:rPr>
          <w:rFonts w:ascii="Arial" w:eastAsia="Times New Roman" w:hAnsi="Arial" w:cs="Arial"/>
          <w:color w:val="000000"/>
          <w:lang w:eastAsia="es-MX"/>
        </w:rPr>
        <w:t xml:space="preserve"> en inglés), como se indica en la sección VII.</w:t>
      </w:r>
      <w:r w:rsidR="007474BD" w:rsidRPr="00C9666A">
        <w:rPr>
          <w:rFonts w:ascii="Arial" w:hAnsi="Arial" w:cs="Arial"/>
        </w:rPr>
        <w:t xml:space="preserve"> </w:t>
      </w:r>
    </w:p>
    <w:p w14:paraId="2386605A" w14:textId="77777777" w:rsidR="00D879AA" w:rsidRPr="00C9666A" w:rsidRDefault="00D879AA" w:rsidP="00C9666A">
      <w:pPr>
        <w:spacing w:before="120" w:after="120"/>
        <w:ind w:right="-1"/>
        <w:jc w:val="both"/>
        <w:rPr>
          <w:rFonts w:ascii="Arial" w:hAnsi="Arial" w:cs="Arial"/>
        </w:rPr>
      </w:pPr>
    </w:p>
    <w:p w14:paraId="68B250D9" w14:textId="77777777" w:rsidR="009D727F" w:rsidRPr="00C9666A" w:rsidRDefault="009D727F" w:rsidP="00C9666A">
      <w:pPr>
        <w:pStyle w:val="Ttulo1"/>
        <w:keepLines w:val="0"/>
        <w:numPr>
          <w:ilvl w:val="0"/>
          <w:numId w:val="38"/>
        </w:numPr>
        <w:spacing w:before="120" w:after="120"/>
        <w:rPr>
          <w:rFonts w:ascii="Arial" w:hAnsi="Arial" w:cs="Arial"/>
          <w:b/>
          <w:color w:val="auto"/>
          <w:sz w:val="22"/>
        </w:rPr>
      </w:pPr>
      <w:bookmarkStart w:id="7" w:name="_Toc432706534"/>
      <w:r w:rsidRPr="00C9666A">
        <w:rPr>
          <w:rFonts w:ascii="Arial" w:hAnsi="Arial" w:cs="Arial"/>
          <w:b/>
          <w:color w:val="auto"/>
          <w:sz w:val="22"/>
        </w:rPr>
        <w:t>Resumen</w:t>
      </w:r>
      <w:bookmarkEnd w:id="7"/>
    </w:p>
    <w:p w14:paraId="45384E03" w14:textId="77777777" w:rsidR="00F67416" w:rsidRPr="00C9666A" w:rsidRDefault="00670061" w:rsidP="00C9666A">
      <w:pPr>
        <w:spacing w:before="120" w:after="120"/>
        <w:ind w:right="-1"/>
        <w:jc w:val="both"/>
        <w:rPr>
          <w:rFonts w:ascii="Arial" w:hAnsi="Arial" w:cs="Arial"/>
        </w:rPr>
      </w:pPr>
      <w:r w:rsidRPr="00C9666A">
        <w:rPr>
          <w:rFonts w:ascii="Arial" w:hAnsi="Arial" w:cs="Arial"/>
        </w:rPr>
        <w:t>De la revisi</w:t>
      </w:r>
      <w:r w:rsidR="00F67416" w:rsidRPr="00C9666A">
        <w:rPr>
          <w:rFonts w:ascii="Arial" w:hAnsi="Arial" w:cs="Arial"/>
        </w:rPr>
        <w:t xml:space="preserve">ón de </w:t>
      </w:r>
      <w:r w:rsidR="00037B95" w:rsidRPr="00C9666A">
        <w:rPr>
          <w:rFonts w:ascii="Arial" w:hAnsi="Arial" w:cs="Arial"/>
        </w:rPr>
        <w:t xml:space="preserve">las participaciones de mercado e </w:t>
      </w:r>
      <w:r w:rsidR="00F67416" w:rsidRPr="00C9666A">
        <w:rPr>
          <w:rFonts w:ascii="Arial" w:hAnsi="Arial" w:cs="Arial"/>
        </w:rPr>
        <w:t>índices de concentración</w:t>
      </w:r>
      <w:r w:rsidR="00037B95" w:rsidRPr="00C9666A">
        <w:rPr>
          <w:rFonts w:ascii="Arial" w:hAnsi="Arial" w:cs="Arial"/>
        </w:rPr>
        <w:t xml:space="preserve"> de resoluciones tomadas por la extinta CFC y el Instituto</w:t>
      </w:r>
      <w:r w:rsidR="00E73EC8" w:rsidRPr="00C9666A">
        <w:rPr>
          <w:rFonts w:ascii="Arial" w:hAnsi="Arial" w:cs="Arial"/>
        </w:rPr>
        <w:t>; l</w:t>
      </w:r>
      <w:r w:rsidR="00E73EC8" w:rsidRPr="00C9666A">
        <w:rPr>
          <w:rFonts w:ascii="Arial" w:hAnsi="Arial" w:cs="Arial"/>
          <w:color w:val="000000"/>
        </w:rPr>
        <w:t>as estructuras de competencia actuales de diversos mercados en los sectores de telecomunicaciones y radiodifusión; las posibles modificaciones que podrían experimentar las estructuras de competencia de los mercados analizados, como consecuencia de licitaci</w:t>
      </w:r>
      <w:r w:rsidR="004B4747" w:rsidRPr="00C9666A">
        <w:rPr>
          <w:rFonts w:ascii="Arial" w:hAnsi="Arial" w:cs="Arial"/>
          <w:color w:val="000000"/>
        </w:rPr>
        <w:t>ones</w:t>
      </w:r>
      <w:r w:rsidR="00E73EC8" w:rsidRPr="00C9666A">
        <w:rPr>
          <w:rFonts w:ascii="Arial" w:hAnsi="Arial" w:cs="Arial"/>
          <w:color w:val="000000"/>
        </w:rPr>
        <w:t xml:space="preserve"> de frecuencias del espectro radioeléctrico; y </w:t>
      </w:r>
      <w:r w:rsidRPr="00C9666A">
        <w:rPr>
          <w:rFonts w:ascii="Arial" w:hAnsi="Arial" w:cs="Arial"/>
        </w:rPr>
        <w:t>de l</w:t>
      </w:r>
      <w:r w:rsidR="00E73EC8" w:rsidRPr="00C9666A">
        <w:rPr>
          <w:rFonts w:ascii="Arial" w:hAnsi="Arial" w:cs="Arial"/>
        </w:rPr>
        <w:t>o</w:t>
      </w:r>
      <w:r w:rsidR="009D727F" w:rsidRPr="00C9666A">
        <w:rPr>
          <w:rFonts w:ascii="Arial" w:hAnsi="Arial" w:cs="Arial"/>
        </w:rPr>
        <w:t xml:space="preserve">s </w:t>
      </w:r>
      <w:r w:rsidR="00E73EC8" w:rsidRPr="00C9666A">
        <w:rPr>
          <w:rFonts w:ascii="Arial" w:hAnsi="Arial" w:cs="Arial"/>
        </w:rPr>
        <w:t>criterios utilizados por otras autoridades de competencia en el mundo y en México</w:t>
      </w:r>
      <w:r w:rsidRPr="00C9666A">
        <w:rPr>
          <w:rFonts w:ascii="Arial" w:hAnsi="Arial" w:cs="Arial"/>
        </w:rPr>
        <w:t xml:space="preserve">, </w:t>
      </w:r>
      <w:r w:rsidR="009D727F" w:rsidRPr="00C9666A">
        <w:rPr>
          <w:rFonts w:ascii="Arial" w:hAnsi="Arial" w:cs="Arial"/>
        </w:rPr>
        <w:t>se</w:t>
      </w:r>
      <w:r w:rsidR="00545F25" w:rsidRPr="00C9666A">
        <w:rPr>
          <w:rFonts w:ascii="Arial" w:hAnsi="Arial" w:cs="Arial"/>
        </w:rPr>
        <w:t xml:space="preserve"> conclu</w:t>
      </w:r>
      <w:r w:rsidR="009D727F" w:rsidRPr="00C9666A">
        <w:rPr>
          <w:rFonts w:ascii="Arial" w:hAnsi="Arial" w:cs="Arial"/>
        </w:rPr>
        <w:t>ye</w:t>
      </w:r>
      <w:r w:rsidR="00545F25" w:rsidRPr="00C9666A">
        <w:rPr>
          <w:rFonts w:ascii="Arial" w:hAnsi="Arial" w:cs="Arial"/>
        </w:rPr>
        <w:t xml:space="preserve"> lo siguiente</w:t>
      </w:r>
      <w:r w:rsidR="00F67416" w:rsidRPr="00C9666A">
        <w:rPr>
          <w:rFonts w:ascii="Arial" w:hAnsi="Arial" w:cs="Arial"/>
        </w:rPr>
        <w:t>:</w:t>
      </w:r>
    </w:p>
    <w:p w14:paraId="1C1597B1" w14:textId="77777777" w:rsidR="00C804B4" w:rsidRPr="00C9666A" w:rsidRDefault="00C804B4" w:rsidP="00C9666A">
      <w:pPr>
        <w:spacing w:before="120" w:after="120"/>
        <w:ind w:right="-1"/>
        <w:jc w:val="both"/>
        <w:rPr>
          <w:rFonts w:ascii="Arial" w:hAnsi="Arial" w:cs="Arial"/>
        </w:rPr>
      </w:pPr>
    </w:p>
    <w:p w14:paraId="03692989" w14:textId="77777777" w:rsidR="00D27B0D" w:rsidRPr="00C9666A" w:rsidRDefault="00F67416" w:rsidP="00C9666A">
      <w:pPr>
        <w:keepNext/>
        <w:spacing w:before="120" w:after="120"/>
        <w:jc w:val="both"/>
        <w:rPr>
          <w:rFonts w:ascii="Arial" w:hAnsi="Arial" w:cs="Arial"/>
          <w:b/>
        </w:rPr>
      </w:pPr>
      <w:r w:rsidRPr="00C9666A">
        <w:rPr>
          <w:rFonts w:ascii="Arial" w:hAnsi="Arial" w:cs="Arial"/>
          <w:b/>
        </w:rPr>
        <w:t>R</w:t>
      </w:r>
      <w:r w:rsidR="00E26E58" w:rsidRPr="00C9666A">
        <w:rPr>
          <w:rFonts w:ascii="Arial" w:hAnsi="Arial" w:cs="Arial"/>
          <w:b/>
        </w:rPr>
        <w:t xml:space="preserve">especto al </w:t>
      </w:r>
      <w:r w:rsidR="00193362" w:rsidRPr="00C9666A">
        <w:rPr>
          <w:rFonts w:ascii="Arial" w:hAnsi="Arial" w:cs="Arial"/>
          <w:b/>
        </w:rPr>
        <w:t>IHH</w:t>
      </w:r>
      <w:r w:rsidR="00545F25" w:rsidRPr="00C9666A">
        <w:rPr>
          <w:rFonts w:ascii="Arial" w:hAnsi="Arial" w:cs="Arial"/>
          <w:b/>
        </w:rPr>
        <w:t>:</w:t>
      </w:r>
    </w:p>
    <w:p w14:paraId="4D565BD5" w14:textId="04E81F89" w:rsidR="00B74024"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 xml:space="preserve">El </w:t>
      </w:r>
      <w:r w:rsidR="00193362" w:rsidRPr="00C9666A">
        <w:rPr>
          <w:rFonts w:ascii="Arial" w:hAnsi="Arial" w:cs="Arial"/>
        </w:rPr>
        <w:t>IHH</w:t>
      </w:r>
      <w:r w:rsidRPr="00C9666A">
        <w:rPr>
          <w:rFonts w:ascii="Arial" w:hAnsi="Arial" w:cs="Arial"/>
        </w:rPr>
        <w:t xml:space="preserve"> es un indicador adecuado del grado de concentración de mercado y</w:t>
      </w:r>
      <w:r w:rsidR="009D727F" w:rsidRPr="00C9666A">
        <w:rPr>
          <w:rFonts w:ascii="Arial" w:hAnsi="Arial" w:cs="Arial"/>
        </w:rPr>
        <w:t xml:space="preserve"> el</w:t>
      </w:r>
      <w:r w:rsidRPr="00C9666A">
        <w:rPr>
          <w:rFonts w:ascii="Arial" w:hAnsi="Arial" w:cs="Arial"/>
        </w:rPr>
        <w:t xml:space="preserve"> </w:t>
      </w:r>
      <m:oMath>
        <m:r>
          <m:rPr>
            <m:sty m:val="p"/>
          </m:rPr>
          <w:rPr>
            <w:rFonts w:ascii="Cambria Math" w:hAnsi="Cambria Math" w:cs="Arial"/>
          </w:rPr>
          <m:t>∆IHH</m:t>
        </m:r>
      </m:oMath>
      <w:r w:rsidR="009D727F" w:rsidRPr="00C9666A">
        <w:rPr>
          <w:rFonts w:ascii="Arial" w:hAnsi="Arial" w:cs="Arial"/>
        </w:rPr>
        <w:t xml:space="preserve"> </w:t>
      </w:r>
      <w:r w:rsidRPr="00C9666A">
        <w:rPr>
          <w:rFonts w:ascii="Arial" w:hAnsi="Arial" w:cs="Arial"/>
        </w:rPr>
        <w:t xml:space="preserve">refleja el cambio en la concentración del mercado producto de una </w:t>
      </w:r>
      <w:r w:rsidR="009D727F" w:rsidRPr="00C9666A">
        <w:rPr>
          <w:rFonts w:ascii="Arial" w:hAnsi="Arial" w:cs="Arial"/>
        </w:rPr>
        <w:t>concentración</w:t>
      </w:r>
      <w:r w:rsidRPr="00C9666A">
        <w:rPr>
          <w:rFonts w:ascii="Arial" w:hAnsi="Arial" w:cs="Arial"/>
        </w:rPr>
        <w:t>.</w:t>
      </w:r>
    </w:p>
    <w:p w14:paraId="050DE3CF" w14:textId="77777777" w:rsidR="00B74024"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 xml:space="preserve">Al </w:t>
      </w:r>
      <w:r w:rsidR="00F4684D" w:rsidRPr="00C9666A">
        <w:rPr>
          <w:rFonts w:ascii="Arial" w:hAnsi="Arial" w:cs="Arial"/>
        </w:rPr>
        <w:t>estar relacionado directamente con el</w:t>
      </w:r>
      <w:r w:rsidRPr="00C9666A">
        <w:rPr>
          <w:rFonts w:ascii="Arial" w:hAnsi="Arial" w:cs="Arial"/>
        </w:rPr>
        <w:t xml:space="preserve"> índice de Lerner, el</w:t>
      </w:r>
      <w:r w:rsidR="009D727F" w:rsidRPr="00C9666A">
        <w:rPr>
          <w:rFonts w:ascii="Arial" w:hAnsi="Arial" w:cs="Arial"/>
        </w:rPr>
        <w:t xml:space="preserve"> </w:t>
      </w:r>
      <w:r w:rsidR="00193362" w:rsidRPr="00C9666A">
        <w:rPr>
          <w:rFonts w:ascii="Arial" w:hAnsi="Arial" w:cs="Arial"/>
        </w:rPr>
        <w:t>IHH</w:t>
      </w:r>
      <w:r w:rsidRPr="00C9666A">
        <w:rPr>
          <w:rFonts w:ascii="Arial" w:hAnsi="Arial" w:cs="Arial"/>
        </w:rPr>
        <w:t xml:space="preserve"> tiene un sustento microeconómico </w:t>
      </w:r>
      <w:r w:rsidR="00C5547F" w:rsidRPr="00C9666A">
        <w:rPr>
          <w:rFonts w:ascii="Arial" w:hAnsi="Arial" w:cs="Arial"/>
        </w:rPr>
        <w:t xml:space="preserve">y </w:t>
      </w:r>
      <w:r w:rsidRPr="00C9666A">
        <w:rPr>
          <w:rFonts w:ascii="Arial" w:hAnsi="Arial" w:cs="Arial"/>
        </w:rPr>
        <w:t>p</w:t>
      </w:r>
      <w:r w:rsidR="00C5547F" w:rsidRPr="00C9666A">
        <w:rPr>
          <w:rFonts w:ascii="Arial" w:hAnsi="Arial" w:cs="Arial"/>
        </w:rPr>
        <w:t xml:space="preserve">uede interpretarse como una medida de la capacidad de </w:t>
      </w:r>
      <w:r w:rsidR="00F81E40" w:rsidRPr="00C9666A">
        <w:rPr>
          <w:rFonts w:ascii="Arial" w:hAnsi="Arial" w:cs="Arial"/>
        </w:rPr>
        <w:t>los participantes</w:t>
      </w:r>
      <w:r w:rsidR="00C5547F" w:rsidRPr="00C9666A">
        <w:rPr>
          <w:rFonts w:ascii="Arial" w:hAnsi="Arial" w:cs="Arial"/>
        </w:rPr>
        <w:t xml:space="preserve"> para fijar precios</w:t>
      </w:r>
      <w:r w:rsidRPr="00C9666A">
        <w:rPr>
          <w:rFonts w:ascii="Arial" w:hAnsi="Arial" w:cs="Arial"/>
        </w:rPr>
        <w:t>.</w:t>
      </w:r>
    </w:p>
    <w:p w14:paraId="00E91F1F" w14:textId="3DF018CC" w:rsidR="00B74024"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En la m</w:t>
      </w:r>
      <w:r w:rsidR="009D727F" w:rsidRPr="00C9666A">
        <w:rPr>
          <w:rFonts w:ascii="Arial" w:hAnsi="Arial" w:cs="Arial"/>
        </w:rPr>
        <w:t xml:space="preserve">ayoría de países se utiliza el </w:t>
      </w:r>
      <w:r w:rsidR="00193362" w:rsidRPr="00C9666A">
        <w:rPr>
          <w:rFonts w:ascii="Arial" w:hAnsi="Arial" w:cs="Arial"/>
        </w:rPr>
        <w:t>IHH</w:t>
      </w:r>
      <w:r w:rsidRPr="00C9666A">
        <w:rPr>
          <w:rFonts w:ascii="Arial" w:hAnsi="Arial" w:cs="Arial"/>
        </w:rPr>
        <w:t xml:space="preserve"> y </w:t>
      </w:r>
      <w:r w:rsidR="009D727F" w:rsidRPr="00C9666A">
        <w:rPr>
          <w:rFonts w:ascii="Arial" w:hAnsi="Arial" w:cs="Arial"/>
        </w:rPr>
        <w:t xml:space="preserve">el </w:t>
      </w:r>
      <m:oMath>
        <m:r>
          <m:rPr>
            <m:sty m:val="p"/>
          </m:rPr>
          <w:rPr>
            <w:rFonts w:ascii="Cambria Math" w:hAnsi="Cambria Math" w:cs="Arial"/>
          </w:rPr>
          <m:t>∆IHH</m:t>
        </m:r>
      </m:oMath>
      <w:r w:rsidR="009D727F" w:rsidRPr="00C9666A">
        <w:rPr>
          <w:rFonts w:ascii="Arial" w:hAnsi="Arial" w:cs="Arial"/>
        </w:rPr>
        <w:t xml:space="preserve"> </w:t>
      </w:r>
      <w:proofErr w:type="spellStart"/>
      <w:r w:rsidRPr="00C9666A">
        <w:rPr>
          <w:rFonts w:ascii="Arial" w:hAnsi="Arial" w:cs="Arial"/>
        </w:rPr>
        <w:t>como</w:t>
      </w:r>
      <w:proofErr w:type="spellEnd"/>
      <w:r w:rsidRPr="00C9666A">
        <w:rPr>
          <w:rFonts w:ascii="Arial" w:hAnsi="Arial" w:cs="Arial"/>
        </w:rPr>
        <w:t xml:space="preserve"> indicadores del grado de concentración</w:t>
      </w:r>
      <w:r w:rsidR="00F4684D" w:rsidRPr="00C9666A">
        <w:rPr>
          <w:rFonts w:ascii="Arial" w:hAnsi="Arial" w:cs="Arial"/>
        </w:rPr>
        <w:t xml:space="preserve"> en los mercados</w:t>
      </w:r>
      <w:r w:rsidRPr="00C9666A">
        <w:rPr>
          <w:rFonts w:ascii="Arial" w:hAnsi="Arial" w:cs="Arial"/>
        </w:rPr>
        <w:t>. Dicho</w:t>
      </w:r>
      <w:r w:rsidR="00F67416" w:rsidRPr="00C9666A">
        <w:rPr>
          <w:rFonts w:ascii="Arial" w:hAnsi="Arial" w:cs="Arial"/>
        </w:rPr>
        <w:t xml:space="preserve"> índice se utiliza </w:t>
      </w:r>
      <w:r w:rsidRPr="00C9666A">
        <w:rPr>
          <w:rFonts w:ascii="Arial" w:hAnsi="Arial" w:cs="Arial"/>
        </w:rPr>
        <w:t>como un</w:t>
      </w:r>
      <w:r w:rsidR="00C644CB" w:rsidRPr="00C9666A">
        <w:rPr>
          <w:rFonts w:ascii="Arial" w:hAnsi="Arial" w:cs="Arial"/>
        </w:rPr>
        <w:t>a referencia para identificar concentraciones con bajas probabilidades de afectar</w:t>
      </w:r>
      <w:r w:rsidRPr="00C9666A">
        <w:rPr>
          <w:rFonts w:ascii="Arial" w:hAnsi="Arial" w:cs="Arial"/>
        </w:rPr>
        <w:t xml:space="preserve"> </w:t>
      </w:r>
      <w:r w:rsidR="00C644CB" w:rsidRPr="00C9666A">
        <w:rPr>
          <w:rFonts w:ascii="Arial" w:hAnsi="Arial" w:cs="Arial"/>
        </w:rPr>
        <w:t xml:space="preserve">la </w:t>
      </w:r>
      <w:r w:rsidRPr="00C9666A">
        <w:rPr>
          <w:rFonts w:ascii="Arial" w:hAnsi="Arial" w:cs="Arial"/>
        </w:rPr>
        <w:t>competencia.</w:t>
      </w:r>
    </w:p>
    <w:p w14:paraId="0A5B8E1B" w14:textId="77777777" w:rsidR="00B74024"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 xml:space="preserve">La mayoría de </w:t>
      </w:r>
      <w:r w:rsidR="00C644CB" w:rsidRPr="00C9666A">
        <w:rPr>
          <w:rFonts w:ascii="Arial" w:hAnsi="Arial" w:cs="Arial"/>
        </w:rPr>
        <w:t xml:space="preserve">las autoridades de competencia en el mundo </w:t>
      </w:r>
      <w:r w:rsidR="009D727F" w:rsidRPr="00C9666A">
        <w:rPr>
          <w:rFonts w:ascii="Arial" w:hAnsi="Arial" w:cs="Arial"/>
        </w:rPr>
        <w:t>establecen</w:t>
      </w:r>
      <w:r w:rsidRPr="00C9666A">
        <w:rPr>
          <w:rFonts w:ascii="Arial" w:hAnsi="Arial" w:cs="Arial"/>
        </w:rPr>
        <w:t xml:space="preserve"> umbrales del </w:t>
      </w:r>
      <w:r w:rsidR="00193362" w:rsidRPr="00C9666A">
        <w:rPr>
          <w:rFonts w:ascii="Arial" w:hAnsi="Arial" w:cs="Arial"/>
        </w:rPr>
        <w:t>IHH</w:t>
      </w:r>
      <w:r w:rsidRPr="00C9666A">
        <w:rPr>
          <w:rFonts w:ascii="Arial" w:hAnsi="Arial" w:cs="Arial"/>
        </w:rPr>
        <w:t xml:space="preserve"> </w:t>
      </w:r>
      <w:r w:rsidR="00C644CB" w:rsidRPr="00C9666A">
        <w:rPr>
          <w:rFonts w:ascii="Arial" w:hAnsi="Arial" w:cs="Arial"/>
        </w:rPr>
        <w:t xml:space="preserve">como referencia </w:t>
      </w:r>
      <w:r w:rsidRPr="00C9666A">
        <w:rPr>
          <w:rFonts w:ascii="Arial" w:hAnsi="Arial" w:cs="Arial"/>
        </w:rPr>
        <w:t xml:space="preserve">para clasificar </w:t>
      </w:r>
      <w:r w:rsidR="009D727F" w:rsidRPr="00C9666A">
        <w:rPr>
          <w:rFonts w:ascii="Arial" w:hAnsi="Arial" w:cs="Arial"/>
        </w:rPr>
        <w:t>los</w:t>
      </w:r>
      <w:r w:rsidRPr="00C9666A">
        <w:rPr>
          <w:rFonts w:ascii="Arial" w:hAnsi="Arial" w:cs="Arial"/>
        </w:rPr>
        <w:t xml:space="preserve"> mercados, </w:t>
      </w:r>
      <w:r w:rsidR="009D727F" w:rsidRPr="00C9666A">
        <w:rPr>
          <w:rFonts w:ascii="Arial" w:hAnsi="Arial" w:cs="Arial"/>
        </w:rPr>
        <w:t>en función del</w:t>
      </w:r>
      <w:r w:rsidRPr="00C9666A">
        <w:rPr>
          <w:rFonts w:ascii="Arial" w:hAnsi="Arial" w:cs="Arial"/>
        </w:rPr>
        <w:t xml:space="preserve"> grado de concentrac</w:t>
      </w:r>
      <w:r w:rsidR="00F67416" w:rsidRPr="00C9666A">
        <w:rPr>
          <w:rFonts w:ascii="Arial" w:hAnsi="Arial" w:cs="Arial"/>
        </w:rPr>
        <w:t xml:space="preserve">ión que </w:t>
      </w:r>
      <w:r w:rsidR="009D727F" w:rsidRPr="00C9666A">
        <w:rPr>
          <w:rFonts w:ascii="Arial" w:hAnsi="Arial" w:cs="Arial"/>
        </w:rPr>
        <w:t xml:space="preserve">tiene </w:t>
      </w:r>
      <w:r w:rsidR="00F67416" w:rsidRPr="00C9666A">
        <w:rPr>
          <w:rFonts w:ascii="Arial" w:hAnsi="Arial" w:cs="Arial"/>
        </w:rPr>
        <w:t>cada uno de ellos.</w:t>
      </w:r>
    </w:p>
    <w:p w14:paraId="75674ADE" w14:textId="094EF6C9" w:rsidR="00B74024"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 xml:space="preserve">Las agencias de competencia </w:t>
      </w:r>
      <w:r w:rsidR="009D727F" w:rsidRPr="00C9666A">
        <w:rPr>
          <w:rFonts w:ascii="Arial" w:hAnsi="Arial" w:cs="Arial"/>
        </w:rPr>
        <w:t xml:space="preserve">económica </w:t>
      </w:r>
      <w:r w:rsidRPr="00C9666A">
        <w:rPr>
          <w:rFonts w:ascii="Arial" w:hAnsi="Arial" w:cs="Arial"/>
        </w:rPr>
        <w:t xml:space="preserve">establecen criterios basados en el </w:t>
      </w:r>
      <w:r w:rsidR="00193362" w:rsidRPr="00C9666A">
        <w:rPr>
          <w:rFonts w:ascii="Arial" w:hAnsi="Arial" w:cs="Arial"/>
        </w:rPr>
        <w:t>IHH</w:t>
      </w:r>
      <w:r w:rsidRPr="00C9666A">
        <w:rPr>
          <w:rFonts w:ascii="Arial" w:hAnsi="Arial" w:cs="Arial"/>
        </w:rPr>
        <w:t xml:space="preserve"> y </w:t>
      </w:r>
      <w:r w:rsidR="009D727F" w:rsidRPr="00C9666A">
        <w:rPr>
          <w:rFonts w:ascii="Arial" w:hAnsi="Arial" w:cs="Arial"/>
        </w:rPr>
        <w:t xml:space="preserve">el </w:t>
      </w:r>
      <m:oMath>
        <m:r>
          <m:rPr>
            <m:sty m:val="p"/>
          </m:rPr>
          <w:rPr>
            <w:rFonts w:ascii="Cambria Math" w:hAnsi="Cambria Math" w:cs="Arial"/>
          </w:rPr>
          <m:t>∆IHH</m:t>
        </m:r>
      </m:oMath>
      <w:r w:rsidRPr="00C9666A">
        <w:rPr>
          <w:rFonts w:ascii="Arial" w:hAnsi="Arial" w:cs="Arial"/>
        </w:rPr>
        <w:t xml:space="preserve"> con los siguientes objetivos i) demarcar las situaciones en las que no </w:t>
      </w:r>
      <w:r w:rsidR="009D727F" w:rsidRPr="00C9666A">
        <w:rPr>
          <w:rFonts w:ascii="Arial" w:hAnsi="Arial" w:cs="Arial"/>
        </w:rPr>
        <w:t xml:space="preserve">amerita un análisis profundo por parte de </w:t>
      </w:r>
      <w:r w:rsidRPr="00C9666A">
        <w:rPr>
          <w:rFonts w:ascii="Arial" w:hAnsi="Arial" w:cs="Arial"/>
        </w:rPr>
        <w:t>la autoridad</w:t>
      </w:r>
      <w:r w:rsidR="009D727F" w:rsidRPr="00C9666A">
        <w:rPr>
          <w:rFonts w:ascii="Arial" w:hAnsi="Arial" w:cs="Arial"/>
        </w:rPr>
        <w:t xml:space="preserve"> respecto a las concentraciones notificadas</w:t>
      </w:r>
      <w:r w:rsidRPr="00C9666A">
        <w:rPr>
          <w:rFonts w:ascii="Arial" w:hAnsi="Arial" w:cs="Arial"/>
        </w:rPr>
        <w:t xml:space="preserve">, </w:t>
      </w:r>
      <w:proofErr w:type="spellStart"/>
      <w:r w:rsidRPr="00C9666A">
        <w:rPr>
          <w:rFonts w:ascii="Arial" w:hAnsi="Arial" w:cs="Arial"/>
        </w:rPr>
        <w:t>ii</w:t>
      </w:r>
      <w:proofErr w:type="spellEnd"/>
      <w:r w:rsidRPr="00C9666A">
        <w:rPr>
          <w:rFonts w:ascii="Arial" w:hAnsi="Arial" w:cs="Arial"/>
        </w:rPr>
        <w:t xml:space="preserve">) establecer un nivel de concentración a partir del cual la autoridad hará una revisión más estricta de las concentraciones, y </w:t>
      </w:r>
      <w:proofErr w:type="spellStart"/>
      <w:r w:rsidRPr="00C9666A">
        <w:rPr>
          <w:rFonts w:ascii="Arial" w:hAnsi="Arial" w:cs="Arial"/>
        </w:rPr>
        <w:t>iii</w:t>
      </w:r>
      <w:proofErr w:type="spellEnd"/>
      <w:r w:rsidRPr="00C9666A">
        <w:rPr>
          <w:rFonts w:ascii="Arial" w:hAnsi="Arial" w:cs="Arial"/>
        </w:rPr>
        <w:t>) medir cuantitativamente, a través del</w:t>
      </w:r>
      <w:r w:rsidR="009D727F" w:rsidRPr="00C9666A">
        <w:rPr>
          <w:rFonts w:ascii="Arial" w:hAnsi="Arial" w:cs="Arial"/>
        </w:rPr>
        <w:t xml:space="preserve"> </w:t>
      </w:r>
      <m:oMath>
        <m:r>
          <m:rPr>
            <m:sty m:val="p"/>
          </m:rPr>
          <w:rPr>
            <w:rFonts w:ascii="Cambria Math" w:hAnsi="Cambria Math" w:cs="Arial"/>
          </w:rPr>
          <m:t>∆IHH</m:t>
        </m:r>
      </m:oMath>
      <w:r w:rsidRPr="00C9666A">
        <w:rPr>
          <w:rFonts w:ascii="Arial" w:hAnsi="Arial" w:cs="Arial"/>
        </w:rPr>
        <w:t xml:space="preserve">, el impacto </w:t>
      </w:r>
      <w:r w:rsidR="00C5547F" w:rsidRPr="00C9666A">
        <w:rPr>
          <w:rFonts w:ascii="Arial" w:hAnsi="Arial" w:cs="Arial"/>
        </w:rPr>
        <w:t>de</w:t>
      </w:r>
      <w:r w:rsidRPr="00C9666A">
        <w:rPr>
          <w:rFonts w:ascii="Arial" w:hAnsi="Arial" w:cs="Arial"/>
        </w:rPr>
        <w:t xml:space="preserve"> una concentración</w:t>
      </w:r>
      <w:r w:rsidR="00F4684D" w:rsidRPr="00C9666A">
        <w:rPr>
          <w:rFonts w:ascii="Arial" w:hAnsi="Arial" w:cs="Arial"/>
        </w:rPr>
        <w:t xml:space="preserve"> en la estructura del mercado o del sector</w:t>
      </w:r>
      <w:r w:rsidRPr="00C9666A">
        <w:rPr>
          <w:rFonts w:ascii="Arial" w:hAnsi="Arial" w:cs="Arial"/>
        </w:rPr>
        <w:t>.</w:t>
      </w:r>
    </w:p>
    <w:p w14:paraId="16B020AC" w14:textId="77777777" w:rsidR="00C644CB" w:rsidRPr="00C9666A" w:rsidRDefault="00B74024"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lastRenderedPageBreak/>
        <w:t xml:space="preserve">Los mercados </w:t>
      </w:r>
      <w:r w:rsidR="00F4684D" w:rsidRPr="00C9666A">
        <w:rPr>
          <w:rFonts w:ascii="Arial" w:hAnsi="Arial" w:cs="Arial"/>
        </w:rPr>
        <w:t>de los sectores de</w:t>
      </w:r>
      <w:r w:rsidRPr="00C9666A">
        <w:rPr>
          <w:rFonts w:ascii="Arial" w:hAnsi="Arial" w:cs="Arial"/>
        </w:rPr>
        <w:t xml:space="preserve"> telecomunicaciones </w:t>
      </w:r>
      <w:r w:rsidR="00F4684D" w:rsidRPr="00C9666A">
        <w:rPr>
          <w:rFonts w:ascii="Arial" w:hAnsi="Arial" w:cs="Arial"/>
        </w:rPr>
        <w:t xml:space="preserve">y radiodifusión </w:t>
      </w:r>
      <w:r w:rsidRPr="00C9666A">
        <w:rPr>
          <w:rFonts w:ascii="Arial" w:hAnsi="Arial" w:cs="Arial"/>
        </w:rPr>
        <w:t>se caracterizan por ser altamente conce</w:t>
      </w:r>
      <w:r w:rsidR="009D727F" w:rsidRPr="00C9666A">
        <w:rPr>
          <w:rFonts w:ascii="Arial" w:hAnsi="Arial" w:cs="Arial"/>
        </w:rPr>
        <w:t xml:space="preserve">ntrados. </w:t>
      </w:r>
    </w:p>
    <w:p w14:paraId="7DE225A5" w14:textId="42303E11" w:rsidR="00B74024" w:rsidRDefault="00C644CB" w:rsidP="00C9666A">
      <w:pPr>
        <w:pStyle w:val="Prrafodelista"/>
        <w:numPr>
          <w:ilvl w:val="0"/>
          <w:numId w:val="22"/>
        </w:numPr>
        <w:spacing w:before="120" w:after="120"/>
        <w:ind w:left="714" w:hanging="357"/>
        <w:contextualSpacing w:val="0"/>
        <w:jc w:val="both"/>
        <w:rPr>
          <w:rFonts w:ascii="Arial" w:hAnsi="Arial" w:cs="Arial"/>
        </w:rPr>
      </w:pPr>
      <w:r w:rsidRPr="00C9666A">
        <w:rPr>
          <w:rFonts w:ascii="Arial" w:hAnsi="Arial" w:cs="Arial"/>
        </w:rPr>
        <w:t xml:space="preserve">El </w:t>
      </w:r>
      <w:r w:rsidR="00193362" w:rsidRPr="00C9666A">
        <w:rPr>
          <w:rFonts w:ascii="Arial" w:hAnsi="Arial" w:cs="Arial"/>
        </w:rPr>
        <w:t>IHH</w:t>
      </w:r>
      <w:r w:rsidRPr="00C9666A">
        <w:rPr>
          <w:rFonts w:ascii="Arial" w:hAnsi="Arial" w:cs="Arial"/>
        </w:rPr>
        <w:t xml:space="preserve"> calculado en los asuntos no autorizados</w:t>
      </w:r>
      <w:r w:rsidR="00F4684D" w:rsidRPr="00C9666A">
        <w:rPr>
          <w:rFonts w:ascii="Arial" w:hAnsi="Arial" w:cs="Arial"/>
        </w:rPr>
        <w:t xml:space="preserve"> o con opinión no favorable, se ubica</w:t>
      </w:r>
      <w:r w:rsidRPr="00C9666A">
        <w:rPr>
          <w:rFonts w:ascii="Arial" w:hAnsi="Arial" w:cs="Arial"/>
        </w:rPr>
        <w:t xml:space="preserve"> en un rango de 2,</w:t>
      </w:r>
      <w:r w:rsidR="00773981">
        <w:rPr>
          <w:rFonts w:ascii="Arial" w:hAnsi="Arial" w:cs="Arial"/>
        </w:rPr>
        <w:t>245</w:t>
      </w:r>
      <w:r w:rsidRPr="00C9666A">
        <w:rPr>
          <w:rFonts w:ascii="Arial" w:hAnsi="Arial" w:cs="Arial"/>
        </w:rPr>
        <w:t xml:space="preserve"> a 10,000 puntos.</w:t>
      </w:r>
    </w:p>
    <w:p w14:paraId="7CD98CB1" w14:textId="4FC9E2DF" w:rsidR="00E6340E" w:rsidRDefault="00E6340E" w:rsidP="00E6340E">
      <w:pPr>
        <w:pStyle w:val="Prrafodelista"/>
        <w:numPr>
          <w:ilvl w:val="0"/>
          <w:numId w:val="22"/>
        </w:numPr>
        <w:spacing w:before="120" w:after="120"/>
        <w:ind w:right="-1"/>
        <w:contextualSpacing w:val="0"/>
        <w:jc w:val="both"/>
        <w:rPr>
          <w:rFonts w:ascii="Arial" w:hAnsi="Arial" w:cs="Arial"/>
        </w:rPr>
      </w:pPr>
      <w:r>
        <w:rPr>
          <w:rFonts w:ascii="Arial" w:hAnsi="Arial" w:cs="Arial"/>
        </w:rPr>
        <w:t>En el sector de telecomunicaciones, los niveles de concentración se mantienen elevados por encima de los 3,000 puntos. Además, n</w:t>
      </w:r>
      <w:r w:rsidRPr="00C9666A">
        <w:rPr>
          <w:rFonts w:ascii="Arial" w:hAnsi="Arial" w:cs="Arial"/>
        </w:rPr>
        <w:t>o se han rechazado operaciones en las que el agente económico resultante de la operación tiene el 35% o menos de participación de mercado</w:t>
      </w:r>
      <w:r>
        <w:rPr>
          <w:rFonts w:ascii="Arial" w:hAnsi="Arial" w:cs="Arial"/>
        </w:rPr>
        <w:t>,</w:t>
      </w:r>
    </w:p>
    <w:p w14:paraId="6C2FB256" w14:textId="42C578DA" w:rsidR="00E6340E" w:rsidRPr="00E6340E" w:rsidRDefault="00E6340E" w:rsidP="00E6340E">
      <w:pPr>
        <w:pStyle w:val="Prrafodelista"/>
        <w:numPr>
          <w:ilvl w:val="0"/>
          <w:numId w:val="22"/>
        </w:numPr>
        <w:spacing w:before="120" w:after="120"/>
        <w:ind w:left="714" w:right="-1" w:hanging="357"/>
        <w:contextualSpacing w:val="0"/>
        <w:jc w:val="both"/>
        <w:rPr>
          <w:rFonts w:ascii="Arial" w:hAnsi="Arial" w:cs="Arial"/>
        </w:rPr>
      </w:pPr>
      <w:r w:rsidRPr="00E6340E">
        <w:rPr>
          <w:rFonts w:ascii="Arial" w:hAnsi="Arial" w:cs="Arial"/>
        </w:rPr>
        <w:t xml:space="preserve">En el sector de radiodifusión, los </w:t>
      </w:r>
      <w:r w:rsidRPr="0082695B">
        <w:rPr>
          <w:rFonts w:ascii="Arial" w:hAnsi="Arial" w:cs="Arial"/>
        </w:rPr>
        <w:t>mercados</w:t>
      </w:r>
      <w:r w:rsidRPr="00E33942">
        <w:rPr>
          <w:rFonts w:ascii="Arial" w:hAnsi="Arial" w:cs="Arial"/>
        </w:rPr>
        <w:t xml:space="preserve"> experimentan menores grados de conc</w:t>
      </w:r>
      <w:r w:rsidRPr="00E6340E">
        <w:rPr>
          <w:rFonts w:ascii="Arial" w:hAnsi="Arial" w:cs="Arial"/>
        </w:rPr>
        <w:t>entración y están disminuyendo como consecuencias de los procesos de licitación; hay mercados en los que el grado de concentración se ubica por debajo de los 2,000 puntos; en promedio, el IHH en los mercados en la banda FM se ubica</w:t>
      </w:r>
      <w:r w:rsidR="00461FA0">
        <w:rPr>
          <w:rFonts w:ascii="Arial" w:hAnsi="Arial" w:cs="Arial"/>
        </w:rPr>
        <w:t xml:space="preserve"> en</w:t>
      </w:r>
      <w:r w:rsidRPr="00E6340E">
        <w:rPr>
          <w:rFonts w:ascii="Arial" w:hAnsi="Arial" w:cs="Arial"/>
        </w:rPr>
        <w:t xml:space="preserve"> alrededor de los 2,700 puntos. Además, para trámites regulatorios y para la participación en licitaciones, en general no se han rechazado operaciones en las que los agentes económicos tienen el 30% o menos de participación en el mercado. </w:t>
      </w:r>
    </w:p>
    <w:p w14:paraId="67CB2FDD" w14:textId="14B0C9EF" w:rsidR="00C644CB" w:rsidRDefault="00C644CB" w:rsidP="00C9666A">
      <w:pPr>
        <w:pStyle w:val="Prrafodelista"/>
        <w:numPr>
          <w:ilvl w:val="0"/>
          <w:numId w:val="22"/>
        </w:numPr>
        <w:spacing w:before="120" w:after="120"/>
        <w:ind w:right="-1"/>
        <w:jc w:val="both"/>
        <w:rPr>
          <w:rFonts w:ascii="Arial" w:hAnsi="Arial" w:cs="Arial"/>
        </w:rPr>
      </w:pPr>
      <w:r w:rsidRPr="00C9666A">
        <w:rPr>
          <w:rFonts w:ascii="Arial" w:hAnsi="Arial" w:cs="Arial"/>
        </w:rPr>
        <w:t xml:space="preserve">Las licitaciones implementadas por el Instituto y las que se prevén llevar a cabo </w:t>
      </w:r>
      <w:r w:rsidR="006B245E" w:rsidRPr="00C9666A">
        <w:rPr>
          <w:rFonts w:ascii="Arial" w:hAnsi="Arial" w:cs="Arial"/>
        </w:rPr>
        <w:t xml:space="preserve">pueden cambiar la estructura </w:t>
      </w:r>
      <w:r w:rsidRPr="00C9666A">
        <w:rPr>
          <w:rFonts w:ascii="Arial" w:hAnsi="Arial" w:cs="Arial"/>
        </w:rPr>
        <w:t xml:space="preserve">en </w:t>
      </w:r>
      <w:r w:rsidR="006B245E" w:rsidRPr="00C9666A">
        <w:rPr>
          <w:rFonts w:ascii="Arial" w:hAnsi="Arial" w:cs="Arial"/>
        </w:rPr>
        <w:t xml:space="preserve">los </w:t>
      </w:r>
      <w:r w:rsidRPr="00C9666A">
        <w:rPr>
          <w:rFonts w:ascii="Arial" w:hAnsi="Arial" w:cs="Arial"/>
        </w:rPr>
        <w:t>mercados de</w:t>
      </w:r>
      <w:r w:rsidR="00E6340E">
        <w:rPr>
          <w:rFonts w:ascii="Arial" w:hAnsi="Arial" w:cs="Arial"/>
        </w:rPr>
        <w:t>, principalmente,</w:t>
      </w:r>
      <w:r w:rsidRPr="00C9666A">
        <w:rPr>
          <w:rFonts w:ascii="Arial" w:hAnsi="Arial" w:cs="Arial"/>
        </w:rPr>
        <w:t xml:space="preserve"> </w:t>
      </w:r>
      <w:r w:rsidR="00E6340E">
        <w:rPr>
          <w:rFonts w:ascii="Arial" w:hAnsi="Arial" w:cs="Arial"/>
        </w:rPr>
        <w:t>e</w:t>
      </w:r>
      <w:r w:rsidRPr="00C9666A">
        <w:rPr>
          <w:rFonts w:ascii="Arial" w:hAnsi="Arial" w:cs="Arial"/>
        </w:rPr>
        <w:t xml:space="preserve">l sector de radiodifusión, por lo que el valor </w:t>
      </w:r>
      <w:r w:rsidR="00E6340E">
        <w:rPr>
          <w:rFonts w:ascii="Arial" w:hAnsi="Arial" w:cs="Arial"/>
        </w:rPr>
        <w:t>superior</w:t>
      </w:r>
      <w:r w:rsidR="00E6340E" w:rsidRPr="00C9666A">
        <w:rPr>
          <w:rFonts w:ascii="Arial" w:hAnsi="Arial" w:cs="Arial"/>
        </w:rPr>
        <w:t xml:space="preserve"> </w:t>
      </w:r>
      <w:r w:rsidRPr="00C9666A">
        <w:rPr>
          <w:rFonts w:ascii="Arial" w:hAnsi="Arial" w:cs="Arial"/>
        </w:rPr>
        <w:t xml:space="preserve">del </w:t>
      </w:r>
      <w:r w:rsidR="00193362" w:rsidRPr="00C9666A">
        <w:rPr>
          <w:rFonts w:ascii="Arial" w:hAnsi="Arial" w:cs="Arial"/>
        </w:rPr>
        <w:t>IHH</w:t>
      </w:r>
      <w:r w:rsidRPr="00C9666A">
        <w:rPr>
          <w:rFonts w:ascii="Arial" w:hAnsi="Arial" w:cs="Arial"/>
        </w:rPr>
        <w:t xml:space="preserve"> calculado </w:t>
      </w:r>
      <w:r w:rsidR="00E6340E">
        <w:rPr>
          <w:rFonts w:ascii="Arial" w:hAnsi="Arial" w:cs="Arial"/>
        </w:rPr>
        <w:t>para mercados moderadamente concentrados</w:t>
      </w:r>
      <w:r w:rsidR="0082695B">
        <w:rPr>
          <w:rFonts w:ascii="Arial" w:hAnsi="Arial" w:cs="Arial"/>
        </w:rPr>
        <w:t xml:space="preserve"> y el valor inferior de ese índice para mercados altamente concentrados</w:t>
      </w:r>
      <w:r w:rsidRPr="00C9666A">
        <w:rPr>
          <w:rFonts w:ascii="Arial" w:hAnsi="Arial" w:cs="Arial"/>
        </w:rPr>
        <w:t xml:space="preserve">, </w:t>
      </w:r>
      <w:r w:rsidR="00E6340E">
        <w:rPr>
          <w:rFonts w:ascii="Arial" w:hAnsi="Arial" w:cs="Arial"/>
        </w:rPr>
        <w:t>actualmente en 3,000</w:t>
      </w:r>
      <w:r w:rsidRPr="00C9666A">
        <w:rPr>
          <w:rFonts w:ascii="Arial" w:hAnsi="Arial" w:cs="Arial"/>
        </w:rPr>
        <w:t xml:space="preserve"> puntos, </w:t>
      </w:r>
      <w:r w:rsidR="00E6340E">
        <w:rPr>
          <w:rFonts w:ascii="Arial" w:hAnsi="Arial" w:cs="Arial"/>
        </w:rPr>
        <w:t xml:space="preserve">requeriría </w:t>
      </w:r>
      <w:r w:rsidRPr="00C9666A">
        <w:rPr>
          <w:rFonts w:ascii="Arial" w:hAnsi="Arial" w:cs="Arial"/>
        </w:rPr>
        <w:t>reducirse</w:t>
      </w:r>
      <w:r w:rsidR="0082695B">
        <w:rPr>
          <w:rFonts w:ascii="Arial" w:hAnsi="Arial" w:cs="Arial"/>
        </w:rPr>
        <w:t xml:space="preserve"> a 2,500</w:t>
      </w:r>
      <w:r w:rsidRPr="00C9666A">
        <w:rPr>
          <w:rFonts w:ascii="Arial" w:hAnsi="Arial" w:cs="Arial"/>
        </w:rPr>
        <w:t>.</w:t>
      </w:r>
    </w:p>
    <w:p w14:paraId="16F27578" w14:textId="07598869" w:rsidR="00E6340E" w:rsidRPr="00C9666A" w:rsidRDefault="00E6340E" w:rsidP="00C9666A">
      <w:pPr>
        <w:pStyle w:val="Prrafodelista"/>
        <w:numPr>
          <w:ilvl w:val="0"/>
          <w:numId w:val="22"/>
        </w:numPr>
        <w:spacing w:before="120" w:after="120"/>
        <w:ind w:right="-1"/>
        <w:jc w:val="both"/>
        <w:rPr>
          <w:rFonts w:ascii="Arial" w:hAnsi="Arial" w:cs="Arial"/>
        </w:rPr>
      </w:pPr>
      <w:r>
        <w:rPr>
          <w:rFonts w:ascii="Arial" w:hAnsi="Arial" w:cs="Arial"/>
        </w:rPr>
        <w:t>Además</w:t>
      </w:r>
      <w:r w:rsidR="0082695B">
        <w:rPr>
          <w:rFonts w:ascii="Arial" w:hAnsi="Arial" w:cs="Arial"/>
        </w:rPr>
        <w:t>, el umbral del 35</w:t>
      </w:r>
      <w:r w:rsidR="00461FA0">
        <w:rPr>
          <w:rFonts w:ascii="Arial" w:hAnsi="Arial" w:cs="Arial"/>
        </w:rPr>
        <w:t>%</w:t>
      </w:r>
      <w:r>
        <w:rPr>
          <w:rFonts w:ascii="Arial" w:hAnsi="Arial" w:cs="Arial"/>
        </w:rPr>
        <w:t xml:space="preserve"> </w:t>
      </w:r>
      <w:r w:rsidR="0082695B">
        <w:rPr>
          <w:rFonts w:ascii="Arial" w:hAnsi="Arial" w:cs="Arial"/>
        </w:rPr>
        <w:t xml:space="preserve">que se identifica en el Artículo 7 del Criterio Técnico podría reducirse para el caso del sector de radiodifusión a </w:t>
      </w:r>
      <w:r w:rsidR="0082695B">
        <w:rPr>
          <w:rFonts w:ascii="Arial" w:eastAsia="Times New Roman" w:hAnsi="Arial" w:cs="Arial"/>
          <w:color w:val="000000"/>
          <w:lang w:eastAsia="es-MX"/>
        </w:rPr>
        <w:t>30%.</w:t>
      </w:r>
    </w:p>
    <w:p w14:paraId="5D5DF632" w14:textId="77777777" w:rsidR="00791D66" w:rsidRPr="00C9666A" w:rsidRDefault="00791D66" w:rsidP="00C9666A">
      <w:pPr>
        <w:spacing w:before="120" w:after="120"/>
        <w:ind w:right="-1"/>
        <w:jc w:val="both"/>
        <w:rPr>
          <w:rFonts w:ascii="Arial" w:hAnsi="Arial" w:cs="Arial"/>
        </w:rPr>
      </w:pPr>
    </w:p>
    <w:p w14:paraId="78BABF4B" w14:textId="77777777" w:rsidR="00A002F6" w:rsidRPr="00C9666A" w:rsidRDefault="00A002F6" w:rsidP="00C9666A">
      <w:pPr>
        <w:pStyle w:val="Ttulo1"/>
        <w:numPr>
          <w:ilvl w:val="0"/>
          <w:numId w:val="38"/>
        </w:numPr>
        <w:spacing w:before="120" w:after="120"/>
        <w:rPr>
          <w:rFonts w:ascii="Arial" w:hAnsi="Arial" w:cs="Arial"/>
          <w:b/>
          <w:color w:val="auto"/>
          <w:sz w:val="22"/>
        </w:rPr>
      </w:pPr>
      <w:bookmarkStart w:id="8" w:name="_Toc432706535"/>
      <w:r w:rsidRPr="00C9666A">
        <w:rPr>
          <w:rFonts w:ascii="Arial" w:hAnsi="Arial" w:cs="Arial"/>
          <w:b/>
          <w:color w:val="auto"/>
          <w:sz w:val="22"/>
        </w:rPr>
        <w:t>Índice propuesto y su aplicación para los sectores de Telecomunicaciones y Radiodifusión</w:t>
      </w:r>
      <w:bookmarkEnd w:id="8"/>
    </w:p>
    <w:p w14:paraId="32A67B41" w14:textId="5E1DBBD9" w:rsidR="00A002F6" w:rsidRPr="00C9666A" w:rsidRDefault="007753CD" w:rsidP="00C9666A">
      <w:pPr>
        <w:spacing w:before="120" w:after="120"/>
        <w:ind w:right="-1"/>
        <w:jc w:val="both"/>
        <w:rPr>
          <w:rFonts w:ascii="Arial" w:hAnsi="Arial" w:cs="Arial"/>
        </w:rPr>
      </w:pPr>
      <w:r w:rsidRPr="00C9666A">
        <w:rPr>
          <w:rFonts w:ascii="Arial" w:hAnsi="Arial" w:cs="Arial"/>
        </w:rPr>
        <w:t>Con base en</w:t>
      </w:r>
      <w:r w:rsidR="00E30A99" w:rsidRPr="00C9666A">
        <w:rPr>
          <w:rFonts w:ascii="Arial" w:hAnsi="Arial" w:cs="Arial"/>
        </w:rPr>
        <w:t xml:space="preserve"> los elementos previamente presentados, incluyendo la revisión de </w:t>
      </w:r>
      <w:r w:rsidR="00A002F6" w:rsidRPr="00C9666A">
        <w:rPr>
          <w:rFonts w:ascii="Arial" w:hAnsi="Arial" w:cs="Arial"/>
        </w:rPr>
        <w:t>referencias</w:t>
      </w:r>
      <w:r w:rsidR="00E30A99" w:rsidRPr="00C9666A">
        <w:rPr>
          <w:rFonts w:ascii="Arial" w:hAnsi="Arial" w:cs="Arial"/>
        </w:rPr>
        <w:t xml:space="preserve"> internacionales, se propone considera</w:t>
      </w:r>
      <w:r w:rsidR="00A002F6" w:rsidRPr="00C9666A">
        <w:rPr>
          <w:rFonts w:ascii="Arial" w:hAnsi="Arial" w:cs="Arial"/>
        </w:rPr>
        <w:t>r</w:t>
      </w:r>
      <w:r w:rsidR="00E30A99" w:rsidRPr="00C9666A">
        <w:rPr>
          <w:rFonts w:ascii="Arial" w:hAnsi="Arial" w:cs="Arial"/>
        </w:rPr>
        <w:t xml:space="preserve"> </w:t>
      </w:r>
      <w:r w:rsidR="00A002F6" w:rsidRPr="00C9666A">
        <w:rPr>
          <w:rFonts w:ascii="Arial" w:hAnsi="Arial" w:cs="Arial"/>
        </w:rPr>
        <w:t>el</w:t>
      </w:r>
      <w:r w:rsidR="00E30A99" w:rsidRPr="00C9666A">
        <w:rPr>
          <w:rFonts w:ascii="Arial" w:hAnsi="Arial" w:cs="Arial"/>
        </w:rPr>
        <w:t xml:space="preserve"> </w:t>
      </w:r>
      <w:r w:rsidR="00193362" w:rsidRPr="00C9666A">
        <w:rPr>
          <w:rFonts w:ascii="Arial" w:hAnsi="Arial" w:cs="Arial"/>
        </w:rPr>
        <w:t>IHH</w:t>
      </w:r>
      <w:r w:rsidR="00E30A99" w:rsidRPr="00C9666A">
        <w:rPr>
          <w:rFonts w:ascii="Arial" w:hAnsi="Arial" w:cs="Arial"/>
        </w:rPr>
        <w:t xml:space="preserve"> y </w:t>
      </w:r>
      <w:r w:rsidR="00A002F6" w:rsidRPr="00C9666A">
        <w:rPr>
          <w:rFonts w:ascii="Arial" w:hAnsi="Arial" w:cs="Arial"/>
        </w:rPr>
        <w:t xml:space="preserve">el </w:t>
      </w:r>
      <m:oMath>
        <m:r>
          <m:rPr>
            <m:sty m:val="p"/>
          </m:rPr>
          <w:rPr>
            <w:rFonts w:ascii="Cambria Math" w:hAnsi="Cambria Math" w:cs="Arial"/>
          </w:rPr>
          <m:t>∆IHH</m:t>
        </m:r>
      </m:oMath>
      <w:r w:rsidR="00A002F6" w:rsidRPr="00C9666A">
        <w:rPr>
          <w:rFonts w:ascii="Arial" w:hAnsi="Arial" w:cs="Arial"/>
        </w:rPr>
        <w:t xml:space="preserve"> </w:t>
      </w:r>
      <w:r w:rsidRPr="00C9666A">
        <w:rPr>
          <w:rFonts w:ascii="Arial" w:hAnsi="Arial" w:cs="Arial"/>
        </w:rPr>
        <w:t xml:space="preserve">como </w:t>
      </w:r>
      <w:r w:rsidR="00D454EF" w:rsidRPr="00C9666A">
        <w:rPr>
          <w:rFonts w:ascii="Arial" w:hAnsi="Arial" w:cs="Arial"/>
        </w:rPr>
        <w:t xml:space="preserve">elementos de referencia </w:t>
      </w:r>
      <w:r w:rsidR="007950E3" w:rsidRPr="00C9666A">
        <w:rPr>
          <w:rFonts w:ascii="Arial" w:hAnsi="Arial" w:cs="Arial"/>
        </w:rPr>
        <w:t xml:space="preserve">del grado de concentración </w:t>
      </w:r>
      <w:r w:rsidR="00D454EF" w:rsidRPr="00C9666A">
        <w:rPr>
          <w:rFonts w:ascii="Arial" w:hAnsi="Arial" w:cs="Arial"/>
        </w:rPr>
        <w:t>de los mercados</w:t>
      </w:r>
      <w:r w:rsidR="00A002F6" w:rsidRPr="00C9666A">
        <w:rPr>
          <w:rFonts w:ascii="Arial" w:hAnsi="Arial" w:cs="Arial"/>
        </w:rPr>
        <w:t xml:space="preserve"> en los sectores de telecomunicaciones y de radiodifusión en México.</w:t>
      </w:r>
    </w:p>
    <w:p w14:paraId="3B12720D" w14:textId="77777777" w:rsidR="00604DC1" w:rsidRPr="00C9666A" w:rsidRDefault="00D454EF" w:rsidP="00C9666A">
      <w:pPr>
        <w:spacing w:before="120" w:after="120"/>
        <w:ind w:right="-1"/>
        <w:jc w:val="both"/>
        <w:rPr>
          <w:rFonts w:ascii="Arial" w:hAnsi="Arial" w:cs="Arial"/>
        </w:rPr>
      </w:pPr>
      <w:r w:rsidRPr="00C9666A">
        <w:rPr>
          <w:rFonts w:ascii="Arial" w:hAnsi="Arial" w:cs="Arial"/>
        </w:rPr>
        <w:t>S</w:t>
      </w:r>
      <w:r w:rsidR="00183871" w:rsidRPr="00C9666A">
        <w:rPr>
          <w:rFonts w:ascii="Arial" w:hAnsi="Arial" w:cs="Arial"/>
        </w:rPr>
        <w:t>e proponen los siguientes</w:t>
      </w:r>
      <w:r w:rsidRPr="00C9666A">
        <w:rPr>
          <w:rFonts w:ascii="Arial" w:hAnsi="Arial" w:cs="Arial"/>
        </w:rPr>
        <w:t>:</w:t>
      </w:r>
    </w:p>
    <w:p w14:paraId="4DAE38BC" w14:textId="77777777" w:rsidR="00604DC1" w:rsidRPr="00C9666A" w:rsidRDefault="00604DC1" w:rsidP="00C9666A">
      <w:pPr>
        <w:spacing w:before="120" w:after="120"/>
        <w:ind w:right="-1"/>
        <w:jc w:val="both"/>
        <w:rPr>
          <w:rFonts w:ascii="Arial" w:hAnsi="Arial" w:cs="Arial"/>
        </w:rPr>
      </w:pPr>
    </w:p>
    <w:p w14:paraId="2FC3603C" w14:textId="05320161" w:rsidR="00A002F6" w:rsidRPr="00C9666A" w:rsidRDefault="00604DC1" w:rsidP="00C9666A">
      <w:pPr>
        <w:spacing w:before="120" w:after="120"/>
        <w:ind w:right="-1"/>
        <w:jc w:val="both"/>
        <w:rPr>
          <w:rFonts w:ascii="Arial" w:hAnsi="Arial" w:cs="Arial"/>
          <w:b/>
        </w:rPr>
      </w:pPr>
      <w:r w:rsidRPr="00C9666A">
        <w:rPr>
          <w:rFonts w:ascii="Arial" w:hAnsi="Arial" w:cs="Arial"/>
          <w:b/>
        </w:rPr>
        <w:t>C</w:t>
      </w:r>
      <w:r w:rsidR="00183871" w:rsidRPr="00C9666A">
        <w:rPr>
          <w:rFonts w:ascii="Arial" w:hAnsi="Arial" w:cs="Arial"/>
          <w:b/>
        </w:rPr>
        <w:t>riterios</w:t>
      </w:r>
      <w:r w:rsidR="00AE3690" w:rsidRPr="00C9666A">
        <w:rPr>
          <w:rFonts w:ascii="Arial" w:hAnsi="Arial" w:cs="Arial"/>
          <w:b/>
        </w:rPr>
        <w:t xml:space="preserve"> de aplicación del </w:t>
      </w:r>
      <w:r w:rsidR="00193362" w:rsidRPr="00C9666A">
        <w:rPr>
          <w:rFonts w:ascii="Arial" w:hAnsi="Arial" w:cs="Arial"/>
          <w:b/>
        </w:rPr>
        <w:t>IHH</w:t>
      </w:r>
      <w:r w:rsidR="00AE3690" w:rsidRPr="00C9666A">
        <w:rPr>
          <w:rFonts w:ascii="Arial" w:hAnsi="Arial" w:cs="Arial"/>
          <w:b/>
        </w:rPr>
        <w:t xml:space="preserve"> y el </w:t>
      </w:r>
      <m:oMath>
        <m:r>
          <m:rPr>
            <m:sty m:val="b"/>
          </m:rPr>
          <w:rPr>
            <w:rFonts w:ascii="Cambria Math" w:hAnsi="Cambria Math" w:cs="Arial"/>
          </w:rPr>
          <m:t>∆IHH</m:t>
        </m:r>
      </m:oMath>
    </w:p>
    <w:p w14:paraId="0D89E24C" w14:textId="77777777" w:rsidR="00D454EF" w:rsidRPr="00C9666A" w:rsidRDefault="00D454EF"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El Instituto considerará que es poco probable que una </w:t>
      </w:r>
      <w:r w:rsidR="006B245E" w:rsidRPr="00C9666A">
        <w:rPr>
          <w:rFonts w:ascii="Arial" w:hAnsi="Arial" w:cs="Arial"/>
          <w:sz w:val="22"/>
          <w:szCs w:val="22"/>
        </w:rPr>
        <w:t xml:space="preserve">operación, incluyendo las </w:t>
      </w:r>
      <w:r w:rsidRPr="00C9666A">
        <w:rPr>
          <w:rFonts w:ascii="Arial" w:hAnsi="Arial" w:cs="Arial"/>
          <w:sz w:val="22"/>
          <w:szCs w:val="22"/>
        </w:rPr>
        <w:t>concentraci</w:t>
      </w:r>
      <w:r w:rsidR="006B245E" w:rsidRPr="00C9666A">
        <w:rPr>
          <w:rFonts w:ascii="Arial" w:hAnsi="Arial" w:cs="Arial"/>
          <w:sz w:val="22"/>
          <w:szCs w:val="22"/>
        </w:rPr>
        <w:t>ones,</w:t>
      </w:r>
      <w:r w:rsidRPr="00C9666A">
        <w:rPr>
          <w:rFonts w:ascii="Arial" w:hAnsi="Arial" w:cs="Arial"/>
          <w:sz w:val="22"/>
          <w:szCs w:val="22"/>
        </w:rPr>
        <w:t xml:space="preserve"> tiene por objeto o efecto obstaculizar, disminuir, dañar o impedir la competencia y la libre concurrencia, cuando posterior a la </w:t>
      </w:r>
      <w:r w:rsidR="006B245E" w:rsidRPr="00C9666A">
        <w:rPr>
          <w:rFonts w:ascii="Arial" w:hAnsi="Arial" w:cs="Arial"/>
          <w:sz w:val="22"/>
          <w:szCs w:val="22"/>
        </w:rPr>
        <w:t xml:space="preserve">operación </w:t>
      </w:r>
      <w:r w:rsidRPr="00C9666A">
        <w:rPr>
          <w:rFonts w:ascii="Arial" w:hAnsi="Arial" w:cs="Arial"/>
          <w:sz w:val="22"/>
          <w:szCs w:val="22"/>
        </w:rPr>
        <w:t>suceda alguna de las siguientes situaciones:</w:t>
      </w:r>
    </w:p>
    <w:p w14:paraId="112EAC7A" w14:textId="58D976EF" w:rsidR="00D454EF" w:rsidRPr="00C9666A" w:rsidRDefault="00A761DE" w:rsidP="00A761DE">
      <w:pPr>
        <w:pStyle w:val="Default"/>
        <w:numPr>
          <w:ilvl w:val="0"/>
          <w:numId w:val="26"/>
        </w:numPr>
        <w:spacing w:before="120" w:after="120" w:line="276" w:lineRule="auto"/>
        <w:ind w:left="426" w:hanging="357"/>
        <w:jc w:val="both"/>
        <w:rPr>
          <w:rFonts w:ascii="Arial" w:hAnsi="Arial" w:cs="Arial"/>
          <w:sz w:val="22"/>
          <w:szCs w:val="22"/>
        </w:rPr>
      </w:pPr>
      <w:r w:rsidRPr="00A832E2">
        <w:rPr>
          <w:rFonts w:ascii="Arial" w:hAnsi="Arial" w:cs="Arial"/>
          <w:sz w:val="22"/>
          <w:szCs w:val="22"/>
        </w:rPr>
        <w:t>El grado de concentración sea bajo:</w:t>
      </w:r>
      <w:r>
        <w:rPr>
          <w:rFonts w:ascii="Arial" w:hAnsi="Arial" w:cs="Arial"/>
          <w:sz w:val="22"/>
          <w:szCs w:val="22"/>
        </w:rPr>
        <w:t xml:space="preserve"> </w:t>
      </w:r>
      <w:r w:rsidR="00193362" w:rsidRPr="00C9666A">
        <w:rPr>
          <w:rFonts w:ascii="Arial" w:hAnsi="Arial" w:cs="Arial"/>
          <w:sz w:val="22"/>
          <w:szCs w:val="22"/>
        </w:rPr>
        <w:t>IHH</w:t>
      </w:r>
      <w:r w:rsidR="00D454EF" w:rsidRPr="00C9666A">
        <w:rPr>
          <w:rFonts w:ascii="Arial" w:hAnsi="Arial" w:cs="Arial"/>
          <w:sz w:val="22"/>
          <w:szCs w:val="22"/>
        </w:rPr>
        <w:t xml:space="preserve"> </w:t>
      </w:r>
      <m:oMath>
        <m:r>
          <w:rPr>
            <w:rFonts w:ascii="Cambria Math" w:hAnsi="Cambria Math" w:cs="Arial"/>
            <w:sz w:val="22"/>
            <w:szCs w:val="22"/>
          </w:rPr>
          <m:t>≤</m:t>
        </m:r>
      </m:oMath>
      <w:r w:rsidR="00D454EF" w:rsidRPr="00C9666A">
        <w:rPr>
          <w:rFonts w:ascii="Arial" w:hAnsi="Arial" w:cs="Arial"/>
          <w:sz w:val="22"/>
          <w:szCs w:val="22"/>
        </w:rPr>
        <w:t xml:space="preserve"> 2,000</w:t>
      </w:r>
      <w:r w:rsidR="00F4684D" w:rsidRPr="00C9666A">
        <w:rPr>
          <w:rFonts w:ascii="Arial" w:hAnsi="Arial" w:cs="Arial"/>
          <w:sz w:val="22"/>
          <w:szCs w:val="22"/>
        </w:rPr>
        <w:t xml:space="preserve"> puntos</w:t>
      </w:r>
      <w:r w:rsidR="00461FA0">
        <w:rPr>
          <w:rFonts w:ascii="Arial" w:hAnsi="Arial" w:cs="Arial"/>
          <w:sz w:val="22"/>
          <w:szCs w:val="22"/>
        </w:rPr>
        <w:t>;</w:t>
      </w:r>
    </w:p>
    <w:p w14:paraId="469B8AAE" w14:textId="113BAD48" w:rsidR="00D454EF" w:rsidRPr="00C9666A" w:rsidRDefault="00A761DE" w:rsidP="00A761DE">
      <w:pPr>
        <w:pStyle w:val="Default"/>
        <w:numPr>
          <w:ilvl w:val="0"/>
          <w:numId w:val="26"/>
        </w:numPr>
        <w:spacing w:before="120" w:after="120" w:line="276" w:lineRule="auto"/>
        <w:ind w:left="426" w:hanging="357"/>
        <w:jc w:val="both"/>
        <w:rPr>
          <w:rFonts w:ascii="Arial" w:hAnsi="Arial" w:cs="Arial"/>
          <w:sz w:val="22"/>
          <w:szCs w:val="22"/>
        </w:rPr>
      </w:pPr>
      <w:r w:rsidRPr="00A832E2">
        <w:rPr>
          <w:rFonts w:ascii="Arial" w:hAnsi="Arial" w:cs="Arial"/>
          <w:sz w:val="22"/>
          <w:szCs w:val="22"/>
        </w:rPr>
        <w:t xml:space="preserve">El grado de concentración sea </w:t>
      </w:r>
      <w:r>
        <w:rPr>
          <w:rFonts w:ascii="Arial" w:hAnsi="Arial" w:cs="Arial"/>
          <w:sz w:val="22"/>
          <w:szCs w:val="22"/>
        </w:rPr>
        <w:t>moderado</w:t>
      </w:r>
      <w:r w:rsidRPr="00A832E2">
        <w:rPr>
          <w:rFonts w:ascii="Arial" w:hAnsi="Arial" w:cs="Arial"/>
          <w:sz w:val="22"/>
          <w:szCs w:val="22"/>
        </w:rPr>
        <w:t>:</w:t>
      </w:r>
      <w:r>
        <w:rPr>
          <w:rFonts w:ascii="Arial" w:hAnsi="Arial" w:cs="Arial"/>
          <w:sz w:val="22"/>
          <w:szCs w:val="22"/>
        </w:rPr>
        <w:t xml:space="preserve"> </w:t>
      </w:r>
      <w:r w:rsidR="00D454EF" w:rsidRPr="00C9666A">
        <w:rPr>
          <w:rFonts w:ascii="Arial" w:hAnsi="Arial" w:cs="Arial"/>
          <w:sz w:val="22"/>
          <w:szCs w:val="22"/>
        </w:rPr>
        <w:t xml:space="preserve">2,000 &lt; </w:t>
      </w:r>
      <w:r w:rsidR="00193362" w:rsidRPr="00C9666A">
        <w:rPr>
          <w:rFonts w:ascii="Arial" w:hAnsi="Arial" w:cs="Arial"/>
          <w:sz w:val="22"/>
          <w:szCs w:val="22"/>
        </w:rPr>
        <w:t>IHH</w:t>
      </w:r>
      <w:r w:rsidR="00D454EF" w:rsidRPr="00C9666A">
        <w:rPr>
          <w:rFonts w:ascii="Arial" w:hAnsi="Arial" w:cs="Arial"/>
          <w:sz w:val="22"/>
          <w:szCs w:val="22"/>
        </w:rPr>
        <w:t xml:space="preserve"> </w:t>
      </w:r>
      <m:oMath>
        <m:r>
          <w:rPr>
            <w:rFonts w:ascii="Cambria Math" w:hAnsi="Cambria Math" w:cs="Arial"/>
            <w:sz w:val="22"/>
            <w:szCs w:val="22"/>
          </w:rPr>
          <m:t>≤</m:t>
        </m:r>
      </m:oMath>
      <w:r w:rsidR="00D454EF" w:rsidRPr="00C9666A">
        <w:rPr>
          <w:rFonts w:ascii="Arial" w:hAnsi="Arial" w:cs="Arial"/>
          <w:sz w:val="22"/>
          <w:szCs w:val="22"/>
        </w:rPr>
        <w:t xml:space="preserve"> </w:t>
      </w:r>
      <w:r w:rsidR="00B45C5A" w:rsidRPr="00C9666A">
        <w:rPr>
          <w:rFonts w:ascii="Arial" w:hAnsi="Arial" w:cs="Arial"/>
          <w:sz w:val="22"/>
          <w:szCs w:val="22"/>
        </w:rPr>
        <w:t>2,500</w:t>
      </w:r>
      <w:r>
        <w:rPr>
          <w:rFonts w:ascii="Arial" w:hAnsi="Arial" w:cs="Arial"/>
          <w:sz w:val="22"/>
          <w:szCs w:val="22"/>
        </w:rPr>
        <w:t xml:space="preserve">, </w:t>
      </w:r>
      <w:r w:rsidR="00D454EF" w:rsidRPr="00C9666A">
        <w:rPr>
          <w:rFonts w:ascii="Arial" w:hAnsi="Arial" w:cs="Arial"/>
          <w:sz w:val="22"/>
          <w:szCs w:val="22"/>
        </w:rPr>
        <w:t>y</w:t>
      </w:r>
      <w:r w:rsidR="00D454EF" w:rsidRPr="00C9666A">
        <w:rPr>
          <w:rFonts w:ascii="Arial" w:eastAsiaTheme="minorEastAsia" w:hAnsi="Arial" w:cs="Arial"/>
          <w:sz w:val="22"/>
          <w:szCs w:val="22"/>
        </w:rPr>
        <w:t xml:space="preserve"> </w:t>
      </w:r>
      <m:oMath>
        <m:r>
          <m:rPr>
            <m:sty m:val="p"/>
          </m:rPr>
          <w:rPr>
            <w:rFonts w:ascii="Cambria Math" w:hAnsi="Cambria Math" w:cs="Arial"/>
            <w:sz w:val="22"/>
            <w:szCs w:val="22"/>
          </w:rPr>
          <m:t>∆IHH</m:t>
        </m:r>
      </m:oMath>
      <w:r w:rsidR="00D454EF" w:rsidRPr="00C9666A">
        <w:rPr>
          <w:rFonts w:ascii="Arial" w:hAnsi="Arial" w:cs="Arial"/>
          <w:sz w:val="22"/>
          <w:szCs w:val="22"/>
        </w:rPr>
        <w:t xml:space="preserve"> </w:t>
      </w:r>
      <m:oMath>
        <m:r>
          <w:rPr>
            <w:rFonts w:ascii="Cambria Math" w:hAnsi="Cambria Math" w:cs="Arial"/>
            <w:sz w:val="22"/>
            <w:szCs w:val="22"/>
          </w:rPr>
          <m:t>≤</m:t>
        </m:r>
      </m:oMath>
      <w:r w:rsidR="00D454EF" w:rsidRPr="00C9666A">
        <w:rPr>
          <w:rFonts w:ascii="Arial" w:hAnsi="Arial" w:cs="Arial"/>
          <w:sz w:val="22"/>
          <w:szCs w:val="22"/>
        </w:rPr>
        <w:t xml:space="preserve"> 150 puntos</w:t>
      </w:r>
      <w:r w:rsidR="00F4684D" w:rsidRPr="00C9666A">
        <w:rPr>
          <w:rFonts w:ascii="Arial" w:hAnsi="Arial" w:cs="Arial"/>
          <w:sz w:val="22"/>
          <w:szCs w:val="22"/>
        </w:rPr>
        <w:t>, o</w:t>
      </w:r>
    </w:p>
    <w:p w14:paraId="5823FE31" w14:textId="39736219" w:rsidR="00D454EF" w:rsidRPr="00C9666A" w:rsidRDefault="00A761DE" w:rsidP="00A761DE">
      <w:pPr>
        <w:pStyle w:val="Default"/>
        <w:numPr>
          <w:ilvl w:val="0"/>
          <w:numId w:val="26"/>
        </w:numPr>
        <w:spacing w:before="120" w:after="120" w:line="276" w:lineRule="auto"/>
        <w:ind w:left="426" w:right="-1"/>
        <w:jc w:val="both"/>
        <w:rPr>
          <w:rFonts w:ascii="Arial" w:hAnsi="Arial" w:cs="Arial"/>
          <w:sz w:val="22"/>
          <w:szCs w:val="22"/>
        </w:rPr>
      </w:pPr>
      <w:r w:rsidRPr="00A832E2">
        <w:rPr>
          <w:rFonts w:ascii="Arial" w:hAnsi="Arial" w:cs="Arial"/>
          <w:sz w:val="22"/>
          <w:szCs w:val="22"/>
        </w:rPr>
        <w:lastRenderedPageBreak/>
        <w:t xml:space="preserve">El grado de concentración sea </w:t>
      </w:r>
      <w:r>
        <w:rPr>
          <w:rFonts w:ascii="Arial" w:hAnsi="Arial" w:cs="Arial"/>
          <w:sz w:val="22"/>
          <w:szCs w:val="22"/>
        </w:rPr>
        <w:t>elevado</w:t>
      </w:r>
      <w:r w:rsidRPr="00A832E2">
        <w:rPr>
          <w:rFonts w:ascii="Arial" w:hAnsi="Arial" w:cs="Arial"/>
          <w:sz w:val="22"/>
          <w:szCs w:val="22"/>
        </w:rPr>
        <w:t>:</w:t>
      </w:r>
      <w:r>
        <w:rPr>
          <w:rFonts w:ascii="Arial" w:hAnsi="Arial" w:cs="Arial"/>
          <w:sz w:val="22"/>
          <w:szCs w:val="22"/>
        </w:rPr>
        <w:t xml:space="preserve"> </w:t>
      </w:r>
      <w:r w:rsidR="00193362" w:rsidRPr="00C9666A">
        <w:rPr>
          <w:rFonts w:ascii="Arial" w:hAnsi="Arial" w:cs="Arial"/>
          <w:sz w:val="22"/>
          <w:szCs w:val="22"/>
        </w:rPr>
        <w:t>IHH</w:t>
      </w:r>
      <w:r w:rsidR="00D454EF" w:rsidRPr="00C9666A">
        <w:rPr>
          <w:rFonts w:ascii="Arial" w:hAnsi="Arial" w:cs="Arial"/>
          <w:sz w:val="22"/>
          <w:szCs w:val="22"/>
        </w:rPr>
        <w:t xml:space="preserve"> &gt; </w:t>
      </w:r>
      <w:r w:rsidR="00B45C5A" w:rsidRPr="00C9666A">
        <w:rPr>
          <w:rFonts w:ascii="Arial" w:hAnsi="Arial" w:cs="Arial"/>
          <w:sz w:val="22"/>
          <w:szCs w:val="22"/>
        </w:rPr>
        <w:t>2,5</w:t>
      </w:r>
      <w:r w:rsidR="006B245E" w:rsidRPr="00C9666A">
        <w:rPr>
          <w:rFonts w:ascii="Arial" w:hAnsi="Arial" w:cs="Arial"/>
          <w:sz w:val="22"/>
          <w:szCs w:val="22"/>
        </w:rPr>
        <w:t>00</w:t>
      </w:r>
      <w:r>
        <w:rPr>
          <w:rFonts w:ascii="Arial" w:hAnsi="Arial" w:cs="Arial"/>
          <w:sz w:val="22"/>
          <w:szCs w:val="22"/>
        </w:rPr>
        <w:t>,</w:t>
      </w:r>
      <w:r w:rsidR="00D454EF" w:rsidRPr="00C9666A">
        <w:rPr>
          <w:rFonts w:ascii="Arial" w:hAnsi="Arial" w:cs="Arial"/>
          <w:sz w:val="22"/>
          <w:szCs w:val="22"/>
        </w:rPr>
        <w:t xml:space="preserve"> y </w:t>
      </w:r>
      <m:oMath>
        <m:r>
          <m:rPr>
            <m:sty m:val="p"/>
          </m:rPr>
          <w:rPr>
            <w:rFonts w:ascii="Cambria Math" w:hAnsi="Cambria Math" w:cs="Arial"/>
            <w:sz w:val="22"/>
            <w:szCs w:val="22"/>
          </w:rPr>
          <m:t>∆IHH</m:t>
        </m:r>
      </m:oMath>
      <w:r w:rsidR="00D454EF" w:rsidRPr="00C9666A">
        <w:rPr>
          <w:rFonts w:ascii="Arial" w:hAnsi="Arial" w:cs="Arial"/>
          <w:sz w:val="22"/>
          <w:szCs w:val="22"/>
        </w:rPr>
        <w:t xml:space="preserve"> </w:t>
      </w:r>
      <m:oMath>
        <m:r>
          <w:rPr>
            <w:rFonts w:ascii="Cambria Math" w:hAnsi="Cambria Math" w:cs="Arial"/>
            <w:sz w:val="22"/>
            <w:szCs w:val="22"/>
          </w:rPr>
          <m:t>≤</m:t>
        </m:r>
      </m:oMath>
      <w:r w:rsidR="00D454EF" w:rsidRPr="00C9666A">
        <w:rPr>
          <w:rFonts w:ascii="Arial" w:eastAsiaTheme="minorEastAsia" w:hAnsi="Arial" w:cs="Arial"/>
          <w:sz w:val="22"/>
          <w:szCs w:val="22"/>
        </w:rPr>
        <w:t xml:space="preserve"> </w:t>
      </w:r>
      <w:r w:rsidR="00D454EF" w:rsidRPr="00C9666A">
        <w:rPr>
          <w:rFonts w:ascii="Arial" w:hAnsi="Arial" w:cs="Arial"/>
          <w:sz w:val="22"/>
          <w:szCs w:val="22"/>
        </w:rPr>
        <w:t>100 puntos.</w:t>
      </w:r>
    </w:p>
    <w:p w14:paraId="3910E5AF" w14:textId="0F4E935B" w:rsidR="00A65DA7" w:rsidRPr="00C9666A" w:rsidRDefault="00A65DA7" w:rsidP="00C9666A">
      <w:pPr>
        <w:spacing w:before="120" w:after="120"/>
        <w:ind w:right="-1"/>
        <w:jc w:val="both"/>
        <w:rPr>
          <w:rFonts w:ascii="Arial" w:eastAsia="Times New Roman" w:hAnsi="Arial" w:cs="Arial"/>
          <w:color w:val="000000"/>
          <w:lang w:eastAsia="es-MX"/>
        </w:rPr>
      </w:pPr>
      <w:r w:rsidRPr="00C9666A">
        <w:rPr>
          <w:rFonts w:ascii="Arial" w:hAnsi="Arial" w:cs="Arial"/>
        </w:rPr>
        <w:t xml:space="preserve">Aun cuando una </w:t>
      </w:r>
      <w:r w:rsidR="006B245E" w:rsidRPr="00C9666A">
        <w:rPr>
          <w:rFonts w:ascii="Arial" w:hAnsi="Arial" w:cs="Arial"/>
        </w:rPr>
        <w:t xml:space="preserve">operación </w:t>
      </w:r>
      <w:r w:rsidR="00C62176" w:rsidRPr="00C9666A">
        <w:rPr>
          <w:rFonts w:ascii="Arial" w:hAnsi="Arial" w:cs="Arial"/>
        </w:rPr>
        <w:t xml:space="preserve">implique valores del IHH y de la  </w:t>
      </w:r>
      <m:oMath>
        <m:r>
          <m:rPr>
            <m:sty m:val="p"/>
          </m:rPr>
          <w:rPr>
            <w:rFonts w:ascii="Cambria Math" w:hAnsi="Cambria Math" w:cs="Arial"/>
          </w:rPr>
          <m:t>∆IHH</m:t>
        </m:r>
      </m:oMath>
      <w:r w:rsidR="00C62176" w:rsidRPr="00C9666A">
        <w:rPr>
          <w:rFonts w:ascii="Arial" w:hAnsi="Arial" w:cs="Arial"/>
        </w:rPr>
        <w:t xml:space="preserve"> que </w:t>
      </w:r>
      <w:r w:rsidRPr="00C9666A">
        <w:rPr>
          <w:rFonts w:ascii="Arial" w:hAnsi="Arial" w:cs="Arial"/>
        </w:rPr>
        <w:t>se ubique</w:t>
      </w:r>
      <w:r w:rsidR="00C62176" w:rsidRPr="00C9666A">
        <w:rPr>
          <w:rFonts w:ascii="Arial" w:hAnsi="Arial" w:cs="Arial"/>
        </w:rPr>
        <w:t>n</w:t>
      </w:r>
      <w:r w:rsidRPr="00C9666A">
        <w:rPr>
          <w:rFonts w:ascii="Arial" w:hAnsi="Arial" w:cs="Arial"/>
        </w:rPr>
        <w:t xml:space="preserve"> dentro de los umbrales anterior</w:t>
      </w:r>
      <w:r w:rsidR="00C62176" w:rsidRPr="00C9666A">
        <w:rPr>
          <w:rFonts w:ascii="Arial" w:hAnsi="Arial" w:cs="Arial"/>
        </w:rPr>
        <w:t>es</w:t>
      </w:r>
      <w:r w:rsidRPr="00C9666A">
        <w:rPr>
          <w:rFonts w:ascii="Arial" w:hAnsi="Arial" w:cs="Arial"/>
        </w:rPr>
        <w:t xml:space="preserve">, el Instituto podrá considerar que </w:t>
      </w:r>
      <w:r w:rsidR="00C62176" w:rsidRPr="00C9666A">
        <w:rPr>
          <w:rFonts w:ascii="Arial" w:hAnsi="Arial" w:cs="Arial"/>
        </w:rPr>
        <w:t>existen potenciales riesgos de</w:t>
      </w:r>
      <w:r w:rsidRPr="00C9666A">
        <w:rPr>
          <w:rFonts w:ascii="Arial" w:hAnsi="Arial" w:cs="Arial"/>
        </w:rPr>
        <w:t xml:space="preserve"> que ésta tiene por objeto o efecto obstaculizar, disminuir, dañar o impedir la competencia y la libre concurrencia, si sucede </w:t>
      </w:r>
      <w:r w:rsidRPr="00C9666A">
        <w:rPr>
          <w:rFonts w:ascii="Arial" w:eastAsia="Times New Roman" w:hAnsi="Arial" w:cs="Arial"/>
          <w:color w:val="000000"/>
          <w:lang w:eastAsia="es-MX"/>
        </w:rPr>
        <w:t>una o varias de las siguientes circunstancias:</w:t>
      </w:r>
    </w:p>
    <w:p w14:paraId="64958949" w14:textId="77777777" w:rsidR="00A65DA7" w:rsidRPr="00C9666A" w:rsidRDefault="00A65DA7" w:rsidP="00C9666A">
      <w:pPr>
        <w:pStyle w:val="Prrafodelista"/>
        <w:numPr>
          <w:ilvl w:val="0"/>
          <w:numId w:val="27"/>
        </w:numPr>
        <w:autoSpaceDE w:val="0"/>
        <w:autoSpaceDN w:val="0"/>
        <w:adjustRightInd w:val="0"/>
        <w:spacing w:before="120" w:after="120"/>
        <w:ind w:left="426" w:hanging="357"/>
        <w:contextualSpacing w:val="0"/>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Los agentes económicos involucrados en la </w:t>
      </w:r>
      <w:r w:rsidR="006B245E" w:rsidRPr="00C9666A">
        <w:rPr>
          <w:rFonts w:ascii="Arial" w:eastAsia="Times New Roman" w:hAnsi="Arial" w:cs="Arial"/>
          <w:color w:val="000000"/>
          <w:lang w:eastAsia="es-MX"/>
        </w:rPr>
        <w:t xml:space="preserve">operación </w:t>
      </w:r>
      <w:r w:rsidRPr="00C9666A">
        <w:rPr>
          <w:rFonts w:ascii="Arial" w:eastAsia="Times New Roman" w:hAnsi="Arial" w:cs="Arial"/>
          <w:color w:val="000000"/>
          <w:lang w:eastAsia="es-MX"/>
        </w:rPr>
        <w:t>t</w:t>
      </w:r>
      <w:r w:rsidRPr="00C9666A">
        <w:rPr>
          <w:rFonts w:ascii="Arial" w:hAnsi="Arial" w:cs="Arial"/>
        </w:rPr>
        <w:t>engan o puedan llegar a adquirir poder sustancial en mercados relacionados;</w:t>
      </w:r>
    </w:p>
    <w:p w14:paraId="57C0A217" w14:textId="4D4C7557" w:rsidR="00A65DA7" w:rsidRPr="00C9666A" w:rsidRDefault="00A65DA7" w:rsidP="00C9666A">
      <w:pPr>
        <w:pStyle w:val="Prrafodelista"/>
        <w:numPr>
          <w:ilvl w:val="0"/>
          <w:numId w:val="27"/>
        </w:numPr>
        <w:autoSpaceDE w:val="0"/>
        <w:autoSpaceDN w:val="0"/>
        <w:adjustRightInd w:val="0"/>
        <w:spacing w:before="120" w:after="120"/>
        <w:ind w:left="426" w:hanging="357"/>
        <w:contextualSpacing w:val="0"/>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Los agentes económicos </w:t>
      </w:r>
      <w:r w:rsidR="0036042F">
        <w:rPr>
          <w:rFonts w:ascii="Arial" w:eastAsia="Times New Roman" w:hAnsi="Arial" w:cs="Arial"/>
          <w:color w:val="000000"/>
          <w:lang w:eastAsia="es-MX"/>
        </w:rPr>
        <w:t>resultantes de</w:t>
      </w:r>
      <w:r w:rsidRPr="00C9666A">
        <w:rPr>
          <w:rFonts w:ascii="Arial" w:eastAsia="Times New Roman" w:hAnsi="Arial" w:cs="Arial"/>
          <w:color w:val="000000"/>
          <w:lang w:eastAsia="es-MX"/>
        </w:rPr>
        <w:t xml:space="preserve"> la </w:t>
      </w:r>
      <w:r w:rsidR="006B245E" w:rsidRPr="00C9666A">
        <w:rPr>
          <w:rFonts w:ascii="Arial" w:eastAsia="Times New Roman" w:hAnsi="Arial" w:cs="Arial"/>
          <w:color w:val="000000"/>
          <w:lang w:eastAsia="es-MX"/>
        </w:rPr>
        <w:t xml:space="preserve">operación </w:t>
      </w:r>
      <w:r w:rsidRPr="00C9666A">
        <w:rPr>
          <w:rFonts w:ascii="Arial" w:eastAsia="Times New Roman" w:hAnsi="Arial" w:cs="Arial"/>
          <w:color w:val="000000"/>
          <w:lang w:eastAsia="es-MX"/>
        </w:rPr>
        <w:t xml:space="preserve">alcancen una participación superior al </w:t>
      </w:r>
      <w:r w:rsidR="00A761DE">
        <w:rPr>
          <w:rFonts w:ascii="Arial" w:eastAsia="Times New Roman" w:hAnsi="Arial" w:cs="Arial"/>
          <w:color w:val="000000"/>
          <w:lang w:eastAsia="es-MX"/>
        </w:rPr>
        <w:t>35% (</w:t>
      </w:r>
      <w:r w:rsidRPr="00C9666A">
        <w:rPr>
          <w:rFonts w:ascii="Arial" w:eastAsia="Times New Roman" w:hAnsi="Arial" w:cs="Arial"/>
          <w:color w:val="000000"/>
          <w:lang w:eastAsia="es-MX"/>
        </w:rPr>
        <w:t>treinta y cinco por ciento</w:t>
      </w:r>
      <w:r w:rsidR="00A761DE">
        <w:rPr>
          <w:rFonts w:ascii="Arial" w:eastAsia="Times New Roman" w:hAnsi="Arial" w:cs="Arial"/>
          <w:color w:val="000000"/>
          <w:lang w:eastAsia="es-MX"/>
        </w:rPr>
        <w:t>)</w:t>
      </w:r>
      <w:r w:rsidR="00A761DE" w:rsidRPr="00A761DE">
        <w:rPr>
          <w:rFonts w:ascii="Arial" w:eastAsia="Times New Roman" w:hAnsi="Arial" w:cs="Arial"/>
          <w:color w:val="000000"/>
          <w:lang w:eastAsia="es-MX"/>
        </w:rPr>
        <w:t xml:space="preserve"> </w:t>
      </w:r>
      <w:r w:rsidR="00A761DE" w:rsidRPr="00A832E2">
        <w:rPr>
          <w:rFonts w:ascii="Arial" w:eastAsia="Times New Roman" w:hAnsi="Arial" w:cs="Arial"/>
          <w:color w:val="000000"/>
          <w:lang w:eastAsia="es-MX"/>
        </w:rPr>
        <w:t xml:space="preserve">en cualquier mercado del sector de telecomunicaciones o superior al </w:t>
      </w:r>
      <w:r w:rsidR="00A761DE">
        <w:rPr>
          <w:rFonts w:ascii="Arial" w:eastAsia="Times New Roman" w:hAnsi="Arial" w:cs="Arial"/>
          <w:color w:val="000000"/>
          <w:lang w:eastAsia="es-MX"/>
        </w:rPr>
        <w:t>30% (</w:t>
      </w:r>
      <w:r w:rsidR="00A761DE" w:rsidRPr="00A832E2">
        <w:rPr>
          <w:rFonts w:ascii="Arial" w:eastAsia="Times New Roman" w:hAnsi="Arial" w:cs="Arial"/>
          <w:color w:val="000000"/>
          <w:lang w:eastAsia="es-MX"/>
        </w:rPr>
        <w:t>treinta por ciento</w:t>
      </w:r>
      <w:r w:rsidR="00A761DE">
        <w:rPr>
          <w:rFonts w:ascii="Arial" w:eastAsia="Times New Roman" w:hAnsi="Arial" w:cs="Arial"/>
          <w:color w:val="000000"/>
          <w:lang w:eastAsia="es-MX"/>
        </w:rPr>
        <w:t>)</w:t>
      </w:r>
      <w:r w:rsidR="00A761DE" w:rsidRPr="00A832E2">
        <w:rPr>
          <w:rFonts w:ascii="Arial" w:eastAsia="Times New Roman" w:hAnsi="Arial" w:cs="Arial"/>
          <w:color w:val="000000"/>
          <w:lang w:eastAsia="es-MX"/>
        </w:rPr>
        <w:t xml:space="preserve"> en cualquier mercado del sector de radiodifusión</w:t>
      </w:r>
      <w:r w:rsidRPr="00C9666A">
        <w:rPr>
          <w:rFonts w:ascii="Arial" w:hAnsi="Arial" w:cs="Arial"/>
        </w:rPr>
        <w:t>;</w:t>
      </w:r>
    </w:p>
    <w:p w14:paraId="14172DC4" w14:textId="77777777" w:rsidR="00A65DA7" w:rsidRPr="00C9666A" w:rsidRDefault="00A65DA7" w:rsidP="00C9666A">
      <w:pPr>
        <w:pStyle w:val="Prrafodelista"/>
        <w:numPr>
          <w:ilvl w:val="0"/>
          <w:numId w:val="27"/>
        </w:numPr>
        <w:autoSpaceDE w:val="0"/>
        <w:autoSpaceDN w:val="0"/>
        <w:adjustRightInd w:val="0"/>
        <w:spacing w:before="120" w:after="120"/>
        <w:ind w:left="426" w:hanging="357"/>
        <w:contextualSpacing w:val="0"/>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El </w:t>
      </w:r>
      <w:r w:rsidR="006B245E" w:rsidRPr="00C9666A">
        <w:rPr>
          <w:rFonts w:ascii="Arial" w:eastAsia="Times New Roman" w:hAnsi="Arial" w:cs="Arial"/>
          <w:color w:val="000000"/>
          <w:lang w:eastAsia="es-MX"/>
        </w:rPr>
        <w:t xml:space="preserve">agente económico </w:t>
      </w:r>
      <w:r w:rsidRPr="00C9666A">
        <w:rPr>
          <w:rFonts w:ascii="Arial" w:eastAsia="Times New Roman" w:hAnsi="Arial" w:cs="Arial"/>
          <w:color w:val="000000"/>
          <w:lang w:eastAsia="es-MX"/>
        </w:rPr>
        <w:t xml:space="preserve">adquirido </w:t>
      </w:r>
      <w:r w:rsidR="006B245E" w:rsidRPr="00C9666A">
        <w:rPr>
          <w:rFonts w:ascii="Arial" w:eastAsia="Times New Roman" w:hAnsi="Arial" w:cs="Arial"/>
          <w:color w:val="000000"/>
          <w:lang w:eastAsia="es-MX"/>
        </w:rPr>
        <w:t>es</w:t>
      </w:r>
      <w:r w:rsidRPr="00C9666A">
        <w:rPr>
          <w:rFonts w:ascii="Arial" w:eastAsia="Times New Roman" w:hAnsi="Arial" w:cs="Arial"/>
          <w:color w:val="000000"/>
          <w:lang w:eastAsia="es-MX"/>
        </w:rPr>
        <w:t xml:space="preserve"> un agente económico disruptivo</w:t>
      </w:r>
      <w:r w:rsidR="00C62176" w:rsidRPr="00C9666A">
        <w:rPr>
          <w:rFonts w:ascii="Arial" w:eastAsia="Times New Roman" w:hAnsi="Arial" w:cs="Arial"/>
          <w:color w:val="000000"/>
          <w:lang w:eastAsia="es-MX"/>
        </w:rPr>
        <w:t xml:space="preserve"> (conocido como </w:t>
      </w:r>
      <w:proofErr w:type="spellStart"/>
      <w:r w:rsidR="00C62176" w:rsidRPr="00C9666A">
        <w:rPr>
          <w:rFonts w:ascii="Arial" w:eastAsia="Times New Roman" w:hAnsi="Arial" w:cs="Arial"/>
          <w:i/>
          <w:color w:val="000000"/>
          <w:lang w:eastAsia="es-MX"/>
        </w:rPr>
        <w:t>maverick</w:t>
      </w:r>
      <w:proofErr w:type="spellEnd"/>
      <w:r w:rsidR="00C62176" w:rsidRPr="00C9666A">
        <w:rPr>
          <w:rFonts w:ascii="Arial" w:eastAsia="Times New Roman" w:hAnsi="Arial" w:cs="Arial"/>
          <w:color w:val="000000"/>
          <w:lang w:eastAsia="es-MX"/>
        </w:rPr>
        <w:t xml:space="preserve"> en inglés)</w:t>
      </w:r>
      <w:r w:rsidR="006B245E" w:rsidRPr="00C9666A">
        <w:rPr>
          <w:rFonts w:ascii="Arial" w:eastAsia="Times New Roman" w:hAnsi="Arial" w:cs="Arial"/>
          <w:color w:val="000000"/>
          <w:lang w:eastAsia="es-MX"/>
        </w:rPr>
        <w:t xml:space="preserve"> que se distinga, por ejemplo, por introducir o desarrollar nuevas tecnologías o modelos de negocios o que pueda disciplinar los precios con base en su habilidad e incentivos a expandirse rápidamente</w:t>
      </w:r>
      <w:r w:rsidRPr="00C9666A">
        <w:rPr>
          <w:rFonts w:ascii="Arial" w:eastAsia="Times New Roman" w:hAnsi="Arial" w:cs="Arial"/>
          <w:color w:val="000000"/>
          <w:lang w:eastAsia="es-MX"/>
        </w:rPr>
        <w:t>;</w:t>
      </w:r>
    </w:p>
    <w:p w14:paraId="584370C6" w14:textId="77777777" w:rsidR="00A65DA7" w:rsidRPr="00C9666A" w:rsidRDefault="006B245E" w:rsidP="00C9666A">
      <w:pPr>
        <w:pStyle w:val="Prrafodelista"/>
        <w:numPr>
          <w:ilvl w:val="0"/>
          <w:numId w:val="27"/>
        </w:numPr>
        <w:spacing w:before="120" w:after="120"/>
        <w:ind w:left="425" w:hanging="357"/>
        <w:contextualSpacing w:val="0"/>
        <w:jc w:val="both"/>
        <w:rPr>
          <w:rFonts w:ascii="Arial" w:eastAsia="Times New Roman" w:hAnsi="Arial" w:cs="Arial"/>
          <w:color w:val="000000"/>
          <w:lang w:eastAsia="es-MX"/>
        </w:rPr>
      </w:pPr>
      <w:r w:rsidRPr="00C9666A">
        <w:rPr>
          <w:rFonts w:ascii="Arial" w:eastAsia="Times New Roman" w:hAnsi="Arial" w:cs="Arial"/>
          <w:color w:val="000000"/>
          <w:lang w:eastAsia="es-MX"/>
        </w:rPr>
        <w:t>Uno o más</w:t>
      </w:r>
      <w:r w:rsidR="00A65DA7" w:rsidRPr="00C9666A">
        <w:rPr>
          <w:rFonts w:ascii="Arial" w:eastAsia="Times New Roman" w:hAnsi="Arial" w:cs="Arial"/>
          <w:color w:val="000000"/>
          <w:lang w:eastAsia="es-MX"/>
        </w:rPr>
        <w:t xml:space="preserve"> de los agentes económicos involucrados en la </w:t>
      </w:r>
      <w:r w:rsidRPr="00C9666A">
        <w:rPr>
          <w:rFonts w:ascii="Arial" w:eastAsia="Times New Roman" w:hAnsi="Arial" w:cs="Arial"/>
          <w:color w:val="000000"/>
          <w:lang w:eastAsia="es-MX"/>
        </w:rPr>
        <w:t xml:space="preserve">operación </w:t>
      </w:r>
      <w:r w:rsidR="00A65DA7" w:rsidRPr="00C9666A">
        <w:rPr>
          <w:rFonts w:ascii="Arial" w:eastAsia="Times New Roman" w:hAnsi="Arial" w:cs="Arial"/>
          <w:color w:val="000000"/>
          <w:lang w:eastAsia="es-MX"/>
        </w:rPr>
        <w:t xml:space="preserve">haya participado dentro de los últimos cinco años en </w:t>
      </w:r>
      <w:r w:rsidR="003404BC" w:rsidRPr="00C9666A">
        <w:rPr>
          <w:rFonts w:ascii="Arial" w:eastAsia="Times New Roman" w:hAnsi="Arial" w:cs="Arial"/>
          <w:color w:val="000000"/>
          <w:lang w:eastAsia="es-MX"/>
        </w:rPr>
        <w:t xml:space="preserve">operaciones </w:t>
      </w:r>
      <w:r w:rsidR="00A65DA7" w:rsidRPr="00C9666A">
        <w:rPr>
          <w:rFonts w:ascii="Arial" w:eastAsia="Times New Roman" w:hAnsi="Arial" w:cs="Arial"/>
          <w:color w:val="000000"/>
          <w:lang w:eastAsia="es-MX"/>
        </w:rPr>
        <w:t xml:space="preserve">previas en el </w:t>
      </w:r>
      <w:r w:rsidR="00C62176" w:rsidRPr="00C9666A">
        <w:rPr>
          <w:rFonts w:ascii="Arial" w:eastAsia="Times New Roman" w:hAnsi="Arial" w:cs="Arial"/>
          <w:color w:val="000000"/>
          <w:lang w:eastAsia="es-MX"/>
        </w:rPr>
        <w:t xml:space="preserve">mismo </w:t>
      </w:r>
      <w:r w:rsidR="00A65DA7" w:rsidRPr="00C9666A">
        <w:rPr>
          <w:rFonts w:ascii="Arial" w:eastAsia="Times New Roman" w:hAnsi="Arial" w:cs="Arial"/>
          <w:color w:val="000000"/>
          <w:lang w:eastAsia="es-MX"/>
        </w:rPr>
        <w:t xml:space="preserve">mercado y que consideradas en conjunto con la </w:t>
      </w:r>
      <w:r w:rsidR="003404BC" w:rsidRPr="00C9666A">
        <w:rPr>
          <w:rFonts w:ascii="Arial" w:eastAsia="Times New Roman" w:hAnsi="Arial" w:cs="Arial"/>
          <w:color w:val="000000"/>
          <w:lang w:eastAsia="es-MX"/>
        </w:rPr>
        <w:t xml:space="preserve">operación </w:t>
      </w:r>
      <w:r w:rsidR="00A65DA7" w:rsidRPr="00C9666A">
        <w:rPr>
          <w:rFonts w:ascii="Arial" w:eastAsia="Times New Roman" w:hAnsi="Arial" w:cs="Arial"/>
          <w:color w:val="000000"/>
          <w:lang w:eastAsia="es-MX"/>
        </w:rPr>
        <w:t>analizada, rebasen los umbrales referidos.</w:t>
      </w:r>
    </w:p>
    <w:p w14:paraId="2E4A3B17" w14:textId="588101D2" w:rsidR="00A65DA7" w:rsidRDefault="00A65DA7" w:rsidP="00C9666A">
      <w:pPr>
        <w:pStyle w:val="Prrafodelista"/>
        <w:numPr>
          <w:ilvl w:val="0"/>
          <w:numId w:val="27"/>
        </w:numPr>
        <w:spacing w:before="120" w:after="120"/>
        <w:ind w:left="425" w:hanging="357"/>
        <w:contextualSpacing w:val="0"/>
        <w:jc w:val="both"/>
        <w:rPr>
          <w:rFonts w:ascii="Arial" w:eastAsia="Times New Roman" w:hAnsi="Arial" w:cs="Arial"/>
          <w:color w:val="000000"/>
          <w:lang w:eastAsia="es-MX"/>
        </w:rPr>
      </w:pPr>
      <w:r w:rsidRPr="00C9666A">
        <w:rPr>
          <w:rFonts w:ascii="Arial" w:eastAsia="Times New Roman" w:hAnsi="Arial" w:cs="Arial"/>
          <w:color w:val="000000"/>
          <w:lang w:eastAsia="es-MX"/>
        </w:rPr>
        <w:t xml:space="preserve">La </w:t>
      </w:r>
      <w:r w:rsidR="003404BC" w:rsidRPr="00C9666A">
        <w:rPr>
          <w:rFonts w:ascii="Arial" w:eastAsia="Times New Roman" w:hAnsi="Arial" w:cs="Arial"/>
          <w:color w:val="000000"/>
          <w:lang w:eastAsia="es-MX"/>
        </w:rPr>
        <w:t xml:space="preserve">operación </w:t>
      </w:r>
      <w:r w:rsidRPr="00C9666A">
        <w:rPr>
          <w:rFonts w:ascii="Arial" w:eastAsia="Times New Roman" w:hAnsi="Arial" w:cs="Arial"/>
          <w:color w:val="000000"/>
          <w:lang w:eastAsia="es-MX"/>
        </w:rPr>
        <w:t xml:space="preserve">pueda generar incentivos a la coordinación entre los agentes económicos que participen en el mercado </w:t>
      </w:r>
      <w:r w:rsidR="003404BC" w:rsidRPr="00C9666A">
        <w:rPr>
          <w:rFonts w:ascii="Arial" w:eastAsia="Times New Roman" w:hAnsi="Arial" w:cs="Arial"/>
          <w:color w:val="000000"/>
          <w:lang w:eastAsia="es-MX"/>
        </w:rPr>
        <w:t xml:space="preserve">analizado </w:t>
      </w:r>
      <w:r w:rsidRPr="00C9666A">
        <w:rPr>
          <w:rFonts w:ascii="Arial" w:eastAsia="Times New Roman" w:hAnsi="Arial" w:cs="Arial"/>
          <w:color w:val="000000"/>
          <w:lang w:eastAsia="es-MX"/>
        </w:rPr>
        <w:t>o mercados relacionados.</w:t>
      </w:r>
    </w:p>
    <w:p w14:paraId="682FA7EF" w14:textId="77777777" w:rsidR="00A704F3" w:rsidRPr="00C9666A" w:rsidRDefault="00A704F3" w:rsidP="00A704F3">
      <w:pPr>
        <w:pStyle w:val="Prrafodelista"/>
        <w:spacing w:before="120" w:after="120"/>
        <w:ind w:left="425"/>
        <w:contextualSpacing w:val="0"/>
        <w:jc w:val="both"/>
        <w:rPr>
          <w:rFonts w:ascii="Arial" w:eastAsia="Times New Roman" w:hAnsi="Arial" w:cs="Arial"/>
          <w:color w:val="000000"/>
          <w:lang w:eastAsia="es-MX"/>
        </w:rPr>
      </w:pPr>
    </w:p>
    <w:p w14:paraId="70C9AF0E" w14:textId="75234C3C" w:rsidR="00E30A99" w:rsidRPr="00C9666A" w:rsidRDefault="008D1AC2" w:rsidP="00C9666A">
      <w:pPr>
        <w:pStyle w:val="Ttulo1"/>
        <w:numPr>
          <w:ilvl w:val="0"/>
          <w:numId w:val="38"/>
        </w:numPr>
        <w:spacing w:before="120" w:after="120"/>
        <w:rPr>
          <w:rFonts w:ascii="Arial" w:hAnsi="Arial" w:cs="Arial"/>
          <w:b/>
          <w:color w:val="auto"/>
          <w:sz w:val="22"/>
        </w:rPr>
      </w:pPr>
      <w:bookmarkStart w:id="9" w:name="_Toc432706536"/>
      <w:r w:rsidRPr="00C9666A">
        <w:rPr>
          <w:rFonts w:ascii="Arial" w:hAnsi="Arial" w:cs="Arial"/>
          <w:b/>
          <w:color w:val="auto"/>
          <w:sz w:val="22"/>
        </w:rPr>
        <w:t>Análisis</w:t>
      </w:r>
      <w:r w:rsidR="00E30A99" w:rsidRPr="00C9666A">
        <w:rPr>
          <w:rFonts w:ascii="Arial" w:hAnsi="Arial" w:cs="Arial"/>
          <w:b/>
          <w:color w:val="auto"/>
          <w:sz w:val="22"/>
        </w:rPr>
        <w:t xml:space="preserve"> de la Propuesta</w:t>
      </w:r>
      <w:bookmarkEnd w:id="9"/>
      <w:r w:rsidR="00A761DE">
        <w:rPr>
          <w:rFonts w:ascii="Arial" w:hAnsi="Arial" w:cs="Arial"/>
          <w:b/>
          <w:color w:val="auto"/>
          <w:sz w:val="22"/>
        </w:rPr>
        <w:t xml:space="preserve"> de modificación</w:t>
      </w:r>
    </w:p>
    <w:p w14:paraId="33754981" w14:textId="2F07F146" w:rsidR="00E30A99" w:rsidRPr="00C9666A" w:rsidRDefault="00C62176" w:rsidP="00C9666A">
      <w:pPr>
        <w:pStyle w:val="Default"/>
        <w:spacing w:before="120" w:after="120" w:line="276" w:lineRule="auto"/>
        <w:ind w:left="851" w:right="-1"/>
        <w:jc w:val="both"/>
        <w:rPr>
          <w:rFonts w:ascii="Arial" w:eastAsiaTheme="minorEastAsia" w:hAnsi="Arial" w:cs="Arial"/>
          <w:b/>
          <w:sz w:val="22"/>
          <w:szCs w:val="22"/>
        </w:rPr>
      </w:pPr>
      <w:r w:rsidRPr="00C9666A">
        <w:rPr>
          <w:rFonts w:ascii="Arial" w:hAnsi="Arial" w:cs="Arial"/>
          <w:b/>
          <w:sz w:val="22"/>
          <w:szCs w:val="22"/>
        </w:rPr>
        <w:t>VII</w:t>
      </w:r>
      <w:r w:rsidR="00F74544" w:rsidRPr="00C9666A">
        <w:rPr>
          <w:rFonts w:ascii="Arial" w:hAnsi="Arial" w:cs="Arial"/>
          <w:b/>
          <w:sz w:val="22"/>
          <w:szCs w:val="22"/>
        </w:rPr>
        <w:t>.</w:t>
      </w:r>
      <w:r w:rsidR="00A761DE">
        <w:rPr>
          <w:rFonts w:ascii="Arial" w:hAnsi="Arial" w:cs="Arial"/>
          <w:b/>
          <w:sz w:val="22"/>
          <w:szCs w:val="22"/>
        </w:rPr>
        <w:t>1</w:t>
      </w:r>
      <w:r w:rsidR="00F74544" w:rsidRPr="00C9666A">
        <w:rPr>
          <w:rFonts w:ascii="Arial" w:hAnsi="Arial" w:cs="Arial"/>
          <w:b/>
          <w:sz w:val="22"/>
          <w:szCs w:val="22"/>
        </w:rPr>
        <w:t xml:space="preserve">. </w:t>
      </w:r>
      <w:r w:rsidR="00EA2D9F" w:rsidRPr="00C9666A">
        <w:rPr>
          <w:rFonts w:ascii="Arial" w:hAnsi="Arial" w:cs="Arial"/>
          <w:b/>
          <w:sz w:val="22"/>
          <w:szCs w:val="22"/>
        </w:rPr>
        <w:t xml:space="preserve">2,000 &lt; </w:t>
      </w:r>
      <w:r w:rsidR="00193362" w:rsidRPr="00C9666A">
        <w:rPr>
          <w:rFonts w:ascii="Arial" w:hAnsi="Arial" w:cs="Arial"/>
          <w:b/>
          <w:sz w:val="22"/>
          <w:szCs w:val="22"/>
        </w:rPr>
        <w:t>IHH</w:t>
      </w:r>
      <w:r w:rsidR="00EA2D9F" w:rsidRPr="00C9666A">
        <w:rPr>
          <w:rFonts w:ascii="Arial" w:hAnsi="Arial" w:cs="Arial"/>
          <w:b/>
          <w:sz w:val="22"/>
          <w:szCs w:val="22"/>
        </w:rPr>
        <w:t xml:space="preserve"> </w:t>
      </w:r>
      <m:oMath>
        <m:r>
          <m:rPr>
            <m:sty m:val="bi"/>
          </m:rPr>
          <w:rPr>
            <w:rFonts w:ascii="Cambria Math" w:hAnsi="Cambria Math" w:cs="Arial"/>
            <w:sz w:val="22"/>
            <w:szCs w:val="22"/>
          </w:rPr>
          <m:t>≤</m:t>
        </m:r>
      </m:oMath>
      <w:r w:rsidR="00EA2D9F" w:rsidRPr="00C9666A">
        <w:rPr>
          <w:rFonts w:ascii="Arial" w:hAnsi="Arial" w:cs="Arial"/>
          <w:b/>
          <w:sz w:val="22"/>
          <w:szCs w:val="22"/>
        </w:rPr>
        <w:t xml:space="preserve"> </w:t>
      </w:r>
      <w:r w:rsidR="006F02D9">
        <w:rPr>
          <w:rFonts w:ascii="Arial" w:hAnsi="Arial" w:cs="Arial"/>
          <w:b/>
          <w:sz w:val="22"/>
          <w:szCs w:val="22"/>
        </w:rPr>
        <w:t>2</w:t>
      </w:r>
      <w:r w:rsidR="003404BC" w:rsidRPr="00C9666A">
        <w:rPr>
          <w:rFonts w:ascii="Arial" w:hAnsi="Arial" w:cs="Arial"/>
          <w:b/>
          <w:sz w:val="22"/>
          <w:szCs w:val="22"/>
        </w:rPr>
        <w:t>,</w:t>
      </w:r>
      <w:r w:rsidR="006F02D9">
        <w:rPr>
          <w:rFonts w:ascii="Arial" w:hAnsi="Arial" w:cs="Arial"/>
          <w:b/>
          <w:sz w:val="22"/>
          <w:szCs w:val="22"/>
        </w:rPr>
        <w:t>5</w:t>
      </w:r>
      <w:r w:rsidR="003404BC" w:rsidRPr="00C9666A">
        <w:rPr>
          <w:rFonts w:ascii="Arial" w:hAnsi="Arial" w:cs="Arial"/>
          <w:b/>
          <w:sz w:val="22"/>
          <w:szCs w:val="22"/>
        </w:rPr>
        <w:t>00</w:t>
      </w:r>
      <w:r w:rsidR="00EA2D9F" w:rsidRPr="00C9666A">
        <w:rPr>
          <w:rFonts w:ascii="Arial" w:hAnsi="Arial" w:cs="Arial"/>
          <w:b/>
          <w:sz w:val="22"/>
          <w:szCs w:val="22"/>
        </w:rPr>
        <w:t xml:space="preserve"> y</w:t>
      </w:r>
      <w:r w:rsidR="00EA2D9F" w:rsidRPr="00C9666A">
        <w:rPr>
          <w:rFonts w:ascii="Arial" w:eastAsiaTheme="minorEastAsia" w:hAnsi="Arial" w:cs="Arial"/>
          <w:b/>
          <w:sz w:val="22"/>
          <w:szCs w:val="22"/>
        </w:rPr>
        <w:t xml:space="preserve"> </w:t>
      </w:r>
      <m:oMath>
        <m:r>
          <m:rPr>
            <m:sty m:val="b"/>
          </m:rPr>
          <w:rPr>
            <w:rFonts w:ascii="Cambria Math" w:hAnsi="Cambria Math" w:cs="Arial"/>
            <w:sz w:val="22"/>
            <w:szCs w:val="22"/>
          </w:rPr>
          <m:t>∆IHH</m:t>
        </m:r>
      </m:oMath>
      <w:r w:rsidR="00EA2D9F" w:rsidRPr="00C9666A">
        <w:rPr>
          <w:rFonts w:ascii="Arial" w:hAnsi="Arial" w:cs="Arial"/>
          <w:b/>
          <w:sz w:val="22"/>
          <w:szCs w:val="22"/>
        </w:rPr>
        <w:t xml:space="preserve"> </w:t>
      </w:r>
      <m:oMath>
        <m:r>
          <m:rPr>
            <m:sty m:val="bi"/>
          </m:rPr>
          <w:rPr>
            <w:rFonts w:ascii="Cambria Math" w:hAnsi="Cambria Math" w:cs="Arial"/>
            <w:sz w:val="22"/>
            <w:szCs w:val="22"/>
          </w:rPr>
          <m:t>≤</m:t>
        </m:r>
      </m:oMath>
      <w:r w:rsidR="00EA2D9F" w:rsidRPr="00C9666A">
        <w:rPr>
          <w:rFonts w:ascii="Arial" w:hAnsi="Arial" w:cs="Arial"/>
          <w:b/>
          <w:sz w:val="22"/>
          <w:szCs w:val="22"/>
        </w:rPr>
        <w:t xml:space="preserve"> 150 puntos </w:t>
      </w:r>
      <w:r w:rsidR="00EA2D9F" w:rsidRPr="00C9666A">
        <w:rPr>
          <w:rFonts w:ascii="Arial" w:hAnsi="Arial" w:cs="Arial"/>
          <w:sz w:val="22"/>
          <w:szCs w:val="22"/>
        </w:rPr>
        <w:t>(</w:t>
      </w:r>
      <w:r w:rsidR="00E30A99" w:rsidRPr="00C9666A">
        <w:rPr>
          <w:rFonts w:ascii="Arial" w:hAnsi="Arial" w:cs="Arial"/>
          <w:sz w:val="22"/>
          <w:szCs w:val="22"/>
        </w:rPr>
        <w:t xml:space="preserve">mercado </w:t>
      </w:r>
      <w:r w:rsidR="008932EC" w:rsidRPr="00C9666A">
        <w:rPr>
          <w:rFonts w:ascii="Arial" w:hAnsi="Arial" w:cs="Arial"/>
          <w:sz w:val="22"/>
          <w:szCs w:val="22"/>
        </w:rPr>
        <w:t>con nivel de concentración moderado</w:t>
      </w:r>
      <w:r w:rsidR="00E30A99" w:rsidRPr="00C9666A">
        <w:rPr>
          <w:rFonts w:ascii="Arial" w:hAnsi="Arial" w:cs="Arial"/>
          <w:sz w:val="22"/>
          <w:szCs w:val="22"/>
        </w:rPr>
        <w:t xml:space="preserve"> y </w:t>
      </w:r>
      <m:oMath>
        <m:r>
          <m:rPr>
            <m:sty m:val="p"/>
          </m:rPr>
          <w:rPr>
            <w:rFonts w:ascii="Cambria Math" w:hAnsi="Cambria Math" w:cs="Arial"/>
            <w:sz w:val="22"/>
            <w:szCs w:val="22"/>
          </w:rPr>
          <m:t>∆IHH</m:t>
        </m:r>
      </m:oMath>
      <w:r w:rsidR="00E30A99" w:rsidRPr="00C9666A">
        <w:rPr>
          <w:rFonts w:ascii="Arial" w:hAnsi="Arial" w:cs="Arial"/>
          <w:sz w:val="22"/>
          <w:szCs w:val="22"/>
        </w:rPr>
        <w:t xml:space="preserve"> </w:t>
      </w:r>
      <m:oMath>
        <m:r>
          <w:rPr>
            <w:rFonts w:ascii="Cambria Math" w:hAnsi="Cambria Math" w:cs="Arial"/>
            <w:sz w:val="22"/>
            <w:szCs w:val="22"/>
          </w:rPr>
          <m:t>≤</m:t>
        </m:r>
      </m:oMath>
      <w:r w:rsidR="00F74544" w:rsidRPr="00C9666A">
        <w:rPr>
          <w:rFonts w:ascii="Arial" w:hAnsi="Arial" w:cs="Arial"/>
          <w:sz w:val="22"/>
          <w:szCs w:val="22"/>
        </w:rPr>
        <w:t xml:space="preserve"> </w:t>
      </w:r>
      <w:r w:rsidR="00EA2D9F" w:rsidRPr="00C9666A">
        <w:rPr>
          <w:rFonts w:ascii="Arial" w:hAnsi="Arial" w:cs="Arial"/>
          <w:sz w:val="22"/>
          <w:szCs w:val="22"/>
        </w:rPr>
        <w:t>150</w:t>
      </w:r>
      <w:r w:rsidR="00F74544" w:rsidRPr="00C9666A">
        <w:rPr>
          <w:rFonts w:ascii="Arial" w:hAnsi="Arial" w:cs="Arial"/>
          <w:sz w:val="22"/>
          <w:szCs w:val="22"/>
        </w:rPr>
        <w:t xml:space="preserve"> puntos</w:t>
      </w:r>
      <w:r w:rsidR="00EA2D9F" w:rsidRPr="00C9666A">
        <w:rPr>
          <w:rFonts w:ascii="Arial" w:hAnsi="Arial" w:cs="Arial"/>
          <w:sz w:val="22"/>
          <w:szCs w:val="22"/>
        </w:rPr>
        <w:t>)</w:t>
      </w:r>
    </w:p>
    <w:p w14:paraId="2ED93265" w14:textId="0B2A2AB9" w:rsidR="00E30A99" w:rsidRPr="00C9666A" w:rsidRDefault="004D0CC3" w:rsidP="00C9666A">
      <w:pPr>
        <w:pStyle w:val="Default"/>
        <w:spacing w:before="120" w:after="120" w:line="276" w:lineRule="auto"/>
        <w:ind w:right="-1"/>
        <w:jc w:val="both"/>
        <w:rPr>
          <w:rFonts w:ascii="Arial" w:eastAsiaTheme="minorEastAsia" w:hAnsi="Arial" w:cs="Arial"/>
          <w:sz w:val="22"/>
          <w:szCs w:val="22"/>
        </w:rPr>
      </w:pPr>
      <w:r w:rsidRPr="00C9666A">
        <w:rPr>
          <w:rFonts w:ascii="Arial" w:eastAsiaTheme="minorEastAsia" w:hAnsi="Arial" w:cs="Arial"/>
          <w:sz w:val="22"/>
          <w:szCs w:val="22"/>
        </w:rPr>
        <w:t>En</w:t>
      </w:r>
      <w:r w:rsidR="00E424E7" w:rsidRPr="00C9666A">
        <w:rPr>
          <w:rFonts w:ascii="Arial" w:eastAsiaTheme="minorEastAsia" w:hAnsi="Arial" w:cs="Arial"/>
          <w:sz w:val="22"/>
          <w:szCs w:val="22"/>
        </w:rPr>
        <w:t xml:space="preserve"> un mercado </w:t>
      </w:r>
      <w:r w:rsidR="008932EC" w:rsidRPr="00C9666A">
        <w:rPr>
          <w:rFonts w:ascii="Arial" w:eastAsiaTheme="minorEastAsia" w:hAnsi="Arial" w:cs="Arial"/>
          <w:sz w:val="22"/>
          <w:szCs w:val="22"/>
        </w:rPr>
        <w:t>con un nivel de concentración moderado</w:t>
      </w:r>
      <w:r w:rsidR="00E30A99" w:rsidRPr="00C9666A">
        <w:rPr>
          <w:rFonts w:ascii="Arial" w:eastAsiaTheme="minorEastAsia" w:hAnsi="Arial" w:cs="Arial"/>
          <w:sz w:val="22"/>
          <w:szCs w:val="22"/>
        </w:rPr>
        <w:t xml:space="preserve"> </w:t>
      </w:r>
      <w:r w:rsidR="008932EC" w:rsidRPr="00C9666A">
        <w:rPr>
          <w:rFonts w:ascii="Arial" w:eastAsiaTheme="minorEastAsia" w:hAnsi="Arial" w:cs="Arial"/>
          <w:sz w:val="22"/>
          <w:szCs w:val="22"/>
        </w:rPr>
        <w:t>existir</w:t>
      </w:r>
      <w:r w:rsidR="00C04B8C">
        <w:rPr>
          <w:rFonts w:ascii="Arial" w:eastAsiaTheme="minorEastAsia" w:hAnsi="Arial" w:cs="Arial"/>
          <w:sz w:val="22"/>
          <w:szCs w:val="22"/>
        </w:rPr>
        <w:t>ían</w:t>
      </w:r>
      <w:r w:rsidR="00E424E7" w:rsidRPr="00C9666A">
        <w:rPr>
          <w:rFonts w:ascii="Arial" w:eastAsiaTheme="minorEastAsia" w:hAnsi="Arial" w:cs="Arial"/>
          <w:sz w:val="22"/>
          <w:szCs w:val="22"/>
        </w:rPr>
        <w:t xml:space="preserve"> al menos</w:t>
      </w:r>
      <w:r w:rsidR="00E30A99" w:rsidRPr="00C9666A">
        <w:rPr>
          <w:rFonts w:ascii="Arial" w:eastAsiaTheme="minorEastAsia" w:hAnsi="Arial" w:cs="Arial"/>
          <w:sz w:val="22"/>
          <w:szCs w:val="22"/>
        </w:rPr>
        <w:t xml:space="preserve"> </w:t>
      </w:r>
      <w:r w:rsidR="003E1D38">
        <w:rPr>
          <w:rFonts w:ascii="Arial" w:eastAsiaTheme="minorEastAsia" w:hAnsi="Arial" w:cs="Arial"/>
          <w:sz w:val="22"/>
          <w:szCs w:val="22"/>
        </w:rPr>
        <w:t>6</w:t>
      </w:r>
      <w:r w:rsidR="00E30A99" w:rsidRPr="00C9666A">
        <w:rPr>
          <w:rFonts w:ascii="Arial" w:eastAsiaTheme="minorEastAsia" w:hAnsi="Arial" w:cs="Arial"/>
          <w:sz w:val="22"/>
          <w:szCs w:val="22"/>
        </w:rPr>
        <w:t xml:space="preserve"> </w:t>
      </w:r>
      <w:r w:rsidR="00E424E7" w:rsidRPr="00C9666A">
        <w:rPr>
          <w:rFonts w:ascii="Arial" w:eastAsiaTheme="minorEastAsia" w:hAnsi="Arial" w:cs="Arial"/>
          <w:sz w:val="22"/>
          <w:szCs w:val="22"/>
        </w:rPr>
        <w:t>competidores</w:t>
      </w:r>
      <w:r w:rsidR="00E30A99" w:rsidRPr="00C9666A">
        <w:rPr>
          <w:rFonts w:ascii="Arial" w:eastAsiaTheme="minorEastAsia" w:hAnsi="Arial" w:cs="Arial"/>
          <w:sz w:val="22"/>
          <w:szCs w:val="22"/>
        </w:rPr>
        <w:t xml:space="preserve">. Si el mercado tiene </w:t>
      </w:r>
      <w:r w:rsidR="003E1D38">
        <w:rPr>
          <w:rFonts w:ascii="Arial" w:eastAsiaTheme="minorEastAsia" w:hAnsi="Arial" w:cs="Arial"/>
          <w:sz w:val="22"/>
          <w:szCs w:val="22"/>
        </w:rPr>
        <w:t>6</w:t>
      </w:r>
      <w:r w:rsidR="00E30A99" w:rsidRPr="00C9666A">
        <w:rPr>
          <w:rFonts w:ascii="Arial" w:eastAsiaTheme="minorEastAsia" w:hAnsi="Arial" w:cs="Arial"/>
          <w:sz w:val="22"/>
          <w:szCs w:val="22"/>
        </w:rPr>
        <w:t xml:space="preserve"> </w:t>
      </w:r>
      <w:r w:rsidR="008932EC" w:rsidRPr="00C9666A">
        <w:rPr>
          <w:rFonts w:ascii="Arial" w:eastAsiaTheme="minorEastAsia" w:hAnsi="Arial" w:cs="Arial"/>
          <w:sz w:val="22"/>
          <w:szCs w:val="22"/>
        </w:rPr>
        <w:t>agentes económicos</w:t>
      </w:r>
      <w:r w:rsidR="00E30A99" w:rsidRPr="00C9666A">
        <w:rPr>
          <w:rFonts w:ascii="Arial" w:eastAsiaTheme="minorEastAsia" w:hAnsi="Arial" w:cs="Arial"/>
          <w:sz w:val="22"/>
          <w:szCs w:val="22"/>
        </w:rPr>
        <w:t>, la máxima participación de mercado que cumple con el criterio es 4</w:t>
      </w:r>
      <w:r w:rsidR="003E1D38">
        <w:rPr>
          <w:rFonts w:ascii="Arial" w:eastAsiaTheme="minorEastAsia" w:hAnsi="Arial" w:cs="Arial"/>
          <w:sz w:val="22"/>
          <w:szCs w:val="22"/>
        </w:rPr>
        <w:t>3</w:t>
      </w:r>
      <w:r w:rsidR="00E30A99" w:rsidRPr="00C9666A">
        <w:rPr>
          <w:rFonts w:ascii="Arial" w:eastAsiaTheme="minorEastAsia" w:hAnsi="Arial" w:cs="Arial"/>
          <w:sz w:val="22"/>
          <w:szCs w:val="22"/>
        </w:rPr>
        <w:t>%.</w:t>
      </w:r>
    </w:p>
    <w:p w14:paraId="0B400B6D" w14:textId="31CB3FF7" w:rsidR="00E30A99" w:rsidRPr="00C9666A" w:rsidRDefault="008932EC"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En un mercado con la siguiente estructura</w:t>
      </w:r>
      <w:r w:rsidR="00E30A99" w:rsidRPr="00C9666A">
        <w:rPr>
          <w:rFonts w:ascii="Arial" w:hAnsi="Arial" w:cs="Arial"/>
          <w:sz w:val="22"/>
          <w:szCs w:val="22"/>
        </w:rPr>
        <w:t>: 2</w:t>
      </w:r>
      <w:r w:rsidRPr="00C9666A">
        <w:rPr>
          <w:rFonts w:ascii="Arial" w:hAnsi="Arial" w:cs="Arial"/>
          <w:sz w:val="22"/>
          <w:szCs w:val="22"/>
        </w:rPr>
        <w:t>4</w:t>
      </w:r>
      <w:r w:rsidR="00E30A99" w:rsidRPr="00C9666A">
        <w:rPr>
          <w:rFonts w:ascii="Arial" w:hAnsi="Arial" w:cs="Arial"/>
          <w:sz w:val="22"/>
          <w:szCs w:val="22"/>
        </w:rPr>
        <w:t>%, 2</w:t>
      </w:r>
      <w:r w:rsidRPr="00C9666A">
        <w:rPr>
          <w:rFonts w:ascii="Arial" w:hAnsi="Arial" w:cs="Arial"/>
          <w:sz w:val="22"/>
          <w:szCs w:val="22"/>
        </w:rPr>
        <w:t>3</w:t>
      </w:r>
      <w:r w:rsidR="00E30A99" w:rsidRPr="00C9666A">
        <w:rPr>
          <w:rFonts w:ascii="Arial" w:hAnsi="Arial" w:cs="Arial"/>
          <w:sz w:val="22"/>
          <w:szCs w:val="22"/>
        </w:rPr>
        <w:t>%, 2</w:t>
      </w:r>
      <w:r w:rsidRPr="00C9666A">
        <w:rPr>
          <w:rFonts w:ascii="Arial" w:hAnsi="Arial" w:cs="Arial"/>
          <w:sz w:val="22"/>
          <w:szCs w:val="22"/>
        </w:rPr>
        <w:t>2</w:t>
      </w:r>
      <w:r w:rsidR="00E30A99" w:rsidRPr="00C9666A">
        <w:rPr>
          <w:rFonts w:ascii="Arial" w:hAnsi="Arial" w:cs="Arial"/>
          <w:sz w:val="22"/>
          <w:szCs w:val="22"/>
        </w:rPr>
        <w:t xml:space="preserve">%, 20%, </w:t>
      </w:r>
      <w:r w:rsidR="00422659" w:rsidRPr="00C9666A">
        <w:rPr>
          <w:rFonts w:ascii="Arial" w:hAnsi="Arial" w:cs="Arial"/>
          <w:sz w:val="22"/>
          <w:szCs w:val="22"/>
        </w:rPr>
        <w:t>7</w:t>
      </w:r>
      <w:r w:rsidR="00E30A99" w:rsidRPr="00C9666A">
        <w:rPr>
          <w:rFonts w:ascii="Arial" w:hAnsi="Arial" w:cs="Arial"/>
          <w:sz w:val="22"/>
          <w:szCs w:val="22"/>
        </w:rPr>
        <w:t xml:space="preserve">%, </w:t>
      </w:r>
      <w:r w:rsidR="00422659" w:rsidRPr="00C9666A">
        <w:rPr>
          <w:rFonts w:ascii="Arial" w:hAnsi="Arial" w:cs="Arial"/>
          <w:sz w:val="22"/>
          <w:szCs w:val="22"/>
        </w:rPr>
        <w:t>3</w:t>
      </w:r>
      <w:r w:rsidR="00E30A99" w:rsidRPr="00C9666A">
        <w:rPr>
          <w:rFonts w:ascii="Arial" w:hAnsi="Arial" w:cs="Arial"/>
          <w:sz w:val="22"/>
          <w:szCs w:val="22"/>
        </w:rPr>
        <w:t xml:space="preserve">%, y </w:t>
      </w:r>
      <w:r w:rsidR="00422659" w:rsidRPr="00C9666A">
        <w:rPr>
          <w:rFonts w:ascii="Arial" w:hAnsi="Arial" w:cs="Arial"/>
          <w:sz w:val="22"/>
          <w:szCs w:val="22"/>
        </w:rPr>
        <w:t>1</w:t>
      </w:r>
      <w:r w:rsidR="00E30A99" w:rsidRPr="00C9666A">
        <w:rPr>
          <w:rFonts w:ascii="Arial" w:hAnsi="Arial" w:cs="Arial"/>
          <w:sz w:val="22"/>
          <w:szCs w:val="22"/>
        </w:rPr>
        <w:t xml:space="preserve">%. Si se concentran </w:t>
      </w:r>
      <w:r w:rsidR="00422659" w:rsidRPr="00C9666A">
        <w:rPr>
          <w:rFonts w:ascii="Arial" w:hAnsi="Arial" w:cs="Arial"/>
          <w:sz w:val="22"/>
          <w:szCs w:val="22"/>
        </w:rPr>
        <w:t>los agentes económicos</w:t>
      </w:r>
      <w:r w:rsidR="00E30A99" w:rsidRPr="00C9666A">
        <w:rPr>
          <w:rFonts w:ascii="Arial" w:hAnsi="Arial" w:cs="Arial"/>
          <w:sz w:val="22"/>
          <w:szCs w:val="22"/>
        </w:rPr>
        <w:t xml:space="preserve"> 1 y 6, </w:t>
      </w:r>
      <w:r w:rsidR="008079DE" w:rsidRPr="00C9666A">
        <w:rPr>
          <w:rFonts w:ascii="Arial" w:hAnsi="Arial" w:cs="Arial"/>
          <w:sz w:val="22"/>
          <w:szCs w:val="22"/>
        </w:rPr>
        <w:t>el</w:t>
      </w:r>
      <w:r w:rsidR="00E30A99" w:rsidRPr="00C9666A">
        <w:rPr>
          <w:rFonts w:ascii="Arial" w:hAnsi="Arial" w:cs="Arial"/>
          <w:sz w:val="22"/>
          <w:szCs w:val="22"/>
        </w:rPr>
        <w:t xml:space="preserve"> </w:t>
      </w:r>
      <w:r w:rsidR="00193362" w:rsidRPr="00C9666A">
        <w:rPr>
          <w:rFonts w:ascii="Arial" w:hAnsi="Arial" w:cs="Arial"/>
          <w:sz w:val="22"/>
          <w:szCs w:val="22"/>
        </w:rPr>
        <w:t>IHH</w:t>
      </w:r>
      <w:r w:rsidR="008079DE" w:rsidRPr="00C9666A">
        <w:rPr>
          <w:rFonts w:ascii="Arial" w:hAnsi="Arial" w:cs="Arial"/>
          <w:sz w:val="22"/>
          <w:szCs w:val="22"/>
        </w:rPr>
        <w:t xml:space="preserve"> </w:t>
      </w:r>
      <w:r w:rsidR="00E30A99" w:rsidRPr="00C9666A">
        <w:rPr>
          <w:rFonts w:ascii="Arial" w:hAnsi="Arial" w:cs="Arial"/>
          <w:sz w:val="22"/>
          <w:szCs w:val="22"/>
        </w:rPr>
        <w:t>resulta</w:t>
      </w:r>
      <w:r w:rsidR="008079DE" w:rsidRPr="00C9666A">
        <w:rPr>
          <w:rFonts w:ascii="Arial" w:hAnsi="Arial" w:cs="Arial"/>
          <w:sz w:val="22"/>
          <w:szCs w:val="22"/>
        </w:rPr>
        <w:t xml:space="preserve"> en </w:t>
      </w:r>
      <w:r w:rsidR="00E30A99" w:rsidRPr="00C9666A">
        <w:rPr>
          <w:rFonts w:ascii="Arial" w:hAnsi="Arial" w:cs="Arial"/>
          <w:sz w:val="22"/>
          <w:szCs w:val="22"/>
        </w:rPr>
        <w:t>2,0</w:t>
      </w:r>
      <w:r w:rsidR="00422659" w:rsidRPr="00C9666A">
        <w:rPr>
          <w:rFonts w:ascii="Arial" w:hAnsi="Arial" w:cs="Arial"/>
          <w:sz w:val="22"/>
          <w:szCs w:val="22"/>
        </w:rPr>
        <w:t>48</w:t>
      </w:r>
      <w:r w:rsidR="008079DE" w:rsidRPr="00C9666A">
        <w:rPr>
          <w:rFonts w:ascii="Arial" w:hAnsi="Arial" w:cs="Arial"/>
          <w:sz w:val="22"/>
          <w:szCs w:val="22"/>
        </w:rPr>
        <w:t xml:space="preserve"> puntos</w:t>
      </w:r>
      <w:r w:rsidR="00E30A99" w:rsidRPr="00C9666A">
        <w:rPr>
          <w:rFonts w:ascii="Arial" w:hAnsi="Arial" w:cs="Arial"/>
          <w:sz w:val="22"/>
          <w:szCs w:val="22"/>
        </w:rPr>
        <w:t xml:space="preserve">, lo cual corresponde a un mercado </w:t>
      </w:r>
      <w:r w:rsidRPr="00C9666A">
        <w:rPr>
          <w:rFonts w:ascii="Arial" w:hAnsi="Arial" w:cs="Arial"/>
          <w:sz w:val="22"/>
          <w:szCs w:val="22"/>
        </w:rPr>
        <w:t>con nivel de concentración moderado</w:t>
      </w:r>
      <w:r w:rsidR="00E30A99" w:rsidRPr="00C9666A">
        <w:rPr>
          <w:rFonts w:ascii="Arial" w:hAnsi="Arial" w:cs="Arial"/>
          <w:sz w:val="22"/>
          <w:szCs w:val="22"/>
        </w:rPr>
        <w:t xml:space="preserve">. </w:t>
      </w:r>
      <w:r w:rsidR="008079DE" w:rsidRPr="00C9666A">
        <w:rPr>
          <w:rFonts w:ascii="Arial" w:hAnsi="Arial" w:cs="Arial"/>
          <w:sz w:val="22"/>
          <w:szCs w:val="22"/>
        </w:rPr>
        <w:t xml:space="preserve">Adicionalmente, </w:t>
      </w:r>
      <m:oMath>
        <m:r>
          <m:rPr>
            <m:sty m:val="p"/>
          </m:rPr>
          <w:rPr>
            <w:rFonts w:ascii="Cambria Math" w:hAnsi="Cambria Math" w:cs="Arial"/>
            <w:sz w:val="22"/>
            <w:szCs w:val="22"/>
          </w:rPr>
          <m:t>∆IHH</m:t>
        </m:r>
      </m:oMath>
      <w:r w:rsidR="00E30A99" w:rsidRPr="00C9666A">
        <w:rPr>
          <w:rFonts w:ascii="Arial" w:hAnsi="Arial" w:cs="Arial"/>
          <w:sz w:val="22"/>
          <w:szCs w:val="22"/>
        </w:rPr>
        <w:t xml:space="preserve"> es de 1</w:t>
      </w:r>
      <w:r w:rsidR="00422659" w:rsidRPr="00C9666A">
        <w:rPr>
          <w:rFonts w:ascii="Arial" w:hAnsi="Arial" w:cs="Arial"/>
          <w:sz w:val="22"/>
          <w:szCs w:val="22"/>
        </w:rPr>
        <w:t>44 puntos</w:t>
      </w:r>
      <w:r w:rsidR="00E30A99" w:rsidRPr="00C9666A">
        <w:rPr>
          <w:rFonts w:ascii="Arial" w:hAnsi="Arial" w:cs="Arial"/>
          <w:sz w:val="22"/>
          <w:szCs w:val="22"/>
        </w:rPr>
        <w:t xml:space="preserve">, por lo que la concentración cumple </w:t>
      </w:r>
      <w:r w:rsidR="00422659" w:rsidRPr="00C9666A">
        <w:rPr>
          <w:rFonts w:ascii="Arial" w:hAnsi="Arial" w:cs="Arial"/>
          <w:sz w:val="22"/>
          <w:szCs w:val="22"/>
        </w:rPr>
        <w:t>con este</w:t>
      </w:r>
      <w:r w:rsidR="00604DC1" w:rsidRPr="00C9666A">
        <w:rPr>
          <w:rFonts w:ascii="Arial" w:hAnsi="Arial" w:cs="Arial"/>
          <w:sz w:val="22"/>
          <w:szCs w:val="22"/>
        </w:rPr>
        <w:t xml:space="preserve"> criterio</w:t>
      </w:r>
      <w:r w:rsidR="008079DE" w:rsidRPr="00C9666A">
        <w:rPr>
          <w:rFonts w:ascii="Arial" w:hAnsi="Arial" w:cs="Arial"/>
          <w:sz w:val="22"/>
          <w:szCs w:val="22"/>
        </w:rPr>
        <w:t>.</w:t>
      </w:r>
      <w:r w:rsidR="00E30A99" w:rsidRPr="00C9666A">
        <w:rPr>
          <w:rFonts w:ascii="Arial" w:hAnsi="Arial" w:cs="Arial"/>
          <w:sz w:val="22"/>
          <w:szCs w:val="22"/>
        </w:rPr>
        <w:t xml:space="preserve"> </w:t>
      </w:r>
    </w:p>
    <w:p w14:paraId="19B22C0A" w14:textId="07CDC200" w:rsidR="00E30A99" w:rsidRDefault="00E30A99" w:rsidP="00C9666A">
      <w:pPr>
        <w:pStyle w:val="Default"/>
        <w:spacing w:before="120" w:after="120" w:line="276" w:lineRule="auto"/>
        <w:ind w:right="-1"/>
        <w:jc w:val="both"/>
        <w:rPr>
          <w:rFonts w:ascii="Arial" w:hAnsi="Arial" w:cs="Arial"/>
          <w:sz w:val="22"/>
          <w:szCs w:val="22"/>
        </w:rPr>
      </w:pPr>
      <w:r w:rsidRPr="00C9666A">
        <w:rPr>
          <w:rFonts w:ascii="Arial" w:hAnsi="Arial" w:cs="Arial"/>
          <w:sz w:val="22"/>
          <w:szCs w:val="22"/>
        </w:rPr>
        <w:t xml:space="preserve">Nótese que aun cuando </w:t>
      </w:r>
      <w:r w:rsidR="00422659" w:rsidRPr="00C9666A">
        <w:rPr>
          <w:rFonts w:ascii="Arial" w:hAnsi="Arial" w:cs="Arial"/>
          <w:sz w:val="22"/>
          <w:szCs w:val="22"/>
        </w:rPr>
        <w:t>el agente económico</w:t>
      </w:r>
      <w:r w:rsidRPr="00C9666A">
        <w:rPr>
          <w:rFonts w:ascii="Arial" w:hAnsi="Arial" w:cs="Arial"/>
          <w:sz w:val="22"/>
          <w:szCs w:val="22"/>
        </w:rPr>
        <w:t xml:space="preserve"> </w:t>
      </w:r>
      <w:r w:rsidR="00422659" w:rsidRPr="00C9666A">
        <w:rPr>
          <w:rFonts w:ascii="Arial" w:hAnsi="Arial" w:cs="Arial"/>
          <w:sz w:val="22"/>
          <w:szCs w:val="22"/>
        </w:rPr>
        <w:t>de mayor tamaño</w:t>
      </w:r>
      <w:r w:rsidRPr="00C9666A">
        <w:rPr>
          <w:rFonts w:ascii="Arial" w:hAnsi="Arial" w:cs="Arial"/>
          <w:sz w:val="22"/>
          <w:szCs w:val="22"/>
        </w:rPr>
        <w:t xml:space="preserve"> aumenta su participación de mercado, se mantienen 6 competidores en el mercado, con tres de ellos cercanos al </w:t>
      </w:r>
      <w:r w:rsidR="00422659" w:rsidRPr="00C9666A">
        <w:rPr>
          <w:rFonts w:ascii="Arial" w:hAnsi="Arial" w:cs="Arial"/>
          <w:sz w:val="22"/>
          <w:szCs w:val="22"/>
        </w:rPr>
        <w:t>de mayor tamaño</w:t>
      </w:r>
      <w:r w:rsidRPr="00C9666A">
        <w:rPr>
          <w:rFonts w:ascii="Arial" w:hAnsi="Arial" w:cs="Arial"/>
          <w:sz w:val="22"/>
          <w:szCs w:val="22"/>
        </w:rPr>
        <w:t xml:space="preserve">. En ese sentido, se prevé que </w:t>
      </w:r>
      <w:r w:rsidR="00422659" w:rsidRPr="00C9666A">
        <w:rPr>
          <w:rFonts w:ascii="Arial" w:hAnsi="Arial" w:cs="Arial"/>
          <w:sz w:val="22"/>
          <w:szCs w:val="22"/>
        </w:rPr>
        <w:t>los efectos</w:t>
      </w:r>
      <w:r w:rsidR="00604DC1" w:rsidRPr="00C9666A">
        <w:rPr>
          <w:rFonts w:ascii="Arial" w:hAnsi="Arial" w:cs="Arial"/>
          <w:sz w:val="22"/>
          <w:szCs w:val="22"/>
        </w:rPr>
        <w:t xml:space="preserve"> </w:t>
      </w:r>
      <w:r w:rsidR="00422659" w:rsidRPr="00C9666A">
        <w:rPr>
          <w:rFonts w:ascii="Arial" w:hAnsi="Arial" w:cs="Arial"/>
          <w:sz w:val="22"/>
          <w:szCs w:val="22"/>
        </w:rPr>
        <w:t>de</w:t>
      </w:r>
      <w:r w:rsidR="00604DC1" w:rsidRPr="00C9666A">
        <w:rPr>
          <w:rFonts w:ascii="Arial" w:hAnsi="Arial" w:cs="Arial"/>
          <w:sz w:val="22"/>
          <w:szCs w:val="22"/>
        </w:rPr>
        <w:t xml:space="preserve"> </w:t>
      </w:r>
      <w:r w:rsidRPr="00C9666A">
        <w:rPr>
          <w:rFonts w:ascii="Arial" w:hAnsi="Arial" w:cs="Arial"/>
          <w:sz w:val="22"/>
          <w:szCs w:val="22"/>
        </w:rPr>
        <w:t xml:space="preserve">este tipo de concentraciones </w:t>
      </w:r>
      <w:r w:rsidR="00422659" w:rsidRPr="00C9666A">
        <w:rPr>
          <w:rFonts w:ascii="Arial" w:hAnsi="Arial" w:cs="Arial"/>
          <w:sz w:val="22"/>
          <w:szCs w:val="22"/>
        </w:rPr>
        <w:t>en</w:t>
      </w:r>
      <w:r w:rsidRPr="00C9666A">
        <w:rPr>
          <w:rFonts w:ascii="Arial" w:hAnsi="Arial" w:cs="Arial"/>
          <w:sz w:val="22"/>
          <w:szCs w:val="22"/>
        </w:rPr>
        <w:t xml:space="preserve"> el proceso de competencia</w:t>
      </w:r>
      <w:r w:rsidR="00604DC1" w:rsidRPr="00C9666A">
        <w:rPr>
          <w:rFonts w:ascii="Arial" w:hAnsi="Arial" w:cs="Arial"/>
          <w:sz w:val="22"/>
          <w:szCs w:val="22"/>
        </w:rPr>
        <w:t xml:space="preserve"> y libre concurrencia</w:t>
      </w:r>
      <w:r w:rsidR="00422659" w:rsidRPr="00C9666A">
        <w:rPr>
          <w:rFonts w:ascii="Arial" w:hAnsi="Arial" w:cs="Arial"/>
          <w:sz w:val="22"/>
          <w:szCs w:val="22"/>
        </w:rPr>
        <w:t xml:space="preserve"> son moderados</w:t>
      </w:r>
      <w:r w:rsidRPr="00C9666A">
        <w:rPr>
          <w:rFonts w:ascii="Arial" w:hAnsi="Arial" w:cs="Arial"/>
          <w:sz w:val="22"/>
          <w:szCs w:val="22"/>
        </w:rPr>
        <w:t xml:space="preserve">. </w:t>
      </w:r>
    </w:p>
    <w:p w14:paraId="615010C2" w14:textId="77777777" w:rsidR="003877B3" w:rsidRDefault="00C04B8C" w:rsidP="00C9666A">
      <w:pPr>
        <w:pStyle w:val="Default"/>
        <w:spacing w:before="120" w:after="120" w:line="276" w:lineRule="auto"/>
        <w:ind w:right="-1"/>
        <w:jc w:val="both"/>
        <w:rPr>
          <w:rFonts w:ascii="Arial" w:hAnsi="Arial" w:cs="Arial"/>
          <w:sz w:val="22"/>
          <w:szCs w:val="22"/>
        </w:rPr>
      </w:pPr>
      <w:r>
        <w:rPr>
          <w:rFonts w:ascii="Arial" w:hAnsi="Arial" w:cs="Arial"/>
          <w:sz w:val="22"/>
          <w:szCs w:val="22"/>
        </w:rPr>
        <w:t xml:space="preserve">Este IFT ha condicionado operaciones en los que el IHH alcanza valores cercanos a los 2,500 puntos. Por ejemplo, </w:t>
      </w:r>
      <w:r w:rsidRPr="00C04B8C">
        <w:rPr>
          <w:rFonts w:ascii="Arial" w:hAnsi="Arial" w:cs="Arial"/>
          <w:sz w:val="22"/>
          <w:szCs w:val="22"/>
        </w:rPr>
        <w:t xml:space="preserve">en el caso de </w:t>
      </w:r>
      <w:r w:rsidR="00180D58">
        <w:rPr>
          <w:rFonts w:ascii="Arial" w:hAnsi="Arial" w:cs="Arial"/>
          <w:sz w:val="22"/>
          <w:szCs w:val="22"/>
        </w:rPr>
        <w:t xml:space="preserve">operaciones resueltas en abril de 2001 y que involucraron a </w:t>
      </w:r>
      <w:r w:rsidR="00180D58" w:rsidRPr="00180D58">
        <w:rPr>
          <w:rFonts w:ascii="Arial" w:hAnsi="Arial" w:cs="Arial"/>
          <w:sz w:val="22"/>
          <w:szCs w:val="22"/>
        </w:rPr>
        <w:t>Radio Tesoro, S.A. de C.V., Radio Armería, S.A. de C.V., ZZZ de Manzanillo, S.A. de C.V. y Radio XHEMAX, S.A. de C.V. (P/IFT/070421/157)</w:t>
      </w:r>
      <w:r w:rsidR="00180D58">
        <w:rPr>
          <w:rFonts w:ascii="Arial" w:hAnsi="Arial" w:cs="Arial"/>
          <w:sz w:val="22"/>
          <w:szCs w:val="22"/>
        </w:rPr>
        <w:t>, así como a X</w:t>
      </w:r>
      <w:r w:rsidR="00180D58" w:rsidRPr="00180D58">
        <w:rPr>
          <w:rFonts w:ascii="Arial" w:hAnsi="Arial" w:cs="Arial"/>
          <w:sz w:val="22"/>
          <w:szCs w:val="22"/>
        </w:rPr>
        <w:t>ERL, Sucesores de J. Roberto Levy, S.A. de C.V. (P/IFT/210421/184)</w:t>
      </w:r>
      <w:r w:rsidR="00180D58">
        <w:rPr>
          <w:rFonts w:ascii="Arial" w:hAnsi="Arial" w:cs="Arial"/>
          <w:sz w:val="22"/>
          <w:szCs w:val="22"/>
        </w:rPr>
        <w:t xml:space="preserve">, el IFT las </w:t>
      </w:r>
      <w:r w:rsidRPr="00C04B8C">
        <w:rPr>
          <w:rFonts w:ascii="Arial" w:hAnsi="Arial" w:cs="Arial"/>
          <w:sz w:val="22"/>
          <w:szCs w:val="22"/>
        </w:rPr>
        <w:t xml:space="preserve">condicionó </w:t>
      </w:r>
      <w:r w:rsidR="00180D58">
        <w:rPr>
          <w:rFonts w:ascii="Arial" w:hAnsi="Arial" w:cs="Arial"/>
          <w:sz w:val="22"/>
          <w:szCs w:val="22"/>
        </w:rPr>
        <w:t xml:space="preserve">considerando las participaciones </w:t>
      </w:r>
      <w:r w:rsidR="00180D58">
        <w:rPr>
          <w:rFonts w:ascii="Arial" w:hAnsi="Arial" w:cs="Arial"/>
          <w:sz w:val="22"/>
          <w:szCs w:val="22"/>
        </w:rPr>
        <w:lastRenderedPageBreak/>
        <w:t xml:space="preserve">que habrían alcanzado los agentes involucrados, de alrededor del 43% y 37%, respectivamente, </w:t>
      </w:r>
      <w:r w:rsidR="00A23369">
        <w:rPr>
          <w:rFonts w:ascii="Arial" w:hAnsi="Arial" w:cs="Arial"/>
          <w:sz w:val="22"/>
          <w:szCs w:val="22"/>
        </w:rPr>
        <w:t>así como</w:t>
      </w:r>
      <w:r w:rsidR="00180D58">
        <w:rPr>
          <w:rFonts w:ascii="Arial" w:hAnsi="Arial" w:cs="Arial"/>
          <w:sz w:val="22"/>
          <w:szCs w:val="22"/>
        </w:rPr>
        <w:t xml:space="preserve"> lo</w:t>
      </w:r>
      <w:r w:rsidR="00180D58" w:rsidRPr="00A23369">
        <w:rPr>
          <w:rFonts w:ascii="Arial" w:hAnsi="Arial" w:cs="Arial"/>
          <w:sz w:val="22"/>
          <w:szCs w:val="22"/>
        </w:rPr>
        <w:t>s niveles de concentración de frecuencias</w:t>
      </w:r>
      <w:r w:rsidR="00A23369" w:rsidRPr="00A23369">
        <w:rPr>
          <w:rFonts w:ascii="Arial" w:hAnsi="Arial" w:cs="Arial"/>
          <w:sz w:val="22"/>
          <w:szCs w:val="22"/>
        </w:rPr>
        <w:t xml:space="preserve"> </w:t>
      </w:r>
      <w:r w:rsidR="003877B3">
        <w:rPr>
          <w:rFonts w:ascii="Arial" w:hAnsi="Arial" w:cs="Arial"/>
          <w:sz w:val="22"/>
          <w:szCs w:val="22"/>
        </w:rPr>
        <w:t xml:space="preserve">identificadas y </w:t>
      </w:r>
      <w:r w:rsidR="00A23369" w:rsidRPr="00A23369">
        <w:rPr>
          <w:rFonts w:ascii="Arial" w:hAnsi="Arial" w:cs="Arial"/>
          <w:sz w:val="22"/>
          <w:szCs w:val="22"/>
        </w:rPr>
        <w:t xml:space="preserve">que habrían llegado a </w:t>
      </w:r>
      <w:r w:rsidR="00A23369" w:rsidRPr="003877B3">
        <w:rPr>
          <w:rFonts w:ascii="Arial" w:hAnsi="Arial" w:cs="Arial"/>
          <w:sz w:val="22"/>
          <w:szCs w:val="22"/>
        </w:rPr>
        <w:t>valores</w:t>
      </w:r>
      <w:r w:rsidR="00180D58" w:rsidRPr="003877B3">
        <w:rPr>
          <w:rFonts w:ascii="Arial" w:hAnsi="Arial" w:cs="Arial"/>
          <w:sz w:val="22"/>
          <w:szCs w:val="22"/>
        </w:rPr>
        <w:t xml:space="preserve"> del IHH </w:t>
      </w:r>
      <w:r w:rsidR="00A23369" w:rsidRPr="003877B3">
        <w:rPr>
          <w:rFonts w:ascii="Arial" w:hAnsi="Arial" w:cs="Arial"/>
          <w:sz w:val="22"/>
          <w:szCs w:val="22"/>
        </w:rPr>
        <w:t xml:space="preserve">de </w:t>
      </w:r>
      <w:r w:rsidR="00180D58" w:rsidRPr="00A23369">
        <w:rPr>
          <w:rFonts w:ascii="Arial" w:eastAsia="Times New Roman" w:hAnsi="Arial" w:cs="Arial"/>
          <w:sz w:val="22"/>
          <w:szCs w:val="22"/>
          <w:lang w:eastAsia="es-MX"/>
        </w:rPr>
        <w:t>2,653</w:t>
      </w:r>
      <w:r w:rsidR="00180D58" w:rsidRPr="00A23369">
        <w:rPr>
          <w:rFonts w:ascii="Arial" w:hAnsi="Arial" w:cs="Arial"/>
          <w:sz w:val="22"/>
          <w:szCs w:val="22"/>
        </w:rPr>
        <w:t xml:space="preserve"> </w:t>
      </w:r>
      <w:r w:rsidR="00A23369" w:rsidRPr="00A23369">
        <w:rPr>
          <w:rFonts w:ascii="Arial" w:hAnsi="Arial" w:cs="Arial"/>
          <w:sz w:val="22"/>
          <w:szCs w:val="22"/>
        </w:rPr>
        <w:t xml:space="preserve">puntos </w:t>
      </w:r>
      <w:r w:rsidR="00180D58" w:rsidRPr="00A23369">
        <w:rPr>
          <w:rFonts w:ascii="Arial" w:hAnsi="Arial" w:cs="Arial"/>
          <w:sz w:val="22"/>
          <w:szCs w:val="22"/>
        </w:rPr>
        <w:t>y 2,500</w:t>
      </w:r>
      <w:r w:rsidR="00180D58" w:rsidRPr="003877B3">
        <w:rPr>
          <w:rFonts w:ascii="Arial" w:hAnsi="Arial" w:cs="Arial"/>
          <w:sz w:val="22"/>
          <w:szCs w:val="22"/>
        </w:rPr>
        <w:t xml:space="preserve"> puntos, respectivamente</w:t>
      </w:r>
      <w:r w:rsidRPr="003877B3">
        <w:rPr>
          <w:rFonts w:ascii="Arial" w:hAnsi="Arial" w:cs="Arial"/>
          <w:sz w:val="22"/>
          <w:szCs w:val="22"/>
        </w:rPr>
        <w:t>.</w:t>
      </w:r>
      <w:r w:rsidR="003877B3">
        <w:rPr>
          <w:rFonts w:ascii="Arial" w:hAnsi="Arial" w:cs="Arial"/>
          <w:sz w:val="22"/>
          <w:szCs w:val="22"/>
        </w:rPr>
        <w:t xml:space="preserve"> </w:t>
      </w:r>
    </w:p>
    <w:p w14:paraId="7442D851" w14:textId="128234F9" w:rsidR="00C04B8C" w:rsidRPr="003877B3" w:rsidRDefault="003877B3" w:rsidP="00C9666A">
      <w:pPr>
        <w:pStyle w:val="Default"/>
        <w:spacing w:before="120" w:after="120" w:line="276" w:lineRule="auto"/>
        <w:ind w:right="-1"/>
        <w:jc w:val="both"/>
        <w:rPr>
          <w:rFonts w:ascii="Arial" w:hAnsi="Arial" w:cs="Arial"/>
          <w:sz w:val="22"/>
          <w:szCs w:val="22"/>
        </w:rPr>
      </w:pPr>
      <w:r w:rsidRPr="003877B3">
        <w:rPr>
          <w:rFonts w:ascii="Arial" w:hAnsi="Arial" w:cs="Arial"/>
          <w:sz w:val="22"/>
          <w:szCs w:val="22"/>
        </w:rPr>
        <w:t>Igualmente, se observa que, en aquellos mercados donde han existido pr</w:t>
      </w:r>
      <w:r w:rsidRPr="00C21F3C">
        <w:rPr>
          <w:rFonts w:ascii="Arial" w:hAnsi="Arial" w:cs="Arial"/>
          <w:sz w:val="22"/>
          <w:szCs w:val="22"/>
        </w:rPr>
        <w:t>ocesos de licitación</w:t>
      </w:r>
      <w:r w:rsidR="00C21F3C">
        <w:rPr>
          <w:rFonts w:ascii="Arial" w:hAnsi="Arial" w:cs="Arial"/>
          <w:sz w:val="22"/>
          <w:szCs w:val="22"/>
        </w:rPr>
        <w:t xml:space="preserve"> en radiodifusión sonora en la banda FM</w:t>
      </w:r>
      <w:r w:rsidRPr="00C21F3C">
        <w:rPr>
          <w:rFonts w:ascii="Arial" w:hAnsi="Arial" w:cs="Arial"/>
          <w:sz w:val="22"/>
          <w:szCs w:val="22"/>
        </w:rPr>
        <w:t xml:space="preserve">, los niveles de concentración se han reducido significativamente, por lo cual, considerando los mercados donde se observan </w:t>
      </w:r>
      <w:r w:rsidR="0079117E">
        <w:rPr>
          <w:rFonts w:ascii="Arial" w:hAnsi="Arial" w:cs="Arial"/>
          <w:sz w:val="22"/>
          <w:szCs w:val="22"/>
        </w:rPr>
        <w:t>3 (tres) o más</w:t>
      </w:r>
      <w:r w:rsidR="0079117E" w:rsidRPr="00C21F3C">
        <w:rPr>
          <w:rFonts w:ascii="Arial" w:hAnsi="Arial" w:cs="Arial"/>
          <w:sz w:val="22"/>
          <w:szCs w:val="22"/>
        </w:rPr>
        <w:t xml:space="preserve"> </w:t>
      </w:r>
      <w:r w:rsidRPr="00C21F3C">
        <w:rPr>
          <w:rFonts w:ascii="Arial" w:hAnsi="Arial" w:cs="Arial"/>
          <w:sz w:val="22"/>
          <w:szCs w:val="22"/>
        </w:rPr>
        <w:t xml:space="preserve">competidores, </w:t>
      </w:r>
      <w:r w:rsidRPr="003877B3">
        <w:rPr>
          <w:rFonts w:ascii="Arial" w:hAnsi="Arial" w:cs="Arial"/>
          <w:sz w:val="22"/>
          <w:szCs w:val="22"/>
        </w:rPr>
        <w:t>el valor promedio alcanzado por el IHH se ubica en alrededor de los 2,700 puntos. Con procesos de licitación hacia adelante, se prevé que esos niveles de concentración se reducirán aún más.</w:t>
      </w:r>
    </w:p>
    <w:p w14:paraId="73C71664" w14:textId="438CB4DA" w:rsidR="003877B3" w:rsidRPr="00A23369" w:rsidRDefault="003877B3" w:rsidP="00C9666A">
      <w:pPr>
        <w:pStyle w:val="Default"/>
        <w:spacing w:before="120" w:after="120" w:line="276" w:lineRule="auto"/>
        <w:ind w:right="-1"/>
        <w:jc w:val="both"/>
        <w:rPr>
          <w:rFonts w:ascii="Arial" w:hAnsi="Arial" w:cs="Arial"/>
          <w:sz w:val="22"/>
          <w:szCs w:val="22"/>
        </w:rPr>
      </w:pPr>
      <w:r>
        <w:rPr>
          <w:rFonts w:ascii="Arial" w:hAnsi="Arial" w:cs="Arial"/>
          <w:sz w:val="22"/>
          <w:szCs w:val="22"/>
        </w:rPr>
        <w:t>Considerando lo anterior</w:t>
      </w:r>
      <w:r w:rsidR="00C21F3C">
        <w:rPr>
          <w:rFonts w:ascii="Arial" w:hAnsi="Arial" w:cs="Arial"/>
          <w:sz w:val="22"/>
          <w:szCs w:val="22"/>
        </w:rPr>
        <w:t xml:space="preserve"> y ante los procesos de licitación de espectro implementadas por el IFT que están reduciendo los niveles de concentración en los mercados</w:t>
      </w:r>
      <w:r>
        <w:rPr>
          <w:rFonts w:ascii="Arial" w:hAnsi="Arial" w:cs="Arial"/>
          <w:sz w:val="22"/>
          <w:szCs w:val="22"/>
        </w:rPr>
        <w:t>, se observa que la modificación propuesta</w:t>
      </w:r>
      <w:r w:rsidR="008A7671">
        <w:rPr>
          <w:rFonts w:ascii="Arial" w:hAnsi="Arial" w:cs="Arial"/>
          <w:sz w:val="22"/>
          <w:szCs w:val="22"/>
        </w:rPr>
        <w:t>,</w:t>
      </w:r>
      <w:r>
        <w:rPr>
          <w:rFonts w:ascii="Arial" w:hAnsi="Arial" w:cs="Arial"/>
          <w:sz w:val="22"/>
          <w:szCs w:val="22"/>
        </w:rPr>
        <w:t xml:space="preserve"> de reducir el </w:t>
      </w:r>
      <w:r w:rsidR="00C21F3C">
        <w:rPr>
          <w:rFonts w:ascii="Arial" w:hAnsi="Arial" w:cs="Arial"/>
          <w:sz w:val="22"/>
          <w:szCs w:val="22"/>
        </w:rPr>
        <w:t>umbral</w:t>
      </w:r>
      <w:r>
        <w:rPr>
          <w:rFonts w:ascii="Arial" w:hAnsi="Arial" w:cs="Arial"/>
          <w:sz w:val="22"/>
          <w:szCs w:val="22"/>
        </w:rPr>
        <w:t xml:space="preserve"> máximo </w:t>
      </w:r>
      <w:r w:rsidR="00C21F3C">
        <w:rPr>
          <w:rFonts w:ascii="Arial" w:hAnsi="Arial" w:cs="Arial"/>
          <w:sz w:val="22"/>
          <w:szCs w:val="22"/>
        </w:rPr>
        <w:t>del IHH que corresponde a niveles de concentración moderados de 3,000 a 2,500 puntos, es importante para</w:t>
      </w:r>
      <w:r w:rsidR="008A7671">
        <w:rPr>
          <w:rFonts w:ascii="Arial" w:hAnsi="Arial" w:cs="Arial"/>
          <w:sz w:val="22"/>
          <w:szCs w:val="22"/>
        </w:rPr>
        <w:t>,</w:t>
      </w:r>
      <w:r w:rsidR="008A7671" w:rsidRPr="008A7671">
        <w:rPr>
          <w:rFonts w:ascii="Arial" w:hAnsi="Arial" w:cs="Arial"/>
          <w:sz w:val="22"/>
          <w:szCs w:val="22"/>
        </w:rPr>
        <w:t xml:space="preserve"> </w:t>
      </w:r>
      <w:r w:rsidR="008A7671">
        <w:rPr>
          <w:rFonts w:ascii="Arial" w:hAnsi="Arial" w:cs="Arial"/>
          <w:sz w:val="22"/>
          <w:szCs w:val="22"/>
        </w:rPr>
        <w:t>en su caso y previo análisis de todos los elementos a ser considerados en materia de competencia,</w:t>
      </w:r>
      <w:r w:rsidR="00C21F3C">
        <w:rPr>
          <w:rFonts w:ascii="Arial" w:hAnsi="Arial" w:cs="Arial"/>
          <w:sz w:val="22"/>
          <w:szCs w:val="22"/>
        </w:rPr>
        <w:t xml:space="preserve"> </w:t>
      </w:r>
      <w:r w:rsidR="008A7671">
        <w:rPr>
          <w:rFonts w:ascii="Arial" w:hAnsi="Arial" w:cs="Arial"/>
          <w:sz w:val="22"/>
          <w:szCs w:val="22"/>
        </w:rPr>
        <w:t xml:space="preserve">evitar </w:t>
      </w:r>
      <w:r w:rsidR="00C21F3C">
        <w:rPr>
          <w:rFonts w:ascii="Arial" w:hAnsi="Arial" w:cs="Arial"/>
          <w:sz w:val="22"/>
          <w:szCs w:val="22"/>
        </w:rPr>
        <w:t>la autorización de operaciones con altas probabilidades de afectar la competencia.</w:t>
      </w:r>
    </w:p>
    <w:p w14:paraId="16099866" w14:textId="04EA3481" w:rsidR="00E30A99" w:rsidRPr="00C9666A" w:rsidRDefault="00C62176" w:rsidP="00C9666A">
      <w:pPr>
        <w:pStyle w:val="Default"/>
        <w:spacing w:before="120" w:after="120" w:line="276" w:lineRule="auto"/>
        <w:ind w:left="851" w:right="-1"/>
        <w:jc w:val="both"/>
        <w:rPr>
          <w:rFonts w:ascii="Arial" w:hAnsi="Arial" w:cs="Arial"/>
          <w:b/>
          <w:sz w:val="22"/>
          <w:szCs w:val="22"/>
        </w:rPr>
      </w:pPr>
      <w:r w:rsidRPr="00C9666A">
        <w:rPr>
          <w:rFonts w:ascii="Arial" w:hAnsi="Arial" w:cs="Arial"/>
          <w:b/>
          <w:sz w:val="22"/>
          <w:szCs w:val="22"/>
        </w:rPr>
        <w:t>VII</w:t>
      </w:r>
      <w:r w:rsidR="007472E3" w:rsidRPr="00C9666A">
        <w:rPr>
          <w:rFonts w:ascii="Arial" w:hAnsi="Arial" w:cs="Arial"/>
          <w:b/>
          <w:sz w:val="22"/>
          <w:szCs w:val="22"/>
        </w:rPr>
        <w:t>.</w:t>
      </w:r>
      <w:r w:rsidR="00A761DE">
        <w:rPr>
          <w:rFonts w:ascii="Arial" w:hAnsi="Arial" w:cs="Arial"/>
          <w:b/>
          <w:sz w:val="22"/>
          <w:szCs w:val="22"/>
        </w:rPr>
        <w:t>2</w:t>
      </w:r>
      <w:r w:rsidR="007472E3" w:rsidRPr="00C9666A">
        <w:rPr>
          <w:rFonts w:ascii="Arial" w:hAnsi="Arial" w:cs="Arial"/>
          <w:b/>
          <w:sz w:val="22"/>
          <w:szCs w:val="22"/>
        </w:rPr>
        <w:t xml:space="preserve">. </w:t>
      </w:r>
      <w:r w:rsidR="00193362" w:rsidRPr="00C9666A">
        <w:rPr>
          <w:rFonts w:ascii="Arial" w:hAnsi="Arial" w:cs="Arial"/>
          <w:b/>
          <w:sz w:val="22"/>
          <w:szCs w:val="22"/>
        </w:rPr>
        <w:t>IHH</w:t>
      </w:r>
      <w:r w:rsidR="004D0CC3" w:rsidRPr="00C9666A">
        <w:rPr>
          <w:rFonts w:ascii="Arial" w:hAnsi="Arial" w:cs="Arial"/>
          <w:b/>
          <w:sz w:val="22"/>
          <w:szCs w:val="22"/>
        </w:rPr>
        <w:t xml:space="preserve"> &gt; </w:t>
      </w:r>
      <w:r w:rsidR="006F02D9">
        <w:rPr>
          <w:rFonts w:ascii="Arial" w:hAnsi="Arial" w:cs="Arial"/>
          <w:b/>
          <w:sz w:val="22"/>
          <w:szCs w:val="22"/>
        </w:rPr>
        <w:t>2</w:t>
      </w:r>
      <w:r w:rsidR="003404BC" w:rsidRPr="00C9666A">
        <w:rPr>
          <w:rFonts w:ascii="Arial" w:hAnsi="Arial" w:cs="Arial"/>
          <w:b/>
          <w:sz w:val="22"/>
          <w:szCs w:val="22"/>
        </w:rPr>
        <w:t>,</w:t>
      </w:r>
      <w:r w:rsidR="006F02D9">
        <w:rPr>
          <w:rFonts w:ascii="Arial" w:hAnsi="Arial" w:cs="Arial"/>
          <w:b/>
          <w:sz w:val="22"/>
          <w:szCs w:val="22"/>
        </w:rPr>
        <w:t>5</w:t>
      </w:r>
      <w:r w:rsidR="003404BC" w:rsidRPr="00C9666A">
        <w:rPr>
          <w:rFonts w:ascii="Arial" w:hAnsi="Arial" w:cs="Arial"/>
          <w:b/>
          <w:sz w:val="22"/>
          <w:szCs w:val="22"/>
        </w:rPr>
        <w:t>00</w:t>
      </w:r>
      <w:r w:rsidR="004D0CC3" w:rsidRPr="00C9666A">
        <w:rPr>
          <w:rFonts w:ascii="Arial" w:hAnsi="Arial" w:cs="Arial"/>
          <w:b/>
          <w:sz w:val="22"/>
          <w:szCs w:val="22"/>
        </w:rPr>
        <w:t xml:space="preserve"> y </w:t>
      </w:r>
      <m:oMath>
        <m:r>
          <m:rPr>
            <m:sty m:val="b"/>
          </m:rPr>
          <w:rPr>
            <w:rFonts w:ascii="Cambria Math" w:hAnsi="Cambria Math" w:cs="Arial"/>
            <w:sz w:val="22"/>
            <w:szCs w:val="22"/>
          </w:rPr>
          <m:t>∆IHH</m:t>
        </m:r>
      </m:oMath>
      <w:r w:rsidR="004D0CC3" w:rsidRPr="00C9666A">
        <w:rPr>
          <w:rFonts w:ascii="Arial" w:hAnsi="Arial" w:cs="Arial"/>
          <w:b/>
          <w:sz w:val="22"/>
          <w:szCs w:val="22"/>
        </w:rPr>
        <w:t xml:space="preserve"> </w:t>
      </w:r>
      <m:oMath>
        <m:r>
          <m:rPr>
            <m:sty m:val="bi"/>
          </m:rPr>
          <w:rPr>
            <w:rFonts w:ascii="Cambria Math" w:hAnsi="Cambria Math" w:cs="Arial"/>
            <w:sz w:val="22"/>
            <w:szCs w:val="22"/>
          </w:rPr>
          <m:t>≤</m:t>
        </m:r>
      </m:oMath>
      <w:r w:rsidR="004D0CC3" w:rsidRPr="00C9666A">
        <w:rPr>
          <w:rFonts w:ascii="Arial" w:eastAsiaTheme="minorEastAsia" w:hAnsi="Arial" w:cs="Arial"/>
          <w:b/>
          <w:sz w:val="22"/>
          <w:szCs w:val="22"/>
        </w:rPr>
        <w:t xml:space="preserve"> </w:t>
      </w:r>
      <w:r w:rsidR="004D0CC3" w:rsidRPr="00C9666A">
        <w:rPr>
          <w:rFonts w:ascii="Arial" w:hAnsi="Arial" w:cs="Arial"/>
          <w:b/>
          <w:sz w:val="22"/>
          <w:szCs w:val="22"/>
        </w:rPr>
        <w:t xml:space="preserve">100 puntos </w:t>
      </w:r>
      <w:r w:rsidR="004D0CC3" w:rsidRPr="00C9666A">
        <w:rPr>
          <w:rFonts w:ascii="Arial" w:hAnsi="Arial" w:cs="Arial"/>
          <w:sz w:val="22"/>
          <w:szCs w:val="22"/>
        </w:rPr>
        <w:t>(</w:t>
      </w:r>
      <w:r w:rsidR="00E30A99" w:rsidRPr="00C9666A">
        <w:rPr>
          <w:rFonts w:ascii="Arial" w:hAnsi="Arial" w:cs="Arial"/>
          <w:sz w:val="22"/>
          <w:szCs w:val="22"/>
        </w:rPr>
        <w:t xml:space="preserve">mercado </w:t>
      </w:r>
      <w:r w:rsidR="00422659" w:rsidRPr="00C9666A">
        <w:rPr>
          <w:rFonts w:ascii="Arial" w:hAnsi="Arial" w:cs="Arial"/>
          <w:sz w:val="22"/>
          <w:szCs w:val="22"/>
        </w:rPr>
        <w:t>con nivel de concentración alt</w:t>
      </w:r>
      <w:r w:rsidR="001B2AB7" w:rsidRPr="00C9666A">
        <w:rPr>
          <w:rFonts w:ascii="Arial" w:hAnsi="Arial" w:cs="Arial"/>
          <w:sz w:val="22"/>
          <w:szCs w:val="22"/>
        </w:rPr>
        <w:t>o</w:t>
      </w:r>
      <w:r w:rsidR="00422659" w:rsidRPr="00C9666A">
        <w:rPr>
          <w:rFonts w:ascii="Arial" w:hAnsi="Arial" w:cs="Arial"/>
          <w:sz w:val="22"/>
          <w:szCs w:val="22"/>
        </w:rPr>
        <w:t xml:space="preserve"> </w:t>
      </w:r>
      <w:r w:rsidR="00E30A99" w:rsidRPr="00C9666A">
        <w:rPr>
          <w:rFonts w:ascii="Arial" w:hAnsi="Arial" w:cs="Arial"/>
          <w:sz w:val="22"/>
          <w:szCs w:val="22"/>
        </w:rPr>
        <w:t xml:space="preserve">y </w:t>
      </w:r>
      <m:oMath>
        <m:r>
          <m:rPr>
            <m:sty m:val="p"/>
          </m:rPr>
          <w:rPr>
            <w:rFonts w:ascii="Cambria Math" w:hAnsi="Cambria Math" w:cs="Arial"/>
            <w:sz w:val="22"/>
            <w:szCs w:val="22"/>
          </w:rPr>
          <m:t>∆IHH</m:t>
        </m:r>
      </m:oMath>
      <w:r w:rsidR="00E30A99" w:rsidRPr="00C9666A">
        <w:rPr>
          <w:rFonts w:ascii="Arial" w:hAnsi="Arial" w:cs="Arial"/>
          <w:sz w:val="22"/>
          <w:szCs w:val="22"/>
        </w:rPr>
        <w:t xml:space="preserve"> </w:t>
      </w:r>
      <m:oMath>
        <m:r>
          <w:rPr>
            <w:rFonts w:ascii="Cambria Math" w:hAnsi="Cambria Math" w:cs="Arial"/>
            <w:sz w:val="22"/>
            <w:szCs w:val="22"/>
          </w:rPr>
          <m:t>≤</m:t>
        </m:r>
      </m:oMath>
      <w:r w:rsidR="00E30A99" w:rsidRPr="00C9666A">
        <w:rPr>
          <w:rFonts w:ascii="Arial" w:eastAsiaTheme="minorEastAsia" w:hAnsi="Arial" w:cs="Arial"/>
          <w:sz w:val="22"/>
          <w:szCs w:val="22"/>
        </w:rPr>
        <w:t xml:space="preserve"> </w:t>
      </w:r>
      <w:r w:rsidR="00E30A99" w:rsidRPr="00C9666A">
        <w:rPr>
          <w:rFonts w:ascii="Arial" w:hAnsi="Arial" w:cs="Arial"/>
          <w:sz w:val="22"/>
          <w:szCs w:val="22"/>
        </w:rPr>
        <w:t>100 puntos</w:t>
      </w:r>
      <w:r w:rsidR="004D0CC3" w:rsidRPr="00C9666A">
        <w:rPr>
          <w:rFonts w:ascii="Arial" w:hAnsi="Arial" w:cs="Arial"/>
          <w:sz w:val="22"/>
          <w:szCs w:val="22"/>
        </w:rPr>
        <w:t>)</w:t>
      </w:r>
    </w:p>
    <w:p w14:paraId="680C44B6" w14:textId="4A0236F2" w:rsidR="00E30A99" w:rsidRDefault="00422659" w:rsidP="00C9666A">
      <w:pPr>
        <w:pStyle w:val="Default"/>
        <w:spacing w:before="120" w:after="120" w:line="276" w:lineRule="auto"/>
        <w:ind w:right="-1"/>
        <w:jc w:val="both"/>
        <w:rPr>
          <w:rFonts w:ascii="Arial" w:eastAsiaTheme="minorEastAsia" w:hAnsi="Arial" w:cs="Arial"/>
          <w:sz w:val="22"/>
          <w:szCs w:val="22"/>
        </w:rPr>
      </w:pPr>
      <w:r w:rsidRPr="00C9666A">
        <w:rPr>
          <w:rFonts w:ascii="Arial" w:eastAsiaTheme="minorEastAsia" w:hAnsi="Arial" w:cs="Arial"/>
          <w:sz w:val="22"/>
          <w:szCs w:val="22"/>
        </w:rPr>
        <w:t xml:space="preserve">Los </w:t>
      </w:r>
      <w:r w:rsidR="00E30A99" w:rsidRPr="00C9666A">
        <w:rPr>
          <w:rFonts w:ascii="Arial" w:eastAsiaTheme="minorEastAsia" w:hAnsi="Arial" w:cs="Arial"/>
          <w:sz w:val="22"/>
          <w:szCs w:val="22"/>
        </w:rPr>
        <w:t>mercado</w:t>
      </w:r>
      <w:r w:rsidR="004D0CC3" w:rsidRPr="00C9666A">
        <w:rPr>
          <w:rFonts w:ascii="Arial" w:eastAsiaTheme="minorEastAsia" w:hAnsi="Arial" w:cs="Arial"/>
          <w:sz w:val="22"/>
          <w:szCs w:val="22"/>
        </w:rPr>
        <w:t>s</w:t>
      </w:r>
      <w:r w:rsidR="00E30A99" w:rsidRPr="00C9666A">
        <w:rPr>
          <w:rFonts w:ascii="Arial" w:eastAsiaTheme="minorEastAsia" w:hAnsi="Arial" w:cs="Arial"/>
          <w:sz w:val="22"/>
          <w:szCs w:val="22"/>
        </w:rPr>
        <w:t xml:space="preserve"> en </w:t>
      </w:r>
      <w:r w:rsidR="003404BC" w:rsidRPr="00C9666A">
        <w:rPr>
          <w:rFonts w:ascii="Arial" w:eastAsiaTheme="minorEastAsia" w:hAnsi="Arial" w:cs="Arial"/>
          <w:sz w:val="22"/>
          <w:szCs w:val="22"/>
        </w:rPr>
        <w:t xml:space="preserve">los </w:t>
      </w:r>
      <w:r w:rsidR="00E30A99" w:rsidRPr="00C9666A">
        <w:rPr>
          <w:rFonts w:ascii="Arial" w:eastAsiaTheme="minorEastAsia" w:hAnsi="Arial" w:cs="Arial"/>
          <w:sz w:val="22"/>
          <w:szCs w:val="22"/>
        </w:rPr>
        <w:t xml:space="preserve">que un </w:t>
      </w:r>
      <w:r w:rsidR="004C0700" w:rsidRPr="00C9666A">
        <w:rPr>
          <w:rFonts w:ascii="Arial" w:eastAsiaTheme="minorEastAsia" w:hAnsi="Arial" w:cs="Arial"/>
          <w:sz w:val="22"/>
          <w:szCs w:val="22"/>
        </w:rPr>
        <w:t xml:space="preserve">agente económico </w:t>
      </w:r>
      <w:r w:rsidR="001B2AB7" w:rsidRPr="00C9666A">
        <w:rPr>
          <w:rFonts w:ascii="Arial" w:eastAsiaTheme="minorEastAsia" w:hAnsi="Arial" w:cs="Arial"/>
          <w:sz w:val="22"/>
          <w:szCs w:val="22"/>
        </w:rPr>
        <w:t xml:space="preserve">posea </w:t>
      </w:r>
      <w:r w:rsidR="00A73526">
        <w:rPr>
          <w:rFonts w:ascii="Arial" w:eastAsiaTheme="minorEastAsia" w:hAnsi="Arial" w:cs="Arial"/>
          <w:sz w:val="22"/>
          <w:szCs w:val="22"/>
        </w:rPr>
        <w:t xml:space="preserve">alrededor del </w:t>
      </w:r>
      <w:r w:rsidR="00D15C02">
        <w:rPr>
          <w:rFonts w:ascii="Arial" w:eastAsiaTheme="minorEastAsia" w:hAnsi="Arial" w:cs="Arial"/>
          <w:sz w:val="22"/>
          <w:szCs w:val="22"/>
        </w:rPr>
        <w:t>45</w:t>
      </w:r>
      <w:r w:rsidR="00E30A99" w:rsidRPr="00C9666A">
        <w:rPr>
          <w:rFonts w:ascii="Arial" w:eastAsiaTheme="minorEastAsia" w:hAnsi="Arial" w:cs="Arial"/>
          <w:sz w:val="22"/>
          <w:szCs w:val="22"/>
        </w:rPr>
        <w:t xml:space="preserve">% de </w:t>
      </w:r>
      <w:r w:rsidR="004C0700" w:rsidRPr="00C9666A">
        <w:rPr>
          <w:rFonts w:ascii="Arial" w:eastAsiaTheme="minorEastAsia" w:hAnsi="Arial" w:cs="Arial"/>
          <w:sz w:val="22"/>
          <w:szCs w:val="22"/>
        </w:rPr>
        <w:t xml:space="preserve">participación </w:t>
      </w:r>
      <w:r w:rsidR="00E30A99" w:rsidRPr="00C9666A">
        <w:rPr>
          <w:rFonts w:ascii="Arial" w:eastAsiaTheme="minorEastAsia" w:hAnsi="Arial" w:cs="Arial"/>
          <w:sz w:val="22"/>
          <w:szCs w:val="22"/>
        </w:rPr>
        <w:t xml:space="preserve">o más, </w:t>
      </w:r>
      <w:r w:rsidRPr="00C9666A">
        <w:rPr>
          <w:rFonts w:ascii="Arial" w:eastAsiaTheme="minorEastAsia" w:hAnsi="Arial" w:cs="Arial"/>
          <w:sz w:val="22"/>
          <w:szCs w:val="22"/>
        </w:rPr>
        <w:t>se considerarían con un nivel de concentración alta</w:t>
      </w:r>
      <w:r w:rsidR="00E30A99" w:rsidRPr="00C9666A">
        <w:rPr>
          <w:rFonts w:ascii="Arial" w:eastAsiaTheme="minorEastAsia" w:hAnsi="Arial" w:cs="Arial"/>
          <w:sz w:val="22"/>
          <w:szCs w:val="22"/>
        </w:rPr>
        <w:t>.</w:t>
      </w:r>
      <w:r w:rsidR="00D15C02">
        <w:rPr>
          <w:rFonts w:ascii="Arial" w:eastAsiaTheme="minorEastAsia" w:hAnsi="Arial" w:cs="Arial"/>
          <w:sz w:val="22"/>
          <w:szCs w:val="22"/>
        </w:rPr>
        <w:t xml:space="preserve"> </w:t>
      </w:r>
    </w:p>
    <w:p w14:paraId="16EB30EF" w14:textId="2836E9BC" w:rsidR="00D15C02" w:rsidRPr="0034372A" w:rsidRDefault="00D15C02" w:rsidP="00D15C02">
      <w:pPr>
        <w:pStyle w:val="Default"/>
        <w:spacing w:before="120" w:after="120" w:line="276" w:lineRule="auto"/>
        <w:ind w:right="-1"/>
        <w:jc w:val="both"/>
        <w:rPr>
          <w:rFonts w:ascii="Arial" w:hAnsi="Arial" w:cs="Arial"/>
          <w:sz w:val="22"/>
          <w:szCs w:val="22"/>
        </w:rPr>
      </w:pPr>
      <w:r w:rsidRPr="0034372A">
        <w:rPr>
          <w:rFonts w:ascii="Arial" w:eastAsiaTheme="minorEastAsia" w:hAnsi="Arial" w:cs="Arial"/>
          <w:sz w:val="22"/>
          <w:szCs w:val="22"/>
        </w:rPr>
        <w:t xml:space="preserve">Como se ha observado, los procesos de licitación han implicado una reducción en </w:t>
      </w:r>
      <w:r w:rsidR="00B763D7" w:rsidRPr="0034372A">
        <w:rPr>
          <w:rFonts w:ascii="Arial" w:eastAsiaTheme="minorEastAsia" w:hAnsi="Arial" w:cs="Arial"/>
          <w:sz w:val="22"/>
          <w:szCs w:val="22"/>
        </w:rPr>
        <w:t>l</w:t>
      </w:r>
      <w:r w:rsidRPr="0034372A">
        <w:rPr>
          <w:rFonts w:ascii="Arial" w:eastAsiaTheme="minorEastAsia" w:hAnsi="Arial" w:cs="Arial"/>
          <w:sz w:val="22"/>
          <w:szCs w:val="22"/>
        </w:rPr>
        <w:t>os niveles de concentración, principalmente en los mercados que involucran frecuencias de radiodifusión sonora en la banda FM. E</w:t>
      </w:r>
      <w:r w:rsidRPr="0034372A">
        <w:rPr>
          <w:rFonts w:ascii="Arial" w:hAnsi="Arial" w:cs="Arial"/>
          <w:sz w:val="22"/>
          <w:szCs w:val="22"/>
        </w:rPr>
        <w:t xml:space="preserve">n promedio, el IHH en los mercados en la banda FM </w:t>
      </w:r>
      <w:r w:rsidR="00B763D7" w:rsidRPr="0034372A">
        <w:rPr>
          <w:rFonts w:ascii="Arial" w:hAnsi="Arial" w:cs="Arial"/>
          <w:sz w:val="22"/>
          <w:szCs w:val="22"/>
        </w:rPr>
        <w:t xml:space="preserve">donde han existido procesos de licitación y hay </w:t>
      </w:r>
      <w:r w:rsidR="0079117E">
        <w:rPr>
          <w:rFonts w:ascii="Arial" w:hAnsi="Arial" w:cs="Arial"/>
          <w:sz w:val="22"/>
          <w:szCs w:val="22"/>
        </w:rPr>
        <w:t>3 (tres) o más</w:t>
      </w:r>
      <w:r w:rsidR="00B763D7" w:rsidRPr="0034372A">
        <w:rPr>
          <w:rFonts w:ascii="Arial" w:hAnsi="Arial" w:cs="Arial"/>
          <w:sz w:val="22"/>
          <w:szCs w:val="22"/>
        </w:rPr>
        <w:t xml:space="preserve"> competidores </w:t>
      </w:r>
      <w:r w:rsidRPr="0034372A">
        <w:rPr>
          <w:rFonts w:ascii="Arial" w:hAnsi="Arial" w:cs="Arial"/>
          <w:sz w:val="22"/>
          <w:szCs w:val="22"/>
        </w:rPr>
        <w:t>se ubica en alrededor de los 2,700 puntos</w:t>
      </w:r>
      <w:r w:rsidR="00B763D7" w:rsidRPr="0034372A">
        <w:rPr>
          <w:rFonts w:ascii="Arial" w:hAnsi="Arial" w:cs="Arial"/>
          <w:sz w:val="22"/>
          <w:szCs w:val="22"/>
        </w:rPr>
        <w:t>, con una tendencia a la baja en la medida que el IFT implemente mayores procesos de licitación como la No. IFT-8 que también involucra frecuencias de radiodifusión.</w:t>
      </w:r>
      <w:r w:rsidRPr="0034372A">
        <w:rPr>
          <w:rFonts w:ascii="Arial" w:hAnsi="Arial" w:cs="Arial"/>
          <w:sz w:val="22"/>
          <w:szCs w:val="22"/>
        </w:rPr>
        <w:t xml:space="preserve"> </w:t>
      </w:r>
    </w:p>
    <w:p w14:paraId="2FB6E7E6" w14:textId="59FD912C" w:rsidR="00D15C02" w:rsidRPr="0034372A" w:rsidRDefault="00B763D7" w:rsidP="00C9666A">
      <w:pPr>
        <w:pStyle w:val="Default"/>
        <w:spacing w:before="120" w:after="120" w:line="276" w:lineRule="auto"/>
        <w:ind w:right="-1"/>
        <w:jc w:val="both"/>
        <w:rPr>
          <w:rFonts w:ascii="Arial" w:eastAsiaTheme="minorEastAsia" w:hAnsi="Arial" w:cs="Arial"/>
          <w:sz w:val="22"/>
          <w:szCs w:val="22"/>
        </w:rPr>
      </w:pPr>
      <w:r w:rsidRPr="0034372A">
        <w:rPr>
          <w:rFonts w:ascii="Arial" w:hAnsi="Arial" w:cs="Arial"/>
          <w:sz w:val="22"/>
          <w:szCs w:val="22"/>
        </w:rPr>
        <w:t xml:space="preserve">Además, el IFT ha condicionado operaciones en los que el IHH </w:t>
      </w:r>
      <w:r w:rsidRPr="00FD115C">
        <w:rPr>
          <w:rFonts w:ascii="Arial" w:hAnsi="Arial" w:cs="Arial"/>
          <w:sz w:val="22"/>
          <w:szCs w:val="22"/>
        </w:rPr>
        <w:t xml:space="preserve">alcanza valores cercanos a </w:t>
      </w:r>
      <w:r w:rsidRPr="00347F7A">
        <w:rPr>
          <w:rFonts w:ascii="Arial" w:hAnsi="Arial" w:cs="Arial"/>
          <w:sz w:val="22"/>
          <w:szCs w:val="22"/>
        </w:rPr>
        <w:t>los 2</w:t>
      </w:r>
      <w:r w:rsidRPr="0034372A">
        <w:rPr>
          <w:rFonts w:ascii="Arial" w:hAnsi="Arial" w:cs="Arial"/>
          <w:sz w:val="22"/>
          <w:szCs w:val="22"/>
        </w:rPr>
        <w:t>,500 puntos, tales como son los casos de Radio Tesoro, S.A. de C.V., Radio Armería, S.A. de C.V., ZZZ de Manzanillo, S.A. de C.V. y Radio XHEMAX, S.A. de C.V. (P/IFT/070421/157), así como a XERL, Sucesores de J. Roberto Levy, S.A. de C.V. (P/IFT/210421/184).</w:t>
      </w:r>
    </w:p>
    <w:p w14:paraId="21538F19" w14:textId="659ED2E8" w:rsidR="00A73526" w:rsidRDefault="00A73526" w:rsidP="00C9666A">
      <w:pPr>
        <w:pStyle w:val="Default"/>
        <w:spacing w:before="120" w:after="120" w:line="276" w:lineRule="auto"/>
        <w:ind w:right="-1"/>
        <w:jc w:val="both"/>
        <w:rPr>
          <w:rFonts w:ascii="Arial" w:eastAsia="Times New Roman" w:hAnsi="Arial" w:cs="Arial"/>
          <w:sz w:val="22"/>
          <w:szCs w:val="22"/>
          <w:lang w:eastAsia="es-MX"/>
        </w:rPr>
      </w:pPr>
      <w:r>
        <w:rPr>
          <w:rFonts w:ascii="Arial" w:hAnsi="Arial" w:cs="Arial"/>
          <w:sz w:val="22"/>
          <w:szCs w:val="22"/>
        </w:rPr>
        <w:t>Además</w:t>
      </w:r>
      <w:r w:rsidRPr="00C9666A">
        <w:rPr>
          <w:rFonts w:ascii="Arial" w:hAnsi="Arial" w:cs="Arial"/>
          <w:sz w:val="22"/>
          <w:szCs w:val="22"/>
        </w:rPr>
        <w:t xml:space="preserve">, </w:t>
      </w:r>
      <w:r>
        <w:rPr>
          <w:rFonts w:ascii="Arial" w:hAnsi="Arial" w:cs="Arial"/>
          <w:sz w:val="22"/>
          <w:szCs w:val="22"/>
        </w:rPr>
        <w:t>es preciso señalar que el IHH alanzaría alrededor de los 2,500 puntos en los casos en que una empresa con una participación de alrededor de 45% se concentre con empresas que tengan participaciones menores pero significativas de alrededor de 5%. Por ejemplo, e</w:t>
      </w:r>
      <w:r w:rsidRPr="00C9666A">
        <w:rPr>
          <w:rFonts w:ascii="Arial" w:hAnsi="Arial" w:cs="Arial"/>
          <w:sz w:val="22"/>
          <w:szCs w:val="22"/>
        </w:rPr>
        <w:t xml:space="preserve">n un mercado </w:t>
      </w:r>
      <w:r>
        <w:rPr>
          <w:rFonts w:ascii="Arial" w:hAnsi="Arial" w:cs="Arial"/>
          <w:sz w:val="22"/>
          <w:szCs w:val="22"/>
        </w:rPr>
        <w:t>en el que una sociedad tenga 44</w:t>
      </w:r>
      <w:r w:rsidRPr="00C9666A">
        <w:rPr>
          <w:rFonts w:ascii="Arial" w:hAnsi="Arial" w:cs="Arial"/>
          <w:sz w:val="22"/>
          <w:szCs w:val="22"/>
        </w:rPr>
        <w:t>%</w:t>
      </w:r>
      <w:r>
        <w:rPr>
          <w:rFonts w:ascii="Arial" w:hAnsi="Arial" w:cs="Arial"/>
          <w:sz w:val="22"/>
          <w:szCs w:val="22"/>
        </w:rPr>
        <w:t xml:space="preserve"> de participación concentra a otra con el 4%; dos agentes competidores tengan 6% de participación y los demás 5</w:t>
      </w:r>
      <w:r w:rsidRPr="00C9666A">
        <w:rPr>
          <w:rFonts w:ascii="Arial" w:hAnsi="Arial" w:cs="Arial"/>
          <w:sz w:val="22"/>
          <w:szCs w:val="22"/>
        </w:rPr>
        <w:t>%</w:t>
      </w:r>
      <w:r>
        <w:rPr>
          <w:rFonts w:ascii="Arial" w:hAnsi="Arial" w:cs="Arial"/>
          <w:sz w:val="22"/>
          <w:szCs w:val="22"/>
        </w:rPr>
        <w:t xml:space="preserve">, resultaría en un IHH que alcanzaría los 2,576 puntos; la </w:t>
      </w:r>
      <m:oMath>
        <m:r>
          <m:rPr>
            <m:sty m:val="p"/>
          </m:rPr>
          <w:rPr>
            <w:rFonts w:ascii="Cambria Math" w:hAnsi="Cambria Math" w:cs="Arial"/>
            <w:sz w:val="22"/>
            <w:szCs w:val="22"/>
          </w:rPr>
          <m:t>∆IHH</m:t>
        </m:r>
      </m:oMath>
      <w:r w:rsidRPr="00C9666A" w:rsidDel="00A73526">
        <w:rPr>
          <w:rFonts w:ascii="Arial" w:hAnsi="Arial" w:cs="Arial"/>
          <w:sz w:val="22"/>
          <w:szCs w:val="22"/>
        </w:rPr>
        <w:t xml:space="preserve"> </w:t>
      </w:r>
      <w:r>
        <w:rPr>
          <w:rFonts w:ascii="Arial" w:hAnsi="Arial" w:cs="Arial"/>
          <w:sz w:val="22"/>
          <w:szCs w:val="22"/>
        </w:rPr>
        <w:t>sería de 352</w:t>
      </w:r>
      <w:r w:rsidR="008A7671">
        <w:rPr>
          <w:rFonts w:ascii="Arial" w:hAnsi="Arial" w:cs="Arial"/>
          <w:sz w:val="22"/>
          <w:szCs w:val="22"/>
        </w:rPr>
        <w:t>.</w:t>
      </w:r>
    </w:p>
    <w:p w14:paraId="68C11F4D" w14:textId="79099537" w:rsidR="00A73526" w:rsidRPr="00C9666A" w:rsidRDefault="008A7671" w:rsidP="00C9666A">
      <w:pPr>
        <w:pStyle w:val="Default"/>
        <w:spacing w:before="120" w:after="120" w:line="276" w:lineRule="auto"/>
        <w:ind w:right="-1"/>
        <w:jc w:val="both"/>
        <w:rPr>
          <w:rFonts w:ascii="Arial" w:hAnsi="Arial" w:cs="Arial"/>
          <w:sz w:val="22"/>
          <w:szCs w:val="22"/>
        </w:rPr>
      </w:pPr>
      <w:r>
        <w:rPr>
          <w:rFonts w:ascii="Arial" w:hAnsi="Arial" w:cs="Arial"/>
          <w:sz w:val="22"/>
          <w:szCs w:val="22"/>
        </w:rPr>
        <w:t xml:space="preserve">Por lo </w:t>
      </w:r>
      <w:r w:rsidR="00A73526">
        <w:rPr>
          <w:rFonts w:ascii="Arial" w:hAnsi="Arial" w:cs="Arial"/>
          <w:sz w:val="22"/>
          <w:szCs w:val="22"/>
        </w:rPr>
        <w:t xml:space="preserve">anterior y </w:t>
      </w:r>
      <w:r>
        <w:rPr>
          <w:rFonts w:ascii="Arial" w:hAnsi="Arial" w:cs="Arial"/>
          <w:sz w:val="22"/>
          <w:szCs w:val="22"/>
        </w:rPr>
        <w:t xml:space="preserve">considerando también </w:t>
      </w:r>
      <w:r w:rsidR="00A73526">
        <w:rPr>
          <w:rFonts w:ascii="Arial" w:hAnsi="Arial" w:cs="Arial"/>
          <w:sz w:val="22"/>
          <w:szCs w:val="22"/>
        </w:rPr>
        <w:t xml:space="preserve">los procesos de licitación de espectro implementadas por el IFT, se </w:t>
      </w:r>
      <w:r>
        <w:rPr>
          <w:rFonts w:ascii="Arial" w:hAnsi="Arial" w:cs="Arial"/>
          <w:sz w:val="22"/>
          <w:szCs w:val="22"/>
        </w:rPr>
        <w:t>considera que la</w:t>
      </w:r>
      <w:r w:rsidR="00A73526">
        <w:rPr>
          <w:rFonts w:ascii="Arial" w:hAnsi="Arial" w:cs="Arial"/>
          <w:sz w:val="22"/>
          <w:szCs w:val="22"/>
        </w:rPr>
        <w:t xml:space="preserve"> propuesta de reducir el umbral </w:t>
      </w:r>
      <w:r>
        <w:rPr>
          <w:rFonts w:ascii="Arial" w:hAnsi="Arial" w:cs="Arial"/>
          <w:sz w:val="22"/>
          <w:szCs w:val="22"/>
        </w:rPr>
        <w:t xml:space="preserve">del IHH </w:t>
      </w:r>
      <w:r w:rsidR="00A73526">
        <w:rPr>
          <w:rFonts w:ascii="Arial" w:hAnsi="Arial" w:cs="Arial"/>
          <w:sz w:val="22"/>
          <w:szCs w:val="22"/>
        </w:rPr>
        <w:t>que corresponde a niveles de concentración altos</w:t>
      </w:r>
      <w:r>
        <w:rPr>
          <w:rFonts w:ascii="Arial" w:hAnsi="Arial" w:cs="Arial"/>
          <w:sz w:val="22"/>
          <w:szCs w:val="22"/>
        </w:rPr>
        <w:t xml:space="preserve"> de 3,000 a 2,500 puntos también </w:t>
      </w:r>
      <w:r w:rsidR="00A73526">
        <w:rPr>
          <w:rFonts w:ascii="Arial" w:hAnsi="Arial" w:cs="Arial"/>
          <w:sz w:val="22"/>
          <w:szCs w:val="22"/>
        </w:rPr>
        <w:t>es importante para</w:t>
      </w:r>
      <w:r>
        <w:rPr>
          <w:rFonts w:ascii="Arial" w:hAnsi="Arial" w:cs="Arial"/>
          <w:sz w:val="22"/>
          <w:szCs w:val="22"/>
        </w:rPr>
        <w:t>, en su caso y previa evaluación de todos los elementos que corresponden evaluar en la materia,</w:t>
      </w:r>
      <w:r w:rsidR="00A73526">
        <w:rPr>
          <w:rFonts w:ascii="Arial" w:hAnsi="Arial" w:cs="Arial"/>
          <w:sz w:val="22"/>
          <w:szCs w:val="22"/>
        </w:rPr>
        <w:t xml:space="preserve"> evitar la autorización de operaciones con altas probabilidades de afectar la competencia.</w:t>
      </w:r>
    </w:p>
    <w:p w14:paraId="5D938D8A" w14:textId="5C1212B5" w:rsidR="008A7671" w:rsidRPr="0034372A" w:rsidRDefault="008A7671" w:rsidP="008A7671">
      <w:pPr>
        <w:pStyle w:val="Default"/>
        <w:spacing w:before="120" w:after="120" w:line="276" w:lineRule="auto"/>
        <w:ind w:left="851" w:right="-1"/>
        <w:jc w:val="both"/>
        <w:rPr>
          <w:rFonts w:ascii="Arial" w:hAnsi="Arial" w:cs="Arial"/>
          <w:b/>
          <w:sz w:val="22"/>
          <w:szCs w:val="22"/>
        </w:rPr>
      </w:pPr>
      <w:r w:rsidRPr="0034372A">
        <w:rPr>
          <w:rFonts w:ascii="Arial" w:hAnsi="Arial" w:cs="Arial"/>
          <w:b/>
          <w:sz w:val="22"/>
          <w:szCs w:val="22"/>
        </w:rPr>
        <w:lastRenderedPageBreak/>
        <w:t xml:space="preserve">VII.3. Reducir el umbral del </w:t>
      </w:r>
      <w:r w:rsidRPr="0034372A">
        <w:rPr>
          <w:rFonts w:ascii="Arial" w:eastAsia="Times New Roman" w:hAnsi="Arial" w:cs="Arial"/>
          <w:b/>
          <w:sz w:val="22"/>
          <w:szCs w:val="22"/>
          <w:lang w:eastAsia="es-MX"/>
        </w:rPr>
        <w:t>35% (treinta y cinco por ciento) al 30% (treinta por ciento) en cualquier mercado del sector de radiodifusión</w:t>
      </w:r>
      <w:r w:rsidRPr="0034372A">
        <w:rPr>
          <w:rFonts w:ascii="Arial" w:hAnsi="Arial" w:cs="Arial"/>
          <w:b/>
          <w:sz w:val="22"/>
          <w:szCs w:val="22"/>
        </w:rPr>
        <w:t xml:space="preserve"> en el artículo 7 del Criterio Técnico.</w:t>
      </w:r>
      <w:r w:rsidRPr="0034372A">
        <w:rPr>
          <w:rFonts w:ascii="Arial" w:hAnsi="Arial" w:cs="Arial"/>
          <w:sz w:val="22"/>
          <w:szCs w:val="22"/>
        </w:rPr>
        <w:t xml:space="preserve"> </w:t>
      </w:r>
    </w:p>
    <w:p w14:paraId="3F66B3DC" w14:textId="497D7BB1" w:rsidR="008A7671" w:rsidRPr="0034372A" w:rsidRDefault="008A7671" w:rsidP="008A7671">
      <w:pPr>
        <w:spacing w:before="120" w:after="120"/>
        <w:ind w:right="-1"/>
        <w:jc w:val="both"/>
        <w:rPr>
          <w:rFonts w:ascii="Arial" w:hAnsi="Arial" w:cs="Arial"/>
        </w:rPr>
      </w:pPr>
      <w:r w:rsidRPr="0034372A">
        <w:rPr>
          <w:rFonts w:ascii="Arial" w:hAnsi="Arial" w:cs="Arial"/>
        </w:rPr>
        <w:t xml:space="preserve">En el sector de telecomunicaciones, los niveles de concentración se mantienen elevados por encima de los 3,000 puntos. Además, no se han rechazado operaciones en las que el agente económico resultante de la operación tiene el 35% o menos de participación de mercado; igualmente, en procesos de licitación se han incluido umbrales </w:t>
      </w:r>
      <w:r w:rsidR="0034372A" w:rsidRPr="0034372A">
        <w:rPr>
          <w:rFonts w:ascii="Arial" w:hAnsi="Arial" w:cs="Arial"/>
        </w:rPr>
        <w:t>que llegan al 35%.</w:t>
      </w:r>
    </w:p>
    <w:p w14:paraId="620EC4FA" w14:textId="6F3B2253" w:rsidR="008A7671" w:rsidRPr="0034372A" w:rsidRDefault="0034372A" w:rsidP="008A7671">
      <w:pPr>
        <w:spacing w:before="120" w:after="120"/>
        <w:ind w:right="-1"/>
        <w:jc w:val="both"/>
        <w:rPr>
          <w:rFonts w:ascii="Arial" w:hAnsi="Arial" w:cs="Arial"/>
        </w:rPr>
      </w:pPr>
      <w:r w:rsidRPr="0034372A">
        <w:rPr>
          <w:rFonts w:ascii="Arial" w:hAnsi="Arial" w:cs="Arial"/>
        </w:rPr>
        <w:t xml:space="preserve">No obstante, en el </w:t>
      </w:r>
      <w:r w:rsidR="008A7671" w:rsidRPr="0034372A">
        <w:rPr>
          <w:rFonts w:ascii="Arial" w:hAnsi="Arial" w:cs="Arial"/>
        </w:rPr>
        <w:t xml:space="preserve">sector de radiodifusión, </w:t>
      </w:r>
      <w:r w:rsidRPr="0034372A">
        <w:rPr>
          <w:rFonts w:ascii="Arial" w:hAnsi="Arial" w:cs="Arial"/>
        </w:rPr>
        <w:t xml:space="preserve">como ha sido señalado, los niveles de concentración han </w:t>
      </w:r>
      <w:r w:rsidR="008A7671" w:rsidRPr="0034372A">
        <w:rPr>
          <w:rFonts w:ascii="Arial" w:hAnsi="Arial" w:cs="Arial"/>
        </w:rPr>
        <w:t>experimenta</w:t>
      </w:r>
      <w:r w:rsidRPr="0034372A">
        <w:rPr>
          <w:rFonts w:ascii="Arial" w:hAnsi="Arial" w:cs="Arial"/>
        </w:rPr>
        <w:t xml:space="preserve">do reducciones como resultado de </w:t>
      </w:r>
      <w:r w:rsidR="008A7671" w:rsidRPr="0034372A">
        <w:rPr>
          <w:rFonts w:ascii="Arial" w:hAnsi="Arial" w:cs="Arial"/>
        </w:rPr>
        <w:t>procesos de licitación</w:t>
      </w:r>
      <w:r w:rsidRPr="0034372A">
        <w:rPr>
          <w:rFonts w:ascii="Arial" w:hAnsi="Arial" w:cs="Arial"/>
        </w:rPr>
        <w:t xml:space="preserve">, principalmente en mercados que involucran frecuencias en la banda FM. Al respecto, las bases de las licitaciones en radiodifusión sonora utilizan como umbral un porcentaje de acumulación máximo de 30%. </w:t>
      </w:r>
      <w:r w:rsidR="008A7671" w:rsidRPr="0034372A">
        <w:rPr>
          <w:rFonts w:ascii="Arial" w:hAnsi="Arial" w:cs="Arial"/>
        </w:rPr>
        <w:t xml:space="preserve">Además, </w:t>
      </w:r>
      <w:r w:rsidRPr="0034372A">
        <w:rPr>
          <w:rFonts w:ascii="Arial" w:hAnsi="Arial" w:cs="Arial"/>
        </w:rPr>
        <w:t xml:space="preserve">este IFT no </w:t>
      </w:r>
      <w:r w:rsidR="008A7671" w:rsidRPr="0034372A">
        <w:rPr>
          <w:rFonts w:ascii="Arial" w:hAnsi="Arial" w:cs="Arial"/>
        </w:rPr>
        <w:t>rechazado operaciones en las que los agentes económicos tienen el 30% o menos de participación en el mercado</w:t>
      </w:r>
      <w:r w:rsidRPr="0034372A">
        <w:rPr>
          <w:rFonts w:ascii="Arial" w:hAnsi="Arial" w:cs="Arial"/>
        </w:rPr>
        <w:t xml:space="preserve"> en procedimientos que han involucrado trámites regulatorios</w:t>
      </w:r>
      <w:r w:rsidR="008A7671" w:rsidRPr="0034372A">
        <w:rPr>
          <w:rFonts w:ascii="Arial" w:hAnsi="Arial" w:cs="Arial"/>
        </w:rPr>
        <w:t xml:space="preserve">. </w:t>
      </w:r>
    </w:p>
    <w:p w14:paraId="5D1C4A46" w14:textId="242E5654" w:rsidR="008A7671" w:rsidRPr="0034372A" w:rsidRDefault="0034372A" w:rsidP="008A7671">
      <w:pPr>
        <w:pStyle w:val="Default"/>
        <w:spacing w:before="120" w:after="120" w:line="276" w:lineRule="auto"/>
        <w:ind w:right="-1"/>
        <w:jc w:val="both"/>
        <w:rPr>
          <w:rFonts w:ascii="Arial" w:hAnsi="Arial" w:cs="Arial"/>
          <w:sz w:val="22"/>
          <w:szCs w:val="22"/>
        </w:rPr>
      </w:pPr>
      <w:r w:rsidRPr="0034372A">
        <w:rPr>
          <w:rFonts w:ascii="Arial" w:hAnsi="Arial" w:cs="Arial"/>
          <w:sz w:val="22"/>
          <w:szCs w:val="22"/>
        </w:rPr>
        <w:t>Por lo anterior</w:t>
      </w:r>
      <w:r w:rsidR="008A7671" w:rsidRPr="0034372A">
        <w:rPr>
          <w:rFonts w:ascii="Arial" w:hAnsi="Arial" w:cs="Arial"/>
          <w:sz w:val="22"/>
          <w:szCs w:val="22"/>
        </w:rPr>
        <w:t xml:space="preserve">, </w:t>
      </w:r>
      <w:r w:rsidRPr="0034372A">
        <w:rPr>
          <w:rFonts w:ascii="Arial" w:hAnsi="Arial" w:cs="Arial"/>
          <w:sz w:val="22"/>
          <w:szCs w:val="22"/>
        </w:rPr>
        <w:t xml:space="preserve">sólo para el caso del sector de radiodifusión, se considera necesario cambiar </w:t>
      </w:r>
      <w:r w:rsidR="008A7671" w:rsidRPr="0034372A">
        <w:rPr>
          <w:rFonts w:ascii="Arial" w:hAnsi="Arial" w:cs="Arial"/>
          <w:sz w:val="22"/>
          <w:szCs w:val="22"/>
        </w:rPr>
        <w:t xml:space="preserve">el umbral del 35% que se identifica en el Artículo 7 del Criterio Técnico </w:t>
      </w:r>
      <w:r w:rsidRPr="0034372A">
        <w:rPr>
          <w:rFonts w:ascii="Arial" w:hAnsi="Arial" w:cs="Arial"/>
          <w:sz w:val="22"/>
          <w:szCs w:val="22"/>
        </w:rPr>
        <w:t xml:space="preserve">y </w:t>
      </w:r>
      <w:r w:rsidR="008A7671" w:rsidRPr="0034372A">
        <w:rPr>
          <w:rFonts w:ascii="Arial" w:hAnsi="Arial" w:cs="Arial"/>
          <w:sz w:val="22"/>
          <w:szCs w:val="22"/>
        </w:rPr>
        <w:t>reducir</w:t>
      </w:r>
      <w:r w:rsidRPr="0034372A">
        <w:rPr>
          <w:rFonts w:ascii="Arial" w:hAnsi="Arial" w:cs="Arial"/>
          <w:sz w:val="22"/>
          <w:szCs w:val="22"/>
        </w:rPr>
        <w:t>lo</w:t>
      </w:r>
      <w:r w:rsidR="008A7671" w:rsidRPr="0034372A">
        <w:rPr>
          <w:rFonts w:ascii="Arial" w:hAnsi="Arial" w:cs="Arial"/>
          <w:sz w:val="22"/>
          <w:szCs w:val="22"/>
        </w:rPr>
        <w:t xml:space="preserve"> a </w:t>
      </w:r>
      <w:r w:rsidR="008A7671" w:rsidRPr="0034372A">
        <w:rPr>
          <w:rFonts w:ascii="Arial" w:eastAsia="Times New Roman" w:hAnsi="Arial" w:cs="Arial"/>
          <w:sz w:val="22"/>
          <w:szCs w:val="22"/>
          <w:lang w:eastAsia="es-MX"/>
        </w:rPr>
        <w:t>30%.</w:t>
      </w:r>
    </w:p>
    <w:p w14:paraId="212811A4" w14:textId="77777777" w:rsidR="008A7671" w:rsidRPr="00C9666A" w:rsidRDefault="008A7671" w:rsidP="00C9666A">
      <w:pPr>
        <w:pStyle w:val="Default"/>
        <w:spacing w:before="120" w:after="120" w:line="276" w:lineRule="auto"/>
        <w:ind w:right="-1"/>
        <w:jc w:val="both"/>
        <w:rPr>
          <w:rFonts w:ascii="Arial" w:hAnsi="Arial" w:cs="Arial"/>
          <w:sz w:val="22"/>
          <w:szCs w:val="22"/>
        </w:rPr>
      </w:pPr>
    </w:p>
    <w:p w14:paraId="1F6AC989" w14:textId="77777777" w:rsidR="00C62176" w:rsidRPr="00C9666A" w:rsidRDefault="00F515A2" w:rsidP="00C9666A">
      <w:pPr>
        <w:pStyle w:val="Ttulo1"/>
        <w:numPr>
          <w:ilvl w:val="0"/>
          <w:numId w:val="38"/>
        </w:numPr>
        <w:spacing w:before="120" w:after="120"/>
        <w:rPr>
          <w:rFonts w:ascii="Arial" w:hAnsi="Arial" w:cs="Arial"/>
          <w:b/>
          <w:color w:val="auto"/>
          <w:sz w:val="22"/>
        </w:rPr>
      </w:pPr>
      <w:bookmarkStart w:id="10" w:name="_Toc432706537"/>
      <w:r w:rsidRPr="00C9666A">
        <w:rPr>
          <w:rFonts w:ascii="Arial" w:hAnsi="Arial" w:cs="Arial"/>
          <w:b/>
          <w:color w:val="auto"/>
          <w:sz w:val="22"/>
        </w:rPr>
        <w:t>A</w:t>
      </w:r>
      <w:r w:rsidR="00C62176" w:rsidRPr="00C9666A">
        <w:rPr>
          <w:rFonts w:ascii="Arial" w:hAnsi="Arial" w:cs="Arial"/>
          <w:b/>
          <w:color w:val="auto"/>
          <w:sz w:val="22"/>
        </w:rPr>
        <w:t>rtículo Noveno Transitorio de</w:t>
      </w:r>
      <w:r w:rsidR="00F81E40" w:rsidRPr="00C9666A">
        <w:rPr>
          <w:rFonts w:ascii="Arial" w:hAnsi="Arial" w:cs="Arial"/>
          <w:b/>
          <w:color w:val="auto"/>
          <w:sz w:val="22"/>
        </w:rPr>
        <w:t xml:space="preserve">l Decreto que expide </w:t>
      </w:r>
      <w:r w:rsidR="00C62176" w:rsidRPr="00C9666A">
        <w:rPr>
          <w:rFonts w:ascii="Arial" w:hAnsi="Arial" w:cs="Arial"/>
          <w:b/>
          <w:color w:val="auto"/>
          <w:sz w:val="22"/>
        </w:rPr>
        <w:t>la LFTR</w:t>
      </w:r>
      <w:bookmarkEnd w:id="10"/>
    </w:p>
    <w:p w14:paraId="6054FDF5" w14:textId="77777777" w:rsidR="00C62176" w:rsidRPr="00C9666A" w:rsidRDefault="00C62176" w:rsidP="00A704F3">
      <w:pPr>
        <w:pStyle w:val="Prrafodelista"/>
        <w:autoSpaceDE w:val="0"/>
        <w:autoSpaceDN w:val="0"/>
        <w:adjustRightInd w:val="0"/>
        <w:spacing w:before="120" w:after="120"/>
        <w:ind w:left="0"/>
        <w:contextualSpacing w:val="0"/>
        <w:jc w:val="both"/>
        <w:rPr>
          <w:rFonts w:ascii="Arial" w:hAnsi="Arial" w:cs="Arial"/>
          <w:color w:val="000000"/>
        </w:rPr>
      </w:pPr>
      <w:r w:rsidRPr="00C9666A">
        <w:rPr>
          <w:rFonts w:ascii="Arial" w:hAnsi="Arial" w:cs="Arial"/>
          <w:color w:val="000000"/>
        </w:rPr>
        <w:t>El artículo Noveno Transitorio de</w:t>
      </w:r>
      <w:r w:rsidR="00F81E40" w:rsidRPr="00C9666A">
        <w:rPr>
          <w:rFonts w:ascii="Arial" w:hAnsi="Arial" w:cs="Arial"/>
          <w:color w:val="000000"/>
        </w:rPr>
        <w:t xml:space="preserve">l Decreto que expide </w:t>
      </w:r>
      <w:r w:rsidRPr="00C9666A">
        <w:rPr>
          <w:rFonts w:ascii="Arial" w:hAnsi="Arial" w:cs="Arial"/>
          <w:color w:val="000000"/>
        </w:rPr>
        <w:t>la LFTR establece una excepción a la notificación de concentraciones prevista en la LFCE</w:t>
      </w:r>
      <w:r w:rsidR="002E4552" w:rsidRPr="00C9666A">
        <w:rPr>
          <w:rFonts w:ascii="Arial" w:hAnsi="Arial" w:cs="Arial"/>
          <w:color w:val="000000"/>
        </w:rPr>
        <w:t xml:space="preserve"> si se cumple, entre otras condiciones,</w:t>
      </w:r>
      <w:r w:rsidRPr="00C9666A">
        <w:rPr>
          <w:rFonts w:ascii="Arial" w:hAnsi="Arial" w:cs="Arial"/>
          <w:color w:val="000000"/>
        </w:rPr>
        <w:t xml:space="preserve"> </w:t>
      </w:r>
      <w:r w:rsidR="002E4552" w:rsidRPr="00C9666A">
        <w:rPr>
          <w:rFonts w:ascii="Arial" w:hAnsi="Arial" w:cs="Arial"/>
          <w:color w:val="000000"/>
        </w:rPr>
        <w:t xml:space="preserve">que </w:t>
      </w:r>
      <w:r w:rsidRPr="00C9666A">
        <w:rPr>
          <w:rFonts w:ascii="Arial" w:hAnsi="Arial" w:cs="Arial"/>
          <w:color w:val="000000"/>
        </w:rPr>
        <w:t xml:space="preserve">exista un agente económico preponderante, es decir, que cuente directamente o indirectamente con una participación nacional mayor al cincuenta por ciento en el sector correspondiente. </w:t>
      </w:r>
    </w:p>
    <w:p w14:paraId="7F735E36" w14:textId="77777777" w:rsidR="00C62176" w:rsidRPr="00A87D4D" w:rsidRDefault="00C62176" w:rsidP="009903C8">
      <w:pPr>
        <w:pStyle w:val="Prrafodelista"/>
        <w:autoSpaceDE w:val="0"/>
        <w:autoSpaceDN w:val="0"/>
        <w:adjustRightInd w:val="0"/>
        <w:spacing w:before="120" w:after="120"/>
        <w:ind w:left="567" w:right="566"/>
        <w:contextualSpacing w:val="0"/>
        <w:jc w:val="both"/>
        <w:rPr>
          <w:rFonts w:ascii="Arial" w:hAnsi="Arial" w:cs="Arial"/>
          <w:i/>
          <w:color w:val="000000"/>
          <w:sz w:val="20"/>
          <w:szCs w:val="20"/>
        </w:rPr>
      </w:pPr>
      <w:r w:rsidRPr="00A87D4D">
        <w:rPr>
          <w:rFonts w:ascii="Arial" w:hAnsi="Arial" w:cs="Arial"/>
          <w:color w:val="000000"/>
          <w:sz w:val="20"/>
          <w:szCs w:val="20"/>
        </w:rPr>
        <w:t>“</w:t>
      </w:r>
      <w:r w:rsidRPr="00A87D4D">
        <w:rPr>
          <w:rFonts w:ascii="Arial" w:hAnsi="Arial" w:cs="Arial"/>
          <w:b/>
          <w:i/>
          <w:color w:val="000000"/>
          <w:sz w:val="20"/>
          <w:szCs w:val="20"/>
        </w:rPr>
        <w:t>NOVENO</w:t>
      </w:r>
      <w:r w:rsidRPr="00A87D4D">
        <w:rPr>
          <w:rFonts w:ascii="Arial" w:hAnsi="Arial" w:cs="Arial"/>
          <w:i/>
          <w:color w:val="000000"/>
          <w:sz w:val="20"/>
          <w:szCs w:val="20"/>
        </w:rPr>
        <w:t xml:space="preserve">. En tanto exista un </w:t>
      </w:r>
      <w:r w:rsidRPr="00A87D4D">
        <w:rPr>
          <w:rFonts w:ascii="Arial" w:hAnsi="Arial" w:cs="Arial"/>
          <w:b/>
          <w:i/>
          <w:color w:val="000000"/>
          <w:sz w:val="20"/>
          <w:szCs w:val="20"/>
          <w:u w:val="single"/>
        </w:rPr>
        <w:t>agente económico preponderante</w:t>
      </w:r>
      <w:r w:rsidRPr="00A87D4D">
        <w:rPr>
          <w:rFonts w:ascii="Arial" w:hAnsi="Arial" w:cs="Arial"/>
          <w:i/>
          <w:color w:val="000000"/>
          <w:sz w:val="20"/>
          <w:szCs w:val="20"/>
        </w:rPr>
        <w:t xml:space="preserv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713DAA00" w14:textId="77777777" w:rsidR="00C62176" w:rsidRPr="00A87D4D" w:rsidRDefault="00C62176" w:rsidP="009903C8">
      <w:pPr>
        <w:pStyle w:val="Prrafodelista"/>
        <w:numPr>
          <w:ilvl w:val="0"/>
          <w:numId w:val="32"/>
        </w:numPr>
        <w:autoSpaceDE w:val="0"/>
        <w:autoSpaceDN w:val="0"/>
        <w:adjustRightInd w:val="0"/>
        <w:spacing w:before="120" w:after="120"/>
        <w:ind w:left="1134" w:right="566"/>
        <w:contextualSpacing w:val="0"/>
        <w:jc w:val="both"/>
        <w:rPr>
          <w:rFonts w:ascii="Arial" w:hAnsi="Arial" w:cs="Arial"/>
          <w:i/>
          <w:color w:val="000000"/>
          <w:sz w:val="20"/>
          <w:szCs w:val="20"/>
        </w:rPr>
      </w:pPr>
      <w:r w:rsidRPr="00A87D4D">
        <w:rPr>
          <w:rFonts w:ascii="Arial" w:hAnsi="Arial" w:cs="Arial"/>
          <w:b/>
          <w:i/>
          <w:color w:val="000000"/>
          <w:sz w:val="20"/>
          <w:szCs w:val="20"/>
          <w:u w:val="single"/>
        </w:rPr>
        <w:t xml:space="preserve">Generen una reducción sectorial del Índice de Dominancia “ID”, siempre que el índice </w:t>
      </w:r>
      <w:proofErr w:type="spellStart"/>
      <w:r w:rsidRPr="00A87D4D">
        <w:rPr>
          <w:rFonts w:ascii="Arial" w:hAnsi="Arial" w:cs="Arial"/>
          <w:b/>
          <w:i/>
          <w:color w:val="000000"/>
          <w:sz w:val="20"/>
          <w:szCs w:val="20"/>
          <w:u w:val="single"/>
        </w:rPr>
        <w:t>Hirschman-Herfindahl</w:t>
      </w:r>
      <w:proofErr w:type="spellEnd"/>
      <w:r w:rsidRPr="00A87D4D">
        <w:rPr>
          <w:rFonts w:ascii="Arial" w:hAnsi="Arial" w:cs="Arial"/>
          <w:b/>
          <w:i/>
          <w:color w:val="000000"/>
          <w:sz w:val="20"/>
          <w:szCs w:val="20"/>
          <w:u w:val="single"/>
        </w:rPr>
        <w:t xml:space="preserve"> “IHH” no se incremente en más de doscientos puntos</w:t>
      </w:r>
      <w:r w:rsidRPr="00A87D4D">
        <w:rPr>
          <w:rFonts w:ascii="Arial" w:hAnsi="Arial" w:cs="Arial"/>
          <w:i/>
          <w:color w:val="000000"/>
          <w:sz w:val="20"/>
          <w:szCs w:val="20"/>
        </w:rPr>
        <w:t>;</w:t>
      </w:r>
    </w:p>
    <w:p w14:paraId="65AFA9D9" w14:textId="77777777" w:rsidR="00C62176" w:rsidRPr="00A87D4D" w:rsidRDefault="00C62176" w:rsidP="009903C8">
      <w:pPr>
        <w:pStyle w:val="Prrafodelista"/>
        <w:numPr>
          <w:ilvl w:val="0"/>
          <w:numId w:val="32"/>
        </w:numPr>
        <w:autoSpaceDE w:val="0"/>
        <w:autoSpaceDN w:val="0"/>
        <w:adjustRightInd w:val="0"/>
        <w:spacing w:before="120" w:after="120"/>
        <w:ind w:left="1134" w:right="566"/>
        <w:contextualSpacing w:val="0"/>
        <w:jc w:val="both"/>
        <w:rPr>
          <w:rFonts w:ascii="Arial" w:hAnsi="Arial" w:cs="Arial"/>
          <w:i/>
          <w:color w:val="000000"/>
          <w:sz w:val="20"/>
          <w:szCs w:val="20"/>
        </w:rPr>
      </w:pPr>
      <w:r w:rsidRPr="00A87D4D">
        <w:rPr>
          <w:rFonts w:ascii="Arial" w:hAnsi="Arial" w:cs="Arial"/>
          <w:i/>
          <w:color w:val="000000"/>
          <w:sz w:val="20"/>
          <w:szCs w:val="20"/>
        </w:rPr>
        <w:t>Tengan como resultado que el agente económico cuente con un porcentaje de participación sectorial menor al veinte por ciento;</w:t>
      </w:r>
    </w:p>
    <w:p w14:paraId="1F13E0BF" w14:textId="77777777" w:rsidR="00C62176" w:rsidRPr="00A87D4D" w:rsidRDefault="00C62176" w:rsidP="009903C8">
      <w:pPr>
        <w:pStyle w:val="Prrafodelista"/>
        <w:numPr>
          <w:ilvl w:val="0"/>
          <w:numId w:val="32"/>
        </w:numPr>
        <w:autoSpaceDE w:val="0"/>
        <w:autoSpaceDN w:val="0"/>
        <w:adjustRightInd w:val="0"/>
        <w:spacing w:before="120" w:after="120"/>
        <w:ind w:left="1134" w:right="566"/>
        <w:contextualSpacing w:val="0"/>
        <w:jc w:val="both"/>
        <w:rPr>
          <w:rFonts w:ascii="Arial" w:hAnsi="Arial" w:cs="Arial"/>
          <w:i/>
          <w:color w:val="000000"/>
          <w:sz w:val="20"/>
          <w:szCs w:val="20"/>
        </w:rPr>
      </w:pPr>
      <w:r w:rsidRPr="00A87D4D">
        <w:rPr>
          <w:rFonts w:ascii="Arial" w:hAnsi="Arial" w:cs="Arial"/>
          <w:i/>
          <w:color w:val="000000"/>
          <w:sz w:val="20"/>
          <w:szCs w:val="20"/>
        </w:rPr>
        <w:t>Que en dicha concentración no participe el agente económico preponderante en el sector en el que se lleve a cabo la concentración, y</w:t>
      </w:r>
    </w:p>
    <w:p w14:paraId="58A1BCFA" w14:textId="77777777" w:rsidR="00C62176" w:rsidRPr="00A87D4D" w:rsidRDefault="00C62176" w:rsidP="009903C8">
      <w:pPr>
        <w:pStyle w:val="Prrafodelista"/>
        <w:numPr>
          <w:ilvl w:val="0"/>
          <w:numId w:val="32"/>
        </w:numPr>
        <w:autoSpaceDE w:val="0"/>
        <w:autoSpaceDN w:val="0"/>
        <w:adjustRightInd w:val="0"/>
        <w:spacing w:before="120" w:after="120"/>
        <w:ind w:left="1134" w:right="566"/>
        <w:contextualSpacing w:val="0"/>
        <w:jc w:val="both"/>
        <w:rPr>
          <w:rFonts w:ascii="Arial" w:hAnsi="Arial" w:cs="Arial"/>
          <w:i/>
          <w:color w:val="000000"/>
          <w:sz w:val="20"/>
          <w:szCs w:val="20"/>
        </w:rPr>
      </w:pPr>
      <w:r w:rsidRPr="00A87D4D">
        <w:rPr>
          <w:rFonts w:ascii="Arial" w:hAnsi="Arial" w:cs="Arial"/>
          <w:i/>
          <w:color w:val="000000"/>
          <w:sz w:val="20"/>
          <w:szCs w:val="20"/>
        </w:rPr>
        <w:t>No tengan como efecto disminuir, dañar o impedir la libre competencia y concurrencia, en el sector que corresponda.</w:t>
      </w:r>
    </w:p>
    <w:p w14:paraId="38DBFCA2" w14:textId="77777777" w:rsidR="00C62176" w:rsidRPr="00A87D4D" w:rsidRDefault="00C62176" w:rsidP="009903C8">
      <w:pPr>
        <w:pStyle w:val="Prrafodelista"/>
        <w:autoSpaceDE w:val="0"/>
        <w:autoSpaceDN w:val="0"/>
        <w:adjustRightInd w:val="0"/>
        <w:spacing w:before="120" w:after="120"/>
        <w:ind w:left="567" w:right="566"/>
        <w:contextualSpacing w:val="0"/>
        <w:jc w:val="both"/>
        <w:rPr>
          <w:rFonts w:ascii="Arial" w:hAnsi="Arial" w:cs="Arial"/>
          <w:i/>
          <w:color w:val="000000"/>
          <w:sz w:val="20"/>
          <w:szCs w:val="20"/>
        </w:rPr>
      </w:pPr>
      <w:r w:rsidRPr="00A87D4D">
        <w:rPr>
          <w:rFonts w:ascii="Arial" w:hAnsi="Arial" w:cs="Arial"/>
          <w:i/>
          <w:color w:val="000000"/>
          <w:sz w:val="20"/>
          <w:szCs w:val="20"/>
        </w:rPr>
        <w:t xml:space="preserve">Por Índice </w:t>
      </w:r>
      <w:proofErr w:type="spellStart"/>
      <w:r w:rsidRPr="00A87D4D">
        <w:rPr>
          <w:rFonts w:ascii="Arial" w:hAnsi="Arial" w:cs="Arial"/>
          <w:i/>
          <w:color w:val="000000"/>
          <w:sz w:val="20"/>
          <w:szCs w:val="20"/>
        </w:rPr>
        <w:t>Hirschman-Herfindahl</w:t>
      </w:r>
      <w:proofErr w:type="spellEnd"/>
      <w:r w:rsidRPr="00A87D4D">
        <w:rPr>
          <w:rFonts w:ascii="Arial" w:hAnsi="Arial" w:cs="Arial"/>
          <w:i/>
          <w:color w:val="000000"/>
          <w:sz w:val="20"/>
          <w:szCs w:val="20"/>
        </w:rPr>
        <w:t xml:space="preserve"> “IHH” se entiende la suma de los cuadrados de las </w:t>
      </w:r>
      <w:r w:rsidRPr="00A87D4D">
        <w:rPr>
          <w:rFonts w:ascii="Arial" w:hAnsi="Arial" w:cs="Arial"/>
          <w:b/>
          <w:i/>
          <w:color w:val="000000"/>
          <w:sz w:val="20"/>
          <w:szCs w:val="20"/>
          <w:u w:val="single"/>
        </w:rPr>
        <w:t>participaciones</w:t>
      </w:r>
      <w:r w:rsidRPr="00A87D4D">
        <w:rPr>
          <w:rFonts w:ascii="Arial" w:hAnsi="Arial" w:cs="Arial"/>
          <w:i/>
          <w:color w:val="000000"/>
          <w:sz w:val="20"/>
          <w:szCs w:val="20"/>
        </w:rPr>
        <w:t xml:space="preserve"> de cada agente económico (IHH=∑i qi2), en el sector que corresponda, </w:t>
      </w:r>
      <w:r w:rsidRPr="00A87D4D">
        <w:rPr>
          <w:rFonts w:ascii="Arial" w:hAnsi="Arial" w:cs="Arial"/>
          <w:b/>
          <w:i/>
          <w:color w:val="000000"/>
          <w:sz w:val="20"/>
          <w:szCs w:val="20"/>
          <w:u w:val="single"/>
        </w:rPr>
        <w:t xml:space="preserve">medida para el caso del sector de las telecomunicaciones con base en el indicador de número de suscriptores y usuarios de servicios de telecomunicaciones, y para el sector </w:t>
      </w:r>
      <w:r w:rsidRPr="00A87D4D">
        <w:rPr>
          <w:rFonts w:ascii="Arial" w:hAnsi="Arial" w:cs="Arial"/>
          <w:b/>
          <w:i/>
          <w:color w:val="000000"/>
          <w:sz w:val="20"/>
          <w:szCs w:val="20"/>
          <w:u w:val="single"/>
        </w:rPr>
        <w:lastRenderedPageBreak/>
        <w:t>de la radiodifusión con base en audiencia</w:t>
      </w:r>
      <w:r w:rsidRPr="00A87D4D">
        <w:rPr>
          <w:rFonts w:ascii="Arial" w:hAnsi="Arial" w:cs="Arial"/>
          <w:i/>
          <w:color w:val="000000"/>
          <w:sz w:val="20"/>
          <w:szCs w:val="20"/>
        </w:rPr>
        <w:t>. Este índice puede tomar valores entre cero y diez mil.</w:t>
      </w:r>
    </w:p>
    <w:p w14:paraId="0C3FD2F1" w14:textId="77777777" w:rsidR="00C62176" w:rsidRPr="00A87D4D" w:rsidRDefault="00C62176" w:rsidP="009903C8">
      <w:pPr>
        <w:pStyle w:val="Prrafodelista"/>
        <w:autoSpaceDE w:val="0"/>
        <w:autoSpaceDN w:val="0"/>
        <w:adjustRightInd w:val="0"/>
        <w:spacing w:before="120" w:after="120"/>
        <w:ind w:left="567" w:right="566"/>
        <w:contextualSpacing w:val="0"/>
        <w:jc w:val="both"/>
        <w:rPr>
          <w:rFonts w:ascii="Arial" w:hAnsi="Arial" w:cs="Arial"/>
          <w:i/>
          <w:color w:val="000000"/>
          <w:sz w:val="20"/>
          <w:szCs w:val="20"/>
        </w:rPr>
      </w:pPr>
      <w:r w:rsidRPr="00A87D4D">
        <w:rPr>
          <w:rFonts w:ascii="Arial" w:hAnsi="Arial" w:cs="Arial"/>
          <w:i/>
          <w:color w:val="000000"/>
          <w:sz w:val="20"/>
          <w:szCs w:val="20"/>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A87D4D">
        <w:rPr>
          <w:rFonts w:ascii="Arial" w:hAnsi="Arial" w:cs="Arial"/>
          <w:i/>
          <w:color w:val="000000"/>
          <w:sz w:val="20"/>
          <w:szCs w:val="20"/>
        </w:rPr>
        <w:t>Hirschman-Herfindahl</w:t>
      </w:r>
      <w:proofErr w:type="spellEnd"/>
      <w:r w:rsidRPr="00A87D4D">
        <w:rPr>
          <w:rFonts w:ascii="Arial" w:hAnsi="Arial" w:cs="Arial"/>
          <w:i/>
          <w:color w:val="000000"/>
          <w:sz w:val="20"/>
          <w:szCs w:val="20"/>
        </w:rPr>
        <w:t xml:space="preserve">, pero utilizando ahora las contribuciones hi en vez de las participaciones </w:t>
      </w:r>
      <w:proofErr w:type="spellStart"/>
      <w:r w:rsidRPr="00A87D4D">
        <w:rPr>
          <w:rFonts w:ascii="Arial" w:hAnsi="Arial" w:cs="Arial"/>
          <w:i/>
          <w:color w:val="000000"/>
          <w:sz w:val="20"/>
          <w:szCs w:val="20"/>
        </w:rPr>
        <w:t>qi</w:t>
      </w:r>
      <w:proofErr w:type="spellEnd"/>
      <w:r w:rsidRPr="00A87D4D">
        <w:rPr>
          <w:rFonts w:ascii="Arial" w:hAnsi="Arial" w:cs="Arial"/>
          <w:i/>
          <w:color w:val="000000"/>
          <w:sz w:val="20"/>
          <w:szCs w:val="20"/>
        </w:rPr>
        <w:t xml:space="preserve"> (es decir, ID=∑i hi2). Este índice también varía entre cero y diez mil.</w:t>
      </w:r>
    </w:p>
    <w:p w14:paraId="25B364AE" w14:textId="08576C6B" w:rsidR="00C62176" w:rsidRPr="00A87D4D" w:rsidRDefault="00C62176" w:rsidP="009903C8">
      <w:pPr>
        <w:pStyle w:val="Prrafodelista"/>
        <w:autoSpaceDE w:val="0"/>
        <w:autoSpaceDN w:val="0"/>
        <w:adjustRightInd w:val="0"/>
        <w:spacing w:before="120" w:after="120"/>
        <w:ind w:left="567" w:right="566"/>
        <w:contextualSpacing w:val="0"/>
        <w:jc w:val="both"/>
        <w:rPr>
          <w:rFonts w:ascii="Arial" w:hAnsi="Arial" w:cs="Arial"/>
          <w:i/>
          <w:color w:val="000000"/>
          <w:sz w:val="20"/>
          <w:szCs w:val="20"/>
        </w:rPr>
      </w:pPr>
      <w:r w:rsidRPr="00A87D4D">
        <w:rPr>
          <w:rFonts w:ascii="Arial" w:hAnsi="Arial" w:cs="Arial"/>
          <w:i/>
          <w:color w:val="000000"/>
          <w:sz w:val="20"/>
          <w:szCs w:val="20"/>
        </w:rP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w:t>
      </w:r>
      <w:r w:rsidR="003E1D38">
        <w:rPr>
          <w:rFonts w:ascii="Arial" w:hAnsi="Arial" w:cs="Arial"/>
          <w:i/>
          <w:color w:val="000000"/>
          <w:sz w:val="20"/>
          <w:szCs w:val="20"/>
        </w:rPr>
        <w:t>,</w:t>
      </w:r>
      <w:r w:rsidRPr="00A87D4D">
        <w:rPr>
          <w:rFonts w:ascii="Arial" w:hAnsi="Arial" w:cs="Arial"/>
          <w:i/>
          <w:color w:val="000000"/>
          <w:sz w:val="20"/>
          <w:szCs w:val="20"/>
        </w:rPr>
        <w:t xml:space="preserve"> así como los elementos de convicción que demuestren que la concentración cumple con los incisos anteriores.</w:t>
      </w:r>
    </w:p>
    <w:p w14:paraId="6E2A3D27" w14:textId="77777777" w:rsidR="00C62176" w:rsidRPr="00A87D4D" w:rsidRDefault="00C62176" w:rsidP="009903C8">
      <w:pPr>
        <w:pStyle w:val="Prrafodelista"/>
        <w:autoSpaceDE w:val="0"/>
        <w:autoSpaceDN w:val="0"/>
        <w:adjustRightInd w:val="0"/>
        <w:spacing w:before="120" w:after="120"/>
        <w:ind w:left="567" w:right="566"/>
        <w:contextualSpacing w:val="0"/>
        <w:jc w:val="both"/>
        <w:rPr>
          <w:rFonts w:ascii="Arial" w:hAnsi="Arial" w:cs="Arial"/>
          <w:i/>
          <w:color w:val="000000"/>
          <w:sz w:val="20"/>
          <w:szCs w:val="20"/>
        </w:rPr>
      </w:pPr>
      <w:r w:rsidRPr="00A87D4D">
        <w:rPr>
          <w:rFonts w:ascii="Arial" w:hAnsi="Arial" w:cs="Arial"/>
          <w:i/>
          <w:color w:val="000000"/>
          <w:sz w:val="20"/>
          <w:szCs w:val="20"/>
        </w:rPr>
        <w:t>(…).”</w:t>
      </w:r>
    </w:p>
    <w:p w14:paraId="6A6DB6EA" w14:textId="75AD8428" w:rsidR="00C62176" w:rsidRPr="00A87D4D" w:rsidRDefault="00A704F3" w:rsidP="009903C8">
      <w:pPr>
        <w:pStyle w:val="Prrafodelista"/>
        <w:autoSpaceDE w:val="0"/>
        <w:autoSpaceDN w:val="0"/>
        <w:adjustRightInd w:val="0"/>
        <w:spacing w:before="120" w:after="120"/>
        <w:ind w:left="567" w:right="566"/>
        <w:contextualSpacing w:val="0"/>
        <w:jc w:val="right"/>
        <w:rPr>
          <w:rFonts w:ascii="Arial" w:hAnsi="Arial" w:cs="Arial"/>
          <w:color w:val="000000"/>
          <w:sz w:val="20"/>
          <w:szCs w:val="20"/>
        </w:rPr>
      </w:pPr>
      <w:r w:rsidRPr="00A87D4D">
        <w:rPr>
          <w:rFonts w:ascii="Arial" w:hAnsi="Arial" w:cs="Arial"/>
          <w:color w:val="000000"/>
          <w:sz w:val="20"/>
          <w:szCs w:val="20"/>
        </w:rPr>
        <w:t>[Énfasis añadido]</w:t>
      </w:r>
    </w:p>
    <w:p w14:paraId="0E0F1E0E" w14:textId="55686062" w:rsidR="00C62176" w:rsidRPr="00C9666A" w:rsidRDefault="00C62176" w:rsidP="00C9666A">
      <w:pPr>
        <w:pStyle w:val="Prrafodelista"/>
        <w:autoSpaceDE w:val="0"/>
        <w:autoSpaceDN w:val="0"/>
        <w:adjustRightInd w:val="0"/>
        <w:spacing w:before="120" w:after="120"/>
        <w:ind w:left="0" w:right="-1"/>
        <w:contextualSpacing w:val="0"/>
        <w:jc w:val="both"/>
        <w:rPr>
          <w:rFonts w:ascii="Arial" w:hAnsi="Arial" w:cs="Arial"/>
          <w:color w:val="000000"/>
        </w:rPr>
      </w:pPr>
      <w:r w:rsidRPr="00C9666A">
        <w:rPr>
          <w:rFonts w:ascii="Arial" w:hAnsi="Arial" w:cs="Arial"/>
          <w:color w:val="000000"/>
        </w:rPr>
        <w:t xml:space="preserve">Como se observa, </w:t>
      </w:r>
      <w:r w:rsidR="002E4552" w:rsidRPr="00C9666A">
        <w:rPr>
          <w:rFonts w:ascii="Arial" w:hAnsi="Arial" w:cs="Arial"/>
          <w:color w:val="000000"/>
        </w:rPr>
        <w:t xml:space="preserve">por diseño del legislador, </w:t>
      </w:r>
      <w:r w:rsidRPr="00C9666A">
        <w:rPr>
          <w:rFonts w:ascii="Arial" w:hAnsi="Arial" w:cs="Arial"/>
          <w:color w:val="000000"/>
        </w:rPr>
        <w:t xml:space="preserve">la LFTR establece </w:t>
      </w:r>
      <w:r w:rsidR="002E4552" w:rsidRPr="00C9666A">
        <w:rPr>
          <w:rFonts w:ascii="Arial" w:hAnsi="Arial" w:cs="Arial"/>
          <w:color w:val="000000"/>
        </w:rPr>
        <w:t xml:space="preserve">la utilización del </w:t>
      </w:r>
      <w:r w:rsidRPr="00C9666A">
        <w:rPr>
          <w:rFonts w:ascii="Arial" w:hAnsi="Arial" w:cs="Arial"/>
          <w:color w:val="000000"/>
        </w:rPr>
        <w:t>IHH, el ID y</w:t>
      </w:r>
      <w:r w:rsidRPr="00C9666A">
        <w:rPr>
          <w:rFonts w:ascii="Arial" w:eastAsiaTheme="minorEastAsia" w:hAnsi="Arial" w:cs="Arial"/>
          <w:color w:val="000000"/>
        </w:rPr>
        <w:t xml:space="preserve"> </w:t>
      </w:r>
      <m:oMath>
        <m:r>
          <m:rPr>
            <m:sty m:val="p"/>
          </m:rPr>
          <w:rPr>
            <w:rFonts w:ascii="Cambria Math" w:hAnsi="Cambria Math" w:cs="Arial"/>
          </w:rPr>
          <m:t>∆IHH</m:t>
        </m:r>
      </m:oMath>
      <w:r w:rsidRPr="00C9666A">
        <w:rPr>
          <w:rFonts w:ascii="Arial" w:hAnsi="Arial" w:cs="Arial"/>
          <w:color w:val="000000"/>
        </w:rPr>
        <w:t xml:space="preserve">, </w:t>
      </w:r>
      <w:r w:rsidR="002E4552" w:rsidRPr="00C9666A">
        <w:rPr>
          <w:rFonts w:ascii="Arial" w:hAnsi="Arial" w:cs="Arial"/>
          <w:color w:val="000000"/>
        </w:rPr>
        <w:t xml:space="preserve">así como umbrales específicos y </w:t>
      </w:r>
      <w:r w:rsidRPr="00C9666A">
        <w:rPr>
          <w:rFonts w:ascii="Arial" w:hAnsi="Arial" w:cs="Arial"/>
          <w:color w:val="000000"/>
        </w:rPr>
        <w:t>las variables a considerar para calcular las participaciones de los agentes económicos.</w:t>
      </w:r>
    </w:p>
    <w:p w14:paraId="37E8C350" w14:textId="57E2B3F6" w:rsidR="00C62176" w:rsidRPr="00C9666A" w:rsidRDefault="00C62176" w:rsidP="00C9666A">
      <w:pPr>
        <w:pStyle w:val="Prrafodelista"/>
        <w:autoSpaceDE w:val="0"/>
        <w:autoSpaceDN w:val="0"/>
        <w:adjustRightInd w:val="0"/>
        <w:spacing w:before="120" w:after="120"/>
        <w:ind w:left="0" w:right="-1"/>
        <w:contextualSpacing w:val="0"/>
        <w:jc w:val="both"/>
        <w:rPr>
          <w:rFonts w:ascii="Arial" w:hAnsi="Arial" w:cs="Arial"/>
          <w:color w:val="000000"/>
        </w:rPr>
      </w:pPr>
      <w:r w:rsidRPr="00C9666A">
        <w:rPr>
          <w:rFonts w:ascii="Arial" w:hAnsi="Arial" w:cs="Arial"/>
          <w:color w:val="000000"/>
        </w:rPr>
        <w:t xml:space="preserve">De este modo, </w:t>
      </w:r>
      <w:r w:rsidR="00F515A2" w:rsidRPr="00C9666A">
        <w:rPr>
          <w:rFonts w:ascii="Arial" w:hAnsi="Arial" w:cs="Arial"/>
          <w:color w:val="000000"/>
        </w:rPr>
        <w:t>e</w:t>
      </w:r>
      <w:r w:rsidR="00F515A2" w:rsidRPr="00C9666A">
        <w:rPr>
          <w:rFonts w:ascii="Arial" w:hAnsi="Arial" w:cs="Arial"/>
        </w:rPr>
        <w:t>l presente criterio técnico no se aplicará cuando el Instituto resuelva conforme a lo establecido en el artículo Noveno Transitorio, párrafos primero a cuarto, del Decreto que expide la LFTR, el cual señala explícitamente el cálculo y aplicación del Índice de Dominancia, el IHH y la ∆</w:t>
      </w:r>
      <w:r w:rsidR="00997564" w:rsidRPr="00C9666A">
        <w:rPr>
          <w:rFonts w:ascii="Arial" w:hAnsi="Arial" w:cs="Arial"/>
        </w:rPr>
        <w:t>I</w:t>
      </w:r>
      <w:r w:rsidR="00F515A2" w:rsidRPr="00C9666A">
        <w:rPr>
          <w:rFonts w:ascii="Arial" w:hAnsi="Arial" w:cs="Arial"/>
        </w:rPr>
        <w:t>HH</w:t>
      </w:r>
      <w:r w:rsidRPr="00C9666A">
        <w:rPr>
          <w:rFonts w:ascii="Arial" w:hAnsi="Arial" w:cs="Arial"/>
          <w:color w:val="000000"/>
        </w:rPr>
        <w:t xml:space="preserve">. </w:t>
      </w:r>
    </w:p>
    <w:p w14:paraId="77999938" w14:textId="77777777" w:rsidR="00F81E40" w:rsidRPr="00C9666A" w:rsidRDefault="00F81E40" w:rsidP="00C9666A">
      <w:pPr>
        <w:spacing w:before="120" w:after="120"/>
        <w:rPr>
          <w:rFonts w:ascii="Arial" w:hAnsi="Arial" w:cs="Arial"/>
          <w:color w:val="000000"/>
        </w:rPr>
      </w:pPr>
      <w:r w:rsidRPr="00C9666A">
        <w:rPr>
          <w:rFonts w:ascii="Arial" w:hAnsi="Arial" w:cs="Arial"/>
        </w:rPr>
        <w:br w:type="page"/>
      </w:r>
    </w:p>
    <w:p w14:paraId="42653278" w14:textId="77777777" w:rsidR="00FE6F18" w:rsidRPr="00C9666A" w:rsidRDefault="00FE6F18" w:rsidP="00C9666A">
      <w:pPr>
        <w:pStyle w:val="Ttulo1"/>
        <w:numPr>
          <w:ilvl w:val="0"/>
          <w:numId w:val="38"/>
        </w:numPr>
        <w:spacing w:before="120" w:after="120"/>
        <w:rPr>
          <w:rFonts w:ascii="Arial" w:hAnsi="Arial" w:cs="Arial"/>
          <w:b/>
          <w:color w:val="auto"/>
          <w:sz w:val="22"/>
        </w:rPr>
      </w:pPr>
      <w:bookmarkStart w:id="11" w:name="_Toc432706538"/>
      <w:r w:rsidRPr="00C9666A">
        <w:rPr>
          <w:rFonts w:ascii="Arial" w:hAnsi="Arial" w:cs="Arial"/>
          <w:b/>
          <w:color w:val="auto"/>
          <w:sz w:val="22"/>
        </w:rPr>
        <w:lastRenderedPageBreak/>
        <w:t>Bibliografía</w:t>
      </w:r>
      <w:bookmarkEnd w:id="11"/>
    </w:p>
    <w:p w14:paraId="3F4E0C65" w14:textId="77777777" w:rsidR="00FE6F18" w:rsidRPr="00C9666A" w:rsidRDefault="00FE6F18" w:rsidP="00C9666A">
      <w:pPr>
        <w:pStyle w:val="Default"/>
        <w:spacing w:before="120" w:after="120" w:line="276" w:lineRule="auto"/>
        <w:ind w:left="721" w:right="-1"/>
        <w:jc w:val="both"/>
        <w:rPr>
          <w:rFonts w:ascii="Arial" w:hAnsi="Arial" w:cs="Arial"/>
          <w:sz w:val="22"/>
          <w:szCs w:val="22"/>
        </w:rPr>
      </w:pPr>
    </w:p>
    <w:p w14:paraId="303E60A0" w14:textId="761D71BD" w:rsidR="00FE6F18" w:rsidRPr="003E1D38" w:rsidRDefault="00FE6F18" w:rsidP="002C46BD">
      <w:pPr>
        <w:pStyle w:val="Default"/>
        <w:numPr>
          <w:ilvl w:val="0"/>
          <w:numId w:val="6"/>
        </w:numPr>
        <w:spacing w:before="120" w:after="120" w:line="276" w:lineRule="auto"/>
        <w:ind w:right="-1"/>
        <w:jc w:val="both"/>
        <w:rPr>
          <w:rStyle w:val="Hipervnculo"/>
          <w:rFonts w:ascii="Arial" w:hAnsi="Arial" w:cs="Arial"/>
          <w:color w:val="000000"/>
          <w:sz w:val="22"/>
          <w:szCs w:val="22"/>
          <w:u w:val="none"/>
        </w:rPr>
      </w:pPr>
      <w:r w:rsidRPr="003E1D38">
        <w:rPr>
          <w:rStyle w:val="Hipervnculo"/>
          <w:rFonts w:ascii="Arial" w:hAnsi="Arial" w:cs="Arial"/>
          <w:color w:val="000000"/>
          <w:sz w:val="22"/>
          <w:szCs w:val="22"/>
          <w:u w:val="none"/>
        </w:rPr>
        <w:t>ACCC (2008). “</w:t>
      </w:r>
      <w:proofErr w:type="spellStart"/>
      <w:r w:rsidRPr="003E1D38">
        <w:rPr>
          <w:rStyle w:val="Hipervnculo"/>
          <w:rFonts w:ascii="Arial" w:hAnsi="Arial" w:cs="Arial"/>
          <w:color w:val="000000"/>
          <w:sz w:val="22"/>
          <w:szCs w:val="22"/>
          <w:u w:val="none"/>
        </w:rPr>
        <w:t>Merger</w:t>
      </w:r>
      <w:proofErr w:type="spellEnd"/>
      <w:r w:rsidRPr="003E1D38">
        <w:rPr>
          <w:rStyle w:val="Hipervnculo"/>
          <w:rFonts w:ascii="Arial" w:hAnsi="Arial" w:cs="Arial"/>
          <w:color w:val="000000"/>
          <w:sz w:val="22"/>
          <w:szCs w:val="22"/>
          <w:u w:val="none"/>
        </w:rPr>
        <w:t xml:space="preserve"> </w:t>
      </w:r>
      <w:proofErr w:type="spellStart"/>
      <w:r w:rsidRPr="003E1D38">
        <w:rPr>
          <w:rStyle w:val="Hipervnculo"/>
          <w:rFonts w:ascii="Arial" w:hAnsi="Arial" w:cs="Arial"/>
          <w:color w:val="000000"/>
          <w:sz w:val="22"/>
          <w:szCs w:val="22"/>
          <w:u w:val="none"/>
        </w:rPr>
        <w:t>Guidelines</w:t>
      </w:r>
      <w:proofErr w:type="spellEnd"/>
      <w:r w:rsidRPr="003E1D38">
        <w:rPr>
          <w:rStyle w:val="Hipervnculo"/>
          <w:rFonts w:ascii="Arial" w:hAnsi="Arial" w:cs="Arial"/>
          <w:color w:val="000000"/>
          <w:sz w:val="22"/>
          <w:szCs w:val="22"/>
          <w:u w:val="none"/>
        </w:rPr>
        <w:t>”, disponible en</w:t>
      </w:r>
      <w:r w:rsidR="00335268">
        <w:rPr>
          <w:rStyle w:val="Hipervnculo"/>
          <w:rFonts w:ascii="Arial" w:hAnsi="Arial" w:cs="Arial"/>
          <w:color w:val="000000"/>
          <w:sz w:val="22"/>
          <w:szCs w:val="22"/>
          <w:u w:val="none"/>
        </w:rPr>
        <w:t>:</w:t>
      </w:r>
      <w:r w:rsidRPr="003E1D38">
        <w:rPr>
          <w:rStyle w:val="Hipervnculo"/>
          <w:rFonts w:ascii="Arial" w:hAnsi="Arial" w:cs="Arial"/>
          <w:color w:val="000000"/>
          <w:sz w:val="22"/>
          <w:szCs w:val="22"/>
          <w:u w:val="none"/>
        </w:rPr>
        <w:t xml:space="preserve"> </w:t>
      </w:r>
      <w:hyperlink r:id="rId14" w:history="1">
        <w:r w:rsidRPr="003E1D38">
          <w:rPr>
            <w:rStyle w:val="Hipervnculo"/>
            <w:rFonts w:ascii="Arial" w:hAnsi="Arial" w:cs="Arial"/>
            <w:sz w:val="22"/>
            <w:szCs w:val="22"/>
          </w:rPr>
          <w:t>http://www.accc.gov.au/system/files/Merger%20guidelines.pdf</w:t>
        </w:r>
      </w:hyperlink>
      <w:r w:rsidRPr="003E1D38">
        <w:rPr>
          <w:rStyle w:val="Hipervnculo"/>
          <w:rFonts w:ascii="Arial" w:hAnsi="Arial" w:cs="Arial"/>
          <w:color w:val="000000"/>
          <w:sz w:val="22"/>
          <w:szCs w:val="22"/>
          <w:u w:val="none"/>
        </w:rPr>
        <w:t>.</w:t>
      </w:r>
    </w:p>
    <w:p w14:paraId="640D9D1C" w14:textId="336DF3D7"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eastAsiaTheme="minorEastAsia" w:hAnsi="Arial" w:cs="Arial"/>
          <w:sz w:val="22"/>
          <w:szCs w:val="22"/>
        </w:rPr>
        <w:t xml:space="preserve">Bajo, O. y Salas, R. (1998). </w:t>
      </w:r>
      <w:r w:rsidRPr="003E1D38">
        <w:rPr>
          <w:rFonts w:ascii="Arial" w:eastAsiaTheme="minorEastAsia" w:hAnsi="Arial" w:cs="Arial"/>
          <w:sz w:val="22"/>
          <w:szCs w:val="22"/>
          <w:lang w:val="en-US"/>
        </w:rPr>
        <w:t xml:space="preserve">“INEQUALITY FOUNDATIONS OF CONCENTRATION MEASURES: AN APPLICATION TO THE HANNAH-KAY INDICES”, disponible </w:t>
      </w:r>
      <w:proofErr w:type="spellStart"/>
      <w:r w:rsidRPr="003E1D38">
        <w:rPr>
          <w:rFonts w:ascii="Arial" w:eastAsiaTheme="minorEastAsia" w:hAnsi="Arial" w:cs="Arial"/>
          <w:sz w:val="22"/>
          <w:szCs w:val="22"/>
          <w:lang w:val="en-US"/>
        </w:rPr>
        <w:t>en</w:t>
      </w:r>
      <w:proofErr w:type="spellEnd"/>
      <w:r w:rsidR="00335268">
        <w:rPr>
          <w:rFonts w:ascii="Arial" w:eastAsiaTheme="minorEastAsia" w:hAnsi="Arial" w:cs="Arial"/>
          <w:sz w:val="22"/>
          <w:szCs w:val="22"/>
          <w:lang w:val="en-US"/>
        </w:rPr>
        <w:t>:</w:t>
      </w:r>
    </w:p>
    <w:p w14:paraId="795123D8" w14:textId="77777777" w:rsidR="00FE6F18" w:rsidRPr="003E1D38" w:rsidRDefault="00B35551" w:rsidP="002C46BD">
      <w:pPr>
        <w:pStyle w:val="Default"/>
        <w:spacing w:before="120" w:after="120" w:line="276" w:lineRule="auto"/>
        <w:ind w:left="361" w:right="-1"/>
        <w:jc w:val="both"/>
        <w:rPr>
          <w:rFonts w:ascii="Arial" w:hAnsi="Arial" w:cs="Arial"/>
          <w:sz w:val="22"/>
          <w:szCs w:val="22"/>
          <w:lang w:val="en-US"/>
        </w:rPr>
      </w:pPr>
      <w:hyperlink r:id="rId15" w:history="1">
        <w:r w:rsidR="00FE6F18" w:rsidRPr="003E1D38">
          <w:rPr>
            <w:rStyle w:val="Hipervnculo"/>
            <w:rFonts w:ascii="Arial" w:hAnsi="Arial" w:cs="Arial"/>
            <w:sz w:val="22"/>
            <w:szCs w:val="22"/>
            <w:lang w:val="en-US"/>
          </w:rPr>
          <w:t>http://www.ief.es/documentos/recursos/publicaciones/papeles_trabajo/1998_02.pdf</w:t>
        </w:r>
      </w:hyperlink>
      <w:r w:rsidR="00FE6F18" w:rsidRPr="003E1D38">
        <w:rPr>
          <w:rFonts w:ascii="Arial" w:hAnsi="Arial" w:cs="Arial"/>
          <w:sz w:val="22"/>
          <w:szCs w:val="22"/>
          <w:lang w:val="en-US"/>
        </w:rPr>
        <w:t>.</w:t>
      </w:r>
    </w:p>
    <w:p w14:paraId="38D90C28" w14:textId="36B97B31" w:rsidR="00FE6F18" w:rsidRPr="003E1D38" w:rsidRDefault="00FE6F18" w:rsidP="002C46BD">
      <w:pPr>
        <w:pStyle w:val="Default"/>
        <w:numPr>
          <w:ilvl w:val="0"/>
          <w:numId w:val="6"/>
        </w:numPr>
        <w:spacing w:before="120" w:after="120" w:line="276" w:lineRule="auto"/>
        <w:ind w:right="-1"/>
        <w:jc w:val="both"/>
        <w:rPr>
          <w:rStyle w:val="Hipervnculo"/>
          <w:rFonts w:ascii="Arial" w:hAnsi="Arial" w:cs="Arial"/>
          <w:color w:val="000000"/>
          <w:sz w:val="22"/>
          <w:szCs w:val="22"/>
          <w:u w:val="none"/>
        </w:rPr>
      </w:pPr>
      <w:r w:rsidRPr="003E1D38">
        <w:rPr>
          <w:rStyle w:val="Hipervnculo"/>
          <w:rFonts w:ascii="Arial" w:hAnsi="Arial" w:cs="Arial"/>
          <w:color w:val="000000"/>
          <w:sz w:val="22"/>
          <w:szCs w:val="22"/>
          <w:u w:val="none"/>
          <w:lang w:val="en-US"/>
        </w:rPr>
        <w:t xml:space="preserve">CCPC (2014). “Guidelines for Merger Analysis”, disponible </w:t>
      </w:r>
      <w:proofErr w:type="spellStart"/>
      <w:r w:rsidRPr="003E1D38">
        <w:rPr>
          <w:rStyle w:val="Hipervnculo"/>
          <w:rFonts w:ascii="Arial" w:hAnsi="Arial" w:cs="Arial"/>
          <w:color w:val="000000"/>
          <w:sz w:val="22"/>
          <w:szCs w:val="22"/>
          <w:u w:val="none"/>
          <w:lang w:val="en-US"/>
        </w:rPr>
        <w:t>en</w:t>
      </w:r>
      <w:proofErr w:type="spellEnd"/>
      <w:r w:rsidR="00335268">
        <w:rPr>
          <w:rStyle w:val="Hipervnculo"/>
          <w:rFonts w:ascii="Arial" w:hAnsi="Arial" w:cs="Arial"/>
          <w:color w:val="000000"/>
          <w:sz w:val="22"/>
          <w:szCs w:val="22"/>
          <w:u w:val="none"/>
          <w:lang w:val="en-US"/>
        </w:rPr>
        <w:t>:</w:t>
      </w:r>
    </w:p>
    <w:p w14:paraId="79B42994" w14:textId="77777777"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rPr>
      </w:pPr>
      <w:hyperlink r:id="rId16" w:history="1">
        <w:r w:rsidR="00FE6F18" w:rsidRPr="003E1D38">
          <w:rPr>
            <w:rStyle w:val="Hipervnculo"/>
            <w:rFonts w:ascii="Arial" w:hAnsi="Arial" w:cs="Arial"/>
            <w:sz w:val="22"/>
            <w:szCs w:val="22"/>
          </w:rPr>
          <w:t>http://www.ccpc.ie/sites/default/files/CCPC%20Merger%20Guidelines_1.pdf</w:t>
        </w:r>
      </w:hyperlink>
      <w:r w:rsidR="00FE6F18" w:rsidRPr="003E1D38">
        <w:rPr>
          <w:rFonts w:ascii="Arial" w:hAnsi="Arial" w:cs="Arial"/>
          <w:sz w:val="22"/>
          <w:szCs w:val="22"/>
        </w:rPr>
        <w:t>.</w:t>
      </w:r>
    </w:p>
    <w:p w14:paraId="0FAC04CF" w14:textId="658A3E8B" w:rsidR="00FE6F18" w:rsidRPr="003E1D38" w:rsidRDefault="00FE6F18" w:rsidP="002C46BD">
      <w:pPr>
        <w:pStyle w:val="Default"/>
        <w:numPr>
          <w:ilvl w:val="0"/>
          <w:numId w:val="6"/>
        </w:numPr>
        <w:spacing w:before="120" w:after="120" w:line="276" w:lineRule="auto"/>
        <w:ind w:right="-1"/>
        <w:jc w:val="both"/>
        <w:rPr>
          <w:rStyle w:val="Hipervnculo"/>
          <w:rFonts w:ascii="Arial" w:hAnsi="Arial" w:cs="Arial"/>
          <w:color w:val="000000"/>
          <w:sz w:val="22"/>
          <w:szCs w:val="22"/>
          <w:u w:val="none"/>
        </w:rPr>
      </w:pPr>
      <w:r w:rsidRPr="003E1D38">
        <w:rPr>
          <w:rStyle w:val="Hipervnculo"/>
          <w:rFonts w:ascii="Arial" w:hAnsi="Arial" w:cs="Arial"/>
          <w:color w:val="000000"/>
          <w:sz w:val="22"/>
          <w:szCs w:val="22"/>
          <w:u w:val="none"/>
        </w:rPr>
        <w:t>CE (2004). “Directrices sobre la evaluación de las concentraciones horizontales con arreglo al Reglamento del Consejo sobre el control de las concentraciones entre empresas”, disponible en</w:t>
      </w:r>
      <w:r w:rsidR="00335268">
        <w:rPr>
          <w:rStyle w:val="Hipervnculo"/>
          <w:rFonts w:ascii="Arial" w:hAnsi="Arial" w:cs="Arial"/>
          <w:color w:val="000000"/>
          <w:sz w:val="22"/>
          <w:szCs w:val="22"/>
          <w:u w:val="none"/>
        </w:rPr>
        <w:t>:</w:t>
      </w:r>
    </w:p>
    <w:p w14:paraId="55413E5B" w14:textId="3CC8D1F4"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rPr>
      </w:pPr>
      <w:hyperlink r:id="rId17" w:history="1">
        <w:r w:rsidR="00335268" w:rsidRPr="00782500">
          <w:rPr>
            <w:rStyle w:val="Hipervnculo"/>
            <w:rFonts w:ascii="Arial" w:hAnsi="Arial" w:cs="Arial"/>
            <w:sz w:val="22"/>
            <w:szCs w:val="22"/>
          </w:rPr>
          <w:t>http://eur-lex.europa.eu/LexUriServ/LexUriServ.do?uri=OJ:C:2004:031:0005:0018:ES:PDF</w:t>
        </w:r>
      </w:hyperlink>
      <w:r w:rsidR="00FE6F18" w:rsidRPr="003E1D38">
        <w:rPr>
          <w:rStyle w:val="Hipervnculo"/>
          <w:rFonts w:ascii="Arial" w:hAnsi="Arial" w:cs="Arial"/>
          <w:color w:val="000000"/>
          <w:sz w:val="22"/>
          <w:szCs w:val="22"/>
          <w:u w:val="none"/>
        </w:rPr>
        <w:t>.</w:t>
      </w:r>
    </w:p>
    <w:p w14:paraId="43021C00" w14:textId="516044D1"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Style w:val="Hipervnculo"/>
          <w:rFonts w:ascii="Arial" w:hAnsi="Arial" w:cs="Arial"/>
          <w:color w:val="000000"/>
          <w:sz w:val="22"/>
          <w:szCs w:val="22"/>
          <w:u w:val="none"/>
        </w:rPr>
        <w:t xml:space="preserve">CFC (1998). </w:t>
      </w:r>
      <w:r w:rsidRPr="003E1D38">
        <w:rPr>
          <w:rFonts w:ascii="Arial" w:hAnsi="Arial" w:cs="Arial"/>
          <w:sz w:val="22"/>
          <w:szCs w:val="22"/>
        </w:rPr>
        <w:t>“RESOLUCION por la que se da a conocer el método para el cálculo de los índices para determinar el grado de concentración que exista en el mercado relevante y los criterios para su aplicación”, disponible en</w:t>
      </w:r>
      <w:r w:rsidR="00335268">
        <w:rPr>
          <w:rFonts w:ascii="Arial" w:hAnsi="Arial" w:cs="Arial"/>
          <w:sz w:val="22"/>
          <w:szCs w:val="22"/>
        </w:rPr>
        <w:t>:</w:t>
      </w:r>
    </w:p>
    <w:p w14:paraId="42F8F7E7" w14:textId="77777777"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rPr>
      </w:pPr>
      <w:hyperlink r:id="rId18" w:history="1">
        <w:r w:rsidR="00FE6F18" w:rsidRPr="003E1D38">
          <w:rPr>
            <w:rStyle w:val="Hipervnculo"/>
            <w:rFonts w:ascii="Arial" w:hAnsi="Arial" w:cs="Arial"/>
            <w:sz w:val="22"/>
            <w:szCs w:val="22"/>
          </w:rPr>
          <w:t>http://dof.gob.mx/nota_detalle.php?codigo=4888039&amp;fecha=24/07/1998</w:t>
        </w:r>
      </w:hyperlink>
      <w:r w:rsidR="00FE6F18" w:rsidRPr="003E1D38">
        <w:rPr>
          <w:rFonts w:ascii="Arial" w:hAnsi="Arial" w:cs="Arial"/>
          <w:sz w:val="22"/>
          <w:szCs w:val="22"/>
        </w:rPr>
        <w:t>.</w:t>
      </w:r>
      <w:r w:rsidR="00FE6F18" w:rsidRPr="003E1D38">
        <w:rPr>
          <w:rStyle w:val="Hipervnculo"/>
          <w:rFonts w:ascii="Arial" w:hAnsi="Arial" w:cs="Arial"/>
          <w:color w:val="000000"/>
          <w:sz w:val="22"/>
          <w:szCs w:val="22"/>
          <w:u w:val="none"/>
        </w:rPr>
        <w:t xml:space="preserve"> </w:t>
      </w:r>
    </w:p>
    <w:p w14:paraId="644B32D4" w14:textId="78216236"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rPr>
        <w:t>CFCE (2014). “CRITERIOS Técnicos para el cálculo y aplicación de un Índice Cuantitativo para medir la Concentración del Mercado”, disponible en</w:t>
      </w:r>
      <w:r w:rsidR="00335268">
        <w:rPr>
          <w:rFonts w:ascii="Arial" w:hAnsi="Arial" w:cs="Arial"/>
          <w:sz w:val="22"/>
          <w:szCs w:val="22"/>
        </w:rPr>
        <w:t>:</w:t>
      </w:r>
    </w:p>
    <w:p w14:paraId="33E9EE05" w14:textId="77777777" w:rsidR="00FE6F18" w:rsidRPr="003E1D38" w:rsidRDefault="00B35551" w:rsidP="002C46BD">
      <w:pPr>
        <w:pStyle w:val="Default"/>
        <w:spacing w:before="120" w:after="120" w:line="276" w:lineRule="auto"/>
        <w:ind w:left="361" w:right="-1"/>
        <w:jc w:val="both"/>
        <w:rPr>
          <w:rFonts w:ascii="Arial" w:hAnsi="Arial" w:cs="Arial"/>
          <w:sz w:val="22"/>
          <w:szCs w:val="22"/>
        </w:rPr>
      </w:pPr>
      <w:hyperlink r:id="rId19" w:history="1">
        <w:r w:rsidR="00FE6F18" w:rsidRPr="003E1D38">
          <w:rPr>
            <w:rStyle w:val="Hipervnculo"/>
            <w:rFonts w:ascii="Arial" w:hAnsi="Arial" w:cs="Arial"/>
            <w:sz w:val="22"/>
            <w:szCs w:val="22"/>
          </w:rPr>
          <w:t>http://www.dof.gob.mx/nota_detalle.php?codigo=5392185&amp;fecha=14/05/2015</w:t>
        </w:r>
      </w:hyperlink>
      <w:r w:rsidR="00FE6F18" w:rsidRPr="003E1D38">
        <w:rPr>
          <w:rFonts w:ascii="Arial" w:hAnsi="Arial" w:cs="Arial"/>
          <w:sz w:val="22"/>
          <w:szCs w:val="22"/>
        </w:rPr>
        <w:t>.</w:t>
      </w:r>
    </w:p>
    <w:p w14:paraId="305D0B16" w14:textId="7633F6A6"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proofErr w:type="spellStart"/>
      <w:r w:rsidRPr="003E1D38">
        <w:rPr>
          <w:rFonts w:ascii="Arial" w:hAnsi="Arial" w:cs="Arial"/>
          <w:sz w:val="22"/>
          <w:szCs w:val="22"/>
          <w:lang w:val="en-US"/>
        </w:rPr>
        <w:t>Clakins</w:t>
      </w:r>
      <w:proofErr w:type="spellEnd"/>
      <w:r w:rsidRPr="003E1D38">
        <w:rPr>
          <w:rFonts w:ascii="Arial" w:hAnsi="Arial" w:cs="Arial"/>
          <w:sz w:val="22"/>
          <w:szCs w:val="22"/>
          <w:lang w:val="en-US"/>
        </w:rPr>
        <w:t xml:space="preserve">, S. (1983). “The New Merger Guidelines and the </w:t>
      </w:r>
      <w:proofErr w:type="spellStart"/>
      <w:r w:rsidRPr="003E1D38">
        <w:rPr>
          <w:rFonts w:ascii="Arial" w:hAnsi="Arial" w:cs="Arial"/>
          <w:sz w:val="22"/>
          <w:szCs w:val="22"/>
          <w:lang w:val="en-US"/>
        </w:rPr>
        <w:t>HerfindahlHirschman</w:t>
      </w:r>
      <w:proofErr w:type="spellEnd"/>
      <w:r w:rsidRPr="003E1D38">
        <w:rPr>
          <w:rFonts w:ascii="Arial" w:hAnsi="Arial" w:cs="Arial"/>
          <w:sz w:val="22"/>
          <w:szCs w:val="22"/>
          <w:lang w:val="en-US"/>
        </w:rPr>
        <w:t xml:space="preserve"> Index”, disponible </w:t>
      </w:r>
      <w:proofErr w:type="spellStart"/>
      <w:r w:rsidRPr="003E1D38">
        <w:rPr>
          <w:rFonts w:ascii="Arial" w:hAnsi="Arial" w:cs="Arial"/>
          <w:sz w:val="22"/>
          <w:szCs w:val="22"/>
          <w:lang w:val="en-US"/>
        </w:rPr>
        <w:t>en</w:t>
      </w:r>
      <w:proofErr w:type="spellEnd"/>
      <w:r w:rsidR="00335268">
        <w:rPr>
          <w:rFonts w:ascii="Arial" w:hAnsi="Arial" w:cs="Arial"/>
          <w:sz w:val="22"/>
          <w:szCs w:val="22"/>
          <w:lang w:val="en-US"/>
        </w:rPr>
        <w:t>:</w:t>
      </w:r>
    </w:p>
    <w:p w14:paraId="7C7F1997" w14:textId="77777777"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lang w:val="en-US"/>
        </w:rPr>
      </w:pPr>
      <w:hyperlink r:id="rId20" w:history="1">
        <w:r w:rsidR="00FE6F18" w:rsidRPr="003E1D38">
          <w:rPr>
            <w:rStyle w:val="Hipervnculo"/>
            <w:rFonts w:ascii="Arial" w:hAnsi="Arial" w:cs="Arial"/>
            <w:sz w:val="22"/>
            <w:szCs w:val="22"/>
            <w:lang w:val="en-US"/>
          </w:rPr>
          <w:t>http://scholarship.law.berkeley.edu/cgi/viewcontent.cgi?article=2149&amp;context=californialawreview</w:t>
        </w:r>
      </w:hyperlink>
      <w:r w:rsidR="00FE6F18" w:rsidRPr="003E1D38">
        <w:rPr>
          <w:rFonts w:ascii="Arial" w:hAnsi="Arial" w:cs="Arial"/>
          <w:sz w:val="22"/>
          <w:szCs w:val="22"/>
          <w:lang w:val="en-US"/>
        </w:rPr>
        <w:t>.</w:t>
      </w:r>
    </w:p>
    <w:p w14:paraId="3305A473" w14:textId="623C20C0"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rPr>
        <w:t xml:space="preserve">DOJ y FTC (1997). “Horizontal </w:t>
      </w:r>
      <w:proofErr w:type="spellStart"/>
      <w:r w:rsidRPr="003E1D38">
        <w:rPr>
          <w:rFonts w:ascii="Arial" w:hAnsi="Arial" w:cs="Arial"/>
          <w:sz w:val="22"/>
          <w:szCs w:val="22"/>
        </w:rPr>
        <w:t>Merger</w:t>
      </w:r>
      <w:proofErr w:type="spellEnd"/>
      <w:r w:rsidRPr="003E1D38">
        <w:rPr>
          <w:rFonts w:ascii="Arial" w:hAnsi="Arial" w:cs="Arial"/>
          <w:sz w:val="22"/>
          <w:szCs w:val="22"/>
        </w:rPr>
        <w:t xml:space="preserve"> </w:t>
      </w:r>
      <w:proofErr w:type="spellStart"/>
      <w:r w:rsidRPr="003E1D38">
        <w:rPr>
          <w:rFonts w:ascii="Arial" w:hAnsi="Arial" w:cs="Arial"/>
          <w:sz w:val="22"/>
          <w:szCs w:val="22"/>
        </w:rPr>
        <w:t>Guidelines</w:t>
      </w:r>
      <w:proofErr w:type="spellEnd"/>
      <w:r w:rsidRPr="003E1D38">
        <w:rPr>
          <w:rFonts w:ascii="Arial" w:hAnsi="Arial" w:cs="Arial"/>
          <w:sz w:val="22"/>
          <w:szCs w:val="22"/>
        </w:rPr>
        <w:t>”, disponible en</w:t>
      </w:r>
      <w:r w:rsidR="00335268">
        <w:rPr>
          <w:rFonts w:ascii="Arial" w:hAnsi="Arial" w:cs="Arial"/>
          <w:sz w:val="22"/>
          <w:szCs w:val="22"/>
        </w:rPr>
        <w:t>:</w:t>
      </w:r>
    </w:p>
    <w:p w14:paraId="7A82AD82" w14:textId="77777777" w:rsidR="00FE6F18" w:rsidRPr="003E1D38" w:rsidRDefault="00B35551" w:rsidP="002C46BD">
      <w:pPr>
        <w:pStyle w:val="Default"/>
        <w:spacing w:before="120" w:after="120" w:line="276" w:lineRule="auto"/>
        <w:ind w:left="361" w:right="-1"/>
        <w:jc w:val="both"/>
        <w:rPr>
          <w:rFonts w:ascii="Arial" w:hAnsi="Arial" w:cs="Arial"/>
          <w:sz w:val="22"/>
          <w:szCs w:val="22"/>
        </w:rPr>
      </w:pPr>
      <w:hyperlink r:id="rId21" w:history="1">
        <w:r w:rsidR="00FE6F18" w:rsidRPr="003E1D38">
          <w:rPr>
            <w:rStyle w:val="Hipervnculo"/>
            <w:rFonts w:ascii="Arial" w:hAnsi="Arial" w:cs="Arial"/>
            <w:sz w:val="22"/>
            <w:szCs w:val="22"/>
          </w:rPr>
          <w:t>http://www.justice.gov/atr/public/guidelines/hmg.pdf</w:t>
        </w:r>
      </w:hyperlink>
      <w:r w:rsidR="00FE6F18" w:rsidRPr="003E1D38">
        <w:rPr>
          <w:rFonts w:ascii="Arial" w:hAnsi="Arial" w:cs="Arial"/>
          <w:sz w:val="22"/>
          <w:szCs w:val="22"/>
        </w:rPr>
        <w:t>.</w:t>
      </w:r>
    </w:p>
    <w:p w14:paraId="02475D59" w14:textId="41C5D8E4"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rPr>
        <w:t xml:space="preserve">DOJ y FTC (2010). “Horizontal </w:t>
      </w:r>
      <w:proofErr w:type="spellStart"/>
      <w:r w:rsidRPr="003E1D38">
        <w:rPr>
          <w:rFonts w:ascii="Arial" w:hAnsi="Arial" w:cs="Arial"/>
          <w:sz w:val="22"/>
          <w:szCs w:val="22"/>
        </w:rPr>
        <w:t>Merger</w:t>
      </w:r>
      <w:proofErr w:type="spellEnd"/>
      <w:r w:rsidRPr="003E1D38">
        <w:rPr>
          <w:rFonts w:ascii="Arial" w:hAnsi="Arial" w:cs="Arial"/>
          <w:sz w:val="22"/>
          <w:szCs w:val="22"/>
        </w:rPr>
        <w:t xml:space="preserve"> </w:t>
      </w:r>
      <w:proofErr w:type="spellStart"/>
      <w:r w:rsidRPr="003E1D38">
        <w:rPr>
          <w:rFonts w:ascii="Arial" w:hAnsi="Arial" w:cs="Arial"/>
          <w:sz w:val="22"/>
          <w:szCs w:val="22"/>
        </w:rPr>
        <w:t>Guidelines</w:t>
      </w:r>
      <w:proofErr w:type="spellEnd"/>
      <w:r w:rsidRPr="003E1D38">
        <w:rPr>
          <w:rFonts w:ascii="Arial" w:hAnsi="Arial" w:cs="Arial"/>
          <w:sz w:val="22"/>
          <w:szCs w:val="22"/>
        </w:rPr>
        <w:t>”, disponible en</w:t>
      </w:r>
      <w:r w:rsidR="00335268">
        <w:rPr>
          <w:rFonts w:ascii="Arial" w:hAnsi="Arial" w:cs="Arial"/>
          <w:sz w:val="22"/>
          <w:szCs w:val="22"/>
        </w:rPr>
        <w:t>:</w:t>
      </w:r>
    </w:p>
    <w:p w14:paraId="06D4E266" w14:textId="77777777" w:rsidR="00FE6F18" w:rsidRPr="003E1D38" w:rsidRDefault="00B35551" w:rsidP="002C46BD">
      <w:pPr>
        <w:pStyle w:val="Default"/>
        <w:spacing w:before="120" w:after="120" w:line="276" w:lineRule="auto"/>
        <w:ind w:left="361" w:right="-1"/>
        <w:jc w:val="both"/>
        <w:rPr>
          <w:rFonts w:ascii="Arial" w:hAnsi="Arial" w:cs="Arial"/>
          <w:sz w:val="22"/>
          <w:szCs w:val="22"/>
        </w:rPr>
      </w:pPr>
      <w:hyperlink r:id="rId22" w:history="1">
        <w:r w:rsidR="00FE6F18" w:rsidRPr="003E1D38">
          <w:rPr>
            <w:rStyle w:val="Hipervnculo"/>
            <w:rFonts w:ascii="Arial" w:hAnsi="Arial" w:cs="Arial"/>
            <w:sz w:val="22"/>
            <w:szCs w:val="22"/>
          </w:rPr>
          <w:t>http://www.justice.gov/atr/public/guidelines/hmg-2010.pdf</w:t>
        </w:r>
      </w:hyperlink>
      <w:r w:rsidR="00FE6F18" w:rsidRPr="003E1D38">
        <w:rPr>
          <w:rFonts w:ascii="Arial" w:hAnsi="Arial" w:cs="Arial"/>
          <w:sz w:val="22"/>
          <w:szCs w:val="22"/>
        </w:rPr>
        <w:t>.</w:t>
      </w:r>
    </w:p>
    <w:p w14:paraId="2FFE05FA" w14:textId="3056989D"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hAnsi="Arial" w:cs="Arial"/>
          <w:sz w:val="22"/>
          <w:szCs w:val="22"/>
          <w:lang w:val="en-US"/>
        </w:rPr>
        <w:t>DOT (2004). “Guidelines for merger of licen</w:t>
      </w:r>
      <w:r w:rsidR="00335268">
        <w:rPr>
          <w:rFonts w:ascii="Arial" w:hAnsi="Arial" w:cs="Arial"/>
          <w:sz w:val="22"/>
          <w:szCs w:val="22"/>
          <w:lang w:val="en-US"/>
        </w:rPr>
        <w:t>s</w:t>
      </w:r>
      <w:r w:rsidRPr="003E1D38">
        <w:rPr>
          <w:rFonts w:ascii="Arial" w:hAnsi="Arial" w:cs="Arial"/>
          <w:sz w:val="22"/>
          <w:szCs w:val="22"/>
          <w:lang w:val="en-US"/>
        </w:rPr>
        <w:t xml:space="preserve">es in a service area”, disponible </w:t>
      </w:r>
      <w:proofErr w:type="spellStart"/>
      <w:r w:rsidRPr="003E1D38">
        <w:rPr>
          <w:rFonts w:ascii="Arial" w:hAnsi="Arial" w:cs="Arial"/>
          <w:sz w:val="22"/>
          <w:szCs w:val="22"/>
          <w:lang w:val="en-US"/>
        </w:rPr>
        <w:t>en</w:t>
      </w:r>
      <w:proofErr w:type="spellEnd"/>
      <w:r w:rsidRPr="003E1D38">
        <w:rPr>
          <w:rFonts w:ascii="Arial" w:hAnsi="Arial" w:cs="Arial"/>
          <w:sz w:val="22"/>
          <w:szCs w:val="22"/>
          <w:lang w:val="en-US"/>
        </w:rPr>
        <w:t xml:space="preserve"> </w:t>
      </w:r>
    </w:p>
    <w:p w14:paraId="307C494D" w14:textId="5BE6135C" w:rsidR="003E1D38" w:rsidRDefault="00B35551" w:rsidP="002C46BD">
      <w:pPr>
        <w:pStyle w:val="Default"/>
        <w:spacing w:before="120" w:after="120" w:line="276" w:lineRule="auto"/>
        <w:ind w:left="361" w:right="-1"/>
        <w:jc w:val="both"/>
        <w:rPr>
          <w:rFonts w:ascii="Arial" w:hAnsi="Arial" w:cs="Arial"/>
          <w:sz w:val="22"/>
          <w:szCs w:val="22"/>
          <w:lang w:val="en-US"/>
        </w:rPr>
      </w:pPr>
      <w:hyperlink r:id="rId23" w:history="1">
        <w:r w:rsidR="00FE6F18" w:rsidRPr="003E1D38">
          <w:rPr>
            <w:rStyle w:val="Hipervnculo"/>
            <w:rFonts w:ascii="Arial" w:hAnsi="Arial" w:cs="Arial"/>
            <w:sz w:val="22"/>
            <w:szCs w:val="22"/>
            <w:lang w:val="en-US"/>
          </w:rPr>
          <w:t>http://www.dot.gov.in/sites/default/files/Final%20Merger%20OM%2020-232-04%2821.2.04%291_0.doc</w:t>
        </w:r>
      </w:hyperlink>
      <w:r w:rsidR="00FE6F18" w:rsidRPr="003E1D38">
        <w:rPr>
          <w:rFonts w:ascii="Arial" w:hAnsi="Arial" w:cs="Arial"/>
          <w:sz w:val="22"/>
          <w:szCs w:val="22"/>
          <w:lang w:val="en-US"/>
        </w:rPr>
        <w:t>.</w:t>
      </w:r>
    </w:p>
    <w:p w14:paraId="472123E5" w14:textId="77777777" w:rsidR="00335268" w:rsidRDefault="003E1D38" w:rsidP="002C46BD">
      <w:pPr>
        <w:pStyle w:val="Default"/>
        <w:numPr>
          <w:ilvl w:val="0"/>
          <w:numId w:val="6"/>
        </w:numPr>
        <w:spacing w:before="120" w:after="120" w:line="276" w:lineRule="auto"/>
        <w:ind w:right="-1"/>
        <w:jc w:val="both"/>
        <w:rPr>
          <w:rFonts w:ascii="Arial" w:hAnsi="Arial" w:cs="Arial"/>
          <w:sz w:val="22"/>
          <w:szCs w:val="22"/>
        </w:rPr>
      </w:pPr>
      <w:r>
        <w:rPr>
          <w:rFonts w:ascii="Arial" w:hAnsi="Arial" w:cs="Arial"/>
          <w:sz w:val="22"/>
          <w:szCs w:val="22"/>
          <w:lang w:val="en-US"/>
        </w:rPr>
        <w:t xml:space="preserve">FCCPC (2020). “Merger Review Guidelines. </w:t>
      </w:r>
      <w:r w:rsidRPr="003E1D38">
        <w:rPr>
          <w:rFonts w:ascii="Arial" w:hAnsi="Arial" w:cs="Arial"/>
          <w:sz w:val="22"/>
          <w:szCs w:val="22"/>
        </w:rPr>
        <w:t>2020”, disponible en</w:t>
      </w:r>
    </w:p>
    <w:p w14:paraId="24818E16" w14:textId="7515E426" w:rsidR="003E1D3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rPr>
      </w:pPr>
      <w:hyperlink r:id="rId24" w:history="1">
        <w:r w:rsidR="003E1D38" w:rsidRPr="003E1D38">
          <w:rPr>
            <w:rStyle w:val="Hipervnculo"/>
            <w:rFonts w:ascii="Arial" w:hAnsi="Arial" w:cs="Arial"/>
            <w:sz w:val="22"/>
            <w:szCs w:val="22"/>
          </w:rPr>
          <w:t>https://www.fccpc.gov.ng/uploads/Draft%20Revised%20Guidelines%20%20FCCPC.pdf</w:t>
        </w:r>
      </w:hyperlink>
      <w:r w:rsidR="003E1D38" w:rsidRPr="003E1D38">
        <w:rPr>
          <w:rFonts w:ascii="Arial" w:hAnsi="Arial" w:cs="Arial"/>
          <w:sz w:val="22"/>
          <w:szCs w:val="22"/>
        </w:rPr>
        <w:t xml:space="preserve"> </w:t>
      </w:r>
    </w:p>
    <w:p w14:paraId="63175824" w14:textId="77777777"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rPr>
        <w:t xml:space="preserve">FNE (2012). “GUÍA PARA EL ANÁLISIS DE OPERACIONES DE CONCENTRACIÓN”, disponible en </w:t>
      </w:r>
    </w:p>
    <w:p w14:paraId="119D3A97" w14:textId="77777777" w:rsidR="00FE6F18" w:rsidRPr="003E1D38" w:rsidRDefault="00B35551" w:rsidP="002C46BD">
      <w:pPr>
        <w:pStyle w:val="Default"/>
        <w:spacing w:before="120" w:after="120" w:line="276" w:lineRule="auto"/>
        <w:ind w:left="361" w:right="-1"/>
        <w:jc w:val="both"/>
        <w:rPr>
          <w:rFonts w:ascii="Arial" w:hAnsi="Arial" w:cs="Arial"/>
          <w:sz w:val="22"/>
          <w:szCs w:val="22"/>
        </w:rPr>
      </w:pPr>
      <w:hyperlink r:id="rId25" w:history="1">
        <w:r w:rsidR="00FE6F18" w:rsidRPr="003E1D38">
          <w:rPr>
            <w:rStyle w:val="Hipervnculo"/>
            <w:rFonts w:ascii="Arial" w:hAnsi="Arial" w:cs="Arial"/>
            <w:sz w:val="22"/>
            <w:szCs w:val="22"/>
          </w:rPr>
          <w:t>http://www.fne.gob.cl/wp-content/uploads/2012/10/Guia-Fusiones.pdf</w:t>
        </w:r>
      </w:hyperlink>
      <w:r w:rsidR="00FE6F18" w:rsidRPr="003E1D38">
        <w:rPr>
          <w:rFonts w:ascii="Arial" w:hAnsi="Arial" w:cs="Arial"/>
          <w:sz w:val="22"/>
          <w:szCs w:val="22"/>
        </w:rPr>
        <w:t>.</w:t>
      </w:r>
    </w:p>
    <w:p w14:paraId="57DD80B4" w14:textId="77777777"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rPr>
        <w:t>García Alba, I. P. (1994). “UN ÍNDICE DE DOMINACIÓN PARA EL ANÁLISIS DE LA ESTRUCTURA DE LOS MERCADOS”, disponible en</w:t>
      </w:r>
    </w:p>
    <w:p w14:paraId="679F6F07" w14:textId="77777777" w:rsidR="00FE6F18" w:rsidRPr="003E1D38" w:rsidRDefault="00B35551" w:rsidP="002C46BD">
      <w:pPr>
        <w:pStyle w:val="Default"/>
        <w:spacing w:before="120" w:after="120" w:line="276" w:lineRule="auto"/>
        <w:ind w:left="361" w:right="-1"/>
        <w:jc w:val="both"/>
        <w:rPr>
          <w:rFonts w:ascii="Arial" w:hAnsi="Arial" w:cs="Arial"/>
          <w:sz w:val="22"/>
          <w:szCs w:val="22"/>
        </w:rPr>
      </w:pPr>
      <w:hyperlink r:id="rId26" w:history="1">
        <w:r w:rsidR="00FE6F18" w:rsidRPr="003E1D38">
          <w:rPr>
            <w:rStyle w:val="Hipervnculo"/>
            <w:rFonts w:ascii="Arial" w:hAnsi="Arial" w:cs="Arial"/>
            <w:sz w:val="22"/>
            <w:szCs w:val="22"/>
          </w:rPr>
          <w:t>http://aleph.academica.mx/jspui/bitstream/56789/6004/1/DOCT2065090_ARTICULO_5.PDF</w:t>
        </w:r>
      </w:hyperlink>
    </w:p>
    <w:p w14:paraId="5556E34F" w14:textId="77777777" w:rsidR="000C7832"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hAnsi="Arial" w:cs="Arial"/>
          <w:sz w:val="22"/>
          <w:szCs w:val="22"/>
          <w:lang w:val="en-US"/>
        </w:rPr>
        <w:t xml:space="preserve">ICN (2006). “ICN MERGER GUIDELINES WORKBOOK”, disponible </w:t>
      </w:r>
      <w:proofErr w:type="spellStart"/>
      <w:r w:rsidRPr="003E1D38">
        <w:rPr>
          <w:rFonts w:ascii="Arial" w:hAnsi="Arial" w:cs="Arial"/>
          <w:sz w:val="22"/>
          <w:szCs w:val="22"/>
          <w:lang w:val="en-US"/>
        </w:rPr>
        <w:t>en</w:t>
      </w:r>
      <w:proofErr w:type="spellEnd"/>
      <w:r w:rsidR="000C7832" w:rsidRPr="003E1D38">
        <w:rPr>
          <w:rFonts w:ascii="Arial" w:hAnsi="Arial" w:cs="Arial"/>
          <w:sz w:val="22"/>
          <w:szCs w:val="22"/>
          <w:lang w:val="en-US"/>
        </w:rPr>
        <w:t xml:space="preserve"> </w:t>
      </w:r>
      <w:hyperlink r:id="rId27" w:history="1">
        <w:r w:rsidR="000C7832" w:rsidRPr="003E1D38">
          <w:rPr>
            <w:rStyle w:val="Hipervnculo"/>
            <w:rFonts w:ascii="Arial" w:hAnsi="Arial" w:cs="Arial"/>
            <w:sz w:val="22"/>
            <w:szCs w:val="22"/>
            <w:lang w:val="en-US"/>
          </w:rPr>
          <w:t>https://www.internationalcompetitionnetwork.org/portfolio/merger-guidelines-workbook/</w:t>
        </w:r>
      </w:hyperlink>
      <w:r w:rsidR="000C7832" w:rsidRPr="003E1D38">
        <w:rPr>
          <w:rFonts w:ascii="Arial" w:hAnsi="Arial" w:cs="Arial"/>
          <w:sz w:val="22"/>
          <w:szCs w:val="22"/>
          <w:lang w:val="en-US"/>
        </w:rPr>
        <w:t xml:space="preserve"> </w:t>
      </w:r>
    </w:p>
    <w:p w14:paraId="06CEEA96" w14:textId="796CDB8B" w:rsidR="000C7832" w:rsidRDefault="000C7832"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hAnsi="Arial" w:cs="Arial"/>
          <w:sz w:val="22"/>
          <w:szCs w:val="22"/>
          <w:lang w:val="en-US"/>
        </w:rPr>
        <w:t xml:space="preserve">ICN (2013). ICN Investigative Techniques Handbook for Merger Review, The role of economists and economic evidence in merger analysis, International Competition Network disponible </w:t>
      </w:r>
      <w:proofErr w:type="spellStart"/>
      <w:r w:rsidRPr="003E1D38">
        <w:rPr>
          <w:rFonts w:ascii="Arial" w:hAnsi="Arial" w:cs="Arial"/>
          <w:sz w:val="22"/>
          <w:szCs w:val="22"/>
          <w:lang w:val="en-US"/>
        </w:rPr>
        <w:t>en</w:t>
      </w:r>
      <w:proofErr w:type="spellEnd"/>
      <w:r w:rsidRPr="003E1D38">
        <w:rPr>
          <w:rFonts w:ascii="Arial" w:hAnsi="Arial" w:cs="Arial"/>
          <w:sz w:val="22"/>
          <w:szCs w:val="22"/>
          <w:lang w:val="en-US"/>
        </w:rPr>
        <w:t xml:space="preserve"> </w:t>
      </w:r>
      <w:hyperlink r:id="rId28" w:history="1">
        <w:r w:rsidRPr="003E1D38">
          <w:rPr>
            <w:rStyle w:val="Hipervnculo"/>
            <w:rFonts w:ascii="Arial" w:hAnsi="Arial" w:cs="Arial"/>
            <w:sz w:val="22"/>
            <w:szCs w:val="22"/>
            <w:lang w:val="en-US"/>
          </w:rPr>
          <w:t>https://www.internationalcompetitionnetwork.org/portfolio/role-of-economics-in-merger-analysis/</w:t>
        </w:r>
      </w:hyperlink>
      <w:r w:rsidRPr="003E1D38">
        <w:rPr>
          <w:rFonts w:ascii="Arial" w:hAnsi="Arial" w:cs="Arial"/>
          <w:sz w:val="22"/>
          <w:szCs w:val="22"/>
          <w:lang w:val="en-US"/>
        </w:rPr>
        <w:t xml:space="preserve"> </w:t>
      </w:r>
    </w:p>
    <w:p w14:paraId="3C6426AE" w14:textId="55959829" w:rsidR="000657A0" w:rsidRPr="003E1D38" w:rsidRDefault="000657A0" w:rsidP="002C46BD">
      <w:pPr>
        <w:pStyle w:val="Default"/>
        <w:numPr>
          <w:ilvl w:val="0"/>
          <w:numId w:val="6"/>
        </w:numPr>
        <w:spacing w:before="120" w:after="120" w:line="276" w:lineRule="auto"/>
        <w:ind w:right="-1"/>
        <w:jc w:val="both"/>
        <w:rPr>
          <w:rFonts w:ascii="Arial" w:hAnsi="Arial" w:cs="Arial"/>
          <w:sz w:val="22"/>
          <w:szCs w:val="22"/>
          <w:lang w:val="en-US"/>
        </w:rPr>
      </w:pPr>
      <w:r>
        <w:rPr>
          <w:rFonts w:ascii="Arial" w:hAnsi="Arial" w:cs="Arial"/>
          <w:sz w:val="22"/>
          <w:szCs w:val="22"/>
          <w:lang w:val="en-US"/>
        </w:rPr>
        <w:t xml:space="preserve">ICN (2020). “Conglomerate Mergers. Project Report” disponible </w:t>
      </w:r>
      <w:proofErr w:type="spellStart"/>
      <w:r>
        <w:rPr>
          <w:rFonts w:ascii="Arial" w:hAnsi="Arial" w:cs="Arial"/>
          <w:sz w:val="22"/>
          <w:szCs w:val="22"/>
          <w:lang w:val="en-US"/>
        </w:rPr>
        <w:t>en</w:t>
      </w:r>
      <w:proofErr w:type="spellEnd"/>
      <w:r>
        <w:rPr>
          <w:rFonts w:ascii="Arial" w:hAnsi="Arial" w:cs="Arial"/>
          <w:sz w:val="22"/>
          <w:szCs w:val="22"/>
          <w:lang w:val="en-US"/>
        </w:rPr>
        <w:t xml:space="preserve">: </w:t>
      </w:r>
      <w:r w:rsidRPr="000657A0">
        <w:rPr>
          <w:rFonts w:ascii="Arial" w:hAnsi="Arial" w:cs="Arial"/>
          <w:sz w:val="22"/>
          <w:szCs w:val="22"/>
          <w:lang w:val="en-US"/>
        </w:rPr>
        <w:t>https://www.internationalcompetitionnetwork.org/wp-content/uploads/2020/09/MWG_ConglomerateMergersReport.pdf</w:t>
      </w:r>
    </w:p>
    <w:p w14:paraId="7A892EFA" w14:textId="588BD09D"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hAnsi="Arial" w:cs="Arial"/>
          <w:sz w:val="22"/>
          <w:szCs w:val="22"/>
          <w:lang w:val="en-US"/>
        </w:rPr>
        <w:t xml:space="preserve">Ministry of Communications &amp; Information Technology (2008). “Revised guidelines for </w:t>
      </w:r>
      <w:proofErr w:type="spellStart"/>
      <w:r w:rsidRPr="003E1D38">
        <w:rPr>
          <w:rFonts w:ascii="Arial" w:hAnsi="Arial" w:cs="Arial"/>
          <w:sz w:val="22"/>
          <w:szCs w:val="22"/>
          <w:lang w:val="en-US"/>
        </w:rPr>
        <w:t>Intraservice</w:t>
      </w:r>
      <w:proofErr w:type="spellEnd"/>
      <w:r w:rsidRPr="003E1D38">
        <w:rPr>
          <w:rFonts w:ascii="Arial" w:hAnsi="Arial" w:cs="Arial"/>
          <w:sz w:val="22"/>
          <w:szCs w:val="22"/>
          <w:lang w:val="en-US"/>
        </w:rPr>
        <w:t xml:space="preserve"> area merger of CMTS/UAS </w:t>
      </w:r>
      <w:proofErr w:type="spellStart"/>
      <w:r w:rsidRPr="003E1D38">
        <w:rPr>
          <w:rFonts w:ascii="Arial" w:hAnsi="Arial" w:cs="Arial"/>
          <w:sz w:val="22"/>
          <w:szCs w:val="22"/>
          <w:lang w:val="en-US"/>
        </w:rPr>
        <w:t>licences</w:t>
      </w:r>
      <w:proofErr w:type="spellEnd"/>
      <w:r w:rsidRPr="003E1D38">
        <w:rPr>
          <w:rFonts w:ascii="Arial" w:hAnsi="Arial" w:cs="Arial"/>
          <w:sz w:val="22"/>
          <w:szCs w:val="22"/>
          <w:lang w:val="en-US"/>
        </w:rPr>
        <w:t xml:space="preserve">”, disponible </w:t>
      </w:r>
      <w:proofErr w:type="spellStart"/>
      <w:r w:rsidRPr="003E1D38">
        <w:rPr>
          <w:rFonts w:ascii="Arial" w:hAnsi="Arial" w:cs="Arial"/>
          <w:sz w:val="22"/>
          <w:szCs w:val="22"/>
          <w:lang w:val="en-US"/>
        </w:rPr>
        <w:t>en</w:t>
      </w:r>
      <w:proofErr w:type="spellEnd"/>
    </w:p>
    <w:p w14:paraId="7BDC1CC3" w14:textId="77777777"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lang w:val="en-US"/>
        </w:rPr>
      </w:pPr>
      <w:hyperlink r:id="rId29" w:history="1">
        <w:r w:rsidR="00FE6F18" w:rsidRPr="003E1D38">
          <w:rPr>
            <w:rStyle w:val="Hipervnculo"/>
            <w:rFonts w:ascii="Arial" w:hAnsi="Arial" w:cs="Arial"/>
            <w:sz w:val="22"/>
            <w:szCs w:val="22"/>
            <w:lang w:val="en-US"/>
          </w:rPr>
          <w:t>http://www.pib.nic.in/newsite/erelease.aspx?relid=37699</w:t>
        </w:r>
      </w:hyperlink>
      <w:r w:rsidR="00FE6F18" w:rsidRPr="003E1D38">
        <w:rPr>
          <w:rFonts w:ascii="Arial" w:hAnsi="Arial" w:cs="Arial"/>
          <w:sz w:val="22"/>
          <w:szCs w:val="22"/>
          <w:lang w:val="en-US"/>
        </w:rPr>
        <w:t>.</w:t>
      </w:r>
    </w:p>
    <w:p w14:paraId="46484D11" w14:textId="77777777"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rPr>
      </w:pPr>
      <w:r w:rsidRPr="003E1D38">
        <w:rPr>
          <w:rFonts w:ascii="Arial" w:hAnsi="Arial" w:cs="Arial"/>
          <w:sz w:val="22"/>
          <w:szCs w:val="22"/>
          <w:lang w:val="en-US"/>
        </w:rPr>
        <w:t>OECD (2013). “Communications Outlook 2013”.</w:t>
      </w:r>
    </w:p>
    <w:p w14:paraId="5EC15220" w14:textId="77777777" w:rsidR="00FE6F18" w:rsidRPr="003E1D38" w:rsidRDefault="00FE6F18" w:rsidP="002C46BD">
      <w:pPr>
        <w:pStyle w:val="Default"/>
        <w:numPr>
          <w:ilvl w:val="0"/>
          <w:numId w:val="6"/>
        </w:numPr>
        <w:spacing w:before="120" w:after="120" w:line="276" w:lineRule="auto"/>
        <w:ind w:right="-1"/>
        <w:jc w:val="both"/>
        <w:rPr>
          <w:rStyle w:val="Hipervnculo"/>
          <w:rFonts w:ascii="Arial" w:hAnsi="Arial" w:cs="Arial"/>
          <w:color w:val="000000"/>
          <w:sz w:val="22"/>
          <w:szCs w:val="22"/>
          <w:u w:val="none"/>
          <w:lang w:val="en-US"/>
        </w:rPr>
      </w:pPr>
      <w:r w:rsidRPr="003E1D38">
        <w:rPr>
          <w:rStyle w:val="Hipervnculo"/>
          <w:rFonts w:ascii="Arial" w:hAnsi="Arial" w:cs="Arial"/>
          <w:color w:val="000000"/>
          <w:sz w:val="22"/>
          <w:szCs w:val="22"/>
          <w:u w:val="none"/>
          <w:lang w:val="en-US"/>
        </w:rPr>
        <w:t xml:space="preserve">CMA (2010). “Merger Assessment Guidelines”, disponible </w:t>
      </w:r>
      <w:proofErr w:type="spellStart"/>
      <w:r w:rsidRPr="003E1D38">
        <w:rPr>
          <w:rStyle w:val="Hipervnculo"/>
          <w:rFonts w:ascii="Arial" w:hAnsi="Arial" w:cs="Arial"/>
          <w:color w:val="000000"/>
          <w:sz w:val="22"/>
          <w:szCs w:val="22"/>
          <w:u w:val="none"/>
          <w:lang w:val="en-US"/>
        </w:rPr>
        <w:t>en</w:t>
      </w:r>
      <w:proofErr w:type="spellEnd"/>
    </w:p>
    <w:p w14:paraId="3978845F" w14:textId="77777777" w:rsidR="00FE6F18" w:rsidRPr="003E1D38" w:rsidRDefault="00B35551" w:rsidP="002C46BD">
      <w:pPr>
        <w:pStyle w:val="Default"/>
        <w:spacing w:before="120" w:after="120" w:line="276" w:lineRule="auto"/>
        <w:ind w:left="361" w:right="-1"/>
        <w:jc w:val="both"/>
        <w:rPr>
          <w:rStyle w:val="Hipervnculo"/>
          <w:rFonts w:ascii="Arial" w:hAnsi="Arial" w:cs="Arial"/>
          <w:color w:val="000000"/>
          <w:sz w:val="22"/>
          <w:szCs w:val="22"/>
          <w:u w:val="none"/>
          <w:lang w:val="en-US"/>
        </w:rPr>
      </w:pPr>
      <w:hyperlink r:id="rId30" w:history="1">
        <w:r w:rsidR="00FE6F18" w:rsidRPr="003E1D38">
          <w:rPr>
            <w:rStyle w:val="Hipervnculo"/>
            <w:rFonts w:ascii="Arial" w:hAnsi="Arial" w:cs="Arial"/>
            <w:sz w:val="22"/>
            <w:szCs w:val="22"/>
            <w:lang w:val="en-US"/>
          </w:rPr>
          <w:t>https://www.gov.uk/government/uploads/system/uploads/attachment_data/file/284449/OFT1254.pdf</w:t>
        </w:r>
      </w:hyperlink>
      <w:r w:rsidR="00FE6F18" w:rsidRPr="003E1D38">
        <w:rPr>
          <w:rStyle w:val="Hipervnculo"/>
          <w:rFonts w:ascii="Arial" w:hAnsi="Arial" w:cs="Arial"/>
          <w:color w:val="000000"/>
          <w:sz w:val="22"/>
          <w:szCs w:val="22"/>
          <w:u w:val="none"/>
          <w:lang w:val="en-US"/>
        </w:rPr>
        <w:t>.</w:t>
      </w:r>
    </w:p>
    <w:p w14:paraId="5F7AF5D2" w14:textId="316C4546" w:rsidR="00FE6F18" w:rsidRPr="003E1D38" w:rsidRDefault="00FE6F18" w:rsidP="002C46BD">
      <w:pPr>
        <w:pStyle w:val="Default"/>
        <w:numPr>
          <w:ilvl w:val="0"/>
          <w:numId w:val="6"/>
        </w:numPr>
        <w:spacing w:before="120" w:after="120" w:line="276" w:lineRule="auto"/>
        <w:ind w:right="-1"/>
        <w:jc w:val="both"/>
        <w:rPr>
          <w:rFonts w:ascii="Arial" w:hAnsi="Arial" w:cs="Arial"/>
          <w:sz w:val="22"/>
          <w:szCs w:val="22"/>
          <w:lang w:val="en-US"/>
        </w:rPr>
      </w:pPr>
      <w:r w:rsidRPr="003E1D38">
        <w:rPr>
          <w:rFonts w:ascii="Arial" w:hAnsi="Arial" w:cs="Arial"/>
          <w:sz w:val="22"/>
          <w:szCs w:val="22"/>
          <w:lang w:val="en-US"/>
        </w:rPr>
        <w:t xml:space="preserve">Rosenberg, E.A. (1997). “Telecommunications mergers and acquisitions: key policy issues and options for state regulators”, disponible </w:t>
      </w:r>
      <w:proofErr w:type="spellStart"/>
      <w:r w:rsidRPr="003E1D38">
        <w:rPr>
          <w:rFonts w:ascii="Arial" w:hAnsi="Arial" w:cs="Arial"/>
          <w:sz w:val="22"/>
          <w:szCs w:val="22"/>
          <w:lang w:val="en-US"/>
        </w:rPr>
        <w:t>en</w:t>
      </w:r>
      <w:proofErr w:type="spellEnd"/>
    </w:p>
    <w:p w14:paraId="1E628F9C" w14:textId="7302221B" w:rsidR="00B5567C" w:rsidRPr="003E1D38" w:rsidRDefault="0020331B" w:rsidP="002C46BD">
      <w:pPr>
        <w:pStyle w:val="Default"/>
        <w:spacing w:before="120" w:after="120" w:line="276" w:lineRule="auto"/>
        <w:ind w:left="361" w:right="-1"/>
        <w:jc w:val="both"/>
        <w:rPr>
          <w:rFonts w:ascii="Arial" w:hAnsi="Arial" w:cs="Arial"/>
          <w:color w:val="0000FF"/>
          <w:sz w:val="22"/>
          <w:szCs w:val="22"/>
          <w:u w:val="single"/>
          <w:lang w:val="en-US"/>
        </w:rPr>
      </w:pPr>
      <w:hyperlink r:id="rId31" w:history="1">
        <w:r w:rsidRPr="0020331B">
          <w:rPr>
            <w:rStyle w:val="Hipervnculo"/>
            <w:rFonts w:ascii="Arial" w:hAnsi="Arial" w:cs="Arial"/>
            <w:sz w:val="22"/>
            <w:szCs w:val="22"/>
            <w:lang w:val="en-US"/>
          </w:rPr>
          <w:t>http://www.ipu.msu.edu/library/pdfs/nrri/Rosenberg-Telecom-Mergers-97-20-July-97.pdf</w:t>
        </w:r>
      </w:hyperlink>
      <w:r w:rsidR="00FE6F18" w:rsidRPr="003E1D38">
        <w:rPr>
          <w:rStyle w:val="Hipervnculo"/>
          <w:rFonts w:ascii="Arial" w:hAnsi="Arial" w:cs="Arial"/>
          <w:sz w:val="22"/>
          <w:szCs w:val="22"/>
          <w:lang w:val="en-US"/>
        </w:rPr>
        <w:t>.</w:t>
      </w:r>
    </w:p>
    <w:sectPr w:rsidR="00B5567C" w:rsidRPr="003E1D38" w:rsidSect="00AF11BE">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9516" w14:textId="77777777" w:rsidR="00B35551" w:rsidRDefault="00B35551" w:rsidP="00C262B6">
      <w:pPr>
        <w:spacing w:after="0" w:line="240" w:lineRule="auto"/>
      </w:pPr>
      <w:r>
        <w:separator/>
      </w:r>
    </w:p>
  </w:endnote>
  <w:endnote w:type="continuationSeparator" w:id="0">
    <w:p w14:paraId="201B620F" w14:textId="77777777" w:rsidR="00B35551" w:rsidRDefault="00B35551" w:rsidP="00C2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ITC Avant Garde" w:hAnsi="ITC Avant Garde"/>
        <w:sz w:val="18"/>
      </w:rPr>
      <w:id w:val="1715692084"/>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4704835" w14:textId="573C8A84" w:rsidR="002C46BD" w:rsidRPr="005D310C" w:rsidRDefault="002C46BD" w:rsidP="005D310C">
            <w:pPr>
              <w:pStyle w:val="Piedepgina"/>
              <w:jc w:val="right"/>
              <w:rPr>
                <w:rFonts w:ascii="ITC Avant Garde" w:hAnsi="ITC Avant Garde"/>
                <w:sz w:val="18"/>
              </w:rPr>
            </w:pPr>
            <w:r w:rsidRPr="004407B7">
              <w:rPr>
                <w:rFonts w:ascii="Arial" w:hAnsi="Arial" w:cs="Arial"/>
                <w:sz w:val="18"/>
                <w:lang w:val="es-ES"/>
              </w:rPr>
              <w:t xml:space="preserve">Página </w:t>
            </w:r>
            <w:r w:rsidRPr="004407B7">
              <w:rPr>
                <w:rFonts w:ascii="Arial" w:hAnsi="Arial" w:cs="Arial"/>
                <w:b/>
                <w:bCs/>
                <w:sz w:val="20"/>
                <w:szCs w:val="24"/>
              </w:rPr>
              <w:fldChar w:fldCharType="begin"/>
            </w:r>
            <w:r w:rsidRPr="004407B7">
              <w:rPr>
                <w:rFonts w:ascii="Arial" w:hAnsi="Arial" w:cs="Arial"/>
                <w:b/>
                <w:bCs/>
                <w:sz w:val="18"/>
              </w:rPr>
              <w:instrText>PAGE</w:instrText>
            </w:r>
            <w:r w:rsidRPr="004407B7">
              <w:rPr>
                <w:rFonts w:ascii="Arial" w:hAnsi="Arial" w:cs="Arial"/>
                <w:b/>
                <w:bCs/>
                <w:sz w:val="20"/>
                <w:szCs w:val="24"/>
              </w:rPr>
              <w:fldChar w:fldCharType="separate"/>
            </w:r>
            <w:r>
              <w:rPr>
                <w:rFonts w:ascii="Arial" w:hAnsi="Arial" w:cs="Arial"/>
                <w:b/>
                <w:bCs/>
                <w:noProof/>
                <w:sz w:val="18"/>
              </w:rPr>
              <w:t>19</w:t>
            </w:r>
            <w:r w:rsidRPr="004407B7">
              <w:rPr>
                <w:rFonts w:ascii="Arial" w:hAnsi="Arial" w:cs="Arial"/>
                <w:b/>
                <w:bCs/>
                <w:sz w:val="20"/>
                <w:szCs w:val="24"/>
              </w:rPr>
              <w:fldChar w:fldCharType="end"/>
            </w:r>
            <w:r w:rsidRPr="004407B7">
              <w:rPr>
                <w:rFonts w:ascii="Arial" w:hAnsi="Arial" w:cs="Arial"/>
                <w:sz w:val="18"/>
                <w:lang w:val="es-ES"/>
              </w:rPr>
              <w:t xml:space="preserve"> de </w:t>
            </w:r>
            <w:r w:rsidRPr="004407B7">
              <w:rPr>
                <w:rFonts w:ascii="Arial" w:hAnsi="Arial" w:cs="Arial"/>
                <w:b/>
                <w:bCs/>
                <w:sz w:val="20"/>
                <w:szCs w:val="24"/>
              </w:rPr>
              <w:fldChar w:fldCharType="begin"/>
            </w:r>
            <w:r w:rsidRPr="004407B7">
              <w:rPr>
                <w:rFonts w:ascii="Arial" w:hAnsi="Arial" w:cs="Arial"/>
                <w:b/>
                <w:bCs/>
                <w:sz w:val="18"/>
              </w:rPr>
              <w:instrText>NUMPAGES</w:instrText>
            </w:r>
            <w:r w:rsidRPr="004407B7">
              <w:rPr>
                <w:rFonts w:ascii="Arial" w:hAnsi="Arial" w:cs="Arial"/>
                <w:b/>
                <w:bCs/>
                <w:sz w:val="20"/>
                <w:szCs w:val="24"/>
              </w:rPr>
              <w:fldChar w:fldCharType="separate"/>
            </w:r>
            <w:r>
              <w:rPr>
                <w:rFonts w:ascii="Arial" w:hAnsi="Arial" w:cs="Arial"/>
                <w:b/>
                <w:bCs/>
                <w:noProof/>
                <w:sz w:val="18"/>
              </w:rPr>
              <w:t>39</w:t>
            </w:r>
            <w:r w:rsidRPr="004407B7">
              <w:rPr>
                <w:rFonts w:ascii="Arial" w:hAnsi="Arial" w:cs="Arial"/>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9D0D" w14:textId="77777777" w:rsidR="00B35551" w:rsidRDefault="00B35551" w:rsidP="00C262B6">
      <w:pPr>
        <w:spacing w:after="0" w:line="240" w:lineRule="auto"/>
      </w:pPr>
      <w:r>
        <w:separator/>
      </w:r>
    </w:p>
  </w:footnote>
  <w:footnote w:type="continuationSeparator" w:id="0">
    <w:p w14:paraId="484C8CEF" w14:textId="77777777" w:rsidR="00B35551" w:rsidRDefault="00B35551" w:rsidP="00C262B6">
      <w:pPr>
        <w:spacing w:after="0" w:line="240" w:lineRule="auto"/>
      </w:pPr>
      <w:r>
        <w:continuationSeparator/>
      </w:r>
    </w:p>
  </w:footnote>
  <w:footnote w:id="1">
    <w:p w14:paraId="35238A6E" w14:textId="4E082B3E" w:rsidR="002C46BD" w:rsidRPr="00D4689D" w:rsidRDefault="002C46BD" w:rsidP="0096026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Publicadas el doce de enero de dos mil quince en el Diario Oficial de la Federación. Disponibles en: </w:t>
      </w:r>
      <w:hyperlink r:id="rId1" w:history="1">
        <w:r w:rsidRPr="00D4689D">
          <w:rPr>
            <w:rStyle w:val="Hipervnculo"/>
            <w:rFonts w:ascii="Arial" w:hAnsi="Arial" w:cs="Arial"/>
            <w:sz w:val="14"/>
            <w:szCs w:val="14"/>
          </w:rPr>
          <w:t>http://www.dof.gob.mx/nota_detalle.php?codigo=5378340&amp;fecha=12/01/2015</w:t>
        </w:r>
      </w:hyperlink>
    </w:p>
  </w:footnote>
  <w:footnote w:id="2">
    <w:p w14:paraId="2F827135" w14:textId="77777777" w:rsidR="002C46BD" w:rsidRPr="00D4689D" w:rsidRDefault="002C46BD" w:rsidP="0083641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por ejemplo, ICN (2006), página 31.</w:t>
      </w:r>
    </w:p>
  </w:footnote>
  <w:footnote w:id="3">
    <w:p w14:paraId="3A3DD087" w14:textId="77777777" w:rsidR="002C46BD" w:rsidRPr="00D4689D" w:rsidRDefault="002C46BD" w:rsidP="0083641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Rosenberg, E.A. (1997), página 12.</w:t>
      </w:r>
    </w:p>
  </w:footnote>
  <w:footnote w:id="4">
    <w:p w14:paraId="70758F73" w14:textId="77777777" w:rsidR="002C46BD" w:rsidRPr="00D4689D" w:rsidRDefault="002C46BD">
      <w:pPr>
        <w:pStyle w:val="Textonotapie"/>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Artículo 59 de la LFCE. </w:t>
      </w:r>
    </w:p>
  </w:footnote>
  <w:footnote w:id="5">
    <w:p w14:paraId="690D28C2" w14:textId="77777777" w:rsidR="002C46BD" w:rsidRPr="00D4689D" w:rsidRDefault="002C46BD">
      <w:pPr>
        <w:pStyle w:val="Textonotapie"/>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Artículo 54 de la LFCE. </w:t>
      </w:r>
    </w:p>
  </w:footnote>
  <w:footnote w:id="6">
    <w:p w14:paraId="38E18F97" w14:textId="77777777" w:rsidR="002C46BD" w:rsidRPr="00D4689D" w:rsidRDefault="002C46BD">
      <w:pPr>
        <w:pStyle w:val="Textonotapie"/>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Artículo 94 de la LFCE. </w:t>
      </w:r>
    </w:p>
  </w:footnote>
  <w:footnote w:id="7">
    <w:p w14:paraId="404E6A06" w14:textId="77777777" w:rsidR="002C46BD" w:rsidRPr="00D4689D" w:rsidRDefault="002C46BD">
      <w:pPr>
        <w:pStyle w:val="Textonotapie"/>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Artículo 96 de la LFCE. </w:t>
      </w:r>
    </w:p>
  </w:footnote>
  <w:footnote w:id="8">
    <w:p w14:paraId="1B463DAD" w14:textId="77777777" w:rsidR="002C46BD" w:rsidRPr="00D4689D" w:rsidRDefault="002C46BD">
      <w:pPr>
        <w:pStyle w:val="Textonotapie"/>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Artículo 98 de la LFCE.</w:t>
      </w:r>
    </w:p>
  </w:footnote>
  <w:footnote w:id="9">
    <w:p w14:paraId="70B8D2FD" w14:textId="02B76581" w:rsidR="002C46BD" w:rsidRDefault="002C46BD" w:rsidP="00B5570E">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De acuerdo con García Alba, I. P. (1994), el IHH es utilizado para analizar las estructuras de mercado por prácticamente todas las autoridades en materia de competencia en el mundo.</w:t>
      </w:r>
    </w:p>
    <w:p w14:paraId="50BDA69B" w14:textId="28E97F7A" w:rsidR="002C46BD" w:rsidRPr="00D4689D" w:rsidRDefault="002C46BD" w:rsidP="00B5570E">
      <w:pPr>
        <w:pStyle w:val="Textonotapie"/>
        <w:jc w:val="both"/>
        <w:rPr>
          <w:rFonts w:ascii="Arial" w:hAnsi="Arial" w:cs="Arial"/>
          <w:sz w:val="14"/>
          <w:szCs w:val="14"/>
        </w:rPr>
      </w:pPr>
      <w:r>
        <w:rPr>
          <w:rFonts w:ascii="Arial" w:hAnsi="Arial" w:cs="Arial"/>
          <w:sz w:val="14"/>
          <w:szCs w:val="14"/>
        </w:rPr>
        <w:t xml:space="preserve">De acuerdo a Departamento de Justicia de Estados Unidos, el IHH es una medida de concentración de mercado comúnmente aceptada. Véase </w:t>
      </w:r>
      <w:r w:rsidRPr="0022087F">
        <w:rPr>
          <w:rFonts w:ascii="Arial" w:hAnsi="Arial" w:cs="Arial"/>
          <w:sz w:val="14"/>
          <w:szCs w:val="14"/>
        </w:rPr>
        <w:t>https://www.justice.gov/atr/herfindahl-hirschman-index</w:t>
      </w:r>
      <w:r>
        <w:rPr>
          <w:rFonts w:ascii="Arial" w:hAnsi="Arial" w:cs="Arial"/>
          <w:sz w:val="14"/>
          <w:szCs w:val="14"/>
        </w:rPr>
        <w:t>.</w:t>
      </w:r>
    </w:p>
  </w:footnote>
  <w:footnote w:id="10">
    <w:p w14:paraId="7D831623" w14:textId="7FB65AB8" w:rsidR="002C46BD" w:rsidRPr="00D4689D" w:rsidRDefault="002C46BD" w:rsidP="00B5570E">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Por ejemplo, la guía de fusiones del Departamento de Justicia de Estados Unidos de América de 1968, consideraban como referencia la participación de mercado de las cuatro empresas más grandes, es decir, el CR4. Ver </w:t>
      </w:r>
      <w:hyperlink r:id="rId2" w:history="1">
        <w:r w:rsidRPr="00D4689D">
          <w:rPr>
            <w:rStyle w:val="Hipervnculo"/>
            <w:rFonts w:ascii="Arial" w:hAnsi="Arial" w:cs="Arial"/>
            <w:sz w:val="14"/>
            <w:szCs w:val="14"/>
          </w:rPr>
          <w:t>http://www.justice.gov/atr/hmerger/11247.pdf</w:t>
        </w:r>
      </w:hyperlink>
      <w:r w:rsidRPr="00D4689D">
        <w:rPr>
          <w:rFonts w:ascii="Arial" w:hAnsi="Arial" w:cs="Arial"/>
          <w:sz w:val="14"/>
          <w:szCs w:val="14"/>
        </w:rPr>
        <w:t>, página 6.</w:t>
      </w:r>
    </w:p>
    <w:p w14:paraId="11C331A5" w14:textId="0B0E942F" w:rsidR="002C46BD" w:rsidRPr="00D4689D" w:rsidRDefault="002C46BD" w:rsidP="00B5570E">
      <w:pPr>
        <w:pStyle w:val="Textonotapie"/>
        <w:jc w:val="both"/>
        <w:rPr>
          <w:rFonts w:ascii="Arial" w:hAnsi="Arial" w:cs="Arial"/>
          <w:sz w:val="14"/>
          <w:szCs w:val="14"/>
        </w:rPr>
      </w:pPr>
      <w:r w:rsidRPr="00D4689D">
        <w:rPr>
          <w:rFonts w:ascii="Arial" w:hAnsi="Arial" w:cs="Arial"/>
          <w:sz w:val="14"/>
          <w:szCs w:val="14"/>
        </w:rPr>
        <w:t>Otro ejemplo es el del Buro de Competencia de Canadá, que estableció los siguientes umbrales para identificar las fusiones que probablemente no tengan consecuencias anticompetitivas de aquellas que requieran un análisis más detallado:</w:t>
      </w:r>
    </w:p>
    <w:p w14:paraId="163038D1" w14:textId="6F38DBE5" w:rsidR="002C46BD" w:rsidRPr="00D4689D" w:rsidRDefault="002C46BD" w:rsidP="006C0AC3">
      <w:pPr>
        <w:pStyle w:val="Textonotapie"/>
        <w:numPr>
          <w:ilvl w:val="0"/>
          <w:numId w:val="42"/>
        </w:numPr>
        <w:ind w:left="426"/>
        <w:jc w:val="both"/>
        <w:rPr>
          <w:rFonts w:ascii="Arial" w:hAnsi="Arial" w:cs="Arial"/>
          <w:sz w:val="14"/>
          <w:szCs w:val="14"/>
        </w:rPr>
      </w:pPr>
      <w:r w:rsidRPr="00D4689D">
        <w:rPr>
          <w:rFonts w:ascii="Arial" w:hAnsi="Arial" w:cs="Arial"/>
          <w:sz w:val="14"/>
          <w:szCs w:val="14"/>
        </w:rPr>
        <w:t>En general el Comisionado no cuestionará una fusión sobre la base de una preocupación relacionada con el ejercicio unilateral del poder de mercado cuando la participación de mercado de la empresa fusionada, después de la fusión sea inferior al 35%.</w:t>
      </w:r>
    </w:p>
    <w:p w14:paraId="47E53E57" w14:textId="520DE0F1" w:rsidR="002C46BD" w:rsidRPr="00D4689D" w:rsidRDefault="002C46BD" w:rsidP="00BC20B6">
      <w:pPr>
        <w:pStyle w:val="Textonotapie"/>
        <w:numPr>
          <w:ilvl w:val="0"/>
          <w:numId w:val="42"/>
        </w:numPr>
        <w:ind w:left="426"/>
        <w:jc w:val="both"/>
        <w:rPr>
          <w:rFonts w:ascii="Arial" w:hAnsi="Arial" w:cs="Arial"/>
          <w:sz w:val="14"/>
          <w:szCs w:val="14"/>
        </w:rPr>
      </w:pPr>
      <w:r w:rsidRPr="00D4689D">
        <w:rPr>
          <w:rFonts w:ascii="Arial" w:hAnsi="Arial" w:cs="Arial"/>
          <w:sz w:val="14"/>
          <w:szCs w:val="14"/>
        </w:rPr>
        <w:t>En general, el Comisado no impugnará una fusión sobre la base de una preocupación relacionada con un ejercicio coordinado del poder de mercado cuando:</w:t>
      </w:r>
    </w:p>
    <w:p w14:paraId="1E4AC7AE" w14:textId="77777777" w:rsidR="002C46BD" w:rsidRPr="00D4689D" w:rsidRDefault="002C46BD" w:rsidP="006C0AC3">
      <w:pPr>
        <w:pStyle w:val="Textonotapie"/>
        <w:numPr>
          <w:ilvl w:val="0"/>
          <w:numId w:val="43"/>
        </w:numPr>
        <w:ind w:left="993"/>
        <w:jc w:val="both"/>
        <w:rPr>
          <w:rFonts w:ascii="Arial" w:hAnsi="Arial" w:cs="Arial"/>
          <w:sz w:val="14"/>
          <w:szCs w:val="14"/>
        </w:rPr>
      </w:pPr>
      <w:r w:rsidRPr="00D4689D">
        <w:rPr>
          <w:rFonts w:ascii="Arial" w:hAnsi="Arial" w:cs="Arial"/>
          <w:sz w:val="14"/>
          <w:szCs w:val="14"/>
        </w:rPr>
        <w:t>la participación de mercado posterior a la fusión de las cuatro empresas más grandes del mercado (conocida como índice de concentración de cuatro empresas o CR4) sería inferior al 65 por ciento; o</w:t>
      </w:r>
    </w:p>
    <w:p w14:paraId="40465FC8" w14:textId="71B73F2E" w:rsidR="002C46BD" w:rsidRPr="00D4689D" w:rsidRDefault="002C46BD" w:rsidP="006C0AC3">
      <w:pPr>
        <w:pStyle w:val="Textonotapie"/>
        <w:numPr>
          <w:ilvl w:val="0"/>
          <w:numId w:val="43"/>
        </w:numPr>
        <w:ind w:left="993"/>
        <w:jc w:val="both"/>
        <w:rPr>
          <w:rFonts w:ascii="Arial" w:hAnsi="Arial" w:cs="Arial"/>
          <w:sz w:val="14"/>
          <w:szCs w:val="14"/>
        </w:rPr>
      </w:pPr>
      <w:r w:rsidRPr="00D4689D">
        <w:rPr>
          <w:rFonts w:ascii="Arial" w:hAnsi="Arial" w:cs="Arial"/>
          <w:sz w:val="14"/>
          <w:szCs w:val="14"/>
        </w:rPr>
        <w:t>la participación de mercado posterior a la fusión de la empresa fusionada sería inferior al 10 por ciento.</w:t>
      </w:r>
    </w:p>
    <w:p w14:paraId="1DFFCB4A" w14:textId="7DF6A325" w:rsidR="002C46BD" w:rsidRPr="00D4689D" w:rsidRDefault="002C46BD" w:rsidP="007F0E66">
      <w:pPr>
        <w:pStyle w:val="Textonotapie"/>
        <w:jc w:val="both"/>
        <w:rPr>
          <w:rFonts w:ascii="Arial" w:hAnsi="Arial" w:cs="Arial"/>
          <w:sz w:val="14"/>
          <w:szCs w:val="14"/>
        </w:rPr>
      </w:pPr>
      <w:r w:rsidRPr="00D4689D">
        <w:rPr>
          <w:rFonts w:ascii="Arial" w:hAnsi="Arial" w:cs="Arial"/>
          <w:sz w:val="14"/>
          <w:szCs w:val="14"/>
        </w:rPr>
        <w:t xml:space="preserve">Ver </w:t>
      </w:r>
      <w:hyperlink r:id="rId3" w:anchor="s5_2" w:history="1">
        <w:r w:rsidRPr="00D4689D">
          <w:rPr>
            <w:rStyle w:val="Hipervnculo"/>
            <w:rFonts w:ascii="Arial" w:hAnsi="Arial" w:cs="Arial"/>
            <w:sz w:val="14"/>
            <w:szCs w:val="14"/>
          </w:rPr>
          <w:t>https://www.competitionbureau.gc.ca/eic/site/cb-bc.nsf/eng/03420.html#s5_2</w:t>
        </w:r>
      </w:hyperlink>
      <w:r w:rsidRPr="00D4689D">
        <w:rPr>
          <w:rFonts w:ascii="Arial" w:hAnsi="Arial" w:cs="Arial"/>
          <w:sz w:val="14"/>
          <w:szCs w:val="14"/>
        </w:rPr>
        <w:t xml:space="preserve"> </w:t>
      </w:r>
    </w:p>
  </w:footnote>
  <w:footnote w:id="11">
    <w:p w14:paraId="28F54204" w14:textId="77777777" w:rsidR="002C46BD" w:rsidRPr="00D4689D" w:rsidRDefault="002C46BD" w:rsidP="00EB63C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CFC (1998).</w:t>
      </w:r>
    </w:p>
  </w:footnote>
  <w:footnote w:id="12">
    <w:p w14:paraId="63F24C52" w14:textId="77777777" w:rsidR="002C46BD" w:rsidRPr="00D4689D" w:rsidRDefault="002C46BD" w:rsidP="00EB63C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Existe una familia de índices conocidos como índices Hannah-Kay, definidos como </w:t>
      </w:r>
      <m:oMath>
        <m:r>
          <w:rPr>
            <w:rFonts w:ascii="Cambria Math" w:hAnsi="Cambria Math" w:cs="Arial"/>
            <w:sz w:val="14"/>
            <w:szCs w:val="14"/>
          </w:rPr>
          <m:t>HK</m:t>
        </m:r>
        <m:d>
          <m:dPr>
            <m:ctrlPr>
              <w:rPr>
                <w:rFonts w:ascii="Cambria Math" w:hAnsi="Cambria Math" w:cs="Arial"/>
                <w:i/>
                <w:sz w:val="14"/>
                <w:szCs w:val="14"/>
              </w:rPr>
            </m:ctrlPr>
          </m:dPr>
          <m:e>
            <m:r>
              <w:rPr>
                <w:rFonts w:ascii="Cambria Math" w:hAnsi="Cambria Math" w:cs="Arial"/>
                <w:sz w:val="14"/>
                <w:szCs w:val="14"/>
              </w:rPr>
              <m:t>β</m:t>
            </m:r>
          </m:e>
        </m:d>
        <m:r>
          <w:rPr>
            <w:rFonts w:ascii="Cambria Math" w:hAnsi="Cambria Math" w:cs="Arial"/>
            <w:sz w:val="14"/>
            <w:szCs w:val="14"/>
          </w:rPr>
          <m:t>=</m:t>
        </m:r>
        <m:nary>
          <m:naryPr>
            <m:chr m:val="∑"/>
            <m:limLoc m:val="undOvr"/>
            <m:supHide m:val="1"/>
            <m:ctrlPr>
              <w:rPr>
                <w:rFonts w:ascii="Cambria Math" w:hAnsi="Cambria Math" w:cs="Arial"/>
                <w:i/>
                <w:sz w:val="14"/>
                <w:szCs w:val="14"/>
              </w:rPr>
            </m:ctrlPr>
          </m:naryPr>
          <m:sub>
            <m:r>
              <w:rPr>
                <w:rFonts w:ascii="Cambria Math" w:hAnsi="Cambria Math" w:cs="Arial"/>
                <w:sz w:val="14"/>
                <w:szCs w:val="14"/>
              </w:rPr>
              <m:t>i</m:t>
            </m:r>
          </m:sub>
          <m:sup/>
          <m:e>
            <m:sSup>
              <m:sSupPr>
                <m:ctrlPr>
                  <w:rPr>
                    <w:rFonts w:ascii="Cambria Math" w:hAnsi="Cambria Math" w:cs="Arial"/>
                    <w:i/>
                    <w:sz w:val="14"/>
                    <w:szCs w:val="14"/>
                  </w:rPr>
                </m:ctrlPr>
              </m:sSupPr>
              <m:e>
                <m:d>
                  <m:dPr>
                    <m:ctrlPr>
                      <w:rPr>
                        <w:rFonts w:ascii="Cambria Math" w:hAnsi="Cambria Math" w:cs="Arial"/>
                        <w:i/>
                        <w:sz w:val="14"/>
                        <w:szCs w:val="14"/>
                      </w:rPr>
                    </m:ctrlPr>
                  </m:dPr>
                  <m:e>
                    <m:sSup>
                      <m:sSupPr>
                        <m:ctrlPr>
                          <w:rPr>
                            <w:rFonts w:ascii="Cambria Math" w:hAnsi="Cambria Math" w:cs="Arial"/>
                            <w:i/>
                            <w:sz w:val="14"/>
                            <w:szCs w:val="14"/>
                          </w:rPr>
                        </m:ctrlPr>
                      </m:sSupPr>
                      <m:e>
                        <m:sSub>
                          <m:sSubPr>
                            <m:ctrlPr>
                              <w:rPr>
                                <w:rFonts w:ascii="Cambria Math" w:hAnsi="Cambria Math" w:cs="Arial"/>
                                <w:i/>
                                <w:sz w:val="14"/>
                                <w:szCs w:val="14"/>
                              </w:rPr>
                            </m:ctrlPr>
                          </m:sSubPr>
                          <m:e>
                            <m:r>
                              <w:rPr>
                                <w:rFonts w:ascii="Cambria Math" w:hAnsi="Cambria Math" w:cs="Arial"/>
                                <w:sz w:val="14"/>
                                <w:szCs w:val="14"/>
                              </w:rPr>
                              <m:t>α</m:t>
                            </m:r>
                          </m:e>
                          <m:sub>
                            <m:r>
                              <w:rPr>
                                <w:rFonts w:ascii="Cambria Math" w:hAnsi="Cambria Math" w:cs="Arial"/>
                                <w:sz w:val="14"/>
                                <w:szCs w:val="14"/>
                              </w:rPr>
                              <m:t>i</m:t>
                            </m:r>
                          </m:sub>
                        </m:sSub>
                      </m:e>
                      <m:sup>
                        <m:r>
                          <w:rPr>
                            <w:rFonts w:ascii="Cambria Math" w:hAnsi="Cambria Math" w:cs="Arial"/>
                            <w:sz w:val="14"/>
                            <w:szCs w:val="14"/>
                          </w:rPr>
                          <m:t>β</m:t>
                        </m:r>
                      </m:sup>
                    </m:sSup>
                  </m:e>
                </m:d>
              </m:e>
              <m:sup>
                <m:f>
                  <m:fPr>
                    <m:ctrlPr>
                      <w:rPr>
                        <w:rFonts w:ascii="Cambria Math" w:hAnsi="Cambria Math" w:cs="Arial"/>
                        <w:i/>
                        <w:sz w:val="14"/>
                        <w:szCs w:val="14"/>
                      </w:rPr>
                    </m:ctrlPr>
                  </m:fPr>
                  <m:num>
                    <m:r>
                      <w:rPr>
                        <w:rFonts w:ascii="Cambria Math" w:hAnsi="Cambria Math" w:cs="Arial"/>
                        <w:sz w:val="14"/>
                        <w:szCs w:val="14"/>
                      </w:rPr>
                      <m:t>1</m:t>
                    </m:r>
                  </m:num>
                  <m:den>
                    <m:r>
                      <w:rPr>
                        <w:rFonts w:ascii="Cambria Math" w:hAnsi="Cambria Math" w:cs="Arial"/>
                        <w:sz w:val="14"/>
                        <w:szCs w:val="14"/>
                      </w:rPr>
                      <m:t>β-1</m:t>
                    </m:r>
                  </m:den>
                </m:f>
              </m:sup>
            </m:sSup>
          </m:e>
        </m:nary>
      </m:oMath>
      <w:r w:rsidRPr="00D4689D">
        <w:rPr>
          <w:rFonts w:ascii="Arial" w:eastAsiaTheme="minorEastAsia" w:hAnsi="Arial" w:cs="Arial"/>
          <w:sz w:val="14"/>
          <w:szCs w:val="14"/>
        </w:rPr>
        <w:t>. Nótese que e</w:t>
      </w:r>
      <w:r w:rsidRPr="00D4689D">
        <w:rPr>
          <w:rFonts w:ascii="Arial" w:hAnsi="Arial" w:cs="Arial"/>
          <w:sz w:val="14"/>
          <w:szCs w:val="14"/>
        </w:rPr>
        <w:t>l IHH es un caso particular de</w:t>
      </w:r>
      <w:r w:rsidRPr="00D4689D">
        <w:rPr>
          <w:rFonts w:ascii="Arial" w:eastAsiaTheme="minorEastAsia" w:hAnsi="Arial" w:cs="Arial"/>
          <w:sz w:val="14"/>
          <w:szCs w:val="14"/>
        </w:rPr>
        <w:t xml:space="preserve"> dicha familia de índices cuando </w:t>
      </w:r>
      <m:oMath>
        <m:r>
          <w:rPr>
            <w:rFonts w:ascii="Cambria Math" w:eastAsiaTheme="minorEastAsia" w:hAnsi="Cambria Math" w:cs="Arial"/>
            <w:sz w:val="14"/>
            <w:szCs w:val="14"/>
          </w:rPr>
          <m:t>β=2</m:t>
        </m:r>
      </m:oMath>
      <w:r w:rsidRPr="00D4689D">
        <w:rPr>
          <w:rFonts w:ascii="Arial" w:eastAsiaTheme="minorEastAsia" w:hAnsi="Arial" w:cs="Arial"/>
          <w:sz w:val="14"/>
          <w:szCs w:val="14"/>
        </w:rPr>
        <w:t>. Ver Bajo, O. y Salas, R. (1998).</w:t>
      </w:r>
    </w:p>
  </w:footnote>
  <w:footnote w:id="13">
    <w:p w14:paraId="6166E0D2" w14:textId="77777777" w:rsidR="002C46BD" w:rsidRPr="00D4689D" w:rsidRDefault="002C46BD" w:rsidP="001B46B9">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w:t>
      </w:r>
      <w:r w:rsidRPr="00D4689D">
        <w:rPr>
          <w:rFonts w:ascii="Arial" w:hAnsi="Arial" w:cs="Arial"/>
          <w:sz w:val="14"/>
          <w:szCs w:val="14"/>
        </w:rPr>
        <w:t>Calkins, S. (1983).</w:t>
      </w:r>
    </w:p>
  </w:footnote>
  <w:footnote w:id="14">
    <w:p w14:paraId="42CBBBDE" w14:textId="602F4DF8" w:rsidR="002C46BD" w:rsidRPr="00D4689D" w:rsidRDefault="002C46BD" w:rsidP="00A5652F">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Cuando los participantes compiten en cantidades y el precio depende de la cantidad producida total en el mercado, se dice que compiten a la Cournot.</w:t>
      </w:r>
    </w:p>
  </w:footnote>
  <w:footnote w:id="15">
    <w:p w14:paraId="35A68B92" w14:textId="77777777" w:rsidR="002C46BD" w:rsidRPr="00D4689D" w:rsidRDefault="002C46BD" w:rsidP="001B47C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Numeral 15 de la sección Antecedentes de la Declaratoria de publicidad de dictámenes de la Comisión de Economía, por el que se expide la Ley Federal de Competencia Económica y se reforma el artículo 254 Bis del Código Penal Federal.</w:t>
      </w:r>
    </w:p>
  </w:footnote>
  <w:footnote w:id="16">
    <w:p w14:paraId="5145389B" w14:textId="77777777" w:rsidR="002C46BD" w:rsidRPr="00D4689D" w:rsidRDefault="002C46BD" w:rsidP="001B47CB">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De manera consistente en lo señalado en el numeral 26, del documento antes referido, en el cual se señala que los cambios propuestos a la LFCE tienen como </w:t>
      </w:r>
      <w:r w:rsidRPr="00D4689D">
        <w:rPr>
          <w:rFonts w:ascii="Arial" w:hAnsi="Arial" w:cs="Arial"/>
          <w:i/>
          <w:iCs/>
          <w:sz w:val="14"/>
          <w:szCs w:val="14"/>
        </w:rPr>
        <w:t xml:space="preserve">“propósito fortalecer las condiciones de certidumbre para los Agentes Económicos y </w:t>
      </w:r>
      <w:r w:rsidRPr="00D4689D">
        <w:rPr>
          <w:rFonts w:ascii="Arial" w:hAnsi="Arial" w:cs="Arial"/>
          <w:b/>
          <w:bCs/>
          <w:i/>
          <w:iCs/>
          <w:sz w:val="14"/>
          <w:szCs w:val="14"/>
        </w:rPr>
        <w:t>favorecer intervenciones focalizadas, racionales y económicamente</w:t>
      </w:r>
      <w:r w:rsidRPr="00D4689D">
        <w:rPr>
          <w:rFonts w:ascii="Arial" w:hAnsi="Arial" w:cs="Arial"/>
          <w:i/>
          <w:iCs/>
          <w:sz w:val="14"/>
          <w:szCs w:val="14"/>
        </w:rPr>
        <w:t xml:space="preserve"> </w:t>
      </w:r>
      <w:r w:rsidRPr="00D4689D">
        <w:rPr>
          <w:rFonts w:ascii="Arial" w:hAnsi="Arial" w:cs="Arial"/>
          <w:b/>
          <w:bCs/>
          <w:i/>
          <w:iCs/>
          <w:sz w:val="14"/>
          <w:szCs w:val="14"/>
        </w:rPr>
        <w:t>útiles</w:t>
      </w:r>
      <w:r w:rsidRPr="00D4689D">
        <w:rPr>
          <w:rFonts w:ascii="Arial" w:hAnsi="Arial" w:cs="Arial"/>
          <w:i/>
          <w:iCs/>
          <w:sz w:val="14"/>
          <w:szCs w:val="14"/>
        </w:rPr>
        <w:t>.”</w:t>
      </w:r>
    </w:p>
  </w:footnote>
  <w:footnote w:id="17">
    <w:p w14:paraId="6799609B" w14:textId="77777777" w:rsidR="002C46BD" w:rsidRPr="00D4689D" w:rsidRDefault="002C46BD" w:rsidP="001B47CB">
      <w:pPr>
        <w:pStyle w:val="Textonotapie"/>
        <w:jc w:val="both"/>
        <w:rPr>
          <w:rFonts w:ascii="Arial" w:hAnsi="Arial" w:cs="Arial"/>
          <w:sz w:val="14"/>
          <w:szCs w:val="14"/>
          <w:lang w:val="en-US"/>
        </w:rPr>
      </w:pPr>
      <w:r w:rsidRPr="00D4689D">
        <w:rPr>
          <w:rStyle w:val="Refdenotaalpie"/>
          <w:rFonts w:ascii="Arial" w:hAnsi="Arial" w:cs="Arial"/>
          <w:sz w:val="14"/>
          <w:szCs w:val="14"/>
        </w:rPr>
        <w:footnoteRef/>
      </w:r>
      <w:r w:rsidRPr="00D4689D">
        <w:rPr>
          <w:rFonts w:ascii="Arial" w:hAnsi="Arial" w:cs="Arial"/>
          <w:sz w:val="14"/>
          <w:szCs w:val="14"/>
          <w:lang w:val="en-US"/>
        </w:rPr>
        <w:t xml:space="preserve"> ICN (2013). ICN Investigative Techniques Handbook for Merger Review, The role of economists and economic evidence in merger analysis, International Competition Network, p. 2.</w:t>
      </w:r>
    </w:p>
  </w:footnote>
  <w:footnote w:id="18">
    <w:p w14:paraId="021C1366" w14:textId="77777777" w:rsidR="002C46BD" w:rsidRPr="00D4689D" w:rsidRDefault="002C46BD" w:rsidP="00551741">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ACCC (2008), páginas 37-38.</w:t>
      </w:r>
    </w:p>
  </w:footnote>
  <w:footnote w:id="19">
    <w:p w14:paraId="0A20D18D" w14:textId="4D70E6FF" w:rsidR="002C46BD" w:rsidRPr="00D4689D" w:rsidRDefault="002C46BD" w:rsidP="00551741">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Ley de Competencia de Alemania (</w:t>
      </w:r>
      <w:r w:rsidRPr="00D4689D">
        <w:rPr>
          <w:rFonts w:ascii="Arial" w:hAnsi="Arial" w:cs="Arial"/>
          <w:i/>
          <w:sz w:val="14"/>
          <w:szCs w:val="14"/>
        </w:rPr>
        <w:t>Act against Restraints on Competition</w:t>
      </w:r>
      <w:r w:rsidRPr="00D4689D">
        <w:rPr>
          <w:rFonts w:ascii="Arial" w:hAnsi="Arial" w:cs="Arial"/>
          <w:sz w:val="14"/>
          <w:szCs w:val="14"/>
        </w:rPr>
        <w:t>) en la versión publicada el 26 de junio de 2013, disponible en http://www.gesetze-im-internet.de/englisch_gwb/englisch_gwb.html#p0024 https://germanlawarchive.iuscomp.org/?p=820#I3.</w:t>
      </w:r>
    </w:p>
  </w:footnote>
  <w:footnote w:id="20">
    <w:p w14:paraId="2813C91F" w14:textId="77777777" w:rsidR="002C46BD" w:rsidRPr="00D4689D" w:rsidRDefault="002C46BD" w:rsidP="003F065F">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DOJ y FTC (2010), página 19. Las directrices de concentraciones de 1992, revisadas en 1997, establecían umbrales distintos a los de 2010: IHH &lt; 1,000 para mercados no concentrados; entre 1,000 y 1,800 para moderadamente concentrados; y más de 1,800 para altamente concentrados. Ver DOJ y FTC (1997), página 15. </w:t>
      </w:r>
    </w:p>
  </w:footnote>
  <w:footnote w:id="21">
    <w:p w14:paraId="1A176BE4" w14:textId="77777777" w:rsidR="002C46BD" w:rsidRPr="00D4689D" w:rsidRDefault="002C46BD" w:rsidP="003F065F">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DOJ y FTC (2010), página 19.</w:t>
      </w:r>
    </w:p>
    <w:p w14:paraId="0F92D8EB" w14:textId="77777777" w:rsidR="002C46BD" w:rsidRPr="00D4689D" w:rsidRDefault="002C46BD" w:rsidP="003F065F">
      <w:pPr>
        <w:pStyle w:val="Textonotapie"/>
        <w:jc w:val="both"/>
        <w:rPr>
          <w:rFonts w:ascii="Arial" w:hAnsi="Arial" w:cs="Arial"/>
          <w:sz w:val="14"/>
          <w:szCs w:val="14"/>
        </w:rPr>
      </w:pPr>
      <w:r w:rsidRPr="00D4689D">
        <w:rPr>
          <w:rFonts w:ascii="Arial" w:hAnsi="Arial" w:cs="Arial"/>
          <w:sz w:val="14"/>
          <w:szCs w:val="14"/>
        </w:rPr>
        <w:t>Las directrices de concentraciones de 1992, revisadas en 1997, establecían criterios distintos a los de 2010:</w:t>
      </w:r>
    </w:p>
    <w:p w14:paraId="0F986B5B" w14:textId="77777777" w:rsidR="002C46BD" w:rsidRPr="00D4689D" w:rsidRDefault="002C46BD" w:rsidP="003F065F">
      <w:pPr>
        <w:pStyle w:val="Default"/>
        <w:numPr>
          <w:ilvl w:val="0"/>
          <w:numId w:val="13"/>
        </w:numPr>
        <w:spacing w:line="276" w:lineRule="auto"/>
        <w:ind w:left="567" w:right="-1" w:hanging="283"/>
        <w:jc w:val="both"/>
        <w:rPr>
          <w:rFonts w:ascii="Arial" w:hAnsi="Arial" w:cs="Arial"/>
          <w:sz w:val="14"/>
          <w:szCs w:val="14"/>
        </w:rPr>
      </w:pPr>
      <w:r w:rsidRPr="00D4689D">
        <w:rPr>
          <w:rFonts w:ascii="Arial" w:hAnsi="Arial" w:cs="Arial"/>
          <w:sz w:val="14"/>
          <w:szCs w:val="14"/>
        </w:rPr>
        <w:t xml:space="preserve">Es poco probable que concentraciones con </w:t>
      </w:r>
      <w:r w:rsidRPr="00D4689D">
        <w:rPr>
          <w:rFonts w:ascii="Arial" w:hAnsi="Arial" w:cs="Arial"/>
          <w:b/>
          <w:sz w:val="14"/>
          <w:szCs w:val="14"/>
        </w:rPr>
        <w:t xml:space="preserve">IHH &lt; 1,000 </w:t>
      </w:r>
      <w:r w:rsidRPr="00D4689D">
        <w:rPr>
          <w:rFonts w:ascii="Arial" w:hAnsi="Arial" w:cs="Arial"/>
          <w:sz w:val="14"/>
          <w:szCs w:val="14"/>
        </w:rPr>
        <w:t>puntos</w:t>
      </w:r>
      <w:r w:rsidRPr="00D4689D">
        <w:rPr>
          <w:rFonts w:ascii="Arial" w:hAnsi="Arial" w:cs="Arial"/>
          <w:b/>
          <w:sz w:val="14"/>
          <w:szCs w:val="14"/>
        </w:rPr>
        <w:t xml:space="preserve"> </w:t>
      </w:r>
      <w:r w:rsidRPr="00D4689D">
        <w:rPr>
          <w:rFonts w:ascii="Arial" w:hAnsi="Arial" w:cs="Arial"/>
          <w:sz w:val="14"/>
          <w:szCs w:val="14"/>
        </w:rPr>
        <w:t>tengan efectos adversos a la competencia y generalmente no requieren mayor análisis;</w:t>
      </w:r>
    </w:p>
    <w:p w14:paraId="655B31D3" w14:textId="14E4DD12" w:rsidR="002C46BD" w:rsidRPr="00D4689D" w:rsidRDefault="002C46BD" w:rsidP="003F065F">
      <w:pPr>
        <w:pStyle w:val="Default"/>
        <w:numPr>
          <w:ilvl w:val="0"/>
          <w:numId w:val="13"/>
        </w:numPr>
        <w:spacing w:line="276" w:lineRule="auto"/>
        <w:ind w:left="567" w:right="-1" w:hanging="283"/>
        <w:jc w:val="both"/>
        <w:rPr>
          <w:rFonts w:ascii="Arial" w:hAnsi="Arial" w:cs="Arial"/>
          <w:sz w:val="14"/>
          <w:szCs w:val="14"/>
        </w:rPr>
      </w:pPr>
      <w:r w:rsidRPr="00D4689D">
        <w:rPr>
          <w:rFonts w:ascii="Arial" w:hAnsi="Arial" w:cs="Arial"/>
          <w:sz w:val="14"/>
          <w:szCs w:val="14"/>
        </w:rPr>
        <w:t xml:space="preserve">Concentraciones con </w:t>
      </w:r>
      <w:r w:rsidRPr="00D4689D">
        <w:rPr>
          <w:rFonts w:ascii="Arial" w:hAnsi="Arial" w:cs="Arial"/>
          <w:b/>
          <w:sz w:val="14"/>
          <w:szCs w:val="14"/>
        </w:rPr>
        <w:t>1,000 &lt; IHH &lt; 1,800</w:t>
      </w:r>
      <w:r w:rsidRPr="00D4689D">
        <w:rPr>
          <w:rFonts w:ascii="Arial" w:hAnsi="Arial" w:cs="Arial"/>
          <w:sz w:val="14"/>
          <w:szCs w:val="14"/>
        </w:rPr>
        <w:t xml:space="preserve">  puntos y que involucran </w:t>
      </w:r>
      <m:oMath>
        <m:r>
          <m:rPr>
            <m:sty m:val="p"/>
          </m:rPr>
          <w:rPr>
            <w:rFonts w:ascii="Cambria Math" w:hAnsi="Cambria Math" w:cs="Arial"/>
            <w:sz w:val="14"/>
            <w:szCs w:val="14"/>
          </w:rPr>
          <m:t>∆IHH</m:t>
        </m:r>
        <m:r>
          <w:rPr>
            <w:rFonts w:ascii="Cambria Math" w:eastAsiaTheme="minorEastAsia" w:hAnsi="Cambria Math" w:cs="Arial"/>
            <w:sz w:val="14"/>
            <w:szCs w:val="14"/>
          </w:rPr>
          <m:t>&lt;100</m:t>
        </m:r>
      </m:oMath>
      <w:r w:rsidRPr="00D4689D">
        <w:rPr>
          <w:rFonts w:ascii="Arial" w:hAnsi="Arial" w:cs="Arial"/>
          <w:sz w:val="14"/>
          <w:szCs w:val="14"/>
        </w:rPr>
        <w:t xml:space="preserve"> puntos, tienen pocas probabilidades de afectar a la competencia y generalmente no requieren mayor análisis. Si </w:t>
      </w:r>
      <m:oMath>
        <m:r>
          <m:rPr>
            <m:sty m:val="p"/>
          </m:rPr>
          <w:rPr>
            <w:rFonts w:ascii="Cambria Math" w:hAnsi="Cambria Math" w:cs="Arial"/>
            <w:sz w:val="14"/>
            <w:szCs w:val="14"/>
          </w:rPr>
          <m:t>∆IHH</m:t>
        </m:r>
        <m:r>
          <w:rPr>
            <w:rFonts w:ascii="Cambria Math" w:eastAsiaTheme="minorEastAsia" w:hAnsi="Cambria Math" w:cs="Arial"/>
            <w:sz w:val="14"/>
            <w:szCs w:val="14"/>
          </w:rPr>
          <m:t>&gt;100</m:t>
        </m:r>
      </m:oMath>
      <w:r w:rsidRPr="00D4689D">
        <w:rPr>
          <w:rFonts w:ascii="Arial" w:eastAsiaTheme="minorEastAsia" w:hAnsi="Arial" w:cs="Arial"/>
          <w:sz w:val="14"/>
          <w:szCs w:val="14"/>
        </w:rPr>
        <w:t xml:space="preserve"> puntos</w:t>
      </w:r>
      <w:r w:rsidRPr="00D4689D">
        <w:rPr>
          <w:rFonts w:ascii="Arial" w:hAnsi="Arial" w:cs="Arial"/>
          <w:sz w:val="14"/>
          <w:szCs w:val="14"/>
        </w:rPr>
        <w:t>, potencialmente originan problemas de competencia y frecuentemente requieren escrutinio;</w:t>
      </w:r>
    </w:p>
    <w:p w14:paraId="769350D7" w14:textId="408E0FE2" w:rsidR="002C46BD" w:rsidRPr="00D4689D" w:rsidRDefault="002C46BD" w:rsidP="003F065F">
      <w:pPr>
        <w:pStyle w:val="Default"/>
        <w:numPr>
          <w:ilvl w:val="0"/>
          <w:numId w:val="13"/>
        </w:numPr>
        <w:spacing w:line="276" w:lineRule="auto"/>
        <w:ind w:left="567" w:right="-1" w:hanging="283"/>
        <w:jc w:val="both"/>
        <w:rPr>
          <w:rFonts w:ascii="Arial" w:hAnsi="Arial" w:cs="Arial"/>
          <w:sz w:val="14"/>
          <w:szCs w:val="14"/>
        </w:rPr>
      </w:pPr>
      <w:r w:rsidRPr="00D4689D">
        <w:rPr>
          <w:rFonts w:ascii="Arial" w:hAnsi="Arial" w:cs="Arial"/>
          <w:sz w:val="14"/>
          <w:szCs w:val="14"/>
        </w:rPr>
        <w:t>Concentraciones con IHH</w:t>
      </w:r>
      <w:r w:rsidRPr="00D4689D">
        <w:rPr>
          <w:rFonts w:ascii="Arial" w:hAnsi="Arial" w:cs="Arial"/>
          <w:b/>
          <w:sz w:val="14"/>
          <w:szCs w:val="14"/>
        </w:rPr>
        <w:t xml:space="preserve"> &gt; 1,800</w:t>
      </w:r>
      <w:r w:rsidRPr="00D4689D">
        <w:rPr>
          <w:rFonts w:ascii="Arial" w:hAnsi="Arial" w:cs="Arial"/>
          <w:sz w:val="14"/>
          <w:szCs w:val="14"/>
        </w:rPr>
        <w:t xml:space="preserve"> puntos y que involucran </w:t>
      </w:r>
      <m:oMath>
        <m:r>
          <m:rPr>
            <m:sty m:val="p"/>
          </m:rPr>
          <w:rPr>
            <w:rFonts w:ascii="Cambria Math" w:hAnsi="Cambria Math" w:cs="Arial"/>
            <w:sz w:val="14"/>
            <w:szCs w:val="14"/>
          </w:rPr>
          <m:t>∆IHH&lt;50</m:t>
        </m:r>
      </m:oMath>
      <w:r w:rsidRPr="00D4689D">
        <w:rPr>
          <w:rFonts w:ascii="Arial" w:hAnsi="Arial" w:cs="Arial"/>
          <w:sz w:val="14"/>
          <w:szCs w:val="14"/>
        </w:rPr>
        <w:t xml:space="preserve">, tienen pocas probabilidades de afectar a la competencia y generalmente no requieren mayor análisis. Si </w:t>
      </w:r>
      <m:oMath>
        <m:r>
          <m:rPr>
            <m:sty m:val="p"/>
          </m:rPr>
          <w:rPr>
            <w:rFonts w:ascii="Cambria Math" w:hAnsi="Cambria Math" w:cs="Arial"/>
            <w:sz w:val="14"/>
            <w:szCs w:val="14"/>
          </w:rPr>
          <m:t>∆IHH</m:t>
        </m:r>
        <m:r>
          <w:rPr>
            <w:rFonts w:ascii="Cambria Math" w:eastAsiaTheme="minorEastAsia" w:hAnsi="Cambria Math" w:cs="Arial"/>
            <w:sz w:val="14"/>
            <w:szCs w:val="14"/>
          </w:rPr>
          <m:t>&gt;50</m:t>
        </m:r>
      </m:oMath>
      <w:r w:rsidRPr="00D4689D">
        <w:rPr>
          <w:rFonts w:ascii="Arial" w:eastAsiaTheme="minorEastAsia" w:hAnsi="Arial" w:cs="Arial"/>
          <w:sz w:val="14"/>
          <w:szCs w:val="14"/>
        </w:rPr>
        <w:t xml:space="preserve"> puntos</w:t>
      </w:r>
      <w:r w:rsidRPr="00D4689D">
        <w:rPr>
          <w:rFonts w:ascii="Arial" w:hAnsi="Arial" w:cs="Arial"/>
          <w:sz w:val="14"/>
          <w:szCs w:val="14"/>
        </w:rPr>
        <w:t>, potencialmente originan problemas de competencia y frecuentemente requieren escrutinio. Se presumirá que concentraciones con IHH</w:t>
      </w:r>
      <w:r w:rsidRPr="00D4689D">
        <w:rPr>
          <w:rFonts w:ascii="Arial" w:hAnsi="Arial" w:cs="Arial"/>
          <w:b/>
          <w:sz w:val="14"/>
          <w:szCs w:val="14"/>
        </w:rPr>
        <w:t xml:space="preserve"> &gt; 1,800</w:t>
      </w:r>
      <w:r w:rsidRPr="00D4689D">
        <w:rPr>
          <w:rFonts w:ascii="Arial" w:hAnsi="Arial" w:cs="Arial"/>
          <w:sz w:val="14"/>
          <w:szCs w:val="14"/>
        </w:rPr>
        <w:t xml:space="preserve"> puntos y que involucran </w:t>
      </w:r>
      <m:oMath>
        <m:r>
          <m:rPr>
            <m:sty m:val="p"/>
          </m:rPr>
          <w:rPr>
            <w:rFonts w:ascii="Cambria Math" w:hAnsi="Cambria Math" w:cs="Arial"/>
            <w:sz w:val="14"/>
            <w:szCs w:val="14"/>
          </w:rPr>
          <m:t>∆IHH</m:t>
        </m:r>
        <m:r>
          <w:rPr>
            <w:rFonts w:ascii="Cambria Math" w:eastAsiaTheme="minorEastAsia" w:hAnsi="Cambria Math" w:cs="Arial"/>
            <w:sz w:val="14"/>
            <w:szCs w:val="14"/>
          </w:rPr>
          <m:t>&gt;100</m:t>
        </m:r>
      </m:oMath>
      <w:r w:rsidRPr="00D4689D">
        <w:rPr>
          <w:rFonts w:ascii="Arial" w:eastAsiaTheme="minorEastAsia" w:hAnsi="Arial" w:cs="Arial"/>
          <w:sz w:val="14"/>
          <w:szCs w:val="14"/>
        </w:rPr>
        <w:t xml:space="preserve"> puntos</w:t>
      </w:r>
      <w:r w:rsidRPr="00D4689D">
        <w:rPr>
          <w:rFonts w:ascii="Arial" w:hAnsi="Arial" w:cs="Arial"/>
          <w:sz w:val="14"/>
          <w:szCs w:val="14"/>
        </w:rPr>
        <w:t xml:space="preserve">, probablemente aumenten el </w:t>
      </w:r>
      <w:r w:rsidRPr="00D4689D">
        <w:rPr>
          <w:rFonts w:ascii="Arial" w:hAnsi="Arial" w:cs="Arial"/>
          <w:b/>
          <w:sz w:val="14"/>
          <w:szCs w:val="14"/>
        </w:rPr>
        <w:t>poder de mercado</w:t>
      </w:r>
      <w:r w:rsidRPr="00D4689D">
        <w:rPr>
          <w:rFonts w:ascii="Arial" w:hAnsi="Arial" w:cs="Arial"/>
          <w:sz w:val="14"/>
          <w:szCs w:val="14"/>
        </w:rPr>
        <w:t>.</w:t>
      </w:r>
    </w:p>
    <w:p w14:paraId="0C9140E5" w14:textId="77777777" w:rsidR="002C46BD" w:rsidRPr="00D4689D" w:rsidRDefault="002C46BD" w:rsidP="003F065F">
      <w:pPr>
        <w:pStyle w:val="Textonotapie"/>
        <w:jc w:val="both"/>
        <w:rPr>
          <w:rFonts w:ascii="Arial" w:hAnsi="Arial" w:cs="Arial"/>
          <w:sz w:val="14"/>
          <w:szCs w:val="14"/>
        </w:rPr>
      </w:pPr>
      <w:r w:rsidRPr="00D4689D">
        <w:rPr>
          <w:rFonts w:ascii="Arial" w:hAnsi="Arial" w:cs="Arial"/>
          <w:sz w:val="14"/>
          <w:szCs w:val="14"/>
        </w:rPr>
        <w:t xml:space="preserve">Ver DOJ y FTC (1997), página 15. </w:t>
      </w:r>
    </w:p>
  </w:footnote>
  <w:footnote w:id="22">
    <w:p w14:paraId="3B733D2D" w14:textId="7F5A952E" w:rsidR="002C46BD" w:rsidRPr="00D4689D" w:rsidRDefault="002C46BD" w:rsidP="003F065F">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Algunas combinaciones de participaciones de mercado que implican </w:t>
      </w:r>
      <m:oMath>
        <m:r>
          <m:rPr>
            <m:sty m:val="p"/>
          </m:rPr>
          <w:rPr>
            <w:rFonts w:ascii="Cambria Math" w:hAnsi="Cambria Math" w:cs="Arial"/>
            <w:sz w:val="14"/>
            <w:szCs w:val="14"/>
          </w:rPr>
          <m:t>∆IHH</m:t>
        </m:r>
      </m:oMath>
      <w:r w:rsidRPr="00D4689D">
        <w:rPr>
          <w:rFonts w:ascii="Arial" w:eastAsia="Times New Roman" w:hAnsi="Arial" w:cs="Arial"/>
          <w:sz w:val="14"/>
          <w:szCs w:val="14"/>
          <w:lang w:eastAsia="es-MX"/>
        </w:rPr>
        <w:t xml:space="preserve"> </w:t>
      </w:r>
      <w:r w:rsidRPr="00D4689D">
        <w:rPr>
          <w:rFonts w:ascii="Arial" w:hAnsi="Arial" w:cs="Arial"/>
          <w:sz w:val="14"/>
          <w:szCs w:val="14"/>
        </w:rPr>
        <w:t>de aproximadamente 100 puntos son: 7% y 7%, 8% y 6%, 10% y 5%, 12% y 4%, 16% y 3%, y 25% y 2%. Es decir, bajo esos parámetros, cualquier concentración entre empresas con participaciones de mercado como las combinaciones anteriores o menores, no se analizaría con profundidad, pues el cambio en la estructura de mercado no es significativo.</w:t>
      </w:r>
    </w:p>
  </w:footnote>
  <w:footnote w:id="23">
    <w:p w14:paraId="4EFEB2BA" w14:textId="77777777" w:rsidR="002C46BD" w:rsidRPr="00D4689D" w:rsidRDefault="002C46BD" w:rsidP="00551741">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FNE (2012), página 13.</w:t>
      </w:r>
    </w:p>
  </w:footnote>
  <w:footnote w:id="24">
    <w:p w14:paraId="1C1B5912" w14:textId="77777777" w:rsidR="002C46BD" w:rsidRPr="00D4689D" w:rsidRDefault="002C46BD" w:rsidP="00551741">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CCPC (2014), páginas 13-14.</w:t>
      </w:r>
    </w:p>
  </w:footnote>
  <w:footnote w:id="25">
    <w:p w14:paraId="6034D6A9" w14:textId="77777777" w:rsidR="002C46BD" w:rsidRPr="00D4689D" w:rsidRDefault="002C46BD" w:rsidP="000E0124">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CFC (1998). </w:t>
      </w:r>
    </w:p>
  </w:footnote>
  <w:footnote w:id="26">
    <w:p w14:paraId="661C0A67" w14:textId="77777777" w:rsidR="002C46BD" w:rsidRPr="00D4689D" w:rsidRDefault="002C46BD" w:rsidP="00676F73">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CFCE (2014).</w:t>
      </w:r>
    </w:p>
  </w:footnote>
  <w:footnote w:id="27">
    <w:p w14:paraId="5CC7F8AB" w14:textId="77777777" w:rsidR="002C46BD" w:rsidRPr="00D4689D" w:rsidRDefault="002C46BD" w:rsidP="00D43ADE">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w:t>
      </w:r>
      <w:hyperlink r:id="rId4" w:history="1">
        <w:r w:rsidRPr="00D4689D">
          <w:rPr>
            <w:rFonts w:ascii="Arial" w:hAnsi="Arial" w:cs="Arial"/>
            <w:sz w:val="14"/>
            <w:szCs w:val="14"/>
          </w:rPr>
          <w:t>CMA</w:t>
        </w:r>
      </w:hyperlink>
      <w:r w:rsidRPr="00D4689D">
        <w:rPr>
          <w:rFonts w:ascii="Arial" w:hAnsi="Arial" w:cs="Arial"/>
          <w:sz w:val="14"/>
          <w:szCs w:val="14"/>
        </w:rPr>
        <w:t xml:space="preserve"> (2010), página 40.</w:t>
      </w:r>
    </w:p>
  </w:footnote>
  <w:footnote w:id="28">
    <w:p w14:paraId="7E9B9D7F" w14:textId="77777777" w:rsidR="002C46BD" w:rsidRPr="00D4689D" w:rsidRDefault="002C46BD" w:rsidP="00054D3F">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CE (2004), página 7.</w:t>
      </w:r>
    </w:p>
  </w:footnote>
  <w:footnote w:id="29">
    <w:p w14:paraId="09F0D67F" w14:textId="028F7902" w:rsidR="002C46BD" w:rsidRPr="002C46BD" w:rsidRDefault="002C46BD" w:rsidP="000657A0">
      <w:pPr>
        <w:pStyle w:val="Textonotapie"/>
        <w:jc w:val="both"/>
        <w:rPr>
          <w:rFonts w:ascii="Arial" w:hAnsi="Arial" w:cs="Arial"/>
          <w:sz w:val="14"/>
          <w:szCs w:val="14"/>
          <w:lang w:val="en-US"/>
        </w:rPr>
      </w:pPr>
      <w:r w:rsidRPr="00D4689D">
        <w:rPr>
          <w:rStyle w:val="Refdenotaalpie"/>
          <w:rFonts w:ascii="Arial" w:hAnsi="Arial" w:cs="Arial"/>
          <w:sz w:val="14"/>
          <w:szCs w:val="14"/>
        </w:rPr>
        <w:footnoteRef/>
      </w:r>
      <w:r w:rsidRPr="002C46BD">
        <w:rPr>
          <w:rFonts w:ascii="Arial" w:hAnsi="Arial" w:cs="Arial"/>
          <w:sz w:val="14"/>
          <w:szCs w:val="14"/>
        </w:rPr>
        <w:t xml:space="preserve"> ICN (2020). Conglomerate Mergers. </w:t>
      </w:r>
      <w:r>
        <w:rPr>
          <w:rFonts w:ascii="Arial" w:hAnsi="Arial" w:cs="Arial"/>
          <w:sz w:val="14"/>
          <w:szCs w:val="14"/>
          <w:lang w:val="en-US"/>
        </w:rPr>
        <w:t xml:space="preserve">Project Report. </w:t>
      </w:r>
      <w:r w:rsidRPr="002C46BD">
        <w:rPr>
          <w:rFonts w:ascii="Arial" w:hAnsi="Arial" w:cs="Arial"/>
          <w:sz w:val="14"/>
          <w:szCs w:val="14"/>
          <w:lang w:val="en-US"/>
        </w:rPr>
        <w:t>Disponible en: https://www.internationalcompetitionnetwork.org/wp-content/uploads/2020/09/MWG_ConglomerateMergersReport.pdf .</w:t>
      </w:r>
    </w:p>
  </w:footnote>
  <w:footnote w:id="30">
    <w:p w14:paraId="32F60820" w14:textId="77777777" w:rsidR="002C46BD" w:rsidRPr="00D21B6C" w:rsidRDefault="002C46BD" w:rsidP="004F6A33">
      <w:pPr>
        <w:pStyle w:val="Textonotapie"/>
        <w:jc w:val="both"/>
        <w:rPr>
          <w:rFonts w:ascii="Arial" w:hAnsi="Arial" w:cs="Arial"/>
          <w:sz w:val="14"/>
          <w:szCs w:val="14"/>
          <w:lang w:val="en-US"/>
        </w:rPr>
      </w:pPr>
      <w:r w:rsidRPr="00D4689D">
        <w:rPr>
          <w:rStyle w:val="Refdenotaalpie"/>
          <w:rFonts w:ascii="Arial" w:hAnsi="Arial" w:cs="Arial"/>
          <w:sz w:val="14"/>
          <w:szCs w:val="14"/>
        </w:rPr>
        <w:footnoteRef/>
      </w:r>
      <w:r w:rsidRPr="00D21B6C">
        <w:rPr>
          <w:rFonts w:ascii="Arial" w:hAnsi="Arial" w:cs="Arial"/>
          <w:sz w:val="14"/>
          <w:szCs w:val="14"/>
          <w:lang w:val="en-US"/>
        </w:rPr>
        <w:t xml:space="preserve"> Ver DOT (2004).</w:t>
      </w:r>
    </w:p>
  </w:footnote>
  <w:footnote w:id="31">
    <w:p w14:paraId="23A27830" w14:textId="77777777" w:rsidR="002C46BD" w:rsidRPr="00D4689D" w:rsidRDefault="002C46BD" w:rsidP="004F6A33">
      <w:pPr>
        <w:pStyle w:val="Textonotapie"/>
        <w:jc w:val="both"/>
        <w:rPr>
          <w:rFonts w:ascii="Arial" w:hAnsi="Arial" w:cs="Arial"/>
          <w:sz w:val="14"/>
          <w:szCs w:val="14"/>
          <w:lang w:val="en-US"/>
        </w:rPr>
      </w:pPr>
      <w:r w:rsidRPr="00D4689D">
        <w:rPr>
          <w:rStyle w:val="Refdenotaalpie"/>
          <w:rFonts w:ascii="Arial" w:hAnsi="Arial" w:cs="Arial"/>
          <w:sz w:val="14"/>
          <w:szCs w:val="14"/>
        </w:rPr>
        <w:footnoteRef/>
      </w:r>
      <w:r w:rsidRPr="00D4689D">
        <w:rPr>
          <w:rFonts w:ascii="Arial" w:hAnsi="Arial" w:cs="Arial"/>
          <w:sz w:val="14"/>
          <w:szCs w:val="14"/>
          <w:lang w:val="en-US"/>
        </w:rPr>
        <w:t xml:space="preserve"> Ver Ministry of Communications &amp; Information Technology (2008).</w:t>
      </w:r>
    </w:p>
  </w:footnote>
  <w:footnote w:id="32">
    <w:p w14:paraId="2AE984A2" w14:textId="77777777" w:rsidR="002C46BD" w:rsidRPr="00D4689D" w:rsidRDefault="002C46BD" w:rsidP="004F6A33">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nota de </w:t>
      </w:r>
      <w:r w:rsidRPr="00D4689D">
        <w:rPr>
          <w:rFonts w:ascii="Arial" w:hAnsi="Arial" w:cs="Arial"/>
          <w:sz w:val="14"/>
          <w:szCs w:val="14"/>
        </w:rPr>
        <w:t xml:space="preserve">The Economist, disponible en </w:t>
      </w:r>
      <w:hyperlink r:id="rId5" w:history="1">
        <w:r w:rsidRPr="00D4689D">
          <w:rPr>
            <w:rStyle w:val="Hipervnculo"/>
            <w:rFonts w:ascii="Arial" w:hAnsi="Arial" w:cs="Arial"/>
            <w:sz w:val="14"/>
            <w:szCs w:val="14"/>
          </w:rPr>
          <w:t>http://www.eiu.com/industry/article/1201336904/india-new-merger-rules-pave-the-way-for-consolidation/2013-12-13</w:t>
        </w:r>
      </w:hyperlink>
    </w:p>
  </w:footnote>
  <w:footnote w:id="33">
    <w:p w14:paraId="5B92015C" w14:textId="6FE5C25E" w:rsidR="002C46BD" w:rsidRPr="00D4689D" w:rsidRDefault="002C46BD" w:rsidP="00BA2750">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el Banco de Información de Telecomunicaciones del Instituto, disponible en </w:t>
      </w:r>
      <w:hyperlink r:id="rId6" w:history="1">
        <w:r w:rsidRPr="00D4689D">
          <w:rPr>
            <w:rStyle w:val="Hipervnculo"/>
            <w:rFonts w:ascii="Arial" w:hAnsi="Arial" w:cs="Arial"/>
            <w:sz w:val="14"/>
            <w:szCs w:val="14"/>
          </w:rPr>
          <w:t>https://bit.ift.org.mx/BitWebApp/</w:t>
        </w:r>
      </w:hyperlink>
      <w:r w:rsidRPr="00D4689D">
        <w:rPr>
          <w:rFonts w:ascii="Arial" w:hAnsi="Arial" w:cs="Arial"/>
          <w:sz w:val="14"/>
          <w:szCs w:val="14"/>
        </w:rPr>
        <w:t xml:space="preserve"> </w:t>
      </w:r>
      <w:r w:rsidRPr="00D4689D" w:rsidDel="00CF77F6">
        <w:rPr>
          <w:rFonts w:ascii="Arial" w:hAnsi="Arial" w:cs="Arial"/>
          <w:sz w:val="14"/>
          <w:szCs w:val="14"/>
        </w:rPr>
        <w:t xml:space="preserve"> </w:t>
      </w:r>
    </w:p>
  </w:footnote>
  <w:footnote w:id="34">
    <w:p w14:paraId="0B4AFD58" w14:textId="77777777" w:rsidR="002C46BD" w:rsidRPr="00D4689D" w:rsidRDefault="002C46BD" w:rsidP="00471E4D">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w:t>
      </w:r>
      <w:hyperlink r:id="rId7" w:history="1">
        <w:r w:rsidRPr="00D4689D">
          <w:rPr>
            <w:rStyle w:val="Hipervnculo"/>
            <w:rFonts w:ascii="Arial" w:hAnsi="Arial" w:cs="Arial"/>
            <w:sz w:val="14"/>
            <w:szCs w:val="14"/>
          </w:rPr>
          <w:t>https://apps.fcc.gov/edocs_public/attachmatch/FCC-14-63A1.pdf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31EB" w14:textId="77777777" w:rsidR="002C46BD" w:rsidRPr="00CA610C" w:rsidRDefault="002C46BD" w:rsidP="0041459B">
    <w:pPr>
      <w:pStyle w:val="Encabezado"/>
      <w:jc w:val="right"/>
      <w:rPr>
        <w:rFonts w:ascii="Arial" w:hAnsi="Arial" w:cs="Arial"/>
      </w:rPr>
    </w:pPr>
    <w:r w:rsidRPr="00CA610C">
      <w:rPr>
        <w:rFonts w:ascii="Arial" w:hAnsi="Arial" w:cs="Arial"/>
      </w:rPr>
      <w:t>Unidad de Competencia Económica</w:t>
    </w:r>
  </w:p>
  <w:p w14:paraId="1F87B6E0" w14:textId="77777777" w:rsidR="002C46BD" w:rsidRPr="00CA610C" w:rsidRDefault="002C46BD" w:rsidP="0041459B">
    <w:pPr>
      <w:pStyle w:val="Encabezado"/>
      <w:jc w:val="right"/>
      <w:rPr>
        <w:rFonts w:ascii="Arial" w:hAnsi="Arial" w:cs="Arial"/>
      </w:rPr>
    </w:pPr>
    <w:r w:rsidRPr="00CA610C">
      <w:rPr>
        <w:rFonts w:ascii="Arial" w:hAnsi="Arial" w:cs="Arial"/>
      </w:rPr>
      <w:t>Dirección General de Concentraciones y Concesiones</w:t>
    </w:r>
  </w:p>
  <w:p w14:paraId="347F7330" w14:textId="77777777" w:rsidR="002C46BD" w:rsidRDefault="002C4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2993"/>
    <w:multiLevelType w:val="hybridMultilevel"/>
    <w:tmpl w:val="61B6FBA6"/>
    <w:lvl w:ilvl="0" w:tplc="8A8476F6">
      <w:start w:val="1"/>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BE48BF"/>
    <w:multiLevelType w:val="hybridMultilevel"/>
    <w:tmpl w:val="27D47C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774393"/>
    <w:multiLevelType w:val="hybridMultilevel"/>
    <w:tmpl w:val="B7A25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641878"/>
    <w:multiLevelType w:val="hybridMultilevel"/>
    <w:tmpl w:val="CD62A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E1D5D"/>
    <w:multiLevelType w:val="hybridMultilevel"/>
    <w:tmpl w:val="514ADB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A532AFF"/>
    <w:multiLevelType w:val="hybridMultilevel"/>
    <w:tmpl w:val="BE4CF132"/>
    <w:lvl w:ilvl="0" w:tplc="7488E598">
      <w:start w:val="1"/>
      <w:numFmt w:val="decimal"/>
      <w:suff w:val="space"/>
      <w:lvlText w:val="Cuadr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D16095"/>
    <w:multiLevelType w:val="hybridMultilevel"/>
    <w:tmpl w:val="0CF6802E"/>
    <w:lvl w:ilvl="0" w:tplc="080A0001">
      <w:start w:val="1"/>
      <w:numFmt w:val="bullet"/>
      <w:lvlText w:val=""/>
      <w:lvlJc w:val="left"/>
      <w:pPr>
        <w:ind w:left="363" w:hanging="360"/>
      </w:pPr>
      <w:rPr>
        <w:rFonts w:ascii="Symbol" w:hAnsi="Symbol"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8" w15:restartNumberingAfterBreak="0">
    <w:nsid w:val="2E61073F"/>
    <w:multiLevelType w:val="hybridMultilevel"/>
    <w:tmpl w:val="FFEEE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A8349F"/>
    <w:multiLevelType w:val="hybridMultilevel"/>
    <w:tmpl w:val="D35895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AB32C74"/>
    <w:multiLevelType w:val="hybridMultilevel"/>
    <w:tmpl w:val="32CC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97119"/>
    <w:multiLevelType w:val="hybridMultilevel"/>
    <w:tmpl w:val="676AD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7D30EB"/>
    <w:multiLevelType w:val="hybridMultilevel"/>
    <w:tmpl w:val="0F22C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5F65BA"/>
    <w:multiLevelType w:val="hybridMultilevel"/>
    <w:tmpl w:val="D2A6A9B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B6362E"/>
    <w:multiLevelType w:val="hybridMultilevel"/>
    <w:tmpl w:val="3EE6468C"/>
    <w:lvl w:ilvl="0" w:tplc="05C01956">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517437"/>
    <w:multiLevelType w:val="hybridMultilevel"/>
    <w:tmpl w:val="FD567B6A"/>
    <w:lvl w:ilvl="0" w:tplc="4B1604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A531C"/>
    <w:multiLevelType w:val="hybridMultilevel"/>
    <w:tmpl w:val="5D56249E"/>
    <w:lvl w:ilvl="0" w:tplc="AD1EDF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F956EC"/>
    <w:multiLevelType w:val="hybridMultilevel"/>
    <w:tmpl w:val="52866C44"/>
    <w:lvl w:ilvl="0" w:tplc="F9DE7E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471802"/>
    <w:multiLevelType w:val="hybridMultilevel"/>
    <w:tmpl w:val="79400AAA"/>
    <w:lvl w:ilvl="0" w:tplc="F5568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70B89"/>
    <w:multiLevelType w:val="hybridMultilevel"/>
    <w:tmpl w:val="491C1CC0"/>
    <w:lvl w:ilvl="0" w:tplc="51BC1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A05A11"/>
    <w:multiLevelType w:val="hybridMultilevel"/>
    <w:tmpl w:val="0CE8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7471FC"/>
    <w:multiLevelType w:val="hybridMultilevel"/>
    <w:tmpl w:val="2A78B218"/>
    <w:lvl w:ilvl="0" w:tplc="B6B4A8FA">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BB47C2"/>
    <w:multiLevelType w:val="hybridMultilevel"/>
    <w:tmpl w:val="6276DEF6"/>
    <w:lvl w:ilvl="0" w:tplc="080A0011">
      <w:start w:val="1"/>
      <w:numFmt w:val="decimal"/>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3" w15:restartNumberingAfterBreak="0">
    <w:nsid w:val="54FB58AA"/>
    <w:multiLevelType w:val="hybridMultilevel"/>
    <w:tmpl w:val="2F22A6D2"/>
    <w:lvl w:ilvl="0" w:tplc="58481C82">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561C478F"/>
    <w:multiLevelType w:val="hybridMultilevel"/>
    <w:tmpl w:val="053C08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6F70CA4"/>
    <w:multiLevelType w:val="hybridMultilevel"/>
    <w:tmpl w:val="79400AAA"/>
    <w:lvl w:ilvl="0" w:tplc="F5568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0C23A9"/>
    <w:multiLevelType w:val="hybridMultilevel"/>
    <w:tmpl w:val="661223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8D7C8D"/>
    <w:multiLevelType w:val="hybridMultilevel"/>
    <w:tmpl w:val="EF1C9F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232BB"/>
    <w:multiLevelType w:val="hybridMultilevel"/>
    <w:tmpl w:val="F946B70A"/>
    <w:lvl w:ilvl="0" w:tplc="A3FA3FEE">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0" w15:restartNumberingAfterBreak="0">
    <w:nsid w:val="5DB653A2"/>
    <w:multiLevelType w:val="hybridMultilevel"/>
    <w:tmpl w:val="7EFCF69C"/>
    <w:lvl w:ilvl="0" w:tplc="080A0001">
      <w:start w:val="1"/>
      <w:numFmt w:val="bullet"/>
      <w:lvlText w:val=""/>
      <w:lvlJc w:val="left"/>
      <w:pPr>
        <w:ind w:left="363" w:hanging="360"/>
      </w:pPr>
      <w:rPr>
        <w:rFonts w:ascii="Symbol" w:hAnsi="Symbol"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31" w15:restartNumberingAfterBreak="0">
    <w:nsid w:val="5E08217D"/>
    <w:multiLevelType w:val="hybridMultilevel"/>
    <w:tmpl w:val="13E2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AF3A35"/>
    <w:multiLevelType w:val="hybridMultilevel"/>
    <w:tmpl w:val="858A74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0875ABE"/>
    <w:multiLevelType w:val="hybridMultilevel"/>
    <w:tmpl w:val="F1A02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255F08"/>
    <w:multiLevelType w:val="hybridMultilevel"/>
    <w:tmpl w:val="2064DEF2"/>
    <w:lvl w:ilvl="0" w:tplc="CEE26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0050A5"/>
    <w:multiLevelType w:val="hybridMultilevel"/>
    <w:tmpl w:val="40A8C042"/>
    <w:lvl w:ilvl="0" w:tplc="AD1EDF6E">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6" w15:restartNumberingAfterBreak="0">
    <w:nsid w:val="68967E95"/>
    <w:multiLevelType w:val="hybridMultilevel"/>
    <w:tmpl w:val="BEA2BC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93E396A"/>
    <w:multiLevelType w:val="hybridMultilevel"/>
    <w:tmpl w:val="B964BC16"/>
    <w:lvl w:ilvl="0" w:tplc="964457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B63EDF"/>
    <w:multiLevelType w:val="hybridMultilevel"/>
    <w:tmpl w:val="86563BFA"/>
    <w:lvl w:ilvl="0" w:tplc="6C6627F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13AB0"/>
    <w:multiLevelType w:val="hybridMultilevel"/>
    <w:tmpl w:val="67E06A5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0746B70"/>
    <w:multiLevelType w:val="hybridMultilevel"/>
    <w:tmpl w:val="E3B2E0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2312214"/>
    <w:multiLevelType w:val="hybridMultilevel"/>
    <w:tmpl w:val="C0226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E0482D"/>
    <w:multiLevelType w:val="hybridMultilevel"/>
    <w:tmpl w:val="1B504AE0"/>
    <w:lvl w:ilvl="0" w:tplc="92F6553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937E92"/>
    <w:multiLevelType w:val="hybridMultilevel"/>
    <w:tmpl w:val="BE4CF132"/>
    <w:lvl w:ilvl="0" w:tplc="7488E598">
      <w:start w:val="1"/>
      <w:numFmt w:val="decimal"/>
      <w:suff w:val="space"/>
      <w:lvlText w:val="Cuadr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3E0E7A"/>
    <w:multiLevelType w:val="hybridMultilevel"/>
    <w:tmpl w:val="4112B0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59A6CE4"/>
    <w:multiLevelType w:val="hybridMultilevel"/>
    <w:tmpl w:val="CFEE5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D54247"/>
    <w:multiLevelType w:val="hybridMultilevel"/>
    <w:tmpl w:val="42680C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6AF580D"/>
    <w:multiLevelType w:val="hybridMultilevel"/>
    <w:tmpl w:val="6A6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01766F"/>
    <w:multiLevelType w:val="hybridMultilevel"/>
    <w:tmpl w:val="B3EC1726"/>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49" w15:restartNumberingAfterBreak="0">
    <w:nsid w:val="7F966145"/>
    <w:multiLevelType w:val="hybridMultilevel"/>
    <w:tmpl w:val="97169556"/>
    <w:lvl w:ilvl="0" w:tplc="89C0FC9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1"/>
  </w:num>
  <w:num w:numId="2">
    <w:abstractNumId w:val="12"/>
  </w:num>
  <w:num w:numId="3">
    <w:abstractNumId w:val="49"/>
  </w:num>
  <w:num w:numId="4">
    <w:abstractNumId w:val="8"/>
  </w:num>
  <w:num w:numId="5">
    <w:abstractNumId w:val="22"/>
  </w:num>
  <w:num w:numId="6">
    <w:abstractNumId w:val="29"/>
  </w:num>
  <w:num w:numId="7">
    <w:abstractNumId w:val="19"/>
  </w:num>
  <w:num w:numId="8">
    <w:abstractNumId w:val="31"/>
  </w:num>
  <w:num w:numId="9">
    <w:abstractNumId w:val="17"/>
  </w:num>
  <w:num w:numId="10">
    <w:abstractNumId w:val="45"/>
  </w:num>
  <w:num w:numId="11">
    <w:abstractNumId w:val="9"/>
  </w:num>
  <w:num w:numId="12">
    <w:abstractNumId w:val="7"/>
  </w:num>
  <w:num w:numId="13">
    <w:abstractNumId w:val="37"/>
  </w:num>
  <w:num w:numId="14">
    <w:abstractNumId w:val="30"/>
  </w:num>
  <w:num w:numId="15">
    <w:abstractNumId w:val="44"/>
  </w:num>
  <w:num w:numId="16">
    <w:abstractNumId w:val="32"/>
  </w:num>
  <w:num w:numId="17">
    <w:abstractNumId w:val="2"/>
  </w:num>
  <w:num w:numId="18">
    <w:abstractNumId w:val="20"/>
  </w:num>
  <w:num w:numId="19">
    <w:abstractNumId w:val="5"/>
  </w:num>
  <w:num w:numId="20">
    <w:abstractNumId w:val="40"/>
  </w:num>
  <w:num w:numId="21">
    <w:abstractNumId w:val="24"/>
  </w:num>
  <w:num w:numId="22">
    <w:abstractNumId w:val="3"/>
  </w:num>
  <w:num w:numId="23">
    <w:abstractNumId w:val="46"/>
  </w:num>
  <w:num w:numId="24">
    <w:abstractNumId w:val="38"/>
  </w:num>
  <w:num w:numId="25">
    <w:abstractNumId w:val="13"/>
  </w:num>
  <w:num w:numId="26">
    <w:abstractNumId w:val="1"/>
  </w:num>
  <w:num w:numId="27">
    <w:abstractNumId w:val="27"/>
  </w:num>
  <w:num w:numId="28">
    <w:abstractNumId w:val="28"/>
  </w:num>
  <w:num w:numId="29">
    <w:abstractNumId w:val="42"/>
  </w:num>
  <w:num w:numId="30">
    <w:abstractNumId w:val="34"/>
  </w:num>
  <w:num w:numId="31">
    <w:abstractNumId w:val="18"/>
  </w:num>
  <w:num w:numId="32">
    <w:abstractNumId w:val="36"/>
  </w:num>
  <w:num w:numId="33">
    <w:abstractNumId w:val="4"/>
  </w:num>
  <w:num w:numId="34">
    <w:abstractNumId w:val="26"/>
  </w:num>
  <w:num w:numId="35">
    <w:abstractNumId w:val="15"/>
  </w:num>
  <w:num w:numId="36">
    <w:abstractNumId w:val="21"/>
  </w:num>
  <w:num w:numId="37">
    <w:abstractNumId w:val="48"/>
  </w:num>
  <w:num w:numId="38">
    <w:abstractNumId w:val="25"/>
  </w:num>
  <w:num w:numId="39">
    <w:abstractNumId w:val="0"/>
  </w:num>
  <w:num w:numId="40">
    <w:abstractNumId w:val="14"/>
  </w:num>
  <w:num w:numId="41">
    <w:abstractNumId w:val="10"/>
  </w:num>
  <w:num w:numId="42">
    <w:abstractNumId w:val="47"/>
  </w:num>
  <w:num w:numId="43">
    <w:abstractNumId w:val="39"/>
  </w:num>
  <w:num w:numId="44">
    <w:abstractNumId w:val="43"/>
  </w:num>
  <w:num w:numId="45">
    <w:abstractNumId w:val="11"/>
  </w:num>
  <w:num w:numId="46">
    <w:abstractNumId w:val="23"/>
  </w:num>
  <w:num w:numId="47">
    <w:abstractNumId w:val="35"/>
  </w:num>
  <w:num w:numId="48">
    <w:abstractNumId w:val="16"/>
  </w:num>
  <w:num w:numId="49">
    <w:abstractNumId w:val="33"/>
  </w:num>
  <w:num w:numId="5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6"/>
    <w:rsid w:val="000004BF"/>
    <w:rsid w:val="00001FB5"/>
    <w:rsid w:val="0000459F"/>
    <w:rsid w:val="0000510C"/>
    <w:rsid w:val="0000713D"/>
    <w:rsid w:val="00014277"/>
    <w:rsid w:val="000143BC"/>
    <w:rsid w:val="00015056"/>
    <w:rsid w:val="000159E3"/>
    <w:rsid w:val="000179A9"/>
    <w:rsid w:val="000217AD"/>
    <w:rsid w:val="00021911"/>
    <w:rsid w:val="00021C19"/>
    <w:rsid w:val="00022393"/>
    <w:rsid w:val="00022EE4"/>
    <w:rsid w:val="00031782"/>
    <w:rsid w:val="00032DC5"/>
    <w:rsid w:val="00033234"/>
    <w:rsid w:val="00034F62"/>
    <w:rsid w:val="000365FF"/>
    <w:rsid w:val="00036758"/>
    <w:rsid w:val="000372ED"/>
    <w:rsid w:val="00037B95"/>
    <w:rsid w:val="000455E3"/>
    <w:rsid w:val="00050129"/>
    <w:rsid w:val="000507A3"/>
    <w:rsid w:val="00052F97"/>
    <w:rsid w:val="0005340C"/>
    <w:rsid w:val="00054D3F"/>
    <w:rsid w:val="000616C0"/>
    <w:rsid w:val="00062C68"/>
    <w:rsid w:val="00063245"/>
    <w:rsid w:val="00063CB4"/>
    <w:rsid w:val="000657A0"/>
    <w:rsid w:val="00066E57"/>
    <w:rsid w:val="00066EC9"/>
    <w:rsid w:val="00067D35"/>
    <w:rsid w:val="00072F9A"/>
    <w:rsid w:val="0007514F"/>
    <w:rsid w:val="00075AA5"/>
    <w:rsid w:val="00081711"/>
    <w:rsid w:val="0008247B"/>
    <w:rsid w:val="000866FA"/>
    <w:rsid w:val="00090D68"/>
    <w:rsid w:val="00091E67"/>
    <w:rsid w:val="000967F0"/>
    <w:rsid w:val="00097345"/>
    <w:rsid w:val="000A26AD"/>
    <w:rsid w:val="000A2B4D"/>
    <w:rsid w:val="000A3F9D"/>
    <w:rsid w:val="000A4D9F"/>
    <w:rsid w:val="000A4F4E"/>
    <w:rsid w:val="000A6184"/>
    <w:rsid w:val="000B172A"/>
    <w:rsid w:val="000B1B06"/>
    <w:rsid w:val="000B2DD3"/>
    <w:rsid w:val="000B39A5"/>
    <w:rsid w:val="000B3DD3"/>
    <w:rsid w:val="000B4BF4"/>
    <w:rsid w:val="000B57B5"/>
    <w:rsid w:val="000B6883"/>
    <w:rsid w:val="000B73B5"/>
    <w:rsid w:val="000C069A"/>
    <w:rsid w:val="000C108A"/>
    <w:rsid w:val="000C31B0"/>
    <w:rsid w:val="000C4734"/>
    <w:rsid w:val="000C56EA"/>
    <w:rsid w:val="000C7832"/>
    <w:rsid w:val="000D07F3"/>
    <w:rsid w:val="000D2F0E"/>
    <w:rsid w:val="000D350F"/>
    <w:rsid w:val="000D6071"/>
    <w:rsid w:val="000D7916"/>
    <w:rsid w:val="000E0124"/>
    <w:rsid w:val="000E242F"/>
    <w:rsid w:val="000E28CB"/>
    <w:rsid w:val="000E3989"/>
    <w:rsid w:val="000E7A9B"/>
    <w:rsid w:val="000F0A24"/>
    <w:rsid w:val="000F0DDE"/>
    <w:rsid w:val="000F319F"/>
    <w:rsid w:val="000F3A33"/>
    <w:rsid w:val="000F5E9D"/>
    <w:rsid w:val="00101C05"/>
    <w:rsid w:val="00107EA5"/>
    <w:rsid w:val="00107F0D"/>
    <w:rsid w:val="00107FA1"/>
    <w:rsid w:val="00111C60"/>
    <w:rsid w:val="001150E4"/>
    <w:rsid w:val="001159AC"/>
    <w:rsid w:val="00115FAA"/>
    <w:rsid w:val="00122B0E"/>
    <w:rsid w:val="00122FB3"/>
    <w:rsid w:val="001241A4"/>
    <w:rsid w:val="00126018"/>
    <w:rsid w:val="001261C3"/>
    <w:rsid w:val="0013063D"/>
    <w:rsid w:val="00131085"/>
    <w:rsid w:val="00131C33"/>
    <w:rsid w:val="00136460"/>
    <w:rsid w:val="001372EE"/>
    <w:rsid w:val="00140F36"/>
    <w:rsid w:val="00141D3C"/>
    <w:rsid w:val="00143D56"/>
    <w:rsid w:val="00144DE1"/>
    <w:rsid w:val="00152181"/>
    <w:rsid w:val="00152FC8"/>
    <w:rsid w:val="001539C8"/>
    <w:rsid w:val="0015441B"/>
    <w:rsid w:val="0015602C"/>
    <w:rsid w:val="0015636A"/>
    <w:rsid w:val="0015790D"/>
    <w:rsid w:val="0016122B"/>
    <w:rsid w:val="00163ABF"/>
    <w:rsid w:val="001707F1"/>
    <w:rsid w:val="00176E8D"/>
    <w:rsid w:val="00180D58"/>
    <w:rsid w:val="001828B3"/>
    <w:rsid w:val="00183871"/>
    <w:rsid w:val="00183AE1"/>
    <w:rsid w:val="001856B6"/>
    <w:rsid w:val="0018605B"/>
    <w:rsid w:val="00191145"/>
    <w:rsid w:val="00193362"/>
    <w:rsid w:val="00193D31"/>
    <w:rsid w:val="001951BB"/>
    <w:rsid w:val="001A0AC1"/>
    <w:rsid w:val="001A2296"/>
    <w:rsid w:val="001A2838"/>
    <w:rsid w:val="001A3C64"/>
    <w:rsid w:val="001A67E4"/>
    <w:rsid w:val="001A7595"/>
    <w:rsid w:val="001A7AB4"/>
    <w:rsid w:val="001A7D46"/>
    <w:rsid w:val="001B0C4D"/>
    <w:rsid w:val="001B1534"/>
    <w:rsid w:val="001B1D1E"/>
    <w:rsid w:val="001B2AB7"/>
    <w:rsid w:val="001B46B9"/>
    <w:rsid w:val="001B47CB"/>
    <w:rsid w:val="001B4A3A"/>
    <w:rsid w:val="001B5DB7"/>
    <w:rsid w:val="001C2322"/>
    <w:rsid w:val="001C3EFA"/>
    <w:rsid w:val="001C4B74"/>
    <w:rsid w:val="001C5425"/>
    <w:rsid w:val="001C5FAF"/>
    <w:rsid w:val="001D3BDE"/>
    <w:rsid w:val="001D4948"/>
    <w:rsid w:val="001D628E"/>
    <w:rsid w:val="001D7DD4"/>
    <w:rsid w:val="001E027E"/>
    <w:rsid w:val="001E0705"/>
    <w:rsid w:val="001E0BD3"/>
    <w:rsid w:val="001E207E"/>
    <w:rsid w:val="001E225B"/>
    <w:rsid w:val="001E2CDB"/>
    <w:rsid w:val="001E3B08"/>
    <w:rsid w:val="001E3D44"/>
    <w:rsid w:val="001E468C"/>
    <w:rsid w:val="001F348B"/>
    <w:rsid w:val="001F371A"/>
    <w:rsid w:val="001F5210"/>
    <w:rsid w:val="001F545D"/>
    <w:rsid w:val="0020163D"/>
    <w:rsid w:val="002022A5"/>
    <w:rsid w:val="00202F73"/>
    <w:rsid w:val="002032AE"/>
    <w:rsid w:val="0020331B"/>
    <w:rsid w:val="00203396"/>
    <w:rsid w:val="00203C4C"/>
    <w:rsid w:val="00204766"/>
    <w:rsid w:val="00206475"/>
    <w:rsid w:val="002065D0"/>
    <w:rsid w:val="0021207A"/>
    <w:rsid w:val="0021373D"/>
    <w:rsid w:val="002171C4"/>
    <w:rsid w:val="0022087F"/>
    <w:rsid w:val="00222876"/>
    <w:rsid w:val="00222908"/>
    <w:rsid w:val="00222BA5"/>
    <w:rsid w:val="00222C43"/>
    <w:rsid w:val="00223AA3"/>
    <w:rsid w:val="002257D7"/>
    <w:rsid w:val="002270AE"/>
    <w:rsid w:val="00227FB2"/>
    <w:rsid w:val="002342D5"/>
    <w:rsid w:val="0023502D"/>
    <w:rsid w:val="002357F5"/>
    <w:rsid w:val="00235CFB"/>
    <w:rsid w:val="00237CF6"/>
    <w:rsid w:val="00237F32"/>
    <w:rsid w:val="0024125C"/>
    <w:rsid w:val="00243B96"/>
    <w:rsid w:val="00243C56"/>
    <w:rsid w:val="0024491A"/>
    <w:rsid w:val="002504C5"/>
    <w:rsid w:val="002523B8"/>
    <w:rsid w:val="0025760C"/>
    <w:rsid w:val="0026145B"/>
    <w:rsid w:val="0026380D"/>
    <w:rsid w:val="00263F58"/>
    <w:rsid w:val="00264E78"/>
    <w:rsid w:val="00270CAC"/>
    <w:rsid w:val="00271473"/>
    <w:rsid w:val="002714DC"/>
    <w:rsid w:val="0027692C"/>
    <w:rsid w:val="00277894"/>
    <w:rsid w:val="002821DC"/>
    <w:rsid w:val="0028279B"/>
    <w:rsid w:val="002849A9"/>
    <w:rsid w:val="002865BF"/>
    <w:rsid w:val="00286D41"/>
    <w:rsid w:val="002A700A"/>
    <w:rsid w:val="002A7D90"/>
    <w:rsid w:val="002B2154"/>
    <w:rsid w:val="002B46DB"/>
    <w:rsid w:val="002B564F"/>
    <w:rsid w:val="002B6863"/>
    <w:rsid w:val="002B6F6E"/>
    <w:rsid w:val="002B7F30"/>
    <w:rsid w:val="002C0D7A"/>
    <w:rsid w:val="002C0DD9"/>
    <w:rsid w:val="002C46BD"/>
    <w:rsid w:val="002C6A19"/>
    <w:rsid w:val="002D0170"/>
    <w:rsid w:val="002D2FAB"/>
    <w:rsid w:val="002D3536"/>
    <w:rsid w:val="002D5256"/>
    <w:rsid w:val="002D532C"/>
    <w:rsid w:val="002D5457"/>
    <w:rsid w:val="002D57DB"/>
    <w:rsid w:val="002D6356"/>
    <w:rsid w:val="002D7C8D"/>
    <w:rsid w:val="002E3835"/>
    <w:rsid w:val="002E4552"/>
    <w:rsid w:val="002E4F1D"/>
    <w:rsid w:val="002E6F6C"/>
    <w:rsid w:val="002F0166"/>
    <w:rsid w:val="002F1D4B"/>
    <w:rsid w:val="002F4E6E"/>
    <w:rsid w:val="002F7DFB"/>
    <w:rsid w:val="00306797"/>
    <w:rsid w:val="00313131"/>
    <w:rsid w:val="00317A32"/>
    <w:rsid w:val="00317D63"/>
    <w:rsid w:val="00320F22"/>
    <w:rsid w:val="0032218B"/>
    <w:rsid w:val="00323FD5"/>
    <w:rsid w:val="0032415D"/>
    <w:rsid w:val="00331724"/>
    <w:rsid w:val="003347F5"/>
    <w:rsid w:val="00335268"/>
    <w:rsid w:val="0033732B"/>
    <w:rsid w:val="003404BC"/>
    <w:rsid w:val="00341E5C"/>
    <w:rsid w:val="003435CC"/>
    <w:rsid w:val="0034372A"/>
    <w:rsid w:val="00345CDF"/>
    <w:rsid w:val="00347D31"/>
    <w:rsid w:val="00347F7A"/>
    <w:rsid w:val="00352BCB"/>
    <w:rsid w:val="003565C3"/>
    <w:rsid w:val="0036042F"/>
    <w:rsid w:val="00362617"/>
    <w:rsid w:val="00364380"/>
    <w:rsid w:val="0037321D"/>
    <w:rsid w:val="0037451E"/>
    <w:rsid w:val="00374E83"/>
    <w:rsid w:val="00376657"/>
    <w:rsid w:val="003769B3"/>
    <w:rsid w:val="00385971"/>
    <w:rsid w:val="0038763E"/>
    <w:rsid w:val="0038764D"/>
    <w:rsid w:val="0038771B"/>
    <w:rsid w:val="003877B3"/>
    <w:rsid w:val="00387C4F"/>
    <w:rsid w:val="0039194C"/>
    <w:rsid w:val="00393DF5"/>
    <w:rsid w:val="003943E5"/>
    <w:rsid w:val="00396C65"/>
    <w:rsid w:val="003A0AC0"/>
    <w:rsid w:val="003A2F8A"/>
    <w:rsid w:val="003A6D10"/>
    <w:rsid w:val="003B0222"/>
    <w:rsid w:val="003B6662"/>
    <w:rsid w:val="003B7F2D"/>
    <w:rsid w:val="003C2A7B"/>
    <w:rsid w:val="003C46F7"/>
    <w:rsid w:val="003D125A"/>
    <w:rsid w:val="003D31DB"/>
    <w:rsid w:val="003D5014"/>
    <w:rsid w:val="003D5A28"/>
    <w:rsid w:val="003E1D38"/>
    <w:rsid w:val="003E5EB8"/>
    <w:rsid w:val="003E681B"/>
    <w:rsid w:val="003F065F"/>
    <w:rsid w:val="003F0F1A"/>
    <w:rsid w:val="003F50FF"/>
    <w:rsid w:val="0040515A"/>
    <w:rsid w:val="00407C48"/>
    <w:rsid w:val="004127AE"/>
    <w:rsid w:val="00414145"/>
    <w:rsid w:val="0041459B"/>
    <w:rsid w:val="00415BDC"/>
    <w:rsid w:val="0041643F"/>
    <w:rsid w:val="00417438"/>
    <w:rsid w:val="00417E04"/>
    <w:rsid w:val="0042182B"/>
    <w:rsid w:val="00422659"/>
    <w:rsid w:val="0042476D"/>
    <w:rsid w:val="0042735F"/>
    <w:rsid w:val="0043260A"/>
    <w:rsid w:val="00432B70"/>
    <w:rsid w:val="00434070"/>
    <w:rsid w:val="00434936"/>
    <w:rsid w:val="004407B7"/>
    <w:rsid w:val="00441962"/>
    <w:rsid w:val="00441A11"/>
    <w:rsid w:val="00442DFB"/>
    <w:rsid w:val="004447AC"/>
    <w:rsid w:val="00444C81"/>
    <w:rsid w:val="0044549A"/>
    <w:rsid w:val="00450104"/>
    <w:rsid w:val="004528E7"/>
    <w:rsid w:val="00454360"/>
    <w:rsid w:val="00457229"/>
    <w:rsid w:val="00460A8F"/>
    <w:rsid w:val="00461FA0"/>
    <w:rsid w:val="004648FF"/>
    <w:rsid w:val="00465A2B"/>
    <w:rsid w:val="00471E4D"/>
    <w:rsid w:val="0047553B"/>
    <w:rsid w:val="0047683A"/>
    <w:rsid w:val="00476B2D"/>
    <w:rsid w:val="004778DF"/>
    <w:rsid w:val="00482295"/>
    <w:rsid w:val="00482A38"/>
    <w:rsid w:val="00486C5D"/>
    <w:rsid w:val="00487860"/>
    <w:rsid w:val="004943D1"/>
    <w:rsid w:val="004A0155"/>
    <w:rsid w:val="004A04A0"/>
    <w:rsid w:val="004A08C8"/>
    <w:rsid w:val="004A0B25"/>
    <w:rsid w:val="004A138E"/>
    <w:rsid w:val="004A2415"/>
    <w:rsid w:val="004A3E93"/>
    <w:rsid w:val="004A5066"/>
    <w:rsid w:val="004A696D"/>
    <w:rsid w:val="004B3734"/>
    <w:rsid w:val="004B4747"/>
    <w:rsid w:val="004B680B"/>
    <w:rsid w:val="004B6D29"/>
    <w:rsid w:val="004C0700"/>
    <w:rsid w:val="004C110F"/>
    <w:rsid w:val="004C3104"/>
    <w:rsid w:val="004C7917"/>
    <w:rsid w:val="004D0CC3"/>
    <w:rsid w:val="004D47C8"/>
    <w:rsid w:val="004E006E"/>
    <w:rsid w:val="004E1519"/>
    <w:rsid w:val="004E1998"/>
    <w:rsid w:val="004E6F11"/>
    <w:rsid w:val="004F058A"/>
    <w:rsid w:val="004F082B"/>
    <w:rsid w:val="004F6A33"/>
    <w:rsid w:val="004F762D"/>
    <w:rsid w:val="004F7781"/>
    <w:rsid w:val="00501345"/>
    <w:rsid w:val="005016CB"/>
    <w:rsid w:val="00504704"/>
    <w:rsid w:val="00504F22"/>
    <w:rsid w:val="00505AA9"/>
    <w:rsid w:val="0050638F"/>
    <w:rsid w:val="00510CF5"/>
    <w:rsid w:val="00511377"/>
    <w:rsid w:val="00511E32"/>
    <w:rsid w:val="005159E1"/>
    <w:rsid w:val="005175D2"/>
    <w:rsid w:val="005217D3"/>
    <w:rsid w:val="00521F3A"/>
    <w:rsid w:val="00522CDB"/>
    <w:rsid w:val="00522F3C"/>
    <w:rsid w:val="0052663E"/>
    <w:rsid w:val="00526C65"/>
    <w:rsid w:val="005329DD"/>
    <w:rsid w:val="00535C74"/>
    <w:rsid w:val="00541FF7"/>
    <w:rsid w:val="005430C8"/>
    <w:rsid w:val="00545D6C"/>
    <w:rsid w:val="00545F25"/>
    <w:rsid w:val="0054693B"/>
    <w:rsid w:val="00546CDB"/>
    <w:rsid w:val="0055049A"/>
    <w:rsid w:val="0055162B"/>
    <w:rsid w:val="00551733"/>
    <w:rsid w:val="00551741"/>
    <w:rsid w:val="0055277B"/>
    <w:rsid w:val="00555625"/>
    <w:rsid w:val="0055621E"/>
    <w:rsid w:val="00560384"/>
    <w:rsid w:val="0056078E"/>
    <w:rsid w:val="00560918"/>
    <w:rsid w:val="00562A45"/>
    <w:rsid w:val="00564D68"/>
    <w:rsid w:val="005662D7"/>
    <w:rsid w:val="0057052B"/>
    <w:rsid w:val="00573193"/>
    <w:rsid w:val="00575ECC"/>
    <w:rsid w:val="005767E6"/>
    <w:rsid w:val="005774CB"/>
    <w:rsid w:val="00582E85"/>
    <w:rsid w:val="00583796"/>
    <w:rsid w:val="0058524A"/>
    <w:rsid w:val="00591542"/>
    <w:rsid w:val="00594AAB"/>
    <w:rsid w:val="005957CA"/>
    <w:rsid w:val="00596808"/>
    <w:rsid w:val="00597CF9"/>
    <w:rsid w:val="005A4A2E"/>
    <w:rsid w:val="005A6A71"/>
    <w:rsid w:val="005B0874"/>
    <w:rsid w:val="005B0AF3"/>
    <w:rsid w:val="005B2FAE"/>
    <w:rsid w:val="005B46FF"/>
    <w:rsid w:val="005B6352"/>
    <w:rsid w:val="005B6C72"/>
    <w:rsid w:val="005B7070"/>
    <w:rsid w:val="005C19EE"/>
    <w:rsid w:val="005C4F85"/>
    <w:rsid w:val="005C5AB4"/>
    <w:rsid w:val="005C630E"/>
    <w:rsid w:val="005C6D04"/>
    <w:rsid w:val="005D2BCC"/>
    <w:rsid w:val="005D310C"/>
    <w:rsid w:val="005D5E17"/>
    <w:rsid w:val="005D683E"/>
    <w:rsid w:val="005E17FC"/>
    <w:rsid w:val="005E28A9"/>
    <w:rsid w:val="005E29CB"/>
    <w:rsid w:val="005F53A1"/>
    <w:rsid w:val="005F566F"/>
    <w:rsid w:val="005F7321"/>
    <w:rsid w:val="005F7D19"/>
    <w:rsid w:val="00600DDE"/>
    <w:rsid w:val="0060421A"/>
    <w:rsid w:val="00604529"/>
    <w:rsid w:val="00604DC1"/>
    <w:rsid w:val="006100A0"/>
    <w:rsid w:val="00610B83"/>
    <w:rsid w:val="0061150A"/>
    <w:rsid w:val="006176A5"/>
    <w:rsid w:val="00617CEB"/>
    <w:rsid w:val="00620E5E"/>
    <w:rsid w:val="00621B7F"/>
    <w:rsid w:val="00624A0A"/>
    <w:rsid w:val="006256F6"/>
    <w:rsid w:val="00634DDB"/>
    <w:rsid w:val="006351C7"/>
    <w:rsid w:val="006421A1"/>
    <w:rsid w:val="006463AD"/>
    <w:rsid w:val="006528C6"/>
    <w:rsid w:val="00657DA4"/>
    <w:rsid w:val="00657F38"/>
    <w:rsid w:val="0066096B"/>
    <w:rsid w:val="00661EAC"/>
    <w:rsid w:val="00662FB7"/>
    <w:rsid w:val="006651F6"/>
    <w:rsid w:val="00666455"/>
    <w:rsid w:val="00670061"/>
    <w:rsid w:val="006712EF"/>
    <w:rsid w:val="00672052"/>
    <w:rsid w:val="00672CAD"/>
    <w:rsid w:val="00673340"/>
    <w:rsid w:val="006763A4"/>
    <w:rsid w:val="00676F73"/>
    <w:rsid w:val="00683E57"/>
    <w:rsid w:val="00684503"/>
    <w:rsid w:val="00686F11"/>
    <w:rsid w:val="00687AB4"/>
    <w:rsid w:val="006A1EDD"/>
    <w:rsid w:val="006A2513"/>
    <w:rsid w:val="006A39C7"/>
    <w:rsid w:val="006A39DC"/>
    <w:rsid w:val="006A3BEC"/>
    <w:rsid w:val="006A6217"/>
    <w:rsid w:val="006A73F5"/>
    <w:rsid w:val="006B245E"/>
    <w:rsid w:val="006B2A0C"/>
    <w:rsid w:val="006B2B59"/>
    <w:rsid w:val="006B420D"/>
    <w:rsid w:val="006B4BF1"/>
    <w:rsid w:val="006C0808"/>
    <w:rsid w:val="006C0AC3"/>
    <w:rsid w:val="006C2D17"/>
    <w:rsid w:val="006C2FF0"/>
    <w:rsid w:val="006C4762"/>
    <w:rsid w:val="006C6573"/>
    <w:rsid w:val="006C7536"/>
    <w:rsid w:val="006D16DC"/>
    <w:rsid w:val="006D328C"/>
    <w:rsid w:val="006D7ED9"/>
    <w:rsid w:val="006E0F04"/>
    <w:rsid w:val="006E1940"/>
    <w:rsid w:val="006E2C7A"/>
    <w:rsid w:val="006E48EB"/>
    <w:rsid w:val="006F02D9"/>
    <w:rsid w:val="006F4BA8"/>
    <w:rsid w:val="006F79DE"/>
    <w:rsid w:val="00702B57"/>
    <w:rsid w:val="00703CEB"/>
    <w:rsid w:val="0070456A"/>
    <w:rsid w:val="00705436"/>
    <w:rsid w:val="00710B5F"/>
    <w:rsid w:val="00712A5A"/>
    <w:rsid w:val="007141E1"/>
    <w:rsid w:val="00715291"/>
    <w:rsid w:val="007152C0"/>
    <w:rsid w:val="00717E55"/>
    <w:rsid w:val="007250D0"/>
    <w:rsid w:val="007257D9"/>
    <w:rsid w:val="00727E85"/>
    <w:rsid w:val="00734F03"/>
    <w:rsid w:val="00735429"/>
    <w:rsid w:val="00742E2E"/>
    <w:rsid w:val="007472E3"/>
    <w:rsid w:val="007474BD"/>
    <w:rsid w:val="00750D93"/>
    <w:rsid w:val="0075285A"/>
    <w:rsid w:val="00753252"/>
    <w:rsid w:val="007559F0"/>
    <w:rsid w:val="00760DE0"/>
    <w:rsid w:val="00762298"/>
    <w:rsid w:val="00762DE2"/>
    <w:rsid w:val="00764507"/>
    <w:rsid w:val="00770700"/>
    <w:rsid w:val="00773981"/>
    <w:rsid w:val="00773E36"/>
    <w:rsid w:val="00774CE2"/>
    <w:rsid w:val="007753CD"/>
    <w:rsid w:val="0077540D"/>
    <w:rsid w:val="007754E3"/>
    <w:rsid w:val="0078328D"/>
    <w:rsid w:val="0078440F"/>
    <w:rsid w:val="00784820"/>
    <w:rsid w:val="007861A9"/>
    <w:rsid w:val="0079069C"/>
    <w:rsid w:val="00790D68"/>
    <w:rsid w:val="00790FCC"/>
    <w:rsid w:val="0079117E"/>
    <w:rsid w:val="00791D66"/>
    <w:rsid w:val="0079266C"/>
    <w:rsid w:val="007943C5"/>
    <w:rsid w:val="00794A4C"/>
    <w:rsid w:val="007950E3"/>
    <w:rsid w:val="007975EF"/>
    <w:rsid w:val="00797CB1"/>
    <w:rsid w:val="007A34F7"/>
    <w:rsid w:val="007A5364"/>
    <w:rsid w:val="007A7DDC"/>
    <w:rsid w:val="007B3FD8"/>
    <w:rsid w:val="007B5EF7"/>
    <w:rsid w:val="007C01F6"/>
    <w:rsid w:val="007C3FFD"/>
    <w:rsid w:val="007C4100"/>
    <w:rsid w:val="007D0189"/>
    <w:rsid w:val="007D0C1D"/>
    <w:rsid w:val="007D0E5A"/>
    <w:rsid w:val="007D1E7D"/>
    <w:rsid w:val="007D3609"/>
    <w:rsid w:val="007D63A1"/>
    <w:rsid w:val="007D687E"/>
    <w:rsid w:val="007D6D4E"/>
    <w:rsid w:val="007E134F"/>
    <w:rsid w:val="007E2B22"/>
    <w:rsid w:val="007E6593"/>
    <w:rsid w:val="007E6A70"/>
    <w:rsid w:val="007E6CF9"/>
    <w:rsid w:val="007F0E66"/>
    <w:rsid w:val="007F26FC"/>
    <w:rsid w:val="007F3EAF"/>
    <w:rsid w:val="007F452C"/>
    <w:rsid w:val="007F69E4"/>
    <w:rsid w:val="00801B44"/>
    <w:rsid w:val="008022B1"/>
    <w:rsid w:val="00805F81"/>
    <w:rsid w:val="008079DE"/>
    <w:rsid w:val="0081089A"/>
    <w:rsid w:val="00811906"/>
    <w:rsid w:val="00814017"/>
    <w:rsid w:val="00815054"/>
    <w:rsid w:val="00815A30"/>
    <w:rsid w:val="00815E61"/>
    <w:rsid w:val="008207FB"/>
    <w:rsid w:val="008223D4"/>
    <w:rsid w:val="008234BD"/>
    <w:rsid w:val="0082451F"/>
    <w:rsid w:val="008245DF"/>
    <w:rsid w:val="0082695B"/>
    <w:rsid w:val="00827E13"/>
    <w:rsid w:val="00834DCF"/>
    <w:rsid w:val="0083641B"/>
    <w:rsid w:val="00837F73"/>
    <w:rsid w:val="008408ED"/>
    <w:rsid w:val="0084301D"/>
    <w:rsid w:val="008430C4"/>
    <w:rsid w:val="00843C55"/>
    <w:rsid w:val="0084680F"/>
    <w:rsid w:val="00851C67"/>
    <w:rsid w:val="00852214"/>
    <w:rsid w:val="00852A47"/>
    <w:rsid w:val="00853126"/>
    <w:rsid w:val="008548A9"/>
    <w:rsid w:val="00856983"/>
    <w:rsid w:val="0085769B"/>
    <w:rsid w:val="008618B0"/>
    <w:rsid w:val="00863E6E"/>
    <w:rsid w:val="00864450"/>
    <w:rsid w:val="008668A1"/>
    <w:rsid w:val="00872B25"/>
    <w:rsid w:val="00877452"/>
    <w:rsid w:val="00882A1D"/>
    <w:rsid w:val="00887EA8"/>
    <w:rsid w:val="008917CA"/>
    <w:rsid w:val="00892B14"/>
    <w:rsid w:val="00892F4D"/>
    <w:rsid w:val="008932EC"/>
    <w:rsid w:val="00895573"/>
    <w:rsid w:val="008A0649"/>
    <w:rsid w:val="008A1DA5"/>
    <w:rsid w:val="008A3A1E"/>
    <w:rsid w:val="008A4C87"/>
    <w:rsid w:val="008A5950"/>
    <w:rsid w:val="008A7671"/>
    <w:rsid w:val="008A7F3B"/>
    <w:rsid w:val="008B3EB9"/>
    <w:rsid w:val="008B67DF"/>
    <w:rsid w:val="008B69F8"/>
    <w:rsid w:val="008B7E51"/>
    <w:rsid w:val="008C2B5E"/>
    <w:rsid w:val="008C2BA0"/>
    <w:rsid w:val="008C6380"/>
    <w:rsid w:val="008C63A8"/>
    <w:rsid w:val="008D0968"/>
    <w:rsid w:val="008D1AC2"/>
    <w:rsid w:val="008D45B1"/>
    <w:rsid w:val="008D61E1"/>
    <w:rsid w:val="008E3D48"/>
    <w:rsid w:val="008E3F2F"/>
    <w:rsid w:val="008E5150"/>
    <w:rsid w:val="008E59D4"/>
    <w:rsid w:val="008E5B30"/>
    <w:rsid w:val="008E5ECC"/>
    <w:rsid w:val="008E7015"/>
    <w:rsid w:val="008E742D"/>
    <w:rsid w:val="008F06E2"/>
    <w:rsid w:val="008F454D"/>
    <w:rsid w:val="008F5687"/>
    <w:rsid w:val="0090193E"/>
    <w:rsid w:val="00902E10"/>
    <w:rsid w:val="00910E84"/>
    <w:rsid w:val="00911C83"/>
    <w:rsid w:val="00913C44"/>
    <w:rsid w:val="009145A6"/>
    <w:rsid w:val="009164C1"/>
    <w:rsid w:val="009171F0"/>
    <w:rsid w:val="00922581"/>
    <w:rsid w:val="009227FB"/>
    <w:rsid w:val="00925D30"/>
    <w:rsid w:val="0093125E"/>
    <w:rsid w:val="009324DC"/>
    <w:rsid w:val="0093577F"/>
    <w:rsid w:val="009376DE"/>
    <w:rsid w:val="0094067B"/>
    <w:rsid w:val="00941CE0"/>
    <w:rsid w:val="00942745"/>
    <w:rsid w:val="00942A7F"/>
    <w:rsid w:val="009445A1"/>
    <w:rsid w:val="00946D54"/>
    <w:rsid w:val="00947775"/>
    <w:rsid w:val="00954E07"/>
    <w:rsid w:val="0096026B"/>
    <w:rsid w:val="00961A01"/>
    <w:rsid w:val="00966264"/>
    <w:rsid w:val="00966F19"/>
    <w:rsid w:val="00970F40"/>
    <w:rsid w:val="0097135D"/>
    <w:rsid w:val="009723CC"/>
    <w:rsid w:val="00972502"/>
    <w:rsid w:val="00975116"/>
    <w:rsid w:val="00983E27"/>
    <w:rsid w:val="00986DA3"/>
    <w:rsid w:val="00987EA1"/>
    <w:rsid w:val="00990168"/>
    <w:rsid w:val="00990378"/>
    <w:rsid w:val="009903B2"/>
    <w:rsid w:val="009903C8"/>
    <w:rsid w:val="00992937"/>
    <w:rsid w:val="00994996"/>
    <w:rsid w:val="00995063"/>
    <w:rsid w:val="00997564"/>
    <w:rsid w:val="009A22C1"/>
    <w:rsid w:val="009A2ACC"/>
    <w:rsid w:val="009A7628"/>
    <w:rsid w:val="009B3C67"/>
    <w:rsid w:val="009B4F84"/>
    <w:rsid w:val="009B6DC2"/>
    <w:rsid w:val="009C08D5"/>
    <w:rsid w:val="009C09E0"/>
    <w:rsid w:val="009C1D72"/>
    <w:rsid w:val="009D001F"/>
    <w:rsid w:val="009D12DD"/>
    <w:rsid w:val="009D256C"/>
    <w:rsid w:val="009D38DB"/>
    <w:rsid w:val="009D646F"/>
    <w:rsid w:val="009D678A"/>
    <w:rsid w:val="009D727F"/>
    <w:rsid w:val="009E0456"/>
    <w:rsid w:val="009E1168"/>
    <w:rsid w:val="009E1414"/>
    <w:rsid w:val="009E2686"/>
    <w:rsid w:val="009E3D39"/>
    <w:rsid w:val="009E6BD6"/>
    <w:rsid w:val="009E78FB"/>
    <w:rsid w:val="009F2E8A"/>
    <w:rsid w:val="009F4A84"/>
    <w:rsid w:val="009F74AB"/>
    <w:rsid w:val="00A002F6"/>
    <w:rsid w:val="00A007C8"/>
    <w:rsid w:val="00A02A23"/>
    <w:rsid w:val="00A0399B"/>
    <w:rsid w:val="00A04E12"/>
    <w:rsid w:val="00A07992"/>
    <w:rsid w:val="00A07DB1"/>
    <w:rsid w:val="00A07F18"/>
    <w:rsid w:val="00A10908"/>
    <w:rsid w:val="00A117C6"/>
    <w:rsid w:val="00A1476A"/>
    <w:rsid w:val="00A175DE"/>
    <w:rsid w:val="00A21F79"/>
    <w:rsid w:val="00A23053"/>
    <w:rsid w:val="00A23369"/>
    <w:rsid w:val="00A25DD5"/>
    <w:rsid w:val="00A2675C"/>
    <w:rsid w:val="00A2737A"/>
    <w:rsid w:val="00A3145E"/>
    <w:rsid w:val="00A33C18"/>
    <w:rsid w:val="00A40437"/>
    <w:rsid w:val="00A41304"/>
    <w:rsid w:val="00A42D2D"/>
    <w:rsid w:val="00A43DE7"/>
    <w:rsid w:val="00A43ECB"/>
    <w:rsid w:val="00A4555C"/>
    <w:rsid w:val="00A50736"/>
    <w:rsid w:val="00A512E5"/>
    <w:rsid w:val="00A51C31"/>
    <w:rsid w:val="00A5378D"/>
    <w:rsid w:val="00A5652F"/>
    <w:rsid w:val="00A641E9"/>
    <w:rsid w:val="00A64B86"/>
    <w:rsid w:val="00A65DA7"/>
    <w:rsid w:val="00A66EC7"/>
    <w:rsid w:val="00A704F3"/>
    <w:rsid w:val="00A73526"/>
    <w:rsid w:val="00A74195"/>
    <w:rsid w:val="00A761DE"/>
    <w:rsid w:val="00A778BB"/>
    <w:rsid w:val="00A81A05"/>
    <w:rsid w:val="00A850FC"/>
    <w:rsid w:val="00A87D4D"/>
    <w:rsid w:val="00A914F9"/>
    <w:rsid w:val="00A926E4"/>
    <w:rsid w:val="00A928BC"/>
    <w:rsid w:val="00A9592E"/>
    <w:rsid w:val="00AA2AB7"/>
    <w:rsid w:val="00AA5361"/>
    <w:rsid w:val="00AA6798"/>
    <w:rsid w:val="00AA689F"/>
    <w:rsid w:val="00AA734C"/>
    <w:rsid w:val="00AA7A1D"/>
    <w:rsid w:val="00AB3A82"/>
    <w:rsid w:val="00AB3FAB"/>
    <w:rsid w:val="00AB5B1E"/>
    <w:rsid w:val="00AC15C1"/>
    <w:rsid w:val="00AC446E"/>
    <w:rsid w:val="00AC5713"/>
    <w:rsid w:val="00AC6066"/>
    <w:rsid w:val="00AD2E7D"/>
    <w:rsid w:val="00AD504B"/>
    <w:rsid w:val="00AD5478"/>
    <w:rsid w:val="00AD6627"/>
    <w:rsid w:val="00AE04C9"/>
    <w:rsid w:val="00AE21CB"/>
    <w:rsid w:val="00AE3690"/>
    <w:rsid w:val="00AE4CD4"/>
    <w:rsid w:val="00AE4DEC"/>
    <w:rsid w:val="00AE59FF"/>
    <w:rsid w:val="00AE5A5E"/>
    <w:rsid w:val="00AF11BE"/>
    <w:rsid w:val="00AF2706"/>
    <w:rsid w:val="00AF33DE"/>
    <w:rsid w:val="00AF38D1"/>
    <w:rsid w:val="00AF4984"/>
    <w:rsid w:val="00AF6ED2"/>
    <w:rsid w:val="00AF7B96"/>
    <w:rsid w:val="00B00A50"/>
    <w:rsid w:val="00B00E63"/>
    <w:rsid w:val="00B00FB2"/>
    <w:rsid w:val="00B026AC"/>
    <w:rsid w:val="00B02CF8"/>
    <w:rsid w:val="00B10E55"/>
    <w:rsid w:val="00B1623E"/>
    <w:rsid w:val="00B17B0B"/>
    <w:rsid w:val="00B201D4"/>
    <w:rsid w:val="00B21E31"/>
    <w:rsid w:val="00B22E77"/>
    <w:rsid w:val="00B26B9A"/>
    <w:rsid w:val="00B31DB3"/>
    <w:rsid w:val="00B326F9"/>
    <w:rsid w:val="00B33B82"/>
    <w:rsid w:val="00B33E44"/>
    <w:rsid w:val="00B35551"/>
    <w:rsid w:val="00B36528"/>
    <w:rsid w:val="00B36885"/>
    <w:rsid w:val="00B423DF"/>
    <w:rsid w:val="00B4578D"/>
    <w:rsid w:val="00B45C5A"/>
    <w:rsid w:val="00B47A07"/>
    <w:rsid w:val="00B47C36"/>
    <w:rsid w:val="00B50422"/>
    <w:rsid w:val="00B53527"/>
    <w:rsid w:val="00B55173"/>
    <w:rsid w:val="00B5567C"/>
    <w:rsid w:val="00B5570E"/>
    <w:rsid w:val="00B62C3A"/>
    <w:rsid w:val="00B63A07"/>
    <w:rsid w:val="00B64035"/>
    <w:rsid w:val="00B648F0"/>
    <w:rsid w:val="00B6507D"/>
    <w:rsid w:val="00B74024"/>
    <w:rsid w:val="00B763D7"/>
    <w:rsid w:val="00B77632"/>
    <w:rsid w:val="00B80CF6"/>
    <w:rsid w:val="00B81102"/>
    <w:rsid w:val="00B82639"/>
    <w:rsid w:val="00B84344"/>
    <w:rsid w:val="00B8496B"/>
    <w:rsid w:val="00B856FF"/>
    <w:rsid w:val="00B876E0"/>
    <w:rsid w:val="00B965C3"/>
    <w:rsid w:val="00BA0034"/>
    <w:rsid w:val="00BA2750"/>
    <w:rsid w:val="00BA2A98"/>
    <w:rsid w:val="00BA5039"/>
    <w:rsid w:val="00BA543D"/>
    <w:rsid w:val="00BA606A"/>
    <w:rsid w:val="00BB09C3"/>
    <w:rsid w:val="00BB0AEE"/>
    <w:rsid w:val="00BB328E"/>
    <w:rsid w:val="00BB476B"/>
    <w:rsid w:val="00BB74BA"/>
    <w:rsid w:val="00BC0DB2"/>
    <w:rsid w:val="00BC17F8"/>
    <w:rsid w:val="00BC20B6"/>
    <w:rsid w:val="00BC273B"/>
    <w:rsid w:val="00BC3494"/>
    <w:rsid w:val="00BC36EB"/>
    <w:rsid w:val="00BC3853"/>
    <w:rsid w:val="00BC42BE"/>
    <w:rsid w:val="00BC66D6"/>
    <w:rsid w:val="00BC6CD4"/>
    <w:rsid w:val="00BD196B"/>
    <w:rsid w:val="00BD4176"/>
    <w:rsid w:val="00BD705D"/>
    <w:rsid w:val="00BE0EE4"/>
    <w:rsid w:val="00BE0F20"/>
    <w:rsid w:val="00BE1473"/>
    <w:rsid w:val="00BE32EA"/>
    <w:rsid w:val="00BE59FD"/>
    <w:rsid w:val="00BF0131"/>
    <w:rsid w:val="00BF01D9"/>
    <w:rsid w:val="00BF0D1F"/>
    <w:rsid w:val="00BF2142"/>
    <w:rsid w:val="00BF40E4"/>
    <w:rsid w:val="00BF4C86"/>
    <w:rsid w:val="00BF5994"/>
    <w:rsid w:val="00BF75EB"/>
    <w:rsid w:val="00C042CF"/>
    <w:rsid w:val="00C04B8C"/>
    <w:rsid w:val="00C16AD4"/>
    <w:rsid w:val="00C1708E"/>
    <w:rsid w:val="00C173CF"/>
    <w:rsid w:val="00C206DA"/>
    <w:rsid w:val="00C20E74"/>
    <w:rsid w:val="00C21B70"/>
    <w:rsid w:val="00C21F3C"/>
    <w:rsid w:val="00C24965"/>
    <w:rsid w:val="00C25D8B"/>
    <w:rsid w:val="00C262B6"/>
    <w:rsid w:val="00C26444"/>
    <w:rsid w:val="00C3694F"/>
    <w:rsid w:val="00C402A2"/>
    <w:rsid w:val="00C4153A"/>
    <w:rsid w:val="00C440F9"/>
    <w:rsid w:val="00C441E4"/>
    <w:rsid w:val="00C448AA"/>
    <w:rsid w:val="00C47C66"/>
    <w:rsid w:val="00C5276C"/>
    <w:rsid w:val="00C54316"/>
    <w:rsid w:val="00C5547F"/>
    <w:rsid w:val="00C554F0"/>
    <w:rsid w:val="00C55BB3"/>
    <w:rsid w:val="00C60454"/>
    <w:rsid w:val="00C61E79"/>
    <w:rsid w:val="00C62176"/>
    <w:rsid w:val="00C644CB"/>
    <w:rsid w:val="00C720E1"/>
    <w:rsid w:val="00C72222"/>
    <w:rsid w:val="00C76103"/>
    <w:rsid w:val="00C76DFD"/>
    <w:rsid w:val="00C804B4"/>
    <w:rsid w:val="00C84A11"/>
    <w:rsid w:val="00C84F21"/>
    <w:rsid w:val="00C8543E"/>
    <w:rsid w:val="00C87496"/>
    <w:rsid w:val="00C9666A"/>
    <w:rsid w:val="00CA0CE6"/>
    <w:rsid w:val="00CA40D6"/>
    <w:rsid w:val="00CA610C"/>
    <w:rsid w:val="00CB078E"/>
    <w:rsid w:val="00CB1488"/>
    <w:rsid w:val="00CB4A7B"/>
    <w:rsid w:val="00CB6519"/>
    <w:rsid w:val="00CB677C"/>
    <w:rsid w:val="00CC256D"/>
    <w:rsid w:val="00CC3133"/>
    <w:rsid w:val="00CC4E85"/>
    <w:rsid w:val="00CC5C09"/>
    <w:rsid w:val="00CC70B2"/>
    <w:rsid w:val="00CC7A32"/>
    <w:rsid w:val="00CD0062"/>
    <w:rsid w:val="00CD1B93"/>
    <w:rsid w:val="00CD1F5E"/>
    <w:rsid w:val="00CD456C"/>
    <w:rsid w:val="00CD573B"/>
    <w:rsid w:val="00CD5F2C"/>
    <w:rsid w:val="00CD616A"/>
    <w:rsid w:val="00CD6AFB"/>
    <w:rsid w:val="00CD766E"/>
    <w:rsid w:val="00CE052C"/>
    <w:rsid w:val="00CE0C08"/>
    <w:rsid w:val="00CE114B"/>
    <w:rsid w:val="00CE1C21"/>
    <w:rsid w:val="00CE233E"/>
    <w:rsid w:val="00CE5F60"/>
    <w:rsid w:val="00CE6C50"/>
    <w:rsid w:val="00CF603B"/>
    <w:rsid w:val="00CF77F6"/>
    <w:rsid w:val="00D01F82"/>
    <w:rsid w:val="00D075A1"/>
    <w:rsid w:val="00D11AD9"/>
    <w:rsid w:val="00D12C40"/>
    <w:rsid w:val="00D13B33"/>
    <w:rsid w:val="00D15708"/>
    <w:rsid w:val="00D15C02"/>
    <w:rsid w:val="00D16B13"/>
    <w:rsid w:val="00D209E5"/>
    <w:rsid w:val="00D2123F"/>
    <w:rsid w:val="00D212DA"/>
    <w:rsid w:val="00D21B6C"/>
    <w:rsid w:val="00D227B2"/>
    <w:rsid w:val="00D23151"/>
    <w:rsid w:val="00D23D2B"/>
    <w:rsid w:val="00D23DF0"/>
    <w:rsid w:val="00D240E2"/>
    <w:rsid w:val="00D24CDF"/>
    <w:rsid w:val="00D24EC3"/>
    <w:rsid w:val="00D27B0D"/>
    <w:rsid w:val="00D300BF"/>
    <w:rsid w:val="00D308B1"/>
    <w:rsid w:val="00D32875"/>
    <w:rsid w:val="00D34476"/>
    <w:rsid w:val="00D36695"/>
    <w:rsid w:val="00D36E93"/>
    <w:rsid w:val="00D37F09"/>
    <w:rsid w:val="00D40D18"/>
    <w:rsid w:val="00D43ADE"/>
    <w:rsid w:val="00D44599"/>
    <w:rsid w:val="00D44C18"/>
    <w:rsid w:val="00D454EF"/>
    <w:rsid w:val="00D4625A"/>
    <w:rsid w:val="00D4689D"/>
    <w:rsid w:val="00D513D3"/>
    <w:rsid w:val="00D533A7"/>
    <w:rsid w:val="00D559B5"/>
    <w:rsid w:val="00D579E2"/>
    <w:rsid w:val="00D60F8F"/>
    <w:rsid w:val="00D61500"/>
    <w:rsid w:val="00D6309D"/>
    <w:rsid w:val="00D72179"/>
    <w:rsid w:val="00D7306F"/>
    <w:rsid w:val="00D73744"/>
    <w:rsid w:val="00D75C3C"/>
    <w:rsid w:val="00D75E6D"/>
    <w:rsid w:val="00D76202"/>
    <w:rsid w:val="00D77A59"/>
    <w:rsid w:val="00D80D3B"/>
    <w:rsid w:val="00D81AB0"/>
    <w:rsid w:val="00D81B84"/>
    <w:rsid w:val="00D848E3"/>
    <w:rsid w:val="00D84DCA"/>
    <w:rsid w:val="00D879AA"/>
    <w:rsid w:val="00D9204E"/>
    <w:rsid w:val="00D92DEF"/>
    <w:rsid w:val="00D931D5"/>
    <w:rsid w:val="00D944C2"/>
    <w:rsid w:val="00D95232"/>
    <w:rsid w:val="00D95D76"/>
    <w:rsid w:val="00DA0D10"/>
    <w:rsid w:val="00DA178C"/>
    <w:rsid w:val="00DA2390"/>
    <w:rsid w:val="00DA5327"/>
    <w:rsid w:val="00DA7BD4"/>
    <w:rsid w:val="00DB0737"/>
    <w:rsid w:val="00DB2784"/>
    <w:rsid w:val="00DB278B"/>
    <w:rsid w:val="00DB361F"/>
    <w:rsid w:val="00DB4362"/>
    <w:rsid w:val="00DB43FF"/>
    <w:rsid w:val="00DB5B13"/>
    <w:rsid w:val="00DB61AD"/>
    <w:rsid w:val="00DB7E03"/>
    <w:rsid w:val="00DC3E78"/>
    <w:rsid w:val="00DC4334"/>
    <w:rsid w:val="00DC46C6"/>
    <w:rsid w:val="00DC4B1D"/>
    <w:rsid w:val="00DD1847"/>
    <w:rsid w:val="00DD3CA8"/>
    <w:rsid w:val="00DE4705"/>
    <w:rsid w:val="00DE48CA"/>
    <w:rsid w:val="00DE5C60"/>
    <w:rsid w:val="00DF0CA5"/>
    <w:rsid w:val="00DF1C22"/>
    <w:rsid w:val="00DF1C25"/>
    <w:rsid w:val="00DF37C3"/>
    <w:rsid w:val="00E01EA1"/>
    <w:rsid w:val="00E07585"/>
    <w:rsid w:val="00E1042D"/>
    <w:rsid w:val="00E1056B"/>
    <w:rsid w:val="00E164DD"/>
    <w:rsid w:val="00E23C62"/>
    <w:rsid w:val="00E2534D"/>
    <w:rsid w:val="00E26E0E"/>
    <w:rsid w:val="00E26E58"/>
    <w:rsid w:val="00E308BC"/>
    <w:rsid w:val="00E30A99"/>
    <w:rsid w:val="00E30D93"/>
    <w:rsid w:val="00E33185"/>
    <w:rsid w:val="00E33942"/>
    <w:rsid w:val="00E33C7C"/>
    <w:rsid w:val="00E34B71"/>
    <w:rsid w:val="00E35712"/>
    <w:rsid w:val="00E35F0E"/>
    <w:rsid w:val="00E4058F"/>
    <w:rsid w:val="00E40659"/>
    <w:rsid w:val="00E4233D"/>
    <w:rsid w:val="00E424E7"/>
    <w:rsid w:val="00E42AE4"/>
    <w:rsid w:val="00E50022"/>
    <w:rsid w:val="00E51606"/>
    <w:rsid w:val="00E51EC4"/>
    <w:rsid w:val="00E52345"/>
    <w:rsid w:val="00E5264A"/>
    <w:rsid w:val="00E53178"/>
    <w:rsid w:val="00E54199"/>
    <w:rsid w:val="00E57DCB"/>
    <w:rsid w:val="00E57DED"/>
    <w:rsid w:val="00E6340E"/>
    <w:rsid w:val="00E66F0A"/>
    <w:rsid w:val="00E672DB"/>
    <w:rsid w:val="00E67654"/>
    <w:rsid w:val="00E71AC7"/>
    <w:rsid w:val="00E73EC8"/>
    <w:rsid w:val="00E74AEE"/>
    <w:rsid w:val="00E74ED3"/>
    <w:rsid w:val="00E77406"/>
    <w:rsid w:val="00E852C2"/>
    <w:rsid w:val="00E873E0"/>
    <w:rsid w:val="00E9035D"/>
    <w:rsid w:val="00E91063"/>
    <w:rsid w:val="00E91F6B"/>
    <w:rsid w:val="00E97613"/>
    <w:rsid w:val="00EA068B"/>
    <w:rsid w:val="00EA19DF"/>
    <w:rsid w:val="00EA1FA8"/>
    <w:rsid w:val="00EA2824"/>
    <w:rsid w:val="00EA2D9F"/>
    <w:rsid w:val="00EA5F0D"/>
    <w:rsid w:val="00EB4874"/>
    <w:rsid w:val="00EB5681"/>
    <w:rsid w:val="00EB63CB"/>
    <w:rsid w:val="00EB771F"/>
    <w:rsid w:val="00EB7F87"/>
    <w:rsid w:val="00EC1F7B"/>
    <w:rsid w:val="00EC2586"/>
    <w:rsid w:val="00EC6A64"/>
    <w:rsid w:val="00ED0130"/>
    <w:rsid w:val="00ED26E8"/>
    <w:rsid w:val="00ED320E"/>
    <w:rsid w:val="00ED3859"/>
    <w:rsid w:val="00ED4A42"/>
    <w:rsid w:val="00ED65EA"/>
    <w:rsid w:val="00ED6BB2"/>
    <w:rsid w:val="00EE00CB"/>
    <w:rsid w:val="00EE1699"/>
    <w:rsid w:val="00EE1F9D"/>
    <w:rsid w:val="00EE2500"/>
    <w:rsid w:val="00EE43E3"/>
    <w:rsid w:val="00EE6735"/>
    <w:rsid w:val="00EE6888"/>
    <w:rsid w:val="00EF5E00"/>
    <w:rsid w:val="00EF66C3"/>
    <w:rsid w:val="00F00D5D"/>
    <w:rsid w:val="00F0119E"/>
    <w:rsid w:val="00F01424"/>
    <w:rsid w:val="00F16BA6"/>
    <w:rsid w:val="00F17172"/>
    <w:rsid w:val="00F2141C"/>
    <w:rsid w:val="00F21B87"/>
    <w:rsid w:val="00F26AEF"/>
    <w:rsid w:val="00F304E4"/>
    <w:rsid w:val="00F30EC0"/>
    <w:rsid w:val="00F33D0B"/>
    <w:rsid w:val="00F36799"/>
    <w:rsid w:val="00F41D25"/>
    <w:rsid w:val="00F4277B"/>
    <w:rsid w:val="00F427CB"/>
    <w:rsid w:val="00F4311C"/>
    <w:rsid w:val="00F4349D"/>
    <w:rsid w:val="00F43F83"/>
    <w:rsid w:val="00F46306"/>
    <w:rsid w:val="00F4684D"/>
    <w:rsid w:val="00F4726B"/>
    <w:rsid w:val="00F47524"/>
    <w:rsid w:val="00F50670"/>
    <w:rsid w:val="00F515A2"/>
    <w:rsid w:val="00F53CB2"/>
    <w:rsid w:val="00F56D29"/>
    <w:rsid w:val="00F604C5"/>
    <w:rsid w:val="00F64EAA"/>
    <w:rsid w:val="00F65678"/>
    <w:rsid w:val="00F67416"/>
    <w:rsid w:val="00F67CB6"/>
    <w:rsid w:val="00F70A0B"/>
    <w:rsid w:val="00F70E91"/>
    <w:rsid w:val="00F73997"/>
    <w:rsid w:val="00F74544"/>
    <w:rsid w:val="00F751F0"/>
    <w:rsid w:val="00F81E40"/>
    <w:rsid w:val="00F824F2"/>
    <w:rsid w:val="00F830E2"/>
    <w:rsid w:val="00F83164"/>
    <w:rsid w:val="00F86AF9"/>
    <w:rsid w:val="00F908A9"/>
    <w:rsid w:val="00F908B6"/>
    <w:rsid w:val="00F91AC0"/>
    <w:rsid w:val="00F94C4F"/>
    <w:rsid w:val="00F96E80"/>
    <w:rsid w:val="00F97A35"/>
    <w:rsid w:val="00FA119B"/>
    <w:rsid w:val="00FA2A4D"/>
    <w:rsid w:val="00FA31A5"/>
    <w:rsid w:val="00FA49F4"/>
    <w:rsid w:val="00FA4E9B"/>
    <w:rsid w:val="00FB1023"/>
    <w:rsid w:val="00FB10D4"/>
    <w:rsid w:val="00FC115A"/>
    <w:rsid w:val="00FC2CAD"/>
    <w:rsid w:val="00FC3B8A"/>
    <w:rsid w:val="00FC45DA"/>
    <w:rsid w:val="00FC53EA"/>
    <w:rsid w:val="00FC6C4E"/>
    <w:rsid w:val="00FD115C"/>
    <w:rsid w:val="00FD34CB"/>
    <w:rsid w:val="00FD633C"/>
    <w:rsid w:val="00FD7F52"/>
    <w:rsid w:val="00FE0BAF"/>
    <w:rsid w:val="00FE2AED"/>
    <w:rsid w:val="00FE3385"/>
    <w:rsid w:val="00FE560F"/>
    <w:rsid w:val="00FE6F18"/>
    <w:rsid w:val="00FF09C4"/>
    <w:rsid w:val="00FF2AC0"/>
    <w:rsid w:val="00FF592F"/>
    <w:rsid w:val="00FF6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C85B"/>
  <w15:docId w15:val="{64475230-A402-431D-9260-8BCA550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B6"/>
  </w:style>
  <w:style w:type="paragraph" w:styleId="Ttulo1">
    <w:name w:val="heading 1"/>
    <w:basedOn w:val="Normal"/>
    <w:next w:val="Normal"/>
    <w:link w:val="Ttulo1Car"/>
    <w:uiPriority w:val="9"/>
    <w:qFormat/>
    <w:rsid w:val="002D35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091E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C262B6"/>
    <w:pPr>
      <w:ind w:left="720"/>
      <w:contextualSpacing/>
    </w:pPr>
  </w:style>
  <w:style w:type="character" w:styleId="Hipervnculo">
    <w:name w:val="Hyperlink"/>
    <w:basedOn w:val="Fuentedeprrafopredeter"/>
    <w:uiPriority w:val="99"/>
    <w:unhideWhenUsed/>
    <w:rsid w:val="00C262B6"/>
    <w:rPr>
      <w:color w:val="0000FF"/>
      <w:u w:val="single"/>
    </w:rPr>
  </w:style>
  <w:style w:type="character" w:styleId="Refdecomentario">
    <w:name w:val="annotation reference"/>
    <w:basedOn w:val="Fuentedeprrafopredeter"/>
    <w:uiPriority w:val="99"/>
    <w:semiHidden/>
    <w:unhideWhenUsed/>
    <w:rsid w:val="00C262B6"/>
    <w:rPr>
      <w:sz w:val="16"/>
      <w:szCs w:val="16"/>
    </w:rPr>
  </w:style>
  <w:style w:type="paragraph" w:styleId="Textocomentario">
    <w:name w:val="annotation text"/>
    <w:basedOn w:val="Normal"/>
    <w:link w:val="TextocomentarioCar"/>
    <w:uiPriority w:val="99"/>
    <w:semiHidden/>
    <w:unhideWhenUsed/>
    <w:rsid w:val="00C262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2B6"/>
    <w:rPr>
      <w:sz w:val="20"/>
      <w:szCs w:val="20"/>
    </w:rPr>
  </w:style>
  <w:style w:type="paragraph" w:customStyle="1" w:styleId="Default">
    <w:name w:val="Default"/>
    <w:rsid w:val="00C262B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semiHidden/>
    <w:unhideWhenUsed/>
    <w:rsid w:val="00C262B6"/>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semiHidden/>
    <w:rsid w:val="00C262B6"/>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semiHidden/>
    <w:unhideWhenUsed/>
    <w:rsid w:val="00C262B6"/>
    <w:rPr>
      <w:vertAlign w:val="superscript"/>
    </w:rPr>
  </w:style>
  <w:style w:type="paragraph" w:styleId="Encabezado">
    <w:name w:val="header"/>
    <w:aliases w:val="Encabezado1,.üG·"/>
    <w:basedOn w:val="Normal"/>
    <w:link w:val="EncabezadoCar"/>
    <w:unhideWhenUsed/>
    <w:rsid w:val="00C262B6"/>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rsid w:val="00C262B6"/>
  </w:style>
  <w:style w:type="paragraph" w:styleId="Textodeglobo">
    <w:name w:val="Balloon Text"/>
    <w:basedOn w:val="Normal"/>
    <w:link w:val="TextodegloboCar"/>
    <w:uiPriority w:val="99"/>
    <w:semiHidden/>
    <w:unhideWhenUsed/>
    <w:rsid w:val="00C26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2B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E28A9"/>
    <w:rPr>
      <w:b/>
      <w:bCs/>
    </w:rPr>
  </w:style>
  <w:style w:type="character" w:customStyle="1" w:styleId="AsuntodelcomentarioCar">
    <w:name w:val="Asunto del comentario Car"/>
    <w:basedOn w:val="TextocomentarioCar"/>
    <w:link w:val="Asuntodelcomentario"/>
    <w:uiPriority w:val="99"/>
    <w:semiHidden/>
    <w:rsid w:val="005E28A9"/>
    <w:rPr>
      <w:b/>
      <w:bCs/>
      <w:sz w:val="20"/>
      <w:szCs w:val="20"/>
    </w:rPr>
  </w:style>
  <w:style w:type="character" w:styleId="Textodelmarcadordeposicin">
    <w:name w:val="Placeholder Text"/>
    <w:basedOn w:val="Fuentedeprrafopredeter"/>
    <w:uiPriority w:val="99"/>
    <w:semiHidden/>
    <w:rsid w:val="00E74AEE"/>
    <w:rPr>
      <w:color w:val="808080"/>
    </w:rPr>
  </w:style>
  <w:style w:type="paragraph" w:styleId="Piedepgina">
    <w:name w:val="footer"/>
    <w:basedOn w:val="Normal"/>
    <w:link w:val="PiedepginaCar"/>
    <w:uiPriority w:val="99"/>
    <w:unhideWhenUsed/>
    <w:rsid w:val="00324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15D"/>
  </w:style>
  <w:style w:type="paragraph" w:styleId="NormalWeb">
    <w:name w:val="Normal (Web)"/>
    <w:basedOn w:val="Normal"/>
    <w:uiPriority w:val="99"/>
    <w:unhideWhenUsed/>
    <w:rsid w:val="00DB7E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D3536"/>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2D3536"/>
    <w:pPr>
      <w:spacing w:line="259" w:lineRule="auto"/>
      <w:outlineLvl w:val="9"/>
    </w:pPr>
    <w:rPr>
      <w:lang w:eastAsia="es-MX"/>
    </w:rPr>
  </w:style>
  <w:style w:type="paragraph" w:styleId="TDC2">
    <w:name w:val="toc 2"/>
    <w:basedOn w:val="Normal"/>
    <w:next w:val="Normal"/>
    <w:autoRedefine/>
    <w:uiPriority w:val="39"/>
    <w:unhideWhenUsed/>
    <w:rsid w:val="002D3536"/>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2D3536"/>
    <w:pPr>
      <w:tabs>
        <w:tab w:val="left" w:pos="660"/>
        <w:tab w:val="right" w:leader="dot" w:pos="9345"/>
      </w:tabs>
      <w:spacing w:after="100" w:line="259" w:lineRule="auto"/>
      <w:ind w:left="709" w:hanging="709"/>
    </w:pPr>
    <w:rPr>
      <w:rFonts w:eastAsiaTheme="minorEastAsia" w:cs="Times New Roman"/>
      <w:lang w:eastAsia="es-MX"/>
    </w:rPr>
  </w:style>
  <w:style w:type="paragraph" w:styleId="TDC3">
    <w:name w:val="toc 3"/>
    <w:basedOn w:val="Normal"/>
    <w:next w:val="Normal"/>
    <w:autoRedefine/>
    <w:uiPriority w:val="39"/>
    <w:unhideWhenUsed/>
    <w:rsid w:val="002D3536"/>
    <w:pPr>
      <w:spacing w:after="100" w:line="259" w:lineRule="auto"/>
      <w:ind w:left="440"/>
    </w:pPr>
    <w:rPr>
      <w:rFonts w:eastAsiaTheme="minorEastAsia" w:cs="Times New Roman"/>
      <w:lang w:eastAsia="es-MX"/>
    </w:rPr>
  </w:style>
  <w:style w:type="character" w:styleId="Hipervnculovisitado">
    <w:name w:val="FollowedHyperlink"/>
    <w:basedOn w:val="Fuentedeprrafopredeter"/>
    <w:uiPriority w:val="99"/>
    <w:semiHidden/>
    <w:unhideWhenUsed/>
    <w:rsid w:val="001159AC"/>
    <w:rPr>
      <w:color w:val="800080" w:themeColor="followedHyperlink"/>
      <w:u w:val="single"/>
    </w:rPr>
  </w:style>
  <w:style w:type="paragraph" w:customStyle="1" w:styleId="texto">
    <w:name w:val="texto"/>
    <w:basedOn w:val="Normal"/>
    <w:rsid w:val="00460A8F"/>
    <w:pPr>
      <w:spacing w:after="101" w:line="240" w:lineRule="auto"/>
      <w:ind w:firstLine="288"/>
      <w:jc w:val="both"/>
    </w:pPr>
    <w:rPr>
      <w:rFonts w:ascii="Times New Roman" w:eastAsia="Times New Roman" w:hAnsi="Times New Roman" w:cs="Times New Roman"/>
      <w:color w:val="2F2F2F"/>
      <w:sz w:val="18"/>
      <w:szCs w:val="18"/>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541FF7"/>
  </w:style>
  <w:style w:type="character" w:styleId="Mencinsinresolver">
    <w:name w:val="Unresolved Mention"/>
    <w:basedOn w:val="Fuentedeprrafopredeter"/>
    <w:uiPriority w:val="99"/>
    <w:semiHidden/>
    <w:unhideWhenUsed/>
    <w:rsid w:val="00762DE2"/>
    <w:rPr>
      <w:color w:val="605E5C"/>
      <w:shd w:val="clear" w:color="auto" w:fill="E1DFDD"/>
    </w:rPr>
  </w:style>
  <w:style w:type="paragraph" w:styleId="Revisin">
    <w:name w:val="Revision"/>
    <w:hidden/>
    <w:uiPriority w:val="99"/>
    <w:semiHidden/>
    <w:rsid w:val="00A87D4D"/>
    <w:pPr>
      <w:spacing w:after="0" w:line="240" w:lineRule="auto"/>
    </w:pPr>
  </w:style>
  <w:style w:type="character" w:customStyle="1" w:styleId="Ttulo3Car">
    <w:name w:val="Título 3 Car"/>
    <w:basedOn w:val="Fuentedeprrafopredeter"/>
    <w:link w:val="Ttulo3"/>
    <w:uiPriority w:val="9"/>
    <w:semiHidden/>
    <w:rsid w:val="00091E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580">
      <w:bodyDiv w:val="1"/>
      <w:marLeft w:val="0"/>
      <w:marRight w:val="0"/>
      <w:marTop w:val="0"/>
      <w:marBottom w:val="0"/>
      <w:divBdr>
        <w:top w:val="none" w:sz="0" w:space="0" w:color="auto"/>
        <w:left w:val="none" w:sz="0" w:space="0" w:color="auto"/>
        <w:bottom w:val="none" w:sz="0" w:space="0" w:color="auto"/>
        <w:right w:val="none" w:sz="0" w:space="0" w:color="auto"/>
      </w:divBdr>
    </w:div>
    <w:div w:id="132135975">
      <w:bodyDiv w:val="1"/>
      <w:marLeft w:val="0"/>
      <w:marRight w:val="0"/>
      <w:marTop w:val="0"/>
      <w:marBottom w:val="0"/>
      <w:divBdr>
        <w:top w:val="none" w:sz="0" w:space="0" w:color="auto"/>
        <w:left w:val="none" w:sz="0" w:space="0" w:color="auto"/>
        <w:bottom w:val="none" w:sz="0" w:space="0" w:color="auto"/>
        <w:right w:val="none" w:sz="0" w:space="0" w:color="auto"/>
      </w:divBdr>
    </w:div>
    <w:div w:id="210962825">
      <w:bodyDiv w:val="1"/>
      <w:marLeft w:val="0"/>
      <w:marRight w:val="0"/>
      <w:marTop w:val="0"/>
      <w:marBottom w:val="0"/>
      <w:divBdr>
        <w:top w:val="none" w:sz="0" w:space="0" w:color="auto"/>
        <w:left w:val="none" w:sz="0" w:space="0" w:color="auto"/>
        <w:bottom w:val="none" w:sz="0" w:space="0" w:color="auto"/>
        <w:right w:val="none" w:sz="0" w:space="0" w:color="auto"/>
      </w:divBdr>
    </w:div>
    <w:div w:id="285936537">
      <w:bodyDiv w:val="1"/>
      <w:marLeft w:val="0"/>
      <w:marRight w:val="0"/>
      <w:marTop w:val="0"/>
      <w:marBottom w:val="0"/>
      <w:divBdr>
        <w:top w:val="none" w:sz="0" w:space="0" w:color="auto"/>
        <w:left w:val="none" w:sz="0" w:space="0" w:color="auto"/>
        <w:bottom w:val="none" w:sz="0" w:space="0" w:color="auto"/>
        <w:right w:val="none" w:sz="0" w:space="0" w:color="auto"/>
      </w:divBdr>
    </w:div>
    <w:div w:id="370738098">
      <w:bodyDiv w:val="1"/>
      <w:marLeft w:val="0"/>
      <w:marRight w:val="0"/>
      <w:marTop w:val="0"/>
      <w:marBottom w:val="0"/>
      <w:divBdr>
        <w:top w:val="none" w:sz="0" w:space="0" w:color="auto"/>
        <w:left w:val="none" w:sz="0" w:space="0" w:color="auto"/>
        <w:bottom w:val="none" w:sz="0" w:space="0" w:color="auto"/>
        <w:right w:val="none" w:sz="0" w:space="0" w:color="auto"/>
      </w:divBdr>
    </w:div>
    <w:div w:id="547840724">
      <w:bodyDiv w:val="1"/>
      <w:marLeft w:val="0"/>
      <w:marRight w:val="0"/>
      <w:marTop w:val="0"/>
      <w:marBottom w:val="0"/>
      <w:divBdr>
        <w:top w:val="none" w:sz="0" w:space="0" w:color="auto"/>
        <w:left w:val="none" w:sz="0" w:space="0" w:color="auto"/>
        <w:bottom w:val="none" w:sz="0" w:space="0" w:color="auto"/>
        <w:right w:val="none" w:sz="0" w:space="0" w:color="auto"/>
      </w:divBdr>
    </w:div>
    <w:div w:id="578948050">
      <w:bodyDiv w:val="1"/>
      <w:marLeft w:val="0"/>
      <w:marRight w:val="0"/>
      <w:marTop w:val="0"/>
      <w:marBottom w:val="0"/>
      <w:divBdr>
        <w:top w:val="none" w:sz="0" w:space="0" w:color="auto"/>
        <w:left w:val="none" w:sz="0" w:space="0" w:color="auto"/>
        <w:bottom w:val="none" w:sz="0" w:space="0" w:color="auto"/>
        <w:right w:val="none" w:sz="0" w:space="0" w:color="auto"/>
      </w:divBdr>
    </w:div>
    <w:div w:id="769201089">
      <w:bodyDiv w:val="1"/>
      <w:marLeft w:val="0"/>
      <w:marRight w:val="0"/>
      <w:marTop w:val="0"/>
      <w:marBottom w:val="0"/>
      <w:divBdr>
        <w:top w:val="none" w:sz="0" w:space="0" w:color="auto"/>
        <w:left w:val="none" w:sz="0" w:space="0" w:color="auto"/>
        <w:bottom w:val="none" w:sz="0" w:space="0" w:color="auto"/>
        <w:right w:val="none" w:sz="0" w:space="0" w:color="auto"/>
      </w:divBdr>
    </w:div>
    <w:div w:id="797331709">
      <w:bodyDiv w:val="1"/>
      <w:marLeft w:val="0"/>
      <w:marRight w:val="0"/>
      <w:marTop w:val="0"/>
      <w:marBottom w:val="0"/>
      <w:divBdr>
        <w:top w:val="none" w:sz="0" w:space="0" w:color="auto"/>
        <w:left w:val="none" w:sz="0" w:space="0" w:color="auto"/>
        <w:bottom w:val="none" w:sz="0" w:space="0" w:color="auto"/>
        <w:right w:val="none" w:sz="0" w:space="0" w:color="auto"/>
      </w:divBdr>
      <w:divsChild>
        <w:div w:id="1987053149">
          <w:marLeft w:val="0"/>
          <w:marRight w:val="0"/>
          <w:marTop w:val="0"/>
          <w:marBottom w:val="0"/>
          <w:divBdr>
            <w:top w:val="none" w:sz="0" w:space="0" w:color="auto"/>
            <w:left w:val="none" w:sz="0" w:space="0" w:color="auto"/>
            <w:bottom w:val="none" w:sz="0" w:space="0" w:color="auto"/>
            <w:right w:val="none" w:sz="0" w:space="0" w:color="auto"/>
          </w:divBdr>
        </w:div>
      </w:divsChild>
    </w:div>
    <w:div w:id="818155279">
      <w:bodyDiv w:val="1"/>
      <w:marLeft w:val="0"/>
      <w:marRight w:val="0"/>
      <w:marTop w:val="0"/>
      <w:marBottom w:val="0"/>
      <w:divBdr>
        <w:top w:val="none" w:sz="0" w:space="0" w:color="auto"/>
        <w:left w:val="none" w:sz="0" w:space="0" w:color="auto"/>
        <w:bottom w:val="none" w:sz="0" w:space="0" w:color="auto"/>
        <w:right w:val="none" w:sz="0" w:space="0" w:color="auto"/>
      </w:divBdr>
    </w:div>
    <w:div w:id="832457371">
      <w:bodyDiv w:val="1"/>
      <w:marLeft w:val="0"/>
      <w:marRight w:val="0"/>
      <w:marTop w:val="0"/>
      <w:marBottom w:val="0"/>
      <w:divBdr>
        <w:top w:val="none" w:sz="0" w:space="0" w:color="auto"/>
        <w:left w:val="none" w:sz="0" w:space="0" w:color="auto"/>
        <w:bottom w:val="none" w:sz="0" w:space="0" w:color="auto"/>
        <w:right w:val="none" w:sz="0" w:space="0" w:color="auto"/>
      </w:divBdr>
    </w:div>
    <w:div w:id="835538258">
      <w:bodyDiv w:val="1"/>
      <w:marLeft w:val="0"/>
      <w:marRight w:val="0"/>
      <w:marTop w:val="0"/>
      <w:marBottom w:val="0"/>
      <w:divBdr>
        <w:top w:val="none" w:sz="0" w:space="0" w:color="auto"/>
        <w:left w:val="none" w:sz="0" w:space="0" w:color="auto"/>
        <w:bottom w:val="none" w:sz="0" w:space="0" w:color="auto"/>
        <w:right w:val="none" w:sz="0" w:space="0" w:color="auto"/>
      </w:divBdr>
    </w:div>
    <w:div w:id="1015230432">
      <w:bodyDiv w:val="1"/>
      <w:marLeft w:val="0"/>
      <w:marRight w:val="0"/>
      <w:marTop w:val="0"/>
      <w:marBottom w:val="0"/>
      <w:divBdr>
        <w:top w:val="none" w:sz="0" w:space="0" w:color="auto"/>
        <w:left w:val="none" w:sz="0" w:space="0" w:color="auto"/>
        <w:bottom w:val="none" w:sz="0" w:space="0" w:color="auto"/>
        <w:right w:val="none" w:sz="0" w:space="0" w:color="auto"/>
      </w:divBdr>
    </w:div>
    <w:div w:id="1104764572">
      <w:bodyDiv w:val="1"/>
      <w:marLeft w:val="0"/>
      <w:marRight w:val="0"/>
      <w:marTop w:val="0"/>
      <w:marBottom w:val="0"/>
      <w:divBdr>
        <w:top w:val="none" w:sz="0" w:space="0" w:color="auto"/>
        <w:left w:val="none" w:sz="0" w:space="0" w:color="auto"/>
        <w:bottom w:val="none" w:sz="0" w:space="0" w:color="auto"/>
        <w:right w:val="none" w:sz="0" w:space="0" w:color="auto"/>
      </w:divBdr>
      <w:divsChild>
        <w:div w:id="1922980648">
          <w:marLeft w:val="0"/>
          <w:marRight w:val="0"/>
          <w:marTop w:val="240"/>
          <w:marBottom w:val="0"/>
          <w:divBdr>
            <w:top w:val="none" w:sz="0" w:space="0" w:color="auto"/>
            <w:left w:val="none" w:sz="0" w:space="0" w:color="auto"/>
            <w:bottom w:val="none" w:sz="0" w:space="0" w:color="auto"/>
            <w:right w:val="none" w:sz="0" w:space="0" w:color="auto"/>
          </w:divBdr>
          <w:divsChild>
            <w:div w:id="20808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1009">
      <w:bodyDiv w:val="1"/>
      <w:marLeft w:val="0"/>
      <w:marRight w:val="0"/>
      <w:marTop w:val="0"/>
      <w:marBottom w:val="0"/>
      <w:divBdr>
        <w:top w:val="none" w:sz="0" w:space="0" w:color="auto"/>
        <w:left w:val="none" w:sz="0" w:space="0" w:color="auto"/>
        <w:bottom w:val="none" w:sz="0" w:space="0" w:color="auto"/>
        <w:right w:val="none" w:sz="0" w:space="0" w:color="auto"/>
      </w:divBdr>
      <w:divsChild>
        <w:div w:id="50227431">
          <w:marLeft w:val="0"/>
          <w:marRight w:val="0"/>
          <w:marTop w:val="0"/>
          <w:marBottom w:val="0"/>
          <w:divBdr>
            <w:top w:val="none" w:sz="0" w:space="0" w:color="auto"/>
            <w:left w:val="none" w:sz="0" w:space="0" w:color="auto"/>
            <w:bottom w:val="none" w:sz="0" w:space="0" w:color="auto"/>
            <w:right w:val="none" w:sz="0" w:space="0" w:color="auto"/>
          </w:divBdr>
        </w:div>
      </w:divsChild>
    </w:div>
    <w:div w:id="1171875550">
      <w:bodyDiv w:val="1"/>
      <w:marLeft w:val="0"/>
      <w:marRight w:val="0"/>
      <w:marTop w:val="0"/>
      <w:marBottom w:val="0"/>
      <w:divBdr>
        <w:top w:val="none" w:sz="0" w:space="0" w:color="auto"/>
        <w:left w:val="none" w:sz="0" w:space="0" w:color="auto"/>
        <w:bottom w:val="none" w:sz="0" w:space="0" w:color="auto"/>
        <w:right w:val="none" w:sz="0" w:space="0" w:color="auto"/>
      </w:divBdr>
    </w:div>
    <w:div w:id="1367801885">
      <w:bodyDiv w:val="1"/>
      <w:marLeft w:val="0"/>
      <w:marRight w:val="0"/>
      <w:marTop w:val="0"/>
      <w:marBottom w:val="0"/>
      <w:divBdr>
        <w:top w:val="none" w:sz="0" w:space="0" w:color="auto"/>
        <w:left w:val="none" w:sz="0" w:space="0" w:color="auto"/>
        <w:bottom w:val="none" w:sz="0" w:space="0" w:color="auto"/>
        <w:right w:val="none" w:sz="0" w:space="0" w:color="auto"/>
      </w:divBdr>
    </w:div>
    <w:div w:id="1407023811">
      <w:bodyDiv w:val="1"/>
      <w:marLeft w:val="0"/>
      <w:marRight w:val="0"/>
      <w:marTop w:val="0"/>
      <w:marBottom w:val="0"/>
      <w:divBdr>
        <w:top w:val="none" w:sz="0" w:space="0" w:color="auto"/>
        <w:left w:val="none" w:sz="0" w:space="0" w:color="auto"/>
        <w:bottom w:val="none" w:sz="0" w:space="0" w:color="auto"/>
        <w:right w:val="none" w:sz="0" w:space="0" w:color="auto"/>
      </w:divBdr>
    </w:div>
    <w:div w:id="1479883736">
      <w:bodyDiv w:val="1"/>
      <w:marLeft w:val="0"/>
      <w:marRight w:val="0"/>
      <w:marTop w:val="0"/>
      <w:marBottom w:val="0"/>
      <w:divBdr>
        <w:top w:val="none" w:sz="0" w:space="0" w:color="auto"/>
        <w:left w:val="none" w:sz="0" w:space="0" w:color="auto"/>
        <w:bottom w:val="none" w:sz="0" w:space="0" w:color="auto"/>
        <w:right w:val="none" w:sz="0" w:space="0" w:color="auto"/>
      </w:divBdr>
    </w:div>
    <w:div w:id="1492599773">
      <w:bodyDiv w:val="1"/>
      <w:marLeft w:val="0"/>
      <w:marRight w:val="0"/>
      <w:marTop w:val="0"/>
      <w:marBottom w:val="0"/>
      <w:divBdr>
        <w:top w:val="none" w:sz="0" w:space="0" w:color="auto"/>
        <w:left w:val="none" w:sz="0" w:space="0" w:color="auto"/>
        <w:bottom w:val="none" w:sz="0" w:space="0" w:color="auto"/>
        <w:right w:val="none" w:sz="0" w:space="0" w:color="auto"/>
      </w:divBdr>
    </w:div>
    <w:div w:id="1565678970">
      <w:bodyDiv w:val="1"/>
      <w:marLeft w:val="0"/>
      <w:marRight w:val="0"/>
      <w:marTop w:val="0"/>
      <w:marBottom w:val="0"/>
      <w:divBdr>
        <w:top w:val="none" w:sz="0" w:space="0" w:color="auto"/>
        <w:left w:val="none" w:sz="0" w:space="0" w:color="auto"/>
        <w:bottom w:val="none" w:sz="0" w:space="0" w:color="auto"/>
        <w:right w:val="none" w:sz="0" w:space="0" w:color="auto"/>
      </w:divBdr>
    </w:div>
    <w:div w:id="1575971799">
      <w:bodyDiv w:val="1"/>
      <w:marLeft w:val="0"/>
      <w:marRight w:val="0"/>
      <w:marTop w:val="0"/>
      <w:marBottom w:val="0"/>
      <w:divBdr>
        <w:top w:val="none" w:sz="0" w:space="0" w:color="auto"/>
        <w:left w:val="none" w:sz="0" w:space="0" w:color="auto"/>
        <w:bottom w:val="none" w:sz="0" w:space="0" w:color="auto"/>
        <w:right w:val="none" w:sz="0" w:space="0" w:color="auto"/>
      </w:divBdr>
    </w:div>
    <w:div w:id="1625622873">
      <w:bodyDiv w:val="1"/>
      <w:marLeft w:val="0"/>
      <w:marRight w:val="0"/>
      <w:marTop w:val="0"/>
      <w:marBottom w:val="0"/>
      <w:divBdr>
        <w:top w:val="none" w:sz="0" w:space="0" w:color="auto"/>
        <w:left w:val="none" w:sz="0" w:space="0" w:color="auto"/>
        <w:bottom w:val="none" w:sz="0" w:space="0" w:color="auto"/>
        <w:right w:val="none" w:sz="0" w:space="0" w:color="auto"/>
      </w:divBdr>
    </w:div>
    <w:div w:id="1779984807">
      <w:bodyDiv w:val="1"/>
      <w:marLeft w:val="0"/>
      <w:marRight w:val="0"/>
      <w:marTop w:val="0"/>
      <w:marBottom w:val="0"/>
      <w:divBdr>
        <w:top w:val="none" w:sz="0" w:space="0" w:color="auto"/>
        <w:left w:val="none" w:sz="0" w:space="0" w:color="auto"/>
        <w:bottom w:val="none" w:sz="0" w:space="0" w:color="auto"/>
        <w:right w:val="none" w:sz="0" w:space="0" w:color="auto"/>
      </w:divBdr>
    </w:div>
    <w:div w:id="1795444063">
      <w:bodyDiv w:val="1"/>
      <w:marLeft w:val="0"/>
      <w:marRight w:val="0"/>
      <w:marTop w:val="0"/>
      <w:marBottom w:val="0"/>
      <w:divBdr>
        <w:top w:val="none" w:sz="0" w:space="0" w:color="auto"/>
        <w:left w:val="none" w:sz="0" w:space="0" w:color="auto"/>
        <w:bottom w:val="none" w:sz="0" w:space="0" w:color="auto"/>
        <w:right w:val="none" w:sz="0" w:space="0" w:color="auto"/>
      </w:divBdr>
    </w:div>
    <w:div w:id="1800997812">
      <w:bodyDiv w:val="1"/>
      <w:marLeft w:val="0"/>
      <w:marRight w:val="0"/>
      <w:marTop w:val="0"/>
      <w:marBottom w:val="0"/>
      <w:divBdr>
        <w:top w:val="none" w:sz="0" w:space="0" w:color="auto"/>
        <w:left w:val="none" w:sz="0" w:space="0" w:color="auto"/>
        <w:bottom w:val="none" w:sz="0" w:space="0" w:color="auto"/>
        <w:right w:val="none" w:sz="0" w:space="0" w:color="auto"/>
      </w:divBdr>
    </w:div>
    <w:div w:id="1920167252">
      <w:bodyDiv w:val="1"/>
      <w:marLeft w:val="0"/>
      <w:marRight w:val="0"/>
      <w:marTop w:val="0"/>
      <w:marBottom w:val="0"/>
      <w:divBdr>
        <w:top w:val="none" w:sz="0" w:space="0" w:color="auto"/>
        <w:left w:val="none" w:sz="0" w:space="0" w:color="auto"/>
        <w:bottom w:val="none" w:sz="0" w:space="0" w:color="auto"/>
        <w:right w:val="none" w:sz="0" w:space="0" w:color="auto"/>
      </w:divBdr>
    </w:div>
    <w:div w:id="1927491318">
      <w:bodyDiv w:val="1"/>
      <w:marLeft w:val="0"/>
      <w:marRight w:val="0"/>
      <w:marTop w:val="0"/>
      <w:marBottom w:val="0"/>
      <w:divBdr>
        <w:top w:val="none" w:sz="0" w:space="0" w:color="auto"/>
        <w:left w:val="none" w:sz="0" w:space="0" w:color="auto"/>
        <w:bottom w:val="none" w:sz="0" w:space="0" w:color="auto"/>
        <w:right w:val="none" w:sz="0" w:space="0" w:color="auto"/>
      </w:divBdr>
    </w:div>
    <w:div w:id="1954823486">
      <w:bodyDiv w:val="1"/>
      <w:marLeft w:val="0"/>
      <w:marRight w:val="0"/>
      <w:marTop w:val="0"/>
      <w:marBottom w:val="0"/>
      <w:divBdr>
        <w:top w:val="none" w:sz="0" w:space="0" w:color="auto"/>
        <w:left w:val="none" w:sz="0" w:space="0" w:color="auto"/>
        <w:bottom w:val="none" w:sz="0" w:space="0" w:color="auto"/>
        <w:right w:val="none" w:sz="0" w:space="0" w:color="auto"/>
      </w:divBdr>
    </w:div>
    <w:div w:id="2035765423">
      <w:bodyDiv w:val="1"/>
      <w:marLeft w:val="0"/>
      <w:marRight w:val="0"/>
      <w:marTop w:val="0"/>
      <w:marBottom w:val="0"/>
      <w:divBdr>
        <w:top w:val="none" w:sz="0" w:space="0" w:color="auto"/>
        <w:left w:val="none" w:sz="0" w:space="0" w:color="auto"/>
        <w:bottom w:val="none" w:sz="0" w:space="0" w:color="auto"/>
        <w:right w:val="none" w:sz="0" w:space="0" w:color="auto"/>
      </w:divBdr>
    </w:div>
    <w:div w:id="2042587076">
      <w:bodyDiv w:val="1"/>
      <w:marLeft w:val="0"/>
      <w:marRight w:val="0"/>
      <w:marTop w:val="0"/>
      <w:marBottom w:val="0"/>
      <w:divBdr>
        <w:top w:val="none" w:sz="0" w:space="0" w:color="auto"/>
        <w:left w:val="none" w:sz="0" w:space="0" w:color="auto"/>
        <w:bottom w:val="none" w:sz="0" w:space="0" w:color="auto"/>
        <w:right w:val="none" w:sz="0" w:space="0" w:color="auto"/>
      </w:divBdr>
    </w:div>
    <w:div w:id="20667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of.gob.mx/nota_detalle.php?codigo=4888039&amp;fecha=24/07/1998" TargetMode="External"/><Relationship Id="rId26" Type="http://schemas.openxmlformats.org/officeDocument/2006/relationships/hyperlink" Target="http://aleph.academica.mx/jspui/bitstream/56789/6004/1/DOCT2065090_ARTICULO_5.PDF" TargetMode="External"/><Relationship Id="rId3" Type="http://schemas.openxmlformats.org/officeDocument/2006/relationships/styles" Target="styles.xml"/><Relationship Id="rId21" Type="http://schemas.openxmlformats.org/officeDocument/2006/relationships/hyperlink" Target="http://www.justice.gov/atr/public/guidelines/hmg.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ur-lex.europa.eu/LexUriServ/LexUriServ.do?uri=OJ:C:2004:031:0005:0018:ES:PDF" TargetMode="External"/><Relationship Id="rId25" Type="http://schemas.openxmlformats.org/officeDocument/2006/relationships/hyperlink" Target="http://www.fne.gob.cl/wp-content/uploads/2012/10/Guia-Fusion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pc.ie/sites/default/files/CCPC%20Merger%20Guidelines_1.pdf" TargetMode="External"/><Relationship Id="rId20" Type="http://schemas.openxmlformats.org/officeDocument/2006/relationships/hyperlink" Target="http://scholarship.law.berkeley.edu/cgi/viewcontent.cgi?article=2149&amp;context=californialawreview" TargetMode="External"/><Relationship Id="rId29" Type="http://schemas.openxmlformats.org/officeDocument/2006/relationships/hyperlink" Target="http://www.pib.nic.in/newsite/erelease.aspx?relid=376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fccpc.gov.ng/uploads/Draft%20Revised%20Guidelines%20%20FCCPC.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f.es/documentos/recursos/publicaciones/papeles_trabajo/1998_02.pdf" TargetMode="External"/><Relationship Id="rId23" Type="http://schemas.openxmlformats.org/officeDocument/2006/relationships/hyperlink" Target="http://www.dot.gov.in/sites/default/files/Final%20Merger%20OM%2020-232-04%2821.2.04%291_0.doc" TargetMode="External"/><Relationship Id="rId28" Type="http://schemas.openxmlformats.org/officeDocument/2006/relationships/hyperlink" Target="https://www.internationalcompetitionnetwork.org/portfolio/role-of-economics-in-merger-analysis/" TargetMode="External"/><Relationship Id="rId10" Type="http://schemas.openxmlformats.org/officeDocument/2006/relationships/chart" Target="charts/chart3.xml"/><Relationship Id="rId19" Type="http://schemas.openxmlformats.org/officeDocument/2006/relationships/hyperlink" Target="http://www.dof.gob.mx/nota_detalle.php?codigo=5392185&amp;fecha=14/05/2015" TargetMode="External"/><Relationship Id="rId31" Type="http://schemas.openxmlformats.org/officeDocument/2006/relationships/hyperlink" Target="http://www.ipu.msu.edu/library/pdfs/nrri/Rosenberg-Telecom-Mergers-97-20-July-97.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accc.gov.au/system/files/Merger%20guidelines.pdf" TargetMode="External"/><Relationship Id="rId22" Type="http://schemas.openxmlformats.org/officeDocument/2006/relationships/hyperlink" Target="http://www.justice.gov/atr/public/guidelines/hmg-2010.pdf" TargetMode="External"/><Relationship Id="rId27" Type="http://schemas.openxmlformats.org/officeDocument/2006/relationships/hyperlink" Target="https://www.internationalcompetitionnetwork.org/portfolio/merger-guidelines-workbook/" TargetMode="External"/><Relationship Id="rId30" Type="http://schemas.openxmlformats.org/officeDocument/2006/relationships/hyperlink" Target="https://www.gov.uk/government/uploads/system/uploads/attachment_data/file/284449/OFT1254.pdf" TargetMode="Externa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competitionbureau.gc.ca/eic/site/cb-bc.nsf/eng/03420.html" TargetMode="External"/><Relationship Id="rId7" Type="http://schemas.openxmlformats.org/officeDocument/2006/relationships/hyperlink" Target="https://apps.fcc.gov/edocs_public/attachmatch/FCC-14-63A1.pdf" TargetMode="External"/><Relationship Id="rId2" Type="http://schemas.openxmlformats.org/officeDocument/2006/relationships/hyperlink" Target="http://www.justice.gov/atr/hmerger/11247.pdf" TargetMode="External"/><Relationship Id="rId1" Type="http://schemas.openxmlformats.org/officeDocument/2006/relationships/hyperlink" Target="http://www.dof.gob.mx/nota_detalle.php?codigo=5378340&amp;fecha=12/01/2015" TargetMode="External"/><Relationship Id="rId6" Type="http://schemas.openxmlformats.org/officeDocument/2006/relationships/hyperlink" Target="https://bit.ift.org.mx/BitWebApp/" TargetMode="External"/><Relationship Id="rId5" Type="http://schemas.openxmlformats.org/officeDocument/2006/relationships/hyperlink" Target="http://www.eiu.com/industry/article/1201336904/india-new-merger-rules-pave-the-way-for-consolidation/2013-12-13" TargetMode="External"/><Relationship Id="rId4" Type="http://schemas.openxmlformats.org/officeDocument/2006/relationships/hyperlink" Target="http://www.oft.gov.uk/shared_oft/mergers/642749/OFT125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catalina.rivas\Documents\Criterio%20T&#233;cnico\Datos%20mercados%20m&#243;viles\Concentrad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catalina.rivas\Documents\Criterio%20T&#233;cnico\Datos%20mercados%20m&#243;viles\Concentra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catalina.rivas\Documents\Criterio%20T&#233;cnico\Datos%20mercados%20m&#243;viles\Concentra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talina.rivas\Documents\Criterio%20T&#233;cnico\Datos%20mercados%20m&#243;viles\Concentrad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0" i="0" baseline="0">
                <a:effectLst/>
                <a:latin typeface="Arial" panose="020B0604020202020204" pitchFamily="34" charset="0"/>
                <a:cs typeface="Arial" panose="020B0604020202020204" pitchFamily="34" charset="0"/>
              </a:rPr>
              <a:t>IHH</a:t>
            </a:r>
            <a:endParaRPr lang="es-MX" sz="1200">
              <a:effectLst/>
              <a:latin typeface="Arial" panose="020B0604020202020204" pitchFamily="34" charset="0"/>
              <a:cs typeface="Arial" panose="020B0604020202020204" pitchFamily="34" charset="0"/>
            </a:endParaRPr>
          </a:p>
          <a:p>
            <a:pPr>
              <a:defRPr/>
            </a:pPr>
            <a:r>
              <a:rPr lang="es-MX" sz="900" b="0" i="0" baseline="0">
                <a:effectLst/>
                <a:latin typeface="Arial" panose="020B0604020202020204" pitchFamily="34" charset="0"/>
                <a:cs typeface="Arial" panose="020B0604020202020204" pitchFamily="34" charset="0"/>
              </a:rPr>
              <a:t>Servicios móviles (2019)</a:t>
            </a:r>
            <a:endParaRPr lang="es-MX" sz="9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4250035620284454"/>
          <c:y val="0.20005534034311012"/>
          <c:w val="0.82663977565295566"/>
          <c:h val="0.35128132503082937"/>
        </c:manualLayout>
      </c:layout>
      <c:barChart>
        <c:barDir val="col"/>
        <c:grouping val="clustered"/>
        <c:varyColors val="0"/>
        <c:ser>
          <c:idx val="0"/>
          <c:order val="0"/>
          <c:tx>
            <c:strRef>
              <c:f>'Mobile Services'!$AC$25</c:f>
              <c:strCache>
                <c:ptCount val="1"/>
                <c:pt idx="0">
                  <c:v>IHH</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0-49DD-4A53-ABFF-1FBC5AD6F387}"/>
              </c:ext>
            </c:extLst>
          </c:dPt>
          <c:cat>
            <c:strRef>
              <c:f>'Mobile Services'!$AB$26:$AB$41</c:f>
              <c:strCache>
                <c:ptCount val="16"/>
                <c:pt idx="0">
                  <c:v>México</c:v>
                </c:pt>
                <c:pt idx="1">
                  <c:v>China</c:v>
                </c:pt>
                <c:pt idx="2">
                  <c:v>Nueva Zelanda</c:v>
                </c:pt>
                <c:pt idx="3">
                  <c:v>Grecia</c:v>
                </c:pt>
                <c:pt idx="4">
                  <c:v>Australia</c:v>
                </c:pt>
                <c:pt idx="5">
                  <c:v>Nigeria</c:v>
                </c:pt>
                <c:pt idx="6">
                  <c:v>Irlanda</c:v>
                </c:pt>
                <c:pt idx="7">
                  <c:v>India</c:v>
                </c:pt>
                <c:pt idx="8">
                  <c:v>República Checa</c:v>
                </c:pt>
                <c:pt idx="9">
                  <c:v>Brazil</c:v>
                </c:pt>
                <c:pt idx="10">
                  <c:v>Estados Unidos</c:v>
                </c:pt>
                <c:pt idx="11">
                  <c:v>Rusia</c:v>
                </c:pt>
                <c:pt idx="12">
                  <c:v>Alemania</c:v>
                </c:pt>
                <c:pt idx="13">
                  <c:v>España</c:v>
                </c:pt>
                <c:pt idx="14">
                  <c:v>Polonia</c:v>
                </c:pt>
                <c:pt idx="15">
                  <c:v>Reino Unido</c:v>
                </c:pt>
              </c:strCache>
            </c:strRef>
          </c:cat>
          <c:val>
            <c:numRef>
              <c:f>'Mobile Services'!$AC$26:$AC$41</c:f>
              <c:numCache>
                <c:formatCode>_(* #,##0.00_);_(* \(#,##0.00\);_(* "-"??_);_(@_)</c:formatCode>
                <c:ptCount val="16"/>
                <c:pt idx="0">
                  <c:v>4515.7889442130017</c:v>
                </c:pt>
                <c:pt idx="1">
                  <c:v>3963.2849201549952</c:v>
                </c:pt>
                <c:pt idx="2">
                  <c:v>3630.0666724868574</c:v>
                </c:pt>
                <c:pt idx="3">
                  <c:v>3621.2972769758826</c:v>
                </c:pt>
                <c:pt idx="4">
                  <c:v>3442.6980452827352</c:v>
                </c:pt>
                <c:pt idx="5">
                  <c:v>3369.1494479610024</c:v>
                </c:pt>
                <c:pt idx="6">
                  <c:v>3057.7645332806032</c:v>
                </c:pt>
                <c:pt idx="7">
                  <c:v>2625.2770756997188</c:v>
                </c:pt>
                <c:pt idx="8">
                  <c:v>2600.1194874945504</c:v>
                </c:pt>
                <c:pt idx="9">
                  <c:v>2510.8524985315298</c:v>
                </c:pt>
                <c:pt idx="10">
                  <c:v>2471.7407560573829</c:v>
                </c:pt>
                <c:pt idx="11">
                  <c:v>2437.8585922594302</c:v>
                </c:pt>
                <c:pt idx="12">
                  <c:v>2352.6207667737931</c:v>
                </c:pt>
                <c:pt idx="13">
                  <c:v>2325.7691737069199</c:v>
                </c:pt>
                <c:pt idx="14">
                  <c:v>2293.3064694034429</c:v>
                </c:pt>
                <c:pt idx="15">
                  <c:v>2070.4035176450293</c:v>
                </c:pt>
              </c:numCache>
            </c:numRef>
          </c:val>
          <c:extLst>
            <c:ext xmlns:c16="http://schemas.microsoft.com/office/drawing/2014/chart" uri="{C3380CC4-5D6E-409C-BE32-E72D297353CC}">
              <c16:uniqueId val="{00000000-10CD-472D-A989-4516E2094AC2}"/>
            </c:ext>
          </c:extLst>
        </c:ser>
        <c:dLbls>
          <c:showLegendKey val="0"/>
          <c:showVal val="0"/>
          <c:showCatName val="0"/>
          <c:showSerName val="0"/>
          <c:showPercent val="0"/>
          <c:showBubbleSize val="0"/>
        </c:dLbls>
        <c:gapWidth val="219"/>
        <c:overlap val="-27"/>
        <c:axId val="1240027855"/>
        <c:axId val="1240029103"/>
      </c:barChart>
      <c:catAx>
        <c:axId val="124002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240029103"/>
        <c:crosses val="autoZero"/>
        <c:auto val="1"/>
        <c:lblAlgn val="ctr"/>
        <c:lblOffset val="100"/>
        <c:noMultiLvlLbl val="0"/>
      </c:catAx>
      <c:valAx>
        <c:axId val="124002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40027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latin typeface="Arial" panose="020B0604020202020204" pitchFamily="34" charset="0"/>
                <a:cs typeface="Arial" panose="020B0604020202020204" pitchFamily="34" charset="0"/>
              </a:rPr>
              <a:t>IHH</a:t>
            </a:r>
            <a:endParaRPr lang="es-MX" sz="1200" baseline="0">
              <a:latin typeface="Arial" panose="020B0604020202020204" pitchFamily="34" charset="0"/>
              <a:cs typeface="Arial" panose="020B0604020202020204" pitchFamily="34" charset="0"/>
            </a:endParaRPr>
          </a:p>
          <a:p>
            <a:pPr>
              <a:defRPr/>
            </a:pPr>
            <a:r>
              <a:rPr lang="es-MX" sz="900" baseline="0">
                <a:latin typeface="Arial" panose="020B0604020202020204" pitchFamily="34" charset="0"/>
                <a:cs typeface="Arial" panose="020B0604020202020204" pitchFamily="34" charset="0"/>
              </a:rPr>
              <a:t>Telefónía fija (2019)</a:t>
            </a:r>
            <a:endParaRPr lang="es-MX" sz="9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'Lineas Telefónicas fijas'!$AO$23</c:f>
              <c:strCache>
                <c:ptCount val="1"/>
                <c:pt idx="0">
                  <c:v>IHH</c:v>
                </c:pt>
              </c:strCache>
            </c:strRef>
          </c:tx>
          <c:spPr>
            <a:solidFill>
              <a:schemeClr val="accent1"/>
            </a:solidFill>
            <a:ln>
              <a:noFill/>
            </a:ln>
            <a:effectLst/>
          </c:spPr>
          <c:invertIfNegative val="0"/>
          <c:dPt>
            <c:idx val="2"/>
            <c:invertIfNegative val="0"/>
            <c:bubble3D val="0"/>
            <c:spPr>
              <a:solidFill>
                <a:srgbClr val="00B050"/>
              </a:solidFill>
              <a:ln>
                <a:noFill/>
              </a:ln>
              <a:effectLst/>
            </c:spPr>
            <c:extLst>
              <c:ext xmlns:c16="http://schemas.microsoft.com/office/drawing/2014/chart" uri="{C3380CC4-5D6E-409C-BE32-E72D297353CC}">
                <c16:uniqueId val="{00000000-73D9-454A-96BA-16213448EDE5}"/>
              </c:ext>
            </c:extLst>
          </c:dPt>
          <c:cat>
            <c:strRef>
              <c:f>'Lineas Telefónicas fijas'!$AN$24:$AN$39</c:f>
              <c:strCache>
                <c:ptCount val="16"/>
                <c:pt idx="0">
                  <c:v>Nigeria</c:v>
                </c:pt>
                <c:pt idx="1">
                  <c:v>Rusia</c:v>
                </c:pt>
                <c:pt idx="2">
                  <c:v>México</c:v>
                </c:pt>
                <c:pt idx="3">
                  <c:v>Australia</c:v>
                </c:pt>
                <c:pt idx="4">
                  <c:v>Nueva Zelanda</c:v>
                </c:pt>
                <c:pt idx="5">
                  <c:v>China</c:v>
                </c:pt>
                <c:pt idx="6">
                  <c:v>Polonia</c:v>
                </c:pt>
                <c:pt idx="7">
                  <c:v>Grecia</c:v>
                </c:pt>
                <c:pt idx="8">
                  <c:v>Alemania</c:v>
                </c:pt>
                <c:pt idx="9">
                  <c:v>Irlanda</c:v>
                </c:pt>
                <c:pt idx="10">
                  <c:v>Brazil</c:v>
                </c:pt>
                <c:pt idx="11">
                  <c:v>República Checa</c:v>
                </c:pt>
                <c:pt idx="12">
                  <c:v>India</c:v>
                </c:pt>
                <c:pt idx="13">
                  <c:v>España</c:v>
                </c:pt>
                <c:pt idx="14">
                  <c:v>Estados Unidos</c:v>
                </c:pt>
                <c:pt idx="15">
                  <c:v>Reino Unido</c:v>
                </c:pt>
              </c:strCache>
            </c:strRef>
          </c:cat>
          <c:val>
            <c:numRef>
              <c:f>'Lineas Telefónicas fijas'!$AO$24:$AO$39</c:f>
              <c:numCache>
                <c:formatCode>_(* #,##0.00_);_(* \(#,##0.00\);_(* "-"??_);_(@_)</c:formatCode>
                <c:ptCount val="16"/>
                <c:pt idx="0">
                  <c:v>4144.372199532756</c:v>
                </c:pt>
                <c:pt idx="1">
                  <c:v>3837.5545040718848</c:v>
                </c:pt>
                <c:pt idx="2">
                  <c:v>3771.9358048224899</c:v>
                </c:pt>
                <c:pt idx="3">
                  <c:v>3636.5388081430142</c:v>
                </c:pt>
                <c:pt idx="4">
                  <c:v>3458.1522830135827</c:v>
                </c:pt>
                <c:pt idx="5">
                  <c:v>3399.8117317461206</c:v>
                </c:pt>
                <c:pt idx="6">
                  <c:v>3272.7048567169081</c:v>
                </c:pt>
                <c:pt idx="7">
                  <c:v>3094.2363268727204</c:v>
                </c:pt>
                <c:pt idx="8">
                  <c:v>3038.4711356492198</c:v>
                </c:pt>
                <c:pt idx="9">
                  <c:v>3038.124589215382</c:v>
                </c:pt>
                <c:pt idx="10">
                  <c:v>2914.2098570954299</c:v>
                </c:pt>
                <c:pt idx="11">
                  <c:v>2895.9688618613404</c:v>
                </c:pt>
                <c:pt idx="12">
                  <c:v>2827.4861538326822</c:v>
                </c:pt>
                <c:pt idx="13">
                  <c:v>2820.3359204851295</c:v>
                </c:pt>
                <c:pt idx="14">
                  <c:v>2425.9796733877779</c:v>
                </c:pt>
                <c:pt idx="15">
                  <c:v>2391.3988161852058</c:v>
                </c:pt>
              </c:numCache>
            </c:numRef>
          </c:val>
          <c:extLst>
            <c:ext xmlns:c16="http://schemas.microsoft.com/office/drawing/2014/chart" uri="{C3380CC4-5D6E-409C-BE32-E72D297353CC}">
              <c16:uniqueId val="{00000000-129D-406E-AB33-ED1395BF18DF}"/>
            </c:ext>
          </c:extLst>
        </c:ser>
        <c:dLbls>
          <c:showLegendKey val="0"/>
          <c:showVal val="0"/>
          <c:showCatName val="0"/>
          <c:showSerName val="0"/>
          <c:showPercent val="0"/>
          <c:showBubbleSize val="0"/>
        </c:dLbls>
        <c:gapWidth val="219"/>
        <c:overlap val="-27"/>
        <c:axId val="1332391055"/>
        <c:axId val="1332402703"/>
      </c:barChart>
      <c:catAx>
        <c:axId val="133239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32402703"/>
        <c:crosses val="autoZero"/>
        <c:auto val="1"/>
        <c:lblAlgn val="ctr"/>
        <c:lblOffset val="100"/>
        <c:noMultiLvlLbl val="0"/>
      </c:catAx>
      <c:valAx>
        <c:axId val="1332402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32391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100" b="0" i="0" baseline="0">
                <a:effectLst/>
                <a:latin typeface="Arial" panose="020B0604020202020204" pitchFamily="34" charset="0"/>
                <a:cs typeface="Arial" panose="020B0604020202020204" pitchFamily="34" charset="0"/>
              </a:rPr>
              <a:t>IHH</a:t>
            </a:r>
            <a:endParaRPr lang="es-MX" sz="1100">
              <a:effectLst/>
              <a:latin typeface="Arial" panose="020B0604020202020204" pitchFamily="34" charset="0"/>
              <a:cs typeface="Arial" panose="020B0604020202020204" pitchFamily="34" charset="0"/>
            </a:endParaRPr>
          </a:p>
          <a:p>
            <a:pPr>
              <a:defRPr/>
            </a:pPr>
            <a:r>
              <a:rPr lang="es-MX" sz="900" b="0" i="0" baseline="0">
                <a:effectLst/>
                <a:latin typeface="Arial" panose="020B0604020202020204" pitchFamily="34" charset="0"/>
                <a:cs typeface="Arial" panose="020B0604020202020204" pitchFamily="34" charset="0"/>
              </a:rPr>
              <a:t>Acceso a Internet fijo (2019)</a:t>
            </a:r>
            <a:endParaRPr lang="es-MX" sz="9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'Cuentas de internet de band anc'!$AO$26</c:f>
              <c:strCache>
                <c:ptCount val="1"/>
                <c:pt idx="0">
                  <c:v>IHH</c:v>
                </c:pt>
              </c:strCache>
            </c:strRef>
          </c:tx>
          <c:spPr>
            <a:solidFill>
              <a:schemeClr val="accent1"/>
            </a:solidFill>
            <a:ln>
              <a:noFill/>
            </a:ln>
            <a:effectLst/>
          </c:spPr>
          <c:invertIfNegative val="0"/>
          <c:dPt>
            <c:idx val="2"/>
            <c:invertIfNegative val="0"/>
            <c:bubble3D val="0"/>
            <c:spPr>
              <a:solidFill>
                <a:srgbClr val="00B050"/>
              </a:solidFill>
              <a:ln>
                <a:noFill/>
              </a:ln>
              <a:effectLst/>
            </c:spPr>
            <c:extLst>
              <c:ext xmlns:c16="http://schemas.microsoft.com/office/drawing/2014/chart" uri="{C3380CC4-5D6E-409C-BE32-E72D297353CC}">
                <c16:uniqueId val="{00000000-8AE2-4F52-AAAB-0DC52030569D}"/>
              </c:ext>
            </c:extLst>
          </c:dPt>
          <c:cat>
            <c:strRef>
              <c:f>'Cuentas de internet de band anc'!$AN$27:$AN$42</c:f>
              <c:strCache>
                <c:ptCount val="16"/>
                <c:pt idx="0">
                  <c:v>Nigeria</c:v>
                </c:pt>
                <c:pt idx="1">
                  <c:v>India</c:v>
                </c:pt>
                <c:pt idx="2">
                  <c:v>México</c:v>
                </c:pt>
                <c:pt idx="3">
                  <c:v>Grecia</c:v>
                </c:pt>
                <c:pt idx="4">
                  <c:v>China</c:v>
                </c:pt>
                <c:pt idx="5">
                  <c:v>Australia</c:v>
                </c:pt>
                <c:pt idx="6">
                  <c:v>Alemania</c:v>
                </c:pt>
                <c:pt idx="7">
                  <c:v>República Checa</c:v>
                </c:pt>
                <c:pt idx="8">
                  <c:v>Irlanda</c:v>
                </c:pt>
                <c:pt idx="9">
                  <c:v>Nueva Zelanda</c:v>
                </c:pt>
                <c:pt idx="10">
                  <c:v>España</c:v>
                </c:pt>
                <c:pt idx="11">
                  <c:v>Rusia</c:v>
                </c:pt>
                <c:pt idx="12">
                  <c:v>Brazil</c:v>
                </c:pt>
                <c:pt idx="13">
                  <c:v>Reino Unido</c:v>
                </c:pt>
                <c:pt idx="14">
                  <c:v>Estados Unidos</c:v>
                </c:pt>
                <c:pt idx="15">
                  <c:v>Polonia</c:v>
                </c:pt>
              </c:strCache>
            </c:strRef>
          </c:cat>
          <c:val>
            <c:numRef>
              <c:f>'Cuentas de internet de band anc'!$AO$27:$AO$42</c:f>
              <c:numCache>
                <c:formatCode>_(* #,##0.00_);_(* \(#,##0.00\);_(* "-"??_);_(@_)</c:formatCode>
                <c:ptCount val="16"/>
                <c:pt idx="0">
                  <c:v>4499.7608906626792</c:v>
                </c:pt>
                <c:pt idx="1">
                  <c:v>4071.0292897955082</c:v>
                </c:pt>
                <c:pt idx="2">
                  <c:v>3468.1580192478182</c:v>
                </c:pt>
                <c:pt idx="3">
                  <c:v>3243.0080060323367</c:v>
                </c:pt>
                <c:pt idx="4">
                  <c:v>2996.3599786851801</c:v>
                </c:pt>
                <c:pt idx="5">
                  <c:v>2808.9662245547834</c:v>
                </c:pt>
                <c:pt idx="6">
                  <c:v>2795.8880932901047</c:v>
                </c:pt>
                <c:pt idx="7">
                  <c:v>2771.7306594564807</c:v>
                </c:pt>
                <c:pt idx="8">
                  <c:v>2668.5008598575228</c:v>
                </c:pt>
                <c:pt idx="9">
                  <c:v>2638.364511117466</c:v>
                </c:pt>
                <c:pt idx="10">
                  <c:v>2631.1774779272596</c:v>
                </c:pt>
                <c:pt idx="11">
                  <c:v>2563.7918432236875</c:v>
                </c:pt>
                <c:pt idx="12">
                  <c:v>2472.2324184064059</c:v>
                </c:pt>
                <c:pt idx="13">
                  <c:v>2375.3970478725287</c:v>
                </c:pt>
                <c:pt idx="14">
                  <c:v>2175.3400350993325</c:v>
                </c:pt>
                <c:pt idx="15">
                  <c:v>2112.6231470633984</c:v>
                </c:pt>
              </c:numCache>
            </c:numRef>
          </c:val>
          <c:extLst>
            <c:ext xmlns:c16="http://schemas.microsoft.com/office/drawing/2014/chart" uri="{C3380CC4-5D6E-409C-BE32-E72D297353CC}">
              <c16:uniqueId val="{00000000-97CC-41E4-A41E-58BBCAEE0C2B}"/>
            </c:ext>
          </c:extLst>
        </c:ser>
        <c:dLbls>
          <c:showLegendKey val="0"/>
          <c:showVal val="0"/>
          <c:showCatName val="0"/>
          <c:showSerName val="0"/>
          <c:showPercent val="0"/>
          <c:showBubbleSize val="0"/>
        </c:dLbls>
        <c:gapWidth val="219"/>
        <c:overlap val="-27"/>
        <c:axId val="1014086207"/>
        <c:axId val="1014088287"/>
      </c:barChart>
      <c:catAx>
        <c:axId val="101408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4088287"/>
        <c:crosses val="autoZero"/>
        <c:auto val="1"/>
        <c:lblAlgn val="ctr"/>
        <c:lblOffset val="100"/>
        <c:noMultiLvlLbl val="0"/>
      </c:catAx>
      <c:valAx>
        <c:axId val="1014088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4086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800" b="0" i="0" baseline="0">
                <a:effectLst/>
              </a:rPr>
              <a:t>IHH</a:t>
            </a:r>
            <a:endParaRPr lang="es-MX" sz="1800">
              <a:effectLst/>
            </a:endParaRPr>
          </a:p>
          <a:p>
            <a:pPr>
              <a:defRPr/>
            </a:pPr>
            <a:r>
              <a:rPr lang="es-MX" sz="1000" b="0" i="0" baseline="0">
                <a:effectLst/>
              </a:rPr>
              <a:t>STAR (2019)</a:t>
            </a:r>
            <a:endParaRPr lang="es-MX"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'Televisión de paga'!$AB$24</c:f>
              <c:strCache>
                <c:ptCount val="1"/>
                <c:pt idx="0">
                  <c:v>IHH</c:v>
                </c:pt>
              </c:strCache>
            </c:strRef>
          </c:tx>
          <c:spPr>
            <a:solidFill>
              <a:schemeClr val="accent1"/>
            </a:solidFill>
            <a:ln>
              <a:noFill/>
            </a:ln>
            <a:effectLst/>
          </c:spPr>
          <c:invertIfNegative val="0"/>
          <c:dPt>
            <c:idx val="6"/>
            <c:invertIfNegative val="0"/>
            <c:bubble3D val="0"/>
            <c:spPr>
              <a:solidFill>
                <a:srgbClr val="00B050"/>
              </a:solidFill>
              <a:ln>
                <a:noFill/>
              </a:ln>
              <a:effectLst/>
            </c:spPr>
            <c:extLst>
              <c:ext xmlns:c16="http://schemas.microsoft.com/office/drawing/2014/chart" uri="{C3380CC4-5D6E-409C-BE32-E72D297353CC}">
                <c16:uniqueId val="{00000000-DAB9-4346-93FA-46A27C7B5225}"/>
              </c:ext>
            </c:extLst>
          </c:dPt>
          <c:cat>
            <c:strRef>
              <c:f>'Televisión de paga'!$AA$25:$AA$38</c:f>
              <c:strCache>
                <c:ptCount val="14"/>
                <c:pt idx="0">
                  <c:v>Australia</c:v>
                </c:pt>
                <c:pt idx="1">
                  <c:v>Brazil</c:v>
                </c:pt>
                <c:pt idx="2">
                  <c:v>China</c:v>
                </c:pt>
                <c:pt idx="3">
                  <c:v>República Checa</c:v>
                </c:pt>
                <c:pt idx="4">
                  <c:v>Alemania</c:v>
                </c:pt>
                <c:pt idx="5">
                  <c:v>India</c:v>
                </c:pt>
                <c:pt idx="6">
                  <c:v>México</c:v>
                </c:pt>
                <c:pt idx="7">
                  <c:v>Nueva Zelanda</c:v>
                </c:pt>
                <c:pt idx="8">
                  <c:v>Nigeria</c:v>
                </c:pt>
                <c:pt idx="9">
                  <c:v>Polonia</c:v>
                </c:pt>
                <c:pt idx="10">
                  <c:v>Rusia</c:v>
                </c:pt>
                <c:pt idx="11">
                  <c:v>España</c:v>
                </c:pt>
                <c:pt idx="12">
                  <c:v>Reino Unido</c:v>
                </c:pt>
                <c:pt idx="13">
                  <c:v>Estados Unidos</c:v>
                </c:pt>
              </c:strCache>
            </c:strRef>
          </c:cat>
          <c:val>
            <c:numRef>
              <c:f>'Televisión de paga'!$AB$25:$AB$38</c:f>
              <c:numCache>
                <c:formatCode>_-* #,##0_-;\-* #,##0_-;_-* "-"??_-;_-@_-</c:formatCode>
                <c:ptCount val="14"/>
                <c:pt idx="0">
                  <c:v>5006.5365597675864</c:v>
                </c:pt>
                <c:pt idx="1">
                  <c:v>2836.0679465747203</c:v>
                </c:pt>
                <c:pt idx="2">
                  <c:v>3536.0182018491109</c:v>
                </c:pt>
                <c:pt idx="3">
                  <c:v>3010.010542539515</c:v>
                </c:pt>
                <c:pt idx="4">
                  <c:v>3224.9258859308325</c:v>
                </c:pt>
                <c:pt idx="5">
                  <c:v>3733.9996568062816</c:v>
                </c:pt>
                <c:pt idx="6">
                  <c:v>2786.5350370600117</c:v>
                </c:pt>
                <c:pt idx="7">
                  <c:v>5290.2139155292371</c:v>
                </c:pt>
                <c:pt idx="8">
                  <c:v>4041.1834106462602</c:v>
                </c:pt>
                <c:pt idx="9">
                  <c:v>2253.9071622255724</c:v>
                </c:pt>
                <c:pt idx="10">
                  <c:v>1972.1692626984773</c:v>
                </c:pt>
                <c:pt idx="11">
                  <c:v>4179.715000408497</c:v>
                </c:pt>
                <c:pt idx="12">
                  <c:v>4460.472696347586</c:v>
                </c:pt>
                <c:pt idx="13">
                  <c:v>1696.7285838109842</c:v>
                </c:pt>
              </c:numCache>
            </c:numRef>
          </c:val>
          <c:extLst>
            <c:ext xmlns:c16="http://schemas.microsoft.com/office/drawing/2014/chart" uri="{C3380CC4-5D6E-409C-BE32-E72D297353CC}">
              <c16:uniqueId val="{00000000-8B62-4B91-A3DB-AC29E20D958A}"/>
            </c:ext>
          </c:extLst>
        </c:ser>
        <c:dLbls>
          <c:showLegendKey val="0"/>
          <c:showVal val="0"/>
          <c:showCatName val="0"/>
          <c:showSerName val="0"/>
          <c:showPercent val="0"/>
          <c:showBubbleSize val="0"/>
        </c:dLbls>
        <c:gapWidth val="219"/>
        <c:overlap val="-27"/>
        <c:axId val="26520080"/>
        <c:axId val="26526320"/>
      </c:barChart>
      <c:catAx>
        <c:axId val="2652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526320"/>
        <c:crosses val="autoZero"/>
        <c:auto val="1"/>
        <c:lblAlgn val="ctr"/>
        <c:lblOffset val="100"/>
        <c:noMultiLvlLbl val="0"/>
      </c:catAx>
      <c:valAx>
        <c:axId val="2652632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52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2D22-F9AA-49F5-BC93-EB5B276E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12625</Words>
  <Characters>69440</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flores santillan</dc:creator>
  <cp:keywords/>
  <dc:description/>
  <cp:lastModifiedBy>Juan Manuel Hernandez Perez</cp:lastModifiedBy>
  <cp:revision>5</cp:revision>
  <cp:lastPrinted>2015-09-11T01:48:00Z</cp:lastPrinted>
  <dcterms:created xsi:type="dcterms:W3CDTF">2021-08-18T19:13:00Z</dcterms:created>
  <dcterms:modified xsi:type="dcterms:W3CDTF">2021-08-18T20:43:00Z</dcterms:modified>
</cp:coreProperties>
</file>