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BCDD" w14:textId="043EF8E4" w:rsidR="00886F2A" w:rsidRDefault="00600C81" w:rsidP="006C4560">
      <w:pPr>
        <w:tabs>
          <w:tab w:val="left" w:pos="4395"/>
        </w:tabs>
        <w:spacing w:before="120" w:after="120" w:line="23" w:lineRule="atLeast"/>
        <w:jc w:val="right"/>
        <w:rPr>
          <w:rFonts w:ascii="Arial" w:hAnsi="Arial" w:cs="Arial"/>
          <w:b/>
          <w:bCs/>
        </w:rPr>
      </w:pPr>
      <w:bookmarkStart w:id="0" w:name="_GoBack"/>
      <w:bookmarkEnd w:id="0"/>
      <w:r>
        <w:rPr>
          <w:rFonts w:ascii="Arial" w:hAnsi="Arial" w:cs="Arial"/>
          <w:b/>
          <w:bCs/>
        </w:rPr>
        <w:t>Instituto Federal de Telecomunicaciones</w:t>
      </w:r>
    </w:p>
    <w:p w14:paraId="35FF38C8" w14:textId="1B35E3D4" w:rsidR="00600C81" w:rsidRDefault="00600C81" w:rsidP="00D50B18">
      <w:pPr>
        <w:spacing w:before="120" w:after="120" w:line="23" w:lineRule="atLeast"/>
        <w:jc w:val="right"/>
        <w:rPr>
          <w:rFonts w:ascii="Arial" w:hAnsi="Arial" w:cs="Arial"/>
          <w:b/>
          <w:bCs/>
        </w:rPr>
      </w:pPr>
      <w:r>
        <w:rPr>
          <w:rFonts w:ascii="Arial" w:hAnsi="Arial" w:cs="Arial"/>
          <w:b/>
          <w:bCs/>
        </w:rPr>
        <w:t>Unida</w:t>
      </w:r>
      <w:r w:rsidR="00351BE8">
        <w:rPr>
          <w:rFonts w:ascii="Arial" w:hAnsi="Arial" w:cs="Arial"/>
          <w:b/>
          <w:bCs/>
        </w:rPr>
        <w:t>d</w:t>
      </w:r>
      <w:r>
        <w:rPr>
          <w:rFonts w:ascii="Arial" w:hAnsi="Arial" w:cs="Arial"/>
          <w:b/>
          <w:bCs/>
        </w:rPr>
        <w:t xml:space="preserve"> de Competencia Económica</w:t>
      </w:r>
    </w:p>
    <w:p w14:paraId="7D720584" w14:textId="1A4AA06D" w:rsidR="00736A66" w:rsidRDefault="00736A66" w:rsidP="00D50B18">
      <w:pPr>
        <w:spacing w:before="120" w:after="120" w:line="23" w:lineRule="atLeast"/>
        <w:jc w:val="right"/>
        <w:rPr>
          <w:rFonts w:ascii="Arial" w:hAnsi="Arial" w:cs="Arial"/>
          <w:b/>
          <w:bCs/>
        </w:rPr>
      </w:pPr>
    </w:p>
    <w:p w14:paraId="3BF938A9" w14:textId="7EDEF986" w:rsidR="00736A66" w:rsidRDefault="00275B74" w:rsidP="00D50B18">
      <w:pPr>
        <w:spacing w:before="120" w:after="120" w:line="23" w:lineRule="atLeast"/>
        <w:jc w:val="right"/>
        <w:rPr>
          <w:rFonts w:ascii="Arial" w:hAnsi="Arial" w:cs="Arial"/>
          <w:b/>
          <w:bCs/>
        </w:rPr>
      </w:pPr>
      <w:r>
        <w:rPr>
          <w:rFonts w:ascii="Arial" w:hAnsi="Arial" w:cs="Arial"/>
          <w:b/>
          <w:bCs/>
        </w:rPr>
        <w:t>2</w:t>
      </w:r>
      <w:r w:rsidR="00FB7065">
        <w:rPr>
          <w:rFonts w:ascii="Arial" w:hAnsi="Arial" w:cs="Arial"/>
          <w:b/>
          <w:bCs/>
        </w:rPr>
        <w:t>5</w:t>
      </w:r>
      <w:r w:rsidR="00736A66">
        <w:rPr>
          <w:rFonts w:ascii="Arial" w:hAnsi="Arial" w:cs="Arial"/>
          <w:b/>
          <w:bCs/>
        </w:rPr>
        <w:t xml:space="preserve"> de </w:t>
      </w:r>
      <w:r w:rsidR="00F2231F">
        <w:rPr>
          <w:rFonts w:ascii="Arial" w:hAnsi="Arial" w:cs="Arial"/>
          <w:b/>
          <w:bCs/>
        </w:rPr>
        <w:t>novi</w:t>
      </w:r>
      <w:r w:rsidR="00736A66">
        <w:rPr>
          <w:rFonts w:ascii="Arial" w:hAnsi="Arial" w:cs="Arial"/>
          <w:b/>
          <w:bCs/>
        </w:rPr>
        <w:t>embre de 2021</w:t>
      </w:r>
    </w:p>
    <w:p w14:paraId="5DE94B1C" w14:textId="77777777" w:rsidR="00600C81" w:rsidRDefault="00600C81" w:rsidP="00D50B18">
      <w:pPr>
        <w:spacing w:before="120" w:after="120" w:line="23" w:lineRule="atLeast"/>
        <w:jc w:val="center"/>
        <w:rPr>
          <w:rFonts w:ascii="Arial" w:hAnsi="Arial" w:cs="Arial"/>
          <w:b/>
          <w:bCs/>
        </w:rPr>
      </w:pPr>
    </w:p>
    <w:p w14:paraId="3379015E" w14:textId="77777777" w:rsidR="00F14456" w:rsidRPr="00F14456" w:rsidRDefault="00F14456" w:rsidP="00F14456">
      <w:pPr>
        <w:spacing w:after="120" w:line="240" w:lineRule="auto"/>
        <w:jc w:val="both"/>
        <w:rPr>
          <w:rFonts w:ascii="Arial" w:eastAsia="Calibri" w:hAnsi="Arial" w:cs="Arial"/>
          <w:b/>
          <w:iCs/>
        </w:rPr>
      </w:pPr>
      <w:r w:rsidRPr="00F14456">
        <w:rPr>
          <w:rFonts w:ascii="Arial" w:eastAsia="Calibri" w:hAnsi="Arial" w:cs="Arial"/>
          <w:b/>
          <w:iCs/>
        </w:rPr>
        <w:t xml:space="preserve">INFORME </w:t>
      </w:r>
      <w:r w:rsidRPr="00F14456">
        <w:rPr>
          <w:rFonts w:ascii="Arial" w:eastAsia="Calibri" w:hAnsi="Arial" w:cs="Arial"/>
          <w:b/>
          <w:bCs/>
        </w:rPr>
        <w:t>que presenta la Unidad de Competencia Económica respecto a los comentarios, opiniones y aportaciones recibidos durante la consulta pública del</w:t>
      </w:r>
      <w:r w:rsidRPr="00F14456">
        <w:rPr>
          <w:rFonts w:ascii="Arial" w:eastAsia="Calibri" w:hAnsi="Arial" w:cs="Arial"/>
          <w:b/>
          <w:i/>
        </w:rPr>
        <w:t xml:space="preserve"> </w:t>
      </w:r>
      <w:bookmarkStart w:id="1" w:name="_Hlk85619099"/>
      <w:r w:rsidRPr="00F14456">
        <w:rPr>
          <w:rFonts w:ascii="Arial" w:eastAsia="Calibri" w:hAnsi="Arial" w:cs="Arial"/>
          <w:b/>
          <w:i/>
        </w:rPr>
        <w:t>“Anteproyecto de modificación al criterio técnico para el cálculo y aplicación de un índice cuantitativo a fin de determinar el grado de concentración en los mercados y servicios correspondientes a los sectores de telecomunicaciones y radiodifusión”</w:t>
      </w:r>
      <w:bookmarkEnd w:id="1"/>
      <w:r w:rsidRPr="00F14456">
        <w:rPr>
          <w:rFonts w:ascii="Arial" w:eastAsia="Calibri" w:hAnsi="Arial" w:cs="Arial"/>
          <w:b/>
          <w:i/>
        </w:rPr>
        <w:t xml:space="preserve">, </w:t>
      </w:r>
      <w:r w:rsidRPr="00F14456">
        <w:rPr>
          <w:rFonts w:ascii="Arial" w:eastAsia="Calibri" w:hAnsi="Arial" w:cs="Arial"/>
          <w:b/>
          <w:iCs/>
        </w:rPr>
        <w:t>así como las consideraciones a los mismos (Informe de Consideraciones).</w:t>
      </w:r>
    </w:p>
    <w:p w14:paraId="62541306" w14:textId="2CFC48DA" w:rsidR="00B9227A" w:rsidRPr="005C5B1C" w:rsidRDefault="00B9227A" w:rsidP="00D50B18">
      <w:pPr>
        <w:spacing w:before="120" w:after="120" w:line="23" w:lineRule="atLeast"/>
        <w:jc w:val="both"/>
        <w:rPr>
          <w:rFonts w:ascii="Arial" w:hAnsi="Arial" w:cs="Arial"/>
        </w:rPr>
      </w:pPr>
      <w:r w:rsidRPr="005C5B1C">
        <w:rPr>
          <w:rFonts w:ascii="Arial" w:hAnsi="Arial" w:cs="Arial"/>
          <w:b/>
          <w:bCs/>
        </w:rPr>
        <w:t>Presentación</w:t>
      </w:r>
    </w:p>
    <w:p w14:paraId="446BCC8D" w14:textId="4AA3BCB9" w:rsidR="00D96184" w:rsidRPr="00D96184" w:rsidRDefault="00D96184" w:rsidP="00D96184">
      <w:pPr>
        <w:spacing w:before="120" w:after="120" w:line="276" w:lineRule="auto"/>
        <w:jc w:val="both"/>
        <w:rPr>
          <w:rFonts w:ascii="Arial" w:eastAsia="Calibri" w:hAnsi="Arial" w:cs="Arial"/>
          <w:color w:val="000000"/>
          <w:highlight w:val="yellow"/>
        </w:rPr>
      </w:pPr>
      <w:r w:rsidRPr="00D96184">
        <w:rPr>
          <w:rFonts w:ascii="Arial" w:eastAsia="Calibri" w:hAnsi="Arial" w:cs="Arial"/>
        </w:rPr>
        <w:t xml:space="preserve">La Unidad de Competencia Económica (UCE) del Instituto Federal de Telecomunicaciones (Instituto), presenta este Informe de Consideraciones en cumplimiento al artículo 138, fracción II, de la Ley Federal de Competencia Económica; Acuerdo Tercero del </w:t>
      </w:r>
      <w:r w:rsidRPr="00D96184">
        <w:rPr>
          <w:rFonts w:ascii="Arial" w:eastAsia="Calibri" w:hAnsi="Arial" w:cs="Arial"/>
          <w:i/>
          <w:iCs/>
        </w:rPr>
        <w:t>Acuerdo mediante el cual el Pleno del Instituto Federal de Telecomunicaciones determina someter a Consulta Pública el “Anteproyecto de modificación al criterio técnico para el cálculo y aplicación de un índice cuantitativo a fin de determinar el grado de concentración en  los mercados y servicios correspondientes a los sectores de telecomunicaciones y radiodifusión” (</w:t>
      </w:r>
      <w:r w:rsidRPr="00D96184">
        <w:rPr>
          <w:rFonts w:ascii="Arial" w:eastAsia="Calibri" w:hAnsi="Arial" w:cs="Arial"/>
        </w:rPr>
        <w:t>Acuerdo P/IFT/180821/408</w:t>
      </w:r>
      <w:r w:rsidRPr="00D96184">
        <w:rPr>
          <w:rFonts w:ascii="Arial" w:eastAsia="Calibri" w:hAnsi="Arial" w:cs="Arial"/>
          <w:i/>
          <w:iCs/>
        </w:rPr>
        <w:t>)</w:t>
      </w:r>
      <w:r w:rsidRPr="00D96184">
        <w:rPr>
          <w:rFonts w:ascii="Arial" w:eastAsia="Calibri" w:hAnsi="Arial" w:cs="Arial"/>
        </w:rPr>
        <w:t>; 4, fracciones V, inciso vi) y VI, 47, fracciones VI, IX y X, del Estatuto Orgánico del Instituto Federal de Telecomunicaciones, así como el Lineamiento Noveno de los Lineamientos de Consulta Pública y Análisis de Impacto Regulatorio del Instituto Federal de Telecomunicaciones.</w:t>
      </w:r>
      <w:r w:rsidRPr="00D96184">
        <w:rPr>
          <w:rFonts w:ascii="Arial" w:eastAsia="Calibri" w:hAnsi="Arial" w:cs="Arial"/>
          <w:vertAlign w:val="superscript"/>
        </w:rPr>
        <w:footnoteReference w:id="2"/>
      </w:r>
      <w:r w:rsidRPr="00D96184">
        <w:rPr>
          <w:rFonts w:ascii="Arial" w:eastAsia="Calibri" w:hAnsi="Arial" w:cs="Arial"/>
          <w:vertAlign w:val="superscript"/>
        </w:rPr>
        <w:t>.</w:t>
      </w:r>
    </w:p>
    <w:p w14:paraId="658720ED" w14:textId="799E716F" w:rsidR="002E7781" w:rsidRDefault="00C976EB" w:rsidP="00D50B18">
      <w:pPr>
        <w:spacing w:before="120" w:after="120" w:line="23" w:lineRule="atLeast"/>
        <w:jc w:val="both"/>
        <w:rPr>
          <w:rFonts w:ascii="Arial" w:hAnsi="Arial" w:cs="Arial"/>
          <w:b/>
          <w:bCs/>
        </w:rPr>
      </w:pPr>
      <w:r w:rsidRPr="006837A2">
        <w:rPr>
          <w:rFonts w:ascii="Arial" w:hAnsi="Arial" w:cs="Arial"/>
          <w:b/>
          <w:bCs/>
        </w:rPr>
        <w:t>Glosario</w:t>
      </w:r>
    </w:p>
    <w:tbl>
      <w:tblPr>
        <w:tblW w:w="89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7"/>
        <w:gridCol w:w="7229"/>
      </w:tblGrid>
      <w:tr w:rsidR="009C3B88" w:rsidRPr="003E2214" w14:paraId="4D20B1FC" w14:textId="77777777" w:rsidTr="00E1798C">
        <w:trPr>
          <w:trHeight w:val="77"/>
          <w:tblHeader/>
        </w:trPr>
        <w:tc>
          <w:tcPr>
            <w:tcW w:w="1707" w:type="dxa"/>
            <w:shd w:val="clear" w:color="auto" w:fill="92D050"/>
            <w:vAlign w:val="center"/>
          </w:tcPr>
          <w:p w14:paraId="1F602FD4" w14:textId="77777777" w:rsidR="009C3B88" w:rsidRPr="009C3B88" w:rsidRDefault="009C3B88" w:rsidP="00E1798C">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Concepto</w:t>
            </w:r>
          </w:p>
        </w:tc>
        <w:tc>
          <w:tcPr>
            <w:tcW w:w="7229" w:type="dxa"/>
            <w:shd w:val="clear" w:color="auto" w:fill="92D050"/>
          </w:tcPr>
          <w:p w14:paraId="48179E4C" w14:textId="77777777" w:rsidR="009C3B88" w:rsidRPr="009C3B88" w:rsidRDefault="009C3B88" w:rsidP="00E1798C">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Significado</w:t>
            </w:r>
          </w:p>
        </w:tc>
      </w:tr>
      <w:tr w:rsidR="009C3B88" w:rsidRPr="003E2214" w14:paraId="73200C41" w14:textId="77777777" w:rsidTr="00E1798C">
        <w:trPr>
          <w:trHeight w:val="77"/>
        </w:trPr>
        <w:tc>
          <w:tcPr>
            <w:tcW w:w="1707" w:type="dxa"/>
            <w:shd w:val="clear" w:color="auto" w:fill="auto"/>
            <w:vAlign w:val="center"/>
          </w:tcPr>
          <w:p w14:paraId="7A58EB5B" w14:textId="739F80DC" w:rsidR="009C3B88" w:rsidRPr="009C3B88" w:rsidRDefault="00D96184" w:rsidP="00E1798C">
            <w:pPr>
              <w:autoSpaceDE w:val="0"/>
              <w:autoSpaceDN w:val="0"/>
              <w:adjustRightInd w:val="0"/>
              <w:spacing w:before="120" w:after="120" w:line="23" w:lineRule="atLeast"/>
              <w:jc w:val="center"/>
              <w:rPr>
                <w:rFonts w:ascii="Arial" w:hAnsi="Arial" w:cs="Arial"/>
                <w:b/>
                <w:sz w:val="18"/>
                <w:szCs w:val="18"/>
              </w:rPr>
            </w:pPr>
            <w:r w:rsidRPr="00D96184">
              <w:rPr>
                <w:rFonts w:ascii="Arial" w:hAnsi="Arial" w:cs="Arial"/>
                <w:b/>
                <w:sz w:val="18"/>
                <w:szCs w:val="18"/>
              </w:rPr>
              <w:t>Acuerdo de Consulta Pública</w:t>
            </w:r>
          </w:p>
        </w:tc>
        <w:tc>
          <w:tcPr>
            <w:tcW w:w="7229" w:type="dxa"/>
            <w:shd w:val="clear" w:color="auto" w:fill="auto"/>
          </w:tcPr>
          <w:p w14:paraId="404A07F5" w14:textId="79D7F2D5" w:rsidR="009C3B88" w:rsidRPr="00D96184" w:rsidRDefault="00D96184" w:rsidP="00E1798C">
            <w:pPr>
              <w:autoSpaceDE w:val="0"/>
              <w:autoSpaceDN w:val="0"/>
              <w:adjustRightInd w:val="0"/>
              <w:spacing w:before="120" w:after="120" w:line="23" w:lineRule="atLeast"/>
              <w:jc w:val="both"/>
              <w:rPr>
                <w:rFonts w:ascii="Arial" w:hAnsi="Arial" w:cs="Arial"/>
                <w:i/>
                <w:iCs/>
                <w:sz w:val="18"/>
                <w:szCs w:val="18"/>
              </w:rPr>
            </w:pPr>
            <w:r w:rsidRPr="00D96184">
              <w:rPr>
                <w:rFonts w:ascii="Arial" w:hAnsi="Arial" w:cs="Arial"/>
                <w:sz w:val="18"/>
                <w:szCs w:val="18"/>
              </w:rPr>
              <w:t xml:space="preserve">Acuerdo mediante el cual el Pleno del Instituto Federal de Telecomunicaciones determina someter a Consulta Pública el “Anteproyecto de modificación al criterio técnico para el cálculo y aplicación de un índice cuantitativo a fin de determinar el grado de </w:t>
            </w:r>
            <w:r w:rsidRPr="00D96184">
              <w:rPr>
                <w:rFonts w:ascii="Arial" w:hAnsi="Arial" w:cs="Arial"/>
                <w:sz w:val="18"/>
                <w:szCs w:val="18"/>
              </w:rPr>
              <w:lastRenderedPageBreak/>
              <w:t>concentración en los mercados y servicios correspondientes a los sectores de telecomunicaciones y radiodifusión”. Acuerdo P/IFT/180821/408.</w:t>
            </w:r>
            <w:r w:rsidR="00261109">
              <w:rPr>
                <w:rFonts w:ascii="Arial" w:hAnsi="Arial" w:cs="Arial"/>
                <w:sz w:val="18"/>
                <w:szCs w:val="18"/>
              </w:rPr>
              <w:t xml:space="preserve"> </w:t>
            </w:r>
          </w:p>
        </w:tc>
      </w:tr>
      <w:tr w:rsidR="00261109" w:rsidRPr="003E2214" w14:paraId="3F6CF63A" w14:textId="77777777" w:rsidTr="00E1798C">
        <w:trPr>
          <w:trHeight w:val="77"/>
        </w:trPr>
        <w:tc>
          <w:tcPr>
            <w:tcW w:w="1707" w:type="dxa"/>
            <w:shd w:val="clear" w:color="auto" w:fill="auto"/>
            <w:vAlign w:val="center"/>
          </w:tcPr>
          <w:p w14:paraId="5D4C716B" w14:textId="69BD678E" w:rsidR="00261109" w:rsidRPr="009C3B88" w:rsidRDefault="00D96184" w:rsidP="00E1798C">
            <w:pPr>
              <w:autoSpaceDE w:val="0"/>
              <w:autoSpaceDN w:val="0"/>
              <w:adjustRightInd w:val="0"/>
              <w:spacing w:before="120" w:after="120" w:line="23" w:lineRule="atLeast"/>
              <w:jc w:val="center"/>
              <w:rPr>
                <w:rFonts w:ascii="Arial" w:hAnsi="Arial" w:cs="Arial"/>
                <w:b/>
                <w:sz w:val="18"/>
                <w:szCs w:val="18"/>
              </w:rPr>
            </w:pPr>
            <w:r w:rsidRPr="00D96184">
              <w:rPr>
                <w:rFonts w:ascii="Arial" w:hAnsi="Arial" w:cs="Arial"/>
                <w:b/>
                <w:sz w:val="18"/>
                <w:szCs w:val="18"/>
              </w:rPr>
              <w:lastRenderedPageBreak/>
              <w:t>Anteproyecto de modificación al Criterio Técnico</w:t>
            </w:r>
            <w:r w:rsidR="009A6859">
              <w:rPr>
                <w:rFonts w:ascii="Arial" w:hAnsi="Arial" w:cs="Arial"/>
                <w:b/>
                <w:sz w:val="18"/>
                <w:szCs w:val="18"/>
              </w:rPr>
              <w:t xml:space="preserve"> o Anteproyecto (indistintamente)</w:t>
            </w:r>
          </w:p>
        </w:tc>
        <w:tc>
          <w:tcPr>
            <w:tcW w:w="7229" w:type="dxa"/>
            <w:shd w:val="clear" w:color="auto" w:fill="auto"/>
            <w:vAlign w:val="center"/>
          </w:tcPr>
          <w:p w14:paraId="58A7FB9F" w14:textId="6A0A07BF" w:rsidR="00261109" w:rsidRPr="009C3B88"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D96184">
              <w:rPr>
                <w:rFonts w:ascii="Arial" w:eastAsia="Times New Roman" w:hAnsi="Arial" w:cs="Arial"/>
                <w:sz w:val="18"/>
                <w:szCs w:val="18"/>
              </w:rPr>
              <w:t>Anteproyecto de modificación al criterio técnico para el cálculo y aplicación de un índice cuantitativo a fin de determinar el grado de concentración en los mercados y servicios correspondientes a los sectores de telecomunicaciones y radiodifusión.</w:t>
            </w:r>
          </w:p>
        </w:tc>
      </w:tr>
      <w:tr w:rsidR="00D96184" w:rsidRPr="003E2214" w14:paraId="64ACB9F2" w14:textId="77777777" w:rsidTr="00E1798C">
        <w:trPr>
          <w:trHeight w:val="77"/>
        </w:trPr>
        <w:tc>
          <w:tcPr>
            <w:tcW w:w="1707" w:type="dxa"/>
            <w:shd w:val="clear" w:color="auto" w:fill="auto"/>
            <w:vAlign w:val="center"/>
          </w:tcPr>
          <w:p w14:paraId="444596A3" w14:textId="4C035BA2"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CMV</w:t>
            </w:r>
          </w:p>
        </w:tc>
        <w:tc>
          <w:tcPr>
            <w:tcW w:w="7229" w:type="dxa"/>
            <w:shd w:val="clear" w:color="auto" w:fill="auto"/>
            <w:vAlign w:val="center"/>
          </w:tcPr>
          <w:p w14:paraId="3CB0C61A" w14:textId="67722387"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Carlos Mora Villalpando</w:t>
            </w:r>
          </w:p>
        </w:tc>
      </w:tr>
      <w:tr w:rsidR="00D96184" w:rsidRPr="003E2214" w14:paraId="01FA16BB" w14:textId="77777777" w:rsidTr="00E1798C">
        <w:trPr>
          <w:trHeight w:val="77"/>
        </w:trPr>
        <w:tc>
          <w:tcPr>
            <w:tcW w:w="1707" w:type="dxa"/>
            <w:shd w:val="clear" w:color="auto" w:fill="auto"/>
            <w:vAlign w:val="center"/>
          </w:tcPr>
          <w:p w14:paraId="5BF76478" w14:textId="37DF20C8"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COFECE</w:t>
            </w:r>
          </w:p>
        </w:tc>
        <w:tc>
          <w:tcPr>
            <w:tcW w:w="7229" w:type="dxa"/>
            <w:shd w:val="clear" w:color="auto" w:fill="auto"/>
            <w:vAlign w:val="center"/>
          </w:tcPr>
          <w:p w14:paraId="3CD63D4A" w14:textId="20C9D2C7"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Comisión Federal de Competencia Económica.</w:t>
            </w:r>
          </w:p>
        </w:tc>
      </w:tr>
      <w:tr w:rsidR="00D96184" w:rsidRPr="003E2214" w14:paraId="508754EF" w14:textId="77777777" w:rsidTr="00E1798C">
        <w:trPr>
          <w:trHeight w:val="77"/>
        </w:trPr>
        <w:tc>
          <w:tcPr>
            <w:tcW w:w="1707" w:type="dxa"/>
            <w:shd w:val="clear" w:color="auto" w:fill="auto"/>
            <w:vAlign w:val="center"/>
          </w:tcPr>
          <w:p w14:paraId="07579798" w14:textId="05F964B6"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Consulta Pública</w:t>
            </w:r>
          </w:p>
        </w:tc>
        <w:tc>
          <w:tcPr>
            <w:tcW w:w="7229" w:type="dxa"/>
            <w:shd w:val="clear" w:color="auto" w:fill="auto"/>
            <w:vAlign w:val="center"/>
          </w:tcPr>
          <w:p w14:paraId="465F492E" w14:textId="79A7E2DF"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 xml:space="preserve">Consulta Pública del Anteproyecto de </w:t>
            </w:r>
            <w:r>
              <w:rPr>
                <w:rFonts w:ascii="Arial" w:hAnsi="Arial" w:cs="Arial"/>
                <w:sz w:val="18"/>
                <w:szCs w:val="18"/>
              </w:rPr>
              <w:t>modificación al Criterio Técnico</w:t>
            </w:r>
            <w:r w:rsidRPr="003C5301">
              <w:rPr>
                <w:rFonts w:ascii="Arial" w:hAnsi="Arial" w:cs="Arial"/>
                <w:sz w:val="18"/>
                <w:szCs w:val="18"/>
              </w:rPr>
              <w:t>.</w:t>
            </w:r>
          </w:p>
        </w:tc>
      </w:tr>
      <w:tr w:rsidR="00D96184" w:rsidRPr="003E2214" w14:paraId="4A2CA203" w14:textId="77777777" w:rsidTr="00E1798C">
        <w:trPr>
          <w:trHeight w:val="77"/>
        </w:trPr>
        <w:tc>
          <w:tcPr>
            <w:tcW w:w="1707" w:type="dxa"/>
            <w:shd w:val="clear" w:color="auto" w:fill="auto"/>
            <w:vAlign w:val="center"/>
          </w:tcPr>
          <w:p w14:paraId="58559A9B" w14:textId="4B995B9B"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Disposiciones Regulatorias</w:t>
            </w:r>
          </w:p>
        </w:tc>
        <w:tc>
          <w:tcPr>
            <w:tcW w:w="7229" w:type="dxa"/>
            <w:shd w:val="clear" w:color="auto" w:fill="auto"/>
            <w:vAlign w:val="center"/>
          </w:tcPr>
          <w:p w14:paraId="671921A5" w14:textId="38B78943"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Disposiciones Regulatorias de la Ley Federal de Competencia Económica para los sectores de telecomunicaciones y radiodifusión.</w:t>
            </w:r>
          </w:p>
        </w:tc>
      </w:tr>
      <w:tr w:rsidR="00D96184" w:rsidRPr="003E2214" w14:paraId="219322A2" w14:textId="77777777" w:rsidTr="00E1798C">
        <w:trPr>
          <w:trHeight w:val="77"/>
        </w:trPr>
        <w:tc>
          <w:tcPr>
            <w:tcW w:w="1707" w:type="dxa"/>
            <w:shd w:val="clear" w:color="auto" w:fill="auto"/>
            <w:vAlign w:val="center"/>
          </w:tcPr>
          <w:p w14:paraId="30CA75BC" w14:textId="555C19B5"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DOF</w:t>
            </w:r>
          </w:p>
        </w:tc>
        <w:tc>
          <w:tcPr>
            <w:tcW w:w="7229" w:type="dxa"/>
            <w:shd w:val="clear" w:color="auto" w:fill="auto"/>
            <w:vAlign w:val="center"/>
          </w:tcPr>
          <w:p w14:paraId="621382F0" w14:textId="741999BE"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Diario Oficial de la Federación.</w:t>
            </w:r>
          </w:p>
        </w:tc>
      </w:tr>
      <w:tr w:rsidR="00D96184" w:rsidRPr="003E2214" w14:paraId="59D489F6" w14:textId="77777777" w:rsidTr="00E1798C">
        <w:trPr>
          <w:trHeight w:val="77"/>
        </w:trPr>
        <w:tc>
          <w:tcPr>
            <w:tcW w:w="1707" w:type="dxa"/>
            <w:shd w:val="clear" w:color="auto" w:fill="auto"/>
            <w:vAlign w:val="center"/>
          </w:tcPr>
          <w:p w14:paraId="77D14F14" w14:textId="49530AC5"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Estatuto Orgánico</w:t>
            </w:r>
          </w:p>
        </w:tc>
        <w:tc>
          <w:tcPr>
            <w:tcW w:w="7229" w:type="dxa"/>
            <w:shd w:val="clear" w:color="auto" w:fill="auto"/>
            <w:vAlign w:val="center"/>
          </w:tcPr>
          <w:p w14:paraId="33D3A7AE" w14:textId="152BF607"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Estatuto Orgánico del Instituto Federal de Telecomunicaciones.</w:t>
            </w:r>
          </w:p>
        </w:tc>
      </w:tr>
      <w:tr w:rsidR="00D96184" w:rsidRPr="003E2214" w14:paraId="5A766C68" w14:textId="77777777" w:rsidTr="00E1798C">
        <w:trPr>
          <w:trHeight w:val="77"/>
        </w:trPr>
        <w:tc>
          <w:tcPr>
            <w:tcW w:w="1707" w:type="dxa"/>
            <w:shd w:val="clear" w:color="auto" w:fill="auto"/>
            <w:vAlign w:val="center"/>
          </w:tcPr>
          <w:p w14:paraId="532A1079" w14:textId="11D1157D"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GTV</w:t>
            </w:r>
          </w:p>
        </w:tc>
        <w:tc>
          <w:tcPr>
            <w:tcW w:w="7229" w:type="dxa"/>
            <w:shd w:val="clear" w:color="auto" w:fill="auto"/>
            <w:vAlign w:val="center"/>
          </w:tcPr>
          <w:p w14:paraId="0FC6D8C3" w14:textId="528A2283"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Cablevisión, S.A. de C.V., Operbes, S.A. de C.V., Cablemás Telecomunicaciones, S.A. de C.V., México Red de Telecomunicaciones, S. de R.L. de C.V., Televisión Internacional, S.A. de C.V., Cablevisión Red, S.A. de C.V., y TV Cable de Oriente, S.A. de C.V.</w:t>
            </w:r>
          </w:p>
        </w:tc>
      </w:tr>
      <w:tr w:rsidR="00D96184" w:rsidRPr="003E2214" w14:paraId="5679045F" w14:textId="77777777" w:rsidTr="00E1798C">
        <w:trPr>
          <w:trHeight w:val="77"/>
        </w:trPr>
        <w:tc>
          <w:tcPr>
            <w:tcW w:w="1707" w:type="dxa"/>
            <w:shd w:val="clear" w:color="auto" w:fill="auto"/>
            <w:vAlign w:val="center"/>
          </w:tcPr>
          <w:p w14:paraId="06592E54" w14:textId="1D3221CC"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IDET</w:t>
            </w:r>
          </w:p>
        </w:tc>
        <w:tc>
          <w:tcPr>
            <w:tcW w:w="7229" w:type="dxa"/>
            <w:shd w:val="clear" w:color="auto" w:fill="auto"/>
            <w:vAlign w:val="center"/>
          </w:tcPr>
          <w:p w14:paraId="2652EDC9" w14:textId="185AEFBB"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Instituto de Derecho de las Telecomunicaciones, A.C.</w:t>
            </w:r>
          </w:p>
        </w:tc>
      </w:tr>
      <w:tr w:rsidR="00D96184" w:rsidRPr="003E2214" w14:paraId="47D6F181" w14:textId="77777777" w:rsidTr="00E1798C">
        <w:trPr>
          <w:trHeight w:val="77"/>
        </w:trPr>
        <w:tc>
          <w:tcPr>
            <w:tcW w:w="1707" w:type="dxa"/>
            <w:shd w:val="clear" w:color="auto" w:fill="auto"/>
            <w:vAlign w:val="center"/>
          </w:tcPr>
          <w:p w14:paraId="1C153857" w14:textId="27474A3B"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Instituto o IFT (indistintamente)</w:t>
            </w:r>
          </w:p>
        </w:tc>
        <w:tc>
          <w:tcPr>
            <w:tcW w:w="7229" w:type="dxa"/>
            <w:shd w:val="clear" w:color="auto" w:fill="auto"/>
            <w:vAlign w:val="center"/>
          </w:tcPr>
          <w:p w14:paraId="751F2B8F" w14:textId="73ABA13D"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Instituto Federal de Telecomunicaciones.</w:t>
            </w:r>
          </w:p>
        </w:tc>
      </w:tr>
      <w:tr w:rsidR="00D96184" w:rsidRPr="003E2214" w14:paraId="6401E13C" w14:textId="77777777" w:rsidTr="00E1798C">
        <w:trPr>
          <w:trHeight w:val="77"/>
        </w:trPr>
        <w:tc>
          <w:tcPr>
            <w:tcW w:w="1707" w:type="dxa"/>
            <w:shd w:val="clear" w:color="auto" w:fill="auto"/>
            <w:vAlign w:val="center"/>
          </w:tcPr>
          <w:p w14:paraId="02339F1B" w14:textId="74F778F8"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Lineamientos de Consulta Pública</w:t>
            </w:r>
          </w:p>
        </w:tc>
        <w:tc>
          <w:tcPr>
            <w:tcW w:w="7229" w:type="dxa"/>
            <w:shd w:val="clear" w:color="auto" w:fill="auto"/>
            <w:vAlign w:val="center"/>
          </w:tcPr>
          <w:p w14:paraId="116B7F5E" w14:textId="1A5585DE"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Lineamientos de Consulta Pública y Análisis de Impacto Regulatorio del IFT.</w:t>
            </w:r>
          </w:p>
        </w:tc>
      </w:tr>
      <w:tr w:rsidR="00D96184" w:rsidRPr="003E2214" w14:paraId="3464D146" w14:textId="77777777" w:rsidTr="00E1798C">
        <w:trPr>
          <w:trHeight w:val="77"/>
        </w:trPr>
        <w:tc>
          <w:tcPr>
            <w:tcW w:w="1707" w:type="dxa"/>
            <w:shd w:val="clear" w:color="auto" w:fill="auto"/>
            <w:vAlign w:val="center"/>
          </w:tcPr>
          <w:p w14:paraId="237013A2" w14:textId="54E8C37E"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LFCE</w:t>
            </w:r>
          </w:p>
        </w:tc>
        <w:tc>
          <w:tcPr>
            <w:tcW w:w="7229" w:type="dxa"/>
            <w:shd w:val="clear" w:color="auto" w:fill="auto"/>
            <w:vAlign w:val="center"/>
          </w:tcPr>
          <w:p w14:paraId="1DADECDE" w14:textId="5DFD4DEB"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Ley Federal de Competencia Económica.</w:t>
            </w:r>
          </w:p>
        </w:tc>
      </w:tr>
      <w:tr w:rsidR="00D96184" w:rsidRPr="003E2214" w14:paraId="6C57A8C7" w14:textId="77777777" w:rsidTr="00E1798C">
        <w:trPr>
          <w:trHeight w:val="77"/>
        </w:trPr>
        <w:tc>
          <w:tcPr>
            <w:tcW w:w="1707" w:type="dxa"/>
            <w:shd w:val="clear" w:color="auto" w:fill="auto"/>
            <w:vAlign w:val="center"/>
          </w:tcPr>
          <w:p w14:paraId="18888E30" w14:textId="00A0AD4B"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LFTR</w:t>
            </w:r>
          </w:p>
        </w:tc>
        <w:tc>
          <w:tcPr>
            <w:tcW w:w="7229" w:type="dxa"/>
            <w:shd w:val="clear" w:color="auto" w:fill="auto"/>
            <w:vAlign w:val="center"/>
          </w:tcPr>
          <w:p w14:paraId="49C381CE" w14:textId="59A31A05"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Ley Federal de Telecomunicaciones y Radiodifusión.</w:t>
            </w:r>
          </w:p>
        </w:tc>
      </w:tr>
      <w:tr w:rsidR="00D96184" w:rsidRPr="003E2214" w14:paraId="4EA42CF1" w14:textId="77777777" w:rsidTr="00E1798C">
        <w:trPr>
          <w:trHeight w:val="77"/>
        </w:trPr>
        <w:tc>
          <w:tcPr>
            <w:tcW w:w="1707" w:type="dxa"/>
            <w:shd w:val="clear" w:color="auto" w:fill="auto"/>
            <w:vAlign w:val="center"/>
          </w:tcPr>
          <w:p w14:paraId="6BC2CF46" w14:textId="2F24B4AB"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Mega Cable</w:t>
            </w:r>
          </w:p>
        </w:tc>
        <w:tc>
          <w:tcPr>
            <w:tcW w:w="7229" w:type="dxa"/>
            <w:shd w:val="clear" w:color="auto" w:fill="auto"/>
            <w:vAlign w:val="center"/>
          </w:tcPr>
          <w:p w14:paraId="2B96AE29" w14:textId="612A1000"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Mega Cable, S.A. de C.V.</w:t>
            </w:r>
          </w:p>
        </w:tc>
      </w:tr>
      <w:tr w:rsidR="00D96184" w:rsidRPr="003E2214" w14:paraId="37F29E9D" w14:textId="77777777" w:rsidTr="00E1798C">
        <w:trPr>
          <w:trHeight w:val="77"/>
        </w:trPr>
        <w:tc>
          <w:tcPr>
            <w:tcW w:w="1707" w:type="dxa"/>
            <w:shd w:val="clear" w:color="auto" w:fill="auto"/>
            <w:vAlign w:val="center"/>
          </w:tcPr>
          <w:p w14:paraId="26B42AE5" w14:textId="2E33D439"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Pleno</w:t>
            </w:r>
          </w:p>
        </w:tc>
        <w:tc>
          <w:tcPr>
            <w:tcW w:w="7229" w:type="dxa"/>
            <w:shd w:val="clear" w:color="auto" w:fill="auto"/>
            <w:vAlign w:val="center"/>
          </w:tcPr>
          <w:p w14:paraId="68DE6C6E" w14:textId="25B4B634"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Pleno del Instituto Federal de Telecomunicaciones.</w:t>
            </w:r>
          </w:p>
        </w:tc>
      </w:tr>
      <w:tr w:rsidR="00D96184" w:rsidRPr="003E2214" w14:paraId="0CBD2A40" w14:textId="77777777" w:rsidTr="00E1798C">
        <w:trPr>
          <w:trHeight w:val="77"/>
        </w:trPr>
        <w:tc>
          <w:tcPr>
            <w:tcW w:w="1707" w:type="dxa"/>
            <w:shd w:val="clear" w:color="auto" w:fill="auto"/>
            <w:vAlign w:val="center"/>
          </w:tcPr>
          <w:p w14:paraId="098F45C7" w14:textId="1561545B"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Sky</w:t>
            </w:r>
          </w:p>
        </w:tc>
        <w:tc>
          <w:tcPr>
            <w:tcW w:w="7229" w:type="dxa"/>
            <w:shd w:val="clear" w:color="auto" w:fill="auto"/>
            <w:vAlign w:val="center"/>
          </w:tcPr>
          <w:p w14:paraId="58749D23" w14:textId="20BEB971"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Corporación de Radio y Televisión del Norte de México, S. de R.L. de C.V. y Corporación Novavisión, S. de R.L. de C.V.</w:t>
            </w:r>
          </w:p>
        </w:tc>
      </w:tr>
      <w:tr w:rsidR="00D96184" w:rsidRPr="003E2214" w14:paraId="6568E6AB" w14:textId="77777777" w:rsidTr="00E1798C">
        <w:trPr>
          <w:trHeight w:val="77"/>
        </w:trPr>
        <w:tc>
          <w:tcPr>
            <w:tcW w:w="1707" w:type="dxa"/>
            <w:shd w:val="clear" w:color="auto" w:fill="auto"/>
            <w:vAlign w:val="center"/>
          </w:tcPr>
          <w:p w14:paraId="31ADA6C9" w14:textId="51EDE762"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Telefónica</w:t>
            </w:r>
          </w:p>
        </w:tc>
        <w:tc>
          <w:tcPr>
            <w:tcW w:w="7229" w:type="dxa"/>
            <w:shd w:val="clear" w:color="auto" w:fill="auto"/>
            <w:vAlign w:val="center"/>
          </w:tcPr>
          <w:p w14:paraId="6DE42B95" w14:textId="4FDCE1A4"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Pegaso PCS, S.A. de C.V.</w:t>
            </w:r>
          </w:p>
        </w:tc>
      </w:tr>
      <w:tr w:rsidR="00D96184" w:rsidRPr="003E2214" w14:paraId="1F1E34FD" w14:textId="77777777" w:rsidTr="00E1798C">
        <w:trPr>
          <w:trHeight w:val="77"/>
        </w:trPr>
        <w:tc>
          <w:tcPr>
            <w:tcW w:w="1707" w:type="dxa"/>
            <w:shd w:val="clear" w:color="auto" w:fill="auto"/>
            <w:vAlign w:val="center"/>
          </w:tcPr>
          <w:p w14:paraId="2D4BFE1B" w14:textId="2ED28543"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TO</w:t>
            </w:r>
          </w:p>
        </w:tc>
        <w:tc>
          <w:tcPr>
            <w:tcW w:w="7229" w:type="dxa"/>
            <w:shd w:val="clear" w:color="auto" w:fill="auto"/>
            <w:vAlign w:val="center"/>
          </w:tcPr>
          <w:p w14:paraId="57602953" w14:textId="67C93641"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Televisora de Occidente, S.A. de C.V.</w:t>
            </w:r>
          </w:p>
        </w:tc>
      </w:tr>
      <w:tr w:rsidR="00D96184" w:rsidRPr="003E2214" w14:paraId="4A57B026" w14:textId="77777777" w:rsidTr="00E1798C">
        <w:trPr>
          <w:trHeight w:val="77"/>
        </w:trPr>
        <w:tc>
          <w:tcPr>
            <w:tcW w:w="1707" w:type="dxa"/>
            <w:shd w:val="clear" w:color="auto" w:fill="auto"/>
            <w:vAlign w:val="center"/>
          </w:tcPr>
          <w:p w14:paraId="13E3638B" w14:textId="5D4F37A6"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TyR</w:t>
            </w:r>
          </w:p>
        </w:tc>
        <w:tc>
          <w:tcPr>
            <w:tcW w:w="7229" w:type="dxa"/>
            <w:shd w:val="clear" w:color="auto" w:fill="auto"/>
            <w:vAlign w:val="center"/>
          </w:tcPr>
          <w:p w14:paraId="156E7A54" w14:textId="2D33481C"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Telecomunicaciones y Radiodifusión.</w:t>
            </w:r>
          </w:p>
        </w:tc>
      </w:tr>
      <w:tr w:rsidR="00D96184" w:rsidRPr="003E2214" w14:paraId="7A4208BF" w14:textId="77777777" w:rsidTr="00E1798C">
        <w:trPr>
          <w:trHeight w:val="77"/>
        </w:trPr>
        <w:tc>
          <w:tcPr>
            <w:tcW w:w="1707" w:type="dxa"/>
            <w:shd w:val="clear" w:color="auto" w:fill="auto"/>
            <w:vAlign w:val="center"/>
          </w:tcPr>
          <w:p w14:paraId="3E94B882" w14:textId="4316D31D" w:rsidR="00D96184" w:rsidRPr="00D96184" w:rsidRDefault="00D96184" w:rsidP="00E1798C">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UCE</w:t>
            </w:r>
          </w:p>
        </w:tc>
        <w:tc>
          <w:tcPr>
            <w:tcW w:w="7229" w:type="dxa"/>
            <w:shd w:val="clear" w:color="auto" w:fill="auto"/>
            <w:vAlign w:val="center"/>
          </w:tcPr>
          <w:p w14:paraId="6A77353B" w14:textId="2362349D" w:rsidR="00D96184" w:rsidRPr="00D96184" w:rsidRDefault="00D96184" w:rsidP="00E1798C">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Unidad de Competencia Económica del Instituto Federal de Telecomunicaciones.</w:t>
            </w:r>
          </w:p>
        </w:tc>
      </w:tr>
    </w:tbl>
    <w:p w14:paraId="691CA4BD" w14:textId="4F975039" w:rsidR="00BD0207" w:rsidRDefault="009C0C80" w:rsidP="00CE4C06">
      <w:pPr>
        <w:keepNext/>
        <w:spacing w:before="120" w:after="120" w:line="23" w:lineRule="atLeast"/>
        <w:jc w:val="both"/>
        <w:rPr>
          <w:rFonts w:ascii="Arial" w:hAnsi="Arial" w:cs="Arial"/>
          <w:b/>
          <w:bCs/>
        </w:rPr>
      </w:pPr>
      <w:r>
        <w:rPr>
          <w:rFonts w:ascii="Arial" w:hAnsi="Arial" w:cs="Arial"/>
          <w:b/>
          <w:bCs/>
        </w:rPr>
        <w:lastRenderedPageBreak/>
        <w:t>1</w:t>
      </w:r>
      <w:r w:rsidR="00BD0207" w:rsidRPr="00BD0207">
        <w:rPr>
          <w:rFonts w:ascii="Arial" w:hAnsi="Arial" w:cs="Arial"/>
          <w:b/>
          <w:bCs/>
        </w:rPr>
        <w:t>.</w:t>
      </w:r>
      <w:r w:rsidR="00BD0207">
        <w:rPr>
          <w:rFonts w:ascii="Arial" w:hAnsi="Arial" w:cs="Arial"/>
          <w:b/>
          <w:bCs/>
        </w:rPr>
        <w:t xml:space="preserve"> Fecha de Elaboración</w:t>
      </w:r>
      <w:r w:rsidR="007C1BEB">
        <w:rPr>
          <w:rFonts w:ascii="Arial" w:hAnsi="Arial" w:cs="Arial"/>
          <w:b/>
          <w:bCs/>
        </w:rPr>
        <w:t>.</w:t>
      </w:r>
    </w:p>
    <w:p w14:paraId="65159843" w14:textId="60E8ACA4" w:rsidR="00D96184" w:rsidRPr="00D96184" w:rsidRDefault="00D96184" w:rsidP="00CE4C06">
      <w:pPr>
        <w:keepNext/>
        <w:spacing w:before="120" w:after="120" w:line="23" w:lineRule="atLeast"/>
        <w:jc w:val="both"/>
        <w:rPr>
          <w:rFonts w:ascii="Arial" w:hAnsi="Arial" w:cs="Arial"/>
        </w:rPr>
      </w:pPr>
      <w:r w:rsidRPr="00D96184">
        <w:rPr>
          <w:rFonts w:ascii="Arial" w:hAnsi="Arial" w:cs="Arial"/>
        </w:rPr>
        <w:t xml:space="preserve">El Informe se tiene por integrado a los </w:t>
      </w:r>
      <w:r w:rsidR="000F3ECA">
        <w:rPr>
          <w:rFonts w:ascii="Arial" w:hAnsi="Arial" w:cs="Arial"/>
        </w:rPr>
        <w:t>25</w:t>
      </w:r>
      <w:r w:rsidR="000F3ECA" w:rsidRPr="00D96184">
        <w:rPr>
          <w:rFonts w:ascii="Arial" w:hAnsi="Arial" w:cs="Arial"/>
        </w:rPr>
        <w:t xml:space="preserve"> </w:t>
      </w:r>
      <w:r w:rsidRPr="00D96184">
        <w:rPr>
          <w:rFonts w:ascii="Arial" w:hAnsi="Arial" w:cs="Arial"/>
        </w:rPr>
        <w:t>días del mes de noviembre de 2021, dentro del plazo legal de 30 (treinta) días hábiles posteriores a la conclusión de la consulta pública, otorgado en el resolutivo Tercero del Acuerdo P/IFT/180821/408 y el artículo 138, fracción II, de la LFCE.</w:t>
      </w:r>
    </w:p>
    <w:p w14:paraId="34080CE2" w14:textId="4065B09B" w:rsidR="00D96184" w:rsidRDefault="00D96184" w:rsidP="00CE4C06">
      <w:pPr>
        <w:keepNext/>
        <w:spacing w:before="120" w:after="120" w:line="23" w:lineRule="atLeast"/>
        <w:jc w:val="both"/>
        <w:rPr>
          <w:rFonts w:ascii="Arial" w:hAnsi="Arial" w:cs="Arial"/>
        </w:rPr>
      </w:pPr>
      <w:r w:rsidRPr="00D96184">
        <w:rPr>
          <w:rFonts w:ascii="Arial" w:hAnsi="Arial" w:cs="Arial"/>
        </w:rPr>
        <w:t xml:space="preserve">A partir de la publicación del informe, de conformidad con lo dispuesto en el artículo 138, fracción III, de la LFCE, el Instituto cuenta con 60 (sesenta) días hábiles para expedir </w:t>
      </w:r>
      <w:r w:rsidR="00DB5278">
        <w:rPr>
          <w:rFonts w:ascii="Arial" w:hAnsi="Arial" w:cs="Arial"/>
        </w:rPr>
        <w:t>la modificación al</w:t>
      </w:r>
      <w:r w:rsidRPr="00D96184">
        <w:rPr>
          <w:rFonts w:ascii="Arial" w:hAnsi="Arial" w:cs="Arial"/>
        </w:rPr>
        <w:t xml:space="preserve"> Criterio Técnico correspondiente.</w:t>
      </w:r>
    </w:p>
    <w:p w14:paraId="3CFA5C50" w14:textId="0F6BC242" w:rsidR="001828DA" w:rsidRPr="0088630D" w:rsidRDefault="005F39CC" w:rsidP="00D96184">
      <w:pPr>
        <w:keepNext/>
        <w:spacing w:before="120" w:after="120" w:line="23" w:lineRule="atLeast"/>
        <w:jc w:val="both"/>
        <w:rPr>
          <w:rFonts w:ascii="Arial" w:hAnsi="Arial" w:cs="Arial"/>
          <w:b/>
          <w:bCs/>
        </w:rPr>
      </w:pPr>
      <w:r>
        <w:rPr>
          <w:rFonts w:ascii="Arial" w:hAnsi="Arial" w:cs="Arial"/>
          <w:b/>
          <w:bCs/>
        </w:rPr>
        <w:t>2</w:t>
      </w:r>
      <w:r w:rsidR="005C5B1C" w:rsidRPr="0088630D">
        <w:rPr>
          <w:rFonts w:ascii="Arial" w:hAnsi="Arial" w:cs="Arial"/>
          <w:b/>
          <w:bCs/>
        </w:rPr>
        <w:t xml:space="preserve">. </w:t>
      </w:r>
      <w:r w:rsidR="001828DA" w:rsidRPr="0088630D">
        <w:rPr>
          <w:rFonts w:ascii="Arial" w:hAnsi="Arial" w:cs="Arial"/>
          <w:b/>
          <w:bCs/>
        </w:rPr>
        <w:t>Título o Denominación de la Consulta Pública</w:t>
      </w:r>
      <w:r w:rsidR="007C1BEB">
        <w:rPr>
          <w:rFonts w:ascii="Arial" w:hAnsi="Arial" w:cs="Arial"/>
          <w:b/>
          <w:bCs/>
        </w:rPr>
        <w:t>.</w:t>
      </w:r>
    </w:p>
    <w:p w14:paraId="2EA25330" w14:textId="5A0264F7" w:rsidR="001828DA" w:rsidRPr="001828DA" w:rsidRDefault="00D96184" w:rsidP="00D50B18">
      <w:pPr>
        <w:spacing w:before="120" w:after="120" w:line="23" w:lineRule="atLeast"/>
        <w:jc w:val="both"/>
        <w:rPr>
          <w:rFonts w:ascii="Arial" w:hAnsi="Arial" w:cs="Arial"/>
        </w:rPr>
      </w:pPr>
      <w:r w:rsidRPr="00D96184">
        <w:rPr>
          <w:rFonts w:ascii="Arial" w:hAnsi="Arial" w:cs="Arial"/>
        </w:rPr>
        <w:t>Consulta Pública del “Anteproyecto de modificación al criterio técnico para el cálculo y aplicación de un índice cuantitativo a fin de determinar el grado de concentración en los mercados y servicios correspondientes a los sectores de telecomunicaciones y radiodifusión</w:t>
      </w:r>
      <w:r w:rsidR="000460F3" w:rsidRPr="0088630D">
        <w:rPr>
          <w:rFonts w:ascii="Arial" w:hAnsi="Arial" w:cs="Arial"/>
        </w:rPr>
        <w:t>”</w:t>
      </w:r>
      <w:r w:rsidR="0088630D" w:rsidRPr="0088630D">
        <w:rPr>
          <w:rFonts w:ascii="Arial" w:hAnsi="Arial" w:cs="Arial"/>
          <w:bCs/>
          <w:lang w:eastAsia="es-MX"/>
        </w:rPr>
        <w:t>.</w:t>
      </w:r>
    </w:p>
    <w:p w14:paraId="04370D7C" w14:textId="0C16B0EE" w:rsidR="005C5B1C" w:rsidRDefault="005F39CC" w:rsidP="00D50B18">
      <w:pPr>
        <w:spacing w:before="120" w:after="120" w:line="23" w:lineRule="atLeast"/>
        <w:jc w:val="both"/>
        <w:rPr>
          <w:rFonts w:ascii="Arial" w:hAnsi="Arial" w:cs="Arial"/>
          <w:b/>
          <w:bCs/>
        </w:rPr>
      </w:pPr>
      <w:r>
        <w:rPr>
          <w:rFonts w:ascii="Arial" w:hAnsi="Arial" w:cs="Arial"/>
          <w:b/>
          <w:bCs/>
        </w:rPr>
        <w:t>3</w:t>
      </w:r>
      <w:r w:rsidR="001828DA">
        <w:rPr>
          <w:rFonts w:ascii="Arial" w:hAnsi="Arial" w:cs="Arial"/>
          <w:b/>
          <w:bCs/>
        </w:rPr>
        <w:t xml:space="preserve">. </w:t>
      </w:r>
      <w:r w:rsidR="005C5B1C" w:rsidRPr="005C5B1C">
        <w:rPr>
          <w:rFonts w:ascii="Arial" w:hAnsi="Arial" w:cs="Arial"/>
          <w:b/>
          <w:bCs/>
        </w:rPr>
        <w:t>Descripción de la Consulta Pública</w:t>
      </w:r>
      <w:r w:rsidR="007C1BEB">
        <w:rPr>
          <w:rFonts w:ascii="Arial" w:hAnsi="Arial" w:cs="Arial"/>
          <w:b/>
          <w:bCs/>
        </w:rPr>
        <w:t>.</w:t>
      </w:r>
    </w:p>
    <w:p w14:paraId="69081B3E" w14:textId="77777777" w:rsidR="00CE4C06" w:rsidRDefault="00CE4C06" w:rsidP="00CE4C06">
      <w:pPr>
        <w:spacing w:before="120" w:after="120" w:line="23" w:lineRule="atLeast"/>
        <w:jc w:val="both"/>
        <w:rPr>
          <w:rFonts w:ascii="Arial" w:hAnsi="Arial" w:cs="Arial"/>
        </w:rPr>
      </w:pPr>
      <w:r w:rsidRPr="00CE4C06">
        <w:rPr>
          <w:rFonts w:ascii="Arial" w:hAnsi="Arial" w:cs="Arial"/>
        </w:rPr>
        <w:t>El 31 de agosto de 2021 se publicó el Anteproyecto de modificación al Criterio Técnico en el sitio de Internet del Instituto, así como un extracto en el DOF. La Consulta Pública se llevó a cabo por un periodo de 30 (treinta) días hábiles, mismos que transcurrieron del 1 de septiembre al 13 de octubre de 2021.</w:t>
      </w:r>
      <w:r>
        <w:rPr>
          <w:rFonts w:ascii="Arial" w:hAnsi="Arial" w:cs="Arial"/>
        </w:rPr>
        <w:t xml:space="preserve"> </w:t>
      </w:r>
    </w:p>
    <w:p w14:paraId="5C7424E1" w14:textId="7709FA8D" w:rsidR="00077345" w:rsidRDefault="005F39CC" w:rsidP="00D50B18">
      <w:pPr>
        <w:spacing w:before="120" w:after="120" w:line="23" w:lineRule="atLeast"/>
        <w:jc w:val="both"/>
        <w:rPr>
          <w:rFonts w:ascii="Arial" w:hAnsi="Arial" w:cs="Arial"/>
          <w:b/>
        </w:rPr>
      </w:pPr>
      <w:r>
        <w:rPr>
          <w:rFonts w:ascii="Arial" w:hAnsi="Arial" w:cs="Arial"/>
          <w:b/>
        </w:rPr>
        <w:t>4</w:t>
      </w:r>
      <w:r w:rsidR="00077345" w:rsidRPr="009A7404">
        <w:rPr>
          <w:rFonts w:ascii="Arial" w:hAnsi="Arial" w:cs="Arial"/>
          <w:b/>
        </w:rPr>
        <w:t>. Objetivo</w:t>
      </w:r>
      <w:r w:rsidR="00C90E8B">
        <w:rPr>
          <w:rFonts w:ascii="Arial" w:hAnsi="Arial" w:cs="Arial"/>
          <w:b/>
        </w:rPr>
        <w:t>s</w:t>
      </w:r>
      <w:r w:rsidR="00077345" w:rsidRPr="009A7404">
        <w:rPr>
          <w:rFonts w:ascii="Arial" w:hAnsi="Arial" w:cs="Arial"/>
          <w:b/>
        </w:rPr>
        <w:t xml:space="preserve"> de la Consulta Pública</w:t>
      </w:r>
      <w:r w:rsidR="007C1BEB">
        <w:rPr>
          <w:rFonts w:ascii="Arial" w:hAnsi="Arial" w:cs="Arial"/>
          <w:b/>
        </w:rPr>
        <w:t>.</w:t>
      </w:r>
    </w:p>
    <w:p w14:paraId="02F73E7A" w14:textId="77777777" w:rsidR="00CE4C06" w:rsidRPr="00CE4C06" w:rsidRDefault="00CE4C06" w:rsidP="00CE4C06">
      <w:pPr>
        <w:tabs>
          <w:tab w:val="left" w:pos="0"/>
        </w:tabs>
        <w:autoSpaceDE w:val="0"/>
        <w:autoSpaceDN w:val="0"/>
        <w:adjustRightInd w:val="0"/>
        <w:spacing w:before="120" w:after="120" w:line="276" w:lineRule="auto"/>
        <w:jc w:val="both"/>
        <w:rPr>
          <w:rFonts w:ascii="Arial" w:eastAsia="MS Mincho" w:hAnsi="Arial" w:cs="Arial"/>
          <w:color w:val="000000"/>
          <w:lang w:eastAsia="es-MX"/>
        </w:rPr>
      </w:pPr>
      <w:r w:rsidRPr="00CE4C06">
        <w:rPr>
          <w:rFonts w:ascii="Arial" w:eastAsia="MS Mincho" w:hAnsi="Arial" w:cs="Arial"/>
          <w:color w:val="000000"/>
          <w:lang w:val="es-ES_tradnl" w:eastAsia="es-MX"/>
        </w:rPr>
        <w:t xml:space="preserve">Con la Consulta Pública del Anteproyecto de modificación al Criterio Técnico se buscó alcanzar los siguientes objetivos: </w:t>
      </w:r>
    </w:p>
    <w:p w14:paraId="62248252" w14:textId="77777777" w:rsidR="00CE4C06" w:rsidRPr="00CE4C06" w:rsidRDefault="00CE4C06" w:rsidP="00CE4C06">
      <w:pPr>
        <w:numPr>
          <w:ilvl w:val="0"/>
          <w:numId w:val="38"/>
        </w:numPr>
        <w:tabs>
          <w:tab w:val="left" w:pos="0"/>
        </w:tabs>
        <w:autoSpaceDE w:val="0"/>
        <w:autoSpaceDN w:val="0"/>
        <w:adjustRightInd w:val="0"/>
        <w:spacing w:before="120" w:after="120" w:line="276" w:lineRule="auto"/>
        <w:contextualSpacing/>
        <w:jc w:val="both"/>
        <w:rPr>
          <w:rFonts w:ascii="Arial" w:eastAsia="Calibri" w:hAnsi="Arial" w:cs="Arial"/>
          <w:b/>
          <w:bCs/>
          <w:smallCaps/>
          <w:lang w:val="x-none"/>
        </w:rPr>
      </w:pPr>
      <w:r w:rsidRPr="00CE4C06">
        <w:rPr>
          <w:rFonts w:ascii="Arial" w:eastAsia="Calibri" w:hAnsi="Arial" w:cs="Arial"/>
          <w:color w:val="000000"/>
          <w:shd w:val="clear" w:color="auto" w:fill="FFFFFF"/>
          <w:lang w:val="x-none"/>
        </w:rPr>
        <w:t xml:space="preserve">Transparentar y dar a conocer el Anteproyecto de </w:t>
      </w:r>
      <w:r w:rsidRPr="00CE4C06">
        <w:rPr>
          <w:rFonts w:ascii="Arial" w:eastAsia="Calibri" w:hAnsi="Arial" w:cs="Arial"/>
          <w:color w:val="000000"/>
          <w:shd w:val="clear" w:color="auto" w:fill="FFFFFF"/>
        </w:rPr>
        <w:t>modificación al Criterio Técnico</w:t>
      </w:r>
      <w:r w:rsidRPr="00CE4C06">
        <w:rPr>
          <w:rFonts w:ascii="Arial" w:eastAsia="Calibri" w:hAnsi="Arial" w:cs="Arial"/>
          <w:color w:val="000000"/>
          <w:shd w:val="clear" w:color="auto" w:fill="FFFFFF"/>
          <w:lang w:val="x-none"/>
        </w:rPr>
        <w:t>, acompañado de su Análisis de Nulo Impacto Regulatorio</w:t>
      </w:r>
      <w:r w:rsidRPr="00CE4C06">
        <w:rPr>
          <w:rFonts w:ascii="Arial" w:eastAsia="Calibri" w:hAnsi="Arial" w:cs="Arial"/>
          <w:color w:val="000000"/>
          <w:shd w:val="clear" w:color="auto" w:fill="FFFFFF"/>
        </w:rPr>
        <w:t>.</w:t>
      </w:r>
    </w:p>
    <w:p w14:paraId="2DA85FE1" w14:textId="77777777" w:rsidR="00CE4C06" w:rsidRPr="00CE4C06" w:rsidRDefault="00CE4C06" w:rsidP="00CE4C06">
      <w:pPr>
        <w:numPr>
          <w:ilvl w:val="0"/>
          <w:numId w:val="38"/>
        </w:numPr>
        <w:tabs>
          <w:tab w:val="left" w:pos="0"/>
        </w:tabs>
        <w:autoSpaceDE w:val="0"/>
        <w:autoSpaceDN w:val="0"/>
        <w:adjustRightInd w:val="0"/>
        <w:spacing w:before="120" w:after="120" w:line="276" w:lineRule="auto"/>
        <w:jc w:val="both"/>
        <w:rPr>
          <w:rFonts w:ascii="Arial" w:eastAsia="MS Mincho" w:hAnsi="Arial" w:cs="Arial"/>
          <w:color w:val="000000"/>
          <w:lang w:val="es-ES_tradnl" w:eastAsia="es-MX"/>
        </w:rPr>
      </w:pPr>
      <w:r w:rsidRPr="00CE4C06">
        <w:rPr>
          <w:rFonts w:ascii="Arial" w:eastAsia="MS Mincho" w:hAnsi="Arial" w:cs="Arial"/>
          <w:color w:val="000000"/>
          <w:lang w:val="es-ES_tradnl" w:eastAsia="es-MX"/>
        </w:rPr>
        <w:t>Promover la participación ciudadana y fortalecer el Anteproyecto de modificación al Criterio Técnico al incorporar, en lo procedente, las sugerencias de los participantes.</w:t>
      </w:r>
    </w:p>
    <w:p w14:paraId="7E01B7D1" w14:textId="4A638896" w:rsidR="005924D3" w:rsidRDefault="005F39CC" w:rsidP="00D50B18">
      <w:pPr>
        <w:spacing w:before="120" w:after="120" w:line="23" w:lineRule="atLeast"/>
        <w:jc w:val="both"/>
        <w:rPr>
          <w:rFonts w:ascii="Arial" w:hAnsi="Arial" w:cs="Arial"/>
          <w:b/>
          <w:bCs/>
        </w:rPr>
      </w:pPr>
      <w:r>
        <w:rPr>
          <w:rFonts w:ascii="Arial" w:hAnsi="Arial" w:cs="Arial"/>
          <w:b/>
          <w:bCs/>
        </w:rPr>
        <w:t>5</w:t>
      </w:r>
      <w:r w:rsidR="005924D3" w:rsidRPr="005924D3">
        <w:rPr>
          <w:rFonts w:ascii="Arial" w:hAnsi="Arial" w:cs="Arial"/>
          <w:b/>
          <w:bCs/>
        </w:rPr>
        <w:t xml:space="preserve">. </w:t>
      </w:r>
      <w:r w:rsidR="005924D3">
        <w:rPr>
          <w:rFonts w:ascii="Arial" w:hAnsi="Arial" w:cs="Arial"/>
          <w:b/>
          <w:bCs/>
        </w:rPr>
        <w:t>Unidad responsable de la Consulta Pública</w:t>
      </w:r>
      <w:r w:rsidR="007C1BEB">
        <w:rPr>
          <w:rFonts w:ascii="Arial" w:hAnsi="Arial" w:cs="Arial"/>
          <w:b/>
          <w:bCs/>
        </w:rPr>
        <w:t>.</w:t>
      </w:r>
    </w:p>
    <w:p w14:paraId="7D0A2AA1" w14:textId="502B3D45" w:rsidR="008677D3" w:rsidRDefault="0019663C" w:rsidP="00D50B18">
      <w:pPr>
        <w:autoSpaceDE w:val="0"/>
        <w:autoSpaceDN w:val="0"/>
        <w:adjustRightInd w:val="0"/>
        <w:spacing w:before="120" w:after="120" w:line="23" w:lineRule="atLeast"/>
        <w:jc w:val="both"/>
        <w:rPr>
          <w:rFonts w:ascii="Arial" w:eastAsia="Times New Roman" w:hAnsi="Arial" w:cs="Arial"/>
          <w:bCs/>
          <w:color w:val="000000"/>
          <w:lang w:eastAsia="es-MX"/>
        </w:rPr>
      </w:pPr>
      <w:r w:rsidRPr="0019663C">
        <w:rPr>
          <w:rFonts w:ascii="Arial" w:hAnsi="Arial" w:cs="Arial"/>
        </w:rPr>
        <w:t xml:space="preserve">La </w:t>
      </w:r>
      <w:r w:rsidR="00D00D4D">
        <w:rPr>
          <w:rFonts w:ascii="Arial" w:hAnsi="Arial" w:cs="Arial"/>
        </w:rPr>
        <w:t>UCE</w:t>
      </w:r>
      <w:r w:rsidR="008677D3" w:rsidRPr="0088630D">
        <w:rPr>
          <w:rFonts w:ascii="Arial" w:eastAsia="Times New Roman" w:hAnsi="Arial" w:cs="Arial"/>
          <w:bCs/>
          <w:color w:val="000000"/>
          <w:lang w:eastAsia="es-MX"/>
        </w:rPr>
        <w:t>.</w:t>
      </w:r>
    </w:p>
    <w:p w14:paraId="40F48F11" w14:textId="12D7C4D4" w:rsidR="008677D3" w:rsidRPr="0088630D" w:rsidRDefault="005F39CC" w:rsidP="00D50B18">
      <w:pPr>
        <w:autoSpaceDE w:val="0"/>
        <w:autoSpaceDN w:val="0"/>
        <w:adjustRightInd w:val="0"/>
        <w:spacing w:before="120" w:after="120" w:line="23" w:lineRule="atLeast"/>
        <w:jc w:val="both"/>
        <w:rPr>
          <w:rFonts w:ascii="Arial" w:eastAsia="Times New Roman" w:hAnsi="Arial" w:cs="Arial"/>
          <w:b/>
          <w:color w:val="000000"/>
          <w:lang w:eastAsia="es-MX"/>
        </w:rPr>
      </w:pPr>
      <w:r>
        <w:rPr>
          <w:rFonts w:ascii="Arial" w:eastAsia="Times New Roman" w:hAnsi="Arial" w:cs="Arial"/>
          <w:b/>
          <w:color w:val="000000"/>
          <w:lang w:eastAsia="es-MX"/>
        </w:rPr>
        <w:t>6</w:t>
      </w:r>
      <w:r w:rsidR="00032A99" w:rsidRPr="0088630D">
        <w:rPr>
          <w:rFonts w:ascii="Arial" w:eastAsia="Times New Roman" w:hAnsi="Arial" w:cs="Arial"/>
          <w:b/>
          <w:color w:val="000000"/>
          <w:lang w:eastAsia="es-MX"/>
        </w:rPr>
        <w:t>. Descripción de los participantes de la Consulta Pública.</w:t>
      </w:r>
    </w:p>
    <w:p w14:paraId="58C914AA" w14:textId="62B0874A" w:rsidR="003E2214" w:rsidRPr="00C320A9" w:rsidRDefault="007E7216" w:rsidP="00D50B18">
      <w:pPr>
        <w:pStyle w:val="Listavistosa-nfasis11"/>
        <w:spacing w:before="120" w:after="120" w:line="23" w:lineRule="atLeast"/>
        <w:ind w:left="0" w:right="51"/>
        <w:contextualSpacing w:val="0"/>
        <w:jc w:val="both"/>
        <w:rPr>
          <w:rFonts w:ascii="Arial" w:hAnsi="Arial" w:cs="Arial"/>
          <w:szCs w:val="14"/>
        </w:rPr>
      </w:pPr>
      <w:r w:rsidRPr="007E7216">
        <w:rPr>
          <w:rFonts w:ascii="Arial" w:hAnsi="Arial" w:cs="Arial"/>
          <w:szCs w:val="14"/>
        </w:rPr>
        <w:t xml:space="preserve">En el proceso de </w:t>
      </w:r>
      <w:r w:rsidR="008A03E6" w:rsidRPr="007E7216">
        <w:rPr>
          <w:rFonts w:ascii="Arial" w:hAnsi="Arial" w:cs="Arial"/>
          <w:szCs w:val="14"/>
        </w:rPr>
        <w:t xml:space="preserve">Consulta Pública </w:t>
      </w:r>
      <w:r w:rsidRPr="007E7216">
        <w:rPr>
          <w:rFonts w:ascii="Arial" w:hAnsi="Arial" w:cs="Arial"/>
          <w:szCs w:val="14"/>
        </w:rPr>
        <w:t xml:space="preserve">se recibieron </w:t>
      </w:r>
      <w:r w:rsidR="00CE4C06">
        <w:rPr>
          <w:rFonts w:ascii="Arial" w:hAnsi="Arial" w:cs="Arial"/>
          <w:szCs w:val="14"/>
        </w:rPr>
        <w:t>7</w:t>
      </w:r>
      <w:r w:rsidRPr="007E7216">
        <w:rPr>
          <w:rFonts w:ascii="Arial" w:hAnsi="Arial" w:cs="Arial"/>
          <w:szCs w:val="14"/>
        </w:rPr>
        <w:t xml:space="preserve"> </w:t>
      </w:r>
      <w:r w:rsidR="008A03E6">
        <w:rPr>
          <w:rFonts w:ascii="Arial" w:hAnsi="Arial" w:cs="Arial"/>
          <w:szCs w:val="14"/>
        </w:rPr>
        <w:t>(</w:t>
      </w:r>
      <w:r w:rsidR="00CE4C06">
        <w:rPr>
          <w:rFonts w:ascii="Arial" w:hAnsi="Arial" w:cs="Arial"/>
          <w:szCs w:val="14"/>
        </w:rPr>
        <w:t>siete</w:t>
      </w:r>
      <w:r w:rsidR="008A03E6">
        <w:rPr>
          <w:rFonts w:ascii="Arial" w:hAnsi="Arial" w:cs="Arial"/>
          <w:szCs w:val="14"/>
        </w:rPr>
        <w:t xml:space="preserve">) </w:t>
      </w:r>
      <w:r w:rsidRPr="007E7216">
        <w:rPr>
          <w:rFonts w:ascii="Arial" w:hAnsi="Arial" w:cs="Arial"/>
          <w:szCs w:val="14"/>
        </w:rPr>
        <w:t>escritos de participantes a través del correo electrónico habilitado para tal efecto y por medio de la oficialía de partes del Instituto, mismos que se describen e identifican en el cuadro siguiente</w:t>
      </w:r>
      <w:r w:rsidR="00EA2F2C">
        <w:rPr>
          <w:rFonts w:ascii="Arial" w:hAnsi="Arial" w:cs="Arial"/>
        </w:rPr>
        <w:t>:</w:t>
      </w:r>
      <w:r>
        <w:rPr>
          <w:rFonts w:ascii="Arial" w:hAnsi="Arial" w:cs="Arial"/>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7"/>
        <w:gridCol w:w="1456"/>
        <w:gridCol w:w="2029"/>
        <w:gridCol w:w="2932"/>
      </w:tblGrid>
      <w:tr w:rsidR="003E2214" w:rsidRPr="003E2214" w14:paraId="4B1CA6A9" w14:textId="77777777" w:rsidTr="00CE4C06">
        <w:trPr>
          <w:tblHeader/>
          <w:jc w:val="center"/>
        </w:trPr>
        <w:tc>
          <w:tcPr>
            <w:tcW w:w="2967" w:type="dxa"/>
            <w:shd w:val="clear" w:color="auto" w:fill="92D050"/>
            <w:tcMar>
              <w:top w:w="0" w:type="dxa"/>
              <w:left w:w="108" w:type="dxa"/>
              <w:bottom w:w="0" w:type="dxa"/>
              <w:right w:w="108" w:type="dxa"/>
            </w:tcMar>
            <w:vAlign w:val="center"/>
            <w:hideMark/>
          </w:tcPr>
          <w:p w14:paraId="352AA90E"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Participantes</w:t>
            </w:r>
          </w:p>
        </w:tc>
        <w:tc>
          <w:tcPr>
            <w:tcW w:w="1456" w:type="dxa"/>
            <w:shd w:val="clear" w:color="auto" w:fill="92D050"/>
            <w:tcMar>
              <w:top w:w="0" w:type="dxa"/>
              <w:left w:w="108" w:type="dxa"/>
              <w:bottom w:w="0" w:type="dxa"/>
              <w:right w:w="108" w:type="dxa"/>
            </w:tcMar>
            <w:vAlign w:val="center"/>
            <w:hideMark/>
          </w:tcPr>
          <w:p w14:paraId="40A45C1F"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Fecha de presentación</w:t>
            </w:r>
          </w:p>
        </w:tc>
        <w:tc>
          <w:tcPr>
            <w:tcW w:w="2029" w:type="dxa"/>
            <w:shd w:val="clear" w:color="auto" w:fill="92D050"/>
            <w:tcMar>
              <w:top w:w="0" w:type="dxa"/>
              <w:left w:w="108" w:type="dxa"/>
              <w:bottom w:w="0" w:type="dxa"/>
              <w:right w:w="108" w:type="dxa"/>
            </w:tcMar>
            <w:vAlign w:val="center"/>
            <w:hideMark/>
          </w:tcPr>
          <w:p w14:paraId="7C6EE986"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Hora de presentación</w:t>
            </w:r>
          </w:p>
        </w:tc>
        <w:tc>
          <w:tcPr>
            <w:tcW w:w="2932" w:type="dxa"/>
            <w:shd w:val="clear" w:color="auto" w:fill="92D050"/>
            <w:vAlign w:val="center"/>
            <w:hideMark/>
          </w:tcPr>
          <w:p w14:paraId="4601B8D5"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Formato de presentación</w:t>
            </w:r>
          </w:p>
        </w:tc>
      </w:tr>
      <w:tr w:rsidR="00CE4C06" w:rsidRPr="003E2214" w14:paraId="20B39023" w14:textId="77777777" w:rsidTr="00CE4C06">
        <w:trPr>
          <w:trHeight w:val="449"/>
          <w:jc w:val="center"/>
        </w:trPr>
        <w:tc>
          <w:tcPr>
            <w:tcW w:w="2967" w:type="dxa"/>
            <w:tcMar>
              <w:top w:w="0" w:type="dxa"/>
              <w:left w:w="108" w:type="dxa"/>
              <w:bottom w:w="0" w:type="dxa"/>
              <w:right w:w="108" w:type="dxa"/>
            </w:tcMar>
          </w:tcPr>
          <w:p w14:paraId="25326EB9" w14:textId="3221C158" w:rsidR="00CE4C06" w:rsidRPr="003E2214" w:rsidRDefault="00CE4C06" w:rsidP="00CE4C06">
            <w:pPr>
              <w:spacing w:before="120" w:after="120" w:line="23" w:lineRule="atLeast"/>
              <w:jc w:val="both"/>
              <w:rPr>
                <w:rFonts w:ascii="Arial" w:hAnsi="Arial" w:cs="Arial"/>
                <w:sz w:val="18"/>
                <w:szCs w:val="18"/>
              </w:rPr>
            </w:pPr>
            <w:r w:rsidRPr="003C5301">
              <w:rPr>
                <w:rFonts w:ascii="Arial" w:hAnsi="Arial" w:cs="Arial"/>
                <w:sz w:val="18"/>
                <w:szCs w:val="18"/>
              </w:rPr>
              <w:t>Gerardo Soria Gutiérrez, en representación de IDET</w:t>
            </w:r>
          </w:p>
        </w:tc>
        <w:tc>
          <w:tcPr>
            <w:tcW w:w="1456" w:type="dxa"/>
            <w:tcMar>
              <w:top w:w="0" w:type="dxa"/>
              <w:left w:w="108" w:type="dxa"/>
              <w:bottom w:w="0" w:type="dxa"/>
              <w:right w:w="108" w:type="dxa"/>
            </w:tcMar>
            <w:vAlign w:val="center"/>
          </w:tcPr>
          <w:p w14:paraId="1ACE7412" w14:textId="60F577A0" w:rsidR="00CE4C06" w:rsidRPr="003E2214" w:rsidRDefault="00CE4C06" w:rsidP="00CE4C06">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vAlign w:val="center"/>
          </w:tcPr>
          <w:p w14:paraId="7D47873D" w14:textId="223A8F20" w:rsidR="00CE4C06" w:rsidRPr="003E2214" w:rsidRDefault="00CE4C06" w:rsidP="00CE4C06">
            <w:pPr>
              <w:spacing w:before="120" w:after="120" w:line="23" w:lineRule="atLeast"/>
              <w:jc w:val="center"/>
              <w:rPr>
                <w:rFonts w:ascii="Arial" w:hAnsi="Arial" w:cs="Arial"/>
                <w:b/>
                <w:sz w:val="18"/>
                <w:szCs w:val="18"/>
              </w:rPr>
            </w:pPr>
            <w:r>
              <w:rPr>
                <w:rFonts w:ascii="Arial" w:hAnsi="Arial" w:cs="Arial"/>
                <w:b/>
                <w:sz w:val="18"/>
                <w:szCs w:val="18"/>
              </w:rPr>
              <w:t>18:05</w:t>
            </w:r>
          </w:p>
        </w:tc>
        <w:tc>
          <w:tcPr>
            <w:tcW w:w="2932" w:type="dxa"/>
            <w:shd w:val="clear" w:color="auto" w:fill="auto"/>
            <w:vAlign w:val="center"/>
          </w:tcPr>
          <w:p w14:paraId="3C1C31E9" w14:textId="77777777" w:rsidR="00CE4C06" w:rsidRPr="003E2214" w:rsidRDefault="00CE4C06" w:rsidP="00CE4C06">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CE4C06" w:rsidRPr="003E2214" w14:paraId="4988007C" w14:textId="77777777" w:rsidTr="00CE4C06">
        <w:trPr>
          <w:trHeight w:val="449"/>
          <w:jc w:val="center"/>
        </w:trPr>
        <w:tc>
          <w:tcPr>
            <w:tcW w:w="2967" w:type="dxa"/>
            <w:tcMar>
              <w:top w:w="0" w:type="dxa"/>
              <w:left w:w="108" w:type="dxa"/>
              <w:bottom w:w="0" w:type="dxa"/>
              <w:right w:w="108" w:type="dxa"/>
            </w:tcMar>
          </w:tcPr>
          <w:p w14:paraId="23AD560C" w14:textId="14798CF7" w:rsidR="00CE4C06" w:rsidRPr="003E2214" w:rsidRDefault="00CE4C06" w:rsidP="00CE4C06">
            <w:pPr>
              <w:spacing w:before="120" w:after="120" w:line="23" w:lineRule="atLeast"/>
              <w:jc w:val="both"/>
              <w:rPr>
                <w:rFonts w:ascii="Arial" w:hAnsi="Arial" w:cs="Arial"/>
                <w:sz w:val="18"/>
                <w:szCs w:val="18"/>
              </w:rPr>
            </w:pPr>
            <w:r w:rsidRPr="003C5301">
              <w:rPr>
                <w:rFonts w:ascii="Arial" w:hAnsi="Arial" w:cs="Arial"/>
                <w:sz w:val="18"/>
                <w:szCs w:val="18"/>
              </w:rPr>
              <w:t>Ana de Saracho O’Brien, en representación de Telefónica.</w:t>
            </w:r>
          </w:p>
        </w:tc>
        <w:tc>
          <w:tcPr>
            <w:tcW w:w="1456" w:type="dxa"/>
            <w:tcMar>
              <w:top w:w="0" w:type="dxa"/>
              <w:left w:w="108" w:type="dxa"/>
              <w:bottom w:w="0" w:type="dxa"/>
              <w:right w:w="108" w:type="dxa"/>
            </w:tcMar>
            <w:vAlign w:val="center"/>
          </w:tcPr>
          <w:p w14:paraId="4BCAE133" w14:textId="43FB0D9E" w:rsidR="00CE4C06" w:rsidRPr="003E2214" w:rsidRDefault="00CE4C06" w:rsidP="00CE4C06">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vAlign w:val="center"/>
          </w:tcPr>
          <w:p w14:paraId="412E4F5F" w14:textId="66BF0698" w:rsidR="00CE4C06" w:rsidRPr="003E2214" w:rsidRDefault="00CE4C06" w:rsidP="00CE4C06">
            <w:pPr>
              <w:spacing w:before="120" w:after="120" w:line="23" w:lineRule="atLeast"/>
              <w:jc w:val="center"/>
              <w:rPr>
                <w:rFonts w:ascii="Arial" w:hAnsi="Arial" w:cs="Arial"/>
                <w:b/>
                <w:sz w:val="18"/>
                <w:szCs w:val="18"/>
              </w:rPr>
            </w:pPr>
            <w:r>
              <w:rPr>
                <w:rFonts w:ascii="Arial" w:hAnsi="Arial" w:cs="Arial"/>
                <w:b/>
                <w:sz w:val="18"/>
                <w:szCs w:val="18"/>
              </w:rPr>
              <w:t>20:27</w:t>
            </w:r>
          </w:p>
        </w:tc>
        <w:tc>
          <w:tcPr>
            <w:tcW w:w="2932" w:type="dxa"/>
            <w:shd w:val="clear" w:color="auto" w:fill="auto"/>
            <w:vAlign w:val="center"/>
          </w:tcPr>
          <w:p w14:paraId="28A7D44B" w14:textId="0E6F8BCB" w:rsidR="00CE4C06" w:rsidRPr="003E2214" w:rsidRDefault="00CE4C06" w:rsidP="00CE4C06">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CE4C06" w:rsidRPr="003E2214" w14:paraId="7F1E34CC" w14:textId="77777777" w:rsidTr="00CE4C06">
        <w:trPr>
          <w:trHeight w:val="449"/>
          <w:jc w:val="center"/>
        </w:trPr>
        <w:tc>
          <w:tcPr>
            <w:tcW w:w="2967" w:type="dxa"/>
            <w:tcMar>
              <w:top w:w="0" w:type="dxa"/>
              <w:left w:w="108" w:type="dxa"/>
              <w:bottom w:w="0" w:type="dxa"/>
              <w:right w:w="108" w:type="dxa"/>
            </w:tcMar>
          </w:tcPr>
          <w:p w14:paraId="01877A94" w14:textId="22C296CA" w:rsidR="00CE4C06" w:rsidRPr="003E2214" w:rsidRDefault="00CE4C06" w:rsidP="00CE4C06">
            <w:pPr>
              <w:spacing w:before="120" w:after="120" w:line="23" w:lineRule="atLeast"/>
              <w:jc w:val="both"/>
              <w:rPr>
                <w:rFonts w:ascii="Arial" w:hAnsi="Arial" w:cs="Arial"/>
                <w:sz w:val="18"/>
                <w:szCs w:val="18"/>
              </w:rPr>
            </w:pPr>
            <w:r w:rsidRPr="003C5301">
              <w:rPr>
                <w:rFonts w:ascii="Arial" w:hAnsi="Arial" w:cs="Arial"/>
                <w:sz w:val="18"/>
                <w:szCs w:val="18"/>
              </w:rPr>
              <w:t>Alfonso Lúa Reyes, en representación de Sky.</w:t>
            </w:r>
          </w:p>
        </w:tc>
        <w:tc>
          <w:tcPr>
            <w:tcW w:w="1456" w:type="dxa"/>
            <w:tcMar>
              <w:top w:w="0" w:type="dxa"/>
              <w:left w:w="108" w:type="dxa"/>
              <w:bottom w:w="0" w:type="dxa"/>
              <w:right w:w="108" w:type="dxa"/>
            </w:tcMar>
            <w:vAlign w:val="center"/>
          </w:tcPr>
          <w:p w14:paraId="457637F6" w14:textId="11462DBC" w:rsidR="00CE4C06" w:rsidRPr="003E2214" w:rsidRDefault="00CE4C06" w:rsidP="00CE4C06">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tcPr>
          <w:p w14:paraId="634DBB0C" w14:textId="1053D09A" w:rsidR="00CE4C06" w:rsidRPr="003E2214" w:rsidRDefault="00CE4C06" w:rsidP="00CE4C06">
            <w:pPr>
              <w:spacing w:before="120" w:after="120" w:line="23" w:lineRule="atLeast"/>
              <w:jc w:val="center"/>
              <w:rPr>
                <w:rFonts w:ascii="Arial" w:hAnsi="Arial" w:cs="Arial"/>
                <w:b/>
                <w:sz w:val="18"/>
                <w:szCs w:val="18"/>
              </w:rPr>
            </w:pPr>
            <w:r>
              <w:rPr>
                <w:rFonts w:ascii="Arial" w:hAnsi="Arial" w:cs="Arial"/>
                <w:b/>
                <w:sz w:val="18"/>
                <w:szCs w:val="18"/>
              </w:rPr>
              <w:t>21:19</w:t>
            </w:r>
          </w:p>
        </w:tc>
        <w:tc>
          <w:tcPr>
            <w:tcW w:w="2932" w:type="dxa"/>
            <w:shd w:val="clear" w:color="auto" w:fill="auto"/>
          </w:tcPr>
          <w:p w14:paraId="380DA921" w14:textId="260F36A4" w:rsidR="00CE4C06" w:rsidRPr="003E2214" w:rsidRDefault="00CE4C06" w:rsidP="00CE4C06">
            <w:pPr>
              <w:spacing w:before="120" w:after="120" w:line="23" w:lineRule="atLeast"/>
              <w:jc w:val="center"/>
              <w:rPr>
                <w:rFonts w:ascii="Arial" w:hAnsi="Arial" w:cs="Arial"/>
                <w:sz w:val="18"/>
                <w:szCs w:val="18"/>
              </w:rPr>
            </w:pPr>
            <w:r w:rsidRPr="003E2214">
              <w:rPr>
                <w:rFonts w:ascii="Arial" w:hAnsi="Arial" w:cs="Arial"/>
                <w:sz w:val="18"/>
                <w:szCs w:val="18"/>
              </w:rPr>
              <w:t>Correo electrónico</w:t>
            </w:r>
            <w:r>
              <w:rPr>
                <w:rFonts w:ascii="Arial" w:hAnsi="Arial" w:cs="Arial"/>
                <w:sz w:val="18"/>
                <w:szCs w:val="18"/>
              </w:rPr>
              <w:t>.</w:t>
            </w:r>
          </w:p>
        </w:tc>
      </w:tr>
      <w:tr w:rsidR="009A6859" w:rsidRPr="003E2214" w14:paraId="526D5F16" w14:textId="77777777" w:rsidTr="00CE4C06">
        <w:trPr>
          <w:trHeight w:val="449"/>
          <w:jc w:val="center"/>
        </w:trPr>
        <w:tc>
          <w:tcPr>
            <w:tcW w:w="2967" w:type="dxa"/>
            <w:tcMar>
              <w:top w:w="0" w:type="dxa"/>
              <w:left w:w="108" w:type="dxa"/>
              <w:bottom w:w="0" w:type="dxa"/>
              <w:right w:w="108" w:type="dxa"/>
            </w:tcMar>
          </w:tcPr>
          <w:p w14:paraId="5A276A8C" w14:textId="4A0578CE" w:rsidR="009A6859" w:rsidRPr="003C5301" w:rsidRDefault="009A6859" w:rsidP="009A6859">
            <w:pPr>
              <w:spacing w:before="120" w:after="120" w:line="23" w:lineRule="atLeast"/>
              <w:jc w:val="both"/>
              <w:rPr>
                <w:rFonts w:ascii="Arial" w:hAnsi="Arial" w:cs="Arial"/>
                <w:sz w:val="18"/>
                <w:szCs w:val="18"/>
              </w:rPr>
            </w:pPr>
            <w:r w:rsidRPr="003C5301">
              <w:rPr>
                <w:rFonts w:ascii="Arial" w:hAnsi="Arial" w:cs="Arial"/>
                <w:sz w:val="18"/>
                <w:szCs w:val="18"/>
              </w:rPr>
              <w:t>Gonzalo Martínez Pous, en representación de GTV</w:t>
            </w:r>
          </w:p>
        </w:tc>
        <w:tc>
          <w:tcPr>
            <w:tcW w:w="1456" w:type="dxa"/>
            <w:tcMar>
              <w:top w:w="0" w:type="dxa"/>
              <w:left w:w="108" w:type="dxa"/>
              <w:bottom w:w="0" w:type="dxa"/>
              <w:right w:w="108" w:type="dxa"/>
            </w:tcMar>
            <w:vAlign w:val="center"/>
          </w:tcPr>
          <w:p w14:paraId="352F5474" w14:textId="4EF84210" w:rsidR="009A6859" w:rsidRPr="003C5301" w:rsidRDefault="009A6859" w:rsidP="009A6859">
            <w:pPr>
              <w:spacing w:before="120" w:after="120" w:line="23" w:lineRule="atLeast"/>
              <w:jc w:val="center"/>
              <w:rPr>
                <w:rFonts w:ascii="Arial" w:hAnsi="Arial" w:cs="Arial"/>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tcPr>
          <w:p w14:paraId="73C7A693" w14:textId="250B47BD" w:rsidR="009A6859" w:rsidRDefault="009A6859" w:rsidP="009A6859">
            <w:pPr>
              <w:spacing w:before="120" w:after="120" w:line="23" w:lineRule="atLeast"/>
              <w:jc w:val="center"/>
              <w:rPr>
                <w:rFonts w:ascii="Arial" w:hAnsi="Arial" w:cs="Arial"/>
                <w:b/>
                <w:sz w:val="18"/>
                <w:szCs w:val="18"/>
              </w:rPr>
            </w:pPr>
            <w:r>
              <w:rPr>
                <w:rFonts w:ascii="Arial" w:hAnsi="Arial" w:cs="Arial"/>
                <w:b/>
                <w:sz w:val="18"/>
                <w:szCs w:val="18"/>
              </w:rPr>
              <w:t>21:20</w:t>
            </w:r>
          </w:p>
        </w:tc>
        <w:tc>
          <w:tcPr>
            <w:tcW w:w="2932" w:type="dxa"/>
            <w:shd w:val="clear" w:color="auto" w:fill="auto"/>
          </w:tcPr>
          <w:p w14:paraId="4D4E5DB2" w14:textId="3CCBF507" w:rsidR="009A6859" w:rsidRPr="003E2214" w:rsidRDefault="009A6859" w:rsidP="009A6859">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9A6859" w:rsidRPr="003E2214" w14:paraId="464EC2F8" w14:textId="77777777" w:rsidTr="00CE4C06">
        <w:trPr>
          <w:trHeight w:val="449"/>
          <w:jc w:val="center"/>
        </w:trPr>
        <w:tc>
          <w:tcPr>
            <w:tcW w:w="2967" w:type="dxa"/>
            <w:tcMar>
              <w:top w:w="0" w:type="dxa"/>
              <w:left w:w="108" w:type="dxa"/>
              <w:bottom w:w="0" w:type="dxa"/>
              <w:right w:w="108" w:type="dxa"/>
            </w:tcMar>
          </w:tcPr>
          <w:p w14:paraId="061DDA36" w14:textId="6EB46FF8" w:rsidR="009A6859" w:rsidRPr="008E69EE" w:rsidRDefault="009A6859" w:rsidP="009A6859">
            <w:pPr>
              <w:spacing w:before="120" w:after="120" w:line="23" w:lineRule="atLeast"/>
              <w:jc w:val="both"/>
              <w:rPr>
                <w:rFonts w:ascii="Arial" w:hAnsi="Arial" w:cs="Arial"/>
                <w:sz w:val="18"/>
                <w:szCs w:val="18"/>
              </w:rPr>
            </w:pPr>
            <w:r w:rsidRPr="003C5301">
              <w:rPr>
                <w:rFonts w:ascii="Arial" w:hAnsi="Arial" w:cs="Arial"/>
                <w:sz w:val="18"/>
                <w:szCs w:val="18"/>
              </w:rPr>
              <w:lastRenderedPageBreak/>
              <w:t>Jorge Rubén Vilchis Hernández, en representación de TO</w:t>
            </w:r>
          </w:p>
        </w:tc>
        <w:tc>
          <w:tcPr>
            <w:tcW w:w="1456" w:type="dxa"/>
            <w:tcMar>
              <w:top w:w="0" w:type="dxa"/>
              <w:left w:w="108" w:type="dxa"/>
              <w:bottom w:w="0" w:type="dxa"/>
              <w:right w:w="108" w:type="dxa"/>
            </w:tcMar>
            <w:vAlign w:val="center"/>
          </w:tcPr>
          <w:p w14:paraId="4249052F" w14:textId="1B386DD9" w:rsidR="009A6859" w:rsidRPr="008E69EE" w:rsidRDefault="009A6859" w:rsidP="009A6859">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tcPr>
          <w:p w14:paraId="0658C56D" w14:textId="5EDAEEFA" w:rsidR="009A6859" w:rsidRDefault="009A6859" w:rsidP="009A6859">
            <w:pPr>
              <w:spacing w:before="120" w:after="120" w:line="23" w:lineRule="atLeast"/>
              <w:jc w:val="center"/>
              <w:rPr>
                <w:rFonts w:ascii="Arial" w:hAnsi="Arial" w:cs="Arial"/>
                <w:b/>
                <w:sz w:val="18"/>
                <w:szCs w:val="18"/>
              </w:rPr>
            </w:pPr>
            <w:r>
              <w:rPr>
                <w:rFonts w:ascii="Arial" w:hAnsi="Arial" w:cs="Arial"/>
                <w:b/>
                <w:sz w:val="18"/>
                <w:szCs w:val="18"/>
              </w:rPr>
              <w:t>22:49</w:t>
            </w:r>
          </w:p>
        </w:tc>
        <w:tc>
          <w:tcPr>
            <w:tcW w:w="2932" w:type="dxa"/>
            <w:shd w:val="clear" w:color="auto" w:fill="auto"/>
          </w:tcPr>
          <w:p w14:paraId="169AA8E9" w14:textId="100EE229" w:rsidR="009A6859" w:rsidRPr="008E69EE" w:rsidRDefault="009A6859" w:rsidP="009A6859">
            <w:pPr>
              <w:spacing w:before="120" w:after="120" w:line="23" w:lineRule="atLeast"/>
              <w:jc w:val="center"/>
              <w:rPr>
                <w:rFonts w:ascii="Arial" w:hAnsi="Arial" w:cs="Arial"/>
                <w:sz w:val="18"/>
                <w:szCs w:val="18"/>
              </w:rPr>
            </w:pPr>
            <w:r w:rsidRPr="00ED637D">
              <w:rPr>
                <w:rFonts w:ascii="Arial" w:hAnsi="Arial" w:cs="Arial"/>
                <w:sz w:val="18"/>
                <w:szCs w:val="18"/>
              </w:rPr>
              <w:t>Correo electrónico</w:t>
            </w:r>
          </w:p>
        </w:tc>
      </w:tr>
      <w:tr w:rsidR="009A6859" w:rsidRPr="003E2214" w14:paraId="46300589" w14:textId="77777777" w:rsidTr="00CE4C06">
        <w:trPr>
          <w:trHeight w:val="449"/>
          <w:jc w:val="center"/>
        </w:trPr>
        <w:tc>
          <w:tcPr>
            <w:tcW w:w="2967" w:type="dxa"/>
            <w:tcMar>
              <w:top w:w="0" w:type="dxa"/>
              <w:left w:w="108" w:type="dxa"/>
              <w:bottom w:w="0" w:type="dxa"/>
              <w:right w:w="108" w:type="dxa"/>
            </w:tcMar>
          </w:tcPr>
          <w:p w14:paraId="22EF6AD4" w14:textId="1F51F3A7" w:rsidR="009A6859" w:rsidRPr="008E69EE" w:rsidRDefault="009A6859" w:rsidP="009A6859">
            <w:pPr>
              <w:spacing w:before="120" w:after="120" w:line="23" w:lineRule="atLeast"/>
              <w:jc w:val="both"/>
              <w:rPr>
                <w:rFonts w:ascii="Arial" w:hAnsi="Arial" w:cs="Arial"/>
                <w:sz w:val="18"/>
                <w:szCs w:val="18"/>
              </w:rPr>
            </w:pPr>
            <w:r w:rsidRPr="003C5301">
              <w:rPr>
                <w:rFonts w:ascii="Arial" w:hAnsi="Arial" w:cs="Arial"/>
                <w:sz w:val="18"/>
                <w:szCs w:val="18"/>
              </w:rPr>
              <w:t>Carlos Mora Villalpando</w:t>
            </w:r>
          </w:p>
        </w:tc>
        <w:tc>
          <w:tcPr>
            <w:tcW w:w="1456" w:type="dxa"/>
            <w:tcMar>
              <w:top w:w="0" w:type="dxa"/>
              <w:left w:w="108" w:type="dxa"/>
              <w:bottom w:w="0" w:type="dxa"/>
              <w:right w:w="108" w:type="dxa"/>
            </w:tcMar>
            <w:vAlign w:val="center"/>
          </w:tcPr>
          <w:p w14:paraId="55E1FC83" w14:textId="25FD0724" w:rsidR="009A6859" w:rsidRPr="008E69EE" w:rsidRDefault="009A6859" w:rsidP="009A6859">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tcPr>
          <w:p w14:paraId="59A121F4" w14:textId="7707AFC4" w:rsidR="009A6859" w:rsidRDefault="009A6859" w:rsidP="009A6859">
            <w:pPr>
              <w:spacing w:before="120" w:after="120" w:line="23" w:lineRule="atLeast"/>
              <w:jc w:val="center"/>
              <w:rPr>
                <w:rFonts w:ascii="Arial" w:hAnsi="Arial" w:cs="Arial"/>
                <w:b/>
                <w:sz w:val="18"/>
                <w:szCs w:val="18"/>
              </w:rPr>
            </w:pPr>
            <w:r>
              <w:rPr>
                <w:rFonts w:ascii="Arial" w:hAnsi="Arial" w:cs="Arial"/>
                <w:b/>
                <w:sz w:val="18"/>
                <w:szCs w:val="18"/>
              </w:rPr>
              <w:t>23:29</w:t>
            </w:r>
          </w:p>
        </w:tc>
        <w:tc>
          <w:tcPr>
            <w:tcW w:w="2932" w:type="dxa"/>
            <w:shd w:val="clear" w:color="auto" w:fill="auto"/>
          </w:tcPr>
          <w:p w14:paraId="15A06ADB" w14:textId="7CEEDB2D" w:rsidR="009A6859" w:rsidRPr="008E69EE" w:rsidRDefault="009A6859" w:rsidP="009A6859">
            <w:pPr>
              <w:spacing w:before="120" w:after="120" w:line="23" w:lineRule="atLeast"/>
              <w:jc w:val="center"/>
              <w:rPr>
                <w:rFonts w:ascii="Arial" w:hAnsi="Arial" w:cs="Arial"/>
                <w:sz w:val="18"/>
                <w:szCs w:val="18"/>
              </w:rPr>
            </w:pPr>
            <w:r w:rsidRPr="008E69EE">
              <w:rPr>
                <w:rFonts w:ascii="Arial" w:hAnsi="Arial" w:cs="Arial"/>
                <w:sz w:val="18"/>
                <w:szCs w:val="18"/>
              </w:rPr>
              <w:t>Correo electrónico.</w:t>
            </w:r>
          </w:p>
        </w:tc>
      </w:tr>
      <w:tr w:rsidR="009A6859" w:rsidRPr="003E2214" w14:paraId="3C267164" w14:textId="77777777" w:rsidTr="00CE4C06">
        <w:trPr>
          <w:trHeight w:val="449"/>
          <w:jc w:val="center"/>
        </w:trPr>
        <w:tc>
          <w:tcPr>
            <w:tcW w:w="2967" w:type="dxa"/>
            <w:tcMar>
              <w:top w:w="0" w:type="dxa"/>
              <w:left w:w="108" w:type="dxa"/>
              <w:bottom w:w="0" w:type="dxa"/>
              <w:right w:w="108" w:type="dxa"/>
            </w:tcMar>
          </w:tcPr>
          <w:p w14:paraId="3A4BDC67" w14:textId="5244A51B" w:rsidR="009A6859" w:rsidRPr="008E69EE" w:rsidRDefault="009A6859" w:rsidP="009A6859">
            <w:pPr>
              <w:spacing w:before="120" w:after="120" w:line="23" w:lineRule="atLeast"/>
              <w:jc w:val="both"/>
              <w:rPr>
                <w:rFonts w:ascii="Arial" w:hAnsi="Arial" w:cs="Arial"/>
                <w:sz w:val="18"/>
                <w:szCs w:val="18"/>
              </w:rPr>
            </w:pPr>
            <w:r w:rsidRPr="003C5301">
              <w:rPr>
                <w:rFonts w:ascii="Arial" w:hAnsi="Arial" w:cs="Arial"/>
                <w:sz w:val="18"/>
                <w:szCs w:val="18"/>
              </w:rPr>
              <w:t>Ramón Olivares Chávez, en representación de Mega Cable</w:t>
            </w:r>
          </w:p>
        </w:tc>
        <w:tc>
          <w:tcPr>
            <w:tcW w:w="1456" w:type="dxa"/>
            <w:tcMar>
              <w:top w:w="0" w:type="dxa"/>
              <w:left w:w="108" w:type="dxa"/>
              <w:bottom w:w="0" w:type="dxa"/>
              <w:right w:w="108" w:type="dxa"/>
            </w:tcMar>
            <w:vAlign w:val="center"/>
          </w:tcPr>
          <w:p w14:paraId="0B5327C6" w14:textId="2E7ECB8F" w:rsidR="009A6859" w:rsidRPr="008E69EE" w:rsidRDefault="009A6859" w:rsidP="009A6859">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tcPr>
          <w:p w14:paraId="10298DEE" w14:textId="5154031E" w:rsidR="009A6859" w:rsidRDefault="009A6859" w:rsidP="009A6859">
            <w:pPr>
              <w:spacing w:before="120" w:after="120" w:line="23" w:lineRule="atLeast"/>
              <w:jc w:val="center"/>
              <w:rPr>
                <w:rFonts w:ascii="Arial" w:hAnsi="Arial" w:cs="Arial"/>
                <w:b/>
                <w:sz w:val="18"/>
                <w:szCs w:val="18"/>
              </w:rPr>
            </w:pPr>
            <w:r>
              <w:rPr>
                <w:rFonts w:ascii="Arial" w:hAnsi="Arial" w:cs="Arial"/>
                <w:b/>
                <w:sz w:val="18"/>
                <w:szCs w:val="18"/>
              </w:rPr>
              <w:t>23:44</w:t>
            </w:r>
          </w:p>
        </w:tc>
        <w:tc>
          <w:tcPr>
            <w:tcW w:w="2932" w:type="dxa"/>
            <w:shd w:val="clear" w:color="auto" w:fill="auto"/>
          </w:tcPr>
          <w:p w14:paraId="2536A360" w14:textId="1F086B65" w:rsidR="009A6859" w:rsidRPr="008E69EE" w:rsidRDefault="009A6859" w:rsidP="009A6859">
            <w:pPr>
              <w:spacing w:before="120" w:after="120" w:line="23" w:lineRule="atLeast"/>
              <w:jc w:val="center"/>
              <w:rPr>
                <w:rFonts w:ascii="Arial" w:hAnsi="Arial" w:cs="Arial"/>
                <w:sz w:val="18"/>
                <w:szCs w:val="18"/>
              </w:rPr>
            </w:pPr>
            <w:r w:rsidRPr="00ED637D">
              <w:rPr>
                <w:rFonts w:ascii="Arial" w:hAnsi="Arial" w:cs="Arial"/>
                <w:sz w:val="18"/>
                <w:szCs w:val="18"/>
              </w:rPr>
              <w:t>Correo electrónico</w:t>
            </w:r>
          </w:p>
        </w:tc>
      </w:tr>
    </w:tbl>
    <w:p w14:paraId="631A4195" w14:textId="16E1E118" w:rsidR="009A6859" w:rsidRPr="009A6859" w:rsidRDefault="009A6859" w:rsidP="009A6859">
      <w:pPr>
        <w:spacing w:before="120" w:after="120" w:line="23" w:lineRule="atLeast"/>
        <w:jc w:val="both"/>
        <w:rPr>
          <w:rFonts w:ascii="Arial" w:hAnsi="Arial" w:cs="Arial"/>
        </w:rPr>
      </w:pPr>
      <w:r w:rsidRPr="009A6859">
        <w:rPr>
          <w:rFonts w:ascii="Arial" w:hAnsi="Arial" w:cs="Arial"/>
        </w:rPr>
        <w:t>Adicionalmente, mediante el Oficio IFT/226/UCE/07</w:t>
      </w:r>
      <w:r w:rsidR="00680142">
        <w:rPr>
          <w:rFonts w:ascii="Arial" w:hAnsi="Arial" w:cs="Arial"/>
        </w:rPr>
        <w:t>1</w:t>
      </w:r>
      <w:r w:rsidRPr="009A6859">
        <w:rPr>
          <w:rFonts w:ascii="Arial" w:hAnsi="Arial" w:cs="Arial"/>
        </w:rPr>
        <w:t xml:space="preserve">/2021 de fecha de 2 de septiembre de 2021, se solicitó a la COFECE emitir la opinión a la que se refiere el artículo 138, fracción I, </w:t>
      </w:r>
      <w:r w:rsidRPr="009A6859">
        <w:rPr>
          <w:rFonts w:ascii="Arial" w:hAnsi="Arial" w:cs="Arial"/>
          <w:i/>
        </w:rPr>
        <w:t>in fine</w:t>
      </w:r>
      <w:r w:rsidRPr="009A6859">
        <w:rPr>
          <w:rFonts w:ascii="Arial" w:hAnsi="Arial" w:cs="Arial"/>
        </w:rPr>
        <w:t>, de la LFCE, en relación con el Anteproyecto de modificación al Criterio Técnico.</w:t>
      </w:r>
    </w:p>
    <w:p w14:paraId="562690C9" w14:textId="2E55E9AB" w:rsidR="009A6859" w:rsidRPr="009A6859" w:rsidRDefault="009A6859" w:rsidP="009A6859">
      <w:pPr>
        <w:spacing w:before="120" w:after="120" w:line="23" w:lineRule="atLeast"/>
        <w:jc w:val="both"/>
        <w:rPr>
          <w:rFonts w:ascii="Arial" w:hAnsi="Arial" w:cs="Arial"/>
        </w:rPr>
      </w:pPr>
      <w:r w:rsidRPr="009A6859">
        <w:rPr>
          <w:rFonts w:ascii="Arial" w:hAnsi="Arial" w:cs="Arial"/>
        </w:rPr>
        <w:t xml:space="preserve">El 1 de octubre de 2021, se recibió en oficialía de partes del Instituto el Oficio ST-CFCE-2021-092 de fecha 1 de octubre de 2021, </w:t>
      </w:r>
      <w:r w:rsidR="00646221">
        <w:rPr>
          <w:rFonts w:ascii="Arial" w:hAnsi="Arial" w:cs="Arial"/>
        </w:rPr>
        <w:t xml:space="preserve">por el cual la COFECE, </w:t>
      </w:r>
      <w:r w:rsidRPr="009A6859">
        <w:rPr>
          <w:rFonts w:ascii="Arial" w:hAnsi="Arial" w:cs="Arial"/>
        </w:rPr>
        <w:t>en atención al Oficio IFT/226/UCE/07</w:t>
      </w:r>
      <w:r w:rsidR="00FB7065">
        <w:rPr>
          <w:rFonts w:ascii="Arial" w:hAnsi="Arial" w:cs="Arial"/>
        </w:rPr>
        <w:t>1</w:t>
      </w:r>
      <w:r w:rsidRPr="009A6859">
        <w:rPr>
          <w:rFonts w:ascii="Arial" w:hAnsi="Arial" w:cs="Arial"/>
        </w:rPr>
        <w:t>/2021, envió comentarios o sugerencias al Anteproyecto de modificación al Criterio Técnico.</w:t>
      </w:r>
    </w:p>
    <w:p w14:paraId="2638DCA9" w14:textId="7910F160" w:rsidR="003E2214" w:rsidRPr="0076778C" w:rsidRDefault="00973ABA" w:rsidP="00D50B18">
      <w:pPr>
        <w:spacing w:before="120" w:after="120" w:line="23" w:lineRule="atLeast"/>
        <w:jc w:val="both"/>
        <w:rPr>
          <w:rFonts w:ascii="Arial" w:hAnsi="Arial" w:cs="Arial"/>
        </w:rPr>
      </w:pPr>
      <w:r w:rsidRPr="00973ABA">
        <w:rPr>
          <w:rFonts w:ascii="Arial" w:hAnsi="Arial" w:cs="Arial"/>
        </w:rPr>
        <w:t xml:space="preserve">Los comentarios presentados </w:t>
      </w:r>
      <w:r w:rsidR="0085320E" w:rsidRPr="0085320E">
        <w:rPr>
          <w:rFonts w:ascii="Arial" w:hAnsi="Arial" w:cs="Arial"/>
        </w:rPr>
        <w:t>se encuentran disponibles en</w:t>
      </w:r>
      <w:r w:rsidR="0076778C">
        <w:rPr>
          <w:rFonts w:ascii="Arial" w:hAnsi="Arial" w:cs="Arial"/>
        </w:rPr>
        <w:t xml:space="preserve"> </w:t>
      </w:r>
      <w:hyperlink r:id="rId11" w:history="1">
        <w:r w:rsidR="00CE4C06" w:rsidRPr="00946112">
          <w:rPr>
            <w:rStyle w:val="Hipervnculo"/>
            <w:rFonts w:ascii="Arial" w:hAnsi="Arial" w:cs="Arial"/>
          </w:rPr>
          <w:t>http://www.ift.org.mx/industria/consultas-publicas/criterio-tecnico-para-el-calculo-y-aplicacion-de-un-indice-cuantitativo-fin-de-determinar-el-grado</w:t>
        </w:r>
      </w:hyperlink>
      <w:r w:rsidR="00CE4C06">
        <w:rPr>
          <w:rFonts w:ascii="Arial" w:hAnsi="Arial" w:cs="Arial"/>
        </w:rPr>
        <w:t xml:space="preserve"> </w:t>
      </w:r>
    </w:p>
    <w:p w14:paraId="450A8D15" w14:textId="3FA61997" w:rsidR="003E2214" w:rsidRDefault="005F39CC" w:rsidP="00D50B18">
      <w:pPr>
        <w:pStyle w:val="Ttulo1"/>
        <w:spacing w:before="120" w:after="120" w:line="23" w:lineRule="atLeast"/>
        <w:jc w:val="both"/>
        <w:rPr>
          <w:rFonts w:ascii="Arial" w:hAnsi="Arial" w:cs="Arial"/>
          <w:b/>
          <w:color w:val="auto"/>
          <w:sz w:val="22"/>
          <w:szCs w:val="22"/>
        </w:rPr>
      </w:pPr>
      <w:r>
        <w:rPr>
          <w:rFonts w:ascii="Arial" w:hAnsi="Arial" w:cs="Arial"/>
          <w:b/>
          <w:color w:val="auto"/>
          <w:sz w:val="22"/>
          <w:szCs w:val="22"/>
        </w:rPr>
        <w:t>7</w:t>
      </w:r>
      <w:r w:rsidR="00393393">
        <w:rPr>
          <w:rFonts w:ascii="Arial" w:hAnsi="Arial" w:cs="Arial"/>
          <w:b/>
          <w:color w:val="auto"/>
          <w:sz w:val="22"/>
          <w:szCs w:val="22"/>
        </w:rPr>
        <w:t>.</w:t>
      </w:r>
      <w:r w:rsidR="003E2214" w:rsidRPr="003E2214">
        <w:rPr>
          <w:rFonts w:ascii="Arial" w:hAnsi="Arial" w:cs="Arial"/>
          <w:b/>
          <w:color w:val="auto"/>
          <w:sz w:val="22"/>
          <w:szCs w:val="22"/>
        </w:rPr>
        <w:t xml:space="preserve"> </w:t>
      </w:r>
      <w:r w:rsidR="00C320A9">
        <w:rPr>
          <w:rFonts w:ascii="Arial" w:hAnsi="Arial" w:cs="Arial"/>
          <w:b/>
          <w:color w:val="auto"/>
          <w:sz w:val="22"/>
          <w:szCs w:val="22"/>
        </w:rPr>
        <w:t xml:space="preserve">Respuestas o posicionamientos </w:t>
      </w:r>
      <w:r w:rsidR="00EA4331">
        <w:rPr>
          <w:rFonts w:ascii="Arial" w:hAnsi="Arial" w:cs="Arial"/>
          <w:b/>
          <w:color w:val="auto"/>
          <w:sz w:val="22"/>
          <w:szCs w:val="22"/>
        </w:rPr>
        <w:t xml:space="preserve">de la UCE </w:t>
      </w:r>
      <w:r w:rsidR="00C320A9">
        <w:rPr>
          <w:rFonts w:ascii="Arial" w:hAnsi="Arial" w:cs="Arial"/>
          <w:b/>
          <w:color w:val="auto"/>
          <w:sz w:val="22"/>
          <w:szCs w:val="22"/>
        </w:rPr>
        <w:t>que correspondan a los comentarios</w:t>
      </w:r>
      <w:r w:rsidR="00392DA2">
        <w:rPr>
          <w:rFonts w:ascii="Arial" w:hAnsi="Arial" w:cs="Arial"/>
          <w:b/>
          <w:color w:val="auto"/>
          <w:sz w:val="22"/>
          <w:szCs w:val="22"/>
        </w:rPr>
        <w:t xml:space="preserve">, opiniones y propuestas </w:t>
      </w:r>
      <w:r w:rsidR="00C320A9">
        <w:rPr>
          <w:rFonts w:ascii="Arial" w:hAnsi="Arial" w:cs="Arial"/>
          <w:b/>
          <w:color w:val="auto"/>
          <w:sz w:val="22"/>
          <w:szCs w:val="22"/>
        </w:rPr>
        <w:t>recibid</w:t>
      </w:r>
      <w:r w:rsidR="00392DA2">
        <w:rPr>
          <w:rFonts w:ascii="Arial" w:hAnsi="Arial" w:cs="Arial"/>
          <w:b/>
          <w:color w:val="auto"/>
          <w:sz w:val="22"/>
          <w:szCs w:val="22"/>
        </w:rPr>
        <w:t>as</w:t>
      </w:r>
      <w:r w:rsidR="00C320A9">
        <w:rPr>
          <w:rFonts w:ascii="Arial" w:hAnsi="Arial" w:cs="Arial"/>
          <w:b/>
          <w:color w:val="auto"/>
          <w:sz w:val="22"/>
          <w:szCs w:val="22"/>
        </w:rPr>
        <w:t>.</w:t>
      </w:r>
    </w:p>
    <w:p w14:paraId="39929C9E" w14:textId="66DE452E" w:rsidR="009A6859" w:rsidRDefault="00BC2E02" w:rsidP="00D50B18">
      <w:pPr>
        <w:spacing w:before="120" w:after="120" w:line="23" w:lineRule="atLeast"/>
        <w:jc w:val="both"/>
        <w:rPr>
          <w:rFonts w:ascii="Arial" w:hAnsi="Arial" w:cs="Arial"/>
        </w:rPr>
      </w:pPr>
      <w:r w:rsidRPr="00BC2E02">
        <w:rPr>
          <w:rFonts w:ascii="Arial" w:hAnsi="Arial" w:cs="Arial"/>
        </w:rPr>
        <w:t xml:space="preserve">A continuación, se presenta </w:t>
      </w:r>
      <w:r w:rsidR="00EA4331">
        <w:rPr>
          <w:rFonts w:ascii="Arial" w:hAnsi="Arial" w:cs="Arial"/>
        </w:rPr>
        <w:t>una síntesis</w:t>
      </w:r>
      <w:r w:rsidRPr="00BC2E02">
        <w:rPr>
          <w:rFonts w:ascii="Arial" w:hAnsi="Arial" w:cs="Arial"/>
        </w:rPr>
        <w:t xml:space="preserve"> de los comentarios recibidos y se identifican los apartados específicos del Anteproyecto al que fueron dirigidos. En concreto</w:t>
      </w:r>
      <w:r>
        <w:rPr>
          <w:rFonts w:ascii="Arial" w:hAnsi="Arial" w:cs="Arial"/>
        </w:rPr>
        <w:t>, s</w:t>
      </w:r>
      <w:r w:rsidR="008839E0">
        <w:rPr>
          <w:rFonts w:ascii="Arial" w:hAnsi="Arial" w:cs="Arial"/>
        </w:rPr>
        <w:t xml:space="preserve">e recibieron comentarios sobre los apartados siguientes: </w:t>
      </w:r>
      <w:bookmarkStart w:id="2" w:name="_Hlk80809058"/>
      <w:r w:rsidR="009A6859">
        <w:rPr>
          <w:rFonts w:ascii="Arial" w:hAnsi="Arial" w:cs="Arial"/>
        </w:rPr>
        <w:t>Artículo</w:t>
      </w:r>
      <w:r w:rsidR="00646221">
        <w:rPr>
          <w:rFonts w:ascii="Arial" w:hAnsi="Arial" w:cs="Arial"/>
        </w:rPr>
        <w:t>s</w:t>
      </w:r>
      <w:r w:rsidR="009A6859">
        <w:rPr>
          <w:rFonts w:ascii="Arial" w:hAnsi="Arial" w:cs="Arial"/>
        </w:rPr>
        <w:t xml:space="preserve"> 1 </w:t>
      </w:r>
      <w:r w:rsidR="00646221">
        <w:rPr>
          <w:rFonts w:ascii="Arial" w:hAnsi="Arial" w:cs="Arial"/>
        </w:rPr>
        <w:t>y</w:t>
      </w:r>
      <w:r w:rsidR="009A6859">
        <w:rPr>
          <w:rFonts w:ascii="Arial" w:hAnsi="Arial" w:cs="Arial"/>
        </w:rPr>
        <w:t xml:space="preserve"> 2</w:t>
      </w:r>
      <w:r w:rsidR="00646221">
        <w:rPr>
          <w:rFonts w:ascii="Arial" w:hAnsi="Arial" w:cs="Arial"/>
        </w:rPr>
        <w:t>,</w:t>
      </w:r>
      <w:r w:rsidR="009A6859">
        <w:rPr>
          <w:rFonts w:ascii="Arial" w:hAnsi="Arial" w:cs="Arial"/>
        </w:rPr>
        <w:t xml:space="preserve"> Artículo 3</w:t>
      </w:r>
      <w:r w:rsidR="00646221">
        <w:rPr>
          <w:rFonts w:ascii="Arial" w:hAnsi="Arial" w:cs="Arial"/>
        </w:rPr>
        <w:t>,</w:t>
      </w:r>
      <w:r w:rsidR="009A6859">
        <w:rPr>
          <w:rFonts w:ascii="Arial" w:hAnsi="Arial" w:cs="Arial"/>
        </w:rPr>
        <w:t xml:space="preserve"> Artículo 6</w:t>
      </w:r>
      <w:r w:rsidR="00646221">
        <w:rPr>
          <w:rFonts w:ascii="Arial" w:hAnsi="Arial" w:cs="Arial"/>
        </w:rPr>
        <w:t>,</w:t>
      </w:r>
      <w:r w:rsidR="009A6859">
        <w:rPr>
          <w:rFonts w:ascii="Arial" w:hAnsi="Arial" w:cs="Arial"/>
        </w:rPr>
        <w:t xml:space="preserve"> Artículo 7</w:t>
      </w:r>
      <w:r w:rsidR="00646221">
        <w:rPr>
          <w:rFonts w:ascii="Arial" w:hAnsi="Arial" w:cs="Arial"/>
        </w:rPr>
        <w:t>,</w:t>
      </w:r>
      <w:r w:rsidR="009A6859">
        <w:rPr>
          <w:rFonts w:ascii="Arial" w:hAnsi="Arial" w:cs="Arial"/>
        </w:rPr>
        <w:t xml:space="preserve"> Artículo 8</w:t>
      </w:r>
      <w:r w:rsidR="00646221">
        <w:rPr>
          <w:rFonts w:ascii="Arial" w:hAnsi="Arial" w:cs="Arial"/>
        </w:rPr>
        <w:t>,</w:t>
      </w:r>
      <w:r w:rsidR="009A6859">
        <w:rPr>
          <w:rFonts w:ascii="Arial" w:hAnsi="Arial" w:cs="Arial"/>
        </w:rPr>
        <w:t xml:space="preserve"> Artículo 9</w:t>
      </w:r>
      <w:r w:rsidR="00646221">
        <w:rPr>
          <w:rFonts w:ascii="Arial" w:hAnsi="Arial" w:cs="Arial"/>
        </w:rPr>
        <w:t xml:space="preserve"> y</w:t>
      </w:r>
      <w:r w:rsidR="009A6859">
        <w:rPr>
          <w:rFonts w:ascii="Arial" w:hAnsi="Arial" w:cs="Arial"/>
        </w:rPr>
        <w:t xml:space="preserve"> Artículo 10. </w:t>
      </w:r>
    </w:p>
    <w:p w14:paraId="33AEBD68" w14:textId="1CC7A77D" w:rsidR="008839E0" w:rsidRDefault="009A6859" w:rsidP="00D50B18">
      <w:pPr>
        <w:spacing w:before="120" w:after="120" w:line="23" w:lineRule="atLeast"/>
        <w:jc w:val="both"/>
        <w:rPr>
          <w:rFonts w:ascii="Arial" w:hAnsi="Arial" w:cs="Arial"/>
        </w:rPr>
      </w:pPr>
      <w:r>
        <w:rPr>
          <w:rFonts w:ascii="Arial" w:hAnsi="Arial" w:cs="Arial"/>
        </w:rPr>
        <w:t>Adicionalmente</w:t>
      </w:r>
      <w:r w:rsidR="008839E0">
        <w:rPr>
          <w:rFonts w:ascii="Arial" w:hAnsi="Arial" w:cs="Arial"/>
        </w:rPr>
        <w:t>,</w:t>
      </w:r>
      <w:r w:rsidR="00457D57">
        <w:rPr>
          <w:rFonts w:ascii="Arial" w:hAnsi="Arial" w:cs="Arial"/>
        </w:rPr>
        <w:t xml:space="preserve"> se recibieron comentarios generales hacia el Anteproyecto</w:t>
      </w:r>
      <w:bookmarkEnd w:id="2"/>
      <w:r w:rsidR="008839E0">
        <w:rPr>
          <w:rFonts w:ascii="Arial" w:hAnsi="Arial" w:cs="Arial"/>
        </w:rPr>
        <w:t>.</w:t>
      </w:r>
      <w:r w:rsidR="00D519E4">
        <w:rPr>
          <w:rFonts w:ascii="Arial" w:hAnsi="Arial" w:cs="Arial"/>
        </w:rPr>
        <w:t xml:space="preserve"> </w:t>
      </w:r>
    </w:p>
    <w:p w14:paraId="791EE1C6" w14:textId="3D6F06EA" w:rsidR="0023453B" w:rsidRPr="00BD5C05" w:rsidRDefault="0023453B" w:rsidP="00D50B18">
      <w:pPr>
        <w:spacing w:before="120" w:after="120" w:line="23" w:lineRule="atLeast"/>
        <w:jc w:val="both"/>
        <w:rPr>
          <w:rFonts w:ascii="Arial" w:hAnsi="Arial" w:cs="Arial"/>
        </w:rPr>
      </w:pPr>
      <w:r>
        <w:rPr>
          <w:rFonts w:ascii="Arial" w:hAnsi="Arial" w:cs="Arial"/>
        </w:rPr>
        <w:t xml:space="preserve">Sin prejuzgar sobre lo que determine el Pleno del Instituto al emitir </w:t>
      </w:r>
      <w:r w:rsidR="00F71B9B">
        <w:rPr>
          <w:rFonts w:ascii="Arial" w:hAnsi="Arial" w:cs="Arial"/>
        </w:rPr>
        <w:t>la</w:t>
      </w:r>
      <w:r w:rsidR="00457D57" w:rsidRPr="00457D57">
        <w:rPr>
          <w:rFonts w:ascii="Arial" w:hAnsi="Arial" w:cs="Arial"/>
        </w:rPr>
        <w:t xml:space="preserve"> modificación al criterio técnico para el cálculo y aplicación de un índice cuantitativo a fin de determinar el grado de concentración en los mercados y servicios correspondientes a telecomunicaciones y radiodifusión</w:t>
      </w:r>
      <w:r>
        <w:rPr>
          <w:rFonts w:ascii="Arial" w:hAnsi="Arial" w:cs="Arial"/>
        </w:rPr>
        <w:t xml:space="preserve">, a continuación, </w:t>
      </w:r>
      <w:r w:rsidR="00F71B9B">
        <w:rPr>
          <w:rFonts w:ascii="Arial" w:hAnsi="Arial" w:cs="Arial"/>
        </w:rPr>
        <w:t xml:space="preserve">la UCE </w:t>
      </w:r>
      <w:r>
        <w:rPr>
          <w:rFonts w:ascii="Arial" w:hAnsi="Arial" w:cs="Arial"/>
        </w:rPr>
        <w:t xml:space="preserve">analiza los comentarios recibidos </w:t>
      </w:r>
      <w:r w:rsidR="00CE0BB6">
        <w:rPr>
          <w:rFonts w:ascii="Arial" w:hAnsi="Arial" w:cs="Arial"/>
        </w:rPr>
        <w:t>en la Consulta Pública</w:t>
      </w:r>
      <w:r>
        <w:rPr>
          <w:rFonts w:ascii="Arial" w:hAnsi="Arial" w:cs="Arial"/>
        </w:rPr>
        <w:t xml:space="preserve">, los cuales han </w:t>
      </w:r>
      <w:r w:rsidRPr="00BD5C05">
        <w:rPr>
          <w:rFonts w:ascii="Arial" w:hAnsi="Arial" w:cs="Arial"/>
        </w:rPr>
        <w:t xml:space="preserve">sido ponderados y se presenta una </w:t>
      </w:r>
      <w:r w:rsidR="005E2937">
        <w:rPr>
          <w:rFonts w:ascii="Arial" w:hAnsi="Arial" w:cs="Arial"/>
        </w:rPr>
        <w:t xml:space="preserve">consideración, </w:t>
      </w:r>
      <w:r w:rsidRPr="00BD5C05">
        <w:rPr>
          <w:rFonts w:ascii="Arial" w:hAnsi="Arial" w:cs="Arial"/>
        </w:rPr>
        <w:t>respuesta o posicionamiento sobre ellos.</w:t>
      </w:r>
    </w:p>
    <w:p w14:paraId="400B620F" w14:textId="750CDE0C" w:rsidR="00C200B9" w:rsidRDefault="00DB6CB4" w:rsidP="00D50B18">
      <w:pPr>
        <w:spacing w:before="120" w:after="120" w:line="23" w:lineRule="atLeast"/>
        <w:jc w:val="both"/>
        <w:rPr>
          <w:rFonts w:ascii="Arial" w:hAnsi="Arial" w:cs="Arial"/>
          <w:b/>
          <w:bCs/>
        </w:rPr>
      </w:pPr>
      <w:bookmarkStart w:id="3" w:name="_Hlk87626540"/>
      <w:r>
        <w:rPr>
          <w:rFonts w:ascii="Arial" w:hAnsi="Arial" w:cs="Arial"/>
          <w:b/>
        </w:rPr>
        <w:t>7</w:t>
      </w:r>
      <w:r w:rsidR="004D24CF" w:rsidRPr="00BD5C05">
        <w:rPr>
          <w:rFonts w:ascii="Arial" w:hAnsi="Arial" w:cs="Arial"/>
          <w:b/>
        </w:rPr>
        <w:t>.</w:t>
      </w:r>
      <w:r w:rsidR="005F39CC">
        <w:rPr>
          <w:rFonts w:ascii="Arial" w:hAnsi="Arial" w:cs="Arial"/>
          <w:b/>
        </w:rPr>
        <w:t>1</w:t>
      </w:r>
      <w:r w:rsidR="003E2214" w:rsidRPr="00BD5C05">
        <w:rPr>
          <w:rFonts w:ascii="Arial" w:hAnsi="Arial" w:cs="Arial"/>
          <w:b/>
        </w:rPr>
        <w:t xml:space="preserve"> </w:t>
      </w:r>
      <w:r w:rsidR="00457D57">
        <w:rPr>
          <w:rFonts w:ascii="Arial" w:hAnsi="Arial" w:cs="Arial"/>
          <w:b/>
        </w:rPr>
        <w:t>Artículos 1 &amp; 2</w:t>
      </w:r>
    </w:p>
    <w:p w14:paraId="783AE338" w14:textId="26A34B73" w:rsidR="004D24CF" w:rsidRDefault="00DB6CB4" w:rsidP="00D50B18">
      <w:pPr>
        <w:spacing w:before="120" w:after="120" w:line="23" w:lineRule="atLeast"/>
        <w:jc w:val="both"/>
        <w:rPr>
          <w:rFonts w:ascii="Arial" w:hAnsi="Arial" w:cs="Arial"/>
          <w:b/>
          <w:bCs/>
        </w:rPr>
      </w:pPr>
      <w:r>
        <w:rPr>
          <w:rFonts w:ascii="Arial" w:hAnsi="Arial" w:cs="Arial"/>
          <w:b/>
          <w:bCs/>
        </w:rPr>
        <w:t>7</w:t>
      </w:r>
      <w:r w:rsidR="00BD5C05">
        <w:rPr>
          <w:rFonts w:ascii="Arial" w:hAnsi="Arial" w:cs="Arial"/>
          <w:b/>
          <w:bCs/>
        </w:rPr>
        <w:t xml:space="preserve">.1.1. </w:t>
      </w:r>
      <w:r w:rsidR="00BD5C05" w:rsidRPr="00BD5C05">
        <w:rPr>
          <w:rFonts w:ascii="Arial" w:hAnsi="Arial" w:cs="Arial"/>
          <w:b/>
          <w:bCs/>
        </w:rPr>
        <w:t>Síntesis de los comentarios recibidos respecto de la propuesta de</w:t>
      </w:r>
      <w:r w:rsidR="00457D57">
        <w:rPr>
          <w:rFonts w:ascii="Arial" w:hAnsi="Arial" w:cs="Arial"/>
          <w:b/>
          <w:bCs/>
        </w:rPr>
        <w:t xml:space="preserve"> </w:t>
      </w:r>
      <w:r w:rsidR="00BD5C05" w:rsidRPr="00BD5C05">
        <w:rPr>
          <w:rFonts w:ascii="Arial" w:hAnsi="Arial" w:cs="Arial"/>
          <w:b/>
          <w:bCs/>
        </w:rPr>
        <w:t>l</w:t>
      </w:r>
      <w:r w:rsidR="00457D57">
        <w:rPr>
          <w:rFonts w:ascii="Arial" w:hAnsi="Arial" w:cs="Arial"/>
          <w:b/>
          <w:bCs/>
        </w:rPr>
        <w:t>os</w:t>
      </w:r>
      <w:r w:rsidR="00BD5C05" w:rsidRPr="00BD5C05">
        <w:rPr>
          <w:rFonts w:ascii="Arial" w:hAnsi="Arial" w:cs="Arial"/>
          <w:b/>
          <w:bCs/>
        </w:rPr>
        <w:t xml:space="preserve"> a</w:t>
      </w:r>
      <w:r w:rsidR="00457D57">
        <w:rPr>
          <w:rFonts w:ascii="Arial" w:hAnsi="Arial" w:cs="Arial"/>
          <w:b/>
          <w:bCs/>
        </w:rPr>
        <w:t>rtículos 1 &amp; 2</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967"/>
        <w:gridCol w:w="2811"/>
        <w:gridCol w:w="3568"/>
      </w:tblGrid>
      <w:tr w:rsidR="00A265C3" w:rsidRPr="003E2214" w14:paraId="375458E2" w14:textId="0DAE96EF" w:rsidTr="00616B30">
        <w:trPr>
          <w:tblHeader/>
          <w:jc w:val="center"/>
        </w:trPr>
        <w:tc>
          <w:tcPr>
            <w:tcW w:w="2967" w:type="dxa"/>
            <w:shd w:val="clear" w:color="auto" w:fill="70AD47" w:themeFill="accent6"/>
          </w:tcPr>
          <w:p w14:paraId="11D238DB" w14:textId="5EACBB5B" w:rsidR="00A265C3" w:rsidRPr="00F45E04" w:rsidRDefault="00A265C3" w:rsidP="00D50B18">
            <w:pPr>
              <w:spacing w:before="120" w:after="120" w:line="23" w:lineRule="atLeast"/>
              <w:jc w:val="center"/>
              <w:rPr>
                <w:rFonts w:ascii="Arial" w:hAnsi="Arial" w:cs="Arial"/>
                <w:b/>
                <w:sz w:val="18"/>
                <w:szCs w:val="18"/>
              </w:rPr>
            </w:pPr>
            <w:r w:rsidRPr="00F45E04">
              <w:rPr>
                <w:rFonts w:ascii="Arial" w:hAnsi="Arial" w:cs="Arial"/>
                <w:b/>
                <w:sz w:val="18"/>
                <w:szCs w:val="18"/>
              </w:rPr>
              <w:t>Apartado del Anteproyecto</w:t>
            </w:r>
          </w:p>
        </w:tc>
        <w:tc>
          <w:tcPr>
            <w:tcW w:w="2811" w:type="dxa"/>
            <w:shd w:val="clear" w:color="auto" w:fill="70AD47" w:themeFill="accent6"/>
          </w:tcPr>
          <w:p w14:paraId="271A4EF8" w14:textId="146AE89A" w:rsidR="00A265C3" w:rsidRPr="00F45E04" w:rsidRDefault="00A265C3" w:rsidP="00D50B1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7DE10C90" w14:textId="5AD10A27" w:rsidR="00A265C3" w:rsidRPr="00F45E04" w:rsidRDefault="00A265C3"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44861" w:rsidRPr="003E2214" w14:paraId="7A46DAA5" w14:textId="3DABE3ED" w:rsidTr="00616B30">
        <w:trPr>
          <w:jc w:val="center"/>
        </w:trPr>
        <w:tc>
          <w:tcPr>
            <w:tcW w:w="9346" w:type="dxa"/>
            <w:gridSpan w:val="3"/>
            <w:shd w:val="clear" w:color="auto" w:fill="C5E0B3" w:themeFill="accent6" w:themeFillTint="66"/>
          </w:tcPr>
          <w:p w14:paraId="0653DF6E" w14:textId="5382D33A" w:rsidR="00844861" w:rsidRDefault="00457D57" w:rsidP="00D50B18">
            <w:pPr>
              <w:spacing w:before="120" w:after="120" w:line="23" w:lineRule="atLeast"/>
              <w:jc w:val="center"/>
              <w:rPr>
                <w:rFonts w:ascii="Arial" w:hAnsi="Arial" w:cs="Arial"/>
                <w:b/>
                <w:sz w:val="18"/>
                <w:szCs w:val="18"/>
              </w:rPr>
            </w:pPr>
            <w:r>
              <w:rPr>
                <w:rFonts w:ascii="Arial" w:hAnsi="Arial" w:cs="Arial"/>
                <w:b/>
                <w:sz w:val="18"/>
                <w:szCs w:val="18"/>
              </w:rPr>
              <w:t xml:space="preserve">Artículo 1 </w:t>
            </w:r>
            <w:r w:rsidR="00E1798C">
              <w:rPr>
                <w:rFonts w:ascii="Arial" w:hAnsi="Arial" w:cs="Arial"/>
                <w:b/>
                <w:sz w:val="18"/>
                <w:szCs w:val="18"/>
              </w:rPr>
              <w:t>y</w:t>
            </w:r>
            <w:r>
              <w:rPr>
                <w:rFonts w:ascii="Arial" w:hAnsi="Arial" w:cs="Arial"/>
                <w:b/>
                <w:sz w:val="18"/>
                <w:szCs w:val="18"/>
              </w:rPr>
              <w:t xml:space="preserve"> 2</w:t>
            </w:r>
          </w:p>
        </w:tc>
      </w:tr>
      <w:tr w:rsidR="007C7E70" w:rsidRPr="003E2214" w14:paraId="45F8B165" w14:textId="77777777" w:rsidTr="00616B30">
        <w:trPr>
          <w:jc w:val="center"/>
        </w:trPr>
        <w:tc>
          <w:tcPr>
            <w:tcW w:w="2967" w:type="dxa"/>
            <w:shd w:val="clear" w:color="auto" w:fill="auto"/>
          </w:tcPr>
          <w:p w14:paraId="61CBBB04" w14:textId="77777777" w:rsidR="00457D57" w:rsidRPr="00457D57" w:rsidRDefault="00457D57" w:rsidP="00E83771">
            <w:pPr>
              <w:jc w:val="both"/>
              <w:rPr>
                <w:rFonts w:ascii="Arial" w:hAnsi="Arial" w:cs="Arial"/>
                <w:sz w:val="18"/>
                <w:szCs w:val="18"/>
              </w:rPr>
            </w:pPr>
            <w:r w:rsidRPr="00457D57">
              <w:rPr>
                <w:rFonts w:ascii="Arial" w:hAnsi="Arial" w:cs="Arial"/>
                <w:sz w:val="18"/>
                <w:szCs w:val="18"/>
              </w:rPr>
              <w:t xml:space="preserve">Artículo 1. El presente Criterio Técnico tiene por objeto dar a conocer: 1) el índice mediante el cual el Instituto Federal de Telecomunicaciones (Instituto) determinará el grado de </w:t>
            </w:r>
            <w:r w:rsidRPr="00457D57">
              <w:rPr>
                <w:rFonts w:ascii="Arial" w:hAnsi="Arial" w:cs="Arial"/>
                <w:sz w:val="18"/>
                <w:szCs w:val="18"/>
              </w:rPr>
              <w:lastRenderedPageBreak/>
              <w:t>concentración en los mercados y servicios correspondientes a los sectores de telecomunicaciones y radiodifusión, 2) los umbrales que, como un indicio, permitirán al Instituto identificar las concentraciones que tienen poca probabilidad de obstaculizar, disminuir, dañar o impedir la competencia y la libre concurrencia, y 3) el ámbito de aplicación del índice y de los umbrales en procedimientos que tramita y resuelve el Instituto.</w:t>
            </w:r>
          </w:p>
          <w:p w14:paraId="5FD26A15" w14:textId="77777777" w:rsidR="00457D57" w:rsidRPr="00457D57" w:rsidRDefault="00457D57" w:rsidP="00E83771">
            <w:pPr>
              <w:jc w:val="both"/>
              <w:rPr>
                <w:rFonts w:ascii="Arial" w:hAnsi="Arial" w:cs="Arial"/>
                <w:sz w:val="18"/>
                <w:szCs w:val="18"/>
              </w:rPr>
            </w:pPr>
          </w:p>
          <w:p w14:paraId="367BE1ED" w14:textId="263C9B78" w:rsidR="007C7E70" w:rsidRPr="00457D57" w:rsidRDefault="00457D57" w:rsidP="00E83771">
            <w:pPr>
              <w:jc w:val="both"/>
              <w:rPr>
                <w:rFonts w:ascii="Arial" w:hAnsi="Arial" w:cs="Arial"/>
                <w:sz w:val="18"/>
                <w:szCs w:val="18"/>
              </w:rPr>
            </w:pPr>
            <w:r w:rsidRPr="00457D57">
              <w:rPr>
                <w:rFonts w:ascii="Arial" w:hAnsi="Arial" w:cs="Arial"/>
                <w:sz w:val="18"/>
                <w:szCs w:val="18"/>
              </w:rPr>
              <w:t>Artículo 2. El Instituto utilizará el índice como una primera aproximación a la estructura de mercado y como un indicador del grado de concentración en los mercados y servicios en los sectores de telecomunicaciones y radiodifusión. En la evaluación de concentraciones el Instituto utilizará el índice y los umbrales como referencia de la probabilidad de que éstas tengan por objeto o efecto obstaculizar, disminuir, dañar o impedir la competencia y la libre concurrencia en el mercado.</w:t>
            </w:r>
          </w:p>
        </w:tc>
        <w:tc>
          <w:tcPr>
            <w:tcW w:w="2811" w:type="dxa"/>
            <w:shd w:val="clear" w:color="auto" w:fill="auto"/>
          </w:tcPr>
          <w:p w14:paraId="2396A6C5" w14:textId="478B25D7" w:rsidR="007C7E70" w:rsidRPr="008003C4" w:rsidRDefault="00457D57" w:rsidP="008003C4">
            <w:pPr>
              <w:spacing w:before="120" w:after="120" w:line="23" w:lineRule="atLeast"/>
              <w:jc w:val="both"/>
              <w:rPr>
                <w:rFonts w:ascii="Arial" w:hAnsi="Arial" w:cs="Arial"/>
                <w:bCs/>
                <w:sz w:val="18"/>
                <w:szCs w:val="18"/>
              </w:rPr>
            </w:pPr>
            <w:r w:rsidRPr="00457D57">
              <w:rPr>
                <w:rFonts w:ascii="Arial" w:hAnsi="Arial" w:cs="Arial"/>
                <w:bCs/>
                <w:sz w:val="18"/>
                <w:szCs w:val="18"/>
              </w:rPr>
              <w:lastRenderedPageBreak/>
              <w:t xml:space="preserve">Si bien el Anteproyecto no contempla la modificación de este artículo del Criterio Técnico vigente, se considera que en adición a señalar que el índice cuantitativo es un “indicio” y una </w:t>
            </w:r>
            <w:r w:rsidRPr="00457D57">
              <w:rPr>
                <w:rFonts w:ascii="Arial" w:hAnsi="Arial" w:cs="Arial"/>
                <w:bCs/>
                <w:sz w:val="18"/>
                <w:szCs w:val="18"/>
              </w:rPr>
              <w:lastRenderedPageBreak/>
              <w:t>“primera aproximación” del análisis económico del Instituto sobre los efectos de una concentración en el proceso de competencia y libre concurrencia, se debería señalar, aunque sea de manera general, cómo el que el índice cumpla o no los umbrales puede afectar los tiempos y grado de detalle del análisis del Instituto y los requerimientos de información a los notificantes.</w:t>
            </w:r>
          </w:p>
        </w:tc>
        <w:tc>
          <w:tcPr>
            <w:tcW w:w="3568" w:type="dxa"/>
            <w:shd w:val="clear" w:color="auto" w:fill="auto"/>
          </w:tcPr>
          <w:p w14:paraId="44F43991" w14:textId="69753F9A" w:rsidR="00AE0BDA" w:rsidRDefault="00457D57" w:rsidP="00AE0BDA">
            <w:pPr>
              <w:spacing w:after="0" w:line="240" w:lineRule="auto"/>
              <w:jc w:val="both"/>
              <w:rPr>
                <w:rFonts w:ascii="Arial" w:eastAsia="Times New Roman" w:hAnsi="Arial" w:cs="Arial"/>
                <w:color w:val="000000"/>
                <w:sz w:val="18"/>
                <w:szCs w:val="18"/>
                <w:lang w:eastAsia="es-MX"/>
              </w:rPr>
            </w:pPr>
            <w:r w:rsidRPr="00457D57">
              <w:rPr>
                <w:rFonts w:ascii="Arial" w:hAnsi="Arial" w:cs="Arial"/>
                <w:sz w:val="18"/>
                <w:szCs w:val="18"/>
              </w:rPr>
              <w:lastRenderedPageBreak/>
              <w:t xml:space="preserve">Se considera </w:t>
            </w:r>
            <w:r w:rsidR="00AE0BDA">
              <w:rPr>
                <w:rFonts w:ascii="Arial" w:hAnsi="Arial" w:cs="Arial"/>
                <w:sz w:val="18"/>
                <w:szCs w:val="18"/>
              </w:rPr>
              <w:t>el comentario</w:t>
            </w:r>
            <w:r w:rsidRPr="00457D57">
              <w:rPr>
                <w:rFonts w:ascii="Arial" w:hAnsi="Arial" w:cs="Arial"/>
                <w:sz w:val="18"/>
                <w:szCs w:val="18"/>
              </w:rPr>
              <w:t xml:space="preserve"> señalado por Megacable.  </w:t>
            </w:r>
            <w:r w:rsidR="00AE0BDA">
              <w:rPr>
                <w:rFonts w:ascii="Arial" w:hAnsi="Arial" w:cs="Arial"/>
                <w:sz w:val="18"/>
                <w:szCs w:val="18"/>
              </w:rPr>
              <w:t xml:space="preserve">Como se señala </w:t>
            </w:r>
            <w:r w:rsidR="00AE0BDA">
              <w:rPr>
                <w:rFonts w:ascii="Arial" w:eastAsia="Times New Roman" w:hAnsi="Arial" w:cs="Arial"/>
                <w:color w:val="000000"/>
                <w:sz w:val="18"/>
                <w:szCs w:val="18"/>
                <w:lang w:eastAsia="es-MX"/>
              </w:rPr>
              <w:t xml:space="preserve">éste índice se utiliza como un indicador del grado de concentración en los mercados analizados, pero el Instituto no tomará sus decisiones utilizando como único </w:t>
            </w:r>
            <w:r w:rsidR="00AE0BDA">
              <w:rPr>
                <w:rFonts w:ascii="Arial" w:eastAsia="Times New Roman" w:hAnsi="Arial" w:cs="Arial"/>
                <w:color w:val="000000"/>
                <w:sz w:val="18"/>
                <w:szCs w:val="18"/>
                <w:lang w:eastAsia="es-MX"/>
              </w:rPr>
              <w:lastRenderedPageBreak/>
              <w:t xml:space="preserve">elemento de análisis el IHH y los umbrales establecidos (Artículo 9 del </w:t>
            </w:r>
            <w:r w:rsidR="00882CC5">
              <w:rPr>
                <w:rFonts w:ascii="Arial" w:eastAsia="Times New Roman" w:hAnsi="Arial" w:cs="Arial"/>
                <w:color w:val="000000"/>
                <w:sz w:val="18"/>
                <w:szCs w:val="18"/>
                <w:lang w:eastAsia="es-MX"/>
              </w:rPr>
              <w:t>Anteproyecto</w:t>
            </w:r>
            <w:r w:rsidR="00AE0BDA">
              <w:rPr>
                <w:rFonts w:ascii="Arial" w:eastAsia="Times New Roman" w:hAnsi="Arial" w:cs="Arial"/>
                <w:color w:val="000000"/>
                <w:sz w:val="18"/>
                <w:szCs w:val="18"/>
                <w:lang w:eastAsia="es-MX"/>
              </w:rPr>
              <w:t>).</w:t>
            </w:r>
          </w:p>
          <w:p w14:paraId="68513834" w14:textId="77777777" w:rsidR="00AE0BDA" w:rsidRDefault="00AE0BDA" w:rsidP="00AE0BDA">
            <w:pPr>
              <w:spacing w:after="0" w:line="240" w:lineRule="auto"/>
              <w:jc w:val="both"/>
              <w:rPr>
                <w:rFonts w:ascii="Arial" w:eastAsia="Times New Roman" w:hAnsi="Arial" w:cs="Arial"/>
                <w:color w:val="000000"/>
                <w:sz w:val="18"/>
                <w:szCs w:val="18"/>
                <w:lang w:eastAsia="es-MX"/>
              </w:rPr>
            </w:pPr>
          </w:p>
          <w:p w14:paraId="0EE61C81" w14:textId="77777777" w:rsidR="00AE0BDA" w:rsidRDefault="00AE0BDA" w:rsidP="00AE0BDA">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Criterio Técnico se utiliza en fases tempranas del procedimiento con el objeto de identificar aquellos mercados en los que una concentración tendría bajas probabilidades de afectar la competencia y, en ese caso, descartar proceder a un análisis exhaustivo. </w:t>
            </w:r>
          </w:p>
          <w:p w14:paraId="2CE02CC6" w14:textId="77777777" w:rsidR="00AE0BDA" w:rsidRDefault="00AE0BDA" w:rsidP="00AE0BDA">
            <w:pPr>
              <w:spacing w:after="0" w:line="240" w:lineRule="auto"/>
              <w:jc w:val="both"/>
              <w:rPr>
                <w:rFonts w:ascii="Arial" w:eastAsia="Times New Roman" w:hAnsi="Arial" w:cs="Arial"/>
                <w:color w:val="000000"/>
                <w:sz w:val="18"/>
                <w:szCs w:val="18"/>
                <w:lang w:eastAsia="es-MX"/>
              </w:rPr>
            </w:pPr>
          </w:p>
          <w:p w14:paraId="2F226C57" w14:textId="5215EF81" w:rsidR="00AE0BDA" w:rsidRDefault="00323160" w:rsidP="00AE0BDA">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Por otra parte, e</w:t>
            </w:r>
            <w:r w:rsidR="00AE0BDA">
              <w:rPr>
                <w:rFonts w:ascii="Arial" w:eastAsia="Times New Roman" w:hAnsi="Arial" w:cs="Arial"/>
                <w:color w:val="000000"/>
                <w:sz w:val="18"/>
                <w:szCs w:val="18"/>
                <w:lang w:eastAsia="es-MX"/>
              </w:rPr>
              <w:t>n concentraciones que representan un riesgo a la competencia, la LFCE mandata el análisis de diversos elementos, uno de los cuales es la identificación del grado de concentración, para lo cual se considera el Criterio Técnico.</w:t>
            </w:r>
          </w:p>
          <w:p w14:paraId="0D6D5197" w14:textId="35DFCFA5" w:rsidR="00AE0BDA" w:rsidRDefault="00AE0BDA" w:rsidP="00AE0BDA">
            <w:pPr>
              <w:spacing w:after="0" w:line="240" w:lineRule="auto"/>
              <w:jc w:val="both"/>
              <w:rPr>
                <w:rFonts w:ascii="Arial" w:eastAsia="Times New Roman" w:hAnsi="Arial" w:cs="Arial"/>
                <w:color w:val="000000"/>
                <w:sz w:val="18"/>
                <w:szCs w:val="18"/>
                <w:lang w:eastAsia="es-MX"/>
              </w:rPr>
            </w:pPr>
          </w:p>
          <w:p w14:paraId="662DB2D9" w14:textId="341DDE10" w:rsidR="00AE0BDA" w:rsidRDefault="00AE0BDA" w:rsidP="00AE0BDA">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Conforme a lo anterior se modifica el </w:t>
            </w:r>
            <w:r w:rsidR="00D408CB">
              <w:rPr>
                <w:rFonts w:ascii="Arial" w:eastAsia="Times New Roman" w:hAnsi="Arial" w:cs="Arial"/>
                <w:color w:val="000000"/>
                <w:sz w:val="18"/>
                <w:szCs w:val="18"/>
                <w:lang w:eastAsia="es-MX"/>
              </w:rPr>
              <w:t>Anteproyecto</w:t>
            </w:r>
            <w:r>
              <w:rPr>
                <w:rFonts w:ascii="Arial" w:eastAsia="Times New Roman" w:hAnsi="Arial" w:cs="Arial"/>
                <w:color w:val="000000"/>
                <w:sz w:val="18"/>
                <w:szCs w:val="18"/>
                <w:lang w:eastAsia="es-MX"/>
              </w:rPr>
              <w:t xml:space="preserve"> en el Artículo 2 como se menciona a continuación: </w:t>
            </w:r>
          </w:p>
          <w:tbl>
            <w:tblPr>
              <w:tblStyle w:val="Tablaconcuadrcula"/>
              <w:tblW w:w="0" w:type="auto"/>
              <w:jc w:val="center"/>
              <w:tblLook w:val="04A0" w:firstRow="1" w:lastRow="0" w:firstColumn="1" w:lastColumn="0" w:noHBand="0" w:noVBand="1"/>
            </w:tblPr>
            <w:tblGrid>
              <w:gridCol w:w="3286"/>
            </w:tblGrid>
            <w:tr w:rsidR="002F5B9F" w:rsidRPr="00E83771" w14:paraId="1AAEAB09" w14:textId="77777777" w:rsidTr="00EF5788">
              <w:trPr>
                <w:trHeight w:val="311"/>
                <w:jc w:val="center"/>
              </w:trPr>
              <w:tc>
                <w:tcPr>
                  <w:tcW w:w="328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B94E8AA" w14:textId="77777777" w:rsidR="002F5B9F" w:rsidRPr="00E83771" w:rsidRDefault="002F5B9F" w:rsidP="002F5B9F">
                  <w:pPr>
                    <w:spacing w:before="120" w:after="120" w:line="23" w:lineRule="atLeast"/>
                    <w:jc w:val="center"/>
                    <w:rPr>
                      <w:rFonts w:ascii="Arial" w:hAnsi="Arial" w:cs="Arial"/>
                      <w:sz w:val="18"/>
                      <w:szCs w:val="18"/>
                    </w:rPr>
                  </w:pPr>
                  <w:r w:rsidRPr="00E83771">
                    <w:rPr>
                      <w:rFonts w:ascii="Arial" w:hAnsi="Arial" w:cs="Arial"/>
                      <w:sz w:val="18"/>
                      <w:szCs w:val="18"/>
                    </w:rPr>
                    <w:t xml:space="preserve">Modificación al Proyecto </w:t>
                  </w:r>
                </w:p>
              </w:tc>
            </w:tr>
            <w:tr w:rsidR="002F5B9F" w:rsidRPr="00E83771" w14:paraId="45EFC140" w14:textId="77777777" w:rsidTr="00EF5788">
              <w:trPr>
                <w:jc w:val="center"/>
              </w:trPr>
              <w:tc>
                <w:tcPr>
                  <w:tcW w:w="3286" w:type="dxa"/>
                  <w:tcBorders>
                    <w:top w:val="single" w:sz="4" w:space="0" w:color="auto"/>
                    <w:left w:val="single" w:sz="4" w:space="0" w:color="auto"/>
                    <w:bottom w:val="single" w:sz="4" w:space="0" w:color="auto"/>
                    <w:right w:val="single" w:sz="4" w:space="0" w:color="auto"/>
                  </w:tcBorders>
                  <w:shd w:val="clear" w:color="auto" w:fill="FFFFFF" w:themeFill="background1"/>
                </w:tcPr>
                <w:p w14:paraId="0AF03609" w14:textId="65D82C08" w:rsidR="002F5B9F" w:rsidRDefault="002F5B9F" w:rsidP="002F5B9F">
                  <w:pPr>
                    <w:pStyle w:val="Textoindependiente"/>
                    <w:spacing w:before="120" w:line="23" w:lineRule="atLeast"/>
                    <w:rPr>
                      <w:rFonts w:ascii="Arial" w:hAnsi="Arial" w:cs="Arial"/>
                      <w:i/>
                      <w:iCs/>
                      <w:sz w:val="18"/>
                      <w:szCs w:val="18"/>
                    </w:rPr>
                  </w:pPr>
                  <w:r w:rsidRPr="00E83771">
                    <w:rPr>
                      <w:rFonts w:ascii="Arial" w:hAnsi="Arial" w:cs="Arial"/>
                      <w:i/>
                      <w:iCs/>
                      <w:sz w:val="18"/>
                      <w:szCs w:val="18"/>
                    </w:rPr>
                    <w:t xml:space="preserve">Artículo </w:t>
                  </w:r>
                  <w:r>
                    <w:rPr>
                      <w:rFonts w:ascii="Arial" w:hAnsi="Arial" w:cs="Arial"/>
                      <w:i/>
                      <w:iCs/>
                      <w:sz w:val="18"/>
                      <w:szCs w:val="18"/>
                    </w:rPr>
                    <w:t>2</w:t>
                  </w:r>
                  <w:r w:rsidRPr="00E83771">
                    <w:rPr>
                      <w:rFonts w:ascii="Arial" w:hAnsi="Arial" w:cs="Arial"/>
                      <w:i/>
                      <w:iCs/>
                      <w:sz w:val="18"/>
                      <w:szCs w:val="18"/>
                    </w:rPr>
                    <w:t xml:space="preserve">. </w:t>
                  </w:r>
                </w:p>
                <w:p w14:paraId="6112E6F7" w14:textId="77777777" w:rsidR="002F5B9F" w:rsidRDefault="002F5B9F" w:rsidP="002F5B9F">
                  <w:pPr>
                    <w:pStyle w:val="Textoindependiente"/>
                    <w:spacing w:before="120" w:line="23" w:lineRule="atLeast"/>
                    <w:rPr>
                      <w:rFonts w:ascii="Arial" w:hAnsi="Arial" w:cs="Arial"/>
                      <w:i/>
                      <w:iCs/>
                      <w:sz w:val="18"/>
                      <w:szCs w:val="18"/>
                    </w:rPr>
                  </w:pPr>
                  <w:r>
                    <w:rPr>
                      <w:rFonts w:ascii="Arial" w:hAnsi="Arial" w:cs="Arial"/>
                      <w:i/>
                      <w:iCs/>
                      <w:sz w:val="18"/>
                      <w:szCs w:val="18"/>
                    </w:rPr>
                    <w:t>(…)</w:t>
                  </w:r>
                </w:p>
                <w:p w14:paraId="029FC25B" w14:textId="33D676DD" w:rsidR="002F5B9F" w:rsidRPr="00E83771" w:rsidRDefault="002F5B9F" w:rsidP="00ED7CA4">
                  <w:pPr>
                    <w:pStyle w:val="Textoindependiente"/>
                    <w:spacing w:before="120" w:line="23" w:lineRule="atLeast"/>
                    <w:jc w:val="both"/>
                    <w:rPr>
                      <w:rFonts w:ascii="Arial" w:hAnsi="Arial" w:cs="Arial"/>
                      <w:i/>
                      <w:iCs/>
                      <w:sz w:val="18"/>
                      <w:szCs w:val="18"/>
                    </w:rPr>
                  </w:pPr>
                  <w:r w:rsidRPr="002F5B9F">
                    <w:rPr>
                      <w:rFonts w:ascii="Arial" w:hAnsi="Arial" w:cs="Arial"/>
                      <w:i/>
                      <w:iCs/>
                      <w:sz w:val="18"/>
                      <w:szCs w:val="18"/>
                    </w:rPr>
                    <w:t>El Instituto utilizará</w:t>
                  </w:r>
                  <w:r w:rsidR="00323160">
                    <w:rPr>
                      <w:rFonts w:ascii="Arial" w:hAnsi="Arial" w:cs="Arial"/>
                      <w:i/>
                      <w:iCs/>
                      <w:sz w:val="18"/>
                      <w:szCs w:val="18"/>
                    </w:rPr>
                    <w:t>, como referencia,</w:t>
                  </w:r>
                  <w:r w:rsidRPr="002F5B9F">
                    <w:rPr>
                      <w:rFonts w:ascii="Arial" w:hAnsi="Arial" w:cs="Arial"/>
                      <w:i/>
                      <w:iCs/>
                      <w:sz w:val="18"/>
                      <w:szCs w:val="18"/>
                    </w:rPr>
                    <w:t xml:space="preserve"> el presente Criterio Técnico en las primeras fases del procedimiento con el objeto de identificar aquellos mercados en los que una concentración tendría bajas probabilidades de afectar la competencia y, en ese caso, descartar proceder a un análisis exhaustivo. </w:t>
                  </w:r>
                  <w:r w:rsidR="00991AD8">
                    <w:rPr>
                      <w:rFonts w:ascii="Arial" w:hAnsi="Arial" w:cs="Arial"/>
                      <w:i/>
                      <w:iCs/>
                      <w:sz w:val="18"/>
                      <w:szCs w:val="18"/>
                    </w:rPr>
                    <w:t>Por otra parte</w:t>
                  </w:r>
                  <w:r w:rsidRPr="002F5B9F">
                    <w:rPr>
                      <w:rFonts w:ascii="Arial" w:hAnsi="Arial" w:cs="Arial"/>
                      <w:i/>
                      <w:iCs/>
                      <w:sz w:val="18"/>
                      <w:szCs w:val="18"/>
                    </w:rPr>
                    <w:t>, en concentraciones que representan un riesgo a la competencia, el Instituto realizará el análisis de diversos elementos, conforme a lo establecido en la Ley Federal de Competencia Económica, uno de los cuales es la identificación del grado de concentración, para lo cual se considera el presente Criterio Técnico.</w:t>
                  </w:r>
                </w:p>
              </w:tc>
            </w:tr>
          </w:tbl>
          <w:p w14:paraId="6588A396" w14:textId="658852BC" w:rsidR="007C7E70" w:rsidRPr="008003C4" w:rsidRDefault="007C7E70" w:rsidP="00FF2D68">
            <w:pPr>
              <w:spacing w:before="120" w:after="120" w:line="23" w:lineRule="atLeast"/>
              <w:jc w:val="both"/>
              <w:rPr>
                <w:rFonts w:ascii="Arial" w:hAnsi="Arial" w:cs="Arial"/>
                <w:sz w:val="18"/>
                <w:szCs w:val="18"/>
              </w:rPr>
            </w:pPr>
          </w:p>
        </w:tc>
      </w:tr>
    </w:tbl>
    <w:bookmarkEnd w:id="3"/>
    <w:p w14:paraId="7703204C" w14:textId="45212A71" w:rsidR="004D24CF" w:rsidRDefault="00DB6CB4" w:rsidP="00275B74">
      <w:pPr>
        <w:keepNext/>
        <w:spacing w:before="120" w:after="120" w:line="23" w:lineRule="atLeast"/>
        <w:jc w:val="both"/>
        <w:rPr>
          <w:rFonts w:ascii="Arial" w:hAnsi="Arial" w:cs="Arial"/>
          <w:b/>
        </w:rPr>
      </w:pPr>
      <w:r>
        <w:rPr>
          <w:rFonts w:ascii="Arial" w:hAnsi="Arial" w:cs="Arial"/>
          <w:b/>
        </w:rPr>
        <w:lastRenderedPageBreak/>
        <w:t>7</w:t>
      </w:r>
      <w:r w:rsidR="003E2214" w:rsidRPr="003E2214">
        <w:rPr>
          <w:rFonts w:ascii="Arial" w:hAnsi="Arial" w:cs="Arial"/>
          <w:b/>
        </w:rPr>
        <w:t>.</w:t>
      </w:r>
      <w:r w:rsidR="00490991">
        <w:rPr>
          <w:rFonts w:ascii="Arial" w:hAnsi="Arial" w:cs="Arial"/>
          <w:b/>
        </w:rPr>
        <w:t>2</w:t>
      </w:r>
      <w:r w:rsidR="003E2214" w:rsidRPr="003E2214">
        <w:rPr>
          <w:rFonts w:ascii="Arial" w:hAnsi="Arial" w:cs="Arial"/>
          <w:b/>
        </w:rPr>
        <w:t xml:space="preserve">. </w:t>
      </w:r>
      <w:r w:rsidR="00457D57">
        <w:rPr>
          <w:rFonts w:ascii="Arial" w:hAnsi="Arial" w:cs="Arial"/>
          <w:b/>
        </w:rPr>
        <w:t>Articulo 3</w:t>
      </w:r>
    </w:p>
    <w:p w14:paraId="104BC037" w14:textId="7A607720" w:rsidR="00144DBB" w:rsidRPr="000715DD" w:rsidRDefault="00DB6CB4" w:rsidP="00275B74">
      <w:pPr>
        <w:keepNext/>
        <w:spacing w:before="120" w:after="120" w:line="23" w:lineRule="atLeast"/>
        <w:jc w:val="both"/>
        <w:rPr>
          <w:rFonts w:ascii="Arial" w:hAnsi="Arial" w:cs="Arial"/>
          <w:b/>
        </w:rPr>
      </w:pPr>
      <w:r>
        <w:rPr>
          <w:rFonts w:ascii="Arial" w:hAnsi="Arial" w:cs="Arial"/>
          <w:b/>
        </w:rPr>
        <w:t>7</w:t>
      </w:r>
      <w:r w:rsidR="00144DBB" w:rsidRPr="00730154">
        <w:rPr>
          <w:rFonts w:ascii="Arial" w:hAnsi="Arial" w:cs="Arial"/>
          <w:b/>
        </w:rPr>
        <w:t xml:space="preserve">.2.1. </w:t>
      </w:r>
      <w:r w:rsidR="00144DBB" w:rsidRPr="00730154">
        <w:rPr>
          <w:rFonts w:ascii="Arial" w:hAnsi="Arial" w:cs="Arial"/>
          <w:b/>
          <w:bCs/>
        </w:rPr>
        <w:t>Síntesis de</w:t>
      </w:r>
      <w:r w:rsidR="00144DBB" w:rsidRPr="00730154">
        <w:rPr>
          <w:rFonts w:ascii="Arial" w:hAnsi="Arial" w:cs="Arial"/>
          <w:b/>
        </w:rPr>
        <w:t xml:space="preserve"> los comentarios recibidos respecto de la propuesta del a</w:t>
      </w:r>
      <w:r w:rsidR="00457D57">
        <w:rPr>
          <w:rFonts w:ascii="Arial" w:hAnsi="Arial" w:cs="Arial"/>
          <w:b/>
        </w:rPr>
        <w:t>rtículo 3</w:t>
      </w:r>
      <w:r w:rsidR="00144DBB">
        <w:rPr>
          <w:rFonts w:ascii="Arial" w:hAnsi="Arial" w:cs="Arial"/>
          <w:b/>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46"/>
        <w:gridCol w:w="2846"/>
        <w:gridCol w:w="3512"/>
      </w:tblGrid>
      <w:tr w:rsidR="00C24811" w:rsidRPr="003E2214" w14:paraId="3329E496" w14:textId="6EF6633C" w:rsidTr="00275B74">
        <w:trPr>
          <w:tblHeader/>
          <w:jc w:val="center"/>
        </w:trPr>
        <w:tc>
          <w:tcPr>
            <w:tcW w:w="2846" w:type="dxa"/>
            <w:shd w:val="clear" w:color="auto" w:fill="70AD47" w:themeFill="accent6"/>
          </w:tcPr>
          <w:p w14:paraId="06528F9D" w14:textId="2839B7AD" w:rsidR="00C24811" w:rsidRPr="00BF4F5D" w:rsidRDefault="00C24811" w:rsidP="00D50B18">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2846" w:type="dxa"/>
            <w:shd w:val="clear" w:color="auto" w:fill="70AD47" w:themeFill="accent6"/>
          </w:tcPr>
          <w:p w14:paraId="4DFB0CE1" w14:textId="494837DF" w:rsidR="00C24811" w:rsidRPr="00BF4F5D" w:rsidRDefault="00C24811" w:rsidP="00D50B18">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3512" w:type="dxa"/>
            <w:shd w:val="clear" w:color="auto" w:fill="70AD47" w:themeFill="accent6"/>
          </w:tcPr>
          <w:p w14:paraId="7D49F7FE" w14:textId="6083BC2E"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3E2214" w14:paraId="121B67A8" w14:textId="19BBCD94" w:rsidTr="00275B74">
        <w:trPr>
          <w:jc w:val="center"/>
        </w:trPr>
        <w:tc>
          <w:tcPr>
            <w:tcW w:w="9204" w:type="dxa"/>
            <w:gridSpan w:val="3"/>
            <w:shd w:val="clear" w:color="auto" w:fill="C5E0B3" w:themeFill="accent6" w:themeFillTint="66"/>
          </w:tcPr>
          <w:p w14:paraId="54CA5572" w14:textId="008D9ED0" w:rsidR="00C24811" w:rsidRPr="00BF4F5D" w:rsidRDefault="003639E4" w:rsidP="00D50B18">
            <w:pPr>
              <w:spacing w:before="120" w:after="120" w:line="23" w:lineRule="atLeast"/>
              <w:jc w:val="center"/>
              <w:rPr>
                <w:rFonts w:ascii="Arial" w:hAnsi="Arial" w:cs="Arial"/>
                <w:b/>
                <w:bCs/>
                <w:sz w:val="18"/>
                <w:szCs w:val="18"/>
                <w:lang w:val="es-ES_tradnl"/>
              </w:rPr>
            </w:pPr>
            <w:r>
              <w:rPr>
                <w:rFonts w:ascii="Arial" w:hAnsi="Arial" w:cs="Arial"/>
                <w:b/>
                <w:bCs/>
                <w:sz w:val="18"/>
                <w:szCs w:val="18"/>
                <w:lang w:val="es-ES_tradnl"/>
              </w:rPr>
              <w:t>Artículo 3</w:t>
            </w:r>
          </w:p>
        </w:tc>
      </w:tr>
      <w:tr w:rsidR="00C24811" w:rsidRPr="00E83771" w14:paraId="33A979A0" w14:textId="713CD678" w:rsidTr="00275B74">
        <w:trPr>
          <w:jc w:val="center"/>
        </w:trPr>
        <w:tc>
          <w:tcPr>
            <w:tcW w:w="2846" w:type="dxa"/>
            <w:shd w:val="clear" w:color="auto" w:fill="FFFFFF" w:themeFill="background1"/>
          </w:tcPr>
          <w:p w14:paraId="04E9B3DD" w14:textId="0EEC4D04" w:rsidR="00E83771" w:rsidRPr="00E83771" w:rsidRDefault="00E83771" w:rsidP="00E83771">
            <w:pPr>
              <w:spacing w:before="120" w:after="120" w:line="23" w:lineRule="atLeast"/>
              <w:jc w:val="both"/>
              <w:rPr>
                <w:rFonts w:ascii="Arial" w:hAnsi="Arial" w:cs="Arial"/>
                <w:bCs/>
                <w:sz w:val="18"/>
                <w:szCs w:val="18"/>
              </w:rPr>
            </w:pPr>
            <w:r w:rsidRPr="00E83771">
              <w:rPr>
                <w:rFonts w:ascii="Arial" w:hAnsi="Arial" w:cs="Arial"/>
                <w:bCs/>
                <w:sz w:val="18"/>
                <w:szCs w:val="18"/>
              </w:rPr>
              <w:lastRenderedPageBreak/>
              <w:t>Artículo 3. El Instituto utilizará el índice de concentración conocido en la literatura especializada como índice de Herfindahl-Hirschman (IHH), el cual se calcula a partir de las participaciones de los agentes económicos.</w:t>
            </w:r>
          </w:p>
          <w:p w14:paraId="3B792B7E" w14:textId="77777777" w:rsidR="00E83771" w:rsidRPr="00E83771" w:rsidRDefault="00E83771" w:rsidP="00E83771">
            <w:pPr>
              <w:spacing w:before="120" w:after="120" w:line="23" w:lineRule="atLeast"/>
              <w:jc w:val="both"/>
              <w:rPr>
                <w:rFonts w:ascii="Arial" w:hAnsi="Arial" w:cs="Arial"/>
                <w:bCs/>
                <w:sz w:val="18"/>
                <w:szCs w:val="18"/>
              </w:rPr>
            </w:pPr>
            <w:r w:rsidRPr="00E83771">
              <w:rPr>
                <w:rFonts w:ascii="Arial" w:hAnsi="Arial" w:cs="Arial"/>
                <w:bCs/>
                <w:sz w:val="18"/>
                <w:szCs w:val="18"/>
              </w:rPr>
              <w:t>Las participaciones se calcularán a partir de variables que el Instituto considere pertinentes para el caso particular de estudio, que incluyen sin limitar: el número de usuarios, suscripciones, audiencia, tráfico en las redes, número de frecuencias o estaciones, capacidad instalada, valor o volumen de las ventas.</w:t>
            </w:r>
          </w:p>
          <w:p w14:paraId="668B9380" w14:textId="0C6B11A2" w:rsidR="00E83771" w:rsidRPr="00E83771" w:rsidRDefault="00E83771" w:rsidP="00E83771">
            <w:pPr>
              <w:spacing w:before="120" w:after="120" w:line="23" w:lineRule="atLeast"/>
              <w:jc w:val="both"/>
              <w:rPr>
                <w:rFonts w:ascii="Arial" w:hAnsi="Arial" w:cs="Arial"/>
                <w:bCs/>
                <w:sz w:val="18"/>
                <w:szCs w:val="18"/>
              </w:rPr>
            </w:pPr>
            <w:bookmarkStart w:id="4" w:name="_Hlk80120166"/>
            <w:r w:rsidRPr="00E83771">
              <w:rPr>
                <w:rFonts w:ascii="Arial" w:hAnsi="Arial" w:cs="Arial"/>
                <w:bCs/>
                <w:sz w:val="18"/>
                <w:szCs w:val="18"/>
              </w:rPr>
              <w:t xml:space="preserve">Por ejemplo, si se considera la variable de valor de las ventas y se define a </w:t>
            </w:r>
            <m:oMath>
              <m:sSub>
                <m:sSubPr>
                  <m:ctrlPr>
                    <w:rPr>
                      <w:rFonts w:ascii="Cambria Math" w:hAnsi="Cambria Math" w:cs="Arial"/>
                      <w:bCs/>
                      <w:i/>
                      <w:sz w:val="18"/>
                      <w:szCs w:val="18"/>
                    </w:rPr>
                  </m:ctrlPr>
                </m:sSubPr>
                <m:e>
                  <m:r>
                    <w:rPr>
                      <w:rFonts w:ascii="Cambria Math" w:hAnsi="Cambria Math" w:cs="Arial"/>
                      <w:sz w:val="18"/>
                      <w:szCs w:val="18"/>
                    </w:rPr>
                    <m:t>V</m:t>
                  </m:r>
                </m:e>
                <m:sub>
                  <m:r>
                    <w:rPr>
                      <w:rFonts w:ascii="Cambria Math" w:hAnsi="Cambria Math" w:cs="Arial"/>
                      <w:sz w:val="18"/>
                      <w:szCs w:val="18"/>
                    </w:rPr>
                    <m:t>i</m:t>
                  </m:r>
                </m:sub>
              </m:sSub>
            </m:oMath>
            <w:r w:rsidRPr="00E83771">
              <w:rPr>
                <w:rFonts w:ascii="Arial" w:hAnsi="Arial" w:cs="Arial"/>
                <w:bCs/>
                <w:i/>
                <w:sz w:val="18"/>
                <w:szCs w:val="18"/>
              </w:rPr>
              <w:t xml:space="preserve"> </w:t>
            </w:r>
            <w:r w:rsidRPr="00E83771">
              <w:rPr>
                <w:rFonts w:ascii="Arial" w:hAnsi="Arial" w:cs="Arial"/>
                <w:bCs/>
                <w:sz w:val="18"/>
                <w:szCs w:val="18"/>
              </w:rPr>
              <w:t xml:space="preserve">como el valor de ventas del </w:t>
            </w:r>
            <m:oMath>
              <m:r>
                <w:rPr>
                  <w:rFonts w:ascii="Cambria Math" w:hAnsi="Cambria Math" w:cs="Arial"/>
                  <w:sz w:val="18"/>
                  <w:szCs w:val="18"/>
                </w:rPr>
                <m:t>i</m:t>
              </m:r>
            </m:oMath>
            <w:r w:rsidRPr="00E83771">
              <w:rPr>
                <w:rFonts w:ascii="Arial" w:hAnsi="Arial" w:cs="Arial"/>
                <w:bCs/>
                <w:sz w:val="18"/>
                <w:szCs w:val="18"/>
              </w:rPr>
              <w:t xml:space="preserve">-ésimo agente económico, y a </w:t>
            </w:r>
            <m:oMath>
              <m:r>
                <w:rPr>
                  <w:rFonts w:ascii="Cambria Math" w:hAnsi="Cambria Math" w:cs="Arial"/>
                  <w:sz w:val="18"/>
                  <w:szCs w:val="18"/>
                </w:rPr>
                <m:t>V</m:t>
              </m:r>
            </m:oMath>
            <w:r w:rsidRPr="00E83771">
              <w:rPr>
                <w:rFonts w:ascii="Arial" w:hAnsi="Arial" w:cs="Arial"/>
                <w:bCs/>
                <w:sz w:val="18"/>
                <w:szCs w:val="18"/>
              </w:rPr>
              <w:t xml:space="preserve"> como el valor de ventas total de todos los agentes económicos, donde </w:t>
            </w:r>
            <m:oMath>
              <m:r>
                <w:rPr>
                  <w:rFonts w:ascii="Cambria Math" w:hAnsi="Cambria Math" w:cs="Arial"/>
                  <w:sz w:val="18"/>
                  <w:szCs w:val="18"/>
                </w:rPr>
                <m:t>V=</m:t>
              </m:r>
              <m:nary>
                <m:naryPr>
                  <m:chr m:val="∑"/>
                  <m:limLoc m:val="subSup"/>
                  <m:ctrlPr>
                    <w:rPr>
                      <w:rFonts w:ascii="Cambria Math" w:hAnsi="Cambria Math" w:cs="Arial"/>
                      <w:bCs/>
                      <w:i/>
                      <w:sz w:val="18"/>
                      <w:szCs w:val="18"/>
                    </w:rPr>
                  </m:ctrlPr>
                </m:naryPr>
                <m:sub>
                  <m:r>
                    <w:rPr>
                      <w:rFonts w:ascii="Cambria Math" w:hAnsi="Cambria Math" w:cs="Arial"/>
                      <w:sz w:val="18"/>
                      <w:szCs w:val="18"/>
                    </w:rPr>
                    <m:t>i=1</m:t>
                  </m:r>
                </m:sub>
                <m:sup>
                  <m:r>
                    <w:rPr>
                      <w:rFonts w:ascii="Cambria Math" w:hAnsi="Cambria Math" w:cs="Arial"/>
                      <w:sz w:val="18"/>
                      <w:szCs w:val="18"/>
                    </w:rPr>
                    <m:t>N</m:t>
                  </m:r>
                </m:sup>
                <m:e>
                  <m:sSub>
                    <m:sSubPr>
                      <m:ctrlPr>
                        <w:rPr>
                          <w:rFonts w:ascii="Cambria Math" w:hAnsi="Cambria Math" w:cs="Arial"/>
                          <w:bCs/>
                          <w:i/>
                          <w:sz w:val="18"/>
                          <w:szCs w:val="18"/>
                        </w:rPr>
                      </m:ctrlPr>
                    </m:sSubPr>
                    <m:e>
                      <m:r>
                        <w:rPr>
                          <w:rFonts w:ascii="Cambria Math" w:hAnsi="Cambria Math" w:cs="Arial"/>
                          <w:sz w:val="18"/>
                          <w:szCs w:val="18"/>
                        </w:rPr>
                        <m:t>V</m:t>
                      </m:r>
                    </m:e>
                    <m:sub>
                      <m:r>
                        <w:rPr>
                          <w:rFonts w:ascii="Cambria Math" w:hAnsi="Cambria Math" w:cs="Arial"/>
                          <w:sz w:val="18"/>
                          <w:szCs w:val="18"/>
                        </w:rPr>
                        <m:t>i</m:t>
                      </m:r>
                    </m:sub>
                  </m:sSub>
                </m:e>
              </m:nary>
            </m:oMath>
            <w:r w:rsidRPr="00E83771">
              <w:rPr>
                <w:rFonts w:ascii="Arial" w:hAnsi="Arial" w:cs="Arial"/>
                <w:bCs/>
                <w:sz w:val="18"/>
                <w:szCs w:val="18"/>
              </w:rPr>
              <w:t xml:space="preserve"> y </w:t>
            </w:r>
            <m:oMath>
              <m:r>
                <w:rPr>
                  <w:rFonts w:ascii="Cambria Math" w:hAnsi="Cambria Math" w:cs="Arial"/>
                  <w:sz w:val="18"/>
                  <w:szCs w:val="18"/>
                </w:rPr>
                <m:t>N</m:t>
              </m:r>
            </m:oMath>
            <w:r w:rsidRPr="00E83771">
              <w:rPr>
                <w:rFonts w:ascii="Arial" w:hAnsi="Arial" w:cs="Arial"/>
                <w:bCs/>
                <w:sz w:val="18"/>
                <w:szCs w:val="18"/>
              </w:rPr>
              <w:t xml:space="preserve"> es el número total de agentes económicos en el mercado</w:t>
            </w:r>
            <w:r w:rsidRPr="00E83771">
              <w:rPr>
                <w:rFonts w:ascii="Arial" w:hAnsi="Arial" w:cs="Arial"/>
                <w:bCs/>
                <w:i/>
                <w:sz w:val="18"/>
                <w:szCs w:val="18"/>
              </w:rPr>
              <w:t>,</w:t>
            </w:r>
            <w:r w:rsidRPr="00E83771">
              <w:rPr>
                <w:rFonts w:ascii="Arial" w:hAnsi="Arial" w:cs="Arial"/>
                <w:bCs/>
                <w:sz w:val="18"/>
                <w:szCs w:val="18"/>
              </w:rPr>
              <w:t xml:space="preserve"> entonces, la participación del </w:t>
            </w:r>
            <m:oMath>
              <m:r>
                <w:rPr>
                  <w:rFonts w:ascii="Cambria Math" w:hAnsi="Cambria Math" w:cs="Arial"/>
                  <w:sz w:val="18"/>
                  <w:szCs w:val="18"/>
                </w:rPr>
                <m:t>i</m:t>
              </m:r>
            </m:oMath>
            <w:r w:rsidRPr="00E83771">
              <w:rPr>
                <w:rFonts w:ascii="Arial" w:hAnsi="Arial" w:cs="Arial"/>
                <w:bCs/>
                <w:sz w:val="18"/>
                <w:szCs w:val="18"/>
              </w:rPr>
              <w:t xml:space="preserve">-ésimo agente económico, que se identificará como </w:t>
            </w:r>
            <m:oMath>
              <m:sSub>
                <m:sSubPr>
                  <m:ctrlPr>
                    <w:rPr>
                      <w:rFonts w:ascii="Cambria Math" w:hAnsi="Cambria Math" w:cs="Arial"/>
                      <w:bCs/>
                      <w:i/>
                      <w:sz w:val="18"/>
                      <w:szCs w:val="18"/>
                    </w:rPr>
                  </m:ctrlPr>
                </m:sSubPr>
                <m:e>
                  <m:r>
                    <w:rPr>
                      <w:rFonts w:ascii="Cambria Math" w:hAnsi="Cambria Math" w:cs="Arial"/>
                      <w:sz w:val="18"/>
                      <w:szCs w:val="18"/>
                    </w:rPr>
                    <m:t>α</m:t>
                  </m:r>
                </m:e>
                <m:sub>
                  <m:r>
                    <w:rPr>
                      <w:rFonts w:ascii="Cambria Math" w:hAnsi="Cambria Math" w:cs="Arial"/>
                      <w:sz w:val="18"/>
                      <w:szCs w:val="18"/>
                    </w:rPr>
                    <m:t>i</m:t>
                  </m:r>
                </m:sub>
              </m:sSub>
            </m:oMath>
            <w:r w:rsidRPr="00E83771">
              <w:rPr>
                <w:rFonts w:ascii="Arial" w:hAnsi="Arial" w:cs="Arial"/>
                <w:bCs/>
                <w:sz w:val="18"/>
                <w:szCs w:val="18"/>
              </w:rPr>
              <w:t>, se define como</w:t>
            </w:r>
            <w:bookmarkEnd w:id="4"/>
            <w:r w:rsidRPr="00E83771">
              <w:rPr>
                <w:rFonts w:ascii="Arial" w:hAnsi="Arial" w:cs="Arial"/>
                <w:bCs/>
                <w:sz w:val="18"/>
                <w:szCs w:val="18"/>
              </w:rPr>
              <w:t>:</w:t>
            </w:r>
          </w:p>
          <w:p w14:paraId="74B95AE0" w14:textId="10F7FC2D" w:rsidR="00E83771" w:rsidRPr="00E83771" w:rsidRDefault="00BE14FD" w:rsidP="00E83771">
            <w:pPr>
              <w:spacing w:before="120" w:after="120" w:line="23" w:lineRule="atLeast"/>
              <w:jc w:val="both"/>
              <w:rPr>
                <w:rFonts w:ascii="Arial" w:hAnsi="Arial" w:cs="Arial"/>
                <w:bCs/>
                <w:sz w:val="18"/>
                <w:szCs w:val="18"/>
              </w:rPr>
            </w:pPr>
            <m:oMathPara>
              <m:oMath>
                <m:sSub>
                  <m:sSubPr>
                    <m:ctrlPr>
                      <w:rPr>
                        <w:rFonts w:ascii="Cambria Math" w:hAnsi="Cambria Math" w:cs="Arial"/>
                        <w:bCs/>
                        <w:sz w:val="18"/>
                        <w:szCs w:val="18"/>
                      </w:rPr>
                    </m:ctrlPr>
                  </m:sSubPr>
                  <m:e>
                    <m:r>
                      <w:rPr>
                        <w:rFonts w:ascii="Cambria Math" w:hAnsi="Cambria Math" w:cs="Arial"/>
                        <w:sz w:val="18"/>
                        <w:szCs w:val="18"/>
                      </w:rPr>
                      <m:t>α</m:t>
                    </m:r>
                  </m:e>
                  <m:sub>
                    <m:r>
                      <w:rPr>
                        <w:rFonts w:ascii="Cambria Math" w:hAnsi="Cambria Math" w:cs="Arial"/>
                        <w:sz w:val="18"/>
                        <w:szCs w:val="18"/>
                      </w:rPr>
                      <m:t>i</m:t>
                    </m:r>
                  </m:sub>
                </m:sSub>
                <m:r>
                  <m:rPr>
                    <m:sty m:val="p"/>
                  </m:rPr>
                  <w:rPr>
                    <w:rFonts w:ascii="Cambria Math" w:hAnsi="Cambria Math" w:cs="Arial"/>
                    <w:sz w:val="18"/>
                    <w:szCs w:val="18"/>
                  </w:rPr>
                  <m:t>=</m:t>
                </m:r>
                <m:d>
                  <m:dPr>
                    <m:ctrlPr>
                      <w:rPr>
                        <w:rFonts w:ascii="Cambria Math" w:hAnsi="Cambria Math" w:cs="Arial"/>
                        <w:bCs/>
                        <w:sz w:val="18"/>
                        <w:szCs w:val="18"/>
                      </w:rPr>
                    </m:ctrlPr>
                  </m:dPr>
                  <m:e>
                    <m:f>
                      <m:fPr>
                        <m:ctrlPr>
                          <w:rPr>
                            <w:rFonts w:ascii="Cambria Math" w:hAnsi="Cambria Math" w:cs="Arial"/>
                            <w:bCs/>
                            <w:sz w:val="18"/>
                            <w:szCs w:val="18"/>
                          </w:rPr>
                        </m:ctrlPr>
                      </m:fPr>
                      <m:num>
                        <m:sSub>
                          <m:sSubPr>
                            <m:ctrlPr>
                              <w:rPr>
                                <w:rFonts w:ascii="Cambria Math" w:hAnsi="Cambria Math" w:cs="Arial"/>
                                <w:bCs/>
                                <w:sz w:val="18"/>
                                <w:szCs w:val="18"/>
                              </w:rPr>
                            </m:ctrlPr>
                          </m:sSubPr>
                          <m:e>
                            <m:r>
                              <w:rPr>
                                <w:rFonts w:ascii="Cambria Math" w:hAnsi="Cambria Math" w:cs="Arial"/>
                                <w:sz w:val="18"/>
                                <w:szCs w:val="18"/>
                              </w:rPr>
                              <m:t>V</m:t>
                            </m:r>
                          </m:e>
                          <m:sub>
                            <m:r>
                              <w:rPr>
                                <w:rFonts w:ascii="Cambria Math" w:hAnsi="Cambria Math" w:cs="Arial"/>
                                <w:sz w:val="18"/>
                                <w:szCs w:val="18"/>
                              </w:rPr>
                              <m:t>i</m:t>
                            </m:r>
                          </m:sub>
                        </m:sSub>
                      </m:num>
                      <m:den>
                        <m:r>
                          <w:rPr>
                            <w:rFonts w:ascii="Cambria Math" w:hAnsi="Cambria Math" w:cs="Arial"/>
                            <w:sz w:val="18"/>
                            <w:szCs w:val="18"/>
                          </w:rPr>
                          <m:t>V</m:t>
                        </m:r>
                      </m:den>
                    </m:f>
                  </m:e>
                </m:d>
                <m:r>
                  <m:rPr>
                    <m:sty m:val="p"/>
                  </m:rPr>
                  <w:rPr>
                    <w:rFonts w:ascii="Cambria Math" w:hAnsi="Cambria Math" w:cs="Arial"/>
                    <w:sz w:val="18"/>
                    <w:szCs w:val="18"/>
                  </w:rPr>
                  <m:t xml:space="preserve"> </m:t>
                </m:r>
                <m:r>
                  <w:rPr>
                    <w:rFonts w:ascii="Cambria Math" w:hAnsi="Cambria Math" w:cs="Arial"/>
                    <w:sz w:val="18"/>
                    <w:szCs w:val="18"/>
                  </w:rPr>
                  <m:t>X</m:t>
                </m:r>
                <m:r>
                  <m:rPr>
                    <m:sty m:val="p"/>
                  </m:rPr>
                  <w:rPr>
                    <w:rFonts w:ascii="Cambria Math" w:hAnsi="Cambria Math" w:cs="Arial"/>
                    <w:sz w:val="18"/>
                    <w:szCs w:val="18"/>
                  </w:rPr>
                  <m:t xml:space="preserve"> 100</m:t>
                </m:r>
              </m:oMath>
            </m:oMathPara>
          </w:p>
          <w:p w14:paraId="4CD0E729" w14:textId="1B267805" w:rsidR="00C24811" w:rsidRPr="00E83771" w:rsidRDefault="00C24811" w:rsidP="00C24811">
            <w:pPr>
              <w:spacing w:before="120" w:after="120" w:line="23" w:lineRule="atLeast"/>
              <w:jc w:val="both"/>
              <w:rPr>
                <w:rFonts w:ascii="Arial" w:hAnsi="Arial" w:cs="Arial"/>
                <w:bCs/>
                <w:sz w:val="18"/>
                <w:szCs w:val="18"/>
                <w:lang w:val="es-ES_tradnl"/>
              </w:rPr>
            </w:pPr>
          </w:p>
        </w:tc>
        <w:tc>
          <w:tcPr>
            <w:tcW w:w="2846" w:type="dxa"/>
            <w:shd w:val="clear" w:color="auto" w:fill="FFFFFF" w:themeFill="background1"/>
          </w:tcPr>
          <w:p w14:paraId="69F9EA96" w14:textId="655D5E1B" w:rsidR="00C24811" w:rsidRPr="00E83771" w:rsidRDefault="00E83771" w:rsidP="00C24811">
            <w:pPr>
              <w:spacing w:before="120" w:after="120" w:line="23" w:lineRule="atLeast"/>
              <w:jc w:val="both"/>
              <w:rPr>
                <w:rFonts w:ascii="Arial" w:hAnsi="Arial" w:cs="Arial"/>
                <w:sz w:val="18"/>
                <w:szCs w:val="18"/>
              </w:rPr>
            </w:pPr>
            <w:r w:rsidRPr="00E83771">
              <w:rPr>
                <w:rFonts w:ascii="Arial" w:hAnsi="Arial" w:cs="Arial"/>
                <w:sz w:val="18"/>
                <w:szCs w:val="18"/>
                <w:lang w:val="es-ES"/>
              </w:rPr>
              <w:t>En materia de concentraciones, las participaciones a las que hace referencia el Instituto se calculan en referencia a un mercado relevante previamente definido. De manera que convendría que el Criterio Técnico haga explícita esta vinculación con el mercado relevante.</w:t>
            </w:r>
          </w:p>
        </w:tc>
        <w:tc>
          <w:tcPr>
            <w:tcW w:w="3512" w:type="dxa"/>
            <w:shd w:val="clear" w:color="auto" w:fill="FFFFFF" w:themeFill="background1"/>
          </w:tcPr>
          <w:p w14:paraId="08419E75" w14:textId="2D407B34" w:rsidR="0070293E" w:rsidRPr="00E83771" w:rsidRDefault="00E83771" w:rsidP="00C24811">
            <w:pPr>
              <w:spacing w:before="120" w:after="120" w:line="23" w:lineRule="atLeast"/>
              <w:jc w:val="both"/>
              <w:rPr>
                <w:rFonts w:ascii="Arial" w:hAnsi="Arial" w:cs="Arial"/>
                <w:sz w:val="18"/>
                <w:szCs w:val="18"/>
              </w:rPr>
            </w:pPr>
            <w:r w:rsidRPr="00E83771">
              <w:rPr>
                <w:rFonts w:ascii="Arial" w:hAnsi="Arial" w:cs="Arial"/>
                <w:sz w:val="18"/>
                <w:szCs w:val="18"/>
              </w:rPr>
              <w:t>Se considera procedente la sugerencia para dar certeza y vincular la determinación del índice de concentración al</w:t>
            </w:r>
            <w:r w:rsidR="0070293E">
              <w:rPr>
                <w:rFonts w:ascii="Arial" w:hAnsi="Arial" w:cs="Arial"/>
                <w:sz w:val="18"/>
                <w:szCs w:val="18"/>
              </w:rPr>
              <w:t xml:space="preserve"> (a los)</w:t>
            </w:r>
            <w:r w:rsidRPr="00E83771">
              <w:rPr>
                <w:rFonts w:ascii="Arial" w:hAnsi="Arial" w:cs="Arial"/>
                <w:sz w:val="18"/>
                <w:szCs w:val="18"/>
              </w:rPr>
              <w:t xml:space="preserve"> mercado</w:t>
            </w:r>
            <w:r w:rsidR="0070293E">
              <w:rPr>
                <w:rFonts w:ascii="Arial" w:hAnsi="Arial" w:cs="Arial"/>
                <w:sz w:val="18"/>
                <w:szCs w:val="18"/>
              </w:rPr>
              <w:t>(s)</w:t>
            </w:r>
            <w:r w:rsidR="004D1498">
              <w:rPr>
                <w:rFonts w:ascii="Arial" w:hAnsi="Arial" w:cs="Arial"/>
                <w:sz w:val="18"/>
                <w:szCs w:val="18"/>
              </w:rPr>
              <w:t xml:space="preserve"> relevante</w:t>
            </w:r>
            <w:r w:rsidR="0070293E">
              <w:rPr>
                <w:rFonts w:ascii="Arial" w:hAnsi="Arial" w:cs="Arial"/>
                <w:sz w:val="18"/>
                <w:szCs w:val="18"/>
              </w:rPr>
              <w:t>(s)</w:t>
            </w:r>
            <w:r w:rsidRPr="00E83771">
              <w:rPr>
                <w:rFonts w:ascii="Arial" w:hAnsi="Arial" w:cs="Arial"/>
                <w:sz w:val="18"/>
                <w:szCs w:val="18"/>
              </w:rPr>
              <w:t xml:space="preserve"> </w:t>
            </w:r>
            <w:r w:rsidR="00EF5788">
              <w:rPr>
                <w:rFonts w:ascii="Arial" w:hAnsi="Arial" w:cs="Arial"/>
                <w:sz w:val="18"/>
                <w:szCs w:val="18"/>
              </w:rPr>
              <w:t>objeto de análisis de la concentración,</w:t>
            </w:r>
            <w:r w:rsidRPr="00E83771">
              <w:rPr>
                <w:rFonts w:ascii="Arial" w:hAnsi="Arial" w:cs="Arial"/>
                <w:sz w:val="18"/>
                <w:szCs w:val="18"/>
              </w:rPr>
              <w:t xml:space="preserve"> </w:t>
            </w:r>
            <w:r w:rsidR="0070293E">
              <w:rPr>
                <w:rFonts w:ascii="Arial" w:hAnsi="Arial" w:cs="Arial"/>
                <w:sz w:val="18"/>
                <w:szCs w:val="18"/>
              </w:rPr>
              <w:t>así como los mercados relacionados</w:t>
            </w:r>
            <w:r w:rsidR="0064332B">
              <w:rPr>
                <w:rFonts w:ascii="Arial" w:hAnsi="Arial" w:cs="Arial"/>
                <w:sz w:val="18"/>
                <w:szCs w:val="18"/>
              </w:rPr>
              <w:t xml:space="preserve">, </w:t>
            </w:r>
            <w:r w:rsidR="00FF2173">
              <w:rPr>
                <w:rFonts w:ascii="Arial" w:hAnsi="Arial" w:cs="Arial"/>
                <w:sz w:val="18"/>
                <w:szCs w:val="18"/>
              </w:rPr>
              <w:t xml:space="preserve"> </w:t>
            </w:r>
            <w:r w:rsidR="0064332B">
              <w:rPr>
                <w:rFonts w:ascii="Arial" w:hAnsi="Arial" w:cs="Arial"/>
                <w:sz w:val="18"/>
                <w:szCs w:val="18"/>
              </w:rPr>
              <w:t>c</w:t>
            </w:r>
            <w:r w:rsidR="0070293E">
              <w:rPr>
                <w:rFonts w:ascii="Arial" w:hAnsi="Arial" w:cs="Arial"/>
                <w:sz w:val="18"/>
                <w:szCs w:val="18"/>
              </w:rPr>
              <w:t xml:space="preserve">onforme a lo establecido en los artículos </w:t>
            </w:r>
            <w:r w:rsidR="001E4406">
              <w:rPr>
                <w:rFonts w:ascii="Arial" w:hAnsi="Arial" w:cs="Arial"/>
                <w:sz w:val="18"/>
                <w:szCs w:val="18"/>
              </w:rPr>
              <w:t>58</w:t>
            </w:r>
            <w:r w:rsidR="00EF5788">
              <w:rPr>
                <w:rFonts w:ascii="Arial" w:hAnsi="Arial" w:cs="Arial"/>
                <w:sz w:val="18"/>
                <w:szCs w:val="18"/>
              </w:rPr>
              <w:t xml:space="preserve">, </w:t>
            </w:r>
            <w:r w:rsidR="00E32E68">
              <w:rPr>
                <w:rFonts w:ascii="Arial" w:hAnsi="Arial" w:cs="Arial"/>
                <w:sz w:val="18"/>
                <w:szCs w:val="18"/>
              </w:rPr>
              <w:t>59</w:t>
            </w:r>
            <w:r w:rsidR="00EF5788">
              <w:rPr>
                <w:rFonts w:ascii="Arial" w:hAnsi="Arial" w:cs="Arial"/>
                <w:sz w:val="18"/>
                <w:szCs w:val="18"/>
              </w:rPr>
              <w:t xml:space="preserve">, 63 y 64 </w:t>
            </w:r>
            <w:r w:rsidR="001E4406">
              <w:rPr>
                <w:rFonts w:ascii="Arial" w:hAnsi="Arial" w:cs="Arial"/>
                <w:sz w:val="18"/>
                <w:szCs w:val="18"/>
              </w:rPr>
              <w:t>de la L</w:t>
            </w:r>
            <w:r w:rsidR="00EF5788">
              <w:rPr>
                <w:rFonts w:ascii="Arial" w:hAnsi="Arial" w:cs="Arial"/>
                <w:sz w:val="18"/>
                <w:szCs w:val="18"/>
              </w:rPr>
              <w:t xml:space="preserve">ey </w:t>
            </w:r>
            <w:r w:rsidR="001E4406">
              <w:rPr>
                <w:rFonts w:ascii="Arial" w:hAnsi="Arial" w:cs="Arial"/>
                <w:sz w:val="18"/>
                <w:szCs w:val="18"/>
              </w:rPr>
              <w:t>F</w:t>
            </w:r>
            <w:r w:rsidR="00EF5788">
              <w:rPr>
                <w:rFonts w:ascii="Arial" w:hAnsi="Arial" w:cs="Arial"/>
                <w:sz w:val="18"/>
                <w:szCs w:val="18"/>
              </w:rPr>
              <w:t xml:space="preserve">ederal de </w:t>
            </w:r>
            <w:r w:rsidR="001E4406">
              <w:rPr>
                <w:rFonts w:ascii="Arial" w:hAnsi="Arial" w:cs="Arial"/>
                <w:sz w:val="18"/>
                <w:szCs w:val="18"/>
              </w:rPr>
              <w:t>C</w:t>
            </w:r>
            <w:r w:rsidR="00EF5788">
              <w:rPr>
                <w:rFonts w:ascii="Arial" w:hAnsi="Arial" w:cs="Arial"/>
                <w:sz w:val="18"/>
                <w:szCs w:val="18"/>
              </w:rPr>
              <w:t xml:space="preserve">ompetencia </w:t>
            </w:r>
            <w:r w:rsidR="001E4406">
              <w:rPr>
                <w:rFonts w:ascii="Arial" w:hAnsi="Arial" w:cs="Arial"/>
                <w:sz w:val="18"/>
                <w:szCs w:val="18"/>
              </w:rPr>
              <w:t>E</w:t>
            </w:r>
            <w:r w:rsidR="00EF5788">
              <w:rPr>
                <w:rFonts w:ascii="Arial" w:hAnsi="Arial" w:cs="Arial"/>
                <w:sz w:val="18"/>
                <w:szCs w:val="18"/>
              </w:rPr>
              <w:t>conómica</w:t>
            </w:r>
            <w:r w:rsidR="001E4406">
              <w:rPr>
                <w:rFonts w:ascii="Arial" w:hAnsi="Arial" w:cs="Arial"/>
                <w:sz w:val="18"/>
                <w:szCs w:val="18"/>
              </w:rPr>
              <w:t xml:space="preserve"> y de</w:t>
            </w:r>
            <w:r w:rsidR="00FF2173">
              <w:rPr>
                <w:rFonts w:ascii="Arial" w:hAnsi="Arial" w:cs="Arial"/>
                <w:sz w:val="18"/>
                <w:szCs w:val="18"/>
              </w:rPr>
              <w:t xml:space="preserve"> </w:t>
            </w:r>
            <w:r w:rsidR="001E4406">
              <w:rPr>
                <w:rFonts w:ascii="Arial" w:hAnsi="Arial" w:cs="Arial"/>
                <w:sz w:val="18"/>
                <w:szCs w:val="18"/>
              </w:rPr>
              <w:t>l</w:t>
            </w:r>
            <w:r w:rsidR="00FF2173">
              <w:rPr>
                <w:rFonts w:ascii="Arial" w:hAnsi="Arial" w:cs="Arial"/>
                <w:sz w:val="18"/>
                <w:szCs w:val="18"/>
              </w:rPr>
              <w:t>os</w:t>
            </w:r>
            <w:r w:rsidR="001E4406">
              <w:rPr>
                <w:rFonts w:ascii="Arial" w:hAnsi="Arial" w:cs="Arial"/>
                <w:sz w:val="18"/>
                <w:szCs w:val="18"/>
              </w:rPr>
              <w:t xml:space="preserve"> </w:t>
            </w:r>
            <w:r w:rsidR="00FF2173">
              <w:rPr>
                <w:rFonts w:ascii="Arial" w:hAnsi="Arial" w:cs="Arial"/>
                <w:sz w:val="18"/>
                <w:szCs w:val="18"/>
              </w:rPr>
              <w:t>a</w:t>
            </w:r>
            <w:r w:rsidR="001E4406">
              <w:rPr>
                <w:rFonts w:ascii="Arial" w:hAnsi="Arial" w:cs="Arial"/>
                <w:sz w:val="18"/>
                <w:szCs w:val="18"/>
              </w:rPr>
              <w:t>rtículo</w:t>
            </w:r>
            <w:r w:rsidR="00FF2173">
              <w:rPr>
                <w:rFonts w:ascii="Arial" w:hAnsi="Arial" w:cs="Arial"/>
                <w:sz w:val="18"/>
                <w:szCs w:val="18"/>
              </w:rPr>
              <w:t>s</w:t>
            </w:r>
            <w:r w:rsidR="001E4406">
              <w:rPr>
                <w:rFonts w:ascii="Arial" w:hAnsi="Arial" w:cs="Arial"/>
                <w:sz w:val="18"/>
                <w:szCs w:val="18"/>
              </w:rPr>
              <w:t xml:space="preserve"> </w:t>
            </w:r>
            <w:r w:rsidR="00EF5788">
              <w:rPr>
                <w:rFonts w:ascii="Arial" w:hAnsi="Arial" w:cs="Arial"/>
                <w:sz w:val="18"/>
                <w:szCs w:val="18"/>
              </w:rPr>
              <w:t>relacionados en</w:t>
            </w:r>
            <w:r w:rsidR="001E4406">
              <w:rPr>
                <w:rFonts w:ascii="Arial" w:hAnsi="Arial" w:cs="Arial"/>
                <w:sz w:val="18"/>
                <w:szCs w:val="18"/>
              </w:rPr>
              <w:t xml:space="preserve"> las Disposiciones Regulatorias</w:t>
            </w:r>
            <w:r w:rsidR="00147177">
              <w:rPr>
                <w:rFonts w:ascii="Arial" w:hAnsi="Arial" w:cs="Arial"/>
                <w:sz w:val="18"/>
                <w:szCs w:val="18"/>
              </w:rPr>
              <w:t>.</w:t>
            </w:r>
          </w:p>
          <w:p w14:paraId="1C419348" w14:textId="1DC3475E" w:rsidR="00F45E18" w:rsidRPr="00E83771" w:rsidRDefault="00E83771" w:rsidP="00C24811">
            <w:pPr>
              <w:spacing w:before="120" w:after="120" w:line="23" w:lineRule="atLeast"/>
              <w:jc w:val="both"/>
              <w:rPr>
                <w:rFonts w:ascii="Arial" w:hAnsi="Arial" w:cs="Arial"/>
                <w:sz w:val="18"/>
                <w:szCs w:val="18"/>
              </w:rPr>
            </w:pPr>
            <w:r w:rsidRPr="00E83771">
              <w:rPr>
                <w:rFonts w:ascii="Arial" w:hAnsi="Arial" w:cs="Arial"/>
                <w:sz w:val="18"/>
                <w:szCs w:val="18"/>
              </w:rPr>
              <w:t xml:space="preserve">Conforme a lo anterior se modifica el </w:t>
            </w:r>
            <w:r w:rsidR="00D408CB">
              <w:rPr>
                <w:rFonts w:ascii="Arial" w:hAnsi="Arial" w:cs="Arial"/>
                <w:sz w:val="18"/>
                <w:szCs w:val="18"/>
              </w:rPr>
              <w:t>Anteproyecto</w:t>
            </w:r>
            <w:r w:rsidR="00AE0BDA" w:rsidRPr="00E83771">
              <w:rPr>
                <w:rFonts w:ascii="Arial" w:hAnsi="Arial" w:cs="Arial"/>
                <w:sz w:val="18"/>
                <w:szCs w:val="18"/>
              </w:rPr>
              <w:t xml:space="preserve"> </w:t>
            </w:r>
            <w:r w:rsidRPr="00E83771">
              <w:rPr>
                <w:rFonts w:ascii="Arial" w:hAnsi="Arial" w:cs="Arial"/>
                <w:sz w:val="18"/>
                <w:szCs w:val="18"/>
              </w:rPr>
              <w:t>en el artículo 3 como se menciona a continuación</w:t>
            </w:r>
            <w:r w:rsidR="005543D5">
              <w:rPr>
                <w:rFonts w:ascii="Arial" w:hAnsi="Arial" w:cs="Arial"/>
                <w:sz w:val="18"/>
                <w:szCs w:val="18"/>
              </w:rPr>
              <w:t xml:space="preserve"> (se resalta el texto incorporado)</w:t>
            </w:r>
            <w:r w:rsidRPr="00E83771">
              <w:rPr>
                <w:rFonts w:ascii="Arial" w:hAnsi="Arial" w:cs="Arial"/>
                <w:sz w:val="18"/>
                <w:szCs w:val="18"/>
              </w:rPr>
              <w:t>:</w:t>
            </w:r>
          </w:p>
          <w:tbl>
            <w:tblPr>
              <w:tblStyle w:val="Tablaconcuadrcula"/>
              <w:tblW w:w="0" w:type="auto"/>
              <w:jc w:val="center"/>
              <w:tblLook w:val="04A0" w:firstRow="1" w:lastRow="0" w:firstColumn="1" w:lastColumn="0" w:noHBand="0" w:noVBand="1"/>
            </w:tblPr>
            <w:tblGrid>
              <w:gridCol w:w="3286"/>
            </w:tblGrid>
            <w:tr w:rsidR="00077AFA" w:rsidRPr="00E83771" w14:paraId="096366AE" w14:textId="77777777" w:rsidTr="00E83771">
              <w:trPr>
                <w:trHeight w:val="311"/>
                <w:jc w:val="center"/>
              </w:trPr>
              <w:tc>
                <w:tcPr>
                  <w:tcW w:w="328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825B37B" w14:textId="77777777" w:rsidR="00077AFA" w:rsidRPr="00E83771" w:rsidRDefault="00077AFA" w:rsidP="00077AFA">
                  <w:pPr>
                    <w:spacing w:before="120" w:after="120" w:line="23" w:lineRule="atLeast"/>
                    <w:jc w:val="center"/>
                    <w:rPr>
                      <w:rFonts w:ascii="Arial" w:hAnsi="Arial" w:cs="Arial"/>
                      <w:sz w:val="18"/>
                      <w:szCs w:val="18"/>
                    </w:rPr>
                  </w:pPr>
                  <w:r w:rsidRPr="00E83771">
                    <w:rPr>
                      <w:rFonts w:ascii="Arial" w:hAnsi="Arial" w:cs="Arial"/>
                      <w:sz w:val="18"/>
                      <w:szCs w:val="18"/>
                    </w:rPr>
                    <w:t xml:space="preserve">Modificación al Proyecto </w:t>
                  </w:r>
                </w:p>
              </w:tc>
            </w:tr>
            <w:tr w:rsidR="00077AFA" w:rsidRPr="00E83771" w14:paraId="147BBB4D" w14:textId="77777777" w:rsidTr="00E83771">
              <w:trPr>
                <w:jc w:val="center"/>
              </w:trPr>
              <w:tc>
                <w:tcPr>
                  <w:tcW w:w="328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AEE79" w14:textId="77777777" w:rsidR="00E83771" w:rsidRPr="00E83771" w:rsidRDefault="00E83771" w:rsidP="002F5B9F">
                  <w:pPr>
                    <w:pStyle w:val="Textoindependiente"/>
                    <w:spacing w:before="120" w:line="23" w:lineRule="atLeast"/>
                    <w:jc w:val="both"/>
                    <w:rPr>
                      <w:rFonts w:ascii="Arial" w:hAnsi="Arial" w:cs="Arial"/>
                      <w:sz w:val="18"/>
                      <w:szCs w:val="18"/>
                    </w:rPr>
                  </w:pPr>
                  <w:r w:rsidRPr="00E83771">
                    <w:rPr>
                      <w:rFonts w:ascii="Arial" w:hAnsi="Arial" w:cs="Arial"/>
                      <w:i/>
                      <w:iCs/>
                      <w:sz w:val="18"/>
                      <w:szCs w:val="18"/>
                    </w:rPr>
                    <w:t xml:space="preserve">Artículo 3. El Instituto utilizará el índice de concentración conocido en la literatura especializada como índice de Herfindahl-Hirschman (IHH), el cual se calcula a partir de las participaciones de los agentes económicos </w:t>
                  </w:r>
                  <w:r w:rsidRPr="00E83771">
                    <w:rPr>
                      <w:rFonts w:ascii="Arial" w:hAnsi="Arial" w:cs="Arial"/>
                      <w:b/>
                      <w:bCs/>
                      <w:i/>
                      <w:iCs/>
                      <w:sz w:val="18"/>
                      <w:szCs w:val="18"/>
                    </w:rPr>
                    <w:t>en los mercados relevantes y/o relacionados analizados</w:t>
                  </w:r>
                  <w:r w:rsidRPr="00E83771">
                    <w:rPr>
                      <w:rFonts w:ascii="Arial" w:hAnsi="Arial" w:cs="Arial"/>
                      <w:sz w:val="18"/>
                      <w:szCs w:val="18"/>
                    </w:rPr>
                    <w:t xml:space="preserve">. </w:t>
                  </w:r>
                </w:p>
                <w:p w14:paraId="4566D164" w14:textId="69B6259A" w:rsidR="00E83771" w:rsidRPr="00E83771" w:rsidRDefault="00E83771" w:rsidP="002F5B9F">
                  <w:pPr>
                    <w:pStyle w:val="Textoindependiente"/>
                    <w:spacing w:line="23" w:lineRule="atLeast"/>
                    <w:jc w:val="both"/>
                    <w:rPr>
                      <w:rFonts w:ascii="Arial" w:hAnsi="Arial" w:cs="Arial"/>
                      <w:i/>
                      <w:iCs/>
                      <w:sz w:val="18"/>
                      <w:szCs w:val="18"/>
                    </w:rPr>
                  </w:pPr>
                  <w:r w:rsidRPr="00E83771">
                    <w:rPr>
                      <w:rFonts w:ascii="Arial" w:hAnsi="Arial" w:cs="Arial"/>
                      <w:i/>
                      <w:iCs/>
                      <w:sz w:val="18"/>
                      <w:szCs w:val="18"/>
                    </w:rPr>
                    <w:t xml:space="preserve">Las participaciones </w:t>
                  </w:r>
                  <w:r w:rsidRPr="00E83771">
                    <w:rPr>
                      <w:rFonts w:ascii="Arial" w:hAnsi="Arial" w:cs="Arial"/>
                      <w:b/>
                      <w:bCs/>
                      <w:i/>
                      <w:iCs/>
                      <w:sz w:val="18"/>
                      <w:szCs w:val="18"/>
                    </w:rPr>
                    <w:t>en los mercados relevantes y/o relacionados analizados</w:t>
                  </w:r>
                  <w:r w:rsidRPr="00E83771">
                    <w:rPr>
                      <w:rFonts w:ascii="Arial" w:hAnsi="Arial" w:cs="Arial"/>
                      <w:i/>
                      <w:iCs/>
                      <w:sz w:val="18"/>
                      <w:szCs w:val="18"/>
                    </w:rPr>
                    <w:t xml:space="preserve"> se calcularán a partir de variables que el Instituto considere pertinentes para el caso particular de estudio, que incluye sin limitar: el número de usuarios, suscripciones, audiencia, tráfico en las redes, número de frecuencias o estaciones, capacidad instalada, valor o volumen de las ventas.</w:t>
                  </w:r>
                </w:p>
              </w:tc>
            </w:tr>
          </w:tbl>
          <w:p w14:paraId="45FCB48D" w14:textId="71F698A1" w:rsidR="00077AFA" w:rsidRPr="00E83771" w:rsidRDefault="00077AFA" w:rsidP="00D50B18">
            <w:pPr>
              <w:spacing w:before="120" w:after="120" w:line="23" w:lineRule="atLeast"/>
              <w:jc w:val="both"/>
              <w:rPr>
                <w:rFonts w:ascii="Arial" w:hAnsi="Arial" w:cs="Arial"/>
                <w:color w:val="FF0000"/>
                <w:sz w:val="18"/>
                <w:szCs w:val="18"/>
              </w:rPr>
            </w:pPr>
          </w:p>
        </w:tc>
      </w:tr>
    </w:tbl>
    <w:p w14:paraId="72F62C9C" w14:textId="2A976DC3" w:rsidR="00056983" w:rsidRPr="00302035" w:rsidRDefault="00DB6CB4" w:rsidP="00D50B18">
      <w:pPr>
        <w:spacing w:before="120" w:after="120" w:line="23" w:lineRule="atLeast"/>
        <w:jc w:val="both"/>
        <w:rPr>
          <w:rFonts w:ascii="Arial" w:hAnsi="Arial" w:cs="Arial"/>
          <w:lang w:val="es-ES_tradnl"/>
        </w:rPr>
      </w:pPr>
      <w:r>
        <w:rPr>
          <w:rFonts w:ascii="Arial" w:hAnsi="Arial" w:cs="Arial"/>
          <w:b/>
        </w:rPr>
        <w:t>7</w:t>
      </w:r>
      <w:r w:rsidR="007C1BEB" w:rsidRPr="003E2214">
        <w:rPr>
          <w:rFonts w:ascii="Arial" w:hAnsi="Arial" w:cs="Arial"/>
          <w:b/>
        </w:rPr>
        <w:t>.</w:t>
      </w:r>
      <w:r w:rsidR="007C1BEB">
        <w:rPr>
          <w:rFonts w:ascii="Arial" w:hAnsi="Arial" w:cs="Arial"/>
          <w:b/>
        </w:rPr>
        <w:t xml:space="preserve">3. </w:t>
      </w:r>
      <w:r w:rsidR="00E83771">
        <w:rPr>
          <w:rFonts w:ascii="Arial" w:hAnsi="Arial" w:cs="Arial"/>
          <w:b/>
        </w:rPr>
        <w:t>Artículo 6</w:t>
      </w:r>
    </w:p>
    <w:p w14:paraId="16576D69" w14:textId="461D3388" w:rsidR="00E83771" w:rsidRPr="00E83771" w:rsidRDefault="00DB6CB4" w:rsidP="00D50B18">
      <w:pPr>
        <w:spacing w:before="120" w:after="120" w:line="23" w:lineRule="atLeast"/>
        <w:jc w:val="both"/>
        <w:rPr>
          <w:rFonts w:ascii="Arial" w:hAnsi="Arial" w:cs="Arial"/>
          <w:b/>
        </w:rPr>
      </w:pPr>
      <w:r>
        <w:rPr>
          <w:rFonts w:ascii="Arial" w:hAnsi="Arial" w:cs="Arial"/>
          <w:b/>
          <w:lang w:val="es-ES_tradnl"/>
        </w:rPr>
        <w:t>7</w:t>
      </w:r>
      <w:r w:rsidR="00056983">
        <w:rPr>
          <w:rFonts w:ascii="Arial" w:hAnsi="Arial" w:cs="Arial"/>
          <w:b/>
          <w:lang w:val="es-ES_tradnl"/>
        </w:rPr>
        <w:t xml:space="preserve">.3.1. Síntesis de los </w:t>
      </w:r>
      <w:r w:rsidR="00056983">
        <w:rPr>
          <w:rFonts w:ascii="Arial" w:hAnsi="Arial" w:cs="Arial"/>
          <w:b/>
        </w:rPr>
        <w:t>c</w:t>
      </w:r>
      <w:r w:rsidR="007C1BEB">
        <w:rPr>
          <w:rFonts w:ascii="Arial" w:hAnsi="Arial" w:cs="Arial"/>
          <w:b/>
        </w:rPr>
        <w:t xml:space="preserve">omentarios relacionados con el </w:t>
      </w:r>
      <w:r w:rsidR="007C1BEB" w:rsidRPr="00302035">
        <w:rPr>
          <w:rFonts w:ascii="Arial" w:hAnsi="Arial" w:cs="Arial"/>
          <w:b/>
        </w:rPr>
        <w:t>a</w:t>
      </w:r>
      <w:r w:rsidR="00E83771">
        <w:rPr>
          <w:rFonts w:ascii="Arial" w:hAnsi="Arial" w:cs="Arial"/>
          <w:b/>
        </w:rPr>
        <w:t>rtículo 6</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24811" w:rsidRPr="00BF4F5D" w14:paraId="3D38AD5D" w14:textId="1E3EAA2F" w:rsidTr="00616B30">
        <w:trPr>
          <w:tblHeader/>
          <w:jc w:val="center"/>
        </w:trPr>
        <w:tc>
          <w:tcPr>
            <w:tcW w:w="2825" w:type="dxa"/>
            <w:shd w:val="clear" w:color="auto" w:fill="70AD47" w:themeFill="accent6"/>
          </w:tcPr>
          <w:p w14:paraId="6A09DEA1" w14:textId="11F0FF5B" w:rsidR="00C24811" w:rsidRPr="00BF4F5D" w:rsidRDefault="00C24811" w:rsidP="00D50B18">
            <w:pPr>
              <w:spacing w:before="120" w:after="120" w:line="23" w:lineRule="atLeast"/>
              <w:jc w:val="center"/>
              <w:rPr>
                <w:rFonts w:ascii="Arial" w:hAnsi="Arial" w:cs="Arial"/>
                <w:bCs/>
                <w:sz w:val="18"/>
                <w:szCs w:val="18"/>
              </w:rPr>
            </w:pPr>
            <w:r w:rsidRPr="00730154">
              <w:rPr>
                <w:rFonts w:ascii="Arial" w:hAnsi="Arial" w:cs="Arial"/>
                <w:b/>
                <w:sz w:val="18"/>
                <w:szCs w:val="18"/>
              </w:rPr>
              <w:t>Apartado del Anteproyecto</w:t>
            </w:r>
          </w:p>
        </w:tc>
        <w:tc>
          <w:tcPr>
            <w:tcW w:w="2977" w:type="dxa"/>
            <w:shd w:val="clear" w:color="auto" w:fill="70AD47" w:themeFill="accent6"/>
          </w:tcPr>
          <w:p w14:paraId="643AC231" w14:textId="6580F722" w:rsidR="00C24811" w:rsidRPr="00BF4F5D" w:rsidRDefault="00C24811" w:rsidP="00D50B18">
            <w:pPr>
              <w:spacing w:before="120" w:after="120" w:line="23" w:lineRule="atLeast"/>
              <w:jc w:val="center"/>
              <w:rPr>
                <w:rFonts w:ascii="Arial" w:hAnsi="Arial" w:cs="Arial"/>
                <w:bCs/>
                <w:sz w:val="18"/>
                <w:szCs w:val="18"/>
              </w:rPr>
            </w:pPr>
            <w:r w:rsidRPr="00730154">
              <w:rPr>
                <w:rFonts w:ascii="Arial" w:hAnsi="Arial" w:cs="Arial"/>
                <w:b/>
                <w:sz w:val="18"/>
                <w:szCs w:val="18"/>
              </w:rPr>
              <w:t>Resumen de los comentarios recibidos</w:t>
            </w:r>
          </w:p>
        </w:tc>
        <w:tc>
          <w:tcPr>
            <w:tcW w:w="3402" w:type="dxa"/>
            <w:shd w:val="clear" w:color="auto" w:fill="70AD47" w:themeFill="accent6"/>
          </w:tcPr>
          <w:p w14:paraId="65138A97" w14:textId="0E02D96F"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BF4F5D" w14:paraId="55439CE3" w14:textId="39B8A191" w:rsidTr="00275B74">
        <w:trPr>
          <w:jc w:val="center"/>
        </w:trPr>
        <w:tc>
          <w:tcPr>
            <w:tcW w:w="9204" w:type="dxa"/>
            <w:gridSpan w:val="3"/>
            <w:shd w:val="clear" w:color="auto" w:fill="C5E0B3" w:themeFill="accent6" w:themeFillTint="66"/>
          </w:tcPr>
          <w:p w14:paraId="7B1B01ED" w14:textId="4E42CC52" w:rsidR="00C24811" w:rsidRPr="00BF4F5D" w:rsidRDefault="003639E4" w:rsidP="00D50B18">
            <w:pPr>
              <w:spacing w:before="120" w:after="120" w:line="23" w:lineRule="atLeast"/>
              <w:jc w:val="center"/>
              <w:rPr>
                <w:rFonts w:ascii="Arial" w:hAnsi="Arial" w:cs="Arial"/>
                <w:b/>
                <w:sz w:val="18"/>
                <w:szCs w:val="18"/>
                <w:lang w:val="es-ES_tradnl"/>
              </w:rPr>
            </w:pPr>
            <w:r>
              <w:rPr>
                <w:rFonts w:ascii="Arial" w:hAnsi="Arial" w:cs="Arial"/>
                <w:b/>
                <w:sz w:val="18"/>
                <w:szCs w:val="18"/>
                <w:lang w:val="es-ES_tradnl"/>
              </w:rPr>
              <w:t>Artículo 6</w:t>
            </w:r>
          </w:p>
        </w:tc>
      </w:tr>
      <w:tr w:rsidR="00355DB1" w:rsidRPr="00BF4F5D" w14:paraId="107EE2B1" w14:textId="5625E186" w:rsidTr="00616B30">
        <w:trPr>
          <w:jc w:val="center"/>
        </w:trPr>
        <w:tc>
          <w:tcPr>
            <w:tcW w:w="2825" w:type="dxa"/>
            <w:vMerge w:val="restart"/>
            <w:shd w:val="clear" w:color="auto" w:fill="FFFFFF" w:themeFill="background1"/>
          </w:tcPr>
          <w:p w14:paraId="17D9B7C0" w14:textId="1CCC3B5D" w:rsidR="00355DB1" w:rsidRPr="004A0E93" w:rsidRDefault="00355DB1" w:rsidP="004A0E93">
            <w:pPr>
              <w:spacing w:before="120" w:after="120" w:line="23" w:lineRule="atLeast"/>
              <w:jc w:val="both"/>
              <w:rPr>
                <w:rFonts w:ascii="Arial" w:hAnsi="Arial" w:cs="Arial"/>
                <w:sz w:val="18"/>
                <w:szCs w:val="18"/>
              </w:rPr>
            </w:pPr>
            <w:r>
              <w:rPr>
                <w:rFonts w:ascii="Arial" w:hAnsi="Arial" w:cs="Arial"/>
                <w:sz w:val="18"/>
                <w:szCs w:val="18"/>
              </w:rPr>
              <w:t xml:space="preserve">Artículo 6. </w:t>
            </w:r>
            <w:r w:rsidRPr="004A0E93">
              <w:rPr>
                <w:rFonts w:ascii="Arial" w:hAnsi="Arial" w:cs="Arial"/>
                <w:sz w:val="18"/>
                <w:szCs w:val="18"/>
              </w:rPr>
              <w:t xml:space="preserve">El Instituto considerará que es poco probable que una concentración tiene por objeto o efecto obstaculizar, disminuir, dañar o impedir la competencia y la libre concurrencia, cuando posterior a </w:t>
            </w:r>
            <w:r w:rsidRPr="004A0E93">
              <w:rPr>
                <w:rFonts w:ascii="Arial" w:hAnsi="Arial" w:cs="Arial"/>
                <w:sz w:val="18"/>
                <w:szCs w:val="18"/>
              </w:rPr>
              <w:lastRenderedPageBreak/>
              <w:t>ésta suceda alguna de las siguientes situaciones:</w:t>
            </w:r>
          </w:p>
          <w:p w14:paraId="223ECEB1" w14:textId="1B6B4F64" w:rsidR="00355DB1" w:rsidRPr="004A0E93" w:rsidRDefault="00355DB1" w:rsidP="004A0E93">
            <w:pPr>
              <w:numPr>
                <w:ilvl w:val="0"/>
                <w:numId w:val="40"/>
              </w:numPr>
              <w:spacing w:before="120" w:after="120" w:line="23" w:lineRule="atLeast"/>
              <w:ind w:left="306" w:hanging="283"/>
              <w:jc w:val="both"/>
              <w:rPr>
                <w:rFonts w:ascii="Arial" w:hAnsi="Arial" w:cs="Arial"/>
                <w:sz w:val="18"/>
                <w:szCs w:val="18"/>
              </w:rPr>
            </w:pPr>
            <w:r w:rsidRPr="004A0E93">
              <w:rPr>
                <w:rFonts w:ascii="Arial" w:hAnsi="Arial" w:cs="Arial"/>
                <w:sz w:val="18"/>
                <w:szCs w:val="18"/>
              </w:rPr>
              <w:t xml:space="preserve">El grado de concentración sea bajo: </w:t>
            </w:r>
            <m:oMath>
              <m:r>
                <w:rPr>
                  <w:rFonts w:ascii="Cambria Math" w:hAnsi="Cambria Math" w:cs="Arial"/>
                  <w:sz w:val="18"/>
                  <w:szCs w:val="18"/>
                </w:rPr>
                <m:t>IHH ≤ 2,000</m:t>
              </m:r>
            </m:oMath>
            <w:r w:rsidRPr="004A0E93">
              <w:rPr>
                <w:rFonts w:ascii="Arial" w:hAnsi="Arial" w:cs="Arial"/>
                <w:sz w:val="18"/>
                <w:szCs w:val="18"/>
              </w:rPr>
              <w:t xml:space="preserve"> puntos;</w:t>
            </w:r>
          </w:p>
          <w:p w14:paraId="5E8C1013" w14:textId="666E4E19" w:rsidR="00355DB1" w:rsidRPr="004A0E93" w:rsidRDefault="00355DB1" w:rsidP="004A0E93">
            <w:pPr>
              <w:numPr>
                <w:ilvl w:val="0"/>
                <w:numId w:val="40"/>
              </w:numPr>
              <w:spacing w:before="120" w:after="120" w:line="23" w:lineRule="atLeast"/>
              <w:ind w:left="306" w:hanging="283"/>
              <w:jc w:val="both"/>
              <w:rPr>
                <w:rFonts w:ascii="Arial" w:hAnsi="Arial" w:cs="Arial"/>
                <w:sz w:val="18"/>
                <w:szCs w:val="18"/>
              </w:rPr>
            </w:pPr>
            <w:r w:rsidRPr="004A0E93">
              <w:rPr>
                <w:rFonts w:ascii="Arial" w:hAnsi="Arial" w:cs="Arial"/>
                <w:sz w:val="18"/>
                <w:szCs w:val="18"/>
              </w:rPr>
              <w:t xml:space="preserve">El grado de concentración sea moderado: </w:t>
            </w:r>
            <m:oMath>
              <m:r>
                <w:rPr>
                  <w:rFonts w:ascii="Cambria Math" w:hAnsi="Cambria Math" w:cs="Arial"/>
                  <w:sz w:val="18"/>
                  <w:szCs w:val="18"/>
                </w:rPr>
                <m:t>2,000 &lt; IHH ≤ 2,500</m:t>
              </m:r>
            </m:oMath>
            <w:r w:rsidRPr="004A0E93">
              <w:rPr>
                <w:rFonts w:ascii="Arial" w:hAnsi="Arial" w:cs="Arial"/>
                <w:sz w:val="18"/>
                <w:szCs w:val="18"/>
              </w:rPr>
              <w:t xml:space="preserve">, y se tenga una </w:t>
            </w:r>
            <m:oMath>
              <m:r>
                <w:rPr>
                  <w:rFonts w:ascii="Cambria Math" w:hAnsi="Cambria Math" w:cs="Arial"/>
                  <w:sz w:val="18"/>
                  <w:szCs w:val="18"/>
                </w:rPr>
                <m:t>∆IHH ≤ 150</m:t>
              </m:r>
            </m:oMath>
            <w:r w:rsidRPr="004A0E93">
              <w:rPr>
                <w:rFonts w:ascii="Arial" w:hAnsi="Arial" w:cs="Arial"/>
                <w:sz w:val="18"/>
                <w:szCs w:val="18"/>
              </w:rPr>
              <w:t xml:space="preserve"> puntos, o</w:t>
            </w:r>
          </w:p>
          <w:p w14:paraId="3E519673" w14:textId="08983A8F" w:rsidR="00355DB1" w:rsidRPr="004A0E93" w:rsidRDefault="00355DB1" w:rsidP="004A0E93">
            <w:pPr>
              <w:numPr>
                <w:ilvl w:val="0"/>
                <w:numId w:val="40"/>
              </w:numPr>
              <w:spacing w:before="120" w:after="120" w:line="23" w:lineRule="atLeast"/>
              <w:ind w:left="306" w:hanging="283"/>
              <w:jc w:val="both"/>
              <w:rPr>
                <w:rFonts w:ascii="Arial" w:hAnsi="Arial" w:cs="Arial"/>
                <w:sz w:val="18"/>
                <w:szCs w:val="18"/>
              </w:rPr>
            </w:pPr>
            <w:r w:rsidRPr="004A0E93">
              <w:rPr>
                <w:rFonts w:ascii="Arial" w:hAnsi="Arial" w:cs="Arial"/>
                <w:sz w:val="18"/>
                <w:szCs w:val="18"/>
              </w:rPr>
              <w:t xml:space="preserve">El grado de concentración sea elevado: </w:t>
            </w:r>
            <m:oMath>
              <m:r>
                <w:rPr>
                  <w:rFonts w:ascii="Cambria Math" w:hAnsi="Cambria Math" w:cs="Arial"/>
                  <w:sz w:val="18"/>
                  <w:szCs w:val="18"/>
                </w:rPr>
                <m:t>IHH &gt; 2,500</m:t>
              </m:r>
            </m:oMath>
            <w:r w:rsidRPr="004A0E93">
              <w:rPr>
                <w:rFonts w:ascii="Arial" w:hAnsi="Arial" w:cs="Arial"/>
                <w:sz w:val="18"/>
                <w:szCs w:val="18"/>
              </w:rPr>
              <w:t xml:space="preserve">, y se tenga una </w:t>
            </w:r>
            <m:oMath>
              <m:r>
                <w:rPr>
                  <w:rFonts w:ascii="Cambria Math" w:hAnsi="Cambria Math" w:cs="Arial"/>
                  <w:sz w:val="18"/>
                  <w:szCs w:val="18"/>
                </w:rPr>
                <m:t xml:space="preserve">∆IHH ≤ 100 </m:t>
              </m:r>
            </m:oMath>
            <w:r w:rsidRPr="004A0E93">
              <w:rPr>
                <w:rFonts w:ascii="Arial" w:hAnsi="Arial" w:cs="Arial"/>
                <w:sz w:val="18"/>
                <w:szCs w:val="18"/>
              </w:rPr>
              <w:t>puntos.</w:t>
            </w:r>
          </w:p>
          <w:p w14:paraId="69BAE81F" w14:textId="11DE4A6B" w:rsidR="00355DB1" w:rsidRPr="004A0E93" w:rsidRDefault="00355DB1" w:rsidP="00D50B18">
            <w:pPr>
              <w:spacing w:before="120" w:after="120" w:line="23" w:lineRule="atLeast"/>
              <w:jc w:val="both"/>
              <w:rPr>
                <w:rFonts w:ascii="Arial" w:hAnsi="Arial" w:cs="Arial"/>
                <w:sz w:val="18"/>
                <w:szCs w:val="18"/>
              </w:rPr>
            </w:pPr>
          </w:p>
        </w:tc>
        <w:tc>
          <w:tcPr>
            <w:tcW w:w="2977" w:type="dxa"/>
            <w:shd w:val="clear" w:color="auto" w:fill="FFFFFF" w:themeFill="background1"/>
          </w:tcPr>
          <w:p w14:paraId="5D6A2E2D" w14:textId="5921EAAE" w:rsidR="00355DB1" w:rsidRDefault="00355DB1" w:rsidP="00D50B18">
            <w:pPr>
              <w:spacing w:before="120" w:after="120" w:line="23" w:lineRule="atLeast"/>
              <w:jc w:val="both"/>
              <w:rPr>
                <w:rFonts w:ascii="Arial" w:hAnsi="Arial" w:cs="Arial"/>
                <w:sz w:val="18"/>
                <w:szCs w:val="18"/>
              </w:rPr>
            </w:pPr>
            <w:r>
              <w:rPr>
                <w:rFonts w:ascii="Arial" w:hAnsi="Arial" w:cs="Arial"/>
                <w:sz w:val="18"/>
                <w:szCs w:val="18"/>
              </w:rPr>
              <w:lastRenderedPageBreak/>
              <w:t>En</w:t>
            </w:r>
            <w:r w:rsidRPr="000177E0">
              <w:rPr>
                <w:rFonts w:ascii="Arial" w:hAnsi="Arial" w:cs="Arial"/>
                <w:sz w:val="18"/>
                <w:szCs w:val="18"/>
              </w:rPr>
              <w:t xml:space="preserve"> el sector de telecomunicaciones como en el de radiodifusión, el IFT ha determinado que operan agentes económicos preponderantes lo que tiene como consecuencia que el valor de los IHH tanto en mercados como en sectores sea relativamente alto y que el </w:t>
            </w:r>
            <w:r w:rsidRPr="000177E0">
              <w:rPr>
                <w:rFonts w:ascii="Arial" w:hAnsi="Arial" w:cs="Arial"/>
                <w:sz w:val="18"/>
                <w:szCs w:val="18"/>
              </w:rPr>
              <w:lastRenderedPageBreak/>
              <w:t>incremento en el índice también lo sea para casi todas las transacciones que se puedan presentar a consideración de ese Instituto.</w:t>
            </w:r>
          </w:p>
          <w:p w14:paraId="0534F280" w14:textId="316106B7" w:rsidR="00355DB1" w:rsidRDefault="00355DB1" w:rsidP="00D50B18">
            <w:pPr>
              <w:spacing w:before="120" w:after="120" w:line="23" w:lineRule="atLeast"/>
              <w:jc w:val="both"/>
              <w:rPr>
                <w:rFonts w:ascii="Arial" w:hAnsi="Arial" w:cs="Arial"/>
                <w:sz w:val="18"/>
                <w:szCs w:val="18"/>
              </w:rPr>
            </w:pPr>
            <w:r>
              <w:rPr>
                <w:rFonts w:ascii="Arial" w:hAnsi="Arial" w:cs="Arial"/>
                <w:sz w:val="18"/>
                <w:szCs w:val="18"/>
              </w:rPr>
              <w:t xml:space="preserve">A manera de ejemplo </w:t>
            </w:r>
            <w:r w:rsidRPr="005E1402">
              <w:rPr>
                <w:rFonts w:ascii="Arial" w:hAnsi="Arial" w:cs="Arial"/>
                <w:sz w:val="18"/>
                <w:szCs w:val="18"/>
              </w:rPr>
              <w:t>a diciembre de 2020, para el umbral de 3,000 puntos, el 99.6 por ciento de los municipios en el servicio de telefonía fija, el 99.9 por ciento de los municipios en el servicio de STAR y el 100 por ciento en el servicio de banda ancha fija exceden ese nivel. Ahora bien, con el umbral de 2,500, todos y cada uno de los municipios en los servicios de banda ancha fija, telefonía fija y STAR lo excederían.</w:t>
            </w:r>
          </w:p>
          <w:p w14:paraId="67EE1AEB" w14:textId="308E9A2E" w:rsidR="00355DB1" w:rsidRDefault="00355DB1" w:rsidP="00D50B18">
            <w:pPr>
              <w:spacing w:before="120" w:after="120" w:line="23" w:lineRule="atLeast"/>
              <w:jc w:val="both"/>
              <w:rPr>
                <w:rFonts w:ascii="Arial" w:hAnsi="Arial" w:cs="Arial"/>
                <w:sz w:val="18"/>
                <w:szCs w:val="18"/>
              </w:rPr>
            </w:pPr>
            <w:r>
              <w:rPr>
                <w:rFonts w:ascii="Arial" w:hAnsi="Arial" w:cs="Arial"/>
                <w:sz w:val="18"/>
                <w:szCs w:val="18"/>
              </w:rPr>
              <w:t>S</w:t>
            </w:r>
            <w:r w:rsidRPr="000349A4">
              <w:rPr>
                <w:rFonts w:ascii="Arial" w:hAnsi="Arial" w:cs="Arial"/>
                <w:sz w:val="18"/>
                <w:szCs w:val="18"/>
              </w:rPr>
              <w:t>on muy pocas las combinaciones de participaciones de mercado que, aritméticamente, no impliquen un incremento del IHH en más de 100 puntos</w:t>
            </w:r>
            <w:r>
              <w:rPr>
                <w:rFonts w:ascii="Arial" w:hAnsi="Arial" w:cs="Arial"/>
                <w:sz w:val="18"/>
                <w:szCs w:val="18"/>
              </w:rPr>
              <w:t>.</w:t>
            </w:r>
          </w:p>
          <w:p w14:paraId="77DDBBE9" w14:textId="4D7A4D23" w:rsidR="00355DB1" w:rsidRPr="003639E4" w:rsidRDefault="00355DB1" w:rsidP="00D50B18">
            <w:pPr>
              <w:spacing w:before="120" w:after="120" w:line="23" w:lineRule="atLeast"/>
              <w:jc w:val="both"/>
              <w:rPr>
                <w:rFonts w:ascii="Arial" w:hAnsi="Arial" w:cs="Arial"/>
                <w:sz w:val="18"/>
                <w:szCs w:val="18"/>
              </w:rPr>
            </w:pPr>
            <w:r w:rsidRPr="004A0E93">
              <w:rPr>
                <w:rFonts w:ascii="Arial" w:hAnsi="Arial" w:cs="Arial"/>
                <w:sz w:val="18"/>
                <w:szCs w:val="18"/>
              </w:rPr>
              <w:t>Endurecer el Criterio Técnico tiene como consecuencia que el índice de concentración y sus umbrales se vuelvan menos útiles como indicios para evaluar las concentraciones, ya que supone rechazar prácticamente cualquier concentración.</w:t>
            </w:r>
          </w:p>
        </w:tc>
        <w:tc>
          <w:tcPr>
            <w:tcW w:w="3402" w:type="dxa"/>
            <w:vMerge w:val="restart"/>
            <w:shd w:val="clear" w:color="auto" w:fill="FFFFFF" w:themeFill="background1"/>
          </w:tcPr>
          <w:p w14:paraId="5692F644" w14:textId="6795B3F1" w:rsidR="00355DB1" w:rsidRDefault="00355DB1" w:rsidP="003639E4">
            <w:pPr>
              <w:spacing w:before="120" w:after="120" w:line="23" w:lineRule="atLeast"/>
              <w:jc w:val="both"/>
              <w:rPr>
                <w:rFonts w:ascii="Arial" w:hAnsi="Arial" w:cs="Arial"/>
                <w:sz w:val="18"/>
                <w:szCs w:val="18"/>
              </w:rPr>
            </w:pPr>
            <w:r>
              <w:rPr>
                <w:rFonts w:ascii="Arial" w:hAnsi="Arial" w:cs="Arial"/>
                <w:sz w:val="18"/>
                <w:szCs w:val="18"/>
              </w:rPr>
              <w:lastRenderedPageBreak/>
              <w:t xml:space="preserve">Como se menciona en el Artículo 2, el IHH es una primera aproximación a la estructura de mercado y es un indicador del grado de concentración en dichos mercados.  </w:t>
            </w:r>
          </w:p>
          <w:p w14:paraId="1F8A1327" w14:textId="153F85AE" w:rsidR="00355DB1" w:rsidRDefault="00355DB1" w:rsidP="003639E4">
            <w:pPr>
              <w:spacing w:before="120" w:after="120" w:line="23" w:lineRule="atLeast"/>
              <w:jc w:val="both"/>
              <w:rPr>
                <w:rFonts w:ascii="Arial" w:hAnsi="Arial" w:cs="Arial"/>
                <w:i/>
                <w:sz w:val="18"/>
                <w:szCs w:val="18"/>
              </w:rPr>
            </w:pPr>
            <w:r>
              <w:rPr>
                <w:rFonts w:ascii="Arial" w:hAnsi="Arial" w:cs="Arial"/>
                <w:sz w:val="18"/>
                <w:szCs w:val="18"/>
              </w:rPr>
              <w:t>Adicionalmente,</w:t>
            </w:r>
            <w:r w:rsidRPr="003639E4">
              <w:rPr>
                <w:rFonts w:ascii="Arial" w:hAnsi="Arial" w:cs="Arial"/>
                <w:sz w:val="18"/>
                <w:szCs w:val="18"/>
              </w:rPr>
              <w:t xml:space="preserve"> el Artículo 9 del Anteproyecto  señala que </w:t>
            </w:r>
            <w:r w:rsidRPr="003639E4">
              <w:rPr>
                <w:rFonts w:ascii="Arial" w:hAnsi="Arial" w:cs="Arial"/>
                <w:i/>
                <w:sz w:val="18"/>
                <w:szCs w:val="18"/>
              </w:rPr>
              <w:t xml:space="preserve">“En ningún caso el Instituto </w:t>
            </w:r>
            <w:r w:rsidRPr="00E70C08">
              <w:rPr>
                <w:rFonts w:ascii="Arial" w:hAnsi="Arial" w:cs="Arial"/>
                <w:b/>
                <w:bCs/>
                <w:i/>
                <w:sz w:val="18"/>
                <w:szCs w:val="18"/>
              </w:rPr>
              <w:t xml:space="preserve">tomará sus decisiones </w:t>
            </w:r>
            <w:r w:rsidRPr="00E70C08">
              <w:rPr>
                <w:rFonts w:ascii="Arial" w:hAnsi="Arial" w:cs="Arial"/>
                <w:b/>
                <w:bCs/>
                <w:i/>
                <w:sz w:val="18"/>
                <w:szCs w:val="18"/>
              </w:rPr>
              <w:lastRenderedPageBreak/>
              <w:t>utilizando como único elemento de análisis el IHH y los umbrales.</w:t>
            </w:r>
            <w:r w:rsidRPr="003639E4">
              <w:rPr>
                <w:rFonts w:ascii="Arial" w:hAnsi="Arial" w:cs="Arial"/>
                <w:i/>
                <w:sz w:val="18"/>
                <w:szCs w:val="18"/>
              </w:rPr>
              <w:t xml:space="preserve"> El Instituto considerará, según corresponda, los elementos previstos en los artículos 58, 59, 63 y 64 de la LFCE y los relacionados de las Disposiciones Regulatorias, tales como barreras a la entrada, poder sustancial de mercado, acceso a fuentes de insumos, comportamiento reciente de los agentes, así como los efectos de la concentración analizada y las eficiencias económicas derivadas de la misma.</w:t>
            </w:r>
            <w:r>
              <w:rPr>
                <w:rFonts w:ascii="Arial" w:hAnsi="Arial" w:cs="Arial"/>
                <w:i/>
                <w:sz w:val="18"/>
                <w:szCs w:val="18"/>
              </w:rPr>
              <w:t>”.</w:t>
            </w:r>
          </w:p>
          <w:p w14:paraId="0B605720" w14:textId="4E9E4A1C" w:rsidR="00355DB1" w:rsidRDefault="00355DB1" w:rsidP="003639E4">
            <w:pPr>
              <w:spacing w:before="120" w:after="120" w:line="23" w:lineRule="atLeast"/>
              <w:jc w:val="both"/>
              <w:rPr>
                <w:rFonts w:ascii="Arial" w:hAnsi="Arial" w:cs="Arial"/>
                <w:sz w:val="18"/>
                <w:szCs w:val="18"/>
              </w:rPr>
            </w:pPr>
            <w:r>
              <w:rPr>
                <w:rFonts w:ascii="Arial" w:hAnsi="Arial" w:cs="Arial"/>
                <w:sz w:val="18"/>
                <w:szCs w:val="18"/>
              </w:rPr>
              <w:t>Por otra parte, con los datos presentados, no es posible concluir que “</w:t>
            </w:r>
            <w:r w:rsidRPr="004A0E93">
              <w:rPr>
                <w:rFonts w:ascii="Arial" w:hAnsi="Arial" w:cs="Arial"/>
                <w:sz w:val="18"/>
                <w:szCs w:val="18"/>
              </w:rPr>
              <w:t>Endurecer el Criterio Técnico tiene como consecuencia que el índice de concentración y sus umbrales se vuelvan menos útiles como indicios para evaluar las concentraciones, ya que supone rechazar prácticamente cualquier concentración</w:t>
            </w:r>
            <w:r>
              <w:rPr>
                <w:rFonts w:ascii="Arial" w:hAnsi="Arial" w:cs="Arial"/>
                <w:sz w:val="18"/>
                <w:szCs w:val="18"/>
              </w:rPr>
              <w:t>”. Lo anterior, pues: i) tomando como referencia los mercados de telecomunicaciones que indica el comentario, el hecho de ajustar el umbral a 2,500 puntos en lugar de 3,000 sólo afectaría a lo más el 0.1% y el 0.4% de los municipios en STAR y telefonía fija, respectivamente; ii) dentro de ese 0.1% y 0.4% de localidades se identifican al menos tres agentes económicos cuya participación oscilaría en alrededor del 15% al 40%; es decir, ya no se identifica la presencia de un agente con participaciones superiores al 50% que es el elemento que el comentario justificaba para no reducir el umbral del IHH de 3,000 a 2,500, y iii) dentro de ese 0.1% y 0.4% de localidades, la adquisición de agentes económicos de menor tamaño por agentes con participaciones de alrededor del 15% al 30% empieza a llevar a mercados en el que surgirían agentes con participaciones de mercado significativas y simétricas y, por lo tanto, riesgos de situaciones que pudieran conducir a la colusión; esto requeriría de una evaluación más ex</w:t>
            </w:r>
            <w:r w:rsidR="00EE2026">
              <w:rPr>
                <w:rFonts w:ascii="Arial" w:hAnsi="Arial" w:cs="Arial"/>
                <w:sz w:val="18"/>
                <w:szCs w:val="18"/>
              </w:rPr>
              <w:t>ha</w:t>
            </w:r>
            <w:r>
              <w:rPr>
                <w:rFonts w:ascii="Arial" w:hAnsi="Arial" w:cs="Arial"/>
                <w:sz w:val="18"/>
                <w:szCs w:val="18"/>
              </w:rPr>
              <w:t xml:space="preserve">ustiva.   </w:t>
            </w:r>
          </w:p>
          <w:p w14:paraId="0F0D77F8" w14:textId="0314AC54" w:rsidR="00355DB1" w:rsidRPr="003639E4" w:rsidRDefault="00355DB1" w:rsidP="003639E4">
            <w:pPr>
              <w:spacing w:before="120" w:after="120" w:line="23" w:lineRule="atLeast"/>
              <w:jc w:val="both"/>
              <w:rPr>
                <w:rFonts w:ascii="Arial" w:hAnsi="Arial" w:cs="Arial"/>
                <w:sz w:val="18"/>
                <w:szCs w:val="18"/>
              </w:rPr>
            </w:pPr>
            <w:r>
              <w:rPr>
                <w:rFonts w:ascii="Arial" w:hAnsi="Arial" w:cs="Arial"/>
                <w:sz w:val="18"/>
                <w:szCs w:val="18"/>
              </w:rPr>
              <w:t xml:space="preserve">Ahora bien, es de señalar que la utilización del índice de dominancia como un indicador del grado de concentración se dejó de considerar debido a que, entre otros elementos, no sería un indicador efectivo para identificar las operaciones o </w:t>
            </w:r>
            <w:r>
              <w:rPr>
                <w:rFonts w:ascii="Arial" w:hAnsi="Arial" w:cs="Arial"/>
                <w:sz w:val="18"/>
                <w:szCs w:val="18"/>
              </w:rPr>
              <w:lastRenderedPageBreak/>
              <w:t xml:space="preserve">transacciones que generen una reducción en el número de competidores y </w:t>
            </w:r>
            <w:r w:rsidRPr="00F131CE">
              <w:rPr>
                <w:rFonts w:ascii="Arial" w:hAnsi="Arial" w:cs="Arial"/>
                <w:sz w:val="18"/>
                <w:szCs w:val="18"/>
              </w:rPr>
              <w:t>un incremento en los niveles de concentración</w:t>
            </w:r>
            <w:r>
              <w:rPr>
                <w:rFonts w:ascii="Arial" w:hAnsi="Arial" w:cs="Arial"/>
                <w:sz w:val="18"/>
                <w:szCs w:val="18"/>
              </w:rPr>
              <w:t xml:space="preserve"> que puedan conducir a acciones colusorias. Así</w:t>
            </w:r>
            <w:r w:rsidRPr="00F131CE">
              <w:rPr>
                <w:rFonts w:ascii="Arial" w:hAnsi="Arial" w:cs="Arial"/>
                <w:sz w:val="18"/>
                <w:szCs w:val="18"/>
              </w:rPr>
              <w:t xml:space="preserve">, </w:t>
            </w:r>
            <w:r>
              <w:rPr>
                <w:rFonts w:ascii="Arial" w:hAnsi="Arial" w:cs="Arial"/>
                <w:sz w:val="18"/>
                <w:szCs w:val="18"/>
              </w:rPr>
              <w:t>el uso de ese índice</w:t>
            </w:r>
            <w:r w:rsidRPr="00F131CE">
              <w:rPr>
                <w:rFonts w:ascii="Arial" w:hAnsi="Arial" w:cs="Arial"/>
                <w:sz w:val="18"/>
                <w:szCs w:val="18"/>
              </w:rPr>
              <w:t xml:space="preserve"> puede </w:t>
            </w:r>
            <w:r>
              <w:rPr>
                <w:rFonts w:ascii="Arial" w:hAnsi="Arial" w:cs="Arial"/>
                <w:sz w:val="18"/>
                <w:szCs w:val="18"/>
              </w:rPr>
              <w:t>conducir</w:t>
            </w:r>
            <w:r w:rsidRPr="00F131CE">
              <w:rPr>
                <w:rFonts w:ascii="Arial" w:hAnsi="Arial" w:cs="Arial"/>
                <w:sz w:val="18"/>
                <w:szCs w:val="18"/>
              </w:rPr>
              <w:t xml:space="preserve"> a conclusiones erróneas cuando los agentes económicos involucrados tengan participaciones sustanciales y simétricas</w:t>
            </w:r>
            <w:r>
              <w:rPr>
                <w:rFonts w:ascii="Arial" w:hAnsi="Arial" w:cs="Arial"/>
                <w:sz w:val="18"/>
                <w:szCs w:val="18"/>
              </w:rPr>
              <w:t>.</w:t>
            </w:r>
            <w:r w:rsidRPr="00F131CE" w:rsidDel="00702562">
              <w:rPr>
                <w:rFonts w:ascii="Arial" w:hAnsi="Arial" w:cs="Arial"/>
                <w:sz w:val="18"/>
                <w:szCs w:val="18"/>
              </w:rPr>
              <w:t xml:space="preserve"> </w:t>
            </w:r>
          </w:p>
          <w:p w14:paraId="10932324" w14:textId="635337D4" w:rsidR="00355DB1" w:rsidRPr="00512B32" w:rsidRDefault="00355DB1" w:rsidP="003639E4">
            <w:pPr>
              <w:spacing w:before="120" w:after="120" w:line="23" w:lineRule="atLeast"/>
              <w:jc w:val="both"/>
              <w:rPr>
                <w:rFonts w:ascii="Arial" w:hAnsi="Arial" w:cs="Arial"/>
                <w:sz w:val="18"/>
                <w:szCs w:val="18"/>
              </w:rPr>
            </w:pPr>
            <w:r>
              <w:rPr>
                <w:rFonts w:ascii="Arial" w:hAnsi="Arial" w:cs="Arial"/>
                <w:sz w:val="18"/>
                <w:szCs w:val="18"/>
              </w:rPr>
              <w:t xml:space="preserve">Por lo anterior, </w:t>
            </w:r>
            <w:r w:rsidR="00C0710F">
              <w:rPr>
                <w:rFonts w:ascii="Arial" w:hAnsi="Arial" w:cs="Arial"/>
                <w:sz w:val="18"/>
                <w:szCs w:val="18"/>
              </w:rPr>
              <w:t>los</w:t>
            </w:r>
            <w:r>
              <w:rPr>
                <w:rFonts w:ascii="Arial" w:hAnsi="Arial" w:cs="Arial"/>
                <w:sz w:val="18"/>
                <w:szCs w:val="18"/>
              </w:rPr>
              <w:t xml:space="preserve"> comentario</w:t>
            </w:r>
            <w:r w:rsidR="00C0710F">
              <w:rPr>
                <w:rFonts w:ascii="Arial" w:hAnsi="Arial" w:cs="Arial"/>
                <w:sz w:val="18"/>
                <w:szCs w:val="18"/>
              </w:rPr>
              <w:t>s</w:t>
            </w:r>
            <w:r>
              <w:rPr>
                <w:rFonts w:ascii="Arial" w:hAnsi="Arial" w:cs="Arial"/>
                <w:sz w:val="18"/>
                <w:szCs w:val="18"/>
              </w:rPr>
              <w:t xml:space="preserve"> no se considera</w:t>
            </w:r>
            <w:r w:rsidR="00C0710F">
              <w:rPr>
                <w:rFonts w:ascii="Arial" w:hAnsi="Arial" w:cs="Arial"/>
                <w:sz w:val="18"/>
                <w:szCs w:val="18"/>
              </w:rPr>
              <w:t>n</w:t>
            </w:r>
            <w:r>
              <w:rPr>
                <w:rFonts w:ascii="Arial" w:hAnsi="Arial" w:cs="Arial"/>
                <w:sz w:val="18"/>
                <w:szCs w:val="18"/>
              </w:rPr>
              <w:t xml:space="preserve"> procedente</w:t>
            </w:r>
            <w:r w:rsidR="00C0710F">
              <w:rPr>
                <w:rFonts w:ascii="Arial" w:hAnsi="Arial" w:cs="Arial"/>
                <w:sz w:val="18"/>
                <w:szCs w:val="18"/>
              </w:rPr>
              <w:t>s</w:t>
            </w:r>
            <w:r>
              <w:rPr>
                <w:rFonts w:ascii="Arial" w:hAnsi="Arial" w:cs="Arial"/>
                <w:sz w:val="18"/>
                <w:szCs w:val="18"/>
              </w:rPr>
              <w:t>.</w:t>
            </w:r>
          </w:p>
          <w:p w14:paraId="0649B869" w14:textId="129F1976" w:rsidR="00355DB1" w:rsidRPr="00512B32" w:rsidRDefault="00355DB1" w:rsidP="00C24811">
            <w:pPr>
              <w:spacing w:before="120" w:after="120" w:line="23" w:lineRule="atLeast"/>
              <w:jc w:val="both"/>
              <w:rPr>
                <w:rFonts w:ascii="Arial" w:hAnsi="Arial" w:cs="Arial"/>
                <w:sz w:val="18"/>
                <w:szCs w:val="18"/>
              </w:rPr>
            </w:pPr>
          </w:p>
        </w:tc>
      </w:tr>
      <w:tr w:rsidR="00355DB1" w:rsidRPr="00BF4F5D" w14:paraId="3E70CAAC" w14:textId="77777777" w:rsidTr="00616B30">
        <w:trPr>
          <w:jc w:val="center"/>
        </w:trPr>
        <w:tc>
          <w:tcPr>
            <w:tcW w:w="2825" w:type="dxa"/>
            <w:vMerge/>
            <w:shd w:val="clear" w:color="auto" w:fill="FFFFFF" w:themeFill="background1"/>
          </w:tcPr>
          <w:p w14:paraId="37482C79" w14:textId="77777777" w:rsidR="00355DB1" w:rsidRDefault="00355DB1" w:rsidP="004A0E93">
            <w:pPr>
              <w:spacing w:before="120" w:after="120" w:line="23" w:lineRule="atLeast"/>
              <w:jc w:val="both"/>
              <w:rPr>
                <w:rFonts w:ascii="Arial" w:hAnsi="Arial" w:cs="Arial"/>
                <w:sz w:val="18"/>
                <w:szCs w:val="18"/>
              </w:rPr>
            </w:pPr>
          </w:p>
        </w:tc>
        <w:tc>
          <w:tcPr>
            <w:tcW w:w="2977" w:type="dxa"/>
            <w:shd w:val="clear" w:color="auto" w:fill="FFFFFF" w:themeFill="background1"/>
          </w:tcPr>
          <w:p w14:paraId="66DEF5FF" w14:textId="081EE898" w:rsidR="00355DB1" w:rsidRPr="004A0E93" w:rsidRDefault="00355DB1" w:rsidP="004A0E93">
            <w:pPr>
              <w:spacing w:before="120" w:after="120" w:line="23" w:lineRule="atLeast"/>
              <w:jc w:val="both"/>
              <w:rPr>
                <w:rFonts w:ascii="Arial" w:hAnsi="Arial" w:cs="Arial"/>
                <w:sz w:val="18"/>
                <w:szCs w:val="18"/>
              </w:rPr>
            </w:pPr>
            <w:r w:rsidRPr="004A0E93">
              <w:rPr>
                <w:rFonts w:ascii="Arial" w:hAnsi="Arial" w:cs="Arial"/>
                <w:sz w:val="18"/>
                <w:szCs w:val="18"/>
              </w:rPr>
              <w:t>El IFT parece no advertir que la eliminación del ID aunado al nuevo criterio de aplicación del IHH, puede resultar en la descalificación</w:t>
            </w:r>
            <w:r>
              <w:rPr>
                <w:rFonts w:ascii="Arial" w:hAnsi="Arial" w:cs="Arial"/>
                <w:sz w:val="18"/>
                <w:szCs w:val="18"/>
              </w:rPr>
              <w:t xml:space="preserve"> </w:t>
            </w:r>
            <w:r w:rsidRPr="004A0E93">
              <w:rPr>
                <w:rFonts w:ascii="Arial" w:hAnsi="Arial" w:cs="Arial"/>
                <w:sz w:val="18"/>
                <w:szCs w:val="18"/>
              </w:rPr>
              <w:t>de</w:t>
            </w:r>
            <w:r>
              <w:rPr>
                <w:rFonts w:ascii="Arial" w:hAnsi="Arial" w:cs="Arial"/>
                <w:sz w:val="18"/>
                <w:szCs w:val="18"/>
              </w:rPr>
              <w:t xml:space="preserve"> </w:t>
            </w:r>
            <w:r w:rsidRPr="004A0E93">
              <w:rPr>
                <w:rFonts w:ascii="Arial" w:hAnsi="Arial" w:cs="Arial"/>
                <w:sz w:val="18"/>
                <w:szCs w:val="18"/>
              </w:rPr>
              <w:t>concentraciones modestas, con efectos pro-competitivos, ante la presencia de un agente económico preponderante.</w:t>
            </w:r>
          </w:p>
        </w:tc>
        <w:tc>
          <w:tcPr>
            <w:tcW w:w="3402" w:type="dxa"/>
            <w:vMerge/>
            <w:shd w:val="clear" w:color="auto" w:fill="FFFFFF" w:themeFill="background1"/>
          </w:tcPr>
          <w:p w14:paraId="129021E3" w14:textId="6B19F61F" w:rsidR="00355DB1" w:rsidRDefault="00355DB1" w:rsidP="00C24811">
            <w:pPr>
              <w:spacing w:before="120" w:after="120" w:line="23" w:lineRule="atLeast"/>
              <w:jc w:val="both"/>
              <w:rPr>
                <w:rFonts w:ascii="Arial" w:hAnsi="Arial" w:cs="Arial"/>
                <w:sz w:val="18"/>
                <w:szCs w:val="18"/>
              </w:rPr>
            </w:pPr>
          </w:p>
        </w:tc>
      </w:tr>
      <w:tr w:rsidR="00355DB1" w:rsidRPr="00BF4F5D" w14:paraId="12E11878" w14:textId="77777777" w:rsidTr="00616B30">
        <w:trPr>
          <w:jc w:val="center"/>
        </w:trPr>
        <w:tc>
          <w:tcPr>
            <w:tcW w:w="2825" w:type="dxa"/>
            <w:vMerge/>
            <w:shd w:val="clear" w:color="auto" w:fill="FFFFFF" w:themeFill="background1"/>
          </w:tcPr>
          <w:p w14:paraId="5A4747E0" w14:textId="77777777" w:rsidR="00355DB1" w:rsidRDefault="00355DB1" w:rsidP="004A0E93">
            <w:pPr>
              <w:spacing w:before="120" w:after="120" w:line="23" w:lineRule="atLeast"/>
              <w:jc w:val="both"/>
              <w:rPr>
                <w:rFonts w:ascii="Arial" w:hAnsi="Arial" w:cs="Arial"/>
                <w:sz w:val="18"/>
                <w:szCs w:val="18"/>
              </w:rPr>
            </w:pPr>
          </w:p>
        </w:tc>
        <w:tc>
          <w:tcPr>
            <w:tcW w:w="2977" w:type="dxa"/>
            <w:shd w:val="clear" w:color="auto" w:fill="FFFFFF" w:themeFill="background1"/>
          </w:tcPr>
          <w:p w14:paraId="7B9D395C" w14:textId="72E083FE" w:rsidR="00355DB1" w:rsidRPr="004A0E93" w:rsidRDefault="00355DB1" w:rsidP="009F6AB8">
            <w:pPr>
              <w:spacing w:before="120" w:after="120" w:line="23" w:lineRule="atLeast"/>
              <w:jc w:val="both"/>
              <w:rPr>
                <w:rFonts w:ascii="Arial" w:hAnsi="Arial" w:cs="Arial"/>
                <w:sz w:val="18"/>
                <w:szCs w:val="18"/>
              </w:rPr>
            </w:pPr>
            <w:r w:rsidRPr="004A0E93">
              <w:rPr>
                <w:rFonts w:ascii="Arial" w:hAnsi="Arial" w:cs="Arial"/>
                <w:sz w:val="18"/>
                <w:szCs w:val="18"/>
              </w:rPr>
              <w:t>Con un índice (IHH) demasiado restrictivo y, por lo tanto sin poder explicativo, tanto los agentes económicos como el Instituto deben recurrir a las excepciones de la aplicación del índice para promover o aprobar una concentración. Esto incrementa la discrecionalidad de las decisiones y disminuye la certeza jurídica</w:t>
            </w:r>
          </w:p>
        </w:tc>
        <w:tc>
          <w:tcPr>
            <w:tcW w:w="3402" w:type="dxa"/>
            <w:vMerge/>
            <w:shd w:val="clear" w:color="auto" w:fill="FFFFFF" w:themeFill="background1"/>
          </w:tcPr>
          <w:p w14:paraId="59AE6838" w14:textId="7104FE98" w:rsidR="00355DB1" w:rsidRDefault="00355DB1" w:rsidP="00C24811">
            <w:pPr>
              <w:spacing w:before="120" w:after="120" w:line="23" w:lineRule="atLeast"/>
              <w:jc w:val="both"/>
              <w:rPr>
                <w:rFonts w:ascii="Arial" w:hAnsi="Arial" w:cs="Arial"/>
                <w:sz w:val="18"/>
                <w:szCs w:val="18"/>
              </w:rPr>
            </w:pPr>
          </w:p>
        </w:tc>
      </w:tr>
      <w:tr w:rsidR="00355DB1" w:rsidRPr="00BF4F5D" w14:paraId="6AE04BF1" w14:textId="77777777" w:rsidTr="00616B30">
        <w:trPr>
          <w:jc w:val="center"/>
        </w:trPr>
        <w:tc>
          <w:tcPr>
            <w:tcW w:w="2825" w:type="dxa"/>
            <w:vMerge/>
            <w:shd w:val="clear" w:color="auto" w:fill="FFFFFF" w:themeFill="background1"/>
          </w:tcPr>
          <w:p w14:paraId="620486B6" w14:textId="77777777" w:rsidR="00355DB1" w:rsidRDefault="00355DB1" w:rsidP="004A0E93">
            <w:pPr>
              <w:spacing w:before="120" w:after="120" w:line="23" w:lineRule="atLeast"/>
              <w:jc w:val="both"/>
              <w:rPr>
                <w:rFonts w:ascii="Arial" w:hAnsi="Arial" w:cs="Arial"/>
                <w:sz w:val="18"/>
                <w:szCs w:val="18"/>
              </w:rPr>
            </w:pPr>
          </w:p>
        </w:tc>
        <w:tc>
          <w:tcPr>
            <w:tcW w:w="2977" w:type="dxa"/>
            <w:shd w:val="clear" w:color="auto" w:fill="FFFFFF" w:themeFill="background1"/>
          </w:tcPr>
          <w:p w14:paraId="62B0D453" w14:textId="4F06040F" w:rsidR="00355DB1" w:rsidRPr="004A0E93" w:rsidRDefault="00355DB1" w:rsidP="009F6AB8">
            <w:pPr>
              <w:spacing w:before="120" w:after="120" w:line="23" w:lineRule="atLeast"/>
              <w:jc w:val="both"/>
              <w:rPr>
                <w:rFonts w:ascii="Arial" w:hAnsi="Arial" w:cs="Arial"/>
                <w:sz w:val="18"/>
                <w:szCs w:val="18"/>
              </w:rPr>
            </w:pPr>
            <w:r w:rsidRPr="009F6AB8">
              <w:rPr>
                <w:rFonts w:ascii="Arial" w:hAnsi="Arial" w:cs="Arial"/>
                <w:sz w:val="18"/>
                <w:szCs w:val="18"/>
              </w:rPr>
              <w:t xml:space="preserve">Por lo tanto, la reducción del parámetro o umbral de 3,000 puntos a 2,500 puntos reduce la </w:t>
            </w:r>
            <w:r w:rsidRPr="009F6AB8">
              <w:rPr>
                <w:rFonts w:ascii="Arial" w:hAnsi="Arial" w:cs="Arial"/>
                <w:sz w:val="18"/>
                <w:szCs w:val="18"/>
              </w:rPr>
              <w:lastRenderedPageBreak/>
              <w:t>relevancia de utilizar este criterio pues se incrementan las probabilidades de que cualquier concentración rebase dicho parámetro sin que ello implique un riesgo para el proceso de competencia y libre concurrencia, dadas las características específicas de las telecomunicaciones.</w:t>
            </w:r>
          </w:p>
        </w:tc>
        <w:tc>
          <w:tcPr>
            <w:tcW w:w="3402" w:type="dxa"/>
            <w:vMerge/>
            <w:shd w:val="clear" w:color="auto" w:fill="FFFFFF" w:themeFill="background1"/>
          </w:tcPr>
          <w:p w14:paraId="34CE56AF" w14:textId="517A129D" w:rsidR="00355DB1" w:rsidRDefault="00355DB1" w:rsidP="00C24811">
            <w:pPr>
              <w:spacing w:before="120" w:after="120" w:line="23" w:lineRule="atLeast"/>
              <w:jc w:val="both"/>
              <w:rPr>
                <w:rFonts w:ascii="Arial" w:hAnsi="Arial" w:cs="Arial"/>
                <w:sz w:val="18"/>
                <w:szCs w:val="18"/>
              </w:rPr>
            </w:pPr>
          </w:p>
        </w:tc>
      </w:tr>
      <w:tr w:rsidR="00355DB1" w:rsidRPr="00BF4F5D" w14:paraId="5513D9E8" w14:textId="77777777" w:rsidTr="00616B30">
        <w:trPr>
          <w:jc w:val="center"/>
        </w:trPr>
        <w:tc>
          <w:tcPr>
            <w:tcW w:w="2825" w:type="dxa"/>
            <w:vMerge/>
            <w:shd w:val="clear" w:color="auto" w:fill="FFFFFF" w:themeFill="background1"/>
          </w:tcPr>
          <w:p w14:paraId="3177EB2C" w14:textId="77777777" w:rsidR="00355DB1" w:rsidRDefault="00355DB1" w:rsidP="004A0E93">
            <w:pPr>
              <w:spacing w:before="120" w:after="120" w:line="23" w:lineRule="atLeast"/>
              <w:jc w:val="both"/>
              <w:rPr>
                <w:rFonts w:ascii="Arial" w:hAnsi="Arial" w:cs="Arial"/>
                <w:sz w:val="18"/>
                <w:szCs w:val="18"/>
              </w:rPr>
            </w:pPr>
          </w:p>
        </w:tc>
        <w:tc>
          <w:tcPr>
            <w:tcW w:w="2977" w:type="dxa"/>
            <w:shd w:val="clear" w:color="auto" w:fill="FFFFFF" w:themeFill="background1"/>
          </w:tcPr>
          <w:p w14:paraId="6085BAA5" w14:textId="0E96A4B0" w:rsidR="00355DB1" w:rsidRPr="009F6AB8" w:rsidRDefault="00355DB1" w:rsidP="009F6AB8">
            <w:pPr>
              <w:spacing w:before="120" w:after="120" w:line="23" w:lineRule="atLeast"/>
              <w:jc w:val="both"/>
              <w:rPr>
                <w:rFonts w:ascii="Arial" w:hAnsi="Arial" w:cs="Arial"/>
                <w:sz w:val="18"/>
                <w:szCs w:val="18"/>
              </w:rPr>
            </w:pPr>
            <w:r w:rsidRPr="004A0E93">
              <w:rPr>
                <w:rFonts w:ascii="Arial" w:hAnsi="Arial" w:cs="Arial"/>
                <w:sz w:val="18"/>
                <w:szCs w:val="18"/>
              </w:rPr>
              <w:t>Se podrían haber diferenciado los umbrales aplicables a mercados de telecomunicaciones con respecto de los de radiodifusión, pues la dinámica competitiva y la estructura de mercado en uno y otro sector son distintos. De tal manera, se podría haber mantenido los umbrales de 3,000 en telecomunicaciones y reducido a 2,500 solo los de radiodifusión</w:t>
            </w:r>
            <w:r>
              <w:rPr>
                <w:rFonts w:ascii="Arial" w:hAnsi="Arial" w:cs="Arial"/>
                <w:sz w:val="18"/>
                <w:szCs w:val="18"/>
              </w:rPr>
              <w:t>.</w:t>
            </w:r>
          </w:p>
        </w:tc>
        <w:tc>
          <w:tcPr>
            <w:tcW w:w="3402" w:type="dxa"/>
            <w:vMerge/>
            <w:shd w:val="clear" w:color="auto" w:fill="FFFFFF" w:themeFill="background1"/>
          </w:tcPr>
          <w:p w14:paraId="0556269C" w14:textId="3B9953B1" w:rsidR="00355DB1" w:rsidRDefault="00355DB1" w:rsidP="00C24811">
            <w:pPr>
              <w:spacing w:before="120" w:after="120" w:line="23" w:lineRule="atLeast"/>
              <w:jc w:val="both"/>
              <w:rPr>
                <w:rFonts w:ascii="Arial" w:hAnsi="Arial" w:cs="Arial"/>
                <w:sz w:val="18"/>
                <w:szCs w:val="18"/>
              </w:rPr>
            </w:pPr>
          </w:p>
        </w:tc>
      </w:tr>
    </w:tbl>
    <w:p w14:paraId="104614E3" w14:textId="0D6A9D78" w:rsidR="001956CC" w:rsidRDefault="00DB6CB4" w:rsidP="00D50B18">
      <w:pPr>
        <w:spacing w:before="120" w:after="120" w:line="23" w:lineRule="atLeast"/>
        <w:jc w:val="both"/>
        <w:rPr>
          <w:rFonts w:ascii="Arial" w:hAnsi="Arial" w:cs="Arial"/>
          <w:b/>
        </w:rPr>
      </w:pPr>
      <w:r>
        <w:rPr>
          <w:rFonts w:ascii="Arial" w:hAnsi="Arial" w:cs="Arial"/>
          <w:b/>
        </w:rPr>
        <w:t>7</w:t>
      </w:r>
      <w:r w:rsidR="001956CC">
        <w:rPr>
          <w:rFonts w:ascii="Arial" w:hAnsi="Arial" w:cs="Arial"/>
          <w:b/>
        </w:rPr>
        <w:t xml:space="preserve">.4. </w:t>
      </w:r>
      <w:r w:rsidR="003639E4">
        <w:rPr>
          <w:rFonts w:ascii="Arial" w:hAnsi="Arial" w:cs="Arial"/>
          <w:b/>
        </w:rPr>
        <w:t>Artículo 7</w:t>
      </w:r>
    </w:p>
    <w:p w14:paraId="72605A6D" w14:textId="634F0D69" w:rsidR="001956CC" w:rsidRDefault="00DB6CB4" w:rsidP="00D50B18">
      <w:pPr>
        <w:spacing w:before="120" w:after="120" w:line="23" w:lineRule="atLeast"/>
        <w:jc w:val="both"/>
        <w:rPr>
          <w:rFonts w:ascii="Arial" w:hAnsi="Arial" w:cs="Arial"/>
          <w:b/>
        </w:rPr>
      </w:pPr>
      <w:r>
        <w:rPr>
          <w:rFonts w:ascii="Arial" w:hAnsi="Arial" w:cs="Arial"/>
          <w:b/>
        </w:rPr>
        <w:t>7</w:t>
      </w:r>
      <w:r w:rsidR="001956CC">
        <w:rPr>
          <w:rFonts w:ascii="Arial" w:hAnsi="Arial" w:cs="Arial"/>
          <w:b/>
        </w:rPr>
        <w:t xml:space="preserve">.4.1. </w:t>
      </w:r>
      <w:r w:rsidR="001956CC" w:rsidRPr="001956CC">
        <w:rPr>
          <w:rFonts w:ascii="Arial" w:hAnsi="Arial" w:cs="Arial"/>
          <w:b/>
        </w:rPr>
        <w:t xml:space="preserve">Síntesis de los comentarios relacionados con el </w:t>
      </w:r>
      <w:r w:rsidR="003639E4">
        <w:rPr>
          <w:rFonts w:ascii="Arial" w:hAnsi="Arial" w:cs="Arial"/>
          <w:b/>
        </w:rPr>
        <w:t>artículo 7</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46"/>
        <w:gridCol w:w="2956"/>
        <w:gridCol w:w="3402"/>
      </w:tblGrid>
      <w:tr w:rsidR="00842124" w:rsidRPr="003E2214" w14:paraId="075D691C" w14:textId="77777777" w:rsidTr="00616B30">
        <w:trPr>
          <w:tblHeader/>
          <w:jc w:val="center"/>
        </w:trPr>
        <w:tc>
          <w:tcPr>
            <w:tcW w:w="2846" w:type="dxa"/>
            <w:shd w:val="clear" w:color="auto" w:fill="70AD47" w:themeFill="accent6"/>
          </w:tcPr>
          <w:p w14:paraId="1CCCFE45" w14:textId="77777777" w:rsidR="00842124" w:rsidRPr="00BF4F5D" w:rsidRDefault="00842124" w:rsidP="00AE0BDA">
            <w:pPr>
              <w:spacing w:before="120" w:after="120" w:line="23" w:lineRule="atLeast"/>
              <w:jc w:val="center"/>
              <w:rPr>
                <w:rFonts w:ascii="Arial" w:hAnsi="Arial" w:cs="Arial"/>
                <w:b/>
                <w:sz w:val="18"/>
                <w:szCs w:val="18"/>
              </w:rPr>
            </w:pPr>
            <w:r w:rsidRPr="00730154">
              <w:rPr>
                <w:rFonts w:ascii="Arial" w:hAnsi="Arial" w:cs="Arial"/>
                <w:b/>
                <w:sz w:val="18"/>
                <w:szCs w:val="18"/>
              </w:rPr>
              <w:t>Apartado del Anteproyecto</w:t>
            </w:r>
          </w:p>
        </w:tc>
        <w:tc>
          <w:tcPr>
            <w:tcW w:w="2956" w:type="dxa"/>
            <w:shd w:val="clear" w:color="auto" w:fill="70AD47" w:themeFill="accent6"/>
          </w:tcPr>
          <w:p w14:paraId="7F436106" w14:textId="77777777" w:rsidR="00842124" w:rsidRPr="00BF4F5D" w:rsidRDefault="00842124" w:rsidP="00AE0BDA">
            <w:pPr>
              <w:spacing w:before="120" w:after="120" w:line="23" w:lineRule="atLeast"/>
              <w:jc w:val="center"/>
              <w:rPr>
                <w:rFonts w:ascii="Arial" w:hAnsi="Arial" w:cs="Arial"/>
                <w:b/>
                <w:sz w:val="18"/>
                <w:szCs w:val="18"/>
              </w:rPr>
            </w:pPr>
            <w:r w:rsidRPr="00730154">
              <w:rPr>
                <w:rFonts w:ascii="Arial" w:hAnsi="Arial" w:cs="Arial"/>
                <w:b/>
                <w:sz w:val="18"/>
                <w:szCs w:val="18"/>
              </w:rPr>
              <w:t>Resumen de los comentarios recibidos</w:t>
            </w:r>
          </w:p>
        </w:tc>
        <w:tc>
          <w:tcPr>
            <w:tcW w:w="3402" w:type="dxa"/>
            <w:shd w:val="clear" w:color="auto" w:fill="70AD47" w:themeFill="accent6"/>
          </w:tcPr>
          <w:p w14:paraId="56EE19B7" w14:textId="77777777" w:rsidR="00842124" w:rsidRPr="00730154" w:rsidRDefault="00842124" w:rsidP="00AE0BDA">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42124" w:rsidRPr="003E2214" w14:paraId="0956E624" w14:textId="77777777" w:rsidTr="00275B74">
        <w:trPr>
          <w:jc w:val="center"/>
        </w:trPr>
        <w:tc>
          <w:tcPr>
            <w:tcW w:w="9204" w:type="dxa"/>
            <w:gridSpan w:val="3"/>
            <w:shd w:val="clear" w:color="auto" w:fill="C5E0B3" w:themeFill="accent6" w:themeFillTint="66"/>
          </w:tcPr>
          <w:p w14:paraId="259612AB" w14:textId="3B93550E" w:rsidR="00842124" w:rsidRPr="00BF4F5D" w:rsidRDefault="003639E4" w:rsidP="00AE0BDA">
            <w:pPr>
              <w:spacing w:before="120" w:after="120" w:line="23" w:lineRule="atLeast"/>
              <w:jc w:val="center"/>
              <w:rPr>
                <w:rFonts w:ascii="Arial" w:hAnsi="Arial" w:cs="Arial"/>
                <w:b/>
                <w:bCs/>
                <w:sz w:val="18"/>
                <w:szCs w:val="18"/>
                <w:lang w:val="es-ES_tradnl"/>
              </w:rPr>
            </w:pPr>
            <w:r>
              <w:rPr>
                <w:rFonts w:ascii="Arial" w:hAnsi="Arial" w:cs="Arial"/>
                <w:b/>
                <w:bCs/>
                <w:sz w:val="18"/>
                <w:szCs w:val="18"/>
                <w:lang w:val="es-ES_tradnl"/>
              </w:rPr>
              <w:t>Artículo 7</w:t>
            </w:r>
          </w:p>
        </w:tc>
      </w:tr>
      <w:tr w:rsidR="00A23B0B" w:rsidRPr="003E2214" w14:paraId="3CEACDC6" w14:textId="77777777" w:rsidTr="00616B30">
        <w:trPr>
          <w:jc w:val="center"/>
        </w:trPr>
        <w:tc>
          <w:tcPr>
            <w:tcW w:w="2846" w:type="dxa"/>
            <w:vMerge w:val="restart"/>
            <w:shd w:val="clear" w:color="auto" w:fill="FFFFFF" w:themeFill="background1"/>
          </w:tcPr>
          <w:p w14:paraId="1FAFDDB0" w14:textId="5D10C502" w:rsidR="00A23B0B" w:rsidRPr="009E062C" w:rsidRDefault="00A23B0B" w:rsidP="009E062C">
            <w:pPr>
              <w:spacing w:before="120" w:after="120" w:line="23" w:lineRule="atLeast"/>
              <w:jc w:val="both"/>
              <w:rPr>
                <w:rFonts w:ascii="Arial" w:hAnsi="Arial" w:cs="Arial"/>
                <w:sz w:val="18"/>
                <w:szCs w:val="18"/>
                <w:lang w:val="es-ES"/>
              </w:rPr>
            </w:pPr>
            <w:r>
              <w:rPr>
                <w:rFonts w:ascii="Arial" w:hAnsi="Arial" w:cs="Arial"/>
                <w:sz w:val="18"/>
                <w:szCs w:val="18"/>
                <w:lang w:val="es-ES"/>
              </w:rPr>
              <w:t xml:space="preserve">Artículo 7. </w:t>
            </w:r>
            <w:r w:rsidRPr="009E062C">
              <w:rPr>
                <w:rFonts w:ascii="Arial" w:hAnsi="Arial" w:cs="Arial"/>
                <w:sz w:val="18"/>
                <w:szCs w:val="18"/>
                <w:lang w:val="es-ES"/>
              </w:rPr>
              <w:t>Aun cuando una concentración implique valores del IHH y de la  ∆IHH que se ubiquen dentro de los umbrales establecidos en el numeral anterior, el Instituto podrá considerar que existen potenciales riesgos de que ésta tiene por objeto o efecto obstaculizar, disminuir, dañar o impedir la competencia y la libre concurrencia, si sucede una o varias de las siguientes circunstancias:</w:t>
            </w:r>
          </w:p>
          <w:p w14:paraId="3CBC9B2B" w14:textId="77777777" w:rsidR="00A23B0B" w:rsidRPr="009E062C" w:rsidRDefault="00A23B0B" w:rsidP="009E062C">
            <w:pPr>
              <w:numPr>
                <w:ilvl w:val="0"/>
                <w:numId w:val="41"/>
              </w:numPr>
              <w:spacing w:before="120" w:after="120" w:line="23" w:lineRule="atLeast"/>
              <w:ind w:left="306" w:hanging="273"/>
              <w:jc w:val="both"/>
              <w:rPr>
                <w:rFonts w:ascii="Arial" w:hAnsi="Arial" w:cs="Arial"/>
                <w:sz w:val="18"/>
                <w:szCs w:val="18"/>
                <w:lang w:val="es-ES"/>
              </w:rPr>
            </w:pPr>
            <w:r w:rsidRPr="009E062C">
              <w:rPr>
                <w:rFonts w:ascii="Arial" w:hAnsi="Arial" w:cs="Arial"/>
                <w:sz w:val="18"/>
                <w:szCs w:val="18"/>
              </w:rPr>
              <w:t>Los agentes económicos involucrados en la operación tengan o puedan llegar a adquirir poder sustancial en mercados relacionados;</w:t>
            </w:r>
          </w:p>
          <w:p w14:paraId="15C85820" w14:textId="4DD6991C" w:rsidR="00A23B0B" w:rsidRPr="009E062C" w:rsidRDefault="00A23B0B" w:rsidP="009E062C">
            <w:pPr>
              <w:numPr>
                <w:ilvl w:val="0"/>
                <w:numId w:val="41"/>
              </w:numPr>
              <w:spacing w:before="120" w:after="120" w:line="23" w:lineRule="atLeast"/>
              <w:ind w:left="306" w:hanging="273"/>
              <w:jc w:val="both"/>
              <w:rPr>
                <w:rFonts w:ascii="Arial" w:hAnsi="Arial" w:cs="Arial"/>
                <w:sz w:val="18"/>
                <w:szCs w:val="18"/>
              </w:rPr>
            </w:pPr>
            <w:r w:rsidRPr="009E062C">
              <w:rPr>
                <w:rFonts w:ascii="Arial" w:hAnsi="Arial" w:cs="Arial"/>
                <w:sz w:val="18"/>
                <w:szCs w:val="18"/>
              </w:rPr>
              <w:t xml:space="preserve">Los agentes económicos resultantes de la operación alcancen una participación superior al 35% (treinta y cinco por ciento) en cualquier </w:t>
            </w:r>
            <w:r w:rsidRPr="009E062C">
              <w:rPr>
                <w:rFonts w:ascii="Arial" w:hAnsi="Arial" w:cs="Arial"/>
                <w:sz w:val="18"/>
                <w:szCs w:val="18"/>
              </w:rPr>
              <w:lastRenderedPageBreak/>
              <w:t>mercado del sector de telecomunicaciones o superior al 30% (treinta por ciento) en cualquier mercado del sector de radiodifusión;</w:t>
            </w:r>
          </w:p>
          <w:p w14:paraId="369BDA52" w14:textId="5B3F9579" w:rsidR="00A23B0B" w:rsidRPr="009E062C" w:rsidRDefault="00A23B0B" w:rsidP="009E062C">
            <w:pPr>
              <w:numPr>
                <w:ilvl w:val="0"/>
                <w:numId w:val="41"/>
              </w:numPr>
              <w:spacing w:before="120" w:after="120" w:line="23" w:lineRule="atLeast"/>
              <w:ind w:left="306" w:hanging="273"/>
              <w:jc w:val="both"/>
              <w:rPr>
                <w:rFonts w:ascii="Arial" w:hAnsi="Arial" w:cs="Arial"/>
                <w:sz w:val="18"/>
                <w:szCs w:val="18"/>
              </w:rPr>
            </w:pPr>
            <w:r w:rsidRPr="009E062C">
              <w:rPr>
                <w:rFonts w:ascii="Arial" w:hAnsi="Arial" w:cs="Arial"/>
                <w:sz w:val="18"/>
                <w:szCs w:val="18"/>
              </w:rPr>
              <w:t>El agente económico adquirido es un agente económico disruptivo (conocido como maverick en inglés) que se distinga, por ejemplo, por introducir o desarrollar nuevas tecnologías o modelos de negocios o que pueda disciplinar los precios con base en su habilidad e incentivos a expandirse rápidamente;</w:t>
            </w:r>
          </w:p>
          <w:p w14:paraId="4610846B" w14:textId="3156232B" w:rsidR="00A23B0B" w:rsidRPr="009E062C" w:rsidRDefault="00A23B0B" w:rsidP="009E062C">
            <w:pPr>
              <w:numPr>
                <w:ilvl w:val="0"/>
                <w:numId w:val="41"/>
              </w:numPr>
              <w:spacing w:before="120" w:after="120" w:line="23" w:lineRule="atLeast"/>
              <w:ind w:left="306" w:hanging="273"/>
              <w:jc w:val="both"/>
              <w:rPr>
                <w:rFonts w:ascii="Arial" w:hAnsi="Arial" w:cs="Arial"/>
                <w:sz w:val="18"/>
                <w:szCs w:val="18"/>
              </w:rPr>
            </w:pPr>
            <w:r w:rsidRPr="009E062C">
              <w:rPr>
                <w:rFonts w:ascii="Arial" w:hAnsi="Arial" w:cs="Arial"/>
                <w:sz w:val="18"/>
                <w:szCs w:val="18"/>
              </w:rPr>
              <w:t>Uno o más de los agentes económicos involucrados en la operación haya participado dentro de los últimos cinco años en operaciones previas en el mismo mercado y que consideradas en conjunto con la operación analizada, rebasen los umbrales referidos en el Artículo 6 del presente Criterio Técnico;</w:t>
            </w:r>
          </w:p>
          <w:p w14:paraId="65C7B982" w14:textId="508FE4CA" w:rsidR="00A23B0B" w:rsidRPr="009E062C" w:rsidRDefault="00A23B0B" w:rsidP="009E062C">
            <w:pPr>
              <w:numPr>
                <w:ilvl w:val="0"/>
                <w:numId w:val="41"/>
              </w:numPr>
              <w:spacing w:before="120" w:after="120" w:line="23" w:lineRule="atLeast"/>
              <w:ind w:left="306" w:hanging="273"/>
              <w:jc w:val="both"/>
              <w:rPr>
                <w:rFonts w:ascii="Arial" w:hAnsi="Arial" w:cs="Arial"/>
                <w:b/>
                <w:bCs/>
                <w:sz w:val="18"/>
                <w:szCs w:val="18"/>
                <w:lang w:val="es-ES_tradnl"/>
              </w:rPr>
            </w:pPr>
            <w:r w:rsidRPr="009E062C">
              <w:rPr>
                <w:rFonts w:ascii="Arial" w:hAnsi="Arial" w:cs="Arial"/>
                <w:sz w:val="18"/>
                <w:szCs w:val="18"/>
              </w:rPr>
              <w:t>La concentración pueda generar incentivos o facilitar la coordinación entre los agentes económicos que participen en el mercado analizado o mercados relacionados</w:t>
            </w:r>
            <w:r w:rsidRPr="009E062C">
              <w:rPr>
                <w:rFonts w:ascii="Arial" w:hAnsi="Arial" w:cs="Arial"/>
                <w:sz w:val="18"/>
                <w:szCs w:val="18"/>
                <w:lang w:val="es-ES"/>
              </w:rPr>
              <w:t>.</w:t>
            </w:r>
          </w:p>
        </w:tc>
        <w:tc>
          <w:tcPr>
            <w:tcW w:w="2956" w:type="dxa"/>
            <w:shd w:val="clear" w:color="auto" w:fill="FFFFFF" w:themeFill="background1"/>
          </w:tcPr>
          <w:p w14:paraId="02BFBAE7" w14:textId="77777777" w:rsidR="00A23B0B" w:rsidRDefault="00A23B0B" w:rsidP="000C1F69">
            <w:pPr>
              <w:spacing w:before="120" w:after="120" w:line="23" w:lineRule="atLeast"/>
              <w:jc w:val="both"/>
              <w:rPr>
                <w:rFonts w:ascii="Arial" w:hAnsi="Arial" w:cs="Arial"/>
                <w:sz w:val="18"/>
                <w:szCs w:val="18"/>
                <w:lang w:val="es-ES"/>
              </w:rPr>
            </w:pPr>
            <w:r w:rsidRPr="009E062C">
              <w:rPr>
                <w:rFonts w:ascii="Arial" w:hAnsi="Arial" w:cs="Arial"/>
                <w:sz w:val="18"/>
                <w:szCs w:val="18"/>
                <w:lang w:val="es-ES"/>
              </w:rPr>
              <w:lastRenderedPageBreak/>
              <w:t>En virtud que el Criterio Técnico hace referencia a la noción de “maverick”, sería conveniente que el Instituto incluyese una definición más clara y explícita de su significado.</w:t>
            </w:r>
          </w:p>
          <w:p w14:paraId="020B42FD" w14:textId="0EAD6F10" w:rsidR="00A23B0B" w:rsidRPr="00952EDD" w:rsidRDefault="00A23B0B" w:rsidP="000C1F69">
            <w:pPr>
              <w:spacing w:before="120" w:after="120" w:line="23" w:lineRule="atLeast"/>
              <w:jc w:val="both"/>
              <w:rPr>
                <w:rFonts w:ascii="Arial" w:hAnsi="Arial" w:cs="Arial"/>
                <w:sz w:val="18"/>
                <w:szCs w:val="18"/>
                <w:lang w:val="es-ES_tradnl"/>
              </w:rPr>
            </w:pPr>
            <w:r w:rsidRPr="009E062C">
              <w:rPr>
                <w:rFonts w:ascii="Arial" w:hAnsi="Arial" w:cs="Arial"/>
                <w:sz w:val="18"/>
                <w:szCs w:val="18"/>
                <w:lang w:val="es-ES_tradnl"/>
              </w:rPr>
              <w:t>En la medida que el Instituto no pueda hacer esta distinción entre ambos tipos de adquisiciones, la posibilidad de generar “falsos positivos” y “falsos negativos” es grande. La identificación de un maverick en el mercado no es obvia y resulta aún más complejo identificar a priori el objeto estratégico de la adquisición de un agente económico disruptivo. En virtud de las dificultades de hacer instrumentable y eficaz lo establecido en el inciso (c) del Artículo 7 del Criterio Técnico, se sugiere su supresión</w:t>
            </w:r>
          </w:p>
        </w:tc>
        <w:tc>
          <w:tcPr>
            <w:tcW w:w="3402" w:type="dxa"/>
            <w:vMerge w:val="restart"/>
            <w:shd w:val="clear" w:color="auto" w:fill="FFFFFF" w:themeFill="background1"/>
          </w:tcPr>
          <w:p w14:paraId="38F684C0" w14:textId="0A3B8D54" w:rsidR="00A23B0B" w:rsidRPr="00E50DF9" w:rsidRDefault="00A23B0B" w:rsidP="00A23B0B">
            <w:pPr>
              <w:spacing w:before="120" w:after="120" w:line="23" w:lineRule="atLeast"/>
              <w:jc w:val="both"/>
              <w:rPr>
                <w:rFonts w:ascii="Arial" w:hAnsi="Arial" w:cs="Arial"/>
                <w:sz w:val="18"/>
                <w:szCs w:val="18"/>
              </w:rPr>
            </w:pPr>
            <w:r w:rsidRPr="002E05FA">
              <w:rPr>
                <w:rFonts w:ascii="Arial" w:hAnsi="Arial" w:cs="Arial"/>
                <w:sz w:val="18"/>
                <w:szCs w:val="18"/>
              </w:rPr>
              <w:t>Se consideran improcedentes. Lo anterior, en virtud de que el Anteproyecto de modificación al Criterio Técnico no modifica el inciso c) del Artículo 7, es decir, desde su publicación en el Diario Oficial de la Federación y antes de la modificación, el “ACUERDO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  contemplaba dicho apartado.</w:t>
            </w:r>
            <w:r w:rsidR="006852E6">
              <w:rPr>
                <w:rFonts w:ascii="Arial" w:hAnsi="Arial" w:cs="Arial"/>
                <w:sz w:val="18"/>
                <w:szCs w:val="18"/>
              </w:rPr>
              <w:t xml:space="preserve"> </w:t>
            </w:r>
            <w:r w:rsidR="006852E6" w:rsidRPr="00DB3320">
              <w:rPr>
                <w:rFonts w:ascii="Arial" w:hAnsi="Arial" w:cs="Arial"/>
                <w:sz w:val="18"/>
                <w:szCs w:val="18"/>
              </w:rPr>
              <w:t xml:space="preserve">Por otra parte, </w:t>
            </w:r>
            <w:r w:rsidR="006852E6" w:rsidRPr="00737F76">
              <w:rPr>
                <w:rFonts w:ascii="Arial" w:hAnsi="Arial" w:cs="Arial"/>
                <w:sz w:val="18"/>
                <w:szCs w:val="18"/>
              </w:rPr>
              <w:t>a nivel internacional,</w:t>
            </w:r>
            <w:r w:rsidR="006852E6" w:rsidRPr="00E50DF9">
              <w:rPr>
                <w:rFonts w:ascii="Arial" w:hAnsi="Arial" w:cs="Arial"/>
                <w:sz w:val="18"/>
                <w:szCs w:val="18"/>
              </w:rPr>
              <w:t xml:space="preserve"> la adquisición de un maverick</w:t>
            </w:r>
            <w:r w:rsidR="008E203E" w:rsidRPr="009014A7">
              <w:rPr>
                <w:rFonts w:ascii="Arial" w:hAnsi="Arial" w:cs="Arial"/>
                <w:sz w:val="18"/>
                <w:szCs w:val="18"/>
              </w:rPr>
              <w:t xml:space="preserve"> es un elemento</w:t>
            </w:r>
            <w:r w:rsidR="008E203E" w:rsidRPr="00DB3320">
              <w:rPr>
                <w:rFonts w:ascii="Arial" w:hAnsi="Arial" w:cs="Arial"/>
                <w:sz w:val="18"/>
                <w:szCs w:val="18"/>
              </w:rPr>
              <w:t xml:space="preserve"> importante a considerar dentro de la evidencia de efectos competitivos adversos (véase</w:t>
            </w:r>
            <w:r w:rsidR="008E203E" w:rsidRPr="00737F76">
              <w:rPr>
                <w:rFonts w:ascii="Arial" w:hAnsi="Arial" w:cs="Arial"/>
                <w:sz w:val="18"/>
                <w:szCs w:val="18"/>
              </w:rPr>
              <w:t xml:space="preserve"> </w:t>
            </w:r>
            <w:r w:rsidR="008E203E" w:rsidRPr="00E50DF9">
              <w:rPr>
                <w:rFonts w:ascii="Arial" w:hAnsi="Arial" w:cs="Arial"/>
                <w:sz w:val="18"/>
                <w:szCs w:val="18"/>
              </w:rPr>
              <w:t xml:space="preserve">por ejemplo: la Guía de Fusiones </w:t>
            </w:r>
            <w:r w:rsidR="008E203E" w:rsidRPr="009014A7">
              <w:rPr>
                <w:rFonts w:ascii="Arial" w:hAnsi="Arial" w:cs="Arial"/>
                <w:sz w:val="18"/>
                <w:szCs w:val="18"/>
              </w:rPr>
              <w:t>Horizontales en los E</w:t>
            </w:r>
            <w:r w:rsidR="008E203E" w:rsidRPr="00F11429">
              <w:rPr>
                <w:rFonts w:ascii="Arial" w:hAnsi="Arial" w:cs="Arial"/>
                <w:sz w:val="18"/>
                <w:szCs w:val="18"/>
              </w:rPr>
              <w:t>stad</w:t>
            </w:r>
            <w:r w:rsidR="008E203E" w:rsidRPr="00CD433A">
              <w:rPr>
                <w:rFonts w:ascii="Arial" w:hAnsi="Arial" w:cs="Arial"/>
                <w:sz w:val="18"/>
                <w:szCs w:val="18"/>
              </w:rPr>
              <w:t xml:space="preserve">os </w:t>
            </w:r>
            <w:r w:rsidR="008E203E" w:rsidRPr="00355DB1">
              <w:rPr>
                <w:rFonts w:ascii="Arial" w:hAnsi="Arial" w:cs="Arial"/>
                <w:sz w:val="18"/>
                <w:szCs w:val="18"/>
              </w:rPr>
              <w:t>Unidos de Am</w:t>
            </w:r>
            <w:r w:rsidR="008E203E" w:rsidRPr="00D27FFC">
              <w:rPr>
                <w:rFonts w:ascii="Arial" w:hAnsi="Arial" w:cs="Arial"/>
                <w:sz w:val="18"/>
                <w:szCs w:val="18"/>
              </w:rPr>
              <w:t>érica</w:t>
            </w:r>
            <w:r w:rsidR="008E203E" w:rsidRPr="006C4560">
              <w:rPr>
                <w:rFonts w:ascii="Arial" w:hAnsi="Arial" w:cs="Arial"/>
                <w:sz w:val="18"/>
                <w:szCs w:val="18"/>
              </w:rPr>
              <w:t xml:space="preserve">, disponible en </w:t>
            </w:r>
            <w:hyperlink r:id="rId12" w:history="1">
              <w:r w:rsidR="008E203E" w:rsidRPr="00737F76">
                <w:rPr>
                  <w:rStyle w:val="Hipervnculo"/>
                  <w:rFonts w:ascii="Arial" w:hAnsi="Arial" w:cs="Arial"/>
                  <w:sz w:val="18"/>
                  <w:szCs w:val="18"/>
                </w:rPr>
                <w:t>https://www.justice.gov/atr/horizontal-merger-guidelines-08192010</w:t>
              </w:r>
            </w:hyperlink>
            <w:r w:rsidR="008E203E" w:rsidRPr="00DB3320">
              <w:rPr>
                <w:rFonts w:ascii="Arial" w:hAnsi="Arial" w:cs="Arial"/>
                <w:sz w:val="18"/>
                <w:szCs w:val="18"/>
              </w:rPr>
              <w:t>)</w:t>
            </w:r>
            <w:r w:rsidR="006852E6" w:rsidRPr="00737F76">
              <w:rPr>
                <w:rFonts w:ascii="Arial" w:hAnsi="Arial" w:cs="Arial"/>
                <w:sz w:val="18"/>
                <w:szCs w:val="18"/>
              </w:rPr>
              <w:t xml:space="preserve">. </w:t>
            </w:r>
            <w:r w:rsidR="006852E6" w:rsidRPr="00E50DF9">
              <w:rPr>
                <w:rFonts w:ascii="Arial" w:hAnsi="Arial" w:cs="Arial"/>
                <w:sz w:val="18"/>
                <w:szCs w:val="18"/>
              </w:rPr>
              <w:t xml:space="preserve"> </w:t>
            </w:r>
          </w:p>
          <w:p w14:paraId="43CCAC2D" w14:textId="5594E754" w:rsidR="005F1574" w:rsidRDefault="005F1574" w:rsidP="00A23B0B">
            <w:pPr>
              <w:spacing w:before="120" w:after="120" w:line="23" w:lineRule="atLeast"/>
              <w:jc w:val="both"/>
              <w:rPr>
                <w:rFonts w:ascii="Arial" w:hAnsi="Arial" w:cs="Arial"/>
                <w:sz w:val="18"/>
                <w:szCs w:val="18"/>
              </w:rPr>
            </w:pPr>
            <w:r w:rsidRPr="002E05FA">
              <w:rPr>
                <w:rFonts w:ascii="Arial" w:hAnsi="Arial" w:cs="Arial"/>
                <w:sz w:val="18"/>
                <w:szCs w:val="18"/>
              </w:rPr>
              <w:t xml:space="preserve">Sin embargo, se considera procedente presentar una definición </w:t>
            </w:r>
            <w:r w:rsidR="00FC26F3" w:rsidRPr="002E05FA">
              <w:rPr>
                <w:rFonts w:ascii="Arial" w:hAnsi="Arial" w:cs="Arial"/>
                <w:sz w:val="18"/>
                <w:szCs w:val="18"/>
              </w:rPr>
              <w:t xml:space="preserve">más amplia </w:t>
            </w:r>
            <w:r w:rsidRPr="002E05FA">
              <w:rPr>
                <w:rFonts w:ascii="Arial" w:hAnsi="Arial" w:cs="Arial"/>
                <w:sz w:val="18"/>
                <w:szCs w:val="18"/>
              </w:rPr>
              <w:t xml:space="preserve">de </w:t>
            </w:r>
            <w:r w:rsidRPr="002E05FA">
              <w:rPr>
                <w:rFonts w:ascii="Arial" w:hAnsi="Arial" w:cs="Arial"/>
                <w:i/>
                <w:iCs/>
                <w:sz w:val="18"/>
                <w:szCs w:val="18"/>
              </w:rPr>
              <w:t>maverick</w:t>
            </w:r>
            <w:r w:rsidR="00B276DF">
              <w:rPr>
                <w:rFonts w:ascii="Arial" w:hAnsi="Arial" w:cs="Arial"/>
                <w:i/>
                <w:iCs/>
                <w:sz w:val="18"/>
                <w:szCs w:val="18"/>
              </w:rPr>
              <w:t xml:space="preserve">, </w:t>
            </w:r>
            <w:r w:rsidR="00B276DF" w:rsidRPr="00B276DF">
              <w:rPr>
                <w:rFonts w:ascii="Arial" w:hAnsi="Arial" w:cs="Arial"/>
                <w:sz w:val="18"/>
                <w:szCs w:val="18"/>
              </w:rPr>
              <w:t xml:space="preserve">por lo que se modifica el texto del </w:t>
            </w:r>
            <w:r w:rsidR="00D408CB">
              <w:rPr>
                <w:rFonts w:ascii="Arial" w:hAnsi="Arial" w:cs="Arial"/>
                <w:sz w:val="18"/>
                <w:szCs w:val="18"/>
              </w:rPr>
              <w:t>A</w:t>
            </w:r>
            <w:r w:rsidR="00B276DF" w:rsidRPr="00B276DF">
              <w:rPr>
                <w:rFonts w:ascii="Arial" w:hAnsi="Arial" w:cs="Arial"/>
                <w:sz w:val="18"/>
                <w:szCs w:val="18"/>
              </w:rPr>
              <w:t>rtículo 7 de la siguiente manera</w:t>
            </w:r>
            <w:r w:rsidR="00B276DF">
              <w:rPr>
                <w:rFonts w:ascii="Arial" w:hAnsi="Arial" w:cs="Arial"/>
                <w:i/>
                <w:iCs/>
                <w:sz w:val="18"/>
                <w:szCs w:val="18"/>
              </w:rPr>
              <w:t xml:space="preserve"> </w:t>
            </w:r>
            <w:r w:rsidR="00FE68D0">
              <w:rPr>
                <w:rFonts w:ascii="Arial" w:hAnsi="Arial" w:cs="Arial"/>
                <w:i/>
                <w:iCs/>
                <w:sz w:val="18"/>
                <w:szCs w:val="18"/>
              </w:rPr>
              <w:t xml:space="preserve"> </w:t>
            </w:r>
            <w:r w:rsidR="00FE68D0">
              <w:rPr>
                <w:rFonts w:ascii="Arial" w:hAnsi="Arial" w:cs="Arial"/>
                <w:sz w:val="18"/>
                <w:szCs w:val="18"/>
              </w:rPr>
              <w:t>(se resalta el texto incorporado)</w:t>
            </w:r>
            <w:r w:rsidRPr="002E05FA">
              <w:rPr>
                <w:rFonts w:ascii="Arial" w:hAnsi="Arial" w:cs="Arial"/>
                <w:sz w:val="18"/>
                <w:szCs w:val="18"/>
              </w:rPr>
              <w:t>.</w:t>
            </w:r>
          </w:p>
          <w:p w14:paraId="3EAFF3B4" w14:textId="34F691A5" w:rsidR="00FE68D0" w:rsidRDefault="00FE68D0" w:rsidP="00A23B0B">
            <w:pPr>
              <w:spacing w:before="120" w:after="120" w:line="23" w:lineRule="atLeast"/>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3176"/>
            </w:tblGrid>
            <w:tr w:rsidR="00FE68D0" w:rsidRPr="00E83771" w14:paraId="3D76D77D" w14:textId="77777777" w:rsidTr="00DA1C08">
              <w:trPr>
                <w:trHeight w:val="311"/>
                <w:jc w:val="center"/>
              </w:trPr>
              <w:tc>
                <w:tcPr>
                  <w:tcW w:w="328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D69588D" w14:textId="77777777" w:rsidR="00FE68D0" w:rsidRPr="00E83771" w:rsidRDefault="00FE68D0" w:rsidP="00FE68D0">
                  <w:pPr>
                    <w:spacing w:before="120" w:after="120" w:line="23" w:lineRule="atLeast"/>
                    <w:jc w:val="center"/>
                    <w:rPr>
                      <w:rFonts w:ascii="Arial" w:hAnsi="Arial" w:cs="Arial"/>
                      <w:sz w:val="18"/>
                      <w:szCs w:val="18"/>
                    </w:rPr>
                  </w:pPr>
                  <w:r w:rsidRPr="00E83771">
                    <w:rPr>
                      <w:rFonts w:ascii="Arial" w:hAnsi="Arial" w:cs="Arial"/>
                      <w:sz w:val="18"/>
                      <w:szCs w:val="18"/>
                    </w:rPr>
                    <w:t xml:space="preserve">Modificación al Proyecto </w:t>
                  </w:r>
                </w:p>
              </w:tc>
            </w:tr>
            <w:tr w:rsidR="00FE68D0" w:rsidRPr="00E83771" w14:paraId="4FE1304B" w14:textId="77777777" w:rsidTr="00DA1C08">
              <w:trPr>
                <w:jc w:val="center"/>
              </w:trPr>
              <w:tc>
                <w:tcPr>
                  <w:tcW w:w="3286" w:type="dxa"/>
                  <w:tcBorders>
                    <w:top w:val="single" w:sz="4" w:space="0" w:color="auto"/>
                    <w:left w:val="single" w:sz="4" w:space="0" w:color="auto"/>
                    <w:bottom w:val="single" w:sz="4" w:space="0" w:color="auto"/>
                    <w:right w:val="single" w:sz="4" w:space="0" w:color="auto"/>
                  </w:tcBorders>
                  <w:shd w:val="clear" w:color="auto" w:fill="FFFFFF" w:themeFill="background1"/>
                </w:tcPr>
                <w:p w14:paraId="4E348267" w14:textId="5B8004EF" w:rsidR="00FE68D0" w:rsidRDefault="00FE68D0" w:rsidP="00FE68D0">
                  <w:pPr>
                    <w:spacing w:before="120" w:after="120" w:line="23" w:lineRule="atLeast"/>
                    <w:ind w:left="172"/>
                    <w:jc w:val="both"/>
                    <w:rPr>
                      <w:rFonts w:ascii="Arial" w:hAnsi="Arial" w:cs="Arial"/>
                      <w:i/>
                      <w:iCs/>
                      <w:sz w:val="18"/>
                      <w:szCs w:val="18"/>
                    </w:rPr>
                  </w:pPr>
                  <w:r w:rsidRPr="00E83771">
                    <w:rPr>
                      <w:rFonts w:ascii="Arial" w:hAnsi="Arial" w:cs="Arial"/>
                      <w:i/>
                      <w:iCs/>
                      <w:sz w:val="18"/>
                      <w:szCs w:val="18"/>
                    </w:rPr>
                    <w:t xml:space="preserve">Artículo </w:t>
                  </w:r>
                  <w:r>
                    <w:rPr>
                      <w:rFonts w:ascii="Arial" w:hAnsi="Arial" w:cs="Arial"/>
                      <w:i/>
                      <w:iCs/>
                      <w:sz w:val="18"/>
                      <w:szCs w:val="18"/>
                    </w:rPr>
                    <w:t>7</w:t>
                  </w:r>
                  <w:r w:rsidRPr="00E83771">
                    <w:rPr>
                      <w:rFonts w:ascii="Arial" w:hAnsi="Arial" w:cs="Arial"/>
                      <w:i/>
                      <w:iCs/>
                      <w:sz w:val="18"/>
                      <w:szCs w:val="18"/>
                    </w:rPr>
                    <w:t xml:space="preserve">. </w:t>
                  </w:r>
                  <w:r>
                    <w:rPr>
                      <w:rFonts w:ascii="Arial" w:hAnsi="Arial" w:cs="Arial"/>
                      <w:i/>
                      <w:iCs/>
                      <w:sz w:val="18"/>
                      <w:szCs w:val="18"/>
                    </w:rPr>
                    <w:t>(…)</w:t>
                  </w:r>
                </w:p>
                <w:p w14:paraId="6101DB66" w14:textId="3387F736" w:rsidR="00FE68D0" w:rsidRPr="002E05FA" w:rsidRDefault="00FE68D0" w:rsidP="00FE68D0">
                  <w:pPr>
                    <w:spacing w:before="120" w:after="120" w:line="23" w:lineRule="atLeast"/>
                    <w:ind w:left="172"/>
                    <w:jc w:val="both"/>
                    <w:rPr>
                      <w:rFonts w:ascii="Arial" w:hAnsi="Arial" w:cs="Arial"/>
                      <w:sz w:val="18"/>
                      <w:szCs w:val="18"/>
                    </w:rPr>
                  </w:pPr>
                  <w:r w:rsidRPr="00E83771">
                    <w:rPr>
                      <w:rFonts w:ascii="Arial" w:hAnsi="Arial" w:cs="Arial"/>
                      <w:i/>
                      <w:iCs/>
                      <w:sz w:val="18"/>
                      <w:szCs w:val="18"/>
                    </w:rPr>
                    <w:t xml:space="preserve"> </w:t>
                  </w:r>
                  <w:r w:rsidRPr="002E05FA">
                    <w:rPr>
                      <w:rFonts w:ascii="Arial" w:hAnsi="Arial" w:cs="Arial"/>
                      <w:i/>
                      <w:iCs/>
                      <w:sz w:val="18"/>
                      <w:szCs w:val="18"/>
                    </w:rPr>
                    <w:t xml:space="preserve">c) El agente económico adquirido es un agente económico disruptivo (conocido como maverick en inglés) que se distinga, por ejemplo, por introducir o desarrollar nuevas tecnologías o modelos de negocios, </w:t>
                  </w:r>
                  <w:r w:rsidRPr="002E05FA">
                    <w:rPr>
                      <w:rFonts w:ascii="Arial" w:hAnsi="Arial" w:cs="Arial"/>
                      <w:i/>
                      <w:iCs/>
                      <w:strike/>
                      <w:sz w:val="18"/>
                      <w:szCs w:val="18"/>
                    </w:rPr>
                    <w:t>o</w:t>
                  </w:r>
                  <w:r w:rsidRPr="002E05FA">
                    <w:rPr>
                      <w:rFonts w:ascii="Arial" w:hAnsi="Arial" w:cs="Arial"/>
                      <w:i/>
                      <w:iCs/>
                      <w:sz w:val="18"/>
                      <w:szCs w:val="18"/>
                    </w:rPr>
                    <w:t xml:space="preserve"> que pueda </w:t>
                  </w:r>
                  <w:r w:rsidRPr="002E05FA">
                    <w:rPr>
                      <w:rFonts w:ascii="Arial" w:hAnsi="Arial" w:cs="Arial"/>
                      <w:b/>
                      <w:bCs/>
                      <w:i/>
                      <w:iCs/>
                      <w:sz w:val="18"/>
                      <w:szCs w:val="18"/>
                    </w:rPr>
                    <w:t>alterar</w:t>
                  </w:r>
                  <w:r w:rsidRPr="002E05FA">
                    <w:rPr>
                      <w:rFonts w:ascii="Arial" w:hAnsi="Arial" w:cs="Arial"/>
                      <w:i/>
                      <w:iCs/>
                      <w:sz w:val="18"/>
                      <w:szCs w:val="18"/>
                    </w:rPr>
                    <w:t xml:space="preserve"> </w:t>
                  </w:r>
                  <w:r w:rsidRPr="002E05FA">
                    <w:rPr>
                      <w:rFonts w:ascii="Arial" w:hAnsi="Arial" w:cs="Arial"/>
                      <w:b/>
                      <w:bCs/>
                      <w:i/>
                      <w:iCs/>
                      <w:sz w:val="18"/>
                      <w:szCs w:val="18"/>
                    </w:rPr>
                    <w:t>las condiciones de mercado</w:t>
                  </w:r>
                  <w:r w:rsidRPr="002E05FA">
                    <w:rPr>
                      <w:rFonts w:ascii="Arial" w:hAnsi="Arial" w:cs="Arial"/>
                      <w:i/>
                      <w:iCs/>
                      <w:sz w:val="18"/>
                      <w:szCs w:val="18"/>
                    </w:rPr>
                    <w:t xml:space="preserve"> </w:t>
                  </w:r>
                  <w:r w:rsidRPr="002E05FA">
                    <w:rPr>
                      <w:rFonts w:ascii="Arial" w:hAnsi="Arial" w:cs="Arial"/>
                      <w:b/>
                      <w:bCs/>
                      <w:i/>
                      <w:iCs/>
                      <w:sz w:val="18"/>
                      <w:szCs w:val="18"/>
                    </w:rPr>
                    <w:t>o</w:t>
                  </w:r>
                  <w:r w:rsidRPr="002E05FA">
                    <w:rPr>
                      <w:rFonts w:ascii="Arial" w:hAnsi="Arial" w:cs="Arial"/>
                      <w:i/>
                      <w:iCs/>
                      <w:sz w:val="18"/>
                      <w:szCs w:val="18"/>
                    </w:rPr>
                    <w:t xml:space="preserve"> disciplinar los precios con base en su habilidad e incentivos a expandirse rápidamente </w:t>
                  </w:r>
                  <w:r w:rsidRPr="002E05FA">
                    <w:rPr>
                      <w:rFonts w:ascii="Arial" w:hAnsi="Arial" w:cs="Arial"/>
                      <w:b/>
                      <w:bCs/>
                      <w:i/>
                      <w:iCs/>
                      <w:sz w:val="18"/>
                      <w:szCs w:val="18"/>
                    </w:rPr>
                    <w:t xml:space="preserve">y cuya fusión puede implicar la pérdida de competencia real o potencial </w:t>
                  </w:r>
                  <w:r w:rsidR="00E30B9F">
                    <w:rPr>
                      <w:rFonts w:ascii="Arial" w:hAnsi="Arial" w:cs="Arial"/>
                      <w:b/>
                      <w:bCs/>
                      <w:i/>
                      <w:iCs/>
                      <w:sz w:val="18"/>
                      <w:szCs w:val="18"/>
                    </w:rPr>
                    <w:t>de ese</w:t>
                  </w:r>
                  <w:r w:rsidRPr="002E05FA">
                    <w:rPr>
                      <w:rFonts w:ascii="Arial" w:hAnsi="Arial" w:cs="Arial"/>
                      <w:b/>
                      <w:bCs/>
                      <w:i/>
                      <w:iCs/>
                      <w:sz w:val="18"/>
                      <w:szCs w:val="18"/>
                    </w:rPr>
                    <w:t xml:space="preserve"> agente económico </w:t>
                  </w:r>
                  <w:r w:rsidR="00E30B9F">
                    <w:rPr>
                      <w:rFonts w:ascii="Arial" w:hAnsi="Arial" w:cs="Arial"/>
                      <w:b/>
                      <w:bCs/>
                      <w:i/>
                      <w:iCs/>
                      <w:sz w:val="18"/>
                      <w:szCs w:val="18"/>
                    </w:rPr>
                    <w:t>disruptivo</w:t>
                  </w:r>
                  <w:r w:rsidRPr="002E05FA">
                    <w:rPr>
                      <w:rFonts w:ascii="Arial" w:hAnsi="Arial" w:cs="Arial"/>
                      <w:i/>
                      <w:iCs/>
                      <w:sz w:val="18"/>
                      <w:szCs w:val="18"/>
                    </w:rPr>
                    <w:t>;</w:t>
                  </w:r>
                </w:p>
                <w:p w14:paraId="0D63FCAD" w14:textId="1F4AB75E" w:rsidR="00FE68D0" w:rsidRPr="00E83771" w:rsidRDefault="00FE68D0" w:rsidP="00FE68D0">
                  <w:pPr>
                    <w:pStyle w:val="Textoindependiente"/>
                    <w:spacing w:line="23" w:lineRule="atLeast"/>
                    <w:jc w:val="both"/>
                    <w:rPr>
                      <w:rFonts w:ascii="Arial" w:hAnsi="Arial" w:cs="Arial"/>
                      <w:i/>
                      <w:iCs/>
                      <w:sz w:val="18"/>
                      <w:szCs w:val="18"/>
                    </w:rPr>
                  </w:pPr>
                </w:p>
              </w:tc>
            </w:tr>
          </w:tbl>
          <w:p w14:paraId="69960FD8" w14:textId="24B7C239" w:rsidR="00A23B0B" w:rsidRPr="002E05FA" w:rsidRDefault="00A23B0B" w:rsidP="00A23B0B">
            <w:pPr>
              <w:spacing w:before="120" w:after="120" w:line="23" w:lineRule="atLeast"/>
              <w:jc w:val="both"/>
              <w:rPr>
                <w:rFonts w:ascii="Arial" w:hAnsi="Arial" w:cs="Arial"/>
                <w:sz w:val="18"/>
                <w:szCs w:val="18"/>
              </w:rPr>
            </w:pPr>
          </w:p>
        </w:tc>
      </w:tr>
      <w:tr w:rsidR="00A23B0B" w:rsidRPr="003E2214" w14:paraId="5F9F92A1" w14:textId="77777777" w:rsidTr="00616B30">
        <w:trPr>
          <w:jc w:val="center"/>
        </w:trPr>
        <w:tc>
          <w:tcPr>
            <w:tcW w:w="2846" w:type="dxa"/>
            <w:vMerge/>
            <w:shd w:val="clear" w:color="auto" w:fill="FFFFFF" w:themeFill="background1"/>
          </w:tcPr>
          <w:p w14:paraId="41554CAD" w14:textId="77777777" w:rsidR="00A23B0B" w:rsidRPr="00A176EA" w:rsidRDefault="00A23B0B" w:rsidP="00AE0BDA">
            <w:pPr>
              <w:spacing w:before="120" w:after="120" w:line="23" w:lineRule="atLeast"/>
              <w:jc w:val="both"/>
              <w:rPr>
                <w:rFonts w:ascii="Arial" w:hAnsi="Arial" w:cs="Arial"/>
                <w:sz w:val="18"/>
                <w:szCs w:val="18"/>
                <w:lang w:val="es-ES"/>
              </w:rPr>
            </w:pPr>
          </w:p>
        </w:tc>
        <w:tc>
          <w:tcPr>
            <w:tcW w:w="2956" w:type="dxa"/>
            <w:shd w:val="clear" w:color="auto" w:fill="FFFFFF" w:themeFill="background1"/>
          </w:tcPr>
          <w:p w14:paraId="006B6C95" w14:textId="5F10ED95" w:rsidR="00A23B0B" w:rsidRPr="009E062C" w:rsidRDefault="00A23B0B" w:rsidP="000C1F69">
            <w:pPr>
              <w:spacing w:before="120" w:after="120" w:line="23" w:lineRule="atLeast"/>
              <w:jc w:val="both"/>
              <w:rPr>
                <w:rFonts w:ascii="Arial" w:hAnsi="Arial" w:cs="Arial"/>
                <w:sz w:val="18"/>
                <w:szCs w:val="18"/>
              </w:rPr>
            </w:pPr>
            <w:r w:rsidRPr="009E062C">
              <w:rPr>
                <w:rFonts w:ascii="Arial" w:hAnsi="Arial" w:cs="Arial"/>
                <w:sz w:val="18"/>
                <w:szCs w:val="18"/>
              </w:rPr>
              <w:t xml:space="preserve">No es del todo claro por qué cuando un maverick se concentra </w:t>
            </w:r>
            <w:r w:rsidRPr="009E062C">
              <w:rPr>
                <w:rFonts w:ascii="Arial" w:hAnsi="Arial" w:cs="Arial"/>
                <w:sz w:val="18"/>
                <w:szCs w:val="18"/>
              </w:rPr>
              <w:lastRenderedPageBreak/>
              <w:t>con otro agente (dominante o no en el mercado) éste no pueda preservar la misma habilidad de “disrupción” en el mercado con la tecnología o con el modelo de negocios que lo caracteriza, otro caso, es el sentido de posibilidad “la concentración pueda” deja abierto a que se pueda siempre argumentar que cualquier concentración que reduzca el número de competidores “puede” facilitar la coordinación entre agentes económicos, ya que además esto puede ser en el mercado relevante o en mercados relacionados. Se sugiere acotar o bien eliminar ambas “circunstancias” a fin de dar mayor certidumbre a los notificantes y a la vez, no restarle pertinencia al uso del índice cuantitativo objeto de la consulta.</w:t>
            </w:r>
          </w:p>
        </w:tc>
        <w:tc>
          <w:tcPr>
            <w:tcW w:w="3402" w:type="dxa"/>
            <w:vMerge/>
            <w:shd w:val="clear" w:color="auto" w:fill="FFFFFF" w:themeFill="background1"/>
          </w:tcPr>
          <w:p w14:paraId="34313A8A" w14:textId="77777777" w:rsidR="00A23B0B" w:rsidRDefault="00A23B0B" w:rsidP="00AE0BDA">
            <w:pPr>
              <w:spacing w:before="120" w:after="120" w:line="23" w:lineRule="atLeast"/>
              <w:jc w:val="both"/>
              <w:rPr>
                <w:rFonts w:ascii="Arial" w:hAnsi="Arial" w:cs="Arial"/>
                <w:sz w:val="18"/>
                <w:szCs w:val="18"/>
              </w:rPr>
            </w:pPr>
          </w:p>
        </w:tc>
      </w:tr>
      <w:tr w:rsidR="00A23B0B" w:rsidRPr="003E2214" w14:paraId="3D6BDB1E" w14:textId="77777777" w:rsidTr="00616B30">
        <w:trPr>
          <w:jc w:val="center"/>
        </w:trPr>
        <w:tc>
          <w:tcPr>
            <w:tcW w:w="2846" w:type="dxa"/>
            <w:vMerge/>
            <w:shd w:val="clear" w:color="auto" w:fill="FFFFFF" w:themeFill="background1"/>
          </w:tcPr>
          <w:p w14:paraId="670D70BA" w14:textId="77777777" w:rsidR="00A23B0B" w:rsidRPr="00A176EA" w:rsidRDefault="00A23B0B" w:rsidP="00AE0BDA">
            <w:pPr>
              <w:spacing w:before="120" w:after="120" w:line="23" w:lineRule="atLeast"/>
              <w:jc w:val="both"/>
              <w:rPr>
                <w:rFonts w:ascii="Arial" w:hAnsi="Arial" w:cs="Arial"/>
                <w:sz w:val="18"/>
                <w:szCs w:val="18"/>
                <w:lang w:val="es-ES"/>
              </w:rPr>
            </w:pPr>
          </w:p>
        </w:tc>
        <w:tc>
          <w:tcPr>
            <w:tcW w:w="2956" w:type="dxa"/>
            <w:shd w:val="clear" w:color="auto" w:fill="FFFFFF" w:themeFill="background1"/>
          </w:tcPr>
          <w:p w14:paraId="09AA6F08" w14:textId="63F91D88" w:rsidR="00A23B0B" w:rsidRDefault="00A23B0B" w:rsidP="000C1F69">
            <w:pPr>
              <w:spacing w:before="120" w:after="120" w:line="23" w:lineRule="atLeast"/>
              <w:jc w:val="both"/>
              <w:rPr>
                <w:rFonts w:ascii="Arial" w:hAnsi="Arial" w:cs="Arial"/>
                <w:sz w:val="18"/>
                <w:szCs w:val="18"/>
                <w:lang w:val="es-ES"/>
              </w:rPr>
            </w:pPr>
            <w:r w:rsidRPr="009E062C">
              <w:rPr>
                <w:rFonts w:ascii="Arial" w:hAnsi="Arial" w:cs="Arial"/>
                <w:sz w:val="18"/>
                <w:szCs w:val="18"/>
                <w:lang w:val="es-ES"/>
              </w:rPr>
              <w:t>El Instituto justifica el cambio del umbral para el sector de radiodifusión debido a la reducción de los índices de concentración en mercados que involucran la banda FM. Sin embargo, este criterio, aunado a los criterios del Artículo 6, imposibilita cualquier concentración en los mercados de televisión radiodifundida en canales de distribución y canales de transmisión, ya que no existen estructuras de mercado que permiten que cualquier concentración cumpla con los dos artículos.</w:t>
            </w:r>
          </w:p>
        </w:tc>
        <w:tc>
          <w:tcPr>
            <w:tcW w:w="3402" w:type="dxa"/>
            <w:shd w:val="clear" w:color="auto" w:fill="FFFFFF" w:themeFill="background1"/>
          </w:tcPr>
          <w:p w14:paraId="6A72491D" w14:textId="02239861" w:rsidR="00A23B0B" w:rsidRDefault="00A23B0B" w:rsidP="00AE0BDA">
            <w:pPr>
              <w:spacing w:before="120" w:after="120" w:line="23" w:lineRule="atLeast"/>
              <w:jc w:val="both"/>
              <w:rPr>
                <w:rFonts w:ascii="Arial" w:hAnsi="Arial" w:cs="Arial"/>
                <w:sz w:val="18"/>
                <w:szCs w:val="18"/>
              </w:rPr>
            </w:pPr>
            <w:r>
              <w:rPr>
                <w:rFonts w:ascii="Arial" w:hAnsi="Arial" w:cs="Arial"/>
                <w:sz w:val="18"/>
                <w:szCs w:val="18"/>
              </w:rPr>
              <w:t>S</w:t>
            </w:r>
            <w:r w:rsidRPr="00A23B0B">
              <w:rPr>
                <w:rFonts w:ascii="Arial" w:hAnsi="Arial" w:cs="Arial"/>
                <w:sz w:val="18"/>
                <w:szCs w:val="18"/>
              </w:rPr>
              <w:t>e considera improcedente. Lo anterior, en virtud que el Artículo 9 del Anteproyecto señala que “En ningún caso el Instituto tomará sus decisiones utilizando como único elemento de análisis el IHH y los umbrales. El Instituto considerará, según corresponda, los elementos previstos en los artículos 58, 59, 63 y 64 de la LFCE y los relacionados de las Disposiciones Regulatorias, tales como barreras a la entrada, poder sustancial de mercado, acceso a fuentes de insumos, comportamiento reciente de los agentes, así como los efectos de la concentración analizada y las eficiencias económicas derivadas de la misma.“</w:t>
            </w:r>
          </w:p>
        </w:tc>
      </w:tr>
    </w:tbl>
    <w:p w14:paraId="1ED137E5" w14:textId="3CF238FC" w:rsidR="00106342" w:rsidRDefault="00DB6CB4" w:rsidP="00D50B18">
      <w:pPr>
        <w:spacing w:before="120" w:after="120" w:line="23" w:lineRule="atLeast"/>
        <w:jc w:val="both"/>
        <w:rPr>
          <w:rFonts w:ascii="Arial" w:hAnsi="Arial" w:cs="Arial"/>
          <w:b/>
        </w:rPr>
      </w:pPr>
      <w:r>
        <w:rPr>
          <w:rFonts w:ascii="Arial" w:hAnsi="Arial" w:cs="Arial"/>
          <w:b/>
        </w:rPr>
        <w:t>7</w:t>
      </w:r>
      <w:r w:rsidR="0023453B">
        <w:rPr>
          <w:rFonts w:ascii="Arial" w:hAnsi="Arial" w:cs="Arial"/>
          <w:b/>
        </w:rPr>
        <w:t>.</w:t>
      </w:r>
      <w:r w:rsidR="00C70638">
        <w:rPr>
          <w:rFonts w:ascii="Arial" w:hAnsi="Arial" w:cs="Arial"/>
          <w:b/>
        </w:rPr>
        <w:t>5</w:t>
      </w:r>
      <w:r w:rsidR="0023453B">
        <w:rPr>
          <w:rFonts w:ascii="Arial" w:hAnsi="Arial" w:cs="Arial"/>
          <w:b/>
        </w:rPr>
        <w:t xml:space="preserve">. </w:t>
      </w:r>
      <w:r w:rsidR="00A23B0B">
        <w:rPr>
          <w:rFonts w:ascii="Arial" w:hAnsi="Arial" w:cs="Arial"/>
          <w:b/>
        </w:rPr>
        <w:t>Artículo 8</w:t>
      </w:r>
    </w:p>
    <w:p w14:paraId="27A542D4" w14:textId="7469D31C" w:rsidR="0023453B" w:rsidRPr="00BC1B99" w:rsidRDefault="00DB6CB4" w:rsidP="00D50B18">
      <w:pPr>
        <w:spacing w:before="120" w:after="120" w:line="23" w:lineRule="atLeast"/>
        <w:jc w:val="both"/>
        <w:rPr>
          <w:rFonts w:ascii="Arial" w:hAnsi="Arial" w:cs="Arial"/>
          <w:b/>
        </w:rPr>
      </w:pPr>
      <w:r>
        <w:rPr>
          <w:rFonts w:ascii="Arial" w:hAnsi="Arial" w:cs="Arial"/>
          <w:b/>
        </w:rPr>
        <w:t>7</w:t>
      </w:r>
      <w:r w:rsidR="00106342">
        <w:rPr>
          <w:rFonts w:ascii="Arial" w:hAnsi="Arial" w:cs="Arial"/>
          <w:b/>
        </w:rPr>
        <w:t>.</w:t>
      </w:r>
      <w:r w:rsidR="00C70638">
        <w:rPr>
          <w:rFonts w:ascii="Arial" w:hAnsi="Arial" w:cs="Arial"/>
          <w:b/>
        </w:rPr>
        <w:t>5</w:t>
      </w:r>
      <w:r w:rsidR="00106342">
        <w:rPr>
          <w:rFonts w:ascii="Arial" w:hAnsi="Arial" w:cs="Arial"/>
          <w:b/>
        </w:rPr>
        <w:t>.1</w:t>
      </w:r>
      <w:r w:rsidR="00D10456">
        <w:rPr>
          <w:rFonts w:ascii="Arial" w:hAnsi="Arial" w:cs="Arial"/>
          <w:b/>
        </w:rPr>
        <w:t>.</w:t>
      </w:r>
      <w:r w:rsidR="00106342">
        <w:rPr>
          <w:rFonts w:ascii="Arial" w:hAnsi="Arial" w:cs="Arial"/>
          <w:b/>
        </w:rPr>
        <w:t xml:space="preserve"> Síntesis de los c</w:t>
      </w:r>
      <w:r w:rsidR="0023453B">
        <w:rPr>
          <w:rFonts w:ascii="Arial" w:hAnsi="Arial" w:cs="Arial"/>
          <w:b/>
        </w:rPr>
        <w:t xml:space="preserve">omentarios relacionados con el </w:t>
      </w:r>
      <w:r w:rsidR="0023453B" w:rsidRPr="00BC1B99">
        <w:rPr>
          <w:rFonts w:ascii="Arial" w:hAnsi="Arial" w:cs="Arial"/>
          <w:b/>
        </w:rPr>
        <w:t>a</w:t>
      </w:r>
      <w:r w:rsidR="00A23B0B">
        <w:rPr>
          <w:rFonts w:ascii="Arial" w:hAnsi="Arial" w:cs="Arial"/>
          <w:b/>
        </w:rPr>
        <w:t>rtículo 8</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24811" w:rsidRPr="003E2214" w14:paraId="25385D92" w14:textId="34BFD06F" w:rsidTr="00616B30">
        <w:trPr>
          <w:tblHeader/>
          <w:jc w:val="center"/>
        </w:trPr>
        <w:tc>
          <w:tcPr>
            <w:tcW w:w="2825" w:type="dxa"/>
            <w:shd w:val="clear" w:color="auto" w:fill="70AD47" w:themeFill="accent6"/>
          </w:tcPr>
          <w:p w14:paraId="6D5899A1" w14:textId="7765AB8C" w:rsidR="00C24811" w:rsidRPr="00BF4F5D" w:rsidRDefault="00C24811" w:rsidP="00D50B18">
            <w:pPr>
              <w:spacing w:before="120" w:after="120" w:line="23" w:lineRule="atLeast"/>
              <w:jc w:val="center"/>
              <w:rPr>
                <w:rFonts w:ascii="Arial" w:hAnsi="Arial" w:cs="Arial"/>
                <w:b/>
                <w:bCs/>
                <w:sz w:val="18"/>
                <w:szCs w:val="18"/>
              </w:rPr>
            </w:pPr>
            <w:r w:rsidRPr="00730154">
              <w:rPr>
                <w:rFonts w:ascii="Arial" w:hAnsi="Arial" w:cs="Arial"/>
                <w:b/>
                <w:sz w:val="18"/>
                <w:szCs w:val="18"/>
              </w:rPr>
              <w:lastRenderedPageBreak/>
              <w:t>Apartado del Anteproyecto</w:t>
            </w:r>
          </w:p>
        </w:tc>
        <w:tc>
          <w:tcPr>
            <w:tcW w:w="2977" w:type="dxa"/>
            <w:shd w:val="clear" w:color="auto" w:fill="70AD47" w:themeFill="accent6"/>
          </w:tcPr>
          <w:p w14:paraId="5670173D" w14:textId="12731D36" w:rsidR="00C24811" w:rsidRPr="00BF4F5D" w:rsidRDefault="00C24811" w:rsidP="00D50B18">
            <w:pPr>
              <w:spacing w:before="120" w:after="120" w:line="23" w:lineRule="atLeast"/>
              <w:jc w:val="center"/>
              <w:rPr>
                <w:rFonts w:ascii="Arial" w:hAnsi="Arial" w:cs="Arial"/>
                <w:b/>
                <w:bCs/>
                <w:sz w:val="18"/>
                <w:szCs w:val="18"/>
              </w:rPr>
            </w:pPr>
            <w:r w:rsidRPr="00730154">
              <w:rPr>
                <w:rFonts w:ascii="Arial" w:hAnsi="Arial" w:cs="Arial"/>
                <w:b/>
                <w:sz w:val="18"/>
                <w:szCs w:val="18"/>
              </w:rPr>
              <w:t>Resumen de los comentarios recibidos</w:t>
            </w:r>
          </w:p>
        </w:tc>
        <w:tc>
          <w:tcPr>
            <w:tcW w:w="3402" w:type="dxa"/>
            <w:shd w:val="clear" w:color="auto" w:fill="70AD47" w:themeFill="accent6"/>
          </w:tcPr>
          <w:p w14:paraId="3DAC0A11" w14:textId="250059FC"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3E2214" w14:paraId="2D93C6D0" w14:textId="0C0AFC8E" w:rsidTr="00275B74">
        <w:trPr>
          <w:jc w:val="center"/>
        </w:trPr>
        <w:tc>
          <w:tcPr>
            <w:tcW w:w="9204" w:type="dxa"/>
            <w:gridSpan w:val="3"/>
            <w:shd w:val="clear" w:color="auto" w:fill="C5E0B3" w:themeFill="accent6" w:themeFillTint="66"/>
          </w:tcPr>
          <w:p w14:paraId="1C8786EA" w14:textId="4CA0EFB5" w:rsidR="00C24811" w:rsidRPr="00BF4F5D" w:rsidRDefault="00A23B0B" w:rsidP="00D50B18">
            <w:pPr>
              <w:spacing w:before="120" w:after="120" w:line="23" w:lineRule="atLeast"/>
              <w:jc w:val="center"/>
              <w:rPr>
                <w:rFonts w:ascii="Arial" w:hAnsi="Arial" w:cs="Arial"/>
                <w:b/>
                <w:sz w:val="18"/>
                <w:szCs w:val="18"/>
                <w:lang w:val="es-ES_tradnl"/>
              </w:rPr>
            </w:pPr>
            <w:r>
              <w:rPr>
                <w:rFonts w:ascii="Arial" w:hAnsi="Arial" w:cs="Arial"/>
                <w:b/>
                <w:sz w:val="18"/>
                <w:szCs w:val="18"/>
                <w:lang w:val="es-ES_tradnl"/>
              </w:rPr>
              <w:t>Artículo 8</w:t>
            </w:r>
          </w:p>
        </w:tc>
      </w:tr>
      <w:tr w:rsidR="00C24811" w:rsidRPr="003E2214" w14:paraId="3B303260" w14:textId="164F82BF" w:rsidTr="00616B30">
        <w:trPr>
          <w:jc w:val="center"/>
        </w:trPr>
        <w:tc>
          <w:tcPr>
            <w:tcW w:w="2825" w:type="dxa"/>
            <w:shd w:val="clear" w:color="auto" w:fill="FFFFFF" w:themeFill="background1"/>
          </w:tcPr>
          <w:p w14:paraId="7EC685A6" w14:textId="369D28AF" w:rsidR="00C24811" w:rsidRDefault="00C24811" w:rsidP="00D50B18">
            <w:pPr>
              <w:spacing w:before="120" w:after="120" w:line="23" w:lineRule="atLeast"/>
              <w:jc w:val="both"/>
              <w:rPr>
                <w:rFonts w:ascii="Arial" w:hAnsi="Arial" w:cs="Arial"/>
                <w:bCs/>
                <w:sz w:val="18"/>
                <w:szCs w:val="18"/>
                <w:lang w:val="es-ES"/>
              </w:rPr>
            </w:pPr>
            <w:r w:rsidRPr="00BF4F5D">
              <w:rPr>
                <w:rFonts w:ascii="Arial" w:hAnsi="Arial" w:cs="Arial"/>
                <w:bCs/>
                <w:sz w:val="18"/>
                <w:szCs w:val="18"/>
                <w:lang w:val="es-ES"/>
              </w:rPr>
              <w:t xml:space="preserve">Los medios de prueba deben ofrecerse con el escrito de manifestaciones al dictamen de probable responsabilidad, expresando con claridad los hechos que se pretenden demostrar con cada uno de ellos. </w:t>
            </w:r>
          </w:p>
          <w:p w14:paraId="462E7FC4" w14:textId="4306C9B1" w:rsidR="00BB4D65" w:rsidRPr="00BF4F5D" w:rsidRDefault="00BB4D65" w:rsidP="00D50B18">
            <w:pPr>
              <w:spacing w:before="120" w:after="120" w:line="23" w:lineRule="atLeast"/>
              <w:jc w:val="both"/>
              <w:rPr>
                <w:rFonts w:ascii="Arial" w:hAnsi="Arial" w:cs="Arial"/>
                <w:bCs/>
                <w:sz w:val="18"/>
                <w:szCs w:val="18"/>
                <w:lang w:val="es-ES"/>
              </w:rPr>
            </w:pPr>
            <w:r>
              <w:rPr>
                <w:rFonts w:ascii="Arial" w:hAnsi="Arial" w:cs="Arial"/>
                <w:bCs/>
                <w:sz w:val="18"/>
                <w:szCs w:val="18"/>
                <w:lang w:val="es-ES"/>
              </w:rPr>
              <w:t>…</w:t>
            </w:r>
          </w:p>
          <w:p w14:paraId="2E2E2313" w14:textId="201CADBF" w:rsidR="00C24811" w:rsidRPr="006A364B" w:rsidRDefault="00C24811" w:rsidP="00D50B18">
            <w:pPr>
              <w:spacing w:before="120" w:after="120" w:line="23" w:lineRule="atLeast"/>
              <w:jc w:val="both"/>
              <w:rPr>
                <w:rFonts w:ascii="Arial" w:hAnsi="Arial" w:cs="Arial"/>
                <w:bCs/>
                <w:sz w:val="18"/>
                <w:szCs w:val="18"/>
                <w:lang w:val="es-ES"/>
              </w:rPr>
            </w:pPr>
          </w:p>
        </w:tc>
        <w:tc>
          <w:tcPr>
            <w:tcW w:w="2977" w:type="dxa"/>
            <w:shd w:val="clear" w:color="auto" w:fill="FFFFFF" w:themeFill="background1"/>
          </w:tcPr>
          <w:p w14:paraId="7844F73D" w14:textId="77777777" w:rsidR="00A23B0B" w:rsidRPr="00A23B0B" w:rsidRDefault="00A23B0B" w:rsidP="00A23B0B">
            <w:pPr>
              <w:spacing w:before="120" w:after="120" w:line="23" w:lineRule="atLeast"/>
              <w:jc w:val="both"/>
              <w:rPr>
                <w:rFonts w:ascii="Arial" w:hAnsi="Arial" w:cs="Arial"/>
                <w:sz w:val="18"/>
                <w:szCs w:val="18"/>
              </w:rPr>
            </w:pPr>
            <w:r w:rsidRPr="00A23B0B">
              <w:rPr>
                <w:rFonts w:ascii="Arial" w:hAnsi="Arial" w:cs="Arial"/>
                <w:sz w:val="18"/>
                <w:szCs w:val="18"/>
              </w:rPr>
              <w:t>Es preciso aclarar que la LFTR no prevé el análisis de los índices de concentración de los mercados, por lo que no da lugar a la aplicación de los Criterios Técnicos para la resolución de solicitudes de prórroga.</w:t>
            </w:r>
          </w:p>
          <w:p w14:paraId="6E973DF1" w14:textId="415867FB" w:rsidR="00C24811" w:rsidRPr="00BF4F5D" w:rsidRDefault="00A23B0B" w:rsidP="00D50B18">
            <w:pPr>
              <w:spacing w:before="120" w:after="120" w:line="23" w:lineRule="atLeast"/>
              <w:jc w:val="both"/>
              <w:rPr>
                <w:rFonts w:ascii="Arial" w:hAnsi="Arial" w:cs="Arial"/>
                <w:sz w:val="18"/>
                <w:szCs w:val="18"/>
              </w:rPr>
            </w:pPr>
            <w:r w:rsidRPr="00A23B0B">
              <w:rPr>
                <w:rFonts w:ascii="Arial" w:hAnsi="Arial" w:cs="Arial"/>
                <w:sz w:val="18"/>
                <w:szCs w:val="18"/>
              </w:rPr>
              <w:t>Se sugiere que se elimine el análisis de solicitudes de prórrogas de concesiones como un supuesto para la implementación del Criterio Técnico, al ir en contra del principio de legalidad reconocido constitucionalmente, pues tal supuesto no se encuentra previsto en la Ley, para solicitud de prórrogas</w:t>
            </w:r>
            <w:r>
              <w:rPr>
                <w:rFonts w:ascii="Arial" w:hAnsi="Arial" w:cs="Arial"/>
                <w:sz w:val="18"/>
                <w:szCs w:val="18"/>
              </w:rPr>
              <w:t>.</w:t>
            </w:r>
          </w:p>
        </w:tc>
        <w:tc>
          <w:tcPr>
            <w:tcW w:w="3402" w:type="dxa"/>
            <w:shd w:val="clear" w:color="auto" w:fill="FFFFFF" w:themeFill="background1"/>
          </w:tcPr>
          <w:p w14:paraId="3CBFD7D3" w14:textId="2A9978D6" w:rsidR="00A22C04" w:rsidRDefault="00A23B0B" w:rsidP="00495729">
            <w:pPr>
              <w:spacing w:before="120" w:after="120" w:line="23" w:lineRule="atLeast"/>
              <w:jc w:val="both"/>
              <w:rPr>
                <w:rFonts w:ascii="Arial" w:hAnsi="Arial" w:cs="Arial"/>
                <w:sz w:val="18"/>
                <w:szCs w:val="18"/>
              </w:rPr>
            </w:pPr>
            <w:r>
              <w:rPr>
                <w:rFonts w:ascii="Arial" w:hAnsi="Arial" w:cs="Arial"/>
                <w:sz w:val="18"/>
                <w:szCs w:val="18"/>
              </w:rPr>
              <w:t>S</w:t>
            </w:r>
            <w:r w:rsidRPr="00A23B0B">
              <w:rPr>
                <w:rFonts w:ascii="Arial" w:hAnsi="Arial" w:cs="Arial"/>
                <w:sz w:val="18"/>
                <w:szCs w:val="18"/>
              </w:rPr>
              <w:t xml:space="preserve">e </w:t>
            </w:r>
            <w:r w:rsidRPr="00A23B0B" w:rsidDel="00F758B9">
              <w:rPr>
                <w:rFonts w:ascii="Arial" w:hAnsi="Arial" w:cs="Arial"/>
                <w:sz w:val="18"/>
                <w:szCs w:val="18"/>
              </w:rPr>
              <w:t xml:space="preserve">considera </w:t>
            </w:r>
            <w:r w:rsidRPr="00A23B0B" w:rsidDel="00A22C04">
              <w:rPr>
                <w:rFonts w:ascii="Arial" w:hAnsi="Arial" w:cs="Arial"/>
                <w:sz w:val="18"/>
                <w:szCs w:val="18"/>
              </w:rPr>
              <w:t>im</w:t>
            </w:r>
            <w:r w:rsidRPr="00A23B0B" w:rsidDel="00F758B9">
              <w:rPr>
                <w:rFonts w:ascii="Arial" w:hAnsi="Arial" w:cs="Arial"/>
                <w:sz w:val="18"/>
                <w:szCs w:val="18"/>
              </w:rPr>
              <w:t>procedente</w:t>
            </w:r>
            <w:r w:rsidR="00DA4C63">
              <w:rPr>
                <w:rFonts w:ascii="Arial" w:hAnsi="Arial" w:cs="Arial"/>
                <w:sz w:val="18"/>
                <w:szCs w:val="18"/>
              </w:rPr>
              <w:t xml:space="preserve">, se precisa que dado un error se incluyó la palabra </w:t>
            </w:r>
            <w:r w:rsidR="00DA4C63" w:rsidRPr="00DB3320">
              <w:rPr>
                <w:rFonts w:ascii="Arial" w:hAnsi="Arial" w:cs="Arial"/>
                <w:i/>
                <w:iCs/>
                <w:sz w:val="18"/>
                <w:szCs w:val="18"/>
              </w:rPr>
              <w:t>prorroga</w:t>
            </w:r>
            <w:r w:rsidR="00DA4C63">
              <w:rPr>
                <w:rFonts w:ascii="Arial" w:hAnsi="Arial" w:cs="Arial"/>
                <w:sz w:val="18"/>
                <w:szCs w:val="18"/>
              </w:rPr>
              <w:t xml:space="preserve"> en el cuadro de comparación, pero como se puede constatar en el </w:t>
            </w:r>
            <w:r w:rsidR="00F00858">
              <w:rPr>
                <w:rFonts w:ascii="Arial" w:hAnsi="Arial" w:cs="Arial"/>
                <w:sz w:val="18"/>
                <w:szCs w:val="18"/>
              </w:rPr>
              <w:t>A</w:t>
            </w:r>
            <w:r w:rsidR="00DA4C63">
              <w:rPr>
                <w:rFonts w:ascii="Arial" w:hAnsi="Arial" w:cs="Arial"/>
                <w:sz w:val="18"/>
                <w:szCs w:val="18"/>
              </w:rPr>
              <w:t xml:space="preserve">nteproyecto, ésta no se incluye en el Artículo 8 referido. </w:t>
            </w:r>
          </w:p>
          <w:p w14:paraId="36A18033" w14:textId="77777777" w:rsidR="00225347" w:rsidRDefault="00225347" w:rsidP="00495729">
            <w:pPr>
              <w:spacing w:before="120" w:after="120" w:line="23" w:lineRule="atLeast"/>
              <w:jc w:val="both"/>
              <w:rPr>
                <w:rFonts w:ascii="Arial" w:hAnsi="Arial" w:cs="Arial"/>
                <w:sz w:val="18"/>
                <w:szCs w:val="18"/>
              </w:rPr>
            </w:pPr>
          </w:p>
          <w:p w14:paraId="035794A9" w14:textId="0396ADF5" w:rsidR="00C24811" w:rsidRPr="00495729" w:rsidRDefault="00C24811" w:rsidP="00495729">
            <w:pPr>
              <w:spacing w:before="120" w:after="120" w:line="23" w:lineRule="atLeast"/>
              <w:jc w:val="both"/>
              <w:rPr>
                <w:rFonts w:ascii="Arial" w:hAnsi="Arial" w:cs="Arial"/>
                <w:sz w:val="18"/>
                <w:szCs w:val="18"/>
              </w:rPr>
            </w:pPr>
          </w:p>
        </w:tc>
      </w:tr>
    </w:tbl>
    <w:p w14:paraId="01958D5E" w14:textId="70DAFE1B" w:rsidR="009E7A32" w:rsidRPr="009A0811" w:rsidRDefault="00DB6CB4" w:rsidP="00D50B18">
      <w:pPr>
        <w:spacing w:before="120" w:after="120" w:line="23" w:lineRule="atLeast"/>
        <w:jc w:val="both"/>
        <w:rPr>
          <w:rFonts w:ascii="Arial" w:hAnsi="Arial" w:cs="Arial"/>
          <w:b/>
          <w:bCs/>
        </w:rPr>
      </w:pPr>
      <w:r>
        <w:rPr>
          <w:rFonts w:ascii="Arial" w:hAnsi="Arial" w:cs="Arial"/>
          <w:b/>
        </w:rPr>
        <w:t>7</w:t>
      </w:r>
      <w:r w:rsidR="009A0811">
        <w:rPr>
          <w:rFonts w:ascii="Arial" w:hAnsi="Arial" w:cs="Arial"/>
          <w:b/>
        </w:rPr>
        <w:t>.</w:t>
      </w:r>
      <w:r w:rsidR="00C70638">
        <w:rPr>
          <w:rFonts w:ascii="Arial" w:hAnsi="Arial" w:cs="Arial"/>
          <w:b/>
        </w:rPr>
        <w:t>6</w:t>
      </w:r>
      <w:r w:rsidR="009A0811">
        <w:rPr>
          <w:rFonts w:ascii="Arial" w:hAnsi="Arial" w:cs="Arial"/>
          <w:b/>
        </w:rPr>
        <w:t xml:space="preserve">. </w:t>
      </w:r>
      <w:r w:rsidR="009A0811" w:rsidRPr="009A0811">
        <w:rPr>
          <w:rFonts w:ascii="Arial" w:hAnsi="Arial" w:cs="Arial"/>
          <w:b/>
        </w:rPr>
        <w:t>A</w:t>
      </w:r>
      <w:r w:rsidR="00B24D13">
        <w:rPr>
          <w:rFonts w:ascii="Arial" w:hAnsi="Arial" w:cs="Arial"/>
          <w:b/>
        </w:rPr>
        <w:t>rtículo 9</w:t>
      </w:r>
    </w:p>
    <w:p w14:paraId="46727BF9" w14:textId="43E2AA63" w:rsidR="009A0811" w:rsidRPr="009A0811" w:rsidRDefault="00DB6CB4" w:rsidP="00D50B18">
      <w:pPr>
        <w:spacing w:before="120" w:after="120" w:line="23" w:lineRule="atLeast"/>
        <w:jc w:val="both"/>
        <w:rPr>
          <w:rFonts w:ascii="Arial" w:hAnsi="Arial" w:cs="Arial"/>
          <w:b/>
          <w:bCs/>
        </w:rPr>
      </w:pPr>
      <w:r>
        <w:rPr>
          <w:rFonts w:ascii="Arial" w:hAnsi="Arial" w:cs="Arial"/>
          <w:b/>
        </w:rPr>
        <w:t>7</w:t>
      </w:r>
      <w:r w:rsidR="009A0811" w:rsidRPr="009A0811">
        <w:rPr>
          <w:rFonts w:ascii="Arial" w:hAnsi="Arial" w:cs="Arial"/>
          <w:b/>
        </w:rPr>
        <w:t>.</w:t>
      </w:r>
      <w:r w:rsidR="00C70638">
        <w:rPr>
          <w:rFonts w:ascii="Arial" w:hAnsi="Arial" w:cs="Arial"/>
          <w:b/>
        </w:rPr>
        <w:t>6</w:t>
      </w:r>
      <w:r w:rsidR="009A0811" w:rsidRPr="009A0811">
        <w:rPr>
          <w:rFonts w:ascii="Arial" w:hAnsi="Arial" w:cs="Arial"/>
          <w:b/>
        </w:rPr>
        <w:t xml:space="preserve">.1. Síntesis de los comentarios relacionados </w:t>
      </w:r>
      <w:r w:rsidR="00B24D13">
        <w:rPr>
          <w:rFonts w:ascii="Arial" w:hAnsi="Arial" w:cs="Arial"/>
          <w:b/>
        </w:rPr>
        <w:t>con el Artículo 9</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24811" w:rsidRPr="003E2214" w14:paraId="6AE6DD63" w14:textId="6FD26A9D" w:rsidTr="00275B74">
        <w:trPr>
          <w:tblHeader/>
          <w:jc w:val="center"/>
        </w:trPr>
        <w:tc>
          <w:tcPr>
            <w:tcW w:w="2948" w:type="dxa"/>
            <w:shd w:val="clear" w:color="auto" w:fill="70AD47" w:themeFill="accent6"/>
          </w:tcPr>
          <w:p w14:paraId="09B8C598" w14:textId="29AE1F29" w:rsidR="00C24811" w:rsidRPr="00BF4F5D" w:rsidRDefault="00C24811" w:rsidP="00D50B18">
            <w:pPr>
              <w:spacing w:before="120" w:after="120" w:line="23" w:lineRule="atLeast"/>
              <w:jc w:val="center"/>
              <w:rPr>
                <w:rFonts w:ascii="Arial" w:hAnsi="Arial" w:cs="Arial"/>
                <w:sz w:val="18"/>
                <w:szCs w:val="18"/>
              </w:rPr>
            </w:pPr>
            <w:r w:rsidRPr="00730154">
              <w:rPr>
                <w:rFonts w:ascii="Arial" w:hAnsi="Arial" w:cs="Arial"/>
                <w:b/>
                <w:sz w:val="18"/>
                <w:szCs w:val="18"/>
              </w:rPr>
              <w:t>Apartado del Anteproyecto</w:t>
            </w:r>
          </w:p>
        </w:tc>
        <w:tc>
          <w:tcPr>
            <w:tcW w:w="2948" w:type="dxa"/>
            <w:shd w:val="clear" w:color="auto" w:fill="70AD47" w:themeFill="accent6"/>
          </w:tcPr>
          <w:p w14:paraId="1C830F18" w14:textId="17EE2078" w:rsidR="00C24811" w:rsidRPr="00BF4F5D" w:rsidRDefault="00C24811" w:rsidP="00D50B18">
            <w:pPr>
              <w:spacing w:before="120" w:after="120" w:line="23" w:lineRule="atLeast"/>
              <w:jc w:val="center"/>
              <w:rPr>
                <w:rFonts w:ascii="Arial" w:hAnsi="Arial" w:cs="Arial"/>
                <w:sz w:val="18"/>
                <w:szCs w:val="18"/>
              </w:rPr>
            </w:pPr>
            <w:r w:rsidRPr="00730154">
              <w:rPr>
                <w:rFonts w:ascii="Arial" w:hAnsi="Arial" w:cs="Arial"/>
                <w:b/>
                <w:sz w:val="18"/>
                <w:szCs w:val="18"/>
              </w:rPr>
              <w:t>Resumen de los comentarios recibidos</w:t>
            </w:r>
          </w:p>
        </w:tc>
        <w:tc>
          <w:tcPr>
            <w:tcW w:w="3308" w:type="dxa"/>
            <w:shd w:val="clear" w:color="auto" w:fill="70AD47" w:themeFill="accent6"/>
          </w:tcPr>
          <w:p w14:paraId="7650FB60" w14:textId="68836F2B" w:rsidR="00C24811" w:rsidRPr="00730154" w:rsidRDefault="00C24811"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C24811" w:rsidRPr="003E2214" w14:paraId="6A635638" w14:textId="1BC889D6" w:rsidTr="00275B74">
        <w:trPr>
          <w:jc w:val="center"/>
        </w:trPr>
        <w:tc>
          <w:tcPr>
            <w:tcW w:w="9204" w:type="dxa"/>
            <w:gridSpan w:val="3"/>
            <w:shd w:val="clear" w:color="auto" w:fill="C5E0B3" w:themeFill="accent6" w:themeFillTint="66"/>
          </w:tcPr>
          <w:p w14:paraId="775CA93C" w14:textId="574A61C4" w:rsidR="00C24811" w:rsidRPr="00BF4F5D" w:rsidRDefault="00B24D13" w:rsidP="00D50B18">
            <w:pPr>
              <w:spacing w:before="120" w:after="120" w:line="23" w:lineRule="atLeast"/>
              <w:jc w:val="center"/>
              <w:rPr>
                <w:rFonts w:ascii="Arial" w:hAnsi="Arial" w:cs="Arial"/>
                <w:b/>
                <w:sz w:val="18"/>
                <w:szCs w:val="18"/>
                <w:lang w:val="es-ES_tradnl"/>
              </w:rPr>
            </w:pPr>
            <w:r>
              <w:rPr>
                <w:rFonts w:ascii="Arial" w:hAnsi="Arial" w:cs="Arial"/>
                <w:b/>
                <w:sz w:val="18"/>
                <w:szCs w:val="18"/>
                <w:lang w:val="es-ES_tradnl"/>
              </w:rPr>
              <w:t>Artículo 9</w:t>
            </w:r>
          </w:p>
        </w:tc>
      </w:tr>
      <w:tr w:rsidR="00C24811" w:rsidRPr="003E2214" w14:paraId="60F1C57F" w14:textId="38D5627A" w:rsidTr="00275B74">
        <w:trPr>
          <w:jc w:val="center"/>
        </w:trPr>
        <w:tc>
          <w:tcPr>
            <w:tcW w:w="2948" w:type="dxa"/>
            <w:shd w:val="clear" w:color="auto" w:fill="FFFFFF" w:themeFill="background1"/>
          </w:tcPr>
          <w:p w14:paraId="594F4725" w14:textId="3196A29A" w:rsidR="00C24811" w:rsidRPr="00BF4F5D" w:rsidRDefault="007D4AF8" w:rsidP="00D50B18">
            <w:pPr>
              <w:spacing w:before="120" w:after="120" w:line="23" w:lineRule="atLeast"/>
              <w:jc w:val="both"/>
              <w:rPr>
                <w:rFonts w:ascii="Arial" w:hAnsi="Arial" w:cs="Arial"/>
                <w:sz w:val="18"/>
                <w:szCs w:val="18"/>
                <w:lang w:val="es-ES"/>
              </w:rPr>
            </w:pPr>
            <w:r w:rsidRPr="007D4AF8">
              <w:rPr>
                <w:rFonts w:ascii="Arial" w:hAnsi="Arial" w:cs="Arial"/>
                <w:bCs/>
                <w:sz w:val="18"/>
                <w:szCs w:val="18"/>
                <w:lang w:val="es-ES"/>
              </w:rPr>
              <w:t>Artículo 9. En ningún caso el Instituto tomará sus decisiones utilizando como único elemento de análisis el IHH y los umbrales. El Instituto considerará, según corresponda, los elementos previstos en los artículos 58, 59, 63 y 64 de la LFCE y los relacionados de las Disposiciones Regulatorias, tales como barreras a la entrada, poder sustancial de mercado, acceso a fuentes de insumos, comportamiento reciente de los agentes, así como los efectos de la concentración analizada y las eficiencias económicas derivadas de la misma.</w:t>
            </w:r>
          </w:p>
        </w:tc>
        <w:tc>
          <w:tcPr>
            <w:tcW w:w="2948" w:type="dxa"/>
            <w:shd w:val="clear" w:color="auto" w:fill="FFFFFF" w:themeFill="background1"/>
          </w:tcPr>
          <w:p w14:paraId="59689C29" w14:textId="77777777" w:rsidR="001F160E" w:rsidRPr="001F160E" w:rsidRDefault="001F160E" w:rsidP="001F160E">
            <w:pPr>
              <w:spacing w:before="120" w:after="120" w:line="23" w:lineRule="atLeast"/>
              <w:jc w:val="both"/>
              <w:rPr>
                <w:rFonts w:ascii="Arial" w:hAnsi="Arial" w:cs="Arial"/>
                <w:sz w:val="18"/>
                <w:szCs w:val="18"/>
              </w:rPr>
            </w:pPr>
            <w:r w:rsidRPr="001F160E">
              <w:rPr>
                <w:rFonts w:ascii="Arial" w:hAnsi="Arial" w:cs="Arial"/>
                <w:sz w:val="18"/>
                <w:szCs w:val="18"/>
              </w:rPr>
              <w:t>El Artículo 9 del Criterio Técnico establece que las decisiones que tome el Instituto, en ningún caso, estarán basadas exclusivamente en los resultados obtenidos del análisis del IHH. De manera apropiada, el Instituto señala que sus decisiones también tomarán en cuenta los hallazgos derivados del análisis de otros preceptos claves, como las barreras a la entrada, la posible existencia de poder sustancial, el acceso a fuentes de insumos y las eficiencias económicas, entre otros factores.</w:t>
            </w:r>
          </w:p>
          <w:p w14:paraId="0CF9A9BF" w14:textId="68AD1180" w:rsidR="00C24811" w:rsidRPr="00BF4F5D" w:rsidRDefault="001F160E" w:rsidP="001F160E">
            <w:pPr>
              <w:spacing w:before="120" w:after="120" w:line="23" w:lineRule="atLeast"/>
              <w:jc w:val="both"/>
              <w:rPr>
                <w:rFonts w:ascii="Arial" w:hAnsi="Arial" w:cs="Arial"/>
                <w:sz w:val="18"/>
                <w:szCs w:val="18"/>
              </w:rPr>
            </w:pPr>
            <w:r w:rsidRPr="001F160E">
              <w:rPr>
                <w:rFonts w:ascii="Arial" w:hAnsi="Arial" w:cs="Arial"/>
                <w:sz w:val="18"/>
                <w:szCs w:val="18"/>
              </w:rPr>
              <w:t>Se sugiere que el Criterio Técnico establezca que el Instituto podrá emplear métricas de concentración complementarias al IHH</w:t>
            </w:r>
            <w:r>
              <w:rPr>
                <w:rFonts w:ascii="Arial" w:hAnsi="Arial" w:cs="Arial"/>
                <w:sz w:val="18"/>
                <w:szCs w:val="18"/>
              </w:rPr>
              <w:t>.</w:t>
            </w:r>
          </w:p>
        </w:tc>
        <w:tc>
          <w:tcPr>
            <w:tcW w:w="3308" w:type="dxa"/>
            <w:shd w:val="clear" w:color="auto" w:fill="FFFFFF" w:themeFill="background1"/>
          </w:tcPr>
          <w:p w14:paraId="6D2FA993" w14:textId="1835116A" w:rsidR="00C24811" w:rsidRPr="00753DBB" w:rsidRDefault="00DB5278" w:rsidP="00A71E43">
            <w:pPr>
              <w:spacing w:before="120" w:after="120" w:line="23" w:lineRule="atLeast"/>
              <w:jc w:val="both"/>
              <w:rPr>
                <w:rFonts w:ascii="Arial" w:hAnsi="Arial" w:cs="Arial"/>
                <w:color w:val="FF0000"/>
                <w:sz w:val="18"/>
                <w:szCs w:val="18"/>
              </w:rPr>
            </w:pPr>
            <w:r>
              <w:rPr>
                <w:rFonts w:ascii="Arial" w:eastAsia="Times New Roman" w:hAnsi="Arial" w:cs="Arial"/>
                <w:bCs/>
                <w:sz w:val="18"/>
                <w:szCs w:val="18"/>
              </w:rPr>
              <w:t xml:space="preserve">Se considera </w:t>
            </w:r>
            <w:r w:rsidR="00484755">
              <w:rPr>
                <w:rFonts w:ascii="Arial" w:eastAsia="Times New Roman" w:hAnsi="Arial" w:cs="Arial"/>
                <w:bCs/>
                <w:sz w:val="18"/>
                <w:szCs w:val="18"/>
              </w:rPr>
              <w:t>improcedente</w:t>
            </w:r>
            <w:r w:rsidR="006D6434">
              <w:rPr>
                <w:rFonts w:ascii="Arial" w:eastAsia="Times New Roman" w:hAnsi="Arial" w:cs="Arial"/>
                <w:bCs/>
                <w:sz w:val="18"/>
                <w:szCs w:val="18"/>
              </w:rPr>
              <w:t>.</w:t>
            </w:r>
            <w:r w:rsidR="00F83DAF" w:rsidRPr="00F83DAF">
              <w:rPr>
                <w:rFonts w:ascii="Arial" w:eastAsia="Times New Roman" w:hAnsi="Arial" w:cs="Arial"/>
                <w:bCs/>
                <w:sz w:val="18"/>
                <w:szCs w:val="18"/>
              </w:rPr>
              <w:t xml:space="preserve"> </w:t>
            </w:r>
            <w:r w:rsidR="006D6434">
              <w:rPr>
                <w:rFonts w:ascii="Arial" w:eastAsia="Times New Roman" w:hAnsi="Arial" w:cs="Arial"/>
                <w:bCs/>
                <w:sz w:val="18"/>
                <w:szCs w:val="18"/>
              </w:rPr>
              <w:t>Si bien</w:t>
            </w:r>
            <w:r w:rsidR="00C44111">
              <w:rPr>
                <w:rFonts w:ascii="Arial" w:eastAsia="Times New Roman" w:hAnsi="Arial" w:cs="Arial"/>
                <w:bCs/>
                <w:sz w:val="18"/>
                <w:szCs w:val="18"/>
              </w:rPr>
              <w:t xml:space="preserve"> el</w:t>
            </w:r>
            <w:r w:rsidR="00F83DAF" w:rsidRPr="00F83DAF">
              <w:rPr>
                <w:rFonts w:ascii="Arial" w:eastAsia="Times New Roman" w:hAnsi="Arial" w:cs="Arial"/>
                <w:bCs/>
                <w:sz w:val="18"/>
                <w:szCs w:val="18"/>
              </w:rPr>
              <w:t xml:space="preserve"> Anteproyecto establece que </w:t>
            </w:r>
            <w:r w:rsidR="00F83DAF" w:rsidRPr="00A71E43">
              <w:rPr>
                <w:rFonts w:ascii="Arial" w:eastAsia="Times New Roman" w:hAnsi="Arial" w:cs="Arial"/>
                <w:bCs/>
                <w:i/>
                <w:sz w:val="18"/>
                <w:szCs w:val="18"/>
              </w:rPr>
              <w:t>“En ningún caso el Instituto tomará sus decisiones utilizando como único elemento de análisis el índice de concentración y los umbrales</w:t>
            </w:r>
            <w:r w:rsidR="00C44111" w:rsidRPr="00A71E43">
              <w:rPr>
                <w:rFonts w:ascii="Arial" w:eastAsia="Times New Roman" w:hAnsi="Arial" w:cs="Arial"/>
                <w:bCs/>
                <w:i/>
                <w:sz w:val="18"/>
                <w:szCs w:val="18"/>
              </w:rPr>
              <w:t>”</w:t>
            </w:r>
            <w:r w:rsidR="00C44111">
              <w:rPr>
                <w:rFonts w:ascii="Arial" w:eastAsia="Times New Roman" w:hAnsi="Arial" w:cs="Arial"/>
                <w:bCs/>
                <w:sz w:val="18"/>
                <w:szCs w:val="18"/>
              </w:rPr>
              <w:t xml:space="preserve">, los elementos adicionales no se refieren  al uso de otros umbrales para medir grados de concentración, sino de otras características que se identifiquen en los mercados como </w:t>
            </w:r>
            <w:r w:rsidR="00C44111" w:rsidRPr="001F160E">
              <w:rPr>
                <w:rFonts w:ascii="Arial" w:hAnsi="Arial" w:cs="Arial"/>
                <w:sz w:val="18"/>
                <w:szCs w:val="18"/>
              </w:rPr>
              <w:t>barreras a la entrada, la posible existencia de poder sustancial, el acceso a fuentes de insumos y las eficiencias económicas</w:t>
            </w:r>
            <w:r w:rsidR="00F83DAF" w:rsidRPr="00F83DAF">
              <w:rPr>
                <w:rFonts w:ascii="Arial" w:eastAsia="Times New Roman" w:hAnsi="Arial" w:cs="Arial"/>
                <w:bCs/>
                <w:sz w:val="18"/>
                <w:szCs w:val="18"/>
              </w:rPr>
              <w:t>.</w:t>
            </w:r>
            <w:r w:rsidR="00D51ED2">
              <w:rPr>
                <w:rFonts w:ascii="Arial" w:eastAsia="Times New Roman" w:hAnsi="Arial" w:cs="Arial"/>
                <w:bCs/>
                <w:sz w:val="18"/>
                <w:szCs w:val="18"/>
              </w:rPr>
              <w:t xml:space="preserve"> </w:t>
            </w:r>
            <w:r w:rsidR="006F06A4">
              <w:rPr>
                <w:rFonts w:ascii="Arial" w:eastAsia="Times New Roman" w:hAnsi="Arial" w:cs="Arial"/>
                <w:bCs/>
                <w:sz w:val="18"/>
                <w:szCs w:val="18"/>
              </w:rPr>
              <w:t xml:space="preserve">Así, en los análisis del IFT, no se incluirán otras métricas de </w:t>
            </w:r>
            <w:r w:rsidR="005900F5">
              <w:rPr>
                <w:rFonts w:ascii="Arial" w:eastAsia="Times New Roman" w:hAnsi="Arial" w:cs="Arial"/>
                <w:bCs/>
                <w:sz w:val="18"/>
                <w:szCs w:val="18"/>
              </w:rPr>
              <w:t xml:space="preserve">grados de </w:t>
            </w:r>
            <w:r w:rsidR="006F06A4">
              <w:rPr>
                <w:rFonts w:ascii="Arial" w:eastAsia="Times New Roman" w:hAnsi="Arial" w:cs="Arial"/>
                <w:bCs/>
                <w:sz w:val="18"/>
                <w:szCs w:val="18"/>
              </w:rPr>
              <w:t xml:space="preserve">concentración distintas a las que se incluyen en </w:t>
            </w:r>
            <w:r w:rsidR="006D6434">
              <w:rPr>
                <w:rFonts w:ascii="Arial" w:eastAsia="Times New Roman" w:hAnsi="Arial" w:cs="Arial"/>
                <w:bCs/>
                <w:sz w:val="18"/>
                <w:szCs w:val="18"/>
              </w:rPr>
              <w:t xml:space="preserve">el </w:t>
            </w:r>
            <w:r w:rsidR="00F83DAF" w:rsidRPr="00F83DAF">
              <w:rPr>
                <w:rFonts w:ascii="Arial" w:eastAsia="Times New Roman" w:hAnsi="Arial" w:cs="Arial"/>
                <w:bCs/>
                <w:sz w:val="18"/>
                <w:szCs w:val="18"/>
              </w:rPr>
              <w:t xml:space="preserve">Criterio Técnico, </w:t>
            </w:r>
            <w:r w:rsidR="006F06A4">
              <w:rPr>
                <w:rFonts w:ascii="Arial" w:eastAsia="Times New Roman" w:hAnsi="Arial" w:cs="Arial"/>
                <w:bCs/>
                <w:sz w:val="18"/>
                <w:szCs w:val="18"/>
              </w:rPr>
              <w:t>pues de hacerlo se podría generar incertidumbre hacía los agentes económicos.</w:t>
            </w:r>
          </w:p>
        </w:tc>
      </w:tr>
    </w:tbl>
    <w:p w14:paraId="781EBB1F" w14:textId="0854F88A" w:rsidR="002507BD" w:rsidRDefault="00DB6CB4" w:rsidP="00D50B18">
      <w:pPr>
        <w:spacing w:before="120" w:after="120" w:line="23" w:lineRule="atLeast"/>
        <w:jc w:val="both"/>
        <w:rPr>
          <w:rFonts w:ascii="Arial" w:hAnsi="Arial" w:cs="Arial"/>
          <w:b/>
        </w:rPr>
      </w:pPr>
      <w:r>
        <w:rPr>
          <w:rFonts w:ascii="Arial" w:hAnsi="Arial" w:cs="Arial"/>
          <w:b/>
        </w:rPr>
        <w:t>7</w:t>
      </w:r>
      <w:r w:rsidR="002E206B" w:rsidRPr="002E206B">
        <w:rPr>
          <w:rFonts w:ascii="Arial" w:hAnsi="Arial" w:cs="Arial"/>
          <w:b/>
        </w:rPr>
        <w:t>.</w:t>
      </w:r>
      <w:r w:rsidR="00C70638">
        <w:rPr>
          <w:rFonts w:ascii="Arial" w:hAnsi="Arial" w:cs="Arial"/>
          <w:b/>
        </w:rPr>
        <w:t>7</w:t>
      </w:r>
      <w:r w:rsidR="002E206B" w:rsidRPr="00D020C8">
        <w:rPr>
          <w:rFonts w:ascii="Arial" w:hAnsi="Arial" w:cs="Arial"/>
          <w:b/>
        </w:rPr>
        <w:t xml:space="preserve">. </w:t>
      </w:r>
      <w:r w:rsidR="00B24D13">
        <w:rPr>
          <w:rFonts w:ascii="Arial" w:hAnsi="Arial" w:cs="Arial"/>
          <w:b/>
        </w:rPr>
        <w:t>Artículo 10</w:t>
      </w:r>
    </w:p>
    <w:p w14:paraId="51FD01F2" w14:textId="3AFFEA3F" w:rsidR="00D020C8" w:rsidRPr="002E206B" w:rsidRDefault="00DB6CB4" w:rsidP="00D50B18">
      <w:pPr>
        <w:spacing w:before="120" w:after="120" w:line="23" w:lineRule="atLeast"/>
        <w:jc w:val="both"/>
        <w:rPr>
          <w:rFonts w:ascii="Arial" w:hAnsi="Arial" w:cs="Arial"/>
          <w:b/>
        </w:rPr>
      </w:pPr>
      <w:r>
        <w:rPr>
          <w:rFonts w:ascii="Arial" w:hAnsi="Arial" w:cs="Arial"/>
          <w:b/>
        </w:rPr>
        <w:t>7</w:t>
      </w:r>
      <w:r w:rsidR="00D020C8" w:rsidRPr="009A0811">
        <w:rPr>
          <w:rFonts w:ascii="Arial" w:hAnsi="Arial" w:cs="Arial"/>
          <w:b/>
        </w:rPr>
        <w:t>.</w:t>
      </w:r>
      <w:r w:rsidR="00C70638">
        <w:rPr>
          <w:rFonts w:ascii="Arial" w:hAnsi="Arial" w:cs="Arial"/>
          <w:b/>
        </w:rPr>
        <w:t>7</w:t>
      </w:r>
      <w:r w:rsidR="00D020C8" w:rsidRPr="009A0811">
        <w:rPr>
          <w:rFonts w:ascii="Arial" w:hAnsi="Arial" w:cs="Arial"/>
          <w:b/>
        </w:rPr>
        <w:t xml:space="preserve">.1. Síntesis de los comentarios relacionados con el </w:t>
      </w:r>
      <w:r w:rsidR="00BA6C59">
        <w:rPr>
          <w:rFonts w:ascii="Arial" w:hAnsi="Arial" w:cs="Arial"/>
          <w:b/>
        </w:rPr>
        <w:t>artículo 10</w:t>
      </w:r>
      <w:r w:rsidR="0019499F">
        <w:rPr>
          <w:rFonts w:ascii="Arial" w:hAnsi="Arial" w:cs="Arial"/>
          <w:b/>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743A6" w:rsidRPr="003E2214" w14:paraId="1FC29E57" w14:textId="32D1A72E" w:rsidTr="00275B74">
        <w:trPr>
          <w:tblHeader/>
          <w:jc w:val="center"/>
        </w:trPr>
        <w:tc>
          <w:tcPr>
            <w:tcW w:w="2948" w:type="dxa"/>
            <w:shd w:val="clear" w:color="auto" w:fill="70AD47" w:themeFill="accent6"/>
          </w:tcPr>
          <w:p w14:paraId="6FE9F3A4" w14:textId="5AC1ED5D" w:rsidR="00C743A6" w:rsidRPr="002E35A6" w:rsidRDefault="00C743A6" w:rsidP="00D50B18">
            <w:pPr>
              <w:spacing w:before="120" w:after="120" w:line="23" w:lineRule="atLeast"/>
              <w:jc w:val="center"/>
              <w:rPr>
                <w:rFonts w:ascii="Arial" w:hAnsi="Arial" w:cs="Arial"/>
                <w:b/>
                <w:sz w:val="18"/>
                <w:szCs w:val="18"/>
                <w:lang w:val="es-ES_tradnl"/>
              </w:rPr>
            </w:pPr>
            <w:r w:rsidRPr="00730154">
              <w:rPr>
                <w:rFonts w:ascii="Arial" w:hAnsi="Arial" w:cs="Arial"/>
                <w:b/>
                <w:sz w:val="18"/>
                <w:szCs w:val="18"/>
              </w:rPr>
              <w:lastRenderedPageBreak/>
              <w:t>Apartado del Anteproyecto</w:t>
            </w:r>
          </w:p>
        </w:tc>
        <w:tc>
          <w:tcPr>
            <w:tcW w:w="2948" w:type="dxa"/>
            <w:shd w:val="clear" w:color="auto" w:fill="70AD47" w:themeFill="accent6"/>
          </w:tcPr>
          <w:p w14:paraId="11D1269A" w14:textId="5CBBFDD2" w:rsidR="00C743A6" w:rsidRPr="002E35A6" w:rsidRDefault="00C743A6" w:rsidP="00D50B18">
            <w:pPr>
              <w:spacing w:before="120" w:after="120" w:line="23" w:lineRule="atLeast"/>
              <w:jc w:val="center"/>
              <w:rPr>
                <w:rFonts w:ascii="Arial" w:hAnsi="Arial" w:cs="Arial"/>
                <w:b/>
                <w:sz w:val="18"/>
                <w:szCs w:val="18"/>
                <w:lang w:val="es-ES_tradnl"/>
              </w:rPr>
            </w:pPr>
            <w:r w:rsidRPr="00730154">
              <w:rPr>
                <w:rFonts w:ascii="Arial" w:hAnsi="Arial" w:cs="Arial"/>
                <w:b/>
                <w:sz w:val="18"/>
                <w:szCs w:val="18"/>
              </w:rPr>
              <w:t>Resumen de los comentarios recibidos</w:t>
            </w:r>
          </w:p>
        </w:tc>
        <w:tc>
          <w:tcPr>
            <w:tcW w:w="3308" w:type="dxa"/>
            <w:shd w:val="clear" w:color="auto" w:fill="70AD47" w:themeFill="accent6"/>
          </w:tcPr>
          <w:p w14:paraId="30075A0B" w14:textId="22D8CBCC" w:rsidR="00C743A6" w:rsidRPr="00730154" w:rsidRDefault="00C743A6"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A34AF" w:rsidRPr="003E2214" w14:paraId="573F8370" w14:textId="251612AB" w:rsidTr="00275B74">
        <w:trPr>
          <w:jc w:val="center"/>
        </w:trPr>
        <w:tc>
          <w:tcPr>
            <w:tcW w:w="9204" w:type="dxa"/>
            <w:gridSpan w:val="3"/>
            <w:shd w:val="clear" w:color="auto" w:fill="C5E0B3" w:themeFill="accent6" w:themeFillTint="66"/>
          </w:tcPr>
          <w:p w14:paraId="5AD6E636" w14:textId="7AB86C98" w:rsidR="008A34AF" w:rsidRPr="00BF4F5D" w:rsidRDefault="00BA6C59" w:rsidP="00D50B18">
            <w:pPr>
              <w:spacing w:before="120" w:after="120" w:line="23" w:lineRule="atLeast"/>
              <w:jc w:val="center"/>
              <w:rPr>
                <w:rFonts w:ascii="Arial" w:hAnsi="Arial" w:cs="Arial"/>
                <w:b/>
                <w:sz w:val="18"/>
                <w:szCs w:val="18"/>
                <w:lang w:val="es-ES_tradnl"/>
              </w:rPr>
            </w:pPr>
            <w:r>
              <w:rPr>
                <w:rFonts w:ascii="Arial" w:hAnsi="Arial" w:cs="Arial"/>
                <w:b/>
                <w:sz w:val="18"/>
                <w:szCs w:val="18"/>
                <w:lang w:val="es-ES_tradnl"/>
              </w:rPr>
              <w:t>Artículo 10</w:t>
            </w:r>
          </w:p>
        </w:tc>
      </w:tr>
      <w:tr w:rsidR="00EC5886" w:rsidRPr="003E2214" w14:paraId="386AC41E" w14:textId="014A9963" w:rsidTr="00275B74">
        <w:trPr>
          <w:jc w:val="center"/>
        </w:trPr>
        <w:tc>
          <w:tcPr>
            <w:tcW w:w="2948" w:type="dxa"/>
            <w:vMerge w:val="restart"/>
            <w:shd w:val="clear" w:color="auto" w:fill="FFFFFF" w:themeFill="background1"/>
          </w:tcPr>
          <w:p w14:paraId="5D7F192D" w14:textId="240A21F3" w:rsidR="00EC5886" w:rsidRPr="00170FDE" w:rsidRDefault="00EC5886" w:rsidP="00D50B18">
            <w:pPr>
              <w:spacing w:before="120" w:after="120" w:line="23" w:lineRule="atLeast"/>
              <w:jc w:val="both"/>
              <w:rPr>
                <w:rFonts w:ascii="Arial" w:hAnsi="Arial" w:cs="Arial"/>
                <w:bCs/>
                <w:sz w:val="18"/>
                <w:szCs w:val="18"/>
                <w:lang w:val="es-ES"/>
              </w:rPr>
            </w:pPr>
            <w:r w:rsidRPr="007D4AF8">
              <w:rPr>
                <w:rFonts w:ascii="Arial" w:hAnsi="Arial" w:cs="Arial"/>
                <w:bCs/>
                <w:sz w:val="18"/>
                <w:szCs w:val="18"/>
                <w:lang w:val="es-ES"/>
              </w:rPr>
              <w:t>Artículo 10. El presente Criterio Técnico no se aplicará a nivel de sector cuando el Instituto resuelva procedimientos conforme a lo establecido en el artículo Noveno Transitorio, párrafos primero a cuarto, del Decreto que expide la LFTR, el cual señala explícitamente el cálculo y aplicación del Índice de Dominancia, el IHH y la ∆IHH.</w:t>
            </w:r>
          </w:p>
        </w:tc>
        <w:tc>
          <w:tcPr>
            <w:tcW w:w="2948" w:type="dxa"/>
            <w:shd w:val="clear" w:color="auto" w:fill="FFFFFF" w:themeFill="background1"/>
          </w:tcPr>
          <w:p w14:paraId="0BCC51CC" w14:textId="1EAF9DF5" w:rsidR="00EC5886" w:rsidRPr="00BF4F5D" w:rsidRDefault="00FE68D0" w:rsidP="00D50B18">
            <w:pPr>
              <w:spacing w:before="120" w:after="120" w:line="23" w:lineRule="atLeast"/>
              <w:jc w:val="both"/>
              <w:rPr>
                <w:rFonts w:ascii="Arial" w:hAnsi="Arial" w:cs="Arial"/>
                <w:sz w:val="18"/>
                <w:szCs w:val="18"/>
              </w:rPr>
            </w:pPr>
            <w:r w:rsidRPr="00090317">
              <w:rPr>
                <w:rFonts w:ascii="Arial" w:hAnsi="Arial" w:cs="Arial"/>
                <w:sz w:val="18"/>
                <w:szCs w:val="18"/>
              </w:rPr>
              <w:t>Consideran la redacción un poco confusa, ya que no es que no se aplique el Criterio Técnico a nivel sectorial cuando proceda el artículo Noveno Transitorio del Decreto, pareciera que sí procede su aplicación a nivel mercado, lo cual tampoco es el caso, así mismo se debe especificar que aplican los criterios y umbrales señalados en el Noveno Transitorio del Decreto. El punto es que aplicarán los criterios y umbrales establecidos en el Noveno Transitorio.</w:t>
            </w:r>
          </w:p>
        </w:tc>
        <w:tc>
          <w:tcPr>
            <w:tcW w:w="3308" w:type="dxa"/>
            <w:shd w:val="clear" w:color="auto" w:fill="FFFFFF" w:themeFill="background1"/>
          </w:tcPr>
          <w:p w14:paraId="7DFB1A1C" w14:textId="48F0767E" w:rsidR="00FE68D0" w:rsidRPr="00B276DF" w:rsidRDefault="00B276DF" w:rsidP="00B74DB6">
            <w:pPr>
              <w:spacing w:before="120" w:after="120" w:line="23" w:lineRule="atLeast"/>
              <w:jc w:val="both"/>
              <w:rPr>
                <w:rFonts w:ascii="Arial" w:hAnsi="Arial" w:cs="Arial"/>
                <w:sz w:val="18"/>
                <w:szCs w:val="18"/>
              </w:rPr>
            </w:pPr>
            <w:r>
              <w:rPr>
                <w:rFonts w:ascii="Arial" w:hAnsi="Arial" w:cs="Arial"/>
                <w:bCs/>
                <w:sz w:val="18"/>
                <w:szCs w:val="18"/>
              </w:rPr>
              <w:t xml:space="preserve">Se toma en consideración el comentario y se modifica el texto del artículo 10 de la siguiente manera </w:t>
            </w:r>
            <w:r>
              <w:rPr>
                <w:rFonts w:ascii="Arial" w:hAnsi="Arial" w:cs="Arial"/>
                <w:sz w:val="18"/>
                <w:szCs w:val="18"/>
              </w:rPr>
              <w:t>(se resalta el texto incorporado)</w:t>
            </w:r>
            <w:r w:rsidR="00FE68D0">
              <w:rPr>
                <w:rFonts w:ascii="Arial" w:hAnsi="Arial" w:cs="Arial"/>
                <w:bCs/>
                <w:sz w:val="18"/>
                <w:szCs w:val="18"/>
              </w:rPr>
              <w:t>:</w:t>
            </w:r>
          </w:p>
          <w:tbl>
            <w:tblPr>
              <w:tblStyle w:val="Tablaconcuadrcula"/>
              <w:tblW w:w="0" w:type="auto"/>
              <w:jc w:val="center"/>
              <w:tblLayout w:type="fixed"/>
              <w:tblLook w:val="04A0" w:firstRow="1" w:lastRow="0" w:firstColumn="1" w:lastColumn="0" w:noHBand="0" w:noVBand="1"/>
            </w:tblPr>
            <w:tblGrid>
              <w:gridCol w:w="3286"/>
            </w:tblGrid>
            <w:tr w:rsidR="00FE68D0" w:rsidRPr="00E83771" w14:paraId="58697408" w14:textId="77777777" w:rsidTr="00DA1C08">
              <w:trPr>
                <w:trHeight w:val="311"/>
                <w:jc w:val="center"/>
              </w:trPr>
              <w:tc>
                <w:tcPr>
                  <w:tcW w:w="328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E1861B7" w14:textId="77777777" w:rsidR="00FE68D0" w:rsidRPr="00E83771" w:rsidRDefault="00FE68D0" w:rsidP="00FE68D0">
                  <w:pPr>
                    <w:spacing w:before="120" w:after="120" w:line="23" w:lineRule="atLeast"/>
                    <w:jc w:val="center"/>
                    <w:rPr>
                      <w:rFonts w:ascii="Arial" w:hAnsi="Arial" w:cs="Arial"/>
                      <w:sz w:val="18"/>
                      <w:szCs w:val="18"/>
                    </w:rPr>
                  </w:pPr>
                  <w:r w:rsidRPr="00E83771">
                    <w:rPr>
                      <w:rFonts w:ascii="Arial" w:hAnsi="Arial" w:cs="Arial"/>
                      <w:sz w:val="18"/>
                      <w:szCs w:val="18"/>
                    </w:rPr>
                    <w:t xml:space="preserve">Modificación al Proyecto </w:t>
                  </w:r>
                </w:p>
              </w:tc>
            </w:tr>
            <w:tr w:rsidR="00FE68D0" w:rsidRPr="00E83771" w14:paraId="729AF2D6" w14:textId="77777777" w:rsidTr="00DA1C08">
              <w:trPr>
                <w:jc w:val="center"/>
              </w:trPr>
              <w:tc>
                <w:tcPr>
                  <w:tcW w:w="328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1D08F" w14:textId="7EA52DD0" w:rsidR="00FE68D0" w:rsidRPr="00E83771" w:rsidRDefault="00B276DF" w:rsidP="00FE68D0">
                  <w:pPr>
                    <w:pStyle w:val="Textoindependiente"/>
                    <w:spacing w:line="23" w:lineRule="atLeast"/>
                    <w:jc w:val="both"/>
                    <w:rPr>
                      <w:rFonts w:ascii="Arial" w:hAnsi="Arial" w:cs="Arial"/>
                      <w:i/>
                      <w:iCs/>
                      <w:sz w:val="18"/>
                      <w:szCs w:val="18"/>
                    </w:rPr>
                  </w:pPr>
                  <w:r w:rsidRPr="007D4AF8">
                    <w:rPr>
                      <w:rFonts w:ascii="Arial" w:hAnsi="Arial" w:cs="Arial"/>
                      <w:bCs/>
                      <w:sz w:val="18"/>
                      <w:szCs w:val="18"/>
                      <w:lang w:val="es-ES"/>
                    </w:rPr>
                    <w:t xml:space="preserve">Artículo 10. </w:t>
                  </w:r>
                  <w:r w:rsidRPr="00EA6839">
                    <w:rPr>
                      <w:rFonts w:ascii="Arial" w:hAnsi="Arial" w:cs="Arial"/>
                      <w:b/>
                      <w:sz w:val="18"/>
                      <w:szCs w:val="18"/>
                      <w:lang w:val="es-ES"/>
                    </w:rPr>
                    <w:t xml:space="preserve">Los umbrales establecidos en </w:t>
                  </w:r>
                  <w:r>
                    <w:rPr>
                      <w:rFonts w:ascii="Arial" w:hAnsi="Arial" w:cs="Arial"/>
                      <w:bCs/>
                      <w:sz w:val="18"/>
                      <w:szCs w:val="18"/>
                      <w:lang w:val="es-ES"/>
                    </w:rPr>
                    <w:t>el</w:t>
                  </w:r>
                  <w:r w:rsidRPr="007D4AF8">
                    <w:rPr>
                      <w:rFonts w:ascii="Arial" w:hAnsi="Arial" w:cs="Arial"/>
                      <w:bCs/>
                      <w:sz w:val="18"/>
                      <w:szCs w:val="18"/>
                      <w:lang w:val="es-ES"/>
                    </w:rPr>
                    <w:t xml:space="preserve"> presente Criterio Técnico no se aplicará</w:t>
                  </w:r>
                  <w:r w:rsidR="004239E1" w:rsidRPr="004239E1">
                    <w:rPr>
                      <w:rFonts w:ascii="Arial" w:hAnsi="Arial" w:cs="Arial"/>
                      <w:b/>
                      <w:sz w:val="18"/>
                      <w:szCs w:val="18"/>
                      <w:lang w:val="es-ES"/>
                    </w:rPr>
                    <w:t>n</w:t>
                  </w:r>
                  <w:r w:rsidRPr="007D4AF8">
                    <w:rPr>
                      <w:rFonts w:ascii="Arial" w:hAnsi="Arial" w:cs="Arial"/>
                      <w:bCs/>
                      <w:sz w:val="18"/>
                      <w:szCs w:val="18"/>
                      <w:lang w:val="es-ES"/>
                    </w:rPr>
                    <w:t xml:space="preserve"> cuando el Instituto resuelva procedimientos conforme a lo establecido en el artículo Noveno Transitorio, párrafos primero a cuarto, del Decreto que expide la LFTR,</w:t>
                  </w:r>
                  <w:r w:rsidR="005900F5">
                    <w:rPr>
                      <w:rFonts w:ascii="Arial" w:hAnsi="Arial" w:cs="Arial"/>
                      <w:bCs/>
                      <w:sz w:val="18"/>
                      <w:szCs w:val="18"/>
                      <w:lang w:val="es-ES"/>
                    </w:rPr>
                    <w:t xml:space="preserve"> pues</w:t>
                  </w:r>
                  <w:r w:rsidRPr="007D4AF8">
                    <w:rPr>
                      <w:rFonts w:ascii="Arial" w:hAnsi="Arial" w:cs="Arial"/>
                      <w:bCs/>
                      <w:sz w:val="18"/>
                      <w:szCs w:val="18"/>
                      <w:lang w:val="es-ES"/>
                    </w:rPr>
                    <w:t xml:space="preserve"> </w:t>
                  </w:r>
                  <w:r w:rsidR="004239E1" w:rsidRPr="004239E1">
                    <w:rPr>
                      <w:rFonts w:ascii="Arial" w:hAnsi="Arial" w:cs="Arial"/>
                      <w:b/>
                      <w:sz w:val="18"/>
                      <w:szCs w:val="18"/>
                      <w:lang w:val="es-ES"/>
                    </w:rPr>
                    <w:t>par</w:t>
                  </w:r>
                  <w:r w:rsidR="004239E1">
                    <w:rPr>
                      <w:rFonts w:ascii="Arial" w:hAnsi="Arial" w:cs="Arial"/>
                      <w:b/>
                      <w:sz w:val="18"/>
                      <w:szCs w:val="18"/>
                      <w:lang w:val="es-ES"/>
                    </w:rPr>
                    <w:t>a</w:t>
                  </w:r>
                  <w:r w:rsidR="004239E1" w:rsidRPr="004239E1">
                    <w:rPr>
                      <w:rFonts w:ascii="Arial" w:hAnsi="Arial" w:cs="Arial"/>
                      <w:b/>
                      <w:sz w:val="18"/>
                      <w:szCs w:val="18"/>
                      <w:lang w:val="es-ES"/>
                    </w:rPr>
                    <w:t xml:space="preserve"> ello</w:t>
                  </w:r>
                  <w:r w:rsidR="004239E1">
                    <w:rPr>
                      <w:rFonts w:ascii="Arial" w:hAnsi="Arial" w:cs="Arial"/>
                      <w:bCs/>
                      <w:sz w:val="18"/>
                      <w:szCs w:val="18"/>
                      <w:lang w:val="es-ES"/>
                    </w:rPr>
                    <w:t xml:space="preserve"> </w:t>
                  </w:r>
                  <w:r w:rsidRPr="004239E1">
                    <w:rPr>
                      <w:rFonts w:ascii="Arial" w:hAnsi="Arial" w:cs="Arial"/>
                      <w:bCs/>
                      <w:strike/>
                      <w:sz w:val="18"/>
                      <w:szCs w:val="18"/>
                      <w:lang w:val="es-ES"/>
                    </w:rPr>
                    <w:t>el cual</w:t>
                  </w:r>
                  <w:r w:rsidRPr="005900F5">
                    <w:rPr>
                      <w:rFonts w:ascii="Arial" w:hAnsi="Arial" w:cs="Arial"/>
                      <w:b/>
                      <w:sz w:val="18"/>
                      <w:szCs w:val="18"/>
                      <w:lang w:val="es-ES"/>
                    </w:rPr>
                    <w:t xml:space="preserve"> </w:t>
                  </w:r>
                  <w:r w:rsidR="005900F5" w:rsidRPr="005900F5">
                    <w:rPr>
                      <w:rFonts w:ascii="Arial" w:hAnsi="Arial" w:cs="Arial"/>
                      <w:b/>
                      <w:sz w:val="18"/>
                      <w:szCs w:val="18"/>
                      <w:lang w:val="es-ES"/>
                    </w:rPr>
                    <w:t xml:space="preserve">la misma LFTR </w:t>
                  </w:r>
                  <w:r w:rsidR="005900F5">
                    <w:rPr>
                      <w:rFonts w:ascii="Arial" w:hAnsi="Arial" w:cs="Arial"/>
                      <w:b/>
                      <w:sz w:val="18"/>
                      <w:szCs w:val="18"/>
                      <w:lang w:val="es-ES"/>
                    </w:rPr>
                    <w:t xml:space="preserve">identifica los umbrales que se aplicarán en el análisis de las operaciones que se presenten en términos de ese artículo. </w:t>
                  </w:r>
                  <w:r w:rsidRPr="005900F5">
                    <w:rPr>
                      <w:rFonts w:ascii="Arial" w:hAnsi="Arial" w:cs="Arial"/>
                      <w:bCs/>
                      <w:strike/>
                      <w:sz w:val="18"/>
                      <w:szCs w:val="18"/>
                      <w:lang w:val="es-ES"/>
                    </w:rPr>
                    <w:t>señala explícitamente el cálculo y aplicación del Índice de Dominancia, el IHH y la ∆IHH.</w:t>
                  </w:r>
                </w:p>
              </w:tc>
            </w:tr>
          </w:tbl>
          <w:p w14:paraId="3123B858" w14:textId="238150E7" w:rsidR="00B74DB6" w:rsidRPr="00B74DB6" w:rsidRDefault="00B74DB6" w:rsidP="00B74DB6">
            <w:pPr>
              <w:spacing w:before="120" w:after="120" w:line="23" w:lineRule="atLeast"/>
              <w:jc w:val="both"/>
              <w:rPr>
                <w:rFonts w:ascii="Arial" w:hAnsi="Arial" w:cs="Arial"/>
                <w:bCs/>
                <w:sz w:val="18"/>
                <w:szCs w:val="18"/>
              </w:rPr>
            </w:pPr>
          </w:p>
          <w:p w14:paraId="25EB106E" w14:textId="1C9AED5A" w:rsidR="00B74DB6" w:rsidRPr="00BF4F5D" w:rsidRDefault="00B74DB6" w:rsidP="004239E1">
            <w:pPr>
              <w:spacing w:before="120" w:after="120" w:line="23" w:lineRule="atLeast"/>
              <w:jc w:val="both"/>
              <w:rPr>
                <w:rFonts w:ascii="Arial" w:hAnsi="Arial" w:cs="Arial"/>
                <w:b/>
                <w:sz w:val="18"/>
                <w:szCs w:val="18"/>
              </w:rPr>
            </w:pPr>
          </w:p>
        </w:tc>
      </w:tr>
      <w:tr w:rsidR="00FE68D0" w:rsidRPr="003E2214" w14:paraId="43A7E22B" w14:textId="77777777" w:rsidTr="00275B74">
        <w:trPr>
          <w:jc w:val="center"/>
        </w:trPr>
        <w:tc>
          <w:tcPr>
            <w:tcW w:w="2948" w:type="dxa"/>
            <w:vMerge/>
            <w:shd w:val="clear" w:color="auto" w:fill="FFFFFF" w:themeFill="background1"/>
          </w:tcPr>
          <w:p w14:paraId="716CA870" w14:textId="77777777" w:rsidR="00FE68D0" w:rsidRPr="007D4AF8" w:rsidRDefault="00FE68D0" w:rsidP="00D50B18">
            <w:pPr>
              <w:spacing w:before="120" w:after="120" w:line="23" w:lineRule="atLeast"/>
              <w:jc w:val="both"/>
              <w:rPr>
                <w:rFonts w:ascii="Arial" w:hAnsi="Arial" w:cs="Arial"/>
                <w:bCs/>
                <w:sz w:val="18"/>
                <w:szCs w:val="18"/>
                <w:lang w:val="es-ES"/>
              </w:rPr>
            </w:pPr>
          </w:p>
        </w:tc>
        <w:tc>
          <w:tcPr>
            <w:tcW w:w="2948" w:type="dxa"/>
            <w:shd w:val="clear" w:color="auto" w:fill="FFFFFF" w:themeFill="background1"/>
          </w:tcPr>
          <w:p w14:paraId="7086B95C" w14:textId="77495458" w:rsidR="00FE68D0" w:rsidRPr="00090317" w:rsidRDefault="00FE68D0" w:rsidP="00090317">
            <w:pPr>
              <w:spacing w:before="120" w:after="120" w:line="23" w:lineRule="atLeast"/>
              <w:jc w:val="both"/>
              <w:rPr>
                <w:rFonts w:ascii="Arial" w:hAnsi="Arial" w:cs="Arial"/>
                <w:sz w:val="18"/>
                <w:szCs w:val="18"/>
              </w:rPr>
            </w:pPr>
            <w:r w:rsidRPr="00090317">
              <w:rPr>
                <w:rFonts w:ascii="Arial" w:hAnsi="Arial" w:cs="Arial"/>
                <w:sz w:val="18"/>
                <w:szCs w:val="18"/>
              </w:rPr>
              <w:t>El Artículo 10 del Criterio Técnico establece que, cuando el Instituto tenga que resolver un asunto en términos de lo dispuesto en el Artículo Noveno Transitorio del Decreto mediante el cual se expidió la LFTR, esta autoridad hará uso no solo del índice IHH y de sus variaciones (ΔIHH), sino también del Índice de Dominancia. Considerando que la propia LFTR mandata el uso del Índice de Dominancia, resulta un tanto paradójico que el Criterio Técnico excluya su uso como herramienta analítica complementaria para la evaluación de concentraciones.</w:t>
            </w:r>
          </w:p>
        </w:tc>
        <w:tc>
          <w:tcPr>
            <w:tcW w:w="3308" w:type="dxa"/>
            <w:vMerge w:val="restart"/>
            <w:shd w:val="clear" w:color="auto" w:fill="FFFFFF" w:themeFill="background1"/>
          </w:tcPr>
          <w:p w14:paraId="692221E0" w14:textId="4744277F" w:rsidR="00FE68D0" w:rsidRDefault="00FE68D0" w:rsidP="00F7725D">
            <w:pPr>
              <w:spacing w:before="120" w:after="120" w:line="23" w:lineRule="atLeast"/>
              <w:jc w:val="both"/>
              <w:rPr>
                <w:rFonts w:ascii="Arial" w:hAnsi="Arial" w:cs="Arial"/>
                <w:bCs/>
                <w:sz w:val="18"/>
                <w:szCs w:val="18"/>
              </w:rPr>
            </w:pPr>
            <w:r>
              <w:rPr>
                <w:rFonts w:ascii="Arial" w:hAnsi="Arial" w:cs="Arial"/>
                <w:bCs/>
                <w:sz w:val="18"/>
                <w:szCs w:val="18"/>
              </w:rPr>
              <w:t xml:space="preserve">Se consideran improcedentes, </w:t>
            </w:r>
            <w:r w:rsidR="00F7725D">
              <w:rPr>
                <w:rFonts w:ascii="Arial" w:hAnsi="Arial" w:cs="Arial"/>
                <w:bCs/>
                <w:sz w:val="18"/>
                <w:szCs w:val="18"/>
              </w:rPr>
              <w:t xml:space="preserve">toda vez </w:t>
            </w:r>
            <w:r w:rsidR="00F7725D">
              <w:rPr>
                <w:rFonts w:ascii="Arial" w:hAnsi="Arial" w:cs="Arial"/>
                <w:sz w:val="18"/>
                <w:szCs w:val="18"/>
              </w:rPr>
              <w:t xml:space="preserve">que la utilización del índice de dominancia como un indicador del grado de concentración se dejó de considerar ya que, entre otras cosas, bajo determinadas condiciones no es un indicador efectivo para identificar las operaciones o transacciones que generen una reducción en el número de competidores y </w:t>
            </w:r>
            <w:r w:rsidR="00F7725D" w:rsidRPr="00F131CE">
              <w:rPr>
                <w:rFonts w:ascii="Arial" w:hAnsi="Arial" w:cs="Arial"/>
                <w:sz w:val="18"/>
                <w:szCs w:val="18"/>
              </w:rPr>
              <w:t>un incremento en los niveles de concentración</w:t>
            </w:r>
            <w:r w:rsidR="00F7725D">
              <w:rPr>
                <w:rFonts w:ascii="Arial" w:hAnsi="Arial" w:cs="Arial"/>
                <w:sz w:val="18"/>
                <w:szCs w:val="18"/>
              </w:rPr>
              <w:t xml:space="preserve"> y que puedan conducir a acciones colusorias</w:t>
            </w:r>
            <w:r w:rsidR="00F7725D" w:rsidRPr="00F131CE">
              <w:rPr>
                <w:rFonts w:ascii="Arial" w:hAnsi="Arial" w:cs="Arial"/>
                <w:sz w:val="18"/>
                <w:szCs w:val="18"/>
              </w:rPr>
              <w:t>, por lo que puede dar lugar a conclusiones erróneas cuando los agentes económicos involucrados tengan participaciones sustanciales y simétricas</w:t>
            </w:r>
            <w:r w:rsidR="00F7725D">
              <w:rPr>
                <w:rFonts w:ascii="Arial" w:hAnsi="Arial" w:cs="Arial"/>
                <w:sz w:val="18"/>
                <w:szCs w:val="18"/>
              </w:rPr>
              <w:t>.</w:t>
            </w:r>
            <w:r w:rsidR="00F7725D" w:rsidRPr="00F131CE" w:rsidDel="00702562">
              <w:rPr>
                <w:rFonts w:ascii="Arial" w:hAnsi="Arial" w:cs="Arial"/>
                <w:sz w:val="18"/>
                <w:szCs w:val="18"/>
              </w:rPr>
              <w:t xml:space="preserve"> </w:t>
            </w:r>
          </w:p>
          <w:p w14:paraId="7B81F52E" w14:textId="7F725FFB" w:rsidR="00FE68D0" w:rsidRDefault="009E3616" w:rsidP="00F7725D">
            <w:pPr>
              <w:spacing w:before="120" w:after="120" w:line="23" w:lineRule="atLeast"/>
              <w:jc w:val="both"/>
              <w:rPr>
                <w:rFonts w:ascii="Arial" w:hAnsi="Arial" w:cs="Arial"/>
                <w:bCs/>
                <w:sz w:val="18"/>
                <w:szCs w:val="18"/>
              </w:rPr>
            </w:pPr>
            <w:r>
              <w:rPr>
                <w:rFonts w:ascii="Arial" w:hAnsi="Arial" w:cs="Arial"/>
                <w:bCs/>
                <w:sz w:val="18"/>
                <w:szCs w:val="18"/>
              </w:rPr>
              <w:t>Adicionalmente, e</w:t>
            </w:r>
            <w:r w:rsidR="00FE68D0" w:rsidRPr="00616B30">
              <w:rPr>
                <w:rFonts w:ascii="Arial" w:hAnsi="Arial" w:cs="Arial"/>
                <w:bCs/>
                <w:sz w:val="18"/>
                <w:szCs w:val="18"/>
              </w:rPr>
              <w:t xml:space="preserve">n caso de que una operación no cumpla con los umbrales o se encuentre en alguno de los supuestos previstos en el artículo </w:t>
            </w:r>
            <w:r w:rsidR="00FE68D0">
              <w:rPr>
                <w:rFonts w:ascii="Arial" w:hAnsi="Arial" w:cs="Arial"/>
                <w:bCs/>
                <w:sz w:val="18"/>
                <w:szCs w:val="18"/>
              </w:rPr>
              <w:t>7</w:t>
            </w:r>
            <w:r w:rsidR="00FE68D0" w:rsidRPr="00616B30">
              <w:rPr>
                <w:rFonts w:ascii="Arial" w:hAnsi="Arial" w:cs="Arial"/>
                <w:bCs/>
                <w:sz w:val="18"/>
                <w:szCs w:val="18"/>
              </w:rPr>
              <w:t xml:space="preserve"> del Anteproyecto, no significa que el Instituto concluirá necesariamente que es contraria a la competencia, sino que el Instituto la analizará con mayor profundidad</w:t>
            </w:r>
            <w:r>
              <w:rPr>
                <w:rFonts w:ascii="Arial" w:hAnsi="Arial" w:cs="Arial"/>
                <w:bCs/>
                <w:sz w:val="18"/>
                <w:szCs w:val="18"/>
              </w:rPr>
              <w:t>, considerando otro</w:t>
            </w:r>
            <w:r w:rsidR="00DB3320">
              <w:rPr>
                <w:rFonts w:ascii="Arial" w:hAnsi="Arial" w:cs="Arial"/>
                <w:bCs/>
                <w:sz w:val="18"/>
                <w:szCs w:val="18"/>
              </w:rPr>
              <w:t>s</w:t>
            </w:r>
            <w:r>
              <w:rPr>
                <w:rFonts w:ascii="Arial" w:hAnsi="Arial" w:cs="Arial"/>
                <w:bCs/>
                <w:sz w:val="18"/>
                <w:szCs w:val="18"/>
              </w:rPr>
              <w:t xml:space="preserve"> elementos como las barreas a la </w:t>
            </w:r>
            <w:r>
              <w:rPr>
                <w:rFonts w:ascii="Arial" w:hAnsi="Arial" w:cs="Arial"/>
                <w:bCs/>
                <w:sz w:val="18"/>
                <w:szCs w:val="18"/>
              </w:rPr>
              <w:lastRenderedPageBreak/>
              <w:t>entrada, el poder sustancial, ganancias en eficiencia, entre otras.</w:t>
            </w:r>
          </w:p>
        </w:tc>
      </w:tr>
      <w:tr w:rsidR="00FE68D0" w:rsidRPr="003E2214" w14:paraId="1158CDB8" w14:textId="77777777" w:rsidTr="00275B74">
        <w:trPr>
          <w:jc w:val="center"/>
        </w:trPr>
        <w:tc>
          <w:tcPr>
            <w:tcW w:w="2948" w:type="dxa"/>
            <w:vMerge/>
            <w:shd w:val="clear" w:color="auto" w:fill="FFFFFF" w:themeFill="background1"/>
          </w:tcPr>
          <w:p w14:paraId="57EB947B" w14:textId="77777777" w:rsidR="00FE68D0" w:rsidRPr="007D4AF8" w:rsidRDefault="00FE68D0" w:rsidP="00D50B18">
            <w:pPr>
              <w:spacing w:before="120" w:after="120" w:line="23" w:lineRule="atLeast"/>
              <w:jc w:val="both"/>
              <w:rPr>
                <w:rFonts w:ascii="Arial" w:hAnsi="Arial" w:cs="Arial"/>
                <w:bCs/>
                <w:sz w:val="18"/>
                <w:szCs w:val="18"/>
                <w:lang w:val="es-ES"/>
              </w:rPr>
            </w:pPr>
          </w:p>
        </w:tc>
        <w:tc>
          <w:tcPr>
            <w:tcW w:w="2948" w:type="dxa"/>
            <w:shd w:val="clear" w:color="auto" w:fill="FFFFFF" w:themeFill="background1"/>
          </w:tcPr>
          <w:p w14:paraId="03AC191D" w14:textId="729440A7" w:rsidR="00FE68D0" w:rsidRPr="00BF4F5D" w:rsidRDefault="00FE68D0" w:rsidP="00090317">
            <w:pPr>
              <w:spacing w:before="120" w:after="120" w:line="23" w:lineRule="atLeast"/>
              <w:jc w:val="both"/>
              <w:rPr>
                <w:rFonts w:ascii="Arial" w:hAnsi="Arial" w:cs="Arial"/>
                <w:sz w:val="18"/>
                <w:szCs w:val="18"/>
              </w:rPr>
            </w:pPr>
            <w:r w:rsidRPr="00090317">
              <w:rPr>
                <w:rFonts w:ascii="Arial" w:hAnsi="Arial" w:cs="Arial"/>
                <w:sz w:val="18"/>
                <w:szCs w:val="18"/>
              </w:rPr>
              <w:t xml:space="preserve">El Índice de Dominancia permite capturar los efectos positivos sobre la competencia en el mercado que derivan de una concentración de empresas que no dominan el mercado.  Por ejemplo, el Índice de Dominancia puede proporcionar una cuantificación de los impactos pro-competitivos derivados de concentraciones entre agentes </w:t>
            </w:r>
            <w:r w:rsidRPr="00090317">
              <w:rPr>
                <w:rFonts w:ascii="Arial" w:hAnsi="Arial" w:cs="Arial"/>
                <w:sz w:val="18"/>
                <w:szCs w:val="18"/>
              </w:rPr>
              <w:lastRenderedPageBreak/>
              <w:t>económicos que no involucran a una empresa líder o que no involucran a agentes económicos con participaciones de mercado altas.</w:t>
            </w:r>
          </w:p>
        </w:tc>
        <w:tc>
          <w:tcPr>
            <w:tcW w:w="3308" w:type="dxa"/>
            <w:vMerge/>
            <w:shd w:val="clear" w:color="auto" w:fill="FFFFFF" w:themeFill="background1"/>
          </w:tcPr>
          <w:p w14:paraId="7C4C2C9F" w14:textId="4ACDFA43" w:rsidR="00FE68D0" w:rsidRDefault="00FE68D0" w:rsidP="00C743A6">
            <w:pPr>
              <w:spacing w:before="120" w:after="120" w:line="23" w:lineRule="atLeast"/>
              <w:jc w:val="both"/>
              <w:rPr>
                <w:rFonts w:ascii="Arial" w:hAnsi="Arial" w:cs="Arial"/>
                <w:bCs/>
                <w:sz w:val="18"/>
                <w:szCs w:val="18"/>
              </w:rPr>
            </w:pPr>
          </w:p>
        </w:tc>
      </w:tr>
      <w:tr w:rsidR="00FE68D0" w:rsidRPr="003E2214" w14:paraId="079BEB12" w14:textId="77777777" w:rsidTr="00275B74">
        <w:trPr>
          <w:jc w:val="center"/>
        </w:trPr>
        <w:tc>
          <w:tcPr>
            <w:tcW w:w="2948" w:type="dxa"/>
            <w:vMerge/>
            <w:shd w:val="clear" w:color="auto" w:fill="FFFFFF" w:themeFill="background1"/>
          </w:tcPr>
          <w:p w14:paraId="45A67DCE" w14:textId="77777777" w:rsidR="00FE68D0" w:rsidRPr="007D4AF8" w:rsidRDefault="00FE68D0" w:rsidP="00EC5886">
            <w:pPr>
              <w:spacing w:before="120" w:after="120" w:line="23" w:lineRule="atLeast"/>
              <w:jc w:val="both"/>
              <w:rPr>
                <w:rFonts w:ascii="Arial" w:hAnsi="Arial" w:cs="Arial"/>
                <w:bCs/>
                <w:sz w:val="18"/>
                <w:szCs w:val="18"/>
                <w:lang w:val="es-ES"/>
              </w:rPr>
            </w:pPr>
          </w:p>
        </w:tc>
        <w:tc>
          <w:tcPr>
            <w:tcW w:w="2948" w:type="dxa"/>
            <w:shd w:val="clear" w:color="auto" w:fill="FFFFFF" w:themeFill="background1"/>
          </w:tcPr>
          <w:p w14:paraId="1F3522CD" w14:textId="6572BFF9" w:rsidR="00FE68D0" w:rsidRPr="00090317" w:rsidRDefault="00FE68D0" w:rsidP="00EC5886">
            <w:pPr>
              <w:spacing w:before="120" w:after="120" w:line="23" w:lineRule="atLeast"/>
              <w:jc w:val="both"/>
              <w:rPr>
                <w:rFonts w:ascii="Arial" w:hAnsi="Arial" w:cs="Arial"/>
                <w:sz w:val="18"/>
                <w:szCs w:val="18"/>
              </w:rPr>
            </w:pPr>
            <w:r w:rsidRPr="00090317">
              <w:rPr>
                <w:rFonts w:ascii="Arial" w:hAnsi="Arial" w:cs="Arial"/>
                <w:sz w:val="18"/>
                <w:szCs w:val="18"/>
              </w:rPr>
              <w:t>Se debería incluir de nuevo (como era el caso del criterio técnico de la extinta CFC) el índice de dominancia, el cual sea un parámetro que permita identificar cuando una concentración que no incluya al AEP tenga o pueda tener el efecto de lograr mayor equilibrio (menor dominancia) y, por lo tanto, mayores condiciones de competencia, en los mercados de telecomunicaciones.</w:t>
            </w:r>
          </w:p>
        </w:tc>
        <w:tc>
          <w:tcPr>
            <w:tcW w:w="3308" w:type="dxa"/>
            <w:vMerge/>
            <w:shd w:val="clear" w:color="auto" w:fill="FFFFFF" w:themeFill="background1"/>
          </w:tcPr>
          <w:p w14:paraId="5484D994" w14:textId="77777777" w:rsidR="00FE68D0" w:rsidRDefault="00FE68D0" w:rsidP="00EC5886">
            <w:pPr>
              <w:spacing w:before="120" w:after="120" w:line="23" w:lineRule="atLeast"/>
              <w:jc w:val="both"/>
              <w:rPr>
                <w:rFonts w:ascii="Arial" w:hAnsi="Arial" w:cs="Arial"/>
                <w:bCs/>
                <w:sz w:val="18"/>
                <w:szCs w:val="18"/>
              </w:rPr>
            </w:pPr>
          </w:p>
        </w:tc>
      </w:tr>
    </w:tbl>
    <w:p w14:paraId="773A0111" w14:textId="18E2F946" w:rsidR="00BA6C59" w:rsidRDefault="00DB6CB4" w:rsidP="00616B30">
      <w:pPr>
        <w:keepNext/>
        <w:spacing w:before="120" w:after="120" w:line="23" w:lineRule="atLeast"/>
        <w:jc w:val="both"/>
        <w:rPr>
          <w:rFonts w:ascii="Arial" w:hAnsi="Arial" w:cs="Arial"/>
          <w:b/>
          <w:bCs/>
        </w:rPr>
      </w:pPr>
      <w:r>
        <w:rPr>
          <w:rFonts w:ascii="Arial" w:hAnsi="Arial" w:cs="Arial"/>
          <w:b/>
        </w:rPr>
        <w:t>7</w:t>
      </w:r>
      <w:r w:rsidR="00BA6C59" w:rsidRPr="00BD5C05">
        <w:rPr>
          <w:rFonts w:ascii="Arial" w:hAnsi="Arial" w:cs="Arial"/>
          <w:b/>
        </w:rPr>
        <w:t>.</w:t>
      </w:r>
      <w:r w:rsidR="001F160E">
        <w:rPr>
          <w:rFonts w:ascii="Arial" w:hAnsi="Arial" w:cs="Arial"/>
          <w:b/>
        </w:rPr>
        <w:t>8</w:t>
      </w:r>
      <w:r w:rsidR="00BA6C59" w:rsidRPr="00BD5C05">
        <w:rPr>
          <w:rFonts w:ascii="Arial" w:hAnsi="Arial" w:cs="Arial"/>
          <w:b/>
        </w:rPr>
        <w:t xml:space="preserve"> </w:t>
      </w:r>
      <w:r w:rsidR="001F160E">
        <w:rPr>
          <w:rFonts w:ascii="Arial" w:hAnsi="Arial" w:cs="Arial"/>
          <w:b/>
        </w:rPr>
        <w:t xml:space="preserve">Generales </w:t>
      </w:r>
    </w:p>
    <w:p w14:paraId="0747DDD8" w14:textId="46A6E860" w:rsidR="00BA6C59" w:rsidRDefault="00DB6CB4" w:rsidP="00616B30">
      <w:pPr>
        <w:keepNext/>
        <w:spacing w:before="120" w:after="120" w:line="23" w:lineRule="atLeast"/>
        <w:jc w:val="both"/>
        <w:rPr>
          <w:rFonts w:ascii="Arial" w:hAnsi="Arial" w:cs="Arial"/>
          <w:b/>
          <w:bCs/>
        </w:rPr>
      </w:pPr>
      <w:r>
        <w:rPr>
          <w:rFonts w:ascii="Arial" w:hAnsi="Arial" w:cs="Arial"/>
          <w:b/>
          <w:bCs/>
        </w:rPr>
        <w:t>7</w:t>
      </w:r>
      <w:r w:rsidR="00BA6C59">
        <w:rPr>
          <w:rFonts w:ascii="Arial" w:hAnsi="Arial" w:cs="Arial"/>
          <w:b/>
          <w:bCs/>
        </w:rPr>
        <w:t>.</w:t>
      </w:r>
      <w:r w:rsidR="001F160E">
        <w:rPr>
          <w:rFonts w:ascii="Arial" w:hAnsi="Arial" w:cs="Arial"/>
          <w:b/>
          <w:bCs/>
        </w:rPr>
        <w:t>8.</w:t>
      </w:r>
      <w:r w:rsidR="00BA6C59">
        <w:rPr>
          <w:rFonts w:ascii="Arial" w:hAnsi="Arial" w:cs="Arial"/>
          <w:b/>
          <w:bCs/>
        </w:rPr>
        <w:t xml:space="preserve">1. </w:t>
      </w:r>
      <w:r w:rsidR="00BA6C59" w:rsidRPr="00BD5C05">
        <w:rPr>
          <w:rFonts w:ascii="Arial" w:hAnsi="Arial" w:cs="Arial"/>
          <w:b/>
          <w:bCs/>
        </w:rPr>
        <w:t>Síntesis de los comentarios</w:t>
      </w:r>
      <w:r w:rsidR="00BA6C59">
        <w:rPr>
          <w:rFonts w:ascii="Arial" w:hAnsi="Arial" w:cs="Arial"/>
          <w:b/>
          <w:bCs/>
        </w:rPr>
        <w:t xml:space="preserve"> generales</w:t>
      </w:r>
      <w:r w:rsidR="00BA6C59" w:rsidRPr="00BD5C05">
        <w:rPr>
          <w:rFonts w:ascii="Arial" w:hAnsi="Arial" w:cs="Arial"/>
          <w:b/>
          <w:bCs/>
        </w:rPr>
        <w:t xml:space="preserve"> recibidos respecto d</w:t>
      </w:r>
      <w:r w:rsidR="00BA6C59">
        <w:rPr>
          <w:rFonts w:ascii="Arial" w:hAnsi="Arial" w:cs="Arial"/>
          <w:b/>
          <w:bCs/>
        </w:rPr>
        <w:t>el Anteproyecto</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75"/>
        <w:gridCol w:w="2903"/>
        <w:gridCol w:w="3568"/>
      </w:tblGrid>
      <w:tr w:rsidR="00BA6C59" w:rsidRPr="003E2214" w14:paraId="7C1A9F43" w14:textId="77777777" w:rsidTr="00616B30">
        <w:trPr>
          <w:tblHeader/>
          <w:jc w:val="center"/>
        </w:trPr>
        <w:tc>
          <w:tcPr>
            <w:tcW w:w="2875" w:type="dxa"/>
            <w:shd w:val="clear" w:color="auto" w:fill="70AD47" w:themeFill="accent6"/>
          </w:tcPr>
          <w:p w14:paraId="6B1653E6" w14:textId="77777777" w:rsidR="00BA6C59" w:rsidRPr="00F45E04" w:rsidRDefault="00BA6C59" w:rsidP="00616B30">
            <w:pPr>
              <w:keepNext/>
              <w:spacing w:before="120" w:after="120" w:line="23" w:lineRule="atLeast"/>
              <w:jc w:val="center"/>
              <w:rPr>
                <w:rFonts w:ascii="Arial" w:hAnsi="Arial" w:cs="Arial"/>
                <w:b/>
                <w:sz w:val="18"/>
                <w:szCs w:val="18"/>
              </w:rPr>
            </w:pPr>
            <w:r w:rsidRPr="00F45E04">
              <w:rPr>
                <w:rFonts w:ascii="Arial" w:hAnsi="Arial" w:cs="Arial"/>
                <w:b/>
                <w:sz w:val="18"/>
                <w:szCs w:val="18"/>
              </w:rPr>
              <w:t>Apartado del Anteproyecto</w:t>
            </w:r>
          </w:p>
        </w:tc>
        <w:tc>
          <w:tcPr>
            <w:tcW w:w="2903" w:type="dxa"/>
            <w:shd w:val="clear" w:color="auto" w:fill="70AD47" w:themeFill="accent6"/>
          </w:tcPr>
          <w:p w14:paraId="529D93BE" w14:textId="77777777" w:rsidR="00BA6C59" w:rsidRPr="00F45E04" w:rsidRDefault="00BA6C59" w:rsidP="00616B30">
            <w:pPr>
              <w:keepNext/>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0239BD2A" w14:textId="77777777" w:rsidR="00BA6C59" w:rsidRPr="00F45E04" w:rsidRDefault="00BA6C59" w:rsidP="00616B30">
            <w:pPr>
              <w:keepNext/>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BA6C59" w:rsidRPr="003E2214" w14:paraId="18C764D8" w14:textId="77777777" w:rsidTr="00AE0BDA">
        <w:trPr>
          <w:jc w:val="center"/>
        </w:trPr>
        <w:tc>
          <w:tcPr>
            <w:tcW w:w="9346" w:type="dxa"/>
            <w:gridSpan w:val="3"/>
            <w:shd w:val="clear" w:color="auto" w:fill="C5E0B3" w:themeFill="accent6" w:themeFillTint="66"/>
          </w:tcPr>
          <w:p w14:paraId="245CD796" w14:textId="5D7625DE" w:rsidR="00BA6C59" w:rsidRDefault="00BA6C59" w:rsidP="00AE0BDA">
            <w:pPr>
              <w:spacing w:before="120" w:after="120" w:line="23" w:lineRule="atLeast"/>
              <w:jc w:val="center"/>
              <w:rPr>
                <w:rFonts w:ascii="Arial" w:hAnsi="Arial" w:cs="Arial"/>
                <w:b/>
                <w:sz w:val="18"/>
                <w:szCs w:val="18"/>
              </w:rPr>
            </w:pPr>
            <w:r>
              <w:rPr>
                <w:rFonts w:ascii="Arial" w:hAnsi="Arial" w:cs="Arial"/>
                <w:b/>
                <w:sz w:val="18"/>
                <w:szCs w:val="18"/>
              </w:rPr>
              <w:t>Anteproyecto</w:t>
            </w:r>
          </w:p>
        </w:tc>
      </w:tr>
      <w:tr w:rsidR="00BA6C59" w:rsidRPr="003E2214" w14:paraId="6591E1EC" w14:textId="77777777" w:rsidTr="00AE0BDA">
        <w:trPr>
          <w:jc w:val="center"/>
        </w:trPr>
        <w:tc>
          <w:tcPr>
            <w:tcW w:w="2875" w:type="dxa"/>
            <w:vMerge w:val="restart"/>
            <w:shd w:val="clear" w:color="auto" w:fill="auto"/>
          </w:tcPr>
          <w:p w14:paraId="125FF3E0" w14:textId="130A738D" w:rsidR="00BA6C59" w:rsidRPr="00457D57" w:rsidRDefault="00BA6C59" w:rsidP="00AE0BDA">
            <w:pPr>
              <w:jc w:val="both"/>
              <w:rPr>
                <w:rFonts w:ascii="Arial" w:hAnsi="Arial" w:cs="Arial"/>
                <w:sz w:val="18"/>
                <w:szCs w:val="18"/>
              </w:rPr>
            </w:pPr>
            <w:r>
              <w:rPr>
                <w:rFonts w:ascii="Arial" w:hAnsi="Arial" w:cs="Arial"/>
                <w:sz w:val="18"/>
                <w:szCs w:val="18"/>
              </w:rPr>
              <w:t>---</w:t>
            </w:r>
          </w:p>
        </w:tc>
        <w:tc>
          <w:tcPr>
            <w:tcW w:w="2903" w:type="dxa"/>
            <w:shd w:val="clear" w:color="auto" w:fill="auto"/>
          </w:tcPr>
          <w:p w14:paraId="4F6174E4" w14:textId="77777777" w:rsidR="00BA6C59" w:rsidRPr="00BA6C59" w:rsidRDefault="00BA6C59" w:rsidP="00BA6C59">
            <w:pPr>
              <w:spacing w:before="120" w:after="120" w:line="23" w:lineRule="atLeast"/>
              <w:jc w:val="both"/>
              <w:rPr>
                <w:rFonts w:ascii="Arial" w:hAnsi="Arial" w:cs="Arial"/>
                <w:bCs/>
                <w:sz w:val="18"/>
                <w:szCs w:val="18"/>
              </w:rPr>
            </w:pPr>
            <w:r w:rsidRPr="00BA6C59">
              <w:rPr>
                <w:rFonts w:ascii="Arial" w:hAnsi="Arial" w:cs="Arial"/>
                <w:bCs/>
                <w:sz w:val="18"/>
                <w:szCs w:val="18"/>
              </w:rPr>
              <w:t>Consideran que Instituto pretende hacer convivir simultáneamente, dentro del mismo sector telecomunicaciones, dos figuras que son excluyentes entre sí: agente económico preponderante en el sector telecomunicaciones y agente con poder sustancial de mercado. Esto implica una clara regresión del sector a las deficiencias regulatorias previas a la reforma de 2013 que permitieron al hoy AEPT evadir la imposición de regulación asimétrica y cualquier control sobre su poder para fijar unilateral y arbitrariamente las condiciones de competencia en el sector.</w:t>
            </w:r>
          </w:p>
          <w:p w14:paraId="061B9E70" w14:textId="5FF10FD2" w:rsidR="00BA6C59" w:rsidRPr="008003C4" w:rsidRDefault="00BA6C59" w:rsidP="00BA6C59">
            <w:pPr>
              <w:spacing w:before="120" w:after="120" w:line="23" w:lineRule="atLeast"/>
              <w:jc w:val="both"/>
              <w:rPr>
                <w:rFonts w:ascii="Arial" w:hAnsi="Arial" w:cs="Arial"/>
                <w:bCs/>
                <w:sz w:val="18"/>
                <w:szCs w:val="18"/>
              </w:rPr>
            </w:pPr>
            <w:r w:rsidRPr="00BA6C59">
              <w:rPr>
                <w:rFonts w:ascii="Arial" w:hAnsi="Arial" w:cs="Arial"/>
                <w:bCs/>
                <w:sz w:val="18"/>
                <w:szCs w:val="18"/>
              </w:rPr>
              <w:t>Con respecto a la definición de umbrales basados en otros países, consideran que no</w:t>
            </w:r>
            <w:r>
              <w:rPr>
                <w:rFonts w:ascii="Arial" w:hAnsi="Arial" w:cs="Arial"/>
                <w:bCs/>
                <w:sz w:val="18"/>
                <w:szCs w:val="18"/>
              </w:rPr>
              <w:t xml:space="preserve"> </w:t>
            </w:r>
            <w:r w:rsidRPr="00BA6C59">
              <w:rPr>
                <w:rFonts w:ascii="Arial" w:hAnsi="Arial" w:cs="Arial"/>
                <w:bCs/>
                <w:sz w:val="18"/>
                <w:szCs w:val="18"/>
              </w:rPr>
              <w:t>corresponde a la estructura de mercado mexicana. Especialmente, en uno en el que existe un AEPT con un excesivo peso en el mercado y en el que cálculo del IHH siempre excederá los niveles definidos por el IFT.</w:t>
            </w:r>
          </w:p>
        </w:tc>
        <w:tc>
          <w:tcPr>
            <w:tcW w:w="3568" w:type="dxa"/>
            <w:shd w:val="clear" w:color="auto" w:fill="auto"/>
          </w:tcPr>
          <w:p w14:paraId="26087C3F" w14:textId="61D92C86" w:rsidR="001F160E" w:rsidRPr="001F160E" w:rsidRDefault="001F160E" w:rsidP="001F160E">
            <w:pPr>
              <w:spacing w:before="120" w:after="120" w:line="23" w:lineRule="atLeast"/>
              <w:jc w:val="both"/>
              <w:rPr>
                <w:rFonts w:ascii="Arial" w:hAnsi="Arial" w:cs="Arial"/>
                <w:sz w:val="18"/>
                <w:szCs w:val="18"/>
              </w:rPr>
            </w:pPr>
            <w:r w:rsidRPr="001F160E">
              <w:rPr>
                <w:rFonts w:ascii="Arial" w:hAnsi="Arial" w:cs="Arial"/>
                <w:sz w:val="18"/>
                <w:szCs w:val="18"/>
              </w:rPr>
              <w:t>Se considera improcedente</w:t>
            </w:r>
            <w:r>
              <w:rPr>
                <w:rFonts w:ascii="Arial" w:hAnsi="Arial" w:cs="Arial"/>
                <w:sz w:val="18"/>
                <w:szCs w:val="18"/>
              </w:rPr>
              <w:t>. Lo</w:t>
            </w:r>
            <w:r w:rsidRPr="001F160E">
              <w:rPr>
                <w:rFonts w:ascii="Arial" w:hAnsi="Arial" w:cs="Arial"/>
                <w:sz w:val="18"/>
                <w:szCs w:val="18"/>
              </w:rPr>
              <w:t xml:space="preserve"> anterior, en virtud de que el Anteproyecto señala que uno de los elementos considerados para determinar los umbrales propuestos son los criterios utilizados por otras autoridades de competencia en el mundo y en México. Es decir, la propuesta toma en consideración las mejores prácticas internacionales, pero también las condiciones identificadas en las actividades económicas, los servicios y los mercados en los sectores de telecomunicaciones y radiodifusión analizados en la práctica decisoria precedente en materia de competencia económica México.</w:t>
            </w:r>
          </w:p>
          <w:p w14:paraId="6C99DBCB" w14:textId="638DF2C2" w:rsidR="00BA6C59" w:rsidRPr="008003C4" w:rsidRDefault="001F160E" w:rsidP="001F160E">
            <w:pPr>
              <w:spacing w:before="120" w:after="120" w:line="23" w:lineRule="atLeast"/>
              <w:jc w:val="both"/>
              <w:rPr>
                <w:rFonts w:ascii="Arial" w:hAnsi="Arial" w:cs="Arial"/>
                <w:sz w:val="18"/>
                <w:szCs w:val="18"/>
              </w:rPr>
            </w:pPr>
            <w:r>
              <w:rPr>
                <w:rFonts w:ascii="Arial" w:hAnsi="Arial" w:cs="Arial"/>
                <w:sz w:val="18"/>
                <w:szCs w:val="18"/>
              </w:rPr>
              <w:t>Además</w:t>
            </w:r>
            <w:r w:rsidRPr="001F160E">
              <w:rPr>
                <w:rFonts w:ascii="Arial" w:hAnsi="Arial" w:cs="Arial"/>
                <w:sz w:val="18"/>
                <w:szCs w:val="18"/>
              </w:rPr>
              <w:t>, los índices y los umbrales que se proponen en el Anteproyecto sólo aplican en asuntos que involucran el análisis de servicios y/o mercados, pero no están diseñados para ser aplicados en un ámbito sectorial, donde ocurre la determinación de los AEP.</w:t>
            </w:r>
          </w:p>
        </w:tc>
      </w:tr>
      <w:tr w:rsidR="00BA6C59" w:rsidRPr="003E2214" w14:paraId="1A4F2654" w14:textId="77777777" w:rsidTr="00AE0BDA">
        <w:trPr>
          <w:jc w:val="center"/>
        </w:trPr>
        <w:tc>
          <w:tcPr>
            <w:tcW w:w="2875" w:type="dxa"/>
            <w:vMerge/>
            <w:shd w:val="clear" w:color="auto" w:fill="auto"/>
          </w:tcPr>
          <w:p w14:paraId="133C1484" w14:textId="77777777" w:rsidR="00BA6C59" w:rsidRDefault="00BA6C59" w:rsidP="00AE0BDA">
            <w:pPr>
              <w:jc w:val="both"/>
              <w:rPr>
                <w:rFonts w:ascii="Arial" w:hAnsi="Arial" w:cs="Arial"/>
                <w:sz w:val="18"/>
                <w:szCs w:val="18"/>
              </w:rPr>
            </w:pPr>
          </w:p>
        </w:tc>
        <w:tc>
          <w:tcPr>
            <w:tcW w:w="2903" w:type="dxa"/>
            <w:shd w:val="clear" w:color="auto" w:fill="auto"/>
          </w:tcPr>
          <w:p w14:paraId="02EBC79A" w14:textId="7D1948D2" w:rsidR="00BA6C59" w:rsidRPr="00457D57" w:rsidRDefault="00BA6C59" w:rsidP="00AE0BDA">
            <w:pPr>
              <w:spacing w:before="120" w:after="120" w:line="23" w:lineRule="atLeast"/>
              <w:jc w:val="both"/>
              <w:rPr>
                <w:rFonts w:ascii="Arial" w:hAnsi="Arial" w:cs="Arial"/>
                <w:bCs/>
                <w:sz w:val="18"/>
                <w:szCs w:val="18"/>
              </w:rPr>
            </w:pPr>
            <w:r w:rsidRPr="00BA6C59">
              <w:rPr>
                <w:rFonts w:ascii="Arial" w:hAnsi="Arial" w:cs="Arial"/>
                <w:bCs/>
                <w:sz w:val="18"/>
                <w:szCs w:val="18"/>
              </w:rPr>
              <w:t>Se considera importante que el Instituto calcule el IHH preponderantemente con base en los ingresos de los agentes económicos, en virtud que otras métricas de medición ―como el número de usuarios o suscriptores, entre otras métricas― pueden generar valores del índice inexactas.</w:t>
            </w:r>
          </w:p>
        </w:tc>
        <w:tc>
          <w:tcPr>
            <w:tcW w:w="3568" w:type="dxa"/>
            <w:shd w:val="clear" w:color="auto" w:fill="auto"/>
          </w:tcPr>
          <w:p w14:paraId="2A55028A" w14:textId="6A94DD7C" w:rsidR="00BA6C59" w:rsidRPr="00457D57" w:rsidRDefault="001F160E" w:rsidP="00AE0BDA">
            <w:pPr>
              <w:spacing w:before="120" w:after="120" w:line="23" w:lineRule="atLeast"/>
              <w:jc w:val="both"/>
              <w:rPr>
                <w:rFonts w:ascii="Arial" w:hAnsi="Arial" w:cs="Arial"/>
                <w:sz w:val="18"/>
                <w:szCs w:val="18"/>
              </w:rPr>
            </w:pPr>
            <w:r w:rsidRPr="00457D57">
              <w:rPr>
                <w:rFonts w:ascii="Arial" w:hAnsi="Arial" w:cs="Arial"/>
                <w:sz w:val="18"/>
                <w:szCs w:val="18"/>
              </w:rPr>
              <w:t>Se considera improcedente</w:t>
            </w:r>
            <w:r w:rsidR="00205287">
              <w:rPr>
                <w:rFonts w:ascii="Arial" w:hAnsi="Arial" w:cs="Arial"/>
                <w:sz w:val="18"/>
                <w:szCs w:val="18"/>
              </w:rPr>
              <w:t xml:space="preserve">. </w:t>
            </w:r>
            <w:r w:rsidR="00E866BA">
              <w:rPr>
                <w:rFonts w:ascii="Arial" w:hAnsi="Arial" w:cs="Arial"/>
                <w:sz w:val="18"/>
                <w:szCs w:val="18"/>
              </w:rPr>
              <w:t>Lo anterior, debido a que e</w:t>
            </w:r>
            <w:r w:rsidR="00205287" w:rsidRPr="00A23B0B">
              <w:rPr>
                <w:rFonts w:ascii="Arial" w:hAnsi="Arial" w:cs="Arial"/>
                <w:sz w:val="18"/>
                <w:szCs w:val="18"/>
              </w:rPr>
              <w:t>l Instituto considerará, según corresponda, los elementos previstos en los artículos 58, 59, 63 y 64 de la LFCE y los relacionados de las Disposiciones Regulatorias</w:t>
            </w:r>
            <w:r w:rsidR="00E866BA">
              <w:rPr>
                <w:rFonts w:ascii="Arial" w:hAnsi="Arial" w:cs="Arial"/>
                <w:sz w:val="18"/>
                <w:szCs w:val="18"/>
              </w:rPr>
              <w:t>.</w:t>
            </w:r>
            <w:r w:rsidRPr="00457D57">
              <w:rPr>
                <w:rFonts w:ascii="Arial" w:hAnsi="Arial" w:cs="Arial"/>
                <w:sz w:val="18"/>
                <w:szCs w:val="18"/>
              </w:rPr>
              <w:t xml:space="preserve"> </w:t>
            </w:r>
          </w:p>
        </w:tc>
      </w:tr>
    </w:tbl>
    <w:p w14:paraId="04311CEE" w14:textId="359AC291" w:rsidR="00F52EDB" w:rsidRDefault="00F2338E" w:rsidP="00D50B18">
      <w:pPr>
        <w:spacing w:before="120" w:after="120" w:line="23" w:lineRule="atLeast"/>
        <w:jc w:val="both"/>
        <w:rPr>
          <w:rFonts w:ascii="Arial" w:hAnsi="Arial" w:cs="Arial"/>
          <w:b/>
        </w:rPr>
      </w:pPr>
      <w:r>
        <w:rPr>
          <w:rFonts w:ascii="Arial" w:hAnsi="Arial" w:cs="Arial"/>
          <w:b/>
        </w:rPr>
        <w:tab/>
      </w:r>
    </w:p>
    <w:sectPr w:rsidR="00F52EDB" w:rsidSect="00DE6F93">
      <w:footerReference w:type="default" r:id="rId13"/>
      <w:pgSz w:w="12240" w:h="15840"/>
      <w:pgMar w:top="1418" w:right="1418" w:bottom="1418" w:left="1418"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DC9B" w14:textId="77777777" w:rsidR="00BE14FD" w:rsidRDefault="00BE14FD" w:rsidP="005C5B1C">
      <w:pPr>
        <w:spacing w:after="0" w:line="240" w:lineRule="auto"/>
      </w:pPr>
      <w:r>
        <w:separator/>
      </w:r>
    </w:p>
  </w:endnote>
  <w:endnote w:type="continuationSeparator" w:id="0">
    <w:p w14:paraId="5E1651C2" w14:textId="77777777" w:rsidR="00BE14FD" w:rsidRDefault="00BE14FD" w:rsidP="005C5B1C">
      <w:pPr>
        <w:spacing w:after="0" w:line="240" w:lineRule="auto"/>
      </w:pPr>
      <w:r>
        <w:continuationSeparator/>
      </w:r>
    </w:p>
  </w:endnote>
  <w:endnote w:type="continuationNotice" w:id="1">
    <w:p w14:paraId="7C40B7FD" w14:textId="77777777" w:rsidR="00BE14FD" w:rsidRDefault="00BE1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412521"/>
      <w:docPartObj>
        <w:docPartGallery w:val="Page Numbers (Bottom of Page)"/>
        <w:docPartUnique/>
      </w:docPartObj>
    </w:sdtPr>
    <w:sdtEndPr/>
    <w:sdtContent>
      <w:sdt>
        <w:sdtPr>
          <w:id w:val="-1769616900"/>
          <w:docPartObj>
            <w:docPartGallery w:val="Page Numbers (Top of Page)"/>
            <w:docPartUnique/>
          </w:docPartObj>
        </w:sdtPr>
        <w:sdtEndPr/>
        <w:sdtContent>
          <w:p w14:paraId="4EE68677" w14:textId="23A0303E" w:rsidR="00DA1C08" w:rsidRDefault="00DA1C08">
            <w:pPr>
              <w:pStyle w:val="Piedepgina"/>
              <w:jc w:val="right"/>
            </w:pPr>
            <w:r w:rsidRPr="00275B74">
              <w:rPr>
                <w:rFonts w:ascii="Arial" w:hAnsi="Arial" w:cs="Arial"/>
                <w:sz w:val="18"/>
                <w:szCs w:val="18"/>
                <w:lang w:val="es-ES"/>
              </w:rPr>
              <w:t xml:space="preserve">Página </w:t>
            </w:r>
            <w:r w:rsidRPr="00275B74">
              <w:rPr>
                <w:rFonts w:ascii="Arial" w:hAnsi="Arial" w:cs="Arial"/>
                <w:b/>
                <w:bCs/>
                <w:sz w:val="18"/>
                <w:szCs w:val="18"/>
              </w:rPr>
              <w:fldChar w:fldCharType="begin"/>
            </w:r>
            <w:r w:rsidRPr="00275B74">
              <w:rPr>
                <w:rFonts w:ascii="Arial" w:hAnsi="Arial" w:cs="Arial"/>
                <w:b/>
                <w:bCs/>
                <w:sz w:val="18"/>
                <w:szCs w:val="18"/>
              </w:rPr>
              <w:instrText>PAGE</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r w:rsidRPr="00275B74">
              <w:rPr>
                <w:rFonts w:ascii="Arial" w:hAnsi="Arial" w:cs="Arial"/>
                <w:sz w:val="18"/>
                <w:szCs w:val="18"/>
                <w:lang w:val="es-ES"/>
              </w:rPr>
              <w:t xml:space="preserve"> de </w:t>
            </w:r>
            <w:r w:rsidRPr="00275B74">
              <w:rPr>
                <w:rFonts w:ascii="Arial" w:hAnsi="Arial" w:cs="Arial"/>
                <w:b/>
                <w:bCs/>
                <w:sz w:val="18"/>
                <w:szCs w:val="18"/>
              </w:rPr>
              <w:fldChar w:fldCharType="begin"/>
            </w:r>
            <w:r w:rsidRPr="00275B74">
              <w:rPr>
                <w:rFonts w:ascii="Arial" w:hAnsi="Arial" w:cs="Arial"/>
                <w:b/>
                <w:bCs/>
                <w:sz w:val="18"/>
                <w:szCs w:val="18"/>
              </w:rPr>
              <w:instrText>NUMPAGES</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p>
        </w:sdtContent>
      </w:sdt>
    </w:sdtContent>
  </w:sdt>
  <w:p w14:paraId="5C39AAA1" w14:textId="77777777" w:rsidR="00DA1C08" w:rsidRDefault="00DA1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73B5" w14:textId="77777777" w:rsidR="00BE14FD" w:rsidRDefault="00BE14FD" w:rsidP="005C5B1C">
      <w:pPr>
        <w:spacing w:after="0" w:line="240" w:lineRule="auto"/>
      </w:pPr>
      <w:r>
        <w:separator/>
      </w:r>
    </w:p>
  </w:footnote>
  <w:footnote w:type="continuationSeparator" w:id="0">
    <w:p w14:paraId="65D88695" w14:textId="77777777" w:rsidR="00BE14FD" w:rsidRDefault="00BE14FD" w:rsidP="005C5B1C">
      <w:pPr>
        <w:spacing w:after="0" w:line="240" w:lineRule="auto"/>
      </w:pPr>
      <w:r>
        <w:continuationSeparator/>
      </w:r>
    </w:p>
  </w:footnote>
  <w:footnote w:type="continuationNotice" w:id="1">
    <w:p w14:paraId="7CC17D50" w14:textId="77777777" w:rsidR="00BE14FD" w:rsidRDefault="00BE14FD">
      <w:pPr>
        <w:spacing w:after="0" w:line="240" w:lineRule="auto"/>
      </w:pPr>
    </w:p>
  </w:footnote>
  <w:footnote w:id="2">
    <w:p w14:paraId="769305C0" w14:textId="77777777" w:rsidR="00DA1C08" w:rsidRPr="007B31CE" w:rsidRDefault="00DA1C08" w:rsidP="00D96184">
      <w:pPr>
        <w:spacing w:after="0" w:line="240" w:lineRule="auto"/>
        <w:jc w:val="both"/>
        <w:rPr>
          <w:rFonts w:ascii="Arial" w:hAnsi="Arial" w:cs="Arial"/>
          <w:i/>
          <w:iCs/>
          <w:sz w:val="16"/>
          <w:szCs w:val="16"/>
        </w:rPr>
      </w:pPr>
      <w:r w:rsidRPr="007B31CE">
        <w:rPr>
          <w:rStyle w:val="Refdenotaalpie"/>
          <w:rFonts w:ascii="Arial" w:hAnsi="Arial" w:cs="Arial"/>
          <w:sz w:val="16"/>
          <w:szCs w:val="16"/>
        </w:rPr>
        <w:footnoteRef/>
      </w:r>
      <w:r w:rsidRPr="007B31CE">
        <w:rPr>
          <w:rFonts w:ascii="Arial" w:hAnsi="Arial" w:cs="Arial"/>
          <w:sz w:val="16"/>
          <w:szCs w:val="16"/>
        </w:rPr>
        <w:t xml:space="preserve"> “</w:t>
      </w:r>
      <w:r w:rsidRPr="007B31CE">
        <w:rPr>
          <w:rFonts w:ascii="Arial" w:hAnsi="Arial" w:cs="Arial"/>
          <w:b/>
          <w:bCs/>
          <w:i/>
          <w:iCs/>
          <w:sz w:val="16"/>
          <w:szCs w:val="16"/>
        </w:rPr>
        <w:t xml:space="preserve">Noveno.- </w:t>
      </w:r>
      <w:r w:rsidRPr="007B31CE">
        <w:rPr>
          <w:rFonts w:ascii="Arial" w:hAnsi="Arial" w:cs="Arial"/>
          <w:i/>
          <w:iCs/>
          <w:sz w:val="16"/>
          <w:szCs w:val="16"/>
        </w:rPr>
        <w:t>La información, comentarios, opiniones, aportaciones u otros elementos de análisis que los participantes presenten al Instituto, en los procesos de consulta pública que realice, no tendrán carácter vinculante. No obstante, siempre y cuando se hayan recibido en tiempo y forma, las Unidades y/o Coordinaciones Generales correspondientes deberán analizarlos, ponderarlos y presentar una respuesta o posicionamiento sobre ellos a través de un Informe de Consideraciones, que contenga, cuando menos, la siguiente información:</w:t>
      </w:r>
    </w:p>
    <w:p w14:paraId="0150905D"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I. Fecha de elaboración;</w:t>
      </w:r>
    </w:p>
    <w:p w14:paraId="0ABEEBC6"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II. Título o denominación de la consulta pública;</w:t>
      </w:r>
    </w:p>
    <w:p w14:paraId="5967AFF2"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III. Descripción de la consulta pública;</w:t>
      </w:r>
    </w:p>
    <w:p w14:paraId="79D5B1E9"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IV. Objetivos de la consulta pública;</w:t>
      </w:r>
    </w:p>
    <w:p w14:paraId="16173BD2"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V. Unidades y/o Coordinaciones Generales responsables de la consulta pública;</w:t>
      </w:r>
    </w:p>
    <w:p w14:paraId="145EAAA7"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VI. Descripción de los participantes en la consulta pública, y</w:t>
      </w:r>
    </w:p>
    <w:p w14:paraId="0EC58776"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VII. Las respuestas o posicionamientos que correspondan por parte del Instituto.</w:t>
      </w:r>
    </w:p>
    <w:p w14:paraId="4AEA7596"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De así considerarlo, las Unidades y/o Coordinaciones Generales podrán presentar una respuesta o posicionamiento de manera agrupada acerca de la información, comentarios, opiniones, aportaciones u otros elementos de análisis que los participantes hayan aportado al Instituto.</w:t>
      </w:r>
    </w:p>
    <w:p w14:paraId="1FADCC6B" w14:textId="77777777" w:rsidR="00DA1C08" w:rsidRPr="007B31CE" w:rsidRDefault="00DA1C08" w:rsidP="00D96184">
      <w:pPr>
        <w:spacing w:after="0" w:line="240" w:lineRule="auto"/>
        <w:jc w:val="both"/>
        <w:rPr>
          <w:rFonts w:ascii="Arial" w:hAnsi="Arial" w:cs="Arial"/>
          <w:i/>
          <w:iCs/>
          <w:sz w:val="16"/>
          <w:szCs w:val="16"/>
        </w:rPr>
      </w:pPr>
      <w:r w:rsidRPr="007B31CE">
        <w:rPr>
          <w:rFonts w:ascii="Arial" w:hAnsi="Arial" w:cs="Arial"/>
          <w:i/>
          <w:iCs/>
          <w:sz w:val="16"/>
          <w:szCs w:val="16"/>
        </w:rPr>
        <w:t>En el caso de que el Instituto determine la integración de algún grupo de enfoque, conforme a lo señalado en el Lineamiento Sexto, segundo párrafo, deberán referir en el Informe de Consideraciones los resultados del mismo, preservando la confidencialidad o reserva de la información que se haya determinado con ese carácter”.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7160D51"/>
    <w:multiLevelType w:val="multilevel"/>
    <w:tmpl w:val="DD440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345FE1"/>
    <w:multiLevelType w:val="hybridMultilevel"/>
    <w:tmpl w:val="00F4FDCA"/>
    <w:lvl w:ilvl="0" w:tplc="CC380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A42BF"/>
    <w:multiLevelType w:val="hybridMultilevel"/>
    <w:tmpl w:val="4DFE86A6"/>
    <w:lvl w:ilvl="0" w:tplc="B93254EC">
      <w:start w:val="1"/>
      <w:numFmt w:val="decimal"/>
      <w:suff w:val="space"/>
      <w:lvlText w:val="Artículo %1."/>
      <w:lvlJc w:val="left"/>
      <w:pPr>
        <w:ind w:left="721" w:hanging="360"/>
      </w:pPr>
      <w:rPr>
        <w:rFonts w:hint="default"/>
        <w:b/>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4" w15:restartNumberingAfterBreak="0">
    <w:nsid w:val="0C1D68AF"/>
    <w:multiLevelType w:val="hybridMultilevel"/>
    <w:tmpl w:val="B0A89A02"/>
    <w:lvl w:ilvl="0" w:tplc="855A74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E90AE7"/>
    <w:multiLevelType w:val="hybridMultilevel"/>
    <w:tmpl w:val="BE403542"/>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E2B2DE0"/>
    <w:multiLevelType w:val="hybridMultilevel"/>
    <w:tmpl w:val="1C5C3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202F78"/>
    <w:multiLevelType w:val="hybridMultilevel"/>
    <w:tmpl w:val="5EDA4734"/>
    <w:lvl w:ilvl="0" w:tplc="D5801E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3350F7"/>
    <w:multiLevelType w:val="hybridMultilevel"/>
    <w:tmpl w:val="92AE8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9D30A3"/>
    <w:multiLevelType w:val="hybridMultilevel"/>
    <w:tmpl w:val="0BFC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827B6C"/>
    <w:multiLevelType w:val="hybridMultilevel"/>
    <w:tmpl w:val="B1A826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D945D82"/>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5547E"/>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C8453A"/>
    <w:multiLevelType w:val="hybridMultilevel"/>
    <w:tmpl w:val="06D217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9E23D1"/>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A3259F"/>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8837354"/>
    <w:multiLevelType w:val="hybridMultilevel"/>
    <w:tmpl w:val="7C3C6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76825"/>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105EEF"/>
    <w:multiLevelType w:val="hybridMultilevel"/>
    <w:tmpl w:val="92C03D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3E52821"/>
    <w:multiLevelType w:val="hybridMultilevel"/>
    <w:tmpl w:val="8814D038"/>
    <w:lvl w:ilvl="0" w:tplc="3DE8612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48E60DF"/>
    <w:multiLevelType w:val="hybridMultilevel"/>
    <w:tmpl w:val="A2EE0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78552F"/>
    <w:multiLevelType w:val="hybridMultilevel"/>
    <w:tmpl w:val="F1F61B18"/>
    <w:lvl w:ilvl="0" w:tplc="C0864CC0">
      <w:start w:val="1"/>
      <w:numFmt w:val="upperRoman"/>
      <w:lvlText w:val="%1."/>
      <w:lvlJc w:val="left"/>
      <w:pPr>
        <w:ind w:left="1004" w:hanging="720"/>
      </w:pPr>
      <w:rPr>
        <w:rFonts w:hint="default"/>
        <w:b/>
        <w:sz w:val="18"/>
        <w:szCs w:val="1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37AE4AA7"/>
    <w:multiLevelType w:val="hybridMultilevel"/>
    <w:tmpl w:val="D802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A5089A"/>
    <w:multiLevelType w:val="hybridMultilevel"/>
    <w:tmpl w:val="8E0E496C"/>
    <w:lvl w:ilvl="0" w:tplc="29E465A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B73347"/>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6372F8"/>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5E1B60"/>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00C56C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31029B"/>
    <w:multiLevelType w:val="hybridMultilevel"/>
    <w:tmpl w:val="8AD6CD32"/>
    <w:lvl w:ilvl="0" w:tplc="805A6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3F4D38"/>
    <w:multiLevelType w:val="hybridMultilevel"/>
    <w:tmpl w:val="D5C2F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E86E4B"/>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AA6D18"/>
    <w:multiLevelType w:val="hybridMultilevel"/>
    <w:tmpl w:val="643CE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E26D3E"/>
    <w:multiLevelType w:val="hybridMultilevel"/>
    <w:tmpl w:val="7E92306A"/>
    <w:lvl w:ilvl="0" w:tplc="0A0CCA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AA5434"/>
    <w:multiLevelType w:val="hybridMultilevel"/>
    <w:tmpl w:val="28128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446C82"/>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734543"/>
    <w:multiLevelType w:val="hybridMultilevel"/>
    <w:tmpl w:val="F5E047A8"/>
    <w:lvl w:ilvl="0" w:tplc="7B92144A">
      <w:start w:val="1"/>
      <w:numFmt w:val="decimal"/>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7" w15:restartNumberingAfterBreak="0">
    <w:nsid w:val="669C3317"/>
    <w:multiLevelType w:val="hybridMultilevel"/>
    <w:tmpl w:val="7F94D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0D01F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DC2C7D"/>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D35397"/>
    <w:multiLevelType w:val="hybridMultilevel"/>
    <w:tmpl w:val="0A3C03BA"/>
    <w:lvl w:ilvl="0" w:tplc="29E465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B82833"/>
    <w:multiLevelType w:val="hybridMultilevel"/>
    <w:tmpl w:val="543A87EE"/>
    <w:lvl w:ilvl="0" w:tplc="290E85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15"/>
  </w:num>
  <w:num w:numId="5">
    <w:abstractNumId w:val="32"/>
  </w:num>
  <w:num w:numId="6">
    <w:abstractNumId w:val="24"/>
  </w:num>
  <w:num w:numId="7">
    <w:abstractNumId w:val="13"/>
  </w:num>
  <w:num w:numId="8">
    <w:abstractNumId w:val="11"/>
  </w:num>
  <w:num w:numId="9">
    <w:abstractNumId w:val="27"/>
  </w:num>
  <w:num w:numId="10">
    <w:abstractNumId w:val="16"/>
  </w:num>
  <w:num w:numId="11">
    <w:abstractNumId w:val="7"/>
  </w:num>
  <w:num w:numId="12">
    <w:abstractNumId w:val="26"/>
  </w:num>
  <w:num w:numId="13">
    <w:abstractNumId w:val="38"/>
  </w:num>
  <w:num w:numId="14">
    <w:abstractNumId w:val="39"/>
  </w:num>
  <w:num w:numId="15">
    <w:abstractNumId w:val="35"/>
  </w:num>
  <w:num w:numId="16">
    <w:abstractNumId w:val="12"/>
  </w:num>
  <w:num w:numId="17">
    <w:abstractNumId w:val="28"/>
  </w:num>
  <w:num w:numId="18">
    <w:abstractNumId w:val="23"/>
  </w:num>
  <w:num w:numId="19">
    <w:abstractNumId w:val="40"/>
  </w:num>
  <w:num w:numId="20">
    <w:abstractNumId w:val="34"/>
  </w:num>
  <w:num w:numId="21">
    <w:abstractNumId w:val="37"/>
  </w:num>
  <w:num w:numId="22">
    <w:abstractNumId w:val="41"/>
  </w:num>
  <w:num w:numId="23">
    <w:abstractNumId w:val="30"/>
  </w:num>
  <w:num w:numId="24">
    <w:abstractNumId w:val="0"/>
  </w:num>
  <w:num w:numId="25">
    <w:abstractNumId w:val="22"/>
  </w:num>
  <w:num w:numId="26">
    <w:abstractNumId w:val="2"/>
  </w:num>
  <w:num w:numId="27">
    <w:abstractNumId w:val="21"/>
  </w:num>
  <w:num w:numId="28">
    <w:abstractNumId w:val="36"/>
  </w:num>
  <w:num w:numId="29">
    <w:abstractNumId w:val="25"/>
  </w:num>
  <w:num w:numId="30">
    <w:abstractNumId w:val="20"/>
  </w:num>
  <w:num w:numId="31">
    <w:abstractNumId w:val="18"/>
  </w:num>
  <w:num w:numId="32">
    <w:abstractNumId w:val="4"/>
  </w:num>
  <w:num w:numId="33">
    <w:abstractNumId w:val="29"/>
  </w:num>
  <w:num w:numId="34">
    <w:abstractNumId w:val="17"/>
  </w:num>
  <w:num w:numId="35">
    <w:abstractNumId w:val="33"/>
  </w:num>
  <w:num w:numId="36">
    <w:abstractNumId w:val="19"/>
  </w:num>
  <w:num w:numId="37">
    <w:abstractNumId w:val="8"/>
  </w:num>
  <w:num w:numId="38">
    <w:abstractNumId w:val="6"/>
  </w:num>
  <w:num w:numId="39">
    <w:abstractNumId w:val="3"/>
  </w:num>
  <w:num w:numId="40">
    <w:abstractNumId w:val="5"/>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7A"/>
    <w:rsid w:val="00004E20"/>
    <w:rsid w:val="00006624"/>
    <w:rsid w:val="000066E0"/>
    <w:rsid w:val="00010D0C"/>
    <w:rsid w:val="00010DCB"/>
    <w:rsid w:val="00011521"/>
    <w:rsid w:val="000115FD"/>
    <w:rsid w:val="00012AF5"/>
    <w:rsid w:val="000134ED"/>
    <w:rsid w:val="00014617"/>
    <w:rsid w:val="0001601C"/>
    <w:rsid w:val="0001649C"/>
    <w:rsid w:val="000166F1"/>
    <w:rsid w:val="00016BD7"/>
    <w:rsid w:val="000177E0"/>
    <w:rsid w:val="0002118A"/>
    <w:rsid w:val="00021D50"/>
    <w:rsid w:val="00023D55"/>
    <w:rsid w:val="000244FB"/>
    <w:rsid w:val="00030D13"/>
    <w:rsid w:val="00032A99"/>
    <w:rsid w:val="000349A4"/>
    <w:rsid w:val="00035376"/>
    <w:rsid w:val="00035B1B"/>
    <w:rsid w:val="000403FA"/>
    <w:rsid w:val="000416C8"/>
    <w:rsid w:val="00044E20"/>
    <w:rsid w:val="00045ACC"/>
    <w:rsid w:val="000460F3"/>
    <w:rsid w:val="0004653A"/>
    <w:rsid w:val="0005040A"/>
    <w:rsid w:val="00051953"/>
    <w:rsid w:val="00055C5C"/>
    <w:rsid w:val="00055C92"/>
    <w:rsid w:val="00055D15"/>
    <w:rsid w:val="00056983"/>
    <w:rsid w:val="00060002"/>
    <w:rsid w:val="000617FD"/>
    <w:rsid w:val="00063DE3"/>
    <w:rsid w:val="00065218"/>
    <w:rsid w:val="000655AC"/>
    <w:rsid w:val="000715DD"/>
    <w:rsid w:val="000746F9"/>
    <w:rsid w:val="00074E92"/>
    <w:rsid w:val="000758B7"/>
    <w:rsid w:val="00076141"/>
    <w:rsid w:val="000765A6"/>
    <w:rsid w:val="00076CF6"/>
    <w:rsid w:val="00077345"/>
    <w:rsid w:val="00077AFA"/>
    <w:rsid w:val="00077F26"/>
    <w:rsid w:val="000820DE"/>
    <w:rsid w:val="00083AE7"/>
    <w:rsid w:val="000844D3"/>
    <w:rsid w:val="00090317"/>
    <w:rsid w:val="0009119E"/>
    <w:rsid w:val="00091F8A"/>
    <w:rsid w:val="000943F0"/>
    <w:rsid w:val="00096F5A"/>
    <w:rsid w:val="00097ACC"/>
    <w:rsid w:val="000A50FB"/>
    <w:rsid w:val="000A5428"/>
    <w:rsid w:val="000A5C4A"/>
    <w:rsid w:val="000A655F"/>
    <w:rsid w:val="000B10A2"/>
    <w:rsid w:val="000B57D7"/>
    <w:rsid w:val="000B699E"/>
    <w:rsid w:val="000C1F69"/>
    <w:rsid w:val="000C2949"/>
    <w:rsid w:val="000C3148"/>
    <w:rsid w:val="000C3453"/>
    <w:rsid w:val="000C7C3A"/>
    <w:rsid w:val="000D255B"/>
    <w:rsid w:val="000D36F5"/>
    <w:rsid w:val="000D434B"/>
    <w:rsid w:val="000D6019"/>
    <w:rsid w:val="000D63F9"/>
    <w:rsid w:val="000D72D3"/>
    <w:rsid w:val="000D7DC9"/>
    <w:rsid w:val="000E0F47"/>
    <w:rsid w:val="000E21CC"/>
    <w:rsid w:val="000E3059"/>
    <w:rsid w:val="000E4AC5"/>
    <w:rsid w:val="000E53CE"/>
    <w:rsid w:val="000E575E"/>
    <w:rsid w:val="000E7114"/>
    <w:rsid w:val="000F35A3"/>
    <w:rsid w:val="000F3ECA"/>
    <w:rsid w:val="000F489D"/>
    <w:rsid w:val="000F4BE6"/>
    <w:rsid w:val="000F57FE"/>
    <w:rsid w:val="000F76E9"/>
    <w:rsid w:val="00101BB8"/>
    <w:rsid w:val="0010477E"/>
    <w:rsid w:val="00106342"/>
    <w:rsid w:val="001076DA"/>
    <w:rsid w:val="00116014"/>
    <w:rsid w:val="001173FF"/>
    <w:rsid w:val="00117B38"/>
    <w:rsid w:val="00117C6E"/>
    <w:rsid w:val="00117DB0"/>
    <w:rsid w:val="001207EA"/>
    <w:rsid w:val="00121A19"/>
    <w:rsid w:val="001223DA"/>
    <w:rsid w:val="00123F09"/>
    <w:rsid w:val="00125B76"/>
    <w:rsid w:val="001262FF"/>
    <w:rsid w:val="00130226"/>
    <w:rsid w:val="00134034"/>
    <w:rsid w:val="00134E70"/>
    <w:rsid w:val="00135776"/>
    <w:rsid w:val="00135E83"/>
    <w:rsid w:val="001436B1"/>
    <w:rsid w:val="001440F6"/>
    <w:rsid w:val="00144DBB"/>
    <w:rsid w:val="00145329"/>
    <w:rsid w:val="00147177"/>
    <w:rsid w:val="00151E9C"/>
    <w:rsid w:val="00152AAA"/>
    <w:rsid w:val="00152D38"/>
    <w:rsid w:val="00156F41"/>
    <w:rsid w:val="00162915"/>
    <w:rsid w:val="00162932"/>
    <w:rsid w:val="00165EC0"/>
    <w:rsid w:val="00166365"/>
    <w:rsid w:val="00166592"/>
    <w:rsid w:val="00166CC6"/>
    <w:rsid w:val="00170807"/>
    <w:rsid w:val="00170FDE"/>
    <w:rsid w:val="00172438"/>
    <w:rsid w:val="001724CA"/>
    <w:rsid w:val="001745F0"/>
    <w:rsid w:val="00174E90"/>
    <w:rsid w:val="001755AE"/>
    <w:rsid w:val="001828DA"/>
    <w:rsid w:val="00185AF0"/>
    <w:rsid w:val="00186130"/>
    <w:rsid w:val="00192000"/>
    <w:rsid w:val="00192796"/>
    <w:rsid w:val="0019499F"/>
    <w:rsid w:val="001956CC"/>
    <w:rsid w:val="0019663C"/>
    <w:rsid w:val="00197F08"/>
    <w:rsid w:val="001A09A7"/>
    <w:rsid w:val="001A4045"/>
    <w:rsid w:val="001A768E"/>
    <w:rsid w:val="001A7FBB"/>
    <w:rsid w:val="001B254F"/>
    <w:rsid w:val="001B3AB0"/>
    <w:rsid w:val="001B47B9"/>
    <w:rsid w:val="001B47FE"/>
    <w:rsid w:val="001B7F50"/>
    <w:rsid w:val="001C007E"/>
    <w:rsid w:val="001C1BC4"/>
    <w:rsid w:val="001C27F6"/>
    <w:rsid w:val="001C6419"/>
    <w:rsid w:val="001D089F"/>
    <w:rsid w:val="001D0E4D"/>
    <w:rsid w:val="001D10CF"/>
    <w:rsid w:val="001D267B"/>
    <w:rsid w:val="001D4088"/>
    <w:rsid w:val="001D5458"/>
    <w:rsid w:val="001D72F3"/>
    <w:rsid w:val="001D7D6B"/>
    <w:rsid w:val="001E127B"/>
    <w:rsid w:val="001E19E3"/>
    <w:rsid w:val="001E2B35"/>
    <w:rsid w:val="001E3817"/>
    <w:rsid w:val="001E4406"/>
    <w:rsid w:val="001E4A78"/>
    <w:rsid w:val="001E5789"/>
    <w:rsid w:val="001E6040"/>
    <w:rsid w:val="001F1398"/>
    <w:rsid w:val="001F160E"/>
    <w:rsid w:val="001F4740"/>
    <w:rsid w:val="001F532C"/>
    <w:rsid w:val="001F60BD"/>
    <w:rsid w:val="001F68FE"/>
    <w:rsid w:val="001F6A82"/>
    <w:rsid w:val="001F6B45"/>
    <w:rsid w:val="001F6C81"/>
    <w:rsid w:val="002009B6"/>
    <w:rsid w:val="00200F3D"/>
    <w:rsid w:val="002020EB"/>
    <w:rsid w:val="00202C11"/>
    <w:rsid w:val="00205287"/>
    <w:rsid w:val="00206B66"/>
    <w:rsid w:val="002111E9"/>
    <w:rsid w:val="00211B44"/>
    <w:rsid w:val="00211C29"/>
    <w:rsid w:val="00212658"/>
    <w:rsid w:val="00213538"/>
    <w:rsid w:val="0021442B"/>
    <w:rsid w:val="00216851"/>
    <w:rsid w:val="00216B29"/>
    <w:rsid w:val="002176DE"/>
    <w:rsid w:val="00217C5C"/>
    <w:rsid w:val="00220658"/>
    <w:rsid w:val="00220C84"/>
    <w:rsid w:val="00221D78"/>
    <w:rsid w:val="00225347"/>
    <w:rsid w:val="00226B60"/>
    <w:rsid w:val="00231E89"/>
    <w:rsid w:val="0023221B"/>
    <w:rsid w:val="0023377D"/>
    <w:rsid w:val="0023453B"/>
    <w:rsid w:val="002364EE"/>
    <w:rsid w:val="0024108C"/>
    <w:rsid w:val="00242985"/>
    <w:rsid w:val="00244AA9"/>
    <w:rsid w:val="00244CF8"/>
    <w:rsid w:val="00250158"/>
    <w:rsid w:val="002507BD"/>
    <w:rsid w:val="00251814"/>
    <w:rsid w:val="00253B96"/>
    <w:rsid w:val="00254DB2"/>
    <w:rsid w:val="002605CE"/>
    <w:rsid w:val="00261109"/>
    <w:rsid w:val="00261232"/>
    <w:rsid w:val="00263847"/>
    <w:rsid w:val="00263FDC"/>
    <w:rsid w:val="00264092"/>
    <w:rsid w:val="0026513B"/>
    <w:rsid w:val="00265627"/>
    <w:rsid w:val="00266261"/>
    <w:rsid w:val="0027071B"/>
    <w:rsid w:val="00273754"/>
    <w:rsid w:val="00275B74"/>
    <w:rsid w:val="00277310"/>
    <w:rsid w:val="002804D1"/>
    <w:rsid w:val="002813CD"/>
    <w:rsid w:val="0028351F"/>
    <w:rsid w:val="00284EBA"/>
    <w:rsid w:val="00292899"/>
    <w:rsid w:val="00296A16"/>
    <w:rsid w:val="002978B3"/>
    <w:rsid w:val="00297B8E"/>
    <w:rsid w:val="002A3917"/>
    <w:rsid w:val="002A3CB0"/>
    <w:rsid w:val="002A3EE9"/>
    <w:rsid w:val="002A4BC1"/>
    <w:rsid w:val="002A7849"/>
    <w:rsid w:val="002B47D3"/>
    <w:rsid w:val="002B523B"/>
    <w:rsid w:val="002C1B6B"/>
    <w:rsid w:val="002C451F"/>
    <w:rsid w:val="002C6C2A"/>
    <w:rsid w:val="002D0230"/>
    <w:rsid w:val="002D08D5"/>
    <w:rsid w:val="002D1FAA"/>
    <w:rsid w:val="002D5D4A"/>
    <w:rsid w:val="002E05FA"/>
    <w:rsid w:val="002E0A12"/>
    <w:rsid w:val="002E206B"/>
    <w:rsid w:val="002E2742"/>
    <w:rsid w:val="002E27E9"/>
    <w:rsid w:val="002E35A6"/>
    <w:rsid w:val="002E6229"/>
    <w:rsid w:val="002E7781"/>
    <w:rsid w:val="002F0CB8"/>
    <w:rsid w:val="002F407D"/>
    <w:rsid w:val="002F40B3"/>
    <w:rsid w:val="002F5B9F"/>
    <w:rsid w:val="002F6684"/>
    <w:rsid w:val="00301F6B"/>
    <w:rsid w:val="00302035"/>
    <w:rsid w:val="00302DF0"/>
    <w:rsid w:val="00303E7F"/>
    <w:rsid w:val="00305AEB"/>
    <w:rsid w:val="003066FD"/>
    <w:rsid w:val="00311827"/>
    <w:rsid w:val="003142E8"/>
    <w:rsid w:val="003143D2"/>
    <w:rsid w:val="00323160"/>
    <w:rsid w:val="00331D5E"/>
    <w:rsid w:val="00331F7B"/>
    <w:rsid w:val="00332198"/>
    <w:rsid w:val="00332853"/>
    <w:rsid w:val="0033341F"/>
    <w:rsid w:val="00335FA8"/>
    <w:rsid w:val="0033698F"/>
    <w:rsid w:val="00340515"/>
    <w:rsid w:val="00341911"/>
    <w:rsid w:val="00342EB7"/>
    <w:rsid w:val="00344D76"/>
    <w:rsid w:val="00344EAF"/>
    <w:rsid w:val="00345DFA"/>
    <w:rsid w:val="003513DE"/>
    <w:rsid w:val="00351AE7"/>
    <w:rsid w:val="00351BE8"/>
    <w:rsid w:val="00352206"/>
    <w:rsid w:val="00353906"/>
    <w:rsid w:val="00355DB1"/>
    <w:rsid w:val="00355EBF"/>
    <w:rsid w:val="00357891"/>
    <w:rsid w:val="00360CD0"/>
    <w:rsid w:val="00361A71"/>
    <w:rsid w:val="00363050"/>
    <w:rsid w:val="003639E4"/>
    <w:rsid w:val="00363D58"/>
    <w:rsid w:val="0036451A"/>
    <w:rsid w:val="00364746"/>
    <w:rsid w:val="00366EFC"/>
    <w:rsid w:val="0036704F"/>
    <w:rsid w:val="0037196C"/>
    <w:rsid w:val="00373BAD"/>
    <w:rsid w:val="00373E42"/>
    <w:rsid w:val="00375202"/>
    <w:rsid w:val="003752B7"/>
    <w:rsid w:val="00375A38"/>
    <w:rsid w:val="003814DC"/>
    <w:rsid w:val="00381F81"/>
    <w:rsid w:val="00383FC5"/>
    <w:rsid w:val="0038566C"/>
    <w:rsid w:val="00385767"/>
    <w:rsid w:val="00386A18"/>
    <w:rsid w:val="00387709"/>
    <w:rsid w:val="00391881"/>
    <w:rsid w:val="00392DA2"/>
    <w:rsid w:val="00392E56"/>
    <w:rsid w:val="00393393"/>
    <w:rsid w:val="003952E4"/>
    <w:rsid w:val="00395501"/>
    <w:rsid w:val="00395D35"/>
    <w:rsid w:val="00395E27"/>
    <w:rsid w:val="003977FF"/>
    <w:rsid w:val="003A0C60"/>
    <w:rsid w:val="003A246E"/>
    <w:rsid w:val="003A2E6F"/>
    <w:rsid w:val="003A40BC"/>
    <w:rsid w:val="003A7174"/>
    <w:rsid w:val="003A7B38"/>
    <w:rsid w:val="003B201D"/>
    <w:rsid w:val="003B4BA7"/>
    <w:rsid w:val="003B4E20"/>
    <w:rsid w:val="003B5812"/>
    <w:rsid w:val="003B5C21"/>
    <w:rsid w:val="003B61B1"/>
    <w:rsid w:val="003C2892"/>
    <w:rsid w:val="003C5326"/>
    <w:rsid w:val="003C591D"/>
    <w:rsid w:val="003C7860"/>
    <w:rsid w:val="003D2318"/>
    <w:rsid w:val="003D5A50"/>
    <w:rsid w:val="003D6873"/>
    <w:rsid w:val="003D7CF9"/>
    <w:rsid w:val="003E0812"/>
    <w:rsid w:val="003E0C41"/>
    <w:rsid w:val="003E2214"/>
    <w:rsid w:val="003E397C"/>
    <w:rsid w:val="003E412B"/>
    <w:rsid w:val="003E467D"/>
    <w:rsid w:val="003E492E"/>
    <w:rsid w:val="003F506C"/>
    <w:rsid w:val="003F749B"/>
    <w:rsid w:val="003F74A6"/>
    <w:rsid w:val="00401ED8"/>
    <w:rsid w:val="004027AC"/>
    <w:rsid w:val="00402C08"/>
    <w:rsid w:val="00405484"/>
    <w:rsid w:val="004060A7"/>
    <w:rsid w:val="00406479"/>
    <w:rsid w:val="004119AB"/>
    <w:rsid w:val="004121DC"/>
    <w:rsid w:val="0041294D"/>
    <w:rsid w:val="0041357E"/>
    <w:rsid w:val="00413890"/>
    <w:rsid w:val="00413DEE"/>
    <w:rsid w:val="004173FB"/>
    <w:rsid w:val="00417EBC"/>
    <w:rsid w:val="004239CA"/>
    <w:rsid w:val="004239E1"/>
    <w:rsid w:val="00424FF8"/>
    <w:rsid w:val="00425702"/>
    <w:rsid w:val="00430151"/>
    <w:rsid w:val="0043398C"/>
    <w:rsid w:val="00440CA8"/>
    <w:rsid w:val="0044171B"/>
    <w:rsid w:val="00442797"/>
    <w:rsid w:val="00442A86"/>
    <w:rsid w:val="00442F05"/>
    <w:rsid w:val="00442F76"/>
    <w:rsid w:val="00442F83"/>
    <w:rsid w:val="004465D9"/>
    <w:rsid w:val="0044714D"/>
    <w:rsid w:val="00447AA8"/>
    <w:rsid w:val="004530AC"/>
    <w:rsid w:val="0045599E"/>
    <w:rsid w:val="00455F29"/>
    <w:rsid w:val="00456881"/>
    <w:rsid w:val="00457D57"/>
    <w:rsid w:val="00461F1A"/>
    <w:rsid w:val="00462185"/>
    <w:rsid w:val="0046389B"/>
    <w:rsid w:val="0046791E"/>
    <w:rsid w:val="00470D93"/>
    <w:rsid w:val="0047180C"/>
    <w:rsid w:val="00472720"/>
    <w:rsid w:val="00472EAC"/>
    <w:rsid w:val="00481272"/>
    <w:rsid w:val="00481890"/>
    <w:rsid w:val="00482420"/>
    <w:rsid w:val="004827A1"/>
    <w:rsid w:val="00482E1C"/>
    <w:rsid w:val="004839BC"/>
    <w:rsid w:val="00484755"/>
    <w:rsid w:val="00490991"/>
    <w:rsid w:val="004914CD"/>
    <w:rsid w:val="00491E09"/>
    <w:rsid w:val="00495729"/>
    <w:rsid w:val="00496FB4"/>
    <w:rsid w:val="004A0E93"/>
    <w:rsid w:val="004A2A5D"/>
    <w:rsid w:val="004A2B27"/>
    <w:rsid w:val="004A2CE1"/>
    <w:rsid w:val="004A34B0"/>
    <w:rsid w:val="004A4245"/>
    <w:rsid w:val="004A46C1"/>
    <w:rsid w:val="004A4B96"/>
    <w:rsid w:val="004B185F"/>
    <w:rsid w:val="004B3227"/>
    <w:rsid w:val="004B3B1F"/>
    <w:rsid w:val="004B3E17"/>
    <w:rsid w:val="004B5B44"/>
    <w:rsid w:val="004B62FC"/>
    <w:rsid w:val="004C0CD0"/>
    <w:rsid w:val="004C2B28"/>
    <w:rsid w:val="004C3A10"/>
    <w:rsid w:val="004C48C2"/>
    <w:rsid w:val="004C580C"/>
    <w:rsid w:val="004C5A7B"/>
    <w:rsid w:val="004D015D"/>
    <w:rsid w:val="004D1498"/>
    <w:rsid w:val="004D24CF"/>
    <w:rsid w:val="004D4B31"/>
    <w:rsid w:val="004D5139"/>
    <w:rsid w:val="004D55FA"/>
    <w:rsid w:val="004D5B53"/>
    <w:rsid w:val="004D67B1"/>
    <w:rsid w:val="004D6BDA"/>
    <w:rsid w:val="004D7125"/>
    <w:rsid w:val="004D78E6"/>
    <w:rsid w:val="004E02BE"/>
    <w:rsid w:val="004E1B5C"/>
    <w:rsid w:val="004E44E2"/>
    <w:rsid w:val="004E5601"/>
    <w:rsid w:val="004F0C84"/>
    <w:rsid w:val="004F309C"/>
    <w:rsid w:val="004F37E4"/>
    <w:rsid w:val="004F38AF"/>
    <w:rsid w:val="004F5149"/>
    <w:rsid w:val="004F6B3D"/>
    <w:rsid w:val="005002A1"/>
    <w:rsid w:val="005017D8"/>
    <w:rsid w:val="005019B4"/>
    <w:rsid w:val="00501FDA"/>
    <w:rsid w:val="00503FF5"/>
    <w:rsid w:val="00506681"/>
    <w:rsid w:val="005106F7"/>
    <w:rsid w:val="005109FA"/>
    <w:rsid w:val="00512B32"/>
    <w:rsid w:val="005139C9"/>
    <w:rsid w:val="00514714"/>
    <w:rsid w:val="00516339"/>
    <w:rsid w:val="00516A4F"/>
    <w:rsid w:val="00520F7B"/>
    <w:rsid w:val="00521563"/>
    <w:rsid w:val="00522CD5"/>
    <w:rsid w:val="00524BC7"/>
    <w:rsid w:val="005255D1"/>
    <w:rsid w:val="00525996"/>
    <w:rsid w:val="00527EA3"/>
    <w:rsid w:val="005346BE"/>
    <w:rsid w:val="00535F77"/>
    <w:rsid w:val="00536C6F"/>
    <w:rsid w:val="00537249"/>
    <w:rsid w:val="00542AF1"/>
    <w:rsid w:val="00543E6D"/>
    <w:rsid w:val="00543EC4"/>
    <w:rsid w:val="00550103"/>
    <w:rsid w:val="00552B97"/>
    <w:rsid w:val="00553332"/>
    <w:rsid w:val="00554135"/>
    <w:rsid w:val="005543D5"/>
    <w:rsid w:val="00554E16"/>
    <w:rsid w:val="005602F1"/>
    <w:rsid w:val="005619D6"/>
    <w:rsid w:val="00562452"/>
    <w:rsid w:val="00562EF0"/>
    <w:rsid w:val="00571FF3"/>
    <w:rsid w:val="005729BD"/>
    <w:rsid w:val="0057596A"/>
    <w:rsid w:val="00577EB0"/>
    <w:rsid w:val="0058256D"/>
    <w:rsid w:val="005826FC"/>
    <w:rsid w:val="00583D21"/>
    <w:rsid w:val="00586598"/>
    <w:rsid w:val="005900F5"/>
    <w:rsid w:val="0059029D"/>
    <w:rsid w:val="005924D3"/>
    <w:rsid w:val="00593730"/>
    <w:rsid w:val="005945EA"/>
    <w:rsid w:val="00595F59"/>
    <w:rsid w:val="00597F3B"/>
    <w:rsid w:val="005A2251"/>
    <w:rsid w:val="005A270A"/>
    <w:rsid w:val="005A28AB"/>
    <w:rsid w:val="005A558A"/>
    <w:rsid w:val="005A56BF"/>
    <w:rsid w:val="005A63B9"/>
    <w:rsid w:val="005B0004"/>
    <w:rsid w:val="005B4841"/>
    <w:rsid w:val="005B4F52"/>
    <w:rsid w:val="005B7B53"/>
    <w:rsid w:val="005B7C38"/>
    <w:rsid w:val="005C0C95"/>
    <w:rsid w:val="005C1867"/>
    <w:rsid w:val="005C1CD0"/>
    <w:rsid w:val="005C1F5D"/>
    <w:rsid w:val="005C4147"/>
    <w:rsid w:val="005C4451"/>
    <w:rsid w:val="005C4C22"/>
    <w:rsid w:val="005C5B16"/>
    <w:rsid w:val="005C5B1C"/>
    <w:rsid w:val="005C5F52"/>
    <w:rsid w:val="005C6AB8"/>
    <w:rsid w:val="005D5891"/>
    <w:rsid w:val="005D5DBC"/>
    <w:rsid w:val="005D7417"/>
    <w:rsid w:val="005D77F9"/>
    <w:rsid w:val="005E11F9"/>
    <w:rsid w:val="005E1402"/>
    <w:rsid w:val="005E282B"/>
    <w:rsid w:val="005E2937"/>
    <w:rsid w:val="005E29F2"/>
    <w:rsid w:val="005E2AC8"/>
    <w:rsid w:val="005E5A82"/>
    <w:rsid w:val="005E6AB4"/>
    <w:rsid w:val="005E7E74"/>
    <w:rsid w:val="005F0386"/>
    <w:rsid w:val="005F1574"/>
    <w:rsid w:val="005F2C5E"/>
    <w:rsid w:val="005F36A6"/>
    <w:rsid w:val="005F39CC"/>
    <w:rsid w:val="005F6EA1"/>
    <w:rsid w:val="005F7C27"/>
    <w:rsid w:val="00600897"/>
    <w:rsid w:val="00600C81"/>
    <w:rsid w:val="006017DA"/>
    <w:rsid w:val="006052D6"/>
    <w:rsid w:val="006128C9"/>
    <w:rsid w:val="0061584D"/>
    <w:rsid w:val="00616A7D"/>
    <w:rsid w:val="00616B30"/>
    <w:rsid w:val="00616B71"/>
    <w:rsid w:val="00617CFF"/>
    <w:rsid w:val="0062242C"/>
    <w:rsid w:val="00625411"/>
    <w:rsid w:val="00626529"/>
    <w:rsid w:val="006265D9"/>
    <w:rsid w:val="00626C45"/>
    <w:rsid w:val="006314E1"/>
    <w:rsid w:val="006329D7"/>
    <w:rsid w:val="0063303B"/>
    <w:rsid w:val="00635852"/>
    <w:rsid w:val="0063797D"/>
    <w:rsid w:val="00641B5D"/>
    <w:rsid w:val="0064207A"/>
    <w:rsid w:val="0064332B"/>
    <w:rsid w:val="00643756"/>
    <w:rsid w:val="006445B0"/>
    <w:rsid w:val="00646188"/>
    <w:rsid w:val="00646221"/>
    <w:rsid w:val="00646511"/>
    <w:rsid w:val="00646EC8"/>
    <w:rsid w:val="006477AA"/>
    <w:rsid w:val="00647ACE"/>
    <w:rsid w:val="00652243"/>
    <w:rsid w:val="006524BA"/>
    <w:rsid w:val="00653B3B"/>
    <w:rsid w:val="006577B2"/>
    <w:rsid w:val="00657D61"/>
    <w:rsid w:val="00660E58"/>
    <w:rsid w:val="00661BDD"/>
    <w:rsid w:val="00662F40"/>
    <w:rsid w:val="006646BA"/>
    <w:rsid w:val="006651BF"/>
    <w:rsid w:val="00666D78"/>
    <w:rsid w:val="00671A5F"/>
    <w:rsid w:val="006748C4"/>
    <w:rsid w:val="006762A4"/>
    <w:rsid w:val="00680142"/>
    <w:rsid w:val="00681169"/>
    <w:rsid w:val="006816DB"/>
    <w:rsid w:val="00681A5F"/>
    <w:rsid w:val="0068284C"/>
    <w:rsid w:val="006837A2"/>
    <w:rsid w:val="006852E6"/>
    <w:rsid w:val="00685822"/>
    <w:rsid w:val="00686FED"/>
    <w:rsid w:val="0069131E"/>
    <w:rsid w:val="00692E81"/>
    <w:rsid w:val="00694066"/>
    <w:rsid w:val="006953C3"/>
    <w:rsid w:val="006963B5"/>
    <w:rsid w:val="006A05D7"/>
    <w:rsid w:val="006A16D1"/>
    <w:rsid w:val="006A1F8C"/>
    <w:rsid w:val="006A364B"/>
    <w:rsid w:val="006A3656"/>
    <w:rsid w:val="006A366D"/>
    <w:rsid w:val="006A437F"/>
    <w:rsid w:val="006A560C"/>
    <w:rsid w:val="006A74F0"/>
    <w:rsid w:val="006A7D30"/>
    <w:rsid w:val="006B1889"/>
    <w:rsid w:val="006B602B"/>
    <w:rsid w:val="006B671B"/>
    <w:rsid w:val="006B7394"/>
    <w:rsid w:val="006C00A0"/>
    <w:rsid w:val="006C30DD"/>
    <w:rsid w:val="006C3FEA"/>
    <w:rsid w:val="006C4560"/>
    <w:rsid w:val="006C68A4"/>
    <w:rsid w:val="006C7D9F"/>
    <w:rsid w:val="006D36FB"/>
    <w:rsid w:val="006D3C47"/>
    <w:rsid w:val="006D4A95"/>
    <w:rsid w:val="006D6434"/>
    <w:rsid w:val="006D6A9B"/>
    <w:rsid w:val="006D7EE8"/>
    <w:rsid w:val="006E0715"/>
    <w:rsid w:val="006E3E70"/>
    <w:rsid w:val="006E52CA"/>
    <w:rsid w:val="006E5348"/>
    <w:rsid w:val="006F06A4"/>
    <w:rsid w:val="006F24A2"/>
    <w:rsid w:val="006F428D"/>
    <w:rsid w:val="006F614B"/>
    <w:rsid w:val="006F7079"/>
    <w:rsid w:val="006F7F1C"/>
    <w:rsid w:val="00700556"/>
    <w:rsid w:val="00702562"/>
    <w:rsid w:val="00702726"/>
    <w:rsid w:val="0070293E"/>
    <w:rsid w:val="007039D8"/>
    <w:rsid w:val="00705494"/>
    <w:rsid w:val="00705B02"/>
    <w:rsid w:val="007125B8"/>
    <w:rsid w:val="00713A97"/>
    <w:rsid w:val="00714F3D"/>
    <w:rsid w:val="007154B5"/>
    <w:rsid w:val="00715874"/>
    <w:rsid w:val="007175DF"/>
    <w:rsid w:val="00721264"/>
    <w:rsid w:val="007270EE"/>
    <w:rsid w:val="0073606C"/>
    <w:rsid w:val="00736A66"/>
    <w:rsid w:val="00737F76"/>
    <w:rsid w:val="00740007"/>
    <w:rsid w:val="0074301B"/>
    <w:rsid w:val="00745A4E"/>
    <w:rsid w:val="007466D2"/>
    <w:rsid w:val="00747249"/>
    <w:rsid w:val="0074754D"/>
    <w:rsid w:val="007475E9"/>
    <w:rsid w:val="00751875"/>
    <w:rsid w:val="00753BA2"/>
    <w:rsid w:val="00753DBB"/>
    <w:rsid w:val="00754377"/>
    <w:rsid w:val="0075452A"/>
    <w:rsid w:val="0075631F"/>
    <w:rsid w:val="007602C2"/>
    <w:rsid w:val="0076086E"/>
    <w:rsid w:val="00763738"/>
    <w:rsid w:val="00764650"/>
    <w:rsid w:val="00765B3B"/>
    <w:rsid w:val="0076778C"/>
    <w:rsid w:val="00770EE6"/>
    <w:rsid w:val="007729A7"/>
    <w:rsid w:val="00773B4A"/>
    <w:rsid w:val="007759C2"/>
    <w:rsid w:val="00775B97"/>
    <w:rsid w:val="00776616"/>
    <w:rsid w:val="00780CCC"/>
    <w:rsid w:val="0078220E"/>
    <w:rsid w:val="00794355"/>
    <w:rsid w:val="00795CB6"/>
    <w:rsid w:val="0079645B"/>
    <w:rsid w:val="007979CD"/>
    <w:rsid w:val="007A176A"/>
    <w:rsid w:val="007A1DE0"/>
    <w:rsid w:val="007A2BCE"/>
    <w:rsid w:val="007A2BFF"/>
    <w:rsid w:val="007A353C"/>
    <w:rsid w:val="007B154D"/>
    <w:rsid w:val="007B4026"/>
    <w:rsid w:val="007B5019"/>
    <w:rsid w:val="007B5242"/>
    <w:rsid w:val="007B6E26"/>
    <w:rsid w:val="007C0715"/>
    <w:rsid w:val="007C1BEB"/>
    <w:rsid w:val="007C1D00"/>
    <w:rsid w:val="007C32D9"/>
    <w:rsid w:val="007C7DEE"/>
    <w:rsid w:val="007C7E70"/>
    <w:rsid w:val="007D1938"/>
    <w:rsid w:val="007D3B59"/>
    <w:rsid w:val="007D44B4"/>
    <w:rsid w:val="007D499A"/>
    <w:rsid w:val="007D4AF8"/>
    <w:rsid w:val="007D6631"/>
    <w:rsid w:val="007D7C60"/>
    <w:rsid w:val="007E42D0"/>
    <w:rsid w:val="007E46AA"/>
    <w:rsid w:val="007E6A0E"/>
    <w:rsid w:val="007E7216"/>
    <w:rsid w:val="007F0EEE"/>
    <w:rsid w:val="007F25D5"/>
    <w:rsid w:val="007F3C33"/>
    <w:rsid w:val="007F420A"/>
    <w:rsid w:val="007F4955"/>
    <w:rsid w:val="007F5858"/>
    <w:rsid w:val="007F6983"/>
    <w:rsid w:val="007F6A8F"/>
    <w:rsid w:val="007F7D0D"/>
    <w:rsid w:val="008003C4"/>
    <w:rsid w:val="0080074E"/>
    <w:rsid w:val="008051BC"/>
    <w:rsid w:val="00805958"/>
    <w:rsid w:val="00810FF3"/>
    <w:rsid w:val="008116F2"/>
    <w:rsid w:val="00811C4A"/>
    <w:rsid w:val="0081218E"/>
    <w:rsid w:val="0081251C"/>
    <w:rsid w:val="008154BB"/>
    <w:rsid w:val="00817F45"/>
    <w:rsid w:val="0082028B"/>
    <w:rsid w:val="00820C78"/>
    <w:rsid w:val="00820F27"/>
    <w:rsid w:val="00822569"/>
    <w:rsid w:val="008240CB"/>
    <w:rsid w:val="0082549D"/>
    <w:rsid w:val="00827ED5"/>
    <w:rsid w:val="008302DD"/>
    <w:rsid w:val="008317F5"/>
    <w:rsid w:val="0083352F"/>
    <w:rsid w:val="0083421F"/>
    <w:rsid w:val="00835A97"/>
    <w:rsid w:val="00835EFD"/>
    <w:rsid w:val="0083604B"/>
    <w:rsid w:val="00840CEC"/>
    <w:rsid w:val="0084204A"/>
    <w:rsid w:val="00842124"/>
    <w:rsid w:val="00842E43"/>
    <w:rsid w:val="00842E5A"/>
    <w:rsid w:val="00843C24"/>
    <w:rsid w:val="00844861"/>
    <w:rsid w:val="008450FE"/>
    <w:rsid w:val="0084539D"/>
    <w:rsid w:val="00846622"/>
    <w:rsid w:val="00847C9A"/>
    <w:rsid w:val="008513E2"/>
    <w:rsid w:val="00851A8D"/>
    <w:rsid w:val="00852F99"/>
    <w:rsid w:val="0085320E"/>
    <w:rsid w:val="008537F3"/>
    <w:rsid w:val="00853CA0"/>
    <w:rsid w:val="0085461F"/>
    <w:rsid w:val="0085469B"/>
    <w:rsid w:val="00861691"/>
    <w:rsid w:val="00861DB7"/>
    <w:rsid w:val="0086229E"/>
    <w:rsid w:val="008626E8"/>
    <w:rsid w:val="00862ACA"/>
    <w:rsid w:val="00862C32"/>
    <w:rsid w:val="00864A6B"/>
    <w:rsid w:val="00865321"/>
    <w:rsid w:val="0086535B"/>
    <w:rsid w:val="0086711F"/>
    <w:rsid w:val="008677D3"/>
    <w:rsid w:val="0086791D"/>
    <w:rsid w:val="00867C79"/>
    <w:rsid w:val="00871F42"/>
    <w:rsid w:val="008722C1"/>
    <w:rsid w:val="008757E2"/>
    <w:rsid w:val="008767E2"/>
    <w:rsid w:val="00881B8C"/>
    <w:rsid w:val="00881BE3"/>
    <w:rsid w:val="00882881"/>
    <w:rsid w:val="00882CC5"/>
    <w:rsid w:val="008839E0"/>
    <w:rsid w:val="00884A5D"/>
    <w:rsid w:val="00884F0A"/>
    <w:rsid w:val="0088630D"/>
    <w:rsid w:val="0088636C"/>
    <w:rsid w:val="0088653C"/>
    <w:rsid w:val="00886F2A"/>
    <w:rsid w:val="008906A7"/>
    <w:rsid w:val="00890886"/>
    <w:rsid w:val="00890AEF"/>
    <w:rsid w:val="008966F8"/>
    <w:rsid w:val="008A03E6"/>
    <w:rsid w:val="008A102F"/>
    <w:rsid w:val="008A1554"/>
    <w:rsid w:val="008A2D10"/>
    <w:rsid w:val="008A34AF"/>
    <w:rsid w:val="008A3C17"/>
    <w:rsid w:val="008A4D6A"/>
    <w:rsid w:val="008A52C6"/>
    <w:rsid w:val="008A5754"/>
    <w:rsid w:val="008A582D"/>
    <w:rsid w:val="008A6237"/>
    <w:rsid w:val="008A7A14"/>
    <w:rsid w:val="008B186E"/>
    <w:rsid w:val="008B30E3"/>
    <w:rsid w:val="008B5F82"/>
    <w:rsid w:val="008C0937"/>
    <w:rsid w:val="008C27E2"/>
    <w:rsid w:val="008C5FDD"/>
    <w:rsid w:val="008D0DC4"/>
    <w:rsid w:val="008D1654"/>
    <w:rsid w:val="008D204B"/>
    <w:rsid w:val="008D4BCC"/>
    <w:rsid w:val="008D51A0"/>
    <w:rsid w:val="008D5332"/>
    <w:rsid w:val="008D6515"/>
    <w:rsid w:val="008D68B2"/>
    <w:rsid w:val="008D6F75"/>
    <w:rsid w:val="008D7CEF"/>
    <w:rsid w:val="008E1F1F"/>
    <w:rsid w:val="008E203E"/>
    <w:rsid w:val="008E2FB9"/>
    <w:rsid w:val="008E3102"/>
    <w:rsid w:val="008E364C"/>
    <w:rsid w:val="008E36D0"/>
    <w:rsid w:val="008E3C2F"/>
    <w:rsid w:val="008E54C7"/>
    <w:rsid w:val="008E69EE"/>
    <w:rsid w:val="008F0610"/>
    <w:rsid w:val="008F080A"/>
    <w:rsid w:val="008F0A7D"/>
    <w:rsid w:val="008F3A86"/>
    <w:rsid w:val="008F5C21"/>
    <w:rsid w:val="008F6CA3"/>
    <w:rsid w:val="009012DA"/>
    <w:rsid w:val="00901398"/>
    <w:rsid w:val="009014A7"/>
    <w:rsid w:val="00901992"/>
    <w:rsid w:val="00902F7A"/>
    <w:rsid w:val="00903609"/>
    <w:rsid w:val="009045FE"/>
    <w:rsid w:val="00904B8F"/>
    <w:rsid w:val="0090581F"/>
    <w:rsid w:val="00905C08"/>
    <w:rsid w:val="009079C8"/>
    <w:rsid w:val="00921A40"/>
    <w:rsid w:val="00921AC7"/>
    <w:rsid w:val="0092342B"/>
    <w:rsid w:val="00925F03"/>
    <w:rsid w:val="00936FE5"/>
    <w:rsid w:val="00940DF9"/>
    <w:rsid w:val="009414F2"/>
    <w:rsid w:val="00942010"/>
    <w:rsid w:val="00944194"/>
    <w:rsid w:val="00945738"/>
    <w:rsid w:val="00952EDD"/>
    <w:rsid w:val="009539E7"/>
    <w:rsid w:val="0095458B"/>
    <w:rsid w:val="00957B22"/>
    <w:rsid w:val="00957D40"/>
    <w:rsid w:val="0096124E"/>
    <w:rsid w:val="0096132E"/>
    <w:rsid w:val="009628FA"/>
    <w:rsid w:val="009631F1"/>
    <w:rsid w:val="0096407F"/>
    <w:rsid w:val="00964B56"/>
    <w:rsid w:val="009654E5"/>
    <w:rsid w:val="0097072A"/>
    <w:rsid w:val="00973ABA"/>
    <w:rsid w:val="00973C52"/>
    <w:rsid w:val="00973E96"/>
    <w:rsid w:val="00976546"/>
    <w:rsid w:val="0097748B"/>
    <w:rsid w:val="00981316"/>
    <w:rsid w:val="00983BA8"/>
    <w:rsid w:val="00986AF7"/>
    <w:rsid w:val="00991AD8"/>
    <w:rsid w:val="00992307"/>
    <w:rsid w:val="00995ECE"/>
    <w:rsid w:val="00995EE6"/>
    <w:rsid w:val="00996299"/>
    <w:rsid w:val="00996816"/>
    <w:rsid w:val="009A0811"/>
    <w:rsid w:val="009A41D4"/>
    <w:rsid w:val="009A4794"/>
    <w:rsid w:val="009A500D"/>
    <w:rsid w:val="009A5E2C"/>
    <w:rsid w:val="009A6859"/>
    <w:rsid w:val="009A7404"/>
    <w:rsid w:val="009A7F7A"/>
    <w:rsid w:val="009B2DD3"/>
    <w:rsid w:val="009B2FB0"/>
    <w:rsid w:val="009B5532"/>
    <w:rsid w:val="009B7FD9"/>
    <w:rsid w:val="009C0C80"/>
    <w:rsid w:val="009C0E1B"/>
    <w:rsid w:val="009C195B"/>
    <w:rsid w:val="009C2746"/>
    <w:rsid w:val="009C3B88"/>
    <w:rsid w:val="009C589A"/>
    <w:rsid w:val="009D0821"/>
    <w:rsid w:val="009D422C"/>
    <w:rsid w:val="009D50D6"/>
    <w:rsid w:val="009D7CAF"/>
    <w:rsid w:val="009E0038"/>
    <w:rsid w:val="009E062C"/>
    <w:rsid w:val="009E0A3D"/>
    <w:rsid w:val="009E22B5"/>
    <w:rsid w:val="009E24E1"/>
    <w:rsid w:val="009E2A23"/>
    <w:rsid w:val="009E3616"/>
    <w:rsid w:val="009E3B99"/>
    <w:rsid w:val="009E404F"/>
    <w:rsid w:val="009E69C8"/>
    <w:rsid w:val="009E7A32"/>
    <w:rsid w:val="009E7AC5"/>
    <w:rsid w:val="009F0E6A"/>
    <w:rsid w:val="009F1A8A"/>
    <w:rsid w:val="009F1AB7"/>
    <w:rsid w:val="009F47E4"/>
    <w:rsid w:val="009F6AB8"/>
    <w:rsid w:val="009F6C1E"/>
    <w:rsid w:val="00A00400"/>
    <w:rsid w:val="00A008CE"/>
    <w:rsid w:val="00A00FA1"/>
    <w:rsid w:val="00A011D8"/>
    <w:rsid w:val="00A01A48"/>
    <w:rsid w:val="00A03B00"/>
    <w:rsid w:val="00A0482D"/>
    <w:rsid w:val="00A04D2E"/>
    <w:rsid w:val="00A05251"/>
    <w:rsid w:val="00A053D0"/>
    <w:rsid w:val="00A05720"/>
    <w:rsid w:val="00A066DE"/>
    <w:rsid w:val="00A105BE"/>
    <w:rsid w:val="00A13123"/>
    <w:rsid w:val="00A1576A"/>
    <w:rsid w:val="00A15925"/>
    <w:rsid w:val="00A1659F"/>
    <w:rsid w:val="00A176EA"/>
    <w:rsid w:val="00A204A7"/>
    <w:rsid w:val="00A22C04"/>
    <w:rsid w:val="00A22EA9"/>
    <w:rsid w:val="00A23B0B"/>
    <w:rsid w:val="00A2641D"/>
    <w:rsid w:val="00A265C3"/>
    <w:rsid w:val="00A2799A"/>
    <w:rsid w:val="00A30171"/>
    <w:rsid w:val="00A30E28"/>
    <w:rsid w:val="00A31725"/>
    <w:rsid w:val="00A3216F"/>
    <w:rsid w:val="00A35028"/>
    <w:rsid w:val="00A354C9"/>
    <w:rsid w:val="00A36881"/>
    <w:rsid w:val="00A42739"/>
    <w:rsid w:val="00A43C75"/>
    <w:rsid w:val="00A4510A"/>
    <w:rsid w:val="00A457E8"/>
    <w:rsid w:val="00A45EDC"/>
    <w:rsid w:val="00A4705A"/>
    <w:rsid w:val="00A47C03"/>
    <w:rsid w:val="00A5059F"/>
    <w:rsid w:val="00A518C1"/>
    <w:rsid w:val="00A51DA7"/>
    <w:rsid w:val="00A52885"/>
    <w:rsid w:val="00A52D13"/>
    <w:rsid w:val="00A60AA4"/>
    <w:rsid w:val="00A62232"/>
    <w:rsid w:val="00A6673A"/>
    <w:rsid w:val="00A70876"/>
    <w:rsid w:val="00A70A5E"/>
    <w:rsid w:val="00A719D4"/>
    <w:rsid w:val="00A71E43"/>
    <w:rsid w:val="00A7311C"/>
    <w:rsid w:val="00A743DC"/>
    <w:rsid w:val="00A76128"/>
    <w:rsid w:val="00A77771"/>
    <w:rsid w:val="00A80689"/>
    <w:rsid w:val="00A85675"/>
    <w:rsid w:val="00A877CB"/>
    <w:rsid w:val="00A904C2"/>
    <w:rsid w:val="00A90F86"/>
    <w:rsid w:val="00A92571"/>
    <w:rsid w:val="00A94E1A"/>
    <w:rsid w:val="00A952B2"/>
    <w:rsid w:val="00A961FC"/>
    <w:rsid w:val="00A96781"/>
    <w:rsid w:val="00AA0B75"/>
    <w:rsid w:val="00AA1412"/>
    <w:rsid w:val="00AA14A8"/>
    <w:rsid w:val="00AA15D4"/>
    <w:rsid w:val="00AA226B"/>
    <w:rsid w:val="00AA22E3"/>
    <w:rsid w:val="00AA392D"/>
    <w:rsid w:val="00AA3E12"/>
    <w:rsid w:val="00AA49F8"/>
    <w:rsid w:val="00AA7B67"/>
    <w:rsid w:val="00AB0828"/>
    <w:rsid w:val="00AB2DDB"/>
    <w:rsid w:val="00AB3536"/>
    <w:rsid w:val="00AB5742"/>
    <w:rsid w:val="00AB7752"/>
    <w:rsid w:val="00AC1D27"/>
    <w:rsid w:val="00AD0D7D"/>
    <w:rsid w:val="00AD212E"/>
    <w:rsid w:val="00AD267A"/>
    <w:rsid w:val="00AD61B7"/>
    <w:rsid w:val="00AE0BDA"/>
    <w:rsid w:val="00AE0F59"/>
    <w:rsid w:val="00AE12E9"/>
    <w:rsid w:val="00AE16F1"/>
    <w:rsid w:val="00AE1CB0"/>
    <w:rsid w:val="00AE1CCD"/>
    <w:rsid w:val="00AE3653"/>
    <w:rsid w:val="00AE3DFC"/>
    <w:rsid w:val="00AE575A"/>
    <w:rsid w:val="00AF1CBA"/>
    <w:rsid w:val="00AF2906"/>
    <w:rsid w:val="00AF68A6"/>
    <w:rsid w:val="00B0040C"/>
    <w:rsid w:val="00B031A5"/>
    <w:rsid w:val="00B06C42"/>
    <w:rsid w:val="00B074BD"/>
    <w:rsid w:val="00B10A5F"/>
    <w:rsid w:val="00B161C3"/>
    <w:rsid w:val="00B20FE4"/>
    <w:rsid w:val="00B21266"/>
    <w:rsid w:val="00B21329"/>
    <w:rsid w:val="00B21BCD"/>
    <w:rsid w:val="00B22B71"/>
    <w:rsid w:val="00B24004"/>
    <w:rsid w:val="00B24D13"/>
    <w:rsid w:val="00B24FAD"/>
    <w:rsid w:val="00B262DD"/>
    <w:rsid w:val="00B26C7A"/>
    <w:rsid w:val="00B276DF"/>
    <w:rsid w:val="00B3134C"/>
    <w:rsid w:val="00B31779"/>
    <w:rsid w:val="00B3430D"/>
    <w:rsid w:val="00B35046"/>
    <w:rsid w:val="00B420A1"/>
    <w:rsid w:val="00B420F2"/>
    <w:rsid w:val="00B424D0"/>
    <w:rsid w:val="00B42C51"/>
    <w:rsid w:val="00B46518"/>
    <w:rsid w:val="00B46B7A"/>
    <w:rsid w:val="00B50012"/>
    <w:rsid w:val="00B53CE1"/>
    <w:rsid w:val="00B556ED"/>
    <w:rsid w:val="00B55732"/>
    <w:rsid w:val="00B558D0"/>
    <w:rsid w:val="00B55A8E"/>
    <w:rsid w:val="00B61C89"/>
    <w:rsid w:val="00B620A3"/>
    <w:rsid w:val="00B63C19"/>
    <w:rsid w:val="00B63D7D"/>
    <w:rsid w:val="00B715FE"/>
    <w:rsid w:val="00B73257"/>
    <w:rsid w:val="00B74DB6"/>
    <w:rsid w:val="00B76E9D"/>
    <w:rsid w:val="00B770E5"/>
    <w:rsid w:val="00B77B08"/>
    <w:rsid w:val="00B80646"/>
    <w:rsid w:val="00B84766"/>
    <w:rsid w:val="00B86455"/>
    <w:rsid w:val="00B87A69"/>
    <w:rsid w:val="00B87E65"/>
    <w:rsid w:val="00B90774"/>
    <w:rsid w:val="00B9227A"/>
    <w:rsid w:val="00B9306B"/>
    <w:rsid w:val="00B9412C"/>
    <w:rsid w:val="00B951D6"/>
    <w:rsid w:val="00B9523E"/>
    <w:rsid w:val="00B97779"/>
    <w:rsid w:val="00BA053B"/>
    <w:rsid w:val="00BA0D6E"/>
    <w:rsid w:val="00BA22A0"/>
    <w:rsid w:val="00BA547C"/>
    <w:rsid w:val="00BA55C5"/>
    <w:rsid w:val="00BA56FB"/>
    <w:rsid w:val="00BA5E90"/>
    <w:rsid w:val="00BA69B1"/>
    <w:rsid w:val="00BA6C59"/>
    <w:rsid w:val="00BB136D"/>
    <w:rsid w:val="00BB1D60"/>
    <w:rsid w:val="00BB2054"/>
    <w:rsid w:val="00BB4D65"/>
    <w:rsid w:val="00BC084E"/>
    <w:rsid w:val="00BC15A5"/>
    <w:rsid w:val="00BC1B99"/>
    <w:rsid w:val="00BC2A54"/>
    <w:rsid w:val="00BC2E02"/>
    <w:rsid w:val="00BC3F9C"/>
    <w:rsid w:val="00BC6EE8"/>
    <w:rsid w:val="00BC79E1"/>
    <w:rsid w:val="00BD0207"/>
    <w:rsid w:val="00BD1758"/>
    <w:rsid w:val="00BD2CDD"/>
    <w:rsid w:val="00BD36AE"/>
    <w:rsid w:val="00BD3E15"/>
    <w:rsid w:val="00BD5AEB"/>
    <w:rsid w:val="00BD5C05"/>
    <w:rsid w:val="00BE0E5D"/>
    <w:rsid w:val="00BE13A8"/>
    <w:rsid w:val="00BE14FD"/>
    <w:rsid w:val="00BE224F"/>
    <w:rsid w:val="00BE2E47"/>
    <w:rsid w:val="00BE654F"/>
    <w:rsid w:val="00BF06F0"/>
    <w:rsid w:val="00BF0D8D"/>
    <w:rsid w:val="00BF1480"/>
    <w:rsid w:val="00BF22FE"/>
    <w:rsid w:val="00BF2A8F"/>
    <w:rsid w:val="00BF4F5D"/>
    <w:rsid w:val="00BF5699"/>
    <w:rsid w:val="00BF5B00"/>
    <w:rsid w:val="00BF7202"/>
    <w:rsid w:val="00C01B10"/>
    <w:rsid w:val="00C0710F"/>
    <w:rsid w:val="00C110A6"/>
    <w:rsid w:val="00C143C5"/>
    <w:rsid w:val="00C14E20"/>
    <w:rsid w:val="00C1519B"/>
    <w:rsid w:val="00C161A2"/>
    <w:rsid w:val="00C16BA5"/>
    <w:rsid w:val="00C171CA"/>
    <w:rsid w:val="00C200B9"/>
    <w:rsid w:val="00C22153"/>
    <w:rsid w:val="00C23CB9"/>
    <w:rsid w:val="00C2439E"/>
    <w:rsid w:val="00C24811"/>
    <w:rsid w:val="00C25138"/>
    <w:rsid w:val="00C25D93"/>
    <w:rsid w:val="00C272A8"/>
    <w:rsid w:val="00C30788"/>
    <w:rsid w:val="00C320A9"/>
    <w:rsid w:val="00C32F2B"/>
    <w:rsid w:val="00C35F7D"/>
    <w:rsid w:val="00C36C64"/>
    <w:rsid w:val="00C376E5"/>
    <w:rsid w:val="00C378BA"/>
    <w:rsid w:val="00C378E7"/>
    <w:rsid w:val="00C40D02"/>
    <w:rsid w:val="00C427D9"/>
    <w:rsid w:val="00C429A6"/>
    <w:rsid w:val="00C44111"/>
    <w:rsid w:val="00C44483"/>
    <w:rsid w:val="00C4602B"/>
    <w:rsid w:val="00C46B6E"/>
    <w:rsid w:val="00C4747B"/>
    <w:rsid w:val="00C519A6"/>
    <w:rsid w:val="00C52FAD"/>
    <w:rsid w:val="00C53334"/>
    <w:rsid w:val="00C53CAF"/>
    <w:rsid w:val="00C544D6"/>
    <w:rsid w:val="00C62D06"/>
    <w:rsid w:val="00C637ED"/>
    <w:rsid w:val="00C65325"/>
    <w:rsid w:val="00C65C21"/>
    <w:rsid w:val="00C65CEC"/>
    <w:rsid w:val="00C66E10"/>
    <w:rsid w:val="00C70638"/>
    <w:rsid w:val="00C7080B"/>
    <w:rsid w:val="00C7151E"/>
    <w:rsid w:val="00C71551"/>
    <w:rsid w:val="00C73CEB"/>
    <w:rsid w:val="00C743A6"/>
    <w:rsid w:val="00C76008"/>
    <w:rsid w:val="00C76A30"/>
    <w:rsid w:val="00C80258"/>
    <w:rsid w:val="00C827C1"/>
    <w:rsid w:val="00C904EF"/>
    <w:rsid w:val="00C90E8B"/>
    <w:rsid w:val="00C937DD"/>
    <w:rsid w:val="00C93BC5"/>
    <w:rsid w:val="00C9419E"/>
    <w:rsid w:val="00C95404"/>
    <w:rsid w:val="00C9737B"/>
    <w:rsid w:val="00C976EB"/>
    <w:rsid w:val="00CA3EE4"/>
    <w:rsid w:val="00CA4419"/>
    <w:rsid w:val="00CA57C7"/>
    <w:rsid w:val="00CA617F"/>
    <w:rsid w:val="00CA62CA"/>
    <w:rsid w:val="00CA70FD"/>
    <w:rsid w:val="00CB0679"/>
    <w:rsid w:val="00CB0750"/>
    <w:rsid w:val="00CB16F0"/>
    <w:rsid w:val="00CB17B6"/>
    <w:rsid w:val="00CB300E"/>
    <w:rsid w:val="00CB5A6E"/>
    <w:rsid w:val="00CB65E8"/>
    <w:rsid w:val="00CC0FD8"/>
    <w:rsid w:val="00CC55B2"/>
    <w:rsid w:val="00CC5E96"/>
    <w:rsid w:val="00CD259E"/>
    <w:rsid w:val="00CD3C75"/>
    <w:rsid w:val="00CD433A"/>
    <w:rsid w:val="00CD6157"/>
    <w:rsid w:val="00CD618A"/>
    <w:rsid w:val="00CD72D0"/>
    <w:rsid w:val="00CD7306"/>
    <w:rsid w:val="00CD77C4"/>
    <w:rsid w:val="00CE0A8C"/>
    <w:rsid w:val="00CE0BB6"/>
    <w:rsid w:val="00CE4C06"/>
    <w:rsid w:val="00CE4E69"/>
    <w:rsid w:val="00CE5237"/>
    <w:rsid w:val="00CE7397"/>
    <w:rsid w:val="00CE73ED"/>
    <w:rsid w:val="00CF0E0D"/>
    <w:rsid w:val="00CF482A"/>
    <w:rsid w:val="00CF7797"/>
    <w:rsid w:val="00CF78A7"/>
    <w:rsid w:val="00D00D4D"/>
    <w:rsid w:val="00D011C6"/>
    <w:rsid w:val="00D01BF3"/>
    <w:rsid w:val="00D020C8"/>
    <w:rsid w:val="00D05F20"/>
    <w:rsid w:val="00D06B49"/>
    <w:rsid w:val="00D077C0"/>
    <w:rsid w:val="00D10456"/>
    <w:rsid w:val="00D12D2F"/>
    <w:rsid w:val="00D14E56"/>
    <w:rsid w:val="00D15B23"/>
    <w:rsid w:val="00D162DC"/>
    <w:rsid w:val="00D1673E"/>
    <w:rsid w:val="00D176B7"/>
    <w:rsid w:val="00D2060A"/>
    <w:rsid w:val="00D21484"/>
    <w:rsid w:val="00D236DF"/>
    <w:rsid w:val="00D27FFC"/>
    <w:rsid w:val="00D302F2"/>
    <w:rsid w:val="00D323B2"/>
    <w:rsid w:val="00D32584"/>
    <w:rsid w:val="00D408CB"/>
    <w:rsid w:val="00D40A19"/>
    <w:rsid w:val="00D469D4"/>
    <w:rsid w:val="00D5074F"/>
    <w:rsid w:val="00D50B18"/>
    <w:rsid w:val="00D519E4"/>
    <w:rsid w:val="00D51ED2"/>
    <w:rsid w:val="00D53FD1"/>
    <w:rsid w:val="00D542B6"/>
    <w:rsid w:val="00D5600A"/>
    <w:rsid w:val="00D607B6"/>
    <w:rsid w:val="00D617EF"/>
    <w:rsid w:val="00D6181F"/>
    <w:rsid w:val="00D61941"/>
    <w:rsid w:val="00D63939"/>
    <w:rsid w:val="00D64E40"/>
    <w:rsid w:val="00D703E0"/>
    <w:rsid w:val="00D70DAE"/>
    <w:rsid w:val="00D72413"/>
    <w:rsid w:val="00D73C38"/>
    <w:rsid w:val="00D74193"/>
    <w:rsid w:val="00D74A52"/>
    <w:rsid w:val="00D75F18"/>
    <w:rsid w:val="00D75FC5"/>
    <w:rsid w:val="00D7622D"/>
    <w:rsid w:val="00D80BBD"/>
    <w:rsid w:val="00D82389"/>
    <w:rsid w:val="00D826AD"/>
    <w:rsid w:val="00D83808"/>
    <w:rsid w:val="00D83C3C"/>
    <w:rsid w:val="00D84817"/>
    <w:rsid w:val="00D852E0"/>
    <w:rsid w:val="00D856E1"/>
    <w:rsid w:val="00D85C3F"/>
    <w:rsid w:val="00D87D57"/>
    <w:rsid w:val="00D90B7D"/>
    <w:rsid w:val="00D94360"/>
    <w:rsid w:val="00D96184"/>
    <w:rsid w:val="00D972F0"/>
    <w:rsid w:val="00D97E11"/>
    <w:rsid w:val="00DA07BC"/>
    <w:rsid w:val="00DA1C08"/>
    <w:rsid w:val="00DA23FC"/>
    <w:rsid w:val="00DA3B0C"/>
    <w:rsid w:val="00DA4C63"/>
    <w:rsid w:val="00DA527A"/>
    <w:rsid w:val="00DA5707"/>
    <w:rsid w:val="00DA6A68"/>
    <w:rsid w:val="00DB00CA"/>
    <w:rsid w:val="00DB0182"/>
    <w:rsid w:val="00DB0846"/>
    <w:rsid w:val="00DB1806"/>
    <w:rsid w:val="00DB1CC4"/>
    <w:rsid w:val="00DB3320"/>
    <w:rsid w:val="00DB5278"/>
    <w:rsid w:val="00DB6CB4"/>
    <w:rsid w:val="00DB71F2"/>
    <w:rsid w:val="00DC0837"/>
    <w:rsid w:val="00DC2148"/>
    <w:rsid w:val="00DC38F4"/>
    <w:rsid w:val="00DC4877"/>
    <w:rsid w:val="00DC7A2C"/>
    <w:rsid w:val="00DD0098"/>
    <w:rsid w:val="00DD1015"/>
    <w:rsid w:val="00DD16B7"/>
    <w:rsid w:val="00DD240C"/>
    <w:rsid w:val="00DD2E12"/>
    <w:rsid w:val="00DD53CB"/>
    <w:rsid w:val="00DD61F7"/>
    <w:rsid w:val="00DD6B95"/>
    <w:rsid w:val="00DE129B"/>
    <w:rsid w:val="00DE2442"/>
    <w:rsid w:val="00DE6B1E"/>
    <w:rsid w:val="00DE6F93"/>
    <w:rsid w:val="00DE770C"/>
    <w:rsid w:val="00DE7950"/>
    <w:rsid w:val="00DF0322"/>
    <w:rsid w:val="00DF0DC0"/>
    <w:rsid w:val="00DF1831"/>
    <w:rsid w:val="00DF1BD3"/>
    <w:rsid w:val="00DF1FF1"/>
    <w:rsid w:val="00DF2F70"/>
    <w:rsid w:val="00DF3C59"/>
    <w:rsid w:val="00E1029F"/>
    <w:rsid w:val="00E10AFE"/>
    <w:rsid w:val="00E1250A"/>
    <w:rsid w:val="00E13035"/>
    <w:rsid w:val="00E1311E"/>
    <w:rsid w:val="00E16400"/>
    <w:rsid w:val="00E1798C"/>
    <w:rsid w:val="00E21279"/>
    <w:rsid w:val="00E237BD"/>
    <w:rsid w:val="00E252CE"/>
    <w:rsid w:val="00E26055"/>
    <w:rsid w:val="00E30B9F"/>
    <w:rsid w:val="00E30F9B"/>
    <w:rsid w:val="00E32E68"/>
    <w:rsid w:val="00E32FB7"/>
    <w:rsid w:val="00E347B5"/>
    <w:rsid w:val="00E36450"/>
    <w:rsid w:val="00E3711D"/>
    <w:rsid w:val="00E43073"/>
    <w:rsid w:val="00E445F0"/>
    <w:rsid w:val="00E505DE"/>
    <w:rsid w:val="00E506AF"/>
    <w:rsid w:val="00E50DF9"/>
    <w:rsid w:val="00E51898"/>
    <w:rsid w:val="00E55056"/>
    <w:rsid w:val="00E56929"/>
    <w:rsid w:val="00E578EE"/>
    <w:rsid w:val="00E60E00"/>
    <w:rsid w:val="00E61964"/>
    <w:rsid w:val="00E62693"/>
    <w:rsid w:val="00E656F1"/>
    <w:rsid w:val="00E706D3"/>
    <w:rsid w:val="00E70A14"/>
    <w:rsid w:val="00E70C08"/>
    <w:rsid w:val="00E73777"/>
    <w:rsid w:val="00E7747E"/>
    <w:rsid w:val="00E77A28"/>
    <w:rsid w:val="00E81177"/>
    <w:rsid w:val="00E83771"/>
    <w:rsid w:val="00E85583"/>
    <w:rsid w:val="00E866BA"/>
    <w:rsid w:val="00E87D77"/>
    <w:rsid w:val="00E92065"/>
    <w:rsid w:val="00E94051"/>
    <w:rsid w:val="00E961E4"/>
    <w:rsid w:val="00EA04DA"/>
    <w:rsid w:val="00EA1654"/>
    <w:rsid w:val="00EA2F2C"/>
    <w:rsid w:val="00EA4331"/>
    <w:rsid w:val="00EA5F83"/>
    <w:rsid w:val="00EA6839"/>
    <w:rsid w:val="00EA7590"/>
    <w:rsid w:val="00EB1177"/>
    <w:rsid w:val="00EB13FD"/>
    <w:rsid w:val="00EB31E0"/>
    <w:rsid w:val="00EB433C"/>
    <w:rsid w:val="00EC041F"/>
    <w:rsid w:val="00EC11E6"/>
    <w:rsid w:val="00EC203D"/>
    <w:rsid w:val="00EC2F91"/>
    <w:rsid w:val="00EC41F1"/>
    <w:rsid w:val="00EC5718"/>
    <w:rsid w:val="00EC5886"/>
    <w:rsid w:val="00ED1719"/>
    <w:rsid w:val="00ED2AB3"/>
    <w:rsid w:val="00ED3768"/>
    <w:rsid w:val="00ED4278"/>
    <w:rsid w:val="00ED51F4"/>
    <w:rsid w:val="00ED5274"/>
    <w:rsid w:val="00ED5EB7"/>
    <w:rsid w:val="00ED6944"/>
    <w:rsid w:val="00ED7CA4"/>
    <w:rsid w:val="00EE0482"/>
    <w:rsid w:val="00EE0B5B"/>
    <w:rsid w:val="00EE1667"/>
    <w:rsid w:val="00EE2026"/>
    <w:rsid w:val="00EE2572"/>
    <w:rsid w:val="00EE4315"/>
    <w:rsid w:val="00EE4D14"/>
    <w:rsid w:val="00EE74FC"/>
    <w:rsid w:val="00EE7B42"/>
    <w:rsid w:val="00EF155B"/>
    <w:rsid w:val="00EF488F"/>
    <w:rsid w:val="00EF54C8"/>
    <w:rsid w:val="00EF54D0"/>
    <w:rsid w:val="00EF5788"/>
    <w:rsid w:val="00EF7B80"/>
    <w:rsid w:val="00F00858"/>
    <w:rsid w:val="00F00F62"/>
    <w:rsid w:val="00F01E0B"/>
    <w:rsid w:val="00F03781"/>
    <w:rsid w:val="00F03A51"/>
    <w:rsid w:val="00F1120C"/>
    <w:rsid w:val="00F11429"/>
    <w:rsid w:val="00F131CE"/>
    <w:rsid w:val="00F13580"/>
    <w:rsid w:val="00F14456"/>
    <w:rsid w:val="00F15C21"/>
    <w:rsid w:val="00F2069C"/>
    <w:rsid w:val="00F20D2B"/>
    <w:rsid w:val="00F2126B"/>
    <w:rsid w:val="00F2231F"/>
    <w:rsid w:val="00F2338E"/>
    <w:rsid w:val="00F241B4"/>
    <w:rsid w:val="00F25C4E"/>
    <w:rsid w:val="00F350E2"/>
    <w:rsid w:val="00F36622"/>
    <w:rsid w:val="00F40EA1"/>
    <w:rsid w:val="00F43731"/>
    <w:rsid w:val="00F43C40"/>
    <w:rsid w:val="00F43DAE"/>
    <w:rsid w:val="00F44BB7"/>
    <w:rsid w:val="00F453FF"/>
    <w:rsid w:val="00F45E04"/>
    <w:rsid w:val="00F45E18"/>
    <w:rsid w:val="00F46322"/>
    <w:rsid w:val="00F4656C"/>
    <w:rsid w:val="00F503FC"/>
    <w:rsid w:val="00F50D0B"/>
    <w:rsid w:val="00F52101"/>
    <w:rsid w:val="00F525DA"/>
    <w:rsid w:val="00F52EDB"/>
    <w:rsid w:val="00F52F23"/>
    <w:rsid w:val="00F54DD4"/>
    <w:rsid w:val="00F56027"/>
    <w:rsid w:val="00F6147F"/>
    <w:rsid w:val="00F62011"/>
    <w:rsid w:val="00F64340"/>
    <w:rsid w:val="00F67619"/>
    <w:rsid w:val="00F71B9B"/>
    <w:rsid w:val="00F722C7"/>
    <w:rsid w:val="00F72EB0"/>
    <w:rsid w:val="00F7446D"/>
    <w:rsid w:val="00F758B9"/>
    <w:rsid w:val="00F7725D"/>
    <w:rsid w:val="00F828A2"/>
    <w:rsid w:val="00F82F7A"/>
    <w:rsid w:val="00F83DAF"/>
    <w:rsid w:val="00F90FD4"/>
    <w:rsid w:val="00F91E29"/>
    <w:rsid w:val="00F94DA5"/>
    <w:rsid w:val="00F967E6"/>
    <w:rsid w:val="00F976AB"/>
    <w:rsid w:val="00F97AC4"/>
    <w:rsid w:val="00F97AEB"/>
    <w:rsid w:val="00F97C37"/>
    <w:rsid w:val="00FA0AA8"/>
    <w:rsid w:val="00FA2706"/>
    <w:rsid w:val="00FA2B08"/>
    <w:rsid w:val="00FA3B13"/>
    <w:rsid w:val="00FA6CE8"/>
    <w:rsid w:val="00FB04F0"/>
    <w:rsid w:val="00FB2363"/>
    <w:rsid w:val="00FB50A9"/>
    <w:rsid w:val="00FB57C6"/>
    <w:rsid w:val="00FB5E92"/>
    <w:rsid w:val="00FB7065"/>
    <w:rsid w:val="00FC18DA"/>
    <w:rsid w:val="00FC26F3"/>
    <w:rsid w:val="00FC3E67"/>
    <w:rsid w:val="00FC4DB5"/>
    <w:rsid w:val="00FC50CA"/>
    <w:rsid w:val="00FC5424"/>
    <w:rsid w:val="00FC5606"/>
    <w:rsid w:val="00FC5C3F"/>
    <w:rsid w:val="00FD0AAD"/>
    <w:rsid w:val="00FD1373"/>
    <w:rsid w:val="00FD235C"/>
    <w:rsid w:val="00FD28EB"/>
    <w:rsid w:val="00FD3EEB"/>
    <w:rsid w:val="00FD641D"/>
    <w:rsid w:val="00FD701C"/>
    <w:rsid w:val="00FE2AA4"/>
    <w:rsid w:val="00FE5991"/>
    <w:rsid w:val="00FE656C"/>
    <w:rsid w:val="00FE68D0"/>
    <w:rsid w:val="00FF03A8"/>
    <w:rsid w:val="00FF2173"/>
    <w:rsid w:val="00FF2D68"/>
    <w:rsid w:val="00FF7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2925"/>
  <w15:chartTrackingRefBased/>
  <w15:docId w15:val="{85F4A58C-C9AC-49C8-AA67-E757A96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221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E221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E221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221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E221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E2214"/>
    <w:rPr>
      <w:rFonts w:asciiTheme="majorHAnsi" w:eastAsiaTheme="majorEastAsia" w:hAnsiTheme="majorHAnsi" w:cstheme="majorBidi"/>
      <w:color w:val="1F3763" w:themeColor="accent1" w:themeShade="7F"/>
      <w:sz w:val="24"/>
      <w:szCs w:val="24"/>
    </w:rPr>
  </w:style>
  <w:style w:type="paragraph" w:styleId="Prrafodelista">
    <w:name w:val="List Paragraph"/>
    <w:aliases w:val="Llista Nivell1,Lista de nivel 1,Numeración 1,Cuadrícula media 1 - Énfasis 21,prueba1,List Paragraph"/>
    <w:basedOn w:val="Normal"/>
    <w:link w:val="PrrafodelistaCar"/>
    <w:uiPriority w:val="34"/>
    <w:qFormat/>
    <w:rsid w:val="00B9227A"/>
    <w:pPr>
      <w:ind w:left="720"/>
      <w:contextualSpacing/>
    </w:pPr>
  </w:style>
  <w:style w:type="character" w:customStyle="1" w:styleId="PrrafodelistaCar">
    <w:name w:val="Párrafo de lista Car"/>
    <w:aliases w:val="Llista Nivell1 Car,Lista de nivel 1 Car,Numeración 1 Car,Cuadrícula media 1 - Énfasis 21 Car,prueba1 Car,List Paragraph Car"/>
    <w:link w:val="Prrafodelista"/>
    <w:uiPriority w:val="34"/>
    <w:qFormat/>
    <w:rsid w:val="003E2214"/>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5C5B1C"/>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C5B1C"/>
    <w:rPr>
      <w:sz w:val="20"/>
      <w:szCs w:val="20"/>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5C5B1C"/>
    <w:rPr>
      <w:vertAlign w:val="superscript"/>
    </w:rPr>
  </w:style>
  <w:style w:type="paragraph" w:styleId="Encabezado">
    <w:name w:val="header"/>
    <w:basedOn w:val="Normal"/>
    <w:link w:val="Encabezado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E2214"/>
    <w:rPr>
      <w:rFonts w:ascii="Calibri" w:eastAsia="Calibri" w:hAnsi="Calibri" w:cs="Times New Roman"/>
    </w:rPr>
  </w:style>
  <w:style w:type="paragraph" w:styleId="Piedepgina">
    <w:name w:val="footer"/>
    <w:basedOn w:val="Normal"/>
    <w:link w:val="Piedepgina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E2214"/>
    <w:rPr>
      <w:rFonts w:ascii="Calibri" w:eastAsia="Calibri" w:hAnsi="Calibri" w:cs="Times New Roman"/>
    </w:rPr>
  </w:style>
  <w:style w:type="paragraph" w:customStyle="1" w:styleId="estilo30">
    <w:name w:val="estilo30"/>
    <w:basedOn w:val="Normal"/>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E221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uiPriority w:val="99"/>
    <w:unhideWhenUsed/>
    <w:rsid w:val="003E2214"/>
    <w:rPr>
      <w:color w:val="0563C1"/>
      <w:u w:val="single"/>
    </w:rPr>
  </w:style>
  <w:style w:type="table" w:styleId="Tablaconcuadrcula">
    <w:name w:val="Table Grid"/>
    <w:basedOn w:val="Tablanormal"/>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2214"/>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unhideWhenUsed/>
    <w:rsid w:val="003E2214"/>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3E2214"/>
    <w:rPr>
      <w:rFonts w:ascii="Calibri" w:eastAsia="Calibri" w:hAnsi="Calibri" w:cs="Times New Roman"/>
      <w:sz w:val="20"/>
      <w:szCs w:val="20"/>
      <w:lang w:val="x-none"/>
    </w:rPr>
  </w:style>
  <w:style w:type="character" w:customStyle="1" w:styleId="TextodegloboCar">
    <w:name w:val="Texto de globo Car"/>
    <w:basedOn w:val="Fuentedeprrafopredeter"/>
    <w:link w:val="Textodeglobo"/>
    <w:uiPriority w:val="99"/>
    <w:semiHidden/>
    <w:rsid w:val="003E2214"/>
    <w:rPr>
      <w:rFonts w:ascii="Tahoma" w:eastAsia="Calibri" w:hAnsi="Tahoma" w:cs="Times New Roman"/>
      <w:sz w:val="16"/>
      <w:szCs w:val="16"/>
      <w:lang w:val="x-none"/>
    </w:rPr>
  </w:style>
  <w:style w:type="paragraph" w:styleId="Textodeglobo">
    <w:name w:val="Balloon Text"/>
    <w:basedOn w:val="Normal"/>
    <w:link w:val="TextodegloboCar"/>
    <w:uiPriority w:val="99"/>
    <w:semiHidden/>
    <w:unhideWhenUsed/>
    <w:rsid w:val="003E2214"/>
    <w:pPr>
      <w:spacing w:after="0" w:line="240" w:lineRule="auto"/>
    </w:pPr>
    <w:rPr>
      <w:rFonts w:ascii="Tahoma" w:eastAsia="Calibri" w:hAnsi="Tahoma" w:cs="Times New Roman"/>
      <w:sz w:val="16"/>
      <w:szCs w:val="16"/>
      <w:lang w:val="x-none"/>
    </w:rPr>
  </w:style>
  <w:style w:type="character" w:customStyle="1" w:styleId="apple-converted-space">
    <w:name w:val="apple-converted-space"/>
    <w:basedOn w:val="Fuentedeprrafopredeter"/>
    <w:rsid w:val="003E2214"/>
  </w:style>
  <w:style w:type="character" w:customStyle="1" w:styleId="AsuntodelcomentarioCar">
    <w:name w:val="Asunto del comentario Car"/>
    <w:basedOn w:val="TextocomentarioCar"/>
    <w:link w:val="Asuntodelcomentario"/>
    <w:uiPriority w:val="99"/>
    <w:semiHidden/>
    <w:rsid w:val="003E2214"/>
    <w:rPr>
      <w:rFonts w:ascii="Calibri" w:eastAsia="Calibri" w:hAnsi="Calibri" w:cs="Times New Roman"/>
      <w:b/>
      <w:bCs/>
      <w:sz w:val="20"/>
      <w:szCs w:val="20"/>
      <w:lang w:val="x-none"/>
    </w:rPr>
  </w:style>
  <w:style w:type="paragraph" w:styleId="Asuntodelcomentario">
    <w:name w:val="annotation subject"/>
    <w:basedOn w:val="Textocomentario"/>
    <w:next w:val="Textocomentario"/>
    <w:link w:val="AsuntodelcomentarioCar"/>
    <w:uiPriority w:val="99"/>
    <w:semiHidden/>
    <w:unhideWhenUsed/>
    <w:rsid w:val="003E2214"/>
    <w:pPr>
      <w:spacing w:line="240" w:lineRule="auto"/>
    </w:pPr>
    <w:rPr>
      <w:b/>
      <w:bCs/>
      <w:lang w:val="es-MX"/>
    </w:rPr>
  </w:style>
  <w:style w:type="character" w:styleId="Textoennegrita">
    <w:name w:val="Strong"/>
    <w:basedOn w:val="Fuentedeprrafopredeter"/>
    <w:uiPriority w:val="22"/>
    <w:qFormat/>
    <w:rsid w:val="003E2214"/>
    <w:rPr>
      <w:b/>
      <w:bCs/>
    </w:rPr>
  </w:style>
  <w:style w:type="paragraph" w:customStyle="1" w:styleId="Seccin">
    <w:name w:val="Sección"/>
    <w:basedOn w:val="Normal"/>
    <w:qFormat/>
    <w:rsid w:val="003E2214"/>
    <w:pPr>
      <w:spacing w:before="360" w:after="0"/>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3E2214"/>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E2214"/>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3E2214"/>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E2214"/>
    <w:rPr>
      <w:rFonts w:eastAsiaTheme="minorEastAsia"/>
      <w:color w:val="5A5A5A" w:themeColor="text1" w:themeTint="A5"/>
      <w:spacing w:val="15"/>
    </w:rPr>
  </w:style>
  <w:style w:type="character" w:customStyle="1" w:styleId="Textoindependiente2Car">
    <w:name w:val="Texto independiente 2 Car"/>
    <w:basedOn w:val="Fuentedeprrafopredeter"/>
    <w:link w:val="Textoindependiente2"/>
    <w:uiPriority w:val="99"/>
    <w:semiHidden/>
    <w:rsid w:val="003E2214"/>
    <w:rPr>
      <w:rFonts w:ascii="Calibri" w:eastAsia="Calibri" w:hAnsi="Calibri" w:cs="Times New Roman"/>
    </w:rPr>
  </w:style>
  <w:style w:type="paragraph" w:styleId="Textoindependiente2">
    <w:name w:val="Body Text 2"/>
    <w:basedOn w:val="Normal"/>
    <w:link w:val="Textoindependiente2Car"/>
    <w:uiPriority w:val="99"/>
    <w:semiHidden/>
    <w:unhideWhenUsed/>
    <w:rsid w:val="003E2214"/>
    <w:pPr>
      <w:spacing w:after="120" w:line="480" w:lineRule="auto"/>
    </w:pPr>
    <w:rPr>
      <w:rFonts w:ascii="Calibri" w:eastAsia="Calibri" w:hAnsi="Calibri" w:cs="Times New Roman"/>
    </w:rPr>
  </w:style>
  <w:style w:type="paragraph" w:styleId="Textoindependiente">
    <w:name w:val="Body Text"/>
    <w:basedOn w:val="Normal"/>
    <w:link w:val="TextoindependienteCar"/>
    <w:uiPriority w:val="99"/>
    <w:unhideWhenUsed/>
    <w:rsid w:val="003E2214"/>
    <w:pPr>
      <w:spacing w:after="120"/>
    </w:pPr>
  </w:style>
  <w:style w:type="character" w:customStyle="1" w:styleId="TextoindependienteCar">
    <w:name w:val="Texto independiente Car"/>
    <w:basedOn w:val="Fuentedeprrafopredeter"/>
    <w:link w:val="Textoindependiente"/>
    <w:uiPriority w:val="99"/>
    <w:rsid w:val="003E2214"/>
  </w:style>
  <w:style w:type="character" w:styleId="nfasisintenso">
    <w:name w:val="Intense Emphasis"/>
    <w:basedOn w:val="Fuentedeprrafopredeter"/>
    <w:uiPriority w:val="21"/>
    <w:qFormat/>
    <w:rsid w:val="003E2214"/>
    <w:rPr>
      <w:i/>
      <w:iCs/>
      <w:color w:val="4472C4" w:themeColor="accent1"/>
    </w:rPr>
  </w:style>
  <w:style w:type="paragraph" w:customStyle="1" w:styleId="PreguntaInciso">
    <w:name w:val="Pregunta Inciso"/>
    <w:link w:val="PreguntaIncisoCar"/>
    <w:qFormat/>
    <w:rsid w:val="003E2214"/>
    <w:pPr>
      <w:spacing w:after="120" w:line="240" w:lineRule="auto"/>
      <w:ind w:left="720" w:hanging="360"/>
      <w:jc w:val="both"/>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3E2214"/>
    <w:rPr>
      <w:rFonts w:ascii="ITC Avant Garde" w:eastAsia="Calibri" w:hAnsi="ITC Avant Garde" w:cs="Times New Roman"/>
      <w:color w:val="000000"/>
      <w:lang w:val="es-ES"/>
    </w:rPr>
  </w:style>
  <w:style w:type="table" w:customStyle="1" w:styleId="Tablaconcuadrcula3">
    <w:name w:val="Tabla con cuadrícula3"/>
    <w:basedOn w:val="Tablanormal"/>
    <w:next w:val="Tablaconcuadrcula"/>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3E2214"/>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3E2214"/>
    <w:pPr>
      <w:spacing w:after="0" w:line="240" w:lineRule="auto"/>
    </w:pPr>
    <w:rPr>
      <w:rFonts w:ascii="Calibri" w:eastAsia="Calibri" w:hAnsi="Calibri" w:cs="Times New Roman"/>
      <w:sz w:val="20"/>
      <w:szCs w:val="20"/>
    </w:rPr>
  </w:style>
  <w:style w:type="character" w:customStyle="1" w:styleId="TextoCar">
    <w:name w:val="Texto Car"/>
    <w:link w:val="Texto"/>
    <w:locked/>
    <w:rsid w:val="003E2214"/>
    <w:rPr>
      <w:rFonts w:ascii="Arial" w:hAnsi="Arial" w:cs="Arial"/>
      <w:sz w:val="18"/>
      <w:lang w:val="es-ES" w:eastAsia="es-ES"/>
    </w:rPr>
  </w:style>
  <w:style w:type="paragraph" w:customStyle="1" w:styleId="Texto">
    <w:name w:val="Texto"/>
    <w:basedOn w:val="Normal"/>
    <w:link w:val="TextoCar"/>
    <w:rsid w:val="003E2214"/>
    <w:pPr>
      <w:spacing w:after="101" w:line="216" w:lineRule="exact"/>
      <w:ind w:firstLine="288"/>
      <w:jc w:val="both"/>
    </w:pPr>
    <w:rPr>
      <w:rFonts w:ascii="Arial" w:hAnsi="Arial" w:cs="Arial"/>
      <w:sz w:val="18"/>
      <w:lang w:val="es-ES" w:eastAsia="es-ES"/>
    </w:rPr>
  </w:style>
  <w:style w:type="paragraph" w:styleId="Cita">
    <w:name w:val="Quote"/>
    <w:link w:val="CitaCar"/>
    <w:uiPriority w:val="73"/>
    <w:rsid w:val="003E2214"/>
    <w:pPr>
      <w:spacing w:before="120" w:after="120" w:line="240" w:lineRule="auto"/>
      <w:ind w:left="862" w:right="862"/>
      <w:jc w:val="both"/>
    </w:pPr>
    <w:rPr>
      <w:rFonts w:ascii="Arial" w:eastAsia="Times New Roman" w:hAnsi="Arial" w:cs="Times New Roman"/>
      <w:i/>
      <w:iCs/>
      <w:sz w:val="20"/>
      <w:lang w:eastAsia="es-MX"/>
    </w:rPr>
  </w:style>
  <w:style w:type="character" w:customStyle="1" w:styleId="CitaCar">
    <w:name w:val="Cita Car"/>
    <w:basedOn w:val="Fuentedeprrafopredeter"/>
    <w:link w:val="Cita"/>
    <w:uiPriority w:val="73"/>
    <w:rsid w:val="003E2214"/>
    <w:rPr>
      <w:rFonts w:ascii="Arial" w:eastAsia="Times New Roman" w:hAnsi="Arial" w:cs="Times New Roman"/>
      <w:i/>
      <w:iCs/>
      <w:sz w:val="20"/>
      <w:lang w:eastAsia="es-MX"/>
    </w:rPr>
  </w:style>
  <w:style w:type="character" w:customStyle="1" w:styleId="CitaN">
    <w:name w:val="Cita N"/>
    <w:uiPriority w:val="1"/>
    <w:qFormat/>
    <w:rsid w:val="003E2214"/>
    <w:rPr>
      <w:rFonts w:ascii="Arial" w:hAnsi="Arial"/>
      <w:b/>
      <w:i w:val="0"/>
      <w:sz w:val="20"/>
    </w:rPr>
  </w:style>
  <w:style w:type="paragraph" w:customStyle="1" w:styleId="Listavistosa-nfasis11">
    <w:name w:val="Lista vistosa - Énfasis 11"/>
    <w:basedOn w:val="Normal"/>
    <w:uiPriority w:val="34"/>
    <w:qFormat/>
    <w:rsid w:val="003E2214"/>
    <w:pPr>
      <w:ind w:left="720"/>
      <w:contextualSpacing/>
    </w:pPr>
    <w:rPr>
      <w:rFonts w:ascii="Calibri" w:eastAsia="Calibri" w:hAnsi="Calibri" w:cs="Times New Roman"/>
    </w:rPr>
  </w:style>
  <w:style w:type="paragraph" w:styleId="Revisin">
    <w:name w:val="Revision"/>
    <w:hidden/>
    <w:uiPriority w:val="99"/>
    <w:semiHidden/>
    <w:rsid w:val="00B42C51"/>
    <w:pPr>
      <w:spacing w:after="0" w:line="240" w:lineRule="auto"/>
    </w:pPr>
  </w:style>
  <w:style w:type="table" w:styleId="Tablaconcuadrcula5oscura-nfasis6">
    <w:name w:val="Grid Table 5 Dark Accent 6"/>
    <w:basedOn w:val="Tablanormal"/>
    <w:uiPriority w:val="50"/>
    <w:rsid w:val="003C28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cinsinresolver">
    <w:name w:val="Unresolved Mention"/>
    <w:basedOn w:val="Fuentedeprrafopredeter"/>
    <w:uiPriority w:val="99"/>
    <w:semiHidden/>
    <w:unhideWhenUsed/>
    <w:rsid w:val="0033341F"/>
    <w:rPr>
      <w:color w:val="605E5C"/>
      <w:shd w:val="clear" w:color="auto" w:fill="E1DFDD"/>
    </w:rPr>
  </w:style>
  <w:style w:type="character" w:styleId="Refdecomentario">
    <w:name w:val="annotation reference"/>
    <w:basedOn w:val="Fuentedeprrafopredeter"/>
    <w:uiPriority w:val="99"/>
    <w:semiHidden/>
    <w:unhideWhenUsed/>
    <w:rsid w:val="00FF764E"/>
    <w:rPr>
      <w:sz w:val="16"/>
      <w:szCs w:val="16"/>
    </w:rPr>
  </w:style>
  <w:style w:type="character" w:styleId="Hipervnculovisitado">
    <w:name w:val="FollowedHyperlink"/>
    <w:basedOn w:val="Fuentedeprrafopredeter"/>
    <w:uiPriority w:val="99"/>
    <w:semiHidden/>
    <w:unhideWhenUsed/>
    <w:rsid w:val="0076778C"/>
    <w:rPr>
      <w:color w:val="954F72" w:themeColor="followedHyperlink"/>
      <w:u w:val="single"/>
    </w:rPr>
  </w:style>
  <w:style w:type="table" w:styleId="Tablaconcuadrculaclara">
    <w:name w:val="Grid Table Light"/>
    <w:basedOn w:val="Tablanormal"/>
    <w:uiPriority w:val="40"/>
    <w:rsid w:val="005E14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227766">
      <w:bodyDiv w:val="1"/>
      <w:marLeft w:val="0"/>
      <w:marRight w:val="0"/>
      <w:marTop w:val="0"/>
      <w:marBottom w:val="0"/>
      <w:divBdr>
        <w:top w:val="none" w:sz="0" w:space="0" w:color="auto"/>
        <w:left w:val="none" w:sz="0" w:space="0" w:color="auto"/>
        <w:bottom w:val="none" w:sz="0" w:space="0" w:color="auto"/>
        <w:right w:val="none" w:sz="0" w:space="0" w:color="auto"/>
      </w:divBdr>
    </w:div>
    <w:div w:id="808280124">
      <w:bodyDiv w:val="1"/>
      <w:marLeft w:val="0"/>
      <w:marRight w:val="0"/>
      <w:marTop w:val="0"/>
      <w:marBottom w:val="0"/>
      <w:divBdr>
        <w:top w:val="none" w:sz="0" w:space="0" w:color="auto"/>
        <w:left w:val="none" w:sz="0" w:space="0" w:color="auto"/>
        <w:bottom w:val="none" w:sz="0" w:space="0" w:color="auto"/>
        <w:right w:val="none" w:sz="0" w:space="0" w:color="auto"/>
      </w:divBdr>
    </w:div>
    <w:div w:id="1046493742">
      <w:bodyDiv w:val="1"/>
      <w:marLeft w:val="0"/>
      <w:marRight w:val="0"/>
      <w:marTop w:val="0"/>
      <w:marBottom w:val="0"/>
      <w:divBdr>
        <w:top w:val="none" w:sz="0" w:space="0" w:color="auto"/>
        <w:left w:val="none" w:sz="0" w:space="0" w:color="auto"/>
        <w:bottom w:val="none" w:sz="0" w:space="0" w:color="auto"/>
        <w:right w:val="none" w:sz="0" w:space="0" w:color="auto"/>
      </w:divBdr>
    </w:div>
    <w:div w:id="1195998261">
      <w:bodyDiv w:val="1"/>
      <w:marLeft w:val="0"/>
      <w:marRight w:val="0"/>
      <w:marTop w:val="0"/>
      <w:marBottom w:val="0"/>
      <w:divBdr>
        <w:top w:val="none" w:sz="0" w:space="0" w:color="auto"/>
        <w:left w:val="none" w:sz="0" w:space="0" w:color="auto"/>
        <w:bottom w:val="none" w:sz="0" w:space="0" w:color="auto"/>
        <w:right w:val="none" w:sz="0" w:space="0" w:color="auto"/>
      </w:divBdr>
    </w:div>
    <w:div w:id="1238319737">
      <w:bodyDiv w:val="1"/>
      <w:marLeft w:val="0"/>
      <w:marRight w:val="0"/>
      <w:marTop w:val="0"/>
      <w:marBottom w:val="0"/>
      <w:divBdr>
        <w:top w:val="none" w:sz="0" w:space="0" w:color="auto"/>
        <w:left w:val="none" w:sz="0" w:space="0" w:color="auto"/>
        <w:bottom w:val="none" w:sz="0" w:space="0" w:color="auto"/>
        <w:right w:val="none" w:sz="0" w:space="0" w:color="auto"/>
      </w:divBdr>
    </w:div>
    <w:div w:id="1395543490">
      <w:bodyDiv w:val="1"/>
      <w:marLeft w:val="0"/>
      <w:marRight w:val="0"/>
      <w:marTop w:val="0"/>
      <w:marBottom w:val="0"/>
      <w:divBdr>
        <w:top w:val="none" w:sz="0" w:space="0" w:color="auto"/>
        <w:left w:val="none" w:sz="0" w:space="0" w:color="auto"/>
        <w:bottom w:val="none" w:sz="0" w:space="0" w:color="auto"/>
        <w:right w:val="none" w:sz="0" w:space="0" w:color="auto"/>
      </w:divBdr>
    </w:div>
    <w:div w:id="1538934582">
      <w:bodyDiv w:val="1"/>
      <w:marLeft w:val="0"/>
      <w:marRight w:val="0"/>
      <w:marTop w:val="0"/>
      <w:marBottom w:val="0"/>
      <w:divBdr>
        <w:top w:val="none" w:sz="0" w:space="0" w:color="auto"/>
        <w:left w:val="none" w:sz="0" w:space="0" w:color="auto"/>
        <w:bottom w:val="none" w:sz="0" w:space="0" w:color="auto"/>
        <w:right w:val="none" w:sz="0" w:space="0" w:color="auto"/>
      </w:divBdr>
    </w:div>
    <w:div w:id="1826042019">
      <w:bodyDiv w:val="1"/>
      <w:marLeft w:val="0"/>
      <w:marRight w:val="0"/>
      <w:marTop w:val="0"/>
      <w:marBottom w:val="0"/>
      <w:divBdr>
        <w:top w:val="none" w:sz="0" w:space="0" w:color="auto"/>
        <w:left w:val="none" w:sz="0" w:space="0" w:color="auto"/>
        <w:bottom w:val="none" w:sz="0" w:space="0" w:color="auto"/>
        <w:right w:val="none" w:sz="0" w:space="0" w:color="auto"/>
      </w:divBdr>
    </w:div>
    <w:div w:id="1919096219">
      <w:bodyDiv w:val="1"/>
      <w:marLeft w:val="0"/>
      <w:marRight w:val="0"/>
      <w:marTop w:val="0"/>
      <w:marBottom w:val="0"/>
      <w:divBdr>
        <w:top w:val="none" w:sz="0" w:space="0" w:color="auto"/>
        <w:left w:val="none" w:sz="0" w:space="0" w:color="auto"/>
        <w:bottom w:val="none" w:sz="0" w:space="0" w:color="auto"/>
        <w:right w:val="none" w:sz="0" w:space="0" w:color="auto"/>
      </w:divBdr>
    </w:div>
    <w:div w:id="1932274839">
      <w:bodyDiv w:val="1"/>
      <w:marLeft w:val="0"/>
      <w:marRight w:val="0"/>
      <w:marTop w:val="0"/>
      <w:marBottom w:val="0"/>
      <w:divBdr>
        <w:top w:val="none" w:sz="0" w:space="0" w:color="auto"/>
        <w:left w:val="none" w:sz="0" w:space="0" w:color="auto"/>
        <w:bottom w:val="none" w:sz="0" w:space="0" w:color="auto"/>
        <w:right w:val="none" w:sz="0" w:space="0" w:color="auto"/>
      </w:divBdr>
    </w:div>
    <w:div w:id="1970865689">
      <w:bodyDiv w:val="1"/>
      <w:marLeft w:val="0"/>
      <w:marRight w:val="0"/>
      <w:marTop w:val="0"/>
      <w:marBottom w:val="0"/>
      <w:divBdr>
        <w:top w:val="none" w:sz="0" w:space="0" w:color="auto"/>
        <w:left w:val="none" w:sz="0" w:space="0" w:color="auto"/>
        <w:bottom w:val="none" w:sz="0" w:space="0" w:color="auto"/>
        <w:right w:val="none" w:sz="0" w:space="0" w:color="auto"/>
      </w:divBdr>
      <w:divsChild>
        <w:div w:id="1689520131">
          <w:marLeft w:val="0"/>
          <w:marRight w:val="0"/>
          <w:marTop w:val="0"/>
          <w:marBottom w:val="101"/>
          <w:divBdr>
            <w:top w:val="none" w:sz="0" w:space="0" w:color="auto"/>
            <w:left w:val="none" w:sz="0" w:space="0" w:color="auto"/>
            <w:bottom w:val="none" w:sz="0" w:space="0" w:color="auto"/>
            <w:right w:val="none" w:sz="0" w:space="0" w:color="auto"/>
          </w:divBdr>
        </w:div>
        <w:div w:id="1835341195">
          <w:marLeft w:val="0"/>
          <w:marRight w:val="0"/>
          <w:marTop w:val="0"/>
          <w:marBottom w:val="101"/>
          <w:divBdr>
            <w:top w:val="none" w:sz="0" w:space="0" w:color="auto"/>
            <w:left w:val="none" w:sz="0" w:space="0" w:color="auto"/>
            <w:bottom w:val="none" w:sz="0" w:space="0" w:color="auto"/>
            <w:right w:val="none" w:sz="0" w:space="0" w:color="auto"/>
          </w:divBdr>
        </w:div>
        <w:div w:id="2129619361">
          <w:marLeft w:val="0"/>
          <w:marRight w:val="0"/>
          <w:marTop w:val="0"/>
          <w:marBottom w:val="101"/>
          <w:divBdr>
            <w:top w:val="none" w:sz="0" w:space="0" w:color="auto"/>
            <w:left w:val="none" w:sz="0" w:space="0" w:color="auto"/>
            <w:bottom w:val="none" w:sz="0" w:space="0" w:color="auto"/>
            <w:right w:val="none" w:sz="0" w:space="0" w:color="auto"/>
          </w:divBdr>
        </w:div>
        <w:div w:id="2016876801">
          <w:marLeft w:val="0"/>
          <w:marRight w:val="0"/>
          <w:marTop w:val="0"/>
          <w:marBottom w:val="101"/>
          <w:divBdr>
            <w:top w:val="none" w:sz="0" w:space="0" w:color="auto"/>
            <w:left w:val="none" w:sz="0" w:space="0" w:color="auto"/>
            <w:bottom w:val="none" w:sz="0" w:space="0" w:color="auto"/>
            <w:right w:val="none" w:sz="0" w:space="0" w:color="auto"/>
          </w:divBdr>
        </w:div>
        <w:div w:id="1486319260">
          <w:marLeft w:val="0"/>
          <w:marRight w:val="0"/>
          <w:marTop w:val="0"/>
          <w:marBottom w:val="101"/>
          <w:divBdr>
            <w:top w:val="none" w:sz="0" w:space="0" w:color="auto"/>
            <w:left w:val="none" w:sz="0" w:space="0" w:color="auto"/>
            <w:bottom w:val="none" w:sz="0" w:space="0" w:color="auto"/>
            <w:right w:val="none" w:sz="0" w:space="0" w:color="auto"/>
          </w:divBdr>
        </w:div>
        <w:div w:id="141629147">
          <w:marLeft w:val="0"/>
          <w:marRight w:val="0"/>
          <w:marTop w:val="0"/>
          <w:marBottom w:val="101"/>
          <w:divBdr>
            <w:top w:val="none" w:sz="0" w:space="0" w:color="auto"/>
            <w:left w:val="none" w:sz="0" w:space="0" w:color="auto"/>
            <w:bottom w:val="none" w:sz="0" w:space="0" w:color="auto"/>
            <w:right w:val="none" w:sz="0" w:space="0" w:color="auto"/>
          </w:divBdr>
        </w:div>
        <w:div w:id="1351491216">
          <w:marLeft w:val="0"/>
          <w:marRight w:val="0"/>
          <w:marTop w:val="0"/>
          <w:marBottom w:val="101"/>
          <w:divBdr>
            <w:top w:val="none" w:sz="0" w:space="0" w:color="auto"/>
            <w:left w:val="none" w:sz="0" w:space="0" w:color="auto"/>
            <w:bottom w:val="none" w:sz="0" w:space="0" w:color="auto"/>
            <w:right w:val="none" w:sz="0" w:space="0" w:color="auto"/>
          </w:divBdr>
        </w:div>
        <w:div w:id="294263629">
          <w:marLeft w:val="0"/>
          <w:marRight w:val="0"/>
          <w:marTop w:val="0"/>
          <w:marBottom w:val="101"/>
          <w:divBdr>
            <w:top w:val="none" w:sz="0" w:space="0" w:color="auto"/>
            <w:left w:val="none" w:sz="0" w:space="0" w:color="auto"/>
            <w:bottom w:val="none" w:sz="0" w:space="0" w:color="auto"/>
            <w:right w:val="none" w:sz="0" w:space="0" w:color="auto"/>
          </w:divBdr>
        </w:div>
        <w:div w:id="15072085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gov/atr/horizontal-merger-guidelines-081920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criterio-tecnico-para-el-calculo-y-aplicacion-de-un-indice-cuantitativo-fin-de-determinar-el-gra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7810BB62C8401429A0832347F2B0CD5" ma:contentTypeVersion="0" ma:contentTypeDescription="Crear nuevo documento." ma:contentTypeScope="" ma:versionID="2e811fa641097a5f4e144866d9bde6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0E28-7F48-433B-9958-CD610C2AA8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40613-C4C1-4FBE-B066-016550048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C10537-6E16-4BB2-97B5-54F1EE412D4B}">
  <ds:schemaRefs>
    <ds:schemaRef ds:uri="http://schemas.microsoft.com/sharepoint/v3/contenttype/forms"/>
  </ds:schemaRefs>
</ds:datastoreItem>
</file>

<file path=customXml/itemProps4.xml><?xml version="1.0" encoding="utf-8"?>
<ds:datastoreItem xmlns:ds="http://schemas.openxmlformats.org/officeDocument/2006/customXml" ds:itemID="{A90B72E1-CFB9-4C0A-960B-C1B806AD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5527</Words>
  <Characters>30404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Ulises Lopez Bautista</dc:creator>
  <cp:keywords/>
  <dc:description/>
  <cp:lastModifiedBy>Josue Teoyotl Calderon</cp:lastModifiedBy>
  <cp:revision>2</cp:revision>
  <cp:lastPrinted>2021-11-25T22:54:00Z</cp:lastPrinted>
  <dcterms:created xsi:type="dcterms:W3CDTF">2021-11-25T22:54:00Z</dcterms:created>
  <dcterms:modified xsi:type="dcterms:W3CDTF">2021-11-25T22:54:00Z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0x01010097810BB62C8401429A0832347F2B0CD5</vt:lpwstr>
  </property>
</Properties>
</file>