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C196C" w14:textId="412E59DB" w:rsidR="007144BE" w:rsidRPr="007144BE" w:rsidRDefault="007144BE" w:rsidP="007144BE">
      <w:pPr>
        <w:jc w:val="center"/>
        <w:rPr>
          <w:b/>
          <w:bCs/>
        </w:rPr>
      </w:pPr>
      <w:r w:rsidRPr="007144BE">
        <w:rPr>
          <w:b/>
          <w:bCs/>
        </w:rPr>
        <w:t>A</w:t>
      </w:r>
      <w:r>
        <w:rPr>
          <w:b/>
          <w:bCs/>
        </w:rPr>
        <w:t>nexo. Cuadro comparativo</w:t>
      </w:r>
    </w:p>
    <w:p w14:paraId="491DBB7B" w14:textId="19D81742" w:rsidR="00551D89" w:rsidRDefault="00551D89" w:rsidP="009B104E">
      <w:pPr>
        <w:jc w:val="both"/>
      </w:pPr>
      <w:r>
        <w:t xml:space="preserve">En el siguiente cuadro se listan las modificaciones realizadas </w:t>
      </w:r>
      <w:r w:rsidR="007144BE">
        <w:t>al Criterio Técnico, para su pronta localización.</w:t>
      </w:r>
    </w:p>
    <w:tbl>
      <w:tblPr>
        <w:tblStyle w:val="Tablaconcuadrcula"/>
        <w:tblW w:w="9209" w:type="dxa"/>
        <w:tblLook w:val="04A0" w:firstRow="1" w:lastRow="0" w:firstColumn="1" w:lastColumn="0" w:noHBand="0" w:noVBand="1"/>
      </w:tblPr>
      <w:tblGrid>
        <w:gridCol w:w="1838"/>
        <w:gridCol w:w="3686"/>
        <w:gridCol w:w="3685"/>
      </w:tblGrid>
      <w:tr w:rsidR="00551D89" w:rsidRPr="00551D89" w14:paraId="646D0C6D" w14:textId="77777777" w:rsidTr="004A5133">
        <w:trPr>
          <w:tblHeader/>
        </w:trPr>
        <w:tc>
          <w:tcPr>
            <w:tcW w:w="1838" w:type="dxa"/>
          </w:tcPr>
          <w:p w14:paraId="63B7EA53" w14:textId="77777777" w:rsidR="00551D89" w:rsidRPr="00551D89" w:rsidRDefault="00551D89" w:rsidP="004A5133">
            <w:pPr>
              <w:spacing w:line="276" w:lineRule="auto"/>
              <w:rPr>
                <w:rFonts w:ascii="Arial" w:hAnsi="Arial" w:cs="Arial"/>
                <w:b/>
                <w:bCs/>
                <w:sz w:val="18"/>
                <w:szCs w:val="18"/>
              </w:rPr>
            </w:pPr>
            <w:r w:rsidRPr="00551D89">
              <w:rPr>
                <w:rFonts w:ascii="Arial" w:hAnsi="Arial" w:cs="Arial"/>
                <w:b/>
                <w:bCs/>
                <w:sz w:val="18"/>
                <w:szCs w:val="18"/>
              </w:rPr>
              <w:t>Sección</w:t>
            </w:r>
          </w:p>
        </w:tc>
        <w:tc>
          <w:tcPr>
            <w:tcW w:w="3686" w:type="dxa"/>
          </w:tcPr>
          <w:p w14:paraId="21A54C98" w14:textId="77777777" w:rsidR="00551D89" w:rsidRPr="00551D89" w:rsidRDefault="00551D89" w:rsidP="004A5133">
            <w:pPr>
              <w:spacing w:line="276" w:lineRule="auto"/>
              <w:rPr>
                <w:rFonts w:ascii="Arial" w:hAnsi="Arial" w:cs="Arial"/>
                <w:b/>
                <w:bCs/>
                <w:sz w:val="18"/>
                <w:szCs w:val="18"/>
              </w:rPr>
            </w:pPr>
            <w:r w:rsidRPr="00551D89">
              <w:rPr>
                <w:rFonts w:ascii="Arial" w:hAnsi="Arial" w:cs="Arial"/>
                <w:b/>
                <w:bCs/>
                <w:sz w:val="18"/>
                <w:szCs w:val="18"/>
              </w:rPr>
              <w:t>Párrafo original</w:t>
            </w:r>
          </w:p>
        </w:tc>
        <w:tc>
          <w:tcPr>
            <w:tcW w:w="3685" w:type="dxa"/>
          </w:tcPr>
          <w:p w14:paraId="5D781FE9" w14:textId="77777777" w:rsidR="00551D89" w:rsidRPr="00551D89" w:rsidRDefault="00551D89" w:rsidP="004A5133">
            <w:pPr>
              <w:spacing w:line="276" w:lineRule="auto"/>
              <w:rPr>
                <w:rFonts w:ascii="Arial" w:hAnsi="Arial" w:cs="Arial"/>
                <w:b/>
                <w:bCs/>
                <w:sz w:val="18"/>
                <w:szCs w:val="18"/>
              </w:rPr>
            </w:pPr>
            <w:r w:rsidRPr="00551D89">
              <w:rPr>
                <w:rFonts w:ascii="Arial" w:hAnsi="Arial" w:cs="Arial"/>
                <w:b/>
                <w:bCs/>
                <w:sz w:val="18"/>
                <w:szCs w:val="18"/>
              </w:rPr>
              <w:t>Propuesta de modificación</w:t>
            </w:r>
          </w:p>
        </w:tc>
      </w:tr>
      <w:tr w:rsidR="00551D89" w:rsidRPr="00551D89" w14:paraId="7E51D548" w14:textId="77777777" w:rsidTr="004A5133">
        <w:tc>
          <w:tcPr>
            <w:tcW w:w="1838" w:type="dxa"/>
          </w:tcPr>
          <w:p w14:paraId="4682A92F" w14:textId="77777777" w:rsidR="00551D89" w:rsidRPr="00551D89" w:rsidRDefault="00551D89" w:rsidP="007144BE">
            <w:pPr>
              <w:spacing w:line="276" w:lineRule="auto"/>
              <w:jc w:val="both"/>
              <w:rPr>
                <w:rFonts w:ascii="Arial" w:hAnsi="Arial" w:cs="Arial"/>
                <w:sz w:val="18"/>
                <w:szCs w:val="18"/>
              </w:rPr>
            </w:pPr>
            <w:r w:rsidRPr="00551D89">
              <w:rPr>
                <w:rFonts w:ascii="Arial" w:hAnsi="Arial" w:cs="Arial"/>
                <w:sz w:val="18"/>
                <w:szCs w:val="18"/>
              </w:rPr>
              <w:t>Artículo 3, párrafo tercero</w:t>
            </w:r>
          </w:p>
        </w:tc>
        <w:tc>
          <w:tcPr>
            <w:tcW w:w="3686" w:type="dxa"/>
          </w:tcPr>
          <w:p w14:paraId="1DA14605" w14:textId="3DDC4596" w:rsidR="00551D89" w:rsidRPr="00551D89" w:rsidRDefault="00551D89" w:rsidP="007144BE">
            <w:pPr>
              <w:spacing w:line="276" w:lineRule="auto"/>
              <w:jc w:val="both"/>
              <w:rPr>
                <w:rFonts w:ascii="Arial" w:hAnsi="Arial" w:cs="Arial"/>
                <w:sz w:val="18"/>
                <w:szCs w:val="18"/>
              </w:rPr>
            </w:pPr>
            <w:r w:rsidRPr="00551D89">
              <w:rPr>
                <w:rFonts w:ascii="Arial" w:eastAsia="Times New Roman" w:hAnsi="Arial" w:cs="Arial"/>
                <w:sz w:val="18"/>
                <w:szCs w:val="18"/>
                <w:lang w:eastAsia="es-MX"/>
              </w:rPr>
              <w:t xml:space="preserve">Por ejemplo, si se considera la variable de valor de las ventas y se define a </w:t>
            </w:r>
            <m:oMath>
              <m:sSub>
                <m:sSubPr>
                  <m:ctrlPr>
                    <w:rPr>
                      <w:rFonts w:ascii="Cambria Math" w:eastAsia="Times New Roman" w:hAnsi="Cambria Math" w:cs="Arial"/>
                      <w:i/>
                      <w:sz w:val="18"/>
                      <w:szCs w:val="18"/>
                      <w:lang w:eastAsia="es-MX"/>
                    </w:rPr>
                  </m:ctrlPr>
                </m:sSubPr>
                <m:e>
                  <m:r>
                    <w:rPr>
                      <w:rFonts w:ascii="Cambria Math" w:eastAsia="Times New Roman" w:hAnsi="Cambria Math" w:cs="Arial"/>
                      <w:sz w:val="18"/>
                      <w:szCs w:val="18"/>
                      <w:lang w:eastAsia="es-MX"/>
                    </w:rPr>
                    <m:t>V</m:t>
                  </m:r>
                </m:e>
                <m:sub>
                  <m:r>
                    <w:rPr>
                      <w:rFonts w:ascii="Cambria Math" w:eastAsia="Times New Roman" w:hAnsi="Cambria Math" w:cs="Arial"/>
                      <w:sz w:val="18"/>
                      <w:szCs w:val="18"/>
                      <w:lang w:eastAsia="es-MX"/>
                    </w:rPr>
                    <m:t>i</m:t>
                  </m:r>
                </m:sub>
              </m:sSub>
            </m:oMath>
            <w:r w:rsidRPr="00551D89">
              <w:rPr>
                <w:rFonts w:ascii="Arial" w:eastAsia="Times New Roman" w:hAnsi="Arial" w:cs="Arial"/>
                <w:i/>
                <w:sz w:val="18"/>
                <w:szCs w:val="18"/>
                <w:lang w:eastAsia="es-MX"/>
              </w:rPr>
              <w:t xml:space="preserve"> </w:t>
            </w:r>
            <w:r w:rsidRPr="00551D89">
              <w:rPr>
                <w:rFonts w:ascii="Arial" w:eastAsia="Times New Roman" w:hAnsi="Arial" w:cs="Arial"/>
                <w:sz w:val="18"/>
                <w:szCs w:val="18"/>
                <w:lang w:eastAsia="es-MX"/>
              </w:rPr>
              <w:t xml:space="preserve">como el valor de ventas del </w:t>
            </w:r>
            <m:oMath>
              <m:r>
                <w:rPr>
                  <w:rFonts w:ascii="Cambria Math" w:eastAsia="Times New Roman" w:hAnsi="Cambria Math" w:cs="Arial"/>
                  <w:sz w:val="18"/>
                  <w:szCs w:val="18"/>
                  <w:lang w:eastAsia="es-MX"/>
                </w:rPr>
                <m:t>i</m:t>
              </m:r>
            </m:oMath>
            <w:r w:rsidRPr="00551D89">
              <w:rPr>
                <w:rFonts w:ascii="Arial" w:eastAsia="Times New Roman" w:hAnsi="Arial" w:cs="Arial"/>
                <w:sz w:val="18"/>
                <w:szCs w:val="18"/>
                <w:lang w:eastAsia="es-MX"/>
              </w:rPr>
              <w:t xml:space="preserve">-ésimo agente económico, y a </w:t>
            </w:r>
            <m:oMath>
              <m:r>
                <w:rPr>
                  <w:rFonts w:ascii="Cambria Math" w:eastAsia="Times New Roman" w:hAnsi="Cambria Math" w:cs="Arial"/>
                  <w:sz w:val="18"/>
                  <w:szCs w:val="18"/>
                  <w:lang w:eastAsia="es-MX"/>
                </w:rPr>
                <m:t>V</m:t>
              </m:r>
            </m:oMath>
            <w:r w:rsidRPr="00551D89">
              <w:rPr>
                <w:rFonts w:ascii="Arial" w:eastAsia="Times New Roman" w:hAnsi="Arial" w:cs="Arial"/>
                <w:sz w:val="18"/>
                <w:szCs w:val="18"/>
                <w:lang w:eastAsia="es-MX"/>
              </w:rPr>
              <w:t xml:space="preserve"> como el valor de ventas total, donde </w:t>
            </w:r>
            <m:oMath>
              <m:r>
                <w:rPr>
                  <w:rFonts w:ascii="Cambria Math" w:eastAsia="Times New Roman" w:hAnsi="Cambria Math" w:cs="Arial"/>
                  <w:sz w:val="18"/>
                  <w:szCs w:val="18"/>
                  <w:lang w:eastAsia="es-MX"/>
                </w:rPr>
                <m:t>V=</m:t>
              </m:r>
              <m:nary>
                <m:naryPr>
                  <m:chr m:val="∑"/>
                  <m:limLoc m:val="undOvr"/>
                  <m:supHide m:val="1"/>
                  <m:ctrlPr>
                    <w:rPr>
                      <w:rFonts w:ascii="Cambria Math" w:eastAsia="Times New Roman" w:hAnsi="Cambria Math" w:cs="Arial"/>
                      <w:i/>
                      <w:sz w:val="18"/>
                      <w:szCs w:val="18"/>
                      <w:lang w:eastAsia="es-MX"/>
                    </w:rPr>
                  </m:ctrlPr>
                </m:naryPr>
                <m:sub>
                  <m:r>
                    <w:rPr>
                      <w:rFonts w:ascii="Cambria Math" w:eastAsia="Times New Roman" w:hAnsi="Cambria Math" w:cs="Arial"/>
                      <w:sz w:val="18"/>
                      <w:szCs w:val="18"/>
                      <w:lang w:eastAsia="es-MX"/>
                    </w:rPr>
                    <m:t>i</m:t>
                  </m:r>
                </m:sub>
                <m:sup/>
                <m:e>
                  <m:sSub>
                    <m:sSubPr>
                      <m:ctrlPr>
                        <w:rPr>
                          <w:rFonts w:ascii="Cambria Math" w:eastAsia="Times New Roman" w:hAnsi="Cambria Math" w:cs="Arial"/>
                          <w:i/>
                          <w:sz w:val="18"/>
                          <w:szCs w:val="18"/>
                          <w:lang w:eastAsia="es-MX"/>
                        </w:rPr>
                      </m:ctrlPr>
                    </m:sSubPr>
                    <m:e>
                      <m:r>
                        <w:rPr>
                          <w:rFonts w:ascii="Cambria Math" w:eastAsia="Times New Roman" w:hAnsi="Cambria Math" w:cs="Arial"/>
                          <w:sz w:val="18"/>
                          <w:szCs w:val="18"/>
                          <w:lang w:eastAsia="es-MX"/>
                        </w:rPr>
                        <m:t>V</m:t>
                      </m:r>
                    </m:e>
                    <m:sub>
                      <m:r>
                        <w:rPr>
                          <w:rFonts w:ascii="Cambria Math" w:eastAsia="Times New Roman" w:hAnsi="Cambria Math" w:cs="Arial"/>
                          <w:sz w:val="18"/>
                          <w:szCs w:val="18"/>
                          <w:lang w:eastAsia="es-MX"/>
                        </w:rPr>
                        <m:t>i</m:t>
                      </m:r>
                    </m:sub>
                  </m:sSub>
                </m:e>
              </m:nary>
            </m:oMath>
            <w:r w:rsidRPr="00551D89">
              <w:rPr>
                <w:rFonts w:ascii="Arial" w:eastAsia="Times New Roman" w:hAnsi="Arial" w:cs="Arial"/>
                <w:sz w:val="18"/>
                <w:szCs w:val="18"/>
                <w:lang w:eastAsia="es-MX"/>
              </w:rPr>
              <w:t xml:space="preserve">, entonces, la </w:t>
            </w:r>
            <w:r w:rsidRPr="00551D89">
              <w:rPr>
                <w:rFonts w:ascii="Arial" w:eastAsia="Times New Roman" w:hAnsi="Arial" w:cs="Arial"/>
                <w:bCs/>
                <w:sz w:val="18"/>
                <w:szCs w:val="18"/>
                <w:lang w:eastAsia="es-MX"/>
              </w:rPr>
              <w:t xml:space="preserve">participación del </w:t>
            </w:r>
            <m:oMath>
              <m:r>
                <w:rPr>
                  <w:rFonts w:ascii="Cambria Math" w:eastAsia="Times New Roman" w:hAnsi="Cambria Math" w:cs="Arial"/>
                  <w:sz w:val="18"/>
                  <w:szCs w:val="18"/>
                  <w:lang w:eastAsia="es-MX"/>
                </w:rPr>
                <m:t>i</m:t>
              </m:r>
            </m:oMath>
            <w:r w:rsidRPr="00551D89">
              <w:rPr>
                <w:rFonts w:ascii="Arial" w:eastAsia="Times New Roman" w:hAnsi="Arial" w:cs="Arial"/>
                <w:bCs/>
                <w:sz w:val="18"/>
                <w:szCs w:val="18"/>
                <w:lang w:eastAsia="es-MX"/>
              </w:rPr>
              <w:t>-</w:t>
            </w:r>
            <w:proofErr w:type="spellStart"/>
            <w:r w:rsidRPr="00551D89">
              <w:rPr>
                <w:rFonts w:ascii="Arial" w:eastAsia="Times New Roman" w:hAnsi="Arial" w:cs="Arial"/>
                <w:sz w:val="18"/>
                <w:szCs w:val="18"/>
                <w:lang w:eastAsia="es-MX"/>
              </w:rPr>
              <w:t>ésimo</w:t>
            </w:r>
            <w:proofErr w:type="spellEnd"/>
            <w:r w:rsidRPr="00551D89">
              <w:rPr>
                <w:rFonts w:ascii="Arial" w:eastAsia="Times New Roman" w:hAnsi="Arial" w:cs="Arial"/>
                <w:sz w:val="18"/>
                <w:szCs w:val="18"/>
                <w:lang w:eastAsia="es-MX"/>
              </w:rPr>
              <w:t xml:space="preserve"> agente económico, que se identificará como </w:t>
            </w:r>
            <m:oMath>
              <m:sSub>
                <m:sSubPr>
                  <m:ctrlPr>
                    <w:rPr>
                      <w:rFonts w:ascii="Cambria Math" w:eastAsia="Times New Roman" w:hAnsi="Cambria Math" w:cs="Arial"/>
                      <w:i/>
                      <w:sz w:val="18"/>
                      <w:szCs w:val="18"/>
                      <w:lang w:eastAsia="es-MX"/>
                    </w:rPr>
                  </m:ctrlPr>
                </m:sSubPr>
                <m:e>
                  <m:r>
                    <w:rPr>
                      <w:rFonts w:ascii="Cambria Math" w:eastAsia="Times New Roman" w:hAnsi="Cambria Math" w:cs="Arial"/>
                      <w:sz w:val="18"/>
                      <w:szCs w:val="18"/>
                      <w:lang w:eastAsia="es-MX"/>
                    </w:rPr>
                    <m:t>α</m:t>
                  </m:r>
                </m:e>
                <m:sub>
                  <m:r>
                    <w:rPr>
                      <w:rFonts w:ascii="Cambria Math" w:eastAsia="Times New Roman" w:hAnsi="Cambria Math" w:cs="Arial"/>
                      <w:sz w:val="18"/>
                      <w:szCs w:val="18"/>
                      <w:lang w:eastAsia="es-MX"/>
                    </w:rPr>
                    <m:t>i</m:t>
                  </m:r>
                </m:sub>
              </m:sSub>
            </m:oMath>
            <w:r w:rsidRPr="00551D89">
              <w:rPr>
                <w:rFonts w:ascii="Arial" w:eastAsia="Times New Roman" w:hAnsi="Arial" w:cs="Arial"/>
                <w:sz w:val="18"/>
                <w:szCs w:val="18"/>
                <w:lang w:eastAsia="es-MX"/>
              </w:rPr>
              <w:t>, se define como:</w:t>
            </w:r>
          </w:p>
        </w:tc>
        <w:tc>
          <w:tcPr>
            <w:tcW w:w="3685" w:type="dxa"/>
          </w:tcPr>
          <w:p w14:paraId="4F07EE67" w14:textId="77777777" w:rsidR="00551D89" w:rsidRPr="00551D89" w:rsidRDefault="00551D89" w:rsidP="007144BE">
            <w:pPr>
              <w:spacing w:line="276" w:lineRule="auto"/>
              <w:jc w:val="both"/>
              <w:rPr>
                <w:rFonts w:ascii="Arial" w:hAnsi="Arial" w:cs="Arial"/>
                <w:sz w:val="18"/>
                <w:szCs w:val="18"/>
              </w:rPr>
            </w:pPr>
            <w:r w:rsidRPr="00551D89">
              <w:rPr>
                <w:rFonts w:ascii="Arial" w:eastAsia="Times New Roman" w:hAnsi="Arial" w:cs="Arial"/>
                <w:sz w:val="18"/>
                <w:szCs w:val="18"/>
                <w:lang w:eastAsia="es-MX"/>
              </w:rPr>
              <w:t xml:space="preserve">Por ejemplo, si se considera la variable de valor de las ventas y se define a </w:t>
            </w:r>
            <m:oMath>
              <m:sSub>
                <m:sSubPr>
                  <m:ctrlPr>
                    <w:rPr>
                      <w:rFonts w:ascii="Cambria Math" w:eastAsia="Times New Roman" w:hAnsi="Cambria Math" w:cs="Arial"/>
                      <w:i/>
                      <w:sz w:val="18"/>
                      <w:szCs w:val="18"/>
                      <w:lang w:eastAsia="es-MX"/>
                    </w:rPr>
                  </m:ctrlPr>
                </m:sSubPr>
                <m:e>
                  <m:r>
                    <w:rPr>
                      <w:rFonts w:ascii="Cambria Math" w:eastAsia="Times New Roman" w:hAnsi="Cambria Math" w:cs="Arial"/>
                      <w:sz w:val="18"/>
                      <w:szCs w:val="18"/>
                      <w:lang w:eastAsia="es-MX"/>
                    </w:rPr>
                    <m:t>V</m:t>
                  </m:r>
                </m:e>
                <m:sub>
                  <m:r>
                    <w:rPr>
                      <w:rFonts w:ascii="Cambria Math" w:eastAsia="Times New Roman" w:hAnsi="Cambria Math" w:cs="Arial"/>
                      <w:sz w:val="18"/>
                      <w:szCs w:val="18"/>
                      <w:lang w:eastAsia="es-MX"/>
                    </w:rPr>
                    <m:t>i</m:t>
                  </m:r>
                </m:sub>
              </m:sSub>
            </m:oMath>
            <w:r w:rsidRPr="00551D89">
              <w:rPr>
                <w:rFonts w:ascii="Arial" w:eastAsia="Times New Roman" w:hAnsi="Arial" w:cs="Arial"/>
                <w:i/>
                <w:sz w:val="18"/>
                <w:szCs w:val="18"/>
                <w:lang w:eastAsia="es-MX"/>
              </w:rPr>
              <w:t xml:space="preserve"> </w:t>
            </w:r>
            <w:r w:rsidRPr="00551D89">
              <w:rPr>
                <w:rFonts w:ascii="Arial" w:eastAsia="Times New Roman" w:hAnsi="Arial" w:cs="Arial"/>
                <w:sz w:val="18"/>
                <w:szCs w:val="18"/>
                <w:lang w:eastAsia="es-MX"/>
              </w:rPr>
              <w:t xml:space="preserve">como el valor de ventas del </w:t>
            </w:r>
            <m:oMath>
              <m:r>
                <w:rPr>
                  <w:rFonts w:ascii="Cambria Math" w:eastAsia="Times New Roman" w:hAnsi="Cambria Math" w:cs="Arial"/>
                  <w:sz w:val="18"/>
                  <w:szCs w:val="18"/>
                  <w:lang w:eastAsia="es-MX"/>
                </w:rPr>
                <m:t>i</m:t>
              </m:r>
            </m:oMath>
            <w:r w:rsidRPr="00551D89">
              <w:rPr>
                <w:rFonts w:ascii="Arial" w:eastAsia="Times New Roman" w:hAnsi="Arial" w:cs="Arial"/>
                <w:sz w:val="18"/>
                <w:szCs w:val="18"/>
                <w:lang w:eastAsia="es-MX"/>
              </w:rPr>
              <w:t xml:space="preserve">-ésimo agente económico, y a </w:t>
            </w:r>
            <m:oMath>
              <m:r>
                <w:rPr>
                  <w:rFonts w:ascii="Cambria Math" w:eastAsia="Times New Roman" w:hAnsi="Cambria Math" w:cs="Arial"/>
                  <w:sz w:val="18"/>
                  <w:szCs w:val="18"/>
                  <w:lang w:eastAsia="es-MX"/>
                </w:rPr>
                <m:t>V</m:t>
              </m:r>
            </m:oMath>
            <w:r w:rsidRPr="00551D89">
              <w:rPr>
                <w:rFonts w:ascii="Arial" w:eastAsia="Times New Roman" w:hAnsi="Arial" w:cs="Arial"/>
                <w:sz w:val="18"/>
                <w:szCs w:val="18"/>
                <w:lang w:eastAsia="es-MX"/>
              </w:rPr>
              <w:t xml:space="preserve"> como el valor de ventas total de todos los agentes económicos, donde </w:t>
            </w:r>
            <m:oMath>
              <m:r>
                <w:rPr>
                  <w:rFonts w:ascii="Cambria Math" w:eastAsia="Times New Roman" w:hAnsi="Cambria Math" w:cs="Arial"/>
                  <w:sz w:val="18"/>
                  <w:szCs w:val="18"/>
                  <w:lang w:eastAsia="es-MX"/>
                </w:rPr>
                <m:t>V=</m:t>
              </m:r>
              <m:nary>
                <m:naryPr>
                  <m:chr m:val="∑"/>
                  <m:limLoc m:val="subSup"/>
                  <m:ctrlPr>
                    <w:rPr>
                      <w:rFonts w:ascii="Cambria Math" w:eastAsia="Times New Roman" w:hAnsi="Cambria Math" w:cs="Arial"/>
                      <w:i/>
                      <w:sz w:val="18"/>
                      <w:szCs w:val="18"/>
                      <w:lang w:eastAsia="es-MX"/>
                    </w:rPr>
                  </m:ctrlPr>
                </m:naryPr>
                <m:sub>
                  <m:r>
                    <w:rPr>
                      <w:rFonts w:ascii="Cambria Math" w:eastAsia="Times New Roman" w:hAnsi="Cambria Math" w:cs="Arial"/>
                      <w:sz w:val="18"/>
                      <w:szCs w:val="18"/>
                      <w:lang w:eastAsia="es-MX"/>
                    </w:rPr>
                    <m:t>i=1</m:t>
                  </m:r>
                </m:sub>
                <m:sup>
                  <m:r>
                    <w:rPr>
                      <w:rFonts w:ascii="Cambria Math" w:eastAsia="Times New Roman" w:hAnsi="Cambria Math" w:cs="Arial"/>
                      <w:sz w:val="18"/>
                      <w:szCs w:val="18"/>
                      <w:lang w:eastAsia="es-MX"/>
                    </w:rPr>
                    <m:t>N</m:t>
                  </m:r>
                </m:sup>
                <m:e>
                  <m:sSub>
                    <m:sSubPr>
                      <m:ctrlPr>
                        <w:rPr>
                          <w:rFonts w:ascii="Cambria Math" w:eastAsia="Times New Roman" w:hAnsi="Cambria Math" w:cs="Arial"/>
                          <w:i/>
                          <w:sz w:val="18"/>
                          <w:szCs w:val="18"/>
                          <w:lang w:eastAsia="es-MX"/>
                        </w:rPr>
                      </m:ctrlPr>
                    </m:sSubPr>
                    <m:e>
                      <m:r>
                        <w:rPr>
                          <w:rFonts w:ascii="Cambria Math" w:eastAsia="Times New Roman" w:hAnsi="Cambria Math" w:cs="Arial"/>
                          <w:sz w:val="18"/>
                          <w:szCs w:val="18"/>
                          <w:lang w:eastAsia="es-MX"/>
                        </w:rPr>
                        <m:t>V</m:t>
                      </m:r>
                    </m:e>
                    <m:sub>
                      <m:r>
                        <w:rPr>
                          <w:rFonts w:ascii="Cambria Math" w:eastAsia="Times New Roman" w:hAnsi="Cambria Math" w:cs="Arial"/>
                          <w:sz w:val="18"/>
                          <w:szCs w:val="18"/>
                          <w:lang w:eastAsia="es-MX"/>
                        </w:rPr>
                        <m:t>i</m:t>
                      </m:r>
                    </m:sub>
                  </m:sSub>
                </m:e>
              </m:nary>
            </m:oMath>
            <w:r w:rsidRPr="00551D89">
              <w:rPr>
                <w:rFonts w:ascii="Arial" w:eastAsia="Times New Roman" w:hAnsi="Arial" w:cs="Arial"/>
                <w:sz w:val="18"/>
                <w:szCs w:val="18"/>
                <w:lang w:eastAsia="es-MX"/>
              </w:rPr>
              <w:t xml:space="preserve"> y </w:t>
            </w:r>
            <m:oMath>
              <m:r>
                <w:rPr>
                  <w:rFonts w:ascii="Cambria Math" w:eastAsia="Times New Roman" w:hAnsi="Cambria Math" w:cs="Arial"/>
                  <w:sz w:val="18"/>
                  <w:szCs w:val="18"/>
                  <w:lang w:eastAsia="es-MX"/>
                </w:rPr>
                <m:t>N</m:t>
              </m:r>
            </m:oMath>
            <w:r w:rsidRPr="00551D89">
              <w:rPr>
                <w:rFonts w:ascii="Arial" w:eastAsia="Times New Roman" w:hAnsi="Arial" w:cs="Arial"/>
                <w:sz w:val="18"/>
                <w:szCs w:val="18"/>
                <w:lang w:eastAsia="es-MX"/>
              </w:rPr>
              <w:t xml:space="preserve"> es el número total de agentes económicos en el mercado</w:t>
            </w:r>
            <w:r w:rsidRPr="00551D89">
              <w:rPr>
                <w:rFonts w:ascii="Arial" w:eastAsia="Times New Roman" w:hAnsi="Arial" w:cs="Arial"/>
                <w:i/>
                <w:sz w:val="18"/>
                <w:szCs w:val="18"/>
                <w:lang w:eastAsia="es-MX"/>
              </w:rPr>
              <w:t>,</w:t>
            </w:r>
            <w:r w:rsidRPr="00551D89">
              <w:rPr>
                <w:rFonts w:ascii="Arial" w:eastAsia="Times New Roman" w:hAnsi="Arial" w:cs="Arial"/>
                <w:sz w:val="18"/>
                <w:szCs w:val="18"/>
                <w:lang w:eastAsia="es-MX"/>
              </w:rPr>
              <w:t xml:space="preserve"> entonces, la </w:t>
            </w:r>
            <w:r w:rsidRPr="00551D89">
              <w:rPr>
                <w:rFonts w:ascii="Arial" w:eastAsia="Times New Roman" w:hAnsi="Arial" w:cs="Arial"/>
                <w:bCs/>
                <w:sz w:val="18"/>
                <w:szCs w:val="18"/>
                <w:lang w:eastAsia="es-MX"/>
              </w:rPr>
              <w:t>participación del</w:t>
            </w:r>
            <w:r w:rsidRPr="00551D89">
              <w:rPr>
                <w:rFonts w:ascii="Arial" w:eastAsia="Times New Roman" w:hAnsi="Arial" w:cs="Arial"/>
                <w:sz w:val="18"/>
                <w:szCs w:val="18"/>
                <w:lang w:eastAsia="es-MX"/>
              </w:rPr>
              <w:t xml:space="preserve"> </w:t>
            </w:r>
            <m:oMath>
              <m:r>
                <w:rPr>
                  <w:rFonts w:ascii="Cambria Math" w:eastAsia="Times New Roman" w:hAnsi="Cambria Math" w:cs="Arial"/>
                  <w:sz w:val="18"/>
                  <w:szCs w:val="18"/>
                  <w:lang w:eastAsia="es-MX"/>
                </w:rPr>
                <m:t>i</m:t>
              </m:r>
            </m:oMath>
            <w:r w:rsidRPr="00551D89">
              <w:rPr>
                <w:rFonts w:ascii="Arial" w:eastAsia="Times New Roman" w:hAnsi="Arial" w:cs="Arial"/>
                <w:sz w:val="18"/>
                <w:szCs w:val="18"/>
                <w:lang w:eastAsia="es-MX"/>
              </w:rPr>
              <w:t xml:space="preserve">-ésimo agente económico, que se identificará como </w:t>
            </w:r>
            <m:oMath>
              <m:sSub>
                <m:sSubPr>
                  <m:ctrlPr>
                    <w:rPr>
                      <w:rFonts w:ascii="Cambria Math" w:eastAsia="Times New Roman" w:hAnsi="Cambria Math" w:cs="Arial"/>
                      <w:i/>
                      <w:sz w:val="18"/>
                      <w:szCs w:val="18"/>
                      <w:lang w:eastAsia="es-MX"/>
                    </w:rPr>
                  </m:ctrlPr>
                </m:sSubPr>
                <m:e>
                  <m:r>
                    <w:rPr>
                      <w:rFonts w:ascii="Cambria Math" w:eastAsia="Times New Roman" w:hAnsi="Cambria Math" w:cs="Arial"/>
                      <w:sz w:val="18"/>
                      <w:szCs w:val="18"/>
                      <w:lang w:eastAsia="es-MX"/>
                    </w:rPr>
                    <m:t>α</m:t>
                  </m:r>
                </m:e>
                <m:sub>
                  <m:r>
                    <w:rPr>
                      <w:rFonts w:ascii="Cambria Math" w:eastAsia="Times New Roman" w:hAnsi="Cambria Math" w:cs="Arial"/>
                      <w:sz w:val="18"/>
                      <w:szCs w:val="18"/>
                      <w:lang w:eastAsia="es-MX"/>
                    </w:rPr>
                    <m:t>i</m:t>
                  </m:r>
                </m:sub>
              </m:sSub>
            </m:oMath>
            <w:r w:rsidRPr="00551D89">
              <w:rPr>
                <w:rFonts w:ascii="Arial" w:eastAsia="Times New Roman" w:hAnsi="Arial" w:cs="Arial"/>
                <w:sz w:val="18"/>
                <w:szCs w:val="18"/>
                <w:lang w:eastAsia="es-MX"/>
              </w:rPr>
              <w:t>, se define como:</w:t>
            </w:r>
          </w:p>
        </w:tc>
      </w:tr>
      <w:tr w:rsidR="00551D89" w:rsidRPr="00551D89" w14:paraId="7AFC5836" w14:textId="77777777" w:rsidTr="004A5133">
        <w:tc>
          <w:tcPr>
            <w:tcW w:w="1838" w:type="dxa"/>
          </w:tcPr>
          <w:p w14:paraId="247032A1" w14:textId="77777777" w:rsidR="00551D89" w:rsidRPr="00551D89" w:rsidRDefault="00551D89" w:rsidP="007144BE">
            <w:pPr>
              <w:spacing w:line="276" w:lineRule="auto"/>
              <w:jc w:val="both"/>
              <w:rPr>
                <w:rFonts w:ascii="Arial" w:hAnsi="Arial" w:cs="Arial"/>
                <w:sz w:val="18"/>
                <w:szCs w:val="18"/>
              </w:rPr>
            </w:pPr>
            <w:r w:rsidRPr="00551D89">
              <w:rPr>
                <w:rFonts w:ascii="Arial" w:hAnsi="Arial" w:cs="Arial"/>
                <w:sz w:val="18"/>
                <w:szCs w:val="18"/>
              </w:rPr>
              <w:t xml:space="preserve">Artículo 4, inciso </w:t>
            </w:r>
            <w:proofErr w:type="spellStart"/>
            <w:r w:rsidRPr="00551D89">
              <w:rPr>
                <w:rFonts w:ascii="Arial" w:hAnsi="Arial" w:cs="Arial"/>
                <w:sz w:val="18"/>
                <w:szCs w:val="18"/>
              </w:rPr>
              <w:t>iii</w:t>
            </w:r>
            <w:proofErr w:type="spellEnd"/>
            <w:r w:rsidRPr="00551D89">
              <w:rPr>
                <w:rFonts w:ascii="Arial" w:hAnsi="Arial" w:cs="Arial"/>
                <w:sz w:val="18"/>
                <w:szCs w:val="18"/>
              </w:rPr>
              <w:t>)</w:t>
            </w:r>
          </w:p>
        </w:tc>
        <w:tc>
          <w:tcPr>
            <w:tcW w:w="3686" w:type="dxa"/>
          </w:tcPr>
          <w:p w14:paraId="7F530D8C" w14:textId="77777777" w:rsidR="00551D89" w:rsidRPr="00551D89" w:rsidRDefault="00551D89" w:rsidP="007144BE">
            <w:pPr>
              <w:spacing w:line="276" w:lineRule="auto"/>
              <w:jc w:val="both"/>
              <w:rPr>
                <w:rFonts w:ascii="Arial" w:eastAsia="Times New Roman" w:hAnsi="Arial" w:cs="Arial"/>
                <w:sz w:val="18"/>
                <w:szCs w:val="18"/>
                <w:lang w:eastAsia="es-MX"/>
              </w:rPr>
            </w:pPr>
            <w:r w:rsidRPr="00551D89">
              <w:rPr>
                <w:rFonts w:ascii="Arial" w:eastAsia="Times New Roman" w:hAnsi="Arial" w:cs="Arial"/>
                <w:sz w:val="18"/>
                <w:szCs w:val="18"/>
                <w:lang w:eastAsia="es-MX"/>
              </w:rPr>
              <w:t>(…). Estos cambios en las condiciones de competencia es capturada mediante una variación del IHH, pues éste aumenta cuando el número de competidores disminuye y viceversa.</w:t>
            </w:r>
          </w:p>
        </w:tc>
        <w:tc>
          <w:tcPr>
            <w:tcW w:w="3685" w:type="dxa"/>
          </w:tcPr>
          <w:p w14:paraId="303BA381" w14:textId="77777777" w:rsidR="00551D89" w:rsidRPr="00551D89" w:rsidRDefault="00551D89" w:rsidP="007144BE">
            <w:pPr>
              <w:spacing w:line="276" w:lineRule="auto"/>
              <w:jc w:val="both"/>
              <w:rPr>
                <w:rFonts w:ascii="Arial" w:eastAsia="Times New Roman" w:hAnsi="Arial" w:cs="Arial"/>
                <w:sz w:val="18"/>
                <w:szCs w:val="18"/>
                <w:lang w:eastAsia="es-MX"/>
              </w:rPr>
            </w:pPr>
            <w:r w:rsidRPr="00551D89">
              <w:rPr>
                <w:rFonts w:ascii="Arial" w:eastAsia="Times New Roman" w:hAnsi="Arial" w:cs="Arial"/>
                <w:sz w:val="18"/>
                <w:szCs w:val="18"/>
                <w:lang w:eastAsia="es-MX"/>
              </w:rPr>
              <w:t>(…). Estos cambios en las condiciones de competencia son capturados mediante una variación del IHH, pues éste aumenta cuando el número de competidores disminuye y viceversa.</w:t>
            </w:r>
          </w:p>
        </w:tc>
      </w:tr>
      <w:tr w:rsidR="00551D89" w:rsidRPr="00551D89" w14:paraId="06BFE1E5" w14:textId="77777777" w:rsidTr="004A5133">
        <w:tc>
          <w:tcPr>
            <w:tcW w:w="1838" w:type="dxa"/>
          </w:tcPr>
          <w:p w14:paraId="3DD11357" w14:textId="77777777" w:rsidR="00551D89" w:rsidRPr="00551D89" w:rsidRDefault="00551D89" w:rsidP="007144BE">
            <w:pPr>
              <w:spacing w:line="276" w:lineRule="auto"/>
              <w:jc w:val="both"/>
              <w:rPr>
                <w:rFonts w:ascii="Arial" w:hAnsi="Arial" w:cs="Arial"/>
                <w:sz w:val="18"/>
                <w:szCs w:val="18"/>
              </w:rPr>
            </w:pPr>
            <w:r w:rsidRPr="00551D89">
              <w:rPr>
                <w:rFonts w:ascii="Arial" w:hAnsi="Arial" w:cs="Arial"/>
                <w:sz w:val="18"/>
                <w:szCs w:val="18"/>
              </w:rPr>
              <w:t>Artículo 5, párrafo primero</w:t>
            </w:r>
          </w:p>
        </w:tc>
        <w:tc>
          <w:tcPr>
            <w:tcW w:w="3686" w:type="dxa"/>
          </w:tcPr>
          <w:p w14:paraId="18DFD709" w14:textId="77777777" w:rsidR="00551D89" w:rsidRPr="00551D89" w:rsidRDefault="00551D89" w:rsidP="007144BE">
            <w:pPr>
              <w:pStyle w:val="Prrafodelista"/>
              <w:ind w:left="0" w:right="-1"/>
              <w:contextualSpacing w:val="0"/>
              <w:rPr>
                <w:rFonts w:ascii="Arial" w:eastAsia="Times New Roman" w:hAnsi="Arial" w:cs="Arial"/>
                <w:sz w:val="18"/>
                <w:szCs w:val="18"/>
                <w:lang w:eastAsia="es-MX"/>
              </w:rPr>
            </w:pPr>
            <w:r w:rsidRPr="00551D89">
              <w:rPr>
                <w:rFonts w:ascii="Arial" w:eastAsia="Times New Roman" w:hAnsi="Arial" w:cs="Arial"/>
                <w:sz w:val="18"/>
                <w:szCs w:val="18"/>
                <w:lang w:eastAsia="es-MX"/>
              </w:rPr>
              <w:t>En el análisis de concentraciones el Instituto calculará la variación del IHH (</w:t>
            </w:r>
            <m:oMath>
              <m:r>
                <m:rPr>
                  <m:sty m:val="p"/>
                </m:rPr>
                <w:rPr>
                  <w:rFonts w:ascii="Cambria Math" w:eastAsia="Times New Roman" w:hAnsi="Cambria Math" w:cs="Arial"/>
                  <w:sz w:val="18"/>
                  <w:szCs w:val="18"/>
                  <w:lang w:eastAsia="es-MX"/>
                </w:rPr>
                <m:t>∆HH</m:t>
              </m:r>
            </m:oMath>
            <w:r w:rsidRPr="00551D89">
              <w:rPr>
                <w:rFonts w:ascii="Arial" w:eastAsia="Times New Roman" w:hAnsi="Arial" w:cs="Arial"/>
                <w:sz w:val="18"/>
                <w:szCs w:val="18"/>
                <w:lang w:eastAsia="es-MX"/>
              </w:rPr>
              <w:t xml:space="preserve">) como una medida del cambio en el grado de concentración en el mercado derivado de la misma. La </w:t>
            </w:r>
            <m:oMath>
              <m:r>
                <m:rPr>
                  <m:sty m:val="p"/>
                </m:rPr>
                <w:rPr>
                  <w:rFonts w:ascii="Cambria Math" w:eastAsia="Times New Roman" w:hAnsi="Cambria Math" w:cs="Arial"/>
                  <w:sz w:val="18"/>
                  <w:szCs w:val="18"/>
                  <w:lang w:eastAsia="es-MX"/>
                </w:rPr>
                <m:t>∆HH</m:t>
              </m:r>
            </m:oMath>
            <w:r w:rsidRPr="00551D89">
              <w:rPr>
                <w:rFonts w:ascii="Arial" w:eastAsia="Times New Roman" w:hAnsi="Arial" w:cs="Arial"/>
                <w:sz w:val="18"/>
                <w:szCs w:val="18"/>
                <w:lang w:eastAsia="es-MX"/>
              </w:rPr>
              <w:t xml:space="preserve"> se calculará como la diferencia aritmética del valor del IHH después (</w:t>
            </w:r>
            <m:oMath>
              <m:r>
                <w:rPr>
                  <w:rFonts w:ascii="Cambria Math" w:eastAsia="Times New Roman" w:hAnsi="Cambria Math" w:cs="Arial"/>
                  <w:sz w:val="18"/>
                  <w:szCs w:val="18"/>
                  <w:lang w:eastAsia="es-MX"/>
                </w:rPr>
                <m:t>I</m:t>
              </m:r>
              <m:sSub>
                <m:sSubPr>
                  <m:ctrlPr>
                    <w:rPr>
                      <w:rFonts w:ascii="Cambria Math" w:eastAsia="Times New Roman" w:hAnsi="Cambria Math" w:cs="Arial"/>
                      <w:sz w:val="18"/>
                      <w:szCs w:val="18"/>
                      <w:lang w:eastAsia="es-MX"/>
                    </w:rPr>
                  </m:ctrlPr>
                </m:sSubPr>
                <m:e>
                  <m:r>
                    <w:rPr>
                      <w:rFonts w:ascii="Cambria Math" w:eastAsia="Times New Roman" w:hAnsi="Cambria Math" w:cs="Arial"/>
                      <w:sz w:val="18"/>
                      <w:szCs w:val="18"/>
                      <w:lang w:eastAsia="es-MX"/>
                    </w:rPr>
                    <m:t>HH</m:t>
                  </m:r>
                </m:e>
                <m:sub>
                  <m:r>
                    <w:rPr>
                      <w:rFonts w:ascii="Cambria Math" w:eastAsia="Times New Roman" w:hAnsi="Cambria Math" w:cs="Arial"/>
                      <w:sz w:val="18"/>
                      <w:szCs w:val="18"/>
                      <w:lang w:eastAsia="es-MX"/>
                    </w:rPr>
                    <m:t>D</m:t>
                  </m:r>
                </m:sub>
              </m:sSub>
            </m:oMath>
            <w:r w:rsidRPr="00551D89">
              <w:rPr>
                <w:rFonts w:ascii="Arial" w:eastAsia="Times New Roman" w:hAnsi="Arial" w:cs="Arial"/>
                <w:sz w:val="18"/>
                <w:szCs w:val="18"/>
                <w:lang w:eastAsia="es-MX"/>
              </w:rPr>
              <w:t>) y antes (</w:t>
            </w:r>
            <m:oMath>
              <m:r>
                <w:rPr>
                  <w:rFonts w:ascii="Cambria Math" w:eastAsia="Times New Roman" w:hAnsi="Cambria Math" w:cs="Arial"/>
                  <w:sz w:val="18"/>
                  <w:szCs w:val="18"/>
                  <w:lang w:eastAsia="es-MX"/>
                </w:rPr>
                <m:t>I</m:t>
              </m:r>
              <m:sSub>
                <m:sSubPr>
                  <m:ctrlPr>
                    <w:rPr>
                      <w:rFonts w:ascii="Cambria Math" w:eastAsia="Times New Roman" w:hAnsi="Cambria Math" w:cs="Arial"/>
                      <w:sz w:val="18"/>
                      <w:szCs w:val="18"/>
                      <w:lang w:eastAsia="es-MX"/>
                    </w:rPr>
                  </m:ctrlPr>
                </m:sSubPr>
                <m:e>
                  <m:r>
                    <w:rPr>
                      <w:rFonts w:ascii="Cambria Math" w:eastAsia="Times New Roman" w:hAnsi="Cambria Math" w:cs="Arial"/>
                      <w:sz w:val="18"/>
                      <w:szCs w:val="18"/>
                      <w:lang w:eastAsia="es-MX"/>
                    </w:rPr>
                    <m:t>HH</m:t>
                  </m:r>
                </m:e>
                <m:sub>
                  <m:r>
                    <w:rPr>
                      <w:rFonts w:ascii="Cambria Math" w:eastAsia="Times New Roman" w:hAnsi="Cambria Math" w:cs="Arial"/>
                      <w:sz w:val="18"/>
                      <w:szCs w:val="18"/>
                      <w:lang w:eastAsia="es-MX"/>
                    </w:rPr>
                    <m:t>A</m:t>
                  </m:r>
                </m:sub>
              </m:sSub>
            </m:oMath>
            <w:r w:rsidRPr="00551D89">
              <w:rPr>
                <w:rFonts w:ascii="Arial" w:eastAsia="Times New Roman" w:hAnsi="Arial" w:cs="Arial"/>
                <w:sz w:val="18"/>
                <w:szCs w:val="18"/>
                <w:lang w:eastAsia="es-MX"/>
              </w:rPr>
              <w:t>) de que se lleve a cabo la concentración.</w:t>
            </w:r>
          </w:p>
        </w:tc>
        <w:tc>
          <w:tcPr>
            <w:tcW w:w="3685" w:type="dxa"/>
          </w:tcPr>
          <w:p w14:paraId="5E49335C" w14:textId="77777777" w:rsidR="00551D89" w:rsidRPr="00551D89" w:rsidRDefault="00551D89" w:rsidP="007144BE">
            <w:pPr>
              <w:pStyle w:val="Prrafodelista"/>
              <w:ind w:left="0" w:right="-1"/>
              <w:contextualSpacing w:val="0"/>
              <w:rPr>
                <w:rFonts w:ascii="Arial" w:eastAsia="Times New Roman" w:hAnsi="Arial" w:cs="Arial"/>
                <w:sz w:val="18"/>
                <w:szCs w:val="18"/>
                <w:lang w:eastAsia="es-MX"/>
              </w:rPr>
            </w:pPr>
            <w:r w:rsidRPr="00551D89">
              <w:rPr>
                <w:rFonts w:ascii="Arial" w:eastAsia="Times New Roman" w:hAnsi="Arial" w:cs="Arial"/>
                <w:sz w:val="18"/>
                <w:szCs w:val="18"/>
                <w:lang w:eastAsia="es-MX"/>
              </w:rPr>
              <w:t>En el análisis de concentraciones el Instituto calculará la variación del IHH (</w:t>
            </w:r>
            <m:oMath>
              <m:r>
                <m:rPr>
                  <m:sty m:val="p"/>
                </m:rPr>
                <w:rPr>
                  <w:rFonts w:ascii="Cambria Math" w:eastAsia="Times New Roman" w:hAnsi="Cambria Math" w:cs="Arial"/>
                  <w:sz w:val="18"/>
                  <w:szCs w:val="18"/>
                  <w:lang w:eastAsia="es-MX"/>
                </w:rPr>
                <m:t>∆IHH</m:t>
              </m:r>
            </m:oMath>
            <w:r w:rsidRPr="00551D89">
              <w:rPr>
                <w:rFonts w:ascii="Arial" w:eastAsia="Times New Roman" w:hAnsi="Arial" w:cs="Arial"/>
                <w:sz w:val="18"/>
                <w:szCs w:val="18"/>
                <w:lang w:eastAsia="es-MX"/>
              </w:rPr>
              <w:t xml:space="preserve">) como una medida del cambio en el grado de concentración en el mercado derivado de la misma. La </w:t>
            </w:r>
            <m:oMath>
              <m:r>
                <m:rPr>
                  <m:sty m:val="p"/>
                </m:rPr>
                <w:rPr>
                  <w:rFonts w:ascii="Cambria Math" w:eastAsia="Times New Roman" w:hAnsi="Cambria Math" w:cs="Arial"/>
                  <w:sz w:val="18"/>
                  <w:szCs w:val="18"/>
                  <w:lang w:eastAsia="es-MX"/>
                </w:rPr>
                <m:t>∆IHH</m:t>
              </m:r>
            </m:oMath>
            <w:r w:rsidRPr="00551D89">
              <w:rPr>
                <w:rFonts w:ascii="Arial" w:eastAsia="Times New Roman" w:hAnsi="Arial" w:cs="Arial"/>
                <w:sz w:val="18"/>
                <w:szCs w:val="18"/>
                <w:lang w:eastAsia="es-MX"/>
              </w:rPr>
              <w:t xml:space="preserve"> se calculará como la diferencia aritmética del valor del IHH después (</w:t>
            </w:r>
            <m:oMath>
              <m:r>
                <w:rPr>
                  <w:rFonts w:ascii="Cambria Math" w:eastAsia="Times New Roman" w:hAnsi="Cambria Math" w:cs="Arial"/>
                  <w:sz w:val="18"/>
                  <w:szCs w:val="18"/>
                  <w:lang w:eastAsia="es-MX"/>
                </w:rPr>
                <m:t>I</m:t>
              </m:r>
              <m:sSub>
                <m:sSubPr>
                  <m:ctrlPr>
                    <w:rPr>
                      <w:rFonts w:ascii="Cambria Math" w:eastAsia="Times New Roman" w:hAnsi="Cambria Math" w:cs="Arial"/>
                      <w:sz w:val="18"/>
                      <w:szCs w:val="18"/>
                      <w:lang w:eastAsia="es-MX"/>
                    </w:rPr>
                  </m:ctrlPr>
                </m:sSubPr>
                <m:e>
                  <m:r>
                    <w:rPr>
                      <w:rFonts w:ascii="Cambria Math" w:eastAsia="Times New Roman" w:hAnsi="Cambria Math" w:cs="Arial"/>
                      <w:sz w:val="18"/>
                      <w:szCs w:val="18"/>
                      <w:lang w:eastAsia="es-MX"/>
                    </w:rPr>
                    <m:t>HH</m:t>
                  </m:r>
                </m:e>
                <m:sub>
                  <m:r>
                    <w:rPr>
                      <w:rFonts w:ascii="Cambria Math" w:eastAsia="Times New Roman" w:hAnsi="Cambria Math" w:cs="Arial"/>
                      <w:sz w:val="18"/>
                      <w:szCs w:val="18"/>
                      <w:lang w:eastAsia="es-MX"/>
                    </w:rPr>
                    <m:t>D</m:t>
                  </m:r>
                </m:sub>
              </m:sSub>
            </m:oMath>
            <w:r w:rsidRPr="00551D89">
              <w:rPr>
                <w:rFonts w:ascii="Arial" w:eastAsia="Times New Roman" w:hAnsi="Arial" w:cs="Arial"/>
                <w:sz w:val="18"/>
                <w:szCs w:val="18"/>
                <w:lang w:eastAsia="es-MX"/>
              </w:rPr>
              <w:t>) y antes (</w:t>
            </w:r>
            <m:oMath>
              <m:r>
                <w:rPr>
                  <w:rFonts w:ascii="Cambria Math" w:eastAsia="Times New Roman" w:hAnsi="Cambria Math" w:cs="Arial"/>
                  <w:sz w:val="18"/>
                  <w:szCs w:val="18"/>
                  <w:lang w:eastAsia="es-MX"/>
                </w:rPr>
                <m:t>I</m:t>
              </m:r>
              <m:sSub>
                <m:sSubPr>
                  <m:ctrlPr>
                    <w:rPr>
                      <w:rFonts w:ascii="Cambria Math" w:eastAsia="Times New Roman" w:hAnsi="Cambria Math" w:cs="Arial"/>
                      <w:sz w:val="18"/>
                      <w:szCs w:val="18"/>
                      <w:lang w:eastAsia="es-MX"/>
                    </w:rPr>
                  </m:ctrlPr>
                </m:sSubPr>
                <m:e>
                  <m:r>
                    <w:rPr>
                      <w:rFonts w:ascii="Cambria Math" w:eastAsia="Times New Roman" w:hAnsi="Cambria Math" w:cs="Arial"/>
                      <w:sz w:val="18"/>
                      <w:szCs w:val="18"/>
                      <w:lang w:eastAsia="es-MX"/>
                    </w:rPr>
                    <m:t>HH</m:t>
                  </m:r>
                </m:e>
                <m:sub>
                  <m:r>
                    <w:rPr>
                      <w:rFonts w:ascii="Cambria Math" w:eastAsia="Times New Roman" w:hAnsi="Cambria Math" w:cs="Arial"/>
                      <w:sz w:val="18"/>
                      <w:szCs w:val="18"/>
                      <w:lang w:eastAsia="es-MX"/>
                    </w:rPr>
                    <m:t>A</m:t>
                  </m:r>
                </m:sub>
              </m:sSub>
            </m:oMath>
            <w:r w:rsidRPr="00551D89">
              <w:rPr>
                <w:rFonts w:ascii="Arial" w:eastAsia="Times New Roman" w:hAnsi="Arial" w:cs="Arial"/>
                <w:sz w:val="18"/>
                <w:szCs w:val="18"/>
                <w:lang w:eastAsia="es-MX"/>
              </w:rPr>
              <w:t>) de que se lleve a cabo la concentración.</w:t>
            </w:r>
          </w:p>
          <w:p w14:paraId="39442804" w14:textId="77777777" w:rsidR="00551D89" w:rsidRPr="00551D89" w:rsidRDefault="00551D89" w:rsidP="007144BE">
            <w:pPr>
              <w:spacing w:line="276" w:lineRule="auto"/>
              <w:jc w:val="both"/>
              <w:rPr>
                <w:rFonts w:ascii="Arial" w:eastAsia="Times New Roman" w:hAnsi="Arial" w:cs="Arial"/>
                <w:sz w:val="18"/>
                <w:szCs w:val="18"/>
                <w:lang w:eastAsia="es-MX"/>
              </w:rPr>
            </w:pPr>
          </w:p>
        </w:tc>
      </w:tr>
      <w:tr w:rsidR="00551D89" w:rsidRPr="00551D89" w14:paraId="57DDC921" w14:textId="77777777" w:rsidTr="004A5133">
        <w:tc>
          <w:tcPr>
            <w:tcW w:w="1838" w:type="dxa"/>
          </w:tcPr>
          <w:p w14:paraId="0A49C9C3" w14:textId="77777777" w:rsidR="00551D89" w:rsidRPr="00551D89" w:rsidRDefault="00551D89" w:rsidP="007144BE">
            <w:pPr>
              <w:spacing w:line="276" w:lineRule="auto"/>
              <w:jc w:val="both"/>
              <w:rPr>
                <w:rFonts w:ascii="Arial" w:hAnsi="Arial" w:cs="Arial"/>
                <w:sz w:val="18"/>
                <w:szCs w:val="18"/>
              </w:rPr>
            </w:pPr>
            <w:r w:rsidRPr="00551D89">
              <w:rPr>
                <w:rFonts w:ascii="Arial" w:hAnsi="Arial" w:cs="Arial"/>
                <w:sz w:val="18"/>
                <w:szCs w:val="18"/>
              </w:rPr>
              <w:t>Artículo 5, párrafo tercero</w:t>
            </w:r>
          </w:p>
        </w:tc>
        <w:tc>
          <w:tcPr>
            <w:tcW w:w="3686" w:type="dxa"/>
          </w:tcPr>
          <w:p w14:paraId="4BCE00D3" w14:textId="77777777" w:rsidR="00551D89" w:rsidRPr="00551D89" w:rsidRDefault="00551D89" w:rsidP="007144BE">
            <w:pPr>
              <w:pStyle w:val="Prrafodelista"/>
              <w:ind w:left="0" w:right="-1"/>
              <w:contextualSpacing w:val="0"/>
              <w:rPr>
                <w:rFonts w:ascii="Arial" w:eastAsia="Times New Roman" w:hAnsi="Arial" w:cs="Arial"/>
                <w:sz w:val="18"/>
                <w:szCs w:val="18"/>
                <w:lang w:eastAsia="es-MX"/>
              </w:rPr>
            </w:pPr>
            <w:r w:rsidRPr="00551D89">
              <w:rPr>
                <w:rFonts w:ascii="Arial" w:eastAsia="Times New Roman" w:hAnsi="Arial" w:cs="Arial"/>
                <w:sz w:val="18"/>
                <w:szCs w:val="18"/>
                <w:lang w:eastAsia="es-MX"/>
              </w:rPr>
              <w:t xml:space="preserve">Por ejemplo, en el caso particular de que 2 (dos) agentes económicos con participaciones </w:t>
            </w:r>
            <m:oMath>
              <m:sSub>
                <m:sSubPr>
                  <m:ctrlPr>
                    <w:rPr>
                      <w:rFonts w:ascii="Cambria Math" w:eastAsia="Times New Roman" w:hAnsi="Cambria Math" w:cs="Arial"/>
                      <w:sz w:val="18"/>
                      <w:szCs w:val="18"/>
                      <w:lang w:eastAsia="es-MX"/>
                    </w:rPr>
                  </m:ctrlPr>
                </m:sSubPr>
                <m:e>
                  <m:r>
                    <w:rPr>
                      <w:rFonts w:ascii="Cambria Math" w:eastAsia="Times New Roman" w:hAnsi="Cambria Math" w:cs="Arial"/>
                      <w:sz w:val="18"/>
                      <w:szCs w:val="18"/>
                      <w:lang w:eastAsia="es-MX"/>
                    </w:rPr>
                    <m:t>α</m:t>
                  </m:r>
                </m:e>
                <m:sub>
                  <m:r>
                    <m:rPr>
                      <m:sty m:val="p"/>
                    </m:rPr>
                    <w:rPr>
                      <w:rFonts w:ascii="Cambria Math" w:eastAsia="Times New Roman" w:hAnsi="Cambria Math" w:cs="Arial"/>
                      <w:sz w:val="18"/>
                      <w:szCs w:val="18"/>
                      <w:lang w:eastAsia="es-MX"/>
                    </w:rPr>
                    <m:t>1</m:t>
                  </m:r>
                </m:sub>
              </m:sSub>
            </m:oMath>
            <w:r w:rsidRPr="00551D89">
              <w:rPr>
                <w:rFonts w:ascii="Arial" w:eastAsia="Times New Roman" w:hAnsi="Arial" w:cs="Arial"/>
                <w:sz w:val="18"/>
                <w:szCs w:val="18"/>
                <w:lang w:eastAsia="es-MX"/>
              </w:rPr>
              <w:t xml:space="preserve"> y </w:t>
            </w:r>
            <m:oMath>
              <m:sSub>
                <m:sSubPr>
                  <m:ctrlPr>
                    <w:rPr>
                      <w:rFonts w:ascii="Cambria Math" w:eastAsia="Times New Roman" w:hAnsi="Cambria Math" w:cs="Arial"/>
                      <w:sz w:val="18"/>
                      <w:szCs w:val="18"/>
                      <w:lang w:eastAsia="es-MX"/>
                    </w:rPr>
                  </m:ctrlPr>
                </m:sSubPr>
                <m:e>
                  <m:r>
                    <w:rPr>
                      <w:rFonts w:ascii="Cambria Math" w:eastAsia="Times New Roman" w:hAnsi="Cambria Math" w:cs="Arial"/>
                      <w:sz w:val="18"/>
                      <w:szCs w:val="18"/>
                      <w:lang w:eastAsia="es-MX"/>
                    </w:rPr>
                    <m:t>α</m:t>
                  </m:r>
                </m:e>
                <m:sub>
                  <m:r>
                    <m:rPr>
                      <m:sty m:val="p"/>
                    </m:rPr>
                    <w:rPr>
                      <w:rFonts w:ascii="Cambria Math" w:eastAsia="Times New Roman" w:hAnsi="Cambria Math" w:cs="Arial"/>
                      <w:sz w:val="18"/>
                      <w:szCs w:val="18"/>
                      <w:lang w:eastAsia="es-MX"/>
                    </w:rPr>
                    <m:t>2</m:t>
                  </m:r>
                </m:sub>
              </m:sSub>
            </m:oMath>
            <w:r w:rsidRPr="00551D89">
              <w:rPr>
                <w:rFonts w:ascii="Arial" w:eastAsia="Times New Roman" w:hAnsi="Arial" w:cs="Arial"/>
                <w:sz w:val="18"/>
                <w:szCs w:val="18"/>
                <w:lang w:eastAsia="es-MX"/>
              </w:rPr>
              <w:t xml:space="preserve"> propusieran una concentración, la variación del IHH (</w:t>
            </w:r>
            <m:oMath>
              <m:r>
                <m:rPr>
                  <m:sty m:val="p"/>
                </m:rPr>
                <w:rPr>
                  <w:rFonts w:ascii="Cambria Math" w:eastAsia="Times New Roman" w:hAnsi="Cambria Math" w:cs="Arial"/>
                  <w:sz w:val="18"/>
                  <w:szCs w:val="18"/>
                  <w:lang w:eastAsia="es-MX"/>
                </w:rPr>
                <m:t>∆</m:t>
              </m:r>
              <m:r>
                <w:rPr>
                  <w:rFonts w:ascii="Cambria Math" w:eastAsia="Times New Roman" w:hAnsi="Cambria Math" w:cs="Arial"/>
                  <w:sz w:val="18"/>
                  <w:szCs w:val="18"/>
                  <w:lang w:eastAsia="es-MX"/>
                </w:rPr>
                <m:t>HH</m:t>
              </m:r>
            </m:oMath>
            <w:r w:rsidRPr="00551D89">
              <w:rPr>
                <w:rFonts w:ascii="Arial" w:eastAsia="Times New Roman" w:hAnsi="Arial" w:cs="Arial"/>
                <w:sz w:val="18"/>
                <w:szCs w:val="18"/>
                <w:lang w:eastAsia="es-MX"/>
              </w:rPr>
              <w:t>) se calcularía como sigue:</w:t>
            </w:r>
          </w:p>
          <w:p w14:paraId="39028754" w14:textId="77777777" w:rsidR="00551D89" w:rsidRPr="00551D89" w:rsidRDefault="00551D89" w:rsidP="007144BE">
            <w:pPr>
              <w:pStyle w:val="Prrafodelista"/>
              <w:ind w:left="0" w:right="-1"/>
              <w:contextualSpacing w:val="0"/>
              <w:rPr>
                <w:rFonts w:ascii="Arial" w:eastAsia="Times New Roman" w:hAnsi="Arial" w:cs="Arial"/>
                <w:sz w:val="18"/>
                <w:szCs w:val="18"/>
                <w:lang w:eastAsia="es-MX"/>
              </w:rPr>
            </w:pPr>
          </w:p>
          <w:p w14:paraId="310E71D7" w14:textId="77777777" w:rsidR="00551D89" w:rsidRPr="00551D89" w:rsidRDefault="00551D89" w:rsidP="007144BE">
            <w:pPr>
              <w:pStyle w:val="Prrafodelista"/>
              <w:ind w:left="0" w:right="-1"/>
              <w:contextualSpacing w:val="0"/>
              <w:rPr>
                <w:rFonts w:ascii="Arial" w:eastAsia="Times New Roman" w:hAnsi="Arial" w:cs="Arial"/>
                <w:sz w:val="18"/>
                <w:szCs w:val="18"/>
                <w:lang w:eastAsia="es-MX"/>
              </w:rPr>
            </w:pPr>
            <m:oMath>
              <m:r>
                <w:rPr>
                  <w:rFonts w:ascii="Cambria Math" w:eastAsia="Times New Roman" w:hAnsi="Cambria Math" w:cs="Arial"/>
                  <w:sz w:val="18"/>
                  <w:szCs w:val="18"/>
                  <w:lang w:eastAsia="es-MX"/>
                </w:rPr>
                <m:t>∆HH=IH</m:t>
              </m:r>
              <m:sSub>
                <m:sSubPr>
                  <m:ctrlPr>
                    <w:rPr>
                      <w:rFonts w:ascii="Cambria Math" w:eastAsia="Times New Roman" w:hAnsi="Cambria Math" w:cs="Arial"/>
                      <w:i/>
                      <w:sz w:val="18"/>
                      <w:szCs w:val="18"/>
                      <w:lang w:eastAsia="es-MX"/>
                    </w:rPr>
                  </m:ctrlPr>
                </m:sSubPr>
                <m:e>
                  <m:r>
                    <w:rPr>
                      <w:rFonts w:ascii="Cambria Math" w:eastAsia="Times New Roman" w:hAnsi="Cambria Math" w:cs="Arial"/>
                      <w:sz w:val="18"/>
                      <w:szCs w:val="18"/>
                      <w:lang w:eastAsia="es-MX"/>
                    </w:rPr>
                    <m:t>H</m:t>
                  </m:r>
                </m:e>
                <m:sub>
                  <m:r>
                    <w:rPr>
                      <w:rFonts w:ascii="Cambria Math" w:eastAsia="Times New Roman" w:hAnsi="Cambria Math" w:cs="Arial"/>
                      <w:sz w:val="18"/>
                      <w:szCs w:val="18"/>
                      <w:lang w:eastAsia="es-MX"/>
                    </w:rPr>
                    <m:t>D</m:t>
                  </m:r>
                </m:sub>
              </m:sSub>
              <m:r>
                <w:rPr>
                  <w:rFonts w:ascii="Cambria Math" w:eastAsia="Times New Roman" w:hAnsi="Cambria Math" w:cs="Arial"/>
                  <w:sz w:val="18"/>
                  <w:szCs w:val="18"/>
                  <w:lang w:eastAsia="es-MX"/>
                </w:rPr>
                <m:t>-IH</m:t>
              </m:r>
              <m:sSub>
                <m:sSubPr>
                  <m:ctrlPr>
                    <w:rPr>
                      <w:rFonts w:ascii="Cambria Math" w:eastAsia="Times New Roman" w:hAnsi="Cambria Math" w:cs="Arial"/>
                      <w:i/>
                      <w:sz w:val="18"/>
                      <w:szCs w:val="18"/>
                      <w:lang w:eastAsia="es-MX"/>
                    </w:rPr>
                  </m:ctrlPr>
                </m:sSubPr>
                <m:e>
                  <m:r>
                    <w:rPr>
                      <w:rFonts w:ascii="Cambria Math" w:eastAsia="Times New Roman" w:hAnsi="Cambria Math" w:cs="Arial"/>
                      <w:sz w:val="18"/>
                      <w:szCs w:val="18"/>
                      <w:lang w:eastAsia="es-MX"/>
                    </w:rPr>
                    <m:t>H</m:t>
                  </m:r>
                </m:e>
                <m:sub>
                  <m:r>
                    <w:rPr>
                      <w:rFonts w:ascii="Cambria Math" w:eastAsia="Times New Roman" w:hAnsi="Cambria Math" w:cs="Arial"/>
                      <w:sz w:val="18"/>
                      <w:szCs w:val="18"/>
                      <w:lang w:eastAsia="es-MX"/>
                    </w:rPr>
                    <m:t>A</m:t>
                  </m:r>
                </m:sub>
              </m:sSub>
            </m:oMath>
            <w:r w:rsidRPr="00551D89">
              <w:rPr>
                <w:rFonts w:ascii="Arial" w:eastAsia="Times New Roman" w:hAnsi="Arial" w:cs="Arial"/>
                <w:sz w:val="18"/>
                <w:szCs w:val="18"/>
                <w:lang w:eastAsia="es-MX"/>
              </w:rPr>
              <w:t xml:space="preserve"> </w:t>
            </w:r>
          </w:p>
        </w:tc>
        <w:tc>
          <w:tcPr>
            <w:tcW w:w="3685" w:type="dxa"/>
          </w:tcPr>
          <w:p w14:paraId="12321428" w14:textId="77777777" w:rsidR="00551D89" w:rsidRPr="00551D89" w:rsidRDefault="00551D89" w:rsidP="007144BE">
            <w:pPr>
              <w:pStyle w:val="Prrafodelista"/>
              <w:ind w:left="0" w:right="-1"/>
              <w:contextualSpacing w:val="0"/>
              <w:rPr>
                <w:rFonts w:ascii="Arial" w:eastAsia="Times New Roman" w:hAnsi="Arial" w:cs="Arial"/>
                <w:sz w:val="18"/>
                <w:szCs w:val="18"/>
                <w:lang w:eastAsia="es-MX"/>
              </w:rPr>
            </w:pPr>
            <w:r w:rsidRPr="00551D89">
              <w:rPr>
                <w:rFonts w:ascii="Arial" w:eastAsia="Times New Roman" w:hAnsi="Arial" w:cs="Arial"/>
                <w:sz w:val="18"/>
                <w:szCs w:val="18"/>
                <w:lang w:eastAsia="es-MX"/>
              </w:rPr>
              <w:t xml:space="preserve">Por ejemplo, en el caso particular de que 2 (dos) agentes económicos con participaciones </w:t>
            </w:r>
            <m:oMath>
              <m:sSub>
                <m:sSubPr>
                  <m:ctrlPr>
                    <w:rPr>
                      <w:rFonts w:ascii="Cambria Math" w:eastAsia="Times New Roman" w:hAnsi="Cambria Math" w:cs="Arial"/>
                      <w:sz w:val="18"/>
                      <w:szCs w:val="18"/>
                      <w:lang w:eastAsia="es-MX"/>
                    </w:rPr>
                  </m:ctrlPr>
                </m:sSubPr>
                <m:e>
                  <m:r>
                    <w:rPr>
                      <w:rFonts w:ascii="Cambria Math" w:eastAsia="Times New Roman" w:hAnsi="Cambria Math" w:cs="Arial"/>
                      <w:sz w:val="18"/>
                      <w:szCs w:val="18"/>
                      <w:lang w:eastAsia="es-MX"/>
                    </w:rPr>
                    <m:t>α</m:t>
                  </m:r>
                </m:e>
                <m:sub>
                  <m:r>
                    <m:rPr>
                      <m:sty m:val="p"/>
                    </m:rPr>
                    <w:rPr>
                      <w:rFonts w:ascii="Cambria Math" w:eastAsia="Times New Roman" w:hAnsi="Cambria Math" w:cs="Arial"/>
                      <w:sz w:val="18"/>
                      <w:szCs w:val="18"/>
                      <w:lang w:eastAsia="es-MX"/>
                    </w:rPr>
                    <m:t>1</m:t>
                  </m:r>
                </m:sub>
              </m:sSub>
            </m:oMath>
            <w:r w:rsidRPr="00551D89">
              <w:rPr>
                <w:rFonts w:ascii="Arial" w:eastAsia="Times New Roman" w:hAnsi="Arial" w:cs="Arial"/>
                <w:sz w:val="18"/>
                <w:szCs w:val="18"/>
                <w:lang w:eastAsia="es-MX"/>
              </w:rPr>
              <w:t xml:space="preserve"> y </w:t>
            </w:r>
            <m:oMath>
              <m:sSub>
                <m:sSubPr>
                  <m:ctrlPr>
                    <w:rPr>
                      <w:rFonts w:ascii="Cambria Math" w:eastAsia="Times New Roman" w:hAnsi="Cambria Math" w:cs="Arial"/>
                      <w:sz w:val="18"/>
                      <w:szCs w:val="18"/>
                      <w:lang w:eastAsia="es-MX"/>
                    </w:rPr>
                  </m:ctrlPr>
                </m:sSubPr>
                <m:e>
                  <m:r>
                    <w:rPr>
                      <w:rFonts w:ascii="Cambria Math" w:eastAsia="Times New Roman" w:hAnsi="Cambria Math" w:cs="Arial"/>
                      <w:sz w:val="18"/>
                      <w:szCs w:val="18"/>
                      <w:lang w:eastAsia="es-MX"/>
                    </w:rPr>
                    <m:t>α</m:t>
                  </m:r>
                </m:e>
                <m:sub>
                  <m:r>
                    <m:rPr>
                      <m:sty m:val="p"/>
                    </m:rPr>
                    <w:rPr>
                      <w:rFonts w:ascii="Cambria Math" w:eastAsia="Times New Roman" w:hAnsi="Cambria Math" w:cs="Arial"/>
                      <w:sz w:val="18"/>
                      <w:szCs w:val="18"/>
                      <w:lang w:eastAsia="es-MX"/>
                    </w:rPr>
                    <m:t>2</m:t>
                  </m:r>
                </m:sub>
              </m:sSub>
            </m:oMath>
            <w:r w:rsidRPr="00551D89">
              <w:rPr>
                <w:rFonts w:ascii="Arial" w:eastAsia="Times New Roman" w:hAnsi="Arial" w:cs="Arial"/>
                <w:sz w:val="18"/>
                <w:szCs w:val="18"/>
                <w:lang w:eastAsia="es-MX"/>
              </w:rPr>
              <w:t xml:space="preserve"> propusieran una concentración, la variación del IHH (</w:t>
            </w:r>
            <m:oMath>
              <m:r>
                <m:rPr>
                  <m:sty m:val="p"/>
                </m:rPr>
                <w:rPr>
                  <w:rFonts w:ascii="Cambria Math" w:eastAsia="Times New Roman" w:hAnsi="Cambria Math" w:cs="Arial"/>
                  <w:sz w:val="18"/>
                  <w:szCs w:val="18"/>
                  <w:lang w:eastAsia="es-MX"/>
                </w:rPr>
                <m:t>∆</m:t>
              </m:r>
              <m:r>
                <w:rPr>
                  <w:rFonts w:ascii="Cambria Math" w:eastAsia="Times New Roman" w:hAnsi="Cambria Math" w:cs="Arial"/>
                  <w:sz w:val="18"/>
                  <w:szCs w:val="18"/>
                  <w:lang w:eastAsia="es-MX"/>
                </w:rPr>
                <m:t>IHH</m:t>
              </m:r>
            </m:oMath>
            <w:r w:rsidRPr="00551D89">
              <w:rPr>
                <w:rFonts w:ascii="Arial" w:eastAsia="Times New Roman" w:hAnsi="Arial" w:cs="Arial"/>
                <w:sz w:val="18"/>
                <w:szCs w:val="18"/>
                <w:lang w:eastAsia="es-MX"/>
              </w:rPr>
              <w:t>) se calcularía como sigue:</w:t>
            </w:r>
          </w:p>
          <w:p w14:paraId="263C0E36" w14:textId="77777777" w:rsidR="00551D89" w:rsidRPr="00551D89" w:rsidRDefault="00551D89" w:rsidP="007144BE">
            <w:pPr>
              <w:pStyle w:val="Prrafodelista"/>
              <w:ind w:left="0" w:right="-1"/>
              <w:contextualSpacing w:val="0"/>
              <w:rPr>
                <w:rFonts w:ascii="Arial" w:eastAsia="Times New Roman" w:hAnsi="Arial" w:cs="Arial"/>
                <w:sz w:val="18"/>
                <w:szCs w:val="18"/>
                <w:lang w:eastAsia="es-MX"/>
              </w:rPr>
            </w:pPr>
          </w:p>
          <w:p w14:paraId="68F9F2A0" w14:textId="77777777" w:rsidR="00551D89" w:rsidRPr="00551D89" w:rsidRDefault="00551D89" w:rsidP="007144BE">
            <w:pPr>
              <w:pStyle w:val="Prrafodelista"/>
              <w:ind w:left="0" w:right="-1"/>
              <w:contextualSpacing w:val="0"/>
              <w:rPr>
                <w:rFonts w:ascii="Arial" w:eastAsia="Times New Roman" w:hAnsi="Arial" w:cs="Arial"/>
                <w:sz w:val="18"/>
                <w:szCs w:val="18"/>
                <w:lang w:eastAsia="es-MX"/>
              </w:rPr>
            </w:pPr>
            <m:oMath>
              <m:r>
                <w:rPr>
                  <w:rFonts w:ascii="Cambria Math" w:eastAsia="Times New Roman" w:hAnsi="Cambria Math" w:cs="Arial"/>
                  <w:sz w:val="18"/>
                  <w:szCs w:val="18"/>
                  <w:lang w:eastAsia="es-MX"/>
                </w:rPr>
                <m:t>∆IHH=IH</m:t>
              </m:r>
              <m:sSub>
                <m:sSubPr>
                  <m:ctrlPr>
                    <w:rPr>
                      <w:rFonts w:ascii="Cambria Math" w:eastAsia="Times New Roman" w:hAnsi="Cambria Math" w:cs="Arial"/>
                      <w:i/>
                      <w:sz w:val="18"/>
                      <w:szCs w:val="18"/>
                      <w:lang w:eastAsia="es-MX"/>
                    </w:rPr>
                  </m:ctrlPr>
                </m:sSubPr>
                <m:e>
                  <m:r>
                    <w:rPr>
                      <w:rFonts w:ascii="Cambria Math" w:eastAsia="Times New Roman" w:hAnsi="Cambria Math" w:cs="Arial"/>
                      <w:sz w:val="18"/>
                      <w:szCs w:val="18"/>
                      <w:lang w:eastAsia="es-MX"/>
                    </w:rPr>
                    <m:t>H</m:t>
                  </m:r>
                </m:e>
                <m:sub>
                  <m:r>
                    <w:rPr>
                      <w:rFonts w:ascii="Cambria Math" w:eastAsia="Times New Roman" w:hAnsi="Cambria Math" w:cs="Arial"/>
                      <w:sz w:val="18"/>
                      <w:szCs w:val="18"/>
                      <w:lang w:eastAsia="es-MX"/>
                    </w:rPr>
                    <m:t>D</m:t>
                  </m:r>
                </m:sub>
              </m:sSub>
              <m:r>
                <w:rPr>
                  <w:rFonts w:ascii="Cambria Math" w:eastAsia="Times New Roman" w:hAnsi="Cambria Math" w:cs="Arial"/>
                  <w:sz w:val="18"/>
                  <w:szCs w:val="18"/>
                  <w:lang w:eastAsia="es-MX"/>
                </w:rPr>
                <m:t>-IH</m:t>
              </m:r>
              <m:sSub>
                <m:sSubPr>
                  <m:ctrlPr>
                    <w:rPr>
                      <w:rFonts w:ascii="Cambria Math" w:eastAsia="Times New Roman" w:hAnsi="Cambria Math" w:cs="Arial"/>
                      <w:i/>
                      <w:sz w:val="18"/>
                      <w:szCs w:val="18"/>
                      <w:lang w:eastAsia="es-MX"/>
                    </w:rPr>
                  </m:ctrlPr>
                </m:sSubPr>
                <m:e>
                  <m:r>
                    <w:rPr>
                      <w:rFonts w:ascii="Cambria Math" w:eastAsia="Times New Roman" w:hAnsi="Cambria Math" w:cs="Arial"/>
                      <w:sz w:val="18"/>
                      <w:szCs w:val="18"/>
                      <w:lang w:eastAsia="es-MX"/>
                    </w:rPr>
                    <m:t>H</m:t>
                  </m:r>
                </m:e>
                <m:sub>
                  <m:r>
                    <w:rPr>
                      <w:rFonts w:ascii="Cambria Math" w:eastAsia="Times New Roman" w:hAnsi="Cambria Math" w:cs="Arial"/>
                      <w:sz w:val="18"/>
                      <w:szCs w:val="18"/>
                      <w:lang w:eastAsia="es-MX"/>
                    </w:rPr>
                    <m:t>A</m:t>
                  </m:r>
                </m:sub>
              </m:sSub>
            </m:oMath>
            <w:r w:rsidRPr="00551D89">
              <w:rPr>
                <w:rFonts w:ascii="Arial" w:eastAsia="Times New Roman" w:hAnsi="Arial" w:cs="Arial"/>
                <w:sz w:val="18"/>
                <w:szCs w:val="18"/>
                <w:lang w:eastAsia="es-MX"/>
              </w:rPr>
              <w:t xml:space="preserve"> </w:t>
            </w:r>
          </w:p>
        </w:tc>
      </w:tr>
      <w:tr w:rsidR="00551D89" w:rsidRPr="00551D89" w14:paraId="51CDE012" w14:textId="77777777" w:rsidTr="004A5133">
        <w:tc>
          <w:tcPr>
            <w:tcW w:w="1838" w:type="dxa"/>
          </w:tcPr>
          <w:p w14:paraId="7279CB21" w14:textId="77777777" w:rsidR="00551D89" w:rsidRPr="00551D89" w:rsidRDefault="00551D89" w:rsidP="007144BE">
            <w:pPr>
              <w:spacing w:line="276" w:lineRule="auto"/>
              <w:jc w:val="both"/>
              <w:rPr>
                <w:rFonts w:ascii="Arial" w:hAnsi="Arial" w:cs="Arial"/>
                <w:sz w:val="18"/>
                <w:szCs w:val="18"/>
              </w:rPr>
            </w:pPr>
            <w:r w:rsidRPr="00551D89">
              <w:rPr>
                <w:rFonts w:ascii="Arial" w:hAnsi="Arial" w:cs="Arial"/>
                <w:sz w:val="18"/>
                <w:szCs w:val="18"/>
              </w:rPr>
              <w:t>Artículo 5, párrafo cuarto</w:t>
            </w:r>
          </w:p>
        </w:tc>
        <w:tc>
          <w:tcPr>
            <w:tcW w:w="3686" w:type="dxa"/>
          </w:tcPr>
          <w:p w14:paraId="4572B084" w14:textId="77777777" w:rsidR="00551D89" w:rsidRPr="00551D89" w:rsidRDefault="00551D89" w:rsidP="007144BE">
            <w:pPr>
              <w:pStyle w:val="Prrafodelista"/>
              <w:ind w:left="0" w:right="-1"/>
              <w:contextualSpacing w:val="0"/>
              <w:rPr>
                <w:rFonts w:ascii="Arial" w:eastAsia="Times New Roman" w:hAnsi="Arial" w:cs="Arial"/>
                <w:sz w:val="18"/>
                <w:szCs w:val="18"/>
                <w:lang w:eastAsia="es-MX"/>
              </w:rPr>
            </w:pPr>
            <w:r w:rsidRPr="00551D89">
              <w:rPr>
                <w:rFonts w:ascii="Arial" w:eastAsia="Times New Roman" w:hAnsi="Arial" w:cs="Arial"/>
                <w:sz w:val="18"/>
                <w:szCs w:val="18"/>
                <w:lang w:eastAsia="es-MX"/>
              </w:rPr>
              <w:t xml:space="preserve">Es decir, para el ejemplo que se presenta, la variación del IHH se puede obtener de la diferencia entre el valor del </w:t>
            </w:r>
            <m:oMath>
              <m:r>
                <w:rPr>
                  <w:rFonts w:ascii="Cambria Math" w:eastAsia="Times New Roman" w:hAnsi="Cambria Math" w:cs="Arial"/>
                  <w:sz w:val="18"/>
                  <w:szCs w:val="18"/>
                  <w:lang w:eastAsia="es-MX"/>
                </w:rPr>
                <m:t>IH</m:t>
              </m:r>
              <m:sSub>
                <m:sSubPr>
                  <m:ctrlPr>
                    <w:rPr>
                      <w:rFonts w:ascii="Cambria Math" w:eastAsia="Times New Roman" w:hAnsi="Cambria Math" w:cs="Arial"/>
                      <w:i/>
                      <w:sz w:val="18"/>
                      <w:szCs w:val="18"/>
                      <w:lang w:eastAsia="es-MX"/>
                    </w:rPr>
                  </m:ctrlPr>
                </m:sSubPr>
                <m:e>
                  <m:r>
                    <w:rPr>
                      <w:rFonts w:ascii="Cambria Math" w:eastAsia="Times New Roman" w:hAnsi="Cambria Math" w:cs="Arial"/>
                      <w:sz w:val="18"/>
                      <w:szCs w:val="18"/>
                      <w:lang w:eastAsia="es-MX"/>
                    </w:rPr>
                    <m:t>H</m:t>
                  </m:r>
                </m:e>
                <m:sub>
                  <m:r>
                    <w:rPr>
                      <w:rFonts w:ascii="Cambria Math" w:eastAsia="Times New Roman" w:hAnsi="Cambria Math" w:cs="Arial"/>
                      <w:sz w:val="18"/>
                      <w:szCs w:val="18"/>
                      <w:lang w:eastAsia="es-MX"/>
                    </w:rPr>
                    <m:t>D</m:t>
                  </m:r>
                </m:sub>
              </m:sSub>
            </m:oMath>
            <w:r w:rsidRPr="00551D89">
              <w:rPr>
                <w:rFonts w:ascii="Arial" w:eastAsia="Times New Roman" w:hAnsi="Arial" w:cs="Arial"/>
                <w:sz w:val="18"/>
                <w:szCs w:val="18"/>
                <w:lang w:eastAsia="es-MX"/>
              </w:rPr>
              <w:t xml:space="preserve"> y del </w:t>
            </w:r>
            <m:oMath>
              <m:r>
                <w:rPr>
                  <w:rFonts w:ascii="Cambria Math" w:eastAsia="Times New Roman" w:hAnsi="Cambria Math" w:cs="Arial"/>
                  <w:sz w:val="18"/>
                  <w:szCs w:val="18"/>
                  <w:lang w:eastAsia="es-MX"/>
                </w:rPr>
                <m:t>IH</m:t>
              </m:r>
              <m:sSub>
                <m:sSubPr>
                  <m:ctrlPr>
                    <w:rPr>
                      <w:rFonts w:ascii="Cambria Math" w:eastAsia="Times New Roman" w:hAnsi="Cambria Math" w:cs="Arial"/>
                      <w:i/>
                      <w:sz w:val="18"/>
                      <w:szCs w:val="18"/>
                      <w:lang w:eastAsia="es-MX"/>
                    </w:rPr>
                  </m:ctrlPr>
                </m:sSubPr>
                <m:e>
                  <m:r>
                    <w:rPr>
                      <w:rFonts w:ascii="Cambria Math" w:eastAsia="Times New Roman" w:hAnsi="Cambria Math" w:cs="Arial"/>
                      <w:sz w:val="18"/>
                      <w:szCs w:val="18"/>
                      <w:lang w:eastAsia="es-MX"/>
                    </w:rPr>
                    <m:t>H</m:t>
                  </m:r>
                </m:e>
                <m:sub>
                  <m:r>
                    <w:rPr>
                      <w:rFonts w:ascii="Cambria Math" w:eastAsia="Times New Roman" w:hAnsi="Cambria Math" w:cs="Arial"/>
                      <w:sz w:val="18"/>
                      <w:szCs w:val="18"/>
                      <w:lang w:eastAsia="es-MX"/>
                    </w:rPr>
                    <m:t>A</m:t>
                  </m:r>
                </m:sub>
              </m:sSub>
            </m:oMath>
            <w:r w:rsidRPr="00551D89">
              <w:rPr>
                <w:rFonts w:ascii="Arial" w:eastAsia="Times New Roman" w:hAnsi="Arial" w:cs="Arial"/>
                <w:sz w:val="18"/>
                <w:szCs w:val="18"/>
                <w:lang w:eastAsia="es-MX"/>
              </w:rPr>
              <w:t xml:space="preserve"> o de multiplicar por dos el producto de las participaciones de los 2 (dos) agentes económicos que se concentran.</w:t>
            </w:r>
          </w:p>
        </w:tc>
        <w:tc>
          <w:tcPr>
            <w:tcW w:w="3685" w:type="dxa"/>
          </w:tcPr>
          <w:p w14:paraId="5BEA97C9" w14:textId="77777777" w:rsidR="00551D89" w:rsidRPr="00551D89" w:rsidRDefault="00551D89" w:rsidP="007144BE">
            <w:pPr>
              <w:pStyle w:val="Prrafodelista"/>
              <w:ind w:left="0" w:right="-1"/>
              <w:contextualSpacing w:val="0"/>
              <w:rPr>
                <w:rFonts w:ascii="Arial" w:eastAsia="Times New Roman" w:hAnsi="Arial" w:cs="Arial"/>
                <w:sz w:val="18"/>
                <w:szCs w:val="18"/>
                <w:lang w:eastAsia="es-MX"/>
              </w:rPr>
            </w:pPr>
            <w:r w:rsidRPr="00551D89">
              <w:rPr>
                <w:rFonts w:ascii="Arial" w:eastAsia="Times New Roman" w:hAnsi="Arial" w:cs="Arial"/>
                <w:sz w:val="18"/>
                <w:szCs w:val="18"/>
                <w:lang w:eastAsia="es-MX"/>
              </w:rPr>
              <w:t xml:space="preserve">Es decir, para el ejemplo que se presenta, la variación del IHH se puede obtener de la diferencia entre el valor del </w:t>
            </w:r>
            <m:oMath>
              <m:r>
                <w:rPr>
                  <w:rFonts w:ascii="Cambria Math" w:eastAsia="Times New Roman" w:hAnsi="Cambria Math" w:cs="Arial"/>
                  <w:sz w:val="18"/>
                  <w:szCs w:val="18"/>
                  <w:lang w:eastAsia="es-MX"/>
                </w:rPr>
                <m:t>IH</m:t>
              </m:r>
              <m:sSub>
                <m:sSubPr>
                  <m:ctrlPr>
                    <w:rPr>
                      <w:rFonts w:ascii="Cambria Math" w:eastAsia="Times New Roman" w:hAnsi="Cambria Math" w:cs="Arial"/>
                      <w:i/>
                      <w:sz w:val="18"/>
                      <w:szCs w:val="18"/>
                      <w:lang w:eastAsia="es-MX"/>
                    </w:rPr>
                  </m:ctrlPr>
                </m:sSubPr>
                <m:e>
                  <m:r>
                    <w:rPr>
                      <w:rFonts w:ascii="Cambria Math" w:eastAsia="Times New Roman" w:hAnsi="Cambria Math" w:cs="Arial"/>
                      <w:sz w:val="18"/>
                      <w:szCs w:val="18"/>
                      <w:lang w:eastAsia="es-MX"/>
                    </w:rPr>
                    <m:t>H</m:t>
                  </m:r>
                </m:e>
                <m:sub>
                  <m:r>
                    <w:rPr>
                      <w:rFonts w:ascii="Cambria Math" w:eastAsia="Times New Roman" w:hAnsi="Cambria Math" w:cs="Arial"/>
                      <w:sz w:val="18"/>
                      <w:szCs w:val="18"/>
                      <w:lang w:eastAsia="es-MX"/>
                    </w:rPr>
                    <m:t>D</m:t>
                  </m:r>
                </m:sub>
              </m:sSub>
            </m:oMath>
            <w:r w:rsidRPr="00551D89">
              <w:rPr>
                <w:rFonts w:ascii="Arial" w:eastAsia="Times New Roman" w:hAnsi="Arial" w:cs="Arial"/>
                <w:sz w:val="18"/>
                <w:szCs w:val="18"/>
                <w:lang w:eastAsia="es-MX"/>
              </w:rPr>
              <w:t xml:space="preserve"> y del </w:t>
            </w:r>
            <m:oMath>
              <m:r>
                <w:rPr>
                  <w:rFonts w:ascii="Cambria Math" w:eastAsia="Times New Roman" w:hAnsi="Cambria Math" w:cs="Arial"/>
                  <w:sz w:val="18"/>
                  <w:szCs w:val="18"/>
                  <w:lang w:eastAsia="es-MX"/>
                </w:rPr>
                <m:t>IH</m:t>
              </m:r>
              <m:sSub>
                <m:sSubPr>
                  <m:ctrlPr>
                    <w:rPr>
                      <w:rFonts w:ascii="Cambria Math" w:eastAsia="Times New Roman" w:hAnsi="Cambria Math" w:cs="Arial"/>
                      <w:i/>
                      <w:sz w:val="18"/>
                      <w:szCs w:val="18"/>
                      <w:lang w:eastAsia="es-MX"/>
                    </w:rPr>
                  </m:ctrlPr>
                </m:sSubPr>
                <m:e>
                  <m:r>
                    <w:rPr>
                      <w:rFonts w:ascii="Cambria Math" w:eastAsia="Times New Roman" w:hAnsi="Cambria Math" w:cs="Arial"/>
                      <w:sz w:val="18"/>
                      <w:szCs w:val="18"/>
                      <w:lang w:eastAsia="es-MX"/>
                    </w:rPr>
                    <m:t>H</m:t>
                  </m:r>
                </m:e>
                <m:sub>
                  <m:r>
                    <w:rPr>
                      <w:rFonts w:ascii="Cambria Math" w:eastAsia="Times New Roman" w:hAnsi="Cambria Math" w:cs="Arial"/>
                      <w:sz w:val="18"/>
                      <w:szCs w:val="18"/>
                      <w:lang w:eastAsia="es-MX"/>
                    </w:rPr>
                    <m:t>A</m:t>
                  </m:r>
                </m:sub>
              </m:sSub>
            </m:oMath>
            <w:r w:rsidRPr="00551D89">
              <w:rPr>
                <w:rFonts w:ascii="Arial" w:eastAsia="Times New Roman" w:hAnsi="Arial" w:cs="Arial"/>
                <w:sz w:val="18"/>
                <w:szCs w:val="18"/>
                <w:lang w:eastAsia="es-MX"/>
              </w:rPr>
              <w:t xml:space="preserve"> o de multiplicar por dos el producto de las participaciones previas a la concentración de los 2 (dos) agentes económicos que se concentran.</w:t>
            </w:r>
          </w:p>
        </w:tc>
      </w:tr>
      <w:tr w:rsidR="00551D89" w:rsidRPr="00551D89" w14:paraId="7B84EA73" w14:textId="77777777" w:rsidTr="004A5133">
        <w:tc>
          <w:tcPr>
            <w:tcW w:w="1838" w:type="dxa"/>
          </w:tcPr>
          <w:p w14:paraId="6219FB83" w14:textId="77777777" w:rsidR="00551D89" w:rsidRPr="00551D89" w:rsidRDefault="00551D89" w:rsidP="007144BE">
            <w:pPr>
              <w:spacing w:line="276" w:lineRule="auto"/>
              <w:jc w:val="both"/>
              <w:rPr>
                <w:rFonts w:ascii="Arial" w:hAnsi="Arial" w:cs="Arial"/>
                <w:sz w:val="18"/>
                <w:szCs w:val="18"/>
              </w:rPr>
            </w:pPr>
            <w:r w:rsidRPr="00551D89">
              <w:rPr>
                <w:rFonts w:ascii="Arial" w:hAnsi="Arial" w:cs="Arial"/>
                <w:sz w:val="18"/>
                <w:szCs w:val="18"/>
              </w:rPr>
              <w:t>Artículo 6, inciso a)</w:t>
            </w:r>
          </w:p>
        </w:tc>
        <w:tc>
          <w:tcPr>
            <w:tcW w:w="3686" w:type="dxa"/>
          </w:tcPr>
          <w:p w14:paraId="19D2BCCA" w14:textId="77777777" w:rsidR="00551D89" w:rsidRPr="00551D89" w:rsidRDefault="00551D89" w:rsidP="007144BE">
            <w:pPr>
              <w:pStyle w:val="Default"/>
              <w:spacing w:line="276" w:lineRule="auto"/>
              <w:jc w:val="both"/>
              <w:rPr>
                <w:rFonts w:ascii="Arial" w:hAnsi="Arial" w:cs="Arial"/>
                <w:color w:val="auto"/>
                <w:sz w:val="18"/>
                <w:szCs w:val="18"/>
              </w:rPr>
            </w:pPr>
            <m:oMath>
              <m:r>
                <w:rPr>
                  <w:rFonts w:ascii="Cambria Math" w:hAnsi="Cambria Math" w:cs="Arial"/>
                  <w:color w:val="auto"/>
                  <w:sz w:val="18"/>
                  <w:szCs w:val="18"/>
                </w:rPr>
                <m:t>IHH ≤ 2,000</m:t>
              </m:r>
            </m:oMath>
            <w:r w:rsidRPr="00551D89">
              <w:rPr>
                <w:rFonts w:ascii="Arial" w:hAnsi="Arial" w:cs="Arial"/>
                <w:color w:val="auto"/>
                <w:sz w:val="18"/>
                <w:szCs w:val="18"/>
              </w:rPr>
              <w:t xml:space="preserve"> puntos;</w:t>
            </w:r>
          </w:p>
        </w:tc>
        <w:tc>
          <w:tcPr>
            <w:tcW w:w="3685" w:type="dxa"/>
          </w:tcPr>
          <w:p w14:paraId="44A14FF3" w14:textId="77777777" w:rsidR="00551D89" w:rsidRPr="00551D89" w:rsidRDefault="00551D89" w:rsidP="007144BE">
            <w:pPr>
              <w:pStyle w:val="Prrafodelista"/>
              <w:ind w:left="0" w:right="-1"/>
              <w:contextualSpacing w:val="0"/>
              <w:rPr>
                <w:rFonts w:ascii="Arial" w:eastAsia="Times New Roman" w:hAnsi="Arial" w:cs="Arial"/>
                <w:sz w:val="18"/>
                <w:szCs w:val="18"/>
                <w:lang w:eastAsia="es-MX"/>
              </w:rPr>
            </w:pPr>
            <w:r w:rsidRPr="00551D89">
              <w:rPr>
                <w:rFonts w:ascii="Arial" w:eastAsia="Times New Roman" w:hAnsi="Arial" w:cs="Arial"/>
                <w:sz w:val="18"/>
                <w:szCs w:val="18"/>
                <w:lang w:eastAsia="es-MX"/>
              </w:rPr>
              <w:t>El grado de concentración sea bajo: IHH ≤ 2,000 puntos;</w:t>
            </w:r>
          </w:p>
        </w:tc>
      </w:tr>
      <w:tr w:rsidR="00551D89" w:rsidRPr="00551D89" w14:paraId="48275CB8" w14:textId="77777777" w:rsidTr="004A5133">
        <w:tc>
          <w:tcPr>
            <w:tcW w:w="1838" w:type="dxa"/>
          </w:tcPr>
          <w:p w14:paraId="3523416D" w14:textId="77777777" w:rsidR="00551D89" w:rsidRPr="00551D89" w:rsidRDefault="00551D89" w:rsidP="007144BE">
            <w:pPr>
              <w:spacing w:line="276" w:lineRule="auto"/>
              <w:jc w:val="both"/>
              <w:rPr>
                <w:rFonts w:ascii="Arial" w:hAnsi="Arial" w:cs="Arial"/>
                <w:sz w:val="18"/>
                <w:szCs w:val="18"/>
              </w:rPr>
            </w:pPr>
            <w:r w:rsidRPr="00551D89">
              <w:rPr>
                <w:rFonts w:ascii="Arial" w:hAnsi="Arial" w:cs="Arial"/>
                <w:sz w:val="18"/>
                <w:szCs w:val="18"/>
              </w:rPr>
              <w:t>Artículo 6, inciso b)</w:t>
            </w:r>
          </w:p>
        </w:tc>
        <w:tc>
          <w:tcPr>
            <w:tcW w:w="3686" w:type="dxa"/>
          </w:tcPr>
          <w:p w14:paraId="2491D1FC" w14:textId="77777777" w:rsidR="00551D89" w:rsidRPr="00551D89" w:rsidRDefault="00551D89" w:rsidP="007144BE">
            <w:pPr>
              <w:pStyle w:val="Default"/>
              <w:spacing w:line="276" w:lineRule="auto"/>
              <w:jc w:val="both"/>
              <w:rPr>
                <w:rFonts w:ascii="Arial" w:hAnsi="Arial" w:cs="Arial"/>
                <w:color w:val="auto"/>
                <w:sz w:val="18"/>
                <w:szCs w:val="18"/>
              </w:rPr>
            </w:pPr>
            <m:oMath>
              <m:r>
                <w:rPr>
                  <w:rFonts w:ascii="Cambria Math" w:hAnsi="Cambria Math" w:cs="Arial"/>
                  <w:color w:val="auto"/>
                  <w:sz w:val="18"/>
                  <w:szCs w:val="18"/>
                </w:rPr>
                <m:t>2,000 &lt; IHH ≤ 3,000</m:t>
              </m:r>
            </m:oMath>
            <w:r w:rsidRPr="00551D89">
              <w:rPr>
                <w:rFonts w:ascii="Arial" w:hAnsi="Arial" w:cs="Arial"/>
                <w:color w:val="auto"/>
                <w:sz w:val="18"/>
                <w:szCs w:val="18"/>
              </w:rPr>
              <w:t xml:space="preserve"> y</w:t>
            </w:r>
            <w:r w:rsidRPr="00551D89">
              <w:rPr>
                <w:rFonts w:ascii="Arial" w:eastAsiaTheme="minorEastAsia" w:hAnsi="Arial" w:cs="Arial"/>
                <w:color w:val="auto"/>
                <w:sz w:val="18"/>
                <w:szCs w:val="18"/>
              </w:rPr>
              <w:t xml:space="preserve"> </w:t>
            </w:r>
            <m:oMath>
              <m:r>
                <w:rPr>
                  <w:rFonts w:ascii="Cambria Math" w:eastAsiaTheme="minorEastAsia" w:hAnsi="Cambria Math" w:cs="Arial"/>
                  <w:color w:val="auto"/>
                  <w:sz w:val="18"/>
                  <w:szCs w:val="18"/>
                </w:rPr>
                <m:t>∆HH ≤ 150</m:t>
              </m:r>
            </m:oMath>
            <w:r w:rsidRPr="00551D89">
              <w:rPr>
                <w:rFonts w:ascii="Arial" w:hAnsi="Arial" w:cs="Arial"/>
                <w:color w:val="auto"/>
                <w:sz w:val="18"/>
                <w:szCs w:val="18"/>
              </w:rPr>
              <w:t xml:space="preserve"> puntos; o</w:t>
            </w:r>
          </w:p>
        </w:tc>
        <w:tc>
          <w:tcPr>
            <w:tcW w:w="3685" w:type="dxa"/>
          </w:tcPr>
          <w:p w14:paraId="09316CCB" w14:textId="77777777" w:rsidR="00551D89" w:rsidRPr="00551D89" w:rsidRDefault="00551D89" w:rsidP="007144BE">
            <w:pPr>
              <w:pStyle w:val="Default"/>
              <w:spacing w:line="276" w:lineRule="auto"/>
              <w:jc w:val="both"/>
              <w:rPr>
                <w:rFonts w:ascii="Arial" w:hAnsi="Arial" w:cs="Arial"/>
                <w:color w:val="auto"/>
                <w:sz w:val="18"/>
                <w:szCs w:val="18"/>
              </w:rPr>
            </w:pPr>
            <w:r w:rsidRPr="00551D89">
              <w:rPr>
                <w:rFonts w:ascii="Arial" w:hAnsi="Arial" w:cs="Arial"/>
                <w:color w:val="auto"/>
                <w:sz w:val="18"/>
                <w:szCs w:val="18"/>
              </w:rPr>
              <w:t xml:space="preserve">El grado de concentración sea moderado: </w:t>
            </w:r>
            <m:oMath>
              <m:r>
                <w:rPr>
                  <w:rFonts w:ascii="Cambria Math" w:hAnsi="Cambria Math" w:cs="Arial"/>
                  <w:color w:val="auto"/>
                  <w:sz w:val="18"/>
                  <w:szCs w:val="18"/>
                </w:rPr>
                <m:t>2,000 &lt; IHH ≤ 2,500</m:t>
              </m:r>
            </m:oMath>
            <w:r w:rsidRPr="00551D89">
              <w:rPr>
                <w:rFonts w:ascii="Arial" w:hAnsi="Arial" w:cs="Arial"/>
                <w:color w:val="auto"/>
                <w:sz w:val="18"/>
                <w:szCs w:val="18"/>
              </w:rPr>
              <w:t>, y</w:t>
            </w:r>
            <w:r w:rsidRPr="00551D89">
              <w:rPr>
                <w:rFonts w:ascii="Arial" w:eastAsiaTheme="minorEastAsia" w:hAnsi="Arial" w:cs="Arial"/>
                <w:color w:val="auto"/>
                <w:sz w:val="18"/>
                <w:szCs w:val="18"/>
              </w:rPr>
              <w:t xml:space="preserve"> se tenga una </w:t>
            </w:r>
            <m:oMath>
              <m:r>
                <w:rPr>
                  <w:rFonts w:ascii="Cambria Math" w:eastAsiaTheme="minorEastAsia" w:hAnsi="Cambria Math" w:cs="Arial"/>
                  <w:color w:val="auto"/>
                  <w:sz w:val="18"/>
                  <w:szCs w:val="18"/>
                </w:rPr>
                <m:t>∆IHH ≤ 150</m:t>
              </m:r>
            </m:oMath>
            <w:r w:rsidRPr="00551D89">
              <w:rPr>
                <w:rFonts w:ascii="Arial" w:hAnsi="Arial" w:cs="Arial"/>
                <w:color w:val="auto"/>
                <w:sz w:val="18"/>
                <w:szCs w:val="18"/>
              </w:rPr>
              <w:t xml:space="preserve"> puntos, o</w:t>
            </w:r>
          </w:p>
        </w:tc>
      </w:tr>
      <w:tr w:rsidR="00551D89" w:rsidRPr="00551D89" w14:paraId="3E5A8A9D" w14:textId="77777777" w:rsidTr="004A5133">
        <w:tc>
          <w:tcPr>
            <w:tcW w:w="1838" w:type="dxa"/>
          </w:tcPr>
          <w:p w14:paraId="291CE8CB" w14:textId="77777777" w:rsidR="00551D89" w:rsidRPr="00551D89" w:rsidRDefault="00551D89" w:rsidP="007144BE">
            <w:pPr>
              <w:spacing w:line="276" w:lineRule="auto"/>
              <w:jc w:val="both"/>
              <w:rPr>
                <w:rFonts w:ascii="Arial" w:hAnsi="Arial" w:cs="Arial"/>
                <w:sz w:val="18"/>
                <w:szCs w:val="18"/>
              </w:rPr>
            </w:pPr>
            <w:r w:rsidRPr="00551D89">
              <w:rPr>
                <w:rFonts w:ascii="Arial" w:hAnsi="Arial" w:cs="Arial"/>
                <w:sz w:val="18"/>
                <w:szCs w:val="18"/>
              </w:rPr>
              <w:t>Artículo 6, inciso c)</w:t>
            </w:r>
          </w:p>
        </w:tc>
        <w:tc>
          <w:tcPr>
            <w:tcW w:w="3686" w:type="dxa"/>
          </w:tcPr>
          <w:p w14:paraId="551B8771" w14:textId="77777777" w:rsidR="00551D89" w:rsidRPr="00551D89" w:rsidRDefault="00551D89" w:rsidP="007144BE">
            <w:pPr>
              <w:pStyle w:val="Prrafodelista"/>
              <w:ind w:left="0" w:right="-1"/>
              <w:contextualSpacing w:val="0"/>
              <w:rPr>
                <w:rFonts w:ascii="Arial" w:eastAsia="Times New Roman" w:hAnsi="Arial" w:cs="Arial"/>
                <w:sz w:val="18"/>
                <w:szCs w:val="18"/>
                <w:lang w:eastAsia="es-MX"/>
              </w:rPr>
            </w:pPr>
            <m:oMath>
              <m:r>
                <w:rPr>
                  <w:rFonts w:ascii="Cambria Math" w:hAnsi="Cambria Math" w:cs="Arial"/>
                  <w:sz w:val="18"/>
                  <w:szCs w:val="18"/>
                </w:rPr>
                <m:t>IHH &gt; 3,000</m:t>
              </m:r>
            </m:oMath>
            <w:r w:rsidRPr="00551D89">
              <w:rPr>
                <w:rFonts w:ascii="Arial" w:hAnsi="Arial" w:cs="Arial"/>
                <w:sz w:val="18"/>
                <w:szCs w:val="18"/>
              </w:rPr>
              <w:t xml:space="preserve"> y </w:t>
            </w:r>
            <m:oMath>
              <m:r>
                <w:rPr>
                  <w:rFonts w:ascii="Cambria Math" w:eastAsiaTheme="minorEastAsia" w:hAnsi="Cambria Math" w:cs="Arial"/>
                  <w:sz w:val="18"/>
                  <w:szCs w:val="18"/>
                </w:rPr>
                <m:t xml:space="preserve">∆HH ≤ 100 </m:t>
              </m:r>
            </m:oMath>
            <w:r w:rsidRPr="00551D89">
              <w:rPr>
                <w:rFonts w:ascii="Arial" w:hAnsi="Arial" w:cs="Arial"/>
                <w:sz w:val="18"/>
                <w:szCs w:val="18"/>
              </w:rPr>
              <w:t>puntos.</w:t>
            </w:r>
          </w:p>
        </w:tc>
        <w:tc>
          <w:tcPr>
            <w:tcW w:w="3685" w:type="dxa"/>
          </w:tcPr>
          <w:p w14:paraId="1C27CFC5" w14:textId="77777777" w:rsidR="00551D89" w:rsidRPr="00551D89" w:rsidRDefault="00551D89" w:rsidP="007144BE">
            <w:pPr>
              <w:pStyle w:val="Prrafodelista"/>
              <w:ind w:left="0" w:right="-1"/>
              <w:contextualSpacing w:val="0"/>
              <w:rPr>
                <w:rFonts w:ascii="Arial" w:eastAsia="Times New Roman" w:hAnsi="Arial" w:cs="Arial"/>
                <w:sz w:val="18"/>
                <w:szCs w:val="18"/>
                <w:lang w:eastAsia="es-MX"/>
              </w:rPr>
            </w:pPr>
            <w:r w:rsidRPr="00551D89">
              <w:rPr>
                <w:rFonts w:ascii="Arial" w:hAnsi="Arial" w:cs="Arial"/>
                <w:sz w:val="18"/>
                <w:szCs w:val="18"/>
              </w:rPr>
              <w:t xml:space="preserve">El grado de concentración sea elevado: </w:t>
            </w:r>
            <m:oMath>
              <m:r>
                <w:rPr>
                  <w:rFonts w:ascii="Cambria Math" w:hAnsi="Cambria Math" w:cs="Arial"/>
                  <w:sz w:val="18"/>
                  <w:szCs w:val="18"/>
                </w:rPr>
                <m:t>IHH &gt; 2,500</m:t>
              </m:r>
            </m:oMath>
            <w:r w:rsidRPr="00551D89">
              <w:rPr>
                <w:rFonts w:ascii="Arial" w:hAnsi="Arial" w:cs="Arial"/>
                <w:sz w:val="18"/>
                <w:szCs w:val="18"/>
              </w:rPr>
              <w:t xml:space="preserve">, y </w:t>
            </w:r>
            <w:r w:rsidRPr="00551D89">
              <w:rPr>
                <w:rFonts w:ascii="Arial" w:eastAsiaTheme="minorEastAsia" w:hAnsi="Arial" w:cs="Arial"/>
                <w:sz w:val="18"/>
                <w:szCs w:val="18"/>
              </w:rPr>
              <w:t xml:space="preserve">se tenga una </w:t>
            </w:r>
            <m:oMath>
              <m:r>
                <w:rPr>
                  <w:rFonts w:ascii="Cambria Math" w:eastAsiaTheme="minorEastAsia" w:hAnsi="Cambria Math" w:cs="Arial"/>
                  <w:sz w:val="18"/>
                  <w:szCs w:val="18"/>
                </w:rPr>
                <m:t xml:space="preserve">∆IHH ≤ 100 </m:t>
              </m:r>
            </m:oMath>
            <w:r w:rsidRPr="00551D89">
              <w:rPr>
                <w:rFonts w:ascii="Arial" w:hAnsi="Arial" w:cs="Arial"/>
                <w:sz w:val="18"/>
                <w:szCs w:val="18"/>
              </w:rPr>
              <w:t>puntos.</w:t>
            </w:r>
          </w:p>
        </w:tc>
      </w:tr>
      <w:tr w:rsidR="00551D89" w:rsidRPr="00551D89" w14:paraId="08D62F3B" w14:textId="77777777" w:rsidTr="004A5133">
        <w:tc>
          <w:tcPr>
            <w:tcW w:w="1838" w:type="dxa"/>
          </w:tcPr>
          <w:p w14:paraId="32847EE7" w14:textId="77777777" w:rsidR="00551D89" w:rsidRPr="00551D89" w:rsidRDefault="00551D89" w:rsidP="007144BE">
            <w:pPr>
              <w:spacing w:line="276" w:lineRule="auto"/>
              <w:jc w:val="both"/>
              <w:rPr>
                <w:rFonts w:ascii="Arial" w:hAnsi="Arial" w:cs="Arial"/>
                <w:sz w:val="18"/>
                <w:szCs w:val="18"/>
              </w:rPr>
            </w:pPr>
            <w:r w:rsidRPr="00551D89">
              <w:rPr>
                <w:rFonts w:ascii="Arial" w:hAnsi="Arial" w:cs="Arial"/>
                <w:sz w:val="18"/>
                <w:szCs w:val="18"/>
              </w:rPr>
              <w:lastRenderedPageBreak/>
              <w:t>Artículo 7, inciso b)</w:t>
            </w:r>
          </w:p>
        </w:tc>
        <w:tc>
          <w:tcPr>
            <w:tcW w:w="3686" w:type="dxa"/>
          </w:tcPr>
          <w:p w14:paraId="200543E7" w14:textId="77777777" w:rsidR="00551D89" w:rsidRPr="00551D89" w:rsidRDefault="00551D89" w:rsidP="007144BE">
            <w:pPr>
              <w:pStyle w:val="Prrafodelista"/>
              <w:ind w:left="0" w:right="-1"/>
              <w:contextualSpacing w:val="0"/>
              <w:rPr>
                <w:rFonts w:ascii="Arial" w:eastAsia="Calibri" w:hAnsi="Arial" w:cs="Arial"/>
                <w:sz w:val="18"/>
                <w:szCs w:val="18"/>
              </w:rPr>
            </w:pPr>
            <w:r w:rsidRPr="00551D89">
              <w:rPr>
                <w:rFonts w:ascii="Arial" w:eastAsia="Times New Roman" w:hAnsi="Arial" w:cs="Arial"/>
                <w:sz w:val="18"/>
                <w:szCs w:val="18"/>
                <w:lang w:eastAsia="es-MX"/>
              </w:rPr>
              <w:t>Los agentes económicos involucrados en la operación alcancen una participación superior al treinta y cinco por ciento;</w:t>
            </w:r>
          </w:p>
        </w:tc>
        <w:tc>
          <w:tcPr>
            <w:tcW w:w="3685" w:type="dxa"/>
          </w:tcPr>
          <w:p w14:paraId="050AC28C" w14:textId="77777777" w:rsidR="00551D89" w:rsidRPr="00551D89" w:rsidRDefault="00551D89" w:rsidP="007144BE">
            <w:pPr>
              <w:pStyle w:val="Prrafodelista"/>
              <w:ind w:left="0" w:right="-1"/>
              <w:contextualSpacing w:val="0"/>
              <w:rPr>
                <w:rFonts w:ascii="Arial" w:hAnsi="Arial" w:cs="Arial"/>
                <w:sz w:val="18"/>
                <w:szCs w:val="18"/>
              </w:rPr>
            </w:pPr>
            <w:r w:rsidRPr="00551D89">
              <w:rPr>
                <w:rFonts w:ascii="Arial" w:eastAsia="Times New Roman" w:hAnsi="Arial" w:cs="Arial"/>
                <w:sz w:val="18"/>
                <w:szCs w:val="18"/>
                <w:lang w:eastAsia="es-MX"/>
              </w:rPr>
              <w:t>Los agentes económicos resultantes de la operación alcancen una participación superior al 35% (treinta y cinco por ciento) en cualquier mercado del sector de telecomunicaciones o superior al 30% (treinta por ciento) en cualquier mercado del sector de radiodifusión;</w:t>
            </w:r>
          </w:p>
        </w:tc>
      </w:tr>
      <w:tr w:rsidR="00551D89" w:rsidRPr="00551D89" w14:paraId="41A5E6DB" w14:textId="77777777" w:rsidTr="004A5133">
        <w:tc>
          <w:tcPr>
            <w:tcW w:w="1838" w:type="dxa"/>
          </w:tcPr>
          <w:p w14:paraId="1BDEB105" w14:textId="77777777" w:rsidR="00551D89" w:rsidRPr="00551D89" w:rsidRDefault="00551D89" w:rsidP="007144BE">
            <w:pPr>
              <w:spacing w:line="276" w:lineRule="auto"/>
              <w:jc w:val="both"/>
              <w:rPr>
                <w:rFonts w:ascii="Arial" w:hAnsi="Arial" w:cs="Arial"/>
                <w:sz w:val="18"/>
                <w:szCs w:val="18"/>
              </w:rPr>
            </w:pPr>
            <w:r w:rsidRPr="00551D89">
              <w:rPr>
                <w:rFonts w:ascii="Arial" w:hAnsi="Arial" w:cs="Arial"/>
                <w:sz w:val="18"/>
                <w:szCs w:val="18"/>
              </w:rPr>
              <w:t>Artículo 8, párrafo primero</w:t>
            </w:r>
          </w:p>
        </w:tc>
        <w:tc>
          <w:tcPr>
            <w:tcW w:w="3686" w:type="dxa"/>
          </w:tcPr>
          <w:p w14:paraId="4939C457" w14:textId="77777777" w:rsidR="00551D89" w:rsidRPr="00551D89" w:rsidRDefault="00551D89" w:rsidP="007144BE">
            <w:pPr>
              <w:pStyle w:val="Prrafodelista"/>
              <w:ind w:left="0" w:right="-1"/>
              <w:contextualSpacing w:val="0"/>
              <w:rPr>
                <w:rFonts w:ascii="Arial" w:hAnsi="Arial" w:cs="Arial"/>
                <w:sz w:val="18"/>
                <w:szCs w:val="18"/>
              </w:rPr>
            </w:pPr>
            <w:r w:rsidRPr="00551D89">
              <w:rPr>
                <w:rFonts w:ascii="Arial" w:hAnsi="Arial" w:cs="Arial"/>
                <w:sz w:val="18"/>
                <w:szCs w:val="18"/>
              </w:rPr>
              <w:t>Además de ser una referencia en la evaluación de concentraciones, el presente Criterio Técnico también podrá emplearse en el análisis de solicitudes de otorgamiento, y cesiones de concesiones; venta de acciones, suscripciones, enajenaciones, desincorporaciones o movimientos en la estructura accionaria de agentes económicos; arrendamiento o cambio de bandas de frecuencias del espectro radioeléctrico.</w:t>
            </w:r>
          </w:p>
          <w:p w14:paraId="482E07EF" w14:textId="77777777" w:rsidR="00551D89" w:rsidRPr="00551D89" w:rsidRDefault="00551D89" w:rsidP="007144BE">
            <w:pPr>
              <w:pStyle w:val="Prrafodelista"/>
              <w:ind w:left="0" w:right="-1"/>
              <w:contextualSpacing w:val="0"/>
              <w:rPr>
                <w:rFonts w:ascii="Arial" w:eastAsia="Calibri" w:hAnsi="Arial" w:cs="Arial"/>
                <w:sz w:val="18"/>
                <w:szCs w:val="18"/>
              </w:rPr>
            </w:pPr>
          </w:p>
        </w:tc>
        <w:tc>
          <w:tcPr>
            <w:tcW w:w="3685" w:type="dxa"/>
          </w:tcPr>
          <w:p w14:paraId="28F33CDC" w14:textId="77777777" w:rsidR="00551D89" w:rsidRPr="00551D89" w:rsidRDefault="00551D89" w:rsidP="007144BE">
            <w:pPr>
              <w:pStyle w:val="Prrafodelista"/>
              <w:ind w:left="0" w:right="-1"/>
              <w:contextualSpacing w:val="0"/>
              <w:rPr>
                <w:rFonts w:ascii="Arial" w:hAnsi="Arial" w:cs="Arial"/>
                <w:sz w:val="18"/>
                <w:szCs w:val="18"/>
              </w:rPr>
            </w:pPr>
            <w:r w:rsidRPr="00551D89">
              <w:rPr>
                <w:rFonts w:ascii="Arial" w:hAnsi="Arial" w:cs="Arial"/>
                <w:sz w:val="18"/>
                <w:szCs w:val="18"/>
              </w:rPr>
              <w:t>Además de ser una referencia en la evaluación de concentraciones tramitadas en términos de la LFCE, el presente Criterio Técnico también podrá emplearse en el análisis de solicitudes de otorgamiento, prórrogas y cesiones de concesiones; venta de acciones, suscripciones, enajenaciones, desincorporaciones o movimientos en la estructura accionaria de agentes económicos, y arrendamiento o cambio de bandas de frecuencias del espectro radioeléctrico.</w:t>
            </w:r>
          </w:p>
          <w:p w14:paraId="16728004" w14:textId="77777777" w:rsidR="00551D89" w:rsidRPr="00551D89" w:rsidRDefault="00551D89" w:rsidP="007144BE">
            <w:pPr>
              <w:pStyle w:val="Prrafodelista"/>
              <w:ind w:left="0" w:right="-1"/>
              <w:contextualSpacing w:val="0"/>
              <w:rPr>
                <w:rFonts w:ascii="Arial" w:hAnsi="Arial" w:cs="Arial"/>
                <w:sz w:val="18"/>
                <w:szCs w:val="18"/>
              </w:rPr>
            </w:pPr>
          </w:p>
        </w:tc>
      </w:tr>
      <w:tr w:rsidR="00551D89" w:rsidRPr="00551D89" w14:paraId="484774AD" w14:textId="77777777" w:rsidTr="004A5133">
        <w:tc>
          <w:tcPr>
            <w:tcW w:w="1838" w:type="dxa"/>
          </w:tcPr>
          <w:p w14:paraId="14962B64" w14:textId="77777777" w:rsidR="00551D89" w:rsidRPr="00551D89" w:rsidRDefault="00551D89" w:rsidP="007144BE">
            <w:pPr>
              <w:spacing w:line="276" w:lineRule="auto"/>
              <w:jc w:val="both"/>
              <w:rPr>
                <w:rFonts w:ascii="Arial" w:hAnsi="Arial" w:cs="Arial"/>
                <w:sz w:val="18"/>
                <w:szCs w:val="18"/>
              </w:rPr>
            </w:pPr>
            <w:r w:rsidRPr="00551D89">
              <w:rPr>
                <w:rFonts w:ascii="Arial" w:hAnsi="Arial" w:cs="Arial"/>
                <w:sz w:val="18"/>
                <w:szCs w:val="18"/>
              </w:rPr>
              <w:t>Artículo 10</w:t>
            </w:r>
          </w:p>
        </w:tc>
        <w:tc>
          <w:tcPr>
            <w:tcW w:w="3686" w:type="dxa"/>
          </w:tcPr>
          <w:p w14:paraId="600B47E9" w14:textId="77777777" w:rsidR="00551D89" w:rsidRPr="00551D89" w:rsidRDefault="00551D89" w:rsidP="007144BE">
            <w:pPr>
              <w:pStyle w:val="Prrafodelista"/>
              <w:ind w:left="0" w:right="-1"/>
              <w:rPr>
                <w:rFonts w:ascii="Arial" w:hAnsi="Arial" w:cs="Arial"/>
                <w:sz w:val="18"/>
                <w:szCs w:val="18"/>
              </w:rPr>
            </w:pPr>
            <w:r w:rsidRPr="00551D89">
              <w:rPr>
                <w:rFonts w:ascii="Arial" w:hAnsi="Arial" w:cs="Arial"/>
                <w:sz w:val="18"/>
                <w:szCs w:val="18"/>
              </w:rPr>
              <w:t>El presente Criterio Técnico no se aplicará a nivel de sector cuando el Instituto resuelva procedimientos conforme a lo establecido en el artículo Noveno Transitorio, párrafos primero a cuarto, del Decreto que expide la LFTR, el cual señala explícitamente el cálculo y aplicación del Índice de Dominancia, el IHH y la ∆HH.</w:t>
            </w:r>
          </w:p>
        </w:tc>
        <w:tc>
          <w:tcPr>
            <w:tcW w:w="3685" w:type="dxa"/>
          </w:tcPr>
          <w:p w14:paraId="2BD29268" w14:textId="77777777" w:rsidR="00551D89" w:rsidRPr="00551D89" w:rsidRDefault="00551D89" w:rsidP="007144BE">
            <w:pPr>
              <w:pStyle w:val="Prrafodelista"/>
              <w:ind w:left="0" w:right="-1"/>
              <w:rPr>
                <w:rFonts w:ascii="Arial" w:hAnsi="Arial" w:cs="Arial"/>
                <w:sz w:val="18"/>
                <w:szCs w:val="18"/>
              </w:rPr>
            </w:pPr>
            <w:r w:rsidRPr="00551D89">
              <w:rPr>
                <w:rFonts w:ascii="Arial" w:hAnsi="Arial" w:cs="Arial"/>
                <w:sz w:val="18"/>
                <w:szCs w:val="18"/>
              </w:rPr>
              <w:t>El presente Criterio Técnico no se aplicará a nivel de sector cuando el Instituto resuelva procedimientos conforme a lo establecido en el artículo Noveno Transitorio, párrafos primero a cuarto, del Decreto que expide la LFTR, el cual señala explícitamente el cálculo y aplicación del Índice de Dominancia, el IHH y la ∆IHH.</w:t>
            </w:r>
          </w:p>
        </w:tc>
      </w:tr>
    </w:tbl>
    <w:p w14:paraId="7C18EFE4" w14:textId="77777777" w:rsidR="00551D89" w:rsidRDefault="00551D89" w:rsidP="007144BE">
      <w:pPr>
        <w:jc w:val="both"/>
      </w:pPr>
    </w:p>
    <w:sectPr w:rsidR="00551D8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0A979" w14:textId="77777777" w:rsidR="00BB2F65" w:rsidRDefault="00BB2F65" w:rsidP="00551D89">
      <w:pPr>
        <w:spacing w:after="0" w:line="240" w:lineRule="auto"/>
      </w:pPr>
      <w:r>
        <w:separator/>
      </w:r>
    </w:p>
  </w:endnote>
  <w:endnote w:type="continuationSeparator" w:id="0">
    <w:p w14:paraId="2C07512D" w14:textId="77777777" w:rsidR="00BB2F65" w:rsidRDefault="00BB2F65" w:rsidP="00551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4622F" w14:textId="77777777" w:rsidR="00BB2F65" w:rsidRDefault="00BB2F65" w:rsidP="00551D89">
      <w:pPr>
        <w:spacing w:after="0" w:line="240" w:lineRule="auto"/>
      </w:pPr>
      <w:r>
        <w:separator/>
      </w:r>
    </w:p>
  </w:footnote>
  <w:footnote w:type="continuationSeparator" w:id="0">
    <w:p w14:paraId="72126244" w14:textId="77777777" w:rsidR="00BB2F65" w:rsidRDefault="00BB2F65" w:rsidP="00551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A42BF"/>
    <w:multiLevelType w:val="hybridMultilevel"/>
    <w:tmpl w:val="4DFE86A6"/>
    <w:lvl w:ilvl="0" w:tplc="B93254EC">
      <w:start w:val="1"/>
      <w:numFmt w:val="decimal"/>
      <w:suff w:val="space"/>
      <w:lvlText w:val="Artículo %1."/>
      <w:lvlJc w:val="left"/>
      <w:pPr>
        <w:ind w:left="721" w:hanging="360"/>
      </w:pPr>
      <w:rPr>
        <w:rFonts w:hint="default"/>
        <w:b/>
      </w:rPr>
    </w:lvl>
    <w:lvl w:ilvl="1" w:tplc="080A0019" w:tentative="1">
      <w:start w:val="1"/>
      <w:numFmt w:val="lowerLetter"/>
      <w:lvlText w:val="%2."/>
      <w:lvlJc w:val="left"/>
      <w:pPr>
        <w:ind w:left="1441" w:hanging="360"/>
      </w:pPr>
    </w:lvl>
    <w:lvl w:ilvl="2" w:tplc="080A001B" w:tentative="1">
      <w:start w:val="1"/>
      <w:numFmt w:val="lowerRoman"/>
      <w:lvlText w:val="%3."/>
      <w:lvlJc w:val="right"/>
      <w:pPr>
        <w:ind w:left="2161" w:hanging="180"/>
      </w:pPr>
    </w:lvl>
    <w:lvl w:ilvl="3" w:tplc="080A000F" w:tentative="1">
      <w:start w:val="1"/>
      <w:numFmt w:val="decimal"/>
      <w:lvlText w:val="%4."/>
      <w:lvlJc w:val="left"/>
      <w:pPr>
        <w:ind w:left="2881" w:hanging="360"/>
      </w:pPr>
    </w:lvl>
    <w:lvl w:ilvl="4" w:tplc="080A0019" w:tentative="1">
      <w:start w:val="1"/>
      <w:numFmt w:val="lowerLetter"/>
      <w:lvlText w:val="%5."/>
      <w:lvlJc w:val="left"/>
      <w:pPr>
        <w:ind w:left="3601" w:hanging="360"/>
      </w:pPr>
    </w:lvl>
    <w:lvl w:ilvl="5" w:tplc="080A001B" w:tentative="1">
      <w:start w:val="1"/>
      <w:numFmt w:val="lowerRoman"/>
      <w:lvlText w:val="%6."/>
      <w:lvlJc w:val="right"/>
      <w:pPr>
        <w:ind w:left="4321" w:hanging="180"/>
      </w:pPr>
    </w:lvl>
    <w:lvl w:ilvl="6" w:tplc="080A000F" w:tentative="1">
      <w:start w:val="1"/>
      <w:numFmt w:val="decimal"/>
      <w:lvlText w:val="%7."/>
      <w:lvlJc w:val="left"/>
      <w:pPr>
        <w:ind w:left="5041" w:hanging="360"/>
      </w:pPr>
    </w:lvl>
    <w:lvl w:ilvl="7" w:tplc="080A0019" w:tentative="1">
      <w:start w:val="1"/>
      <w:numFmt w:val="lowerLetter"/>
      <w:lvlText w:val="%8."/>
      <w:lvlJc w:val="left"/>
      <w:pPr>
        <w:ind w:left="5761" w:hanging="360"/>
      </w:pPr>
    </w:lvl>
    <w:lvl w:ilvl="8" w:tplc="080A001B" w:tentative="1">
      <w:start w:val="1"/>
      <w:numFmt w:val="lowerRoman"/>
      <w:lvlText w:val="%9."/>
      <w:lvlJc w:val="right"/>
      <w:pPr>
        <w:ind w:left="6481" w:hanging="180"/>
      </w:pPr>
    </w:lvl>
  </w:abstractNum>
  <w:abstractNum w:abstractNumId="1" w15:restartNumberingAfterBreak="0">
    <w:nsid w:val="0CE67AB6"/>
    <w:multiLevelType w:val="hybridMultilevel"/>
    <w:tmpl w:val="DADC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C9"/>
    <w:rsid w:val="00110CC9"/>
    <w:rsid w:val="00177720"/>
    <w:rsid w:val="00180FBB"/>
    <w:rsid w:val="00551D89"/>
    <w:rsid w:val="005C0493"/>
    <w:rsid w:val="007144BE"/>
    <w:rsid w:val="009B104E"/>
    <w:rsid w:val="00BB2F65"/>
    <w:rsid w:val="00E57341"/>
    <w:rsid w:val="00F156BF"/>
    <w:rsid w:val="00F77B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F2BE8"/>
  <w15:chartTrackingRefBased/>
  <w15:docId w15:val="{DDE29902-7209-4C18-9EF4-37D0A1F2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0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156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56BF"/>
    <w:rPr>
      <w:rFonts w:ascii="Segoe UI" w:hAnsi="Segoe UI" w:cs="Segoe UI"/>
      <w:sz w:val="18"/>
      <w:szCs w:val="18"/>
    </w:rPr>
  </w:style>
  <w:style w:type="character" w:styleId="Refdecomentario">
    <w:name w:val="annotation reference"/>
    <w:basedOn w:val="Fuentedeprrafopredeter"/>
    <w:uiPriority w:val="99"/>
    <w:semiHidden/>
    <w:unhideWhenUsed/>
    <w:rsid w:val="00F156BF"/>
    <w:rPr>
      <w:sz w:val="16"/>
      <w:szCs w:val="16"/>
    </w:rPr>
  </w:style>
  <w:style w:type="paragraph" w:styleId="Textocomentario">
    <w:name w:val="annotation text"/>
    <w:basedOn w:val="Normal"/>
    <w:link w:val="TextocomentarioCar"/>
    <w:uiPriority w:val="99"/>
    <w:unhideWhenUsed/>
    <w:rsid w:val="00F156BF"/>
    <w:pPr>
      <w:spacing w:after="0" w:line="240" w:lineRule="auto"/>
      <w:jc w:val="both"/>
    </w:pPr>
    <w:rPr>
      <w:rFonts w:ascii="Arial" w:eastAsia="Calibri" w:hAnsi="Arial" w:cs="Times New Roman"/>
      <w:sz w:val="20"/>
      <w:szCs w:val="20"/>
    </w:rPr>
  </w:style>
  <w:style w:type="character" w:customStyle="1" w:styleId="TextocomentarioCar">
    <w:name w:val="Texto comentario Car"/>
    <w:basedOn w:val="Fuentedeprrafopredeter"/>
    <w:link w:val="Textocomentario"/>
    <w:uiPriority w:val="99"/>
    <w:rsid w:val="00F156BF"/>
    <w:rPr>
      <w:rFonts w:ascii="Arial" w:eastAsia="Calibri" w:hAnsi="Arial" w:cs="Times New Roman"/>
      <w:sz w:val="20"/>
      <w:szCs w:val="20"/>
    </w:rPr>
  </w:style>
  <w:style w:type="character" w:styleId="Textodelmarcadordeposicin">
    <w:name w:val="Placeholder Text"/>
    <w:basedOn w:val="Fuentedeprrafopredeter"/>
    <w:uiPriority w:val="99"/>
    <w:semiHidden/>
    <w:rsid w:val="00F156BF"/>
    <w:rPr>
      <w:color w:val="808080"/>
    </w:rPr>
  </w:style>
  <w:style w:type="paragraph" w:styleId="Prrafodelista">
    <w:name w:val="List Paragraph"/>
    <w:basedOn w:val="Normal"/>
    <w:link w:val="PrrafodelistaCar"/>
    <w:uiPriority w:val="34"/>
    <w:qFormat/>
    <w:rsid w:val="005C0493"/>
    <w:pPr>
      <w:spacing w:after="0" w:line="276" w:lineRule="auto"/>
      <w:ind w:left="720"/>
      <w:contextualSpacing/>
      <w:jc w:val="both"/>
    </w:pPr>
  </w:style>
  <w:style w:type="character" w:customStyle="1" w:styleId="PrrafodelistaCar">
    <w:name w:val="Párrafo de lista Car"/>
    <w:link w:val="Prrafodelista"/>
    <w:uiPriority w:val="34"/>
    <w:rsid w:val="005C0493"/>
  </w:style>
  <w:style w:type="paragraph" w:customStyle="1" w:styleId="Default">
    <w:name w:val="Default"/>
    <w:rsid w:val="00177720"/>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Refdenotaalpie">
    <w:name w:val="footnote reference"/>
    <w:aliases w:val="Ref,de nota al pie,fr,(NECG) Footnote Reference,o,Appel note de bas de p,Style 12,Style 124,Style 13,Style 3,Style 17,FR,Footnote Reference/,callout,Style 6,Footnote,Style 20,Ref. de nota al pie 2,Footnotes refss,Texto de nota al pie"/>
    <w:basedOn w:val="Fuentedeprrafopredeter"/>
    <w:uiPriority w:val="99"/>
    <w:qFormat/>
    <w:rsid w:val="00551D89"/>
    <w:rPr>
      <w:vertAlign w:val="superscript"/>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551D89"/>
    <w:pPr>
      <w:spacing w:after="0" w:line="240" w:lineRule="auto"/>
      <w:jc w:val="both"/>
    </w:pPr>
    <w:rPr>
      <w:rFonts w:ascii="Arial" w:eastAsia="Calibri" w:hAnsi="Arial" w:cs="Times New Roman"/>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551D89"/>
    <w:rPr>
      <w:rFonts w:ascii="Arial" w:eastAsia="Calibri" w:hAnsi="Arial" w:cs="Times New Roman"/>
      <w:sz w:val="20"/>
      <w:szCs w:val="20"/>
    </w:rPr>
  </w:style>
  <w:style w:type="character" w:styleId="Hipervnculo">
    <w:name w:val="Hyperlink"/>
    <w:basedOn w:val="Fuentedeprrafopredeter"/>
    <w:uiPriority w:val="99"/>
    <w:rsid w:val="00551D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835</Words>
  <Characters>4597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Anabella Rivas Pena</dc:creator>
  <cp:keywords/>
  <dc:description/>
  <cp:lastModifiedBy>Juan Manuel Hernandez Perez</cp:lastModifiedBy>
  <cp:revision>2</cp:revision>
  <dcterms:created xsi:type="dcterms:W3CDTF">2021-08-18T15:36:00Z</dcterms:created>
  <dcterms:modified xsi:type="dcterms:W3CDTF">2021-08-18T15:36:00Z</dcterms:modified>
</cp:coreProperties>
</file>