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2689"/>
        <w:gridCol w:w="3118"/>
        <w:gridCol w:w="3021"/>
      </w:tblGrid>
      <w:tr w:rsidR="00DC671E" w:rsidRPr="00D0018E" w14:paraId="66E3DD38" w14:textId="77777777" w:rsidTr="00402372">
        <w:trPr>
          <w:trHeight w:val="816"/>
        </w:trPr>
        <w:tc>
          <w:tcPr>
            <w:tcW w:w="2689" w:type="dxa"/>
            <w:shd w:val="clear" w:color="auto" w:fill="DBDBDB" w:themeFill="accent3" w:themeFillTint="66"/>
          </w:tcPr>
          <w:p w14:paraId="4D9A5D11" w14:textId="77777777" w:rsidR="00DC671E" w:rsidRPr="00D0018E" w:rsidRDefault="00DC671E" w:rsidP="00402372">
            <w:pPr>
              <w:jc w:val="both"/>
              <w:rPr>
                <w:rFonts w:ascii="Arial" w:hAnsi="Arial" w:cs="Arial"/>
                <w:b/>
                <w:sz w:val="18"/>
                <w:szCs w:val="18"/>
              </w:rPr>
            </w:pPr>
            <w:r w:rsidRPr="00D0018E">
              <w:rPr>
                <w:rFonts w:ascii="Arial" w:hAnsi="Arial" w:cs="Arial"/>
                <w:b/>
                <w:sz w:val="18"/>
                <w:szCs w:val="18"/>
              </w:rPr>
              <w:t>Unidad Administrativa o Coordinación General del Instituto:</w:t>
            </w:r>
          </w:p>
          <w:p w14:paraId="35F12BF2" w14:textId="2F08514F" w:rsidR="00DC671E" w:rsidRPr="00D0018E" w:rsidRDefault="00DC671E" w:rsidP="00402372">
            <w:pPr>
              <w:jc w:val="both"/>
              <w:rPr>
                <w:rFonts w:ascii="Arial" w:hAnsi="Arial" w:cs="Arial"/>
                <w:sz w:val="18"/>
                <w:szCs w:val="18"/>
              </w:rPr>
            </w:pPr>
            <w:r w:rsidRPr="00D0018E">
              <w:rPr>
                <w:rFonts w:ascii="Arial" w:hAnsi="Arial" w:cs="Arial"/>
                <w:sz w:val="18"/>
                <w:szCs w:val="18"/>
              </w:rPr>
              <w:t xml:space="preserve">Unidad de </w:t>
            </w:r>
            <w:r w:rsidR="00B4383F" w:rsidRPr="00D0018E">
              <w:rPr>
                <w:rFonts w:ascii="Arial" w:hAnsi="Arial" w:cs="Arial"/>
                <w:sz w:val="18"/>
                <w:szCs w:val="18"/>
              </w:rPr>
              <w:t>Competencia Económica</w:t>
            </w:r>
            <w:r w:rsidRPr="00D0018E">
              <w:rPr>
                <w:rFonts w:ascii="Arial" w:hAnsi="Arial" w:cs="Arial"/>
                <w:sz w:val="18"/>
                <w:szCs w:val="18"/>
              </w:rPr>
              <w:t>.</w:t>
            </w:r>
          </w:p>
        </w:tc>
        <w:tc>
          <w:tcPr>
            <w:tcW w:w="6139" w:type="dxa"/>
            <w:gridSpan w:val="2"/>
            <w:shd w:val="clear" w:color="auto" w:fill="DBDBDB" w:themeFill="accent3" w:themeFillTint="66"/>
          </w:tcPr>
          <w:p w14:paraId="002FA36E" w14:textId="77777777" w:rsidR="00DC671E" w:rsidRPr="00D0018E" w:rsidRDefault="00DC671E" w:rsidP="00402372">
            <w:pPr>
              <w:jc w:val="both"/>
              <w:rPr>
                <w:rFonts w:ascii="Arial" w:hAnsi="Arial" w:cs="Arial"/>
                <w:b/>
                <w:sz w:val="18"/>
                <w:szCs w:val="18"/>
              </w:rPr>
            </w:pPr>
            <w:r w:rsidRPr="00D0018E">
              <w:rPr>
                <w:rFonts w:ascii="Arial" w:hAnsi="Arial" w:cs="Arial"/>
                <w:b/>
                <w:sz w:val="18"/>
                <w:szCs w:val="18"/>
              </w:rPr>
              <w:t>Título de la propuesta de regulación:</w:t>
            </w:r>
          </w:p>
          <w:p w14:paraId="3E9D757F" w14:textId="77777777" w:rsidR="00DC671E" w:rsidRPr="00D0018E" w:rsidRDefault="00DC671E" w:rsidP="00402372">
            <w:pPr>
              <w:jc w:val="both"/>
              <w:rPr>
                <w:rFonts w:ascii="Arial" w:hAnsi="Arial" w:cs="Arial"/>
                <w:b/>
                <w:sz w:val="18"/>
                <w:szCs w:val="18"/>
              </w:rPr>
            </w:pPr>
          </w:p>
          <w:p w14:paraId="682E2E5F" w14:textId="77777777" w:rsidR="00B4383F" w:rsidRPr="00D0018E" w:rsidRDefault="00B4383F" w:rsidP="00B4383F">
            <w:pPr>
              <w:jc w:val="both"/>
              <w:rPr>
                <w:rFonts w:ascii="Arial" w:hAnsi="Arial" w:cs="Arial"/>
                <w:sz w:val="18"/>
                <w:szCs w:val="18"/>
              </w:rPr>
            </w:pPr>
            <w:r w:rsidRPr="00D0018E">
              <w:rPr>
                <w:rFonts w:ascii="Arial" w:hAnsi="Arial" w:cs="Arial"/>
                <w:sz w:val="18"/>
                <w:szCs w:val="18"/>
              </w:rPr>
              <w:t xml:space="preserve">“MODIFICACIÓN AL CRITERIO TÉCNICO PARA EL CÁLCULO Y APLICACIÓN DE UN ÍNDICE CUANTITATIVO A FIN DE DETERMINAR EL GRADO DE CONCENTRACIÓN EN LOS MERCADOS Y SERVICIOS CORRESPONDIENTES A LOS SECTORES DE TELECOMUNICACIONES Y RADIODIFUSIÓN” </w:t>
            </w:r>
          </w:p>
          <w:p w14:paraId="39B16E5E" w14:textId="26D99464" w:rsidR="00DC671E" w:rsidRPr="00D0018E" w:rsidRDefault="00DC671E" w:rsidP="00402372">
            <w:pPr>
              <w:jc w:val="both"/>
              <w:rPr>
                <w:rFonts w:ascii="Arial" w:hAnsi="Arial" w:cs="Arial"/>
                <w:sz w:val="18"/>
                <w:szCs w:val="18"/>
              </w:rPr>
            </w:pPr>
          </w:p>
        </w:tc>
      </w:tr>
      <w:tr w:rsidR="00DC671E" w:rsidRPr="00D0018E" w14:paraId="6E4715C2" w14:textId="77777777" w:rsidTr="00402372">
        <w:trPr>
          <w:trHeight w:val="889"/>
        </w:trPr>
        <w:tc>
          <w:tcPr>
            <w:tcW w:w="2689" w:type="dxa"/>
            <w:vMerge w:val="restart"/>
            <w:shd w:val="clear" w:color="auto" w:fill="DBDBDB" w:themeFill="accent3" w:themeFillTint="66"/>
          </w:tcPr>
          <w:p w14:paraId="4EAA9BB6" w14:textId="77777777" w:rsidR="00DC671E" w:rsidRPr="00D0018E" w:rsidRDefault="00DC671E" w:rsidP="00402372">
            <w:pPr>
              <w:jc w:val="both"/>
              <w:rPr>
                <w:rFonts w:ascii="Arial" w:hAnsi="Arial" w:cs="Arial"/>
                <w:b/>
                <w:sz w:val="18"/>
                <w:szCs w:val="18"/>
              </w:rPr>
            </w:pPr>
            <w:r w:rsidRPr="00D0018E">
              <w:rPr>
                <w:rFonts w:ascii="Arial" w:hAnsi="Arial" w:cs="Arial"/>
                <w:b/>
                <w:sz w:val="18"/>
                <w:szCs w:val="18"/>
              </w:rPr>
              <w:t>Responsable de la propuesta de regulación:</w:t>
            </w:r>
          </w:p>
          <w:p w14:paraId="02248451" w14:textId="77777777" w:rsidR="00DC671E" w:rsidRPr="00D0018E" w:rsidRDefault="00DC671E" w:rsidP="00402372">
            <w:pPr>
              <w:rPr>
                <w:rFonts w:ascii="Arial" w:hAnsi="Arial" w:cs="Arial"/>
                <w:b/>
                <w:sz w:val="18"/>
                <w:szCs w:val="18"/>
              </w:rPr>
            </w:pPr>
          </w:p>
          <w:p w14:paraId="4DF4B9D1" w14:textId="629FA82D" w:rsidR="00DC671E" w:rsidRPr="00D0018E" w:rsidRDefault="00DC671E" w:rsidP="00402372">
            <w:pPr>
              <w:rPr>
                <w:rFonts w:ascii="Arial" w:hAnsi="Arial" w:cs="Arial"/>
                <w:sz w:val="18"/>
                <w:szCs w:val="18"/>
              </w:rPr>
            </w:pPr>
            <w:r w:rsidRPr="00D0018E">
              <w:rPr>
                <w:rFonts w:ascii="Arial" w:hAnsi="Arial" w:cs="Arial"/>
                <w:sz w:val="18"/>
                <w:szCs w:val="18"/>
              </w:rPr>
              <w:t>Nombre: J</w:t>
            </w:r>
            <w:r w:rsidR="00B4383F" w:rsidRPr="00D0018E">
              <w:rPr>
                <w:rFonts w:ascii="Arial" w:hAnsi="Arial" w:cs="Arial"/>
                <w:sz w:val="18"/>
                <w:szCs w:val="18"/>
              </w:rPr>
              <w:t>uan Manuel Hernández Pérez</w:t>
            </w:r>
          </w:p>
          <w:p w14:paraId="40896F14" w14:textId="6B2105AC" w:rsidR="00DC671E" w:rsidRPr="00D0018E" w:rsidRDefault="00DC671E" w:rsidP="00402372">
            <w:pPr>
              <w:rPr>
                <w:rFonts w:ascii="Arial" w:hAnsi="Arial" w:cs="Arial"/>
                <w:sz w:val="18"/>
                <w:szCs w:val="18"/>
              </w:rPr>
            </w:pPr>
            <w:r w:rsidRPr="00D0018E">
              <w:rPr>
                <w:rFonts w:ascii="Arial" w:hAnsi="Arial" w:cs="Arial"/>
                <w:sz w:val="18"/>
                <w:szCs w:val="18"/>
              </w:rPr>
              <w:t>Teléfono: 55-5015-4</w:t>
            </w:r>
            <w:r w:rsidR="00B4383F" w:rsidRPr="00D0018E">
              <w:rPr>
                <w:rFonts w:ascii="Arial" w:hAnsi="Arial" w:cs="Arial"/>
                <w:sz w:val="18"/>
                <w:szCs w:val="18"/>
              </w:rPr>
              <w:t>047</w:t>
            </w:r>
          </w:p>
          <w:p w14:paraId="73772F2D" w14:textId="48323772" w:rsidR="00DC671E" w:rsidRPr="00D0018E" w:rsidRDefault="00DC671E" w:rsidP="00402372">
            <w:pPr>
              <w:rPr>
                <w:rFonts w:ascii="Arial" w:hAnsi="Arial" w:cs="Arial"/>
                <w:sz w:val="18"/>
                <w:szCs w:val="18"/>
              </w:rPr>
            </w:pPr>
            <w:r w:rsidRPr="00D0018E">
              <w:rPr>
                <w:rFonts w:ascii="Arial" w:hAnsi="Arial" w:cs="Arial"/>
                <w:sz w:val="18"/>
                <w:szCs w:val="18"/>
              </w:rPr>
              <w:t xml:space="preserve">Correo electrónico: </w:t>
            </w:r>
            <w:hyperlink r:id="rId11" w:history="1">
              <w:r w:rsidR="00B4383F" w:rsidRPr="00D0018E">
                <w:rPr>
                  <w:rStyle w:val="Hipervnculo"/>
                  <w:rFonts w:ascii="Arial" w:hAnsi="Arial" w:cs="Arial"/>
                  <w:sz w:val="18"/>
                  <w:szCs w:val="18"/>
                </w:rPr>
                <w:t>manuel.hernandez@ift.org.mx</w:t>
              </w:r>
            </w:hyperlink>
            <w:r w:rsidRPr="00D0018E">
              <w:rPr>
                <w:rFonts w:ascii="Arial" w:hAnsi="Arial" w:cs="Arial"/>
                <w:sz w:val="18"/>
                <w:szCs w:val="18"/>
              </w:rPr>
              <w:t xml:space="preserve"> </w:t>
            </w:r>
          </w:p>
          <w:p w14:paraId="3E59B42E" w14:textId="77777777" w:rsidR="00DC671E" w:rsidRPr="00D0018E" w:rsidRDefault="00DC671E" w:rsidP="00402372">
            <w:pPr>
              <w:jc w:val="both"/>
              <w:rPr>
                <w:rFonts w:ascii="Arial" w:hAnsi="Arial" w:cs="Arial"/>
                <w:b/>
                <w:sz w:val="18"/>
                <w:szCs w:val="18"/>
              </w:rPr>
            </w:pPr>
          </w:p>
        </w:tc>
        <w:tc>
          <w:tcPr>
            <w:tcW w:w="3118" w:type="dxa"/>
            <w:shd w:val="clear" w:color="auto" w:fill="DBDBDB" w:themeFill="accent3" w:themeFillTint="66"/>
            <w:vAlign w:val="center"/>
          </w:tcPr>
          <w:p w14:paraId="126212AB" w14:textId="77777777" w:rsidR="00DC671E" w:rsidRPr="00D0018E" w:rsidRDefault="00DC671E" w:rsidP="00402372">
            <w:pPr>
              <w:jc w:val="both"/>
              <w:rPr>
                <w:rFonts w:ascii="Arial" w:hAnsi="Arial" w:cs="Arial"/>
                <w:b/>
                <w:sz w:val="18"/>
                <w:szCs w:val="18"/>
              </w:rPr>
            </w:pPr>
            <w:r w:rsidRPr="00D0018E">
              <w:rPr>
                <w:rFonts w:ascii="Arial" w:hAnsi="Arial" w:cs="Arial"/>
                <w:b/>
                <w:sz w:val="18"/>
                <w:szCs w:val="18"/>
              </w:rPr>
              <w:t>Fecha de elaboración del análisis de impacto regulatorio:</w:t>
            </w:r>
          </w:p>
        </w:tc>
        <w:tc>
          <w:tcPr>
            <w:tcW w:w="3021" w:type="dxa"/>
            <w:shd w:val="clear" w:color="auto" w:fill="DBDBDB" w:themeFill="accent3" w:themeFillTint="66"/>
            <w:vAlign w:val="center"/>
          </w:tcPr>
          <w:p w14:paraId="5772E84F" w14:textId="77DAB0E3" w:rsidR="00DC671E" w:rsidRPr="00D0018E" w:rsidRDefault="00B4383F" w:rsidP="00402372">
            <w:pPr>
              <w:jc w:val="center"/>
              <w:rPr>
                <w:rFonts w:ascii="Arial" w:hAnsi="Arial" w:cs="Arial"/>
                <w:sz w:val="18"/>
                <w:szCs w:val="18"/>
              </w:rPr>
            </w:pPr>
            <w:r w:rsidRPr="00D0018E">
              <w:rPr>
                <w:rFonts w:ascii="Arial" w:hAnsi="Arial" w:cs="Arial"/>
                <w:sz w:val="18"/>
                <w:szCs w:val="18"/>
              </w:rPr>
              <w:t>08</w:t>
            </w:r>
            <w:r w:rsidR="00DC671E" w:rsidRPr="00D0018E">
              <w:rPr>
                <w:rFonts w:ascii="Arial" w:hAnsi="Arial" w:cs="Arial"/>
                <w:sz w:val="18"/>
                <w:szCs w:val="18"/>
              </w:rPr>
              <w:t>/02/202</w:t>
            </w:r>
            <w:r w:rsidRPr="00D0018E">
              <w:rPr>
                <w:rFonts w:ascii="Arial" w:hAnsi="Arial" w:cs="Arial"/>
                <w:sz w:val="18"/>
                <w:szCs w:val="18"/>
              </w:rPr>
              <w:t>2</w:t>
            </w:r>
          </w:p>
        </w:tc>
      </w:tr>
      <w:tr w:rsidR="00DC671E" w:rsidRPr="00D0018E" w14:paraId="158CD76C" w14:textId="77777777" w:rsidTr="00402372">
        <w:trPr>
          <w:trHeight w:val="390"/>
        </w:trPr>
        <w:tc>
          <w:tcPr>
            <w:tcW w:w="2689" w:type="dxa"/>
            <w:vMerge/>
            <w:shd w:val="clear" w:color="auto" w:fill="DBDBDB" w:themeFill="accent3" w:themeFillTint="66"/>
          </w:tcPr>
          <w:p w14:paraId="381AA55E" w14:textId="77777777" w:rsidR="00DC671E" w:rsidRPr="00D0018E" w:rsidRDefault="00DC671E" w:rsidP="00402372">
            <w:pPr>
              <w:jc w:val="both"/>
              <w:rPr>
                <w:rFonts w:ascii="Arial" w:hAnsi="Arial" w:cs="Arial"/>
                <w:sz w:val="18"/>
                <w:szCs w:val="18"/>
              </w:rPr>
            </w:pPr>
          </w:p>
        </w:tc>
        <w:tc>
          <w:tcPr>
            <w:tcW w:w="3118" w:type="dxa"/>
            <w:shd w:val="clear" w:color="auto" w:fill="DBDBDB" w:themeFill="accent3" w:themeFillTint="66"/>
            <w:vAlign w:val="center"/>
          </w:tcPr>
          <w:p w14:paraId="7146E495" w14:textId="77777777" w:rsidR="00DC671E" w:rsidRPr="00D0018E" w:rsidRDefault="00DC671E" w:rsidP="00402372">
            <w:pPr>
              <w:jc w:val="both"/>
              <w:rPr>
                <w:rFonts w:ascii="Arial" w:hAnsi="Arial" w:cs="Arial"/>
                <w:b/>
                <w:sz w:val="18"/>
                <w:szCs w:val="18"/>
              </w:rPr>
            </w:pPr>
            <w:r w:rsidRPr="00D0018E">
              <w:rPr>
                <w:rFonts w:ascii="Arial" w:hAnsi="Arial" w:cs="Arial"/>
                <w:b/>
                <w:sz w:val="18"/>
                <w:szCs w:val="18"/>
              </w:rPr>
              <w:t>En su caso, fecha de inicio y conclusión de la consulta pública:</w:t>
            </w:r>
          </w:p>
        </w:tc>
        <w:tc>
          <w:tcPr>
            <w:tcW w:w="3021" w:type="dxa"/>
            <w:shd w:val="clear" w:color="auto" w:fill="DBDBDB" w:themeFill="accent3" w:themeFillTint="66"/>
            <w:vAlign w:val="center"/>
          </w:tcPr>
          <w:p w14:paraId="47BC1560" w14:textId="1B026479" w:rsidR="00DC671E" w:rsidRPr="00D0018E" w:rsidRDefault="009D5A20" w:rsidP="00402372">
            <w:pPr>
              <w:jc w:val="center"/>
              <w:rPr>
                <w:rFonts w:ascii="Arial" w:hAnsi="Arial" w:cs="Arial"/>
                <w:sz w:val="18"/>
                <w:szCs w:val="18"/>
              </w:rPr>
            </w:pPr>
            <w:r w:rsidRPr="00D0018E">
              <w:rPr>
                <w:rFonts w:ascii="Arial" w:hAnsi="Arial" w:cs="Arial"/>
                <w:sz w:val="18"/>
                <w:szCs w:val="18"/>
              </w:rPr>
              <w:t>01/09/2021</w:t>
            </w:r>
            <w:r w:rsidR="00B4383F" w:rsidRPr="00D0018E">
              <w:rPr>
                <w:rFonts w:ascii="Arial" w:hAnsi="Arial" w:cs="Arial"/>
                <w:sz w:val="18"/>
                <w:szCs w:val="18"/>
              </w:rPr>
              <w:t xml:space="preserve"> a </w:t>
            </w:r>
            <w:r w:rsidRPr="00D0018E">
              <w:rPr>
                <w:rFonts w:ascii="Arial" w:hAnsi="Arial" w:cs="Arial"/>
                <w:sz w:val="18"/>
                <w:szCs w:val="18"/>
              </w:rPr>
              <w:t>13/1</w:t>
            </w:r>
            <w:r w:rsidR="00A65B88">
              <w:rPr>
                <w:rFonts w:ascii="Arial" w:hAnsi="Arial" w:cs="Arial"/>
                <w:sz w:val="18"/>
                <w:szCs w:val="18"/>
              </w:rPr>
              <w:t>0</w:t>
            </w:r>
            <w:r w:rsidRPr="00D0018E">
              <w:rPr>
                <w:rFonts w:ascii="Arial" w:hAnsi="Arial" w:cs="Arial"/>
                <w:sz w:val="18"/>
                <w:szCs w:val="18"/>
              </w:rPr>
              <w:t>/2021</w:t>
            </w:r>
          </w:p>
        </w:tc>
      </w:tr>
    </w:tbl>
    <w:p w14:paraId="57311204" w14:textId="77777777" w:rsidR="00DC671E" w:rsidRPr="00D0018E" w:rsidRDefault="00DC671E" w:rsidP="00DC671E">
      <w:pPr>
        <w:spacing w:after="120" w:line="240" w:lineRule="auto"/>
        <w:jc w:val="both"/>
        <w:rPr>
          <w:rFonts w:ascii="Arial" w:hAnsi="Arial" w:cs="Arial"/>
          <w:sz w:val="18"/>
          <w:szCs w:val="18"/>
        </w:rPr>
      </w:pPr>
    </w:p>
    <w:p w14:paraId="108CFDBF" w14:textId="77777777" w:rsidR="00DC671E" w:rsidRPr="00D0018E" w:rsidRDefault="00DC671E" w:rsidP="00DC671E">
      <w:pPr>
        <w:shd w:val="clear" w:color="auto" w:fill="A8D08D" w:themeFill="accent6" w:themeFillTint="99"/>
        <w:jc w:val="both"/>
        <w:rPr>
          <w:rFonts w:ascii="Arial" w:hAnsi="Arial" w:cs="Arial"/>
          <w:b/>
          <w:sz w:val="18"/>
          <w:szCs w:val="18"/>
        </w:rPr>
      </w:pPr>
      <w:r w:rsidRPr="00D0018E">
        <w:rPr>
          <w:rFonts w:ascii="Arial" w:hAnsi="Arial" w:cs="Arial"/>
          <w:b/>
          <w:sz w:val="18"/>
          <w:szCs w:val="18"/>
        </w:rPr>
        <w:t>I. DEFINICIÓN DEL PROBLEMA Y OBJETIVOS GENERALES DE LA PROPUESTA DE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DC671E" w:rsidRPr="00D0018E" w14:paraId="269F149A" w14:textId="77777777" w:rsidTr="00402372">
        <w:tc>
          <w:tcPr>
            <w:tcW w:w="8828" w:type="dxa"/>
            <w:shd w:val="clear" w:color="auto" w:fill="FFFFFF" w:themeFill="background1"/>
          </w:tcPr>
          <w:p w14:paraId="0BEF3725" w14:textId="77777777" w:rsidR="00DC671E" w:rsidRPr="00D0018E" w:rsidRDefault="00DC671E" w:rsidP="00402372">
            <w:pPr>
              <w:shd w:val="clear" w:color="auto" w:fill="FFFFFF" w:themeFill="background1"/>
              <w:jc w:val="both"/>
              <w:rPr>
                <w:rFonts w:ascii="Arial" w:hAnsi="Arial" w:cs="Arial"/>
                <w:b/>
                <w:sz w:val="18"/>
                <w:szCs w:val="18"/>
              </w:rPr>
            </w:pPr>
            <w:r w:rsidRPr="00D0018E">
              <w:rPr>
                <w:rFonts w:ascii="Arial" w:hAnsi="Arial" w:cs="Arial"/>
                <w:b/>
                <w:sz w:val="18"/>
                <w:szCs w:val="18"/>
              </w:rPr>
              <w:t>1.- ¿Cuál es la problemática que pretende prevenir o resolver la propuesta de regulación?</w:t>
            </w:r>
          </w:p>
          <w:p w14:paraId="7323471A" w14:textId="77777777" w:rsidR="00DC671E" w:rsidRPr="00D0018E" w:rsidRDefault="00DC671E" w:rsidP="00402372">
            <w:pPr>
              <w:shd w:val="clear" w:color="auto" w:fill="FFFFFF" w:themeFill="background1"/>
              <w:jc w:val="both"/>
              <w:rPr>
                <w:rFonts w:ascii="Arial" w:hAnsi="Arial" w:cs="Arial"/>
                <w:sz w:val="18"/>
                <w:szCs w:val="18"/>
              </w:rPr>
            </w:pPr>
          </w:p>
          <w:p w14:paraId="2B6BA748" w14:textId="5BBD80D5" w:rsidR="00B4383F" w:rsidRPr="00D0018E" w:rsidRDefault="003F3B63" w:rsidP="00B4383F">
            <w:pPr>
              <w:shd w:val="clear" w:color="auto" w:fill="FFFFFF" w:themeFill="background1"/>
              <w:jc w:val="both"/>
              <w:rPr>
                <w:rFonts w:ascii="Arial" w:hAnsi="Arial" w:cs="Arial"/>
                <w:sz w:val="18"/>
                <w:szCs w:val="18"/>
              </w:rPr>
            </w:pPr>
            <w:r w:rsidRPr="00D0018E">
              <w:rPr>
                <w:rFonts w:ascii="Arial" w:hAnsi="Arial" w:cs="Arial"/>
                <w:sz w:val="18"/>
                <w:szCs w:val="18"/>
              </w:rPr>
              <w:t>La MODIFICACIÓN AL CRITERIO TÉCNICO PARA EL CÁLCULO Y APLICACIÓN DE UN ÍNDICE CUANTITATIVO A FIN DE DETERMINAR EL GRADO DE CONCENTRACIÓN EN LOS MERCADOS Y SERVICIOS CORRESPONDIENTES A LOS SECTORES DE TELECOMUNICACIONES Y RADIODIFUSIÓN (Proyecto) plantea ajustes al Criterio Técnico para la determinación del grado de concentración en los mercados y servicios correspondientes a los sectores de telecomunicaciones y radiodifusión, que tienen por objeto actualizar los umbrales del IHH y de su variación, que el Instituto tomará como referencia para identificar supuestos bajo los cuales una concentración tendría pocas probabilidades de obstaculizar, disminuir, dañar o impedir la competencia y la libre concurrencia.</w:t>
            </w:r>
          </w:p>
          <w:p w14:paraId="100452B5" w14:textId="10E5AFBD" w:rsidR="003F3B63" w:rsidRPr="00D0018E" w:rsidRDefault="003F3B63" w:rsidP="00B4383F">
            <w:pPr>
              <w:shd w:val="clear" w:color="auto" w:fill="FFFFFF" w:themeFill="background1"/>
              <w:jc w:val="both"/>
              <w:rPr>
                <w:rFonts w:ascii="Arial" w:hAnsi="Arial" w:cs="Arial"/>
                <w:sz w:val="18"/>
                <w:szCs w:val="18"/>
              </w:rPr>
            </w:pPr>
          </w:p>
          <w:p w14:paraId="2409E522" w14:textId="39751548" w:rsidR="003F3B63" w:rsidRDefault="003F3B63" w:rsidP="003F3B63">
            <w:pPr>
              <w:shd w:val="clear" w:color="auto" w:fill="FFFFFF" w:themeFill="background1"/>
              <w:jc w:val="both"/>
              <w:rPr>
                <w:rFonts w:ascii="Arial" w:hAnsi="Arial" w:cs="Arial"/>
                <w:sz w:val="18"/>
                <w:szCs w:val="18"/>
              </w:rPr>
            </w:pPr>
            <w:r w:rsidRPr="00D0018E">
              <w:rPr>
                <w:rFonts w:ascii="Arial" w:hAnsi="Arial" w:cs="Arial"/>
                <w:sz w:val="18"/>
                <w:szCs w:val="18"/>
              </w:rPr>
              <w:t xml:space="preserve">De la revisión de este índice y de la evaluación de los índices de concentración existentes en los servicios de telecomunicaciones y radiodifusión, se considera necesario un ajuste en los parámetros utilizados en el análisis e identificación de potenciales riesgos a la competencia y libre concurrencia. Esto permitirá al Instituto </w:t>
            </w:r>
            <w:r w:rsidRPr="00D0018E">
              <w:rPr>
                <w:rFonts w:ascii="Arial" w:hAnsi="Arial" w:cs="Arial"/>
                <w:b/>
                <w:sz w:val="18"/>
                <w:szCs w:val="18"/>
              </w:rPr>
              <w:t>identificar las concentraciones en las cuales es poco probable la existencia de riesgos a la competencia económica y libre concurrencia, y el ámbito de aplicación del índice y de los umbrales para notificar una concentración</w:t>
            </w:r>
            <w:r w:rsidRPr="00D0018E">
              <w:rPr>
                <w:rFonts w:ascii="Arial" w:hAnsi="Arial" w:cs="Arial"/>
                <w:sz w:val="18"/>
                <w:szCs w:val="18"/>
              </w:rPr>
              <w:t>.</w:t>
            </w:r>
          </w:p>
          <w:p w14:paraId="01437138" w14:textId="77777777" w:rsidR="004C42A8" w:rsidRPr="0028003C" w:rsidRDefault="004C42A8" w:rsidP="004C42A8">
            <w:pPr>
              <w:spacing w:before="120" w:after="120"/>
              <w:ind w:right="-1"/>
              <w:jc w:val="both"/>
              <w:rPr>
                <w:rFonts w:ascii="Arial" w:hAnsi="Arial" w:cs="Arial"/>
                <w:sz w:val="18"/>
                <w:szCs w:val="18"/>
              </w:rPr>
            </w:pPr>
            <w:r w:rsidRPr="0028003C">
              <w:rPr>
                <w:rFonts w:ascii="Arial" w:hAnsi="Arial" w:cs="Arial"/>
                <w:sz w:val="18"/>
                <w:szCs w:val="18"/>
              </w:rPr>
              <w:t>La medición del grado de concentración debe atender el principio de transparencia, tal como lo establece el artículo 13 de las Disposiciones Regulatorias de la Ley Federal de Competencia Económica para los sectores de telecomunicaciones y radiodifusión:</w:t>
            </w:r>
            <w:r w:rsidRPr="0028003C">
              <w:rPr>
                <w:sz w:val="18"/>
                <w:szCs w:val="18"/>
              </w:rPr>
              <w:footnoteReference w:id="2"/>
            </w:r>
            <w:r w:rsidRPr="0028003C">
              <w:rPr>
                <w:rFonts w:ascii="Arial" w:hAnsi="Arial" w:cs="Arial"/>
                <w:sz w:val="18"/>
                <w:szCs w:val="18"/>
              </w:rPr>
              <w:t xml:space="preserve"> </w:t>
            </w:r>
          </w:p>
          <w:p w14:paraId="2A55A154" w14:textId="11ECAD72" w:rsidR="004C42A8" w:rsidRPr="0028003C" w:rsidRDefault="004C42A8" w:rsidP="004C42A8">
            <w:pPr>
              <w:spacing w:before="120" w:after="120"/>
              <w:ind w:left="426" w:right="424" w:firstLine="1"/>
              <w:jc w:val="both"/>
              <w:rPr>
                <w:rFonts w:ascii="Arial" w:hAnsi="Arial" w:cs="Arial"/>
                <w:sz w:val="18"/>
                <w:szCs w:val="18"/>
              </w:rPr>
            </w:pPr>
            <w:r w:rsidRPr="0028003C">
              <w:rPr>
                <w:rFonts w:ascii="Arial" w:hAnsi="Arial" w:cs="Arial"/>
                <w:sz w:val="18"/>
                <w:szCs w:val="18"/>
              </w:rPr>
              <w:t>“Artículo 13. El Instituto publicará en el Diario Oficial de la Federación los métodos de cálculo para determinar el grado de concentración que exista en el mercado relevante, así como los criterios técnicos para su aplicación.”</w:t>
            </w:r>
          </w:p>
          <w:p w14:paraId="321ACA1A" w14:textId="77777777" w:rsidR="004C42A8" w:rsidRPr="0028003C" w:rsidRDefault="004C42A8" w:rsidP="004C42A8">
            <w:pPr>
              <w:spacing w:before="120" w:after="120"/>
              <w:jc w:val="both"/>
              <w:rPr>
                <w:rFonts w:ascii="Arial" w:hAnsi="Arial" w:cs="Arial"/>
                <w:sz w:val="18"/>
                <w:szCs w:val="18"/>
              </w:rPr>
            </w:pPr>
            <w:r w:rsidRPr="0028003C">
              <w:rPr>
                <w:rFonts w:ascii="Arial" w:hAnsi="Arial" w:cs="Arial"/>
                <w:sz w:val="18"/>
                <w:szCs w:val="18"/>
              </w:rPr>
              <w:t xml:space="preserve">En este sentido el 11 de abril de 2016, el DOF publicó el </w:t>
            </w:r>
            <w:r w:rsidRPr="0028003C">
              <w:rPr>
                <w:rFonts w:ascii="Arial" w:hAnsi="Arial" w:cs="Arial"/>
                <w:i/>
                <w:iCs/>
                <w:sz w:val="18"/>
                <w:szCs w:val="18"/>
              </w:rPr>
              <w:t xml:space="preserve">“ACUERDO mediante el cual el Pleno del Instituto Federal de Telecomunicaciones expide el criterio técnico para el cálculo y aplicación de un índice cuantitativo a fin de determinar el grado de concentración en los mercados y servicios correspondientes a los sectores de telecomunicaciones y radiodifusión.” </w:t>
            </w:r>
            <w:r w:rsidRPr="0028003C">
              <w:rPr>
                <w:rFonts w:ascii="Arial" w:hAnsi="Arial" w:cs="Arial"/>
                <w:sz w:val="18"/>
                <w:szCs w:val="18"/>
              </w:rPr>
              <w:t>(Criterio Técnico) donde se dio a conocer el índice que Instituto utilizaría para determinar los niveles de concentración en los mercados y servicios que éste analiza, así como los umbrales que se tomarán como indicio para las concentraciones que tienen poca probabilidad de obstaculizar, disminuir, dañar o impedir la competencia y la libre concurrencia.</w:t>
            </w:r>
          </w:p>
          <w:p w14:paraId="432C4020" w14:textId="77777777" w:rsidR="004C42A8" w:rsidRPr="0028003C" w:rsidRDefault="004C42A8" w:rsidP="004C42A8">
            <w:pPr>
              <w:pStyle w:val="Default"/>
              <w:spacing w:before="120" w:after="120" w:line="276" w:lineRule="auto"/>
              <w:ind w:right="-1"/>
              <w:jc w:val="both"/>
              <w:rPr>
                <w:rFonts w:ascii="Arial" w:eastAsiaTheme="minorHAnsi" w:hAnsi="Arial" w:cs="Arial"/>
                <w:color w:val="auto"/>
                <w:sz w:val="18"/>
                <w:szCs w:val="18"/>
                <w:lang w:eastAsia="en-US"/>
              </w:rPr>
            </w:pPr>
            <w:r w:rsidRPr="0028003C">
              <w:rPr>
                <w:rFonts w:ascii="Arial" w:eastAsiaTheme="minorHAnsi" w:hAnsi="Arial" w:cs="Arial"/>
                <w:color w:val="auto"/>
                <w:sz w:val="18"/>
                <w:szCs w:val="18"/>
                <w:lang w:eastAsia="en-US"/>
              </w:rPr>
              <w:t xml:space="preserve">Los índices u otras medidas de concentración constituyen referencias para identificar problemas potenciales de competencia y no son factores determinantes por sí mismos. Es decir, los niveles de los índices no deben </w:t>
            </w:r>
            <w:r w:rsidRPr="0028003C">
              <w:rPr>
                <w:rFonts w:ascii="Arial" w:eastAsiaTheme="minorHAnsi" w:hAnsi="Arial" w:cs="Arial"/>
                <w:color w:val="auto"/>
                <w:sz w:val="18"/>
                <w:szCs w:val="18"/>
                <w:lang w:eastAsia="en-US"/>
              </w:rPr>
              <w:lastRenderedPageBreak/>
              <w:t>considerarse como un instrumento vinculante para concluir sobre los hechos o actos analizados, sino que son parte de un análisis completo en términos de, entre otras consideraciones, barreras a la entrada, poder sustancial y efectos, incluyendo las eficiencias económicas. Así, los índices de concentración deben considerarse sólo como una herramienta que permite a la autoridad identificar las concentraciones sobre las cuales debe llevar a cabo un análisis exhaustivo. Este uso coincide con las recomendaciones de organismos internacionales especializados, como la Red Internacional de Competencia (ICN, por sus siglas en inglés).</w:t>
            </w:r>
            <w:r w:rsidRPr="0028003C">
              <w:rPr>
                <w:rFonts w:eastAsiaTheme="minorHAnsi"/>
                <w:sz w:val="18"/>
                <w:szCs w:val="18"/>
                <w:lang w:eastAsia="en-US"/>
              </w:rPr>
              <w:footnoteReference w:id="3"/>
            </w:r>
          </w:p>
          <w:p w14:paraId="42267A89" w14:textId="1548355B" w:rsidR="004C42A8" w:rsidRPr="0028003C" w:rsidRDefault="004C42A8" w:rsidP="004C42A8">
            <w:pPr>
              <w:shd w:val="clear" w:color="auto" w:fill="FFFFFF" w:themeFill="background1"/>
              <w:jc w:val="both"/>
              <w:rPr>
                <w:rFonts w:ascii="Arial" w:hAnsi="Arial" w:cs="Arial"/>
                <w:sz w:val="18"/>
                <w:szCs w:val="18"/>
              </w:rPr>
            </w:pPr>
            <w:r w:rsidRPr="0028003C">
              <w:rPr>
                <w:rFonts w:ascii="Arial" w:hAnsi="Arial" w:cs="Arial"/>
                <w:sz w:val="18"/>
                <w:szCs w:val="18"/>
              </w:rPr>
              <w:t>Por lo anterior, el índice de concentración y los criterios de aplicación que se proponen será considerado por el Instituto sólo como una referencia en el análisis en materia de competencia económica de asuntos que se tramiten en términos de la LFCE y la LFTR, sin que se le otorgue el carácter de vinculante para resolver.</w:t>
            </w:r>
          </w:p>
          <w:p w14:paraId="3E5D628B" w14:textId="20E6384E" w:rsidR="00093D70" w:rsidRPr="0028003C" w:rsidRDefault="00093D70" w:rsidP="00093D70">
            <w:pPr>
              <w:spacing w:before="120" w:after="120"/>
              <w:ind w:right="-1"/>
              <w:jc w:val="both"/>
              <w:rPr>
                <w:rFonts w:ascii="Arial" w:hAnsi="Arial" w:cs="Arial"/>
                <w:sz w:val="18"/>
                <w:szCs w:val="18"/>
              </w:rPr>
            </w:pPr>
            <w:r w:rsidRPr="0028003C">
              <w:rPr>
                <w:rFonts w:ascii="Arial" w:hAnsi="Arial" w:cs="Arial"/>
                <w:sz w:val="18"/>
                <w:szCs w:val="18"/>
              </w:rPr>
              <w:t>De la revisión de las participaciones de mercado e índices de concentración de resoluciones tomadas por la extinta CFC y el Instituto; las estructuras de competencia actuales de diversos mercados en los sectores de telecomunicaciones y radiodifusión; las posibles modificaciones que podrían experimentar las estructuras de competencia de los mercados analizados, como consecuencia de licitaciones de frecuencias del espectro radioeléctrico; y de los criterios utilizados por otras autoridades de competencia en el mundo y en México, se concluye que el IHH:</w:t>
            </w:r>
          </w:p>
          <w:p w14:paraId="796EE419" w14:textId="67F6E431" w:rsidR="00093D70" w:rsidRPr="0028003C" w:rsidRDefault="00093D70" w:rsidP="00093D70">
            <w:pPr>
              <w:pStyle w:val="Prrafodelista"/>
              <w:numPr>
                <w:ilvl w:val="0"/>
                <w:numId w:val="37"/>
              </w:numPr>
              <w:spacing w:before="120" w:after="120" w:line="276" w:lineRule="auto"/>
              <w:ind w:left="714" w:hanging="357"/>
              <w:contextualSpacing w:val="0"/>
              <w:jc w:val="both"/>
              <w:rPr>
                <w:rFonts w:ascii="Arial" w:hAnsi="Arial" w:cs="Arial"/>
                <w:sz w:val="18"/>
                <w:szCs w:val="18"/>
              </w:rPr>
            </w:pPr>
            <w:r w:rsidRPr="0028003C">
              <w:rPr>
                <w:rFonts w:ascii="Arial" w:hAnsi="Arial" w:cs="Arial"/>
                <w:sz w:val="18"/>
                <w:szCs w:val="18"/>
              </w:rPr>
              <w:t xml:space="preserve">Es un indicador adecuado del grado de concentración de mercado y el </w:t>
            </w:r>
            <m:oMath>
              <m:r>
                <m:rPr>
                  <m:sty m:val="p"/>
                </m:rPr>
                <w:rPr>
                  <w:rFonts w:ascii="Cambria Math" w:hAnsi="Cambria Math" w:cs="Arial"/>
                  <w:sz w:val="18"/>
                  <w:szCs w:val="18"/>
                </w:rPr>
                <m:t>∆IHH</m:t>
              </m:r>
            </m:oMath>
            <w:r w:rsidRPr="0028003C">
              <w:rPr>
                <w:rFonts w:ascii="Arial" w:hAnsi="Arial" w:cs="Arial"/>
                <w:sz w:val="18"/>
                <w:szCs w:val="18"/>
              </w:rPr>
              <w:t xml:space="preserve"> refleja el cambio en la concentración del mercado producto de una concentración.</w:t>
            </w:r>
          </w:p>
          <w:p w14:paraId="2E318187" w14:textId="77777777" w:rsidR="00093D70" w:rsidRPr="0028003C" w:rsidRDefault="00093D70" w:rsidP="00093D70">
            <w:pPr>
              <w:pStyle w:val="Prrafodelista"/>
              <w:numPr>
                <w:ilvl w:val="0"/>
                <w:numId w:val="37"/>
              </w:numPr>
              <w:spacing w:before="120" w:after="120" w:line="276" w:lineRule="auto"/>
              <w:ind w:left="714" w:hanging="357"/>
              <w:contextualSpacing w:val="0"/>
              <w:jc w:val="both"/>
              <w:rPr>
                <w:rFonts w:ascii="Arial" w:hAnsi="Arial" w:cs="Arial"/>
                <w:sz w:val="18"/>
                <w:szCs w:val="18"/>
              </w:rPr>
            </w:pPr>
            <w:r w:rsidRPr="0028003C">
              <w:rPr>
                <w:rFonts w:ascii="Arial" w:hAnsi="Arial" w:cs="Arial"/>
                <w:sz w:val="18"/>
                <w:szCs w:val="18"/>
              </w:rPr>
              <w:t>Al estar relacionado directamente con el índice de Lerner, el IHH tiene un sustento microeconómico y puede interpretarse como una medida de la capacidad de los participantes para fijar precios.</w:t>
            </w:r>
          </w:p>
          <w:p w14:paraId="3C42E7FE" w14:textId="77777777" w:rsidR="00093D70" w:rsidRPr="0028003C" w:rsidRDefault="00093D70" w:rsidP="00093D70">
            <w:pPr>
              <w:pStyle w:val="Prrafodelista"/>
              <w:numPr>
                <w:ilvl w:val="0"/>
                <w:numId w:val="37"/>
              </w:numPr>
              <w:spacing w:before="120" w:after="120" w:line="276" w:lineRule="auto"/>
              <w:ind w:left="714" w:hanging="357"/>
              <w:contextualSpacing w:val="0"/>
              <w:jc w:val="both"/>
              <w:rPr>
                <w:rFonts w:ascii="Arial" w:hAnsi="Arial" w:cs="Arial"/>
                <w:sz w:val="18"/>
                <w:szCs w:val="18"/>
              </w:rPr>
            </w:pPr>
            <w:r w:rsidRPr="0028003C">
              <w:rPr>
                <w:rFonts w:ascii="Arial" w:hAnsi="Arial" w:cs="Arial"/>
                <w:sz w:val="18"/>
                <w:szCs w:val="18"/>
              </w:rPr>
              <w:t xml:space="preserve">En la mayoría de países se utiliza el IHH y el </w:t>
            </w:r>
            <m:oMath>
              <m:r>
                <m:rPr>
                  <m:sty m:val="p"/>
                </m:rPr>
                <w:rPr>
                  <w:rFonts w:ascii="Cambria Math" w:hAnsi="Cambria Math" w:cs="Arial"/>
                  <w:sz w:val="18"/>
                  <w:szCs w:val="18"/>
                </w:rPr>
                <m:t>∆IHH</m:t>
              </m:r>
            </m:oMath>
            <w:r w:rsidRPr="0028003C">
              <w:rPr>
                <w:rFonts w:ascii="Arial" w:hAnsi="Arial" w:cs="Arial"/>
                <w:sz w:val="18"/>
                <w:szCs w:val="18"/>
              </w:rPr>
              <w:t xml:space="preserve"> como indicadores del grado de concentración en los mercados. Dicho índice se utiliza como una referencia para identificar concentraciones con bajas probabilidades de afectar la competencia.</w:t>
            </w:r>
          </w:p>
          <w:p w14:paraId="6DCACDD8" w14:textId="77777777" w:rsidR="00093D70" w:rsidRPr="0028003C" w:rsidRDefault="00093D70" w:rsidP="00093D70">
            <w:pPr>
              <w:pStyle w:val="Prrafodelista"/>
              <w:numPr>
                <w:ilvl w:val="0"/>
                <w:numId w:val="37"/>
              </w:numPr>
              <w:spacing w:before="120" w:after="120" w:line="276" w:lineRule="auto"/>
              <w:ind w:left="714" w:hanging="357"/>
              <w:contextualSpacing w:val="0"/>
              <w:jc w:val="both"/>
              <w:rPr>
                <w:rFonts w:ascii="Arial" w:hAnsi="Arial" w:cs="Arial"/>
                <w:sz w:val="18"/>
                <w:szCs w:val="18"/>
              </w:rPr>
            </w:pPr>
            <w:r w:rsidRPr="0028003C">
              <w:rPr>
                <w:rFonts w:ascii="Arial" w:hAnsi="Arial" w:cs="Arial"/>
                <w:sz w:val="18"/>
                <w:szCs w:val="18"/>
              </w:rPr>
              <w:t>La mayoría de las autoridades de competencia en el mundo establecen umbrales del IHH como referencia para clasificar los mercados, en función del grado de concentración que tiene cada uno de ellos.</w:t>
            </w:r>
          </w:p>
          <w:p w14:paraId="1847B7C1" w14:textId="77777777" w:rsidR="00093D70" w:rsidRPr="0028003C" w:rsidRDefault="00093D70" w:rsidP="00093D70">
            <w:pPr>
              <w:pStyle w:val="Prrafodelista"/>
              <w:numPr>
                <w:ilvl w:val="0"/>
                <w:numId w:val="37"/>
              </w:numPr>
              <w:spacing w:before="120" w:after="120" w:line="276" w:lineRule="auto"/>
              <w:ind w:left="714" w:hanging="357"/>
              <w:contextualSpacing w:val="0"/>
              <w:jc w:val="both"/>
              <w:rPr>
                <w:rFonts w:ascii="Arial" w:hAnsi="Arial" w:cs="Arial"/>
                <w:sz w:val="18"/>
                <w:szCs w:val="18"/>
              </w:rPr>
            </w:pPr>
            <w:r w:rsidRPr="0028003C">
              <w:rPr>
                <w:rFonts w:ascii="Arial" w:hAnsi="Arial" w:cs="Arial"/>
                <w:sz w:val="18"/>
                <w:szCs w:val="18"/>
              </w:rPr>
              <w:t xml:space="preserve">Las agencias de competencia económica establecen criterios basados en el IHH y el </w:t>
            </w:r>
            <m:oMath>
              <m:r>
                <m:rPr>
                  <m:sty m:val="p"/>
                </m:rPr>
                <w:rPr>
                  <w:rFonts w:ascii="Cambria Math" w:hAnsi="Cambria Math" w:cs="Arial"/>
                  <w:sz w:val="18"/>
                  <w:szCs w:val="18"/>
                </w:rPr>
                <m:t>∆IHH</m:t>
              </m:r>
            </m:oMath>
            <w:r w:rsidRPr="0028003C">
              <w:rPr>
                <w:rFonts w:ascii="Arial" w:hAnsi="Arial" w:cs="Arial"/>
                <w:sz w:val="18"/>
                <w:szCs w:val="18"/>
              </w:rPr>
              <w:t xml:space="preserve"> con los siguientes objetivos i) demarcar las situaciones en las que no amerita un análisis profundo por parte de la autoridad respecto a las concentraciones notificadas, ii) establecer un nivel de concentración a partir del cual la autoridad hará una revisión más estricta de las concentraciones, y </w:t>
            </w:r>
            <w:proofErr w:type="spellStart"/>
            <w:r w:rsidRPr="0028003C">
              <w:rPr>
                <w:rFonts w:ascii="Arial" w:hAnsi="Arial" w:cs="Arial"/>
                <w:sz w:val="18"/>
                <w:szCs w:val="18"/>
              </w:rPr>
              <w:t>iii</w:t>
            </w:r>
            <w:proofErr w:type="spellEnd"/>
            <w:r w:rsidRPr="0028003C">
              <w:rPr>
                <w:rFonts w:ascii="Arial" w:hAnsi="Arial" w:cs="Arial"/>
                <w:sz w:val="18"/>
                <w:szCs w:val="18"/>
              </w:rPr>
              <w:t xml:space="preserve">) medir cuantitativamente, a través del </w:t>
            </w:r>
            <m:oMath>
              <m:r>
                <m:rPr>
                  <m:sty m:val="p"/>
                </m:rPr>
                <w:rPr>
                  <w:rFonts w:ascii="Cambria Math" w:hAnsi="Cambria Math" w:cs="Arial"/>
                  <w:sz w:val="18"/>
                  <w:szCs w:val="18"/>
                </w:rPr>
                <m:t>∆IHH</m:t>
              </m:r>
            </m:oMath>
            <w:r w:rsidRPr="0028003C">
              <w:rPr>
                <w:rFonts w:ascii="Arial" w:hAnsi="Arial" w:cs="Arial"/>
                <w:sz w:val="18"/>
                <w:szCs w:val="18"/>
              </w:rPr>
              <w:t>, el impacto de una concentración en la estructura del mercado o del sector.</w:t>
            </w:r>
          </w:p>
          <w:p w14:paraId="12612A54" w14:textId="77777777" w:rsidR="00093D70" w:rsidRPr="0028003C" w:rsidRDefault="00093D70" w:rsidP="00093D70">
            <w:pPr>
              <w:pStyle w:val="Prrafodelista"/>
              <w:numPr>
                <w:ilvl w:val="0"/>
                <w:numId w:val="37"/>
              </w:numPr>
              <w:spacing w:before="120" w:after="120" w:line="276" w:lineRule="auto"/>
              <w:ind w:left="714" w:hanging="357"/>
              <w:contextualSpacing w:val="0"/>
              <w:jc w:val="both"/>
              <w:rPr>
                <w:rFonts w:ascii="Arial" w:hAnsi="Arial" w:cs="Arial"/>
                <w:sz w:val="18"/>
                <w:szCs w:val="18"/>
              </w:rPr>
            </w:pPr>
            <w:r w:rsidRPr="0028003C">
              <w:rPr>
                <w:rFonts w:ascii="Arial" w:hAnsi="Arial" w:cs="Arial"/>
                <w:sz w:val="18"/>
                <w:szCs w:val="18"/>
              </w:rPr>
              <w:t xml:space="preserve">Los mercados de los sectores de telecomunicaciones y radiodifusión se caracterizan por ser altamente concentrados. </w:t>
            </w:r>
          </w:p>
          <w:p w14:paraId="34A1895F" w14:textId="77777777" w:rsidR="00093D70" w:rsidRPr="0028003C" w:rsidRDefault="00093D70" w:rsidP="00093D70">
            <w:pPr>
              <w:pStyle w:val="Prrafodelista"/>
              <w:numPr>
                <w:ilvl w:val="0"/>
                <w:numId w:val="37"/>
              </w:numPr>
              <w:spacing w:before="120" w:after="120" w:line="276" w:lineRule="auto"/>
              <w:ind w:left="714" w:hanging="357"/>
              <w:contextualSpacing w:val="0"/>
              <w:jc w:val="both"/>
              <w:rPr>
                <w:rFonts w:ascii="Arial" w:hAnsi="Arial" w:cs="Arial"/>
                <w:sz w:val="18"/>
                <w:szCs w:val="18"/>
              </w:rPr>
            </w:pPr>
            <w:r w:rsidRPr="0028003C">
              <w:rPr>
                <w:rFonts w:ascii="Arial" w:hAnsi="Arial" w:cs="Arial"/>
                <w:sz w:val="18"/>
                <w:szCs w:val="18"/>
              </w:rPr>
              <w:t>El IHH calculado en los asuntos no autorizados o con opinión no favorable, se ubica en un rango de 2,245 a 10,000 puntos.</w:t>
            </w:r>
          </w:p>
          <w:p w14:paraId="341FC579" w14:textId="77777777" w:rsidR="00093D70" w:rsidRPr="0028003C" w:rsidRDefault="00093D70" w:rsidP="00093D70">
            <w:pPr>
              <w:pStyle w:val="Prrafodelista"/>
              <w:numPr>
                <w:ilvl w:val="0"/>
                <w:numId w:val="37"/>
              </w:numPr>
              <w:spacing w:before="120" w:after="120" w:line="276" w:lineRule="auto"/>
              <w:ind w:right="-1"/>
              <w:contextualSpacing w:val="0"/>
              <w:jc w:val="both"/>
              <w:rPr>
                <w:rFonts w:ascii="Arial" w:hAnsi="Arial" w:cs="Arial"/>
                <w:sz w:val="18"/>
                <w:szCs w:val="18"/>
              </w:rPr>
            </w:pPr>
            <w:r w:rsidRPr="0028003C">
              <w:rPr>
                <w:rFonts w:ascii="Arial" w:hAnsi="Arial" w:cs="Arial"/>
                <w:sz w:val="18"/>
                <w:szCs w:val="18"/>
              </w:rPr>
              <w:t>En el sector de telecomunicaciones, los niveles de concentración se mantienen elevados por encima de los 3,000 puntos. Además, no se han rechazado operaciones en las que el agente económico resultante de la operación tiene el 35% o menos de participación de mercado,</w:t>
            </w:r>
          </w:p>
          <w:p w14:paraId="41E78321" w14:textId="77777777" w:rsidR="00093D70" w:rsidRPr="0028003C" w:rsidRDefault="00093D70" w:rsidP="00093D70">
            <w:pPr>
              <w:pStyle w:val="Prrafodelista"/>
              <w:numPr>
                <w:ilvl w:val="0"/>
                <w:numId w:val="37"/>
              </w:numPr>
              <w:spacing w:before="120" w:after="120" w:line="276" w:lineRule="auto"/>
              <w:ind w:left="714" w:right="-1" w:hanging="357"/>
              <w:contextualSpacing w:val="0"/>
              <w:jc w:val="both"/>
              <w:rPr>
                <w:rFonts w:ascii="Arial" w:hAnsi="Arial" w:cs="Arial"/>
                <w:sz w:val="18"/>
                <w:szCs w:val="18"/>
              </w:rPr>
            </w:pPr>
            <w:r w:rsidRPr="0028003C">
              <w:rPr>
                <w:rFonts w:ascii="Arial" w:hAnsi="Arial" w:cs="Arial"/>
                <w:sz w:val="18"/>
                <w:szCs w:val="18"/>
              </w:rPr>
              <w:t xml:space="preserve">En el sector de radiodifusión, los mercados experimentan menores grados de concentración y están disminuyendo como consecuencias de los procesos de licitación; hay mercados en los que el grado de concentración se ubica por debajo de los 2,000 puntos; en promedio, el IHH en los mercados en la banda FM se ubica en alrededor de los 2,700 puntos. Además, para trámites regulatorios y para </w:t>
            </w:r>
            <w:r w:rsidRPr="0028003C">
              <w:rPr>
                <w:rFonts w:ascii="Arial" w:hAnsi="Arial" w:cs="Arial"/>
                <w:sz w:val="18"/>
                <w:szCs w:val="18"/>
              </w:rPr>
              <w:lastRenderedPageBreak/>
              <w:t xml:space="preserve">la participación en licitaciones, en general no se han rechazado operaciones en las que los agentes económicos tienen el 30% o menos de participación en el mercado. </w:t>
            </w:r>
          </w:p>
          <w:p w14:paraId="699E7076" w14:textId="77777777" w:rsidR="00093D70" w:rsidRPr="0028003C" w:rsidRDefault="00093D70" w:rsidP="00093D70">
            <w:pPr>
              <w:pStyle w:val="Prrafodelista"/>
              <w:numPr>
                <w:ilvl w:val="0"/>
                <w:numId w:val="37"/>
              </w:numPr>
              <w:spacing w:before="120" w:after="120" w:line="276" w:lineRule="auto"/>
              <w:ind w:right="-1"/>
              <w:jc w:val="both"/>
              <w:rPr>
                <w:rFonts w:ascii="Arial" w:hAnsi="Arial" w:cs="Arial"/>
                <w:sz w:val="18"/>
                <w:szCs w:val="18"/>
              </w:rPr>
            </w:pPr>
            <w:r w:rsidRPr="0028003C">
              <w:rPr>
                <w:rFonts w:ascii="Arial" w:hAnsi="Arial" w:cs="Arial"/>
                <w:sz w:val="18"/>
                <w:szCs w:val="18"/>
              </w:rPr>
              <w:t>Las licitaciones implementadas por el Instituto y las que se prevén llevar a cabo pueden cambiar la estructura en los mercados de, principalmente, el sector de radiodifusión, por lo que el valor superior del IHH calculado para mercados moderadamente concentrados y el valor inferior de ese índice para mercados altamente concentrados, actualmente en 3,000 puntos, requeriría reducirse a 2,500.</w:t>
            </w:r>
          </w:p>
          <w:p w14:paraId="7E4D5926" w14:textId="059D092A" w:rsidR="00093D70" w:rsidRPr="0028003C" w:rsidRDefault="00093D70" w:rsidP="00093D70">
            <w:pPr>
              <w:pStyle w:val="Prrafodelista"/>
              <w:numPr>
                <w:ilvl w:val="0"/>
                <w:numId w:val="37"/>
              </w:numPr>
              <w:spacing w:before="120" w:after="120" w:line="276" w:lineRule="auto"/>
              <w:ind w:right="-1"/>
              <w:jc w:val="both"/>
              <w:rPr>
                <w:rFonts w:ascii="Arial" w:hAnsi="Arial" w:cs="Arial"/>
                <w:sz w:val="18"/>
                <w:szCs w:val="18"/>
              </w:rPr>
            </w:pPr>
            <w:r w:rsidRPr="0028003C">
              <w:rPr>
                <w:rFonts w:ascii="Arial" w:hAnsi="Arial" w:cs="Arial"/>
                <w:sz w:val="18"/>
                <w:szCs w:val="18"/>
              </w:rPr>
              <w:t>Además, el umbral del 35% que se identifica en el Artículo 7 del Criterio Técnico podría reducirse para el caso del sector de radiodifusión a 30%.</w:t>
            </w:r>
          </w:p>
          <w:p w14:paraId="6BC637DF" w14:textId="708529B6" w:rsidR="00093D70" w:rsidRPr="0028003C" w:rsidRDefault="00093D70" w:rsidP="00093D70">
            <w:pPr>
              <w:spacing w:before="120" w:after="120"/>
              <w:ind w:right="-1"/>
              <w:jc w:val="both"/>
              <w:rPr>
                <w:rFonts w:ascii="Arial" w:hAnsi="Arial" w:cs="Arial"/>
                <w:sz w:val="18"/>
                <w:szCs w:val="18"/>
              </w:rPr>
            </w:pPr>
            <w:r w:rsidRPr="0028003C">
              <w:rPr>
                <w:rFonts w:ascii="Arial" w:hAnsi="Arial" w:cs="Arial"/>
                <w:sz w:val="18"/>
                <w:szCs w:val="18"/>
              </w:rPr>
              <w:t xml:space="preserve">Por lo tanto, se proponen los siguientes </w:t>
            </w:r>
            <w:r w:rsidRPr="0028003C">
              <w:rPr>
                <w:rFonts w:ascii="Arial" w:hAnsi="Arial" w:cs="Arial"/>
                <w:b/>
                <w:bCs/>
                <w:sz w:val="18"/>
                <w:szCs w:val="18"/>
              </w:rPr>
              <w:t xml:space="preserve">Criterios de aplicación del IHH y el </w:t>
            </w:r>
            <m:oMath>
              <m:r>
                <m:rPr>
                  <m:sty m:val="b"/>
                </m:rPr>
                <w:rPr>
                  <w:rFonts w:ascii="Cambria Math" w:hAnsi="Cambria Math" w:cs="Arial"/>
                  <w:sz w:val="18"/>
                  <w:szCs w:val="18"/>
                </w:rPr>
                <m:t>∆IHH</m:t>
              </m:r>
            </m:oMath>
          </w:p>
          <w:p w14:paraId="2E5A5C06" w14:textId="77777777" w:rsidR="00093D70" w:rsidRPr="0028003C" w:rsidRDefault="00093D70" w:rsidP="00093D70">
            <w:pPr>
              <w:pStyle w:val="Default"/>
              <w:spacing w:before="120" w:after="120" w:line="276" w:lineRule="auto"/>
              <w:ind w:right="-1"/>
              <w:jc w:val="both"/>
              <w:rPr>
                <w:rFonts w:ascii="Arial" w:eastAsiaTheme="minorHAnsi" w:hAnsi="Arial" w:cs="Arial"/>
                <w:color w:val="auto"/>
                <w:sz w:val="18"/>
                <w:szCs w:val="18"/>
                <w:lang w:eastAsia="en-US"/>
              </w:rPr>
            </w:pPr>
            <w:r w:rsidRPr="0028003C">
              <w:rPr>
                <w:rFonts w:ascii="Arial" w:eastAsiaTheme="minorHAnsi" w:hAnsi="Arial" w:cs="Arial"/>
                <w:color w:val="auto"/>
                <w:sz w:val="18"/>
                <w:szCs w:val="18"/>
                <w:lang w:eastAsia="en-US"/>
              </w:rPr>
              <w:t>El Instituto considerará que es poco probable que una operación, incluyendo las concentraciones, tiene por objeto o efecto obstaculizar, disminuir, dañar o impedir la competencia y la libre concurrencia, cuando posterior a la operación suceda alguna de las siguientes situaciones:</w:t>
            </w:r>
          </w:p>
          <w:p w14:paraId="5B892F50" w14:textId="77777777" w:rsidR="00093D70" w:rsidRPr="0028003C" w:rsidRDefault="00093D70" w:rsidP="00093D70">
            <w:pPr>
              <w:pStyle w:val="Default"/>
              <w:numPr>
                <w:ilvl w:val="0"/>
                <w:numId w:val="30"/>
              </w:numPr>
              <w:spacing w:before="120" w:after="120" w:line="276" w:lineRule="auto"/>
              <w:ind w:left="426" w:hanging="357"/>
              <w:jc w:val="both"/>
              <w:rPr>
                <w:rFonts w:ascii="Arial" w:eastAsiaTheme="minorHAnsi" w:hAnsi="Arial" w:cs="Arial"/>
                <w:color w:val="auto"/>
                <w:sz w:val="18"/>
                <w:szCs w:val="18"/>
                <w:lang w:eastAsia="en-US"/>
              </w:rPr>
            </w:pPr>
            <w:r w:rsidRPr="0028003C">
              <w:rPr>
                <w:rFonts w:ascii="Arial" w:eastAsiaTheme="minorHAnsi" w:hAnsi="Arial" w:cs="Arial"/>
                <w:color w:val="auto"/>
                <w:sz w:val="18"/>
                <w:szCs w:val="18"/>
                <w:lang w:eastAsia="en-US"/>
              </w:rPr>
              <w:t xml:space="preserve">El grado de concentración sea bajo: IHH </w:t>
            </w:r>
            <m:oMath>
              <m:r>
                <m:rPr>
                  <m:sty m:val="p"/>
                </m:rPr>
                <w:rPr>
                  <w:rFonts w:ascii="Cambria Math" w:eastAsiaTheme="minorHAnsi" w:hAnsi="Cambria Math" w:cs="Arial"/>
                  <w:color w:val="auto"/>
                  <w:sz w:val="18"/>
                  <w:szCs w:val="18"/>
                  <w:lang w:eastAsia="en-US"/>
                </w:rPr>
                <m:t>≤</m:t>
              </m:r>
            </m:oMath>
            <w:r w:rsidRPr="0028003C">
              <w:rPr>
                <w:rFonts w:ascii="Arial" w:eastAsiaTheme="minorHAnsi" w:hAnsi="Arial" w:cs="Arial"/>
                <w:color w:val="auto"/>
                <w:sz w:val="18"/>
                <w:szCs w:val="18"/>
                <w:lang w:eastAsia="en-US"/>
              </w:rPr>
              <w:t xml:space="preserve"> 2,000 puntos;</w:t>
            </w:r>
          </w:p>
          <w:p w14:paraId="38E907CC" w14:textId="77777777" w:rsidR="00093D70" w:rsidRPr="0028003C" w:rsidRDefault="00093D70" w:rsidP="00093D70">
            <w:pPr>
              <w:pStyle w:val="Default"/>
              <w:numPr>
                <w:ilvl w:val="0"/>
                <w:numId w:val="30"/>
              </w:numPr>
              <w:spacing w:before="120" w:after="120" w:line="276" w:lineRule="auto"/>
              <w:ind w:left="426" w:hanging="357"/>
              <w:jc w:val="both"/>
              <w:rPr>
                <w:rFonts w:ascii="Arial" w:eastAsiaTheme="minorHAnsi" w:hAnsi="Arial" w:cs="Arial"/>
                <w:color w:val="auto"/>
                <w:sz w:val="18"/>
                <w:szCs w:val="18"/>
                <w:lang w:eastAsia="en-US"/>
              </w:rPr>
            </w:pPr>
            <w:r w:rsidRPr="0028003C">
              <w:rPr>
                <w:rFonts w:ascii="Arial" w:eastAsiaTheme="minorHAnsi" w:hAnsi="Arial" w:cs="Arial"/>
                <w:color w:val="auto"/>
                <w:sz w:val="18"/>
                <w:szCs w:val="18"/>
                <w:lang w:eastAsia="en-US"/>
              </w:rPr>
              <w:t xml:space="preserve">El grado de concentración sea moderado: 2,000 &lt; IHH </w:t>
            </w:r>
            <m:oMath>
              <m:r>
                <m:rPr>
                  <m:sty m:val="p"/>
                </m:rPr>
                <w:rPr>
                  <w:rFonts w:ascii="Cambria Math" w:eastAsiaTheme="minorHAnsi" w:hAnsi="Cambria Math" w:cs="Arial"/>
                  <w:color w:val="auto"/>
                  <w:sz w:val="18"/>
                  <w:szCs w:val="18"/>
                  <w:lang w:eastAsia="en-US"/>
                </w:rPr>
                <m:t>≤</m:t>
              </m:r>
            </m:oMath>
            <w:r w:rsidRPr="0028003C">
              <w:rPr>
                <w:rFonts w:ascii="Arial" w:eastAsiaTheme="minorHAnsi" w:hAnsi="Arial" w:cs="Arial"/>
                <w:color w:val="auto"/>
                <w:sz w:val="18"/>
                <w:szCs w:val="18"/>
                <w:lang w:eastAsia="en-US"/>
              </w:rPr>
              <w:t xml:space="preserve"> 2,500, y </w:t>
            </w:r>
            <m:oMath>
              <m:r>
                <m:rPr>
                  <m:sty m:val="p"/>
                </m:rPr>
                <w:rPr>
                  <w:rFonts w:ascii="Cambria Math" w:eastAsiaTheme="minorHAnsi" w:hAnsi="Cambria Math" w:cs="Arial"/>
                  <w:color w:val="auto"/>
                  <w:sz w:val="18"/>
                  <w:szCs w:val="18"/>
                  <w:lang w:eastAsia="en-US"/>
                </w:rPr>
                <m:t>∆IHH</m:t>
              </m:r>
            </m:oMath>
            <w:r w:rsidRPr="0028003C">
              <w:rPr>
                <w:rFonts w:ascii="Arial" w:eastAsiaTheme="minorHAnsi" w:hAnsi="Arial" w:cs="Arial"/>
                <w:color w:val="auto"/>
                <w:sz w:val="18"/>
                <w:szCs w:val="18"/>
                <w:lang w:eastAsia="en-US"/>
              </w:rPr>
              <w:t xml:space="preserve"> </w:t>
            </w:r>
            <m:oMath>
              <m:r>
                <m:rPr>
                  <m:sty m:val="p"/>
                </m:rPr>
                <w:rPr>
                  <w:rFonts w:ascii="Cambria Math" w:eastAsiaTheme="minorHAnsi" w:hAnsi="Cambria Math" w:cs="Arial"/>
                  <w:color w:val="auto"/>
                  <w:sz w:val="18"/>
                  <w:szCs w:val="18"/>
                  <w:lang w:eastAsia="en-US"/>
                </w:rPr>
                <m:t>≤</m:t>
              </m:r>
            </m:oMath>
            <w:r w:rsidRPr="0028003C">
              <w:rPr>
                <w:rFonts w:ascii="Arial" w:eastAsiaTheme="minorHAnsi" w:hAnsi="Arial" w:cs="Arial"/>
                <w:color w:val="auto"/>
                <w:sz w:val="18"/>
                <w:szCs w:val="18"/>
                <w:lang w:eastAsia="en-US"/>
              </w:rPr>
              <w:t xml:space="preserve"> 150 puntos, o</w:t>
            </w:r>
          </w:p>
          <w:p w14:paraId="5EDD00FD" w14:textId="77777777" w:rsidR="00093D70" w:rsidRPr="0028003C" w:rsidRDefault="00093D70" w:rsidP="00093D70">
            <w:pPr>
              <w:pStyle w:val="Default"/>
              <w:numPr>
                <w:ilvl w:val="0"/>
                <w:numId w:val="30"/>
              </w:numPr>
              <w:spacing w:before="120" w:after="120" w:line="276" w:lineRule="auto"/>
              <w:ind w:left="426" w:right="-1"/>
              <w:jc w:val="both"/>
              <w:rPr>
                <w:rFonts w:ascii="Arial" w:eastAsiaTheme="minorHAnsi" w:hAnsi="Arial" w:cs="Arial"/>
                <w:color w:val="auto"/>
                <w:sz w:val="18"/>
                <w:szCs w:val="18"/>
                <w:lang w:eastAsia="en-US"/>
              </w:rPr>
            </w:pPr>
            <w:r w:rsidRPr="0028003C">
              <w:rPr>
                <w:rFonts w:ascii="Arial" w:eastAsiaTheme="minorHAnsi" w:hAnsi="Arial" w:cs="Arial"/>
                <w:color w:val="auto"/>
                <w:sz w:val="18"/>
                <w:szCs w:val="18"/>
                <w:lang w:eastAsia="en-US"/>
              </w:rPr>
              <w:t xml:space="preserve">El grado de concentración sea elevado: IHH &gt; 2,500, y </w:t>
            </w:r>
            <m:oMath>
              <m:r>
                <m:rPr>
                  <m:sty m:val="p"/>
                </m:rPr>
                <w:rPr>
                  <w:rFonts w:ascii="Cambria Math" w:eastAsiaTheme="minorHAnsi" w:hAnsi="Cambria Math" w:cs="Arial"/>
                  <w:color w:val="auto"/>
                  <w:sz w:val="18"/>
                  <w:szCs w:val="18"/>
                  <w:lang w:eastAsia="en-US"/>
                </w:rPr>
                <m:t>∆IHH</m:t>
              </m:r>
            </m:oMath>
            <w:r w:rsidRPr="0028003C">
              <w:rPr>
                <w:rFonts w:ascii="Arial" w:eastAsiaTheme="minorHAnsi" w:hAnsi="Arial" w:cs="Arial"/>
                <w:color w:val="auto"/>
                <w:sz w:val="18"/>
                <w:szCs w:val="18"/>
                <w:lang w:eastAsia="en-US"/>
              </w:rPr>
              <w:t xml:space="preserve"> </w:t>
            </w:r>
            <m:oMath>
              <m:r>
                <m:rPr>
                  <m:sty m:val="p"/>
                </m:rPr>
                <w:rPr>
                  <w:rFonts w:ascii="Cambria Math" w:eastAsiaTheme="minorHAnsi" w:hAnsi="Cambria Math" w:cs="Arial"/>
                  <w:color w:val="auto"/>
                  <w:sz w:val="18"/>
                  <w:szCs w:val="18"/>
                  <w:lang w:eastAsia="en-US"/>
                </w:rPr>
                <m:t>≤</m:t>
              </m:r>
            </m:oMath>
            <w:r w:rsidRPr="0028003C">
              <w:rPr>
                <w:rFonts w:ascii="Arial" w:eastAsiaTheme="minorHAnsi" w:hAnsi="Arial" w:cs="Arial"/>
                <w:color w:val="auto"/>
                <w:sz w:val="18"/>
                <w:szCs w:val="18"/>
                <w:lang w:eastAsia="en-US"/>
              </w:rPr>
              <w:t xml:space="preserve"> 100 puntos.</w:t>
            </w:r>
          </w:p>
          <w:p w14:paraId="5F7BC89E" w14:textId="77777777" w:rsidR="00093D70" w:rsidRPr="0028003C" w:rsidRDefault="00093D70" w:rsidP="00093D70">
            <w:pPr>
              <w:spacing w:before="120" w:after="120"/>
              <w:ind w:right="-1"/>
              <w:jc w:val="both"/>
              <w:rPr>
                <w:rFonts w:ascii="Arial" w:hAnsi="Arial" w:cs="Arial"/>
                <w:sz w:val="18"/>
                <w:szCs w:val="18"/>
              </w:rPr>
            </w:pPr>
            <w:r w:rsidRPr="0028003C">
              <w:rPr>
                <w:rFonts w:ascii="Arial" w:hAnsi="Arial" w:cs="Arial"/>
                <w:sz w:val="18"/>
                <w:szCs w:val="18"/>
              </w:rPr>
              <w:t xml:space="preserve">Aun cuando una operación implique valores del IHH y de la  </w:t>
            </w:r>
            <m:oMath>
              <m:r>
                <m:rPr>
                  <m:sty m:val="p"/>
                </m:rPr>
                <w:rPr>
                  <w:rFonts w:ascii="Cambria Math" w:hAnsi="Cambria Math" w:cs="Arial"/>
                  <w:sz w:val="18"/>
                  <w:szCs w:val="18"/>
                </w:rPr>
                <m:t>∆IHH</m:t>
              </m:r>
            </m:oMath>
            <w:r w:rsidRPr="0028003C">
              <w:rPr>
                <w:rFonts w:ascii="Arial" w:hAnsi="Arial" w:cs="Arial"/>
                <w:sz w:val="18"/>
                <w:szCs w:val="18"/>
              </w:rPr>
              <w:t xml:space="preserve"> que se ubiquen dentro de los umbrales anteriores, el Instituto podrá considerar que existen potenciales riesgos de que ésta tiene por objeto o efecto obstaculizar, disminuir, dañar o impedir la competencia y la libre concurrencia, si sucede una o varias de las siguientes circunstancias:</w:t>
            </w:r>
          </w:p>
          <w:p w14:paraId="2ACC4604" w14:textId="77777777" w:rsidR="00093D70" w:rsidRPr="0028003C" w:rsidRDefault="00093D70" w:rsidP="00093D70">
            <w:pPr>
              <w:pStyle w:val="Prrafodelista"/>
              <w:numPr>
                <w:ilvl w:val="0"/>
                <w:numId w:val="34"/>
              </w:numPr>
              <w:autoSpaceDE w:val="0"/>
              <w:autoSpaceDN w:val="0"/>
              <w:adjustRightInd w:val="0"/>
              <w:spacing w:before="120" w:after="120" w:line="276" w:lineRule="auto"/>
              <w:ind w:left="426" w:hanging="357"/>
              <w:contextualSpacing w:val="0"/>
              <w:jc w:val="both"/>
              <w:rPr>
                <w:rFonts w:ascii="Arial" w:hAnsi="Arial" w:cs="Arial"/>
                <w:sz w:val="18"/>
                <w:szCs w:val="18"/>
              </w:rPr>
            </w:pPr>
            <w:r w:rsidRPr="0028003C">
              <w:rPr>
                <w:rFonts w:ascii="Arial" w:hAnsi="Arial" w:cs="Arial"/>
                <w:sz w:val="18"/>
                <w:szCs w:val="18"/>
              </w:rPr>
              <w:t>Los agentes económicos involucrados en la operación tengan o puedan llegar a adquirir poder sustancial en mercados relacionados;</w:t>
            </w:r>
          </w:p>
          <w:p w14:paraId="79A6E184" w14:textId="77777777" w:rsidR="00093D70" w:rsidRPr="0028003C" w:rsidRDefault="00093D70" w:rsidP="00093D70">
            <w:pPr>
              <w:pStyle w:val="Prrafodelista"/>
              <w:numPr>
                <w:ilvl w:val="0"/>
                <w:numId w:val="34"/>
              </w:numPr>
              <w:autoSpaceDE w:val="0"/>
              <w:autoSpaceDN w:val="0"/>
              <w:adjustRightInd w:val="0"/>
              <w:spacing w:before="120" w:after="120" w:line="276" w:lineRule="auto"/>
              <w:ind w:left="426" w:hanging="357"/>
              <w:contextualSpacing w:val="0"/>
              <w:jc w:val="both"/>
              <w:rPr>
                <w:rFonts w:ascii="Arial" w:hAnsi="Arial" w:cs="Arial"/>
                <w:sz w:val="18"/>
                <w:szCs w:val="18"/>
              </w:rPr>
            </w:pPr>
            <w:r w:rsidRPr="0028003C">
              <w:rPr>
                <w:rFonts w:ascii="Arial" w:hAnsi="Arial" w:cs="Arial"/>
                <w:sz w:val="18"/>
                <w:szCs w:val="18"/>
              </w:rPr>
              <w:t>Los agentes económicos resultantes de la operación alcancen una participación superior al 35% (treinta y cinco por ciento) en cualquier mercado del sector de telecomunicaciones o superior al 30% (treinta por ciento) en cualquier mercado del sector de radiodifusión;</w:t>
            </w:r>
          </w:p>
          <w:p w14:paraId="12266B88" w14:textId="77777777" w:rsidR="00093D70" w:rsidRPr="0028003C" w:rsidRDefault="00093D70" w:rsidP="00093D70">
            <w:pPr>
              <w:pStyle w:val="Prrafodelista"/>
              <w:numPr>
                <w:ilvl w:val="0"/>
                <w:numId w:val="34"/>
              </w:numPr>
              <w:autoSpaceDE w:val="0"/>
              <w:autoSpaceDN w:val="0"/>
              <w:adjustRightInd w:val="0"/>
              <w:spacing w:before="120" w:after="120" w:line="276" w:lineRule="auto"/>
              <w:ind w:left="426" w:hanging="357"/>
              <w:contextualSpacing w:val="0"/>
              <w:jc w:val="both"/>
              <w:rPr>
                <w:rFonts w:ascii="Arial" w:hAnsi="Arial" w:cs="Arial"/>
                <w:sz w:val="18"/>
                <w:szCs w:val="18"/>
              </w:rPr>
            </w:pPr>
            <w:r w:rsidRPr="0028003C">
              <w:rPr>
                <w:rFonts w:ascii="Arial" w:hAnsi="Arial" w:cs="Arial"/>
                <w:sz w:val="18"/>
                <w:szCs w:val="18"/>
              </w:rPr>
              <w:t xml:space="preserve">El agente económico adquirido es un agente económico disruptivo </w:t>
            </w:r>
            <w:bookmarkStart w:id="0" w:name="_Hlk95762093"/>
            <w:r w:rsidRPr="0028003C">
              <w:rPr>
                <w:rFonts w:ascii="Arial" w:hAnsi="Arial" w:cs="Arial"/>
                <w:sz w:val="18"/>
                <w:szCs w:val="18"/>
              </w:rPr>
              <w:t xml:space="preserve">(conocido como </w:t>
            </w:r>
            <w:proofErr w:type="spellStart"/>
            <w:r w:rsidRPr="0028003C">
              <w:rPr>
                <w:rFonts w:ascii="Arial" w:hAnsi="Arial" w:cs="Arial"/>
                <w:sz w:val="18"/>
                <w:szCs w:val="18"/>
              </w:rPr>
              <w:t>maverick</w:t>
            </w:r>
            <w:proofErr w:type="spellEnd"/>
            <w:r w:rsidRPr="0028003C">
              <w:rPr>
                <w:rFonts w:ascii="Arial" w:hAnsi="Arial" w:cs="Arial"/>
                <w:sz w:val="18"/>
                <w:szCs w:val="18"/>
              </w:rPr>
              <w:t xml:space="preserve"> en inglés) </w:t>
            </w:r>
            <w:bookmarkEnd w:id="0"/>
            <w:r w:rsidRPr="0028003C">
              <w:rPr>
                <w:rFonts w:ascii="Arial" w:hAnsi="Arial" w:cs="Arial"/>
                <w:sz w:val="18"/>
                <w:szCs w:val="18"/>
              </w:rPr>
              <w:t>que se distinga, por ejemplo, por introducir o desarrollar nuevas tecnologías o modelos de negocios o que pueda disciplinar los precios con base en su habilidad e incentivos a expandirse rápidamente;</w:t>
            </w:r>
          </w:p>
          <w:p w14:paraId="66F80D81" w14:textId="77777777" w:rsidR="00093D70" w:rsidRPr="0028003C" w:rsidRDefault="00093D70" w:rsidP="00093D70">
            <w:pPr>
              <w:pStyle w:val="Prrafodelista"/>
              <w:numPr>
                <w:ilvl w:val="0"/>
                <w:numId w:val="34"/>
              </w:numPr>
              <w:spacing w:before="120" w:after="120" w:line="276" w:lineRule="auto"/>
              <w:ind w:left="425" w:hanging="357"/>
              <w:contextualSpacing w:val="0"/>
              <w:jc w:val="both"/>
              <w:rPr>
                <w:rFonts w:ascii="Arial" w:hAnsi="Arial" w:cs="Arial"/>
                <w:sz w:val="18"/>
                <w:szCs w:val="18"/>
              </w:rPr>
            </w:pPr>
            <w:r w:rsidRPr="0028003C">
              <w:rPr>
                <w:rFonts w:ascii="Arial" w:hAnsi="Arial" w:cs="Arial"/>
                <w:sz w:val="18"/>
                <w:szCs w:val="18"/>
              </w:rPr>
              <w:t>Uno o más de los agentes económicos involucrados en la operación haya participado dentro de los últimos cinco años en operaciones previas en el mismo mercado y que consideradas en conjunto con la operación analizada, rebasen los umbrales referidos.</w:t>
            </w:r>
          </w:p>
          <w:p w14:paraId="4812036E" w14:textId="56ED93A8" w:rsidR="004C42A8" w:rsidRPr="0028003C" w:rsidRDefault="00093D70" w:rsidP="00093D70">
            <w:pPr>
              <w:pStyle w:val="Prrafodelista"/>
              <w:numPr>
                <w:ilvl w:val="0"/>
                <w:numId w:val="34"/>
              </w:numPr>
              <w:spacing w:before="120" w:after="120" w:line="276" w:lineRule="auto"/>
              <w:ind w:left="425" w:hanging="357"/>
              <w:contextualSpacing w:val="0"/>
              <w:jc w:val="both"/>
              <w:rPr>
                <w:rFonts w:ascii="Arial" w:hAnsi="Arial" w:cs="Arial"/>
                <w:sz w:val="18"/>
                <w:szCs w:val="18"/>
              </w:rPr>
            </w:pPr>
            <w:r w:rsidRPr="0028003C">
              <w:rPr>
                <w:rFonts w:ascii="Arial" w:hAnsi="Arial" w:cs="Arial"/>
                <w:sz w:val="18"/>
                <w:szCs w:val="18"/>
              </w:rPr>
              <w:t>La operación pueda generar incentivos a la coordinación entre los agentes económicos que participen en el mercado analizado o mercados relacionados.</w:t>
            </w:r>
          </w:p>
          <w:p w14:paraId="02C3A50A" w14:textId="7C321437" w:rsidR="00DC671E" w:rsidRPr="00D0018E" w:rsidRDefault="00DC671E" w:rsidP="00402372">
            <w:pPr>
              <w:shd w:val="clear" w:color="auto" w:fill="FFFFFF" w:themeFill="background1"/>
              <w:jc w:val="both"/>
              <w:rPr>
                <w:rFonts w:ascii="Arial" w:hAnsi="Arial" w:cs="Arial"/>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DC671E" w:rsidRPr="00D0018E" w14:paraId="5718B94D" w14:textId="77777777" w:rsidTr="00402372">
        <w:tc>
          <w:tcPr>
            <w:tcW w:w="8828" w:type="dxa"/>
          </w:tcPr>
          <w:p w14:paraId="3FE6129E" w14:textId="3E00D294" w:rsidR="00DC671E" w:rsidRPr="00D0018E" w:rsidRDefault="00DC671E" w:rsidP="00402372">
            <w:pPr>
              <w:jc w:val="both"/>
              <w:rPr>
                <w:rFonts w:ascii="Arial" w:hAnsi="Arial" w:cs="Arial"/>
                <w:b/>
                <w:sz w:val="18"/>
                <w:szCs w:val="18"/>
              </w:rPr>
            </w:pPr>
            <w:r w:rsidRPr="00D0018E">
              <w:rPr>
                <w:rFonts w:ascii="Arial" w:hAnsi="Arial" w:cs="Arial"/>
                <w:b/>
                <w:sz w:val="18"/>
                <w:szCs w:val="18"/>
              </w:rPr>
              <w:lastRenderedPageBreak/>
              <w:t>2.- Según sea el caso, conforme a lo señalado por los artículos 51 de la Ley Federal de Telecomunicaciones y Radiodifusión y 12, fracción XXII, de la Ley Federal de Competencia Económica</w:t>
            </w:r>
            <w:r w:rsidR="0077147F" w:rsidRPr="00D0018E">
              <w:rPr>
                <w:rFonts w:ascii="Arial" w:hAnsi="Arial" w:cs="Arial"/>
                <w:b/>
                <w:sz w:val="18"/>
                <w:szCs w:val="18"/>
              </w:rPr>
              <w:t xml:space="preserve"> (LFCE)</w:t>
            </w:r>
            <w:r w:rsidRPr="00D0018E">
              <w:rPr>
                <w:rFonts w:ascii="Arial" w:hAnsi="Arial" w:cs="Arial"/>
                <w:b/>
                <w:sz w:val="18"/>
                <w:szCs w:val="18"/>
              </w:rPr>
              <w:t>, ¿considera que la publicidad de la propuesta de regulación pueda comprometer los efectos que se pretenden prevenir o resolver con su entrada en vigor?</w:t>
            </w:r>
          </w:p>
          <w:p w14:paraId="78650A7E" w14:textId="77777777" w:rsidR="00DC671E" w:rsidRPr="00D0018E" w:rsidRDefault="00DC671E" w:rsidP="00402372">
            <w:pPr>
              <w:jc w:val="both"/>
              <w:rPr>
                <w:rFonts w:ascii="Arial" w:hAnsi="Arial" w:cs="Arial"/>
                <w:b/>
                <w:sz w:val="18"/>
                <w:szCs w:val="18"/>
              </w:rPr>
            </w:pPr>
          </w:p>
          <w:tbl>
            <w:tblPr>
              <w:tblStyle w:val="Tablaconcuadrcula"/>
              <w:tblW w:w="0" w:type="auto"/>
              <w:jc w:val="center"/>
              <w:tblLook w:val="04A0" w:firstRow="1" w:lastRow="0" w:firstColumn="1" w:lastColumn="0" w:noHBand="0" w:noVBand="1"/>
            </w:tblPr>
            <w:tblGrid>
              <w:gridCol w:w="1462"/>
            </w:tblGrid>
            <w:tr w:rsidR="00DC671E" w:rsidRPr="00D0018E" w14:paraId="43AAE49C" w14:textId="77777777" w:rsidTr="00402372">
              <w:trPr>
                <w:jc w:val="center"/>
              </w:trPr>
              <w:tc>
                <w:tcPr>
                  <w:tcW w:w="1462" w:type="dxa"/>
                  <w:shd w:val="clear" w:color="auto" w:fill="A8D08D" w:themeFill="accent6" w:themeFillTint="99"/>
                </w:tcPr>
                <w:p w14:paraId="57506E78" w14:textId="77777777" w:rsidR="00DC671E" w:rsidRPr="00D0018E" w:rsidRDefault="00DC671E" w:rsidP="00A65B88">
                  <w:pPr>
                    <w:framePr w:hSpace="141" w:wrap="around" w:vAnchor="text" w:hAnchor="margin" w:y="356"/>
                    <w:jc w:val="center"/>
                    <w:rPr>
                      <w:rFonts w:ascii="Arial" w:hAnsi="Arial" w:cs="Arial"/>
                      <w:b/>
                      <w:sz w:val="18"/>
                      <w:szCs w:val="18"/>
                    </w:rPr>
                  </w:pPr>
                  <w:r w:rsidRPr="00D0018E">
                    <w:rPr>
                      <w:rFonts w:ascii="Arial" w:hAnsi="Arial" w:cs="Arial"/>
                      <w:b/>
                      <w:sz w:val="18"/>
                      <w:szCs w:val="18"/>
                    </w:rPr>
                    <w:t>Seleccione</w:t>
                  </w:r>
                </w:p>
              </w:tc>
            </w:tr>
            <w:tr w:rsidR="00DC671E" w:rsidRPr="00D0018E" w14:paraId="3E5B354A" w14:textId="77777777" w:rsidTr="00402372">
              <w:trPr>
                <w:jc w:val="center"/>
              </w:trPr>
              <w:tc>
                <w:tcPr>
                  <w:tcW w:w="1462" w:type="dxa"/>
                </w:tcPr>
                <w:p w14:paraId="0E11078C" w14:textId="77777777" w:rsidR="00DC671E" w:rsidRPr="00D0018E" w:rsidRDefault="00DC671E" w:rsidP="00A65B88">
                  <w:pPr>
                    <w:framePr w:hSpace="141" w:wrap="around" w:vAnchor="text" w:hAnchor="margin" w:y="356"/>
                    <w:jc w:val="center"/>
                    <w:rPr>
                      <w:rFonts w:ascii="Arial" w:hAnsi="Arial" w:cs="Arial"/>
                      <w:sz w:val="18"/>
                      <w:szCs w:val="18"/>
                    </w:rPr>
                  </w:pPr>
                  <w:r w:rsidRPr="00D0018E">
                    <w:rPr>
                      <w:rFonts w:ascii="Arial" w:hAnsi="Arial" w:cs="Arial"/>
                      <w:sz w:val="18"/>
                      <w:szCs w:val="18"/>
                    </w:rPr>
                    <w:t>Sí ( ) No (</w:t>
                  </w:r>
                  <w:r w:rsidRPr="00D0018E">
                    <w:rPr>
                      <w:rFonts w:ascii="Arial" w:hAnsi="Arial" w:cs="Arial"/>
                      <w:b/>
                      <w:sz w:val="18"/>
                      <w:szCs w:val="18"/>
                    </w:rPr>
                    <w:t xml:space="preserve"> X</w:t>
                  </w:r>
                  <w:r w:rsidRPr="00D0018E">
                    <w:rPr>
                      <w:rFonts w:ascii="Arial" w:hAnsi="Arial" w:cs="Arial"/>
                      <w:sz w:val="18"/>
                      <w:szCs w:val="18"/>
                    </w:rPr>
                    <w:t xml:space="preserve">  )</w:t>
                  </w:r>
                </w:p>
              </w:tc>
            </w:tr>
          </w:tbl>
          <w:p w14:paraId="4C1830E6" w14:textId="77777777" w:rsidR="00DC671E" w:rsidRPr="00D0018E" w:rsidRDefault="00DC671E" w:rsidP="00402372">
            <w:pPr>
              <w:jc w:val="both"/>
              <w:rPr>
                <w:rFonts w:ascii="Arial" w:hAnsi="Arial" w:cs="Arial"/>
                <w:sz w:val="18"/>
                <w:szCs w:val="18"/>
              </w:rPr>
            </w:pPr>
          </w:p>
        </w:tc>
      </w:tr>
    </w:tbl>
    <w:p w14:paraId="6A899F54" w14:textId="77777777" w:rsidR="00DC671E" w:rsidRPr="00D0018E" w:rsidRDefault="00DC671E" w:rsidP="00DC671E">
      <w:pPr>
        <w:jc w:val="both"/>
        <w:rPr>
          <w:rFonts w:ascii="Arial" w:hAnsi="Arial" w:cs="Arial"/>
          <w:sz w:val="18"/>
          <w:szCs w:val="18"/>
        </w:rPr>
      </w:pPr>
    </w:p>
    <w:p w14:paraId="3CB249FC" w14:textId="77777777" w:rsidR="00DC671E" w:rsidRPr="00D0018E" w:rsidRDefault="00DC671E" w:rsidP="00DC671E">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DC671E" w:rsidRPr="00D0018E" w14:paraId="181C92BD" w14:textId="77777777" w:rsidTr="00402372">
        <w:tc>
          <w:tcPr>
            <w:tcW w:w="8828" w:type="dxa"/>
          </w:tcPr>
          <w:p w14:paraId="1ECD14AD" w14:textId="77777777" w:rsidR="00DC671E" w:rsidRPr="00D0018E" w:rsidRDefault="00DC671E" w:rsidP="00402372">
            <w:pPr>
              <w:jc w:val="both"/>
              <w:rPr>
                <w:rFonts w:ascii="Arial" w:hAnsi="Arial" w:cs="Arial"/>
                <w:b/>
                <w:sz w:val="18"/>
                <w:szCs w:val="18"/>
              </w:rPr>
            </w:pPr>
            <w:r w:rsidRPr="00D0018E">
              <w:rPr>
                <w:rFonts w:ascii="Arial" w:hAnsi="Arial" w:cs="Arial"/>
                <w:b/>
                <w:sz w:val="18"/>
                <w:szCs w:val="18"/>
              </w:rPr>
              <w:t>3.- ¿En qué consiste la propuesta de regulación e indique cómo incidirá favorablemente en la problemática antes descrita y en el desarrollo eficiente de los distintos mercados de los sectores de telecomunicaciones y radiodifusión, antes identificados?</w:t>
            </w:r>
          </w:p>
          <w:p w14:paraId="3C9EF94E" w14:textId="77777777" w:rsidR="00DC671E" w:rsidRPr="00D0018E" w:rsidRDefault="00DC671E" w:rsidP="00402372">
            <w:pPr>
              <w:jc w:val="both"/>
              <w:rPr>
                <w:rFonts w:ascii="Arial" w:hAnsi="Arial" w:cs="Arial"/>
                <w:sz w:val="18"/>
                <w:szCs w:val="18"/>
              </w:rPr>
            </w:pPr>
          </w:p>
          <w:p w14:paraId="2FE2F39F" w14:textId="0FDF0975" w:rsidR="00402372" w:rsidRPr="00D0018E" w:rsidRDefault="0079703B" w:rsidP="00402372">
            <w:pPr>
              <w:shd w:val="clear" w:color="auto" w:fill="FFFFFF" w:themeFill="background1"/>
              <w:jc w:val="both"/>
              <w:rPr>
                <w:rFonts w:ascii="Arial" w:hAnsi="Arial" w:cs="Arial"/>
                <w:sz w:val="18"/>
                <w:szCs w:val="18"/>
              </w:rPr>
            </w:pPr>
            <w:r w:rsidRPr="00D0018E">
              <w:rPr>
                <w:rFonts w:ascii="Arial" w:hAnsi="Arial" w:cs="Arial"/>
                <w:sz w:val="18"/>
                <w:szCs w:val="18"/>
              </w:rPr>
              <w:t>A manera general, se precisa que e</w:t>
            </w:r>
            <w:r w:rsidR="00402372" w:rsidRPr="00D0018E">
              <w:rPr>
                <w:rFonts w:ascii="Arial" w:hAnsi="Arial" w:cs="Arial"/>
                <w:sz w:val="18"/>
                <w:szCs w:val="18"/>
              </w:rPr>
              <w:t>l Instituto utiliza</w:t>
            </w:r>
            <w:r w:rsidRPr="00D0018E">
              <w:rPr>
                <w:rFonts w:ascii="Arial" w:hAnsi="Arial" w:cs="Arial"/>
                <w:sz w:val="18"/>
                <w:szCs w:val="18"/>
              </w:rPr>
              <w:t xml:space="preserve"> el Índice</w:t>
            </w:r>
            <w:r w:rsidR="00402372" w:rsidRPr="00D0018E">
              <w:rPr>
                <w:rFonts w:ascii="Arial" w:hAnsi="Arial" w:cs="Arial"/>
                <w:sz w:val="18"/>
                <w:szCs w:val="18"/>
              </w:rPr>
              <w:t>:</w:t>
            </w:r>
          </w:p>
          <w:p w14:paraId="599A1917" w14:textId="2763DF63" w:rsidR="00402372" w:rsidRPr="00D0018E" w:rsidRDefault="00402372" w:rsidP="00402372">
            <w:pPr>
              <w:pStyle w:val="Prrafodelista"/>
              <w:numPr>
                <w:ilvl w:val="0"/>
                <w:numId w:val="28"/>
              </w:numPr>
              <w:shd w:val="clear" w:color="auto" w:fill="FFFFFF" w:themeFill="background1"/>
              <w:jc w:val="both"/>
              <w:rPr>
                <w:rFonts w:ascii="Arial" w:hAnsi="Arial" w:cs="Arial"/>
                <w:sz w:val="18"/>
                <w:szCs w:val="18"/>
              </w:rPr>
            </w:pPr>
            <w:r w:rsidRPr="00D0018E">
              <w:rPr>
                <w:rFonts w:ascii="Arial" w:hAnsi="Arial" w:cs="Arial"/>
                <w:sz w:val="18"/>
                <w:szCs w:val="18"/>
              </w:rPr>
              <w:t>como una primera aproximación a la estructura de mercado y como un indicador del grado de concentración en los mercados y servicios en los sectores de telecomunicaciones y radiodifusión.</w:t>
            </w:r>
          </w:p>
          <w:p w14:paraId="3D7DAA1D" w14:textId="77777777" w:rsidR="00402372" w:rsidRPr="00D0018E" w:rsidRDefault="00402372" w:rsidP="00402372">
            <w:pPr>
              <w:pStyle w:val="Prrafodelista"/>
              <w:shd w:val="clear" w:color="auto" w:fill="FFFFFF" w:themeFill="background1"/>
              <w:jc w:val="both"/>
              <w:rPr>
                <w:rFonts w:ascii="Arial" w:hAnsi="Arial" w:cs="Arial"/>
                <w:sz w:val="18"/>
                <w:szCs w:val="18"/>
              </w:rPr>
            </w:pPr>
          </w:p>
          <w:p w14:paraId="47B1CE1E" w14:textId="18F3E983" w:rsidR="00402372" w:rsidRPr="00D0018E" w:rsidRDefault="00402372" w:rsidP="00402372">
            <w:pPr>
              <w:pStyle w:val="Prrafodelista"/>
              <w:numPr>
                <w:ilvl w:val="0"/>
                <w:numId w:val="28"/>
              </w:numPr>
              <w:shd w:val="clear" w:color="auto" w:fill="FFFFFF" w:themeFill="background1"/>
              <w:jc w:val="both"/>
              <w:rPr>
                <w:rFonts w:ascii="Arial" w:hAnsi="Arial" w:cs="Arial"/>
                <w:sz w:val="18"/>
                <w:szCs w:val="18"/>
              </w:rPr>
            </w:pPr>
            <w:r w:rsidRPr="00D0018E">
              <w:rPr>
                <w:rFonts w:ascii="Arial" w:hAnsi="Arial" w:cs="Arial"/>
                <w:sz w:val="18"/>
                <w:szCs w:val="18"/>
              </w:rPr>
              <w:t>como referencia de la probabilidad de que las concentraciones tengan por objeto o efecto obstaculizar, disminuir, dañar o impedir la competencia y la libre concurrencia en el mercado.</w:t>
            </w:r>
          </w:p>
          <w:p w14:paraId="60520B4C" w14:textId="77777777" w:rsidR="00402372" w:rsidRPr="00D0018E" w:rsidRDefault="00402372" w:rsidP="00402372">
            <w:pPr>
              <w:shd w:val="clear" w:color="auto" w:fill="FFFFFF" w:themeFill="background1"/>
              <w:jc w:val="both"/>
              <w:rPr>
                <w:rFonts w:ascii="Arial" w:hAnsi="Arial" w:cs="Arial"/>
                <w:sz w:val="18"/>
                <w:szCs w:val="18"/>
              </w:rPr>
            </w:pPr>
          </w:p>
          <w:p w14:paraId="12CC72A0" w14:textId="40B0A97D" w:rsidR="00402372" w:rsidRPr="00D0018E" w:rsidRDefault="00402372" w:rsidP="00402372">
            <w:pPr>
              <w:pStyle w:val="Prrafodelista"/>
              <w:numPr>
                <w:ilvl w:val="0"/>
                <w:numId w:val="28"/>
              </w:numPr>
              <w:shd w:val="clear" w:color="auto" w:fill="FFFFFF" w:themeFill="background1"/>
              <w:jc w:val="both"/>
              <w:rPr>
                <w:rFonts w:ascii="Arial" w:hAnsi="Arial" w:cs="Arial"/>
                <w:sz w:val="18"/>
                <w:szCs w:val="18"/>
              </w:rPr>
            </w:pPr>
            <w:r w:rsidRPr="00D0018E">
              <w:rPr>
                <w:rFonts w:ascii="Arial" w:hAnsi="Arial" w:cs="Arial"/>
                <w:sz w:val="18"/>
                <w:szCs w:val="18"/>
              </w:rPr>
              <w:t xml:space="preserve">para identificar aquellos mercados en los que una concentración tendría bajas probabilidades de afectar la competencia y, en ese caso, descartar proceder a un análisis exhaustivo. </w:t>
            </w:r>
          </w:p>
          <w:p w14:paraId="004FDC8B" w14:textId="77777777" w:rsidR="00402372" w:rsidRPr="00D0018E" w:rsidRDefault="00402372" w:rsidP="00402372">
            <w:pPr>
              <w:pStyle w:val="Prrafodelista"/>
              <w:shd w:val="clear" w:color="auto" w:fill="FFFFFF" w:themeFill="background1"/>
              <w:jc w:val="both"/>
              <w:rPr>
                <w:rFonts w:ascii="Arial" w:hAnsi="Arial" w:cs="Arial"/>
                <w:sz w:val="18"/>
                <w:szCs w:val="18"/>
              </w:rPr>
            </w:pPr>
          </w:p>
          <w:p w14:paraId="64D21457" w14:textId="5134FD64" w:rsidR="00DC671E" w:rsidRPr="00D0018E" w:rsidRDefault="00402372" w:rsidP="00402372">
            <w:pPr>
              <w:pStyle w:val="Prrafodelista"/>
              <w:numPr>
                <w:ilvl w:val="0"/>
                <w:numId w:val="28"/>
              </w:numPr>
              <w:shd w:val="clear" w:color="auto" w:fill="FFFFFF" w:themeFill="background1"/>
              <w:jc w:val="both"/>
              <w:rPr>
                <w:rFonts w:ascii="Arial" w:hAnsi="Arial" w:cs="Arial"/>
                <w:sz w:val="18"/>
                <w:szCs w:val="18"/>
              </w:rPr>
            </w:pPr>
            <w:r w:rsidRPr="00D0018E">
              <w:rPr>
                <w:rFonts w:ascii="Arial" w:hAnsi="Arial" w:cs="Arial"/>
                <w:sz w:val="18"/>
                <w:szCs w:val="18"/>
              </w:rPr>
              <w:t>para identificar las concentraciones que podrían representar un riesgo a la competencia, para lo cual el Instituto realizará el análisis de diversos elementos y que, conforme a lo establecido en la Ley Federal de Competencia Económica, uno de ellos es la identificación del grado de concentración, para lo cual se considerará el presente Criterio Técnico.</w:t>
            </w:r>
          </w:p>
          <w:p w14:paraId="76A4B294" w14:textId="5462F215" w:rsidR="00402372" w:rsidRPr="00D0018E" w:rsidRDefault="00402372" w:rsidP="00402372">
            <w:pPr>
              <w:shd w:val="clear" w:color="auto" w:fill="FFFFFF" w:themeFill="background1"/>
              <w:jc w:val="both"/>
              <w:rPr>
                <w:rFonts w:ascii="Arial" w:hAnsi="Arial" w:cs="Arial"/>
                <w:sz w:val="18"/>
                <w:szCs w:val="18"/>
              </w:rPr>
            </w:pPr>
          </w:p>
          <w:p w14:paraId="5D59CC28" w14:textId="47040BC6" w:rsidR="0079703B" w:rsidRPr="00D0018E" w:rsidRDefault="00402372" w:rsidP="0079703B">
            <w:pPr>
              <w:shd w:val="clear" w:color="auto" w:fill="FFFFFF" w:themeFill="background1"/>
              <w:jc w:val="both"/>
              <w:rPr>
                <w:rFonts w:ascii="Arial" w:hAnsi="Arial" w:cs="Arial"/>
                <w:sz w:val="18"/>
                <w:szCs w:val="18"/>
              </w:rPr>
            </w:pPr>
            <w:r w:rsidRPr="00D0018E">
              <w:rPr>
                <w:rFonts w:ascii="Arial" w:hAnsi="Arial" w:cs="Arial"/>
                <w:sz w:val="18"/>
                <w:szCs w:val="18"/>
              </w:rPr>
              <w:t xml:space="preserve">Con miras a alcanzar los fines anteriores, la propuesta de Modificación </w:t>
            </w:r>
            <w:r w:rsidR="0079703B" w:rsidRPr="00D0018E">
              <w:rPr>
                <w:rFonts w:ascii="Arial" w:hAnsi="Arial" w:cs="Arial"/>
                <w:sz w:val="18"/>
                <w:szCs w:val="18"/>
              </w:rPr>
              <w:t>propone que: El Instituto considerará que es poco probable que una concentración tiene por objeto o efecto obstaculizar, disminuir, dañar o impedir la competencia y la libre concurrencia, cuando posterior a ésta suceda alguna de las siguientes situaciones:</w:t>
            </w:r>
          </w:p>
          <w:p w14:paraId="58FA09E0" w14:textId="77777777" w:rsidR="0079703B" w:rsidRPr="00D0018E" w:rsidRDefault="0079703B" w:rsidP="0079703B">
            <w:pPr>
              <w:pStyle w:val="Default"/>
              <w:spacing w:line="276" w:lineRule="auto"/>
              <w:ind w:left="720" w:right="-1"/>
              <w:jc w:val="both"/>
              <w:rPr>
                <w:rFonts w:ascii="Arial" w:eastAsiaTheme="minorHAnsi" w:hAnsi="Arial" w:cs="Arial"/>
                <w:color w:val="auto"/>
                <w:sz w:val="18"/>
                <w:szCs w:val="18"/>
                <w:lang w:eastAsia="en-US"/>
              </w:rPr>
            </w:pPr>
          </w:p>
          <w:p w14:paraId="0B59C413" w14:textId="77777777" w:rsidR="0079703B" w:rsidRPr="00D0018E" w:rsidRDefault="0079703B" w:rsidP="0079703B">
            <w:pPr>
              <w:pStyle w:val="Default"/>
              <w:numPr>
                <w:ilvl w:val="0"/>
                <w:numId w:val="30"/>
              </w:numPr>
              <w:spacing w:after="120" w:line="276" w:lineRule="auto"/>
              <w:ind w:left="851" w:hanging="357"/>
              <w:jc w:val="both"/>
              <w:rPr>
                <w:rFonts w:ascii="Arial" w:eastAsiaTheme="minorHAnsi" w:hAnsi="Arial" w:cs="Arial"/>
                <w:color w:val="auto"/>
                <w:sz w:val="18"/>
                <w:szCs w:val="18"/>
                <w:lang w:eastAsia="en-US"/>
              </w:rPr>
            </w:pPr>
            <w:r w:rsidRPr="00D0018E">
              <w:rPr>
                <w:rFonts w:ascii="Arial" w:eastAsiaTheme="minorHAnsi" w:hAnsi="Arial" w:cs="Arial"/>
                <w:color w:val="auto"/>
                <w:sz w:val="18"/>
                <w:szCs w:val="18"/>
                <w:lang w:eastAsia="en-US"/>
              </w:rPr>
              <w:t xml:space="preserve">El grado de concentración sea bajo: </w:t>
            </w:r>
            <m:oMath>
              <m:r>
                <w:rPr>
                  <w:rFonts w:ascii="Cambria Math" w:eastAsiaTheme="minorHAnsi" w:hAnsi="Cambria Math" w:cs="Arial"/>
                  <w:color w:val="auto"/>
                  <w:sz w:val="18"/>
                  <w:szCs w:val="18"/>
                  <w:lang w:eastAsia="en-US"/>
                </w:rPr>
                <m:t>IHH</m:t>
              </m:r>
              <m:r>
                <m:rPr>
                  <m:sty m:val="p"/>
                </m:rPr>
                <w:rPr>
                  <w:rFonts w:ascii="Cambria Math" w:eastAsiaTheme="minorHAnsi" w:hAnsi="Cambria Math" w:cs="Arial"/>
                  <w:color w:val="auto"/>
                  <w:sz w:val="18"/>
                  <w:szCs w:val="18"/>
                  <w:lang w:eastAsia="en-US"/>
                </w:rPr>
                <m:t xml:space="preserve"> ≤ 2,000</m:t>
              </m:r>
            </m:oMath>
            <w:r w:rsidRPr="00D0018E">
              <w:rPr>
                <w:rFonts w:ascii="Arial" w:eastAsiaTheme="minorHAnsi" w:hAnsi="Arial" w:cs="Arial"/>
                <w:color w:val="auto"/>
                <w:sz w:val="18"/>
                <w:szCs w:val="18"/>
                <w:lang w:eastAsia="en-US"/>
              </w:rPr>
              <w:t xml:space="preserve"> puntos;</w:t>
            </w:r>
          </w:p>
          <w:p w14:paraId="0DC3BD62" w14:textId="4F955816" w:rsidR="0079703B" w:rsidRPr="00D0018E" w:rsidRDefault="0079703B" w:rsidP="0079703B">
            <w:pPr>
              <w:pStyle w:val="Default"/>
              <w:numPr>
                <w:ilvl w:val="0"/>
                <w:numId w:val="30"/>
              </w:numPr>
              <w:spacing w:after="120" w:line="276" w:lineRule="auto"/>
              <w:ind w:left="851" w:hanging="357"/>
              <w:jc w:val="both"/>
              <w:rPr>
                <w:rFonts w:ascii="Arial" w:eastAsiaTheme="minorHAnsi" w:hAnsi="Arial" w:cs="Arial"/>
                <w:color w:val="auto"/>
                <w:sz w:val="18"/>
                <w:szCs w:val="18"/>
                <w:lang w:eastAsia="en-US"/>
              </w:rPr>
            </w:pPr>
            <w:r w:rsidRPr="00D0018E">
              <w:rPr>
                <w:rFonts w:ascii="Arial" w:eastAsiaTheme="minorHAnsi" w:hAnsi="Arial" w:cs="Arial"/>
                <w:color w:val="auto"/>
                <w:sz w:val="18"/>
                <w:szCs w:val="18"/>
                <w:lang w:eastAsia="en-US"/>
              </w:rPr>
              <w:t xml:space="preserve">El grado de concentración sea moderado: </w:t>
            </w:r>
            <m:oMath>
              <m:r>
                <m:rPr>
                  <m:sty m:val="p"/>
                </m:rPr>
                <w:rPr>
                  <w:rFonts w:ascii="Cambria Math" w:eastAsiaTheme="minorHAnsi" w:hAnsi="Cambria Math" w:cs="Arial"/>
                  <w:color w:val="auto"/>
                  <w:sz w:val="18"/>
                  <w:szCs w:val="18"/>
                  <w:lang w:eastAsia="en-US"/>
                </w:rPr>
                <m:t xml:space="preserve">2,000 &lt; </m:t>
              </m:r>
              <m:r>
                <w:rPr>
                  <w:rFonts w:ascii="Cambria Math" w:eastAsiaTheme="minorHAnsi" w:hAnsi="Cambria Math" w:cs="Arial"/>
                  <w:color w:val="auto"/>
                  <w:sz w:val="18"/>
                  <w:szCs w:val="18"/>
                  <w:lang w:eastAsia="en-US"/>
                </w:rPr>
                <m:t>IHH</m:t>
              </m:r>
              <m:r>
                <m:rPr>
                  <m:sty m:val="p"/>
                </m:rPr>
                <w:rPr>
                  <w:rFonts w:ascii="Cambria Math" w:eastAsiaTheme="minorHAnsi" w:hAnsi="Cambria Math" w:cs="Arial"/>
                  <w:color w:val="auto"/>
                  <w:sz w:val="18"/>
                  <w:szCs w:val="18"/>
                  <w:lang w:eastAsia="en-US"/>
                </w:rPr>
                <m:t xml:space="preserve"> ≤ 2,500</m:t>
              </m:r>
            </m:oMath>
            <w:r w:rsidRPr="00D0018E">
              <w:rPr>
                <w:rFonts w:ascii="Arial" w:eastAsiaTheme="minorHAnsi" w:hAnsi="Arial" w:cs="Arial"/>
                <w:color w:val="auto"/>
                <w:sz w:val="18"/>
                <w:szCs w:val="18"/>
                <w:lang w:eastAsia="en-US"/>
              </w:rPr>
              <w:t xml:space="preserve">, y se tenga una </w:t>
            </w:r>
            <m:oMath>
              <m:r>
                <m:rPr>
                  <m:sty m:val="p"/>
                </m:rPr>
                <w:rPr>
                  <w:rFonts w:ascii="Cambria Math" w:eastAsiaTheme="minorHAnsi" w:hAnsi="Cambria Math" w:cs="Arial"/>
                  <w:color w:val="auto"/>
                  <w:sz w:val="18"/>
                  <w:szCs w:val="18"/>
                  <w:lang w:eastAsia="en-US"/>
                </w:rPr>
                <m:t>∆</m:t>
              </m:r>
              <m:r>
                <w:rPr>
                  <w:rFonts w:ascii="Cambria Math" w:eastAsiaTheme="minorHAnsi" w:hAnsi="Cambria Math" w:cs="Arial"/>
                  <w:color w:val="auto"/>
                  <w:sz w:val="18"/>
                  <w:szCs w:val="18"/>
                  <w:lang w:eastAsia="en-US"/>
                </w:rPr>
                <m:t>IHH</m:t>
              </m:r>
              <m:r>
                <m:rPr>
                  <m:sty m:val="p"/>
                </m:rPr>
                <w:rPr>
                  <w:rFonts w:ascii="Cambria Math" w:eastAsiaTheme="minorHAnsi" w:hAnsi="Cambria Math" w:cs="Arial"/>
                  <w:color w:val="auto"/>
                  <w:sz w:val="18"/>
                  <w:szCs w:val="18"/>
                  <w:lang w:eastAsia="en-US"/>
                </w:rPr>
                <m:t xml:space="preserve"> ≤ 150</m:t>
              </m:r>
            </m:oMath>
            <w:r w:rsidRPr="00D0018E">
              <w:rPr>
                <w:rFonts w:ascii="Arial" w:eastAsiaTheme="minorHAnsi" w:hAnsi="Arial" w:cs="Arial"/>
                <w:color w:val="auto"/>
                <w:sz w:val="18"/>
                <w:szCs w:val="18"/>
                <w:lang w:eastAsia="en-US"/>
              </w:rPr>
              <w:t xml:space="preserve"> puntos; o</w:t>
            </w:r>
          </w:p>
          <w:p w14:paraId="29452016" w14:textId="459799AA" w:rsidR="0079703B" w:rsidRPr="00D0018E" w:rsidRDefault="0079703B" w:rsidP="0079703B">
            <w:pPr>
              <w:pStyle w:val="Default"/>
              <w:numPr>
                <w:ilvl w:val="0"/>
                <w:numId w:val="30"/>
              </w:numPr>
              <w:spacing w:line="276" w:lineRule="auto"/>
              <w:ind w:left="851" w:right="-1"/>
              <w:jc w:val="both"/>
              <w:rPr>
                <w:rFonts w:ascii="Arial" w:eastAsiaTheme="minorHAnsi" w:hAnsi="Arial" w:cs="Arial"/>
                <w:color w:val="auto"/>
                <w:sz w:val="18"/>
                <w:szCs w:val="18"/>
                <w:lang w:eastAsia="en-US"/>
              </w:rPr>
            </w:pPr>
            <w:r w:rsidRPr="00D0018E">
              <w:rPr>
                <w:rFonts w:ascii="Arial" w:eastAsiaTheme="minorHAnsi" w:hAnsi="Arial" w:cs="Arial"/>
                <w:color w:val="auto"/>
                <w:sz w:val="18"/>
                <w:szCs w:val="18"/>
                <w:lang w:eastAsia="en-US"/>
              </w:rPr>
              <w:t xml:space="preserve">El grado de concentración sea elevado: </w:t>
            </w:r>
            <m:oMath>
              <m:r>
                <w:rPr>
                  <w:rFonts w:ascii="Cambria Math" w:eastAsiaTheme="minorHAnsi" w:hAnsi="Cambria Math" w:cs="Arial"/>
                  <w:color w:val="auto"/>
                  <w:sz w:val="18"/>
                  <w:szCs w:val="18"/>
                  <w:lang w:eastAsia="en-US"/>
                </w:rPr>
                <m:t>IHH</m:t>
              </m:r>
              <m:r>
                <m:rPr>
                  <m:sty m:val="p"/>
                </m:rPr>
                <w:rPr>
                  <w:rFonts w:ascii="Cambria Math" w:eastAsiaTheme="minorHAnsi" w:hAnsi="Cambria Math" w:cs="Arial"/>
                  <w:color w:val="auto"/>
                  <w:sz w:val="18"/>
                  <w:szCs w:val="18"/>
                  <w:lang w:eastAsia="en-US"/>
                </w:rPr>
                <m:t xml:space="preserve"> &gt; 2,500</m:t>
              </m:r>
            </m:oMath>
            <w:r w:rsidRPr="00D0018E">
              <w:rPr>
                <w:rFonts w:ascii="Arial" w:eastAsiaTheme="minorHAnsi" w:hAnsi="Arial" w:cs="Arial"/>
                <w:color w:val="auto"/>
                <w:sz w:val="18"/>
                <w:szCs w:val="18"/>
                <w:lang w:eastAsia="en-US"/>
              </w:rPr>
              <w:t xml:space="preserve">, y se tenga una </w:t>
            </w:r>
            <m:oMath>
              <m:r>
                <m:rPr>
                  <m:sty m:val="p"/>
                </m:rPr>
                <w:rPr>
                  <w:rFonts w:ascii="Cambria Math" w:eastAsiaTheme="minorHAnsi" w:hAnsi="Cambria Math" w:cs="Arial"/>
                  <w:color w:val="auto"/>
                  <w:sz w:val="18"/>
                  <w:szCs w:val="18"/>
                  <w:lang w:eastAsia="en-US"/>
                </w:rPr>
                <m:t>∆</m:t>
              </m:r>
              <m:r>
                <w:rPr>
                  <w:rFonts w:ascii="Cambria Math" w:eastAsiaTheme="minorHAnsi" w:hAnsi="Cambria Math" w:cs="Arial"/>
                  <w:color w:val="auto"/>
                  <w:sz w:val="18"/>
                  <w:szCs w:val="18"/>
                  <w:lang w:eastAsia="en-US"/>
                </w:rPr>
                <m:t>IHH</m:t>
              </m:r>
              <m:r>
                <m:rPr>
                  <m:sty m:val="p"/>
                </m:rPr>
                <w:rPr>
                  <w:rFonts w:ascii="Cambria Math" w:eastAsiaTheme="minorHAnsi" w:hAnsi="Cambria Math" w:cs="Arial"/>
                  <w:color w:val="auto"/>
                  <w:sz w:val="18"/>
                  <w:szCs w:val="18"/>
                  <w:lang w:eastAsia="en-US"/>
                </w:rPr>
                <m:t xml:space="preserve"> ≤ 100 </m:t>
              </m:r>
            </m:oMath>
            <w:r w:rsidRPr="00D0018E">
              <w:rPr>
                <w:rFonts w:ascii="Arial" w:eastAsiaTheme="minorHAnsi" w:hAnsi="Arial" w:cs="Arial"/>
                <w:color w:val="auto"/>
                <w:sz w:val="18"/>
                <w:szCs w:val="18"/>
                <w:lang w:eastAsia="en-US"/>
              </w:rPr>
              <w:t>puntos.</w:t>
            </w:r>
          </w:p>
          <w:p w14:paraId="215BCFDB" w14:textId="77777777" w:rsidR="00402372" w:rsidRPr="00D0018E" w:rsidRDefault="00402372" w:rsidP="0079703B">
            <w:pPr>
              <w:shd w:val="clear" w:color="auto" w:fill="FFFFFF" w:themeFill="background1"/>
              <w:jc w:val="both"/>
              <w:rPr>
                <w:rFonts w:ascii="Arial" w:hAnsi="Arial" w:cs="Arial"/>
                <w:sz w:val="18"/>
                <w:szCs w:val="18"/>
              </w:rPr>
            </w:pPr>
          </w:p>
          <w:p w14:paraId="593CED45" w14:textId="66C38790" w:rsidR="00E449F1" w:rsidRPr="00DD26F4" w:rsidRDefault="00900C0F" w:rsidP="00E449F1">
            <w:pPr>
              <w:autoSpaceDE w:val="0"/>
              <w:autoSpaceDN w:val="0"/>
              <w:adjustRightInd w:val="0"/>
              <w:spacing w:line="276" w:lineRule="auto"/>
              <w:jc w:val="both"/>
              <w:rPr>
                <w:rFonts w:ascii="Arial" w:eastAsia="Times New Roman" w:hAnsi="Arial" w:cs="Arial"/>
                <w:color w:val="000000"/>
                <w:lang w:eastAsia="es-MX"/>
              </w:rPr>
            </w:pPr>
            <w:r w:rsidRPr="00D0018E">
              <w:rPr>
                <w:rFonts w:ascii="Arial" w:hAnsi="Arial" w:cs="Arial"/>
                <w:sz w:val="18"/>
                <w:szCs w:val="18"/>
              </w:rPr>
              <w:t xml:space="preserve">Adicionalmente, la propuesta de Modificación establece que aun cuando una concentración implique valores del IHH y de la ∆IHH que se ubiquen dentro de los umbrales mencionados en el </w:t>
            </w:r>
            <w:r w:rsidR="00613118" w:rsidRPr="00D0018E">
              <w:rPr>
                <w:rFonts w:ascii="Arial" w:hAnsi="Arial" w:cs="Arial"/>
                <w:sz w:val="18"/>
                <w:szCs w:val="18"/>
              </w:rPr>
              <w:t>párrafo</w:t>
            </w:r>
            <w:r w:rsidRPr="00D0018E">
              <w:rPr>
                <w:rFonts w:ascii="Arial" w:hAnsi="Arial" w:cs="Arial"/>
                <w:sz w:val="18"/>
                <w:szCs w:val="18"/>
              </w:rPr>
              <w:t xml:space="preserve"> anterior</w:t>
            </w:r>
            <w:r w:rsidR="00613118" w:rsidRPr="00D0018E">
              <w:rPr>
                <w:rFonts w:ascii="Arial" w:hAnsi="Arial" w:cs="Arial"/>
                <w:sz w:val="18"/>
                <w:szCs w:val="18"/>
              </w:rPr>
              <w:t>, el Instituto podrá considerar que existen potenciales riesgos de que ésta tiene por objeto o efecto obstaculizar, disminuir, dañar o impedir la competencia y la libre concurrencia</w:t>
            </w:r>
            <w:r w:rsidR="00E449F1" w:rsidRPr="00D0018E">
              <w:rPr>
                <w:rFonts w:ascii="Arial" w:hAnsi="Arial" w:cs="Arial"/>
                <w:sz w:val="18"/>
                <w:szCs w:val="18"/>
              </w:rPr>
              <w:t>,</w:t>
            </w:r>
            <w:r w:rsidR="00613118" w:rsidRPr="00D0018E">
              <w:rPr>
                <w:rFonts w:ascii="Arial" w:hAnsi="Arial" w:cs="Arial"/>
                <w:sz w:val="18"/>
                <w:szCs w:val="18"/>
              </w:rPr>
              <w:t xml:space="preserve"> si </w:t>
            </w:r>
            <w:r w:rsidR="00E449F1" w:rsidRPr="00D0018E">
              <w:rPr>
                <w:rFonts w:ascii="Arial" w:hAnsi="Arial" w:cs="Arial"/>
                <w:sz w:val="18"/>
                <w:szCs w:val="18"/>
              </w:rPr>
              <w:t>entre otras situaciones, l</w:t>
            </w:r>
            <w:r w:rsidR="00E449F1" w:rsidRPr="00D0018E">
              <w:rPr>
                <w:rFonts w:ascii="Arial" w:eastAsia="Times New Roman" w:hAnsi="Arial" w:cs="Arial"/>
                <w:sz w:val="18"/>
                <w:szCs w:val="18"/>
                <w:lang w:eastAsia="es-MX"/>
              </w:rPr>
              <w:t xml:space="preserve">os agentes económicos resultantes de la operación alcancen una participación superior al </w:t>
            </w:r>
            <w:r w:rsidR="00E449F1" w:rsidRPr="00D0018E">
              <w:rPr>
                <w:rFonts w:ascii="Arial" w:eastAsia="Times New Roman" w:hAnsi="Arial" w:cs="Arial"/>
                <w:b/>
                <w:bCs/>
                <w:sz w:val="18"/>
                <w:szCs w:val="18"/>
                <w:lang w:eastAsia="es-MX"/>
              </w:rPr>
              <w:t xml:space="preserve">35% (treinta y cinco por ciento) en cualquier </w:t>
            </w:r>
            <w:r w:rsidR="00E449F1" w:rsidRPr="00DD26F4">
              <w:rPr>
                <w:rFonts w:ascii="Arial" w:eastAsia="Times New Roman" w:hAnsi="Arial" w:cs="Arial"/>
                <w:b/>
                <w:bCs/>
                <w:sz w:val="18"/>
                <w:szCs w:val="18"/>
                <w:lang w:eastAsia="es-MX"/>
              </w:rPr>
              <w:t>mercado del sector de telecomunicaciones o superior al 30% (treinta por ciento) en cualquier mercado del sector de radiodifusión.</w:t>
            </w:r>
          </w:p>
          <w:p w14:paraId="11676050" w14:textId="77777777" w:rsidR="00E449F1" w:rsidRPr="00DD26F4" w:rsidRDefault="00E449F1" w:rsidP="00E449F1">
            <w:pPr>
              <w:pStyle w:val="Prrafodelista"/>
              <w:autoSpaceDE w:val="0"/>
              <w:autoSpaceDN w:val="0"/>
              <w:adjustRightInd w:val="0"/>
              <w:ind w:left="426"/>
              <w:contextualSpacing w:val="0"/>
              <w:rPr>
                <w:rFonts w:ascii="Arial" w:eastAsia="Times New Roman" w:hAnsi="Arial" w:cs="Arial"/>
                <w:color w:val="000000"/>
                <w:lang w:eastAsia="es-MX"/>
              </w:rPr>
            </w:pPr>
          </w:p>
          <w:p w14:paraId="177811B5" w14:textId="08981FF0" w:rsidR="008974D7" w:rsidRPr="00DD26F4" w:rsidRDefault="008974D7" w:rsidP="008974D7">
            <w:pPr>
              <w:autoSpaceDE w:val="0"/>
              <w:autoSpaceDN w:val="0"/>
              <w:adjustRightInd w:val="0"/>
              <w:spacing w:line="276" w:lineRule="auto"/>
              <w:jc w:val="both"/>
              <w:rPr>
                <w:rFonts w:ascii="Arial" w:hAnsi="Arial" w:cs="Arial"/>
                <w:sz w:val="18"/>
                <w:szCs w:val="18"/>
              </w:rPr>
            </w:pPr>
            <w:bookmarkStart w:id="1" w:name="_Toc432706536"/>
            <w:r w:rsidRPr="00DD26F4">
              <w:rPr>
                <w:rFonts w:ascii="Arial" w:hAnsi="Arial" w:cs="Arial"/>
                <w:sz w:val="18"/>
                <w:szCs w:val="18"/>
              </w:rPr>
              <w:t>Evaluación de la Propuesta</w:t>
            </w:r>
            <w:bookmarkEnd w:id="1"/>
            <w:r w:rsidRPr="00DD26F4">
              <w:rPr>
                <w:rFonts w:ascii="Arial" w:hAnsi="Arial" w:cs="Arial"/>
                <w:sz w:val="18"/>
                <w:szCs w:val="18"/>
              </w:rPr>
              <w:t xml:space="preserve"> de modificación:</w:t>
            </w:r>
          </w:p>
          <w:p w14:paraId="446AEE8E" w14:textId="77777777" w:rsidR="001D79CA" w:rsidRPr="00DD26F4" w:rsidRDefault="001D79CA" w:rsidP="008974D7">
            <w:pPr>
              <w:autoSpaceDE w:val="0"/>
              <w:autoSpaceDN w:val="0"/>
              <w:adjustRightInd w:val="0"/>
              <w:spacing w:line="276" w:lineRule="auto"/>
              <w:jc w:val="both"/>
              <w:rPr>
                <w:rFonts w:ascii="Arial" w:hAnsi="Arial" w:cs="Arial"/>
                <w:sz w:val="18"/>
                <w:szCs w:val="18"/>
              </w:rPr>
            </w:pPr>
          </w:p>
          <w:p w14:paraId="31DCB923" w14:textId="60320133" w:rsidR="001D79CA" w:rsidRPr="00DD26F4" w:rsidRDefault="008974D7" w:rsidP="008974D7">
            <w:pPr>
              <w:autoSpaceDE w:val="0"/>
              <w:autoSpaceDN w:val="0"/>
              <w:adjustRightInd w:val="0"/>
              <w:spacing w:line="276" w:lineRule="auto"/>
              <w:jc w:val="both"/>
              <w:rPr>
                <w:rFonts w:ascii="Arial" w:hAnsi="Arial" w:cs="Arial"/>
                <w:sz w:val="18"/>
                <w:szCs w:val="18"/>
              </w:rPr>
            </w:pPr>
            <w:r w:rsidRPr="00DD26F4">
              <w:rPr>
                <w:rFonts w:ascii="Arial" w:hAnsi="Arial" w:cs="Arial"/>
                <w:sz w:val="18"/>
                <w:szCs w:val="18"/>
              </w:rPr>
              <w:t>Este IFT ha condicionado operaciones en los que el IHH alcanza valores cercanos a los 2,500 puntos. Por ejemplo, en el caso de operaciones resueltas en abril de 2001 y que involucraron a Radio Tesoro, S.A. de C.V., Radio Armería, S.A. de C.V., ZZZ de Manzanillo, S.A. de C.V. y Radio XHEMAX, S.A. de C.V. (P/IFT/070421/157), así como a XERL, Sucesores de J. Roberto Levy, S.A. de C.V. (P/IFT/210421/184), el IFT las condicionó considerando los niveles de concentración de frecuencias identificadas y que habrían llegado a valores del IHH de 2,653 puntos y 2,500 puntos, respectivamente.</w:t>
            </w:r>
          </w:p>
          <w:p w14:paraId="0C4B146D" w14:textId="76478C42" w:rsidR="008974D7" w:rsidRPr="00DD26F4" w:rsidRDefault="008974D7" w:rsidP="008974D7">
            <w:pPr>
              <w:autoSpaceDE w:val="0"/>
              <w:autoSpaceDN w:val="0"/>
              <w:adjustRightInd w:val="0"/>
              <w:spacing w:line="276" w:lineRule="auto"/>
              <w:jc w:val="both"/>
              <w:rPr>
                <w:rFonts w:ascii="Arial" w:hAnsi="Arial" w:cs="Arial"/>
                <w:sz w:val="18"/>
                <w:szCs w:val="18"/>
              </w:rPr>
            </w:pPr>
            <w:r w:rsidRPr="00DD26F4">
              <w:rPr>
                <w:rFonts w:ascii="Arial" w:hAnsi="Arial" w:cs="Arial"/>
                <w:sz w:val="18"/>
                <w:szCs w:val="18"/>
              </w:rPr>
              <w:t xml:space="preserve"> </w:t>
            </w:r>
          </w:p>
          <w:p w14:paraId="375B5218" w14:textId="7BB7429C" w:rsidR="008974D7" w:rsidRPr="00DD26F4" w:rsidRDefault="008974D7" w:rsidP="008974D7">
            <w:pPr>
              <w:autoSpaceDE w:val="0"/>
              <w:autoSpaceDN w:val="0"/>
              <w:adjustRightInd w:val="0"/>
              <w:spacing w:line="276" w:lineRule="auto"/>
              <w:jc w:val="both"/>
              <w:rPr>
                <w:rFonts w:ascii="Arial" w:hAnsi="Arial" w:cs="Arial"/>
                <w:sz w:val="18"/>
                <w:szCs w:val="18"/>
              </w:rPr>
            </w:pPr>
            <w:r w:rsidRPr="00DD26F4">
              <w:rPr>
                <w:rFonts w:ascii="Arial" w:hAnsi="Arial" w:cs="Arial"/>
                <w:sz w:val="18"/>
                <w:szCs w:val="18"/>
              </w:rPr>
              <w:t>Igualmente, se observa que, en aquellos mercados donde han existido procesos de licitación en radiodifusión sonora en la banda FM, los niveles de concentración se han reducido significativamente, por lo cual, considerando los mercados donde se observan 3 (tres) o más competidores, el valor promedio alcanzado por el IHH se ubica en alrededor de los 2,700 puntos. Con procesos de licitación hacia adelante, se prevé que esos niveles de concentración se reducirán aún más.</w:t>
            </w:r>
          </w:p>
          <w:p w14:paraId="40836524" w14:textId="77777777" w:rsidR="001D79CA" w:rsidRPr="00DD26F4" w:rsidRDefault="001D79CA" w:rsidP="008974D7">
            <w:pPr>
              <w:autoSpaceDE w:val="0"/>
              <w:autoSpaceDN w:val="0"/>
              <w:adjustRightInd w:val="0"/>
              <w:spacing w:line="276" w:lineRule="auto"/>
              <w:jc w:val="both"/>
              <w:rPr>
                <w:rFonts w:ascii="Arial" w:hAnsi="Arial" w:cs="Arial"/>
                <w:sz w:val="18"/>
                <w:szCs w:val="18"/>
              </w:rPr>
            </w:pPr>
          </w:p>
          <w:p w14:paraId="45693AE9" w14:textId="0200FBF4" w:rsidR="008974D7" w:rsidRPr="00DD26F4" w:rsidRDefault="008974D7" w:rsidP="008974D7">
            <w:pPr>
              <w:autoSpaceDE w:val="0"/>
              <w:autoSpaceDN w:val="0"/>
              <w:adjustRightInd w:val="0"/>
              <w:spacing w:line="276" w:lineRule="auto"/>
              <w:jc w:val="both"/>
              <w:rPr>
                <w:rFonts w:ascii="Arial" w:hAnsi="Arial" w:cs="Arial"/>
                <w:sz w:val="18"/>
                <w:szCs w:val="18"/>
              </w:rPr>
            </w:pPr>
            <w:r w:rsidRPr="00DD26F4">
              <w:rPr>
                <w:rFonts w:ascii="Arial" w:hAnsi="Arial" w:cs="Arial"/>
                <w:sz w:val="18"/>
                <w:szCs w:val="18"/>
              </w:rPr>
              <w:t>Considerando lo anterior y ante los procesos de licitación de espectro implementadas por el IFT que están reduciendo los niveles de concentración en los mercados, se observa que la modificación propuesta, de reducir el umbral máximo del IHH que corresponde a niveles de concentración moderados de 3,000 a 2,500 puntos</w:t>
            </w:r>
            <w:r w:rsidR="001D79CA" w:rsidRPr="00DD26F4">
              <w:rPr>
                <w:rFonts w:ascii="Arial" w:hAnsi="Arial" w:cs="Arial"/>
                <w:sz w:val="18"/>
                <w:szCs w:val="18"/>
              </w:rPr>
              <w:t xml:space="preserve">, así como </w:t>
            </w:r>
            <w:r w:rsidR="00DF1A14" w:rsidRPr="00DD26F4">
              <w:rPr>
                <w:rFonts w:ascii="Arial" w:hAnsi="Arial" w:cs="Arial"/>
                <w:sz w:val="18"/>
                <w:szCs w:val="18"/>
              </w:rPr>
              <w:t xml:space="preserve">disminuir el umbral mínimo del IHH que corresponde a niveles de concentración elevados </w:t>
            </w:r>
            <w:r w:rsidR="00DF1A14" w:rsidRPr="00DD26F4">
              <w:rPr>
                <w:rFonts w:ascii="Arial" w:hAnsi="Arial" w:cs="Arial"/>
                <w:sz w:val="18"/>
                <w:szCs w:val="18"/>
              </w:rPr>
              <w:lastRenderedPageBreak/>
              <w:t xml:space="preserve">para que </w:t>
            </w:r>
            <w:r w:rsidR="00BF423E" w:rsidRPr="00DD26F4">
              <w:rPr>
                <w:rFonts w:ascii="Arial" w:hAnsi="Arial" w:cs="Arial"/>
                <w:sz w:val="18"/>
                <w:szCs w:val="18"/>
              </w:rPr>
              <w:t xml:space="preserve">esos niveles de concentración elevados queden por encima de los </w:t>
            </w:r>
            <w:r w:rsidR="001D79CA" w:rsidRPr="00DD26F4">
              <w:rPr>
                <w:rFonts w:ascii="Arial" w:hAnsi="Arial" w:cs="Arial"/>
                <w:sz w:val="18"/>
                <w:szCs w:val="18"/>
              </w:rPr>
              <w:t>2,500 puntos</w:t>
            </w:r>
            <w:r w:rsidRPr="00DD26F4">
              <w:rPr>
                <w:rFonts w:ascii="Arial" w:hAnsi="Arial" w:cs="Arial"/>
                <w:sz w:val="18"/>
                <w:szCs w:val="18"/>
              </w:rPr>
              <w:t>, es importante para, en su caso y previo análisis de todos los elementos a ser considerados en materia de competencia</w:t>
            </w:r>
            <w:r w:rsidR="001D79CA" w:rsidRPr="00DD26F4">
              <w:rPr>
                <w:rFonts w:ascii="Arial" w:hAnsi="Arial" w:cs="Arial"/>
                <w:sz w:val="18"/>
                <w:szCs w:val="18"/>
              </w:rPr>
              <w:t xml:space="preserve"> económica</w:t>
            </w:r>
            <w:r w:rsidRPr="00DD26F4">
              <w:rPr>
                <w:rFonts w:ascii="Arial" w:hAnsi="Arial" w:cs="Arial"/>
                <w:sz w:val="18"/>
                <w:szCs w:val="18"/>
              </w:rPr>
              <w:t>, evitar la autorización de operaciones con altas probabilidades de afectar la competencia.</w:t>
            </w:r>
          </w:p>
          <w:p w14:paraId="077BE675" w14:textId="77777777" w:rsidR="001D79CA" w:rsidRPr="00DD26F4" w:rsidRDefault="001D79CA" w:rsidP="008974D7">
            <w:pPr>
              <w:autoSpaceDE w:val="0"/>
              <w:autoSpaceDN w:val="0"/>
              <w:adjustRightInd w:val="0"/>
              <w:spacing w:line="276" w:lineRule="auto"/>
              <w:jc w:val="both"/>
              <w:rPr>
                <w:rFonts w:ascii="Arial" w:hAnsi="Arial" w:cs="Arial"/>
                <w:sz w:val="18"/>
                <w:szCs w:val="18"/>
              </w:rPr>
            </w:pPr>
          </w:p>
          <w:p w14:paraId="6F7405B6" w14:textId="0BCBE355" w:rsidR="008974D7" w:rsidRPr="00DD26F4" w:rsidRDefault="008974D7" w:rsidP="008974D7">
            <w:pPr>
              <w:autoSpaceDE w:val="0"/>
              <w:autoSpaceDN w:val="0"/>
              <w:adjustRightInd w:val="0"/>
              <w:spacing w:line="276" w:lineRule="auto"/>
              <w:jc w:val="both"/>
              <w:rPr>
                <w:rFonts w:ascii="Arial" w:hAnsi="Arial" w:cs="Arial"/>
                <w:sz w:val="18"/>
                <w:szCs w:val="18"/>
              </w:rPr>
            </w:pPr>
            <w:r w:rsidRPr="00DD26F4">
              <w:rPr>
                <w:rFonts w:ascii="Arial" w:hAnsi="Arial" w:cs="Arial"/>
                <w:sz w:val="18"/>
                <w:szCs w:val="18"/>
              </w:rPr>
              <w:t xml:space="preserve">En el sector de telecomunicaciones, los niveles de concentración se mantienen elevados por encima de los </w:t>
            </w:r>
            <w:r w:rsidR="001D79CA" w:rsidRPr="00DD26F4">
              <w:rPr>
                <w:rFonts w:ascii="Arial" w:hAnsi="Arial" w:cs="Arial"/>
                <w:sz w:val="18"/>
                <w:szCs w:val="18"/>
              </w:rPr>
              <w:t>2</w:t>
            </w:r>
            <w:r w:rsidRPr="00DD26F4">
              <w:rPr>
                <w:rFonts w:ascii="Arial" w:hAnsi="Arial" w:cs="Arial"/>
                <w:sz w:val="18"/>
                <w:szCs w:val="18"/>
              </w:rPr>
              <w:t>,</w:t>
            </w:r>
            <w:r w:rsidR="001D79CA" w:rsidRPr="00DD26F4">
              <w:rPr>
                <w:rFonts w:ascii="Arial" w:hAnsi="Arial" w:cs="Arial"/>
                <w:sz w:val="18"/>
                <w:szCs w:val="18"/>
              </w:rPr>
              <w:t>5</w:t>
            </w:r>
            <w:r w:rsidRPr="00DD26F4">
              <w:rPr>
                <w:rFonts w:ascii="Arial" w:hAnsi="Arial" w:cs="Arial"/>
                <w:sz w:val="18"/>
                <w:szCs w:val="18"/>
              </w:rPr>
              <w:t>00 puntos. Además, no se han rechazado operaciones en las que el agente económico resultante de la operación tiene el 35% o menos de participación de mercado; igualmente, en procesos de licitación se han incluido umbrales que llegan al 35%.</w:t>
            </w:r>
          </w:p>
          <w:p w14:paraId="27DCF1C5" w14:textId="77777777" w:rsidR="001D79CA" w:rsidRPr="00DD26F4" w:rsidRDefault="001D79CA" w:rsidP="008974D7">
            <w:pPr>
              <w:autoSpaceDE w:val="0"/>
              <w:autoSpaceDN w:val="0"/>
              <w:adjustRightInd w:val="0"/>
              <w:spacing w:line="276" w:lineRule="auto"/>
              <w:jc w:val="both"/>
              <w:rPr>
                <w:rFonts w:ascii="Arial" w:hAnsi="Arial" w:cs="Arial"/>
                <w:sz w:val="18"/>
                <w:szCs w:val="18"/>
              </w:rPr>
            </w:pPr>
          </w:p>
          <w:p w14:paraId="510BFC32" w14:textId="6233EDC1" w:rsidR="008974D7" w:rsidRPr="00DD26F4" w:rsidRDefault="008974D7" w:rsidP="008974D7">
            <w:pPr>
              <w:autoSpaceDE w:val="0"/>
              <w:autoSpaceDN w:val="0"/>
              <w:adjustRightInd w:val="0"/>
              <w:spacing w:line="276" w:lineRule="auto"/>
              <w:jc w:val="both"/>
              <w:rPr>
                <w:rFonts w:ascii="Arial" w:hAnsi="Arial" w:cs="Arial"/>
                <w:sz w:val="18"/>
                <w:szCs w:val="18"/>
              </w:rPr>
            </w:pPr>
            <w:r w:rsidRPr="00DD26F4">
              <w:rPr>
                <w:rFonts w:ascii="Arial" w:hAnsi="Arial" w:cs="Arial"/>
                <w:sz w:val="18"/>
                <w:szCs w:val="18"/>
              </w:rPr>
              <w:t xml:space="preserve">No obstante, en el sector de radiodifusión, los niveles de concentración han experimentado reducciones como resultado de procesos de licitación, principalmente en mercados que involucran frecuencias en la banda FM. Al respecto, las bases de las licitaciones en radiodifusión sonora utilizan como umbral un porcentaje de acumulación máximo de 30%. Además, este IFT no rechazado operaciones en las que los agentes económicos tienen el 30% o menos de participación en el mercado en procedimientos que han involucrado trámites regulatorios. </w:t>
            </w:r>
          </w:p>
          <w:p w14:paraId="7D34E11F" w14:textId="77777777" w:rsidR="001D79CA" w:rsidRPr="00DD26F4" w:rsidRDefault="001D79CA" w:rsidP="008974D7">
            <w:pPr>
              <w:autoSpaceDE w:val="0"/>
              <w:autoSpaceDN w:val="0"/>
              <w:adjustRightInd w:val="0"/>
              <w:spacing w:line="276" w:lineRule="auto"/>
              <w:jc w:val="both"/>
              <w:rPr>
                <w:rFonts w:ascii="Arial" w:hAnsi="Arial" w:cs="Arial"/>
                <w:sz w:val="18"/>
                <w:szCs w:val="18"/>
              </w:rPr>
            </w:pPr>
          </w:p>
          <w:p w14:paraId="703764A2" w14:textId="0D402C66" w:rsidR="00402372" w:rsidRPr="00D0018E" w:rsidRDefault="008974D7" w:rsidP="0079703B">
            <w:pPr>
              <w:shd w:val="clear" w:color="auto" w:fill="FFFFFF" w:themeFill="background1"/>
              <w:jc w:val="both"/>
              <w:rPr>
                <w:rFonts w:ascii="Arial" w:hAnsi="Arial" w:cs="Arial"/>
                <w:sz w:val="18"/>
                <w:szCs w:val="18"/>
              </w:rPr>
            </w:pPr>
            <w:r w:rsidRPr="00DD26F4">
              <w:rPr>
                <w:rFonts w:ascii="Arial" w:hAnsi="Arial" w:cs="Arial"/>
                <w:sz w:val="18"/>
                <w:szCs w:val="18"/>
              </w:rPr>
              <w:t>Por lo anterior, sólo para el caso del sector de radiodifusión, se considera necesario cambiar el umbral del 35% que se identifica en el Artículo 7 del Criterio Técnico y reducirlo a 30%.</w:t>
            </w:r>
          </w:p>
        </w:tc>
      </w:tr>
    </w:tbl>
    <w:p w14:paraId="1B36281E" w14:textId="77777777" w:rsidR="00DC671E" w:rsidRPr="00D0018E" w:rsidRDefault="00DC671E" w:rsidP="00DC671E">
      <w:pPr>
        <w:shd w:val="clear" w:color="auto" w:fill="FFFFFF" w:themeFill="background1"/>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DC671E" w:rsidRPr="00D0018E" w14:paraId="6218FA3D" w14:textId="77777777" w:rsidTr="00402372">
        <w:tc>
          <w:tcPr>
            <w:tcW w:w="8828" w:type="dxa"/>
          </w:tcPr>
          <w:p w14:paraId="07ADB702" w14:textId="77777777" w:rsidR="00DC671E" w:rsidRPr="00D0018E" w:rsidRDefault="00DC671E" w:rsidP="00402372">
            <w:pPr>
              <w:jc w:val="both"/>
              <w:rPr>
                <w:rFonts w:ascii="Arial" w:hAnsi="Arial" w:cs="Arial"/>
                <w:b/>
                <w:sz w:val="18"/>
                <w:szCs w:val="18"/>
              </w:rPr>
            </w:pPr>
            <w:r w:rsidRPr="00D0018E">
              <w:rPr>
                <w:rFonts w:ascii="Arial" w:hAnsi="Arial" w:cs="Arial"/>
                <w:b/>
                <w:sz w:val="18"/>
                <w:szCs w:val="18"/>
              </w:rPr>
              <w:t>4.- Identifique los grupos de la población, de consumidores, usuarios, audiencias, población indígena y/o industria del sector de telecomunicaciones y radiodifusión que serían impactados por la propuesta de regulación.</w:t>
            </w:r>
          </w:p>
          <w:p w14:paraId="2E526C5E" w14:textId="77777777" w:rsidR="00DC671E" w:rsidRPr="00D0018E" w:rsidRDefault="00DC671E" w:rsidP="00A65B88">
            <w:pPr>
              <w:spacing w:line="276" w:lineRule="auto"/>
              <w:jc w:val="both"/>
              <w:rPr>
                <w:rFonts w:ascii="Arial" w:hAnsi="Arial" w:cs="Arial"/>
                <w:sz w:val="18"/>
                <w:szCs w:val="18"/>
              </w:rPr>
            </w:pPr>
          </w:p>
          <w:p w14:paraId="202C4947" w14:textId="1FD459B2" w:rsidR="0077147F" w:rsidRPr="00D0018E" w:rsidRDefault="00DC671E" w:rsidP="00A65B88">
            <w:pPr>
              <w:spacing w:line="276" w:lineRule="auto"/>
              <w:jc w:val="both"/>
              <w:rPr>
                <w:rFonts w:ascii="Arial" w:hAnsi="Arial" w:cs="Arial"/>
                <w:sz w:val="18"/>
                <w:szCs w:val="18"/>
              </w:rPr>
            </w:pPr>
            <w:r w:rsidRPr="00D0018E">
              <w:rPr>
                <w:rFonts w:ascii="Arial" w:hAnsi="Arial" w:cs="Arial"/>
                <w:sz w:val="18"/>
                <w:szCs w:val="18"/>
              </w:rPr>
              <w:t xml:space="preserve">La propuesta de regulación contempla un impacto favorable </w:t>
            </w:r>
            <w:r w:rsidR="002C498F" w:rsidRPr="00D0018E">
              <w:rPr>
                <w:rFonts w:ascii="Arial" w:hAnsi="Arial" w:cs="Arial"/>
                <w:sz w:val="18"/>
                <w:szCs w:val="18"/>
              </w:rPr>
              <w:t xml:space="preserve">a la competencia económica y, por ende, a la sociedad en general, </w:t>
            </w:r>
            <w:r w:rsidR="00CE1753" w:rsidRPr="00D0018E">
              <w:rPr>
                <w:rFonts w:ascii="Arial" w:hAnsi="Arial" w:cs="Arial"/>
                <w:sz w:val="18"/>
                <w:szCs w:val="18"/>
              </w:rPr>
              <w:t xml:space="preserve">ya que </w:t>
            </w:r>
            <w:r w:rsidR="002C498F" w:rsidRPr="00D0018E">
              <w:rPr>
                <w:rFonts w:ascii="Arial" w:hAnsi="Arial" w:cs="Arial"/>
                <w:sz w:val="18"/>
                <w:szCs w:val="18"/>
              </w:rPr>
              <w:t xml:space="preserve">el Instituto podrá </w:t>
            </w:r>
            <w:r w:rsidR="00CE1753" w:rsidRPr="00D0018E">
              <w:rPr>
                <w:rFonts w:ascii="Arial" w:hAnsi="Arial" w:cs="Arial"/>
                <w:sz w:val="18"/>
                <w:szCs w:val="18"/>
              </w:rPr>
              <w:t xml:space="preserve">continuar </w:t>
            </w:r>
            <w:r w:rsidR="002C498F" w:rsidRPr="00D0018E">
              <w:rPr>
                <w:rFonts w:ascii="Arial" w:hAnsi="Arial" w:cs="Arial"/>
                <w:sz w:val="18"/>
                <w:szCs w:val="18"/>
              </w:rPr>
              <w:t>utiliza</w:t>
            </w:r>
            <w:r w:rsidR="00CE1753" w:rsidRPr="00D0018E">
              <w:rPr>
                <w:rFonts w:ascii="Arial" w:hAnsi="Arial" w:cs="Arial"/>
                <w:sz w:val="18"/>
                <w:szCs w:val="18"/>
              </w:rPr>
              <w:t>ndo</w:t>
            </w:r>
            <w:r w:rsidR="002C498F" w:rsidRPr="00D0018E">
              <w:rPr>
                <w:rFonts w:ascii="Arial" w:hAnsi="Arial" w:cs="Arial"/>
                <w:sz w:val="18"/>
                <w:szCs w:val="18"/>
              </w:rPr>
              <w:t xml:space="preserve"> </w:t>
            </w:r>
            <w:r w:rsidR="00CE1753" w:rsidRPr="00D0018E">
              <w:rPr>
                <w:rFonts w:ascii="Arial" w:hAnsi="Arial" w:cs="Arial"/>
                <w:sz w:val="18"/>
                <w:szCs w:val="18"/>
              </w:rPr>
              <w:t xml:space="preserve">el índice </w:t>
            </w:r>
            <w:r w:rsidR="002C498F" w:rsidRPr="00D0018E">
              <w:rPr>
                <w:rFonts w:ascii="Arial" w:hAnsi="Arial" w:cs="Arial"/>
                <w:sz w:val="18"/>
                <w:szCs w:val="18"/>
              </w:rPr>
              <w:t>como uno de los elementos para determinar si una concentración pudiera tener potenciales efectos contrarios a la competencia y la libre concurrencia</w:t>
            </w:r>
            <w:r w:rsidR="00CE1753" w:rsidRPr="00D0018E">
              <w:rPr>
                <w:rFonts w:ascii="Arial" w:hAnsi="Arial" w:cs="Arial"/>
                <w:sz w:val="18"/>
                <w:szCs w:val="18"/>
              </w:rPr>
              <w:t>, conforme lo establecido en la LFCE.</w:t>
            </w:r>
          </w:p>
          <w:p w14:paraId="58287214" w14:textId="77777777" w:rsidR="0077147F" w:rsidRPr="00D0018E" w:rsidRDefault="0077147F" w:rsidP="00A65B88">
            <w:pPr>
              <w:spacing w:line="276" w:lineRule="auto"/>
              <w:jc w:val="both"/>
              <w:rPr>
                <w:rFonts w:ascii="Arial" w:hAnsi="Arial" w:cs="Arial"/>
                <w:sz w:val="18"/>
                <w:szCs w:val="18"/>
              </w:rPr>
            </w:pPr>
          </w:p>
          <w:p w14:paraId="50BA687F" w14:textId="5338ADD0" w:rsidR="00DC671E" w:rsidRPr="00D0018E" w:rsidRDefault="0079703B" w:rsidP="00A65B88">
            <w:pPr>
              <w:spacing w:line="276" w:lineRule="auto"/>
              <w:jc w:val="both"/>
              <w:rPr>
                <w:rFonts w:ascii="Arial" w:hAnsi="Arial" w:cs="Arial"/>
                <w:sz w:val="18"/>
                <w:szCs w:val="18"/>
              </w:rPr>
            </w:pPr>
            <w:r w:rsidRPr="00D0018E">
              <w:rPr>
                <w:rFonts w:ascii="Arial" w:hAnsi="Arial" w:cs="Arial"/>
                <w:sz w:val="18"/>
                <w:szCs w:val="18"/>
              </w:rPr>
              <w:t xml:space="preserve">Sin embargo, con mayor precisión, la modificación que se propone es de interés </w:t>
            </w:r>
            <w:r w:rsidR="0077147F" w:rsidRPr="00D0018E">
              <w:rPr>
                <w:rFonts w:ascii="Arial" w:hAnsi="Arial" w:cs="Arial"/>
                <w:sz w:val="18"/>
                <w:szCs w:val="18"/>
              </w:rPr>
              <w:t>específico</w:t>
            </w:r>
            <w:r w:rsidRPr="00D0018E">
              <w:rPr>
                <w:rFonts w:ascii="Arial" w:hAnsi="Arial" w:cs="Arial"/>
                <w:sz w:val="18"/>
                <w:szCs w:val="18"/>
              </w:rPr>
              <w:t xml:space="preserve"> para aquellos agentes económicos que, en términos de</w:t>
            </w:r>
            <w:r w:rsidR="00CE1753" w:rsidRPr="00D0018E">
              <w:rPr>
                <w:rFonts w:ascii="Arial" w:hAnsi="Arial" w:cs="Arial"/>
                <w:sz w:val="18"/>
                <w:szCs w:val="18"/>
              </w:rPr>
              <w:t xml:space="preserve"> esa legislación</w:t>
            </w:r>
            <w:r w:rsidRPr="00D0018E">
              <w:rPr>
                <w:rFonts w:ascii="Arial" w:hAnsi="Arial" w:cs="Arial"/>
                <w:sz w:val="18"/>
                <w:szCs w:val="18"/>
              </w:rPr>
              <w:t>, se encuentr</w:t>
            </w:r>
            <w:r w:rsidR="005629C7" w:rsidRPr="00D0018E">
              <w:rPr>
                <w:rFonts w:ascii="Arial" w:hAnsi="Arial" w:cs="Arial"/>
                <w:sz w:val="18"/>
                <w:szCs w:val="18"/>
              </w:rPr>
              <w:t>a</w:t>
            </w:r>
            <w:r w:rsidRPr="00D0018E">
              <w:rPr>
                <w:rFonts w:ascii="Arial" w:hAnsi="Arial" w:cs="Arial"/>
                <w:sz w:val="18"/>
                <w:szCs w:val="18"/>
              </w:rPr>
              <w:t xml:space="preserve">n obligados a notificar una concentración </w:t>
            </w:r>
            <w:r w:rsidR="00CE1753" w:rsidRPr="00D0018E">
              <w:rPr>
                <w:rFonts w:ascii="Arial" w:hAnsi="Arial" w:cs="Arial"/>
                <w:sz w:val="18"/>
                <w:szCs w:val="18"/>
              </w:rPr>
              <w:t xml:space="preserve">que acontezca o tenga sus efectos en </w:t>
            </w:r>
            <w:r w:rsidR="0077147F" w:rsidRPr="00D0018E">
              <w:rPr>
                <w:rFonts w:ascii="Arial" w:hAnsi="Arial" w:cs="Arial"/>
                <w:sz w:val="18"/>
                <w:szCs w:val="18"/>
              </w:rPr>
              <w:t>los sectores de telecomunicaciones y radiodifusión</w:t>
            </w:r>
            <w:r w:rsidRPr="00D0018E">
              <w:rPr>
                <w:rFonts w:ascii="Arial" w:hAnsi="Arial" w:cs="Arial"/>
                <w:sz w:val="18"/>
                <w:szCs w:val="18"/>
              </w:rPr>
              <w:t>.</w:t>
            </w:r>
          </w:p>
          <w:p w14:paraId="184DAE47" w14:textId="772390F0" w:rsidR="009D5A20" w:rsidRPr="00D0018E" w:rsidRDefault="009D5A20" w:rsidP="0079703B">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3988"/>
              <w:gridCol w:w="4614"/>
            </w:tblGrid>
            <w:tr w:rsidR="009D5A20" w:rsidRPr="00D0018E" w14:paraId="28610A27" w14:textId="77777777" w:rsidTr="00A42ED7">
              <w:trPr>
                <w:jc w:val="center"/>
              </w:trPr>
              <w:tc>
                <w:tcPr>
                  <w:tcW w:w="3988" w:type="dxa"/>
                  <w:shd w:val="clear" w:color="auto" w:fill="A8D08D" w:themeFill="accent6" w:themeFillTint="99"/>
                </w:tcPr>
                <w:p w14:paraId="7AFFADC4" w14:textId="77777777" w:rsidR="009D5A20" w:rsidRPr="00D0018E" w:rsidRDefault="009D5A20" w:rsidP="009D5A20">
                  <w:pPr>
                    <w:jc w:val="center"/>
                    <w:rPr>
                      <w:rFonts w:ascii="Arial" w:hAnsi="Arial" w:cs="Arial"/>
                      <w:b/>
                      <w:sz w:val="18"/>
                      <w:szCs w:val="18"/>
                    </w:rPr>
                  </w:pPr>
                  <w:r w:rsidRPr="00D0018E">
                    <w:rPr>
                      <w:rFonts w:ascii="Arial" w:hAnsi="Arial" w:cs="Arial"/>
                      <w:b/>
                      <w:sz w:val="18"/>
                      <w:szCs w:val="18"/>
                    </w:rPr>
                    <w:t>Población</w:t>
                  </w:r>
                </w:p>
              </w:tc>
              <w:tc>
                <w:tcPr>
                  <w:tcW w:w="4614" w:type="dxa"/>
                  <w:shd w:val="clear" w:color="auto" w:fill="A8D08D" w:themeFill="accent6" w:themeFillTint="99"/>
                </w:tcPr>
                <w:p w14:paraId="3DBA1FC1" w14:textId="77777777" w:rsidR="009D5A20" w:rsidRPr="00D0018E" w:rsidRDefault="009D5A20" w:rsidP="009D5A20">
                  <w:pPr>
                    <w:jc w:val="center"/>
                    <w:rPr>
                      <w:rFonts w:ascii="Arial" w:hAnsi="Arial" w:cs="Arial"/>
                      <w:b/>
                      <w:sz w:val="18"/>
                      <w:szCs w:val="18"/>
                    </w:rPr>
                  </w:pPr>
                  <w:r w:rsidRPr="00D0018E">
                    <w:rPr>
                      <w:rFonts w:ascii="Arial" w:hAnsi="Arial" w:cs="Arial"/>
                      <w:b/>
                      <w:sz w:val="18"/>
                      <w:szCs w:val="18"/>
                    </w:rPr>
                    <w:t>Cantidad</w:t>
                  </w:r>
                </w:p>
              </w:tc>
            </w:tr>
            <w:tr w:rsidR="009D5A20" w:rsidRPr="00D0018E" w14:paraId="74F20B9B" w14:textId="77777777" w:rsidTr="00A42ED7">
              <w:trPr>
                <w:jc w:val="center"/>
              </w:trPr>
              <w:tc>
                <w:tcPr>
                  <w:tcW w:w="3988" w:type="dxa"/>
                  <w:shd w:val="clear" w:color="auto" w:fill="E2EFD9" w:themeFill="accent6" w:themeFillTint="33"/>
                </w:tcPr>
                <w:p w14:paraId="2DCF483F" w14:textId="77777777" w:rsidR="009D5A20" w:rsidRPr="00D0018E" w:rsidRDefault="009D5A20" w:rsidP="009D5A20">
                  <w:pPr>
                    <w:jc w:val="both"/>
                    <w:rPr>
                      <w:rFonts w:ascii="Arial" w:hAnsi="Arial" w:cs="Arial"/>
                      <w:b/>
                      <w:sz w:val="18"/>
                      <w:szCs w:val="18"/>
                    </w:rPr>
                  </w:pPr>
                  <w:r w:rsidRPr="00D0018E">
                    <w:rPr>
                      <w:rFonts w:ascii="Arial" w:hAnsi="Arial" w:cs="Arial"/>
                      <w:b/>
                      <w:sz w:val="18"/>
                      <w:szCs w:val="18"/>
                    </w:rPr>
                    <w:t xml:space="preserve">Agentes económicos </w:t>
                  </w:r>
                </w:p>
              </w:tc>
              <w:tc>
                <w:tcPr>
                  <w:tcW w:w="4614" w:type="dxa"/>
                  <w:shd w:val="clear" w:color="auto" w:fill="E2EFD9" w:themeFill="accent6" w:themeFillTint="33"/>
                </w:tcPr>
                <w:p w14:paraId="041356B5" w14:textId="7FA72FBC" w:rsidR="009D5A20" w:rsidRPr="00D0018E" w:rsidRDefault="009D5A20" w:rsidP="009D5A20">
                  <w:pPr>
                    <w:jc w:val="center"/>
                    <w:rPr>
                      <w:rFonts w:ascii="Arial" w:hAnsi="Arial" w:cs="Arial"/>
                      <w:b/>
                      <w:sz w:val="18"/>
                      <w:szCs w:val="18"/>
                    </w:rPr>
                  </w:pPr>
                  <w:r w:rsidRPr="00D0018E">
                    <w:rPr>
                      <w:rFonts w:ascii="Arial" w:hAnsi="Arial" w:cs="Arial"/>
                      <w:sz w:val="18"/>
                      <w:szCs w:val="18"/>
                    </w:rPr>
                    <w:t>Indeterminada</w:t>
                  </w:r>
                </w:p>
              </w:tc>
            </w:tr>
            <w:tr w:rsidR="009D5A20" w:rsidRPr="00D0018E" w14:paraId="3CA60A6B" w14:textId="77777777" w:rsidTr="00A42ED7">
              <w:trPr>
                <w:jc w:val="center"/>
              </w:trPr>
              <w:tc>
                <w:tcPr>
                  <w:tcW w:w="3988" w:type="dxa"/>
                  <w:shd w:val="clear" w:color="auto" w:fill="E2EFD9" w:themeFill="accent6" w:themeFillTint="33"/>
                </w:tcPr>
                <w:p w14:paraId="04B43FCF" w14:textId="75F9ACBD" w:rsidR="009D5A20" w:rsidRPr="00D0018E" w:rsidRDefault="009D5A20" w:rsidP="009D5A20">
                  <w:pPr>
                    <w:jc w:val="both"/>
                    <w:rPr>
                      <w:rFonts w:ascii="Arial" w:hAnsi="Arial" w:cs="Arial"/>
                      <w:b/>
                      <w:sz w:val="18"/>
                      <w:szCs w:val="18"/>
                    </w:rPr>
                  </w:pPr>
                </w:p>
              </w:tc>
              <w:tc>
                <w:tcPr>
                  <w:tcW w:w="4614" w:type="dxa"/>
                  <w:shd w:val="clear" w:color="auto" w:fill="E2EFD9" w:themeFill="accent6" w:themeFillTint="33"/>
                </w:tcPr>
                <w:p w14:paraId="12009D7A" w14:textId="278FBD6A" w:rsidR="009D5A20" w:rsidRPr="00D0018E" w:rsidRDefault="009D5A20" w:rsidP="009D5A20">
                  <w:pPr>
                    <w:jc w:val="both"/>
                    <w:rPr>
                      <w:rFonts w:ascii="Arial" w:hAnsi="Arial" w:cs="Arial"/>
                      <w:sz w:val="18"/>
                      <w:szCs w:val="18"/>
                    </w:rPr>
                  </w:pPr>
                </w:p>
              </w:tc>
            </w:tr>
          </w:tbl>
          <w:p w14:paraId="2A7C3B67" w14:textId="77777777" w:rsidR="009D5A20" w:rsidRPr="00D0018E" w:rsidRDefault="009D5A20" w:rsidP="0079703B">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8602"/>
            </w:tblGrid>
            <w:tr w:rsidR="009D5A20" w:rsidRPr="00D0018E" w14:paraId="25E8C073" w14:textId="77777777" w:rsidTr="00A42ED7">
              <w:trPr>
                <w:jc w:val="center"/>
              </w:trPr>
              <w:tc>
                <w:tcPr>
                  <w:tcW w:w="8602" w:type="dxa"/>
                  <w:shd w:val="clear" w:color="auto" w:fill="A8D08D" w:themeFill="accent6" w:themeFillTint="99"/>
                </w:tcPr>
                <w:p w14:paraId="2AEECAD9" w14:textId="77777777" w:rsidR="009D5A20" w:rsidRPr="00D0018E" w:rsidRDefault="009D5A20" w:rsidP="009D5A20">
                  <w:pPr>
                    <w:jc w:val="both"/>
                    <w:rPr>
                      <w:rFonts w:ascii="Arial" w:hAnsi="Arial" w:cs="Arial"/>
                      <w:b/>
                      <w:sz w:val="18"/>
                      <w:szCs w:val="18"/>
                    </w:rPr>
                  </w:pPr>
                  <w:r w:rsidRPr="00D0018E">
                    <w:rPr>
                      <w:rFonts w:ascii="Arial" w:hAnsi="Arial" w:cs="Arial"/>
                      <w:b/>
                      <w:sz w:val="18"/>
                      <w:szCs w:val="18"/>
                    </w:rPr>
                    <w:t>Subsector o mercado impactado por la propuesta de regulación</w:t>
                  </w:r>
                </w:p>
              </w:tc>
            </w:tr>
            <w:tr w:rsidR="009D5A20" w:rsidRPr="00D0018E" w14:paraId="41539240" w14:textId="77777777" w:rsidTr="00A42ED7">
              <w:trPr>
                <w:jc w:val="center"/>
              </w:trPr>
              <w:tc>
                <w:tcPr>
                  <w:tcW w:w="8602" w:type="dxa"/>
                  <w:shd w:val="clear" w:color="auto" w:fill="E2EFD9" w:themeFill="accent6" w:themeFillTint="33"/>
                </w:tcPr>
                <w:p w14:paraId="6D2BB88B" w14:textId="29C0BA81" w:rsidR="009D5A20" w:rsidRPr="00D0018E" w:rsidRDefault="009D5A20" w:rsidP="009D5A20">
                  <w:pPr>
                    <w:jc w:val="both"/>
                    <w:rPr>
                      <w:rFonts w:ascii="Arial" w:hAnsi="Arial" w:cs="Arial"/>
                      <w:b/>
                      <w:sz w:val="18"/>
                      <w:szCs w:val="18"/>
                    </w:rPr>
                  </w:pPr>
                  <w:r w:rsidRPr="00D0018E">
                    <w:rPr>
                      <w:rFonts w:ascii="Arial" w:hAnsi="Arial" w:cs="Arial"/>
                      <w:sz w:val="18"/>
                      <w:szCs w:val="18"/>
                    </w:rPr>
                    <w:t xml:space="preserve">Todos los subsectores o mercados pertenecientes al sector de telecomunicaciones y radiodifusión </w:t>
                  </w:r>
                  <w:r w:rsidR="002C498F" w:rsidRPr="00D0018E">
                    <w:rPr>
                      <w:rFonts w:ascii="Arial" w:hAnsi="Arial" w:cs="Arial"/>
                      <w:sz w:val="18"/>
                      <w:szCs w:val="18"/>
                    </w:rPr>
                    <w:t xml:space="preserve">competencia del Instituto </w:t>
                  </w:r>
                  <w:r w:rsidRPr="00D0018E">
                    <w:rPr>
                      <w:rFonts w:ascii="Arial" w:hAnsi="Arial" w:cs="Arial"/>
                      <w:sz w:val="18"/>
                      <w:szCs w:val="18"/>
                    </w:rPr>
                    <w:t>podrían ser impactados en el caso que se determine aprobar la propuesta de modificación.</w:t>
                  </w:r>
                </w:p>
              </w:tc>
            </w:tr>
            <w:tr w:rsidR="009D5A20" w:rsidRPr="00D0018E" w14:paraId="308208C1" w14:textId="77777777" w:rsidTr="00A42ED7">
              <w:trPr>
                <w:jc w:val="center"/>
              </w:trPr>
              <w:tc>
                <w:tcPr>
                  <w:tcW w:w="8602" w:type="dxa"/>
                  <w:shd w:val="clear" w:color="auto" w:fill="E2EFD9" w:themeFill="accent6" w:themeFillTint="33"/>
                </w:tcPr>
                <w:p w14:paraId="3E1E6E80" w14:textId="77777777" w:rsidR="009D5A20" w:rsidRPr="00D0018E" w:rsidRDefault="00610B49" w:rsidP="009D5A20">
                  <w:pPr>
                    <w:jc w:val="both"/>
                    <w:rPr>
                      <w:rFonts w:ascii="Arial" w:hAnsi="Arial" w:cs="Arial"/>
                      <w:sz w:val="18"/>
                      <w:szCs w:val="18"/>
                    </w:rPr>
                  </w:pPr>
                  <w:sdt>
                    <w:sdtPr>
                      <w:rPr>
                        <w:rFonts w:ascii="Arial" w:hAnsi="Arial" w:cs="Arial"/>
                        <w:sz w:val="18"/>
                        <w:szCs w:val="18"/>
                      </w:rPr>
                      <w:alias w:val="Subsector o mercado"/>
                      <w:tag w:val="Subsector o mercado"/>
                      <w:id w:val="1424844992"/>
                      <w:placeholder>
                        <w:docPart w:val="881408778DBC4921AAEC2383B911A3F1"/>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E666F6">
                        <w:rPr>
                          <w:rFonts w:ascii="Arial" w:hAnsi="Arial" w:cs="Arial"/>
                          <w:sz w:val="18"/>
                          <w:szCs w:val="18"/>
                        </w:rPr>
                        <w:t>517110 Operadores de servicios de telecomunicaciones alámbricas</w:t>
                      </w:r>
                    </w:sdtContent>
                  </w:sdt>
                </w:p>
              </w:tc>
            </w:tr>
            <w:tr w:rsidR="009D5A20" w:rsidRPr="00D0018E" w14:paraId="3ACFF8FC" w14:textId="77777777" w:rsidTr="00A42ED7">
              <w:trPr>
                <w:jc w:val="center"/>
              </w:trPr>
              <w:tc>
                <w:tcPr>
                  <w:tcW w:w="8602" w:type="dxa"/>
                  <w:shd w:val="clear" w:color="auto" w:fill="E2EFD9" w:themeFill="accent6" w:themeFillTint="33"/>
                </w:tcPr>
                <w:p w14:paraId="0796AF4E" w14:textId="77777777" w:rsidR="009D5A20" w:rsidRPr="00D0018E" w:rsidRDefault="00610B49" w:rsidP="009D5A20">
                  <w:pPr>
                    <w:jc w:val="both"/>
                    <w:rPr>
                      <w:rFonts w:ascii="Arial" w:hAnsi="Arial" w:cs="Arial"/>
                      <w:sz w:val="18"/>
                      <w:szCs w:val="18"/>
                    </w:rPr>
                  </w:pPr>
                  <w:sdt>
                    <w:sdtPr>
                      <w:rPr>
                        <w:rFonts w:ascii="Arial" w:hAnsi="Arial" w:cs="Arial"/>
                        <w:sz w:val="18"/>
                        <w:szCs w:val="18"/>
                      </w:rPr>
                      <w:alias w:val="Subsector o mercado"/>
                      <w:tag w:val="Subsector o mercado"/>
                      <w:id w:val="-1785033795"/>
                      <w:placeholder>
                        <w:docPart w:val="422F5327E82E4E4DB6A354C28007AE0E"/>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E666F6">
                        <w:rPr>
                          <w:rFonts w:ascii="Arial" w:hAnsi="Arial" w:cs="Arial"/>
                          <w:sz w:val="18"/>
                          <w:szCs w:val="18"/>
                        </w:rPr>
                        <w:t>517210 Operadores de servicios de telecomunicaciones inalámbricas</w:t>
                      </w:r>
                    </w:sdtContent>
                  </w:sdt>
                </w:p>
              </w:tc>
            </w:tr>
            <w:tr w:rsidR="009D5A20" w:rsidRPr="00D0018E" w14:paraId="3F7EE504" w14:textId="77777777" w:rsidTr="00A42ED7">
              <w:trPr>
                <w:jc w:val="center"/>
              </w:trPr>
              <w:tc>
                <w:tcPr>
                  <w:tcW w:w="8602" w:type="dxa"/>
                  <w:shd w:val="clear" w:color="auto" w:fill="E2EFD9" w:themeFill="accent6" w:themeFillTint="33"/>
                </w:tcPr>
                <w:p w14:paraId="578FB77C" w14:textId="77777777" w:rsidR="009D5A20" w:rsidRPr="00D0018E" w:rsidRDefault="00610B49" w:rsidP="009D5A20">
                  <w:pPr>
                    <w:jc w:val="both"/>
                    <w:rPr>
                      <w:rFonts w:ascii="Arial" w:hAnsi="Arial" w:cs="Arial"/>
                      <w:sz w:val="18"/>
                      <w:szCs w:val="18"/>
                    </w:rPr>
                  </w:pPr>
                  <w:sdt>
                    <w:sdtPr>
                      <w:rPr>
                        <w:rFonts w:ascii="Arial" w:hAnsi="Arial" w:cs="Arial"/>
                        <w:sz w:val="18"/>
                        <w:szCs w:val="18"/>
                      </w:rPr>
                      <w:alias w:val="Subsector o mercado"/>
                      <w:tag w:val="Subsector o mercado"/>
                      <w:id w:val="-1275012258"/>
                      <w:placeholder>
                        <w:docPart w:val="A9A52BC3DC3D4DF2AB5E969DA8664FDA"/>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E666F6">
                        <w:rPr>
                          <w:rFonts w:ascii="Arial" w:hAnsi="Arial" w:cs="Arial"/>
                          <w:sz w:val="18"/>
                          <w:szCs w:val="18"/>
                        </w:rPr>
                        <w:t>517410 Operadores de servicios de telecomunicaciones vía satélite</w:t>
                      </w:r>
                    </w:sdtContent>
                  </w:sdt>
                </w:p>
              </w:tc>
            </w:tr>
            <w:tr w:rsidR="009D5A20" w:rsidRPr="00D0018E" w14:paraId="52A2E436" w14:textId="77777777" w:rsidTr="00A42ED7">
              <w:trPr>
                <w:jc w:val="center"/>
              </w:trPr>
              <w:tc>
                <w:tcPr>
                  <w:tcW w:w="8602" w:type="dxa"/>
                  <w:shd w:val="clear" w:color="auto" w:fill="E2EFD9" w:themeFill="accent6" w:themeFillTint="33"/>
                </w:tcPr>
                <w:p w14:paraId="0224A38C" w14:textId="77777777" w:rsidR="009D5A20" w:rsidRPr="0028003C" w:rsidRDefault="00610B49" w:rsidP="009D5A20">
                  <w:pPr>
                    <w:jc w:val="both"/>
                    <w:rPr>
                      <w:rFonts w:ascii="Arial" w:hAnsi="Arial" w:cs="Arial"/>
                      <w:sz w:val="18"/>
                      <w:szCs w:val="18"/>
                    </w:rPr>
                  </w:pPr>
                  <w:sdt>
                    <w:sdtPr>
                      <w:rPr>
                        <w:rFonts w:ascii="Arial" w:hAnsi="Arial" w:cs="Arial"/>
                        <w:sz w:val="18"/>
                        <w:szCs w:val="18"/>
                      </w:rPr>
                      <w:alias w:val="Subsector o mercado"/>
                      <w:tag w:val="Subsector o mercado"/>
                      <w:id w:val="-1430960095"/>
                      <w:placeholder>
                        <w:docPart w:val="3C345C197C5D489A9ECFBA2C89C45D8D"/>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E666F6" w:rsidRPr="0028003C">
                        <w:rPr>
                          <w:rFonts w:ascii="Arial" w:hAnsi="Arial" w:cs="Arial"/>
                          <w:sz w:val="18"/>
                          <w:szCs w:val="18"/>
                        </w:rPr>
                        <w:t>517910 Otros servicios de telecomunicaciones</w:t>
                      </w:r>
                    </w:sdtContent>
                  </w:sdt>
                </w:p>
              </w:tc>
            </w:tr>
            <w:tr w:rsidR="005A14F4" w:rsidRPr="00FA4EF9" w14:paraId="62678199" w14:textId="77777777" w:rsidTr="00A42ED7">
              <w:trPr>
                <w:jc w:val="center"/>
              </w:trPr>
              <w:tc>
                <w:tcPr>
                  <w:tcW w:w="8602" w:type="dxa"/>
                  <w:shd w:val="clear" w:color="auto" w:fill="E2EFD9" w:themeFill="accent6" w:themeFillTint="33"/>
                </w:tcPr>
                <w:p w14:paraId="5F628A7B" w14:textId="25532C4E" w:rsidR="005A14F4" w:rsidRPr="0028003C" w:rsidRDefault="005A14F4" w:rsidP="009D5A20">
                  <w:pPr>
                    <w:jc w:val="both"/>
                    <w:rPr>
                      <w:rFonts w:ascii="Arial" w:hAnsi="Arial" w:cs="Arial"/>
                      <w:sz w:val="18"/>
                      <w:szCs w:val="18"/>
                    </w:rPr>
                  </w:pPr>
                  <w:r w:rsidRPr="0028003C">
                    <w:rPr>
                      <w:rFonts w:ascii="Arial" w:hAnsi="Arial" w:cs="Arial"/>
                      <w:sz w:val="18"/>
                      <w:szCs w:val="18"/>
                    </w:rPr>
                    <w:t>515110 transmisión de programas de radio</w:t>
                  </w:r>
                </w:p>
              </w:tc>
            </w:tr>
            <w:tr w:rsidR="005A14F4" w:rsidRPr="00FA4EF9" w14:paraId="637D743D" w14:textId="77777777" w:rsidTr="00A42ED7">
              <w:trPr>
                <w:jc w:val="center"/>
              </w:trPr>
              <w:tc>
                <w:tcPr>
                  <w:tcW w:w="8602" w:type="dxa"/>
                  <w:shd w:val="clear" w:color="auto" w:fill="E2EFD9" w:themeFill="accent6" w:themeFillTint="33"/>
                </w:tcPr>
                <w:p w14:paraId="1D410C31" w14:textId="2D19E2A3" w:rsidR="005A14F4" w:rsidRPr="0028003C" w:rsidRDefault="005A14F4" w:rsidP="009D5A20">
                  <w:pPr>
                    <w:jc w:val="both"/>
                    <w:rPr>
                      <w:rFonts w:ascii="Arial" w:hAnsi="Arial" w:cs="Arial"/>
                      <w:sz w:val="18"/>
                      <w:szCs w:val="18"/>
                    </w:rPr>
                  </w:pPr>
                  <w:r w:rsidRPr="0028003C">
                    <w:rPr>
                      <w:rFonts w:ascii="Arial" w:hAnsi="Arial" w:cs="Arial"/>
                      <w:sz w:val="18"/>
                      <w:szCs w:val="18"/>
                    </w:rPr>
                    <w:t>515120 transmisión de programas de televisión</w:t>
                  </w:r>
                </w:p>
              </w:tc>
            </w:tr>
            <w:tr w:rsidR="002C498F" w:rsidRPr="00D0018E" w14:paraId="34A7E00C" w14:textId="77777777" w:rsidTr="00A42ED7">
              <w:trPr>
                <w:jc w:val="center"/>
              </w:trPr>
              <w:tc>
                <w:tcPr>
                  <w:tcW w:w="8602" w:type="dxa"/>
                  <w:shd w:val="clear" w:color="auto" w:fill="E2EFD9" w:themeFill="accent6" w:themeFillTint="33"/>
                </w:tcPr>
                <w:p w14:paraId="0FCFDEED" w14:textId="6DF815EC" w:rsidR="002C498F" w:rsidRPr="0028003C" w:rsidRDefault="002C498F" w:rsidP="009D5A20">
                  <w:pPr>
                    <w:jc w:val="both"/>
                    <w:rPr>
                      <w:rFonts w:ascii="Arial" w:hAnsi="Arial" w:cs="Arial"/>
                      <w:sz w:val="18"/>
                      <w:szCs w:val="18"/>
                    </w:rPr>
                  </w:pPr>
                  <w:r w:rsidRPr="0028003C">
                    <w:rPr>
                      <w:rFonts w:ascii="Arial" w:hAnsi="Arial" w:cs="Arial"/>
                      <w:sz w:val="18"/>
                      <w:szCs w:val="18"/>
                    </w:rPr>
                    <w:t>Esencialmente, todos los subsectores o mercados objeto de la competencia del IFT.</w:t>
                  </w:r>
                </w:p>
              </w:tc>
            </w:tr>
          </w:tbl>
          <w:p w14:paraId="15A7D166" w14:textId="764F0687" w:rsidR="00DC671E" w:rsidRPr="00D0018E" w:rsidRDefault="00DC671E" w:rsidP="0079703B">
            <w:pPr>
              <w:jc w:val="both"/>
              <w:rPr>
                <w:rFonts w:ascii="Arial" w:hAnsi="Arial" w:cs="Arial"/>
                <w:b/>
                <w:sz w:val="18"/>
                <w:szCs w:val="18"/>
              </w:rPr>
            </w:pPr>
          </w:p>
        </w:tc>
      </w:tr>
    </w:tbl>
    <w:p w14:paraId="7344DB3C" w14:textId="77777777" w:rsidR="00DC671E" w:rsidRPr="00D0018E" w:rsidRDefault="00DC671E" w:rsidP="00DC671E">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DC671E" w:rsidRPr="00D0018E" w14:paraId="6140C332" w14:textId="77777777" w:rsidTr="00402372">
        <w:tc>
          <w:tcPr>
            <w:tcW w:w="8828" w:type="dxa"/>
          </w:tcPr>
          <w:p w14:paraId="339B8E46" w14:textId="77777777" w:rsidR="00DC671E" w:rsidRPr="00D0018E" w:rsidRDefault="00DC671E" w:rsidP="00402372">
            <w:pPr>
              <w:jc w:val="both"/>
              <w:rPr>
                <w:rFonts w:ascii="Arial" w:hAnsi="Arial" w:cs="Arial"/>
                <w:b/>
                <w:sz w:val="18"/>
                <w:szCs w:val="18"/>
              </w:rPr>
            </w:pPr>
            <w:r w:rsidRPr="00D0018E">
              <w:rPr>
                <w:rFonts w:ascii="Arial" w:hAnsi="Arial" w:cs="Arial"/>
                <w:b/>
                <w:sz w:val="18"/>
                <w:szCs w:val="18"/>
              </w:rPr>
              <w:t>5.-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71ADE878" w14:textId="77777777" w:rsidR="00DC671E" w:rsidRPr="00D0018E" w:rsidRDefault="00DC671E" w:rsidP="00402372">
            <w:pPr>
              <w:jc w:val="both"/>
              <w:rPr>
                <w:rFonts w:ascii="Arial" w:hAnsi="Arial" w:cs="Arial"/>
                <w:sz w:val="18"/>
                <w:szCs w:val="18"/>
              </w:rPr>
            </w:pPr>
          </w:p>
          <w:p w14:paraId="0B496D64" w14:textId="77777777" w:rsidR="007803E4" w:rsidRPr="00D0018E" w:rsidRDefault="007803E4" w:rsidP="00A65B88">
            <w:pPr>
              <w:spacing w:line="276" w:lineRule="auto"/>
              <w:jc w:val="both"/>
              <w:rPr>
                <w:rFonts w:ascii="Arial" w:hAnsi="Arial" w:cs="Arial"/>
                <w:sz w:val="18"/>
                <w:szCs w:val="18"/>
              </w:rPr>
            </w:pPr>
            <w:r w:rsidRPr="00D0018E">
              <w:rPr>
                <w:rFonts w:ascii="Arial" w:hAnsi="Arial" w:cs="Arial"/>
                <w:sz w:val="18"/>
                <w:szCs w:val="18"/>
              </w:rPr>
              <w:lastRenderedPageBreak/>
              <w:t xml:space="preserve">Esta propuesta modifica el </w:t>
            </w:r>
            <w:r w:rsidRPr="00D0018E">
              <w:rPr>
                <w:rFonts w:ascii="Arial" w:hAnsi="Arial" w:cs="Arial"/>
                <w:i/>
                <w:iCs/>
                <w:sz w:val="18"/>
                <w:szCs w:val="18"/>
              </w:rPr>
              <w:t xml:space="preserve">“ACUERDO mediante el cual el Pleno del Instituto Federal de Telecomunicaciones expide el criterio técnico para el cálculo y aplicación de un índice cuantitativo a fin de determinar el grado de concentración en los mercados y servicios correspondientes a los sectores de telecomunicaciones y radiodifusión” </w:t>
            </w:r>
            <w:r w:rsidRPr="00D0018E">
              <w:rPr>
                <w:rFonts w:ascii="Arial" w:hAnsi="Arial" w:cs="Arial"/>
                <w:sz w:val="18"/>
                <w:szCs w:val="18"/>
              </w:rPr>
              <w:t>publicado en el Diario Oficial de la Federación el 11 de abril de 2016.</w:t>
            </w:r>
          </w:p>
          <w:p w14:paraId="779E3E1F" w14:textId="77777777" w:rsidR="007803E4" w:rsidRPr="00D0018E" w:rsidRDefault="007803E4" w:rsidP="00A65B88">
            <w:pPr>
              <w:spacing w:line="276" w:lineRule="auto"/>
              <w:jc w:val="both"/>
              <w:rPr>
                <w:rFonts w:ascii="Arial" w:hAnsi="Arial" w:cs="Arial"/>
                <w:sz w:val="18"/>
                <w:szCs w:val="18"/>
              </w:rPr>
            </w:pPr>
          </w:p>
          <w:p w14:paraId="4A286F4D" w14:textId="77777777" w:rsidR="00DC671E" w:rsidRPr="00D0018E" w:rsidRDefault="007803E4" w:rsidP="00A65B88">
            <w:pPr>
              <w:spacing w:line="276" w:lineRule="auto"/>
              <w:jc w:val="both"/>
              <w:rPr>
                <w:rFonts w:ascii="Arial" w:hAnsi="Arial" w:cs="Arial"/>
                <w:sz w:val="18"/>
                <w:szCs w:val="18"/>
              </w:rPr>
            </w:pPr>
            <w:r w:rsidRPr="00D0018E">
              <w:rPr>
                <w:rFonts w:ascii="Arial" w:hAnsi="Arial" w:cs="Arial"/>
                <w:sz w:val="18"/>
                <w:szCs w:val="18"/>
              </w:rPr>
              <w:t>Asimismo, su fundamento consiste en lo dispuesto por los artículos 28, párrafos décimo sexto y vigésimo, fracción IV, de la Constitución Política de los Estados Unidos Mexicanos; 7, párrafo tercero, de la Ley Federal de Telecomunicaciones y Radiodifusión; 1, 2, 5, párrafo primero, 12, fracciones I y XXII, párrafo tercero, incisos a) y g), 18, párrafo séptimo, 63, fracción II, y 138, fracción III, de la Ley Federal de Competencia Económica; 13 y 187 de las Disposiciones Regulatorias de la Ley Federal de Competencia Económica para los sectores de telecomunicaciones y radiodifusión; y 1, párrafos primero y tercero, 2, fracción X, 4, fracciones I, V, inciso vi), y VI, y 6, fracción XXXVII, del Estatuto Orgánico del Instituto Federal.</w:t>
            </w:r>
            <w:r w:rsidR="0077147F" w:rsidRPr="00D0018E">
              <w:rPr>
                <w:rFonts w:ascii="Arial" w:hAnsi="Arial" w:cs="Arial"/>
                <w:sz w:val="18"/>
                <w:szCs w:val="18"/>
              </w:rPr>
              <w:t xml:space="preserve"> </w:t>
            </w:r>
          </w:p>
          <w:p w14:paraId="68C178B6" w14:textId="1A47A8EE" w:rsidR="00DC671E" w:rsidRPr="00D0018E" w:rsidRDefault="00DC671E" w:rsidP="00402372">
            <w:pPr>
              <w:jc w:val="both"/>
              <w:rPr>
                <w:rFonts w:ascii="Arial" w:hAnsi="Arial" w:cs="Arial"/>
                <w:sz w:val="18"/>
                <w:szCs w:val="18"/>
              </w:rPr>
            </w:pPr>
          </w:p>
        </w:tc>
      </w:tr>
    </w:tbl>
    <w:p w14:paraId="0C8D3048" w14:textId="77777777" w:rsidR="00DC671E" w:rsidRPr="00D0018E" w:rsidRDefault="00DC671E" w:rsidP="00DC671E">
      <w:pPr>
        <w:jc w:val="both"/>
        <w:rPr>
          <w:rFonts w:ascii="Arial" w:hAnsi="Arial" w:cs="Arial"/>
          <w:sz w:val="18"/>
          <w:szCs w:val="18"/>
        </w:rPr>
      </w:pPr>
    </w:p>
    <w:p w14:paraId="1F81E8D7" w14:textId="77777777" w:rsidR="00DC671E" w:rsidRPr="00D0018E" w:rsidRDefault="00DC671E" w:rsidP="00DC671E">
      <w:pPr>
        <w:shd w:val="clear" w:color="auto" w:fill="A8D08D" w:themeFill="accent6" w:themeFillTint="99"/>
        <w:jc w:val="both"/>
        <w:rPr>
          <w:rFonts w:ascii="Arial" w:hAnsi="Arial" w:cs="Arial"/>
          <w:b/>
          <w:sz w:val="18"/>
          <w:szCs w:val="18"/>
        </w:rPr>
      </w:pPr>
      <w:r w:rsidRPr="00D0018E">
        <w:rPr>
          <w:rFonts w:ascii="Arial" w:hAnsi="Arial" w:cs="Arial"/>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DC671E" w:rsidRPr="00D0018E" w14:paraId="5AEDC15B" w14:textId="77777777" w:rsidTr="00402372">
        <w:tc>
          <w:tcPr>
            <w:tcW w:w="8828" w:type="dxa"/>
          </w:tcPr>
          <w:p w14:paraId="55CE39CD" w14:textId="77777777" w:rsidR="00DC671E" w:rsidRPr="00D0018E" w:rsidRDefault="00DC671E" w:rsidP="00402372">
            <w:pPr>
              <w:jc w:val="both"/>
              <w:rPr>
                <w:rFonts w:ascii="Arial" w:hAnsi="Arial" w:cs="Arial"/>
                <w:b/>
                <w:sz w:val="18"/>
                <w:szCs w:val="18"/>
              </w:rPr>
            </w:pPr>
            <w:r w:rsidRPr="00D0018E">
              <w:rPr>
                <w:rFonts w:ascii="Arial" w:hAnsi="Arial" w:cs="Arial"/>
                <w:b/>
                <w:sz w:val="18"/>
                <w:szCs w:val="18"/>
              </w:rPr>
              <w:t>6.- Para solucionar la problemática identificada, describa las alternativas valoradas y señale las razones por las cuales fueron descartadas, incluyendo en éstas las ventajas y desventajas asociadas a cada una de ellas.</w:t>
            </w:r>
          </w:p>
          <w:p w14:paraId="638C4211" w14:textId="77777777" w:rsidR="00DC671E" w:rsidRPr="00D0018E" w:rsidRDefault="00DC671E" w:rsidP="00402372">
            <w:pPr>
              <w:jc w:val="both"/>
              <w:rPr>
                <w:rFonts w:ascii="Arial" w:hAnsi="Arial" w:cs="Arial"/>
                <w:sz w:val="18"/>
                <w:szCs w:val="18"/>
              </w:rPr>
            </w:pPr>
          </w:p>
          <w:tbl>
            <w:tblPr>
              <w:tblStyle w:val="Tablaconcuadrcula"/>
              <w:tblW w:w="0" w:type="auto"/>
              <w:tblLook w:val="04A0" w:firstRow="1" w:lastRow="0" w:firstColumn="1" w:lastColumn="0" w:noHBand="0" w:noVBand="1"/>
            </w:tblPr>
            <w:tblGrid>
              <w:gridCol w:w="1153"/>
              <w:gridCol w:w="2126"/>
              <w:gridCol w:w="2410"/>
              <w:gridCol w:w="2913"/>
            </w:tblGrid>
            <w:tr w:rsidR="00DC671E" w:rsidRPr="00D0018E" w14:paraId="07026EB2" w14:textId="77777777" w:rsidTr="00402372">
              <w:tc>
                <w:tcPr>
                  <w:tcW w:w="1153" w:type="dxa"/>
                  <w:tcBorders>
                    <w:bottom w:val="single" w:sz="4" w:space="0" w:color="auto"/>
                  </w:tcBorders>
                  <w:shd w:val="clear" w:color="auto" w:fill="A8D08D" w:themeFill="accent6" w:themeFillTint="99"/>
                </w:tcPr>
                <w:p w14:paraId="16CF62CA"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 xml:space="preserve">Alternativa evaluada </w:t>
                  </w:r>
                </w:p>
              </w:tc>
              <w:tc>
                <w:tcPr>
                  <w:tcW w:w="2126" w:type="dxa"/>
                  <w:shd w:val="clear" w:color="auto" w:fill="A8D08D" w:themeFill="accent6" w:themeFillTint="99"/>
                </w:tcPr>
                <w:p w14:paraId="2D0DA657"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Descripción</w:t>
                  </w:r>
                </w:p>
              </w:tc>
              <w:tc>
                <w:tcPr>
                  <w:tcW w:w="2410" w:type="dxa"/>
                  <w:shd w:val="clear" w:color="auto" w:fill="A8D08D" w:themeFill="accent6" w:themeFillTint="99"/>
                </w:tcPr>
                <w:p w14:paraId="7FB331F7"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Ventajas</w:t>
                  </w:r>
                </w:p>
              </w:tc>
              <w:tc>
                <w:tcPr>
                  <w:tcW w:w="2913" w:type="dxa"/>
                  <w:shd w:val="clear" w:color="auto" w:fill="A8D08D" w:themeFill="accent6" w:themeFillTint="99"/>
                </w:tcPr>
                <w:p w14:paraId="1890D32F"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Desventajas</w:t>
                  </w:r>
                </w:p>
              </w:tc>
            </w:tr>
            <w:tr w:rsidR="00DC671E" w:rsidRPr="00D0018E" w14:paraId="4E0AA1E5" w14:textId="77777777" w:rsidTr="00402372">
              <w:sdt>
                <w:sdtPr>
                  <w:rPr>
                    <w:rFonts w:ascii="Arial" w:hAnsi="Arial" w:cs="Arial"/>
                    <w:i/>
                    <w:sz w:val="18"/>
                    <w:szCs w:val="18"/>
                  </w:rPr>
                  <w:alias w:val="Alternativa evaluada"/>
                  <w:tag w:val="Alternativa evaluada"/>
                  <w:id w:val="1516970041"/>
                  <w:placeholder>
                    <w:docPart w:val="2A46851DC1AD4BA498F2428EBB3C56C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1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D541F" w14:textId="60E9942D" w:rsidR="00DC671E" w:rsidRPr="00D0018E" w:rsidRDefault="00E666F6" w:rsidP="00402372">
                      <w:pPr>
                        <w:rPr>
                          <w:rFonts w:ascii="Arial" w:hAnsi="Arial" w:cs="Arial"/>
                          <w:i/>
                          <w:sz w:val="18"/>
                          <w:szCs w:val="18"/>
                        </w:rPr>
                      </w:pPr>
                      <w:r>
                        <w:rPr>
                          <w:rFonts w:ascii="Arial" w:hAnsi="Arial" w:cs="Arial"/>
                          <w:i/>
                          <w:sz w:val="18"/>
                          <w:szCs w:val="18"/>
                        </w:rPr>
                        <w:t>Eliminar regulación</w:t>
                      </w:r>
                    </w:p>
                  </w:tc>
                </w:sdtContent>
              </w:sdt>
              <w:tc>
                <w:tcPr>
                  <w:tcW w:w="2126" w:type="dxa"/>
                  <w:tcBorders>
                    <w:left w:val="single" w:sz="4" w:space="0" w:color="auto"/>
                  </w:tcBorders>
                </w:tcPr>
                <w:p w14:paraId="2E70D83E" w14:textId="19DA5A39" w:rsidR="00DC671E" w:rsidRPr="0028003C" w:rsidRDefault="00B21A3B" w:rsidP="00B21A3B">
                  <w:pPr>
                    <w:jc w:val="both"/>
                    <w:rPr>
                      <w:rFonts w:ascii="Arial" w:hAnsi="Arial" w:cs="Arial"/>
                      <w:sz w:val="18"/>
                      <w:szCs w:val="18"/>
                    </w:rPr>
                  </w:pPr>
                  <w:r w:rsidRPr="0028003C">
                    <w:rPr>
                      <w:rFonts w:ascii="Arial" w:hAnsi="Arial" w:cs="Arial"/>
                      <w:sz w:val="18"/>
                      <w:szCs w:val="18"/>
                    </w:rPr>
                    <w:t>Esta acción consistiría en que la UCE propondría un proyecto de acuerdo al Pleno del Instituto a través del cual se deje sin efectos el Criterio Técnico vigente.</w:t>
                  </w:r>
                </w:p>
              </w:tc>
              <w:tc>
                <w:tcPr>
                  <w:tcW w:w="2410" w:type="dxa"/>
                </w:tcPr>
                <w:p w14:paraId="70B9671F" w14:textId="59C0DA22" w:rsidR="00DC671E" w:rsidRPr="0028003C" w:rsidRDefault="00716049" w:rsidP="00402372">
                  <w:pPr>
                    <w:jc w:val="both"/>
                    <w:rPr>
                      <w:rFonts w:ascii="Arial" w:hAnsi="Arial" w:cs="Arial"/>
                      <w:sz w:val="18"/>
                      <w:szCs w:val="18"/>
                    </w:rPr>
                  </w:pPr>
                  <w:r w:rsidRPr="0028003C">
                    <w:rPr>
                      <w:rFonts w:ascii="Arial" w:hAnsi="Arial" w:cs="Arial"/>
                      <w:sz w:val="18"/>
                      <w:szCs w:val="18"/>
                    </w:rPr>
                    <w:t>No se identifican ventajas inmediatas, ni de mediano o largo plazo, al elegirse esta opción.</w:t>
                  </w:r>
                </w:p>
              </w:tc>
              <w:tc>
                <w:tcPr>
                  <w:tcW w:w="2913" w:type="dxa"/>
                </w:tcPr>
                <w:p w14:paraId="68C3FA98" w14:textId="03D6D157" w:rsidR="00B21A3B" w:rsidRPr="0028003C" w:rsidRDefault="00B21A3B" w:rsidP="00B21A3B">
                  <w:pPr>
                    <w:jc w:val="both"/>
                    <w:rPr>
                      <w:rFonts w:ascii="Arial" w:hAnsi="Arial" w:cs="Arial"/>
                      <w:sz w:val="18"/>
                      <w:szCs w:val="18"/>
                    </w:rPr>
                  </w:pPr>
                  <w:r w:rsidRPr="0028003C">
                    <w:rPr>
                      <w:rFonts w:ascii="Arial" w:hAnsi="Arial" w:cs="Arial"/>
                      <w:sz w:val="18"/>
                      <w:szCs w:val="18"/>
                    </w:rPr>
                    <w:t xml:space="preserve">Esta acción generaría: i) incertidumbre jurídica en el análisis de concentraciones, ya que no se daría a conocer públicamente cómo el Instituto evalúa el índice de concentración en los mercados de su competencia, </w:t>
                  </w:r>
                  <w:proofErr w:type="spellStart"/>
                  <w:r w:rsidRPr="0028003C">
                    <w:rPr>
                      <w:rFonts w:ascii="Arial" w:hAnsi="Arial" w:cs="Arial"/>
                      <w:sz w:val="18"/>
                      <w:szCs w:val="18"/>
                    </w:rPr>
                    <w:t>ii</w:t>
                  </w:r>
                  <w:proofErr w:type="spellEnd"/>
                  <w:r w:rsidRPr="0028003C">
                    <w:rPr>
                      <w:rFonts w:ascii="Arial" w:hAnsi="Arial" w:cs="Arial"/>
                      <w:sz w:val="18"/>
                      <w:szCs w:val="18"/>
                    </w:rPr>
                    <w:t xml:space="preserve">) iría en contra de las mejores prácticas internacionales, que sugieren la emisión de guías o lineamientos en esta materia para la evaluación de concentraciones, y </w:t>
                  </w:r>
                  <w:proofErr w:type="spellStart"/>
                  <w:r w:rsidRPr="0028003C">
                    <w:rPr>
                      <w:rFonts w:ascii="Arial" w:hAnsi="Arial" w:cs="Arial"/>
                      <w:sz w:val="18"/>
                      <w:szCs w:val="18"/>
                    </w:rPr>
                    <w:t>iii</w:t>
                  </w:r>
                  <w:proofErr w:type="spellEnd"/>
                  <w:r w:rsidRPr="0028003C">
                    <w:rPr>
                      <w:rFonts w:ascii="Arial" w:hAnsi="Arial" w:cs="Arial"/>
                      <w:sz w:val="18"/>
                      <w:szCs w:val="18"/>
                    </w:rPr>
                    <w:t>) implicaría un retroceso en la publicidad y tecnicidad con que el Instituto realiza el análisis en materia de competencia económica para concentraciones.</w:t>
                  </w:r>
                </w:p>
                <w:p w14:paraId="1C463FCF" w14:textId="0F016AB4" w:rsidR="00DC671E" w:rsidRPr="0028003C" w:rsidRDefault="00DC671E" w:rsidP="00402372">
                  <w:pPr>
                    <w:jc w:val="both"/>
                    <w:rPr>
                      <w:rFonts w:ascii="Arial" w:hAnsi="Arial" w:cs="Arial"/>
                      <w:sz w:val="18"/>
                      <w:szCs w:val="18"/>
                    </w:rPr>
                  </w:pPr>
                </w:p>
              </w:tc>
            </w:tr>
            <w:tr w:rsidR="00DC671E" w:rsidRPr="00D0018E" w14:paraId="493D7486" w14:textId="77777777" w:rsidTr="00402372">
              <w:sdt>
                <w:sdtPr>
                  <w:rPr>
                    <w:rFonts w:ascii="Arial" w:hAnsi="Arial" w:cs="Arial"/>
                    <w:i/>
                    <w:sz w:val="18"/>
                    <w:szCs w:val="18"/>
                  </w:rPr>
                  <w:alias w:val="Alternativa evaluada"/>
                  <w:tag w:val="Alternativa evaluada"/>
                  <w:id w:val="-953243621"/>
                  <w:placeholder>
                    <w:docPart w:val="33AFECF930C443348C22B48BAFD3CC64"/>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1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F1A2CA" w14:textId="17236B17" w:rsidR="00DC671E" w:rsidRPr="00D0018E" w:rsidRDefault="00E666F6" w:rsidP="00402372">
                      <w:pPr>
                        <w:rPr>
                          <w:rFonts w:ascii="Arial" w:hAnsi="Arial" w:cs="Arial"/>
                          <w:i/>
                          <w:sz w:val="18"/>
                          <w:szCs w:val="18"/>
                        </w:rPr>
                      </w:pPr>
                      <w:r>
                        <w:rPr>
                          <w:rFonts w:ascii="Arial" w:hAnsi="Arial" w:cs="Arial"/>
                          <w:i/>
                          <w:sz w:val="18"/>
                          <w:szCs w:val="18"/>
                        </w:rPr>
                        <w:t>Alternativa cero (largo plazo)</w:t>
                      </w:r>
                    </w:p>
                  </w:tc>
                </w:sdtContent>
              </w:sdt>
              <w:tc>
                <w:tcPr>
                  <w:tcW w:w="2126" w:type="dxa"/>
                  <w:tcBorders>
                    <w:left w:val="single" w:sz="4" w:space="0" w:color="auto"/>
                  </w:tcBorders>
                </w:tcPr>
                <w:p w14:paraId="6268658D" w14:textId="77777777" w:rsidR="00DC671E" w:rsidRPr="00D0018E" w:rsidRDefault="001A64E4" w:rsidP="00402372">
                  <w:pPr>
                    <w:jc w:val="both"/>
                    <w:rPr>
                      <w:rFonts w:ascii="Arial" w:hAnsi="Arial" w:cs="Arial"/>
                      <w:sz w:val="18"/>
                      <w:szCs w:val="18"/>
                    </w:rPr>
                  </w:pPr>
                  <w:r w:rsidRPr="00D0018E">
                    <w:rPr>
                      <w:rFonts w:ascii="Arial" w:hAnsi="Arial" w:cs="Arial"/>
                      <w:sz w:val="18"/>
                      <w:szCs w:val="18"/>
                    </w:rPr>
                    <w:t>Mantener e</w:t>
                  </w:r>
                  <w:r w:rsidR="00B172BA" w:rsidRPr="00D0018E">
                    <w:rPr>
                      <w:rFonts w:ascii="Arial" w:hAnsi="Arial" w:cs="Arial"/>
                      <w:sz w:val="18"/>
                      <w:szCs w:val="18"/>
                    </w:rPr>
                    <w:t>l Criterio Técnico</w:t>
                  </w:r>
                  <w:r w:rsidRPr="00D0018E">
                    <w:rPr>
                      <w:rFonts w:ascii="Arial" w:hAnsi="Arial" w:cs="Arial"/>
                      <w:sz w:val="18"/>
                      <w:szCs w:val="18"/>
                    </w:rPr>
                    <w:t>, ya que éste</w:t>
                  </w:r>
                  <w:r w:rsidR="00B172BA" w:rsidRPr="00D0018E">
                    <w:rPr>
                      <w:rFonts w:ascii="Arial" w:hAnsi="Arial" w:cs="Arial"/>
                      <w:sz w:val="18"/>
                      <w:szCs w:val="18"/>
                    </w:rPr>
                    <w:t xml:space="preserve"> podría no modificarse y continuar con los umbrales actualmente establecidos.</w:t>
                  </w:r>
                </w:p>
                <w:p w14:paraId="344B66D0" w14:textId="77777777" w:rsidR="001A64E4" w:rsidRPr="00D0018E" w:rsidRDefault="001A64E4" w:rsidP="00402372">
                  <w:pPr>
                    <w:jc w:val="both"/>
                    <w:rPr>
                      <w:rFonts w:ascii="Arial" w:hAnsi="Arial" w:cs="Arial"/>
                      <w:sz w:val="18"/>
                      <w:szCs w:val="18"/>
                    </w:rPr>
                  </w:pPr>
                </w:p>
                <w:p w14:paraId="38FED5A2" w14:textId="4BB3FEB9" w:rsidR="001A64E4" w:rsidRPr="00D0018E" w:rsidRDefault="001A64E4" w:rsidP="00402372">
                  <w:pPr>
                    <w:jc w:val="both"/>
                    <w:rPr>
                      <w:rFonts w:ascii="Arial" w:hAnsi="Arial" w:cs="Arial"/>
                      <w:sz w:val="18"/>
                      <w:szCs w:val="18"/>
                    </w:rPr>
                  </w:pPr>
                  <w:r w:rsidRPr="00D0018E">
                    <w:rPr>
                      <w:rFonts w:ascii="Arial" w:hAnsi="Arial" w:cs="Arial"/>
                      <w:sz w:val="18"/>
                      <w:szCs w:val="18"/>
                    </w:rPr>
                    <w:t xml:space="preserve">Sin embargo, el artículo 12 fracción XXII párrafo tercero inciso a) de la LFCE, establece la emisión de criterios técnicos en materia de concentraciones, la cuales deben revisarse </w:t>
                  </w:r>
                  <w:r w:rsidRPr="00D0018E">
                    <w:rPr>
                      <w:rFonts w:ascii="Arial" w:hAnsi="Arial" w:cs="Arial"/>
                      <w:sz w:val="18"/>
                      <w:szCs w:val="18"/>
                    </w:rPr>
                    <w:lastRenderedPageBreak/>
                    <w:t>al menos cada 5 años de acuerdo con el artículo 138 último párrafo de la LFCE.</w:t>
                  </w:r>
                </w:p>
              </w:tc>
              <w:tc>
                <w:tcPr>
                  <w:tcW w:w="2410" w:type="dxa"/>
                </w:tcPr>
                <w:p w14:paraId="1D3ED167" w14:textId="063E7F86" w:rsidR="00DC671E" w:rsidRPr="00D0018E" w:rsidRDefault="001A64E4" w:rsidP="00402372">
                  <w:pPr>
                    <w:jc w:val="both"/>
                    <w:rPr>
                      <w:rFonts w:ascii="Arial" w:hAnsi="Arial" w:cs="Arial"/>
                      <w:sz w:val="18"/>
                      <w:szCs w:val="18"/>
                    </w:rPr>
                  </w:pPr>
                  <w:r w:rsidRPr="00D0018E">
                    <w:rPr>
                      <w:rFonts w:ascii="Arial" w:hAnsi="Arial" w:cs="Arial"/>
                      <w:sz w:val="18"/>
                      <w:szCs w:val="18"/>
                    </w:rPr>
                    <w:lastRenderedPageBreak/>
                    <w:t>No se observan ventajas directas de elegirse esta opción.</w:t>
                  </w:r>
                </w:p>
              </w:tc>
              <w:tc>
                <w:tcPr>
                  <w:tcW w:w="2913" w:type="dxa"/>
                </w:tcPr>
                <w:p w14:paraId="6D123216" w14:textId="08FC4E4B" w:rsidR="00DC671E" w:rsidRPr="00D0018E" w:rsidRDefault="00716049" w:rsidP="00402372">
                  <w:pPr>
                    <w:jc w:val="both"/>
                    <w:rPr>
                      <w:rFonts w:ascii="Arial" w:hAnsi="Arial" w:cs="Arial"/>
                      <w:sz w:val="18"/>
                      <w:szCs w:val="18"/>
                    </w:rPr>
                  </w:pPr>
                  <w:r w:rsidRPr="00D0018E">
                    <w:rPr>
                      <w:rFonts w:ascii="Arial" w:hAnsi="Arial" w:cs="Arial"/>
                      <w:sz w:val="18"/>
                      <w:szCs w:val="18"/>
                    </w:rPr>
                    <w:t>1)</w:t>
                  </w:r>
                  <w:r w:rsidR="001A64E4" w:rsidRPr="00D0018E">
                    <w:rPr>
                      <w:rFonts w:ascii="Arial" w:hAnsi="Arial" w:cs="Arial"/>
                      <w:sz w:val="18"/>
                      <w:szCs w:val="18"/>
                    </w:rPr>
                    <w:t xml:space="preserve"> </w:t>
                  </w:r>
                  <w:r w:rsidRPr="00D0018E">
                    <w:rPr>
                      <w:rFonts w:ascii="Arial" w:hAnsi="Arial" w:cs="Arial"/>
                      <w:sz w:val="18"/>
                      <w:szCs w:val="18"/>
                    </w:rPr>
                    <w:t>Lo</w:t>
                  </w:r>
                  <w:r w:rsidR="00B172BA" w:rsidRPr="00D0018E">
                    <w:rPr>
                      <w:rFonts w:ascii="Arial" w:hAnsi="Arial" w:cs="Arial"/>
                      <w:sz w:val="18"/>
                      <w:szCs w:val="18"/>
                    </w:rPr>
                    <w:t>s umbrales que se toman como referencia</w:t>
                  </w:r>
                  <w:r w:rsidRPr="00D0018E">
                    <w:rPr>
                      <w:rFonts w:ascii="Arial" w:hAnsi="Arial" w:cs="Arial"/>
                      <w:sz w:val="18"/>
                      <w:szCs w:val="18"/>
                    </w:rPr>
                    <w:t xml:space="preserve"> </w:t>
                  </w:r>
                  <w:r w:rsidR="00B172BA" w:rsidRPr="00D0018E">
                    <w:rPr>
                      <w:rFonts w:ascii="Arial" w:hAnsi="Arial" w:cs="Arial"/>
                      <w:sz w:val="18"/>
                      <w:szCs w:val="18"/>
                    </w:rPr>
                    <w:t xml:space="preserve">no reflejan las situaciones </w:t>
                  </w:r>
                  <w:r w:rsidRPr="00D0018E">
                    <w:rPr>
                      <w:rFonts w:ascii="Arial" w:hAnsi="Arial" w:cs="Arial"/>
                      <w:sz w:val="18"/>
                      <w:szCs w:val="18"/>
                    </w:rPr>
                    <w:t xml:space="preserve">actuales </w:t>
                  </w:r>
                  <w:r w:rsidR="001A64E4" w:rsidRPr="00D0018E">
                    <w:rPr>
                      <w:rFonts w:ascii="Arial" w:hAnsi="Arial" w:cs="Arial"/>
                      <w:sz w:val="18"/>
                      <w:szCs w:val="18"/>
                    </w:rPr>
                    <w:t>de mercado,</w:t>
                  </w:r>
                  <w:r w:rsidR="00B172BA" w:rsidRPr="00D0018E">
                    <w:rPr>
                      <w:rFonts w:ascii="Arial" w:hAnsi="Arial" w:cs="Arial"/>
                      <w:sz w:val="18"/>
                      <w:szCs w:val="18"/>
                    </w:rPr>
                    <w:t xml:space="preserve"> lo que podría generar un sesgo en el análisis de concentraciones</w:t>
                  </w:r>
                  <w:r w:rsidRPr="00D0018E">
                    <w:rPr>
                      <w:rFonts w:ascii="Arial" w:hAnsi="Arial" w:cs="Arial"/>
                      <w:sz w:val="18"/>
                      <w:szCs w:val="18"/>
                    </w:rPr>
                    <w:t xml:space="preserve"> y</w:t>
                  </w:r>
                  <w:r w:rsidR="001A64E4" w:rsidRPr="00D0018E">
                    <w:rPr>
                      <w:rFonts w:ascii="Arial" w:hAnsi="Arial" w:cs="Arial"/>
                      <w:sz w:val="18"/>
                      <w:szCs w:val="18"/>
                    </w:rPr>
                    <w:t xml:space="preserve"> </w:t>
                  </w:r>
                  <w:r w:rsidRPr="00D0018E">
                    <w:rPr>
                      <w:rFonts w:ascii="Arial" w:hAnsi="Arial" w:cs="Arial"/>
                      <w:sz w:val="18"/>
                      <w:szCs w:val="18"/>
                    </w:rPr>
                    <w:t>2</w:t>
                  </w:r>
                  <w:r w:rsidR="001A64E4" w:rsidRPr="00D0018E">
                    <w:rPr>
                      <w:rFonts w:ascii="Arial" w:hAnsi="Arial" w:cs="Arial"/>
                      <w:sz w:val="18"/>
                      <w:szCs w:val="18"/>
                    </w:rPr>
                    <w:t>) e</w:t>
                  </w:r>
                  <w:r w:rsidRPr="00D0018E">
                    <w:rPr>
                      <w:rFonts w:ascii="Arial" w:hAnsi="Arial" w:cs="Arial"/>
                      <w:sz w:val="18"/>
                      <w:szCs w:val="18"/>
                    </w:rPr>
                    <w:t>sto no sería acorde con</w:t>
                  </w:r>
                  <w:r w:rsidR="001A64E4" w:rsidRPr="00D0018E">
                    <w:rPr>
                      <w:rFonts w:ascii="Arial" w:hAnsi="Arial" w:cs="Arial"/>
                      <w:sz w:val="18"/>
                      <w:szCs w:val="18"/>
                    </w:rPr>
                    <w:t xml:space="preserve"> las mejores prácticas internacionales en materia de competencia económica.</w:t>
                  </w:r>
                </w:p>
                <w:p w14:paraId="6628E09A" w14:textId="745A7DC5" w:rsidR="00DC671E" w:rsidRPr="00D0018E" w:rsidRDefault="00DC671E" w:rsidP="00402372">
                  <w:pPr>
                    <w:jc w:val="both"/>
                    <w:rPr>
                      <w:rFonts w:ascii="Arial" w:hAnsi="Arial" w:cs="Arial"/>
                      <w:sz w:val="18"/>
                      <w:szCs w:val="18"/>
                    </w:rPr>
                  </w:pPr>
                </w:p>
              </w:tc>
            </w:tr>
          </w:tbl>
          <w:p w14:paraId="55AC06D4" w14:textId="77777777" w:rsidR="00DC671E" w:rsidRPr="00D0018E" w:rsidRDefault="00DC671E" w:rsidP="00402372">
            <w:pPr>
              <w:jc w:val="both"/>
              <w:rPr>
                <w:rFonts w:ascii="Arial" w:hAnsi="Arial" w:cs="Arial"/>
                <w:sz w:val="18"/>
                <w:szCs w:val="18"/>
              </w:rPr>
            </w:pPr>
          </w:p>
          <w:p w14:paraId="438EDE2A" w14:textId="77777777" w:rsidR="00DC671E" w:rsidRPr="00D0018E" w:rsidRDefault="00DC671E" w:rsidP="00402372">
            <w:pPr>
              <w:jc w:val="both"/>
              <w:rPr>
                <w:rFonts w:ascii="Arial" w:hAnsi="Arial" w:cs="Arial"/>
                <w:sz w:val="18"/>
                <w:szCs w:val="18"/>
              </w:rPr>
            </w:pPr>
          </w:p>
        </w:tc>
      </w:tr>
    </w:tbl>
    <w:p w14:paraId="6E1FA090" w14:textId="77777777" w:rsidR="00DC671E" w:rsidRPr="00D0018E" w:rsidRDefault="00DC671E" w:rsidP="00DC671E">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8828"/>
      </w:tblGrid>
      <w:tr w:rsidR="00DC671E" w:rsidRPr="00D0018E" w14:paraId="6B69AB7D" w14:textId="77777777" w:rsidTr="00402372">
        <w:tc>
          <w:tcPr>
            <w:tcW w:w="8828" w:type="dxa"/>
          </w:tcPr>
          <w:p w14:paraId="4E5FB2B7" w14:textId="77777777" w:rsidR="00DC671E" w:rsidRPr="00D0018E" w:rsidRDefault="00DC671E" w:rsidP="00402372">
            <w:pPr>
              <w:jc w:val="both"/>
              <w:rPr>
                <w:rFonts w:ascii="Arial" w:hAnsi="Arial" w:cs="Arial"/>
                <w:sz w:val="18"/>
                <w:szCs w:val="18"/>
              </w:rPr>
            </w:pPr>
            <w:r w:rsidRPr="00D0018E">
              <w:rPr>
                <w:rFonts w:ascii="Arial" w:hAnsi="Arial" w:cs="Arial"/>
                <w:sz w:val="18"/>
                <w:szCs w:val="18"/>
              </w:rPr>
              <w:br w:type="page"/>
            </w:r>
            <w:r w:rsidRPr="00D0018E">
              <w:rPr>
                <w:rFonts w:ascii="Arial" w:hAnsi="Arial" w:cs="Arial"/>
                <w:b/>
                <w:sz w:val="18"/>
                <w:szCs w:val="18"/>
              </w:rPr>
              <w:t>7.- Incluya un comparativo que contemple las regulaciones implementadas en otros países a fin de solventar la problemática antes detectada o alguna similar.</w:t>
            </w:r>
          </w:p>
          <w:p w14:paraId="485800CE" w14:textId="698F650A" w:rsidR="00DC671E" w:rsidRPr="00D0018E" w:rsidRDefault="00DC671E" w:rsidP="00402372">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705"/>
              <w:gridCol w:w="4897"/>
            </w:tblGrid>
            <w:tr w:rsidR="0071147B" w:rsidRPr="00D0018E" w14:paraId="12374CE6" w14:textId="77777777" w:rsidTr="00E13411">
              <w:trPr>
                <w:tblHeader/>
              </w:trPr>
              <w:tc>
                <w:tcPr>
                  <w:tcW w:w="8602" w:type="dxa"/>
                  <w:gridSpan w:val="2"/>
                  <w:shd w:val="clear" w:color="auto" w:fill="A8D08D" w:themeFill="accent6" w:themeFillTint="99"/>
                </w:tcPr>
                <w:p w14:paraId="2B846C31" w14:textId="77777777" w:rsidR="0071147B" w:rsidRPr="00D0018E" w:rsidRDefault="0071147B" w:rsidP="0071147B">
                  <w:pPr>
                    <w:jc w:val="both"/>
                    <w:rPr>
                      <w:rFonts w:ascii="Arial" w:hAnsi="Arial" w:cs="Arial"/>
                      <w:b/>
                      <w:sz w:val="18"/>
                      <w:szCs w:val="18"/>
                    </w:rPr>
                  </w:pPr>
                  <w:r w:rsidRPr="00D0018E">
                    <w:rPr>
                      <w:rFonts w:ascii="Arial" w:hAnsi="Arial" w:cs="Arial"/>
                      <w:b/>
                      <w:sz w:val="18"/>
                      <w:szCs w:val="18"/>
                    </w:rPr>
                    <w:t>Caso 1</w:t>
                  </w:r>
                </w:p>
              </w:tc>
            </w:tr>
            <w:tr w:rsidR="0071147B" w:rsidRPr="00D0018E" w14:paraId="6BD19731" w14:textId="77777777" w:rsidTr="00E13411">
              <w:tc>
                <w:tcPr>
                  <w:tcW w:w="3705" w:type="dxa"/>
                </w:tcPr>
                <w:p w14:paraId="6E8DD6C3"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País o región analizado:</w:t>
                  </w:r>
                </w:p>
              </w:tc>
              <w:tc>
                <w:tcPr>
                  <w:tcW w:w="4897" w:type="dxa"/>
                </w:tcPr>
                <w:p w14:paraId="5274F46B"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Estados Unidos de América</w:t>
                  </w:r>
                </w:p>
              </w:tc>
            </w:tr>
            <w:tr w:rsidR="0071147B" w:rsidRPr="00D0018E" w14:paraId="081FB982" w14:textId="77777777" w:rsidTr="00E13411">
              <w:tc>
                <w:tcPr>
                  <w:tcW w:w="3705" w:type="dxa"/>
                </w:tcPr>
                <w:p w14:paraId="62A22956"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Nombre de la regulación:</w:t>
                  </w:r>
                </w:p>
              </w:tc>
              <w:tc>
                <w:tcPr>
                  <w:tcW w:w="4897" w:type="dxa"/>
                </w:tcPr>
                <w:p w14:paraId="0218AFDF" w14:textId="77777777" w:rsidR="0071147B" w:rsidRPr="00D0018E" w:rsidRDefault="0071147B" w:rsidP="0071147B">
                  <w:pPr>
                    <w:pStyle w:val="Prrafodelista"/>
                    <w:numPr>
                      <w:ilvl w:val="0"/>
                      <w:numId w:val="14"/>
                    </w:numPr>
                    <w:ind w:left="175" w:hanging="262"/>
                    <w:jc w:val="both"/>
                    <w:rPr>
                      <w:rFonts w:ascii="Arial" w:hAnsi="Arial" w:cs="Arial"/>
                      <w:iCs/>
                      <w:sz w:val="18"/>
                      <w:szCs w:val="18"/>
                      <w:lang w:val="en-GB"/>
                    </w:rPr>
                  </w:pPr>
                  <w:r w:rsidRPr="00D0018E">
                    <w:rPr>
                      <w:rFonts w:ascii="Arial" w:hAnsi="Arial" w:cs="Arial"/>
                      <w:iCs/>
                      <w:sz w:val="18"/>
                      <w:szCs w:val="18"/>
                      <w:lang w:val="en-GB"/>
                    </w:rPr>
                    <w:t>Horizontal Merger Guidelines</w:t>
                  </w:r>
                </w:p>
              </w:tc>
            </w:tr>
            <w:tr w:rsidR="0071147B" w:rsidRPr="00D0018E" w14:paraId="4BD3FD06" w14:textId="77777777" w:rsidTr="00E13411">
              <w:tc>
                <w:tcPr>
                  <w:tcW w:w="3705" w:type="dxa"/>
                </w:tcPr>
                <w:p w14:paraId="441C6C3F"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Principales resultados:</w:t>
                  </w:r>
                </w:p>
              </w:tc>
              <w:tc>
                <w:tcPr>
                  <w:tcW w:w="4897" w:type="dxa"/>
                </w:tcPr>
                <w:p w14:paraId="11718A51" w14:textId="77777777" w:rsidR="0071147B" w:rsidRPr="00D0018E" w:rsidRDefault="0071147B" w:rsidP="0071147B">
                  <w:pPr>
                    <w:pStyle w:val="Prrafodelista"/>
                    <w:numPr>
                      <w:ilvl w:val="0"/>
                      <w:numId w:val="14"/>
                    </w:numPr>
                    <w:ind w:left="175" w:hanging="262"/>
                    <w:jc w:val="both"/>
                    <w:rPr>
                      <w:rFonts w:ascii="Arial" w:hAnsi="Arial" w:cs="Arial"/>
                      <w:sz w:val="18"/>
                      <w:szCs w:val="18"/>
                    </w:rPr>
                  </w:pPr>
                  <w:r w:rsidRPr="00D0018E">
                    <w:rPr>
                      <w:rFonts w:ascii="Arial" w:hAnsi="Arial" w:cs="Arial"/>
                      <w:sz w:val="18"/>
                      <w:szCs w:val="18"/>
                    </w:rPr>
                    <w:t>Establecimiento de estándares generales para el análisis de concentraciones</w:t>
                  </w:r>
                </w:p>
              </w:tc>
            </w:tr>
            <w:tr w:rsidR="0071147B" w:rsidRPr="00A65B88" w14:paraId="1B8FCB44" w14:textId="77777777" w:rsidTr="00E13411">
              <w:tc>
                <w:tcPr>
                  <w:tcW w:w="3705" w:type="dxa"/>
                </w:tcPr>
                <w:p w14:paraId="1E9EA07B"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Referencia jurídica de emisión oficial:</w:t>
                  </w:r>
                </w:p>
              </w:tc>
              <w:tc>
                <w:tcPr>
                  <w:tcW w:w="4897" w:type="dxa"/>
                </w:tcPr>
                <w:p w14:paraId="467F453B" w14:textId="77777777" w:rsidR="0071147B" w:rsidRPr="00D0018E" w:rsidRDefault="0071147B" w:rsidP="0071147B">
                  <w:pPr>
                    <w:jc w:val="both"/>
                    <w:rPr>
                      <w:rFonts w:ascii="Arial" w:hAnsi="Arial" w:cs="Arial"/>
                      <w:sz w:val="18"/>
                      <w:szCs w:val="18"/>
                      <w:lang w:val="en-GB"/>
                    </w:rPr>
                  </w:pPr>
                  <w:r w:rsidRPr="00D0018E">
                    <w:rPr>
                      <w:rFonts w:ascii="Arial" w:hAnsi="Arial" w:cs="Arial"/>
                      <w:sz w:val="18"/>
                      <w:szCs w:val="18"/>
                      <w:lang w:val="en-GB"/>
                    </w:rPr>
                    <w:t>Department of Justice and the Federal of Trade Commission.</w:t>
                  </w:r>
                </w:p>
              </w:tc>
            </w:tr>
            <w:tr w:rsidR="0071147B" w:rsidRPr="00D0018E" w14:paraId="233A4F60" w14:textId="77777777" w:rsidTr="00E13411">
              <w:tc>
                <w:tcPr>
                  <w:tcW w:w="3705" w:type="dxa"/>
                </w:tcPr>
                <w:p w14:paraId="7675B994"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Vínculos electrónicos de identificación:</w:t>
                  </w:r>
                </w:p>
              </w:tc>
              <w:tc>
                <w:tcPr>
                  <w:tcW w:w="4897" w:type="dxa"/>
                </w:tcPr>
                <w:p w14:paraId="1D5D66B7" w14:textId="77777777" w:rsidR="0071147B" w:rsidRPr="00D0018E" w:rsidRDefault="00610B49" w:rsidP="0071147B">
                  <w:pPr>
                    <w:pStyle w:val="Prrafodelista"/>
                    <w:numPr>
                      <w:ilvl w:val="0"/>
                      <w:numId w:val="14"/>
                    </w:numPr>
                    <w:ind w:left="179" w:hanging="179"/>
                    <w:jc w:val="both"/>
                    <w:rPr>
                      <w:rFonts w:ascii="Arial" w:hAnsi="Arial" w:cs="Arial"/>
                      <w:sz w:val="18"/>
                      <w:szCs w:val="18"/>
                    </w:rPr>
                  </w:pPr>
                  <w:hyperlink r:id="rId12" w:history="1">
                    <w:r w:rsidR="0071147B" w:rsidRPr="00D0018E">
                      <w:rPr>
                        <w:rStyle w:val="Hipervnculo"/>
                        <w:rFonts w:ascii="Arial" w:hAnsi="Arial" w:cs="Arial"/>
                        <w:sz w:val="18"/>
                        <w:szCs w:val="18"/>
                      </w:rPr>
                      <w:t>https://www.justice.gov/sites/default/files/atr/legacy/2010/08/19/hmg-2010.pdf</w:t>
                    </w:r>
                  </w:hyperlink>
                  <w:r w:rsidR="0071147B" w:rsidRPr="00D0018E">
                    <w:rPr>
                      <w:rFonts w:ascii="Arial" w:hAnsi="Arial" w:cs="Arial"/>
                      <w:sz w:val="18"/>
                      <w:szCs w:val="18"/>
                    </w:rPr>
                    <w:t xml:space="preserve"> </w:t>
                  </w:r>
                </w:p>
              </w:tc>
            </w:tr>
            <w:tr w:rsidR="0071147B" w:rsidRPr="00D0018E" w14:paraId="161A43D2" w14:textId="77777777" w:rsidTr="00E13411">
              <w:tc>
                <w:tcPr>
                  <w:tcW w:w="3705" w:type="dxa"/>
                </w:tcPr>
                <w:p w14:paraId="0F03E800"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Información adicional:</w:t>
                  </w:r>
                </w:p>
              </w:tc>
              <w:tc>
                <w:tcPr>
                  <w:tcW w:w="4897" w:type="dxa"/>
                </w:tcPr>
                <w:p w14:paraId="23E7FE7A"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La información de los tipos de mercado (en términos de concentración) y los estándares generales para el análisis de concentraciones pueden ser consultadas directamente en la fuente citada.</w:t>
                  </w:r>
                </w:p>
              </w:tc>
            </w:tr>
          </w:tbl>
          <w:p w14:paraId="3D240FF1" w14:textId="77777777" w:rsidR="0071147B" w:rsidRPr="00D0018E" w:rsidRDefault="0071147B" w:rsidP="00402372">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705"/>
              <w:gridCol w:w="4897"/>
            </w:tblGrid>
            <w:tr w:rsidR="0071147B" w:rsidRPr="00D0018E" w14:paraId="5AC66D1C" w14:textId="77777777" w:rsidTr="00E13411">
              <w:tc>
                <w:tcPr>
                  <w:tcW w:w="8602" w:type="dxa"/>
                  <w:gridSpan w:val="2"/>
                  <w:shd w:val="clear" w:color="auto" w:fill="A8D08D" w:themeFill="accent6" w:themeFillTint="99"/>
                </w:tcPr>
                <w:p w14:paraId="456F52C0" w14:textId="77777777" w:rsidR="0071147B" w:rsidRPr="00D0018E" w:rsidRDefault="0071147B" w:rsidP="0071147B">
                  <w:pPr>
                    <w:jc w:val="both"/>
                    <w:rPr>
                      <w:rFonts w:ascii="Arial" w:hAnsi="Arial" w:cs="Arial"/>
                      <w:b/>
                      <w:sz w:val="18"/>
                      <w:szCs w:val="18"/>
                    </w:rPr>
                  </w:pPr>
                  <w:r w:rsidRPr="00D0018E">
                    <w:rPr>
                      <w:rFonts w:ascii="Arial" w:hAnsi="Arial" w:cs="Arial"/>
                      <w:b/>
                      <w:sz w:val="18"/>
                      <w:szCs w:val="18"/>
                    </w:rPr>
                    <w:t>Caso 2</w:t>
                  </w:r>
                </w:p>
              </w:tc>
            </w:tr>
            <w:tr w:rsidR="0071147B" w:rsidRPr="00D0018E" w14:paraId="5502FD14" w14:textId="77777777" w:rsidTr="00E13411">
              <w:tc>
                <w:tcPr>
                  <w:tcW w:w="3705" w:type="dxa"/>
                </w:tcPr>
                <w:p w14:paraId="0954B174"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País o región analizado:</w:t>
                  </w:r>
                </w:p>
              </w:tc>
              <w:tc>
                <w:tcPr>
                  <w:tcW w:w="4897" w:type="dxa"/>
                </w:tcPr>
                <w:p w14:paraId="1128604C"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Unión Europea</w:t>
                  </w:r>
                </w:p>
              </w:tc>
            </w:tr>
            <w:tr w:rsidR="0071147B" w:rsidRPr="00D0018E" w14:paraId="07404F54" w14:textId="77777777" w:rsidTr="00E13411">
              <w:tc>
                <w:tcPr>
                  <w:tcW w:w="3705" w:type="dxa"/>
                </w:tcPr>
                <w:p w14:paraId="6EB3CE51"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Nombre de la regulación:</w:t>
                  </w:r>
                </w:p>
              </w:tc>
              <w:tc>
                <w:tcPr>
                  <w:tcW w:w="4897" w:type="dxa"/>
                </w:tcPr>
                <w:p w14:paraId="02FEE268" w14:textId="77777777" w:rsidR="0071147B" w:rsidRPr="00D0018E" w:rsidRDefault="0071147B" w:rsidP="0071147B">
                  <w:pPr>
                    <w:pStyle w:val="Prrafodelista"/>
                    <w:numPr>
                      <w:ilvl w:val="0"/>
                      <w:numId w:val="14"/>
                    </w:numPr>
                    <w:ind w:left="175" w:hanging="262"/>
                    <w:jc w:val="both"/>
                    <w:rPr>
                      <w:rFonts w:ascii="Arial" w:hAnsi="Arial" w:cs="Arial"/>
                      <w:sz w:val="18"/>
                      <w:szCs w:val="18"/>
                    </w:rPr>
                  </w:pPr>
                  <w:r w:rsidRPr="00D0018E">
                    <w:rPr>
                      <w:rFonts w:ascii="Arial" w:hAnsi="Arial" w:cs="Arial"/>
                      <w:iCs/>
                      <w:sz w:val="18"/>
                      <w:szCs w:val="18"/>
                    </w:rPr>
                    <w:t>“Directrices sobre la evaluación de las concentraciones horizontales con arreglo al Reglamento del Consejo sobre el control de las concentraciones entre empresas”.</w:t>
                  </w:r>
                </w:p>
              </w:tc>
            </w:tr>
            <w:tr w:rsidR="0071147B" w:rsidRPr="00D0018E" w14:paraId="4587823D" w14:textId="77777777" w:rsidTr="00E13411">
              <w:tc>
                <w:tcPr>
                  <w:tcW w:w="3705" w:type="dxa"/>
                </w:tcPr>
                <w:p w14:paraId="49300F0D"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Principales resultados:</w:t>
                  </w:r>
                </w:p>
              </w:tc>
              <w:tc>
                <w:tcPr>
                  <w:tcW w:w="4897" w:type="dxa"/>
                </w:tcPr>
                <w:p w14:paraId="53BE45C5" w14:textId="77777777" w:rsidR="0071147B" w:rsidRPr="00D0018E" w:rsidRDefault="0071147B" w:rsidP="0071147B">
                  <w:pPr>
                    <w:pStyle w:val="Prrafodelista"/>
                    <w:numPr>
                      <w:ilvl w:val="0"/>
                      <w:numId w:val="14"/>
                    </w:numPr>
                    <w:ind w:left="175" w:hanging="262"/>
                    <w:jc w:val="both"/>
                    <w:rPr>
                      <w:rFonts w:ascii="Arial" w:hAnsi="Arial" w:cs="Arial"/>
                      <w:sz w:val="18"/>
                      <w:szCs w:val="18"/>
                    </w:rPr>
                  </w:pPr>
                  <w:r w:rsidRPr="00D0018E">
                    <w:rPr>
                      <w:rFonts w:ascii="Arial" w:hAnsi="Arial" w:cs="Arial"/>
                      <w:sz w:val="18"/>
                      <w:szCs w:val="18"/>
                    </w:rPr>
                    <w:t>Establecimiento de estándares generales para el análisis de concentraciones.</w:t>
                  </w:r>
                </w:p>
              </w:tc>
            </w:tr>
            <w:tr w:rsidR="0071147B" w:rsidRPr="00D0018E" w14:paraId="184E3DF8" w14:textId="77777777" w:rsidTr="00E13411">
              <w:tc>
                <w:tcPr>
                  <w:tcW w:w="3705" w:type="dxa"/>
                </w:tcPr>
                <w:p w14:paraId="7A9C38AC"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Referencia jurídica de emisión oficial:</w:t>
                  </w:r>
                </w:p>
              </w:tc>
              <w:tc>
                <w:tcPr>
                  <w:tcW w:w="4897" w:type="dxa"/>
                </w:tcPr>
                <w:p w14:paraId="56370882"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Diario Oficial de la Unión Europea</w:t>
                  </w:r>
                </w:p>
              </w:tc>
            </w:tr>
            <w:tr w:rsidR="0071147B" w:rsidRPr="00D0018E" w14:paraId="3800775E" w14:textId="77777777" w:rsidTr="00E13411">
              <w:tc>
                <w:tcPr>
                  <w:tcW w:w="3705" w:type="dxa"/>
                </w:tcPr>
                <w:p w14:paraId="0CAC054D"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Vínculos electrónicos de identificación:</w:t>
                  </w:r>
                </w:p>
              </w:tc>
              <w:tc>
                <w:tcPr>
                  <w:tcW w:w="4897" w:type="dxa"/>
                </w:tcPr>
                <w:p w14:paraId="3E5402E9" w14:textId="77777777" w:rsidR="0071147B" w:rsidRPr="00D0018E" w:rsidRDefault="00610B49" w:rsidP="0071147B">
                  <w:pPr>
                    <w:pStyle w:val="Prrafodelista"/>
                    <w:numPr>
                      <w:ilvl w:val="0"/>
                      <w:numId w:val="14"/>
                    </w:numPr>
                    <w:ind w:left="175" w:hanging="262"/>
                    <w:jc w:val="both"/>
                    <w:rPr>
                      <w:rFonts w:ascii="Arial" w:hAnsi="Arial" w:cs="Arial"/>
                      <w:sz w:val="18"/>
                      <w:szCs w:val="18"/>
                    </w:rPr>
                  </w:pPr>
                  <w:hyperlink r:id="rId13" w:history="1">
                    <w:r w:rsidR="0071147B" w:rsidRPr="00D0018E">
                      <w:rPr>
                        <w:rStyle w:val="Hipervnculo"/>
                        <w:rFonts w:ascii="Arial" w:hAnsi="Arial" w:cs="Arial"/>
                        <w:sz w:val="18"/>
                        <w:szCs w:val="18"/>
                      </w:rPr>
                      <w:t>http://eur-lex.europa.eu/LexUriServ/LexUriServ.do?uri=OJ:C:2004:031:0005:0018:ES:PDF</w:t>
                    </w:r>
                  </w:hyperlink>
                  <w:r w:rsidR="0071147B" w:rsidRPr="00D0018E">
                    <w:rPr>
                      <w:rFonts w:ascii="Arial" w:hAnsi="Arial" w:cs="Arial"/>
                      <w:sz w:val="18"/>
                      <w:szCs w:val="18"/>
                    </w:rPr>
                    <w:t xml:space="preserve"> </w:t>
                  </w:r>
                </w:p>
              </w:tc>
            </w:tr>
            <w:tr w:rsidR="0071147B" w:rsidRPr="00D0018E" w14:paraId="27E2D0C3" w14:textId="77777777" w:rsidTr="00E13411">
              <w:tc>
                <w:tcPr>
                  <w:tcW w:w="3705" w:type="dxa"/>
                </w:tcPr>
                <w:p w14:paraId="04F01902"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Información adicional:</w:t>
                  </w:r>
                </w:p>
              </w:tc>
              <w:tc>
                <w:tcPr>
                  <w:tcW w:w="4897" w:type="dxa"/>
                </w:tcPr>
                <w:p w14:paraId="09FC1CA0"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La información de los tipos de mercado (en términos de concentración) y los estándares generales para el análisis de concentraciones pueden ser consultadas directamente en la fuente citada.</w:t>
                  </w:r>
                </w:p>
              </w:tc>
            </w:tr>
          </w:tbl>
          <w:p w14:paraId="265D6A29" w14:textId="24E40DBA" w:rsidR="00DC671E" w:rsidRPr="00D0018E" w:rsidRDefault="00DC671E" w:rsidP="00402372">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705"/>
              <w:gridCol w:w="4897"/>
            </w:tblGrid>
            <w:tr w:rsidR="0071147B" w:rsidRPr="00D0018E" w14:paraId="3A0D3FFA" w14:textId="77777777" w:rsidTr="00E13411">
              <w:tc>
                <w:tcPr>
                  <w:tcW w:w="8602" w:type="dxa"/>
                  <w:gridSpan w:val="2"/>
                  <w:shd w:val="clear" w:color="auto" w:fill="A8D08D" w:themeFill="accent6" w:themeFillTint="99"/>
                </w:tcPr>
                <w:p w14:paraId="092DB88A" w14:textId="77777777" w:rsidR="0071147B" w:rsidRPr="00D0018E" w:rsidRDefault="0071147B" w:rsidP="0071147B">
                  <w:pPr>
                    <w:jc w:val="both"/>
                    <w:rPr>
                      <w:rFonts w:ascii="Arial" w:hAnsi="Arial" w:cs="Arial"/>
                      <w:b/>
                      <w:sz w:val="18"/>
                      <w:szCs w:val="18"/>
                    </w:rPr>
                  </w:pPr>
                  <w:r w:rsidRPr="00D0018E">
                    <w:rPr>
                      <w:rFonts w:ascii="Arial" w:hAnsi="Arial" w:cs="Arial"/>
                      <w:b/>
                      <w:sz w:val="18"/>
                      <w:szCs w:val="18"/>
                    </w:rPr>
                    <w:t>Caso 3</w:t>
                  </w:r>
                </w:p>
              </w:tc>
            </w:tr>
            <w:tr w:rsidR="0071147B" w:rsidRPr="00D0018E" w14:paraId="315BDCE2" w14:textId="77777777" w:rsidTr="00E13411">
              <w:tc>
                <w:tcPr>
                  <w:tcW w:w="3705" w:type="dxa"/>
                </w:tcPr>
                <w:p w14:paraId="295C3C5A"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País o región analizado:</w:t>
                  </w:r>
                </w:p>
              </w:tc>
              <w:tc>
                <w:tcPr>
                  <w:tcW w:w="4897" w:type="dxa"/>
                </w:tcPr>
                <w:p w14:paraId="52841D10"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Chile</w:t>
                  </w:r>
                </w:p>
              </w:tc>
            </w:tr>
            <w:tr w:rsidR="0071147B" w:rsidRPr="00D0018E" w14:paraId="31DC359C" w14:textId="77777777" w:rsidTr="00E13411">
              <w:tc>
                <w:tcPr>
                  <w:tcW w:w="3705" w:type="dxa"/>
                </w:tcPr>
                <w:p w14:paraId="2C359D6C"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Nombre de la regulación:</w:t>
                  </w:r>
                </w:p>
              </w:tc>
              <w:tc>
                <w:tcPr>
                  <w:tcW w:w="4897" w:type="dxa"/>
                </w:tcPr>
                <w:p w14:paraId="1FE5117A" w14:textId="77777777" w:rsidR="0071147B" w:rsidRPr="00D0018E" w:rsidRDefault="0071147B" w:rsidP="0071147B">
                  <w:pPr>
                    <w:pStyle w:val="Prrafodelista"/>
                    <w:numPr>
                      <w:ilvl w:val="0"/>
                      <w:numId w:val="14"/>
                    </w:numPr>
                    <w:ind w:left="175" w:hanging="262"/>
                    <w:jc w:val="both"/>
                    <w:rPr>
                      <w:rFonts w:ascii="Arial" w:hAnsi="Arial" w:cs="Arial"/>
                      <w:sz w:val="18"/>
                      <w:szCs w:val="18"/>
                    </w:rPr>
                  </w:pPr>
                  <w:r w:rsidRPr="00D0018E">
                    <w:rPr>
                      <w:rFonts w:ascii="Arial" w:hAnsi="Arial" w:cs="Arial"/>
                      <w:iCs/>
                      <w:sz w:val="18"/>
                      <w:szCs w:val="18"/>
                    </w:rPr>
                    <w:t>“Guía para el análisis de operaciones de concentración”.</w:t>
                  </w:r>
                </w:p>
              </w:tc>
            </w:tr>
            <w:tr w:rsidR="0071147B" w:rsidRPr="00D0018E" w14:paraId="3376FA42" w14:textId="77777777" w:rsidTr="00E13411">
              <w:tc>
                <w:tcPr>
                  <w:tcW w:w="3705" w:type="dxa"/>
                </w:tcPr>
                <w:p w14:paraId="680175AA"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Principales resultados:</w:t>
                  </w:r>
                </w:p>
              </w:tc>
              <w:tc>
                <w:tcPr>
                  <w:tcW w:w="4897" w:type="dxa"/>
                </w:tcPr>
                <w:p w14:paraId="1B0BEC5A" w14:textId="77777777" w:rsidR="0071147B" w:rsidRPr="00D0018E" w:rsidRDefault="0071147B" w:rsidP="0071147B">
                  <w:pPr>
                    <w:pStyle w:val="Prrafodelista"/>
                    <w:numPr>
                      <w:ilvl w:val="0"/>
                      <w:numId w:val="14"/>
                    </w:numPr>
                    <w:ind w:left="175" w:hanging="262"/>
                    <w:jc w:val="both"/>
                    <w:rPr>
                      <w:rFonts w:ascii="Arial" w:hAnsi="Arial" w:cs="Arial"/>
                      <w:sz w:val="18"/>
                      <w:szCs w:val="18"/>
                    </w:rPr>
                  </w:pPr>
                  <w:r w:rsidRPr="00D0018E">
                    <w:rPr>
                      <w:rFonts w:ascii="Arial" w:hAnsi="Arial" w:cs="Arial"/>
                      <w:sz w:val="18"/>
                      <w:szCs w:val="18"/>
                    </w:rPr>
                    <w:t>Establecimiento de estándares generales para el análisis de concentraciones.</w:t>
                  </w:r>
                </w:p>
              </w:tc>
            </w:tr>
            <w:tr w:rsidR="0071147B" w:rsidRPr="00D0018E" w14:paraId="64511EA7" w14:textId="77777777" w:rsidTr="00E13411">
              <w:tc>
                <w:tcPr>
                  <w:tcW w:w="3705" w:type="dxa"/>
                </w:tcPr>
                <w:p w14:paraId="766B8D57"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Referencia jurídica de emisión oficial:</w:t>
                  </w:r>
                </w:p>
              </w:tc>
              <w:tc>
                <w:tcPr>
                  <w:tcW w:w="4897" w:type="dxa"/>
                </w:tcPr>
                <w:p w14:paraId="171A3ADE"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Fiscalía Nacional Económica</w:t>
                  </w:r>
                </w:p>
              </w:tc>
            </w:tr>
            <w:tr w:rsidR="0071147B" w:rsidRPr="00D0018E" w14:paraId="7BB945C8" w14:textId="77777777" w:rsidTr="00E13411">
              <w:tc>
                <w:tcPr>
                  <w:tcW w:w="3705" w:type="dxa"/>
                </w:tcPr>
                <w:p w14:paraId="1711DBDD"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Vínculos electrónicos de identificación:</w:t>
                  </w:r>
                </w:p>
              </w:tc>
              <w:tc>
                <w:tcPr>
                  <w:tcW w:w="4897" w:type="dxa"/>
                </w:tcPr>
                <w:p w14:paraId="232C760B" w14:textId="77777777" w:rsidR="0071147B" w:rsidRPr="00D0018E" w:rsidRDefault="00610B49" w:rsidP="0071147B">
                  <w:pPr>
                    <w:pStyle w:val="Prrafodelista"/>
                    <w:numPr>
                      <w:ilvl w:val="0"/>
                      <w:numId w:val="14"/>
                    </w:numPr>
                    <w:ind w:left="175" w:hanging="262"/>
                    <w:jc w:val="both"/>
                    <w:rPr>
                      <w:rFonts w:ascii="Arial" w:hAnsi="Arial" w:cs="Arial"/>
                      <w:sz w:val="18"/>
                      <w:szCs w:val="18"/>
                    </w:rPr>
                  </w:pPr>
                  <w:hyperlink r:id="rId14" w:history="1">
                    <w:r w:rsidR="0071147B" w:rsidRPr="00D0018E">
                      <w:rPr>
                        <w:rStyle w:val="Hipervnculo"/>
                        <w:rFonts w:ascii="Arial" w:hAnsi="Arial" w:cs="Arial"/>
                        <w:sz w:val="18"/>
                        <w:szCs w:val="18"/>
                      </w:rPr>
                      <w:t>http://www.fne.gob.cl/wp-content/uploads/2012/10/Guia-Fusiones.pdf</w:t>
                    </w:r>
                  </w:hyperlink>
                  <w:r w:rsidR="0071147B" w:rsidRPr="00D0018E">
                    <w:rPr>
                      <w:rFonts w:ascii="Arial" w:hAnsi="Arial" w:cs="Arial"/>
                      <w:sz w:val="18"/>
                      <w:szCs w:val="18"/>
                    </w:rPr>
                    <w:t xml:space="preserve"> </w:t>
                  </w:r>
                </w:p>
              </w:tc>
            </w:tr>
            <w:tr w:rsidR="0071147B" w:rsidRPr="00D0018E" w14:paraId="4ECF8F90" w14:textId="77777777" w:rsidTr="00E13411">
              <w:tc>
                <w:tcPr>
                  <w:tcW w:w="3705" w:type="dxa"/>
                </w:tcPr>
                <w:p w14:paraId="0DB6F5EE"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Información adicional:</w:t>
                  </w:r>
                </w:p>
              </w:tc>
              <w:tc>
                <w:tcPr>
                  <w:tcW w:w="4897" w:type="dxa"/>
                </w:tcPr>
                <w:p w14:paraId="3F057112" w14:textId="77777777" w:rsidR="0071147B" w:rsidRPr="00D0018E" w:rsidRDefault="0071147B" w:rsidP="0071147B">
                  <w:pPr>
                    <w:jc w:val="both"/>
                    <w:rPr>
                      <w:rFonts w:ascii="Arial" w:hAnsi="Arial" w:cs="Arial"/>
                      <w:sz w:val="18"/>
                      <w:szCs w:val="18"/>
                    </w:rPr>
                  </w:pPr>
                  <w:r w:rsidRPr="00D0018E">
                    <w:rPr>
                      <w:rFonts w:ascii="Arial" w:hAnsi="Arial" w:cs="Arial"/>
                      <w:sz w:val="18"/>
                      <w:szCs w:val="18"/>
                    </w:rPr>
                    <w:t>La información de los tipos de mercado (en términos de concentración) y los estándares generales para el análisis de concentraciones pueden ser consultadas directamente en la fuente citada.</w:t>
                  </w:r>
                </w:p>
              </w:tc>
            </w:tr>
          </w:tbl>
          <w:p w14:paraId="5BEF5F73" w14:textId="77777777" w:rsidR="0071147B" w:rsidRPr="00D0018E" w:rsidRDefault="0071147B" w:rsidP="00402372">
            <w:pPr>
              <w:jc w:val="both"/>
              <w:rPr>
                <w:rFonts w:ascii="Arial" w:hAnsi="Arial" w:cs="Arial"/>
                <w:sz w:val="18"/>
                <w:szCs w:val="18"/>
              </w:rPr>
            </w:pPr>
          </w:p>
          <w:p w14:paraId="68BE665B" w14:textId="77777777" w:rsidR="00DC671E" w:rsidRPr="00D0018E" w:rsidRDefault="00DC671E" w:rsidP="00402372">
            <w:pPr>
              <w:jc w:val="both"/>
              <w:rPr>
                <w:rFonts w:ascii="Arial" w:hAnsi="Arial" w:cs="Arial"/>
                <w:sz w:val="18"/>
                <w:szCs w:val="18"/>
              </w:rPr>
            </w:pPr>
          </w:p>
        </w:tc>
      </w:tr>
    </w:tbl>
    <w:p w14:paraId="4FE4D2F8" w14:textId="77777777" w:rsidR="00DC671E" w:rsidRPr="00D0018E" w:rsidRDefault="00DC671E" w:rsidP="00DC671E">
      <w:pPr>
        <w:jc w:val="both"/>
        <w:rPr>
          <w:rFonts w:ascii="Arial" w:hAnsi="Arial" w:cs="Arial"/>
          <w:sz w:val="18"/>
          <w:szCs w:val="18"/>
        </w:rPr>
      </w:pPr>
    </w:p>
    <w:p w14:paraId="187E57FA" w14:textId="77777777" w:rsidR="00DC671E" w:rsidRPr="00D0018E" w:rsidRDefault="00DC671E" w:rsidP="00DC671E">
      <w:pPr>
        <w:shd w:val="clear" w:color="auto" w:fill="A8D08D" w:themeFill="accent6" w:themeFillTint="99"/>
        <w:jc w:val="both"/>
        <w:rPr>
          <w:rFonts w:ascii="Arial" w:hAnsi="Arial" w:cs="Arial"/>
          <w:b/>
          <w:sz w:val="18"/>
          <w:szCs w:val="18"/>
        </w:rPr>
      </w:pPr>
      <w:r w:rsidRPr="00D0018E">
        <w:rPr>
          <w:rFonts w:ascii="Arial" w:hAnsi="Arial" w:cs="Arial"/>
          <w:b/>
          <w:sz w:val="18"/>
          <w:szCs w:val="18"/>
        </w:rPr>
        <w:lastRenderedPageBreak/>
        <w:t>III. IMPACTO DE LA PROPUESTA DE REGULACIÓN.</w:t>
      </w:r>
    </w:p>
    <w:tbl>
      <w:tblPr>
        <w:tblStyle w:val="Tablaconcuadrcula"/>
        <w:tblW w:w="0" w:type="auto"/>
        <w:tblLook w:val="04A0" w:firstRow="1" w:lastRow="0" w:firstColumn="1" w:lastColumn="0" w:noHBand="0" w:noVBand="1"/>
      </w:tblPr>
      <w:tblGrid>
        <w:gridCol w:w="8828"/>
      </w:tblGrid>
      <w:tr w:rsidR="00DC671E" w:rsidRPr="00D0018E" w14:paraId="587EA4BA" w14:textId="77777777" w:rsidTr="00402372">
        <w:tc>
          <w:tcPr>
            <w:tcW w:w="8828" w:type="dxa"/>
          </w:tcPr>
          <w:p w14:paraId="4201CA2B" w14:textId="77777777" w:rsidR="00DC671E" w:rsidRPr="00D0018E" w:rsidRDefault="00DC671E" w:rsidP="00402372">
            <w:pPr>
              <w:jc w:val="both"/>
              <w:rPr>
                <w:rFonts w:ascii="Arial" w:hAnsi="Arial" w:cs="Arial"/>
                <w:b/>
                <w:sz w:val="18"/>
                <w:szCs w:val="18"/>
              </w:rPr>
            </w:pPr>
            <w:r w:rsidRPr="00D0018E">
              <w:rPr>
                <w:rFonts w:ascii="Arial" w:hAnsi="Arial" w:cs="Arial"/>
                <w:b/>
                <w:sz w:val="18"/>
                <w:szCs w:val="18"/>
              </w:rPr>
              <w:t>8.- Refiera los trámites que la regulación propuesta crea, modifica o elimina</w:t>
            </w:r>
            <w:r w:rsidRPr="00D0018E">
              <w:rPr>
                <w:rFonts w:ascii="Arial" w:hAnsi="Arial" w:cs="Arial"/>
                <w:sz w:val="18"/>
                <w:szCs w:val="18"/>
                <w:vertAlign w:val="superscript"/>
              </w:rPr>
              <w:footnoteReference w:id="4"/>
            </w:r>
            <w:r w:rsidRPr="00D0018E">
              <w:rPr>
                <w:rFonts w:ascii="Arial" w:hAnsi="Arial" w:cs="Arial"/>
                <w:b/>
                <w:sz w:val="18"/>
                <w:szCs w:val="18"/>
              </w:rPr>
              <w:t>.</w:t>
            </w:r>
          </w:p>
          <w:p w14:paraId="59B59DE0" w14:textId="77777777" w:rsidR="00DC671E" w:rsidRPr="00D0018E" w:rsidRDefault="00DC671E" w:rsidP="00402372">
            <w:pPr>
              <w:jc w:val="both"/>
              <w:rPr>
                <w:rFonts w:ascii="Arial" w:hAnsi="Arial" w:cs="Arial"/>
                <w:sz w:val="18"/>
                <w:szCs w:val="18"/>
              </w:rPr>
            </w:pPr>
          </w:p>
          <w:p w14:paraId="27767471" w14:textId="124D651F" w:rsidR="00DC671E" w:rsidRPr="00D0018E" w:rsidRDefault="00DC671E" w:rsidP="00402372">
            <w:pPr>
              <w:jc w:val="both"/>
              <w:rPr>
                <w:rFonts w:ascii="Arial" w:hAnsi="Arial" w:cs="Arial"/>
                <w:sz w:val="18"/>
                <w:szCs w:val="18"/>
              </w:rPr>
            </w:pPr>
            <w:r w:rsidRPr="00D0018E">
              <w:rPr>
                <w:rFonts w:ascii="Arial" w:hAnsi="Arial" w:cs="Arial"/>
                <w:sz w:val="18"/>
                <w:szCs w:val="18"/>
              </w:rPr>
              <w:t xml:space="preserve">La propuesta de regulación </w:t>
            </w:r>
            <w:r w:rsidRPr="00D0018E">
              <w:rPr>
                <w:rFonts w:ascii="Arial" w:hAnsi="Arial" w:cs="Arial"/>
                <w:b/>
                <w:sz w:val="18"/>
                <w:szCs w:val="18"/>
              </w:rPr>
              <w:t>no crea, modifica o elimina trámite alguno</w:t>
            </w:r>
            <w:r w:rsidRPr="00D0018E">
              <w:rPr>
                <w:rFonts w:ascii="Arial" w:hAnsi="Arial" w:cs="Arial"/>
                <w:sz w:val="18"/>
                <w:szCs w:val="18"/>
              </w:rPr>
              <w:t xml:space="preserve"> de los que ya se encuentran actualmente en registro de trámites y servicios del Instituto.</w:t>
            </w:r>
          </w:p>
          <w:p w14:paraId="3E2D2071" w14:textId="64426225" w:rsidR="00DD5EE7" w:rsidRPr="00D0018E" w:rsidRDefault="00DD5EE7" w:rsidP="00402372">
            <w:pPr>
              <w:jc w:val="both"/>
              <w:rPr>
                <w:rFonts w:ascii="Arial" w:hAnsi="Arial" w:cs="Arial"/>
                <w:sz w:val="18"/>
                <w:szCs w:val="18"/>
              </w:rPr>
            </w:pPr>
          </w:p>
          <w:p w14:paraId="6ED16B14" w14:textId="67EBE907" w:rsidR="00C3033D" w:rsidRPr="00DD26F4" w:rsidRDefault="00DD5EE7" w:rsidP="00C3033D">
            <w:pPr>
              <w:shd w:val="clear" w:color="auto" w:fill="FFFFFF" w:themeFill="background1"/>
              <w:jc w:val="both"/>
              <w:rPr>
                <w:rFonts w:ascii="Arial" w:hAnsi="Arial" w:cs="Arial"/>
                <w:sz w:val="18"/>
                <w:szCs w:val="18"/>
              </w:rPr>
            </w:pPr>
            <w:r w:rsidRPr="00D0018E">
              <w:rPr>
                <w:rFonts w:ascii="Arial" w:hAnsi="Arial" w:cs="Arial"/>
                <w:sz w:val="18"/>
                <w:szCs w:val="18"/>
              </w:rPr>
              <w:t xml:space="preserve">Sin embargo, la </w:t>
            </w:r>
            <w:r w:rsidRPr="00DD26F4">
              <w:rPr>
                <w:rFonts w:ascii="Arial" w:hAnsi="Arial" w:cs="Arial"/>
                <w:sz w:val="18"/>
                <w:szCs w:val="18"/>
              </w:rPr>
              <w:t>modificación propuesta en el artículo 6 del Criterio Técnico consistente en bajar de 3000 puntos a 2</w:t>
            </w:r>
            <w:r w:rsidR="00DD26F4">
              <w:rPr>
                <w:rFonts w:ascii="Arial" w:hAnsi="Arial" w:cs="Arial"/>
                <w:sz w:val="18"/>
                <w:szCs w:val="18"/>
              </w:rPr>
              <w:t>,</w:t>
            </w:r>
            <w:r w:rsidRPr="00DD26F4">
              <w:rPr>
                <w:rFonts w:ascii="Arial" w:hAnsi="Arial" w:cs="Arial"/>
                <w:sz w:val="18"/>
                <w:szCs w:val="18"/>
              </w:rPr>
              <w:t xml:space="preserve">500 puntos </w:t>
            </w:r>
            <w:r w:rsidR="00D111E4" w:rsidRPr="00DD26F4">
              <w:rPr>
                <w:rFonts w:ascii="Arial" w:hAnsi="Arial" w:cs="Arial"/>
                <w:sz w:val="18"/>
                <w:szCs w:val="18"/>
              </w:rPr>
              <w:t xml:space="preserve">el umbral máximo del IHH que corresponde a niveles de concentración moderados, así como disminuir el umbral mínimo del IHH que corresponde a niveles de concentración elevados para que esos niveles de concentración elevados queden por encima de los 2,500 puntos, </w:t>
            </w:r>
            <w:r w:rsidR="000B4C1A" w:rsidRPr="00DD26F4">
              <w:rPr>
                <w:rFonts w:ascii="Arial" w:hAnsi="Arial" w:cs="Arial"/>
                <w:sz w:val="18"/>
                <w:szCs w:val="18"/>
              </w:rPr>
              <w:t xml:space="preserve">responde </w:t>
            </w:r>
            <w:r w:rsidRPr="00DD26F4">
              <w:rPr>
                <w:rFonts w:ascii="Arial" w:hAnsi="Arial" w:cs="Arial"/>
                <w:sz w:val="18"/>
                <w:szCs w:val="18"/>
              </w:rPr>
              <w:t xml:space="preserve"> a </w:t>
            </w:r>
            <w:r w:rsidR="00C3033D" w:rsidRPr="00DD26F4">
              <w:rPr>
                <w:rFonts w:ascii="Arial" w:hAnsi="Arial" w:cs="Arial"/>
                <w:sz w:val="18"/>
                <w:szCs w:val="18"/>
              </w:rPr>
              <w:t xml:space="preserve">la experiencia </w:t>
            </w:r>
            <w:r w:rsidR="000B4C1A" w:rsidRPr="00DD26F4">
              <w:rPr>
                <w:rFonts w:ascii="Arial" w:hAnsi="Arial" w:cs="Arial"/>
                <w:sz w:val="18"/>
                <w:szCs w:val="18"/>
              </w:rPr>
              <w:t xml:space="preserve">ganada </w:t>
            </w:r>
            <w:r w:rsidR="00C3033D" w:rsidRPr="00DD26F4">
              <w:rPr>
                <w:rFonts w:ascii="Arial" w:hAnsi="Arial" w:cs="Arial"/>
                <w:sz w:val="18"/>
                <w:szCs w:val="18"/>
              </w:rPr>
              <w:t xml:space="preserve">dentro del Instituto </w:t>
            </w:r>
            <w:r w:rsidR="00D111E4" w:rsidRPr="00DD26F4">
              <w:rPr>
                <w:rFonts w:ascii="Arial" w:hAnsi="Arial" w:cs="Arial"/>
                <w:sz w:val="18"/>
                <w:szCs w:val="18"/>
              </w:rPr>
              <w:t xml:space="preserve">en </w:t>
            </w:r>
            <w:r w:rsidR="000B4C1A" w:rsidRPr="00DD26F4">
              <w:rPr>
                <w:rFonts w:ascii="Arial" w:hAnsi="Arial" w:cs="Arial"/>
                <w:sz w:val="18"/>
                <w:szCs w:val="18"/>
              </w:rPr>
              <w:t xml:space="preserve">la aplicación de índices de concentración en </w:t>
            </w:r>
            <w:r w:rsidR="00D111E4" w:rsidRPr="00DD26F4">
              <w:rPr>
                <w:rFonts w:ascii="Arial" w:hAnsi="Arial" w:cs="Arial"/>
                <w:sz w:val="18"/>
                <w:szCs w:val="18"/>
              </w:rPr>
              <w:t>los sectores de telecomunicaciones y radiodifusión</w:t>
            </w:r>
            <w:r w:rsidR="000B4C1A" w:rsidRPr="00DD26F4">
              <w:rPr>
                <w:rFonts w:ascii="Arial" w:hAnsi="Arial" w:cs="Arial"/>
                <w:sz w:val="18"/>
                <w:szCs w:val="18"/>
              </w:rPr>
              <w:t xml:space="preserve"> así como a la evolución de los mercados en esos sectores </w:t>
            </w:r>
            <w:r w:rsidR="00C3033D" w:rsidRPr="00DD26F4">
              <w:rPr>
                <w:rFonts w:ascii="Arial" w:hAnsi="Arial" w:cs="Arial"/>
                <w:sz w:val="18"/>
                <w:szCs w:val="18"/>
              </w:rPr>
              <w:t>, además de que es congruente con las mejores prácticas internacionales.</w:t>
            </w:r>
          </w:p>
          <w:p w14:paraId="7068784E" w14:textId="77777777" w:rsidR="000B4C1A" w:rsidRPr="00DD26F4" w:rsidRDefault="000B4C1A" w:rsidP="00DF1A14">
            <w:pPr>
              <w:autoSpaceDE w:val="0"/>
              <w:autoSpaceDN w:val="0"/>
              <w:adjustRightInd w:val="0"/>
              <w:spacing w:line="276" w:lineRule="auto"/>
              <w:jc w:val="both"/>
              <w:rPr>
                <w:rFonts w:ascii="Arial" w:hAnsi="Arial" w:cs="Arial"/>
                <w:sz w:val="18"/>
                <w:szCs w:val="18"/>
              </w:rPr>
            </w:pPr>
          </w:p>
          <w:p w14:paraId="4F783934" w14:textId="77777777" w:rsidR="000B4C1A" w:rsidRPr="00DD26F4" w:rsidRDefault="000B4C1A" w:rsidP="000B4C1A">
            <w:pPr>
              <w:autoSpaceDE w:val="0"/>
              <w:autoSpaceDN w:val="0"/>
              <w:adjustRightInd w:val="0"/>
              <w:spacing w:line="276" w:lineRule="auto"/>
              <w:jc w:val="both"/>
              <w:rPr>
                <w:rFonts w:ascii="Arial" w:hAnsi="Arial" w:cs="Arial"/>
                <w:sz w:val="18"/>
                <w:szCs w:val="18"/>
              </w:rPr>
            </w:pPr>
            <w:r w:rsidRPr="00DD26F4">
              <w:rPr>
                <w:rFonts w:ascii="Arial" w:hAnsi="Arial" w:cs="Arial"/>
                <w:sz w:val="18"/>
                <w:szCs w:val="18"/>
              </w:rPr>
              <w:t>Al respecto, e</w:t>
            </w:r>
            <w:r w:rsidR="00DF1A14" w:rsidRPr="00DD26F4">
              <w:rPr>
                <w:rFonts w:ascii="Arial" w:hAnsi="Arial" w:cs="Arial"/>
                <w:sz w:val="18"/>
                <w:szCs w:val="18"/>
              </w:rPr>
              <w:t>ste IFT ha condicionado operaciones en los que el IHH alcanza valores cercanos a los 2,500 puntos. Igualmente, se observa que, en aquellos mercados donde han existido procesos de licitación en radiodifusión sonora en la banda FM, los niveles de concentración se han reducido significativamente, por lo cual, considerando los mercados donde se observan 3 (tres) o más competidores, el valor promedio alcanzado por el IHH se ubica en alrededor de los 2,700 puntos. Con procesos de licitación hacia adelante, se prevé que esos niveles de concentración se reducirán aún más.</w:t>
            </w:r>
            <w:r w:rsidRPr="00DD26F4">
              <w:rPr>
                <w:rFonts w:ascii="Arial" w:hAnsi="Arial" w:cs="Arial"/>
                <w:sz w:val="18"/>
                <w:szCs w:val="18"/>
              </w:rPr>
              <w:t xml:space="preserve"> Considerando lo anterior, se observa que la modificación propuesta es importante para, en su caso y previo análisis de todos los elementos a ser considerados en materia de competencia económica, evitar la autorización de operaciones con altas probabilidades de afectar la competencia.</w:t>
            </w:r>
          </w:p>
          <w:p w14:paraId="70438A97" w14:textId="77777777" w:rsidR="00DF1A14" w:rsidRPr="00DD26F4" w:rsidRDefault="00DF1A14" w:rsidP="00DF1A14">
            <w:pPr>
              <w:autoSpaceDE w:val="0"/>
              <w:autoSpaceDN w:val="0"/>
              <w:adjustRightInd w:val="0"/>
              <w:spacing w:line="276" w:lineRule="auto"/>
              <w:jc w:val="both"/>
              <w:rPr>
                <w:rFonts w:ascii="Arial" w:hAnsi="Arial" w:cs="Arial"/>
                <w:sz w:val="18"/>
                <w:szCs w:val="18"/>
              </w:rPr>
            </w:pPr>
          </w:p>
          <w:p w14:paraId="7305CFDB" w14:textId="7EF0A5E2" w:rsidR="00C3033D" w:rsidRPr="00DD26F4" w:rsidRDefault="00DF1A14" w:rsidP="000B4C1A">
            <w:pPr>
              <w:autoSpaceDE w:val="0"/>
              <w:autoSpaceDN w:val="0"/>
              <w:adjustRightInd w:val="0"/>
              <w:spacing w:line="276" w:lineRule="auto"/>
              <w:jc w:val="both"/>
              <w:rPr>
                <w:rFonts w:ascii="Arial" w:hAnsi="Arial" w:cs="Arial"/>
                <w:sz w:val="18"/>
                <w:szCs w:val="18"/>
              </w:rPr>
            </w:pPr>
            <w:r w:rsidRPr="00DD26F4">
              <w:rPr>
                <w:rFonts w:ascii="Arial" w:hAnsi="Arial" w:cs="Arial"/>
                <w:sz w:val="18"/>
                <w:szCs w:val="18"/>
              </w:rPr>
              <w:t>En el sector de telecomunicaciones, los niveles de concentración se mantienen elevados por encima de los 2,500 puntos. Además, no se han rechazado operaciones en las que el agente económico resultante de la operación tiene el 35% o menos de participación de mercado; igualmente, en procesos de licitación se han incluido umbrales que llegan al 35%.</w:t>
            </w:r>
            <w:r w:rsidR="000B4C1A" w:rsidRPr="00DD26F4">
              <w:rPr>
                <w:rFonts w:ascii="Arial" w:hAnsi="Arial" w:cs="Arial"/>
                <w:sz w:val="18"/>
                <w:szCs w:val="18"/>
              </w:rPr>
              <w:t xml:space="preserve"> </w:t>
            </w:r>
            <w:r w:rsidRPr="00DD26F4">
              <w:rPr>
                <w:rFonts w:ascii="Arial" w:hAnsi="Arial" w:cs="Arial"/>
                <w:sz w:val="18"/>
                <w:szCs w:val="18"/>
              </w:rPr>
              <w:t>No obstante, en el sector de radiodifusión, los niveles de concentración han experimentado reducciones como resultado de procesos de licitación, principalmente en mercados que involucran frecuencias en la banda FM. Al respecto, las bases de las licitaciones en radiodifusión sonora utilizan como umbral un porcentaje de acumulación máximo de 30%. Además, este IFT no rechazado operaciones en las que los agentes económicos tienen el 30% o menos de participación en el mercado en procedimientos que han involucrado trámites regulatorios. Por lo anterior, sólo para el caso del sector de radiodifusión, se considera necesario cambiar el umbral del 35% que se identifica en el Artículo 7 del Criterio Técnico y reducirlo a 30%.</w:t>
            </w:r>
          </w:p>
          <w:p w14:paraId="7118B902" w14:textId="77777777" w:rsidR="000B4C1A" w:rsidRPr="00DD26F4" w:rsidRDefault="000B4C1A" w:rsidP="000B4C1A">
            <w:pPr>
              <w:autoSpaceDE w:val="0"/>
              <w:autoSpaceDN w:val="0"/>
              <w:adjustRightInd w:val="0"/>
              <w:spacing w:line="276" w:lineRule="auto"/>
              <w:jc w:val="both"/>
              <w:rPr>
                <w:rFonts w:ascii="Arial" w:hAnsi="Arial" w:cs="Arial"/>
                <w:sz w:val="18"/>
                <w:szCs w:val="18"/>
              </w:rPr>
            </w:pPr>
          </w:p>
          <w:p w14:paraId="61BC1023" w14:textId="41C39F00" w:rsidR="00DD5EE7" w:rsidRPr="00D0018E" w:rsidRDefault="00C3033D" w:rsidP="008301D7">
            <w:pPr>
              <w:shd w:val="clear" w:color="auto" w:fill="FFFFFF" w:themeFill="background1"/>
              <w:jc w:val="both"/>
              <w:rPr>
                <w:rFonts w:ascii="Arial" w:hAnsi="Arial" w:cs="Arial"/>
                <w:sz w:val="18"/>
                <w:szCs w:val="18"/>
              </w:rPr>
            </w:pPr>
            <w:r w:rsidRPr="00DD26F4">
              <w:rPr>
                <w:rFonts w:ascii="Arial" w:hAnsi="Arial" w:cs="Arial"/>
                <w:sz w:val="18"/>
                <w:szCs w:val="18"/>
              </w:rPr>
              <w:t xml:space="preserve">Adicionalmente, la modificación propuesta en el artículo 7 del Criterio Técnico que </w:t>
            </w:r>
            <w:r w:rsidR="008301D7" w:rsidRPr="00DD26F4">
              <w:rPr>
                <w:rFonts w:ascii="Arial" w:hAnsi="Arial" w:cs="Arial"/>
                <w:sz w:val="18"/>
                <w:szCs w:val="18"/>
              </w:rPr>
              <w:t xml:space="preserve">establece que </w:t>
            </w:r>
            <w:r w:rsidRPr="00DD26F4">
              <w:rPr>
                <w:rFonts w:ascii="Arial" w:hAnsi="Arial" w:cs="Arial"/>
                <w:sz w:val="18"/>
                <w:szCs w:val="18"/>
              </w:rPr>
              <w:t>aun cuando la concentración cumpla con los umbrales propuestos en el artículo 6</w:t>
            </w:r>
            <w:r w:rsidR="008301D7" w:rsidRPr="00DD26F4">
              <w:rPr>
                <w:rFonts w:ascii="Arial" w:hAnsi="Arial" w:cs="Arial"/>
                <w:sz w:val="18"/>
                <w:szCs w:val="18"/>
              </w:rPr>
              <w:t xml:space="preserve">, el Instituto podrá considerar que </w:t>
            </w:r>
            <w:r w:rsidR="003D3529" w:rsidRPr="00DD26F4">
              <w:rPr>
                <w:rFonts w:ascii="Arial" w:hAnsi="Arial" w:cs="Arial"/>
                <w:sz w:val="18"/>
                <w:szCs w:val="18"/>
              </w:rPr>
              <w:t xml:space="preserve">no se podrían descartar </w:t>
            </w:r>
            <w:r w:rsidR="008301D7" w:rsidRPr="00DD26F4">
              <w:rPr>
                <w:rFonts w:ascii="Arial" w:hAnsi="Arial" w:cs="Arial"/>
                <w:sz w:val="18"/>
                <w:szCs w:val="18"/>
              </w:rPr>
              <w:t>potenciales riesgos de que ésta tiene por objeto o efecto obstaculizar, disminuir, dañar o impedir la competencia y la libre concurrencia</w:t>
            </w:r>
            <w:r w:rsidRPr="00DD26F4">
              <w:rPr>
                <w:rFonts w:ascii="Arial" w:hAnsi="Arial" w:cs="Arial"/>
                <w:sz w:val="18"/>
                <w:szCs w:val="18"/>
              </w:rPr>
              <w:t xml:space="preserve"> </w:t>
            </w:r>
            <w:r w:rsidR="008301D7" w:rsidRPr="00DD26F4">
              <w:rPr>
                <w:rFonts w:ascii="Arial" w:hAnsi="Arial" w:cs="Arial"/>
                <w:sz w:val="18"/>
                <w:szCs w:val="18"/>
              </w:rPr>
              <w:t>sí el agente económico resultante alcanza una participación mayor a 35% (treinta y cinco por ciento) e</w:t>
            </w:r>
            <w:r w:rsidR="008301D7" w:rsidRPr="00D0018E">
              <w:rPr>
                <w:rFonts w:ascii="Arial" w:hAnsi="Arial" w:cs="Arial"/>
                <w:sz w:val="18"/>
                <w:szCs w:val="18"/>
              </w:rPr>
              <w:t>n cualquier mercado del sector de telecomunicaciones o superior al 30% (treinta por ciento) en cualquier mercado del sector de radiodifusión,</w:t>
            </w:r>
            <w:r w:rsidRPr="00D0018E">
              <w:rPr>
                <w:rFonts w:ascii="Arial" w:hAnsi="Arial" w:cs="Arial"/>
                <w:sz w:val="18"/>
                <w:szCs w:val="18"/>
              </w:rPr>
              <w:t xml:space="preserve"> </w:t>
            </w:r>
            <w:r w:rsidR="008301D7" w:rsidRPr="00D0018E">
              <w:rPr>
                <w:rFonts w:ascii="Arial" w:hAnsi="Arial" w:cs="Arial"/>
                <w:sz w:val="18"/>
                <w:szCs w:val="18"/>
              </w:rPr>
              <w:t>es congruente con l</w:t>
            </w:r>
            <w:r w:rsidRPr="00D0018E">
              <w:rPr>
                <w:rFonts w:ascii="Arial" w:hAnsi="Arial" w:cs="Arial"/>
                <w:sz w:val="18"/>
                <w:szCs w:val="18"/>
              </w:rPr>
              <w:t xml:space="preserve">os niveles de </w:t>
            </w:r>
            <w:r w:rsidR="008301D7" w:rsidRPr="00D0018E">
              <w:rPr>
                <w:rFonts w:ascii="Arial" w:hAnsi="Arial" w:cs="Arial"/>
                <w:sz w:val="18"/>
                <w:szCs w:val="18"/>
              </w:rPr>
              <w:t>acumulación de espectro que se toman como referencia para el análisis de</w:t>
            </w:r>
            <w:r w:rsidRPr="00D0018E">
              <w:rPr>
                <w:rFonts w:ascii="Arial" w:hAnsi="Arial" w:cs="Arial"/>
                <w:sz w:val="18"/>
                <w:szCs w:val="18"/>
              </w:rPr>
              <w:t xml:space="preserve"> los trámites regulatorios y para la participación en licitaciones.</w:t>
            </w:r>
            <w:r w:rsidR="00DD5EE7" w:rsidRPr="00D0018E">
              <w:rPr>
                <w:rFonts w:ascii="Arial" w:hAnsi="Arial" w:cs="Arial"/>
                <w:sz w:val="18"/>
                <w:szCs w:val="18"/>
              </w:rPr>
              <w:t xml:space="preserve"> </w:t>
            </w:r>
          </w:p>
          <w:p w14:paraId="065DD345" w14:textId="77777777" w:rsidR="00DC671E" w:rsidRPr="00D0018E" w:rsidRDefault="00DC671E" w:rsidP="00402372">
            <w:pPr>
              <w:jc w:val="both"/>
              <w:rPr>
                <w:rFonts w:ascii="Arial" w:hAnsi="Arial" w:cs="Arial"/>
                <w:sz w:val="18"/>
                <w:szCs w:val="18"/>
              </w:rPr>
            </w:pPr>
          </w:p>
        </w:tc>
      </w:tr>
    </w:tbl>
    <w:p w14:paraId="0D826949" w14:textId="77777777" w:rsidR="00DC671E" w:rsidRPr="00D0018E" w:rsidRDefault="00DC671E" w:rsidP="00DC671E">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DC671E" w:rsidRPr="00D0018E" w14:paraId="31B5A86B" w14:textId="77777777" w:rsidTr="00402372">
        <w:tc>
          <w:tcPr>
            <w:tcW w:w="8828" w:type="dxa"/>
          </w:tcPr>
          <w:p w14:paraId="5F0DD6B5" w14:textId="77777777" w:rsidR="00DC671E" w:rsidRPr="00D0018E" w:rsidRDefault="00DC671E" w:rsidP="00402372">
            <w:pPr>
              <w:jc w:val="both"/>
              <w:rPr>
                <w:rFonts w:ascii="Arial" w:hAnsi="Arial" w:cs="Arial"/>
                <w:b/>
                <w:sz w:val="18"/>
                <w:szCs w:val="18"/>
              </w:rPr>
            </w:pPr>
            <w:r w:rsidRPr="00D0018E">
              <w:rPr>
                <w:rFonts w:ascii="Arial" w:hAnsi="Arial" w:cs="Arial"/>
                <w:b/>
                <w:sz w:val="18"/>
                <w:szCs w:val="18"/>
              </w:rPr>
              <w:lastRenderedPageBreak/>
              <w:t>9.- Identifique las posibles afectaciones a la competencia que la propuesta de regulación pudiera generar a su entrada en vigor.</w:t>
            </w:r>
          </w:p>
          <w:p w14:paraId="30F2B8A5" w14:textId="77777777" w:rsidR="00DC671E" w:rsidRPr="00D0018E" w:rsidRDefault="00DC671E" w:rsidP="00402372">
            <w:pPr>
              <w:jc w:val="both"/>
              <w:rPr>
                <w:rFonts w:ascii="Arial" w:hAnsi="Arial" w:cs="Arial"/>
                <w:sz w:val="18"/>
                <w:szCs w:val="18"/>
              </w:rPr>
            </w:pPr>
          </w:p>
          <w:tbl>
            <w:tblPr>
              <w:tblStyle w:val="Tablaconcuadrcula"/>
              <w:tblW w:w="0" w:type="auto"/>
              <w:tblLook w:val="04A0" w:firstRow="1" w:lastRow="0" w:firstColumn="1" w:lastColumn="0" w:noHBand="0" w:noVBand="1"/>
            </w:tblPr>
            <w:tblGrid>
              <w:gridCol w:w="5551"/>
              <w:gridCol w:w="3051"/>
            </w:tblGrid>
            <w:tr w:rsidR="00DC671E" w:rsidRPr="00D0018E" w14:paraId="7033B5AF" w14:textId="77777777" w:rsidTr="00402372">
              <w:tc>
                <w:tcPr>
                  <w:tcW w:w="8602" w:type="dxa"/>
                  <w:gridSpan w:val="2"/>
                  <w:shd w:val="clear" w:color="auto" w:fill="A8D08D" w:themeFill="accent6" w:themeFillTint="99"/>
                </w:tcPr>
                <w:p w14:paraId="6AA25214"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¿Limita el número o rango de proveedores de bienes y/o servicios?</w:t>
                  </w:r>
                </w:p>
              </w:tc>
            </w:tr>
            <w:tr w:rsidR="00DC671E" w:rsidRPr="00D0018E" w14:paraId="43D0F528" w14:textId="77777777" w:rsidTr="00402372">
              <w:tc>
                <w:tcPr>
                  <w:tcW w:w="5551" w:type="dxa"/>
                </w:tcPr>
                <w:p w14:paraId="0ACDF469" w14:textId="77777777" w:rsidR="00DC671E" w:rsidRPr="00D0018E" w:rsidRDefault="00DC671E" w:rsidP="00402372">
                  <w:pPr>
                    <w:jc w:val="both"/>
                    <w:rPr>
                      <w:rFonts w:ascii="Arial" w:hAnsi="Arial" w:cs="Arial"/>
                      <w:sz w:val="18"/>
                      <w:szCs w:val="18"/>
                    </w:rPr>
                  </w:pPr>
                  <w:r w:rsidRPr="00D0018E">
                    <w:rPr>
                      <w:rFonts w:ascii="Arial" w:hAnsi="Arial" w:cs="Arial"/>
                      <w:sz w:val="18"/>
                      <w:szCs w:val="18"/>
                    </w:rPr>
                    <w:t>¿Otorga derechos exclusivos a algún(os) proveedor(es) para proporcionar bienes o servicios?</w:t>
                  </w:r>
                </w:p>
              </w:tc>
              <w:tc>
                <w:tcPr>
                  <w:tcW w:w="3051" w:type="dxa"/>
                </w:tcPr>
                <w:p w14:paraId="1A26211C" w14:textId="77777777" w:rsidR="00DC671E" w:rsidRPr="00D0018E" w:rsidRDefault="00DC671E" w:rsidP="00402372">
                  <w:pPr>
                    <w:jc w:val="center"/>
                    <w:rPr>
                      <w:rFonts w:ascii="Arial" w:hAnsi="Arial" w:cs="Arial"/>
                      <w:sz w:val="18"/>
                      <w:szCs w:val="18"/>
                    </w:rPr>
                  </w:pPr>
                  <w:r w:rsidRPr="00D0018E">
                    <w:rPr>
                      <w:rFonts w:ascii="Arial" w:hAnsi="Arial" w:cs="Arial"/>
                      <w:sz w:val="18"/>
                      <w:szCs w:val="18"/>
                    </w:rPr>
                    <w:t>Sí(   ) No ( X )</w:t>
                  </w:r>
                </w:p>
              </w:tc>
            </w:tr>
            <w:tr w:rsidR="00DC671E" w:rsidRPr="00D0018E" w14:paraId="1FC6BAEE" w14:textId="77777777" w:rsidTr="00402372">
              <w:tc>
                <w:tcPr>
                  <w:tcW w:w="5551" w:type="dxa"/>
                </w:tcPr>
                <w:p w14:paraId="4259CC09" w14:textId="77777777" w:rsidR="00DC671E" w:rsidRPr="00D0018E" w:rsidRDefault="00DC671E" w:rsidP="00402372">
                  <w:pPr>
                    <w:jc w:val="both"/>
                    <w:rPr>
                      <w:rFonts w:ascii="Arial" w:hAnsi="Arial" w:cs="Arial"/>
                      <w:sz w:val="18"/>
                      <w:szCs w:val="18"/>
                    </w:rPr>
                  </w:pPr>
                  <w:r w:rsidRPr="00D0018E">
                    <w:rPr>
                      <w:rFonts w:ascii="Arial" w:hAnsi="Arial" w:cs="Arial"/>
                      <w:sz w:val="18"/>
                      <w:szCs w:val="18"/>
                    </w:rPr>
                    <w:t>¿Establece un proceso de licencia, permiso o autorización como requisito de funcionamiento o actividades adicionales?</w:t>
                  </w:r>
                </w:p>
              </w:tc>
              <w:tc>
                <w:tcPr>
                  <w:tcW w:w="3051" w:type="dxa"/>
                </w:tcPr>
                <w:p w14:paraId="09F53A35" w14:textId="77777777" w:rsidR="00DC671E" w:rsidRPr="00D0018E" w:rsidRDefault="00DC671E" w:rsidP="00402372">
                  <w:pPr>
                    <w:jc w:val="center"/>
                    <w:rPr>
                      <w:rFonts w:ascii="Arial" w:hAnsi="Arial" w:cs="Arial"/>
                      <w:sz w:val="18"/>
                      <w:szCs w:val="18"/>
                    </w:rPr>
                  </w:pPr>
                  <w:r w:rsidRPr="00D0018E">
                    <w:rPr>
                      <w:rFonts w:ascii="Arial" w:hAnsi="Arial" w:cs="Arial"/>
                      <w:sz w:val="18"/>
                      <w:szCs w:val="18"/>
                    </w:rPr>
                    <w:t>Sí (   ) No ( X )</w:t>
                  </w:r>
                </w:p>
              </w:tc>
            </w:tr>
            <w:tr w:rsidR="00DC671E" w:rsidRPr="00D0018E" w14:paraId="4CA3709B" w14:textId="77777777" w:rsidTr="00402372">
              <w:tc>
                <w:tcPr>
                  <w:tcW w:w="5551" w:type="dxa"/>
                </w:tcPr>
                <w:p w14:paraId="25FDEE5D" w14:textId="77777777" w:rsidR="00DC671E" w:rsidRPr="00D0018E" w:rsidRDefault="00DC671E" w:rsidP="00402372">
                  <w:pPr>
                    <w:jc w:val="both"/>
                    <w:rPr>
                      <w:rFonts w:ascii="Arial" w:hAnsi="Arial" w:cs="Arial"/>
                      <w:sz w:val="18"/>
                      <w:szCs w:val="18"/>
                    </w:rPr>
                  </w:pPr>
                  <w:r w:rsidRPr="00D0018E">
                    <w:rPr>
                      <w:rFonts w:ascii="Arial" w:hAnsi="Arial" w:cs="Arial"/>
                      <w:sz w:val="18"/>
                      <w:szCs w:val="18"/>
                    </w:rPr>
                    <w:t>¿Limita la capacidad de algún(os) proveedor(es) para proporcionar un bien o servicio?</w:t>
                  </w:r>
                </w:p>
              </w:tc>
              <w:tc>
                <w:tcPr>
                  <w:tcW w:w="3051" w:type="dxa"/>
                </w:tcPr>
                <w:p w14:paraId="19AE3E94" w14:textId="77777777" w:rsidR="00DC671E" w:rsidRPr="00D0018E" w:rsidRDefault="00DC671E" w:rsidP="00402372">
                  <w:pPr>
                    <w:jc w:val="center"/>
                    <w:rPr>
                      <w:rFonts w:ascii="Arial" w:hAnsi="Arial" w:cs="Arial"/>
                      <w:sz w:val="18"/>
                      <w:szCs w:val="18"/>
                    </w:rPr>
                  </w:pPr>
                  <w:r w:rsidRPr="00D0018E">
                    <w:rPr>
                      <w:rFonts w:ascii="Arial" w:hAnsi="Arial" w:cs="Arial"/>
                      <w:sz w:val="18"/>
                      <w:szCs w:val="18"/>
                    </w:rPr>
                    <w:t>Sí (   ) No ( X )</w:t>
                  </w:r>
                </w:p>
              </w:tc>
            </w:tr>
            <w:tr w:rsidR="00DC671E" w:rsidRPr="00D0018E" w14:paraId="1A63D929" w14:textId="77777777" w:rsidTr="00402372">
              <w:tc>
                <w:tcPr>
                  <w:tcW w:w="5551" w:type="dxa"/>
                </w:tcPr>
                <w:p w14:paraId="3523D708" w14:textId="77777777" w:rsidR="00DC671E" w:rsidRPr="00D0018E" w:rsidRDefault="00DC671E" w:rsidP="00402372">
                  <w:pPr>
                    <w:jc w:val="both"/>
                    <w:rPr>
                      <w:rFonts w:ascii="Arial" w:hAnsi="Arial" w:cs="Arial"/>
                      <w:sz w:val="18"/>
                      <w:szCs w:val="18"/>
                    </w:rPr>
                  </w:pPr>
                  <w:r w:rsidRPr="00D0018E">
                    <w:rPr>
                      <w:rFonts w:ascii="Arial" w:hAnsi="Arial" w:cs="Arial"/>
                      <w:sz w:val="18"/>
                      <w:szCs w:val="18"/>
                    </w:rPr>
                    <w:t>¿Eleva significativamente el costo de entrada o salida de un proveedor?</w:t>
                  </w:r>
                </w:p>
              </w:tc>
              <w:tc>
                <w:tcPr>
                  <w:tcW w:w="3051" w:type="dxa"/>
                </w:tcPr>
                <w:p w14:paraId="3AFD16E3" w14:textId="77777777" w:rsidR="00DC671E" w:rsidRPr="00D0018E" w:rsidRDefault="00DC671E" w:rsidP="00402372">
                  <w:pPr>
                    <w:jc w:val="center"/>
                    <w:rPr>
                      <w:rFonts w:ascii="Arial" w:hAnsi="Arial" w:cs="Arial"/>
                      <w:sz w:val="18"/>
                      <w:szCs w:val="18"/>
                    </w:rPr>
                  </w:pPr>
                  <w:r w:rsidRPr="00D0018E">
                    <w:rPr>
                      <w:rFonts w:ascii="Arial" w:hAnsi="Arial" w:cs="Arial"/>
                      <w:sz w:val="18"/>
                      <w:szCs w:val="18"/>
                    </w:rPr>
                    <w:t>Sí (   ) No ( X )</w:t>
                  </w:r>
                </w:p>
              </w:tc>
            </w:tr>
            <w:tr w:rsidR="00DC671E" w:rsidRPr="00D0018E" w14:paraId="1002509C" w14:textId="77777777" w:rsidTr="00402372">
              <w:tc>
                <w:tcPr>
                  <w:tcW w:w="5551" w:type="dxa"/>
                </w:tcPr>
                <w:p w14:paraId="038EB372" w14:textId="77777777" w:rsidR="00DC671E" w:rsidRPr="00D0018E" w:rsidRDefault="00DC671E" w:rsidP="00402372">
                  <w:pPr>
                    <w:jc w:val="both"/>
                    <w:rPr>
                      <w:rFonts w:ascii="Arial" w:hAnsi="Arial" w:cs="Arial"/>
                      <w:sz w:val="18"/>
                      <w:szCs w:val="18"/>
                    </w:rPr>
                  </w:pPr>
                  <w:r w:rsidRPr="00D0018E">
                    <w:rPr>
                      <w:rFonts w:ascii="Arial" w:hAnsi="Arial" w:cs="Arial"/>
                      <w:sz w:val="18"/>
                      <w:szCs w:val="18"/>
                    </w:rPr>
                    <w:t>¿Crea una barrera geográfica a la capacidad de las empresas para suministrar bienes o servicios, invertir capital; o restringe la movilidad del personal?</w:t>
                  </w:r>
                </w:p>
              </w:tc>
              <w:tc>
                <w:tcPr>
                  <w:tcW w:w="3051" w:type="dxa"/>
                </w:tcPr>
                <w:p w14:paraId="1486BCB6" w14:textId="77777777" w:rsidR="00DC671E" w:rsidRPr="00D0018E" w:rsidRDefault="00DC671E" w:rsidP="00402372">
                  <w:pPr>
                    <w:jc w:val="center"/>
                    <w:rPr>
                      <w:rFonts w:ascii="Arial" w:hAnsi="Arial" w:cs="Arial"/>
                      <w:sz w:val="18"/>
                      <w:szCs w:val="18"/>
                    </w:rPr>
                  </w:pPr>
                  <w:r w:rsidRPr="00D0018E">
                    <w:rPr>
                      <w:rFonts w:ascii="Arial" w:hAnsi="Arial" w:cs="Arial"/>
                      <w:sz w:val="18"/>
                      <w:szCs w:val="18"/>
                    </w:rPr>
                    <w:t>Sí (   ) No ( X )</w:t>
                  </w:r>
                </w:p>
              </w:tc>
            </w:tr>
          </w:tbl>
          <w:p w14:paraId="43DB36E1" w14:textId="77777777" w:rsidR="00DC671E" w:rsidRPr="00D0018E" w:rsidRDefault="00DC671E" w:rsidP="00402372">
            <w:pPr>
              <w:jc w:val="both"/>
              <w:rPr>
                <w:rFonts w:ascii="Arial" w:hAnsi="Arial" w:cs="Arial"/>
                <w:sz w:val="18"/>
                <w:szCs w:val="18"/>
              </w:rPr>
            </w:pPr>
          </w:p>
          <w:tbl>
            <w:tblPr>
              <w:tblStyle w:val="Tablaconcuadrcula"/>
              <w:tblW w:w="0" w:type="auto"/>
              <w:tblLook w:val="04A0" w:firstRow="1" w:lastRow="0" w:firstColumn="1" w:lastColumn="0" w:noHBand="0" w:noVBand="1"/>
            </w:tblPr>
            <w:tblGrid>
              <w:gridCol w:w="5551"/>
              <w:gridCol w:w="3051"/>
            </w:tblGrid>
            <w:tr w:rsidR="00DC671E" w:rsidRPr="00D0018E" w14:paraId="4DB16560" w14:textId="77777777" w:rsidTr="00402372">
              <w:tc>
                <w:tcPr>
                  <w:tcW w:w="8602" w:type="dxa"/>
                  <w:gridSpan w:val="2"/>
                  <w:shd w:val="clear" w:color="auto" w:fill="A8D08D" w:themeFill="accent6" w:themeFillTint="99"/>
                </w:tcPr>
                <w:p w14:paraId="4BD53725"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¿Limita la capacidad de los proveedores de servicio para competir?</w:t>
                  </w:r>
                </w:p>
              </w:tc>
            </w:tr>
            <w:tr w:rsidR="00DC671E" w:rsidRPr="00D0018E" w14:paraId="0979AACC" w14:textId="77777777" w:rsidTr="00402372">
              <w:tc>
                <w:tcPr>
                  <w:tcW w:w="5551" w:type="dxa"/>
                </w:tcPr>
                <w:p w14:paraId="298AF309" w14:textId="77777777" w:rsidR="00DC671E" w:rsidRPr="00D0018E" w:rsidRDefault="00DC671E" w:rsidP="00402372">
                  <w:pPr>
                    <w:jc w:val="both"/>
                    <w:rPr>
                      <w:rFonts w:ascii="Arial" w:hAnsi="Arial" w:cs="Arial"/>
                      <w:sz w:val="18"/>
                      <w:szCs w:val="18"/>
                    </w:rPr>
                  </w:pPr>
                  <w:r w:rsidRPr="00D0018E">
                    <w:rPr>
                      <w:rFonts w:ascii="Arial" w:hAnsi="Arial" w:cs="Arial"/>
                      <w:sz w:val="18"/>
                      <w:szCs w:val="18"/>
                    </w:rPr>
                    <w:t>¿Controla o influye sustancialmente en los precios de algún bien o servicio? (por ejemplo, establece precios máximos o mínimos, o algún mecanismo de control de precios o de abasto del bien o servicio)</w:t>
                  </w:r>
                </w:p>
              </w:tc>
              <w:tc>
                <w:tcPr>
                  <w:tcW w:w="3051" w:type="dxa"/>
                </w:tcPr>
                <w:p w14:paraId="529A6DF8" w14:textId="77777777" w:rsidR="00DC671E" w:rsidRPr="00D0018E" w:rsidRDefault="00DC671E" w:rsidP="00402372">
                  <w:pPr>
                    <w:jc w:val="center"/>
                    <w:rPr>
                      <w:rFonts w:ascii="Arial" w:hAnsi="Arial" w:cs="Arial"/>
                      <w:sz w:val="18"/>
                      <w:szCs w:val="18"/>
                    </w:rPr>
                  </w:pPr>
                  <w:r w:rsidRPr="00D0018E">
                    <w:rPr>
                      <w:rFonts w:ascii="Arial" w:hAnsi="Arial" w:cs="Arial"/>
                      <w:sz w:val="18"/>
                      <w:szCs w:val="18"/>
                    </w:rPr>
                    <w:t>Sí (   ) No ( X )</w:t>
                  </w:r>
                </w:p>
              </w:tc>
            </w:tr>
            <w:tr w:rsidR="00DC671E" w:rsidRPr="00D0018E" w14:paraId="774AF9C7" w14:textId="77777777" w:rsidTr="00402372">
              <w:tc>
                <w:tcPr>
                  <w:tcW w:w="5551" w:type="dxa"/>
                </w:tcPr>
                <w:p w14:paraId="1B9A1693" w14:textId="77777777" w:rsidR="00DC671E" w:rsidRPr="00D0018E" w:rsidRDefault="00DC671E" w:rsidP="00402372">
                  <w:pPr>
                    <w:pStyle w:val="Textocomentario"/>
                    <w:jc w:val="both"/>
                    <w:rPr>
                      <w:rFonts w:ascii="Arial" w:hAnsi="Arial" w:cs="Arial"/>
                      <w:sz w:val="18"/>
                      <w:szCs w:val="18"/>
                    </w:rPr>
                  </w:pPr>
                  <w:r w:rsidRPr="00D0018E">
                    <w:rPr>
                      <w:rFonts w:ascii="Arial" w:hAnsi="Arial" w:cs="Arial"/>
                      <w:sz w:val="18"/>
                      <w:szCs w:val="18"/>
                    </w:rPr>
                    <w:t>¿Establece el uso obligatorio o favorece el uso de alguna tecnología en particular?</w:t>
                  </w:r>
                </w:p>
              </w:tc>
              <w:tc>
                <w:tcPr>
                  <w:tcW w:w="3051" w:type="dxa"/>
                </w:tcPr>
                <w:p w14:paraId="0160BD4E" w14:textId="77777777" w:rsidR="00DC671E" w:rsidRPr="00D0018E" w:rsidRDefault="00DC671E" w:rsidP="00402372">
                  <w:pPr>
                    <w:jc w:val="center"/>
                    <w:rPr>
                      <w:rFonts w:ascii="Arial" w:hAnsi="Arial" w:cs="Arial"/>
                      <w:sz w:val="18"/>
                      <w:szCs w:val="18"/>
                    </w:rPr>
                  </w:pPr>
                  <w:r w:rsidRPr="00D0018E">
                    <w:rPr>
                      <w:rFonts w:ascii="Arial" w:hAnsi="Arial" w:cs="Arial"/>
                      <w:sz w:val="18"/>
                      <w:szCs w:val="18"/>
                    </w:rPr>
                    <w:t>Sí (   ) No ( X )</w:t>
                  </w:r>
                </w:p>
              </w:tc>
            </w:tr>
            <w:tr w:rsidR="00DC671E" w:rsidRPr="00D0018E" w14:paraId="581A143E" w14:textId="77777777" w:rsidTr="00402372">
              <w:tc>
                <w:tcPr>
                  <w:tcW w:w="5551" w:type="dxa"/>
                </w:tcPr>
                <w:p w14:paraId="125D3A16" w14:textId="77777777" w:rsidR="00DC671E" w:rsidRPr="00D0018E" w:rsidRDefault="00DC671E" w:rsidP="00402372">
                  <w:pPr>
                    <w:jc w:val="both"/>
                    <w:rPr>
                      <w:rFonts w:ascii="Arial" w:hAnsi="Arial" w:cs="Arial"/>
                      <w:sz w:val="18"/>
                      <w:szCs w:val="18"/>
                    </w:rPr>
                  </w:pPr>
                  <w:r w:rsidRPr="00D0018E">
                    <w:rPr>
                      <w:rFonts w:ascii="Arial" w:hAnsi="Arial" w:cs="Arial"/>
                      <w:sz w:val="18"/>
                      <w:szCs w:val="18"/>
                    </w:rPr>
                    <w:t>¿Limita la libertad de los proveedores para comercializar o publicitar algún bien o servicio?</w:t>
                  </w:r>
                </w:p>
              </w:tc>
              <w:tc>
                <w:tcPr>
                  <w:tcW w:w="3051" w:type="dxa"/>
                </w:tcPr>
                <w:p w14:paraId="1D8A2780" w14:textId="77777777" w:rsidR="00DC671E" w:rsidRPr="00D0018E" w:rsidRDefault="00DC671E" w:rsidP="00402372">
                  <w:pPr>
                    <w:jc w:val="center"/>
                    <w:rPr>
                      <w:rFonts w:ascii="Arial" w:hAnsi="Arial" w:cs="Arial"/>
                      <w:sz w:val="18"/>
                      <w:szCs w:val="18"/>
                    </w:rPr>
                  </w:pPr>
                  <w:r w:rsidRPr="00D0018E">
                    <w:rPr>
                      <w:rFonts w:ascii="Arial" w:hAnsi="Arial" w:cs="Arial"/>
                      <w:sz w:val="18"/>
                      <w:szCs w:val="18"/>
                    </w:rPr>
                    <w:t>Sí (   ) No ( X )</w:t>
                  </w:r>
                </w:p>
              </w:tc>
            </w:tr>
            <w:tr w:rsidR="00DC671E" w:rsidRPr="00D0018E" w14:paraId="12CB304E" w14:textId="77777777" w:rsidTr="00402372">
              <w:tc>
                <w:tcPr>
                  <w:tcW w:w="5551" w:type="dxa"/>
                </w:tcPr>
                <w:p w14:paraId="7B8777F2" w14:textId="77777777" w:rsidR="00DC671E" w:rsidRPr="00D0018E" w:rsidRDefault="00DC671E" w:rsidP="00402372">
                  <w:pPr>
                    <w:jc w:val="both"/>
                    <w:rPr>
                      <w:rFonts w:ascii="Arial" w:hAnsi="Arial" w:cs="Arial"/>
                      <w:sz w:val="18"/>
                      <w:szCs w:val="18"/>
                    </w:rPr>
                  </w:pPr>
                  <w:r w:rsidRPr="00D0018E">
                    <w:rPr>
                      <w:rFonts w:ascii="Arial" w:hAnsi="Arial" w:cs="Arial"/>
                      <w:sz w:val="18"/>
                      <w:szCs w:val="18"/>
                    </w:rPr>
                    <w:t>¿Establece normas de calidad que proporcionan una ventaja a algunos proveedores sobre otros, o que están por encima del nivel que elegirían una parte sustancial de clientes bien informados?</w:t>
                  </w:r>
                </w:p>
              </w:tc>
              <w:tc>
                <w:tcPr>
                  <w:tcW w:w="3051" w:type="dxa"/>
                </w:tcPr>
                <w:p w14:paraId="17116E8F" w14:textId="77777777" w:rsidR="00DC671E" w:rsidRPr="00D0018E" w:rsidRDefault="00DC671E" w:rsidP="00402372">
                  <w:pPr>
                    <w:jc w:val="center"/>
                    <w:rPr>
                      <w:rFonts w:ascii="Arial" w:hAnsi="Arial" w:cs="Arial"/>
                      <w:sz w:val="18"/>
                      <w:szCs w:val="18"/>
                    </w:rPr>
                  </w:pPr>
                  <w:r w:rsidRPr="00D0018E">
                    <w:rPr>
                      <w:rFonts w:ascii="Arial" w:hAnsi="Arial" w:cs="Arial"/>
                      <w:sz w:val="18"/>
                      <w:szCs w:val="18"/>
                    </w:rPr>
                    <w:t>Sí (   ) No ( X )</w:t>
                  </w:r>
                </w:p>
              </w:tc>
            </w:tr>
            <w:tr w:rsidR="00DC671E" w:rsidRPr="00D0018E" w14:paraId="1040DC0D" w14:textId="77777777" w:rsidTr="00402372">
              <w:tc>
                <w:tcPr>
                  <w:tcW w:w="5551" w:type="dxa"/>
                </w:tcPr>
                <w:p w14:paraId="1808D756" w14:textId="77777777" w:rsidR="00DC671E" w:rsidRPr="00D0018E" w:rsidRDefault="00DC671E" w:rsidP="00402372">
                  <w:pPr>
                    <w:jc w:val="both"/>
                    <w:rPr>
                      <w:rFonts w:ascii="Arial" w:hAnsi="Arial" w:cs="Arial"/>
                      <w:sz w:val="18"/>
                      <w:szCs w:val="18"/>
                    </w:rPr>
                  </w:pPr>
                  <w:r w:rsidRPr="00D0018E">
                    <w:rPr>
                      <w:rFonts w:ascii="Arial" w:hAnsi="Arial" w:cs="Arial"/>
                      <w:sz w:val="18"/>
                      <w:szCs w:val="18"/>
                    </w:rPr>
                    <w:t>¿Eleva significativamente los costos de producción de algunos proveedores en relación con otros? (especialmente si da un tratamiento distinto a los entrantes sobre los establecidos)</w:t>
                  </w:r>
                </w:p>
              </w:tc>
              <w:tc>
                <w:tcPr>
                  <w:tcW w:w="3051" w:type="dxa"/>
                </w:tcPr>
                <w:p w14:paraId="2639BE28" w14:textId="77777777" w:rsidR="00DC671E" w:rsidRPr="00D0018E" w:rsidRDefault="00DC671E" w:rsidP="00402372">
                  <w:pPr>
                    <w:jc w:val="center"/>
                    <w:rPr>
                      <w:rFonts w:ascii="Arial" w:hAnsi="Arial" w:cs="Arial"/>
                      <w:sz w:val="18"/>
                      <w:szCs w:val="18"/>
                    </w:rPr>
                  </w:pPr>
                  <w:r w:rsidRPr="00D0018E">
                    <w:rPr>
                      <w:rFonts w:ascii="Arial" w:hAnsi="Arial" w:cs="Arial"/>
                      <w:sz w:val="18"/>
                      <w:szCs w:val="18"/>
                    </w:rPr>
                    <w:t>Sí (   ) No ( X )</w:t>
                  </w:r>
                </w:p>
              </w:tc>
            </w:tr>
          </w:tbl>
          <w:p w14:paraId="23469832" w14:textId="77777777" w:rsidR="00DC671E" w:rsidRPr="00D0018E" w:rsidRDefault="00DC671E" w:rsidP="00402372">
            <w:pPr>
              <w:jc w:val="both"/>
              <w:rPr>
                <w:rFonts w:ascii="Arial" w:hAnsi="Arial" w:cs="Arial"/>
                <w:sz w:val="18"/>
                <w:szCs w:val="18"/>
              </w:rPr>
            </w:pPr>
          </w:p>
          <w:tbl>
            <w:tblPr>
              <w:tblStyle w:val="Tablaconcuadrcula"/>
              <w:tblW w:w="0" w:type="auto"/>
              <w:tblLook w:val="04A0" w:firstRow="1" w:lastRow="0" w:firstColumn="1" w:lastColumn="0" w:noHBand="0" w:noVBand="1"/>
            </w:tblPr>
            <w:tblGrid>
              <w:gridCol w:w="5551"/>
              <w:gridCol w:w="3051"/>
            </w:tblGrid>
            <w:tr w:rsidR="00DC671E" w:rsidRPr="00D0018E" w14:paraId="2B3B152C" w14:textId="77777777" w:rsidTr="00402372">
              <w:tc>
                <w:tcPr>
                  <w:tcW w:w="8602" w:type="dxa"/>
                  <w:gridSpan w:val="2"/>
                  <w:shd w:val="clear" w:color="auto" w:fill="A8D08D" w:themeFill="accent6" w:themeFillTint="99"/>
                </w:tcPr>
                <w:p w14:paraId="664975DA"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¿Reduce los incentivos de los proveedores de servicio para competir vigorosamente?</w:t>
                  </w:r>
                </w:p>
              </w:tc>
            </w:tr>
            <w:tr w:rsidR="00DC671E" w:rsidRPr="00D0018E" w14:paraId="4AADAABC" w14:textId="77777777" w:rsidTr="00402372">
              <w:tc>
                <w:tcPr>
                  <w:tcW w:w="5551" w:type="dxa"/>
                </w:tcPr>
                <w:p w14:paraId="14A7FED2" w14:textId="77777777" w:rsidR="00DC671E" w:rsidRPr="00D0018E" w:rsidRDefault="00DC671E" w:rsidP="00402372">
                  <w:pPr>
                    <w:jc w:val="both"/>
                    <w:rPr>
                      <w:rFonts w:ascii="Arial" w:hAnsi="Arial" w:cs="Arial"/>
                      <w:sz w:val="18"/>
                      <w:szCs w:val="18"/>
                    </w:rPr>
                  </w:pPr>
                  <w:r w:rsidRPr="00D0018E">
                    <w:rPr>
                      <w:rFonts w:ascii="Arial" w:hAnsi="Arial" w:cs="Arial"/>
                      <w:sz w:val="18"/>
                      <w:szCs w:val="18"/>
                    </w:rPr>
                    <w:t>¿Requiere o promueve la publicación o intercambio entre competidores de información detallada sobre cantidades provistas, ventas, inversiones, precios o costos?</w:t>
                  </w:r>
                </w:p>
              </w:tc>
              <w:tc>
                <w:tcPr>
                  <w:tcW w:w="3051" w:type="dxa"/>
                </w:tcPr>
                <w:p w14:paraId="0BE77CDC" w14:textId="77777777" w:rsidR="00DC671E" w:rsidRPr="00D0018E" w:rsidRDefault="00DC671E" w:rsidP="00402372">
                  <w:pPr>
                    <w:jc w:val="center"/>
                    <w:rPr>
                      <w:rFonts w:ascii="Arial" w:hAnsi="Arial" w:cs="Arial"/>
                      <w:sz w:val="18"/>
                      <w:szCs w:val="18"/>
                    </w:rPr>
                  </w:pPr>
                  <w:r w:rsidRPr="00D0018E">
                    <w:rPr>
                      <w:rFonts w:ascii="Arial" w:hAnsi="Arial" w:cs="Arial"/>
                      <w:sz w:val="18"/>
                      <w:szCs w:val="18"/>
                    </w:rPr>
                    <w:t>Sí (   ) No ( X )</w:t>
                  </w:r>
                </w:p>
              </w:tc>
            </w:tr>
            <w:tr w:rsidR="00DC671E" w:rsidRPr="00D0018E" w14:paraId="468A8E53" w14:textId="77777777" w:rsidTr="00402372">
              <w:tc>
                <w:tcPr>
                  <w:tcW w:w="5551" w:type="dxa"/>
                </w:tcPr>
                <w:p w14:paraId="037BCB96" w14:textId="77777777" w:rsidR="00DC671E" w:rsidRPr="00D0018E" w:rsidRDefault="00DC671E" w:rsidP="00402372">
                  <w:pPr>
                    <w:jc w:val="both"/>
                    <w:rPr>
                      <w:rFonts w:ascii="Arial" w:hAnsi="Arial" w:cs="Arial"/>
                      <w:sz w:val="18"/>
                      <w:szCs w:val="18"/>
                    </w:rPr>
                  </w:pPr>
                  <w:r w:rsidRPr="00D0018E">
                    <w:rPr>
                      <w:rFonts w:ascii="Arial" w:hAnsi="Arial" w:cs="Arial"/>
                      <w:sz w:val="18"/>
                      <w:szCs w:val="18"/>
                    </w:rPr>
                    <w:t>¿Reduce la movilidad de clientes entre proveedores de bienes o servicios mediante el aumento de los costos implícitos o explícitos de cambiar de proveedores?</w:t>
                  </w:r>
                </w:p>
              </w:tc>
              <w:tc>
                <w:tcPr>
                  <w:tcW w:w="3051" w:type="dxa"/>
                </w:tcPr>
                <w:p w14:paraId="3F3DF270" w14:textId="77777777" w:rsidR="00DC671E" w:rsidRPr="00D0018E" w:rsidRDefault="00DC671E" w:rsidP="00402372">
                  <w:pPr>
                    <w:jc w:val="center"/>
                    <w:rPr>
                      <w:rFonts w:ascii="Arial" w:hAnsi="Arial" w:cs="Arial"/>
                      <w:sz w:val="18"/>
                      <w:szCs w:val="18"/>
                    </w:rPr>
                  </w:pPr>
                  <w:r w:rsidRPr="00D0018E">
                    <w:rPr>
                      <w:rFonts w:ascii="Arial" w:hAnsi="Arial" w:cs="Arial"/>
                      <w:sz w:val="18"/>
                      <w:szCs w:val="18"/>
                    </w:rPr>
                    <w:t>Sí (   ) No ( X )</w:t>
                  </w:r>
                </w:p>
              </w:tc>
            </w:tr>
            <w:tr w:rsidR="00DC671E" w:rsidRPr="00D0018E" w14:paraId="6B17F71A" w14:textId="77777777" w:rsidTr="00402372">
              <w:tc>
                <w:tcPr>
                  <w:tcW w:w="5551" w:type="dxa"/>
                </w:tcPr>
                <w:p w14:paraId="4C82E59C" w14:textId="77777777" w:rsidR="00DC671E" w:rsidRPr="00D0018E" w:rsidRDefault="00DC671E" w:rsidP="00402372">
                  <w:pPr>
                    <w:jc w:val="both"/>
                    <w:rPr>
                      <w:rFonts w:ascii="Arial" w:hAnsi="Arial" w:cs="Arial"/>
                      <w:sz w:val="18"/>
                      <w:szCs w:val="18"/>
                    </w:rPr>
                  </w:pPr>
                  <w:r w:rsidRPr="00D0018E">
                    <w:rPr>
                      <w:rFonts w:ascii="Arial" w:hAnsi="Arial" w:cs="Arial"/>
                      <w:sz w:val="18"/>
                      <w:szCs w:val="18"/>
                    </w:rPr>
                    <w:t>“¿La regulación propuesta afecta negativamente la competencia de alguna otra manera?</w:t>
                  </w:r>
                </w:p>
              </w:tc>
              <w:tc>
                <w:tcPr>
                  <w:tcW w:w="3051" w:type="dxa"/>
                </w:tcPr>
                <w:p w14:paraId="54AF7B3F" w14:textId="77777777" w:rsidR="00DC671E" w:rsidRPr="00D0018E" w:rsidRDefault="00DC671E" w:rsidP="00402372">
                  <w:pPr>
                    <w:jc w:val="center"/>
                    <w:rPr>
                      <w:rFonts w:ascii="Arial" w:hAnsi="Arial" w:cs="Arial"/>
                      <w:sz w:val="18"/>
                      <w:szCs w:val="18"/>
                    </w:rPr>
                  </w:pPr>
                  <w:r w:rsidRPr="00D0018E">
                    <w:rPr>
                      <w:rFonts w:ascii="Arial" w:hAnsi="Arial" w:cs="Arial"/>
                      <w:sz w:val="18"/>
                      <w:szCs w:val="18"/>
                    </w:rPr>
                    <w:t>Sí (   ) No ( X )</w:t>
                  </w:r>
                </w:p>
              </w:tc>
            </w:tr>
            <w:tr w:rsidR="00DC671E" w:rsidRPr="00D0018E" w14:paraId="41A05502" w14:textId="77777777" w:rsidTr="00402372">
              <w:tc>
                <w:tcPr>
                  <w:tcW w:w="5551" w:type="dxa"/>
                </w:tcPr>
                <w:p w14:paraId="116F8AC6" w14:textId="77777777" w:rsidR="00DC671E" w:rsidRPr="00D0018E" w:rsidRDefault="00DC671E" w:rsidP="00402372">
                  <w:pPr>
                    <w:jc w:val="both"/>
                    <w:rPr>
                      <w:rFonts w:ascii="Arial" w:hAnsi="Arial" w:cs="Arial"/>
                      <w:sz w:val="18"/>
                      <w:szCs w:val="18"/>
                    </w:rPr>
                  </w:pPr>
                  <w:r w:rsidRPr="00D0018E">
                    <w:rPr>
                      <w:rFonts w:ascii="Arial" w:hAnsi="Arial" w:cs="Arial"/>
                      <w:sz w:val="18"/>
                      <w:szCs w:val="18"/>
                    </w:rPr>
                    <w:t>En caso de responder afirmativamente la pregunta anterior, describa la afectación:</w:t>
                  </w:r>
                </w:p>
              </w:tc>
              <w:tc>
                <w:tcPr>
                  <w:tcW w:w="3051" w:type="dxa"/>
                </w:tcPr>
                <w:p w14:paraId="7F2B77D0" w14:textId="77777777" w:rsidR="00DC671E" w:rsidRPr="00D0018E" w:rsidRDefault="00DC671E" w:rsidP="00402372">
                  <w:pPr>
                    <w:jc w:val="center"/>
                    <w:rPr>
                      <w:rFonts w:ascii="Arial" w:hAnsi="Arial" w:cs="Arial"/>
                      <w:sz w:val="18"/>
                      <w:szCs w:val="18"/>
                    </w:rPr>
                  </w:pPr>
                  <w:r w:rsidRPr="00D0018E">
                    <w:rPr>
                      <w:rFonts w:ascii="Arial" w:hAnsi="Arial" w:cs="Arial"/>
                      <w:sz w:val="18"/>
                      <w:szCs w:val="18"/>
                    </w:rPr>
                    <w:t>N/A</w:t>
                  </w:r>
                </w:p>
              </w:tc>
            </w:tr>
          </w:tbl>
          <w:p w14:paraId="3EE9FDAD" w14:textId="77777777" w:rsidR="00DC671E" w:rsidRPr="00D0018E" w:rsidRDefault="00DC671E" w:rsidP="00402372">
            <w:pPr>
              <w:jc w:val="both"/>
              <w:rPr>
                <w:rFonts w:ascii="Arial" w:hAnsi="Arial" w:cs="Arial"/>
                <w:sz w:val="18"/>
                <w:szCs w:val="18"/>
              </w:rPr>
            </w:pPr>
          </w:p>
        </w:tc>
      </w:tr>
    </w:tbl>
    <w:p w14:paraId="210AF128" w14:textId="77777777" w:rsidR="00DC671E" w:rsidRPr="00D0018E" w:rsidRDefault="00DC671E" w:rsidP="00DC671E">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8828"/>
      </w:tblGrid>
      <w:tr w:rsidR="00DC671E" w:rsidRPr="00D0018E" w14:paraId="6ADF1890" w14:textId="77777777" w:rsidTr="00402372">
        <w:trPr>
          <w:trHeight w:val="1315"/>
        </w:trPr>
        <w:tc>
          <w:tcPr>
            <w:tcW w:w="8828" w:type="dxa"/>
          </w:tcPr>
          <w:p w14:paraId="3BD24EAB" w14:textId="77777777" w:rsidR="00DC671E" w:rsidRPr="00D0018E" w:rsidRDefault="00DC671E" w:rsidP="00402372">
            <w:pPr>
              <w:jc w:val="both"/>
              <w:rPr>
                <w:rFonts w:ascii="Arial" w:hAnsi="Arial" w:cs="Arial"/>
                <w:b/>
                <w:sz w:val="18"/>
                <w:szCs w:val="18"/>
              </w:rPr>
            </w:pPr>
            <w:r w:rsidRPr="00D0018E">
              <w:rPr>
                <w:rFonts w:ascii="Arial" w:hAnsi="Arial" w:cs="Arial"/>
                <w:b/>
                <w:sz w:val="18"/>
                <w:szCs w:val="18"/>
              </w:rPr>
              <w:t>10.- Describa las obligaciones, conductas o acciones que deberán cumplirse a la entrada en vigor de la propuesta de regulación (acción regulatoria), incluyendo una justificación sobre la necesidad de las mismas.</w:t>
            </w:r>
          </w:p>
          <w:p w14:paraId="587DB25E" w14:textId="783D669A" w:rsidR="00AD6876" w:rsidRPr="00FA4EF9" w:rsidRDefault="00AD6876" w:rsidP="00402372">
            <w:pPr>
              <w:jc w:val="both"/>
              <w:rPr>
                <w:rFonts w:ascii="Arial" w:hAnsi="Arial"/>
                <w:sz w:val="18"/>
              </w:rPr>
            </w:pPr>
          </w:p>
          <w:p w14:paraId="0E20C65F" w14:textId="77777777" w:rsidR="00DC671E" w:rsidRPr="00D0018E" w:rsidRDefault="00DC671E" w:rsidP="00402372">
            <w:pPr>
              <w:jc w:val="both"/>
              <w:rPr>
                <w:rFonts w:ascii="Arial" w:hAnsi="Arial" w:cs="Arial"/>
                <w:sz w:val="18"/>
                <w:szCs w:val="18"/>
              </w:rPr>
            </w:pPr>
          </w:p>
          <w:tbl>
            <w:tblPr>
              <w:tblStyle w:val="Tablaconcuadrcula"/>
              <w:tblW w:w="0" w:type="auto"/>
              <w:tblLayout w:type="fixed"/>
              <w:tblCellMar>
                <w:left w:w="57" w:type="dxa"/>
                <w:right w:w="57" w:type="dxa"/>
              </w:tblCellMar>
              <w:tblLook w:val="04A0" w:firstRow="1" w:lastRow="0" w:firstColumn="1" w:lastColumn="0" w:noHBand="0" w:noVBand="1"/>
            </w:tblPr>
            <w:tblGrid>
              <w:gridCol w:w="1157"/>
              <w:gridCol w:w="1559"/>
              <w:gridCol w:w="1133"/>
              <w:gridCol w:w="1418"/>
              <w:gridCol w:w="1701"/>
              <w:gridCol w:w="1634"/>
            </w:tblGrid>
            <w:tr w:rsidR="00E666F6" w:rsidRPr="00D0018E" w14:paraId="4FC9B304" w14:textId="77777777" w:rsidTr="00B52B6A">
              <w:tc>
                <w:tcPr>
                  <w:tcW w:w="1157" w:type="dxa"/>
                  <w:tcBorders>
                    <w:bottom w:val="single" w:sz="4" w:space="0" w:color="auto"/>
                  </w:tcBorders>
                  <w:shd w:val="clear" w:color="auto" w:fill="A8D08D" w:themeFill="accent6" w:themeFillTint="99"/>
                </w:tcPr>
                <w:p w14:paraId="1A66F298" w14:textId="77777777" w:rsidR="00DC671E" w:rsidRPr="00D0018E" w:rsidRDefault="00DC671E" w:rsidP="00402372">
                  <w:pPr>
                    <w:jc w:val="center"/>
                    <w:rPr>
                      <w:rFonts w:ascii="Arial" w:hAnsi="Arial" w:cs="Arial"/>
                      <w:b/>
                      <w:sz w:val="16"/>
                      <w:szCs w:val="16"/>
                    </w:rPr>
                  </w:pPr>
                  <w:r w:rsidRPr="00D0018E">
                    <w:rPr>
                      <w:rFonts w:ascii="Arial" w:hAnsi="Arial" w:cs="Arial"/>
                      <w:b/>
                      <w:sz w:val="16"/>
                      <w:szCs w:val="16"/>
                    </w:rPr>
                    <w:t xml:space="preserve">Tipo </w:t>
                  </w:r>
                </w:p>
              </w:tc>
              <w:tc>
                <w:tcPr>
                  <w:tcW w:w="1559" w:type="dxa"/>
                  <w:tcBorders>
                    <w:bottom w:val="single" w:sz="4" w:space="0" w:color="auto"/>
                  </w:tcBorders>
                  <w:shd w:val="clear" w:color="auto" w:fill="A8D08D" w:themeFill="accent6" w:themeFillTint="99"/>
                </w:tcPr>
                <w:p w14:paraId="7A758104" w14:textId="77777777" w:rsidR="00DC671E" w:rsidRPr="00D0018E" w:rsidRDefault="00DC671E" w:rsidP="00402372">
                  <w:pPr>
                    <w:jc w:val="center"/>
                    <w:rPr>
                      <w:rFonts w:ascii="Arial" w:hAnsi="Arial" w:cs="Arial"/>
                      <w:b/>
                      <w:sz w:val="16"/>
                      <w:szCs w:val="16"/>
                    </w:rPr>
                  </w:pPr>
                  <w:r w:rsidRPr="00D0018E">
                    <w:rPr>
                      <w:rFonts w:ascii="Arial" w:hAnsi="Arial" w:cs="Arial"/>
                      <w:b/>
                      <w:sz w:val="16"/>
                      <w:szCs w:val="16"/>
                    </w:rPr>
                    <w:t>Sujeto(s)</w:t>
                  </w:r>
                </w:p>
                <w:p w14:paraId="08E36174" w14:textId="77777777" w:rsidR="00DC671E" w:rsidRPr="00D0018E" w:rsidRDefault="00DC671E" w:rsidP="00402372">
                  <w:pPr>
                    <w:jc w:val="center"/>
                    <w:rPr>
                      <w:rFonts w:ascii="Arial" w:hAnsi="Arial" w:cs="Arial"/>
                      <w:b/>
                      <w:sz w:val="16"/>
                      <w:szCs w:val="16"/>
                    </w:rPr>
                  </w:pPr>
                  <w:r w:rsidRPr="00D0018E">
                    <w:rPr>
                      <w:rFonts w:ascii="Arial" w:hAnsi="Arial" w:cs="Arial"/>
                      <w:b/>
                      <w:sz w:val="16"/>
                      <w:szCs w:val="16"/>
                    </w:rPr>
                    <w:t>Obligado(s)</w:t>
                  </w:r>
                </w:p>
              </w:tc>
              <w:tc>
                <w:tcPr>
                  <w:tcW w:w="1133" w:type="dxa"/>
                  <w:shd w:val="clear" w:color="auto" w:fill="A8D08D" w:themeFill="accent6" w:themeFillTint="99"/>
                </w:tcPr>
                <w:p w14:paraId="161E614E" w14:textId="77777777" w:rsidR="00DC671E" w:rsidRPr="00D0018E" w:rsidRDefault="00DC671E" w:rsidP="00402372">
                  <w:pPr>
                    <w:jc w:val="center"/>
                    <w:rPr>
                      <w:rFonts w:ascii="Arial" w:hAnsi="Arial" w:cs="Arial"/>
                      <w:b/>
                      <w:sz w:val="16"/>
                      <w:szCs w:val="16"/>
                    </w:rPr>
                  </w:pPr>
                  <w:r w:rsidRPr="00D0018E">
                    <w:rPr>
                      <w:rFonts w:ascii="Arial" w:hAnsi="Arial" w:cs="Arial"/>
                      <w:b/>
                      <w:sz w:val="16"/>
                      <w:szCs w:val="16"/>
                    </w:rPr>
                    <w:t>Artículo(s) aplicable(s)</w:t>
                  </w:r>
                </w:p>
              </w:tc>
              <w:tc>
                <w:tcPr>
                  <w:tcW w:w="1418" w:type="dxa"/>
                  <w:shd w:val="clear" w:color="auto" w:fill="A8D08D" w:themeFill="accent6" w:themeFillTint="99"/>
                </w:tcPr>
                <w:p w14:paraId="2687AFB9" w14:textId="77777777" w:rsidR="00DC671E" w:rsidRPr="00D0018E" w:rsidRDefault="00DC671E" w:rsidP="00402372">
                  <w:pPr>
                    <w:jc w:val="center"/>
                    <w:rPr>
                      <w:rFonts w:ascii="Arial" w:hAnsi="Arial" w:cs="Arial"/>
                      <w:b/>
                      <w:sz w:val="16"/>
                      <w:szCs w:val="16"/>
                    </w:rPr>
                  </w:pPr>
                  <w:r w:rsidRPr="00D0018E">
                    <w:rPr>
                      <w:rFonts w:ascii="Arial" w:hAnsi="Arial" w:cs="Arial"/>
                      <w:b/>
                      <w:sz w:val="16"/>
                      <w:szCs w:val="16"/>
                    </w:rPr>
                    <w:t>Afectación en Competencia</w:t>
                  </w:r>
                </w:p>
              </w:tc>
              <w:tc>
                <w:tcPr>
                  <w:tcW w:w="1701" w:type="dxa"/>
                  <w:shd w:val="clear" w:color="auto" w:fill="A8D08D" w:themeFill="accent6" w:themeFillTint="99"/>
                </w:tcPr>
                <w:p w14:paraId="3E6D2380" w14:textId="77777777" w:rsidR="00DC671E" w:rsidRPr="00D0018E" w:rsidRDefault="00DC671E" w:rsidP="00402372">
                  <w:pPr>
                    <w:jc w:val="center"/>
                    <w:rPr>
                      <w:rFonts w:ascii="Arial" w:hAnsi="Arial" w:cs="Arial"/>
                      <w:b/>
                      <w:sz w:val="16"/>
                      <w:szCs w:val="16"/>
                    </w:rPr>
                  </w:pPr>
                  <w:r w:rsidRPr="00D0018E">
                    <w:rPr>
                      <w:rFonts w:ascii="Arial" w:hAnsi="Arial" w:cs="Arial"/>
                      <w:b/>
                      <w:sz w:val="16"/>
                      <w:szCs w:val="16"/>
                    </w:rPr>
                    <w:t>Sujeto(s)</w:t>
                  </w:r>
                </w:p>
                <w:p w14:paraId="7BF7B06D" w14:textId="77777777" w:rsidR="00DC671E" w:rsidRPr="00D0018E" w:rsidRDefault="00DC671E" w:rsidP="00402372">
                  <w:pPr>
                    <w:jc w:val="center"/>
                    <w:rPr>
                      <w:rFonts w:ascii="Arial" w:hAnsi="Arial" w:cs="Arial"/>
                      <w:b/>
                      <w:sz w:val="16"/>
                      <w:szCs w:val="16"/>
                    </w:rPr>
                  </w:pPr>
                  <w:r w:rsidRPr="00D0018E">
                    <w:rPr>
                      <w:rFonts w:ascii="Arial" w:hAnsi="Arial" w:cs="Arial"/>
                      <w:b/>
                      <w:sz w:val="16"/>
                      <w:szCs w:val="16"/>
                    </w:rPr>
                    <w:t>Afectados(s)</w:t>
                  </w:r>
                </w:p>
              </w:tc>
              <w:tc>
                <w:tcPr>
                  <w:tcW w:w="1634" w:type="dxa"/>
                  <w:tcBorders>
                    <w:bottom w:val="single" w:sz="4" w:space="0" w:color="auto"/>
                  </w:tcBorders>
                  <w:shd w:val="clear" w:color="auto" w:fill="A8D08D" w:themeFill="accent6" w:themeFillTint="99"/>
                </w:tcPr>
                <w:p w14:paraId="68383803" w14:textId="77777777" w:rsidR="00DC671E" w:rsidRPr="00D0018E" w:rsidRDefault="00DC671E" w:rsidP="00402372">
                  <w:pPr>
                    <w:jc w:val="center"/>
                    <w:rPr>
                      <w:rFonts w:ascii="Arial" w:hAnsi="Arial" w:cs="Arial"/>
                      <w:b/>
                      <w:sz w:val="16"/>
                      <w:szCs w:val="16"/>
                    </w:rPr>
                  </w:pPr>
                  <w:r w:rsidRPr="00D0018E">
                    <w:rPr>
                      <w:rFonts w:ascii="Arial" w:hAnsi="Arial" w:cs="Arial"/>
                      <w:b/>
                      <w:sz w:val="16"/>
                      <w:szCs w:val="16"/>
                    </w:rPr>
                    <w:t>Justificación y razones para su aplicación</w:t>
                  </w:r>
                </w:p>
              </w:tc>
            </w:tr>
            <w:tr w:rsidR="00E666F6" w:rsidRPr="00D0018E" w14:paraId="66A05978" w14:textId="77777777" w:rsidTr="00B52B6A">
              <w:tc>
                <w:tcPr>
                  <w:tcW w:w="11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E577D3" w14:textId="2782FD91" w:rsidR="00DC671E" w:rsidRPr="0028003C" w:rsidRDefault="009E0EFD" w:rsidP="00402372">
                  <w:pPr>
                    <w:jc w:val="center"/>
                    <w:rPr>
                      <w:rFonts w:ascii="Arial" w:hAnsi="Arial"/>
                      <w:sz w:val="18"/>
                    </w:rPr>
                  </w:pPr>
                  <w:r w:rsidRPr="0028003C">
                    <w:rPr>
                      <w:rFonts w:ascii="Arial" w:hAnsi="Arial" w:cs="Arial"/>
                      <w:sz w:val="18"/>
                      <w:szCs w:val="18"/>
                    </w:rPr>
                    <w:t>Ámbito de aplicabilidad del Criterio Técnico</w:t>
                  </w:r>
                </w:p>
              </w:tc>
              <w:tc>
                <w:tcPr>
                  <w:tcW w:w="1559" w:type="dxa"/>
                  <w:tcBorders>
                    <w:left w:val="single" w:sz="4" w:space="0" w:color="auto"/>
                    <w:right w:val="single" w:sz="4" w:space="0" w:color="auto"/>
                  </w:tcBorders>
                  <w:shd w:val="clear" w:color="auto" w:fill="FFFFFF" w:themeFill="background1"/>
                </w:tcPr>
                <w:p w14:paraId="09328530" w14:textId="495F6760" w:rsidR="00DC671E" w:rsidRPr="0028003C" w:rsidRDefault="009D1C22" w:rsidP="00402372">
                  <w:pPr>
                    <w:jc w:val="center"/>
                    <w:rPr>
                      <w:rFonts w:ascii="Arial" w:hAnsi="Arial"/>
                      <w:sz w:val="18"/>
                    </w:rPr>
                  </w:pPr>
                  <w:r w:rsidRPr="0028003C">
                    <w:rPr>
                      <w:rFonts w:ascii="Arial" w:hAnsi="Arial" w:cs="Arial"/>
                      <w:sz w:val="18"/>
                      <w:szCs w:val="18"/>
                    </w:rPr>
                    <w:t xml:space="preserve">Todos los subsectores o mercados pertenecientes al sector de </w:t>
                  </w:r>
                  <w:r w:rsidRPr="0028003C">
                    <w:rPr>
                      <w:rFonts w:ascii="Arial" w:hAnsi="Arial" w:cs="Arial"/>
                      <w:sz w:val="18"/>
                      <w:szCs w:val="18"/>
                    </w:rPr>
                    <w:lastRenderedPageBreak/>
                    <w:t>telecomunicaciones y radiodifusión competencia del Instituto</w:t>
                  </w:r>
                </w:p>
              </w:tc>
              <w:tc>
                <w:tcPr>
                  <w:tcW w:w="1133" w:type="dxa"/>
                  <w:tcBorders>
                    <w:left w:val="single" w:sz="4" w:space="0" w:color="auto"/>
                    <w:right w:val="single" w:sz="4" w:space="0" w:color="auto"/>
                  </w:tcBorders>
                  <w:shd w:val="clear" w:color="auto" w:fill="FFFFFF" w:themeFill="background1"/>
                </w:tcPr>
                <w:p w14:paraId="2A1038DA" w14:textId="77777777" w:rsidR="00DC671E" w:rsidRPr="0028003C" w:rsidRDefault="00DC671E" w:rsidP="00402372">
                  <w:pPr>
                    <w:jc w:val="center"/>
                    <w:rPr>
                      <w:rFonts w:ascii="Arial" w:hAnsi="Arial" w:cs="Arial"/>
                      <w:sz w:val="18"/>
                      <w:szCs w:val="18"/>
                    </w:rPr>
                  </w:pPr>
                </w:p>
                <w:p w14:paraId="722C4A5E" w14:textId="25FC5A9E" w:rsidR="009E0EFD" w:rsidRPr="0028003C" w:rsidRDefault="009E0EFD" w:rsidP="00402372">
                  <w:pPr>
                    <w:jc w:val="center"/>
                    <w:rPr>
                      <w:rFonts w:ascii="Arial" w:hAnsi="Arial"/>
                      <w:sz w:val="18"/>
                    </w:rPr>
                  </w:pPr>
                  <w:r w:rsidRPr="0028003C">
                    <w:rPr>
                      <w:rFonts w:ascii="Arial" w:hAnsi="Arial" w:cs="Arial"/>
                      <w:sz w:val="18"/>
                      <w:szCs w:val="18"/>
                    </w:rPr>
                    <w:t>Artículo 2</w:t>
                  </w:r>
                </w:p>
              </w:tc>
              <w:tc>
                <w:tcPr>
                  <w:tcW w:w="1418" w:type="dxa"/>
                  <w:tcBorders>
                    <w:left w:val="single" w:sz="4" w:space="0" w:color="auto"/>
                    <w:right w:val="single" w:sz="4" w:space="0" w:color="auto"/>
                  </w:tcBorders>
                  <w:shd w:val="clear" w:color="auto" w:fill="FFFFFF" w:themeFill="background1"/>
                </w:tcPr>
                <w:p w14:paraId="282DE060" w14:textId="2223F42C" w:rsidR="00DC671E" w:rsidRPr="0028003C" w:rsidRDefault="00513C17" w:rsidP="00402372">
                  <w:pPr>
                    <w:jc w:val="center"/>
                    <w:rPr>
                      <w:rFonts w:ascii="Arial" w:hAnsi="Arial"/>
                      <w:sz w:val="18"/>
                    </w:rPr>
                  </w:pPr>
                  <w:r w:rsidRPr="0028003C">
                    <w:rPr>
                      <w:rFonts w:ascii="Arial" w:hAnsi="Arial" w:cs="Arial"/>
                      <w:sz w:val="18"/>
                      <w:szCs w:val="18"/>
                    </w:rPr>
                    <w:t xml:space="preserve">El Criterio Técnico se utilizará en 1) las primeras fases del </w:t>
                  </w:r>
                  <w:r w:rsidRPr="0028003C">
                    <w:rPr>
                      <w:rFonts w:ascii="Arial" w:hAnsi="Arial" w:cs="Arial"/>
                      <w:sz w:val="18"/>
                      <w:szCs w:val="18"/>
                    </w:rPr>
                    <w:lastRenderedPageBreak/>
                    <w:t>procedimiento con el objeto de identificar aquellos mercados en los que una concentración tendría bajas probabilidades de afectar la competencia y, en ese caso, descartar proceder a un análisis exhaustivo. Asimismo, se utilizará en 2) para evaluar concentraciones que podrían representar un riesgo a la competencia</w:t>
                  </w:r>
                  <w:r w:rsidR="00AA32B0" w:rsidRPr="0028003C">
                    <w:rPr>
                      <w:rFonts w:ascii="Arial" w:hAnsi="Arial" w:cs="Arial"/>
                      <w:sz w:val="18"/>
                      <w:szCs w:val="18"/>
                    </w:rPr>
                    <w:t>.</w:t>
                  </w:r>
                </w:p>
              </w:tc>
              <w:tc>
                <w:tcPr>
                  <w:tcW w:w="1701" w:type="dxa"/>
                  <w:tcBorders>
                    <w:left w:val="single" w:sz="4" w:space="0" w:color="auto"/>
                    <w:right w:val="single" w:sz="4" w:space="0" w:color="auto"/>
                  </w:tcBorders>
                  <w:shd w:val="clear" w:color="auto" w:fill="FFFFFF" w:themeFill="background1"/>
                </w:tcPr>
                <w:p w14:paraId="03058FD5" w14:textId="5E2BB1C7" w:rsidR="00DC671E" w:rsidRPr="0028003C" w:rsidRDefault="009E0EFD" w:rsidP="00402372">
                  <w:pPr>
                    <w:jc w:val="center"/>
                    <w:rPr>
                      <w:rFonts w:ascii="Arial" w:hAnsi="Arial"/>
                      <w:sz w:val="18"/>
                    </w:rPr>
                  </w:pPr>
                  <w:r w:rsidRPr="0028003C">
                    <w:rPr>
                      <w:rFonts w:ascii="Arial" w:hAnsi="Arial" w:cs="Arial"/>
                      <w:sz w:val="18"/>
                      <w:szCs w:val="18"/>
                    </w:rPr>
                    <w:lastRenderedPageBreak/>
                    <w:t xml:space="preserve">Todos los subsectores o mercados pertenecientes al sector de </w:t>
                  </w:r>
                  <w:r w:rsidRPr="0028003C">
                    <w:rPr>
                      <w:rFonts w:ascii="Arial" w:hAnsi="Arial" w:cs="Arial"/>
                      <w:sz w:val="18"/>
                      <w:szCs w:val="18"/>
                    </w:rPr>
                    <w:lastRenderedPageBreak/>
                    <w:t>telecomunicaciones y radiodifusión competencia del Instituto</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4085C341" w14:textId="5511CAFF" w:rsidR="00DC671E" w:rsidRPr="0028003C" w:rsidRDefault="00AA32B0" w:rsidP="00402372">
                  <w:pPr>
                    <w:jc w:val="both"/>
                    <w:rPr>
                      <w:rFonts w:ascii="Arial" w:hAnsi="Arial"/>
                      <w:sz w:val="18"/>
                    </w:rPr>
                  </w:pPr>
                  <w:r w:rsidRPr="0028003C">
                    <w:rPr>
                      <w:rFonts w:ascii="Arial" w:hAnsi="Arial" w:cs="Arial"/>
                      <w:sz w:val="18"/>
                      <w:szCs w:val="18"/>
                    </w:rPr>
                    <w:lastRenderedPageBreak/>
                    <w:t xml:space="preserve">En relación con la versión vigente a la fecha del Criterio Técnico, este ajuste sólo sucede </w:t>
                  </w:r>
                  <w:r w:rsidRPr="0028003C">
                    <w:rPr>
                      <w:rFonts w:ascii="Arial" w:hAnsi="Arial" w:cs="Arial"/>
                      <w:sz w:val="18"/>
                      <w:szCs w:val="18"/>
                    </w:rPr>
                    <w:lastRenderedPageBreak/>
                    <w:t>para otorgar claridad sobre el ámbito de aplicación del Criterio Técnico. De esta forma, los sujetos afectados sabrán que la aplicación del índice permitirá identificar los mercados en los que una concentración tendría bajas probabilidades de afectar la competencia y evaluar aquellas concentraciones que podrían representar un riesgo a la competencia</w:t>
                  </w:r>
                </w:p>
              </w:tc>
            </w:tr>
            <w:tr w:rsidR="00513C17" w:rsidRPr="00D0018E" w14:paraId="3D1D2F44" w14:textId="77777777" w:rsidTr="00B52B6A">
              <w:tc>
                <w:tcPr>
                  <w:tcW w:w="11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FA130" w14:textId="5F6FB484" w:rsidR="00513C17" w:rsidRPr="0028003C" w:rsidRDefault="00AA32B0" w:rsidP="00402372">
                  <w:pPr>
                    <w:jc w:val="center"/>
                    <w:rPr>
                      <w:rFonts w:ascii="Arial" w:hAnsi="Arial" w:cs="Arial"/>
                      <w:sz w:val="18"/>
                      <w:szCs w:val="18"/>
                    </w:rPr>
                  </w:pPr>
                  <w:r w:rsidRPr="0028003C">
                    <w:rPr>
                      <w:rFonts w:ascii="Arial" w:hAnsi="Arial" w:cs="Arial"/>
                      <w:sz w:val="18"/>
                      <w:szCs w:val="18"/>
                    </w:rPr>
                    <w:lastRenderedPageBreak/>
                    <w:t>Definición del IHH</w:t>
                  </w:r>
                </w:p>
              </w:tc>
              <w:tc>
                <w:tcPr>
                  <w:tcW w:w="1559" w:type="dxa"/>
                  <w:tcBorders>
                    <w:left w:val="single" w:sz="4" w:space="0" w:color="auto"/>
                    <w:right w:val="single" w:sz="4" w:space="0" w:color="auto"/>
                  </w:tcBorders>
                  <w:shd w:val="clear" w:color="auto" w:fill="FFFFFF" w:themeFill="background1"/>
                </w:tcPr>
                <w:p w14:paraId="66576F06" w14:textId="3ADDEF95" w:rsidR="00513C17" w:rsidRPr="0028003C" w:rsidRDefault="00AA32B0" w:rsidP="00402372">
                  <w:pPr>
                    <w:jc w:val="center"/>
                    <w:rPr>
                      <w:rFonts w:ascii="Arial" w:hAnsi="Arial" w:cs="Arial"/>
                      <w:sz w:val="18"/>
                      <w:szCs w:val="18"/>
                    </w:rPr>
                  </w:pPr>
                  <w:r w:rsidRPr="0028003C">
                    <w:rPr>
                      <w:rFonts w:ascii="Arial" w:hAnsi="Arial" w:cs="Arial"/>
                      <w:sz w:val="18"/>
                      <w:szCs w:val="18"/>
                    </w:rPr>
                    <w:t>Todos los subsectores o mercados pertenecientes al sector de telecomunicaciones y radiodifusión competencia del Instituto</w:t>
                  </w:r>
                </w:p>
              </w:tc>
              <w:tc>
                <w:tcPr>
                  <w:tcW w:w="1133" w:type="dxa"/>
                  <w:tcBorders>
                    <w:left w:val="single" w:sz="4" w:space="0" w:color="auto"/>
                    <w:right w:val="single" w:sz="4" w:space="0" w:color="auto"/>
                  </w:tcBorders>
                  <w:shd w:val="clear" w:color="auto" w:fill="FFFFFF" w:themeFill="background1"/>
                </w:tcPr>
                <w:p w14:paraId="434B290C" w14:textId="6823CFED" w:rsidR="00513C17" w:rsidRPr="0028003C" w:rsidRDefault="00AA32B0" w:rsidP="00402372">
                  <w:pPr>
                    <w:jc w:val="center"/>
                    <w:rPr>
                      <w:rFonts w:ascii="Arial" w:hAnsi="Arial" w:cs="Arial"/>
                      <w:sz w:val="18"/>
                      <w:szCs w:val="18"/>
                    </w:rPr>
                  </w:pPr>
                  <w:r w:rsidRPr="0028003C">
                    <w:rPr>
                      <w:rFonts w:ascii="Arial" w:hAnsi="Arial" w:cs="Arial"/>
                      <w:sz w:val="18"/>
                      <w:szCs w:val="18"/>
                    </w:rPr>
                    <w:t>Artículo 3</w:t>
                  </w:r>
                </w:p>
              </w:tc>
              <w:tc>
                <w:tcPr>
                  <w:tcW w:w="1418" w:type="dxa"/>
                  <w:tcBorders>
                    <w:left w:val="single" w:sz="4" w:space="0" w:color="auto"/>
                    <w:right w:val="single" w:sz="4" w:space="0" w:color="auto"/>
                  </w:tcBorders>
                  <w:shd w:val="clear" w:color="auto" w:fill="FFFFFF" w:themeFill="background1"/>
                </w:tcPr>
                <w:p w14:paraId="35729278" w14:textId="5A3CB3A0" w:rsidR="00513C17" w:rsidRPr="0028003C" w:rsidRDefault="009A524E" w:rsidP="00402372">
                  <w:pPr>
                    <w:jc w:val="center"/>
                    <w:rPr>
                      <w:rFonts w:ascii="Arial" w:hAnsi="Arial" w:cs="Arial"/>
                      <w:sz w:val="18"/>
                      <w:szCs w:val="18"/>
                    </w:rPr>
                  </w:pPr>
                  <w:r w:rsidRPr="0028003C">
                    <w:rPr>
                      <w:rFonts w:ascii="Arial" w:hAnsi="Arial" w:cs="Arial"/>
                      <w:sz w:val="18"/>
                      <w:szCs w:val="18"/>
                    </w:rPr>
                    <w:t xml:space="preserve">Descripción general de qué es y para qué se usa el IHH </w:t>
                  </w:r>
                </w:p>
              </w:tc>
              <w:tc>
                <w:tcPr>
                  <w:tcW w:w="1701" w:type="dxa"/>
                  <w:tcBorders>
                    <w:left w:val="single" w:sz="4" w:space="0" w:color="auto"/>
                    <w:right w:val="single" w:sz="4" w:space="0" w:color="auto"/>
                  </w:tcBorders>
                  <w:shd w:val="clear" w:color="auto" w:fill="FFFFFF" w:themeFill="background1"/>
                </w:tcPr>
                <w:p w14:paraId="0769C8A9" w14:textId="78D861DD" w:rsidR="00513C17" w:rsidRPr="0028003C" w:rsidRDefault="00AA32B0" w:rsidP="00402372">
                  <w:pPr>
                    <w:jc w:val="center"/>
                    <w:rPr>
                      <w:rFonts w:ascii="Arial" w:hAnsi="Arial" w:cs="Arial"/>
                      <w:sz w:val="18"/>
                      <w:szCs w:val="18"/>
                    </w:rPr>
                  </w:pPr>
                  <w:r w:rsidRPr="0028003C">
                    <w:rPr>
                      <w:rFonts w:ascii="Arial" w:hAnsi="Arial" w:cs="Arial"/>
                      <w:sz w:val="18"/>
                      <w:szCs w:val="18"/>
                    </w:rPr>
                    <w:t>Todos los subsectores o mercados pertenecientes al sector de telecomunicaciones y radiodifusión competencia del Instituto</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00439E51" w14:textId="7F70E81B" w:rsidR="00513C17" w:rsidRPr="0028003C" w:rsidRDefault="009A524E" w:rsidP="00402372">
                  <w:pPr>
                    <w:jc w:val="both"/>
                    <w:rPr>
                      <w:rFonts w:ascii="Arial" w:hAnsi="Arial" w:cs="Arial"/>
                      <w:sz w:val="18"/>
                      <w:szCs w:val="18"/>
                    </w:rPr>
                  </w:pPr>
                  <w:r w:rsidRPr="0028003C">
                    <w:rPr>
                      <w:rFonts w:ascii="Arial" w:hAnsi="Arial" w:cs="Arial"/>
                      <w:sz w:val="18"/>
                      <w:szCs w:val="18"/>
                    </w:rPr>
                    <w:t xml:space="preserve">En relación con la versión vigente a la fecha del Criterio Técnico, este ajuste sólo sucede para abonar en la claridad del concepto, uso y aplicación del IHH en materia de competencia económica. De esta forma, el público en general podrá entender para qué el Instituto aplica dicho concepto. </w:t>
                  </w:r>
                </w:p>
              </w:tc>
            </w:tr>
            <w:tr w:rsidR="00974916" w:rsidRPr="00D0018E" w14:paraId="6FE58DC7" w14:textId="77777777" w:rsidTr="00B52B6A">
              <w:tc>
                <w:tcPr>
                  <w:tcW w:w="11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D139C" w14:textId="4EA68E60" w:rsidR="00974916" w:rsidRPr="0028003C" w:rsidRDefault="004C1ADB" w:rsidP="00974916">
                  <w:pPr>
                    <w:jc w:val="center"/>
                    <w:rPr>
                      <w:rFonts w:ascii="Arial" w:hAnsi="Arial" w:cs="Arial"/>
                      <w:sz w:val="18"/>
                      <w:szCs w:val="18"/>
                    </w:rPr>
                  </w:pPr>
                  <w:r w:rsidRPr="0028003C">
                    <w:rPr>
                      <w:rFonts w:ascii="Arial" w:hAnsi="Arial" w:cs="Arial"/>
                      <w:sz w:val="18"/>
                      <w:szCs w:val="18"/>
                    </w:rPr>
                    <w:t>Cambio de notación de la variación del IHH</w:t>
                  </w:r>
                </w:p>
              </w:tc>
              <w:tc>
                <w:tcPr>
                  <w:tcW w:w="1559" w:type="dxa"/>
                  <w:tcBorders>
                    <w:left w:val="single" w:sz="4" w:space="0" w:color="auto"/>
                    <w:right w:val="single" w:sz="4" w:space="0" w:color="auto"/>
                  </w:tcBorders>
                  <w:shd w:val="clear" w:color="auto" w:fill="FFFFFF" w:themeFill="background1"/>
                </w:tcPr>
                <w:p w14:paraId="15761A9F" w14:textId="28127F8E" w:rsidR="00974916" w:rsidRPr="0028003C" w:rsidRDefault="00974916" w:rsidP="00974916">
                  <w:pPr>
                    <w:jc w:val="center"/>
                    <w:rPr>
                      <w:rFonts w:ascii="Arial" w:hAnsi="Arial" w:cs="Arial"/>
                      <w:sz w:val="18"/>
                      <w:szCs w:val="18"/>
                    </w:rPr>
                  </w:pPr>
                  <w:r w:rsidRPr="0028003C">
                    <w:rPr>
                      <w:rFonts w:ascii="Arial" w:hAnsi="Arial" w:cs="Arial"/>
                      <w:sz w:val="18"/>
                      <w:szCs w:val="18"/>
                    </w:rPr>
                    <w:t>Todos los subsectores o mercados pertenecientes al sector de telecomunicaciones y radiodifusión competencia del Instituto</w:t>
                  </w:r>
                </w:p>
              </w:tc>
              <w:tc>
                <w:tcPr>
                  <w:tcW w:w="1133" w:type="dxa"/>
                  <w:tcBorders>
                    <w:left w:val="single" w:sz="4" w:space="0" w:color="auto"/>
                    <w:right w:val="single" w:sz="4" w:space="0" w:color="auto"/>
                  </w:tcBorders>
                  <w:shd w:val="clear" w:color="auto" w:fill="FFFFFF" w:themeFill="background1"/>
                </w:tcPr>
                <w:p w14:paraId="6EE7FC28" w14:textId="4965297F" w:rsidR="00974916" w:rsidRPr="0028003C" w:rsidRDefault="00974916" w:rsidP="00974916">
                  <w:pPr>
                    <w:jc w:val="center"/>
                    <w:rPr>
                      <w:rFonts w:ascii="Arial" w:hAnsi="Arial" w:cs="Arial"/>
                      <w:sz w:val="18"/>
                      <w:szCs w:val="18"/>
                    </w:rPr>
                  </w:pPr>
                  <w:r w:rsidRPr="0028003C">
                    <w:rPr>
                      <w:rFonts w:ascii="Arial" w:hAnsi="Arial" w:cs="Arial"/>
                      <w:sz w:val="18"/>
                      <w:szCs w:val="18"/>
                    </w:rPr>
                    <w:t>Artículo 5</w:t>
                  </w:r>
                </w:p>
              </w:tc>
              <w:tc>
                <w:tcPr>
                  <w:tcW w:w="1418" w:type="dxa"/>
                  <w:tcBorders>
                    <w:left w:val="single" w:sz="4" w:space="0" w:color="auto"/>
                    <w:right w:val="single" w:sz="4" w:space="0" w:color="auto"/>
                  </w:tcBorders>
                  <w:shd w:val="clear" w:color="auto" w:fill="FFFFFF" w:themeFill="background1"/>
                </w:tcPr>
                <w:p w14:paraId="54C185CA" w14:textId="166F5E87" w:rsidR="00974916" w:rsidRPr="0028003C" w:rsidRDefault="004C1ADB" w:rsidP="00974916">
                  <w:pPr>
                    <w:jc w:val="center"/>
                    <w:rPr>
                      <w:rFonts w:ascii="Arial" w:hAnsi="Arial" w:cs="Arial"/>
                      <w:sz w:val="18"/>
                      <w:szCs w:val="18"/>
                    </w:rPr>
                  </w:pPr>
                  <w:r w:rsidRPr="0028003C">
                    <w:rPr>
                      <w:rFonts w:ascii="Arial" w:hAnsi="Arial" w:cs="Arial"/>
                      <w:sz w:val="18"/>
                      <w:szCs w:val="18"/>
                    </w:rPr>
                    <w:t>Únicamente se trata de un cambio de notación del IHH</w:t>
                  </w:r>
                </w:p>
              </w:tc>
              <w:tc>
                <w:tcPr>
                  <w:tcW w:w="1701" w:type="dxa"/>
                  <w:tcBorders>
                    <w:left w:val="single" w:sz="4" w:space="0" w:color="auto"/>
                    <w:right w:val="single" w:sz="4" w:space="0" w:color="auto"/>
                  </w:tcBorders>
                  <w:shd w:val="clear" w:color="auto" w:fill="FFFFFF" w:themeFill="background1"/>
                </w:tcPr>
                <w:p w14:paraId="1F366895" w14:textId="62AA0434" w:rsidR="00974916" w:rsidRPr="0028003C" w:rsidRDefault="00974916" w:rsidP="00974916">
                  <w:pPr>
                    <w:jc w:val="center"/>
                    <w:rPr>
                      <w:rFonts w:ascii="Arial" w:hAnsi="Arial" w:cs="Arial"/>
                      <w:sz w:val="18"/>
                      <w:szCs w:val="18"/>
                    </w:rPr>
                  </w:pPr>
                  <w:r w:rsidRPr="0028003C">
                    <w:rPr>
                      <w:rFonts w:ascii="Arial" w:hAnsi="Arial" w:cs="Arial"/>
                      <w:sz w:val="18"/>
                      <w:szCs w:val="18"/>
                    </w:rPr>
                    <w:t>Todos los subsectores o mercados pertenecientes al sector de telecomunicaciones y radiodifusión competencia del Instituto</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0556D993" w14:textId="1F34CD08" w:rsidR="00974916" w:rsidRPr="0028003C" w:rsidRDefault="00974916" w:rsidP="00974916">
                  <w:pPr>
                    <w:jc w:val="both"/>
                    <w:rPr>
                      <w:rFonts w:ascii="Arial" w:hAnsi="Arial" w:cs="Arial"/>
                      <w:sz w:val="18"/>
                      <w:szCs w:val="18"/>
                    </w:rPr>
                  </w:pPr>
                  <w:r w:rsidRPr="0028003C">
                    <w:rPr>
                      <w:rFonts w:ascii="Arial" w:hAnsi="Arial" w:cs="Arial"/>
                      <w:sz w:val="18"/>
                      <w:szCs w:val="18"/>
                    </w:rPr>
                    <w:t xml:space="preserve">En relación con la versión vigente a la fecha del Criterio Técnico, este ajuste sólo sucede para </w:t>
                  </w:r>
                  <w:r w:rsidR="004C1ADB" w:rsidRPr="0028003C">
                    <w:rPr>
                      <w:rFonts w:ascii="Arial" w:hAnsi="Arial" w:cs="Arial"/>
                      <w:sz w:val="18"/>
                      <w:szCs w:val="18"/>
                    </w:rPr>
                    <w:t>hacer más clara</w:t>
                  </w:r>
                  <w:r w:rsidRPr="0028003C">
                    <w:rPr>
                      <w:rFonts w:ascii="Arial" w:hAnsi="Arial" w:cs="Arial"/>
                      <w:sz w:val="18"/>
                      <w:szCs w:val="18"/>
                    </w:rPr>
                    <w:t xml:space="preserve"> la </w:t>
                  </w:r>
                  <w:r w:rsidR="004C1ADB" w:rsidRPr="0028003C">
                    <w:rPr>
                      <w:rFonts w:ascii="Arial" w:hAnsi="Arial" w:cs="Arial"/>
                      <w:sz w:val="18"/>
                      <w:szCs w:val="18"/>
                    </w:rPr>
                    <w:t>notación de la variación</w:t>
                  </w:r>
                  <w:r w:rsidRPr="0028003C">
                    <w:rPr>
                      <w:rFonts w:ascii="Arial" w:hAnsi="Arial" w:cs="Arial"/>
                      <w:sz w:val="18"/>
                      <w:szCs w:val="18"/>
                    </w:rPr>
                    <w:t xml:space="preserve"> del IHH.</w:t>
                  </w:r>
                  <w:r w:rsidR="004C1ADB" w:rsidRPr="0028003C">
                    <w:rPr>
                      <w:rFonts w:ascii="Arial" w:hAnsi="Arial" w:cs="Arial"/>
                      <w:sz w:val="18"/>
                      <w:szCs w:val="18"/>
                    </w:rPr>
                    <w:t xml:space="preserve"> </w:t>
                  </w:r>
                  <w:r w:rsidRPr="0028003C">
                    <w:rPr>
                      <w:rFonts w:ascii="Arial" w:hAnsi="Arial" w:cs="Arial"/>
                      <w:sz w:val="18"/>
                      <w:szCs w:val="18"/>
                    </w:rPr>
                    <w:t xml:space="preserve"> </w:t>
                  </w:r>
                </w:p>
              </w:tc>
            </w:tr>
            <w:tr w:rsidR="00974916" w:rsidRPr="00D0018E" w14:paraId="5CEA51D8" w14:textId="77777777" w:rsidTr="00B52B6A">
              <w:tc>
                <w:tcPr>
                  <w:tcW w:w="11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C105D4" w14:textId="31C388BF" w:rsidR="00974916" w:rsidRPr="0028003C" w:rsidRDefault="00974916" w:rsidP="00974916">
                  <w:pPr>
                    <w:jc w:val="center"/>
                    <w:rPr>
                      <w:rFonts w:ascii="Arial" w:hAnsi="Arial" w:cs="Arial"/>
                      <w:sz w:val="18"/>
                      <w:szCs w:val="18"/>
                    </w:rPr>
                  </w:pPr>
                  <w:r w:rsidRPr="0028003C">
                    <w:rPr>
                      <w:rFonts w:ascii="Arial" w:hAnsi="Arial" w:cs="Arial"/>
                      <w:sz w:val="18"/>
                      <w:szCs w:val="18"/>
                    </w:rPr>
                    <w:t xml:space="preserve">Cambio en los valores para determinar grados de concentración </w:t>
                  </w:r>
                  <w:r w:rsidRPr="0028003C">
                    <w:rPr>
                      <w:rFonts w:ascii="Arial" w:hAnsi="Arial" w:cs="Arial"/>
                      <w:sz w:val="18"/>
                      <w:szCs w:val="18"/>
                    </w:rPr>
                    <w:lastRenderedPageBreak/>
                    <w:t>moderados y elevados</w:t>
                  </w:r>
                </w:p>
              </w:tc>
              <w:tc>
                <w:tcPr>
                  <w:tcW w:w="1559" w:type="dxa"/>
                  <w:tcBorders>
                    <w:left w:val="single" w:sz="4" w:space="0" w:color="auto"/>
                    <w:right w:val="single" w:sz="4" w:space="0" w:color="auto"/>
                  </w:tcBorders>
                  <w:shd w:val="clear" w:color="auto" w:fill="FFFFFF" w:themeFill="background1"/>
                </w:tcPr>
                <w:p w14:paraId="0F0976E7" w14:textId="59FED1BD" w:rsidR="00974916" w:rsidRPr="0028003C" w:rsidRDefault="00974916" w:rsidP="00974916">
                  <w:pPr>
                    <w:jc w:val="center"/>
                    <w:rPr>
                      <w:rFonts w:ascii="Arial" w:hAnsi="Arial" w:cs="Arial"/>
                      <w:sz w:val="18"/>
                      <w:szCs w:val="18"/>
                    </w:rPr>
                  </w:pPr>
                  <w:r w:rsidRPr="0028003C">
                    <w:rPr>
                      <w:rFonts w:ascii="Arial" w:hAnsi="Arial" w:cs="Arial"/>
                      <w:sz w:val="18"/>
                      <w:szCs w:val="18"/>
                    </w:rPr>
                    <w:lastRenderedPageBreak/>
                    <w:t xml:space="preserve">Todos los subsectores o mercados pertenecientes al sector de telecomunicaciones y radiodifusión </w:t>
                  </w:r>
                  <w:r w:rsidRPr="0028003C">
                    <w:rPr>
                      <w:rFonts w:ascii="Arial" w:hAnsi="Arial" w:cs="Arial"/>
                      <w:sz w:val="18"/>
                      <w:szCs w:val="18"/>
                    </w:rPr>
                    <w:lastRenderedPageBreak/>
                    <w:t>competencia del Instituto</w:t>
                  </w:r>
                </w:p>
              </w:tc>
              <w:tc>
                <w:tcPr>
                  <w:tcW w:w="1133" w:type="dxa"/>
                  <w:tcBorders>
                    <w:left w:val="single" w:sz="4" w:space="0" w:color="auto"/>
                    <w:right w:val="single" w:sz="4" w:space="0" w:color="auto"/>
                  </w:tcBorders>
                  <w:shd w:val="clear" w:color="auto" w:fill="FFFFFF" w:themeFill="background1"/>
                </w:tcPr>
                <w:p w14:paraId="79232A12" w14:textId="1987E445" w:rsidR="00974916" w:rsidRPr="0028003C" w:rsidRDefault="00974916" w:rsidP="00974916">
                  <w:pPr>
                    <w:jc w:val="center"/>
                    <w:rPr>
                      <w:rFonts w:ascii="Arial" w:hAnsi="Arial" w:cs="Arial"/>
                      <w:sz w:val="18"/>
                      <w:szCs w:val="18"/>
                    </w:rPr>
                  </w:pPr>
                  <w:r w:rsidRPr="0028003C">
                    <w:rPr>
                      <w:rFonts w:ascii="Arial" w:hAnsi="Arial" w:cs="Arial"/>
                      <w:sz w:val="18"/>
                      <w:szCs w:val="18"/>
                    </w:rPr>
                    <w:lastRenderedPageBreak/>
                    <w:t>Artículo 6</w:t>
                  </w:r>
                </w:p>
              </w:tc>
              <w:tc>
                <w:tcPr>
                  <w:tcW w:w="1418" w:type="dxa"/>
                  <w:tcBorders>
                    <w:left w:val="single" w:sz="4" w:space="0" w:color="auto"/>
                    <w:right w:val="single" w:sz="4" w:space="0" w:color="auto"/>
                  </w:tcBorders>
                  <w:shd w:val="clear" w:color="auto" w:fill="FFFFFF" w:themeFill="background1"/>
                </w:tcPr>
                <w:p w14:paraId="5511F08B" w14:textId="508897D0" w:rsidR="00974916" w:rsidRPr="0028003C" w:rsidRDefault="00974916" w:rsidP="00974916">
                  <w:pPr>
                    <w:jc w:val="center"/>
                    <w:rPr>
                      <w:rFonts w:ascii="Arial" w:hAnsi="Arial" w:cs="Arial"/>
                      <w:sz w:val="18"/>
                      <w:szCs w:val="18"/>
                    </w:rPr>
                  </w:pPr>
                  <w:r w:rsidRPr="0028003C">
                    <w:rPr>
                      <w:rFonts w:ascii="Arial" w:hAnsi="Arial" w:cs="Arial"/>
                      <w:sz w:val="18"/>
                      <w:szCs w:val="18"/>
                    </w:rPr>
                    <w:t xml:space="preserve">Descripción general de qué es y para qué se usa el IHH </w:t>
                  </w:r>
                </w:p>
              </w:tc>
              <w:tc>
                <w:tcPr>
                  <w:tcW w:w="1701" w:type="dxa"/>
                  <w:tcBorders>
                    <w:left w:val="single" w:sz="4" w:space="0" w:color="auto"/>
                    <w:right w:val="single" w:sz="4" w:space="0" w:color="auto"/>
                  </w:tcBorders>
                  <w:shd w:val="clear" w:color="auto" w:fill="FFFFFF" w:themeFill="background1"/>
                </w:tcPr>
                <w:p w14:paraId="2C45F604" w14:textId="2334F78E" w:rsidR="00974916" w:rsidRPr="0028003C" w:rsidRDefault="00974916" w:rsidP="00974916">
                  <w:pPr>
                    <w:jc w:val="center"/>
                    <w:rPr>
                      <w:rFonts w:ascii="Arial" w:hAnsi="Arial" w:cs="Arial"/>
                      <w:sz w:val="18"/>
                      <w:szCs w:val="18"/>
                    </w:rPr>
                  </w:pPr>
                  <w:r w:rsidRPr="0028003C">
                    <w:rPr>
                      <w:rFonts w:ascii="Arial" w:hAnsi="Arial" w:cs="Arial"/>
                      <w:sz w:val="18"/>
                      <w:szCs w:val="18"/>
                    </w:rPr>
                    <w:t xml:space="preserve">Todos los subsectores o mercados pertenecientes al sector de telecomunicaciones y radiodifusión </w:t>
                  </w:r>
                  <w:r w:rsidRPr="0028003C">
                    <w:rPr>
                      <w:rFonts w:ascii="Arial" w:hAnsi="Arial" w:cs="Arial"/>
                      <w:sz w:val="18"/>
                      <w:szCs w:val="18"/>
                    </w:rPr>
                    <w:lastRenderedPageBreak/>
                    <w:t>competencia del Instituto</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2095DE" w14:textId="5216BAAD" w:rsidR="00974916" w:rsidRPr="0028003C" w:rsidRDefault="003A6F32" w:rsidP="00974916">
                  <w:pPr>
                    <w:shd w:val="clear" w:color="auto" w:fill="FFFFFF" w:themeFill="background1"/>
                    <w:jc w:val="both"/>
                    <w:rPr>
                      <w:rFonts w:ascii="Arial" w:hAnsi="Arial" w:cs="Arial"/>
                      <w:sz w:val="18"/>
                      <w:szCs w:val="18"/>
                    </w:rPr>
                  </w:pPr>
                  <w:r w:rsidRPr="0028003C">
                    <w:rPr>
                      <w:rFonts w:ascii="Arial" w:hAnsi="Arial" w:cs="Arial"/>
                      <w:sz w:val="18"/>
                      <w:szCs w:val="18"/>
                    </w:rPr>
                    <w:lastRenderedPageBreak/>
                    <w:t>Reducir</w:t>
                  </w:r>
                  <w:r w:rsidR="00974916" w:rsidRPr="0028003C">
                    <w:rPr>
                      <w:rFonts w:ascii="Arial" w:hAnsi="Arial" w:cs="Arial"/>
                      <w:sz w:val="18"/>
                      <w:szCs w:val="18"/>
                    </w:rPr>
                    <w:t xml:space="preserve"> de 3000 puntos a 2,500 puntos el umbral máximo del IHH que corresponde a niveles de concentración </w:t>
                  </w:r>
                  <w:r w:rsidR="00974916" w:rsidRPr="0028003C">
                    <w:rPr>
                      <w:rFonts w:ascii="Arial" w:hAnsi="Arial" w:cs="Arial"/>
                      <w:sz w:val="18"/>
                      <w:szCs w:val="18"/>
                    </w:rPr>
                    <w:lastRenderedPageBreak/>
                    <w:t>moderados, así como disminuir el umbral mínimo del IHH que corresponde a niveles de concentración elevados para que esos niveles de concentración elevados queden por encima de los 2,500 puntos, responde  a la experiencia ganada dentro del Instituto en la aplicación de índices de concentración en los sectores de telecomunicaciones y radiodifusión así como a la evolución de los mercados en esos sectores , además de que es congruente con las mejores prácticas internacionales.</w:t>
                  </w:r>
                </w:p>
                <w:p w14:paraId="63222A5B" w14:textId="77777777" w:rsidR="00974916" w:rsidRPr="0028003C" w:rsidRDefault="00974916" w:rsidP="00974916">
                  <w:pPr>
                    <w:autoSpaceDE w:val="0"/>
                    <w:autoSpaceDN w:val="0"/>
                    <w:adjustRightInd w:val="0"/>
                    <w:spacing w:line="276" w:lineRule="auto"/>
                    <w:jc w:val="both"/>
                    <w:rPr>
                      <w:rFonts w:ascii="Arial" w:hAnsi="Arial" w:cs="Arial"/>
                      <w:sz w:val="18"/>
                      <w:szCs w:val="18"/>
                    </w:rPr>
                  </w:pPr>
                </w:p>
                <w:p w14:paraId="12FBB20D" w14:textId="6F9008EC" w:rsidR="00974916" w:rsidRPr="0028003C" w:rsidRDefault="00974916" w:rsidP="003A6F32">
                  <w:pPr>
                    <w:autoSpaceDE w:val="0"/>
                    <w:autoSpaceDN w:val="0"/>
                    <w:adjustRightInd w:val="0"/>
                    <w:spacing w:line="276" w:lineRule="auto"/>
                    <w:jc w:val="both"/>
                    <w:rPr>
                      <w:rFonts w:ascii="Arial" w:hAnsi="Arial" w:cs="Arial"/>
                      <w:sz w:val="18"/>
                      <w:szCs w:val="18"/>
                    </w:rPr>
                  </w:pPr>
                  <w:r w:rsidRPr="0028003C">
                    <w:rPr>
                      <w:rFonts w:ascii="Arial" w:hAnsi="Arial" w:cs="Arial"/>
                      <w:sz w:val="18"/>
                      <w:szCs w:val="18"/>
                    </w:rPr>
                    <w:t xml:space="preserve">Al respecto, este IFT ha condicionado operaciones en los que el IHH alcanza valores cercanos a los 2,500 puntos. Igualmente, se observa que, en aquellos mercados donde han existido procesos de licitación en radiodifusión sonora en la banda FM, los niveles de concentración se han reducido significativamente, por lo cual, considerando los mercados donde se observan 3 </w:t>
                  </w:r>
                  <w:r w:rsidRPr="0028003C">
                    <w:rPr>
                      <w:rFonts w:ascii="Arial" w:hAnsi="Arial" w:cs="Arial"/>
                      <w:sz w:val="18"/>
                      <w:szCs w:val="18"/>
                    </w:rPr>
                    <w:lastRenderedPageBreak/>
                    <w:t>(tres) o más competidores, el valor promedio alcanzado por el IHH se ubica en alrededor de los 2,700 puntos. Con procesos de licitación hacia adelante, se prevé que esos niveles de concentración se reducirán aún más. Considerando lo anterior, se observa que la modificación propuesta es importante para, en su caso y previo análisis de todos los elementos a ser considerados en materia de competencia económica, evitar la autorización de operaciones con altas probabilidades de afectar la competencia.</w:t>
                  </w:r>
                </w:p>
              </w:tc>
            </w:tr>
            <w:tr w:rsidR="003A6F32" w:rsidRPr="00D0018E" w14:paraId="6F52AC20" w14:textId="77777777" w:rsidTr="00B52B6A">
              <w:tc>
                <w:tcPr>
                  <w:tcW w:w="11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07C4C9" w14:textId="41CBC8B4" w:rsidR="003A6F32" w:rsidRPr="0028003C" w:rsidRDefault="003A6F32" w:rsidP="003A6F32">
                  <w:pPr>
                    <w:jc w:val="center"/>
                    <w:rPr>
                      <w:rFonts w:ascii="Arial" w:hAnsi="Arial" w:cs="Arial"/>
                      <w:sz w:val="18"/>
                      <w:szCs w:val="18"/>
                    </w:rPr>
                  </w:pPr>
                  <w:r w:rsidRPr="0028003C">
                    <w:rPr>
                      <w:rFonts w:ascii="Arial" w:hAnsi="Arial" w:cs="Arial"/>
                      <w:sz w:val="18"/>
                      <w:szCs w:val="18"/>
                    </w:rPr>
                    <w:lastRenderedPageBreak/>
                    <w:t>Situaciones de existencia de posibles riesgos en materia de competencia económica y libre concurrencia</w:t>
                  </w:r>
                </w:p>
              </w:tc>
              <w:tc>
                <w:tcPr>
                  <w:tcW w:w="1559" w:type="dxa"/>
                  <w:tcBorders>
                    <w:left w:val="single" w:sz="4" w:space="0" w:color="auto"/>
                    <w:right w:val="single" w:sz="4" w:space="0" w:color="auto"/>
                  </w:tcBorders>
                  <w:shd w:val="clear" w:color="auto" w:fill="FFFFFF" w:themeFill="background1"/>
                </w:tcPr>
                <w:p w14:paraId="3B154C42" w14:textId="4503FB40" w:rsidR="003A6F32" w:rsidRPr="0028003C" w:rsidRDefault="003A6F32" w:rsidP="003A6F32">
                  <w:pPr>
                    <w:jc w:val="center"/>
                    <w:rPr>
                      <w:rFonts w:ascii="Arial" w:hAnsi="Arial" w:cs="Arial"/>
                      <w:sz w:val="18"/>
                      <w:szCs w:val="18"/>
                    </w:rPr>
                  </w:pPr>
                  <w:r w:rsidRPr="0028003C">
                    <w:rPr>
                      <w:rFonts w:ascii="Arial" w:hAnsi="Arial" w:cs="Arial"/>
                      <w:sz w:val="18"/>
                      <w:szCs w:val="18"/>
                    </w:rPr>
                    <w:t>Todos los subsectores o mercados pertenecientes al sector de telecomunicaciones y radiodifusión competencia del Instituto</w:t>
                  </w:r>
                </w:p>
              </w:tc>
              <w:tc>
                <w:tcPr>
                  <w:tcW w:w="1133" w:type="dxa"/>
                  <w:tcBorders>
                    <w:left w:val="single" w:sz="4" w:space="0" w:color="auto"/>
                    <w:right w:val="single" w:sz="4" w:space="0" w:color="auto"/>
                  </w:tcBorders>
                  <w:shd w:val="clear" w:color="auto" w:fill="FFFFFF" w:themeFill="background1"/>
                </w:tcPr>
                <w:p w14:paraId="3B1B467C" w14:textId="3595B776" w:rsidR="003A6F32" w:rsidRPr="0028003C" w:rsidRDefault="003A6F32" w:rsidP="003A6F32">
                  <w:pPr>
                    <w:jc w:val="center"/>
                    <w:rPr>
                      <w:rFonts w:ascii="Arial" w:hAnsi="Arial" w:cs="Arial"/>
                      <w:sz w:val="18"/>
                      <w:szCs w:val="18"/>
                    </w:rPr>
                  </w:pPr>
                  <w:r w:rsidRPr="0028003C">
                    <w:rPr>
                      <w:rFonts w:ascii="Arial" w:hAnsi="Arial" w:cs="Arial"/>
                      <w:sz w:val="18"/>
                      <w:szCs w:val="18"/>
                    </w:rPr>
                    <w:t>Artículo 7</w:t>
                  </w:r>
                </w:p>
              </w:tc>
              <w:tc>
                <w:tcPr>
                  <w:tcW w:w="1418" w:type="dxa"/>
                  <w:tcBorders>
                    <w:left w:val="single" w:sz="4" w:space="0" w:color="auto"/>
                    <w:right w:val="single" w:sz="4" w:space="0" w:color="auto"/>
                  </w:tcBorders>
                  <w:shd w:val="clear" w:color="auto" w:fill="FFFFFF" w:themeFill="background1"/>
                </w:tcPr>
                <w:p w14:paraId="206BD9F7" w14:textId="71177EBD" w:rsidR="003A6F32" w:rsidRPr="0028003C" w:rsidRDefault="003A6F32" w:rsidP="003A6F32">
                  <w:pPr>
                    <w:jc w:val="center"/>
                    <w:rPr>
                      <w:rFonts w:ascii="Arial" w:hAnsi="Arial" w:cs="Arial"/>
                      <w:sz w:val="18"/>
                      <w:szCs w:val="18"/>
                    </w:rPr>
                  </w:pPr>
                  <w:r w:rsidRPr="0028003C">
                    <w:rPr>
                      <w:rFonts w:ascii="Arial" w:hAnsi="Arial" w:cs="Arial"/>
                      <w:sz w:val="18"/>
                      <w:szCs w:val="18"/>
                    </w:rPr>
                    <w:t>Se adiciona una hipótesis más, a manera de inciso b) y el inciso c) se reajusta para hacer más detallada su redacción.</w:t>
                  </w:r>
                </w:p>
              </w:tc>
              <w:tc>
                <w:tcPr>
                  <w:tcW w:w="1701" w:type="dxa"/>
                  <w:tcBorders>
                    <w:left w:val="single" w:sz="4" w:space="0" w:color="auto"/>
                    <w:right w:val="single" w:sz="4" w:space="0" w:color="auto"/>
                  </w:tcBorders>
                  <w:shd w:val="clear" w:color="auto" w:fill="FFFFFF" w:themeFill="background1"/>
                </w:tcPr>
                <w:p w14:paraId="6495A72E" w14:textId="189D0475" w:rsidR="003A6F32" w:rsidRPr="0028003C" w:rsidRDefault="003A6F32" w:rsidP="003A6F32">
                  <w:pPr>
                    <w:jc w:val="center"/>
                    <w:rPr>
                      <w:rFonts w:ascii="Arial" w:hAnsi="Arial" w:cs="Arial"/>
                      <w:sz w:val="18"/>
                      <w:szCs w:val="18"/>
                    </w:rPr>
                  </w:pPr>
                  <w:r w:rsidRPr="0028003C">
                    <w:rPr>
                      <w:rFonts w:ascii="Arial" w:hAnsi="Arial" w:cs="Arial"/>
                      <w:sz w:val="18"/>
                      <w:szCs w:val="18"/>
                    </w:rPr>
                    <w:t>Todos los subsectores o mercados pertenecientes al sector de telecomunicaciones y radiodifusión competencia del Instituto</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04DD610B" w14:textId="4209CB04" w:rsidR="00455466" w:rsidRPr="0028003C" w:rsidRDefault="003A6F32" w:rsidP="00455466">
                  <w:pPr>
                    <w:jc w:val="both"/>
                    <w:rPr>
                      <w:rFonts w:ascii="Arial" w:hAnsi="Arial" w:cs="Arial"/>
                      <w:sz w:val="18"/>
                      <w:szCs w:val="18"/>
                    </w:rPr>
                  </w:pPr>
                  <w:r w:rsidRPr="0028003C">
                    <w:rPr>
                      <w:rFonts w:ascii="Arial" w:hAnsi="Arial" w:cs="Arial"/>
                      <w:sz w:val="18"/>
                      <w:szCs w:val="18"/>
                    </w:rPr>
                    <w:t xml:space="preserve">En relación con la versión vigente a la fecha del Criterio Técnico, este ajuste sucede </w:t>
                  </w:r>
                  <w:r w:rsidR="00455466" w:rsidRPr="0028003C">
                    <w:rPr>
                      <w:rFonts w:ascii="Arial" w:hAnsi="Arial" w:cs="Arial"/>
                      <w:sz w:val="18"/>
                      <w:szCs w:val="18"/>
                    </w:rPr>
                    <w:t>en atención de: i) precedentes decisorios del Instituto referente a límites de acumulación en las Licitaciones IFT-4 e IFT-8,</w:t>
                  </w:r>
                  <w:r w:rsidR="00035C61" w:rsidRPr="0028003C">
                    <w:rPr>
                      <w:rFonts w:ascii="Arial" w:hAnsi="Arial" w:cs="Arial"/>
                      <w:sz w:val="18"/>
                      <w:szCs w:val="18"/>
                    </w:rPr>
                    <w:t xml:space="preserve"> y las Licitaciones IFT-3, IFT-5 e IFT-7,</w:t>
                  </w:r>
                  <w:r w:rsidR="00455466" w:rsidRPr="0028003C">
                    <w:rPr>
                      <w:rFonts w:ascii="Arial" w:hAnsi="Arial" w:cs="Arial"/>
                      <w:sz w:val="18"/>
                      <w:szCs w:val="18"/>
                    </w:rPr>
                    <w:t xml:space="preserve"> </w:t>
                  </w:r>
                  <w:proofErr w:type="spellStart"/>
                  <w:r w:rsidR="00455466" w:rsidRPr="0028003C">
                    <w:rPr>
                      <w:rFonts w:ascii="Arial" w:hAnsi="Arial" w:cs="Arial"/>
                      <w:sz w:val="18"/>
                      <w:szCs w:val="18"/>
                    </w:rPr>
                    <w:t>ii</w:t>
                  </w:r>
                  <w:proofErr w:type="spellEnd"/>
                  <w:r w:rsidR="00455466" w:rsidRPr="0028003C">
                    <w:rPr>
                      <w:rFonts w:ascii="Arial" w:hAnsi="Arial" w:cs="Arial"/>
                      <w:sz w:val="18"/>
                      <w:szCs w:val="18"/>
                    </w:rPr>
                    <w:t xml:space="preserve">) umbrales de acumulación de espectro formulados por la FTC en los </w:t>
                  </w:r>
                  <w:r w:rsidR="00455466" w:rsidRPr="0028003C">
                    <w:rPr>
                      <w:rFonts w:ascii="Arial" w:hAnsi="Arial" w:cs="Arial"/>
                      <w:sz w:val="18"/>
                      <w:szCs w:val="18"/>
                    </w:rPr>
                    <w:lastRenderedPageBreak/>
                    <w:t xml:space="preserve">Estados Unidos, y </w:t>
                  </w:r>
                  <w:proofErr w:type="spellStart"/>
                  <w:r w:rsidR="00455466" w:rsidRPr="0028003C">
                    <w:rPr>
                      <w:rFonts w:ascii="Arial" w:hAnsi="Arial" w:cs="Arial"/>
                      <w:sz w:val="18"/>
                      <w:szCs w:val="18"/>
                    </w:rPr>
                    <w:t>iii</w:t>
                  </w:r>
                  <w:proofErr w:type="spellEnd"/>
                  <w:r w:rsidR="00455466" w:rsidRPr="0028003C">
                    <w:rPr>
                      <w:rFonts w:ascii="Arial" w:hAnsi="Arial" w:cs="Arial"/>
                      <w:sz w:val="18"/>
                      <w:szCs w:val="18"/>
                    </w:rPr>
                    <w:t xml:space="preserve">) en la experiencia del IFT, en </w:t>
                  </w:r>
                  <w:r w:rsidR="00035C61" w:rsidRPr="0028003C">
                    <w:rPr>
                      <w:rFonts w:ascii="Arial" w:hAnsi="Arial" w:cs="Arial"/>
                      <w:sz w:val="18"/>
                      <w:szCs w:val="18"/>
                    </w:rPr>
                    <w:t>lo que se refiere al</w:t>
                  </w:r>
                  <w:r w:rsidR="00455466" w:rsidRPr="0028003C">
                    <w:rPr>
                      <w:rFonts w:ascii="Arial" w:hAnsi="Arial" w:cs="Arial"/>
                      <w:sz w:val="18"/>
                      <w:szCs w:val="18"/>
                    </w:rPr>
                    <w:t xml:space="preserve"> sector de telecomunicaciones, los niveles de concentración se mantienen elevados por </w:t>
                  </w:r>
                </w:p>
                <w:p w14:paraId="5C3B705E" w14:textId="43283F90" w:rsidR="003A6F32" w:rsidRPr="0028003C" w:rsidRDefault="00455466" w:rsidP="00455466">
                  <w:pPr>
                    <w:jc w:val="both"/>
                    <w:rPr>
                      <w:rFonts w:ascii="Arial" w:hAnsi="Arial" w:cs="Arial"/>
                      <w:sz w:val="18"/>
                      <w:szCs w:val="18"/>
                    </w:rPr>
                  </w:pPr>
                  <w:r w:rsidRPr="0028003C">
                    <w:rPr>
                      <w:rFonts w:ascii="Arial" w:hAnsi="Arial" w:cs="Arial"/>
                      <w:sz w:val="18"/>
                      <w:szCs w:val="18"/>
                    </w:rPr>
                    <w:t>encima de los 3,000 puntos, lo que hace necesario un reajuste para reflejar la realidad de los mercados competencia del IFT</w:t>
                  </w:r>
                  <w:r w:rsidR="003A6F32" w:rsidRPr="0028003C">
                    <w:rPr>
                      <w:rFonts w:ascii="Arial" w:hAnsi="Arial" w:cs="Arial"/>
                      <w:sz w:val="18"/>
                      <w:szCs w:val="18"/>
                    </w:rPr>
                    <w:t xml:space="preserve">. </w:t>
                  </w:r>
                </w:p>
              </w:tc>
            </w:tr>
            <w:tr w:rsidR="00455466" w:rsidRPr="00D0018E" w14:paraId="36A1354B" w14:textId="77777777" w:rsidTr="00B52B6A">
              <w:tc>
                <w:tcPr>
                  <w:tcW w:w="11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DE3F1F" w14:textId="04D673E6" w:rsidR="00455466" w:rsidRPr="0028003C" w:rsidRDefault="004C1ADB" w:rsidP="00455466">
                  <w:pPr>
                    <w:jc w:val="center"/>
                    <w:rPr>
                      <w:rFonts w:ascii="Arial" w:hAnsi="Arial" w:cs="Arial"/>
                      <w:sz w:val="18"/>
                      <w:szCs w:val="18"/>
                    </w:rPr>
                  </w:pPr>
                  <w:r w:rsidRPr="0028003C">
                    <w:rPr>
                      <w:rFonts w:ascii="Arial" w:hAnsi="Arial" w:cs="Arial"/>
                      <w:sz w:val="18"/>
                      <w:szCs w:val="18"/>
                    </w:rPr>
                    <w:lastRenderedPageBreak/>
                    <w:t>Precisión de redacción</w:t>
                  </w:r>
                </w:p>
              </w:tc>
              <w:tc>
                <w:tcPr>
                  <w:tcW w:w="1559" w:type="dxa"/>
                  <w:tcBorders>
                    <w:left w:val="single" w:sz="4" w:space="0" w:color="auto"/>
                    <w:right w:val="single" w:sz="4" w:space="0" w:color="auto"/>
                  </w:tcBorders>
                  <w:shd w:val="clear" w:color="auto" w:fill="FFFFFF" w:themeFill="background1"/>
                </w:tcPr>
                <w:p w14:paraId="32288205" w14:textId="7E7A4F8E" w:rsidR="00455466" w:rsidRPr="0028003C" w:rsidRDefault="00455466" w:rsidP="00455466">
                  <w:pPr>
                    <w:jc w:val="center"/>
                    <w:rPr>
                      <w:rFonts w:ascii="Arial" w:hAnsi="Arial" w:cs="Arial"/>
                      <w:sz w:val="18"/>
                      <w:szCs w:val="18"/>
                    </w:rPr>
                  </w:pPr>
                  <w:r w:rsidRPr="0028003C">
                    <w:rPr>
                      <w:rFonts w:ascii="Arial" w:hAnsi="Arial" w:cs="Arial"/>
                      <w:sz w:val="18"/>
                      <w:szCs w:val="18"/>
                    </w:rPr>
                    <w:t>Todos los subsectores o mercados pertenecientes al sector de telecomunicaciones y radiodifusión competencia del Instituto</w:t>
                  </w:r>
                </w:p>
              </w:tc>
              <w:tc>
                <w:tcPr>
                  <w:tcW w:w="1133" w:type="dxa"/>
                  <w:tcBorders>
                    <w:left w:val="single" w:sz="4" w:space="0" w:color="auto"/>
                    <w:right w:val="single" w:sz="4" w:space="0" w:color="auto"/>
                  </w:tcBorders>
                  <w:shd w:val="clear" w:color="auto" w:fill="FFFFFF" w:themeFill="background1"/>
                </w:tcPr>
                <w:p w14:paraId="5710DA06" w14:textId="6228574C" w:rsidR="00455466" w:rsidRPr="0028003C" w:rsidRDefault="00455466" w:rsidP="00455466">
                  <w:pPr>
                    <w:jc w:val="center"/>
                    <w:rPr>
                      <w:rFonts w:ascii="Arial" w:hAnsi="Arial" w:cs="Arial"/>
                      <w:sz w:val="18"/>
                      <w:szCs w:val="18"/>
                    </w:rPr>
                  </w:pPr>
                  <w:r w:rsidRPr="0028003C">
                    <w:rPr>
                      <w:rFonts w:ascii="Arial" w:hAnsi="Arial" w:cs="Arial"/>
                      <w:sz w:val="18"/>
                      <w:szCs w:val="18"/>
                    </w:rPr>
                    <w:t>Artículo 8</w:t>
                  </w:r>
                </w:p>
              </w:tc>
              <w:tc>
                <w:tcPr>
                  <w:tcW w:w="1418" w:type="dxa"/>
                  <w:tcBorders>
                    <w:left w:val="single" w:sz="4" w:space="0" w:color="auto"/>
                    <w:right w:val="single" w:sz="4" w:space="0" w:color="auto"/>
                  </w:tcBorders>
                  <w:shd w:val="clear" w:color="auto" w:fill="FFFFFF" w:themeFill="background1"/>
                </w:tcPr>
                <w:p w14:paraId="3C88FAB6" w14:textId="51BD58B9" w:rsidR="00455466" w:rsidRPr="0028003C" w:rsidRDefault="00455466" w:rsidP="00455466">
                  <w:pPr>
                    <w:jc w:val="center"/>
                    <w:rPr>
                      <w:rFonts w:ascii="Arial" w:hAnsi="Arial" w:cs="Arial"/>
                      <w:sz w:val="18"/>
                      <w:szCs w:val="18"/>
                    </w:rPr>
                  </w:pPr>
                  <w:r w:rsidRPr="0028003C">
                    <w:rPr>
                      <w:rFonts w:ascii="Arial" w:hAnsi="Arial" w:cs="Arial"/>
                      <w:sz w:val="18"/>
                      <w:szCs w:val="18"/>
                    </w:rPr>
                    <w:t>El camb</w:t>
                  </w:r>
                  <w:r w:rsidR="0028726B" w:rsidRPr="0028003C">
                    <w:rPr>
                      <w:rFonts w:ascii="Arial" w:hAnsi="Arial" w:cs="Arial"/>
                      <w:sz w:val="18"/>
                      <w:szCs w:val="18"/>
                    </w:rPr>
                    <w:t>i</w:t>
                  </w:r>
                  <w:r w:rsidRPr="0028003C">
                    <w:rPr>
                      <w:rFonts w:ascii="Arial" w:hAnsi="Arial" w:cs="Arial"/>
                      <w:sz w:val="18"/>
                      <w:szCs w:val="18"/>
                    </w:rPr>
                    <w:t>o consiste en</w:t>
                  </w:r>
                  <w:r w:rsidR="004C1ADB" w:rsidRPr="0028003C">
                    <w:rPr>
                      <w:rFonts w:ascii="Arial" w:hAnsi="Arial" w:cs="Arial"/>
                      <w:sz w:val="18"/>
                      <w:szCs w:val="18"/>
                    </w:rPr>
                    <w:t xml:space="preserve"> precisar de que el artículo se refiere a concentraciones tramitadas en términos de la LFCE</w:t>
                  </w:r>
                  <w:r w:rsidRPr="0028003C">
                    <w:rPr>
                      <w:rFonts w:ascii="Arial" w:hAnsi="Arial" w:cs="Arial"/>
                      <w:sz w:val="18"/>
                      <w:szCs w:val="18"/>
                    </w:rPr>
                    <w:t>.</w:t>
                  </w:r>
                </w:p>
              </w:tc>
              <w:tc>
                <w:tcPr>
                  <w:tcW w:w="1701" w:type="dxa"/>
                  <w:tcBorders>
                    <w:left w:val="single" w:sz="4" w:space="0" w:color="auto"/>
                    <w:right w:val="single" w:sz="4" w:space="0" w:color="auto"/>
                  </w:tcBorders>
                  <w:shd w:val="clear" w:color="auto" w:fill="FFFFFF" w:themeFill="background1"/>
                </w:tcPr>
                <w:p w14:paraId="6E06EC7C" w14:textId="2B6F4BDD" w:rsidR="00455466" w:rsidRPr="0028003C" w:rsidRDefault="00455466" w:rsidP="00455466">
                  <w:pPr>
                    <w:jc w:val="center"/>
                    <w:rPr>
                      <w:rFonts w:ascii="Arial" w:hAnsi="Arial" w:cs="Arial"/>
                      <w:sz w:val="18"/>
                      <w:szCs w:val="18"/>
                    </w:rPr>
                  </w:pPr>
                  <w:r w:rsidRPr="0028003C">
                    <w:rPr>
                      <w:rFonts w:ascii="Arial" w:hAnsi="Arial" w:cs="Arial"/>
                      <w:sz w:val="18"/>
                      <w:szCs w:val="18"/>
                    </w:rPr>
                    <w:t>Todos los subsectores o mercados pertenecientes al sector de telecomunicaciones y radiodifusión competencia del Instituto</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AB3F1F" w14:textId="05FF697F" w:rsidR="00455466" w:rsidRPr="0028003C" w:rsidRDefault="00455466" w:rsidP="00455466">
                  <w:pPr>
                    <w:jc w:val="both"/>
                    <w:rPr>
                      <w:rFonts w:ascii="Arial" w:hAnsi="Arial" w:cs="Arial"/>
                      <w:sz w:val="18"/>
                      <w:szCs w:val="18"/>
                    </w:rPr>
                  </w:pPr>
                  <w:r w:rsidRPr="0028003C">
                    <w:rPr>
                      <w:rFonts w:ascii="Arial" w:hAnsi="Arial" w:cs="Arial"/>
                      <w:sz w:val="18"/>
                      <w:szCs w:val="18"/>
                    </w:rPr>
                    <w:t xml:space="preserve">En relación con la versión vigente a la fecha del Criterio Técnico, este ajuste </w:t>
                  </w:r>
                  <w:r w:rsidR="004C1ADB" w:rsidRPr="0028003C">
                    <w:rPr>
                      <w:rFonts w:ascii="Arial" w:hAnsi="Arial" w:cs="Arial"/>
                      <w:sz w:val="18"/>
                      <w:szCs w:val="18"/>
                    </w:rPr>
                    <w:t xml:space="preserve">sólo busca clarificar </w:t>
                  </w:r>
                  <w:r w:rsidRPr="0028003C" w:rsidDel="002A25D4">
                    <w:rPr>
                      <w:rFonts w:ascii="Arial" w:hAnsi="Arial" w:cs="Arial"/>
                      <w:sz w:val="18"/>
                      <w:szCs w:val="18"/>
                    </w:rPr>
                    <w:t xml:space="preserve">que </w:t>
                  </w:r>
                  <w:r w:rsidR="004C1ADB" w:rsidRPr="0028003C">
                    <w:rPr>
                      <w:rFonts w:ascii="Arial" w:hAnsi="Arial" w:cs="Arial"/>
                      <w:sz w:val="18"/>
                      <w:szCs w:val="18"/>
                    </w:rPr>
                    <w:t>se está haciendo referencia a las concentraciones que son tramitadas en términos de la LFCE</w:t>
                  </w:r>
                  <w:r w:rsidRPr="0028003C">
                    <w:rPr>
                      <w:rFonts w:ascii="Arial" w:hAnsi="Arial" w:cs="Arial"/>
                      <w:sz w:val="18"/>
                      <w:szCs w:val="18"/>
                    </w:rPr>
                    <w:t xml:space="preserve">. </w:t>
                  </w:r>
                  <w:r w:rsidR="004C1ADB" w:rsidRPr="0028003C">
                    <w:rPr>
                      <w:rFonts w:ascii="Arial" w:hAnsi="Arial" w:cs="Arial"/>
                      <w:sz w:val="18"/>
                      <w:szCs w:val="18"/>
                    </w:rPr>
                    <w:t>Ello a efecto de no confundir al lector</w:t>
                  </w:r>
                  <w:r w:rsidRPr="0028003C">
                    <w:rPr>
                      <w:rFonts w:ascii="Arial" w:hAnsi="Arial" w:cs="Arial"/>
                      <w:sz w:val="18"/>
                      <w:szCs w:val="18"/>
                    </w:rPr>
                    <w:t xml:space="preserve"> </w:t>
                  </w:r>
                </w:p>
              </w:tc>
            </w:tr>
            <w:tr w:rsidR="00455466" w:rsidRPr="00D0018E" w14:paraId="7E1BB93A" w14:textId="77777777" w:rsidTr="00B52B6A">
              <w:tc>
                <w:tcPr>
                  <w:tcW w:w="11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73AFAC" w14:textId="53CF162E" w:rsidR="00455466" w:rsidRPr="0028003C" w:rsidRDefault="00D43726" w:rsidP="00455466">
                  <w:pPr>
                    <w:jc w:val="center"/>
                    <w:rPr>
                      <w:rFonts w:ascii="Arial" w:hAnsi="Arial" w:cs="Arial"/>
                      <w:sz w:val="18"/>
                      <w:szCs w:val="18"/>
                    </w:rPr>
                  </w:pPr>
                  <w:r w:rsidRPr="0028003C">
                    <w:rPr>
                      <w:rFonts w:ascii="Arial" w:hAnsi="Arial" w:cs="Arial"/>
                      <w:sz w:val="18"/>
                      <w:szCs w:val="18"/>
                    </w:rPr>
                    <w:t>Excepción de aplicación del Criterio Técnico en procedimientos seguidos conforme a lo establecido en el artículo Noveno Transitorio de la LFTR</w:t>
                  </w:r>
                </w:p>
              </w:tc>
              <w:tc>
                <w:tcPr>
                  <w:tcW w:w="1559" w:type="dxa"/>
                  <w:tcBorders>
                    <w:left w:val="single" w:sz="4" w:space="0" w:color="auto"/>
                    <w:right w:val="single" w:sz="4" w:space="0" w:color="auto"/>
                  </w:tcBorders>
                  <w:shd w:val="clear" w:color="auto" w:fill="FFFFFF" w:themeFill="background1"/>
                </w:tcPr>
                <w:p w14:paraId="36271E32" w14:textId="15C9FF35" w:rsidR="00455466" w:rsidRPr="0028003C" w:rsidRDefault="00455466" w:rsidP="00455466">
                  <w:pPr>
                    <w:jc w:val="center"/>
                    <w:rPr>
                      <w:rFonts w:ascii="Arial" w:hAnsi="Arial" w:cs="Arial"/>
                      <w:sz w:val="18"/>
                      <w:szCs w:val="18"/>
                    </w:rPr>
                  </w:pPr>
                  <w:r w:rsidRPr="0028003C">
                    <w:rPr>
                      <w:rFonts w:ascii="Arial" w:hAnsi="Arial" w:cs="Arial"/>
                      <w:sz w:val="18"/>
                      <w:szCs w:val="18"/>
                    </w:rPr>
                    <w:t>Todos los subsectores o mercados pertenecientes al sector de telecomunicaciones y radiodifusión competencia del Instituto</w:t>
                  </w:r>
                </w:p>
              </w:tc>
              <w:tc>
                <w:tcPr>
                  <w:tcW w:w="1133" w:type="dxa"/>
                  <w:tcBorders>
                    <w:left w:val="single" w:sz="4" w:space="0" w:color="auto"/>
                    <w:right w:val="single" w:sz="4" w:space="0" w:color="auto"/>
                  </w:tcBorders>
                  <w:shd w:val="clear" w:color="auto" w:fill="FFFFFF" w:themeFill="background1"/>
                </w:tcPr>
                <w:p w14:paraId="15BE2D4C" w14:textId="3D6B9EA1" w:rsidR="00455466" w:rsidRPr="0028003C" w:rsidRDefault="00455466" w:rsidP="00455466">
                  <w:pPr>
                    <w:jc w:val="center"/>
                    <w:rPr>
                      <w:rFonts w:ascii="Arial" w:hAnsi="Arial" w:cs="Arial"/>
                      <w:sz w:val="18"/>
                      <w:szCs w:val="18"/>
                    </w:rPr>
                  </w:pPr>
                  <w:r w:rsidRPr="0028003C">
                    <w:rPr>
                      <w:rFonts w:ascii="Arial" w:hAnsi="Arial" w:cs="Arial"/>
                      <w:sz w:val="18"/>
                      <w:szCs w:val="18"/>
                    </w:rPr>
                    <w:t>Artículo 10</w:t>
                  </w:r>
                </w:p>
              </w:tc>
              <w:tc>
                <w:tcPr>
                  <w:tcW w:w="1418" w:type="dxa"/>
                  <w:tcBorders>
                    <w:left w:val="single" w:sz="4" w:space="0" w:color="auto"/>
                    <w:right w:val="single" w:sz="4" w:space="0" w:color="auto"/>
                  </w:tcBorders>
                  <w:shd w:val="clear" w:color="auto" w:fill="FFFFFF" w:themeFill="background1"/>
                </w:tcPr>
                <w:p w14:paraId="3BDC7AE0" w14:textId="15C902A5" w:rsidR="00455466" w:rsidRPr="0028003C" w:rsidRDefault="00455466" w:rsidP="00455466">
                  <w:pPr>
                    <w:jc w:val="center"/>
                    <w:rPr>
                      <w:rFonts w:ascii="Arial" w:hAnsi="Arial" w:cs="Arial"/>
                      <w:sz w:val="18"/>
                      <w:szCs w:val="18"/>
                    </w:rPr>
                  </w:pPr>
                  <w:r w:rsidRPr="0028003C">
                    <w:rPr>
                      <w:rFonts w:ascii="Arial" w:hAnsi="Arial" w:cs="Arial"/>
                      <w:sz w:val="18"/>
                      <w:szCs w:val="18"/>
                    </w:rPr>
                    <w:t xml:space="preserve">Se </w:t>
                  </w:r>
                  <w:r w:rsidR="00D43726" w:rsidRPr="0028003C">
                    <w:rPr>
                      <w:rFonts w:ascii="Arial" w:hAnsi="Arial" w:cs="Arial"/>
                      <w:sz w:val="18"/>
                      <w:szCs w:val="18"/>
                    </w:rPr>
                    <w:t>propone claridad en redacción de la aplicabilidad de dicha excepción.</w:t>
                  </w:r>
                </w:p>
              </w:tc>
              <w:tc>
                <w:tcPr>
                  <w:tcW w:w="1701" w:type="dxa"/>
                  <w:tcBorders>
                    <w:left w:val="single" w:sz="4" w:space="0" w:color="auto"/>
                    <w:right w:val="single" w:sz="4" w:space="0" w:color="auto"/>
                  </w:tcBorders>
                  <w:shd w:val="clear" w:color="auto" w:fill="FFFFFF" w:themeFill="background1"/>
                </w:tcPr>
                <w:p w14:paraId="1462BB0B" w14:textId="3AD590A2" w:rsidR="00455466" w:rsidRPr="0028003C" w:rsidRDefault="00455466" w:rsidP="00455466">
                  <w:pPr>
                    <w:jc w:val="center"/>
                    <w:rPr>
                      <w:rFonts w:ascii="Arial" w:hAnsi="Arial" w:cs="Arial"/>
                      <w:sz w:val="18"/>
                      <w:szCs w:val="18"/>
                    </w:rPr>
                  </w:pPr>
                  <w:r w:rsidRPr="0028003C">
                    <w:rPr>
                      <w:rFonts w:ascii="Arial" w:hAnsi="Arial" w:cs="Arial"/>
                      <w:sz w:val="18"/>
                      <w:szCs w:val="18"/>
                    </w:rPr>
                    <w:t>Todos los subsectores o mercados pertenecientes al sector de telecomunicaciones y radiodifusión competencia del Instituto</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2AAE5C68" w14:textId="39E1DEF3" w:rsidR="00455466" w:rsidRPr="0028003C" w:rsidRDefault="00455466" w:rsidP="00455466">
                  <w:pPr>
                    <w:jc w:val="both"/>
                    <w:rPr>
                      <w:rFonts w:ascii="Arial" w:hAnsi="Arial" w:cs="Arial"/>
                      <w:sz w:val="18"/>
                      <w:szCs w:val="18"/>
                    </w:rPr>
                  </w:pPr>
                  <w:r w:rsidRPr="0028003C">
                    <w:rPr>
                      <w:rFonts w:ascii="Arial" w:hAnsi="Arial" w:cs="Arial"/>
                      <w:sz w:val="18"/>
                      <w:szCs w:val="18"/>
                    </w:rPr>
                    <w:t xml:space="preserve">En relación con la versión vigente a la fecha del Criterio Técnico, este ajuste sucede </w:t>
                  </w:r>
                  <w:r w:rsidR="00D43726" w:rsidRPr="0028003C">
                    <w:rPr>
                      <w:rFonts w:ascii="Arial" w:hAnsi="Arial" w:cs="Arial"/>
                      <w:sz w:val="18"/>
                      <w:szCs w:val="18"/>
                    </w:rPr>
                    <w:t>únicamente a fin de dar mayor claridad en la redacción del Criterio Técnico, pues la misma LFTR identifica los umbrales a utilizar en el análisis de las operaciones que se presenten en términos de ese artículo Noveno Transitorio de la LFTR</w:t>
                  </w:r>
                  <w:r w:rsidRPr="0028003C">
                    <w:rPr>
                      <w:rFonts w:ascii="Arial" w:hAnsi="Arial" w:cs="Arial"/>
                      <w:sz w:val="18"/>
                      <w:szCs w:val="18"/>
                    </w:rPr>
                    <w:t xml:space="preserve">. </w:t>
                  </w:r>
                </w:p>
              </w:tc>
            </w:tr>
          </w:tbl>
          <w:p w14:paraId="30954E06" w14:textId="77777777" w:rsidR="00DC671E" w:rsidRPr="00D0018E" w:rsidRDefault="00DC671E" w:rsidP="00402372">
            <w:pPr>
              <w:jc w:val="both"/>
              <w:rPr>
                <w:rFonts w:ascii="Arial" w:hAnsi="Arial" w:cs="Arial"/>
                <w:sz w:val="18"/>
                <w:szCs w:val="18"/>
              </w:rPr>
            </w:pPr>
          </w:p>
        </w:tc>
      </w:tr>
    </w:tbl>
    <w:p w14:paraId="0BBE4B18" w14:textId="77777777" w:rsidR="00DC671E" w:rsidRPr="00D0018E" w:rsidRDefault="00DC671E" w:rsidP="00DC671E">
      <w:pPr>
        <w:jc w:val="both"/>
        <w:rPr>
          <w:rFonts w:ascii="Arial" w:hAnsi="Arial" w:cs="Arial"/>
          <w:sz w:val="18"/>
          <w:szCs w:val="18"/>
        </w:rPr>
      </w:pPr>
    </w:p>
    <w:p w14:paraId="1E539816" w14:textId="77777777" w:rsidR="00DC671E" w:rsidRPr="00D0018E" w:rsidRDefault="00DC671E" w:rsidP="00DC671E">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DC671E" w:rsidRPr="00D0018E" w14:paraId="0B95FC01" w14:textId="77777777" w:rsidTr="00402372">
        <w:trPr>
          <w:trHeight w:val="748"/>
        </w:trPr>
        <w:tc>
          <w:tcPr>
            <w:tcW w:w="8828" w:type="dxa"/>
          </w:tcPr>
          <w:p w14:paraId="07FE3898" w14:textId="77777777" w:rsidR="00DC671E" w:rsidRPr="00D0018E" w:rsidRDefault="00DC671E" w:rsidP="00402372">
            <w:pPr>
              <w:jc w:val="both"/>
              <w:rPr>
                <w:rFonts w:ascii="Arial" w:hAnsi="Arial" w:cs="Arial"/>
                <w:b/>
                <w:sz w:val="18"/>
                <w:szCs w:val="18"/>
              </w:rPr>
            </w:pPr>
            <w:r w:rsidRPr="00D0018E">
              <w:rPr>
                <w:rFonts w:ascii="Arial" w:hAnsi="Arial" w:cs="Arial"/>
                <w:b/>
                <w:sz w:val="18"/>
                <w:szCs w:val="18"/>
              </w:rPr>
              <w:lastRenderedPageBreak/>
              <w:t>11.- Señale y describa si la propuesta de regulación incidirá en el comercio nacional e internacional.</w:t>
            </w:r>
          </w:p>
          <w:p w14:paraId="3ECDE653" w14:textId="77777777" w:rsidR="00DC671E" w:rsidRPr="00D0018E" w:rsidRDefault="00DC671E" w:rsidP="00402372">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720"/>
              <w:gridCol w:w="6882"/>
            </w:tblGrid>
            <w:tr w:rsidR="00DC671E" w:rsidRPr="00D0018E" w14:paraId="3D9D7E47" w14:textId="77777777" w:rsidTr="00402372">
              <w:trPr>
                <w:jc w:val="center"/>
              </w:trPr>
              <w:tc>
                <w:tcPr>
                  <w:tcW w:w="1720" w:type="dxa"/>
                  <w:tcBorders>
                    <w:bottom w:val="single" w:sz="4" w:space="0" w:color="auto"/>
                  </w:tcBorders>
                  <w:shd w:val="clear" w:color="auto" w:fill="A8D08D" w:themeFill="accent6" w:themeFillTint="99"/>
                </w:tcPr>
                <w:p w14:paraId="7C09E673"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 xml:space="preserve">Tipo </w:t>
                  </w:r>
                </w:p>
              </w:tc>
              <w:tc>
                <w:tcPr>
                  <w:tcW w:w="6882" w:type="dxa"/>
                  <w:shd w:val="clear" w:color="auto" w:fill="A8D08D" w:themeFill="accent6" w:themeFillTint="99"/>
                </w:tcPr>
                <w:p w14:paraId="22DAC3FD"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Descripción de las posibles incidencias</w:t>
                  </w:r>
                </w:p>
              </w:tc>
            </w:tr>
            <w:tr w:rsidR="00DC671E" w:rsidRPr="00D0018E" w14:paraId="5220344C" w14:textId="77777777" w:rsidTr="00402372">
              <w:trPr>
                <w:jc w:val="center"/>
              </w:trPr>
              <w:sdt>
                <w:sdtPr>
                  <w:rPr>
                    <w:rFonts w:ascii="Arial" w:hAnsi="Arial" w:cs="Arial"/>
                    <w:sz w:val="18"/>
                    <w:szCs w:val="18"/>
                  </w:rPr>
                  <w:alias w:val="Tipo"/>
                  <w:tag w:val="TIpo"/>
                  <w:id w:val="848215932"/>
                  <w:placeholder>
                    <w:docPart w:val="55C6E33C94E647959F0AB8290213D41D"/>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17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023A90" w14:textId="1C4AC6D5" w:rsidR="00DC671E" w:rsidRPr="00D0018E" w:rsidRDefault="00E666F6" w:rsidP="00402372">
                      <w:pPr>
                        <w:rPr>
                          <w:rFonts w:ascii="Arial" w:hAnsi="Arial" w:cs="Arial"/>
                          <w:sz w:val="18"/>
                          <w:szCs w:val="18"/>
                        </w:rPr>
                      </w:pPr>
                      <w:r>
                        <w:rPr>
                          <w:rFonts w:ascii="Arial" w:hAnsi="Arial" w:cs="Arial"/>
                          <w:sz w:val="18"/>
                          <w:szCs w:val="18"/>
                        </w:rPr>
                        <w:t>No aplica</w:t>
                      </w:r>
                    </w:p>
                  </w:tc>
                </w:sdtContent>
              </w:sdt>
              <w:tc>
                <w:tcPr>
                  <w:tcW w:w="6882" w:type="dxa"/>
                  <w:tcBorders>
                    <w:left w:val="single" w:sz="4" w:space="0" w:color="auto"/>
                  </w:tcBorders>
                  <w:shd w:val="clear" w:color="auto" w:fill="FFFFFF" w:themeFill="background1"/>
                </w:tcPr>
                <w:p w14:paraId="25641943" w14:textId="4D81783C" w:rsidR="00DC671E" w:rsidRPr="00D0018E" w:rsidRDefault="00D57F15" w:rsidP="00402372">
                  <w:pPr>
                    <w:jc w:val="both"/>
                    <w:rPr>
                      <w:rFonts w:ascii="Arial" w:hAnsi="Arial" w:cs="Arial"/>
                      <w:sz w:val="18"/>
                      <w:szCs w:val="18"/>
                    </w:rPr>
                  </w:pPr>
                  <w:r w:rsidRPr="00D0018E">
                    <w:rPr>
                      <w:rFonts w:ascii="Arial" w:hAnsi="Arial" w:cs="Arial"/>
                      <w:sz w:val="18"/>
                      <w:szCs w:val="18"/>
                    </w:rPr>
                    <w:t>La modificación al Criterio Técnico que aquí se propone consiste en un estándar analítico, de muchos otros, utilizados para medir los efectos de las concentraciones en los mercados competencia del Instituto. Sin embargo, ello no impone obligaciones a los particulares en el trámite de concentraciones ni limita el propósito, objeto o efecto de las mismas.</w:t>
                  </w:r>
                </w:p>
                <w:p w14:paraId="168D9F2D" w14:textId="494073D9" w:rsidR="00D57F15" w:rsidRPr="00D0018E" w:rsidRDefault="00D57F15" w:rsidP="00402372">
                  <w:pPr>
                    <w:jc w:val="both"/>
                    <w:rPr>
                      <w:rFonts w:ascii="Arial" w:hAnsi="Arial" w:cs="Arial"/>
                      <w:sz w:val="18"/>
                      <w:szCs w:val="18"/>
                    </w:rPr>
                  </w:pPr>
                </w:p>
              </w:tc>
            </w:tr>
          </w:tbl>
          <w:p w14:paraId="3F5A7060" w14:textId="77777777" w:rsidR="00DC671E" w:rsidRPr="00D0018E" w:rsidRDefault="00DC671E" w:rsidP="00402372">
            <w:pPr>
              <w:jc w:val="both"/>
              <w:rPr>
                <w:rFonts w:ascii="Arial" w:hAnsi="Arial" w:cs="Arial"/>
                <w:sz w:val="18"/>
                <w:szCs w:val="18"/>
              </w:rPr>
            </w:pPr>
          </w:p>
        </w:tc>
      </w:tr>
    </w:tbl>
    <w:p w14:paraId="13F15FC6" w14:textId="77777777" w:rsidR="00DC671E" w:rsidRPr="00D0018E" w:rsidRDefault="00DC671E" w:rsidP="00DC671E">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DC671E" w:rsidRPr="00D0018E" w14:paraId="5ABF7D8A" w14:textId="77777777" w:rsidTr="00402372">
        <w:tc>
          <w:tcPr>
            <w:tcW w:w="8828" w:type="dxa"/>
          </w:tcPr>
          <w:p w14:paraId="2DF3E541" w14:textId="77777777" w:rsidR="00DC671E" w:rsidRPr="00D0018E" w:rsidRDefault="00DC671E" w:rsidP="00402372">
            <w:pPr>
              <w:jc w:val="both"/>
              <w:rPr>
                <w:rFonts w:ascii="Arial" w:hAnsi="Arial" w:cs="Arial"/>
                <w:b/>
                <w:sz w:val="18"/>
                <w:szCs w:val="18"/>
              </w:rPr>
            </w:pPr>
            <w:r w:rsidRPr="00D0018E">
              <w:rPr>
                <w:rFonts w:ascii="Arial" w:hAnsi="Arial" w:cs="Arial"/>
                <w:b/>
                <w:sz w:val="18"/>
                <w:szCs w:val="18"/>
              </w:rPr>
              <w:t>12. Indique si la propuesta de regulación reforzará algún derecho de los consumidores, usuarios, audiencias, población indígena, grupos vulnerables y/o industria de los sectores de telecomunicaciones y radiodifusión.</w:t>
            </w:r>
          </w:p>
          <w:p w14:paraId="00AEBC8B" w14:textId="77777777" w:rsidR="00DC671E" w:rsidRPr="00D0018E" w:rsidRDefault="00DC671E" w:rsidP="00402372">
            <w:pPr>
              <w:jc w:val="both"/>
              <w:rPr>
                <w:rFonts w:ascii="Arial" w:hAnsi="Arial" w:cs="Arial"/>
                <w:sz w:val="18"/>
                <w:szCs w:val="18"/>
              </w:rPr>
            </w:pPr>
          </w:p>
          <w:p w14:paraId="393784FB" w14:textId="5FDA4354" w:rsidR="00D43726" w:rsidRPr="00D0018E" w:rsidRDefault="00AD6876" w:rsidP="00AD6876">
            <w:pPr>
              <w:jc w:val="both"/>
              <w:rPr>
                <w:rFonts w:ascii="Arial" w:hAnsi="Arial" w:cs="Arial"/>
                <w:sz w:val="18"/>
                <w:szCs w:val="18"/>
              </w:rPr>
            </w:pPr>
            <w:r w:rsidRPr="00D0018E">
              <w:rPr>
                <w:rFonts w:ascii="Arial" w:hAnsi="Arial" w:cs="Arial"/>
                <w:sz w:val="18"/>
                <w:szCs w:val="18"/>
              </w:rPr>
              <w:t xml:space="preserve">La Modificación al Criterio Técnico propuesta beneficiará a la población en general al ser una referencia para identificar a las concentraciones que tiene pocas probabilidades de dañar la competencia y libre concurrencia, o en su caso </w:t>
            </w:r>
            <w:r w:rsidRPr="0028003C">
              <w:rPr>
                <w:rFonts w:ascii="Arial" w:hAnsi="Arial" w:cs="Arial"/>
                <w:sz w:val="18"/>
                <w:szCs w:val="18"/>
              </w:rPr>
              <w:t>identificar aquellas que requieran de un mayor análisis para la identificación de los efectos en los mercados o actividades relacionadas con la operación o concentración</w:t>
            </w:r>
            <w:r w:rsidR="002C498F" w:rsidRPr="0028003C">
              <w:rPr>
                <w:rFonts w:ascii="Arial" w:hAnsi="Arial" w:cs="Arial"/>
                <w:sz w:val="18"/>
                <w:szCs w:val="18"/>
              </w:rPr>
              <w:t>.</w:t>
            </w:r>
            <w:r w:rsidR="00D43726" w:rsidRPr="0028003C">
              <w:rPr>
                <w:rFonts w:ascii="Arial" w:hAnsi="Arial" w:cs="Arial"/>
                <w:sz w:val="18"/>
                <w:szCs w:val="18"/>
              </w:rPr>
              <w:t xml:space="preserve"> Asimismo, la modificación propuesta proveerá de mayor certidumbre jurídica a los análisis de concentraciones que serán realizados por el Instituto, ya que detalla con mayor precisión de qué forma se calcula y aplica el Criterio Técnico como uno de los elementos de análisis utilizados por el Instituto para determinar si una concentración puede dañar o impedir el proceso de competencia y libre concurrencia.</w:t>
            </w:r>
          </w:p>
          <w:p w14:paraId="0DFEA9F2" w14:textId="5E821D93" w:rsidR="00DC671E" w:rsidRDefault="00DC671E" w:rsidP="00402372">
            <w:pPr>
              <w:jc w:val="both"/>
              <w:rPr>
                <w:rFonts w:ascii="Arial" w:hAnsi="Arial" w:cs="Arial"/>
                <w:sz w:val="18"/>
                <w:szCs w:val="18"/>
              </w:rPr>
            </w:pPr>
          </w:p>
          <w:p w14:paraId="40B58045" w14:textId="77777777" w:rsidR="00D43726" w:rsidRPr="00D0018E" w:rsidRDefault="00D43726" w:rsidP="00402372">
            <w:pPr>
              <w:jc w:val="both"/>
              <w:rPr>
                <w:rFonts w:ascii="Arial" w:hAnsi="Arial" w:cs="Arial"/>
                <w:sz w:val="18"/>
                <w:szCs w:val="18"/>
              </w:rPr>
            </w:pPr>
          </w:p>
          <w:p w14:paraId="7DCA738A" w14:textId="77777777" w:rsidR="00DC671E" w:rsidRPr="00D0018E" w:rsidRDefault="00DC671E" w:rsidP="00402372">
            <w:pPr>
              <w:jc w:val="both"/>
              <w:rPr>
                <w:rFonts w:ascii="Arial" w:hAnsi="Arial" w:cs="Arial"/>
                <w:sz w:val="18"/>
                <w:szCs w:val="18"/>
              </w:rPr>
            </w:pPr>
          </w:p>
        </w:tc>
      </w:tr>
    </w:tbl>
    <w:p w14:paraId="7F3FF7DD" w14:textId="77777777" w:rsidR="00DC671E" w:rsidRPr="00D0018E" w:rsidRDefault="00DC671E" w:rsidP="00DC671E">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DC671E" w:rsidRPr="00D0018E" w14:paraId="157218D1" w14:textId="77777777" w:rsidTr="00402372">
        <w:tc>
          <w:tcPr>
            <w:tcW w:w="8828" w:type="dxa"/>
          </w:tcPr>
          <w:p w14:paraId="5414C63B" w14:textId="77777777" w:rsidR="00DC671E" w:rsidRPr="00D0018E" w:rsidRDefault="00DC671E" w:rsidP="00402372">
            <w:pPr>
              <w:jc w:val="both"/>
              <w:rPr>
                <w:rFonts w:ascii="Arial" w:hAnsi="Arial" w:cs="Arial"/>
                <w:b/>
                <w:sz w:val="18"/>
                <w:szCs w:val="18"/>
              </w:rPr>
            </w:pPr>
            <w:r w:rsidRPr="00D0018E">
              <w:rPr>
                <w:rFonts w:ascii="Arial" w:hAnsi="Arial" w:cs="Arial"/>
                <w:b/>
                <w:sz w:val="18"/>
                <w:szCs w:val="18"/>
              </w:rPr>
              <w:t>13.- Indique, por grupo de población, los costos</w:t>
            </w:r>
            <w:r w:rsidRPr="00D0018E">
              <w:rPr>
                <w:rStyle w:val="Refdenotaalpie"/>
                <w:rFonts w:ascii="Arial" w:hAnsi="Arial" w:cs="Arial"/>
                <w:b/>
                <w:sz w:val="18"/>
                <w:szCs w:val="18"/>
              </w:rPr>
              <w:footnoteReference w:id="5"/>
            </w:r>
            <w:r w:rsidRPr="00D0018E">
              <w:rPr>
                <w:rFonts w:ascii="Arial" w:hAnsi="Arial" w:cs="Arial"/>
                <w:b/>
                <w:sz w:val="18"/>
                <w:szCs w:val="18"/>
              </w:rPr>
              <w:t xml:space="preserve"> y los beneficios más significativos derivados de la propuesta de regulación. </w:t>
            </w:r>
          </w:p>
          <w:p w14:paraId="3C05A378" w14:textId="77777777" w:rsidR="00DC671E" w:rsidRPr="00D0018E" w:rsidRDefault="00DC671E" w:rsidP="00402372">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111"/>
              <w:gridCol w:w="1931"/>
              <w:gridCol w:w="1589"/>
              <w:gridCol w:w="2379"/>
              <w:gridCol w:w="1560"/>
            </w:tblGrid>
            <w:tr w:rsidR="00DC671E" w:rsidRPr="00D0018E" w14:paraId="6F7672B6" w14:textId="77777777" w:rsidTr="00402372">
              <w:trPr>
                <w:jc w:val="center"/>
              </w:trPr>
              <w:tc>
                <w:tcPr>
                  <w:tcW w:w="8570" w:type="dxa"/>
                  <w:gridSpan w:val="5"/>
                  <w:tcBorders>
                    <w:bottom w:val="single" w:sz="4" w:space="0" w:color="auto"/>
                  </w:tcBorders>
                  <w:shd w:val="clear" w:color="auto" w:fill="A8D08D" w:themeFill="accent6" w:themeFillTint="99"/>
                </w:tcPr>
                <w:p w14:paraId="3F5D0ADC"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Estimación Cuantitativa</w:t>
                  </w:r>
                </w:p>
              </w:tc>
            </w:tr>
            <w:tr w:rsidR="00DC671E" w:rsidRPr="00D0018E" w14:paraId="02E46EC7" w14:textId="77777777" w:rsidTr="00402372">
              <w:trPr>
                <w:jc w:val="center"/>
              </w:trPr>
              <w:tc>
                <w:tcPr>
                  <w:tcW w:w="1111" w:type="dxa"/>
                  <w:tcBorders>
                    <w:bottom w:val="single" w:sz="4" w:space="0" w:color="auto"/>
                  </w:tcBorders>
                  <w:shd w:val="clear" w:color="auto" w:fill="A8D08D" w:themeFill="accent6" w:themeFillTint="99"/>
                </w:tcPr>
                <w:p w14:paraId="2E1B9353" w14:textId="77777777" w:rsidR="00DC671E" w:rsidRPr="00D0018E" w:rsidRDefault="00DC671E" w:rsidP="00402372">
                  <w:pPr>
                    <w:jc w:val="center"/>
                    <w:rPr>
                      <w:rFonts w:ascii="Arial" w:hAnsi="Arial" w:cs="Arial"/>
                      <w:b/>
                      <w:sz w:val="18"/>
                      <w:szCs w:val="18"/>
                    </w:rPr>
                  </w:pPr>
                </w:p>
                <w:p w14:paraId="72EF9D82"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Población</w:t>
                  </w:r>
                </w:p>
              </w:tc>
              <w:tc>
                <w:tcPr>
                  <w:tcW w:w="1931" w:type="dxa"/>
                  <w:tcBorders>
                    <w:bottom w:val="single" w:sz="4" w:space="0" w:color="auto"/>
                  </w:tcBorders>
                  <w:shd w:val="clear" w:color="auto" w:fill="A8D08D" w:themeFill="accent6" w:themeFillTint="99"/>
                  <w:vAlign w:val="center"/>
                </w:tcPr>
                <w:p w14:paraId="6D7A7391"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 xml:space="preserve">Descripción </w:t>
                  </w:r>
                </w:p>
              </w:tc>
              <w:tc>
                <w:tcPr>
                  <w:tcW w:w="1589" w:type="dxa"/>
                  <w:tcBorders>
                    <w:bottom w:val="single" w:sz="4" w:space="0" w:color="auto"/>
                  </w:tcBorders>
                  <w:shd w:val="clear" w:color="auto" w:fill="A8D08D" w:themeFill="accent6" w:themeFillTint="99"/>
                  <w:vAlign w:val="center"/>
                </w:tcPr>
                <w:p w14:paraId="0DB07EE2"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Costos</w:t>
                  </w:r>
                </w:p>
              </w:tc>
              <w:tc>
                <w:tcPr>
                  <w:tcW w:w="2379" w:type="dxa"/>
                  <w:tcBorders>
                    <w:bottom w:val="single" w:sz="2" w:space="0" w:color="auto"/>
                  </w:tcBorders>
                  <w:shd w:val="clear" w:color="auto" w:fill="A8D08D" w:themeFill="accent6" w:themeFillTint="99"/>
                  <w:vAlign w:val="center"/>
                </w:tcPr>
                <w:p w14:paraId="47006BA8"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Beneficios</w:t>
                  </w:r>
                </w:p>
              </w:tc>
              <w:tc>
                <w:tcPr>
                  <w:tcW w:w="1560" w:type="dxa"/>
                  <w:shd w:val="clear" w:color="auto" w:fill="A8D08D" w:themeFill="accent6" w:themeFillTint="99"/>
                </w:tcPr>
                <w:p w14:paraId="762EF7C6"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Beneficio Neto</w:t>
                  </w:r>
                </w:p>
              </w:tc>
            </w:tr>
            <w:tr w:rsidR="00DC671E" w:rsidRPr="00D0018E" w14:paraId="7BC5BB79" w14:textId="77777777" w:rsidTr="00402372">
              <w:trPr>
                <w:jc w:val="center"/>
              </w:trPr>
              <w:tc>
                <w:tcPr>
                  <w:tcW w:w="1111" w:type="dxa"/>
                  <w:tcBorders>
                    <w:top w:val="single" w:sz="4" w:space="0" w:color="auto"/>
                    <w:left w:val="single" w:sz="4" w:space="0" w:color="auto"/>
                    <w:bottom w:val="single" w:sz="4" w:space="0" w:color="auto"/>
                    <w:right w:val="single" w:sz="4" w:space="0" w:color="auto"/>
                  </w:tcBorders>
                  <w:vAlign w:val="center"/>
                </w:tcPr>
                <w:p w14:paraId="107A87E9" w14:textId="77777777" w:rsidR="00DC671E" w:rsidRPr="00D0018E" w:rsidRDefault="00DC671E" w:rsidP="00402372">
                  <w:pPr>
                    <w:jc w:val="center"/>
                    <w:rPr>
                      <w:rFonts w:ascii="Arial" w:hAnsi="Arial" w:cs="Arial"/>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14:paraId="47BCB14A" w14:textId="77777777" w:rsidR="00DC671E" w:rsidRPr="00D0018E" w:rsidRDefault="00DC671E" w:rsidP="00402372">
                  <w:pPr>
                    <w:jc w:val="center"/>
                    <w:rPr>
                      <w:rFonts w:ascii="Arial" w:hAnsi="Arial" w:cs="Arial"/>
                      <w:sz w:val="18"/>
                      <w:szCs w:val="18"/>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2CEA44D7" w14:textId="77777777" w:rsidR="00DC671E" w:rsidRPr="00D0018E" w:rsidRDefault="00DC671E" w:rsidP="00402372">
                  <w:pPr>
                    <w:jc w:val="center"/>
                    <w:rPr>
                      <w:rFonts w:ascii="Arial" w:hAnsi="Arial" w:cs="Arial"/>
                      <w:sz w:val="18"/>
                      <w:szCs w:val="18"/>
                    </w:rPr>
                  </w:pPr>
                </w:p>
              </w:tc>
              <w:tc>
                <w:tcPr>
                  <w:tcW w:w="2379" w:type="dxa"/>
                  <w:tcBorders>
                    <w:left w:val="single" w:sz="4" w:space="0" w:color="auto"/>
                    <w:right w:val="single" w:sz="4" w:space="0" w:color="auto"/>
                  </w:tcBorders>
                  <w:shd w:val="clear" w:color="auto" w:fill="FFFFFF" w:themeFill="background1"/>
                  <w:vAlign w:val="center"/>
                </w:tcPr>
                <w:p w14:paraId="325FC798" w14:textId="77777777" w:rsidR="00DC671E" w:rsidRPr="00D0018E" w:rsidRDefault="00DC671E" w:rsidP="00402372">
                  <w:pPr>
                    <w:jc w:val="center"/>
                    <w:rPr>
                      <w:rFonts w:ascii="Arial" w:hAnsi="Arial" w:cs="Arial"/>
                      <w:sz w:val="18"/>
                      <w:szCs w:val="18"/>
                    </w:rPr>
                  </w:pPr>
                </w:p>
              </w:tc>
              <w:tc>
                <w:tcPr>
                  <w:tcW w:w="1560" w:type="dxa"/>
                  <w:tcBorders>
                    <w:left w:val="single" w:sz="4" w:space="0" w:color="auto"/>
                    <w:right w:val="single" w:sz="4" w:space="0" w:color="auto"/>
                  </w:tcBorders>
                  <w:shd w:val="clear" w:color="auto" w:fill="FFFFFF" w:themeFill="background1"/>
                  <w:vAlign w:val="center"/>
                </w:tcPr>
                <w:p w14:paraId="1F78E3BE" w14:textId="77777777" w:rsidR="00DC671E" w:rsidRPr="00D0018E" w:rsidRDefault="00DC671E" w:rsidP="00402372">
                  <w:pPr>
                    <w:jc w:val="center"/>
                    <w:rPr>
                      <w:rFonts w:ascii="Arial" w:hAnsi="Arial" w:cs="Arial"/>
                      <w:sz w:val="18"/>
                      <w:szCs w:val="18"/>
                    </w:rPr>
                  </w:pPr>
                </w:p>
              </w:tc>
            </w:tr>
            <w:tr w:rsidR="00DC671E" w:rsidRPr="00D0018E" w14:paraId="32F6301D" w14:textId="77777777" w:rsidTr="00402372">
              <w:trPr>
                <w:trHeight w:val="99"/>
                <w:jc w:val="center"/>
              </w:trPr>
              <w:tc>
                <w:tcPr>
                  <w:tcW w:w="1111" w:type="dxa"/>
                  <w:tcBorders>
                    <w:top w:val="single" w:sz="4" w:space="0" w:color="auto"/>
                    <w:left w:val="nil"/>
                    <w:bottom w:val="nil"/>
                    <w:right w:val="nil"/>
                  </w:tcBorders>
                  <w:shd w:val="clear" w:color="auto" w:fill="FFFFFF" w:themeFill="background1"/>
                </w:tcPr>
                <w:p w14:paraId="6BB60DC9" w14:textId="77777777" w:rsidR="00DC671E" w:rsidRPr="00D0018E" w:rsidRDefault="00DC671E" w:rsidP="00402372">
                  <w:pPr>
                    <w:jc w:val="center"/>
                    <w:rPr>
                      <w:rFonts w:ascii="Arial" w:hAnsi="Arial" w:cs="Arial"/>
                      <w:b/>
                      <w:sz w:val="18"/>
                      <w:szCs w:val="18"/>
                    </w:rPr>
                  </w:pPr>
                </w:p>
              </w:tc>
              <w:tc>
                <w:tcPr>
                  <w:tcW w:w="1931" w:type="dxa"/>
                  <w:tcBorders>
                    <w:top w:val="single" w:sz="4" w:space="0" w:color="auto"/>
                    <w:left w:val="nil"/>
                    <w:bottom w:val="nil"/>
                    <w:right w:val="single" w:sz="4" w:space="0" w:color="auto"/>
                  </w:tcBorders>
                  <w:shd w:val="clear" w:color="auto" w:fill="FFFFFF" w:themeFill="background1"/>
                </w:tcPr>
                <w:p w14:paraId="423BC989" w14:textId="77777777" w:rsidR="00DC671E" w:rsidRPr="00D0018E" w:rsidRDefault="00DC671E" w:rsidP="00402372">
                  <w:pPr>
                    <w:jc w:val="center"/>
                    <w:rPr>
                      <w:rFonts w:ascii="Arial" w:hAnsi="Arial" w:cs="Arial"/>
                      <w:b/>
                      <w:sz w:val="18"/>
                      <w:szCs w:val="18"/>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AAF6DCE" w14:textId="77777777" w:rsidR="00DC671E" w:rsidRPr="00D0018E" w:rsidRDefault="00DC671E" w:rsidP="00402372">
                  <w:pPr>
                    <w:jc w:val="center"/>
                    <w:rPr>
                      <w:rFonts w:ascii="Arial" w:hAnsi="Arial" w:cs="Arial"/>
                      <w:b/>
                      <w:sz w:val="18"/>
                      <w:szCs w:val="18"/>
                    </w:rPr>
                  </w:pPr>
                </w:p>
              </w:tc>
              <w:tc>
                <w:tcPr>
                  <w:tcW w:w="2379" w:type="dxa"/>
                  <w:tcBorders>
                    <w:left w:val="single" w:sz="4" w:space="0" w:color="auto"/>
                    <w:right w:val="single" w:sz="4" w:space="0" w:color="auto"/>
                  </w:tcBorders>
                  <w:shd w:val="clear" w:color="auto" w:fill="auto"/>
                </w:tcPr>
                <w:p w14:paraId="071433EF" w14:textId="77777777" w:rsidR="00DC671E" w:rsidRPr="00D0018E" w:rsidRDefault="00DC671E" w:rsidP="00402372">
                  <w:pPr>
                    <w:jc w:val="center"/>
                    <w:rPr>
                      <w:rFonts w:ascii="Arial" w:hAnsi="Arial" w:cs="Arial"/>
                      <w:b/>
                      <w:sz w:val="18"/>
                      <w:szCs w:val="18"/>
                    </w:rPr>
                  </w:pPr>
                </w:p>
              </w:tc>
              <w:tc>
                <w:tcPr>
                  <w:tcW w:w="1560" w:type="dxa"/>
                  <w:tcBorders>
                    <w:left w:val="single" w:sz="4" w:space="0" w:color="auto"/>
                    <w:right w:val="single" w:sz="4" w:space="0" w:color="auto"/>
                  </w:tcBorders>
                  <w:shd w:val="clear" w:color="auto" w:fill="auto"/>
                </w:tcPr>
                <w:p w14:paraId="2D18FEDD" w14:textId="77777777" w:rsidR="00DC671E" w:rsidRPr="00D0018E" w:rsidRDefault="00DC671E" w:rsidP="00402372">
                  <w:pPr>
                    <w:jc w:val="center"/>
                    <w:rPr>
                      <w:rFonts w:ascii="Arial" w:hAnsi="Arial" w:cs="Arial"/>
                      <w:b/>
                      <w:sz w:val="18"/>
                      <w:szCs w:val="18"/>
                    </w:rPr>
                  </w:pPr>
                </w:p>
              </w:tc>
            </w:tr>
          </w:tbl>
          <w:p w14:paraId="29A09B7C" w14:textId="77777777" w:rsidR="00DC671E" w:rsidRPr="00D0018E" w:rsidRDefault="00DC671E" w:rsidP="00402372">
            <w:pPr>
              <w:jc w:val="both"/>
              <w:rPr>
                <w:rFonts w:ascii="Arial" w:hAnsi="Arial" w:cs="Arial"/>
                <w:sz w:val="18"/>
                <w:szCs w:val="18"/>
              </w:rPr>
            </w:pPr>
          </w:p>
          <w:p w14:paraId="7E1220F3" w14:textId="6A52EB29" w:rsidR="00CF3B24" w:rsidRPr="00D0018E" w:rsidRDefault="00CF3B24" w:rsidP="00CF3B24">
            <w:pPr>
              <w:jc w:val="both"/>
              <w:rPr>
                <w:rFonts w:ascii="Arial" w:hAnsi="Arial" w:cs="Arial"/>
                <w:sz w:val="18"/>
                <w:szCs w:val="18"/>
              </w:rPr>
            </w:pPr>
            <w:r w:rsidRPr="00D0018E">
              <w:rPr>
                <w:rFonts w:ascii="Arial" w:hAnsi="Arial" w:cs="Arial"/>
                <w:sz w:val="18"/>
                <w:szCs w:val="18"/>
              </w:rPr>
              <w:t>*La modificación que se propone no tiene un efecto cuantitativo (es decir, monetario o económico) hacia la población en general o los agentes económicos notificantes de una concentración. A la fecha, no existe literatura, estadísticas o evidencia</w:t>
            </w:r>
            <w:r w:rsidR="00BE250E" w:rsidRPr="00D0018E">
              <w:rPr>
                <w:rFonts w:ascii="Arial" w:hAnsi="Arial" w:cs="Arial"/>
                <w:sz w:val="18"/>
                <w:szCs w:val="18"/>
              </w:rPr>
              <w:t xml:space="preserve"> en ninguna autoridad de competencia</w:t>
            </w:r>
            <w:r w:rsidRPr="00D0018E">
              <w:rPr>
                <w:rFonts w:ascii="Arial" w:hAnsi="Arial" w:cs="Arial"/>
                <w:sz w:val="18"/>
                <w:szCs w:val="18"/>
              </w:rPr>
              <w:t xml:space="preserve"> </w:t>
            </w:r>
            <w:r w:rsidR="00BE250E" w:rsidRPr="00D0018E">
              <w:rPr>
                <w:rFonts w:ascii="Arial" w:hAnsi="Arial" w:cs="Arial"/>
                <w:sz w:val="18"/>
                <w:szCs w:val="18"/>
              </w:rPr>
              <w:t xml:space="preserve">en el mundo </w:t>
            </w:r>
            <w:r w:rsidRPr="00D0018E">
              <w:rPr>
                <w:rFonts w:ascii="Arial" w:hAnsi="Arial" w:cs="Arial"/>
                <w:sz w:val="18"/>
                <w:szCs w:val="18"/>
              </w:rPr>
              <w:t xml:space="preserve">que </w:t>
            </w:r>
            <w:r w:rsidR="00BE250E" w:rsidRPr="00D0018E">
              <w:rPr>
                <w:rFonts w:ascii="Arial" w:hAnsi="Arial" w:cs="Arial"/>
                <w:sz w:val="18"/>
                <w:szCs w:val="18"/>
              </w:rPr>
              <w:t>apunte</w:t>
            </w:r>
            <w:r w:rsidRPr="00D0018E">
              <w:rPr>
                <w:rFonts w:ascii="Arial" w:hAnsi="Arial" w:cs="Arial"/>
                <w:sz w:val="18"/>
                <w:szCs w:val="18"/>
              </w:rPr>
              <w:t xml:space="preserve"> </w:t>
            </w:r>
            <w:r w:rsidR="00BE250E" w:rsidRPr="00D0018E">
              <w:rPr>
                <w:rFonts w:ascii="Arial" w:hAnsi="Arial" w:cs="Arial"/>
                <w:sz w:val="18"/>
                <w:szCs w:val="18"/>
              </w:rPr>
              <w:t xml:space="preserve">la existencia de </w:t>
            </w:r>
            <w:r w:rsidRPr="00D0018E">
              <w:rPr>
                <w:rFonts w:ascii="Arial" w:hAnsi="Arial" w:cs="Arial"/>
                <w:sz w:val="18"/>
                <w:szCs w:val="18"/>
              </w:rPr>
              <w:t xml:space="preserve">una relación directa o indirecta entre la </w:t>
            </w:r>
            <w:r w:rsidR="00BE250E" w:rsidRPr="00D0018E">
              <w:rPr>
                <w:rFonts w:ascii="Arial" w:hAnsi="Arial" w:cs="Arial"/>
                <w:sz w:val="18"/>
                <w:szCs w:val="18"/>
              </w:rPr>
              <w:t>causa de aplicar un</w:t>
            </w:r>
            <w:r w:rsidRPr="00D0018E">
              <w:rPr>
                <w:rFonts w:ascii="Arial" w:hAnsi="Arial" w:cs="Arial"/>
                <w:sz w:val="18"/>
                <w:szCs w:val="18"/>
              </w:rPr>
              <w:t xml:space="preserve"> Criterio Técnico</w:t>
            </w:r>
            <w:r w:rsidR="00BE250E" w:rsidRPr="00D0018E">
              <w:rPr>
                <w:rFonts w:ascii="Arial" w:hAnsi="Arial" w:cs="Arial"/>
                <w:sz w:val="18"/>
                <w:szCs w:val="18"/>
              </w:rPr>
              <w:t xml:space="preserve"> como éste</w:t>
            </w:r>
            <w:r w:rsidRPr="00D0018E">
              <w:rPr>
                <w:rFonts w:ascii="Arial" w:hAnsi="Arial" w:cs="Arial"/>
                <w:sz w:val="18"/>
                <w:szCs w:val="18"/>
              </w:rPr>
              <w:t xml:space="preserve"> y </w:t>
            </w:r>
            <w:r w:rsidR="00BE250E" w:rsidRPr="00D0018E">
              <w:rPr>
                <w:rFonts w:ascii="Arial" w:hAnsi="Arial" w:cs="Arial"/>
                <w:sz w:val="18"/>
                <w:szCs w:val="18"/>
              </w:rPr>
              <w:t>la consecuencia</w:t>
            </w:r>
            <w:r w:rsidRPr="00D0018E">
              <w:rPr>
                <w:rFonts w:ascii="Arial" w:hAnsi="Arial" w:cs="Arial"/>
                <w:sz w:val="18"/>
                <w:szCs w:val="18"/>
              </w:rPr>
              <w:t xml:space="preserve"> de </w:t>
            </w:r>
            <w:r w:rsidR="00BE250E" w:rsidRPr="00D0018E">
              <w:rPr>
                <w:rFonts w:ascii="Arial" w:hAnsi="Arial" w:cs="Arial"/>
                <w:sz w:val="18"/>
                <w:szCs w:val="18"/>
              </w:rPr>
              <w:t xml:space="preserve">generarse </w:t>
            </w:r>
            <w:r w:rsidRPr="00D0018E">
              <w:rPr>
                <w:rFonts w:ascii="Arial" w:hAnsi="Arial" w:cs="Arial"/>
                <w:sz w:val="18"/>
                <w:szCs w:val="18"/>
              </w:rPr>
              <w:t>costos o beneficios económicos</w:t>
            </w:r>
            <w:r w:rsidR="00BE250E" w:rsidRPr="00D0018E">
              <w:rPr>
                <w:rFonts w:ascii="Arial" w:hAnsi="Arial" w:cs="Arial"/>
                <w:sz w:val="18"/>
                <w:szCs w:val="18"/>
              </w:rPr>
              <w:t xml:space="preserve"> o </w:t>
            </w:r>
            <w:r w:rsidRPr="00D0018E">
              <w:rPr>
                <w:rFonts w:ascii="Arial" w:hAnsi="Arial" w:cs="Arial"/>
                <w:sz w:val="18"/>
                <w:szCs w:val="18"/>
              </w:rPr>
              <w:t>monetarios</w:t>
            </w:r>
            <w:r w:rsidR="00BE250E" w:rsidRPr="00D0018E">
              <w:rPr>
                <w:rFonts w:ascii="Arial" w:hAnsi="Arial" w:cs="Arial"/>
                <w:sz w:val="18"/>
                <w:szCs w:val="18"/>
              </w:rPr>
              <w:t xml:space="preserve"> relativos a</w:t>
            </w:r>
            <w:r w:rsidRPr="00D0018E">
              <w:rPr>
                <w:rFonts w:ascii="Arial" w:hAnsi="Arial" w:cs="Arial"/>
                <w:sz w:val="18"/>
                <w:szCs w:val="18"/>
              </w:rPr>
              <w:t xml:space="preserve"> los procedimientos de notificación de concentraciones.</w:t>
            </w:r>
          </w:p>
          <w:p w14:paraId="0E063551" w14:textId="77777777" w:rsidR="00CF3B24" w:rsidRPr="00D0018E" w:rsidRDefault="00CF3B24" w:rsidP="00402372">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002"/>
              <w:gridCol w:w="3260"/>
              <w:gridCol w:w="3340"/>
            </w:tblGrid>
            <w:tr w:rsidR="00DC671E" w:rsidRPr="00D0018E" w14:paraId="0126DC50" w14:textId="77777777" w:rsidTr="00AD6876">
              <w:tc>
                <w:tcPr>
                  <w:tcW w:w="8602" w:type="dxa"/>
                  <w:gridSpan w:val="3"/>
                  <w:tcBorders>
                    <w:bottom w:val="single" w:sz="4" w:space="0" w:color="auto"/>
                  </w:tcBorders>
                  <w:shd w:val="clear" w:color="auto" w:fill="A8D08D" w:themeFill="accent6" w:themeFillTint="99"/>
                </w:tcPr>
                <w:p w14:paraId="11799A73"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Estimación Cualitativa</w:t>
                  </w:r>
                </w:p>
              </w:tc>
            </w:tr>
            <w:tr w:rsidR="00DC671E" w:rsidRPr="00D0018E" w14:paraId="54AC43A0" w14:textId="77777777" w:rsidTr="00AD6876">
              <w:tc>
                <w:tcPr>
                  <w:tcW w:w="2002" w:type="dxa"/>
                  <w:tcBorders>
                    <w:bottom w:val="single" w:sz="4" w:space="0" w:color="auto"/>
                  </w:tcBorders>
                  <w:shd w:val="clear" w:color="auto" w:fill="A8D08D" w:themeFill="accent6" w:themeFillTint="99"/>
                </w:tcPr>
                <w:p w14:paraId="4ADE94D2" w14:textId="77777777" w:rsidR="00DC671E" w:rsidRPr="00D0018E" w:rsidRDefault="00DC671E" w:rsidP="00402372">
                  <w:pPr>
                    <w:jc w:val="center"/>
                    <w:rPr>
                      <w:rFonts w:ascii="Arial" w:hAnsi="Arial" w:cs="Arial"/>
                      <w:b/>
                      <w:sz w:val="18"/>
                      <w:szCs w:val="18"/>
                    </w:rPr>
                  </w:pPr>
                </w:p>
                <w:p w14:paraId="58001920"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Población</w:t>
                  </w:r>
                </w:p>
              </w:tc>
              <w:tc>
                <w:tcPr>
                  <w:tcW w:w="3260" w:type="dxa"/>
                  <w:tcBorders>
                    <w:bottom w:val="single" w:sz="4" w:space="0" w:color="auto"/>
                  </w:tcBorders>
                  <w:shd w:val="clear" w:color="auto" w:fill="A8D08D" w:themeFill="accent6" w:themeFillTint="99"/>
                  <w:vAlign w:val="center"/>
                </w:tcPr>
                <w:p w14:paraId="16D0C7F4"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Costos</w:t>
                  </w:r>
                </w:p>
              </w:tc>
              <w:tc>
                <w:tcPr>
                  <w:tcW w:w="3340" w:type="dxa"/>
                  <w:tcBorders>
                    <w:bottom w:val="single" w:sz="2" w:space="0" w:color="auto"/>
                  </w:tcBorders>
                  <w:shd w:val="clear" w:color="auto" w:fill="A8D08D" w:themeFill="accent6" w:themeFillTint="99"/>
                  <w:vAlign w:val="center"/>
                </w:tcPr>
                <w:p w14:paraId="6293A19F"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Beneficios</w:t>
                  </w:r>
                </w:p>
              </w:tc>
            </w:tr>
            <w:tr w:rsidR="00DC671E" w:rsidRPr="00D0018E" w14:paraId="45A15513" w14:textId="77777777" w:rsidTr="00AD6876">
              <w:sdt>
                <w:sdtPr>
                  <w:rPr>
                    <w:rFonts w:ascii="Arial" w:hAnsi="Arial" w:cs="Arial"/>
                    <w:sz w:val="18"/>
                    <w:szCs w:val="18"/>
                  </w:rPr>
                  <w:alias w:val="Población"/>
                  <w:tag w:val="Población"/>
                  <w:id w:val="796109398"/>
                  <w:placeholder>
                    <w:docPart w:val="B6CE78AFBF21443BB0D22EE03E04F3F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2" w:type="dxa"/>
                      <w:tcBorders>
                        <w:top w:val="single" w:sz="4" w:space="0" w:color="auto"/>
                        <w:left w:val="single" w:sz="4" w:space="0" w:color="auto"/>
                        <w:bottom w:val="single" w:sz="4" w:space="0" w:color="auto"/>
                        <w:right w:val="single" w:sz="4" w:space="0" w:color="auto"/>
                      </w:tcBorders>
                    </w:tcPr>
                    <w:p w14:paraId="6FAB3C6B" w14:textId="5D1A77E5" w:rsidR="00DC671E" w:rsidRPr="00D0018E" w:rsidRDefault="00E666F6" w:rsidP="00402372">
                      <w:pPr>
                        <w:jc w:val="center"/>
                        <w:rPr>
                          <w:rFonts w:ascii="Arial" w:hAnsi="Arial" w:cs="Arial"/>
                          <w:sz w:val="18"/>
                          <w:szCs w:val="18"/>
                        </w:rPr>
                      </w:pPr>
                      <w:r>
                        <w:rPr>
                          <w:rFonts w:ascii="Arial" w:hAnsi="Arial" w:cs="Arial"/>
                          <w:sz w:val="18"/>
                          <w:szCs w:val="18"/>
                        </w:rPr>
                        <w:t>Concesionarios</w:t>
                      </w:r>
                    </w:p>
                  </w:tc>
                </w:sdtContent>
              </w:sdt>
              <w:tc>
                <w:tcPr>
                  <w:tcW w:w="3260" w:type="dxa"/>
                  <w:tcBorders>
                    <w:top w:val="single" w:sz="4" w:space="0" w:color="auto"/>
                    <w:left w:val="single" w:sz="4" w:space="0" w:color="auto"/>
                    <w:bottom w:val="single" w:sz="4" w:space="0" w:color="auto"/>
                    <w:right w:val="single" w:sz="4" w:space="0" w:color="auto"/>
                  </w:tcBorders>
                  <w:shd w:val="clear" w:color="auto" w:fill="auto"/>
                </w:tcPr>
                <w:p w14:paraId="1739D946" w14:textId="2120699B" w:rsidR="00DC671E" w:rsidRPr="00D0018E" w:rsidRDefault="009D2C42" w:rsidP="009D2C42">
                  <w:pPr>
                    <w:jc w:val="both"/>
                    <w:rPr>
                      <w:rFonts w:ascii="Arial" w:hAnsi="Arial" w:cs="Arial"/>
                      <w:sz w:val="18"/>
                      <w:szCs w:val="18"/>
                    </w:rPr>
                  </w:pPr>
                  <w:r w:rsidRPr="00D0018E">
                    <w:rPr>
                      <w:rFonts w:ascii="Arial" w:hAnsi="Arial" w:cs="Arial"/>
                      <w:sz w:val="18"/>
                      <w:szCs w:val="18"/>
                    </w:rPr>
                    <w:t xml:space="preserve">Dado que dentro de los trámites que los concesionarios realizan en el </w:t>
                  </w:r>
                  <w:r w:rsidRPr="00D0018E">
                    <w:rPr>
                      <w:rFonts w:ascii="Arial" w:hAnsi="Arial" w:cs="Arial"/>
                      <w:sz w:val="18"/>
                      <w:szCs w:val="18"/>
                    </w:rPr>
                    <w:lastRenderedPageBreak/>
                    <w:t>Instituto y en los que se requiere un análisis de concentración en los mercados, ya se les solicita la información necesaria para el análisis, no generaría costos adicionales a los que actualmente incurren</w:t>
                  </w:r>
                </w:p>
              </w:tc>
              <w:tc>
                <w:tcPr>
                  <w:tcW w:w="3340" w:type="dxa"/>
                  <w:tcBorders>
                    <w:left w:val="single" w:sz="4" w:space="0" w:color="auto"/>
                    <w:right w:val="single" w:sz="4" w:space="0" w:color="auto"/>
                  </w:tcBorders>
                  <w:shd w:val="clear" w:color="auto" w:fill="FFFFFF" w:themeFill="background1"/>
                </w:tcPr>
                <w:p w14:paraId="22663238" w14:textId="529BF38C" w:rsidR="00DC671E" w:rsidRPr="00D0018E" w:rsidRDefault="009D2C42" w:rsidP="00402372">
                  <w:pPr>
                    <w:jc w:val="both"/>
                    <w:rPr>
                      <w:rFonts w:ascii="Arial" w:hAnsi="Arial" w:cs="Arial"/>
                      <w:sz w:val="18"/>
                      <w:szCs w:val="18"/>
                    </w:rPr>
                  </w:pPr>
                  <w:r w:rsidRPr="00D0018E">
                    <w:rPr>
                      <w:rFonts w:ascii="Arial" w:hAnsi="Arial" w:cs="Arial"/>
                      <w:sz w:val="18"/>
                      <w:szCs w:val="18"/>
                    </w:rPr>
                    <w:lastRenderedPageBreak/>
                    <w:t xml:space="preserve">Da certidumbre a los particulares (agentes económicos) sobre los </w:t>
                  </w:r>
                  <w:r w:rsidRPr="00D0018E">
                    <w:rPr>
                      <w:rFonts w:ascii="Arial" w:hAnsi="Arial" w:cs="Arial"/>
                      <w:sz w:val="18"/>
                      <w:szCs w:val="18"/>
                    </w:rPr>
                    <w:lastRenderedPageBreak/>
                    <w:t>criterios que aplicará el Instituto cuando en los diversos trámites que realice, se evalúe el grado de concentración en los mercados y servicios correspondientes a los sectores de telecomunicaciones y radiodifusión en los que participan.</w:t>
                  </w:r>
                </w:p>
              </w:tc>
            </w:tr>
            <w:tr w:rsidR="009D2C42" w:rsidRPr="00D0018E" w14:paraId="24A6C58C" w14:textId="77777777" w:rsidTr="00AD6876">
              <w:tc>
                <w:tcPr>
                  <w:tcW w:w="2002" w:type="dxa"/>
                  <w:tcBorders>
                    <w:top w:val="single" w:sz="4" w:space="0" w:color="auto"/>
                    <w:left w:val="single" w:sz="4" w:space="0" w:color="auto"/>
                    <w:bottom w:val="single" w:sz="4" w:space="0" w:color="auto"/>
                    <w:right w:val="single" w:sz="4" w:space="0" w:color="auto"/>
                  </w:tcBorders>
                </w:tcPr>
                <w:p w14:paraId="008951CB" w14:textId="77777777" w:rsidR="00AD6876" w:rsidRPr="00D0018E" w:rsidRDefault="00610B49" w:rsidP="00402372">
                  <w:pPr>
                    <w:jc w:val="center"/>
                    <w:rPr>
                      <w:rFonts w:ascii="Arial" w:hAnsi="Arial" w:cs="Arial"/>
                      <w:sz w:val="18"/>
                      <w:szCs w:val="18"/>
                    </w:rPr>
                  </w:pPr>
                  <w:sdt>
                    <w:sdtPr>
                      <w:rPr>
                        <w:rFonts w:ascii="Arial" w:hAnsi="Arial" w:cs="Arial"/>
                        <w:sz w:val="18"/>
                        <w:szCs w:val="18"/>
                      </w:rPr>
                      <w:alias w:val="Población"/>
                      <w:tag w:val="Población"/>
                      <w:id w:val="-1911683323"/>
                      <w:placeholder>
                        <w:docPart w:val="8FD59F08D8494AA18A9C63457AFB02AC"/>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E666F6">
                        <w:rPr>
                          <w:rFonts w:ascii="Arial" w:hAnsi="Arial" w:cs="Arial"/>
                          <w:sz w:val="18"/>
                          <w:szCs w:val="18"/>
                        </w:rPr>
                        <w:t>Otro</w:t>
                      </w:r>
                    </w:sdtContent>
                  </w:sdt>
                  <w:r w:rsidR="00AD6876" w:rsidRPr="00D0018E">
                    <w:rPr>
                      <w:rFonts w:ascii="Arial" w:hAnsi="Arial" w:cs="Arial"/>
                      <w:sz w:val="18"/>
                      <w:szCs w:val="18"/>
                    </w:rPr>
                    <w:t xml:space="preserve"> </w:t>
                  </w:r>
                </w:p>
                <w:p w14:paraId="07376A89" w14:textId="6C973997" w:rsidR="009D2C42" w:rsidRPr="00D0018E" w:rsidRDefault="009D2C42" w:rsidP="00AD6876">
                  <w:pPr>
                    <w:jc w:val="both"/>
                    <w:rPr>
                      <w:rFonts w:ascii="Arial" w:hAnsi="Arial" w:cs="Arial"/>
                      <w:sz w:val="18"/>
                      <w:szCs w:val="18"/>
                    </w:rPr>
                  </w:pPr>
                  <w:r w:rsidRPr="00D0018E">
                    <w:rPr>
                      <w:rFonts w:ascii="Arial" w:hAnsi="Arial" w:cs="Arial"/>
                      <w:sz w:val="18"/>
                      <w:szCs w:val="18"/>
                    </w:rPr>
                    <w:t>(Agentes económicos involucrados en procedimientos de concentración u otros procedimientos previstos en LFCE)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3FEB1A1" w14:textId="2B486011" w:rsidR="00AD6876" w:rsidRPr="00D0018E" w:rsidRDefault="00AD6876" w:rsidP="00AD6876">
                  <w:pPr>
                    <w:jc w:val="both"/>
                    <w:rPr>
                      <w:rFonts w:ascii="Arial" w:hAnsi="Arial" w:cs="Arial"/>
                      <w:sz w:val="18"/>
                      <w:szCs w:val="18"/>
                    </w:rPr>
                  </w:pPr>
                  <w:r w:rsidRPr="00D0018E">
                    <w:rPr>
                      <w:rFonts w:ascii="Arial" w:hAnsi="Arial" w:cs="Arial"/>
                      <w:sz w:val="18"/>
                      <w:szCs w:val="18"/>
                    </w:rPr>
                    <w:t>Dado que en materia de concentraciones como en otras operaciones o procedimientos, el Instituto ya cuenta con la facultad de solicitar información a los particulares para la determinación de las participaciones de mercado y del índice de concentración, no generaría costos adicionales a los que actualmente incurren</w:t>
                  </w:r>
                </w:p>
              </w:tc>
              <w:tc>
                <w:tcPr>
                  <w:tcW w:w="3340" w:type="dxa"/>
                  <w:tcBorders>
                    <w:left w:val="single" w:sz="4" w:space="0" w:color="auto"/>
                    <w:right w:val="single" w:sz="4" w:space="0" w:color="auto"/>
                  </w:tcBorders>
                  <w:shd w:val="clear" w:color="auto" w:fill="FFFFFF" w:themeFill="background1"/>
                </w:tcPr>
                <w:p w14:paraId="0CF16B1C" w14:textId="4D59E19E" w:rsidR="009D2C42" w:rsidRPr="00D0018E" w:rsidRDefault="00AD6876" w:rsidP="00402372">
                  <w:pPr>
                    <w:jc w:val="both"/>
                    <w:rPr>
                      <w:rFonts w:ascii="Arial" w:hAnsi="Arial" w:cs="Arial"/>
                      <w:sz w:val="18"/>
                      <w:szCs w:val="18"/>
                    </w:rPr>
                  </w:pPr>
                  <w:r w:rsidRPr="00D0018E">
                    <w:rPr>
                      <w:rFonts w:ascii="Arial" w:hAnsi="Arial" w:cs="Arial"/>
                      <w:sz w:val="18"/>
                      <w:szCs w:val="18"/>
                    </w:rPr>
                    <w:t>Da certidumbre a los agentes económicos (no necesariamente concesionarios) sobre los criterios que aplicará el Instituto cuando se evalúe el grado de concentración en los mercados y servicios correspondientes a los sectores de telecomunicaciones y radiodifusión en el proceso de análisis de concentraciones.</w:t>
                  </w:r>
                </w:p>
              </w:tc>
            </w:tr>
          </w:tbl>
          <w:p w14:paraId="5949A5B9" w14:textId="77777777" w:rsidR="00DC671E" w:rsidRPr="00D0018E" w:rsidRDefault="00DC671E" w:rsidP="00402372">
            <w:pPr>
              <w:jc w:val="both"/>
              <w:rPr>
                <w:rFonts w:ascii="Arial" w:hAnsi="Arial" w:cs="Arial"/>
                <w:sz w:val="18"/>
                <w:szCs w:val="18"/>
              </w:rPr>
            </w:pPr>
          </w:p>
          <w:p w14:paraId="796792A7" w14:textId="77777777" w:rsidR="00DC671E" w:rsidRPr="00D0018E" w:rsidRDefault="00DC671E" w:rsidP="00402372">
            <w:pPr>
              <w:jc w:val="both"/>
              <w:rPr>
                <w:rFonts w:ascii="Arial" w:hAnsi="Arial" w:cs="Arial"/>
                <w:sz w:val="18"/>
                <w:szCs w:val="18"/>
              </w:rPr>
            </w:pPr>
          </w:p>
        </w:tc>
      </w:tr>
    </w:tbl>
    <w:p w14:paraId="552EBF0D" w14:textId="77777777" w:rsidR="00DC671E" w:rsidRPr="00D0018E" w:rsidRDefault="00DC671E" w:rsidP="00DC671E">
      <w:pPr>
        <w:jc w:val="both"/>
        <w:rPr>
          <w:rFonts w:ascii="Arial" w:hAnsi="Arial" w:cs="Arial"/>
          <w:sz w:val="18"/>
          <w:szCs w:val="18"/>
        </w:rPr>
      </w:pPr>
    </w:p>
    <w:p w14:paraId="7D64273E" w14:textId="77777777" w:rsidR="00DC671E" w:rsidRPr="00D0018E" w:rsidRDefault="00DC671E" w:rsidP="00DC671E">
      <w:pPr>
        <w:shd w:val="clear" w:color="auto" w:fill="A8D08D" w:themeFill="accent6" w:themeFillTint="99"/>
        <w:jc w:val="both"/>
        <w:rPr>
          <w:rFonts w:ascii="Arial" w:hAnsi="Arial" w:cs="Arial"/>
          <w:b/>
          <w:sz w:val="18"/>
          <w:szCs w:val="18"/>
        </w:rPr>
      </w:pPr>
      <w:r w:rsidRPr="00D0018E">
        <w:rPr>
          <w:rFonts w:ascii="Arial" w:hAnsi="Arial" w:cs="Arial"/>
          <w:b/>
          <w:sz w:val="18"/>
          <w:szCs w:val="18"/>
        </w:rPr>
        <w:t>IV. CUMPLIMIENTO, APLICACIÓN Y EVALUACIÓN DE LA PROPUESTA DE REGULACIÓN.</w:t>
      </w:r>
    </w:p>
    <w:tbl>
      <w:tblPr>
        <w:tblStyle w:val="Tablaconcuadrcula"/>
        <w:tblW w:w="0" w:type="auto"/>
        <w:tblLook w:val="04A0" w:firstRow="1" w:lastRow="0" w:firstColumn="1" w:lastColumn="0" w:noHBand="0" w:noVBand="1"/>
      </w:tblPr>
      <w:tblGrid>
        <w:gridCol w:w="8828"/>
      </w:tblGrid>
      <w:tr w:rsidR="00DC671E" w:rsidRPr="00D0018E" w14:paraId="7959B199" w14:textId="77777777" w:rsidTr="00402372">
        <w:tc>
          <w:tcPr>
            <w:tcW w:w="8828" w:type="dxa"/>
          </w:tcPr>
          <w:p w14:paraId="06426758" w14:textId="77777777" w:rsidR="00DC671E" w:rsidRPr="0028003C" w:rsidRDefault="00DC671E" w:rsidP="00402372">
            <w:pPr>
              <w:jc w:val="both"/>
              <w:rPr>
                <w:rFonts w:ascii="Arial" w:hAnsi="Arial" w:cs="Arial"/>
                <w:b/>
                <w:sz w:val="18"/>
                <w:szCs w:val="18"/>
              </w:rPr>
            </w:pPr>
            <w:r w:rsidRPr="0028003C">
              <w:rPr>
                <w:rFonts w:ascii="Arial" w:hAnsi="Arial" w:cs="Arial"/>
                <w:b/>
                <w:sz w:val="18"/>
                <w:szCs w:val="18"/>
              </w:rPr>
              <w:t>14.- Describa los recursos que se utilizarán para la aplicación de la propuesta de regulación.</w:t>
            </w:r>
          </w:p>
          <w:p w14:paraId="3C834B26" w14:textId="77777777" w:rsidR="00DC671E" w:rsidRPr="0028003C" w:rsidRDefault="00DC671E" w:rsidP="00402372">
            <w:pPr>
              <w:jc w:val="both"/>
              <w:rPr>
                <w:rFonts w:ascii="Arial" w:hAnsi="Arial" w:cs="Arial"/>
                <w:sz w:val="18"/>
                <w:szCs w:val="18"/>
              </w:rPr>
            </w:pPr>
            <w:r w:rsidRPr="0028003C">
              <w:rPr>
                <w:rFonts w:ascii="Arial" w:hAnsi="Arial" w:cs="Arial"/>
                <w:sz w:val="18"/>
                <w:szCs w:val="18"/>
              </w:rPr>
              <w:t>Seleccione los aplicables. Agregue las filas que considere necesarias.</w:t>
            </w:r>
          </w:p>
          <w:p w14:paraId="13E6C2C7" w14:textId="77777777" w:rsidR="00DC671E" w:rsidRPr="0028003C" w:rsidRDefault="00DC671E" w:rsidP="00402372">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368"/>
              <w:gridCol w:w="5602"/>
              <w:gridCol w:w="1632"/>
            </w:tblGrid>
            <w:tr w:rsidR="00DC671E" w:rsidRPr="0028003C" w14:paraId="226FCCAA" w14:textId="77777777" w:rsidTr="00402372">
              <w:trPr>
                <w:tblHeader/>
                <w:jc w:val="center"/>
              </w:trPr>
              <w:tc>
                <w:tcPr>
                  <w:tcW w:w="1368" w:type="dxa"/>
                  <w:tcBorders>
                    <w:bottom w:val="single" w:sz="4" w:space="0" w:color="auto"/>
                  </w:tcBorders>
                  <w:shd w:val="clear" w:color="auto" w:fill="A8D08D" w:themeFill="accent6" w:themeFillTint="99"/>
                </w:tcPr>
                <w:p w14:paraId="16CB1B32" w14:textId="77777777" w:rsidR="00DC671E" w:rsidRPr="0028003C" w:rsidRDefault="00DC671E" w:rsidP="00402372">
                  <w:pPr>
                    <w:jc w:val="center"/>
                    <w:rPr>
                      <w:rFonts w:ascii="Arial" w:hAnsi="Arial" w:cs="Arial"/>
                      <w:b/>
                      <w:sz w:val="18"/>
                      <w:szCs w:val="18"/>
                    </w:rPr>
                  </w:pPr>
                  <w:r w:rsidRPr="0028003C">
                    <w:rPr>
                      <w:rFonts w:ascii="Arial" w:hAnsi="Arial" w:cs="Arial"/>
                      <w:b/>
                      <w:sz w:val="18"/>
                      <w:szCs w:val="18"/>
                    </w:rPr>
                    <w:t>Tipo</w:t>
                  </w:r>
                </w:p>
              </w:tc>
              <w:tc>
                <w:tcPr>
                  <w:tcW w:w="5602" w:type="dxa"/>
                  <w:tcBorders>
                    <w:bottom w:val="single" w:sz="4" w:space="0" w:color="auto"/>
                  </w:tcBorders>
                  <w:shd w:val="clear" w:color="auto" w:fill="A8D08D" w:themeFill="accent6" w:themeFillTint="99"/>
                </w:tcPr>
                <w:p w14:paraId="08DF0AE9" w14:textId="77777777" w:rsidR="00DC671E" w:rsidRPr="0028003C" w:rsidRDefault="00DC671E" w:rsidP="00402372">
                  <w:pPr>
                    <w:jc w:val="center"/>
                    <w:rPr>
                      <w:rFonts w:ascii="Arial" w:hAnsi="Arial" w:cs="Arial"/>
                      <w:b/>
                      <w:sz w:val="18"/>
                      <w:szCs w:val="18"/>
                    </w:rPr>
                  </w:pPr>
                  <w:r w:rsidRPr="0028003C">
                    <w:rPr>
                      <w:rFonts w:ascii="Arial" w:hAnsi="Arial" w:cs="Arial"/>
                      <w:b/>
                      <w:sz w:val="18"/>
                      <w:szCs w:val="18"/>
                    </w:rPr>
                    <w:t>Descripción</w:t>
                  </w:r>
                </w:p>
              </w:tc>
              <w:tc>
                <w:tcPr>
                  <w:tcW w:w="1632" w:type="dxa"/>
                  <w:shd w:val="clear" w:color="auto" w:fill="A8D08D" w:themeFill="accent6" w:themeFillTint="99"/>
                </w:tcPr>
                <w:p w14:paraId="6FB23388" w14:textId="77777777" w:rsidR="00DC671E" w:rsidRPr="0028003C" w:rsidRDefault="00DC671E" w:rsidP="00402372">
                  <w:pPr>
                    <w:jc w:val="center"/>
                    <w:rPr>
                      <w:rFonts w:ascii="Arial" w:hAnsi="Arial" w:cs="Arial"/>
                      <w:b/>
                      <w:sz w:val="18"/>
                      <w:szCs w:val="18"/>
                    </w:rPr>
                  </w:pPr>
                  <w:r w:rsidRPr="0028003C">
                    <w:rPr>
                      <w:rFonts w:ascii="Arial" w:hAnsi="Arial" w:cs="Arial"/>
                      <w:b/>
                      <w:sz w:val="18"/>
                      <w:szCs w:val="18"/>
                    </w:rPr>
                    <w:t>Cantidad</w:t>
                  </w:r>
                </w:p>
              </w:tc>
            </w:tr>
            <w:tr w:rsidR="00DC671E" w:rsidRPr="0028003C" w14:paraId="5A5C0BAE" w14:textId="77777777" w:rsidTr="00402372">
              <w:trPr>
                <w:jc w:val="center"/>
              </w:trPr>
              <w:sdt>
                <w:sdtPr>
                  <w:rPr>
                    <w:rFonts w:ascii="Arial" w:hAnsi="Arial" w:cs="Arial"/>
                    <w:sz w:val="18"/>
                    <w:szCs w:val="18"/>
                  </w:rPr>
                  <w:alias w:val="Tipo"/>
                  <w:tag w:val="Tipo"/>
                  <w:id w:val="440277835"/>
                  <w:placeholder>
                    <w:docPart w:val="DDC88B88AFF9486A80CC1EE70F18FD3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0B4ABC" w14:textId="77777777" w:rsidR="00DC671E" w:rsidRPr="0028003C" w:rsidRDefault="00E666F6" w:rsidP="00402372">
                      <w:pPr>
                        <w:jc w:val="both"/>
                        <w:rPr>
                          <w:rFonts w:ascii="Arial" w:hAnsi="Arial" w:cs="Arial"/>
                          <w:sz w:val="18"/>
                          <w:szCs w:val="18"/>
                        </w:rPr>
                      </w:pPr>
                      <w:r w:rsidRPr="0028003C">
                        <w:rPr>
                          <w:rFonts w:ascii="Arial" w:hAnsi="Arial" w:cs="Arial"/>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6A3ED1E1" w14:textId="6CD4EA86" w:rsidR="009D2C42" w:rsidRPr="0028003C" w:rsidRDefault="009D2C42" w:rsidP="009D2C42">
                  <w:pPr>
                    <w:jc w:val="both"/>
                    <w:rPr>
                      <w:rFonts w:ascii="Arial" w:hAnsi="Arial" w:cs="Arial"/>
                      <w:sz w:val="18"/>
                      <w:szCs w:val="18"/>
                    </w:rPr>
                  </w:pPr>
                  <w:r w:rsidRPr="0028003C">
                    <w:rPr>
                      <w:rFonts w:ascii="Arial" w:hAnsi="Arial" w:cs="Arial"/>
                      <w:sz w:val="18"/>
                      <w:szCs w:val="18"/>
                    </w:rPr>
                    <w:t>La Modificación al Criterio Técnico no requerirá de recursos humanos adicionales a los que se utilizan en el análisis de competencia económica para los distintos trámites que así o requieres, así como el utilizado para el análisis de los efectos que podrían tener las concentraciones notificadas ante el Instituto.</w:t>
                  </w:r>
                </w:p>
                <w:p w14:paraId="2406CDD4" w14:textId="255C0C3A" w:rsidR="00DC671E" w:rsidRPr="0028003C" w:rsidRDefault="00DC671E" w:rsidP="00402372">
                  <w:pPr>
                    <w:jc w:val="both"/>
                    <w:rPr>
                      <w:rFonts w:ascii="Arial" w:hAnsi="Arial" w:cs="Arial"/>
                      <w:sz w:val="18"/>
                      <w:szCs w:val="18"/>
                    </w:rPr>
                  </w:pPr>
                </w:p>
              </w:tc>
              <w:tc>
                <w:tcPr>
                  <w:tcW w:w="1632" w:type="dxa"/>
                  <w:tcBorders>
                    <w:left w:val="single" w:sz="4" w:space="0" w:color="auto"/>
                  </w:tcBorders>
                  <w:shd w:val="clear" w:color="auto" w:fill="FFFFFF" w:themeFill="background1"/>
                </w:tcPr>
                <w:p w14:paraId="34131010" w14:textId="77777777" w:rsidR="00DC671E" w:rsidRPr="0028003C" w:rsidRDefault="00DC671E" w:rsidP="00402372">
                  <w:pPr>
                    <w:jc w:val="center"/>
                    <w:rPr>
                      <w:rFonts w:ascii="Arial" w:hAnsi="Arial" w:cs="Arial"/>
                      <w:sz w:val="18"/>
                      <w:szCs w:val="18"/>
                    </w:rPr>
                  </w:pPr>
                  <w:r w:rsidRPr="0028003C">
                    <w:rPr>
                      <w:rFonts w:ascii="Arial" w:hAnsi="Arial" w:cs="Arial"/>
                      <w:sz w:val="18"/>
                      <w:szCs w:val="18"/>
                    </w:rPr>
                    <w:t>N/A</w:t>
                  </w:r>
                </w:p>
              </w:tc>
            </w:tr>
            <w:tr w:rsidR="00DC671E" w:rsidRPr="0028003C" w14:paraId="00DCB07C" w14:textId="77777777" w:rsidTr="00402372">
              <w:trPr>
                <w:jc w:val="center"/>
              </w:trPr>
              <w:sdt>
                <w:sdtPr>
                  <w:rPr>
                    <w:rFonts w:ascii="Arial" w:hAnsi="Arial" w:cs="Arial"/>
                    <w:sz w:val="18"/>
                    <w:szCs w:val="18"/>
                  </w:rPr>
                  <w:alias w:val="Tipo"/>
                  <w:tag w:val="Tipo"/>
                  <w:id w:val="865032404"/>
                  <w:placeholder>
                    <w:docPart w:val="3DEB725F017C47539B0726375B24F695"/>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38F232" w14:textId="77777777" w:rsidR="00DC671E" w:rsidRPr="0028003C" w:rsidRDefault="00E666F6" w:rsidP="00402372">
                      <w:pPr>
                        <w:jc w:val="both"/>
                        <w:rPr>
                          <w:rFonts w:ascii="Arial" w:hAnsi="Arial" w:cs="Arial"/>
                          <w:sz w:val="18"/>
                          <w:szCs w:val="18"/>
                        </w:rPr>
                      </w:pPr>
                      <w:r w:rsidRPr="0028003C">
                        <w:rPr>
                          <w:rFonts w:ascii="Arial" w:hAnsi="Arial" w:cs="Arial"/>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5BB035CA" w14:textId="77777777" w:rsidR="00DC671E" w:rsidRPr="0028003C" w:rsidRDefault="00DC671E" w:rsidP="00402372">
                  <w:pPr>
                    <w:jc w:val="both"/>
                    <w:rPr>
                      <w:rFonts w:ascii="Arial" w:hAnsi="Arial" w:cs="Arial"/>
                      <w:sz w:val="18"/>
                      <w:szCs w:val="18"/>
                    </w:rPr>
                  </w:pPr>
                  <w:r w:rsidRPr="0028003C">
                    <w:rPr>
                      <w:rFonts w:ascii="Arial" w:hAnsi="Arial" w:cs="Arial"/>
                      <w:sz w:val="18"/>
                      <w:szCs w:val="18"/>
                    </w:rPr>
                    <w:t>Equipo informático utilizado por el recurso humano del Instituto.</w:t>
                  </w:r>
                </w:p>
              </w:tc>
              <w:tc>
                <w:tcPr>
                  <w:tcW w:w="1632" w:type="dxa"/>
                  <w:tcBorders>
                    <w:left w:val="single" w:sz="4" w:space="0" w:color="auto"/>
                  </w:tcBorders>
                  <w:shd w:val="clear" w:color="auto" w:fill="FFFFFF" w:themeFill="background1"/>
                </w:tcPr>
                <w:p w14:paraId="120C671E" w14:textId="77777777" w:rsidR="00DC671E" w:rsidRPr="0028003C" w:rsidRDefault="00DC671E" w:rsidP="00402372">
                  <w:pPr>
                    <w:jc w:val="center"/>
                    <w:rPr>
                      <w:rFonts w:ascii="Arial" w:hAnsi="Arial" w:cs="Arial"/>
                      <w:sz w:val="18"/>
                      <w:szCs w:val="18"/>
                    </w:rPr>
                  </w:pPr>
                  <w:r w:rsidRPr="0028003C">
                    <w:rPr>
                      <w:rFonts w:ascii="Arial" w:hAnsi="Arial" w:cs="Arial"/>
                      <w:sz w:val="18"/>
                      <w:szCs w:val="18"/>
                    </w:rPr>
                    <w:t>N/A</w:t>
                  </w:r>
                </w:p>
              </w:tc>
            </w:tr>
            <w:tr w:rsidR="00035C61" w:rsidRPr="0028003C" w14:paraId="6593B97E" w14:textId="77777777" w:rsidTr="00402372">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E77947" w14:textId="236DDADB" w:rsidR="00035C61" w:rsidRPr="0028003C" w:rsidRDefault="00035C61" w:rsidP="00402372">
                  <w:pPr>
                    <w:jc w:val="both"/>
                    <w:rPr>
                      <w:rFonts w:ascii="Arial" w:hAnsi="Arial" w:cs="Arial"/>
                      <w:sz w:val="18"/>
                      <w:szCs w:val="18"/>
                    </w:rPr>
                  </w:pPr>
                  <w:r w:rsidRPr="0028003C">
                    <w:rPr>
                      <w:rFonts w:ascii="Arial" w:hAnsi="Arial" w:cs="Arial"/>
                      <w:sz w:val="18"/>
                      <w:szCs w:val="18"/>
                    </w:rPr>
                    <w:t>Materiales</w:t>
                  </w:r>
                </w:p>
              </w:tc>
              <w:tc>
                <w:tcPr>
                  <w:tcW w:w="5602" w:type="dxa"/>
                  <w:tcBorders>
                    <w:left w:val="single" w:sz="4" w:space="0" w:color="auto"/>
                    <w:right w:val="single" w:sz="4" w:space="0" w:color="auto"/>
                  </w:tcBorders>
                  <w:shd w:val="clear" w:color="auto" w:fill="FFFFFF" w:themeFill="background1"/>
                </w:tcPr>
                <w:p w14:paraId="50247B40" w14:textId="16F51C60" w:rsidR="00035C61" w:rsidRPr="0028003C" w:rsidRDefault="00035C61" w:rsidP="00402372">
                  <w:pPr>
                    <w:jc w:val="both"/>
                    <w:rPr>
                      <w:rFonts w:ascii="Arial" w:hAnsi="Arial" w:cs="Arial"/>
                      <w:sz w:val="18"/>
                      <w:szCs w:val="18"/>
                    </w:rPr>
                  </w:pPr>
                  <w:r w:rsidRPr="0028003C">
                    <w:rPr>
                      <w:rFonts w:ascii="Arial" w:hAnsi="Arial" w:cs="Arial"/>
                      <w:sz w:val="18"/>
                      <w:szCs w:val="18"/>
                    </w:rPr>
                    <w:t>Recursos Materiales utilizados por el instituto para la aplicación de la propuesta</w:t>
                  </w:r>
                </w:p>
              </w:tc>
              <w:tc>
                <w:tcPr>
                  <w:tcW w:w="1632" w:type="dxa"/>
                  <w:tcBorders>
                    <w:left w:val="single" w:sz="4" w:space="0" w:color="auto"/>
                  </w:tcBorders>
                  <w:shd w:val="clear" w:color="auto" w:fill="FFFFFF" w:themeFill="background1"/>
                </w:tcPr>
                <w:p w14:paraId="229913A7" w14:textId="5FCBE31F" w:rsidR="00035C61" w:rsidRPr="0028003C" w:rsidRDefault="00035C61" w:rsidP="00402372">
                  <w:pPr>
                    <w:jc w:val="center"/>
                    <w:rPr>
                      <w:rFonts w:ascii="Arial" w:hAnsi="Arial" w:cs="Arial"/>
                      <w:sz w:val="18"/>
                      <w:szCs w:val="18"/>
                    </w:rPr>
                  </w:pPr>
                  <w:r w:rsidRPr="0028003C">
                    <w:rPr>
                      <w:rFonts w:ascii="Arial" w:hAnsi="Arial" w:cs="Arial"/>
                      <w:sz w:val="18"/>
                      <w:szCs w:val="18"/>
                    </w:rPr>
                    <w:t>N/A</w:t>
                  </w:r>
                </w:p>
              </w:tc>
            </w:tr>
          </w:tbl>
          <w:p w14:paraId="41814A3D" w14:textId="2BD510ED" w:rsidR="00DC671E" w:rsidRPr="0028003C" w:rsidRDefault="00DC671E" w:rsidP="00402372">
            <w:pPr>
              <w:jc w:val="both"/>
              <w:rPr>
                <w:rFonts w:ascii="Arial" w:hAnsi="Arial" w:cs="Arial"/>
                <w:b/>
                <w:sz w:val="18"/>
                <w:szCs w:val="18"/>
              </w:rPr>
            </w:pPr>
          </w:p>
          <w:p w14:paraId="27F726D2" w14:textId="273DF8F8" w:rsidR="00035C61" w:rsidRPr="0028003C" w:rsidRDefault="00035C61" w:rsidP="00402372">
            <w:pPr>
              <w:jc w:val="both"/>
              <w:rPr>
                <w:rFonts w:ascii="Arial" w:hAnsi="Arial" w:cs="Arial"/>
                <w:bCs/>
                <w:sz w:val="18"/>
                <w:szCs w:val="18"/>
              </w:rPr>
            </w:pPr>
            <w:r w:rsidRPr="0028003C">
              <w:rPr>
                <w:rFonts w:ascii="Arial" w:hAnsi="Arial" w:cs="Arial"/>
                <w:bCs/>
                <w:sz w:val="18"/>
                <w:szCs w:val="18"/>
              </w:rPr>
              <w:t>El cumplimiento, aplicación y evaluación de la propuesta de Regulación no requiere de ninguno de los recursos anteriores, pues su implementación y ejecución es directamente una análisis propio de las decisiones en materia de competencia económica que se emite por el Instituto y que requiere de un ejercicio intelectual y matemático simple y sencillo de los funcionarios involucrados.</w:t>
            </w:r>
          </w:p>
          <w:p w14:paraId="3DC082B3" w14:textId="77777777" w:rsidR="00035C61" w:rsidRPr="0028003C" w:rsidRDefault="00035C61" w:rsidP="00402372">
            <w:pPr>
              <w:jc w:val="both"/>
              <w:rPr>
                <w:rFonts w:ascii="Arial" w:hAnsi="Arial" w:cs="Arial"/>
                <w:b/>
                <w:sz w:val="18"/>
                <w:szCs w:val="18"/>
              </w:rPr>
            </w:pPr>
          </w:p>
          <w:p w14:paraId="1809E522" w14:textId="77777777" w:rsidR="00DC671E" w:rsidRPr="0028003C" w:rsidRDefault="00DC671E" w:rsidP="00402372">
            <w:pPr>
              <w:jc w:val="both"/>
              <w:rPr>
                <w:rFonts w:ascii="Arial" w:hAnsi="Arial" w:cs="Arial"/>
                <w:b/>
                <w:sz w:val="18"/>
                <w:szCs w:val="18"/>
              </w:rPr>
            </w:pPr>
            <w:r w:rsidRPr="0028003C">
              <w:rPr>
                <w:rFonts w:ascii="Arial" w:hAnsi="Arial" w:cs="Arial"/>
                <w:b/>
                <w:sz w:val="18"/>
                <w:szCs w:val="18"/>
              </w:rPr>
              <w:t xml:space="preserve">14.1.- Describa los mecanismos que la propuesta de regulación contiene para asegurar su cumplimiento, eficiencia y efectividad. </w:t>
            </w:r>
          </w:p>
          <w:p w14:paraId="4EA818C6" w14:textId="77777777" w:rsidR="00DC671E" w:rsidRPr="0028003C" w:rsidRDefault="00DC671E" w:rsidP="00402372">
            <w:pPr>
              <w:jc w:val="both"/>
              <w:rPr>
                <w:rFonts w:ascii="Arial" w:hAnsi="Arial" w:cs="Arial"/>
                <w:sz w:val="18"/>
                <w:szCs w:val="18"/>
              </w:rPr>
            </w:pPr>
            <w:r w:rsidRPr="0028003C">
              <w:rPr>
                <w:rFonts w:ascii="Arial" w:hAnsi="Arial" w:cs="Arial"/>
                <w:sz w:val="18"/>
                <w:szCs w:val="18"/>
              </w:rPr>
              <w:t>Seleccione los aplicables y, en su caso, enuncie otros mecanismos a utilizar. Agregue las filas que considere necesarias.</w:t>
            </w:r>
          </w:p>
          <w:p w14:paraId="21CB5273" w14:textId="77777777" w:rsidR="00DC671E" w:rsidRPr="0028003C" w:rsidRDefault="00DC671E" w:rsidP="00402372">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DC671E" w:rsidRPr="0028003C" w14:paraId="35A43160" w14:textId="77777777" w:rsidTr="00402372">
              <w:trPr>
                <w:jc w:val="center"/>
              </w:trPr>
              <w:tc>
                <w:tcPr>
                  <w:tcW w:w="1368" w:type="dxa"/>
                  <w:tcBorders>
                    <w:bottom w:val="single" w:sz="4" w:space="0" w:color="auto"/>
                  </w:tcBorders>
                  <w:shd w:val="clear" w:color="auto" w:fill="A8D08D" w:themeFill="accent6" w:themeFillTint="99"/>
                </w:tcPr>
                <w:p w14:paraId="1026DC8C" w14:textId="77777777" w:rsidR="00DC671E" w:rsidRPr="0028003C" w:rsidRDefault="00DC671E" w:rsidP="00402372">
                  <w:pPr>
                    <w:jc w:val="center"/>
                    <w:rPr>
                      <w:rFonts w:ascii="Arial" w:hAnsi="Arial" w:cs="Arial"/>
                      <w:b/>
                      <w:sz w:val="18"/>
                      <w:szCs w:val="18"/>
                    </w:rPr>
                  </w:pPr>
                  <w:r w:rsidRPr="0028003C">
                    <w:rPr>
                      <w:rFonts w:ascii="Arial" w:hAnsi="Arial" w:cs="Arial"/>
                      <w:b/>
                      <w:sz w:val="18"/>
                      <w:szCs w:val="18"/>
                    </w:rPr>
                    <w:t>Tipo</w:t>
                  </w:r>
                </w:p>
              </w:tc>
              <w:tc>
                <w:tcPr>
                  <w:tcW w:w="3870" w:type="dxa"/>
                  <w:tcBorders>
                    <w:bottom w:val="single" w:sz="4" w:space="0" w:color="auto"/>
                  </w:tcBorders>
                  <w:shd w:val="clear" w:color="auto" w:fill="A8D08D" w:themeFill="accent6" w:themeFillTint="99"/>
                </w:tcPr>
                <w:p w14:paraId="3DE7A760" w14:textId="77777777" w:rsidR="00DC671E" w:rsidRPr="0028003C" w:rsidRDefault="00DC671E" w:rsidP="00402372">
                  <w:pPr>
                    <w:jc w:val="center"/>
                    <w:rPr>
                      <w:rFonts w:ascii="Arial" w:hAnsi="Arial" w:cs="Arial"/>
                      <w:b/>
                      <w:sz w:val="18"/>
                      <w:szCs w:val="18"/>
                    </w:rPr>
                  </w:pPr>
                  <w:r w:rsidRPr="0028003C">
                    <w:rPr>
                      <w:rFonts w:ascii="Arial" w:hAnsi="Arial" w:cs="Arial"/>
                      <w:b/>
                      <w:sz w:val="18"/>
                      <w:szCs w:val="18"/>
                    </w:rPr>
                    <w:t>Descripción</w:t>
                  </w:r>
                </w:p>
              </w:tc>
              <w:tc>
                <w:tcPr>
                  <w:tcW w:w="3364" w:type="dxa"/>
                  <w:tcBorders>
                    <w:bottom w:val="single" w:sz="4" w:space="0" w:color="auto"/>
                  </w:tcBorders>
                  <w:shd w:val="clear" w:color="auto" w:fill="A8D08D" w:themeFill="accent6" w:themeFillTint="99"/>
                </w:tcPr>
                <w:p w14:paraId="7B0CD068" w14:textId="77777777" w:rsidR="00DC671E" w:rsidRPr="0028003C" w:rsidRDefault="00DC671E" w:rsidP="00402372">
                  <w:pPr>
                    <w:jc w:val="center"/>
                    <w:rPr>
                      <w:rFonts w:ascii="Arial" w:hAnsi="Arial" w:cs="Arial"/>
                      <w:b/>
                      <w:sz w:val="18"/>
                      <w:szCs w:val="18"/>
                    </w:rPr>
                  </w:pPr>
                  <w:r w:rsidRPr="0028003C">
                    <w:rPr>
                      <w:rFonts w:ascii="Arial" w:hAnsi="Arial" w:cs="Arial"/>
                      <w:b/>
                      <w:sz w:val="18"/>
                      <w:szCs w:val="18"/>
                    </w:rPr>
                    <w:t>Describa los recursos materiales, humanos, financieros, informáticos o algún otro que se emplearán para cada tipo</w:t>
                  </w:r>
                </w:p>
              </w:tc>
            </w:tr>
            <w:tr w:rsidR="00DC671E" w:rsidRPr="0028003C" w14:paraId="46F1A577" w14:textId="77777777" w:rsidTr="00402372">
              <w:trPr>
                <w:jc w:val="center"/>
              </w:trPr>
              <w:sdt>
                <w:sdtPr>
                  <w:rPr>
                    <w:rFonts w:ascii="Arial" w:hAnsi="Arial" w:cs="Arial"/>
                    <w:sz w:val="18"/>
                    <w:szCs w:val="18"/>
                  </w:rPr>
                  <w:alias w:val="Tipo"/>
                  <w:tag w:val="Tipo"/>
                  <w:id w:val="897089967"/>
                  <w:placeholder>
                    <w:docPart w:val="ECF7ABC8F2C34A6E97574C9D0608D8F9"/>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06F2A2" w14:textId="13AEAD52" w:rsidR="00DC671E" w:rsidRPr="0028003C" w:rsidRDefault="00E666F6" w:rsidP="00402372">
                      <w:pPr>
                        <w:rPr>
                          <w:rFonts w:ascii="Arial" w:hAnsi="Arial" w:cs="Arial"/>
                          <w:sz w:val="18"/>
                          <w:szCs w:val="18"/>
                        </w:rPr>
                      </w:pPr>
                      <w:r w:rsidRPr="0028003C">
                        <w:rPr>
                          <w:rFonts w:ascii="Arial" w:hAnsi="Arial" w:cs="Arial"/>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0972AFC" w14:textId="6EC35DB1" w:rsidR="00DC671E" w:rsidRPr="0028003C" w:rsidRDefault="009D2C42" w:rsidP="009D2C42">
                  <w:pPr>
                    <w:jc w:val="both"/>
                    <w:rPr>
                      <w:rFonts w:ascii="Arial" w:hAnsi="Arial" w:cs="Arial"/>
                      <w:sz w:val="18"/>
                      <w:szCs w:val="18"/>
                    </w:rPr>
                  </w:pPr>
                  <w:r w:rsidRPr="0028003C">
                    <w:rPr>
                      <w:rFonts w:ascii="Arial" w:hAnsi="Arial" w:cs="Arial"/>
                      <w:sz w:val="18"/>
                      <w:szCs w:val="18"/>
                    </w:rPr>
                    <w:t xml:space="preserve">Dado que el proyecto no establece medidas de cumplimiento a los agentes económicos, ya que el Criterio Técnico es una referencia que el Instituto utiliza para identificar las concentraciones que tienen poca probabilidad de obstaculizar, disminuir, dañar o impedir la competencia y la libre concurrencia, no se </w:t>
                  </w:r>
                  <w:r w:rsidRPr="0028003C">
                    <w:rPr>
                      <w:rFonts w:ascii="Arial" w:hAnsi="Arial" w:cs="Arial"/>
                      <w:sz w:val="18"/>
                      <w:szCs w:val="18"/>
                    </w:rPr>
                    <w:lastRenderedPageBreak/>
                    <w:t>prevén mecanismos para asegurar su cumplimiento.</w:t>
                  </w:r>
                </w:p>
              </w:tc>
              <w:tc>
                <w:tcPr>
                  <w:tcW w:w="3364" w:type="dxa"/>
                  <w:tcBorders>
                    <w:top w:val="single" w:sz="4" w:space="0" w:color="auto"/>
                    <w:left w:val="single" w:sz="4" w:space="0" w:color="auto"/>
                    <w:bottom w:val="single" w:sz="4" w:space="0" w:color="auto"/>
                  </w:tcBorders>
                  <w:shd w:val="clear" w:color="auto" w:fill="FFFFFF" w:themeFill="background1"/>
                  <w:vAlign w:val="center"/>
                </w:tcPr>
                <w:p w14:paraId="2258E263" w14:textId="606488B6" w:rsidR="00DC671E" w:rsidRPr="0028003C" w:rsidRDefault="009D2C42" w:rsidP="00402372">
                  <w:pPr>
                    <w:jc w:val="center"/>
                    <w:rPr>
                      <w:rFonts w:ascii="Arial" w:hAnsi="Arial" w:cs="Arial"/>
                      <w:sz w:val="18"/>
                      <w:szCs w:val="18"/>
                    </w:rPr>
                  </w:pPr>
                  <w:r w:rsidRPr="0028003C">
                    <w:rPr>
                      <w:rFonts w:ascii="Arial" w:hAnsi="Arial" w:cs="Arial"/>
                      <w:sz w:val="18"/>
                      <w:szCs w:val="18"/>
                    </w:rPr>
                    <w:lastRenderedPageBreak/>
                    <w:t>No aplica</w:t>
                  </w:r>
                </w:p>
              </w:tc>
            </w:tr>
          </w:tbl>
          <w:p w14:paraId="69AE4F17" w14:textId="77777777" w:rsidR="00DC671E" w:rsidRPr="0028003C" w:rsidRDefault="00DC671E" w:rsidP="00402372">
            <w:pPr>
              <w:jc w:val="both"/>
              <w:rPr>
                <w:rFonts w:ascii="Arial" w:hAnsi="Arial" w:cs="Arial"/>
                <w:sz w:val="18"/>
                <w:szCs w:val="18"/>
              </w:rPr>
            </w:pPr>
          </w:p>
          <w:p w14:paraId="5F1D1273" w14:textId="77777777" w:rsidR="00DC671E" w:rsidRPr="0028003C" w:rsidRDefault="00DC671E" w:rsidP="00402372">
            <w:pPr>
              <w:jc w:val="both"/>
              <w:rPr>
                <w:rFonts w:ascii="Arial" w:hAnsi="Arial" w:cs="Arial"/>
                <w:b/>
                <w:sz w:val="18"/>
                <w:szCs w:val="18"/>
              </w:rPr>
            </w:pPr>
          </w:p>
        </w:tc>
      </w:tr>
    </w:tbl>
    <w:p w14:paraId="00FF2309" w14:textId="77777777" w:rsidR="00DC671E" w:rsidRPr="00D0018E" w:rsidRDefault="00DC671E" w:rsidP="00DC671E">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DC671E" w:rsidRPr="00D0018E" w14:paraId="76495A7C" w14:textId="77777777" w:rsidTr="00402372">
        <w:tc>
          <w:tcPr>
            <w:tcW w:w="8828" w:type="dxa"/>
          </w:tcPr>
          <w:p w14:paraId="56EFCBD6" w14:textId="77777777" w:rsidR="00DC671E" w:rsidRPr="00D0018E" w:rsidRDefault="00DC671E" w:rsidP="00402372">
            <w:pPr>
              <w:jc w:val="both"/>
              <w:rPr>
                <w:rFonts w:ascii="Arial" w:hAnsi="Arial" w:cs="Arial"/>
                <w:b/>
                <w:sz w:val="18"/>
                <w:szCs w:val="18"/>
              </w:rPr>
            </w:pPr>
            <w:r w:rsidRPr="00D0018E">
              <w:rPr>
                <w:rFonts w:ascii="Arial" w:hAnsi="Arial" w:cs="Arial"/>
                <w:sz w:val="18"/>
                <w:szCs w:val="18"/>
              </w:rPr>
              <w:br w:type="page"/>
            </w:r>
            <w:r w:rsidRPr="00D0018E">
              <w:rPr>
                <w:rFonts w:ascii="Arial" w:hAnsi="Arial" w:cs="Arial"/>
                <w:sz w:val="18"/>
                <w:szCs w:val="18"/>
              </w:rPr>
              <w:br w:type="page"/>
            </w:r>
            <w:r w:rsidRPr="00D0018E">
              <w:rPr>
                <w:rFonts w:ascii="Arial" w:hAnsi="Arial" w:cs="Arial"/>
                <w:b/>
                <w:sz w:val="18"/>
                <w:szCs w:val="18"/>
              </w:rPr>
              <w:t>15.- Explique los métodos que se podrían utilizar para evaluar la implementación de la propuesta de regulación.</w:t>
            </w:r>
          </w:p>
          <w:p w14:paraId="486BBA18" w14:textId="77777777" w:rsidR="00DC671E" w:rsidRPr="00D0018E" w:rsidRDefault="00DC671E" w:rsidP="00402372">
            <w:pPr>
              <w:jc w:val="both"/>
              <w:rPr>
                <w:rFonts w:ascii="Arial" w:hAnsi="Arial" w:cs="Arial"/>
                <w:sz w:val="18"/>
                <w:szCs w:val="18"/>
              </w:rPr>
            </w:pPr>
            <w:r w:rsidRPr="00D0018E">
              <w:rPr>
                <w:rFonts w:ascii="Arial" w:hAnsi="Arial" w:cs="Arial"/>
                <w:sz w:val="18"/>
                <w:szCs w:val="18"/>
              </w:rPr>
              <w:t>Seleccione el método aplicable y, en su caso, enuncie los otros mecanismos de evaluación a utilizar. Agregue las filas que considere necesarias.</w:t>
            </w:r>
          </w:p>
          <w:p w14:paraId="67CEF87E" w14:textId="77777777" w:rsidR="00DC671E" w:rsidRPr="00D0018E" w:rsidRDefault="00DC671E" w:rsidP="00402372">
            <w:pPr>
              <w:jc w:val="both"/>
              <w:rPr>
                <w:rFonts w:ascii="Arial" w:hAnsi="Arial" w:cs="Arial"/>
                <w:b/>
                <w:sz w:val="18"/>
                <w:szCs w:val="18"/>
              </w:rPr>
            </w:pPr>
          </w:p>
          <w:p w14:paraId="0A1FE872" w14:textId="77777777" w:rsidR="00DC671E" w:rsidRPr="00D0018E" w:rsidRDefault="00DC671E" w:rsidP="00402372">
            <w:pPr>
              <w:jc w:val="both"/>
              <w:rPr>
                <w:rFonts w:ascii="Arial" w:hAnsi="Arial" w:cs="Arial"/>
                <w:b/>
                <w:sz w:val="18"/>
                <w:szCs w:val="18"/>
              </w:rPr>
            </w:pPr>
          </w:p>
          <w:tbl>
            <w:tblPr>
              <w:tblStyle w:val="Tablaconcuadrcula"/>
              <w:tblW w:w="0" w:type="auto"/>
              <w:jc w:val="center"/>
              <w:tblLook w:val="04A0" w:firstRow="1" w:lastRow="0" w:firstColumn="1" w:lastColumn="0" w:noHBand="0" w:noVBand="1"/>
            </w:tblPr>
            <w:tblGrid>
              <w:gridCol w:w="1299"/>
              <w:gridCol w:w="2551"/>
              <w:gridCol w:w="1985"/>
              <w:gridCol w:w="2767"/>
            </w:tblGrid>
            <w:tr w:rsidR="00DC671E" w:rsidRPr="00D0018E" w14:paraId="6D029115" w14:textId="77777777" w:rsidTr="00402372">
              <w:trPr>
                <w:tblHeader/>
                <w:jc w:val="center"/>
              </w:trPr>
              <w:tc>
                <w:tcPr>
                  <w:tcW w:w="1299" w:type="dxa"/>
                  <w:tcBorders>
                    <w:bottom w:val="single" w:sz="4" w:space="0" w:color="auto"/>
                  </w:tcBorders>
                  <w:shd w:val="clear" w:color="auto" w:fill="A8D08D" w:themeFill="accent6" w:themeFillTint="99"/>
                </w:tcPr>
                <w:p w14:paraId="05251BC2"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Método</w:t>
                  </w:r>
                </w:p>
              </w:tc>
              <w:tc>
                <w:tcPr>
                  <w:tcW w:w="2551" w:type="dxa"/>
                  <w:tcBorders>
                    <w:bottom w:val="single" w:sz="4" w:space="0" w:color="auto"/>
                  </w:tcBorders>
                  <w:shd w:val="clear" w:color="auto" w:fill="A8D08D" w:themeFill="accent6" w:themeFillTint="99"/>
                </w:tcPr>
                <w:p w14:paraId="7BA699BF"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Periodo</w:t>
                  </w:r>
                </w:p>
              </w:tc>
              <w:tc>
                <w:tcPr>
                  <w:tcW w:w="1985" w:type="dxa"/>
                  <w:tcBorders>
                    <w:bottom w:val="single" w:sz="4" w:space="0" w:color="auto"/>
                  </w:tcBorders>
                  <w:shd w:val="clear" w:color="auto" w:fill="A8D08D" w:themeFill="accent6" w:themeFillTint="99"/>
                </w:tcPr>
                <w:p w14:paraId="41651E09"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Evaluador</w:t>
                  </w:r>
                </w:p>
              </w:tc>
              <w:tc>
                <w:tcPr>
                  <w:tcW w:w="2767" w:type="dxa"/>
                  <w:tcBorders>
                    <w:bottom w:val="single" w:sz="4" w:space="0" w:color="auto"/>
                  </w:tcBorders>
                  <w:shd w:val="clear" w:color="auto" w:fill="A8D08D" w:themeFill="accent6" w:themeFillTint="99"/>
                </w:tcPr>
                <w:p w14:paraId="5F3E1D9A"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Descripción</w:t>
                  </w:r>
                </w:p>
              </w:tc>
            </w:tr>
            <w:tr w:rsidR="00DC671E" w:rsidRPr="00D0018E" w14:paraId="24FF9574" w14:textId="77777777" w:rsidTr="00402372">
              <w:trPr>
                <w:jc w:val="center"/>
              </w:trPr>
              <w:sdt>
                <w:sdtPr>
                  <w:rPr>
                    <w:rFonts w:ascii="Arial" w:hAnsi="Arial" w:cs="Arial"/>
                    <w:sz w:val="18"/>
                    <w:szCs w:val="18"/>
                  </w:rPr>
                  <w:alias w:val="Método"/>
                  <w:tag w:val="Método"/>
                  <w:id w:val="365875720"/>
                  <w:placeholder>
                    <w:docPart w:val="D245DFDAF5B74F7992C9AB83A46D8DFC"/>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12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684C14D" w14:textId="77777777" w:rsidR="00DC671E" w:rsidRPr="00D0018E" w:rsidRDefault="00E666F6" w:rsidP="00402372">
                      <w:pPr>
                        <w:rPr>
                          <w:rFonts w:ascii="Arial" w:hAnsi="Arial" w:cs="Arial"/>
                          <w:sz w:val="18"/>
                          <w:szCs w:val="18"/>
                        </w:rPr>
                      </w:pPr>
                      <w:r>
                        <w:rPr>
                          <w:rFonts w:ascii="Arial" w:hAnsi="Arial" w:cs="Arial"/>
                          <w:sz w:val="18"/>
                          <w:szCs w:val="18"/>
                        </w:rPr>
                        <w:t>Otro</w:t>
                      </w:r>
                    </w:p>
                  </w:tc>
                </w:sdtContent>
              </w:sdt>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DF86562" w14:textId="1FF3691F" w:rsidR="00DC671E" w:rsidRPr="00D0018E" w:rsidRDefault="00E661F0" w:rsidP="00E661F0">
                  <w:pPr>
                    <w:jc w:val="both"/>
                    <w:rPr>
                      <w:rFonts w:ascii="Arial" w:hAnsi="Arial" w:cs="Arial"/>
                      <w:sz w:val="18"/>
                      <w:szCs w:val="18"/>
                    </w:rPr>
                  </w:pPr>
                  <w:r w:rsidRPr="0028003C">
                    <w:rPr>
                      <w:rFonts w:ascii="Arial" w:hAnsi="Arial" w:cs="Arial"/>
                      <w:sz w:val="18"/>
                      <w:szCs w:val="18"/>
                    </w:rPr>
                    <w:t>Conforme a lo establecido en los artículos 12, fracción XXII, párrafo tercero, inciso a) y 138, último párrafo, de la LFCE, el Criterio Técnico deberán revisarse por lo menos cada cinco años por el Instituto</w:t>
                  </w:r>
                  <w:r w:rsidR="00DC671E" w:rsidRPr="0028003C">
                    <w:rPr>
                      <w:rFonts w:ascii="Arial" w:hAnsi="Arial" w:cs="Arial"/>
                      <w:sz w:val="18"/>
                      <w:szCs w:val="18"/>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D566C91" w14:textId="56527951" w:rsidR="00DC671E" w:rsidRPr="00D0018E" w:rsidRDefault="009D2C42" w:rsidP="00402372">
                  <w:pPr>
                    <w:jc w:val="center"/>
                    <w:rPr>
                      <w:rFonts w:ascii="Arial" w:hAnsi="Arial" w:cs="Arial"/>
                      <w:sz w:val="18"/>
                      <w:szCs w:val="18"/>
                    </w:rPr>
                  </w:pPr>
                  <w:r w:rsidRPr="00D0018E">
                    <w:rPr>
                      <w:rFonts w:ascii="Arial" w:hAnsi="Arial" w:cs="Arial"/>
                      <w:sz w:val="18"/>
                      <w:szCs w:val="18"/>
                    </w:rPr>
                    <w:t>Unidad de Competencia Económica</w:t>
                  </w:r>
                </w:p>
              </w:tc>
              <w:tc>
                <w:tcPr>
                  <w:tcW w:w="2767" w:type="dxa"/>
                  <w:tcBorders>
                    <w:top w:val="single" w:sz="4" w:space="0" w:color="auto"/>
                    <w:left w:val="single" w:sz="4" w:space="0" w:color="auto"/>
                    <w:bottom w:val="single" w:sz="4" w:space="0" w:color="auto"/>
                  </w:tcBorders>
                  <w:shd w:val="clear" w:color="auto" w:fill="FFFFFF" w:themeFill="background1"/>
                </w:tcPr>
                <w:p w14:paraId="378FDC34" w14:textId="51BD7AA0" w:rsidR="00DC671E" w:rsidRPr="00D0018E" w:rsidRDefault="009D2C42" w:rsidP="00402372">
                  <w:pPr>
                    <w:jc w:val="both"/>
                    <w:rPr>
                      <w:rFonts w:ascii="Arial" w:hAnsi="Arial" w:cs="Arial"/>
                      <w:sz w:val="18"/>
                      <w:szCs w:val="18"/>
                    </w:rPr>
                  </w:pPr>
                  <w:r w:rsidRPr="00D0018E">
                    <w:rPr>
                      <w:rFonts w:ascii="Arial" w:hAnsi="Arial" w:cs="Arial"/>
                      <w:sz w:val="18"/>
                      <w:szCs w:val="18"/>
                    </w:rPr>
                    <w:t>Revisión y análisis de los niveles de concentración en las distintas actividades y mercados analizados, así como verificar si el índice que se utiliza como referencia sigue siendo aplicable y es congruente con las mejores prácticas internacionales.</w:t>
                  </w:r>
                </w:p>
              </w:tc>
            </w:tr>
          </w:tbl>
          <w:p w14:paraId="6611BAF1" w14:textId="77777777" w:rsidR="00DC671E" w:rsidRPr="00D0018E" w:rsidRDefault="00DC671E" w:rsidP="00402372">
            <w:pPr>
              <w:jc w:val="both"/>
              <w:rPr>
                <w:rFonts w:ascii="Arial" w:hAnsi="Arial" w:cs="Arial"/>
                <w:b/>
                <w:sz w:val="18"/>
                <w:szCs w:val="18"/>
              </w:rPr>
            </w:pPr>
          </w:p>
          <w:p w14:paraId="513D9D8B" w14:textId="77777777" w:rsidR="00DC671E" w:rsidRPr="00D0018E" w:rsidRDefault="00DC671E" w:rsidP="00402372">
            <w:pPr>
              <w:jc w:val="both"/>
              <w:rPr>
                <w:rFonts w:ascii="Arial" w:hAnsi="Arial" w:cs="Arial"/>
                <w:sz w:val="18"/>
                <w:szCs w:val="18"/>
              </w:rPr>
            </w:pPr>
            <w:r w:rsidRPr="00D0018E">
              <w:rPr>
                <w:rFonts w:ascii="Arial" w:hAnsi="Arial" w:cs="Arial"/>
                <w:sz w:val="18"/>
                <w:szCs w:val="18"/>
              </w:rPr>
              <w:t>Señale si la propuesta de regulación podría ser evaluada con la construcción de un indicador o con la utilización de una variable estadística determinada, así como su intervalo de revisión. Agregue las filas que considere necesarias.</w:t>
            </w:r>
          </w:p>
          <w:p w14:paraId="43D1D036" w14:textId="77777777" w:rsidR="00DC671E" w:rsidRPr="00D0018E" w:rsidRDefault="00DC671E" w:rsidP="00402372">
            <w:pPr>
              <w:jc w:val="both"/>
              <w:rPr>
                <w:rFonts w:ascii="Arial" w:hAnsi="Arial" w:cs="Arial"/>
                <w:b/>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DC671E" w:rsidRPr="00D0018E" w14:paraId="1DA5E46B" w14:textId="77777777" w:rsidTr="00402372">
              <w:trPr>
                <w:jc w:val="center"/>
              </w:trPr>
              <w:tc>
                <w:tcPr>
                  <w:tcW w:w="1867" w:type="dxa"/>
                  <w:tcBorders>
                    <w:bottom w:val="single" w:sz="4" w:space="0" w:color="auto"/>
                  </w:tcBorders>
                  <w:shd w:val="clear" w:color="auto" w:fill="A8D08D" w:themeFill="accent6" w:themeFillTint="99"/>
                </w:tcPr>
                <w:p w14:paraId="632D84FA"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Indicador / variable</w:t>
                  </w:r>
                </w:p>
              </w:tc>
              <w:tc>
                <w:tcPr>
                  <w:tcW w:w="1984" w:type="dxa"/>
                  <w:tcBorders>
                    <w:bottom w:val="single" w:sz="4" w:space="0" w:color="auto"/>
                  </w:tcBorders>
                  <w:shd w:val="clear" w:color="auto" w:fill="A8D08D" w:themeFill="accent6" w:themeFillTint="99"/>
                </w:tcPr>
                <w:p w14:paraId="64535118"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Intervalo</w:t>
                  </w:r>
                </w:p>
              </w:tc>
              <w:tc>
                <w:tcPr>
                  <w:tcW w:w="4678" w:type="dxa"/>
                  <w:tcBorders>
                    <w:bottom w:val="single" w:sz="4" w:space="0" w:color="auto"/>
                  </w:tcBorders>
                  <w:shd w:val="clear" w:color="auto" w:fill="A8D08D" w:themeFill="accent6" w:themeFillTint="99"/>
                </w:tcPr>
                <w:p w14:paraId="6B5B0399"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Interpretación</w:t>
                  </w:r>
                </w:p>
              </w:tc>
            </w:tr>
            <w:tr w:rsidR="00DC671E" w:rsidRPr="00D0018E" w14:paraId="4A4C04F6" w14:textId="77777777" w:rsidTr="00402372">
              <w:trPr>
                <w:jc w:val="center"/>
              </w:trPr>
              <w:sdt>
                <w:sdtPr>
                  <w:rPr>
                    <w:rStyle w:val="Estilo1"/>
                    <w:rFonts w:ascii="Arial" w:hAnsi="Arial" w:cs="Arial"/>
                    <w:sz w:val="16"/>
                    <w:szCs w:val="16"/>
                  </w:rPr>
                  <w:alias w:val="Objetivos Institucionales"/>
                  <w:tag w:val="Objetivos Institucionales"/>
                  <w:id w:val="-954246364"/>
                  <w:placeholder>
                    <w:docPart w:val="DCD1D79C95E7499F90E560BB3761536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389CA4" w14:textId="77777777" w:rsidR="00DC671E" w:rsidRPr="00D0018E" w:rsidRDefault="00DC671E" w:rsidP="00402372">
                      <w:pPr>
                        <w:jc w:val="center"/>
                        <w:rPr>
                          <w:rFonts w:ascii="Arial" w:hAnsi="Arial" w:cs="Arial"/>
                          <w:sz w:val="16"/>
                          <w:szCs w:val="16"/>
                        </w:rPr>
                      </w:pPr>
                      <w:r w:rsidRPr="00D0018E">
                        <w:rPr>
                          <w:rStyle w:val="Textodelmarcadordeposicin"/>
                          <w:rFonts w:ascii="Arial" w:hAnsi="Arial" w:cs="Arial"/>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6DDE2CC" w14:textId="77777777" w:rsidR="00DC671E" w:rsidRPr="00D0018E" w:rsidRDefault="00DC671E" w:rsidP="00402372">
                  <w:pPr>
                    <w:jc w:val="center"/>
                    <w:rPr>
                      <w:rFonts w:ascii="Arial" w:hAnsi="Arial" w:cs="Arial"/>
                      <w:sz w:val="18"/>
                      <w:szCs w:val="18"/>
                    </w:rPr>
                  </w:pPr>
                  <w:r w:rsidRPr="00D0018E">
                    <w:rPr>
                      <w:rFonts w:ascii="Arial" w:hAnsi="Arial" w:cs="Arial"/>
                      <w:sz w:val="18"/>
                      <w:szCs w:val="18"/>
                    </w:rPr>
                    <w:t>No aplica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9526DD2" w14:textId="77777777" w:rsidR="00DC671E" w:rsidRPr="00D0018E" w:rsidRDefault="00DC671E" w:rsidP="00402372">
                  <w:pPr>
                    <w:jc w:val="center"/>
                    <w:rPr>
                      <w:rFonts w:ascii="Arial" w:hAnsi="Arial" w:cs="Arial"/>
                      <w:sz w:val="18"/>
                      <w:szCs w:val="18"/>
                    </w:rPr>
                  </w:pPr>
                  <w:r w:rsidRPr="00D0018E">
                    <w:rPr>
                      <w:rFonts w:ascii="Arial" w:hAnsi="Arial" w:cs="Arial"/>
                      <w:sz w:val="18"/>
                      <w:szCs w:val="18"/>
                    </w:rPr>
                    <w:t>No aplica</w:t>
                  </w:r>
                </w:p>
              </w:tc>
            </w:tr>
          </w:tbl>
          <w:p w14:paraId="61671E18" w14:textId="77777777" w:rsidR="00DC671E" w:rsidRPr="00D0018E" w:rsidRDefault="00DC671E" w:rsidP="00402372">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DC671E" w:rsidRPr="00D0018E" w14:paraId="191DAE65" w14:textId="77777777" w:rsidTr="00402372">
              <w:trPr>
                <w:jc w:val="center"/>
              </w:trPr>
              <w:tc>
                <w:tcPr>
                  <w:tcW w:w="1867" w:type="dxa"/>
                  <w:tcBorders>
                    <w:bottom w:val="single" w:sz="4" w:space="0" w:color="auto"/>
                  </w:tcBorders>
                  <w:shd w:val="clear" w:color="auto" w:fill="A8D08D" w:themeFill="accent6" w:themeFillTint="99"/>
                </w:tcPr>
                <w:p w14:paraId="4BFA588F"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Indicador / variable</w:t>
                  </w:r>
                </w:p>
              </w:tc>
              <w:tc>
                <w:tcPr>
                  <w:tcW w:w="1984" w:type="dxa"/>
                  <w:tcBorders>
                    <w:bottom w:val="single" w:sz="4" w:space="0" w:color="auto"/>
                  </w:tcBorders>
                  <w:shd w:val="clear" w:color="auto" w:fill="A8D08D" w:themeFill="accent6" w:themeFillTint="99"/>
                </w:tcPr>
                <w:p w14:paraId="5E24379F"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Intervalo</w:t>
                  </w:r>
                </w:p>
              </w:tc>
              <w:tc>
                <w:tcPr>
                  <w:tcW w:w="4678" w:type="dxa"/>
                  <w:tcBorders>
                    <w:bottom w:val="single" w:sz="4" w:space="0" w:color="auto"/>
                  </w:tcBorders>
                  <w:shd w:val="clear" w:color="auto" w:fill="A8D08D" w:themeFill="accent6" w:themeFillTint="99"/>
                </w:tcPr>
                <w:p w14:paraId="2E76A827"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Interpretación</w:t>
                  </w:r>
                </w:p>
              </w:tc>
            </w:tr>
            <w:tr w:rsidR="00DC671E" w:rsidRPr="00D0018E" w14:paraId="054D9224" w14:textId="77777777" w:rsidTr="00402372">
              <w:trPr>
                <w:jc w:val="center"/>
              </w:trPr>
              <w:sdt>
                <w:sdtPr>
                  <w:rPr>
                    <w:rStyle w:val="Estilo1"/>
                    <w:rFonts w:ascii="Arial" w:hAnsi="Arial" w:cs="Arial"/>
                    <w:sz w:val="16"/>
                    <w:szCs w:val="16"/>
                  </w:rPr>
                  <w:alias w:val="Objetivos Institucionales"/>
                  <w:tag w:val="Objetivos Institucionales"/>
                  <w:id w:val="608931467"/>
                  <w:placeholder>
                    <w:docPart w:val="242BCED56314402498000B4D336B212A"/>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22B82472" w14:textId="77777777" w:rsidR="00DC671E" w:rsidRPr="00D0018E" w:rsidRDefault="00DC671E" w:rsidP="00402372">
                      <w:pPr>
                        <w:jc w:val="center"/>
                        <w:rPr>
                          <w:rFonts w:ascii="Arial" w:hAnsi="Arial" w:cs="Arial"/>
                          <w:sz w:val="16"/>
                          <w:szCs w:val="16"/>
                        </w:rPr>
                      </w:pPr>
                      <w:r w:rsidRPr="00D0018E">
                        <w:rPr>
                          <w:rStyle w:val="Textodelmarcadordeposicin"/>
                          <w:rFonts w:ascii="Arial" w:hAnsi="Arial" w:cs="Arial"/>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D5AF565" w14:textId="77777777" w:rsidR="00DC671E" w:rsidRPr="00D0018E" w:rsidRDefault="00DC671E" w:rsidP="00402372">
                  <w:pPr>
                    <w:jc w:val="center"/>
                    <w:rPr>
                      <w:rFonts w:ascii="Arial" w:hAnsi="Arial" w:cs="Arial"/>
                      <w:sz w:val="18"/>
                      <w:szCs w:val="18"/>
                    </w:rPr>
                  </w:pPr>
                  <w:r w:rsidRPr="00D0018E">
                    <w:rPr>
                      <w:rFonts w:ascii="Arial" w:hAnsi="Arial" w:cs="Arial"/>
                      <w:sz w:val="18"/>
                      <w:szCs w:val="18"/>
                    </w:rPr>
                    <w:t>No aplica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584DE35" w14:textId="77777777" w:rsidR="00DC671E" w:rsidRPr="00D0018E" w:rsidRDefault="00DC671E" w:rsidP="00402372">
                  <w:pPr>
                    <w:jc w:val="center"/>
                    <w:rPr>
                      <w:rFonts w:ascii="Arial" w:hAnsi="Arial" w:cs="Arial"/>
                      <w:sz w:val="18"/>
                      <w:szCs w:val="18"/>
                    </w:rPr>
                  </w:pPr>
                  <w:r w:rsidRPr="00D0018E">
                    <w:rPr>
                      <w:rFonts w:ascii="Arial" w:hAnsi="Arial" w:cs="Arial"/>
                      <w:sz w:val="18"/>
                      <w:szCs w:val="18"/>
                    </w:rPr>
                    <w:t>No aplica</w:t>
                  </w:r>
                </w:p>
              </w:tc>
            </w:tr>
          </w:tbl>
          <w:p w14:paraId="0BEC1E5D" w14:textId="77777777" w:rsidR="00DC671E" w:rsidRPr="00D0018E" w:rsidRDefault="00DC671E" w:rsidP="00402372">
            <w:pPr>
              <w:jc w:val="both"/>
              <w:rPr>
                <w:rFonts w:ascii="Arial" w:hAnsi="Arial" w:cs="Arial"/>
                <w:sz w:val="18"/>
                <w:szCs w:val="18"/>
              </w:rPr>
            </w:pPr>
          </w:p>
          <w:p w14:paraId="7C557A7F" w14:textId="77777777" w:rsidR="00DC671E" w:rsidRPr="00D0018E" w:rsidRDefault="00DC671E" w:rsidP="00402372">
            <w:pPr>
              <w:jc w:val="both"/>
              <w:rPr>
                <w:rFonts w:ascii="Arial" w:hAnsi="Arial" w:cs="Arial"/>
                <w:sz w:val="18"/>
                <w:szCs w:val="18"/>
              </w:rPr>
            </w:pPr>
          </w:p>
        </w:tc>
      </w:tr>
    </w:tbl>
    <w:p w14:paraId="77214D17" w14:textId="77777777" w:rsidR="00DC671E" w:rsidRPr="00D0018E" w:rsidRDefault="00DC671E" w:rsidP="00DC671E">
      <w:pPr>
        <w:jc w:val="both"/>
        <w:rPr>
          <w:rFonts w:ascii="Arial" w:hAnsi="Arial" w:cs="Arial"/>
          <w:sz w:val="18"/>
          <w:szCs w:val="18"/>
        </w:rPr>
      </w:pPr>
    </w:p>
    <w:p w14:paraId="539769E9" w14:textId="77777777" w:rsidR="00DC671E" w:rsidRPr="00D0018E" w:rsidRDefault="00DC671E" w:rsidP="00DC671E">
      <w:pPr>
        <w:shd w:val="clear" w:color="auto" w:fill="A8D08D" w:themeFill="accent6" w:themeFillTint="99"/>
        <w:jc w:val="both"/>
        <w:rPr>
          <w:rFonts w:ascii="Arial" w:hAnsi="Arial" w:cs="Arial"/>
          <w:b/>
          <w:sz w:val="18"/>
          <w:szCs w:val="18"/>
        </w:rPr>
      </w:pPr>
      <w:r w:rsidRPr="00D0018E">
        <w:rPr>
          <w:rFonts w:ascii="Arial" w:hAnsi="Arial" w:cs="Arial"/>
          <w:b/>
          <w:sz w:val="18"/>
          <w:szCs w:val="18"/>
        </w:rPr>
        <w:t>V.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DC671E" w:rsidRPr="00D0018E" w14:paraId="23259A8A" w14:textId="77777777" w:rsidTr="00402372">
        <w:tc>
          <w:tcPr>
            <w:tcW w:w="8828" w:type="dxa"/>
          </w:tcPr>
          <w:p w14:paraId="72C6E18A" w14:textId="77777777" w:rsidR="00DC671E" w:rsidRPr="00D0018E" w:rsidRDefault="00DC671E" w:rsidP="00402372">
            <w:pPr>
              <w:jc w:val="both"/>
              <w:rPr>
                <w:rFonts w:ascii="Arial" w:hAnsi="Arial" w:cs="Arial"/>
                <w:b/>
                <w:sz w:val="18"/>
                <w:szCs w:val="18"/>
              </w:rPr>
            </w:pPr>
            <w:r w:rsidRPr="00D0018E">
              <w:rPr>
                <w:rFonts w:ascii="Arial" w:hAnsi="Arial" w:cs="Arial"/>
                <w:b/>
                <w:sz w:val="18"/>
                <w:szCs w:val="18"/>
              </w:rPr>
              <w:t>16.- Solo en los casos de una consulta pública de integración o de evaluación para la elaboración de una propuesta de regulación, seleccione y detalle.</w:t>
            </w:r>
            <w:r w:rsidRPr="00D0018E">
              <w:rPr>
                <w:rStyle w:val="Refdenotaalpie"/>
                <w:rFonts w:ascii="Arial" w:hAnsi="Arial" w:cs="Arial"/>
                <w:b/>
                <w:sz w:val="18"/>
                <w:szCs w:val="18"/>
              </w:rPr>
              <w:footnoteReference w:id="6"/>
            </w:r>
            <w:r w:rsidRPr="00D0018E">
              <w:rPr>
                <w:rFonts w:ascii="Arial" w:hAnsi="Arial" w:cs="Arial"/>
                <w:b/>
                <w:sz w:val="18"/>
                <w:szCs w:val="18"/>
              </w:rPr>
              <w:t xml:space="preserve"> Agregue las filas que considere necesarias.</w:t>
            </w:r>
          </w:p>
          <w:p w14:paraId="52C7596D" w14:textId="77777777" w:rsidR="00DC671E" w:rsidRPr="00D0018E" w:rsidRDefault="00DC671E" w:rsidP="00402372">
            <w:pPr>
              <w:jc w:val="both"/>
              <w:rPr>
                <w:rFonts w:ascii="Arial" w:hAnsi="Arial" w:cs="Arial"/>
                <w:sz w:val="18"/>
                <w:szCs w:val="18"/>
              </w:rPr>
            </w:pPr>
          </w:p>
          <w:tbl>
            <w:tblPr>
              <w:tblStyle w:val="Tablaconcuadrcula"/>
              <w:tblW w:w="0" w:type="auto"/>
              <w:tblLook w:val="04A0" w:firstRow="1" w:lastRow="0" w:firstColumn="1" w:lastColumn="0" w:noHBand="0" w:noVBand="1"/>
            </w:tblPr>
            <w:tblGrid>
              <w:gridCol w:w="3137"/>
            </w:tblGrid>
            <w:tr w:rsidR="00DC671E" w:rsidRPr="00D0018E" w14:paraId="5E137587" w14:textId="77777777" w:rsidTr="00402372">
              <w:trPr>
                <w:trHeight w:val="265"/>
              </w:trPr>
              <w:tc>
                <w:tcPr>
                  <w:tcW w:w="3137" w:type="dxa"/>
                  <w:shd w:val="clear" w:color="auto" w:fill="A8D08D" w:themeFill="accent6" w:themeFillTint="99"/>
                </w:tcPr>
                <w:p w14:paraId="44BE92D3"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Tipo de Consulta Pública realizada</w:t>
                  </w:r>
                </w:p>
              </w:tc>
            </w:tr>
            <w:tr w:rsidR="00DC671E" w:rsidRPr="00D0018E" w14:paraId="66E978B7" w14:textId="77777777" w:rsidTr="00402372">
              <w:trPr>
                <w:trHeight w:val="257"/>
              </w:trPr>
              <w:sdt>
                <w:sdtPr>
                  <w:rPr>
                    <w:rFonts w:ascii="Arial" w:hAnsi="Arial" w:cs="Arial"/>
                    <w:sz w:val="18"/>
                    <w:szCs w:val="18"/>
                  </w:rPr>
                  <w:alias w:val="Tipo de Consulta Pública realizada"/>
                  <w:tag w:val="Tipo de Consulta Pública realizada"/>
                  <w:id w:val="-1163013831"/>
                  <w:placeholder>
                    <w:docPart w:val="2642C67B84474DE5B5D97062BAC75D69"/>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2B90A3D2" w14:textId="77777777" w:rsidR="00DC671E" w:rsidRPr="00D0018E" w:rsidRDefault="00DC671E" w:rsidP="00402372">
                      <w:pPr>
                        <w:jc w:val="both"/>
                        <w:rPr>
                          <w:rFonts w:ascii="Arial" w:hAnsi="Arial" w:cs="Arial"/>
                          <w:sz w:val="18"/>
                          <w:szCs w:val="18"/>
                        </w:rPr>
                      </w:pPr>
                      <w:r w:rsidRPr="00D0018E">
                        <w:rPr>
                          <w:rStyle w:val="Textodelmarcadordeposicin"/>
                          <w:rFonts w:ascii="Arial" w:hAnsi="Arial" w:cs="Arial"/>
                        </w:rPr>
                        <w:t>Elija un elemento.</w:t>
                      </w:r>
                    </w:p>
                  </w:tc>
                </w:sdtContent>
              </w:sdt>
            </w:tr>
          </w:tbl>
          <w:p w14:paraId="25C904FC" w14:textId="77777777" w:rsidR="00DC671E" w:rsidRPr="00D0018E" w:rsidRDefault="00DC671E" w:rsidP="00402372">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DC671E" w:rsidRPr="00D0018E" w14:paraId="3770DAA5" w14:textId="77777777" w:rsidTr="00402372">
              <w:tc>
                <w:tcPr>
                  <w:tcW w:w="2011" w:type="dxa"/>
                  <w:tcBorders>
                    <w:bottom w:val="single" w:sz="4" w:space="0" w:color="auto"/>
                  </w:tcBorders>
                  <w:shd w:val="clear" w:color="auto" w:fill="A8D08D" w:themeFill="accent6" w:themeFillTint="99"/>
                </w:tcPr>
                <w:p w14:paraId="2BD0FEBB"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Medios</w:t>
                  </w:r>
                </w:p>
              </w:tc>
              <w:tc>
                <w:tcPr>
                  <w:tcW w:w="1941" w:type="dxa"/>
                  <w:tcBorders>
                    <w:bottom w:val="single" w:sz="4" w:space="0" w:color="auto"/>
                  </w:tcBorders>
                  <w:shd w:val="clear" w:color="auto" w:fill="A8D08D" w:themeFill="accent6" w:themeFillTint="99"/>
                </w:tcPr>
                <w:p w14:paraId="0BC914D8"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Participante(s)</w:t>
                  </w:r>
                </w:p>
              </w:tc>
              <w:tc>
                <w:tcPr>
                  <w:tcW w:w="1426" w:type="dxa"/>
                  <w:tcBorders>
                    <w:bottom w:val="single" w:sz="2" w:space="0" w:color="auto"/>
                  </w:tcBorders>
                  <w:shd w:val="clear" w:color="auto" w:fill="A8D08D" w:themeFill="accent6" w:themeFillTint="99"/>
                </w:tcPr>
                <w:p w14:paraId="3C314BD4"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Fecha</w:t>
                  </w:r>
                </w:p>
              </w:tc>
              <w:tc>
                <w:tcPr>
                  <w:tcW w:w="3224" w:type="dxa"/>
                  <w:tcBorders>
                    <w:bottom w:val="single" w:sz="2" w:space="0" w:color="auto"/>
                  </w:tcBorders>
                  <w:shd w:val="clear" w:color="auto" w:fill="A8D08D" w:themeFill="accent6" w:themeFillTint="99"/>
                </w:tcPr>
                <w:p w14:paraId="4A36E80B" w14:textId="77777777" w:rsidR="00DC671E" w:rsidRPr="00D0018E" w:rsidRDefault="00DC671E" w:rsidP="00402372">
                  <w:pPr>
                    <w:jc w:val="center"/>
                    <w:rPr>
                      <w:rFonts w:ascii="Arial" w:hAnsi="Arial" w:cs="Arial"/>
                      <w:b/>
                      <w:sz w:val="18"/>
                      <w:szCs w:val="18"/>
                    </w:rPr>
                  </w:pPr>
                  <w:r w:rsidRPr="00D0018E">
                    <w:rPr>
                      <w:rFonts w:ascii="Arial" w:hAnsi="Arial" w:cs="Arial"/>
                      <w:b/>
                      <w:sz w:val="18"/>
                      <w:szCs w:val="18"/>
                    </w:rPr>
                    <w:t>Principales aportaciones</w:t>
                  </w:r>
                </w:p>
              </w:tc>
            </w:tr>
            <w:tr w:rsidR="00DC671E" w:rsidRPr="00D0018E" w14:paraId="293DB7A4" w14:textId="77777777" w:rsidTr="00402372">
              <w:sdt>
                <w:sdtPr>
                  <w:rPr>
                    <w:rFonts w:ascii="Arial" w:hAnsi="Arial" w:cs="Arial"/>
                    <w:sz w:val="18"/>
                    <w:szCs w:val="18"/>
                  </w:rPr>
                  <w:alias w:val="Medios"/>
                  <w:tag w:val="Medios"/>
                  <w:id w:val="979970862"/>
                  <w:placeholder>
                    <w:docPart w:val="96C8B3A7D49546A6A1A56033BE126079"/>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80ADF3" w14:textId="77777777" w:rsidR="00DC671E" w:rsidRPr="00D0018E" w:rsidRDefault="00DC671E" w:rsidP="00402372">
                      <w:pPr>
                        <w:jc w:val="both"/>
                        <w:rPr>
                          <w:rFonts w:ascii="Arial" w:hAnsi="Arial" w:cs="Arial"/>
                          <w:sz w:val="18"/>
                          <w:szCs w:val="18"/>
                        </w:rPr>
                      </w:pPr>
                      <w:r w:rsidRPr="00D0018E">
                        <w:rPr>
                          <w:rStyle w:val="Textodelmarcadordeposicin"/>
                          <w:rFonts w:ascii="Arial" w:hAnsi="Arial" w:cs="Arial"/>
                          <w:sz w:val="20"/>
                        </w:rPr>
                        <w:t>Elija un elemento.</w:t>
                      </w:r>
                    </w:p>
                  </w:tc>
                </w:sdtContent>
              </w:sdt>
              <w:sdt>
                <w:sdtPr>
                  <w:rPr>
                    <w:rFonts w:ascii="Arial" w:hAnsi="Arial" w:cs="Arial"/>
                    <w:sz w:val="18"/>
                    <w:szCs w:val="18"/>
                  </w:rPr>
                  <w:alias w:val="Participantes"/>
                  <w:tag w:val="Participantes"/>
                  <w:id w:val="1637212060"/>
                  <w:placeholder>
                    <w:docPart w:val="9055FE63A4CA4F849EFDCFD13C64FE4E"/>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9E4475" w14:textId="77777777" w:rsidR="00DC671E" w:rsidRPr="00D0018E" w:rsidRDefault="00DC671E" w:rsidP="00402372">
                      <w:pPr>
                        <w:jc w:val="center"/>
                        <w:rPr>
                          <w:rFonts w:ascii="Arial" w:hAnsi="Arial" w:cs="Arial"/>
                          <w:sz w:val="18"/>
                          <w:szCs w:val="18"/>
                        </w:rPr>
                      </w:pPr>
                      <w:r w:rsidRPr="00D0018E">
                        <w:rPr>
                          <w:rStyle w:val="Textodelmarcadordeposicin"/>
                          <w:rFonts w:ascii="Arial" w:hAnsi="Arial" w:cs="Arial"/>
                          <w:sz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vAlign w:val="center"/>
                </w:tcPr>
                <w:p w14:paraId="00B4F5AE" w14:textId="77777777" w:rsidR="00DC671E" w:rsidRPr="00D0018E" w:rsidRDefault="00DC671E" w:rsidP="00402372">
                  <w:pPr>
                    <w:jc w:val="center"/>
                    <w:rPr>
                      <w:rFonts w:ascii="Arial" w:hAnsi="Arial" w:cs="Arial"/>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3941B807" w14:textId="77777777" w:rsidR="00DC671E" w:rsidRPr="00D0018E" w:rsidRDefault="00DC671E" w:rsidP="00402372">
                  <w:pPr>
                    <w:jc w:val="both"/>
                    <w:rPr>
                      <w:rFonts w:ascii="Arial" w:hAnsi="Arial" w:cs="Arial"/>
                      <w:sz w:val="18"/>
                      <w:szCs w:val="18"/>
                    </w:rPr>
                  </w:pPr>
                </w:p>
              </w:tc>
            </w:tr>
          </w:tbl>
          <w:p w14:paraId="3FBADE61" w14:textId="77777777" w:rsidR="00DC671E" w:rsidRPr="00D0018E" w:rsidRDefault="00DC671E" w:rsidP="00402372">
            <w:pPr>
              <w:jc w:val="both"/>
              <w:rPr>
                <w:rFonts w:ascii="Arial" w:hAnsi="Arial" w:cs="Arial"/>
                <w:sz w:val="18"/>
                <w:szCs w:val="18"/>
              </w:rPr>
            </w:pPr>
          </w:p>
          <w:p w14:paraId="7EF1F3DE" w14:textId="77777777" w:rsidR="00DC671E" w:rsidRPr="00D0018E" w:rsidRDefault="00DC671E" w:rsidP="00402372">
            <w:pPr>
              <w:jc w:val="both"/>
              <w:rPr>
                <w:rFonts w:ascii="Arial" w:hAnsi="Arial" w:cs="Arial"/>
                <w:sz w:val="18"/>
                <w:szCs w:val="18"/>
              </w:rPr>
            </w:pPr>
          </w:p>
        </w:tc>
      </w:tr>
    </w:tbl>
    <w:p w14:paraId="74A66297" w14:textId="77777777" w:rsidR="00DC671E" w:rsidRPr="00D0018E" w:rsidRDefault="00DC671E" w:rsidP="00DC671E">
      <w:pPr>
        <w:jc w:val="both"/>
        <w:rPr>
          <w:rFonts w:ascii="Arial" w:hAnsi="Arial" w:cs="Arial"/>
          <w:sz w:val="18"/>
          <w:szCs w:val="18"/>
        </w:rPr>
      </w:pPr>
    </w:p>
    <w:p w14:paraId="2E213F7B" w14:textId="77777777" w:rsidR="00DC671E" w:rsidRPr="00D0018E" w:rsidRDefault="00DC671E" w:rsidP="00DC671E">
      <w:pPr>
        <w:shd w:val="clear" w:color="auto" w:fill="A8D08D" w:themeFill="accent6" w:themeFillTint="99"/>
        <w:jc w:val="both"/>
        <w:rPr>
          <w:rFonts w:ascii="Arial" w:hAnsi="Arial" w:cs="Arial"/>
          <w:b/>
          <w:sz w:val="18"/>
          <w:szCs w:val="18"/>
        </w:rPr>
      </w:pPr>
      <w:r w:rsidRPr="00D0018E">
        <w:rPr>
          <w:rFonts w:ascii="Arial" w:hAnsi="Arial" w:cs="Arial"/>
          <w:b/>
          <w:sz w:val="18"/>
          <w:szCs w:val="18"/>
        </w:rPr>
        <w:t>VI. BIBLIOGRAFÍA O REFERENCIAS DE CUALQUIER ÍNDOLE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DC671E" w:rsidRPr="00A65B88" w14:paraId="6F565DA1" w14:textId="77777777" w:rsidTr="00402372">
        <w:tc>
          <w:tcPr>
            <w:tcW w:w="8828" w:type="dxa"/>
            <w:tcBorders>
              <w:bottom w:val="single" w:sz="4" w:space="0" w:color="auto"/>
            </w:tcBorders>
          </w:tcPr>
          <w:p w14:paraId="4C8D18A4" w14:textId="77777777" w:rsidR="00DC671E" w:rsidRPr="00D0018E" w:rsidRDefault="00DC671E" w:rsidP="00402372">
            <w:pPr>
              <w:jc w:val="both"/>
              <w:rPr>
                <w:rFonts w:ascii="Arial" w:hAnsi="Arial" w:cs="Arial"/>
                <w:b/>
                <w:sz w:val="18"/>
                <w:szCs w:val="18"/>
              </w:rPr>
            </w:pPr>
            <w:r w:rsidRPr="00D0018E">
              <w:rPr>
                <w:rFonts w:ascii="Arial" w:hAnsi="Arial" w:cs="Arial"/>
                <w:b/>
                <w:sz w:val="18"/>
                <w:szCs w:val="18"/>
              </w:rPr>
              <w:t>17.- Enumere las fuentes académicas, científicas, de asociaciones, instituciones privadas o públicas, internacionales o gubernamentales consultadas en la elaboración de la propuesta de regulación:</w:t>
            </w:r>
          </w:p>
          <w:p w14:paraId="5BF725F1" w14:textId="77777777" w:rsidR="00DC671E" w:rsidRPr="00D0018E" w:rsidRDefault="00DC671E" w:rsidP="00402372">
            <w:pPr>
              <w:jc w:val="both"/>
              <w:rPr>
                <w:rFonts w:ascii="Arial" w:hAnsi="Arial" w:cs="Arial"/>
                <w:sz w:val="18"/>
                <w:szCs w:val="18"/>
              </w:rPr>
            </w:pPr>
          </w:p>
          <w:p w14:paraId="778EF7F0" w14:textId="77777777" w:rsidR="00DC671E" w:rsidRPr="00D0018E" w:rsidRDefault="00DC671E" w:rsidP="00402372">
            <w:pPr>
              <w:pStyle w:val="Prrafodelista"/>
              <w:ind w:left="739"/>
              <w:jc w:val="both"/>
              <w:rPr>
                <w:rFonts w:ascii="Arial" w:hAnsi="Arial" w:cs="Arial"/>
                <w:sz w:val="18"/>
                <w:szCs w:val="18"/>
              </w:rPr>
            </w:pPr>
          </w:p>
          <w:p w14:paraId="59774636" w14:textId="77777777" w:rsidR="00DC671E" w:rsidRPr="00D0018E" w:rsidRDefault="00DC671E" w:rsidP="00DC671E">
            <w:pPr>
              <w:pStyle w:val="Prrafodelista"/>
              <w:numPr>
                <w:ilvl w:val="0"/>
                <w:numId w:val="16"/>
              </w:numPr>
              <w:ind w:left="314" w:hanging="284"/>
              <w:jc w:val="both"/>
              <w:rPr>
                <w:rFonts w:ascii="Arial" w:hAnsi="Arial" w:cs="Arial"/>
                <w:b/>
                <w:sz w:val="18"/>
                <w:szCs w:val="18"/>
                <w:u w:val="single"/>
              </w:rPr>
            </w:pPr>
            <w:r w:rsidRPr="00D0018E">
              <w:rPr>
                <w:rFonts w:ascii="Arial" w:hAnsi="Arial" w:cs="Arial"/>
                <w:b/>
                <w:sz w:val="18"/>
                <w:u w:val="single"/>
              </w:rPr>
              <w:t>Datos bibliográficos y direcciones electrónicas.</w:t>
            </w:r>
          </w:p>
          <w:p w14:paraId="4FCD7B1B" w14:textId="77777777" w:rsidR="00DC671E" w:rsidRPr="00D0018E" w:rsidRDefault="00DC671E" w:rsidP="00402372">
            <w:pPr>
              <w:pStyle w:val="Prrafodelista"/>
              <w:contextualSpacing w:val="0"/>
              <w:jc w:val="both"/>
              <w:rPr>
                <w:rFonts w:ascii="Arial" w:hAnsi="Arial" w:cs="Arial"/>
                <w:sz w:val="18"/>
                <w:szCs w:val="18"/>
              </w:rPr>
            </w:pPr>
          </w:p>
          <w:p w14:paraId="37BD506D" w14:textId="1A60F2E9" w:rsidR="007649DF" w:rsidRPr="00D0018E" w:rsidRDefault="007649DF" w:rsidP="008D3095">
            <w:pPr>
              <w:pStyle w:val="Prrafodelista"/>
              <w:numPr>
                <w:ilvl w:val="0"/>
                <w:numId w:val="33"/>
              </w:numPr>
              <w:jc w:val="both"/>
              <w:rPr>
                <w:rFonts w:ascii="Arial" w:hAnsi="Arial" w:cs="Arial"/>
                <w:sz w:val="18"/>
                <w:szCs w:val="18"/>
              </w:rPr>
            </w:pPr>
            <w:r w:rsidRPr="00D0018E">
              <w:rPr>
                <w:rFonts w:ascii="Arial" w:hAnsi="Arial" w:cs="Arial"/>
                <w:sz w:val="18"/>
                <w:szCs w:val="18"/>
              </w:rPr>
              <w:t xml:space="preserve">IFT (2016). Criterio técnico para el cálculo y aplicación de un índice cuantitativo a fin de determinar el grado de concentración en los mercados y servicios correspondientes a los sectores de telecomunicaciones y radiodifusión. Disponible en: </w:t>
            </w:r>
            <w:hyperlink r:id="rId15" w:history="1">
              <w:r w:rsidRPr="00D0018E">
                <w:rPr>
                  <w:rStyle w:val="Hipervnculo"/>
                  <w:rFonts w:ascii="Arial" w:hAnsi="Arial" w:cs="Arial"/>
                  <w:sz w:val="18"/>
                  <w:szCs w:val="18"/>
                </w:rPr>
                <w:t>https://www.dof.gob.mx/nota_detalle.php?codigo=5432595&amp;fecha=11/04/2016</w:t>
              </w:r>
            </w:hyperlink>
            <w:r w:rsidRPr="00D0018E">
              <w:rPr>
                <w:rFonts w:ascii="Arial" w:hAnsi="Arial" w:cs="Arial"/>
                <w:sz w:val="18"/>
                <w:szCs w:val="18"/>
              </w:rPr>
              <w:t>.</w:t>
            </w:r>
          </w:p>
          <w:p w14:paraId="345E88AF" w14:textId="77777777" w:rsidR="000253E1" w:rsidRPr="00D0018E" w:rsidRDefault="000253E1" w:rsidP="000253E1">
            <w:pPr>
              <w:pStyle w:val="Prrafodelista"/>
              <w:jc w:val="both"/>
              <w:rPr>
                <w:rFonts w:ascii="Arial" w:hAnsi="Arial" w:cs="Arial"/>
                <w:sz w:val="18"/>
                <w:szCs w:val="18"/>
              </w:rPr>
            </w:pPr>
          </w:p>
          <w:p w14:paraId="68EAA1A2" w14:textId="25CFC289" w:rsidR="00742498" w:rsidRPr="00D0018E" w:rsidRDefault="000253E1" w:rsidP="008D3095">
            <w:pPr>
              <w:pStyle w:val="Prrafodelista"/>
              <w:numPr>
                <w:ilvl w:val="0"/>
                <w:numId w:val="33"/>
              </w:numPr>
              <w:jc w:val="both"/>
              <w:rPr>
                <w:rFonts w:ascii="Arial" w:hAnsi="Arial" w:cs="Arial"/>
                <w:sz w:val="18"/>
                <w:szCs w:val="18"/>
              </w:rPr>
            </w:pPr>
            <w:r w:rsidRPr="00D0018E">
              <w:rPr>
                <w:rFonts w:ascii="Arial" w:hAnsi="Arial" w:cs="Arial"/>
                <w:sz w:val="18"/>
                <w:szCs w:val="18"/>
              </w:rPr>
              <w:t xml:space="preserve">IFT (Licitaciones). Bases de las Licitaciones Públicas para el servicio público de Radiodifusión y de las Licitaciones Públicas para el servicio público de Telecomunicaciones, disponibles en: </w:t>
            </w:r>
            <w:hyperlink r:id="rId16" w:history="1">
              <w:r w:rsidRPr="00D0018E">
                <w:rPr>
                  <w:rStyle w:val="Hipervnculo"/>
                  <w:rFonts w:ascii="Arial" w:hAnsi="Arial" w:cs="Arial"/>
                  <w:sz w:val="18"/>
                  <w:szCs w:val="18"/>
                </w:rPr>
                <w:t>http://www.ift.org.mx/espectro-radioelectrico/licitaciones</w:t>
              </w:r>
            </w:hyperlink>
            <w:r w:rsidRPr="00D0018E">
              <w:rPr>
                <w:rFonts w:ascii="Arial" w:hAnsi="Arial" w:cs="Arial"/>
                <w:sz w:val="18"/>
                <w:szCs w:val="18"/>
              </w:rPr>
              <w:t>.</w:t>
            </w:r>
          </w:p>
          <w:p w14:paraId="14539A2E" w14:textId="77777777" w:rsidR="008D3095" w:rsidRPr="00D0018E" w:rsidRDefault="008D3095" w:rsidP="008D3095">
            <w:pPr>
              <w:pStyle w:val="Prrafodelista"/>
              <w:jc w:val="both"/>
              <w:rPr>
                <w:rFonts w:ascii="Arial" w:hAnsi="Arial" w:cs="Arial"/>
                <w:sz w:val="18"/>
                <w:szCs w:val="18"/>
              </w:rPr>
            </w:pPr>
          </w:p>
          <w:p w14:paraId="05859E5C" w14:textId="2C2DE751" w:rsidR="00BE5EBC" w:rsidRPr="00D0018E" w:rsidRDefault="00BE5EBC" w:rsidP="00BE5EBC">
            <w:pPr>
              <w:pStyle w:val="Prrafodelista"/>
              <w:numPr>
                <w:ilvl w:val="0"/>
                <w:numId w:val="33"/>
              </w:numPr>
              <w:spacing w:line="276" w:lineRule="auto"/>
              <w:jc w:val="both"/>
              <w:rPr>
                <w:rFonts w:ascii="Arial" w:hAnsi="Arial" w:cs="Arial"/>
                <w:sz w:val="18"/>
                <w:szCs w:val="18"/>
              </w:rPr>
            </w:pPr>
            <w:r w:rsidRPr="00D0018E">
              <w:rPr>
                <w:rFonts w:ascii="Arial" w:hAnsi="Arial" w:cs="Arial"/>
                <w:sz w:val="18"/>
                <w:szCs w:val="18"/>
              </w:rPr>
              <w:t xml:space="preserve">ACCC (2008). “Merger Guidelines”, disponible en: </w:t>
            </w:r>
            <w:hyperlink r:id="rId17" w:history="1">
              <w:r w:rsidRPr="00D0018E">
                <w:rPr>
                  <w:rStyle w:val="Hipervnculo"/>
                  <w:rFonts w:ascii="Arial" w:hAnsi="Arial" w:cs="Arial"/>
                  <w:sz w:val="18"/>
                  <w:szCs w:val="18"/>
                </w:rPr>
                <w:t>http://www.accc.gov.au/system/files/Merger%20guidelines.pdf</w:t>
              </w:r>
            </w:hyperlink>
            <w:r w:rsidRPr="00D0018E">
              <w:rPr>
                <w:rFonts w:ascii="Arial" w:hAnsi="Arial" w:cs="Arial"/>
                <w:sz w:val="18"/>
                <w:szCs w:val="18"/>
              </w:rPr>
              <w:t>.</w:t>
            </w:r>
          </w:p>
          <w:p w14:paraId="1A82DDC2" w14:textId="77777777" w:rsidR="00BE5EBC" w:rsidRPr="00D0018E" w:rsidRDefault="00BE5EBC" w:rsidP="008D3095">
            <w:pPr>
              <w:pStyle w:val="Prrafodelista"/>
              <w:spacing w:line="276" w:lineRule="auto"/>
              <w:jc w:val="both"/>
              <w:rPr>
                <w:rFonts w:ascii="Arial" w:hAnsi="Arial" w:cs="Arial"/>
                <w:sz w:val="18"/>
                <w:szCs w:val="18"/>
              </w:rPr>
            </w:pPr>
          </w:p>
          <w:p w14:paraId="3F132B3F" w14:textId="07E6488E" w:rsidR="00BE5EBC" w:rsidRPr="00D0018E" w:rsidRDefault="00BE5EBC" w:rsidP="00BE5EBC">
            <w:pPr>
              <w:pStyle w:val="Prrafodelista"/>
              <w:numPr>
                <w:ilvl w:val="0"/>
                <w:numId w:val="33"/>
              </w:numPr>
              <w:spacing w:line="276" w:lineRule="auto"/>
              <w:jc w:val="both"/>
              <w:rPr>
                <w:rFonts w:ascii="Arial" w:hAnsi="Arial" w:cs="Arial"/>
                <w:sz w:val="18"/>
                <w:szCs w:val="18"/>
                <w:lang w:val="en-US"/>
              </w:rPr>
            </w:pPr>
            <w:r w:rsidRPr="00D0018E">
              <w:rPr>
                <w:rFonts w:ascii="Arial" w:hAnsi="Arial" w:cs="Arial"/>
                <w:sz w:val="18"/>
                <w:szCs w:val="18"/>
              </w:rPr>
              <w:t xml:space="preserve">Bajo, O. y Salas, R. (1998). </w:t>
            </w:r>
            <w:r w:rsidRPr="00D0018E">
              <w:rPr>
                <w:rFonts w:ascii="Arial" w:hAnsi="Arial" w:cs="Arial"/>
                <w:sz w:val="18"/>
                <w:szCs w:val="18"/>
                <w:lang w:val="en-US"/>
              </w:rPr>
              <w:t xml:space="preserve">“INEQUALITY FOUNDATIONS OF CONCENTRATION MEASURES: AN APPLICATION TO THE HANNAH-KAY INDICES”, disponible </w:t>
            </w:r>
            <w:proofErr w:type="spellStart"/>
            <w:r w:rsidRPr="00D0018E">
              <w:rPr>
                <w:rFonts w:ascii="Arial" w:hAnsi="Arial" w:cs="Arial"/>
                <w:sz w:val="18"/>
                <w:szCs w:val="18"/>
                <w:lang w:val="en-US"/>
              </w:rPr>
              <w:t>en</w:t>
            </w:r>
            <w:proofErr w:type="spellEnd"/>
            <w:r w:rsidRPr="00D0018E">
              <w:rPr>
                <w:rFonts w:ascii="Arial" w:hAnsi="Arial" w:cs="Arial"/>
                <w:sz w:val="18"/>
                <w:szCs w:val="18"/>
                <w:lang w:val="en-US"/>
              </w:rPr>
              <w:t>:</w:t>
            </w:r>
            <w:r w:rsidR="008D3095" w:rsidRPr="00D0018E">
              <w:rPr>
                <w:rFonts w:ascii="Arial" w:hAnsi="Arial" w:cs="Arial"/>
                <w:sz w:val="18"/>
                <w:szCs w:val="18"/>
                <w:lang w:val="en-US"/>
              </w:rPr>
              <w:t xml:space="preserve"> </w:t>
            </w:r>
            <w:hyperlink r:id="rId18" w:history="1">
              <w:r w:rsidR="008D3095" w:rsidRPr="00D0018E">
                <w:rPr>
                  <w:rStyle w:val="Hipervnculo"/>
                  <w:rFonts w:ascii="Arial" w:hAnsi="Arial" w:cs="Arial"/>
                  <w:sz w:val="18"/>
                  <w:szCs w:val="18"/>
                  <w:lang w:val="en-US"/>
                </w:rPr>
                <w:t>http://www.ief.es/documentos/recursos/publicaciones/papeles_trabajo/1998_02.pdf</w:t>
              </w:r>
            </w:hyperlink>
            <w:r w:rsidRPr="00D0018E">
              <w:rPr>
                <w:rFonts w:ascii="Arial" w:hAnsi="Arial" w:cs="Arial"/>
                <w:sz w:val="18"/>
                <w:szCs w:val="18"/>
                <w:lang w:val="en-US"/>
              </w:rPr>
              <w:t>.</w:t>
            </w:r>
          </w:p>
          <w:p w14:paraId="3FE90C22" w14:textId="77777777" w:rsidR="008D3095" w:rsidRPr="00D0018E" w:rsidRDefault="008D3095" w:rsidP="008D3095">
            <w:pPr>
              <w:pStyle w:val="Prrafodelista"/>
              <w:spacing w:line="276" w:lineRule="auto"/>
              <w:jc w:val="both"/>
              <w:rPr>
                <w:rFonts w:ascii="Arial" w:hAnsi="Arial" w:cs="Arial"/>
                <w:sz w:val="18"/>
                <w:szCs w:val="18"/>
                <w:lang w:val="en-US"/>
              </w:rPr>
            </w:pPr>
          </w:p>
          <w:p w14:paraId="0103ED86" w14:textId="216D13B9" w:rsidR="00BE5EBC" w:rsidRPr="00D0018E" w:rsidRDefault="00BE5EBC" w:rsidP="00BE5EBC">
            <w:pPr>
              <w:pStyle w:val="Prrafodelista"/>
              <w:numPr>
                <w:ilvl w:val="0"/>
                <w:numId w:val="33"/>
              </w:numPr>
              <w:spacing w:line="276" w:lineRule="auto"/>
              <w:jc w:val="both"/>
              <w:rPr>
                <w:rFonts w:ascii="Arial" w:hAnsi="Arial" w:cs="Arial"/>
                <w:sz w:val="18"/>
                <w:szCs w:val="18"/>
                <w:lang w:val="en-US"/>
              </w:rPr>
            </w:pPr>
            <w:r w:rsidRPr="00D0018E">
              <w:rPr>
                <w:rFonts w:ascii="Arial" w:hAnsi="Arial" w:cs="Arial"/>
                <w:sz w:val="18"/>
                <w:szCs w:val="18"/>
                <w:lang w:val="en-US"/>
              </w:rPr>
              <w:t>CCPC (2014). “Guidelines for Merger Analysis”, disponible en:</w:t>
            </w:r>
            <w:r w:rsidR="008D3095" w:rsidRPr="00D0018E">
              <w:rPr>
                <w:rFonts w:ascii="Arial" w:hAnsi="Arial" w:cs="Arial"/>
                <w:sz w:val="18"/>
                <w:szCs w:val="18"/>
                <w:lang w:val="en-US"/>
              </w:rPr>
              <w:t xml:space="preserve"> </w:t>
            </w:r>
            <w:hyperlink r:id="rId19" w:history="1">
              <w:r w:rsidR="008D3095" w:rsidRPr="00D0018E">
                <w:rPr>
                  <w:rStyle w:val="Hipervnculo"/>
                  <w:rFonts w:ascii="Arial" w:hAnsi="Arial" w:cs="Arial"/>
                  <w:sz w:val="18"/>
                  <w:szCs w:val="18"/>
                  <w:lang w:val="en-US"/>
                </w:rPr>
                <w:t>http://www.ccpc.ie/sites/default/files/CCPC%20Merger%20Guidelines_1.pdf</w:t>
              </w:r>
            </w:hyperlink>
            <w:r w:rsidRPr="00D0018E">
              <w:rPr>
                <w:rFonts w:ascii="Arial" w:hAnsi="Arial" w:cs="Arial"/>
                <w:sz w:val="18"/>
                <w:szCs w:val="18"/>
                <w:lang w:val="en-US"/>
              </w:rPr>
              <w:t>.</w:t>
            </w:r>
          </w:p>
          <w:p w14:paraId="4C22C6A5" w14:textId="77777777" w:rsidR="008D3095" w:rsidRPr="00D0018E" w:rsidRDefault="008D3095" w:rsidP="008D3095">
            <w:pPr>
              <w:pStyle w:val="Prrafodelista"/>
              <w:spacing w:line="276" w:lineRule="auto"/>
              <w:jc w:val="both"/>
              <w:rPr>
                <w:rFonts w:ascii="Arial" w:hAnsi="Arial" w:cs="Arial"/>
                <w:sz w:val="18"/>
                <w:szCs w:val="18"/>
                <w:lang w:val="en-US"/>
              </w:rPr>
            </w:pPr>
          </w:p>
          <w:p w14:paraId="5A96B7BC" w14:textId="3955097D" w:rsidR="00BE5EBC" w:rsidRPr="00D0018E" w:rsidRDefault="00BE5EBC" w:rsidP="00BE5EBC">
            <w:pPr>
              <w:pStyle w:val="Prrafodelista"/>
              <w:numPr>
                <w:ilvl w:val="0"/>
                <w:numId w:val="33"/>
              </w:numPr>
              <w:spacing w:line="276" w:lineRule="auto"/>
              <w:jc w:val="both"/>
              <w:rPr>
                <w:rFonts w:ascii="Arial" w:hAnsi="Arial" w:cs="Arial"/>
                <w:sz w:val="18"/>
                <w:szCs w:val="18"/>
              </w:rPr>
            </w:pPr>
            <w:r w:rsidRPr="00D0018E">
              <w:rPr>
                <w:rFonts w:ascii="Arial" w:hAnsi="Arial" w:cs="Arial"/>
                <w:sz w:val="18"/>
                <w:szCs w:val="18"/>
              </w:rPr>
              <w:t>CE (2004). “Directrices sobre la evaluación de las concentraciones horizontales con arreglo al Reglamento del Consejo sobre el control de las concentraciones entre empresas”, disponible en:</w:t>
            </w:r>
            <w:r w:rsidR="008D3095" w:rsidRPr="00D0018E">
              <w:rPr>
                <w:rFonts w:ascii="Arial" w:hAnsi="Arial" w:cs="Arial"/>
                <w:sz w:val="18"/>
                <w:szCs w:val="18"/>
              </w:rPr>
              <w:t xml:space="preserve"> </w:t>
            </w:r>
            <w:hyperlink r:id="rId20" w:history="1">
              <w:r w:rsidR="008D3095" w:rsidRPr="00D0018E">
                <w:rPr>
                  <w:rStyle w:val="Hipervnculo"/>
                  <w:rFonts w:ascii="Arial" w:hAnsi="Arial" w:cs="Arial"/>
                  <w:sz w:val="18"/>
                  <w:szCs w:val="18"/>
                </w:rPr>
                <w:t>http://eur-lex.europa.eu/LexUriServ/LexUriServ.do?uri=OJ:C:2004:031:0005:0018:ES:PDF</w:t>
              </w:r>
            </w:hyperlink>
            <w:r w:rsidRPr="00D0018E">
              <w:rPr>
                <w:rFonts w:ascii="Arial" w:hAnsi="Arial" w:cs="Arial"/>
                <w:sz w:val="18"/>
                <w:szCs w:val="18"/>
              </w:rPr>
              <w:t>.</w:t>
            </w:r>
          </w:p>
          <w:p w14:paraId="2865FE4F" w14:textId="77777777" w:rsidR="008D3095" w:rsidRPr="00D0018E" w:rsidRDefault="008D3095" w:rsidP="008D3095">
            <w:pPr>
              <w:pStyle w:val="Prrafodelista"/>
              <w:spacing w:line="276" w:lineRule="auto"/>
              <w:jc w:val="both"/>
              <w:rPr>
                <w:rFonts w:ascii="Arial" w:hAnsi="Arial" w:cs="Arial"/>
                <w:sz w:val="18"/>
                <w:szCs w:val="18"/>
              </w:rPr>
            </w:pPr>
          </w:p>
          <w:p w14:paraId="00ED1F3B" w14:textId="1D159DDE" w:rsidR="00BE5EBC" w:rsidRPr="00D0018E" w:rsidRDefault="00BE5EBC" w:rsidP="00BE5EBC">
            <w:pPr>
              <w:pStyle w:val="Prrafodelista"/>
              <w:numPr>
                <w:ilvl w:val="0"/>
                <w:numId w:val="33"/>
              </w:numPr>
              <w:spacing w:line="276" w:lineRule="auto"/>
              <w:jc w:val="both"/>
              <w:rPr>
                <w:rFonts w:ascii="Arial" w:hAnsi="Arial" w:cs="Arial"/>
                <w:sz w:val="18"/>
                <w:szCs w:val="18"/>
              </w:rPr>
            </w:pPr>
            <w:r w:rsidRPr="00D0018E">
              <w:rPr>
                <w:rFonts w:ascii="Arial" w:hAnsi="Arial" w:cs="Arial"/>
                <w:sz w:val="18"/>
                <w:szCs w:val="18"/>
              </w:rPr>
              <w:t>CFC (1998). “RESOLUCION por la que se da a conocer el método para el cálculo de los índices para determinar el grado de concentración que exista en el mercado relevante y los criterios para su aplicación”, disponible en:</w:t>
            </w:r>
            <w:r w:rsidR="008D3095" w:rsidRPr="00D0018E">
              <w:rPr>
                <w:rFonts w:ascii="Arial" w:hAnsi="Arial" w:cs="Arial"/>
                <w:sz w:val="18"/>
                <w:szCs w:val="18"/>
              </w:rPr>
              <w:t xml:space="preserve"> </w:t>
            </w:r>
            <w:hyperlink r:id="rId21" w:history="1">
              <w:r w:rsidR="008D3095" w:rsidRPr="00D0018E">
                <w:rPr>
                  <w:rStyle w:val="Hipervnculo"/>
                  <w:rFonts w:ascii="Arial" w:hAnsi="Arial" w:cs="Arial"/>
                  <w:sz w:val="18"/>
                  <w:szCs w:val="18"/>
                </w:rPr>
                <w:t>http://dof.gob.mx/nota_detalle.php?codigo=4888039&amp;fecha=24/07/1998</w:t>
              </w:r>
            </w:hyperlink>
            <w:r w:rsidRPr="00D0018E">
              <w:rPr>
                <w:rFonts w:ascii="Arial" w:hAnsi="Arial" w:cs="Arial"/>
                <w:sz w:val="18"/>
                <w:szCs w:val="18"/>
              </w:rPr>
              <w:t xml:space="preserve">. </w:t>
            </w:r>
          </w:p>
          <w:p w14:paraId="37002AC4" w14:textId="77777777" w:rsidR="008D3095" w:rsidRPr="00D0018E" w:rsidRDefault="008D3095" w:rsidP="008D3095">
            <w:pPr>
              <w:pStyle w:val="Prrafodelista"/>
              <w:spacing w:line="276" w:lineRule="auto"/>
              <w:jc w:val="both"/>
              <w:rPr>
                <w:rFonts w:ascii="Arial" w:hAnsi="Arial" w:cs="Arial"/>
                <w:sz w:val="18"/>
                <w:szCs w:val="18"/>
              </w:rPr>
            </w:pPr>
          </w:p>
          <w:p w14:paraId="0F897594" w14:textId="4E243AB4" w:rsidR="00BE5EBC" w:rsidRPr="00D0018E" w:rsidRDefault="00BE5EBC" w:rsidP="00BE5EBC">
            <w:pPr>
              <w:pStyle w:val="Prrafodelista"/>
              <w:numPr>
                <w:ilvl w:val="0"/>
                <w:numId w:val="33"/>
              </w:numPr>
              <w:spacing w:line="276" w:lineRule="auto"/>
              <w:jc w:val="both"/>
              <w:rPr>
                <w:rFonts w:ascii="Arial" w:hAnsi="Arial" w:cs="Arial"/>
                <w:sz w:val="18"/>
                <w:szCs w:val="18"/>
              </w:rPr>
            </w:pPr>
            <w:r w:rsidRPr="00D0018E">
              <w:rPr>
                <w:rFonts w:ascii="Arial" w:hAnsi="Arial" w:cs="Arial"/>
                <w:sz w:val="18"/>
                <w:szCs w:val="18"/>
              </w:rPr>
              <w:t>CFCE (2014). “CRITERIOS Técnicos para el cálculo y aplicación de un Índice Cuantitativo para medir la Concentración del Mercado”, disponible en:</w:t>
            </w:r>
            <w:r w:rsidR="008D3095" w:rsidRPr="00D0018E">
              <w:rPr>
                <w:rFonts w:ascii="Arial" w:hAnsi="Arial" w:cs="Arial"/>
                <w:sz w:val="18"/>
                <w:szCs w:val="18"/>
              </w:rPr>
              <w:t xml:space="preserve"> </w:t>
            </w:r>
            <w:hyperlink r:id="rId22" w:history="1">
              <w:r w:rsidR="008D3095" w:rsidRPr="00D0018E">
                <w:rPr>
                  <w:rStyle w:val="Hipervnculo"/>
                  <w:rFonts w:ascii="Arial" w:hAnsi="Arial" w:cs="Arial"/>
                  <w:sz w:val="18"/>
                  <w:szCs w:val="18"/>
                </w:rPr>
                <w:t>http://www.dof.gob.mx/nota_detalle.php?codigo=5392185&amp;fecha=14/05/2015</w:t>
              </w:r>
            </w:hyperlink>
            <w:r w:rsidRPr="00D0018E">
              <w:rPr>
                <w:rFonts w:ascii="Arial" w:hAnsi="Arial" w:cs="Arial"/>
                <w:sz w:val="18"/>
                <w:szCs w:val="18"/>
              </w:rPr>
              <w:t>.</w:t>
            </w:r>
          </w:p>
          <w:p w14:paraId="33D99ED6" w14:textId="77777777" w:rsidR="008D3095" w:rsidRPr="00D0018E" w:rsidRDefault="008D3095" w:rsidP="008D3095">
            <w:pPr>
              <w:pStyle w:val="Prrafodelista"/>
              <w:spacing w:line="276" w:lineRule="auto"/>
              <w:jc w:val="both"/>
              <w:rPr>
                <w:rFonts w:ascii="Arial" w:hAnsi="Arial" w:cs="Arial"/>
                <w:sz w:val="18"/>
                <w:szCs w:val="18"/>
              </w:rPr>
            </w:pPr>
          </w:p>
          <w:p w14:paraId="2770758A" w14:textId="77777777" w:rsidR="00BE5EBC" w:rsidRPr="00D0018E" w:rsidRDefault="00BE5EBC" w:rsidP="00BE5EBC">
            <w:pPr>
              <w:pStyle w:val="Prrafodelista"/>
              <w:numPr>
                <w:ilvl w:val="0"/>
                <w:numId w:val="33"/>
              </w:numPr>
              <w:spacing w:line="276" w:lineRule="auto"/>
              <w:jc w:val="both"/>
              <w:rPr>
                <w:rFonts w:ascii="Arial" w:hAnsi="Arial" w:cs="Arial"/>
                <w:sz w:val="18"/>
                <w:szCs w:val="18"/>
                <w:lang w:val="en-US"/>
              </w:rPr>
            </w:pPr>
            <w:r w:rsidRPr="00D0018E">
              <w:rPr>
                <w:rFonts w:ascii="Arial" w:hAnsi="Arial" w:cs="Arial"/>
                <w:sz w:val="18"/>
                <w:szCs w:val="18"/>
                <w:lang w:val="en-US"/>
              </w:rPr>
              <w:t>Clakins, S. (1983). “The New Merger Guidelines and the HerfindahlHirschman Index”, disponible en:</w:t>
            </w:r>
          </w:p>
          <w:p w14:paraId="2059E4E5" w14:textId="118A88C1" w:rsidR="00BE5EBC" w:rsidRPr="00D0018E" w:rsidRDefault="00610B49" w:rsidP="008D3095">
            <w:pPr>
              <w:pStyle w:val="Prrafodelista"/>
              <w:spacing w:line="276" w:lineRule="auto"/>
              <w:jc w:val="both"/>
              <w:rPr>
                <w:rFonts w:ascii="Arial" w:hAnsi="Arial" w:cs="Arial"/>
                <w:sz w:val="18"/>
                <w:szCs w:val="18"/>
                <w:lang w:val="en-US"/>
              </w:rPr>
            </w:pPr>
            <w:hyperlink r:id="rId23" w:history="1">
              <w:r w:rsidR="008D3095" w:rsidRPr="00D0018E">
                <w:rPr>
                  <w:rStyle w:val="Hipervnculo"/>
                  <w:rFonts w:ascii="Arial" w:hAnsi="Arial" w:cs="Arial"/>
                  <w:sz w:val="18"/>
                  <w:szCs w:val="18"/>
                  <w:lang w:val="en-US"/>
                </w:rPr>
                <w:t>http://scholarship.law.berkeley.edu/cgi/viewcontent.cgi?article=2149&amp;context=californialawreview</w:t>
              </w:r>
            </w:hyperlink>
            <w:r w:rsidR="00BE5EBC" w:rsidRPr="00D0018E">
              <w:rPr>
                <w:rFonts w:ascii="Arial" w:hAnsi="Arial" w:cs="Arial"/>
                <w:sz w:val="18"/>
                <w:szCs w:val="18"/>
                <w:lang w:val="en-US"/>
              </w:rPr>
              <w:t>.</w:t>
            </w:r>
          </w:p>
          <w:p w14:paraId="1CEFCD42" w14:textId="77777777" w:rsidR="008D3095" w:rsidRPr="00D0018E" w:rsidRDefault="008D3095" w:rsidP="008D3095">
            <w:pPr>
              <w:pStyle w:val="Prrafodelista"/>
              <w:spacing w:line="276" w:lineRule="auto"/>
              <w:jc w:val="both"/>
              <w:rPr>
                <w:rFonts w:ascii="Arial" w:hAnsi="Arial" w:cs="Arial"/>
                <w:sz w:val="18"/>
                <w:szCs w:val="18"/>
                <w:lang w:val="en-US"/>
              </w:rPr>
            </w:pPr>
          </w:p>
          <w:p w14:paraId="5A7C4306" w14:textId="309EFA11" w:rsidR="00BE5EBC" w:rsidRPr="00D0018E" w:rsidRDefault="00BE5EBC" w:rsidP="008D3095">
            <w:pPr>
              <w:pStyle w:val="Prrafodelista"/>
              <w:numPr>
                <w:ilvl w:val="0"/>
                <w:numId w:val="33"/>
              </w:numPr>
              <w:spacing w:line="276" w:lineRule="auto"/>
              <w:jc w:val="both"/>
              <w:rPr>
                <w:rFonts w:ascii="Arial" w:hAnsi="Arial" w:cs="Arial"/>
                <w:sz w:val="18"/>
                <w:szCs w:val="18"/>
              </w:rPr>
            </w:pPr>
            <w:r w:rsidRPr="00D0018E">
              <w:rPr>
                <w:rFonts w:ascii="Arial" w:hAnsi="Arial" w:cs="Arial"/>
                <w:sz w:val="18"/>
                <w:szCs w:val="18"/>
              </w:rPr>
              <w:t>DOJ y FTC (1997). “Horizontal Merger Guidelines”, disponible en:</w:t>
            </w:r>
            <w:r w:rsidR="008D3095" w:rsidRPr="00D0018E">
              <w:rPr>
                <w:rFonts w:ascii="Arial" w:hAnsi="Arial" w:cs="Arial"/>
                <w:sz w:val="18"/>
                <w:szCs w:val="18"/>
              </w:rPr>
              <w:t xml:space="preserve"> </w:t>
            </w:r>
            <w:hyperlink r:id="rId24" w:history="1">
              <w:r w:rsidR="008D3095" w:rsidRPr="00D0018E">
                <w:rPr>
                  <w:rStyle w:val="Hipervnculo"/>
                  <w:rFonts w:ascii="Arial" w:hAnsi="Arial" w:cs="Arial"/>
                  <w:sz w:val="18"/>
                  <w:szCs w:val="18"/>
                </w:rPr>
                <w:t>http://www.justice.gov/atr/public/guidelines/hmg.pdf</w:t>
              </w:r>
            </w:hyperlink>
            <w:r w:rsidRPr="00D0018E">
              <w:rPr>
                <w:rFonts w:ascii="Arial" w:hAnsi="Arial" w:cs="Arial"/>
                <w:sz w:val="18"/>
                <w:szCs w:val="18"/>
              </w:rPr>
              <w:t>.</w:t>
            </w:r>
          </w:p>
          <w:p w14:paraId="4DB0568A" w14:textId="77777777" w:rsidR="008D3095" w:rsidRPr="00D0018E" w:rsidRDefault="008D3095" w:rsidP="008D3095">
            <w:pPr>
              <w:pStyle w:val="Prrafodelista"/>
              <w:spacing w:line="276" w:lineRule="auto"/>
              <w:jc w:val="both"/>
              <w:rPr>
                <w:rFonts w:ascii="Arial" w:hAnsi="Arial" w:cs="Arial"/>
                <w:sz w:val="18"/>
                <w:szCs w:val="18"/>
              </w:rPr>
            </w:pPr>
          </w:p>
          <w:p w14:paraId="3F8CBCD9" w14:textId="6FF8DE30" w:rsidR="00BE5EBC" w:rsidRPr="00D0018E" w:rsidRDefault="00BE5EBC" w:rsidP="00BE5EBC">
            <w:pPr>
              <w:pStyle w:val="Prrafodelista"/>
              <w:numPr>
                <w:ilvl w:val="0"/>
                <w:numId w:val="33"/>
              </w:numPr>
              <w:spacing w:line="276" w:lineRule="auto"/>
              <w:jc w:val="both"/>
              <w:rPr>
                <w:rFonts w:ascii="Arial" w:hAnsi="Arial" w:cs="Arial"/>
                <w:sz w:val="18"/>
                <w:szCs w:val="18"/>
              </w:rPr>
            </w:pPr>
            <w:r w:rsidRPr="00D0018E">
              <w:rPr>
                <w:rFonts w:ascii="Arial" w:hAnsi="Arial" w:cs="Arial"/>
                <w:sz w:val="18"/>
                <w:szCs w:val="18"/>
              </w:rPr>
              <w:t>DOJ y FTC (2010). “Horizontal Merger Guidelines”, disponible en:</w:t>
            </w:r>
            <w:r w:rsidR="008D3095" w:rsidRPr="00D0018E">
              <w:rPr>
                <w:rFonts w:ascii="Arial" w:hAnsi="Arial" w:cs="Arial"/>
                <w:sz w:val="18"/>
                <w:szCs w:val="18"/>
              </w:rPr>
              <w:t xml:space="preserve"> </w:t>
            </w:r>
            <w:hyperlink r:id="rId25" w:history="1">
              <w:r w:rsidR="008D3095" w:rsidRPr="00D0018E">
                <w:rPr>
                  <w:rStyle w:val="Hipervnculo"/>
                  <w:rFonts w:ascii="Arial" w:hAnsi="Arial" w:cs="Arial"/>
                  <w:sz w:val="18"/>
                  <w:szCs w:val="18"/>
                </w:rPr>
                <w:t>http://www.justice.gov/atr/public/guidelines/hmg-2010.pdf</w:t>
              </w:r>
            </w:hyperlink>
            <w:r w:rsidRPr="00D0018E">
              <w:rPr>
                <w:rFonts w:ascii="Arial" w:hAnsi="Arial" w:cs="Arial"/>
                <w:sz w:val="18"/>
                <w:szCs w:val="18"/>
              </w:rPr>
              <w:t>.</w:t>
            </w:r>
          </w:p>
          <w:p w14:paraId="38B193EB" w14:textId="77777777" w:rsidR="008D3095" w:rsidRPr="00D0018E" w:rsidRDefault="008D3095" w:rsidP="008D3095">
            <w:pPr>
              <w:pStyle w:val="Prrafodelista"/>
              <w:spacing w:line="276" w:lineRule="auto"/>
              <w:jc w:val="both"/>
              <w:rPr>
                <w:rFonts w:ascii="Arial" w:hAnsi="Arial" w:cs="Arial"/>
                <w:sz w:val="18"/>
                <w:szCs w:val="18"/>
              </w:rPr>
            </w:pPr>
          </w:p>
          <w:p w14:paraId="48E6C2E1" w14:textId="7BAFAD42" w:rsidR="00BE5EBC" w:rsidRPr="00D0018E" w:rsidRDefault="00BE5EBC" w:rsidP="00BE5EBC">
            <w:pPr>
              <w:pStyle w:val="Prrafodelista"/>
              <w:numPr>
                <w:ilvl w:val="0"/>
                <w:numId w:val="33"/>
              </w:numPr>
              <w:spacing w:line="276" w:lineRule="auto"/>
              <w:jc w:val="both"/>
              <w:rPr>
                <w:rFonts w:ascii="Arial" w:hAnsi="Arial" w:cs="Arial"/>
                <w:sz w:val="18"/>
                <w:szCs w:val="18"/>
                <w:lang w:val="en-US"/>
              </w:rPr>
            </w:pPr>
            <w:r w:rsidRPr="00D0018E">
              <w:rPr>
                <w:rFonts w:ascii="Arial" w:hAnsi="Arial" w:cs="Arial"/>
                <w:sz w:val="18"/>
                <w:szCs w:val="18"/>
                <w:lang w:val="en-US"/>
              </w:rPr>
              <w:lastRenderedPageBreak/>
              <w:t xml:space="preserve">DOT (2004). “Guidelines for merger of licenses in a service area”, disponible </w:t>
            </w:r>
            <w:proofErr w:type="spellStart"/>
            <w:r w:rsidRPr="00D0018E">
              <w:rPr>
                <w:rFonts w:ascii="Arial" w:hAnsi="Arial" w:cs="Arial"/>
                <w:sz w:val="18"/>
                <w:szCs w:val="18"/>
                <w:lang w:val="en-US"/>
              </w:rPr>
              <w:t>en</w:t>
            </w:r>
            <w:proofErr w:type="spellEnd"/>
            <w:r w:rsidR="008D3095" w:rsidRPr="00D0018E">
              <w:rPr>
                <w:rFonts w:ascii="Arial" w:hAnsi="Arial" w:cs="Arial"/>
                <w:sz w:val="18"/>
                <w:szCs w:val="18"/>
                <w:lang w:val="en-US"/>
              </w:rPr>
              <w:t xml:space="preserve">: </w:t>
            </w:r>
            <w:hyperlink r:id="rId26" w:history="1">
              <w:r w:rsidR="008D3095" w:rsidRPr="00D0018E">
                <w:rPr>
                  <w:rStyle w:val="Hipervnculo"/>
                  <w:rFonts w:ascii="Arial" w:hAnsi="Arial" w:cs="Arial"/>
                  <w:sz w:val="18"/>
                  <w:szCs w:val="18"/>
                  <w:lang w:val="en-US"/>
                </w:rPr>
                <w:t>http://www.dot.gov.in/sites/default/files/Final%20Merger%20OM%2020-232-04%2821.2.04%291_0.doc</w:t>
              </w:r>
            </w:hyperlink>
            <w:r w:rsidRPr="00D0018E">
              <w:rPr>
                <w:rFonts w:ascii="Arial" w:hAnsi="Arial" w:cs="Arial"/>
                <w:sz w:val="18"/>
                <w:szCs w:val="18"/>
                <w:lang w:val="en-US"/>
              </w:rPr>
              <w:t>.</w:t>
            </w:r>
          </w:p>
          <w:p w14:paraId="3E753EC7" w14:textId="77777777" w:rsidR="008D3095" w:rsidRPr="00D0018E" w:rsidRDefault="008D3095" w:rsidP="008D3095">
            <w:pPr>
              <w:pStyle w:val="Prrafodelista"/>
              <w:spacing w:line="276" w:lineRule="auto"/>
              <w:jc w:val="both"/>
              <w:rPr>
                <w:rFonts w:ascii="Arial" w:hAnsi="Arial" w:cs="Arial"/>
                <w:sz w:val="18"/>
                <w:szCs w:val="18"/>
                <w:lang w:val="en-US"/>
              </w:rPr>
            </w:pPr>
          </w:p>
          <w:p w14:paraId="3AFC5575" w14:textId="2E66C68E" w:rsidR="00BE5EBC" w:rsidRPr="00D0018E" w:rsidRDefault="00BE5EBC" w:rsidP="00BE5EBC">
            <w:pPr>
              <w:pStyle w:val="Prrafodelista"/>
              <w:numPr>
                <w:ilvl w:val="0"/>
                <w:numId w:val="33"/>
              </w:numPr>
              <w:spacing w:line="276" w:lineRule="auto"/>
              <w:jc w:val="both"/>
              <w:rPr>
                <w:rFonts w:ascii="Arial" w:hAnsi="Arial" w:cs="Arial"/>
                <w:sz w:val="18"/>
                <w:szCs w:val="18"/>
                <w:lang w:val="en-US"/>
              </w:rPr>
            </w:pPr>
            <w:r w:rsidRPr="00D0018E">
              <w:rPr>
                <w:rFonts w:ascii="Arial" w:hAnsi="Arial" w:cs="Arial"/>
                <w:sz w:val="18"/>
                <w:szCs w:val="18"/>
                <w:lang w:val="en-US"/>
              </w:rPr>
              <w:t>FCCPC (2020). “Merger Review Guidelines. 2020”, disponible en</w:t>
            </w:r>
            <w:r w:rsidR="008D3095" w:rsidRPr="00D0018E">
              <w:rPr>
                <w:rFonts w:ascii="Arial" w:hAnsi="Arial" w:cs="Arial"/>
                <w:sz w:val="18"/>
                <w:szCs w:val="18"/>
                <w:lang w:val="en-US"/>
              </w:rPr>
              <w:t xml:space="preserve">: </w:t>
            </w:r>
            <w:hyperlink r:id="rId27" w:history="1">
              <w:r w:rsidR="008D3095" w:rsidRPr="00D0018E">
                <w:rPr>
                  <w:rStyle w:val="Hipervnculo"/>
                  <w:rFonts w:ascii="Arial" w:hAnsi="Arial" w:cs="Arial"/>
                  <w:sz w:val="18"/>
                  <w:szCs w:val="18"/>
                  <w:lang w:val="en-US"/>
                </w:rPr>
                <w:t>https://www.fccpc.gov.ng/uploads/Draft%20Revised%20Guidelines%20%20FCCPC.pdf</w:t>
              </w:r>
            </w:hyperlink>
            <w:r w:rsidR="000253E1" w:rsidRPr="00D0018E">
              <w:rPr>
                <w:rFonts w:ascii="Arial" w:hAnsi="Arial" w:cs="Arial"/>
                <w:sz w:val="18"/>
                <w:szCs w:val="18"/>
                <w:lang w:val="en-US"/>
              </w:rPr>
              <w:t>.</w:t>
            </w:r>
            <w:r w:rsidRPr="00D0018E">
              <w:rPr>
                <w:rFonts w:ascii="Arial" w:hAnsi="Arial" w:cs="Arial"/>
                <w:sz w:val="18"/>
                <w:szCs w:val="18"/>
                <w:lang w:val="en-US"/>
              </w:rPr>
              <w:t xml:space="preserve"> </w:t>
            </w:r>
          </w:p>
          <w:p w14:paraId="5BBA9F2E" w14:textId="77777777" w:rsidR="008D3095" w:rsidRPr="00D0018E" w:rsidRDefault="008D3095" w:rsidP="008D3095">
            <w:pPr>
              <w:pStyle w:val="Prrafodelista"/>
              <w:spacing w:line="276" w:lineRule="auto"/>
              <w:jc w:val="both"/>
              <w:rPr>
                <w:rFonts w:ascii="Arial" w:hAnsi="Arial" w:cs="Arial"/>
                <w:sz w:val="18"/>
                <w:szCs w:val="18"/>
                <w:lang w:val="en-US"/>
              </w:rPr>
            </w:pPr>
          </w:p>
          <w:p w14:paraId="7E305165" w14:textId="152E660C" w:rsidR="00BE5EBC" w:rsidRPr="00D0018E" w:rsidRDefault="00BE5EBC" w:rsidP="00BE5EBC">
            <w:pPr>
              <w:pStyle w:val="Prrafodelista"/>
              <w:numPr>
                <w:ilvl w:val="0"/>
                <w:numId w:val="33"/>
              </w:numPr>
              <w:spacing w:line="276" w:lineRule="auto"/>
              <w:jc w:val="both"/>
              <w:rPr>
                <w:rFonts w:ascii="Arial" w:hAnsi="Arial" w:cs="Arial"/>
                <w:sz w:val="18"/>
                <w:szCs w:val="18"/>
              </w:rPr>
            </w:pPr>
            <w:r w:rsidRPr="00D0018E">
              <w:rPr>
                <w:rFonts w:ascii="Arial" w:hAnsi="Arial" w:cs="Arial"/>
                <w:sz w:val="18"/>
                <w:szCs w:val="18"/>
              </w:rPr>
              <w:t>FNE (2012). “GUÍA PARA EL ANÁLISIS DE OPERACIONES DE CONCENTRACIÓN”, disponible en</w:t>
            </w:r>
            <w:r w:rsidR="008D3095" w:rsidRPr="00D0018E">
              <w:rPr>
                <w:rFonts w:ascii="Arial" w:hAnsi="Arial" w:cs="Arial"/>
                <w:sz w:val="18"/>
                <w:szCs w:val="18"/>
              </w:rPr>
              <w:t>:</w:t>
            </w:r>
            <w:r w:rsidRPr="00D0018E">
              <w:rPr>
                <w:rFonts w:ascii="Arial" w:hAnsi="Arial" w:cs="Arial"/>
                <w:sz w:val="18"/>
                <w:szCs w:val="18"/>
              </w:rPr>
              <w:t xml:space="preserve"> </w:t>
            </w:r>
            <w:hyperlink r:id="rId28" w:history="1">
              <w:r w:rsidR="008D3095" w:rsidRPr="00D0018E">
                <w:rPr>
                  <w:rStyle w:val="Hipervnculo"/>
                  <w:rFonts w:ascii="Arial" w:hAnsi="Arial" w:cs="Arial"/>
                  <w:sz w:val="18"/>
                  <w:szCs w:val="18"/>
                </w:rPr>
                <w:t>http://www.fne.gob.cl/wp-content/uploads/2012/10/Guia-Fusiones.pdf</w:t>
              </w:r>
            </w:hyperlink>
            <w:r w:rsidRPr="00D0018E">
              <w:rPr>
                <w:rFonts w:ascii="Arial" w:hAnsi="Arial" w:cs="Arial"/>
                <w:sz w:val="18"/>
                <w:szCs w:val="18"/>
              </w:rPr>
              <w:t>.</w:t>
            </w:r>
          </w:p>
          <w:p w14:paraId="499C4A4E" w14:textId="77777777" w:rsidR="008D3095" w:rsidRPr="00D0018E" w:rsidRDefault="008D3095" w:rsidP="008D3095">
            <w:pPr>
              <w:pStyle w:val="Prrafodelista"/>
              <w:spacing w:line="276" w:lineRule="auto"/>
              <w:jc w:val="both"/>
              <w:rPr>
                <w:rFonts w:ascii="Arial" w:hAnsi="Arial" w:cs="Arial"/>
                <w:sz w:val="18"/>
                <w:szCs w:val="18"/>
              </w:rPr>
            </w:pPr>
          </w:p>
          <w:p w14:paraId="500D977D" w14:textId="37DC05AF" w:rsidR="00BE5EBC" w:rsidRPr="00D0018E" w:rsidRDefault="00BE5EBC" w:rsidP="00BE5EBC">
            <w:pPr>
              <w:pStyle w:val="Prrafodelista"/>
              <w:numPr>
                <w:ilvl w:val="0"/>
                <w:numId w:val="33"/>
              </w:numPr>
              <w:spacing w:line="276" w:lineRule="auto"/>
              <w:jc w:val="both"/>
              <w:rPr>
                <w:rFonts w:ascii="Arial" w:hAnsi="Arial" w:cs="Arial"/>
                <w:sz w:val="18"/>
                <w:szCs w:val="18"/>
              </w:rPr>
            </w:pPr>
            <w:r w:rsidRPr="00D0018E">
              <w:rPr>
                <w:rFonts w:ascii="Arial" w:hAnsi="Arial" w:cs="Arial"/>
                <w:sz w:val="18"/>
                <w:szCs w:val="18"/>
              </w:rPr>
              <w:t>García Alba, I. P. (1994). “UN ÍNDICE DE DOMINACIÓN PARA EL ANÁLISIS DE LA ESTRUCTURA DE LOS MERCADOS”, disponible en</w:t>
            </w:r>
            <w:r w:rsidR="008D3095" w:rsidRPr="00D0018E">
              <w:rPr>
                <w:rFonts w:ascii="Arial" w:hAnsi="Arial" w:cs="Arial"/>
                <w:sz w:val="18"/>
                <w:szCs w:val="18"/>
              </w:rPr>
              <w:t xml:space="preserve">: </w:t>
            </w:r>
            <w:hyperlink r:id="rId29" w:history="1">
              <w:r w:rsidR="008D3095" w:rsidRPr="00D0018E">
                <w:rPr>
                  <w:rStyle w:val="Hipervnculo"/>
                  <w:rFonts w:ascii="Arial" w:hAnsi="Arial" w:cs="Arial"/>
                  <w:sz w:val="18"/>
                  <w:szCs w:val="18"/>
                </w:rPr>
                <w:t>http://aleph.academica.mx/jspui/bitstream/56789/6004/1/DOCT2065090_ARTICULO_5.PDF</w:t>
              </w:r>
            </w:hyperlink>
            <w:r w:rsidR="000253E1" w:rsidRPr="00D0018E">
              <w:rPr>
                <w:rFonts w:ascii="Arial" w:hAnsi="Arial" w:cs="Arial"/>
                <w:sz w:val="18"/>
                <w:szCs w:val="18"/>
              </w:rPr>
              <w:t>.</w:t>
            </w:r>
          </w:p>
          <w:p w14:paraId="1DDDFFF4" w14:textId="77777777" w:rsidR="008D3095" w:rsidRPr="00D0018E" w:rsidRDefault="008D3095" w:rsidP="008D3095">
            <w:pPr>
              <w:pStyle w:val="Prrafodelista"/>
              <w:spacing w:line="276" w:lineRule="auto"/>
              <w:jc w:val="both"/>
              <w:rPr>
                <w:rFonts w:ascii="Arial" w:hAnsi="Arial" w:cs="Arial"/>
                <w:sz w:val="18"/>
                <w:szCs w:val="18"/>
              </w:rPr>
            </w:pPr>
          </w:p>
          <w:p w14:paraId="347981DC" w14:textId="0ED2EB16" w:rsidR="00BE5EBC" w:rsidRPr="00D0018E" w:rsidRDefault="00BE5EBC" w:rsidP="00BE5EBC">
            <w:pPr>
              <w:pStyle w:val="Prrafodelista"/>
              <w:numPr>
                <w:ilvl w:val="0"/>
                <w:numId w:val="33"/>
              </w:numPr>
              <w:spacing w:line="276" w:lineRule="auto"/>
              <w:jc w:val="both"/>
              <w:rPr>
                <w:rFonts w:ascii="Arial" w:hAnsi="Arial" w:cs="Arial"/>
                <w:sz w:val="18"/>
                <w:szCs w:val="18"/>
                <w:lang w:val="en-US"/>
              </w:rPr>
            </w:pPr>
            <w:r w:rsidRPr="00D0018E">
              <w:rPr>
                <w:rFonts w:ascii="Arial" w:hAnsi="Arial" w:cs="Arial"/>
                <w:sz w:val="18"/>
                <w:szCs w:val="18"/>
                <w:lang w:val="en-US"/>
              </w:rPr>
              <w:t>ICN (2006). “ICN MERGER GUIDELINES WORKBOOK”, disponible en</w:t>
            </w:r>
            <w:r w:rsidR="008D3095" w:rsidRPr="00D0018E">
              <w:rPr>
                <w:rFonts w:ascii="Arial" w:hAnsi="Arial" w:cs="Arial"/>
                <w:sz w:val="18"/>
                <w:szCs w:val="18"/>
                <w:lang w:val="en-US"/>
              </w:rPr>
              <w:t>:</w:t>
            </w:r>
            <w:r w:rsidRPr="00D0018E">
              <w:rPr>
                <w:rFonts w:ascii="Arial" w:hAnsi="Arial" w:cs="Arial"/>
                <w:sz w:val="18"/>
                <w:szCs w:val="18"/>
                <w:lang w:val="en-US"/>
              </w:rPr>
              <w:t xml:space="preserve"> </w:t>
            </w:r>
            <w:hyperlink r:id="rId30" w:history="1">
              <w:r w:rsidR="008D3095" w:rsidRPr="00D0018E">
                <w:rPr>
                  <w:rStyle w:val="Hipervnculo"/>
                  <w:rFonts w:ascii="Arial" w:hAnsi="Arial" w:cs="Arial"/>
                  <w:sz w:val="18"/>
                  <w:szCs w:val="18"/>
                  <w:lang w:val="en-US"/>
                </w:rPr>
                <w:t>https://www.internationalcompetitionnetwork.org/portfolio/merger-guidelines-workbook/</w:t>
              </w:r>
            </w:hyperlink>
            <w:r w:rsidR="000253E1" w:rsidRPr="00D0018E">
              <w:rPr>
                <w:rFonts w:ascii="Arial" w:hAnsi="Arial" w:cs="Arial"/>
                <w:sz w:val="18"/>
                <w:szCs w:val="18"/>
                <w:lang w:val="en-US"/>
              </w:rPr>
              <w:t>.</w:t>
            </w:r>
            <w:r w:rsidRPr="00D0018E">
              <w:rPr>
                <w:rFonts w:ascii="Arial" w:hAnsi="Arial" w:cs="Arial"/>
                <w:sz w:val="18"/>
                <w:szCs w:val="18"/>
                <w:lang w:val="en-US"/>
              </w:rPr>
              <w:t xml:space="preserve"> </w:t>
            </w:r>
          </w:p>
          <w:p w14:paraId="4E8FEC94" w14:textId="77777777" w:rsidR="008D3095" w:rsidRPr="00D0018E" w:rsidRDefault="008D3095" w:rsidP="008D3095">
            <w:pPr>
              <w:pStyle w:val="Prrafodelista"/>
              <w:spacing w:line="276" w:lineRule="auto"/>
              <w:jc w:val="both"/>
              <w:rPr>
                <w:rFonts w:ascii="Arial" w:hAnsi="Arial" w:cs="Arial"/>
                <w:sz w:val="18"/>
                <w:szCs w:val="18"/>
                <w:lang w:val="en-US"/>
              </w:rPr>
            </w:pPr>
          </w:p>
          <w:p w14:paraId="34779A88" w14:textId="4C915CAB" w:rsidR="00BE5EBC" w:rsidRPr="00D0018E" w:rsidRDefault="00BE5EBC" w:rsidP="00BE5EBC">
            <w:pPr>
              <w:pStyle w:val="Prrafodelista"/>
              <w:numPr>
                <w:ilvl w:val="0"/>
                <w:numId w:val="33"/>
              </w:numPr>
              <w:spacing w:line="276" w:lineRule="auto"/>
              <w:jc w:val="both"/>
              <w:rPr>
                <w:rFonts w:ascii="Arial" w:hAnsi="Arial" w:cs="Arial"/>
                <w:sz w:val="18"/>
                <w:szCs w:val="18"/>
                <w:lang w:val="en-US"/>
              </w:rPr>
            </w:pPr>
            <w:r w:rsidRPr="00D0018E">
              <w:rPr>
                <w:rFonts w:ascii="Arial" w:hAnsi="Arial" w:cs="Arial"/>
                <w:sz w:val="18"/>
                <w:szCs w:val="18"/>
                <w:lang w:val="en-US"/>
              </w:rPr>
              <w:t xml:space="preserve">ICN (2013). ICN Investigative Techniques Handbook for Merger Review, The role of economists and economic evidence in merger analysis, International Competition Network disponible </w:t>
            </w:r>
            <w:proofErr w:type="spellStart"/>
            <w:r w:rsidRPr="00D0018E">
              <w:rPr>
                <w:rFonts w:ascii="Arial" w:hAnsi="Arial" w:cs="Arial"/>
                <w:sz w:val="18"/>
                <w:szCs w:val="18"/>
                <w:lang w:val="en-US"/>
              </w:rPr>
              <w:t>en</w:t>
            </w:r>
            <w:proofErr w:type="spellEnd"/>
            <w:r w:rsidR="008D3095" w:rsidRPr="00D0018E">
              <w:rPr>
                <w:rFonts w:ascii="Arial" w:hAnsi="Arial" w:cs="Arial"/>
                <w:sz w:val="18"/>
                <w:szCs w:val="18"/>
                <w:lang w:val="en-US"/>
              </w:rPr>
              <w:t>:</w:t>
            </w:r>
            <w:r w:rsidRPr="00D0018E">
              <w:rPr>
                <w:rFonts w:ascii="Arial" w:hAnsi="Arial" w:cs="Arial"/>
                <w:sz w:val="18"/>
                <w:szCs w:val="18"/>
                <w:lang w:val="en-US"/>
              </w:rPr>
              <w:t xml:space="preserve"> </w:t>
            </w:r>
            <w:hyperlink r:id="rId31" w:history="1">
              <w:r w:rsidR="008D3095" w:rsidRPr="00D0018E">
                <w:rPr>
                  <w:rStyle w:val="Hipervnculo"/>
                  <w:rFonts w:ascii="Arial" w:hAnsi="Arial" w:cs="Arial"/>
                  <w:sz w:val="18"/>
                  <w:szCs w:val="18"/>
                  <w:lang w:val="en-US"/>
                </w:rPr>
                <w:t>https://www.internationalcompetitionnetwork.org/portfolio/role-of-economics-in-merger-analysis/</w:t>
              </w:r>
            </w:hyperlink>
            <w:r w:rsidR="000253E1" w:rsidRPr="00D0018E">
              <w:rPr>
                <w:rFonts w:ascii="Arial" w:hAnsi="Arial" w:cs="Arial"/>
                <w:sz w:val="18"/>
                <w:szCs w:val="18"/>
                <w:lang w:val="en-US"/>
              </w:rPr>
              <w:t>.</w:t>
            </w:r>
            <w:r w:rsidRPr="00D0018E">
              <w:rPr>
                <w:rFonts w:ascii="Arial" w:hAnsi="Arial" w:cs="Arial"/>
                <w:sz w:val="18"/>
                <w:szCs w:val="18"/>
                <w:lang w:val="en-US"/>
              </w:rPr>
              <w:t xml:space="preserve"> </w:t>
            </w:r>
          </w:p>
          <w:p w14:paraId="20B489AA" w14:textId="77777777" w:rsidR="008D3095" w:rsidRPr="00D0018E" w:rsidRDefault="008D3095" w:rsidP="008D3095">
            <w:pPr>
              <w:pStyle w:val="Prrafodelista"/>
              <w:spacing w:line="276" w:lineRule="auto"/>
              <w:jc w:val="both"/>
              <w:rPr>
                <w:rFonts w:ascii="Arial" w:hAnsi="Arial" w:cs="Arial"/>
                <w:sz w:val="18"/>
                <w:szCs w:val="18"/>
                <w:lang w:val="en-US"/>
              </w:rPr>
            </w:pPr>
          </w:p>
          <w:p w14:paraId="6B70236D" w14:textId="7F9CF65E" w:rsidR="00BE5EBC" w:rsidRPr="00D0018E" w:rsidRDefault="00BE5EBC" w:rsidP="00BE5EBC">
            <w:pPr>
              <w:pStyle w:val="Prrafodelista"/>
              <w:numPr>
                <w:ilvl w:val="0"/>
                <w:numId w:val="33"/>
              </w:numPr>
              <w:spacing w:line="276" w:lineRule="auto"/>
              <w:jc w:val="both"/>
              <w:rPr>
                <w:rFonts w:ascii="Arial" w:hAnsi="Arial" w:cs="Arial"/>
                <w:sz w:val="18"/>
                <w:szCs w:val="18"/>
                <w:lang w:val="en-US"/>
              </w:rPr>
            </w:pPr>
            <w:r w:rsidRPr="00D0018E">
              <w:rPr>
                <w:rFonts w:ascii="Arial" w:hAnsi="Arial" w:cs="Arial"/>
                <w:sz w:val="18"/>
                <w:szCs w:val="18"/>
                <w:lang w:val="en-US"/>
              </w:rPr>
              <w:t xml:space="preserve">ICN (2020). “Conglomerate Mergers. Project Report” disponible </w:t>
            </w:r>
            <w:proofErr w:type="spellStart"/>
            <w:r w:rsidRPr="00D0018E">
              <w:rPr>
                <w:rFonts w:ascii="Arial" w:hAnsi="Arial" w:cs="Arial"/>
                <w:sz w:val="18"/>
                <w:szCs w:val="18"/>
                <w:lang w:val="en-US"/>
              </w:rPr>
              <w:t>en</w:t>
            </w:r>
            <w:proofErr w:type="spellEnd"/>
            <w:r w:rsidRPr="00D0018E">
              <w:rPr>
                <w:rFonts w:ascii="Arial" w:hAnsi="Arial" w:cs="Arial"/>
                <w:sz w:val="18"/>
                <w:szCs w:val="18"/>
                <w:lang w:val="en-US"/>
              </w:rPr>
              <w:t xml:space="preserve">: </w:t>
            </w:r>
            <w:hyperlink r:id="rId32" w:history="1">
              <w:r w:rsidR="008D3095" w:rsidRPr="00D0018E">
                <w:rPr>
                  <w:rStyle w:val="Hipervnculo"/>
                  <w:rFonts w:ascii="Arial" w:hAnsi="Arial" w:cs="Arial"/>
                  <w:sz w:val="18"/>
                  <w:szCs w:val="18"/>
                  <w:lang w:val="en-US"/>
                </w:rPr>
                <w:t>https://www.internationalcompetitionnetwork.org/wp-content/uploads/2020/09/MWG_ConglomerateMergersReport.pdf</w:t>
              </w:r>
            </w:hyperlink>
            <w:r w:rsidR="000253E1" w:rsidRPr="00D0018E">
              <w:rPr>
                <w:rFonts w:ascii="Arial" w:hAnsi="Arial" w:cs="Arial"/>
                <w:sz w:val="18"/>
                <w:szCs w:val="18"/>
                <w:lang w:val="en-US"/>
              </w:rPr>
              <w:t>.</w:t>
            </w:r>
          </w:p>
          <w:p w14:paraId="70342EEC" w14:textId="77777777" w:rsidR="008D3095" w:rsidRPr="00D0018E" w:rsidRDefault="008D3095" w:rsidP="008D3095">
            <w:pPr>
              <w:pStyle w:val="Prrafodelista"/>
              <w:spacing w:line="276" w:lineRule="auto"/>
              <w:jc w:val="both"/>
              <w:rPr>
                <w:rFonts w:ascii="Arial" w:hAnsi="Arial" w:cs="Arial"/>
                <w:sz w:val="18"/>
                <w:szCs w:val="18"/>
                <w:lang w:val="en-US"/>
              </w:rPr>
            </w:pPr>
          </w:p>
          <w:p w14:paraId="114866BD" w14:textId="1E153317" w:rsidR="00BE5EBC" w:rsidRPr="00D0018E" w:rsidRDefault="00BE5EBC" w:rsidP="00BE5EBC">
            <w:pPr>
              <w:pStyle w:val="Prrafodelista"/>
              <w:numPr>
                <w:ilvl w:val="0"/>
                <w:numId w:val="33"/>
              </w:numPr>
              <w:spacing w:line="276" w:lineRule="auto"/>
              <w:jc w:val="both"/>
              <w:rPr>
                <w:rFonts w:ascii="Arial" w:hAnsi="Arial" w:cs="Arial"/>
                <w:sz w:val="18"/>
                <w:szCs w:val="18"/>
                <w:lang w:val="en-US"/>
              </w:rPr>
            </w:pPr>
            <w:r w:rsidRPr="00D0018E">
              <w:rPr>
                <w:rFonts w:ascii="Arial" w:hAnsi="Arial" w:cs="Arial"/>
                <w:sz w:val="18"/>
                <w:szCs w:val="18"/>
                <w:lang w:val="en-US"/>
              </w:rPr>
              <w:t xml:space="preserve">Ministry of Communications &amp; Information Technology (2008). “Revised guidelines for Intraservice area merger of CMTS/UAS </w:t>
            </w:r>
            <w:proofErr w:type="spellStart"/>
            <w:r w:rsidRPr="00D0018E">
              <w:rPr>
                <w:rFonts w:ascii="Arial" w:hAnsi="Arial" w:cs="Arial"/>
                <w:sz w:val="18"/>
                <w:szCs w:val="18"/>
                <w:lang w:val="en-US"/>
              </w:rPr>
              <w:t>licences</w:t>
            </w:r>
            <w:proofErr w:type="spellEnd"/>
            <w:r w:rsidRPr="00D0018E">
              <w:rPr>
                <w:rFonts w:ascii="Arial" w:hAnsi="Arial" w:cs="Arial"/>
                <w:sz w:val="18"/>
                <w:szCs w:val="18"/>
                <w:lang w:val="en-US"/>
              </w:rPr>
              <w:t xml:space="preserve">”, disponible </w:t>
            </w:r>
            <w:proofErr w:type="spellStart"/>
            <w:r w:rsidRPr="00D0018E">
              <w:rPr>
                <w:rFonts w:ascii="Arial" w:hAnsi="Arial" w:cs="Arial"/>
                <w:sz w:val="18"/>
                <w:szCs w:val="18"/>
                <w:lang w:val="en-US"/>
              </w:rPr>
              <w:t>en</w:t>
            </w:r>
            <w:proofErr w:type="spellEnd"/>
            <w:r w:rsidR="008D3095" w:rsidRPr="00D0018E">
              <w:rPr>
                <w:rFonts w:ascii="Arial" w:hAnsi="Arial" w:cs="Arial"/>
                <w:sz w:val="18"/>
                <w:szCs w:val="18"/>
                <w:lang w:val="en-US"/>
              </w:rPr>
              <w:t xml:space="preserve">: </w:t>
            </w:r>
            <w:hyperlink r:id="rId33" w:history="1">
              <w:r w:rsidR="008D3095" w:rsidRPr="00D0018E">
                <w:rPr>
                  <w:rStyle w:val="Hipervnculo"/>
                  <w:rFonts w:ascii="Arial" w:hAnsi="Arial" w:cs="Arial"/>
                  <w:sz w:val="18"/>
                  <w:szCs w:val="18"/>
                  <w:lang w:val="en-US"/>
                </w:rPr>
                <w:t>http://www.pib.nic.in/newsite/erelease.aspx?relid=37699</w:t>
              </w:r>
            </w:hyperlink>
            <w:r w:rsidRPr="00D0018E">
              <w:rPr>
                <w:rFonts w:ascii="Arial" w:hAnsi="Arial" w:cs="Arial"/>
                <w:sz w:val="18"/>
                <w:szCs w:val="18"/>
                <w:lang w:val="en-US"/>
              </w:rPr>
              <w:t>.</w:t>
            </w:r>
          </w:p>
          <w:p w14:paraId="5DF0AF83" w14:textId="77777777" w:rsidR="008D3095" w:rsidRPr="00D0018E" w:rsidRDefault="008D3095" w:rsidP="008D3095">
            <w:pPr>
              <w:pStyle w:val="Prrafodelista"/>
              <w:spacing w:line="276" w:lineRule="auto"/>
              <w:jc w:val="both"/>
              <w:rPr>
                <w:rFonts w:ascii="Arial" w:hAnsi="Arial" w:cs="Arial"/>
                <w:sz w:val="18"/>
                <w:szCs w:val="18"/>
                <w:lang w:val="en-US"/>
              </w:rPr>
            </w:pPr>
          </w:p>
          <w:p w14:paraId="219A2B24" w14:textId="178016AF" w:rsidR="00BE5EBC" w:rsidRPr="00D0018E" w:rsidRDefault="00BE5EBC" w:rsidP="00BE5EBC">
            <w:pPr>
              <w:pStyle w:val="Prrafodelista"/>
              <w:numPr>
                <w:ilvl w:val="0"/>
                <w:numId w:val="33"/>
              </w:numPr>
              <w:spacing w:line="276" w:lineRule="auto"/>
              <w:jc w:val="both"/>
              <w:rPr>
                <w:rFonts w:ascii="Arial" w:hAnsi="Arial" w:cs="Arial"/>
                <w:sz w:val="18"/>
                <w:szCs w:val="18"/>
                <w:lang w:val="en-US"/>
              </w:rPr>
            </w:pPr>
            <w:r w:rsidRPr="00D0018E">
              <w:rPr>
                <w:rFonts w:ascii="Arial" w:hAnsi="Arial" w:cs="Arial"/>
                <w:sz w:val="18"/>
                <w:szCs w:val="18"/>
                <w:lang w:val="en-US"/>
              </w:rPr>
              <w:t>OECD (2013). “Communications Outlook 2013”.</w:t>
            </w:r>
          </w:p>
          <w:p w14:paraId="27F2F41E" w14:textId="77777777" w:rsidR="008D3095" w:rsidRPr="00D0018E" w:rsidRDefault="008D3095" w:rsidP="008D3095">
            <w:pPr>
              <w:pStyle w:val="Prrafodelista"/>
              <w:spacing w:line="276" w:lineRule="auto"/>
              <w:jc w:val="both"/>
              <w:rPr>
                <w:rFonts w:ascii="Arial" w:hAnsi="Arial" w:cs="Arial"/>
                <w:sz w:val="18"/>
                <w:szCs w:val="18"/>
                <w:lang w:val="en-US"/>
              </w:rPr>
            </w:pPr>
          </w:p>
          <w:p w14:paraId="6C3A2FC9" w14:textId="7001A37A" w:rsidR="00BE5EBC" w:rsidRPr="00D0018E" w:rsidRDefault="00BE5EBC" w:rsidP="00BE5EBC">
            <w:pPr>
              <w:pStyle w:val="Prrafodelista"/>
              <w:numPr>
                <w:ilvl w:val="0"/>
                <w:numId w:val="33"/>
              </w:numPr>
              <w:spacing w:line="276" w:lineRule="auto"/>
              <w:jc w:val="both"/>
              <w:rPr>
                <w:rFonts w:ascii="Arial" w:hAnsi="Arial" w:cs="Arial"/>
                <w:sz w:val="18"/>
                <w:szCs w:val="18"/>
                <w:lang w:val="en-US"/>
              </w:rPr>
            </w:pPr>
            <w:r w:rsidRPr="00D0018E">
              <w:rPr>
                <w:rFonts w:ascii="Arial" w:hAnsi="Arial" w:cs="Arial"/>
                <w:sz w:val="18"/>
                <w:szCs w:val="18"/>
                <w:lang w:val="en-US"/>
              </w:rPr>
              <w:t>CMA (2010). “Merger Assessment Guidelines”</w:t>
            </w:r>
            <w:r w:rsidR="008D3095" w:rsidRPr="00D0018E">
              <w:rPr>
                <w:rFonts w:ascii="Arial" w:hAnsi="Arial" w:cs="Arial"/>
                <w:sz w:val="18"/>
                <w:szCs w:val="18"/>
                <w:lang w:val="en-US"/>
              </w:rPr>
              <w:t>,</w:t>
            </w:r>
            <w:r w:rsidRPr="00D0018E">
              <w:rPr>
                <w:rFonts w:ascii="Arial" w:hAnsi="Arial" w:cs="Arial"/>
                <w:sz w:val="18"/>
                <w:szCs w:val="18"/>
                <w:lang w:val="en-US"/>
              </w:rPr>
              <w:t xml:space="preserve"> disponible en</w:t>
            </w:r>
            <w:r w:rsidR="008D3095" w:rsidRPr="00D0018E">
              <w:rPr>
                <w:rFonts w:ascii="Arial" w:hAnsi="Arial" w:cs="Arial"/>
                <w:sz w:val="18"/>
                <w:szCs w:val="18"/>
                <w:lang w:val="en-US"/>
              </w:rPr>
              <w:t xml:space="preserve">: </w:t>
            </w:r>
            <w:hyperlink r:id="rId34" w:history="1">
              <w:r w:rsidR="008D3095" w:rsidRPr="00D0018E">
                <w:rPr>
                  <w:rStyle w:val="Hipervnculo"/>
                  <w:rFonts w:ascii="Arial" w:hAnsi="Arial" w:cs="Arial"/>
                  <w:sz w:val="18"/>
                  <w:szCs w:val="18"/>
                  <w:lang w:val="en-US"/>
                </w:rPr>
                <w:t>https://www.gov.uk/government/uploads/system/uploads/attachment_data/file/284449/OFT1254.pdf</w:t>
              </w:r>
            </w:hyperlink>
            <w:r w:rsidRPr="00D0018E">
              <w:rPr>
                <w:rFonts w:ascii="Arial" w:hAnsi="Arial" w:cs="Arial"/>
                <w:sz w:val="18"/>
                <w:szCs w:val="18"/>
                <w:lang w:val="en-US"/>
              </w:rPr>
              <w:t>.</w:t>
            </w:r>
          </w:p>
          <w:p w14:paraId="4A12BFDA" w14:textId="77777777" w:rsidR="008D3095" w:rsidRPr="00D0018E" w:rsidRDefault="008D3095" w:rsidP="008D3095">
            <w:pPr>
              <w:pStyle w:val="Prrafodelista"/>
              <w:spacing w:line="276" w:lineRule="auto"/>
              <w:jc w:val="both"/>
              <w:rPr>
                <w:rFonts w:ascii="Arial" w:hAnsi="Arial" w:cs="Arial"/>
                <w:sz w:val="18"/>
                <w:szCs w:val="18"/>
                <w:lang w:val="en-US"/>
              </w:rPr>
            </w:pPr>
          </w:p>
          <w:p w14:paraId="5DFB1AA1" w14:textId="165067BF" w:rsidR="00BE5EBC" w:rsidRPr="00D0018E" w:rsidRDefault="00BE5EBC" w:rsidP="00BE5EBC">
            <w:pPr>
              <w:pStyle w:val="Prrafodelista"/>
              <w:numPr>
                <w:ilvl w:val="0"/>
                <w:numId w:val="33"/>
              </w:numPr>
              <w:spacing w:line="276" w:lineRule="auto"/>
              <w:jc w:val="both"/>
              <w:rPr>
                <w:rFonts w:ascii="Arial" w:hAnsi="Arial" w:cs="Arial"/>
                <w:sz w:val="18"/>
                <w:szCs w:val="18"/>
                <w:lang w:val="en-US"/>
              </w:rPr>
            </w:pPr>
            <w:r w:rsidRPr="00D0018E">
              <w:rPr>
                <w:rFonts w:ascii="Arial" w:hAnsi="Arial" w:cs="Arial"/>
                <w:sz w:val="18"/>
                <w:szCs w:val="18"/>
                <w:lang w:val="en-US"/>
              </w:rPr>
              <w:t xml:space="preserve">Rosenberg, E.A. (1997). “Telecommunications mergers and acquisitions: key policy issues and options for state regulators”, disponible </w:t>
            </w:r>
            <w:proofErr w:type="spellStart"/>
            <w:r w:rsidRPr="00D0018E">
              <w:rPr>
                <w:rFonts w:ascii="Arial" w:hAnsi="Arial" w:cs="Arial"/>
                <w:sz w:val="18"/>
                <w:szCs w:val="18"/>
                <w:lang w:val="en-US"/>
              </w:rPr>
              <w:t>en</w:t>
            </w:r>
            <w:proofErr w:type="spellEnd"/>
            <w:r w:rsidR="008D3095" w:rsidRPr="00D0018E">
              <w:rPr>
                <w:rFonts w:ascii="Arial" w:hAnsi="Arial" w:cs="Arial"/>
                <w:sz w:val="18"/>
                <w:szCs w:val="18"/>
                <w:lang w:val="en-US"/>
              </w:rPr>
              <w:t xml:space="preserve">:  </w:t>
            </w:r>
            <w:hyperlink r:id="rId35" w:history="1">
              <w:r w:rsidR="008D3095" w:rsidRPr="00D0018E">
                <w:rPr>
                  <w:rStyle w:val="Hipervnculo"/>
                  <w:rFonts w:ascii="Arial" w:hAnsi="Arial" w:cs="Arial"/>
                  <w:sz w:val="18"/>
                  <w:szCs w:val="18"/>
                  <w:lang w:val="en-US"/>
                </w:rPr>
                <w:t>http://www.ipu.msu.edu/library/pdfs/nrri/Rosenberg-Telecom-Mergers-97-20-July-97.pdf</w:t>
              </w:r>
            </w:hyperlink>
            <w:r w:rsidR="008D3095" w:rsidRPr="00D0018E">
              <w:rPr>
                <w:rFonts w:ascii="Arial" w:hAnsi="Arial" w:cs="Arial"/>
                <w:sz w:val="18"/>
                <w:szCs w:val="18"/>
                <w:lang w:val="en-US"/>
              </w:rPr>
              <w:t xml:space="preserve">. </w:t>
            </w:r>
          </w:p>
          <w:p w14:paraId="112263AB" w14:textId="77777777" w:rsidR="00DC671E" w:rsidRPr="00D0018E" w:rsidRDefault="00DC671E" w:rsidP="00402372">
            <w:pPr>
              <w:pStyle w:val="Prrafodelista"/>
              <w:ind w:left="739"/>
              <w:jc w:val="both"/>
              <w:rPr>
                <w:rFonts w:ascii="Arial" w:hAnsi="Arial" w:cs="Arial"/>
                <w:sz w:val="18"/>
                <w:szCs w:val="18"/>
                <w:lang w:val="en-US"/>
              </w:rPr>
            </w:pPr>
          </w:p>
        </w:tc>
      </w:tr>
    </w:tbl>
    <w:p w14:paraId="5F52D768" w14:textId="77777777" w:rsidR="00DC671E" w:rsidRPr="00D0018E" w:rsidRDefault="00DC671E" w:rsidP="00DC671E">
      <w:pPr>
        <w:jc w:val="both"/>
        <w:rPr>
          <w:rFonts w:ascii="Arial" w:hAnsi="Arial" w:cs="Arial"/>
          <w:sz w:val="18"/>
          <w:szCs w:val="18"/>
          <w:lang w:val="en-US"/>
        </w:rPr>
      </w:pPr>
    </w:p>
    <w:p w14:paraId="17C8B0C0" w14:textId="77777777" w:rsidR="00B64AFA" w:rsidRPr="00D0018E" w:rsidRDefault="00B64AFA">
      <w:pPr>
        <w:rPr>
          <w:rFonts w:ascii="Arial" w:hAnsi="Arial" w:cs="Arial"/>
          <w:lang w:val="en-US"/>
        </w:rPr>
      </w:pPr>
    </w:p>
    <w:sectPr w:rsidR="00B64AFA" w:rsidRPr="00D0018E">
      <w:headerReference w:type="default" r:id="rId36"/>
      <w:footerReference w:type="default" r:id="rId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4149C" w14:textId="77777777" w:rsidR="00610B49" w:rsidRDefault="00610B49" w:rsidP="00DC671E">
      <w:pPr>
        <w:spacing w:after="0" w:line="240" w:lineRule="auto"/>
      </w:pPr>
      <w:r>
        <w:separator/>
      </w:r>
    </w:p>
  </w:endnote>
  <w:endnote w:type="continuationSeparator" w:id="0">
    <w:p w14:paraId="39DCAC54" w14:textId="77777777" w:rsidR="00610B49" w:rsidRDefault="00610B49" w:rsidP="00DC671E">
      <w:pPr>
        <w:spacing w:after="0" w:line="240" w:lineRule="auto"/>
      </w:pPr>
      <w:r>
        <w:continuationSeparator/>
      </w:r>
    </w:p>
  </w:endnote>
  <w:endnote w:type="continuationNotice" w:id="1">
    <w:p w14:paraId="68A1606F" w14:textId="77777777" w:rsidR="00610B49" w:rsidRDefault="00610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03C9FE8C" w14:textId="77777777" w:rsidR="002A25D4" w:rsidRPr="00CD4362" w:rsidRDefault="002A25D4" w:rsidP="0040237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1</w:t>
            </w:r>
            <w:r w:rsidRPr="003466D4">
              <w:rPr>
                <w:rFonts w:asciiTheme="majorHAnsi" w:hAnsiTheme="majorHAnsi"/>
                <w:b/>
                <w:bCs/>
                <w:sz w:val="18"/>
                <w:szCs w:val="18"/>
              </w:rPr>
              <w:fldChar w:fldCharType="end"/>
            </w:r>
          </w:p>
        </w:sdtContent>
      </w:sdt>
    </w:sdtContent>
  </w:sdt>
  <w:p w14:paraId="7736FCE0" w14:textId="77777777" w:rsidR="002A25D4" w:rsidRDefault="002A25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A5E3F" w14:textId="77777777" w:rsidR="00610B49" w:rsidRDefault="00610B49" w:rsidP="00DC671E">
      <w:pPr>
        <w:spacing w:after="0" w:line="240" w:lineRule="auto"/>
      </w:pPr>
      <w:r>
        <w:separator/>
      </w:r>
    </w:p>
  </w:footnote>
  <w:footnote w:type="continuationSeparator" w:id="0">
    <w:p w14:paraId="35EEF34B" w14:textId="77777777" w:rsidR="00610B49" w:rsidRDefault="00610B49" w:rsidP="00DC671E">
      <w:pPr>
        <w:spacing w:after="0" w:line="240" w:lineRule="auto"/>
      </w:pPr>
      <w:r>
        <w:continuationSeparator/>
      </w:r>
    </w:p>
  </w:footnote>
  <w:footnote w:type="continuationNotice" w:id="1">
    <w:p w14:paraId="12BA60A3" w14:textId="77777777" w:rsidR="00610B49" w:rsidRDefault="00610B49">
      <w:pPr>
        <w:spacing w:after="0" w:line="240" w:lineRule="auto"/>
      </w:pPr>
    </w:p>
  </w:footnote>
  <w:footnote w:id="2">
    <w:p w14:paraId="390F2BE0" w14:textId="77777777" w:rsidR="002A25D4" w:rsidRPr="00D4689D" w:rsidRDefault="002A25D4" w:rsidP="004C42A8">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Publicadas el doce de enero de dos mil quince en el Diario Oficial de la Federación. Disponibles en: </w:t>
      </w:r>
      <w:hyperlink r:id="rId1" w:history="1">
        <w:r w:rsidRPr="00D4689D">
          <w:rPr>
            <w:rStyle w:val="Hipervnculo"/>
            <w:rFonts w:ascii="Arial" w:hAnsi="Arial" w:cs="Arial"/>
            <w:sz w:val="14"/>
            <w:szCs w:val="14"/>
          </w:rPr>
          <w:t>http://www.dof.gob.mx/nota_detalle.php?codigo=5378340&amp;fecha=12/01/2015</w:t>
        </w:r>
      </w:hyperlink>
    </w:p>
  </w:footnote>
  <w:footnote w:id="3">
    <w:p w14:paraId="16130A24" w14:textId="77777777" w:rsidR="002A25D4" w:rsidRPr="00D4689D" w:rsidRDefault="002A25D4" w:rsidP="004C42A8">
      <w:pPr>
        <w:pStyle w:val="Textonotapie"/>
        <w:jc w:val="both"/>
        <w:rPr>
          <w:rFonts w:ascii="Arial" w:hAnsi="Arial" w:cs="Arial"/>
          <w:sz w:val="14"/>
          <w:szCs w:val="14"/>
        </w:rPr>
      </w:pPr>
      <w:r w:rsidRPr="00D4689D">
        <w:rPr>
          <w:rStyle w:val="Refdenotaalpie"/>
          <w:rFonts w:ascii="Arial" w:hAnsi="Arial" w:cs="Arial"/>
          <w:sz w:val="14"/>
          <w:szCs w:val="14"/>
        </w:rPr>
        <w:footnoteRef/>
      </w:r>
      <w:r w:rsidRPr="00D4689D">
        <w:rPr>
          <w:rFonts w:ascii="Arial" w:hAnsi="Arial" w:cs="Arial"/>
          <w:sz w:val="14"/>
          <w:szCs w:val="14"/>
        </w:rPr>
        <w:t xml:space="preserve"> Ver, por ejemplo, ICN (2006), página 31.</w:t>
      </w:r>
    </w:p>
  </w:footnote>
  <w:footnote w:id="4">
    <w:p w14:paraId="465FC7C0" w14:textId="77777777" w:rsidR="002A25D4" w:rsidRPr="003E4D45" w:rsidRDefault="002A25D4" w:rsidP="00DC671E">
      <w:pPr>
        <w:pStyle w:val="Textonotapie"/>
        <w:ind w:left="142" w:hanging="142"/>
        <w:jc w:val="both"/>
        <w:rPr>
          <w:rFonts w:ascii="Arial" w:hAnsi="Arial" w:cs="Arial"/>
          <w:sz w:val="16"/>
          <w:szCs w:val="16"/>
        </w:rPr>
      </w:pPr>
      <w:r w:rsidRPr="003E4D45">
        <w:rPr>
          <w:rStyle w:val="Refdenotaalpie"/>
          <w:rFonts w:ascii="Arial" w:hAnsi="Arial" w:cs="Arial"/>
          <w:sz w:val="16"/>
          <w:szCs w:val="16"/>
        </w:rPr>
        <w:footnoteRef/>
      </w:r>
      <w:r w:rsidRPr="003E4D45">
        <w:rPr>
          <w:rFonts w:ascii="Arial" w:hAnsi="Arial" w:cs="Arial"/>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5">
    <w:p w14:paraId="637EE6D7" w14:textId="77777777" w:rsidR="002A25D4" w:rsidRPr="00A77A8F" w:rsidRDefault="002A25D4" w:rsidP="00DC671E">
      <w:pPr>
        <w:pStyle w:val="Textonotapie"/>
        <w:ind w:left="142" w:hanging="142"/>
        <w:jc w:val="both"/>
        <w:rPr>
          <w:rFonts w:ascii="Arial" w:hAnsi="Arial" w:cs="Arial"/>
          <w:sz w:val="16"/>
          <w:szCs w:val="16"/>
        </w:rPr>
      </w:pPr>
      <w:r w:rsidRPr="00A77A8F">
        <w:rPr>
          <w:rStyle w:val="Refdenotaalpie"/>
          <w:rFonts w:ascii="Arial" w:hAnsi="Arial" w:cs="Arial"/>
          <w:sz w:val="16"/>
          <w:szCs w:val="16"/>
        </w:rPr>
        <w:footnoteRef/>
      </w:r>
      <w:r w:rsidRPr="00A77A8F">
        <w:rPr>
          <w:rFonts w:ascii="Arial" w:hAnsi="Arial" w:cs="Arial"/>
          <w:sz w:val="16"/>
          <w:szCs w:val="16"/>
        </w:rPr>
        <w:t xml:space="preserve"> Se considera que una propuesta regulatoria genera costos de cumplimiento cuando sus medidas propuestas actualizan uno o más de los siguientes criterios:</w:t>
      </w:r>
    </w:p>
    <w:p w14:paraId="166ABAFF" w14:textId="77777777" w:rsidR="002A25D4" w:rsidRPr="00A77A8F" w:rsidRDefault="002A25D4" w:rsidP="00DC671E">
      <w:pPr>
        <w:pStyle w:val="Textonotapie"/>
        <w:ind w:left="142"/>
        <w:jc w:val="both"/>
        <w:rPr>
          <w:rFonts w:ascii="Arial" w:hAnsi="Arial" w:cs="Arial"/>
          <w:sz w:val="16"/>
          <w:szCs w:val="16"/>
        </w:rPr>
      </w:pPr>
      <w:r w:rsidRPr="00A77A8F">
        <w:rPr>
          <w:rFonts w:ascii="Arial" w:hAnsi="Arial" w:cs="Arial"/>
          <w:sz w:val="16"/>
          <w:szCs w:val="16"/>
        </w:rPr>
        <w:t>a) Crea nuevas obligaciones o hace más estrictas las obligaciones existentes;</w:t>
      </w:r>
    </w:p>
    <w:p w14:paraId="179489E7" w14:textId="77777777" w:rsidR="002A25D4" w:rsidRPr="00A77A8F" w:rsidRDefault="002A25D4" w:rsidP="00DC671E">
      <w:pPr>
        <w:pStyle w:val="Textonotapie"/>
        <w:ind w:left="142"/>
        <w:jc w:val="both"/>
        <w:rPr>
          <w:rFonts w:ascii="Arial" w:hAnsi="Arial" w:cs="Arial"/>
          <w:sz w:val="16"/>
          <w:szCs w:val="16"/>
        </w:rPr>
      </w:pPr>
      <w:r w:rsidRPr="00A77A8F">
        <w:rPr>
          <w:rFonts w:ascii="Arial" w:hAnsi="Arial" w:cs="Arial"/>
          <w:sz w:val="16"/>
          <w:szCs w:val="16"/>
        </w:rPr>
        <w:t>b) Crea o modifica Trámites (excepto cuando la modificación simplifica y facilita su cumplimiento);</w:t>
      </w:r>
    </w:p>
    <w:p w14:paraId="387B1E69" w14:textId="77777777" w:rsidR="002A25D4" w:rsidRPr="00A77A8F" w:rsidRDefault="002A25D4" w:rsidP="00DC671E">
      <w:pPr>
        <w:pStyle w:val="Textonotapie"/>
        <w:ind w:left="142"/>
        <w:jc w:val="both"/>
        <w:rPr>
          <w:rFonts w:ascii="Arial" w:hAnsi="Arial" w:cs="Arial"/>
          <w:sz w:val="16"/>
          <w:szCs w:val="16"/>
        </w:rPr>
      </w:pPr>
      <w:r w:rsidRPr="00A77A8F">
        <w:rPr>
          <w:rFonts w:ascii="Arial" w:hAnsi="Arial" w:cs="Arial"/>
          <w:sz w:val="16"/>
          <w:szCs w:val="16"/>
        </w:rPr>
        <w:t>c) Reduce o restringe derechos o prestaciones; o,</w:t>
      </w:r>
    </w:p>
    <w:p w14:paraId="664A8486" w14:textId="77777777" w:rsidR="002A25D4" w:rsidRPr="00A77A8F" w:rsidRDefault="002A25D4" w:rsidP="00DC671E">
      <w:pPr>
        <w:pStyle w:val="Textonotapie"/>
        <w:ind w:left="142"/>
        <w:jc w:val="both"/>
        <w:rPr>
          <w:rFonts w:ascii="Arial" w:hAnsi="Arial" w:cs="Arial"/>
          <w:sz w:val="16"/>
          <w:szCs w:val="16"/>
        </w:rPr>
      </w:pPr>
      <w:r w:rsidRPr="00A77A8F">
        <w:rPr>
          <w:rFonts w:ascii="Arial" w:hAnsi="Arial" w:cs="Arial"/>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6">
    <w:p w14:paraId="53CAF57A" w14:textId="77777777" w:rsidR="002A25D4" w:rsidRPr="00A77A8F" w:rsidRDefault="002A25D4" w:rsidP="00DC671E">
      <w:pPr>
        <w:pStyle w:val="Textonotapie"/>
        <w:ind w:left="142" w:hanging="142"/>
        <w:jc w:val="both"/>
        <w:rPr>
          <w:rFonts w:ascii="Arial" w:hAnsi="Arial" w:cs="Arial"/>
          <w:sz w:val="16"/>
          <w:szCs w:val="16"/>
        </w:rPr>
      </w:pPr>
      <w:r w:rsidRPr="00A77A8F">
        <w:rPr>
          <w:rStyle w:val="Refdenotaalpie"/>
          <w:rFonts w:ascii="Arial" w:hAnsi="Arial" w:cs="Arial"/>
          <w:sz w:val="16"/>
          <w:szCs w:val="16"/>
        </w:rPr>
        <w:footnoteRef/>
      </w:r>
      <w:r w:rsidRPr="00A77A8F">
        <w:rPr>
          <w:rStyle w:val="Refdenotaalpie"/>
          <w:rFonts w:ascii="Arial" w:hAnsi="Arial" w:cs="Arial"/>
          <w:sz w:val="16"/>
          <w:szCs w:val="16"/>
        </w:rPr>
        <w:t xml:space="preserve"> </w:t>
      </w:r>
      <w:r w:rsidRPr="00A77A8F">
        <w:rPr>
          <w:rFonts w:ascii="Arial" w:hAnsi="Arial" w:cs="Arial"/>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5D380" w14:textId="77777777" w:rsidR="002A25D4" w:rsidRPr="00501ADF" w:rsidRDefault="002A25D4" w:rsidP="00402372">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17E309F0" wp14:editId="7C00E864">
              <wp:simplePos x="0" y="0"/>
              <wp:positionH relativeFrom="margin">
                <wp:posOffset>3129915</wp:posOffset>
              </wp:positionH>
              <wp:positionV relativeFrom="paragraph">
                <wp:posOffset>140970</wp:posOffset>
              </wp:positionV>
              <wp:extent cx="2503805" cy="466725"/>
              <wp:effectExtent l="0" t="0" r="1079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66725"/>
                      </a:xfrm>
                      <a:prstGeom prst="rect">
                        <a:avLst/>
                      </a:prstGeom>
                      <a:solidFill>
                        <a:srgbClr val="FFFFFF"/>
                      </a:solidFill>
                      <a:ln w="9525">
                        <a:solidFill>
                          <a:schemeClr val="bg1"/>
                        </a:solidFill>
                        <a:miter lim="800000"/>
                        <a:headEnd/>
                        <a:tailEnd/>
                      </a:ln>
                    </wps:spPr>
                    <wps:txbx>
                      <w:txbxContent>
                        <w:p w14:paraId="2C381945" w14:textId="77777777" w:rsidR="002A25D4" w:rsidRPr="00DD06A0" w:rsidRDefault="002A25D4" w:rsidP="00402372">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E309F0" id="_x0000_t202" coordsize="21600,21600" o:spt="202" path="m,l,21600r21600,l21600,xe">
              <v:stroke joinstyle="miter"/>
              <v:path gradientshapeok="t" o:connecttype="rect"/>
            </v:shapetype>
            <v:shape id="Cuadro de texto 2" o:spid="_x0000_s1026" type="#_x0000_t202" style="position:absolute;margin-left:246.45pt;margin-top:11.1pt;width:197.15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" strokecolor="white [3212]">
              <v:textbox>
                <w:txbxContent>
                  <w:p w14:paraId="2C381945" w14:textId="77777777" w:rsidR="002A25D4" w:rsidRPr="00DD06A0" w:rsidRDefault="002A25D4" w:rsidP="00402372">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49E04AF9" wp14:editId="3CA91C08">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422F98B6" w14:textId="77777777" w:rsidR="002A25D4" w:rsidRDefault="002A25D4">
    <w:pPr>
      <w:pStyle w:val="Encabezado"/>
    </w:pPr>
  </w:p>
  <w:p w14:paraId="37025556" w14:textId="77777777" w:rsidR="002A25D4" w:rsidRDefault="002A25D4">
    <w:pPr>
      <w:pStyle w:val="Encabezado"/>
    </w:pPr>
  </w:p>
  <w:p w14:paraId="6F908833" w14:textId="77777777" w:rsidR="002A25D4" w:rsidRDefault="002A25D4">
    <w:pPr>
      <w:pStyle w:val="Encabezado"/>
    </w:pPr>
    <w:r>
      <w:rPr>
        <w:noProof/>
        <w:lang w:eastAsia="es-MX"/>
      </w:rPr>
      <mc:AlternateContent>
        <mc:Choice Requires="wps">
          <w:drawing>
            <wp:anchor distT="0" distB="0" distL="114300" distR="114300" simplePos="0" relativeHeight="251658240" behindDoc="0" locked="0" layoutInCell="1" allowOverlap="1" wp14:anchorId="3EA53620" wp14:editId="631A2D9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D5E3FF2"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16C60311" w14:textId="77777777" w:rsidR="002A25D4" w:rsidRDefault="002A25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BA42BF"/>
    <w:multiLevelType w:val="hybridMultilevel"/>
    <w:tmpl w:val="4DFE86A6"/>
    <w:lvl w:ilvl="0" w:tplc="B93254EC">
      <w:start w:val="1"/>
      <w:numFmt w:val="decimal"/>
      <w:suff w:val="space"/>
      <w:lvlText w:val="Artículo %1."/>
      <w:lvlJc w:val="left"/>
      <w:pPr>
        <w:ind w:left="721" w:hanging="360"/>
      </w:pPr>
      <w:rPr>
        <w:rFonts w:hint="default"/>
        <w:b/>
      </w:r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2" w15:restartNumberingAfterBreak="0">
    <w:nsid w:val="0CE67AB6"/>
    <w:multiLevelType w:val="hybridMultilevel"/>
    <w:tmpl w:val="DADC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176438"/>
    <w:multiLevelType w:val="hybridMultilevel"/>
    <w:tmpl w:val="D158CE12"/>
    <w:lvl w:ilvl="0" w:tplc="D0364DD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D1488F"/>
    <w:multiLevelType w:val="hybridMultilevel"/>
    <w:tmpl w:val="227411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774393"/>
    <w:multiLevelType w:val="hybridMultilevel"/>
    <w:tmpl w:val="B7A25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1547E0"/>
    <w:multiLevelType w:val="hybridMultilevel"/>
    <w:tmpl w:val="37D0ADD6"/>
    <w:lvl w:ilvl="0" w:tplc="07F2149E">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540F26"/>
    <w:multiLevelType w:val="hybridMultilevel"/>
    <w:tmpl w:val="9710C2EC"/>
    <w:lvl w:ilvl="0" w:tplc="BB8A462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9C0C8F"/>
    <w:multiLevelType w:val="hybridMultilevel"/>
    <w:tmpl w:val="8A7A0DF2"/>
    <w:lvl w:ilvl="0" w:tplc="2B3C2A70">
      <w:start w:val="1"/>
      <w:numFmt w:val="decimal"/>
      <w:lvlText w:val="%1."/>
      <w:lvlJc w:val="left"/>
      <w:pPr>
        <w:ind w:left="720" w:hanging="360"/>
      </w:pPr>
      <w:rPr>
        <w:rFonts w:ascii="Arial" w:hAnsi="Arial" w:cs="Arial" w:hint="default"/>
        <w:b w:val="0"/>
        <w:i w:val="0"/>
        <w:position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B428B5"/>
    <w:multiLevelType w:val="hybridMultilevel"/>
    <w:tmpl w:val="4EF453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BC08A2"/>
    <w:multiLevelType w:val="hybridMultilevel"/>
    <w:tmpl w:val="B588D87A"/>
    <w:lvl w:ilvl="0" w:tplc="3F32CC5C">
      <w:start w:val="1"/>
      <w:numFmt w:val="lowerLetter"/>
      <w:lvlText w:val="%1)"/>
      <w:lvlJc w:val="left"/>
      <w:pPr>
        <w:ind w:left="1080" w:hanging="360"/>
      </w:pPr>
      <w:rPr>
        <w:rFonts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CA735CE"/>
    <w:multiLevelType w:val="hybridMultilevel"/>
    <w:tmpl w:val="A1E43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7539E0"/>
    <w:multiLevelType w:val="hybridMultilevel"/>
    <w:tmpl w:val="259C306E"/>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7E6F5A"/>
    <w:multiLevelType w:val="hybridMultilevel"/>
    <w:tmpl w:val="F370A810"/>
    <w:lvl w:ilvl="0" w:tplc="FC283080">
      <w:start w:val="1"/>
      <w:numFmt w:val="upperRoman"/>
      <w:lvlText w:val="%1."/>
      <w:lvlJc w:val="righ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CE26DD"/>
    <w:multiLevelType w:val="hybridMultilevel"/>
    <w:tmpl w:val="3AB6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C04797"/>
    <w:multiLevelType w:val="hybridMultilevel"/>
    <w:tmpl w:val="E70423DE"/>
    <w:lvl w:ilvl="0" w:tplc="DC9606D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DF4D62"/>
    <w:multiLevelType w:val="hybridMultilevel"/>
    <w:tmpl w:val="263406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FD6BBC"/>
    <w:multiLevelType w:val="hybridMultilevel"/>
    <w:tmpl w:val="C7EE78C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FB55FD"/>
    <w:multiLevelType w:val="hybridMultilevel"/>
    <w:tmpl w:val="38F67EE2"/>
    <w:lvl w:ilvl="0" w:tplc="5BA41328">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F70CA4"/>
    <w:multiLevelType w:val="hybridMultilevel"/>
    <w:tmpl w:val="79400AAA"/>
    <w:lvl w:ilvl="0" w:tplc="F5568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8E347D"/>
    <w:multiLevelType w:val="multilevel"/>
    <w:tmpl w:val="2A80CBF0"/>
    <w:lvl w:ilvl="0">
      <w:start w:val="1"/>
      <w:numFmt w:val="decimal"/>
      <w:lvlText w:val="%1."/>
      <w:lvlJc w:val="left"/>
      <w:pPr>
        <w:ind w:left="360" w:hanging="360"/>
      </w:pPr>
      <w:rPr>
        <w:rFonts w:hint="default"/>
        <w:i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A8304D"/>
    <w:multiLevelType w:val="hybridMultilevel"/>
    <w:tmpl w:val="6478D1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8015FB"/>
    <w:multiLevelType w:val="hybridMultilevel"/>
    <w:tmpl w:val="C14ABC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7C78CF"/>
    <w:multiLevelType w:val="hybridMultilevel"/>
    <w:tmpl w:val="FD1E2D64"/>
    <w:lvl w:ilvl="0" w:tplc="BF6079E0">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B13FCD"/>
    <w:multiLevelType w:val="hybridMultilevel"/>
    <w:tmpl w:val="BD0E4010"/>
    <w:lvl w:ilvl="0" w:tplc="3AA4248E">
      <w:start w:val="1"/>
      <w:numFmt w:val="bullet"/>
      <w:lvlText w:val=""/>
      <w:lvlJc w:val="left"/>
      <w:pPr>
        <w:ind w:left="1601" w:hanging="360"/>
      </w:pPr>
      <w:rPr>
        <w:rFonts w:ascii="Symbol" w:hAnsi="Symbol" w:hint="default"/>
        <w:sz w:val="16"/>
      </w:rPr>
    </w:lvl>
    <w:lvl w:ilvl="1" w:tplc="080A0003" w:tentative="1">
      <w:start w:val="1"/>
      <w:numFmt w:val="bullet"/>
      <w:lvlText w:val="o"/>
      <w:lvlJc w:val="left"/>
      <w:pPr>
        <w:ind w:left="2321" w:hanging="360"/>
      </w:pPr>
      <w:rPr>
        <w:rFonts w:ascii="Courier New" w:hAnsi="Courier New" w:cs="Courier New" w:hint="default"/>
      </w:rPr>
    </w:lvl>
    <w:lvl w:ilvl="2" w:tplc="080A0005" w:tentative="1">
      <w:start w:val="1"/>
      <w:numFmt w:val="bullet"/>
      <w:lvlText w:val=""/>
      <w:lvlJc w:val="left"/>
      <w:pPr>
        <w:ind w:left="3041" w:hanging="360"/>
      </w:pPr>
      <w:rPr>
        <w:rFonts w:ascii="Wingdings" w:hAnsi="Wingdings" w:hint="default"/>
      </w:rPr>
    </w:lvl>
    <w:lvl w:ilvl="3" w:tplc="080A0001" w:tentative="1">
      <w:start w:val="1"/>
      <w:numFmt w:val="bullet"/>
      <w:lvlText w:val=""/>
      <w:lvlJc w:val="left"/>
      <w:pPr>
        <w:ind w:left="3761" w:hanging="360"/>
      </w:pPr>
      <w:rPr>
        <w:rFonts w:ascii="Symbol" w:hAnsi="Symbol" w:hint="default"/>
      </w:rPr>
    </w:lvl>
    <w:lvl w:ilvl="4" w:tplc="080A0003" w:tentative="1">
      <w:start w:val="1"/>
      <w:numFmt w:val="bullet"/>
      <w:lvlText w:val="o"/>
      <w:lvlJc w:val="left"/>
      <w:pPr>
        <w:ind w:left="4481" w:hanging="360"/>
      </w:pPr>
      <w:rPr>
        <w:rFonts w:ascii="Courier New" w:hAnsi="Courier New" w:cs="Courier New" w:hint="default"/>
      </w:rPr>
    </w:lvl>
    <w:lvl w:ilvl="5" w:tplc="080A0005" w:tentative="1">
      <w:start w:val="1"/>
      <w:numFmt w:val="bullet"/>
      <w:lvlText w:val=""/>
      <w:lvlJc w:val="left"/>
      <w:pPr>
        <w:ind w:left="5201" w:hanging="360"/>
      </w:pPr>
      <w:rPr>
        <w:rFonts w:ascii="Wingdings" w:hAnsi="Wingdings" w:hint="default"/>
      </w:rPr>
    </w:lvl>
    <w:lvl w:ilvl="6" w:tplc="080A0001" w:tentative="1">
      <w:start w:val="1"/>
      <w:numFmt w:val="bullet"/>
      <w:lvlText w:val=""/>
      <w:lvlJc w:val="left"/>
      <w:pPr>
        <w:ind w:left="5921" w:hanging="360"/>
      </w:pPr>
      <w:rPr>
        <w:rFonts w:ascii="Symbol" w:hAnsi="Symbol" w:hint="default"/>
      </w:rPr>
    </w:lvl>
    <w:lvl w:ilvl="7" w:tplc="080A0003" w:tentative="1">
      <w:start w:val="1"/>
      <w:numFmt w:val="bullet"/>
      <w:lvlText w:val="o"/>
      <w:lvlJc w:val="left"/>
      <w:pPr>
        <w:ind w:left="6641" w:hanging="360"/>
      </w:pPr>
      <w:rPr>
        <w:rFonts w:ascii="Courier New" w:hAnsi="Courier New" w:cs="Courier New" w:hint="default"/>
      </w:rPr>
    </w:lvl>
    <w:lvl w:ilvl="8" w:tplc="080A0005" w:tentative="1">
      <w:start w:val="1"/>
      <w:numFmt w:val="bullet"/>
      <w:lvlText w:val=""/>
      <w:lvlJc w:val="left"/>
      <w:pPr>
        <w:ind w:left="7361" w:hanging="360"/>
      </w:pPr>
      <w:rPr>
        <w:rFonts w:ascii="Wingdings" w:hAnsi="Wingdings" w:hint="default"/>
      </w:rPr>
    </w:lvl>
  </w:abstractNum>
  <w:abstractNum w:abstractNumId="34" w15:restartNumberingAfterBreak="0">
    <w:nsid w:val="68857A12"/>
    <w:multiLevelType w:val="hybridMultilevel"/>
    <w:tmpl w:val="DFEACC04"/>
    <w:lvl w:ilvl="0" w:tplc="BE8450E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5"/>
  </w:num>
  <w:num w:numId="4">
    <w:abstractNumId w:val="36"/>
  </w:num>
  <w:num w:numId="5">
    <w:abstractNumId w:val="19"/>
  </w:num>
  <w:num w:numId="6">
    <w:abstractNumId w:val="35"/>
  </w:num>
  <w:num w:numId="7">
    <w:abstractNumId w:val="27"/>
  </w:num>
  <w:num w:numId="8">
    <w:abstractNumId w:val="0"/>
  </w:num>
  <w:num w:numId="9">
    <w:abstractNumId w:val="23"/>
  </w:num>
  <w:num w:numId="10">
    <w:abstractNumId w:val="22"/>
  </w:num>
  <w:num w:numId="11">
    <w:abstractNumId w:val="32"/>
  </w:num>
  <w:num w:numId="12">
    <w:abstractNumId w:val="14"/>
  </w:num>
  <w:num w:numId="13">
    <w:abstractNumId w:val="13"/>
  </w:num>
  <w:num w:numId="14">
    <w:abstractNumId w:val="21"/>
  </w:num>
  <w:num w:numId="15">
    <w:abstractNumId w:val="17"/>
  </w:num>
  <w:num w:numId="16">
    <w:abstractNumId w:val="28"/>
  </w:num>
  <w:num w:numId="17">
    <w:abstractNumId w:val="33"/>
  </w:num>
  <w:num w:numId="18">
    <w:abstractNumId w:val="3"/>
  </w:num>
  <w:num w:numId="19">
    <w:abstractNumId w:val="10"/>
  </w:num>
  <w:num w:numId="20">
    <w:abstractNumId w:val="6"/>
  </w:num>
  <w:num w:numId="21">
    <w:abstractNumId w:val="7"/>
  </w:num>
  <w:num w:numId="22">
    <w:abstractNumId w:val="11"/>
  </w:num>
  <w:num w:numId="23">
    <w:abstractNumId w:val="18"/>
  </w:num>
  <w:num w:numId="24">
    <w:abstractNumId w:val="34"/>
  </w:num>
  <w:num w:numId="25">
    <w:abstractNumId w:val="9"/>
  </w:num>
  <w:num w:numId="26">
    <w:abstractNumId w:val="30"/>
  </w:num>
  <w:num w:numId="27">
    <w:abstractNumId w:val="16"/>
  </w:num>
  <w:num w:numId="28">
    <w:abstractNumId w:val="20"/>
  </w:num>
  <w:num w:numId="29">
    <w:abstractNumId w:val="31"/>
  </w:num>
  <w:num w:numId="30">
    <w:abstractNumId w:val="2"/>
  </w:num>
  <w:num w:numId="31">
    <w:abstractNumId w:val="1"/>
  </w:num>
  <w:num w:numId="32">
    <w:abstractNumId w:val="24"/>
  </w:num>
  <w:num w:numId="33">
    <w:abstractNumId w:val="8"/>
  </w:num>
  <w:num w:numId="34">
    <w:abstractNumId w:val="29"/>
  </w:num>
  <w:num w:numId="35">
    <w:abstractNumId w:val="26"/>
  </w:num>
  <w:num w:numId="36">
    <w:abstractNumId w:val="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1E"/>
    <w:rsid w:val="000253E1"/>
    <w:rsid w:val="000355FB"/>
    <w:rsid w:val="00035C61"/>
    <w:rsid w:val="00093D70"/>
    <w:rsid w:val="000B4C1A"/>
    <w:rsid w:val="000D5898"/>
    <w:rsid w:val="00107B49"/>
    <w:rsid w:val="00117EC3"/>
    <w:rsid w:val="00150104"/>
    <w:rsid w:val="001A64E4"/>
    <w:rsid w:val="001D79CA"/>
    <w:rsid w:val="00247AB1"/>
    <w:rsid w:val="00250B6F"/>
    <w:rsid w:val="0026606E"/>
    <w:rsid w:val="0028003C"/>
    <w:rsid w:val="0028726B"/>
    <w:rsid w:val="002A25D4"/>
    <w:rsid w:val="002C498F"/>
    <w:rsid w:val="002C6FA3"/>
    <w:rsid w:val="003A6F32"/>
    <w:rsid w:val="003D3529"/>
    <w:rsid w:val="003D6E3A"/>
    <w:rsid w:val="003E3385"/>
    <w:rsid w:val="003E514C"/>
    <w:rsid w:val="003F3432"/>
    <w:rsid w:val="003F3B63"/>
    <w:rsid w:val="00402372"/>
    <w:rsid w:val="004127C1"/>
    <w:rsid w:val="00440803"/>
    <w:rsid w:val="00452F49"/>
    <w:rsid w:val="00455466"/>
    <w:rsid w:val="00457F71"/>
    <w:rsid w:val="00462FBB"/>
    <w:rsid w:val="004729CD"/>
    <w:rsid w:val="00474208"/>
    <w:rsid w:val="004B2084"/>
    <w:rsid w:val="004C1ADB"/>
    <w:rsid w:val="004C42A8"/>
    <w:rsid w:val="004D6178"/>
    <w:rsid w:val="004E350D"/>
    <w:rsid w:val="00513C17"/>
    <w:rsid w:val="00516B41"/>
    <w:rsid w:val="005629C7"/>
    <w:rsid w:val="00597438"/>
    <w:rsid w:val="005A0CE0"/>
    <w:rsid w:val="005A14F4"/>
    <w:rsid w:val="005A4D4C"/>
    <w:rsid w:val="00606E5C"/>
    <w:rsid w:val="00610B49"/>
    <w:rsid w:val="00613118"/>
    <w:rsid w:val="006C322E"/>
    <w:rsid w:val="006C389C"/>
    <w:rsid w:val="0071147B"/>
    <w:rsid w:val="00716049"/>
    <w:rsid w:val="00741DCB"/>
    <w:rsid w:val="00742498"/>
    <w:rsid w:val="00761E3D"/>
    <w:rsid w:val="007649DF"/>
    <w:rsid w:val="0077147F"/>
    <w:rsid w:val="007803E4"/>
    <w:rsid w:val="0079703B"/>
    <w:rsid w:val="007D2C96"/>
    <w:rsid w:val="00822FC3"/>
    <w:rsid w:val="008263E0"/>
    <w:rsid w:val="008301D7"/>
    <w:rsid w:val="00861C7B"/>
    <w:rsid w:val="008974D7"/>
    <w:rsid w:val="008B0262"/>
    <w:rsid w:val="008D3095"/>
    <w:rsid w:val="00900C0F"/>
    <w:rsid w:val="009057AA"/>
    <w:rsid w:val="00910725"/>
    <w:rsid w:val="00974916"/>
    <w:rsid w:val="009A48E3"/>
    <w:rsid w:val="009A524E"/>
    <w:rsid w:val="009D1C22"/>
    <w:rsid w:val="009D2C42"/>
    <w:rsid w:val="009D5A20"/>
    <w:rsid w:val="009E0EFD"/>
    <w:rsid w:val="00A42ED7"/>
    <w:rsid w:val="00A5391F"/>
    <w:rsid w:val="00A65B88"/>
    <w:rsid w:val="00AA32B0"/>
    <w:rsid w:val="00AC45A3"/>
    <w:rsid w:val="00AD6876"/>
    <w:rsid w:val="00B172BA"/>
    <w:rsid w:val="00B21A3B"/>
    <w:rsid w:val="00B4383F"/>
    <w:rsid w:val="00B52B6A"/>
    <w:rsid w:val="00B54DCB"/>
    <w:rsid w:val="00B64AFA"/>
    <w:rsid w:val="00BD2EEC"/>
    <w:rsid w:val="00BD36CE"/>
    <w:rsid w:val="00BE250E"/>
    <w:rsid w:val="00BE5EBC"/>
    <w:rsid w:val="00BF423E"/>
    <w:rsid w:val="00C04CD1"/>
    <w:rsid w:val="00C3033D"/>
    <w:rsid w:val="00CE1753"/>
    <w:rsid w:val="00CE49BD"/>
    <w:rsid w:val="00CF3B24"/>
    <w:rsid w:val="00D0018E"/>
    <w:rsid w:val="00D03298"/>
    <w:rsid w:val="00D111E4"/>
    <w:rsid w:val="00D322E9"/>
    <w:rsid w:val="00D43726"/>
    <w:rsid w:val="00D57F15"/>
    <w:rsid w:val="00DC671E"/>
    <w:rsid w:val="00DD26F4"/>
    <w:rsid w:val="00DD4781"/>
    <w:rsid w:val="00DD5EE7"/>
    <w:rsid w:val="00DF1A14"/>
    <w:rsid w:val="00E13411"/>
    <w:rsid w:val="00E449F1"/>
    <w:rsid w:val="00E661F0"/>
    <w:rsid w:val="00E666F6"/>
    <w:rsid w:val="00E93079"/>
    <w:rsid w:val="00EC7075"/>
    <w:rsid w:val="00F52977"/>
    <w:rsid w:val="00FA4EF9"/>
    <w:rsid w:val="00FB2714"/>
    <w:rsid w:val="00FD47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242D"/>
  <w15:chartTrackingRefBased/>
  <w15:docId w15:val="{EA626F1D-AF77-4EFD-A8F4-7639D3F0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1E"/>
  </w:style>
  <w:style w:type="paragraph" w:styleId="Ttulo1">
    <w:name w:val="heading 1"/>
    <w:basedOn w:val="Normal"/>
    <w:next w:val="Normal"/>
    <w:link w:val="Ttulo1Car"/>
    <w:uiPriority w:val="9"/>
    <w:qFormat/>
    <w:rsid w:val="00DC67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671E"/>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DC67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671E"/>
  </w:style>
  <w:style w:type="paragraph" w:styleId="Piedepgina">
    <w:name w:val="footer"/>
    <w:basedOn w:val="Normal"/>
    <w:link w:val="PiedepginaCar"/>
    <w:uiPriority w:val="99"/>
    <w:unhideWhenUsed/>
    <w:rsid w:val="00DC67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671E"/>
  </w:style>
  <w:style w:type="table" w:styleId="Tablaconcuadrcula">
    <w:name w:val="Table Grid"/>
    <w:basedOn w:val="Tablanormal"/>
    <w:uiPriority w:val="39"/>
    <w:rsid w:val="00DC6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Bullet List,FooterText,numbered,List Paragraph1,Paragraphe de liste1,Bulletr List Paragraph,列出段落,列出段落1,Cuadros,Lista general,CNBV Parrafo1,List Paragraph-Thesis,Dot pt"/>
    <w:basedOn w:val="Normal"/>
    <w:link w:val="PrrafodelistaCar"/>
    <w:uiPriority w:val="34"/>
    <w:qFormat/>
    <w:rsid w:val="00DC671E"/>
    <w:pPr>
      <w:ind w:left="720"/>
      <w:contextualSpacing/>
    </w:pPr>
  </w:style>
  <w:style w:type="character" w:styleId="Hipervnculo">
    <w:name w:val="Hyperlink"/>
    <w:basedOn w:val="Fuentedeprrafopredeter"/>
    <w:uiPriority w:val="99"/>
    <w:unhideWhenUsed/>
    <w:rsid w:val="00DC671E"/>
    <w:rPr>
      <w:color w:val="0563C1" w:themeColor="hyperlink"/>
      <w:u w:val="single"/>
    </w:rPr>
  </w:style>
  <w:style w:type="character" w:styleId="Textodelmarcadordeposicin">
    <w:name w:val="Placeholder Text"/>
    <w:basedOn w:val="Fuentedeprrafopredeter"/>
    <w:uiPriority w:val="99"/>
    <w:semiHidden/>
    <w:rsid w:val="00DC671E"/>
    <w:rPr>
      <w:color w:val="808080"/>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TextonotapieCar"/>
    <w:uiPriority w:val="99"/>
    <w:unhideWhenUsed/>
    <w:qFormat/>
    <w:rsid w:val="00DC671E"/>
    <w:pPr>
      <w:spacing w:after="0" w:line="240" w:lineRule="auto"/>
    </w:pPr>
    <w:rPr>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DN Car"/>
    <w:basedOn w:val="Fuentedeprrafopredeter"/>
    <w:link w:val="Textonotapie"/>
    <w:uiPriority w:val="99"/>
    <w:rsid w:val="00DC671E"/>
    <w:rPr>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DC671E"/>
    <w:rPr>
      <w:vertAlign w:val="superscript"/>
    </w:rPr>
  </w:style>
  <w:style w:type="character" w:styleId="Refdecomentario">
    <w:name w:val="annotation reference"/>
    <w:basedOn w:val="Fuentedeprrafopredeter"/>
    <w:uiPriority w:val="99"/>
    <w:semiHidden/>
    <w:unhideWhenUsed/>
    <w:rsid w:val="00DC671E"/>
    <w:rPr>
      <w:sz w:val="16"/>
      <w:szCs w:val="16"/>
    </w:rPr>
  </w:style>
  <w:style w:type="paragraph" w:styleId="Textocomentario">
    <w:name w:val="annotation text"/>
    <w:basedOn w:val="Normal"/>
    <w:link w:val="TextocomentarioCar"/>
    <w:uiPriority w:val="99"/>
    <w:unhideWhenUsed/>
    <w:rsid w:val="00DC671E"/>
    <w:pPr>
      <w:spacing w:line="240" w:lineRule="auto"/>
    </w:pPr>
    <w:rPr>
      <w:sz w:val="20"/>
      <w:szCs w:val="20"/>
    </w:rPr>
  </w:style>
  <w:style w:type="character" w:customStyle="1" w:styleId="TextocomentarioCar">
    <w:name w:val="Texto comentario Car"/>
    <w:basedOn w:val="Fuentedeprrafopredeter"/>
    <w:link w:val="Textocomentario"/>
    <w:uiPriority w:val="99"/>
    <w:rsid w:val="00DC671E"/>
    <w:rPr>
      <w:sz w:val="20"/>
      <w:szCs w:val="20"/>
    </w:rPr>
  </w:style>
  <w:style w:type="paragraph" w:styleId="Asuntodelcomentario">
    <w:name w:val="annotation subject"/>
    <w:basedOn w:val="Textocomentario"/>
    <w:next w:val="Textocomentario"/>
    <w:link w:val="AsuntodelcomentarioCar"/>
    <w:uiPriority w:val="99"/>
    <w:semiHidden/>
    <w:unhideWhenUsed/>
    <w:rsid w:val="00DC671E"/>
    <w:rPr>
      <w:b/>
      <w:bCs/>
    </w:rPr>
  </w:style>
  <w:style w:type="character" w:customStyle="1" w:styleId="AsuntodelcomentarioCar">
    <w:name w:val="Asunto del comentario Car"/>
    <w:basedOn w:val="TextocomentarioCar"/>
    <w:link w:val="Asuntodelcomentario"/>
    <w:uiPriority w:val="99"/>
    <w:semiHidden/>
    <w:rsid w:val="00DC671E"/>
    <w:rPr>
      <w:b/>
      <w:bCs/>
      <w:sz w:val="20"/>
      <w:szCs w:val="20"/>
    </w:rPr>
  </w:style>
  <w:style w:type="paragraph" w:styleId="Textodeglobo">
    <w:name w:val="Balloon Text"/>
    <w:basedOn w:val="Normal"/>
    <w:link w:val="TextodegloboCar"/>
    <w:uiPriority w:val="99"/>
    <w:semiHidden/>
    <w:unhideWhenUsed/>
    <w:rsid w:val="00DC67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671E"/>
    <w:rPr>
      <w:rFonts w:ascii="Segoe UI" w:hAnsi="Segoe UI" w:cs="Segoe UI"/>
      <w:sz w:val="18"/>
      <w:szCs w:val="18"/>
    </w:rPr>
  </w:style>
  <w:style w:type="paragraph" w:styleId="Revisin">
    <w:name w:val="Revision"/>
    <w:hidden/>
    <w:uiPriority w:val="99"/>
    <w:semiHidden/>
    <w:rsid w:val="00DC671E"/>
    <w:pPr>
      <w:spacing w:after="0" w:line="240" w:lineRule="auto"/>
    </w:pPr>
  </w:style>
  <w:style w:type="character" w:styleId="Hipervnculovisitado">
    <w:name w:val="FollowedHyperlink"/>
    <w:basedOn w:val="Fuentedeprrafopredeter"/>
    <w:uiPriority w:val="99"/>
    <w:semiHidden/>
    <w:unhideWhenUsed/>
    <w:rsid w:val="00DC671E"/>
    <w:rPr>
      <w:color w:val="954F72" w:themeColor="followedHyperlink"/>
      <w:u w:val="single"/>
    </w:rPr>
  </w:style>
  <w:style w:type="character" w:customStyle="1" w:styleId="Estilo1">
    <w:name w:val="Estilo1"/>
    <w:basedOn w:val="Fuentedeprrafopredeter"/>
    <w:uiPriority w:val="1"/>
    <w:rsid w:val="00DC671E"/>
    <w:rPr>
      <w:rFonts w:ascii="ITC Avant Garde" w:hAnsi="ITC Avant Garde"/>
      <w:sz w:val="18"/>
    </w:rPr>
  </w:style>
  <w:style w:type="character" w:customStyle="1" w:styleId="Estilo2">
    <w:name w:val="Estilo2"/>
    <w:basedOn w:val="Fuentedeprrafopredeter"/>
    <w:uiPriority w:val="1"/>
    <w:rsid w:val="00DC671E"/>
    <w:rPr>
      <w:rFonts w:ascii="ITC Avant Garde" w:hAnsi="ITC Avant Garde"/>
      <w:color w:val="auto"/>
      <w:sz w:val="18"/>
    </w:rPr>
  </w:style>
  <w:style w:type="paragraph" w:customStyle="1" w:styleId="Estilo3">
    <w:name w:val="Estilo3"/>
    <w:basedOn w:val="Normal"/>
    <w:link w:val="Estilo3Car"/>
    <w:rsid w:val="00DC671E"/>
    <w:rPr>
      <w:rFonts w:ascii="ITC Avant Garde" w:hAnsi="ITC Avant Garde"/>
      <w:sz w:val="18"/>
    </w:rPr>
  </w:style>
  <w:style w:type="character" w:customStyle="1" w:styleId="Estilo3Car">
    <w:name w:val="Estilo3 Car"/>
    <w:basedOn w:val="Fuentedeprrafopredeter"/>
    <w:link w:val="Estilo3"/>
    <w:rsid w:val="00DC671E"/>
    <w:rPr>
      <w:rFonts w:ascii="ITC Avant Garde" w:hAnsi="ITC Avant Garde"/>
      <w:sz w:val="18"/>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DC671E"/>
  </w:style>
  <w:style w:type="paragraph" w:customStyle="1" w:styleId="Default">
    <w:name w:val="Default"/>
    <w:rsid w:val="00DC671E"/>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Mencinsinresolver">
    <w:name w:val="Unresolved Mention"/>
    <w:basedOn w:val="Fuentedeprrafopredeter"/>
    <w:uiPriority w:val="99"/>
    <w:semiHidden/>
    <w:unhideWhenUsed/>
    <w:rsid w:val="00B43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xUriServ/LexUriServ.do?uri=OJ:C:2004:031:0005:0018:ES:PDF" TargetMode="External"/><Relationship Id="rId18" Type="http://schemas.openxmlformats.org/officeDocument/2006/relationships/hyperlink" Target="http://www.ief.es/documentos/recursos/publicaciones/papeles_trabajo/1998_02.pdf" TargetMode="External"/><Relationship Id="rId26" Type="http://schemas.openxmlformats.org/officeDocument/2006/relationships/hyperlink" Target="http://www.dot.gov.in/sites/default/files/Final%20Merger%20OM%2020-232-04%2821.2.04%291_0.doc" TargetMode="External"/><Relationship Id="rId39" Type="http://schemas.openxmlformats.org/officeDocument/2006/relationships/glossaryDocument" Target="glossary/document.xml"/><Relationship Id="rId21" Type="http://schemas.openxmlformats.org/officeDocument/2006/relationships/hyperlink" Target="http://dof.gob.mx/nota_detalle.php?codigo=4888039&amp;fecha=24/07/1998" TargetMode="External"/><Relationship Id="rId34" Type="http://schemas.openxmlformats.org/officeDocument/2006/relationships/hyperlink" Target="https://www.gov.uk/government/uploads/system/uploads/attachment_data/file/284449/OFT1254.pdf" TargetMode="External"/><Relationship Id="rId7" Type="http://schemas.openxmlformats.org/officeDocument/2006/relationships/settings" Target="settings.xml"/><Relationship Id="rId12" Type="http://schemas.openxmlformats.org/officeDocument/2006/relationships/hyperlink" Target="https://www.justice.gov/sites/default/files/atr/legacy/2010/08/19/hmg-2010.pdf" TargetMode="External"/><Relationship Id="rId17" Type="http://schemas.openxmlformats.org/officeDocument/2006/relationships/hyperlink" Target="http://www.accc.gov.au/system/files/Merger%20guidelines.pdf" TargetMode="External"/><Relationship Id="rId25" Type="http://schemas.openxmlformats.org/officeDocument/2006/relationships/hyperlink" Target="http://www.justice.gov/atr/public/guidelines/hmg-2010.pdf" TargetMode="External"/><Relationship Id="rId33" Type="http://schemas.openxmlformats.org/officeDocument/2006/relationships/hyperlink" Target="http://www.pib.nic.in/newsite/erelease.aspx?relid=37699"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ft.org.mx/espectro-radioelectrico/licitaciones" TargetMode="External"/><Relationship Id="rId20" Type="http://schemas.openxmlformats.org/officeDocument/2006/relationships/hyperlink" Target="http://eur-lex.europa.eu/LexUriServ/LexUriServ.do?uri=OJ:C:2004:031:0005:0018:ES:PDF" TargetMode="External"/><Relationship Id="rId29" Type="http://schemas.openxmlformats.org/officeDocument/2006/relationships/hyperlink" Target="http://aleph.academica.mx/jspui/bitstream/56789/6004/1/DOCT2065090_ARTICULO_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nuel.hernandez@ift.org.mx" TargetMode="External"/><Relationship Id="rId24" Type="http://schemas.openxmlformats.org/officeDocument/2006/relationships/hyperlink" Target="http://www.justice.gov/atr/public/guidelines/hmg.pdf" TargetMode="External"/><Relationship Id="rId32" Type="http://schemas.openxmlformats.org/officeDocument/2006/relationships/hyperlink" Target="https://www.internationalcompetitionnetwork.org/wp-content/uploads/2020/09/MWG_ConglomerateMergersReport.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f.gob.mx/nota_detalle.php?codigo=5432595&amp;fecha=11/04/2016" TargetMode="External"/><Relationship Id="rId23" Type="http://schemas.openxmlformats.org/officeDocument/2006/relationships/hyperlink" Target="http://scholarship.law.berkeley.edu/cgi/viewcontent.cgi?article=2149&amp;context=californialawreview" TargetMode="External"/><Relationship Id="rId28" Type="http://schemas.openxmlformats.org/officeDocument/2006/relationships/hyperlink" Target="http://www.fne.gob.cl/wp-content/uploads/2012/10/Guia-Fusiones.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ccpc.ie/sites/default/files/CCPC%20Merger%20Guidelines_1.pdf" TargetMode="External"/><Relationship Id="rId31" Type="http://schemas.openxmlformats.org/officeDocument/2006/relationships/hyperlink" Target="https://www.internationalcompetitionnetwork.org/portfolio/role-of-economics-in-merger-analys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ne.gob.cl/wp-content/uploads/2012/10/Guia-Fusiones.pdf" TargetMode="External"/><Relationship Id="rId22" Type="http://schemas.openxmlformats.org/officeDocument/2006/relationships/hyperlink" Target="http://www.dof.gob.mx/nota_detalle.php?codigo=5392185&amp;fecha=14/05/2015" TargetMode="External"/><Relationship Id="rId27" Type="http://schemas.openxmlformats.org/officeDocument/2006/relationships/hyperlink" Target="https://www.fccpc.gov.ng/uploads/Draft%20Revised%20Guidelines%20%20FCCPC.pdf" TargetMode="External"/><Relationship Id="rId30" Type="http://schemas.openxmlformats.org/officeDocument/2006/relationships/hyperlink" Target="https://www.internationalcompetitionnetwork.org/portfolio/merger-guidelines-workbook/" TargetMode="External"/><Relationship Id="rId35" Type="http://schemas.openxmlformats.org/officeDocument/2006/relationships/hyperlink" Target="http://www.ipu.msu.edu/library/pdfs/nrri/Rosenberg-Telecom-Mergers-97-20-July-97.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dof.gob.mx/nota_detalle.php?codigo=5378340&amp;fecha=12/01/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AFECF930C443348C22B48BAFD3CC64"/>
        <w:category>
          <w:name w:val="General"/>
          <w:gallery w:val="placeholder"/>
        </w:category>
        <w:types>
          <w:type w:val="bbPlcHdr"/>
        </w:types>
        <w:behaviors>
          <w:behavior w:val="content"/>
        </w:behaviors>
        <w:guid w:val="{E0194C3F-B584-4F6B-B54E-C4FE8CC8BB59}"/>
      </w:docPartPr>
      <w:docPartBody>
        <w:p w:rsidR="00A84928" w:rsidRDefault="00A84928" w:rsidP="00A84928">
          <w:pPr>
            <w:pStyle w:val="33AFECF930C443348C22B48BAFD3CC64"/>
          </w:pPr>
          <w:r w:rsidRPr="00B76C9A">
            <w:rPr>
              <w:rStyle w:val="Textodelmarcadordeposicin"/>
              <w:sz w:val="20"/>
            </w:rPr>
            <w:t>Elija un elemento.</w:t>
          </w:r>
        </w:p>
      </w:docPartBody>
    </w:docPart>
    <w:docPart>
      <w:docPartPr>
        <w:name w:val="55C6E33C94E647959F0AB8290213D41D"/>
        <w:category>
          <w:name w:val="General"/>
          <w:gallery w:val="placeholder"/>
        </w:category>
        <w:types>
          <w:type w:val="bbPlcHdr"/>
        </w:types>
        <w:behaviors>
          <w:behavior w:val="content"/>
        </w:behaviors>
        <w:guid w:val="{7CBBA274-BF1C-4CBC-93A9-D2F29974F0C1}"/>
      </w:docPartPr>
      <w:docPartBody>
        <w:p w:rsidR="00A84928" w:rsidRDefault="00A84928" w:rsidP="00A84928">
          <w:pPr>
            <w:pStyle w:val="55C6E33C94E647959F0AB8290213D41D"/>
          </w:pPr>
          <w:r w:rsidRPr="005335CF">
            <w:rPr>
              <w:rStyle w:val="Textodelmarcadordeposicin"/>
              <w:sz w:val="20"/>
              <w:szCs w:val="20"/>
            </w:rPr>
            <w:t>Elija un elemento.</w:t>
          </w:r>
        </w:p>
      </w:docPartBody>
    </w:docPart>
    <w:docPart>
      <w:docPartPr>
        <w:name w:val="B6CE78AFBF21443BB0D22EE03E04F3FD"/>
        <w:category>
          <w:name w:val="General"/>
          <w:gallery w:val="placeholder"/>
        </w:category>
        <w:types>
          <w:type w:val="bbPlcHdr"/>
        </w:types>
        <w:behaviors>
          <w:behavior w:val="content"/>
        </w:behaviors>
        <w:guid w:val="{70580814-2B89-4B4B-8102-40AEF7456475}"/>
      </w:docPartPr>
      <w:docPartBody>
        <w:p w:rsidR="00A84928" w:rsidRDefault="00A84928" w:rsidP="00A84928">
          <w:pPr>
            <w:pStyle w:val="B6CE78AFBF21443BB0D22EE03E04F3FD"/>
          </w:pPr>
          <w:r w:rsidRPr="00542979">
            <w:rPr>
              <w:sz w:val="16"/>
              <w:szCs w:val="20"/>
            </w:rPr>
            <w:t>Elija un elemento.</w:t>
          </w:r>
        </w:p>
      </w:docPartBody>
    </w:docPart>
    <w:docPart>
      <w:docPartPr>
        <w:name w:val="DDC88B88AFF9486A80CC1EE70F18FD34"/>
        <w:category>
          <w:name w:val="General"/>
          <w:gallery w:val="placeholder"/>
        </w:category>
        <w:types>
          <w:type w:val="bbPlcHdr"/>
        </w:types>
        <w:behaviors>
          <w:behavior w:val="content"/>
        </w:behaviors>
        <w:guid w:val="{B2B03F8C-9813-47F2-8B7F-0AF8C0CC9219}"/>
      </w:docPartPr>
      <w:docPartBody>
        <w:p w:rsidR="00A84928" w:rsidRDefault="00A84928" w:rsidP="00A84928">
          <w:pPr>
            <w:pStyle w:val="DDC88B88AFF9486A80CC1EE70F18FD34"/>
          </w:pPr>
          <w:r w:rsidRPr="00542979">
            <w:rPr>
              <w:rStyle w:val="Textodelmarcadordeposicin"/>
              <w:sz w:val="20"/>
              <w:szCs w:val="20"/>
            </w:rPr>
            <w:t>Elija un elemento.</w:t>
          </w:r>
        </w:p>
      </w:docPartBody>
    </w:docPart>
    <w:docPart>
      <w:docPartPr>
        <w:name w:val="3DEB725F017C47539B0726375B24F695"/>
        <w:category>
          <w:name w:val="General"/>
          <w:gallery w:val="placeholder"/>
        </w:category>
        <w:types>
          <w:type w:val="bbPlcHdr"/>
        </w:types>
        <w:behaviors>
          <w:behavior w:val="content"/>
        </w:behaviors>
        <w:guid w:val="{15F18DC5-106A-497E-9DCD-DF3C3813E207}"/>
      </w:docPartPr>
      <w:docPartBody>
        <w:p w:rsidR="00A84928" w:rsidRDefault="00A84928" w:rsidP="00A84928">
          <w:pPr>
            <w:pStyle w:val="3DEB725F017C47539B0726375B24F695"/>
          </w:pPr>
          <w:r w:rsidRPr="00542979">
            <w:rPr>
              <w:rStyle w:val="Textodelmarcadordeposicin"/>
              <w:sz w:val="20"/>
              <w:szCs w:val="20"/>
            </w:rPr>
            <w:t>Elija un elemento.</w:t>
          </w:r>
        </w:p>
      </w:docPartBody>
    </w:docPart>
    <w:docPart>
      <w:docPartPr>
        <w:name w:val="ECF7ABC8F2C34A6E97574C9D0608D8F9"/>
        <w:category>
          <w:name w:val="General"/>
          <w:gallery w:val="placeholder"/>
        </w:category>
        <w:types>
          <w:type w:val="bbPlcHdr"/>
        </w:types>
        <w:behaviors>
          <w:behavior w:val="content"/>
        </w:behaviors>
        <w:guid w:val="{098C4B01-157E-4C9C-912D-D45939DE9D86}"/>
      </w:docPartPr>
      <w:docPartBody>
        <w:p w:rsidR="00A84928" w:rsidRDefault="00A84928" w:rsidP="00A84928">
          <w:pPr>
            <w:pStyle w:val="ECF7ABC8F2C34A6E97574C9D0608D8F9"/>
          </w:pPr>
          <w:r w:rsidRPr="00B91D01">
            <w:rPr>
              <w:rStyle w:val="Textodelmarcadordeposicin"/>
              <w:sz w:val="20"/>
              <w:szCs w:val="20"/>
            </w:rPr>
            <w:t>Elija un elemento.</w:t>
          </w:r>
        </w:p>
      </w:docPartBody>
    </w:docPart>
    <w:docPart>
      <w:docPartPr>
        <w:name w:val="D245DFDAF5B74F7992C9AB83A46D8DFC"/>
        <w:category>
          <w:name w:val="General"/>
          <w:gallery w:val="placeholder"/>
        </w:category>
        <w:types>
          <w:type w:val="bbPlcHdr"/>
        </w:types>
        <w:behaviors>
          <w:behavior w:val="content"/>
        </w:behaviors>
        <w:guid w:val="{B9097FD7-3712-4339-B66D-DD858133DB1D}"/>
      </w:docPartPr>
      <w:docPartBody>
        <w:p w:rsidR="00A84928" w:rsidRDefault="00A84928" w:rsidP="00A84928">
          <w:pPr>
            <w:pStyle w:val="D245DFDAF5B74F7992C9AB83A46D8DFC"/>
          </w:pPr>
          <w:r w:rsidRPr="00B91D01">
            <w:rPr>
              <w:rStyle w:val="Textodelmarcadordeposicin"/>
              <w:sz w:val="20"/>
              <w:szCs w:val="20"/>
            </w:rPr>
            <w:t>Elija un elemento.</w:t>
          </w:r>
        </w:p>
      </w:docPartBody>
    </w:docPart>
    <w:docPart>
      <w:docPartPr>
        <w:name w:val="DCD1D79C95E7499F90E560BB37615364"/>
        <w:category>
          <w:name w:val="General"/>
          <w:gallery w:val="placeholder"/>
        </w:category>
        <w:types>
          <w:type w:val="bbPlcHdr"/>
        </w:types>
        <w:behaviors>
          <w:behavior w:val="content"/>
        </w:behaviors>
        <w:guid w:val="{357C0B01-B5FD-4297-9818-A09DBAC45D54}"/>
      </w:docPartPr>
      <w:docPartBody>
        <w:p w:rsidR="00A84928" w:rsidRDefault="00A84928" w:rsidP="00A84928">
          <w:pPr>
            <w:pStyle w:val="DCD1D79C95E7499F90E560BB37615364"/>
          </w:pPr>
          <w:r w:rsidRPr="00B91D01">
            <w:rPr>
              <w:rStyle w:val="Textodelmarcadordeposicin"/>
              <w:sz w:val="20"/>
              <w:szCs w:val="20"/>
            </w:rPr>
            <w:t>Elija un elemento.</w:t>
          </w:r>
        </w:p>
      </w:docPartBody>
    </w:docPart>
    <w:docPart>
      <w:docPartPr>
        <w:name w:val="242BCED56314402498000B4D336B212A"/>
        <w:category>
          <w:name w:val="General"/>
          <w:gallery w:val="placeholder"/>
        </w:category>
        <w:types>
          <w:type w:val="bbPlcHdr"/>
        </w:types>
        <w:behaviors>
          <w:behavior w:val="content"/>
        </w:behaviors>
        <w:guid w:val="{07AC8064-71AF-4405-8FBF-360329851946}"/>
      </w:docPartPr>
      <w:docPartBody>
        <w:p w:rsidR="00A84928" w:rsidRDefault="00A84928" w:rsidP="00A84928">
          <w:pPr>
            <w:pStyle w:val="242BCED56314402498000B4D336B212A"/>
          </w:pPr>
          <w:r w:rsidRPr="00B91D01">
            <w:rPr>
              <w:rStyle w:val="Textodelmarcadordeposicin"/>
              <w:sz w:val="20"/>
              <w:szCs w:val="20"/>
            </w:rPr>
            <w:t>Elija un elemento.</w:t>
          </w:r>
        </w:p>
      </w:docPartBody>
    </w:docPart>
    <w:docPart>
      <w:docPartPr>
        <w:name w:val="2642C67B84474DE5B5D97062BAC75D69"/>
        <w:category>
          <w:name w:val="General"/>
          <w:gallery w:val="placeholder"/>
        </w:category>
        <w:types>
          <w:type w:val="bbPlcHdr"/>
        </w:types>
        <w:behaviors>
          <w:behavior w:val="content"/>
        </w:behaviors>
        <w:guid w:val="{B0A4E4DC-88FA-4D21-AA21-6203F41BC91E}"/>
      </w:docPartPr>
      <w:docPartBody>
        <w:p w:rsidR="00A84928" w:rsidRDefault="00A84928" w:rsidP="00A84928">
          <w:pPr>
            <w:pStyle w:val="2642C67B84474DE5B5D97062BAC75D69"/>
          </w:pPr>
          <w:r w:rsidRPr="00F23B5B">
            <w:rPr>
              <w:rStyle w:val="Textodelmarcadordeposicin"/>
            </w:rPr>
            <w:t>Elija un elemento.</w:t>
          </w:r>
        </w:p>
      </w:docPartBody>
    </w:docPart>
    <w:docPart>
      <w:docPartPr>
        <w:name w:val="96C8B3A7D49546A6A1A56033BE126079"/>
        <w:category>
          <w:name w:val="General"/>
          <w:gallery w:val="placeholder"/>
        </w:category>
        <w:types>
          <w:type w:val="bbPlcHdr"/>
        </w:types>
        <w:behaviors>
          <w:behavior w:val="content"/>
        </w:behaviors>
        <w:guid w:val="{1897E867-3CB9-4D58-A2AC-F70266ABD55F}"/>
      </w:docPartPr>
      <w:docPartBody>
        <w:p w:rsidR="00A84928" w:rsidRDefault="00A84928" w:rsidP="00A84928">
          <w:pPr>
            <w:pStyle w:val="96C8B3A7D49546A6A1A56033BE126079"/>
          </w:pPr>
          <w:r w:rsidRPr="00242CD9">
            <w:rPr>
              <w:rStyle w:val="Textodelmarcadordeposicin"/>
              <w:sz w:val="20"/>
            </w:rPr>
            <w:t>Elija un elemento.</w:t>
          </w:r>
        </w:p>
      </w:docPartBody>
    </w:docPart>
    <w:docPart>
      <w:docPartPr>
        <w:name w:val="9055FE63A4CA4F849EFDCFD13C64FE4E"/>
        <w:category>
          <w:name w:val="General"/>
          <w:gallery w:val="placeholder"/>
        </w:category>
        <w:types>
          <w:type w:val="bbPlcHdr"/>
        </w:types>
        <w:behaviors>
          <w:behavior w:val="content"/>
        </w:behaviors>
        <w:guid w:val="{71D0A29E-0797-405F-B86E-8092CE566A8B}"/>
      </w:docPartPr>
      <w:docPartBody>
        <w:p w:rsidR="00A84928" w:rsidRDefault="00A84928" w:rsidP="00A84928">
          <w:pPr>
            <w:pStyle w:val="9055FE63A4CA4F849EFDCFD13C64FE4E"/>
          </w:pPr>
          <w:r w:rsidRPr="00242CD9">
            <w:rPr>
              <w:rStyle w:val="Textodelmarcadordeposicin"/>
              <w:sz w:val="20"/>
            </w:rPr>
            <w:t>Elija un elemento.</w:t>
          </w:r>
        </w:p>
      </w:docPartBody>
    </w:docPart>
    <w:docPart>
      <w:docPartPr>
        <w:name w:val="8FD59F08D8494AA18A9C63457AFB02AC"/>
        <w:category>
          <w:name w:val="General"/>
          <w:gallery w:val="placeholder"/>
        </w:category>
        <w:types>
          <w:type w:val="bbPlcHdr"/>
        </w:types>
        <w:behaviors>
          <w:behavior w:val="content"/>
        </w:behaviors>
        <w:guid w:val="{9C47B1AB-272F-4BF0-A11B-02A8102CF852}"/>
      </w:docPartPr>
      <w:docPartBody>
        <w:p w:rsidR="00272D22" w:rsidRDefault="00272D22" w:rsidP="00272D22">
          <w:pPr>
            <w:pStyle w:val="8FD59F08D8494AA18A9C63457AFB02AC"/>
          </w:pPr>
          <w:r w:rsidRPr="00542979">
            <w:rPr>
              <w:sz w:val="16"/>
              <w:szCs w:val="20"/>
            </w:rPr>
            <w:t>Elija un elemento.</w:t>
          </w:r>
        </w:p>
      </w:docPartBody>
    </w:docPart>
    <w:docPart>
      <w:docPartPr>
        <w:name w:val="2A46851DC1AD4BA498F2428EBB3C56CF"/>
        <w:category>
          <w:name w:val="General"/>
          <w:gallery w:val="placeholder"/>
        </w:category>
        <w:types>
          <w:type w:val="bbPlcHdr"/>
        </w:types>
        <w:behaviors>
          <w:behavior w:val="content"/>
        </w:behaviors>
        <w:guid w:val="{745E721A-5BED-43F7-88EF-419493C46495}"/>
      </w:docPartPr>
      <w:docPartBody>
        <w:p w:rsidR="00442862" w:rsidRDefault="00A84928">
          <w:pPr>
            <w:pStyle w:val="2A46851DC1AD4BA498F2428EBB3C56CF"/>
          </w:pPr>
          <w:r w:rsidRPr="00B76C9A">
            <w:rPr>
              <w:rStyle w:val="Textodelmarcadordeposicin"/>
              <w:sz w:val="20"/>
            </w:rPr>
            <w:t>Elija un elemento.</w:t>
          </w:r>
        </w:p>
      </w:docPartBody>
    </w:docPart>
    <w:docPart>
      <w:docPartPr>
        <w:name w:val="881408778DBC4921AAEC2383B911A3F1"/>
        <w:category>
          <w:name w:val="General"/>
          <w:gallery w:val="placeholder"/>
        </w:category>
        <w:types>
          <w:type w:val="bbPlcHdr"/>
        </w:types>
        <w:behaviors>
          <w:behavior w:val="content"/>
        </w:behaviors>
        <w:guid w:val="{694E380A-1ED8-487D-8FA3-1C6787019C07}"/>
      </w:docPartPr>
      <w:docPartBody>
        <w:p w:rsidR="00442862" w:rsidRDefault="00272D22">
          <w:pPr>
            <w:pStyle w:val="881408778DBC4921AAEC2383B911A3F1"/>
          </w:pPr>
          <w:r w:rsidRPr="00B76C9A">
            <w:rPr>
              <w:rStyle w:val="Textodelmarcadordeposicin"/>
              <w:sz w:val="20"/>
              <w:szCs w:val="20"/>
            </w:rPr>
            <w:t>Elija un elemento.</w:t>
          </w:r>
        </w:p>
      </w:docPartBody>
    </w:docPart>
    <w:docPart>
      <w:docPartPr>
        <w:name w:val="422F5327E82E4E4DB6A354C28007AE0E"/>
        <w:category>
          <w:name w:val="General"/>
          <w:gallery w:val="placeholder"/>
        </w:category>
        <w:types>
          <w:type w:val="bbPlcHdr"/>
        </w:types>
        <w:behaviors>
          <w:behavior w:val="content"/>
        </w:behaviors>
        <w:guid w:val="{CBE627DE-9207-4342-98B4-EB90BAD86C4F}"/>
      </w:docPartPr>
      <w:docPartBody>
        <w:p w:rsidR="00442862" w:rsidRDefault="00272D22">
          <w:pPr>
            <w:pStyle w:val="422F5327E82E4E4DB6A354C28007AE0E"/>
          </w:pPr>
          <w:r w:rsidRPr="00B76C9A">
            <w:rPr>
              <w:rStyle w:val="Textodelmarcadordeposicin"/>
              <w:sz w:val="20"/>
              <w:szCs w:val="20"/>
            </w:rPr>
            <w:t>Elija un elemento.</w:t>
          </w:r>
        </w:p>
      </w:docPartBody>
    </w:docPart>
    <w:docPart>
      <w:docPartPr>
        <w:name w:val="A9A52BC3DC3D4DF2AB5E969DA8664FDA"/>
        <w:category>
          <w:name w:val="General"/>
          <w:gallery w:val="placeholder"/>
        </w:category>
        <w:types>
          <w:type w:val="bbPlcHdr"/>
        </w:types>
        <w:behaviors>
          <w:behavior w:val="content"/>
        </w:behaviors>
        <w:guid w:val="{86A63288-B007-4D12-88E5-C1BE953C5A21}"/>
      </w:docPartPr>
      <w:docPartBody>
        <w:p w:rsidR="00442862" w:rsidRDefault="00272D22">
          <w:pPr>
            <w:pStyle w:val="A9A52BC3DC3D4DF2AB5E969DA8664FDA"/>
          </w:pPr>
          <w:r w:rsidRPr="00B76C9A">
            <w:rPr>
              <w:rStyle w:val="Textodelmarcadordeposicin"/>
              <w:sz w:val="20"/>
              <w:szCs w:val="20"/>
            </w:rPr>
            <w:t>Elija un elemento.</w:t>
          </w:r>
        </w:p>
      </w:docPartBody>
    </w:docPart>
    <w:docPart>
      <w:docPartPr>
        <w:name w:val="3C345C197C5D489A9ECFBA2C89C45D8D"/>
        <w:category>
          <w:name w:val="General"/>
          <w:gallery w:val="placeholder"/>
        </w:category>
        <w:types>
          <w:type w:val="bbPlcHdr"/>
        </w:types>
        <w:behaviors>
          <w:behavior w:val="content"/>
        </w:behaviors>
        <w:guid w:val="{122044D3-AC4D-426D-A9E4-F156175A3CB4}"/>
      </w:docPartPr>
      <w:docPartBody>
        <w:p w:rsidR="00442862" w:rsidRDefault="00272D22">
          <w:pPr>
            <w:pStyle w:val="3C345C197C5D489A9ECFBA2C89C45D8D"/>
          </w:pPr>
          <w:r w:rsidRPr="00B76C9A">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28"/>
    <w:rsid w:val="00007601"/>
    <w:rsid w:val="00272D22"/>
    <w:rsid w:val="00442862"/>
    <w:rsid w:val="00715314"/>
    <w:rsid w:val="0073793A"/>
    <w:rsid w:val="00780E82"/>
    <w:rsid w:val="009D61F7"/>
    <w:rsid w:val="009E5078"/>
    <w:rsid w:val="00A84928"/>
    <w:rsid w:val="00AC56AB"/>
    <w:rsid w:val="00BD41A1"/>
    <w:rsid w:val="00F20B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84928"/>
    <w:rPr>
      <w:color w:val="808080"/>
    </w:rPr>
  </w:style>
  <w:style w:type="paragraph" w:customStyle="1" w:styleId="C8ACF0ADE30C46F2BD1EC0EECDE79E8C">
    <w:name w:val="C8ACF0ADE30C46F2BD1EC0EECDE79E8C"/>
    <w:rsid w:val="00A84928"/>
  </w:style>
  <w:style w:type="paragraph" w:customStyle="1" w:styleId="BD882014BAB9466D960B9A0812AC799C">
    <w:name w:val="BD882014BAB9466D960B9A0812AC799C"/>
    <w:rsid w:val="00A84928"/>
  </w:style>
  <w:style w:type="paragraph" w:customStyle="1" w:styleId="33AFECF930C443348C22B48BAFD3CC64">
    <w:name w:val="33AFECF930C443348C22B48BAFD3CC64"/>
    <w:rsid w:val="00A84928"/>
  </w:style>
  <w:style w:type="paragraph" w:customStyle="1" w:styleId="55C6E33C94E647959F0AB8290213D41D">
    <w:name w:val="55C6E33C94E647959F0AB8290213D41D"/>
    <w:rsid w:val="00A84928"/>
  </w:style>
  <w:style w:type="paragraph" w:customStyle="1" w:styleId="099F99F188BD4AEC89A98B5808757651">
    <w:name w:val="099F99F188BD4AEC89A98B5808757651"/>
    <w:rsid w:val="00A84928"/>
  </w:style>
  <w:style w:type="paragraph" w:customStyle="1" w:styleId="B6CE78AFBF21443BB0D22EE03E04F3FD">
    <w:name w:val="B6CE78AFBF21443BB0D22EE03E04F3FD"/>
    <w:rsid w:val="00A84928"/>
  </w:style>
  <w:style w:type="paragraph" w:customStyle="1" w:styleId="DDC88B88AFF9486A80CC1EE70F18FD34">
    <w:name w:val="DDC88B88AFF9486A80CC1EE70F18FD34"/>
    <w:rsid w:val="00A84928"/>
  </w:style>
  <w:style w:type="paragraph" w:customStyle="1" w:styleId="3DEB725F017C47539B0726375B24F695">
    <w:name w:val="3DEB725F017C47539B0726375B24F695"/>
    <w:rsid w:val="00A84928"/>
  </w:style>
  <w:style w:type="paragraph" w:customStyle="1" w:styleId="138D5EC6DB57498DB3AD5476A1BD4036">
    <w:name w:val="138D5EC6DB57498DB3AD5476A1BD4036"/>
    <w:rsid w:val="00A84928"/>
  </w:style>
  <w:style w:type="paragraph" w:customStyle="1" w:styleId="ECF7ABC8F2C34A6E97574C9D0608D8F9">
    <w:name w:val="ECF7ABC8F2C34A6E97574C9D0608D8F9"/>
    <w:rsid w:val="00A84928"/>
  </w:style>
  <w:style w:type="paragraph" w:customStyle="1" w:styleId="CDEA07BCDF0448CFAA5F90445ABE794F">
    <w:name w:val="CDEA07BCDF0448CFAA5F90445ABE794F"/>
    <w:rsid w:val="00A84928"/>
  </w:style>
  <w:style w:type="paragraph" w:customStyle="1" w:styleId="D245DFDAF5B74F7992C9AB83A46D8DFC">
    <w:name w:val="D245DFDAF5B74F7992C9AB83A46D8DFC"/>
    <w:rsid w:val="00A84928"/>
  </w:style>
  <w:style w:type="paragraph" w:customStyle="1" w:styleId="D9579532DABD419AA71A2810B4EE0F77">
    <w:name w:val="D9579532DABD419AA71A2810B4EE0F77"/>
    <w:rsid w:val="00A84928"/>
  </w:style>
  <w:style w:type="paragraph" w:customStyle="1" w:styleId="FF1C2A1F5436418982B25C13962BA07E">
    <w:name w:val="FF1C2A1F5436418982B25C13962BA07E"/>
    <w:rsid w:val="00A84928"/>
  </w:style>
  <w:style w:type="paragraph" w:customStyle="1" w:styleId="6D92A443CDE54134B596D9F508161066">
    <w:name w:val="6D92A443CDE54134B596D9F508161066"/>
    <w:rsid w:val="00A84928"/>
  </w:style>
  <w:style w:type="paragraph" w:customStyle="1" w:styleId="DCD1D79C95E7499F90E560BB37615364">
    <w:name w:val="DCD1D79C95E7499F90E560BB37615364"/>
    <w:rsid w:val="00A84928"/>
  </w:style>
  <w:style w:type="paragraph" w:customStyle="1" w:styleId="242BCED56314402498000B4D336B212A">
    <w:name w:val="242BCED56314402498000B4D336B212A"/>
    <w:rsid w:val="00A84928"/>
  </w:style>
  <w:style w:type="paragraph" w:customStyle="1" w:styleId="2642C67B84474DE5B5D97062BAC75D69">
    <w:name w:val="2642C67B84474DE5B5D97062BAC75D69"/>
    <w:rsid w:val="00A84928"/>
  </w:style>
  <w:style w:type="paragraph" w:customStyle="1" w:styleId="96C8B3A7D49546A6A1A56033BE126079">
    <w:name w:val="96C8B3A7D49546A6A1A56033BE126079"/>
    <w:rsid w:val="00A84928"/>
  </w:style>
  <w:style w:type="paragraph" w:customStyle="1" w:styleId="9055FE63A4CA4F849EFDCFD13C64FE4E">
    <w:name w:val="9055FE63A4CA4F849EFDCFD13C64FE4E"/>
    <w:rsid w:val="00A84928"/>
  </w:style>
  <w:style w:type="paragraph" w:customStyle="1" w:styleId="8FD59F08D8494AA18A9C63457AFB02AC">
    <w:name w:val="8FD59F08D8494AA18A9C63457AFB02AC"/>
    <w:rsid w:val="00272D22"/>
  </w:style>
  <w:style w:type="paragraph" w:customStyle="1" w:styleId="4C37D4A601B34D3DBB004E09E4E525C4">
    <w:name w:val="4C37D4A601B34D3DBB004E09E4E525C4"/>
  </w:style>
  <w:style w:type="paragraph" w:customStyle="1" w:styleId="D7917B3D86974AF1A9F0FA1DEB7693AF">
    <w:name w:val="D7917B3D86974AF1A9F0FA1DEB7693AF"/>
  </w:style>
  <w:style w:type="paragraph" w:customStyle="1" w:styleId="3FD6DB7728524B46B4EC106066A2D007">
    <w:name w:val="3FD6DB7728524B46B4EC106066A2D007"/>
  </w:style>
  <w:style w:type="paragraph" w:customStyle="1" w:styleId="2425E5E4AEED4EA2B5D4EDAB74013EAB">
    <w:name w:val="2425E5E4AEED4EA2B5D4EDAB74013EAB"/>
  </w:style>
  <w:style w:type="paragraph" w:customStyle="1" w:styleId="2A46851DC1AD4BA498F2428EBB3C56CF">
    <w:name w:val="2A46851DC1AD4BA498F2428EBB3C56CF"/>
  </w:style>
  <w:style w:type="paragraph" w:customStyle="1" w:styleId="881408778DBC4921AAEC2383B911A3F1">
    <w:name w:val="881408778DBC4921AAEC2383B911A3F1"/>
  </w:style>
  <w:style w:type="paragraph" w:customStyle="1" w:styleId="422F5327E82E4E4DB6A354C28007AE0E">
    <w:name w:val="422F5327E82E4E4DB6A354C28007AE0E"/>
  </w:style>
  <w:style w:type="paragraph" w:customStyle="1" w:styleId="A9A52BC3DC3D4DF2AB5E969DA8664FDA">
    <w:name w:val="A9A52BC3DC3D4DF2AB5E969DA8664FDA"/>
  </w:style>
  <w:style w:type="paragraph" w:customStyle="1" w:styleId="3C345C197C5D489A9ECFBA2C89C45D8D">
    <w:name w:val="3C345C197C5D489A9ECFBA2C89C45D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7810BB62C8401429A0832347F2B0CD5" ma:contentTypeVersion="0" ma:contentTypeDescription="Crear nuevo documento." ma:contentTypeScope="" ma:versionID="2e811fa641097a5f4e144866d9bde68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A8E97-6EA4-497A-AD06-B41ABCE667B0}">
  <ds:schemaRefs>
    <ds:schemaRef ds:uri="http://schemas.openxmlformats.org/officeDocument/2006/bibliography"/>
  </ds:schemaRefs>
</ds:datastoreItem>
</file>

<file path=customXml/itemProps2.xml><?xml version="1.0" encoding="utf-8"?>
<ds:datastoreItem xmlns:ds="http://schemas.openxmlformats.org/officeDocument/2006/customXml" ds:itemID="{FC639AA3-8FCD-4525-8D17-158458C2CC78}">
  <ds:schemaRefs>
    <ds:schemaRef ds:uri="http://schemas.microsoft.com/sharepoint/v3/contenttype/forms"/>
  </ds:schemaRefs>
</ds:datastoreItem>
</file>

<file path=customXml/itemProps3.xml><?xml version="1.0" encoding="utf-8"?>
<ds:datastoreItem xmlns:ds="http://schemas.openxmlformats.org/officeDocument/2006/customXml" ds:itemID="{48440A88-037B-404B-B9E3-B8B4B33CE0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A021A0-CF28-4234-9B74-FF45A90F7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7720</Words>
  <Characters>42461</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50081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Uriel Salinas Morales</dc:creator>
  <cp:keywords/>
  <dc:description/>
  <cp:lastModifiedBy>DGCC</cp:lastModifiedBy>
  <cp:revision>2</cp:revision>
  <dcterms:created xsi:type="dcterms:W3CDTF">2022-02-15T23:57:00Z</dcterms:created>
  <dcterms:modified xsi:type="dcterms:W3CDTF">2022-02-15T23:57:00Z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0x01010097810BB62C8401429A0832347F2B0CD5</vt:lpwstr>
  </property>
</Properties>
</file>