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B2782" w14:textId="138ABE19" w:rsidR="008A39CF" w:rsidRPr="00AC50B3" w:rsidRDefault="00AC50B3" w:rsidP="00AC50B3">
      <w:pPr>
        <w:rPr>
          <w:rFonts w:cs="Arial"/>
          <w:b/>
          <w:sz w:val="26"/>
          <w:szCs w:val="26"/>
        </w:rPr>
      </w:pPr>
      <w:r w:rsidRPr="00AC50B3">
        <w:rPr>
          <w:rFonts w:cs="Arial"/>
          <w:b/>
          <w:sz w:val="26"/>
          <w:szCs w:val="26"/>
        </w:rPr>
        <w:t xml:space="preserve">Acuerdo mediante el cual el Pleno del Instituto Federal de Telecomunicaciones </w:t>
      </w:r>
      <w:r w:rsidR="003E3A6E">
        <w:rPr>
          <w:rFonts w:cs="Arial"/>
          <w:b/>
          <w:sz w:val="26"/>
          <w:szCs w:val="26"/>
        </w:rPr>
        <w:t xml:space="preserve">modifica </w:t>
      </w:r>
      <w:bookmarkStart w:id="0" w:name="_Hlk95841863"/>
      <w:r w:rsidR="003E3A6E">
        <w:rPr>
          <w:rFonts w:cs="Arial"/>
          <w:b/>
          <w:sz w:val="26"/>
          <w:szCs w:val="26"/>
        </w:rPr>
        <w:t>el</w:t>
      </w:r>
      <w:r w:rsidR="00531E1E" w:rsidRPr="00AC50B3">
        <w:rPr>
          <w:rFonts w:cs="Arial"/>
          <w:b/>
          <w:sz w:val="26"/>
          <w:szCs w:val="26"/>
        </w:rPr>
        <w:t xml:space="preserve"> </w:t>
      </w:r>
      <w:r w:rsidRPr="00AC50B3">
        <w:rPr>
          <w:rFonts w:cs="Arial"/>
          <w:b/>
          <w:sz w:val="26"/>
          <w:szCs w:val="26"/>
        </w:rPr>
        <w:t>criterio técnico para el cálculo y aplicación de un índice cuantitativo a fin de determinar el grado de concentración en los mercados y</w:t>
      </w:r>
      <w:r w:rsidR="00E44BDC" w:rsidRPr="00AC50B3">
        <w:rPr>
          <w:rFonts w:cs="Arial"/>
          <w:b/>
          <w:sz w:val="26"/>
          <w:szCs w:val="26"/>
        </w:rPr>
        <w:t xml:space="preserve"> </w:t>
      </w:r>
      <w:r w:rsidRPr="00AC50B3">
        <w:rPr>
          <w:rFonts w:cs="Arial"/>
          <w:b/>
          <w:sz w:val="26"/>
          <w:szCs w:val="26"/>
        </w:rPr>
        <w:t>servicios correspondientes a los sectores de telecomunicaciones y radiodifusión</w:t>
      </w:r>
      <w:bookmarkEnd w:id="0"/>
    </w:p>
    <w:p w14:paraId="1F6C933E" w14:textId="7489A541" w:rsidR="0060122E" w:rsidRDefault="0060122E" w:rsidP="00AC50B3">
      <w:pPr>
        <w:rPr>
          <w:rFonts w:cs="Arial"/>
          <w:b/>
          <w:highlight w:val="yellow"/>
        </w:rPr>
      </w:pPr>
    </w:p>
    <w:p w14:paraId="5F95B3C2" w14:textId="77777777" w:rsidR="00AC50B3" w:rsidRPr="00AC50B3" w:rsidRDefault="00AC50B3" w:rsidP="00AC50B3">
      <w:pPr>
        <w:rPr>
          <w:rFonts w:cs="Arial"/>
          <w:b/>
          <w:highlight w:val="yellow"/>
        </w:rPr>
      </w:pPr>
    </w:p>
    <w:p w14:paraId="211791C0" w14:textId="09636F50" w:rsidR="008A39CF" w:rsidRPr="00AC50B3" w:rsidRDefault="008A39CF" w:rsidP="00AC50B3">
      <w:pPr>
        <w:pStyle w:val="Ttulo1"/>
        <w:keepNext w:val="0"/>
        <w:spacing w:line="276" w:lineRule="auto"/>
        <w:ind w:left="862" w:hanging="360"/>
        <w:rPr>
          <w:rStyle w:val="NormalIFTCar"/>
          <w:rFonts w:ascii="Arial" w:eastAsia="Calibri" w:hAnsi="Arial" w:cs="Arial"/>
          <w:sz w:val="26"/>
          <w:szCs w:val="26"/>
        </w:rPr>
      </w:pPr>
      <w:r w:rsidRPr="00AC50B3">
        <w:rPr>
          <w:rStyle w:val="NormalIFTCar"/>
          <w:rFonts w:ascii="Arial" w:eastAsia="Calibri" w:hAnsi="Arial" w:cs="Arial"/>
          <w:sz w:val="26"/>
          <w:szCs w:val="26"/>
        </w:rPr>
        <w:t>A</w:t>
      </w:r>
      <w:r w:rsidR="00AC50B3" w:rsidRPr="00AC50B3">
        <w:rPr>
          <w:rStyle w:val="NormalIFTCar"/>
          <w:rFonts w:ascii="Arial" w:eastAsia="Calibri" w:hAnsi="Arial" w:cs="Arial"/>
          <w:sz w:val="26"/>
          <w:szCs w:val="26"/>
        </w:rPr>
        <w:t>ntecedentes</w:t>
      </w:r>
    </w:p>
    <w:p w14:paraId="6D25238F" w14:textId="77777777" w:rsidR="00AC50B3" w:rsidRDefault="00AC50B3" w:rsidP="00AC50B3">
      <w:pPr>
        <w:pStyle w:val="Sinespaciado"/>
        <w:spacing w:line="276" w:lineRule="auto"/>
        <w:ind w:left="28"/>
        <w:jc w:val="both"/>
        <w:rPr>
          <w:rFonts w:ascii="Arial" w:eastAsia="Times New Roman" w:hAnsi="Arial" w:cs="Arial"/>
          <w:b/>
          <w:bCs/>
          <w:color w:val="000000"/>
          <w:lang w:val="es-ES_tradnl" w:eastAsia="es-MX"/>
        </w:rPr>
      </w:pPr>
    </w:p>
    <w:p w14:paraId="23ABACC3" w14:textId="77777777" w:rsidR="00AC50B3" w:rsidRDefault="00AC50B3" w:rsidP="00AC50B3">
      <w:pPr>
        <w:pStyle w:val="Sinespaciado"/>
        <w:spacing w:line="276" w:lineRule="auto"/>
        <w:ind w:left="28"/>
        <w:jc w:val="both"/>
        <w:rPr>
          <w:rFonts w:ascii="Arial" w:eastAsia="Times New Roman" w:hAnsi="Arial" w:cs="Arial"/>
          <w:b/>
          <w:bCs/>
          <w:color w:val="000000"/>
          <w:lang w:val="es-ES_tradnl" w:eastAsia="es-MX"/>
        </w:rPr>
      </w:pPr>
    </w:p>
    <w:p w14:paraId="63BF547B" w14:textId="27F22B74" w:rsidR="0097157B" w:rsidRDefault="00F404AD" w:rsidP="00AC50B3">
      <w:pPr>
        <w:pStyle w:val="Sinespaciado"/>
        <w:numPr>
          <w:ilvl w:val="0"/>
          <w:numId w:val="26"/>
        </w:numPr>
        <w:spacing w:line="276" w:lineRule="auto"/>
        <w:ind w:left="0" w:firstLine="0"/>
        <w:jc w:val="both"/>
        <w:rPr>
          <w:rFonts w:ascii="Arial" w:hAnsi="Arial" w:cs="Arial"/>
        </w:rPr>
      </w:pPr>
      <w:r w:rsidRPr="0097157B">
        <w:rPr>
          <w:rFonts w:ascii="Arial" w:hAnsi="Arial" w:cs="Arial"/>
        </w:rPr>
        <w:t>E</w:t>
      </w:r>
      <w:r w:rsidR="00CF0640" w:rsidRPr="0097157B">
        <w:rPr>
          <w:rFonts w:ascii="Arial" w:hAnsi="Arial" w:cs="Arial"/>
        </w:rPr>
        <w:t>l 17 de marzo</w:t>
      </w:r>
      <w:r w:rsidR="00CE6562" w:rsidRPr="0097157B">
        <w:rPr>
          <w:rFonts w:ascii="Arial" w:hAnsi="Arial" w:cs="Arial"/>
        </w:rPr>
        <w:t xml:space="preserve"> de </w:t>
      </w:r>
      <w:r w:rsidRPr="0097157B">
        <w:rPr>
          <w:rFonts w:ascii="Arial" w:hAnsi="Arial" w:cs="Arial"/>
        </w:rPr>
        <w:t>2016</w:t>
      </w:r>
      <w:r w:rsidR="00CE6562" w:rsidRPr="0097157B">
        <w:rPr>
          <w:rFonts w:ascii="Arial" w:hAnsi="Arial" w:cs="Arial"/>
        </w:rPr>
        <w:t xml:space="preserve">, </w:t>
      </w:r>
      <w:r w:rsidR="0002058B" w:rsidRPr="0097157B">
        <w:rPr>
          <w:rFonts w:ascii="Arial" w:hAnsi="Arial" w:cs="Arial"/>
        </w:rPr>
        <w:t xml:space="preserve">mediante acuerdo </w:t>
      </w:r>
      <w:r w:rsidR="00CF0640" w:rsidRPr="0097157B">
        <w:rPr>
          <w:rFonts w:ascii="Arial" w:hAnsi="Arial" w:cs="Arial"/>
        </w:rPr>
        <w:t>P/IFT/170316/101 el Pleno del Instituto Federal de Telecomunicaciones (Instituto</w:t>
      </w:r>
      <w:r w:rsidR="00592CFD">
        <w:rPr>
          <w:rFonts w:ascii="Arial" w:hAnsi="Arial" w:cs="Arial"/>
        </w:rPr>
        <w:t xml:space="preserve"> o IFT</w:t>
      </w:r>
      <w:r w:rsidR="00CF0640" w:rsidRPr="0097157B">
        <w:rPr>
          <w:rFonts w:ascii="Arial" w:hAnsi="Arial" w:cs="Arial"/>
        </w:rPr>
        <w:t xml:space="preserve">) </w:t>
      </w:r>
      <w:r w:rsidR="00531E1E" w:rsidRPr="0097157B">
        <w:rPr>
          <w:rFonts w:ascii="Arial" w:hAnsi="Arial" w:cs="Arial"/>
        </w:rPr>
        <w:t xml:space="preserve">expidió </w:t>
      </w:r>
      <w:r w:rsidR="00CE6562" w:rsidRPr="0097157B">
        <w:rPr>
          <w:rFonts w:ascii="Arial" w:hAnsi="Arial" w:cs="Arial"/>
        </w:rPr>
        <w:t>el “</w:t>
      </w:r>
      <w:r w:rsidR="00CE6562" w:rsidRPr="0097157B">
        <w:rPr>
          <w:rFonts w:ascii="Arial" w:hAnsi="Arial" w:cs="Arial"/>
          <w:i/>
        </w:rPr>
        <w:t>CRITERIO TÉCNICO PARA EL CÁLCULO Y APLICACIÓN DE UN ÍNDICE CUANTITATIVO A FIN DE DETERMINAR EL GRADO DE CONCENTRACIÓN EN LOS MERCADOS Y SERVICIOS CORRESPON</w:t>
      </w:r>
      <w:bookmarkStart w:id="1" w:name="_GoBack"/>
      <w:bookmarkEnd w:id="1"/>
      <w:r w:rsidR="00CE6562" w:rsidRPr="0097157B">
        <w:rPr>
          <w:rFonts w:ascii="Arial" w:hAnsi="Arial" w:cs="Arial"/>
          <w:i/>
        </w:rPr>
        <w:t>DIENTES A LOS SECTORES DE TELECOMUNICACIONES Y RADIODIFUSIÓN</w:t>
      </w:r>
      <w:r w:rsidR="00CE6562" w:rsidRPr="0097157B">
        <w:rPr>
          <w:rFonts w:ascii="Arial" w:hAnsi="Arial" w:cs="Arial"/>
        </w:rPr>
        <w:t>”</w:t>
      </w:r>
      <w:r w:rsidR="00C51CA0" w:rsidRPr="0097157B">
        <w:rPr>
          <w:rFonts w:ascii="Arial" w:hAnsi="Arial" w:cs="Arial"/>
        </w:rPr>
        <w:t xml:space="preserve"> (Criterio Técnico), mismo que</w:t>
      </w:r>
      <w:r w:rsidR="00CF0640" w:rsidRPr="0097157B">
        <w:rPr>
          <w:rFonts w:ascii="Arial" w:hAnsi="Arial" w:cs="Arial"/>
        </w:rPr>
        <w:t xml:space="preserve"> fue publicado el Diario Oficial de la Federación </w:t>
      </w:r>
      <w:r w:rsidR="00C51CA0" w:rsidRPr="0097157B">
        <w:rPr>
          <w:rFonts w:ascii="Arial" w:hAnsi="Arial" w:cs="Arial"/>
        </w:rPr>
        <w:t xml:space="preserve">el </w:t>
      </w:r>
      <w:r w:rsidR="00CF0640" w:rsidRPr="0097157B">
        <w:rPr>
          <w:rFonts w:ascii="Arial" w:hAnsi="Arial" w:cs="Arial"/>
        </w:rPr>
        <w:t>11</w:t>
      </w:r>
      <w:r w:rsidR="00C51CA0" w:rsidRPr="0097157B">
        <w:rPr>
          <w:rFonts w:ascii="Arial" w:hAnsi="Arial" w:cs="Arial"/>
        </w:rPr>
        <w:t xml:space="preserve"> de abril de </w:t>
      </w:r>
      <w:r w:rsidR="00CF0640" w:rsidRPr="0097157B">
        <w:rPr>
          <w:rFonts w:ascii="Arial" w:hAnsi="Arial" w:cs="Arial"/>
        </w:rPr>
        <w:t>2016</w:t>
      </w:r>
      <w:r w:rsidR="00C51CA0" w:rsidRPr="0097157B">
        <w:rPr>
          <w:rFonts w:ascii="Arial" w:hAnsi="Arial" w:cs="Arial"/>
        </w:rPr>
        <w:t>.</w:t>
      </w:r>
    </w:p>
    <w:p w14:paraId="5D086D32" w14:textId="1268AD8F" w:rsidR="0097157B" w:rsidRPr="0097157B" w:rsidRDefault="0097157B" w:rsidP="0097157B">
      <w:pPr>
        <w:pStyle w:val="Sinespaciado"/>
        <w:spacing w:line="276" w:lineRule="auto"/>
        <w:jc w:val="both"/>
        <w:rPr>
          <w:rFonts w:ascii="Arial" w:hAnsi="Arial" w:cs="Arial"/>
        </w:rPr>
      </w:pPr>
    </w:p>
    <w:p w14:paraId="1FC32446" w14:textId="6209BC1D" w:rsidR="00C520DF" w:rsidRPr="00C520DF" w:rsidRDefault="00BC1A6C" w:rsidP="00AC50B3">
      <w:pPr>
        <w:pStyle w:val="Sinespaciado"/>
        <w:numPr>
          <w:ilvl w:val="0"/>
          <w:numId w:val="26"/>
        </w:numPr>
        <w:spacing w:line="276" w:lineRule="auto"/>
        <w:ind w:left="0" w:firstLine="0"/>
        <w:jc w:val="both"/>
        <w:rPr>
          <w:rFonts w:ascii="Arial" w:hAnsi="Arial" w:cs="Arial"/>
        </w:rPr>
      </w:pPr>
      <w:r>
        <w:rPr>
          <w:rFonts w:ascii="Arial" w:hAnsi="Arial" w:cs="Arial"/>
          <w:color w:val="000000"/>
          <w:shd w:val="clear" w:color="auto" w:fill="FFFFFF"/>
        </w:rPr>
        <w:t xml:space="preserve">El 18 de agosto de 2021, </w:t>
      </w:r>
      <w:r w:rsidRPr="0097157B">
        <w:rPr>
          <w:rFonts w:ascii="Arial" w:hAnsi="Arial" w:cs="Arial"/>
          <w:color w:val="000000"/>
          <w:shd w:val="clear" w:color="auto" w:fill="FFFFFF"/>
        </w:rPr>
        <w:t>mediante Acuerdo P/IFT/</w:t>
      </w:r>
      <w:r>
        <w:rPr>
          <w:rFonts w:ascii="Arial" w:hAnsi="Arial" w:cs="Arial"/>
          <w:color w:val="000000"/>
          <w:shd w:val="clear" w:color="auto" w:fill="FFFFFF"/>
        </w:rPr>
        <w:t>180821</w:t>
      </w:r>
      <w:r w:rsidRPr="0097157B">
        <w:rPr>
          <w:rFonts w:ascii="Arial" w:hAnsi="Arial" w:cs="Arial"/>
          <w:color w:val="000000"/>
          <w:shd w:val="clear" w:color="auto" w:fill="FFFFFF"/>
        </w:rPr>
        <w:t>/4</w:t>
      </w:r>
      <w:r>
        <w:rPr>
          <w:rFonts w:ascii="Arial" w:hAnsi="Arial" w:cs="Arial"/>
          <w:color w:val="000000"/>
          <w:shd w:val="clear" w:color="auto" w:fill="FFFFFF"/>
        </w:rPr>
        <w:t>08</w:t>
      </w:r>
      <w:r w:rsidRPr="0097157B">
        <w:rPr>
          <w:rFonts w:ascii="Arial" w:hAnsi="Arial" w:cs="Arial"/>
          <w:color w:val="000000"/>
          <w:shd w:val="clear" w:color="auto" w:fill="FFFFFF"/>
        </w:rPr>
        <w:t xml:space="preserve"> </w:t>
      </w:r>
      <w:r>
        <w:rPr>
          <w:rFonts w:ascii="Arial" w:hAnsi="Arial" w:cs="Arial"/>
          <w:color w:val="000000"/>
          <w:shd w:val="clear" w:color="auto" w:fill="FFFFFF"/>
        </w:rPr>
        <w:t>y c</w:t>
      </w:r>
      <w:r w:rsidR="0097157B" w:rsidRPr="0097157B">
        <w:rPr>
          <w:rFonts w:ascii="Arial" w:hAnsi="Arial" w:cs="Arial"/>
          <w:color w:val="000000"/>
          <w:shd w:val="clear" w:color="auto" w:fill="FFFFFF"/>
        </w:rPr>
        <w:t xml:space="preserve">on fundamento en los artículos 12, fracción XXII, párrafo tercero, inciso a), </w:t>
      </w:r>
      <w:r w:rsidR="0097157B">
        <w:rPr>
          <w:rFonts w:ascii="Arial" w:hAnsi="Arial" w:cs="Arial"/>
          <w:color w:val="000000"/>
          <w:shd w:val="clear" w:color="auto" w:fill="FFFFFF"/>
        </w:rPr>
        <w:t>18</w:t>
      </w:r>
      <w:r w:rsidR="00086D8F">
        <w:rPr>
          <w:rFonts w:ascii="Arial" w:hAnsi="Arial" w:cs="Arial"/>
          <w:color w:val="000000"/>
          <w:shd w:val="clear" w:color="auto" w:fill="FFFFFF"/>
        </w:rPr>
        <w:t>,</w:t>
      </w:r>
      <w:r w:rsidR="0097157B">
        <w:rPr>
          <w:rFonts w:ascii="Arial" w:hAnsi="Arial" w:cs="Arial"/>
          <w:color w:val="000000"/>
          <w:shd w:val="clear" w:color="auto" w:fill="FFFFFF"/>
        </w:rPr>
        <w:t xml:space="preserve"> párrafo séptimo </w:t>
      </w:r>
      <w:r w:rsidR="0097157B" w:rsidRPr="0097157B">
        <w:rPr>
          <w:rFonts w:ascii="Arial" w:hAnsi="Arial" w:cs="Arial"/>
          <w:color w:val="000000"/>
          <w:shd w:val="clear" w:color="auto" w:fill="FFFFFF"/>
        </w:rPr>
        <w:t>y 138, fracciones I y</w:t>
      </w:r>
      <w:r w:rsidR="0097157B">
        <w:rPr>
          <w:rFonts w:ascii="Arial" w:hAnsi="Arial" w:cs="Arial"/>
          <w:color w:val="000000"/>
          <w:shd w:val="clear" w:color="auto" w:fill="FFFFFF"/>
        </w:rPr>
        <w:t xml:space="preserve"> </w:t>
      </w:r>
      <w:r w:rsidR="0097157B" w:rsidRPr="0097157B">
        <w:rPr>
          <w:rFonts w:ascii="Arial" w:hAnsi="Arial" w:cs="Arial"/>
          <w:color w:val="000000"/>
          <w:shd w:val="clear" w:color="auto" w:fill="FFFFFF"/>
        </w:rPr>
        <w:t>II, de la L</w:t>
      </w:r>
      <w:r w:rsidR="0097157B">
        <w:rPr>
          <w:rFonts w:ascii="Arial" w:hAnsi="Arial" w:cs="Arial"/>
          <w:color w:val="000000"/>
          <w:shd w:val="clear" w:color="auto" w:fill="FFFFFF"/>
        </w:rPr>
        <w:t xml:space="preserve">ey </w:t>
      </w:r>
      <w:r w:rsidR="0097157B" w:rsidRPr="0097157B">
        <w:rPr>
          <w:rFonts w:ascii="Arial" w:hAnsi="Arial" w:cs="Arial"/>
          <w:color w:val="000000"/>
          <w:shd w:val="clear" w:color="auto" w:fill="FFFFFF"/>
        </w:rPr>
        <w:t>F</w:t>
      </w:r>
      <w:r w:rsidR="0097157B">
        <w:rPr>
          <w:rFonts w:ascii="Arial" w:hAnsi="Arial" w:cs="Arial"/>
          <w:color w:val="000000"/>
          <w:shd w:val="clear" w:color="auto" w:fill="FFFFFF"/>
        </w:rPr>
        <w:t xml:space="preserve">ederal de </w:t>
      </w:r>
      <w:r w:rsidR="0097157B" w:rsidRPr="0097157B">
        <w:rPr>
          <w:rFonts w:ascii="Arial" w:hAnsi="Arial" w:cs="Arial"/>
          <w:color w:val="000000"/>
          <w:shd w:val="clear" w:color="auto" w:fill="FFFFFF"/>
        </w:rPr>
        <w:t>C</w:t>
      </w:r>
      <w:r w:rsidR="0097157B">
        <w:rPr>
          <w:rFonts w:ascii="Arial" w:hAnsi="Arial" w:cs="Arial"/>
          <w:color w:val="000000"/>
          <w:shd w:val="clear" w:color="auto" w:fill="FFFFFF"/>
        </w:rPr>
        <w:t xml:space="preserve">ompetencia </w:t>
      </w:r>
      <w:r w:rsidR="0097157B" w:rsidRPr="0097157B">
        <w:rPr>
          <w:rFonts w:ascii="Arial" w:hAnsi="Arial" w:cs="Arial"/>
          <w:color w:val="000000"/>
          <w:shd w:val="clear" w:color="auto" w:fill="FFFFFF"/>
        </w:rPr>
        <w:t>E</w:t>
      </w:r>
      <w:r w:rsidR="0097157B">
        <w:rPr>
          <w:rFonts w:ascii="Arial" w:hAnsi="Arial" w:cs="Arial"/>
          <w:color w:val="000000"/>
          <w:shd w:val="clear" w:color="auto" w:fill="FFFFFF"/>
        </w:rPr>
        <w:t>conómica</w:t>
      </w:r>
      <w:r w:rsidR="00B64100">
        <w:rPr>
          <w:rFonts w:ascii="Arial" w:hAnsi="Arial" w:cs="Arial"/>
          <w:color w:val="000000"/>
          <w:shd w:val="clear" w:color="auto" w:fill="FFFFFF"/>
        </w:rPr>
        <w:t xml:space="preserve"> (LFCE)</w:t>
      </w:r>
      <w:r w:rsidR="0097157B" w:rsidRPr="0097157B">
        <w:rPr>
          <w:rFonts w:ascii="Arial" w:hAnsi="Arial" w:cs="Arial"/>
          <w:color w:val="000000"/>
          <w:shd w:val="clear" w:color="auto" w:fill="FFFFFF"/>
        </w:rPr>
        <w:t>, el Pleno del</w:t>
      </w:r>
      <w:r w:rsidR="0097157B">
        <w:rPr>
          <w:rFonts w:ascii="Arial" w:hAnsi="Arial" w:cs="Arial"/>
          <w:color w:val="000000"/>
          <w:shd w:val="clear" w:color="auto" w:fill="FFFFFF"/>
        </w:rPr>
        <w:t xml:space="preserve"> </w:t>
      </w:r>
      <w:r w:rsidR="0097157B" w:rsidRPr="0097157B">
        <w:rPr>
          <w:rFonts w:ascii="Arial" w:hAnsi="Arial" w:cs="Arial"/>
          <w:color w:val="000000"/>
          <w:shd w:val="clear" w:color="auto" w:fill="FFFFFF"/>
        </w:rPr>
        <w:t xml:space="preserve">Instituto </w:t>
      </w:r>
      <w:r w:rsidR="00C520DF">
        <w:rPr>
          <w:rFonts w:ascii="Arial" w:hAnsi="Arial" w:cs="Arial"/>
          <w:color w:val="000000"/>
          <w:shd w:val="clear" w:color="auto" w:fill="FFFFFF"/>
        </w:rPr>
        <w:t>determinó</w:t>
      </w:r>
      <w:r w:rsidR="0097157B" w:rsidRPr="0097157B">
        <w:rPr>
          <w:rFonts w:ascii="Arial" w:hAnsi="Arial" w:cs="Arial"/>
          <w:color w:val="000000"/>
          <w:shd w:val="clear" w:color="auto" w:fill="FFFFFF"/>
        </w:rPr>
        <w:t xml:space="preserve"> someter a consulta pública el</w:t>
      </w:r>
      <w:r w:rsidR="0097157B">
        <w:rPr>
          <w:rFonts w:ascii="Arial" w:hAnsi="Arial" w:cs="Arial"/>
          <w:color w:val="000000"/>
          <w:shd w:val="clear" w:color="auto" w:fill="FFFFFF"/>
        </w:rPr>
        <w:t xml:space="preserve"> </w:t>
      </w:r>
      <w:r w:rsidR="0097157B" w:rsidRPr="0097157B">
        <w:rPr>
          <w:rFonts w:ascii="Arial" w:hAnsi="Arial" w:cs="Arial"/>
          <w:color w:val="000000"/>
          <w:shd w:val="clear" w:color="auto" w:fill="FFFFFF"/>
        </w:rPr>
        <w:t>"</w:t>
      </w:r>
      <w:r w:rsidR="0097157B" w:rsidRPr="0097157B">
        <w:rPr>
          <w:rFonts w:ascii="Arial" w:hAnsi="Arial" w:cs="Arial"/>
          <w:i/>
          <w:iCs/>
          <w:color w:val="000000"/>
          <w:shd w:val="clear" w:color="auto" w:fill="FFFFFF"/>
        </w:rPr>
        <w:t xml:space="preserve">Anteproyecto de </w:t>
      </w:r>
      <w:r w:rsidR="002F27DA">
        <w:rPr>
          <w:rFonts w:ascii="Arial" w:hAnsi="Arial" w:cs="Arial"/>
          <w:i/>
          <w:iCs/>
          <w:color w:val="000000"/>
          <w:shd w:val="clear" w:color="auto" w:fill="FFFFFF"/>
        </w:rPr>
        <w:t xml:space="preserve">la modificación </w:t>
      </w:r>
      <w:r w:rsidR="0097157B" w:rsidRPr="0097157B">
        <w:rPr>
          <w:rFonts w:ascii="Arial" w:hAnsi="Arial" w:cs="Arial"/>
          <w:i/>
          <w:iCs/>
          <w:color w:val="000000"/>
          <w:shd w:val="clear" w:color="auto" w:fill="FFFFFF"/>
        </w:rPr>
        <w:t>criterio técnico para el cálculo y</w:t>
      </w:r>
      <w:r w:rsidR="0097157B">
        <w:rPr>
          <w:rFonts w:ascii="Arial" w:hAnsi="Arial" w:cs="Arial"/>
          <w:i/>
          <w:iCs/>
          <w:color w:val="000000"/>
          <w:shd w:val="clear" w:color="auto" w:fill="FFFFFF"/>
        </w:rPr>
        <w:t xml:space="preserve"> </w:t>
      </w:r>
      <w:r w:rsidR="0097157B" w:rsidRPr="0097157B">
        <w:rPr>
          <w:rFonts w:ascii="Arial" w:hAnsi="Arial" w:cs="Arial"/>
          <w:i/>
          <w:iCs/>
          <w:color w:val="000000"/>
          <w:shd w:val="clear" w:color="auto" w:fill="FFFFFF"/>
        </w:rPr>
        <w:t>aplicación de un índice cuantitativo a fin de determinar el grado de concentración en los mercados</w:t>
      </w:r>
      <w:r w:rsidR="0097157B">
        <w:rPr>
          <w:rFonts w:ascii="Arial" w:hAnsi="Arial" w:cs="Arial"/>
          <w:i/>
          <w:iCs/>
          <w:color w:val="000000"/>
          <w:shd w:val="clear" w:color="auto" w:fill="FFFFFF"/>
        </w:rPr>
        <w:t xml:space="preserve"> </w:t>
      </w:r>
      <w:r w:rsidR="0097157B" w:rsidRPr="0097157B">
        <w:rPr>
          <w:rFonts w:ascii="Arial" w:hAnsi="Arial" w:cs="Arial"/>
          <w:i/>
          <w:iCs/>
          <w:color w:val="000000"/>
          <w:shd w:val="clear" w:color="auto" w:fill="FFFFFF"/>
        </w:rPr>
        <w:t>y</w:t>
      </w:r>
      <w:r w:rsidR="0097157B">
        <w:rPr>
          <w:rFonts w:ascii="Arial" w:hAnsi="Arial" w:cs="Arial"/>
          <w:i/>
          <w:iCs/>
          <w:color w:val="000000"/>
          <w:shd w:val="clear" w:color="auto" w:fill="FFFFFF"/>
        </w:rPr>
        <w:t xml:space="preserve"> </w:t>
      </w:r>
      <w:r w:rsidR="0097157B" w:rsidRPr="0097157B">
        <w:rPr>
          <w:rFonts w:ascii="Arial" w:hAnsi="Arial" w:cs="Arial"/>
          <w:i/>
          <w:iCs/>
          <w:color w:val="000000"/>
          <w:shd w:val="clear" w:color="auto" w:fill="FFFFFF"/>
        </w:rPr>
        <w:t>servicios correspondientes a los sectores de telecomunicaciones y radiodifusión</w:t>
      </w:r>
      <w:r w:rsidR="0097157B" w:rsidRPr="0097157B">
        <w:rPr>
          <w:rFonts w:ascii="Arial" w:hAnsi="Arial" w:cs="Arial"/>
          <w:color w:val="000000"/>
          <w:shd w:val="clear" w:color="auto" w:fill="FFFFFF"/>
        </w:rPr>
        <w:t>"</w:t>
      </w:r>
      <w:r w:rsidR="0097157B">
        <w:rPr>
          <w:rFonts w:ascii="Arial" w:hAnsi="Arial" w:cs="Arial"/>
          <w:color w:val="000000"/>
          <w:shd w:val="clear" w:color="auto" w:fill="FFFFFF"/>
        </w:rPr>
        <w:t xml:space="preserve"> </w:t>
      </w:r>
      <w:r w:rsidR="0097157B" w:rsidRPr="0097157B">
        <w:rPr>
          <w:rFonts w:ascii="Arial" w:hAnsi="Arial" w:cs="Arial"/>
          <w:color w:val="000000"/>
          <w:shd w:val="clear" w:color="auto" w:fill="FFFFFF"/>
        </w:rPr>
        <w:t>(Anteproyecto de</w:t>
      </w:r>
      <w:r w:rsidR="0097157B">
        <w:rPr>
          <w:rFonts w:ascii="Arial" w:hAnsi="Arial" w:cs="Arial"/>
          <w:color w:val="000000"/>
          <w:shd w:val="clear" w:color="auto" w:fill="FFFFFF"/>
        </w:rPr>
        <w:t xml:space="preserve"> </w:t>
      </w:r>
      <w:r w:rsidR="002F27DA">
        <w:rPr>
          <w:rFonts w:ascii="Arial" w:hAnsi="Arial" w:cs="Arial"/>
          <w:color w:val="000000"/>
          <w:shd w:val="clear" w:color="auto" w:fill="FFFFFF"/>
        </w:rPr>
        <w:t xml:space="preserve">modificación al </w:t>
      </w:r>
      <w:r w:rsidR="0097157B" w:rsidRPr="0097157B">
        <w:rPr>
          <w:rFonts w:ascii="Arial" w:hAnsi="Arial" w:cs="Arial"/>
          <w:color w:val="000000"/>
          <w:shd w:val="clear" w:color="auto" w:fill="FFFFFF"/>
        </w:rPr>
        <w:t>Criterio Técnico)</w:t>
      </w:r>
      <w:r w:rsidR="00C520DF">
        <w:rPr>
          <w:rFonts w:ascii="Arial" w:hAnsi="Arial" w:cs="Arial"/>
          <w:color w:val="000000"/>
          <w:shd w:val="clear" w:color="auto" w:fill="FFFFFF"/>
        </w:rPr>
        <w:t xml:space="preserve"> </w:t>
      </w:r>
      <w:r w:rsidR="00592CFD">
        <w:rPr>
          <w:rFonts w:ascii="Arial" w:hAnsi="Arial" w:cs="Arial"/>
          <w:color w:val="000000"/>
          <w:shd w:val="clear" w:color="auto" w:fill="FFFFFF"/>
        </w:rPr>
        <w:t xml:space="preserve">-Consulta Pública- </w:t>
      </w:r>
      <w:r w:rsidR="00C520DF">
        <w:rPr>
          <w:rFonts w:ascii="Arial" w:hAnsi="Arial" w:cs="Arial"/>
          <w:color w:val="000000"/>
          <w:shd w:val="clear" w:color="auto" w:fill="FFFFFF"/>
        </w:rPr>
        <w:t>por un periodo de 30 (treinta) días hábiles.</w:t>
      </w:r>
    </w:p>
    <w:p w14:paraId="1C5358C4" w14:textId="77777777" w:rsidR="00C520DF" w:rsidRDefault="00C520DF" w:rsidP="00C520DF">
      <w:pPr>
        <w:pStyle w:val="Prrafodelista"/>
        <w:rPr>
          <w:rFonts w:ascii="Arial" w:hAnsi="Arial" w:cs="Arial"/>
          <w:color w:val="000000"/>
          <w:shd w:val="clear" w:color="auto" w:fill="FFFFFF"/>
        </w:rPr>
      </w:pPr>
    </w:p>
    <w:p w14:paraId="477FE014" w14:textId="0752A212" w:rsidR="00C520DF" w:rsidRDefault="00C520DF" w:rsidP="00C520DF">
      <w:pPr>
        <w:rPr>
          <w:rFonts w:cs="Arial"/>
        </w:rPr>
      </w:pPr>
      <w:r>
        <w:rPr>
          <w:rFonts w:cs="Arial"/>
          <w:bCs/>
        </w:rPr>
        <w:t>El extracto del Anteproyecto de modificación al Criterio Técnico se publicó en el Diario Oficial de la Federación el 31 de agosto de 2021, por lo que la Consulta Pública transcurrió del 1 de septiembre al 13 de octubre de 2021</w:t>
      </w:r>
      <w:r>
        <w:rPr>
          <w:rFonts w:cs="Arial"/>
        </w:rPr>
        <w:t>.</w:t>
      </w:r>
      <w:r w:rsidR="00951510">
        <w:rPr>
          <w:rStyle w:val="Refdenotaalpie"/>
          <w:rFonts w:cs="Arial"/>
        </w:rPr>
        <w:footnoteReference w:id="1"/>
      </w:r>
    </w:p>
    <w:p w14:paraId="0F7155FB" w14:textId="566015CD" w:rsidR="007F2D21" w:rsidRDefault="007F2D21" w:rsidP="007F2D21"/>
    <w:p w14:paraId="76C0E780" w14:textId="0C6B1395" w:rsidR="00C520DF" w:rsidRPr="00C520DF" w:rsidRDefault="00C520DF" w:rsidP="00767E4D">
      <w:pPr>
        <w:pStyle w:val="Sinespaciado"/>
        <w:numPr>
          <w:ilvl w:val="0"/>
          <w:numId w:val="26"/>
        </w:numPr>
        <w:spacing w:line="276" w:lineRule="auto"/>
        <w:ind w:left="0" w:firstLine="0"/>
        <w:jc w:val="both"/>
        <w:rPr>
          <w:rFonts w:ascii="Arial" w:eastAsia="Times New Roman" w:hAnsi="Arial" w:cs="Arial"/>
          <w:color w:val="2F2F2F"/>
          <w:lang w:eastAsia="es-MX"/>
        </w:rPr>
      </w:pPr>
      <w:r>
        <w:rPr>
          <w:rFonts w:ascii="Arial" w:hAnsi="Arial" w:cs="Arial"/>
        </w:rPr>
        <w:t xml:space="preserve">Durante el periodo de </w:t>
      </w:r>
      <w:r w:rsidR="00592CFD">
        <w:rPr>
          <w:rFonts w:ascii="Arial" w:hAnsi="Arial" w:cs="Arial"/>
        </w:rPr>
        <w:t>C</w:t>
      </w:r>
      <w:r>
        <w:rPr>
          <w:rFonts w:ascii="Arial" w:hAnsi="Arial" w:cs="Arial"/>
        </w:rPr>
        <w:t xml:space="preserve">onsulta </w:t>
      </w:r>
      <w:r w:rsidR="00592CFD">
        <w:rPr>
          <w:rFonts w:ascii="Arial" w:hAnsi="Arial" w:cs="Arial"/>
        </w:rPr>
        <w:t xml:space="preserve">Pública </w:t>
      </w:r>
      <w:r>
        <w:rPr>
          <w:rFonts w:ascii="Arial" w:hAnsi="Arial" w:cs="Arial"/>
        </w:rPr>
        <w:t xml:space="preserve">se recibieron diversas opiniones, comentarios y propuestas al Anteproyecto de </w:t>
      </w:r>
      <w:r w:rsidR="00BC1F6A">
        <w:rPr>
          <w:rFonts w:ascii="Arial" w:hAnsi="Arial" w:cs="Arial"/>
        </w:rPr>
        <w:t>modificación al Criterio Técnico</w:t>
      </w:r>
      <w:r>
        <w:rPr>
          <w:rFonts w:ascii="Arial" w:hAnsi="Arial" w:cs="Arial"/>
        </w:rPr>
        <w:t>, mismos que fueron considerados por la Unidad de Competencia Económica (UCE) en el informe respectivo de conformidad con el artículo 138, fracción II, de la LFCE</w:t>
      </w:r>
      <w:r w:rsidR="00592CFD">
        <w:rPr>
          <w:rFonts w:ascii="Arial" w:hAnsi="Arial" w:cs="Arial"/>
        </w:rPr>
        <w:t>.</w:t>
      </w:r>
      <w:r>
        <w:rPr>
          <w:rFonts w:ascii="Arial" w:hAnsi="Arial" w:cs="Arial"/>
        </w:rPr>
        <w:t xml:space="preserve"> </w:t>
      </w:r>
      <w:r w:rsidR="00592CFD">
        <w:rPr>
          <w:rFonts w:ascii="Arial" w:hAnsi="Arial" w:cs="Arial"/>
        </w:rPr>
        <w:t>E</w:t>
      </w:r>
      <w:r>
        <w:rPr>
          <w:rFonts w:ascii="Arial" w:hAnsi="Arial" w:cs="Arial"/>
        </w:rPr>
        <w:t>l informe referido se tuvo por integrado el 25 de noviembre de 2021 y se encuentra publicado en la página de Internet del Instituto.</w:t>
      </w:r>
      <w:r w:rsidR="00104C44">
        <w:rPr>
          <w:rStyle w:val="Refdenotaalpie"/>
          <w:rFonts w:ascii="Arial" w:hAnsi="Arial" w:cs="Arial"/>
        </w:rPr>
        <w:footnoteReference w:id="2"/>
      </w:r>
    </w:p>
    <w:p w14:paraId="7C5985E3" w14:textId="77777777" w:rsidR="00767E4D" w:rsidRPr="00C520DF" w:rsidRDefault="00767E4D" w:rsidP="00C520DF">
      <w:pPr>
        <w:rPr>
          <w:rFonts w:eastAsia="Times New Roman" w:cs="Arial"/>
          <w:color w:val="2F2F2F"/>
          <w:lang w:eastAsia="es-MX"/>
        </w:rPr>
      </w:pPr>
    </w:p>
    <w:p w14:paraId="0C54BB30" w14:textId="23E8F29C" w:rsidR="00767E4D" w:rsidRDefault="00767E4D" w:rsidP="00767E4D">
      <w:pPr>
        <w:pStyle w:val="Sinespaciado"/>
        <w:numPr>
          <w:ilvl w:val="0"/>
          <w:numId w:val="26"/>
        </w:numPr>
        <w:spacing w:line="276" w:lineRule="auto"/>
        <w:ind w:left="0" w:firstLine="0"/>
        <w:jc w:val="both"/>
        <w:rPr>
          <w:rFonts w:ascii="Arial" w:eastAsia="Times New Roman" w:hAnsi="Arial" w:cs="Arial"/>
          <w:color w:val="2F2F2F"/>
          <w:lang w:eastAsia="es-MX"/>
        </w:rPr>
      </w:pPr>
      <w:r>
        <w:rPr>
          <w:rFonts w:ascii="Arial" w:eastAsia="Times New Roman" w:hAnsi="Arial" w:cs="Arial"/>
          <w:color w:val="000000"/>
          <w:lang w:eastAsia="es-MX"/>
        </w:rPr>
        <w:t>El 21 de enero de 2022, m</w:t>
      </w:r>
      <w:r w:rsidRPr="00767E4D">
        <w:rPr>
          <w:rFonts w:ascii="Arial" w:eastAsia="Times New Roman" w:hAnsi="Arial" w:cs="Arial"/>
          <w:color w:val="000000"/>
          <w:lang w:eastAsia="es-MX"/>
        </w:rPr>
        <w:t>ediante oficio IFT/226/</w:t>
      </w:r>
      <w:r>
        <w:rPr>
          <w:rFonts w:ascii="Arial" w:eastAsia="Times New Roman" w:hAnsi="Arial" w:cs="Arial"/>
          <w:color w:val="000000"/>
          <w:lang w:eastAsia="es-MX"/>
        </w:rPr>
        <w:t>UCE</w:t>
      </w:r>
      <w:r w:rsidRPr="00767E4D">
        <w:rPr>
          <w:rFonts w:ascii="Arial" w:eastAsia="Times New Roman" w:hAnsi="Arial" w:cs="Arial"/>
          <w:color w:val="000000"/>
          <w:lang w:eastAsia="es-MX"/>
        </w:rPr>
        <w:t>/0</w:t>
      </w:r>
      <w:r>
        <w:rPr>
          <w:rFonts w:ascii="Arial" w:eastAsia="Times New Roman" w:hAnsi="Arial" w:cs="Arial"/>
          <w:color w:val="000000"/>
          <w:lang w:eastAsia="es-MX"/>
        </w:rPr>
        <w:t>08</w:t>
      </w:r>
      <w:r w:rsidRPr="00767E4D">
        <w:rPr>
          <w:rFonts w:ascii="Arial" w:eastAsia="Times New Roman" w:hAnsi="Arial" w:cs="Arial"/>
          <w:color w:val="000000"/>
          <w:lang w:eastAsia="es-MX"/>
        </w:rPr>
        <w:t>/202</w:t>
      </w:r>
      <w:r w:rsidR="000036AC">
        <w:rPr>
          <w:rFonts w:ascii="Arial" w:eastAsia="Times New Roman" w:hAnsi="Arial" w:cs="Arial"/>
          <w:color w:val="000000"/>
          <w:lang w:eastAsia="es-MX"/>
        </w:rPr>
        <w:t>2</w:t>
      </w:r>
      <w:r w:rsidRPr="00767E4D">
        <w:rPr>
          <w:rFonts w:ascii="Arial" w:eastAsia="Times New Roman" w:hAnsi="Arial" w:cs="Arial"/>
          <w:color w:val="000000"/>
          <w:lang w:eastAsia="es-MX"/>
        </w:rPr>
        <w:t xml:space="preserve">, la </w:t>
      </w:r>
      <w:r w:rsidR="00BC1A6C">
        <w:rPr>
          <w:rFonts w:ascii="Arial" w:eastAsia="Times New Roman" w:hAnsi="Arial" w:cs="Arial"/>
          <w:color w:val="000000"/>
          <w:lang w:eastAsia="es-MX"/>
        </w:rPr>
        <w:t xml:space="preserve">UCE </w:t>
      </w:r>
      <w:r w:rsidRPr="00767E4D">
        <w:rPr>
          <w:rFonts w:ascii="Arial" w:eastAsia="Times New Roman" w:hAnsi="Arial" w:cs="Arial"/>
          <w:color w:val="000000"/>
          <w:lang w:eastAsia="es-MX"/>
        </w:rPr>
        <w:t xml:space="preserve">remitió a la </w:t>
      </w:r>
      <w:r w:rsidRPr="000A04FB">
        <w:rPr>
          <w:rFonts w:ascii="Arial" w:hAnsi="Arial" w:cs="Arial"/>
        </w:rPr>
        <w:t>Coordinación General de Mejora Regulatoria</w:t>
      </w:r>
      <w:r w:rsidR="007F561C" w:rsidRPr="000A04FB">
        <w:rPr>
          <w:rFonts w:ascii="Arial" w:hAnsi="Arial" w:cs="Arial"/>
        </w:rPr>
        <w:t xml:space="preserve"> (CGMR)</w:t>
      </w:r>
      <w:r w:rsidRPr="000A04FB">
        <w:rPr>
          <w:rFonts w:ascii="Arial" w:hAnsi="Arial" w:cs="Arial"/>
        </w:rPr>
        <w:t xml:space="preserve"> el </w:t>
      </w:r>
      <w:r w:rsidRPr="000A04FB">
        <w:rPr>
          <w:rFonts w:ascii="Arial" w:hAnsi="Arial" w:cs="Arial"/>
          <w:i/>
          <w:iCs/>
        </w:rPr>
        <w:t xml:space="preserve">“Proyecto de </w:t>
      </w:r>
      <w:r w:rsidR="007F561C" w:rsidRPr="000A04FB">
        <w:rPr>
          <w:rFonts w:ascii="Arial" w:hAnsi="Arial" w:cs="Arial"/>
          <w:i/>
          <w:iCs/>
        </w:rPr>
        <w:t xml:space="preserve">modificación </w:t>
      </w:r>
      <w:r w:rsidR="00012919">
        <w:rPr>
          <w:rFonts w:ascii="Arial" w:hAnsi="Arial" w:cs="Arial"/>
          <w:i/>
          <w:iCs/>
        </w:rPr>
        <w:t xml:space="preserve">del </w:t>
      </w:r>
      <w:r w:rsidR="007F561C" w:rsidRPr="000A04FB">
        <w:rPr>
          <w:rFonts w:ascii="Arial" w:hAnsi="Arial" w:cs="Arial"/>
          <w:i/>
          <w:iCs/>
        </w:rPr>
        <w:t xml:space="preserve">criterio técnico para el cálculo y aplicación de un índice cuantitativo a fin de determinar el grado de concentración en los mercados y servicios correspondientes a los sectores de </w:t>
      </w:r>
      <w:r w:rsidR="007F561C" w:rsidRPr="000A04FB">
        <w:rPr>
          <w:rFonts w:ascii="Arial" w:hAnsi="Arial" w:cs="Arial"/>
          <w:i/>
          <w:iCs/>
        </w:rPr>
        <w:lastRenderedPageBreak/>
        <w:t>telecomunicaciones y radiodifusión</w:t>
      </w:r>
      <w:r w:rsidRPr="000A04FB">
        <w:rPr>
          <w:rFonts w:ascii="Arial" w:hAnsi="Arial" w:cs="Arial"/>
          <w:i/>
          <w:iCs/>
        </w:rPr>
        <w:t>”</w:t>
      </w:r>
      <w:r w:rsidR="00592CFD">
        <w:rPr>
          <w:rFonts w:ascii="Arial" w:hAnsi="Arial" w:cs="Arial"/>
          <w:i/>
          <w:iCs/>
        </w:rPr>
        <w:t xml:space="preserve"> </w:t>
      </w:r>
      <w:r w:rsidR="00592CFD" w:rsidRPr="00501EA7">
        <w:rPr>
          <w:rFonts w:ascii="Arial" w:hAnsi="Arial" w:cs="Arial"/>
        </w:rPr>
        <w:t>(</w:t>
      </w:r>
      <w:r w:rsidR="00592CFD" w:rsidRPr="00501EA7">
        <w:rPr>
          <w:rFonts w:ascii="Arial" w:hAnsi="Arial" w:cs="Arial"/>
          <w:bCs/>
        </w:rPr>
        <w:t>Proyecto de modificación a</w:t>
      </w:r>
      <w:r w:rsidR="00592CFD">
        <w:rPr>
          <w:rFonts w:ascii="Arial" w:hAnsi="Arial" w:cs="Arial"/>
          <w:bCs/>
        </w:rPr>
        <w:t>l</w:t>
      </w:r>
      <w:r w:rsidR="00592CFD" w:rsidRPr="00501EA7">
        <w:rPr>
          <w:rFonts w:ascii="Arial" w:hAnsi="Arial" w:cs="Arial"/>
          <w:bCs/>
        </w:rPr>
        <w:t xml:space="preserve"> </w:t>
      </w:r>
      <w:r w:rsidR="00592CFD">
        <w:rPr>
          <w:rFonts w:ascii="Arial" w:hAnsi="Arial" w:cs="Arial"/>
          <w:bCs/>
        </w:rPr>
        <w:t>Criterio Técnico</w:t>
      </w:r>
      <w:r w:rsidR="00592CFD" w:rsidRPr="00501EA7">
        <w:rPr>
          <w:rFonts w:ascii="Arial" w:hAnsi="Arial" w:cs="Arial"/>
        </w:rPr>
        <w:t>)</w:t>
      </w:r>
      <w:r w:rsidRPr="000A04FB">
        <w:rPr>
          <w:rFonts w:ascii="Arial" w:hAnsi="Arial" w:cs="Arial"/>
        </w:rPr>
        <w:t>, así como un Análisis de Nulo Impacto Regulatorio, a efecto de solicitar su opinión no vinculante en términos de lo previsto en los Lineamientos de Consulta Pública y Análisis de Impacto Regulatorio del Instituto Federal de Telecomunicaciones</w:t>
      </w:r>
      <w:r w:rsidR="00592CFD">
        <w:rPr>
          <w:rFonts w:ascii="Arial" w:hAnsi="Arial" w:cs="Arial"/>
        </w:rPr>
        <w:t xml:space="preserve"> </w:t>
      </w:r>
      <w:r w:rsidR="00592CFD" w:rsidRPr="00042369">
        <w:rPr>
          <w:rFonts w:ascii="Arial" w:hAnsi="Arial" w:cs="Arial"/>
        </w:rPr>
        <w:t>(Lineamientos de Consulta Pública e Impacto Regulatorio</w:t>
      </w:r>
      <w:r w:rsidR="00592CFD">
        <w:rPr>
          <w:rFonts w:ascii="Arial" w:hAnsi="Arial" w:cs="Arial"/>
        </w:rPr>
        <w:t>)</w:t>
      </w:r>
      <w:r w:rsidR="00592CFD" w:rsidRPr="000A04FB">
        <w:rPr>
          <w:rFonts w:ascii="Arial" w:hAnsi="Arial" w:cs="Arial"/>
        </w:rPr>
        <w:t>.</w:t>
      </w:r>
    </w:p>
    <w:p w14:paraId="78421274" w14:textId="77777777" w:rsidR="007F561C" w:rsidRDefault="007F561C" w:rsidP="007F561C">
      <w:pPr>
        <w:pStyle w:val="Prrafodelista"/>
        <w:rPr>
          <w:rFonts w:ascii="Arial" w:eastAsia="Times New Roman" w:hAnsi="Arial" w:cs="Arial"/>
          <w:color w:val="2F2F2F"/>
          <w:lang w:eastAsia="es-MX"/>
        </w:rPr>
      </w:pPr>
    </w:p>
    <w:p w14:paraId="64B03A40" w14:textId="3FB81A53" w:rsidR="007F561C" w:rsidRPr="00951510" w:rsidRDefault="007F561C" w:rsidP="007F561C">
      <w:pPr>
        <w:pStyle w:val="Sinespaciado"/>
        <w:numPr>
          <w:ilvl w:val="0"/>
          <w:numId w:val="26"/>
        </w:numPr>
        <w:spacing w:line="276" w:lineRule="auto"/>
        <w:ind w:left="0" w:firstLine="0"/>
        <w:jc w:val="both"/>
        <w:rPr>
          <w:rFonts w:ascii="Arial" w:eastAsia="Times New Roman" w:hAnsi="Arial" w:cs="Arial"/>
          <w:lang w:eastAsia="es-MX"/>
        </w:rPr>
      </w:pPr>
      <w:r w:rsidRPr="00951510">
        <w:rPr>
          <w:rFonts w:ascii="Arial" w:eastAsia="Times New Roman" w:hAnsi="Arial" w:cs="Arial"/>
          <w:lang w:eastAsia="es-MX"/>
        </w:rPr>
        <w:t>El 4 de febrero de 2022, mediante oficio IFT/211/CGMR/054/2022, la CGMR envió a la UCE su opinión no vinculante en la que manifestó:</w:t>
      </w:r>
    </w:p>
    <w:p w14:paraId="14D6A5F7" w14:textId="77777777" w:rsidR="007F561C" w:rsidRPr="00951510" w:rsidRDefault="007F561C" w:rsidP="007F561C">
      <w:pPr>
        <w:pStyle w:val="Sinespaciado"/>
        <w:spacing w:line="276" w:lineRule="auto"/>
        <w:jc w:val="both"/>
        <w:rPr>
          <w:rFonts w:ascii="Arial" w:eastAsia="Times New Roman" w:hAnsi="Arial" w:cs="Arial"/>
          <w:lang w:eastAsia="es-MX"/>
        </w:rPr>
      </w:pPr>
    </w:p>
    <w:p w14:paraId="53D2AC9C" w14:textId="0E7DB26D" w:rsidR="007F561C" w:rsidRPr="00951510" w:rsidRDefault="007F561C" w:rsidP="007F561C">
      <w:pPr>
        <w:pStyle w:val="Sinespaciado"/>
        <w:spacing w:line="276" w:lineRule="auto"/>
        <w:ind w:left="709"/>
        <w:jc w:val="both"/>
        <w:rPr>
          <w:rFonts w:ascii="Arial" w:eastAsia="Times New Roman" w:hAnsi="Arial" w:cs="Arial"/>
          <w:i/>
          <w:iCs/>
          <w:sz w:val="20"/>
          <w:szCs w:val="20"/>
          <w:lang w:eastAsia="es-MX"/>
        </w:rPr>
      </w:pPr>
      <w:r w:rsidRPr="00951510">
        <w:rPr>
          <w:rFonts w:ascii="Arial" w:eastAsia="Times New Roman" w:hAnsi="Arial" w:cs="Arial"/>
          <w:i/>
          <w:iCs/>
          <w:sz w:val="20"/>
          <w:szCs w:val="20"/>
          <w:lang w:eastAsia="es-MX"/>
        </w:rPr>
        <w:t xml:space="preserve">“…la CGMR emite opinión no vinculante sobre el ANIR del Proyecto, considerándose que tal evaluación de impacto </w:t>
      </w:r>
      <w:r w:rsidRPr="00951510">
        <w:rPr>
          <w:rFonts w:ascii="Arial" w:eastAsia="Times New Roman" w:hAnsi="Arial" w:cs="Arial"/>
          <w:b/>
          <w:bCs/>
          <w:i/>
          <w:iCs/>
          <w:sz w:val="20"/>
          <w:szCs w:val="20"/>
          <w:lang w:eastAsia="es-MX"/>
        </w:rPr>
        <w:t>no resulta la más adecuada</w:t>
      </w:r>
      <w:r w:rsidRPr="00951510">
        <w:rPr>
          <w:rFonts w:ascii="Arial" w:eastAsia="Times New Roman" w:hAnsi="Arial" w:cs="Arial"/>
          <w:i/>
          <w:iCs/>
          <w:sz w:val="20"/>
          <w:szCs w:val="20"/>
          <w:lang w:eastAsia="es-MX"/>
        </w:rPr>
        <w:t xml:space="preserve"> para someter a consideración del Pleno del Instituto Federal de Telecomunicaciones (en lo sucesivo, el “Instituto”) la propuesta normativa de mérito; ello, al considerarse que a su entrada en vigor generará nuevos costos de cumplimiento a los particulares…</w:t>
      </w:r>
      <w:r w:rsidR="0048518F" w:rsidRPr="0048518F">
        <w:rPr>
          <w:rFonts w:ascii="Arial" w:eastAsia="Times New Roman" w:hAnsi="Arial" w:cs="Arial"/>
          <w:i/>
          <w:iCs/>
          <w:sz w:val="20"/>
          <w:szCs w:val="20"/>
          <w:lang w:eastAsia="es-MX"/>
        </w:rPr>
        <w:t xml:space="preserve">toda vez que, de manera enunciativa más no limitativa, la CGMR identificó que el artículo 6 del Proyecto, a su entrada en vigor, establecerá nuevos umbrales del índice de concentración </w:t>
      </w:r>
      <w:proofErr w:type="spellStart"/>
      <w:r w:rsidR="0048518F" w:rsidRPr="0048518F">
        <w:rPr>
          <w:rFonts w:ascii="Arial" w:eastAsia="Times New Roman" w:hAnsi="Arial" w:cs="Arial"/>
          <w:i/>
          <w:iCs/>
          <w:sz w:val="20"/>
          <w:szCs w:val="20"/>
          <w:lang w:eastAsia="es-MX"/>
        </w:rPr>
        <w:t>Herfindahl-Hirschman</w:t>
      </w:r>
      <w:proofErr w:type="spellEnd"/>
      <w:r w:rsidR="0048518F" w:rsidRPr="0048518F">
        <w:rPr>
          <w:rFonts w:ascii="Arial" w:eastAsia="Times New Roman" w:hAnsi="Arial" w:cs="Arial"/>
          <w:i/>
          <w:iCs/>
          <w:sz w:val="20"/>
          <w:szCs w:val="20"/>
          <w:lang w:eastAsia="es-MX"/>
        </w:rPr>
        <w:t xml:space="preserve"> (IHH), los cuales serán más estrictos respecto de aquellos establecidos en el criterio vigente</w:t>
      </w:r>
      <w:r w:rsidR="0048518F">
        <w:rPr>
          <w:rFonts w:ascii="Arial" w:eastAsia="Times New Roman" w:hAnsi="Arial" w:cs="Arial"/>
          <w:i/>
          <w:iCs/>
          <w:sz w:val="20"/>
          <w:szCs w:val="20"/>
          <w:lang w:eastAsia="es-MX"/>
        </w:rPr>
        <w:t>.</w:t>
      </w:r>
      <w:r w:rsidRPr="00951510">
        <w:rPr>
          <w:rFonts w:ascii="Arial" w:eastAsia="Times New Roman" w:hAnsi="Arial" w:cs="Arial"/>
          <w:i/>
          <w:iCs/>
          <w:sz w:val="20"/>
          <w:szCs w:val="20"/>
          <w:lang w:eastAsia="es-MX"/>
        </w:rPr>
        <w:t>”</w:t>
      </w:r>
    </w:p>
    <w:p w14:paraId="299DCE98" w14:textId="77777777" w:rsidR="00767E4D" w:rsidRDefault="00767E4D" w:rsidP="00767E4D">
      <w:pPr>
        <w:pStyle w:val="Prrafodelista"/>
        <w:rPr>
          <w:rFonts w:ascii="Arial" w:eastAsia="Times New Roman" w:hAnsi="Arial" w:cs="Arial"/>
          <w:color w:val="2F2F2F"/>
          <w:lang w:eastAsia="es-MX"/>
        </w:rPr>
      </w:pPr>
    </w:p>
    <w:p w14:paraId="7BCF1946" w14:textId="29DC1A4A" w:rsidR="000A04FB" w:rsidRDefault="000A04FB" w:rsidP="000A04FB">
      <w:pPr>
        <w:pStyle w:val="Sinespaciado"/>
        <w:numPr>
          <w:ilvl w:val="0"/>
          <w:numId w:val="26"/>
        </w:numPr>
        <w:spacing w:line="276" w:lineRule="auto"/>
        <w:ind w:left="0" w:firstLine="0"/>
        <w:jc w:val="both"/>
        <w:rPr>
          <w:rFonts w:ascii="Arial" w:eastAsia="Times New Roman" w:hAnsi="Arial" w:cs="Arial"/>
          <w:color w:val="2F2F2F"/>
          <w:lang w:eastAsia="es-MX"/>
        </w:rPr>
      </w:pPr>
      <w:r>
        <w:rPr>
          <w:rFonts w:ascii="Arial" w:eastAsia="Times New Roman" w:hAnsi="Arial" w:cs="Arial"/>
          <w:color w:val="000000"/>
          <w:lang w:eastAsia="es-MX"/>
        </w:rPr>
        <w:t>El 8 de febrero de 2022, m</w:t>
      </w:r>
      <w:r w:rsidRPr="00767E4D">
        <w:rPr>
          <w:rFonts w:ascii="Arial" w:eastAsia="Times New Roman" w:hAnsi="Arial" w:cs="Arial"/>
          <w:color w:val="000000"/>
          <w:lang w:eastAsia="es-MX"/>
        </w:rPr>
        <w:t>ediante oficio IFT/226/</w:t>
      </w:r>
      <w:r>
        <w:rPr>
          <w:rFonts w:ascii="Arial" w:eastAsia="Times New Roman" w:hAnsi="Arial" w:cs="Arial"/>
          <w:color w:val="000000"/>
          <w:lang w:eastAsia="es-MX"/>
        </w:rPr>
        <w:t>UCE</w:t>
      </w:r>
      <w:r w:rsidRPr="00767E4D">
        <w:rPr>
          <w:rFonts w:ascii="Arial" w:eastAsia="Times New Roman" w:hAnsi="Arial" w:cs="Arial"/>
          <w:color w:val="000000"/>
          <w:lang w:eastAsia="es-MX"/>
        </w:rPr>
        <w:t>/0</w:t>
      </w:r>
      <w:r>
        <w:rPr>
          <w:rFonts w:ascii="Arial" w:eastAsia="Times New Roman" w:hAnsi="Arial" w:cs="Arial"/>
          <w:color w:val="000000"/>
          <w:lang w:eastAsia="es-MX"/>
        </w:rPr>
        <w:t>14</w:t>
      </w:r>
      <w:r w:rsidRPr="00767E4D">
        <w:rPr>
          <w:rFonts w:ascii="Arial" w:eastAsia="Times New Roman" w:hAnsi="Arial" w:cs="Arial"/>
          <w:color w:val="000000"/>
          <w:lang w:eastAsia="es-MX"/>
        </w:rPr>
        <w:t>/202</w:t>
      </w:r>
      <w:r w:rsidR="000036AC">
        <w:rPr>
          <w:rFonts w:ascii="Arial" w:eastAsia="Times New Roman" w:hAnsi="Arial" w:cs="Arial"/>
          <w:color w:val="000000"/>
          <w:lang w:eastAsia="es-MX"/>
        </w:rPr>
        <w:t>2</w:t>
      </w:r>
      <w:r w:rsidRPr="00767E4D">
        <w:rPr>
          <w:rFonts w:ascii="Arial" w:eastAsia="Times New Roman" w:hAnsi="Arial" w:cs="Arial"/>
          <w:color w:val="000000"/>
          <w:lang w:eastAsia="es-MX"/>
        </w:rPr>
        <w:t xml:space="preserve">, la </w:t>
      </w:r>
      <w:r>
        <w:rPr>
          <w:rFonts w:ascii="Arial" w:eastAsia="Times New Roman" w:hAnsi="Arial" w:cs="Arial"/>
          <w:color w:val="000000"/>
          <w:lang w:eastAsia="es-MX"/>
        </w:rPr>
        <w:t xml:space="preserve">UCE </w:t>
      </w:r>
      <w:r w:rsidRPr="00767E4D">
        <w:rPr>
          <w:rFonts w:ascii="Arial" w:eastAsia="Times New Roman" w:hAnsi="Arial" w:cs="Arial"/>
          <w:color w:val="000000"/>
          <w:lang w:eastAsia="es-MX"/>
        </w:rPr>
        <w:t xml:space="preserve">remitió a la </w:t>
      </w:r>
      <w:r w:rsidRPr="000A04FB">
        <w:rPr>
          <w:rFonts w:ascii="Arial" w:hAnsi="Arial" w:cs="Arial"/>
        </w:rPr>
        <w:t xml:space="preserve">CGMR el </w:t>
      </w:r>
      <w:r w:rsidRPr="000A04FB">
        <w:rPr>
          <w:rFonts w:ascii="Arial" w:hAnsi="Arial" w:cs="Arial"/>
          <w:i/>
          <w:iCs/>
        </w:rPr>
        <w:t>“Proyecto de modificación criterio técnico para el cálculo y aplicación de un índice cuantitativo a fin de determinar el grado de concentración en los mercados y servicios correspondientes a los sectores de telecomunicaciones y radiodifusión”</w:t>
      </w:r>
      <w:r w:rsidRPr="000A04FB">
        <w:rPr>
          <w:rFonts w:ascii="Arial" w:hAnsi="Arial" w:cs="Arial"/>
        </w:rPr>
        <w:t xml:space="preserve">, así como </w:t>
      </w:r>
      <w:r>
        <w:rPr>
          <w:rFonts w:ascii="Arial" w:hAnsi="Arial" w:cs="Arial"/>
        </w:rPr>
        <w:t>la propuesta de</w:t>
      </w:r>
      <w:r w:rsidRPr="000A04FB">
        <w:rPr>
          <w:rFonts w:ascii="Arial" w:hAnsi="Arial" w:cs="Arial"/>
        </w:rPr>
        <w:t xml:space="preserve"> Análisis de Impacto Regulatorio</w:t>
      </w:r>
      <w:r w:rsidR="00B35853">
        <w:rPr>
          <w:rFonts w:ascii="Arial" w:hAnsi="Arial" w:cs="Arial"/>
        </w:rPr>
        <w:t xml:space="preserve"> (AIR)</w:t>
      </w:r>
      <w:r w:rsidRPr="000A04FB">
        <w:rPr>
          <w:rFonts w:ascii="Arial" w:hAnsi="Arial" w:cs="Arial"/>
        </w:rPr>
        <w:t xml:space="preserve">, </w:t>
      </w:r>
      <w:r>
        <w:rPr>
          <w:rFonts w:ascii="Arial" w:hAnsi="Arial" w:cs="Arial"/>
        </w:rPr>
        <w:t xml:space="preserve">en atención </w:t>
      </w:r>
      <w:r w:rsidR="0048518F">
        <w:rPr>
          <w:rFonts w:ascii="Arial" w:hAnsi="Arial" w:cs="Arial"/>
        </w:rPr>
        <w:t xml:space="preserve">a </w:t>
      </w:r>
      <w:r>
        <w:rPr>
          <w:rFonts w:ascii="Arial" w:hAnsi="Arial" w:cs="Arial"/>
        </w:rPr>
        <w:t>la opinión no vinculante referida en el antecedente previo</w:t>
      </w:r>
      <w:r w:rsidRPr="000A04FB">
        <w:rPr>
          <w:rFonts w:ascii="Arial" w:hAnsi="Arial" w:cs="Arial"/>
        </w:rPr>
        <w:t>.</w:t>
      </w:r>
    </w:p>
    <w:p w14:paraId="46E65976" w14:textId="77777777" w:rsidR="000A04FB" w:rsidRDefault="000A04FB" w:rsidP="000A04FB">
      <w:pPr>
        <w:pStyle w:val="Sinespaciado"/>
        <w:spacing w:line="276" w:lineRule="auto"/>
        <w:jc w:val="both"/>
        <w:rPr>
          <w:rFonts w:ascii="Arial" w:eastAsia="Times New Roman" w:hAnsi="Arial" w:cs="Arial"/>
          <w:color w:val="2F2F2F"/>
          <w:lang w:eastAsia="es-MX"/>
        </w:rPr>
      </w:pPr>
    </w:p>
    <w:p w14:paraId="46F265BD" w14:textId="26A3D346" w:rsidR="00767E4D" w:rsidRPr="00B35853" w:rsidRDefault="00767E4D" w:rsidP="00767E4D">
      <w:pPr>
        <w:pStyle w:val="Sinespaciado"/>
        <w:numPr>
          <w:ilvl w:val="0"/>
          <w:numId w:val="26"/>
        </w:numPr>
        <w:spacing w:line="276" w:lineRule="auto"/>
        <w:ind w:left="0" w:firstLine="0"/>
        <w:jc w:val="both"/>
        <w:rPr>
          <w:rFonts w:ascii="Arial" w:eastAsia="Times New Roman" w:hAnsi="Arial" w:cs="Arial"/>
          <w:lang w:eastAsia="es-MX"/>
        </w:rPr>
      </w:pPr>
      <w:r w:rsidRPr="00B35853">
        <w:rPr>
          <w:rFonts w:ascii="Arial" w:eastAsia="Times New Roman" w:hAnsi="Arial" w:cs="Arial"/>
          <w:lang w:eastAsia="es-MX"/>
        </w:rPr>
        <w:t xml:space="preserve">El </w:t>
      </w:r>
      <w:r w:rsidR="003E0927" w:rsidRPr="00B35853">
        <w:rPr>
          <w:rFonts w:ascii="Arial" w:eastAsia="Times New Roman" w:hAnsi="Arial" w:cs="Arial"/>
          <w:lang w:eastAsia="es-MX"/>
        </w:rPr>
        <w:t>11</w:t>
      </w:r>
      <w:r w:rsidRPr="00B35853">
        <w:rPr>
          <w:rFonts w:ascii="Arial" w:eastAsia="Times New Roman" w:hAnsi="Arial" w:cs="Arial"/>
          <w:lang w:eastAsia="es-MX"/>
        </w:rPr>
        <w:t xml:space="preserve"> de febrero de 2022</w:t>
      </w:r>
      <w:r w:rsidR="00BC1A6C" w:rsidRPr="00B35853">
        <w:rPr>
          <w:rFonts w:ascii="Arial" w:eastAsia="Times New Roman" w:hAnsi="Arial" w:cs="Arial"/>
          <w:lang w:eastAsia="es-MX"/>
        </w:rPr>
        <w:t>, m</w:t>
      </w:r>
      <w:r w:rsidRPr="00B35853">
        <w:rPr>
          <w:rFonts w:ascii="Arial" w:eastAsia="Times New Roman" w:hAnsi="Arial" w:cs="Arial"/>
          <w:lang w:eastAsia="es-MX"/>
        </w:rPr>
        <w:t>ediante oficio IFT/211/CGMR/</w:t>
      </w:r>
      <w:r w:rsidR="00BC1A6C" w:rsidRPr="00B35853">
        <w:rPr>
          <w:rFonts w:ascii="Arial" w:eastAsia="Times New Roman" w:hAnsi="Arial" w:cs="Arial"/>
          <w:lang w:eastAsia="es-MX"/>
        </w:rPr>
        <w:t>05</w:t>
      </w:r>
      <w:r w:rsidR="003E0927" w:rsidRPr="00B35853">
        <w:rPr>
          <w:rFonts w:ascii="Arial" w:eastAsia="Times New Roman" w:hAnsi="Arial" w:cs="Arial"/>
          <w:lang w:eastAsia="es-MX"/>
        </w:rPr>
        <w:t>8</w:t>
      </w:r>
      <w:r w:rsidRPr="00B35853">
        <w:rPr>
          <w:rFonts w:ascii="Arial" w:eastAsia="Times New Roman" w:hAnsi="Arial" w:cs="Arial"/>
          <w:lang w:eastAsia="es-MX"/>
        </w:rPr>
        <w:t>/202</w:t>
      </w:r>
      <w:r w:rsidR="00BC1A6C" w:rsidRPr="00B35853">
        <w:rPr>
          <w:rFonts w:ascii="Arial" w:eastAsia="Times New Roman" w:hAnsi="Arial" w:cs="Arial"/>
          <w:lang w:eastAsia="es-MX"/>
        </w:rPr>
        <w:t>2</w:t>
      </w:r>
      <w:r w:rsidRPr="00B35853">
        <w:rPr>
          <w:rFonts w:ascii="Arial" w:eastAsia="Times New Roman" w:hAnsi="Arial" w:cs="Arial"/>
          <w:lang w:eastAsia="es-MX"/>
        </w:rPr>
        <w:t xml:space="preserve">, la </w:t>
      </w:r>
      <w:r w:rsidR="007F561C" w:rsidRPr="00B35853">
        <w:rPr>
          <w:rFonts w:ascii="Arial" w:eastAsia="Times New Roman" w:hAnsi="Arial" w:cs="Arial"/>
          <w:lang w:eastAsia="es-MX"/>
        </w:rPr>
        <w:t>CGMR</w:t>
      </w:r>
      <w:r w:rsidRPr="00B35853">
        <w:rPr>
          <w:rFonts w:ascii="Arial" w:eastAsia="Times New Roman" w:hAnsi="Arial" w:cs="Arial"/>
          <w:lang w:eastAsia="es-MX"/>
        </w:rPr>
        <w:t xml:space="preserve"> envió a la </w:t>
      </w:r>
      <w:r w:rsidR="00BC1A6C" w:rsidRPr="00B35853">
        <w:rPr>
          <w:rFonts w:ascii="Arial" w:eastAsia="Times New Roman" w:hAnsi="Arial" w:cs="Arial"/>
          <w:lang w:eastAsia="es-MX"/>
        </w:rPr>
        <w:t>UCE</w:t>
      </w:r>
      <w:r w:rsidRPr="00B35853">
        <w:rPr>
          <w:rFonts w:ascii="Arial" w:eastAsia="Times New Roman" w:hAnsi="Arial" w:cs="Arial"/>
          <w:lang w:eastAsia="es-MX"/>
        </w:rPr>
        <w:t xml:space="preserve"> su opinión no vinculante sobre el </w:t>
      </w:r>
      <w:r w:rsidR="0048518F">
        <w:rPr>
          <w:rFonts w:ascii="Arial" w:eastAsia="Times New Roman" w:hAnsi="Arial" w:cs="Arial"/>
          <w:lang w:eastAsia="es-MX"/>
        </w:rPr>
        <w:t>AIR</w:t>
      </w:r>
      <w:r w:rsidRPr="00B35853">
        <w:rPr>
          <w:rFonts w:ascii="Arial" w:eastAsia="Times New Roman" w:hAnsi="Arial" w:cs="Arial"/>
          <w:lang w:eastAsia="es-MX"/>
        </w:rPr>
        <w:t xml:space="preserve"> del</w:t>
      </w:r>
      <w:r w:rsidR="0048518F">
        <w:rPr>
          <w:rFonts w:ascii="Arial" w:eastAsia="Times New Roman" w:hAnsi="Arial" w:cs="Arial"/>
          <w:lang w:eastAsia="es-MX"/>
        </w:rPr>
        <w:t xml:space="preserve"> </w:t>
      </w:r>
      <w:r w:rsidR="0048518F" w:rsidRPr="00501EA7">
        <w:rPr>
          <w:rFonts w:ascii="Arial" w:hAnsi="Arial" w:cs="Arial"/>
          <w:bCs/>
        </w:rPr>
        <w:t>Proyecto de modificación a</w:t>
      </w:r>
      <w:r w:rsidR="0048518F">
        <w:rPr>
          <w:rFonts w:ascii="Arial" w:hAnsi="Arial" w:cs="Arial"/>
          <w:bCs/>
        </w:rPr>
        <w:t>l</w:t>
      </w:r>
      <w:r w:rsidR="0048518F" w:rsidRPr="00501EA7">
        <w:rPr>
          <w:rFonts w:ascii="Arial" w:hAnsi="Arial" w:cs="Arial"/>
          <w:bCs/>
        </w:rPr>
        <w:t xml:space="preserve"> </w:t>
      </w:r>
      <w:r w:rsidR="0048518F">
        <w:rPr>
          <w:rFonts w:ascii="Arial" w:hAnsi="Arial" w:cs="Arial"/>
          <w:bCs/>
        </w:rPr>
        <w:t>Criterio Técnico</w:t>
      </w:r>
      <w:r w:rsidR="0048518F">
        <w:rPr>
          <w:rFonts w:ascii="Arial" w:eastAsia="Times New Roman" w:hAnsi="Arial" w:cs="Arial"/>
          <w:lang w:eastAsia="es-MX"/>
        </w:rPr>
        <w:t>, en la cual señala que a través del AIR el Instituto</w:t>
      </w:r>
      <w:r w:rsidR="0048518F" w:rsidRPr="0048518F">
        <w:rPr>
          <w:rFonts w:ascii="Arial" w:eastAsia="Times New Roman" w:hAnsi="Arial" w:cs="Arial"/>
          <w:lang w:eastAsia="es-MX"/>
        </w:rPr>
        <w:t xml:space="preserve"> </w:t>
      </w:r>
      <w:r w:rsidR="0048518F">
        <w:rPr>
          <w:rFonts w:ascii="Arial" w:eastAsia="Times New Roman" w:hAnsi="Arial" w:cs="Arial"/>
          <w:lang w:eastAsia="es-MX"/>
        </w:rPr>
        <w:t>“</w:t>
      </w:r>
      <w:r w:rsidR="0048518F" w:rsidRPr="0048518F">
        <w:rPr>
          <w:rFonts w:ascii="Arial" w:eastAsia="Times New Roman" w:hAnsi="Arial" w:cs="Arial"/>
          <w:i/>
          <w:iCs/>
          <w:lang w:eastAsia="es-MX"/>
        </w:rPr>
        <w:t>transparenta y justifica diversos rubros y aspectos contenidos en la propuesta regulatoria de mérito</w:t>
      </w:r>
      <w:r w:rsidR="0048518F">
        <w:rPr>
          <w:rFonts w:ascii="Arial" w:eastAsia="Times New Roman" w:hAnsi="Arial" w:cs="Arial"/>
          <w:lang w:eastAsia="es-MX"/>
        </w:rPr>
        <w:t>”</w:t>
      </w:r>
      <w:r w:rsidRPr="00B35853">
        <w:rPr>
          <w:rFonts w:ascii="Arial" w:eastAsia="Times New Roman" w:hAnsi="Arial" w:cs="Arial"/>
          <w:lang w:eastAsia="es-MX"/>
        </w:rPr>
        <w:t>.</w:t>
      </w:r>
    </w:p>
    <w:p w14:paraId="3F313064" w14:textId="77777777" w:rsidR="002F27DA" w:rsidRPr="00B35853" w:rsidRDefault="002F27DA" w:rsidP="007F2D21"/>
    <w:p w14:paraId="348773CA" w14:textId="3EE568C1" w:rsidR="008A39CF" w:rsidRPr="00B35853" w:rsidRDefault="007F2D21" w:rsidP="00AC50B3">
      <w:pPr>
        <w:pStyle w:val="Texto"/>
        <w:spacing w:after="0" w:line="276" w:lineRule="auto"/>
        <w:ind w:firstLine="0"/>
        <w:rPr>
          <w:sz w:val="22"/>
          <w:szCs w:val="22"/>
        </w:rPr>
      </w:pPr>
      <w:r w:rsidRPr="00B35853">
        <w:rPr>
          <w:sz w:val="22"/>
          <w:szCs w:val="22"/>
        </w:rPr>
        <w:t>En virtud de</w:t>
      </w:r>
      <w:r w:rsidR="002F27DA" w:rsidRPr="00B35853">
        <w:rPr>
          <w:sz w:val="22"/>
          <w:szCs w:val="22"/>
        </w:rPr>
        <w:t xml:space="preserve"> </w:t>
      </w:r>
      <w:r w:rsidRPr="00B35853">
        <w:rPr>
          <w:sz w:val="22"/>
          <w:szCs w:val="22"/>
        </w:rPr>
        <w:t>l</w:t>
      </w:r>
      <w:r w:rsidR="002F27DA" w:rsidRPr="00B35853">
        <w:rPr>
          <w:sz w:val="22"/>
          <w:szCs w:val="22"/>
        </w:rPr>
        <w:t>os</w:t>
      </w:r>
      <w:r w:rsidRPr="00B35853">
        <w:rPr>
          <w:sz w:val="22"/>
          <w:szCs w:val="22"/>
        </w:rPr>
        <w:t xml:space="preserve"> </w:t>
      </w:r>
      <w:r w:rsidR="003E0927" w:rsidRPr="00B35853">
        <w:rPr>
          <w:sz w:val="22"/>
          <w:szCs w:val="22"/>
        </w:rPr>
        <w:t xml:space="preserve">referidos </w:t>
      </w:r>
      <w:r w:rsidRPr="00B35853">
        <w:rPr>
          <w:sz w:val="22"/>
          <w:szCs w:val="22"/>
        </w:rPr>
        <w:t>Antecedente</w:t>
      </w:r>
      <w:r w:rsidR="002F27DA" w:rsidRPr="00B35853">
        <w:rPr>
          <w:sz w:val="22"/>
          <w:szCs w:val="22"/>
        </w:rPr>
        <w:t>s</w:t>
      </w:r>
      <w:r w:rsidR="003E0927" w:rsidRPr="00B35853">
        <w:rPr>
          <w:sz w:val="22"/>
          <w:szCs w:val="22"/>
        </w:rPr>
        <w:t>,</w:t>
      </w:r>
      <w:r w:rsidRPr="00B35853">
        <w:rPr>
          <w:sz w:val="22"/>
          <w:szCs w:val="22"/>
        </w:rPr>
        <w:t xml:space="preserve"> y</w:t>
      </w:r>
    </w:p>
    <w:p w14:paraId="6D870B05" w14:textId="3FA918C8" w:rsidR="00211578" w:rsidRDefault="00211578" w:rsidP="007F2D21"/>
    <w:p w14:paraId="55289788" w14:textId="77777777" w:rsidR="003B6DC5" w:rsidRPr="007F2D21" w:rsidRDefault="003B6DC5" w:rsidP="007F2D21"/>
    <w:p w14:paraId="6BA569DC" w14:textId="25E6E9D5" w:rsidR="008A39CF" w:rsidRPr="007F2D21" w:rsidRDefault="007F2D21" w:rsidP="00AC50B3">
      <w:pPr>
        <w:pStyle w:val="Ttulo1"/>
        <w:keepNext w:val="0"/>
        <w:spacing w:line="276" w:lineRule="auto"/>
        <w:ind w:left="862" w:hanging="360"/>
        <w:rPr>
          <w:rStyle w:val="NormalIFTCar"/>
          <w:rFonts w:ascii="Arial" w:eastAsia="Calibri" w:hAnsi="Arial" w:cs="Arial"/>
          <w:sz w:val="26"/>
          <w:szCs w:val="26"/>
        </w:rPr>
      </w:pPr>
      <w:r w:rsidRPr="007F2D21">
        <w:rPr>
          <w:rStyle w:val="NormalIFTCar"/>
          <w:rFonts w:ascii="Arial" w:eastAsia="Calibri" w:hAnsi="Arial" w:cs="Arial"/>
          <w:sz w:val="26"/>
          <w:szCs w:val="26"/>
        </w:rPr>
        <w:t>Considerando</w:t>
      </w:r>
    </w:p>
    <w:p w14:paraId="5DA12424" w14:textId="114A254F" w:rsidR="007F2D21" w:rsidRDefault="007F2D21" w:rsidP="007F2D21">
      <w:pPr>
        <w:rPr>
          <w:rFonts w:cs="Arial"/>
          <w:lang w:val="es-ES_tradnl" w:eastAsia="es-ES"/>
        </w:rPr>
      </w:pPr>
    </w:p>
    <w:p w14:paraId="64860690" w14:textId="77777777" w:rsidR="003B6DC5" w:rsidRPr="007F2D21" w:rsidRDefault="003B6DC5" w:rsidP="007F2D21">
      <w:pPr>
        <w:rPr>
          <w:rFonts w:cs="Arial"/>
          <w:lang w:val="es-ES_tradnl" w:eastAsia="es-ES"/>
        </w:rPr>
      </w:pPr>
    </w:p>
    <w:p w14:paraId="5F5650AD" w14:textId="6AFE5C93" w:rsidR="007F2D21" w:rsidRDefault="00F404AD" w:rsidP="00F404AD">
      <w:pPr>
        <w:pStyle w:val="Ttulo2"/>
        <w:keepLines w:val="0"/>
        <w:autoSpaceDE/>
        <w:autoSpaceDN/>
        <w:adjustRightInd/>
        <w:spacing w:after="0"/>
        <w:rPr>
          <w:rFonts w:ascii="Arial" w:eastAsiaTheme="minorHAnsi" w:hAnsi="Arial" w:cs="Arial"/>
          <w:b w:val="0"/>
        </w:rPr>
      </w:pPr>
      <w:r>
        <w:rPr>
          <w:rFonts w:ascii="Arial" w:eastAsiaTheme="minorHAnsi" w:hAnsi="Arial" w:cs="Arial"/>
        </w:rPr>
        <w:t>Primero</w:t>
      </w:r>
      <w:r w:rsidR="008A39CF" w:rsidRPr="00AC50B3">
        <w:rPr>
          <w:rFonts w:ascii="Arial" w:eastAsiaTheme="minorHAnsi" w:hAnsi="Arial" w:cs="Arial"/>
        </w:rPr>
        <w:t>.</w:t>
      </w:r>
      <w:r>
        <w:rPr>
          <w:rFonts w:ascii="Arial" w:eastAsiaTheme="minorHAnsi" w:hAnsi="Arial" w:cs="Arial"/>
        </w:rPr>
        <w:t>- Competencia</w:t>
      </w:r>
      <w:r w:rsidR="008A39CF" w:rsidRPr="00AC50B3">
        <w:rPr>
          <w:rFonts w:ascii="Arial" w:eastAsiaTheme="minorHAnsi" w:hAnsi="Arial" w:cs="Arial"/>
        </w:rPr>
        <w:t xml:space="preserve"> del Instituto</w:t>
      </w:r>
      <w:r w:rsidR="00531E1E">
        <w:rPr>
          <w:rFonts w:ascii="Arial" w:eastAsiaTheme="minorHAnsi" w:hAnsi="Arial" w:cs="Arial"/>
        </w:rPr>
        <w:t>.</w:t>
      </w:r>
      <w:r>
        <w:rPr>
          <w:rFonts w:ascii="Arial" w:eastAsiaTheme="minorHAnsi" w:hAnsi="Arial" w:cs="Arial"/>
        </w:rPr>
        <w:t xml:space="preserve"> </w:t>
      </w:r>
      <w:r w:rsidR="008A39CF" w:rsidRPr="007F2D21">
        <w:rPr>
          <w:rFonts w:ascii="Arial" w:eastAsiaTheme="minorHAnsi" w:hAnsi="Arial" w:cs="Arial"/>
          <w:b w:val="0"/>
        </w:rPr>
        <w:t>De conformidad con lo dispuesto en el artículo 28</w:t>
      </w:r>
      <w:r w:rsidR="007F2D21" w:rsidRPr="007F2D21">
        <w:rPr>
          <w:rFonts w:ascii="Arial" w:eastAsiaTheme="minorHAnsi" w:hAnsi="Arial" w:cs="Arial"/>
          <w:b w:val="0"/>
        </w:rPr>
        <w:t>,</w:t>
      </w:r>
      <w:r w:rsidR="00EF737D" w:rsidRPr="007F2D21">
        <w:rPr>
          <w:rFonts w:ascii="Arial" w:eastAsiaTheme="minorHAnsi" w:hAnsi="Arial" w:cs="Arial"/>
          <w:b w:val="0"/>
        </w:rPr>
        <w:t xml:space="preserve"> párrafo</w:t>
      </w:r>
      <w:r w:rsidRPr="007F2D21">
        <w:rPr>
          <w:rFonts w:ascii="Arial" w:eastAsiaTheme="minorHAnsi" w:hAnsi="Arial" w:cs="Arial"/>
          <w:b w:val="0"/>
        </w:rPr>
        <w:t>s</w:t>
      </w:r>
      <w:r w:rsidR="00EF737D" w:rsidRPr="007F2D21">
        <w:rPr>
          <w:rFonts w:ascii="Arial" w:eastAsiaTheme="minorHAnsi" w:hAnsi="Arial" w:cs="Arial"/>
          <w:b w:val="0"/>
        </w:rPr>
        <w:t xml:space="preserve"> décimo </w:t>
      </w:r>
      <w:r w:rsidRPr="007F2D21">
        <w:rPr>
          <w:rFonts w:ascii="Arial" w:eastAsiaTheme="minorHAnsi" w:hAnsi="Arial" w:cs="Arial"/>
          <w:b w:val="0"/>
        </w:rPr>
        <w:t xml:space="preserve">quinto y décimo </w:t>
      </w:r>
      <w:r w:rsidR="00EF737D" w:rsidRPr="007F2D21">
        <w:rPr>
          <w:rFonts w:ascii="Arial" w:eastAsiaTheme="minorHAnsi" w:hAnsi="Arial" w:cs="Arial"/>
          <w:b w:val="0"/>
        </w:rPr>
        <w:t>sexto</w:t>
      </w:r>
      <w:r w:rsidR="00531E1E">
        <w:rPr>
          <w:rFonts w:ascii="Arial" w:eastAsiaTheme="minorHAnsi" w:hAnsi="Arial" w:cs="Arial"/>
          <w:b w:val="0"/>
        </w:rPr>
        <w:t>,</w:t>
      </w:r>
      <w:r w:rsidR="008A39CF" w:rsidRPr="007F2D21">
        <w:rPr>
          <w:rFonts w:ascii="Arial" w:eastAsiaTheme="minorHAnsi" w:hAnsi="Arial" w:cs="Arial"/>
          <w:b w:val="0"/>
        </w:rPr>
        <w:t xml:space="preserve"> de la </w:t>
      </w:r>
      <w:r w:rsidR="007F2D21" w:rsidRPr="007F2D21">
        <w:rPr>
          <w:rFonts w:ascii="Arial" w:eastAsiaTheme="minorHAnsi" w:hAnsi="Arial" w:cs="Arial"/>
          <w:b w:val="0"/>
        </w:rPr>
        <w:t>Constitución Política de los Estado Unidos Mexicanos (</w:t>
      </w:r>
      <w:r w:rsidR="008A39CF" w:rsidRPr="007F2D21">
        <w:rPr>
          <w:rFonts w:ascii="Arial" w:eastAsiaTheme="minorHAnsi" w:hAnsi="Arial" w:cs="Arial"/>
          <w:b w:val="0"/>
        </w:rPr>
        <w:t>CPEUM</w:t>
      </w:r>
      <w:r w:rsidR="007F2D21" w:rsidRPr="007F2D21">
        <w:rPr>
          <w:rFonts w:ascii="Arial" w:eastAsiaTheme="minorHAnsi" w:hAnsi="Arial" w:cs="Arial"/>
          <w:b w:val="0"/>
        </w:rPr>
        <w:t>)</w:t>
      </w:r>
      <w:r w:rsidR="00EF737D" w:rsidRPr="007F2D21">
        <w:rPr>
          <w:rFonts w:ascii="Arial" w:eastAsiaTheme="minorHAnsi" w:hAnsi="Arial" w:cs="Arial"/>
          <w:b w:val="0"/>
        </w:rPr>
        <w:t>; 5</w:t>
      </w:r>
      <w:r w:rsidR="00531E1E">
        <w:rPr>
          <w:rFonts w:ascii="Arial" w:eastAsiaTheme="minorHAnsi" w:hAnsi="Arial" w:cs="Arial"/>
          <w:b w:val="0"/>
        </w:rPr>
        <w:t>,</w:t>
      </w:r>
      <w:r w:rsidR="00EF737D" w:rsidRPr="007F2D21">
        <w:rPr>
          <w:rFonts w:ascii="Arial" w:eastAsiaTheme="minorHAnsi" w:hAnsi="Arial" w:cs="Arial"/>
          <w:b w:val="0"/>
        </w:rPr>
        <w:t xml:space="preserve"> párrafo primero</w:t>
      </w:r>
      <w:r w:rsidR="00531E1E">
        <w:rPr>
          <w:rFonts w:ascii="Arial" w:eastAsiaTheme="minorHAnsi" w:hAnsi="Arial" w:cs="Arial"/>
          <w:b w:val="0"/>
        </w:rPr>
        <w:t>,</w:t>
      </w:r>
      <w:r w:rsidR="00EF737D" w:rsidRPr="007F2D21">
        <w:rPr>
          <w:rFonts w:ascii="Arial" w:eastAsiaTheme="minorHAnsi" w:hAnsi="Arial" w:cs="Arial"/>
          <w:b w:val="0"/>
        </w:rPr>
        <w:t xml:space="preserve"> de la LFCE; y 7</w:t>
      </w:r>
      <w:r w:rsidR="00531E1E">
        <w:rPr>
          <w:rFonts w:ascii="Arial" w:eastAsiaTheme="minorHAnsi" w:hAnsi="Arial" w:cs="Arial"/>
          <w:b w:val="0"/>
        </w:rPr>
        <w:t>,</w:t>
      </w:r>
      <w:r w:rsidR="00EF737D" w:rsidRPr="007F2D21">
        <w:rPr>
          <w:rFonts w:ascii="Arial" w:eastAsiaTheme="minorHAnsi" w:hAnsi="Arial" w:cs="Arial"/>
          <w:b w:val="0"/>
        </w:rPr>
        <w:t xml:space="preserve"> párrafo</w:t>
      </w:r>
      <w:r w:rsidR="007F2D21">
        <w:rPr>
          <w:rFonts w:ascii="Arial" w:eastAsiaTheme="minorHAnsi" w:hAnsi="Arial" w:cs="Arial"/>
          <w:b w:val="0"/>
        </w:rPr>
        <w:t>s</w:t>
      </w:r>
      <w:r w:rsidR="00EF737D" w:rsidRPr="007F2D21">
        <w:rPr>
          <w:rFonts w:ascii="Arial" w:eastAsiaTheme="minorHAnsi" w:hAnsi="Arial" w:cs="Arial"/>
          <w:b w:val="0"/>
        </w:rPr>
        <w:t xml:space="preserve"> </w:t>
      </w:r>
      <w:r w:rsidR="007F2D21">
        <w:rPr>
          <w:rFonts w:ascii="Arial" w:eastAsiaTheme="minorHAnsi" w:hAnsi="Arial" w:cs="Arial"/>
          <w:b w:val="0"/>
        </w:rPr>
        <w:t>primero y tercero</w:t>
      </w:r>
      <w:r w:rsidR="00531E1E">
        <w:rPr>
          <w:rFonts w:ascii="Arial" w:eastAsiaTheme="minorHAnsi" w:hAnsi="Arial" w:cs="Arial"/>
          <w:b w:val="0"/>
        </w:rPr>
        <w:t>,</w:t>
      </w:r>
      <w:r w:rsidR="00EF737D" w:rsidRPr="007F2D21">
        <w:rPr>
          <w:rFonts w:ascii="Arial" w:eastAsiaTheme="minorHAnsi" w:hAnsi="Arial" w:cs="Arial"/>
          <w:b w:val="0"/>
        </w:rPr>
        <w:t xml:space="preserve"> de la Ley Federal de Telecomunicaciones y Radiodifusión </w:t>
      </w:r>
      <w:r w:rsidR="00B64100">
        <w:rPr>
          <w:rFonts w:ascii="Arial" w:eastAsiaTheme="minorHAnsi" w:hAnsi="Arial" w:cs="Arial"/>
          <w:b w:val="0"/>
        </w:rPr>
        <w:t>(</w:t>
      </w:r>
      <w:r w:rsidR="00EF737D" w:rsidRPr="007F2D21">
        <w:rPr>
          <w:rFonts w:ascii="Arial" w:eastAsiaTheme="minorHAnsi" w:hAnsi="Arial" w:cs="Arial"/>
          <w:b w:val="0"/>
        </w:rPr>
        <w:t>LFTR),</w:t>
      </w:r>
      <w:r w:rsidR="008A39CF" w:rsidRPr="007F2D21">
        <w:rPr>
          <w:rFonts w:ascii="Arial" w:eastAsiaTheme="minorHAnsi" w:hAnsi="Arial" w:cs="Arial"/>
          <w:b w:val="0"/>
        </w:rPr>
        <w:t xml:space="preserve"> el Instituto es </w:t>
      </w:r>
      <w:r w:rsidR="004C779B" w:rsidRPr="007F2D21">
        <w:rPr>
          <w:rFonts w:ascii="Arial" w:eastAsiaTheme="minorHAnsi" w:hAnsi="Arial" w:cs="Arial"/>
          <w:b w:val="0"/>
        </w:rPr>
        <w:t xml:space="preserve">un órgano </w:t>
      </w:r>
      <w:r w:rsidR="003E0927">
        <w:rPr>
          <w:rFonts w:ascii="Arial" w:eastAsiaTheme="minorHAnsi" w:hAnsi="Arial" w:cs="Arial"/>
          <w:b w:val="0"/>
        </w:rPr>
        <w:t xml:space="preserve">constitucional </w:t>
      </w:r>
      <w:r w:rsidR="004C779B" w:rsidRPr="007F2D21">
        <w:rPr>
          <w:rFonts w:ascii="Arial" w:eastAsiaTheme="minorHAnsi" w:hAnsi="Arial" w:cs="Arial"/>
          <w:b w:val="0"/>
        </w:rPr>
        <w:t>autónomo, con personalidad jurídica y patrimonio propio que tiene por ob</w:t>
      </w:r>
      <w:r w:rsidR="009B76DC" w:rsidRPr="007F2D21">
        <w:rPr>
          <w:rFonts w:ascii="Arial" w:eastAsiaTheme="minorHAnsi" w:hAnsi="Arial" w:cs="Arial"/>
          <w:b w:val="0"/>
        </w:rPr>
        <w:t>jeto</w:t>
      </w:r>
      <w:r w:rsidR="007F2D21">
        <w:rPr>
          <w:rFonts w:ascii="Arial" w:eastAsiaTheme="minorHAnsi" w:hAnsi="Arial" w:cs="Arial"/>
          <w:b w:val="0"/>
        </w:rPr>
        <w:t xml:space="preserve"> ser regulador sectorial y autoridad de competencia económica con facultades exclusivas en los sectores de telecomunicaciones y radiodifusión.</w:t>
      </w:r>
    </w:p>
    <w:p w14:paraId="0D9F2FF3" w14:textId="4370B4DD" w:rsidR="00C82269" w:rsidRDefault="00C82269" w:rsidP="00AC50B3">
      <w:pPr>
        <w:rPr>
          <w:rStyle w:val="Refdecomentario"/>
          <w:rFonts w:cs="Arial"/>
          <w:sz w:val="22"/>
          <w:szCs w:val="22"/>
        </w:rPr>
      </w:pPr>
    </w:p>
    <w:p w14:paraId="5A2D7CCA" w14:textId="7B604248" w:rsidR="007F2D21" w:rsidRDefault="007F2D21" w:rsidP="007F2D21">
      <w:r w:rsidRPr="00D35A6A">
        <w:rPr>
          <w:lang w:eastAsia="es-MX"/>
        </w:rPr>
        <w:lastRenderedPageBreak/>
        <w:t>E</w:t>
      </w:r>
      <w:r w:rsidR="003E4218">
        <w:rPr>
          <w:lang w:eastAsia="es-MX"/>
        </w:rPr>
        <w:t>n términos de</w:t>
      </w:r>
      <w:r w:rsidRPr="00D35A6A">
        <w:rPr>
          <w:lang w:eastAsia="es-MX"/>
        </w:rPr>
        <w:t xml:space="preserve">l artículo 12, fracción XXII, párrafo </w:t>
      </w:r>
      <w:r>
        <w:rPr>
          <w:lang w:eastAsia="es-MX"/>
        </w:rPr>
        <w:t>tercero</w:t>
      </w:r>
      <w:r w:rsidRPr="00D35A6A">
        <w:rPr>
          <w:lang w:eastAsia="es-MX"/>
        </w:rPr>
        <w:t xml:space="preserve">, inciso </w:t>
      </w:r>
      <w:r>
        <w:rPr>
          <w:lang w:eastAsia="es-MX"/>
        </w:rPr>
        <w:t>a</w:t>
      </w:r>
      <w:r w:rsidRPr="00D35A6A">
        <w:rPr>
          <w:lang w:eastAsia="es-MX"/>
        </w:rPr>
        <w:t xml:space="preserve">), de la LFCE, </w:t>
      </w:r>
      <w:r>
        <w:rPr>
          <w:lang w:eastAsia="es-MX"/>
        </w:rPr>
        <w:t xml:space="preserve">así como </w:t>
      </w:r>
      <w:r w:rsidRPr="00837EF6">
        <w:rPr>
          <w:lang w:eastAsia="es-MX"/>
        </w:rPr>
        <w:t xml:space="preserve">el artículo 187 de las </w:t>
      </w:r>
      <w:r w:rsidR="000F3A02" w:rsidRPr="003B1694">
        <w:rPr>
          <w:rFonts w:eastAsia="Times New Roman" w:cs="Arial"/>
          <w:lang w:eastAsia="es-MX"/>
        </w:rPr>
        <w:t>Disposiciones Regulatorias de la Ley Federal de Competencia Económica para los sectores de telecomunicaciones y radiodifusión</w:t>
      </w:r>
      <w:r w:rsidR="000F3A02" w:rsidRPr="003B1694">
        <w:rPr>
          <w:lang w:eastAsia="es-MX"/>
        </w:rPr>
        <w:t xml:space="preserve"> </w:t>
      </w:r>
      <w:r w:rsidR="000F3A02">
        <w:rPr>
          <w:lang w:eastAsia="es-MX"/>
        </w:rPr>
        <w:t>(</w:t>
      </w:r>
      <w:r w:rsidR="000F3A02" w:rsidRPr="003B1694">
        <w:rPr>
          <w:lang w:eastAsia="es-MX"/>
        </w:rPr>
        <w:t>D</w:t>
      </w:r>
      <w:r w:rsidR="000F3A02">
        <w:rPr>
          <w:lang w:eastAsia="es-MX"/>
        </w:rPr>
        <w:t>isposiciones Regulatorias)</w:t>
      </w:r>
      <w:r>
        <w:rPr>
          <w:lang w:eastAsia="es-MX"/>
        </w:rPr>
        <w:t>,</w:t>
      </w:r>
      <w:r w:rsidRPr="00837EF6">
        <w:rPr>
          <w:lang w:eastAsia="es-MX"/>
        </w:rPr>
        <w:t xml:space="preserve"> </w:t>
      </w:r>
      <w:r w:rsidRPr="00D35A6A">
        <w:rPr>
          <w:lang w:eastAsia="es-MX"/>
        </w:rPr>
        <w:t xml:space="preserve">el Instituto </w:t>
      </w:r>
      <w:r w:rsidR="003E4218">
        <w:rPr>
          <w:lang w:eastAsia="es-MX"/>
        </w:rPr>
        <w:t>tiene la atribución de</w:t>
      </w:r>
      <w:r w:rsidRPr="00D35A6A">
        <w:rPr>
          <w:lang w:eastAsia="es-MX"/>
        </w:rPr>
        <w:t xml:space="preserve"> </w:t>
      </w:r>
      <w:r w:rsidRPr="00837EF6">
        <w:rPr>
          <w:lang w:eastAsia="es-MX"/>
        </w:rPr>
        <w:t>expedir</w:t>
      </w:r>
      <w:r>
        <w:rPr>
          <w:lang w:eastAsia="es-MX"/>
        </w:rPr>
        <w:t xml:space="preserve"> directrices, guías, lineamientos, criterios técnicos y elementos de análisis técnico</w:t>
      </w:r>
      <w:r w:rsidR="003E4218">
        <w:rPr>
          <w:lang w:eastAsia="es-MX"/>
        </w:rPr>
        <w:t>,</w:t>
      </w:r>
      <w:r>
        <w:rPr>
          <w:lang w:eastAsia="es-MX"/>
        </w:rPr>
        <w:t xml:space="preserve"> necesarios para el cumplimiento de sus atribuciones</w:t>
      </w:r>
      <w:r w:rsidRPr="00782746">
        <w:rPr>
          <w:lang w:eastAsia="es-MX"/>
        </w:rPr>
        <w:t xml:space="preserve"> </w:t>
      </w:r>
      <w:r w:rsidRPr="00837EF6">
        <w:rPr>
          <w:lang w:eastAsia="es-MX"/>
        </w:rPr>
        <w:t xml:space="preserve">en materia de </w:t>
      </w:r>
      <w:r>
        <w:rPr>
          <w:lang w:eastAsia="es-MX"/>
        </w:rPr>
        <w:t>concentraciones</w:t>
      </w:r>
      <w:r w:rsidRPr="00D35A6A">
        <w:rPr>
          <w:lang w:eastAsia="es-MX"/>
        </w:rPr>
        <w:t xml:space="preserve">. </w:t>
      </w:r>
      <w:r w:rsidR="000F3A02" w:rsidRPr="00D35A6A">
        <w:rPr>
          <w:lang w:eastAsia="es-MX"/>
        </w:rPr>
        <w:t>Lo anterior, previa consulta pública en términos del artículo 138 de</w:t>
      </w:r>
      <w:r w:rsidR="000F3A02">
        <w:rPr>
          <w:lang w:eastAsia="es-MX"/>
        </w:rPr>
        <w:t xml:space="preserve"> </w:t>
      </w:r>
      <w:r w:rsidR="000F3A02" w:rsidRPr="00D35A6A">
        <w:rPr>
          <w:lang w:eastAsia="es-MX"/>
        </w:rPr>
        <w:t>l</w:t>
      </w:r>
      <w:r w:rsidR="000F3A02">
        <w:rPr>
          <w:lang w:eastAsia="es-MX"/>
        </w:rPr>
        <w:t>a LFCE y de conformidad con los Lineamientos Primero, párrafo segundo, Tercero, fracción II</w:t>
      </w:r>
      <w:r w:rsidR="000F3A02" w:rsidRPr="00560537">
        <w:rPr>
          <w:lang w:eastAsia="es-MX"/>
        </w:rPr>
        <w:t>, Cuarto, Quinto,</w:t>
      </w:r>
      <w:r w:rsidR="000F3A02">
        <w:rPr>
          <w:lang w:eastAsia="es-MX"/>
        </w:rPr>
        <w:t xml:space="preserve"> Octavo, Noveno y Vigésimo Primero, párrafo segundo, de los </w:t>
      </w:r>
      <w:r w:rsidR="000F3A02">
        <w:t>Lineamientos de Consulta Pública e Impacto Regulatorio.</w:t>
      </w:r>
    </w:p>
    <w:p w14:paraId="5DAFE922" w14:textId="408FA67A" w:rsidR="0048518F" w:rsidRDefault="0048518F" w:rsidP="007F2D21"/>
    <w:p w14:paraId="7F3695C9" w14:textId="515B895E" w:rsidR="00A00563" w:rsidRDefault="00A00563" w:rsidP="00A00563">
      <w:pPr>
        <w:rPr>
          <w:rFonts w:eastAsia="Times New Roman" w:cs="Arial"/>
          <w:bCs/>
          <w:color w:val="000000"/>
          <w:lang w:eastAsia="es-MX"/>
        </w:rPr>
      </w:pPr>
      <w:r>
        <w:rPr>
          <w:rFonts w:cs="Arial"/>
        </w:rPr>
        <w:t xml:space="preserve">Asimismo, </w:t>
      </w:r>
      <w:r>
        <w:rPr>
          <w:rFonts w:eastAsia="Times New Roman" w:cs="Arial"/>
          <w:bCs/>
          <w:color w:val="000000"/>
          <w:lang w:eastAsia="es-MX"/>
        </w:rPr>
        <w:t>el artículo 138, párrafo último, de la LFCE, establece que las directrices, guías, lineamientos y criterios técnicos deberán revisarse por lo menos cada cinco años:</w:t>
      </w:r>
    </w:p>
    <w:p w14:paraId="3FB1C77F" w14:textId="77777777" w:rsidR="00A00563" w:rsidRDefault="00A00563" w:rsidP="00A00563">
      <w:pPr>
        <w:rPr>
          <w:rFonts w:eastAsia="Times New Roman" w:cs="Arial"/>
          <w:bCs/>
          <w:color w:val="000000"/>
          <w:lang w:eastAsia="es-MX"/>
        </w:rPr>
      </w:pPr>
    </w:p>
    <w:p w14:paraId="6C1D44B7" w14:textId="77777777" w:rsidR="00A00563" w:rsidRDefault="00A00563" w:rsidP="00A00563">
      <w:pPr>
        <w:pStyle w:val="Sinespaciado"/>
        <w:spacing w:line="276" w:lineRule="auto"/>
        <w:ind w:left="709"/>
        <w:jc w:val="both"/>
        <w:rPr>
          <w:rFonts w:ascii="Arial" w:hAnsi="Arial" w:cs="Arial"/>
          <w:i/>
          <w:sz w:val="20"/>
          <w:szCs w:val="20"/>
        </w:rPr>
      </w:pPr>
      <w:r w:rsidRPr="009B3638">
        <w:rPr>
          <w:rFonts w:ascii="Arial" w:eastAsia="Times New Roman" w:hAnsi="Arial" w:cs="Arial"/>
          <w:bCs/>
          <w:color w:val="000000"/>
          <w:sz w:val="20"/>
          <w:szCs w:val="20"/>
          <w:lang w:eastAsia="es-MX"/>
        </w:rPr>
        <w:t>“</w:t>
      </w:r>
      <w:r w:rsidRPr="009B3638">
        <w:rPr>
          <w:rFonts w:ascii="Arial" w:hAnsi="Arial" w:cs="Arial"/>
          <w:i/>
          <w:sz w:val="20"/>
          <w:szCs w:val="20"/>
        </w:rPr>
        <w:t xml:space="preserve">Las directrices, </w:t>
      </w:r>
      <w:r w:rsidRPr="000121A9">
        <w:rPr>
          <w:rFonts w:ascii="Arial" w:hAnsi="Arial" w:cs="Arial"/>
          <w:i/>
          <w:sz w:val="20"/>
          <w:szCs w:val="20"/>
        </w:rPr>
        <w:t>guías</w:t>
      </w:r>
      <w:r w:rsidRPr="009B3638">
        <w:rPr>
          <w:rFonts w:ascii="Arial" w:hAnsi="Arial" w:cs="Arial"/>
          <w:i/>
          <w:sz w:val="20"/>
          <w:szCs w:val="20"/>
        </w:rPr>
        <w:t xml:space="preserve">, lineamientos y </w:t>
      </w:r>
      <w:r w:rsidRPr="000121A9">
        <w:rPr>
          <w:rFonts w:ascii="Arial" w:hAnsi="Arial" w:cs="Arial"/>
          <w:b/>
          <w:i/>
          <w:sz w:val="20"/>
          <w:szCs w:val="20"/>
        </w:rPr>
        <w:t>criterios técnicos</w:t>
      </w:r>
      <w:r w:rsidRPr="009B3638">
        <w:rPr>
          <w:rFonts w:ascii="Arial" w:hAnsi="Arial" w:cs="Arial"/>
          <w:i/>
          <w:sz w:val="20"/>
          <w:szCs w:val="20"/>
        </w:rPr>
        <w:t xml:space="preserve"> referidos en este artículo, </w:t>
      </w:r>
      <w:r w:rsidRPr="009B3638">
        <w:rPr>
          <w:rFonts w:ascii="Arial" w:hAnsi="Arial" w:cs="Arial"/>
          <w:b/>
          <w:i/>
          <w:sz w:val="20"/>
          <w:szCs w:val="20"/>
        </w:rPr>
        <w:t>deberán revisarse por lo menos cada cinco años,</w:t>
      </w:r>
      <w:r w:rsidRPr="009B3638">
        <w:rPr>
          <w:rFonts w:ascii="Arial" w:hAnsi="Arial" w:cs="Arial"/>
          <w:i/>
          <w:sz w:val="20"/>
          <w:szCs w:val="20"/>
        </w:rPr>
        <w:t xml:space="preserve"> de conformidad con lo señalado en el artículo 12, fracción XXII, de esta Ley.”</w:t>
      </w:r>
    </w:p>
    <w:p w14:paraId="39E214B2" w14:textId="77777777" w:rsidR="00A00563" w:rsidRPr="004001B7" w:rsidRDefault="00A00563" w:rsidP="00A00563">
      <w:pPr>
        <w:pStyle w:val="Sinespaciado"/>
        <w:spacing w:line="276" w:lineRule="auto"/>
        <w:ind w:left="709"/>
        <w:jc w:val="both"/>
        <w:rPr>
          <w:rFonts w:ascii="Arial" w:hAnsi="Arial" w:cs="Arial"/>
          <w:i/>
          <w:sz w:val="20"/>
          <w:szCs w:val="20"/>
        </w:rPr>
      </w:pPr>
    </w:p>
    <w:p w14:paraId="3140C004" w14:textId="77777777" w:rsidR="00A00563" w:rsidRPr="00095691" w:rsidRDefault="00A00563" w:rsidP="00A00563">
      <w:pPr>
        <w:ind w:left="709"/>
        <w:rPr>
          <w:rFonts w:cs="Arial"/>
          <w:sz w:val="20"/>
          <w:szCs w:val="20"/>
        </w:rPr>
      </w:pPr>
      <w:r w:rsidRPr="00095691">
        <w:rPr>
          <w:rFonts w:cs="Arial"/>
          <w:sz w:val="20"/>
          <w:szCs w:val="20"/>
        </w:rPr>
        <w:t>(Énfasis añadido)</w:t>
      </w:r>
    </w:p>
    <w:p w14:paraId="113D1BBC" w14:textId="77777777" w:rsidR="00A00563" w:rsidRDefault="00A00563" w:rsidP="007F2D21">
      <w:pPr>
        <w:rPr>
          <w:rFonts w:cs="Arial"/>
        </w:rPr>
      </w:pPr>
    </w:p>
    <w:p w14:paraId="61F26A17" w14:textId="23F1E078" w:rsidR="0048518F" w:rsidRPr="006726AA" w:rsidRDefault="0048518F" w:rsidP="007F2D21">
      <w:pPr>
        <w:rPr>
          <w:rStyle w:val="Refdecomentario"/>
          <w:rFonts w:cs="Arial"/>
          <w:sz w:val="22"/>
          <w:szCs w:val="22"/>
        </w:rPr>
      </w:pPr>
      <w:r w:rsidRPr="00FC48DA">
        <w:rPr>
          <w:rFonts w:cs="Arial"/>
        </w:rPr>
        <w:t xml:space="preserve">Así, este Instituto es competente para </w:t>
      </w:r>
      <w:r w:rsidR="00A00563">
        <w:rPr>
          <w:rFonts w:cs="Arial"/>
        </w:rPr>
        <w:t xml:space="preserve">emitir el presente acuerdo mediante el cual se </w:t>
      </w:r>
      <w:r w:rsidR="00A00563" w:rsidRPr="00A00563">
        <w:rPr>
          <w:rFonts w:cs="Arial"/>
        </w:rPr>
        <w:t xml:space="preserve">modifica el </w:t>
      </w:r>
      <w:r w:rsidR="00A00563">
        <w:rPr>
          <w:rFonts w:cs="Arial"/>
        </w:rPr>
        <w:t>C</w:t>
      </w:r>
      <w:r w:rsidR="00A00563" w:rsidRPr="00A00563">
        <w:rPr>
          <w:rFonts w:cs="Arial"/>
        </w:rPr>
        <w:t xml:space="preserve">riterio </w:t>
      </w:r>
      <w:r w:rsidR="00A00563">
        <w:rPr>
          <w:rFonts w:cs="Arial"/>
        </w:rPr>
        <w:t>T</w:t>
      </w:r>
      <w:r w:rsidR="00A00563" w:rsidRPr="00A00563">
        <w:rPr>
          <w:rFonts w:cs="Arial"/>
        </w:rPr>
        <w:t>écnico</w:t>
      </w:r>
      <w:r w:rsidRPr="00FC48DA">
        <w:rPr>
          <w:rFonts w:cs="Arial"/>
        </w:rPr>
        <w:t>.</w:t>
      </w:r>
    </w:p>
    <w:p w14:paraId="1E192BD3" w14:textId="77777777" w:rsidR="007F2D21" w:rsidRPr="009B3638" w:rsidRDefault="007F2D21" w:rsidP="007F2D21">
      <w:pPr>
        <w:rPr>
          <w:rFonts w:eastAsia="Times New Roman" w:cs="Arial"/>
          <w:bCs/>
          <w:color w:val="000000"/>
          <w:lang w:eastAsia="es-MX"/>
        </w:rPr>
      </w:pPr>
    </w:p>
    <w:p w14:paraId="5DC44341" w14:textId="3B327268" w:rsidR="008E5162" w:rsidRPr="00DD26F4" w:rsidRDefault="00897BDF" w:rsidP="008E5162">
      <w:pPr>
        <w:autoSpaceDE w:val="0"/>
        <w:autoSpaceDN w:val="0"/>
        <w:adjustRightInd w:val="0"/>
        <w:rPr>
          <w:rFonts w:cs="Arial"/>
          <w:sz w:val="18"/>
          <w:szCs w:val="18"/>
        </w:rPr>
      </w:pPr>
      <w:bookmarkStart w:id="2" w:name="_Hlk95755118"/>
      <w:r w:rsidRPr="003D0738">
        <w:rPr>
          <w:rStyle w:val="Refdecomentario"/>
          <w:rFonts w:cs="Arial"/>
          <w:b/>
          <w:sz w:val="22"/>
          <w:szCs w:val="22"/>
        </w:rPr>
        <w:t>Segundo</w:t>
      </w:r>
      <w:r w:rsidRPr="00D30044">
        <w:rPr>
          <w:rStyle w:val="Refdecomentario"/>
          <w:rFonts w:cs="Arial"/>
          <w:b/>
          <w:sz w:val="22"/>
          <w:szCs w:val="22"/>
        </w:rPr>
        <w:t xml:space="preserve">.- </w:t>
      </w:r>
      <w:r>
        <w:rPr>
          <w:rFonts w:eastAsia="Times New Roman" w:cs="Arial"/>
          <w:b/>
          <w:bCs/>
          <w:color w:val="000000"/>
          <w:lang w:eastAsia="es-MX"/>
        </w:rPr>
        <w:t xml:space="preserve">Importancia de </w:t>
      </w:r>
      <w:r w:rsidR="00A00563">
        <w:rPr>
          <w:rFonts w:eastAsia="Times New Roman" w:cs="Arial"/>
          <w:b/>
          <w:bCs/>
          <w:color w:val="000000"/>
          <w:lang w:eastAsia="es-MX"/>
        </w:rPr>
        <w:t>la m</w:t>
      </w:r>
      <w:r>
        <w:rPr>
          <w:rFonts w:eastAsia="Times New Roman" w:cs="Arial"/>
          <w:b/>
          <w:bCs/>
          <w:color w:val="000000"/>
          <w:lang w:eastAsia="es-MX"/>
        </w:rPr>
        <w:t>odificación al Criterio Técnico.</w:t>
      </w:r>
      <w:r>
        <w:rPr>
          <w:rStyle w:val="Refdecomentario"/>
          <w:rFonts w:cs="Arial"/>
          <w:b/>
          <w:sz w:val="22"/>
          <w:szCs w:val="22"/>
        </w:rPr>
        <w:t xml:space="preserve"> </w:t>
      </w:r>
      <w:bookmarkStart w:id="3" w:name="_Hlk95755191"/>
      <w:bookmarkEnd w:id="2"/>
      <w:r w:rsidR="008E5162">
        <w:rPr>
          <w:rStyle w:val="Refdecomentario"/>
          <w:rFonts w:cs="Arial"/>
          <w:bCs/>
          <w:sz w:val="22"/>
          <w:szCs w:val="22"/>
        </w:rPr>
        <w:t xml:space="preserve">De la revisión del </w:t>
      </w:r>
      <w:bookmarkEnd w:id="3"/>
      <w:r w:rsidR="008E5162">
        <w:rPr>
          <w:rStyle w:val="Refdecomentario"/>
          <w:rFonts w:cs="Arial"/>
          <w:bCs/>
          <w:sz w:val="22"/>
          <w:szCs w:val="22"/>
        </w:rPr>
        <w:t xml:space="preserve">Criterio Técnico y de </w:t>
      </w:r>
      <w:r w:rsidR="008E5162" w:rsidRPr="008E5162">
        <w:rPr>
          <w:rFonts w:cs="Arial"/>
        </w:rPr>
        <w:t xml:space="preserve">la experiencia </w:t>
      </w:r>
      <w:r w:rsidR="00A00563">
        <w:rPr>
          <w:rFonts w:cs="Arial"/>
        </w:rPr>
        <w:t>obtenida</w:t>
      </w:r>
      <w:r w:rsidR="00A00563" w:rsidRPr="008E5162">
        <w:rPr>
          <w:rFonts w:cs="Arial"/>
        </w:rPr>
        <w:t xml:space="preserve"> </w:t>
      </w:r>
      <w:r w:rsidR="008E5162" w:rsidRPr="008E5162">
        <w:rPr>
          <w:rFonts w:cs="Arial"/>
        </w:rPr>
        <w:t>dentro del Instituto en la aplicación de índices de concentración en los sectores de telecomunicaciones y radiodifusión</w:t>
      </w:r>
      <w:r w:rsidR="00A00563">
        <w:rPr>
          <w:rFonts w:cs="Arial"/>
        </w:rPr>
        <w:t>,</w:t>
      </w:r>
      <w:r w:rsidR="008E5162" w:rsidRPr="008E5162">
        <w:rPr>
          <w:rFonts w:cs="Arial"/>
        </w:rPr>
        <w:t xml:space="preserve"> así como </w:t>
      </w:r>
      <w:r w:rsidR="00A00563">
        <w:rPr>
          <w:rFonts w:cs="Arial"/>
        </w:rPr>
        <w:t xml:space="preserve">tomando en cuenta </w:t>
      </w:r>
      <w:r w:rsidR="008E5162" w:rsidRPr="008E5162">
        <w:rPr>
          <w:rFonts w:cs="Arial"/>
        </w:rPr>
        <w:t>la evolución de los mercados en esos sectores,</w:t>
      </w:r>
      <w:r w:rsidR="008E5162">
        <w:rPr>
          <w:rFonts w:cs="Arial"/>
        </w:rPr>
        <w:t xml:space="preserve"> se considera necesario hacer modificaciones al Criterio Técnico</w:t>
      </w:r>
      <w:r w:rsidR="006F6E4E">
        <w:rPr>
          <w:rFonts w:cs="Arial"/>
        </w:rPr>
        <w:t>,</w:t>
      </w:r>
      <w:r w:rsidR="008E5162" w:rsidRPr="008E5162">
        <w:rPr>
          <w:rFonts w:cs="Arial"/>
        </w:rPr>
        <w:t xml:space="preserve"> además de que </w:t>
      </w:r>
      <w:r w:rsidR="006F6E4E">
        <w:rPr>
          <w:rFonts w:cs="Arial"/>
        </w:rPr>
        <w:t xml:space="preserve">dichas modificaciones son </w:t>
      </w:r>
      <w:r w:rsidR="008E5162" w:rsidRPr="008E5162">
        <w:rPr>
          <w:rFonts w:cs="Arial"/>
        </w:rPr>
        <w:t>congruente</w:t>
      </w:r>
      <w:r w:rsidR="006F6E4E">
        <w:rPr>
          <w:rFonts w:cs="Arial"/>
        </w:rPr>
        <w:t>s</w:t>
      </w:r>
      <w:r w:rsidR="008E5162" w:rsidRPr="008E5162">
        <w:rPr>
          <w:rFonts w:cs="Arial"/>
        </w:rPr>
        <w:t xml:space="preserve"> con las mejores prácticas internacionales.</w:t>
      </w:r>
    </w:p>
    <w:p w14:paraId="4D54EADB" w14:textId="77777777" w:rsidR="008E5162" w:rsidRPr="00DD26F4" w:rsidRDefault="008E5162" w:rsidP="008E5162">
      <w:pPr>
        <w:autoSpaceDE w:val="0"/>
        <w:autoSpaceDN w:val="0"/>
        <w:adjustRightInd w:val="0"/>
        <w:rPr>
          <w:rFonts w:cs="Arial"/>
          <w:sz w:val="18"/>
          <w:szCs w:val="18"/>
        </w:rPr>
      </w:pPr>
    </w:p>
    <w:p w14:paraId="6FD3ECA0" w14:textId="0F92C3B8" w:rsidR="00897BDF" w:rsidRPr="00DD26F4" w:rsidRDefault="008E5162" w:rsidP="00897BDF">
      <w:pPr>
        <w:autoSpaceDE w:val="0"/>
        <w:autoSpaceDN w:val="0"/>
        <w:adjustRightInd w:val="0"/>
        <w:rPr>
          <w:rFonts w:cs="Arial"/>
          <w:sz w:val="18"/>
          <w:szCs w:val="18"/>
        </w:rPr>
      </w:pPr>
      <w:r w:rsidRPr="006F6E4E">
        <w:rPr>
          <w:rFonts w:cs="Arial"/>
        </w:rPr>
        <w:t>Al respecto,</w:t>
      </w:r>
      <w:r w:rsidR="00655951">
        <w:rPr>
          <w:rFonts w:cs="Arial"/>
        </w:rPr>
        <w:t xml:space="preserve"> se señala que</w:t>
      </w:r>
      <w:r w:rsidRPr="006F6E4E">
        <w:rPr>
          <w:rFonts w:cs="Arial"/>
        </w:rPr>
        <w:t xml:space="preserve"> </w:t>
      </w:r>
      <w:r w:rsidR="006F6E4E">
        <w:rPr>
          <w:rFonts w:cs="Arial"/>
        </w:rPr>
        <w:t>e</w:t>
      </w:r>
      <w:r w:rsidR="00897BDF" w:rsidRPr="006F6E4E">
        <w:rPr>
          <w:rFonts w:cs="Arial"/>
        </w:rPr>
        <w:t xml:space="preserve">ste IFT ha condicionado operaciones en los que el </w:t>
      </w:r>
      <w:r w:rsidR="00655951" w:rsidRPr="00A832E2">
        <w:rPr>
          <w:rFonts w:cs="Arial"/>
        </w:rPr>
        <w:t xml:space="preserve">índice de </w:t>
      </w:r>
      <w:proofErr w:type="spellStart"/>
      <w:r w:rsidR="00655951" w:rsidRPr="00A832E2">
        <w:rPr>
          <w:rFonts w:cs="Arial"/>
        </w:rPr>
        <w:t>Herfindahl-Hirschman</w:t>
      </w:r>
      <w:proofErr w:type="spellEnd"/>
      <w:r w:rsidR="00655951" w:rsidRPr="00A832E2">
        <w:rPr>
          <w:rFonts w:cs="Arial"/>
        </w:rPr>
        <w:t xml:space="preserve"> (IHH)</w:t>
      </w:r>
      <w:r w:rsidR="00897BDF" w:rsidRPr="006F6E4E">
        <w:rPr>
          <w:rFonts w:cs="Arial"/>
        </w:rPr>
        <w:t xml:space="preserve"> alcanz</w:t>
      </w:r>
      <w:r w:rsidR="00655951">
        <w:rPr>
          <w:rFonts w:cs="Arial"/>
        </w:rPr>
        <w:t>ó</w:t>
      </w:r>
      <w:r w:rsidR="00897BDF" w:rsidRPr="006F6E4E">
        <w:rPr>
          <w:rFonts w:cs="Arial"/>
        </w:rPr>
        <w:t xml:space="preserve"> valores cercanos a los 2,500 puntos. Por ejemplo, en el caso de operaciones resueltas en abril de 20</w:t>
      </w:r>
      <w:r w:rsidR="00655951">
        <w:rPr>
          <w:rFonts w:cs="Arial"/>
        </w:rPr>
        <w:t>2</w:t>
      </w:r>
      <w:r w:rsidR="00897BDF" w:rsidRPr="006F6E4E">
        <w:rPr>
          <w:rFonts w:cs="Arial"/>
        </w:rPr>
        <w:t>1 y que involucraron a Radio Tesoro, S.A. de C.V., Radio Armería, S.A. de C.V., ZZZ de Manzanillo, S.A. de C.V. y Radio XHEMAX, S.A. de C.V. (P/IFT/070421/157), así como a XERL, Sucesores de J. Roberto Levy, S.A. de C.V. (P/IFT/210421/184), el IFT las condicionó considerando los niveles de concentración de frecuencias identificadas</w:t>
      </w:r>
      <w:r w:rsidR="00655951">
        <w:rPr>
          <w:rFonts w:cs="Arial"/>
        </w:rPr>
        <w:t>,</w:t>
      </w:r>
      <w:r w:rsidR="00897BDF" w:rsidRPr="006F6E4E">
        <w:rPr>
          <w:rFonts w:cs="Arial"/>
        </w:rPr>
        <w:t xml:space="preserve"> que habrían llegado a valores del IHH de 2,653 puntos y 2,500 puntos, respectivamente.</w:t>
      </w:r>
    </w:p>
    <w:p w14:paraId="3029BB20" w14:textId="77777777" w:rsidR="00897BDF" w:rsidRPr="00DD26F4" w:rsidRDefault="00897BDF" w:rsidP="00897BDF">
      <w:pPr>
        <w:autoSpaceDE w:val="0"/>
        <w:autoSpaceDN w:val="0"/>
        <w:adjustRightInd w:val="0"/>
        <w:rPr>
          <w:rFonts w:cs="Arial"/>
          <w:sz w:val="18"/>
          <w:szCs w:val="18"/>
        </w:rPr>
      </w:pPr>
      <w:r w:rsidRPr="00DD26F4">
        <w:rPr>
          <w:rFonts w:cs="Arial"/>
          <w:sz w:val="18"/>
          <w:szCs w:val="18"/>
        </w:rPr>
        <w:t xml:space="preserve"> </w:t>
      </w:r>
    </w:p>
    <w:p w14:paraId="4BFC7DFC" w14:textId="63F2F877" w:rsidR="00897BDF" w:rsidRDefault="00897BDF" w:rsidP="00897BDF">
      <w:pPr>
        <w:autoSpaceDE w:val="0"/>
        <w:autoSpaceDN w:val="0"/>
        <w:adjustRightInd w:val="0"/>
        <w:rPr>
          <w:rFonts w:cs="Arial"/>
        </w:rPr>
      </w:pPr>
      <w:r w:rsidRPr="006F6E4E">
        <w:rPr>
          <w:rFonts w:cs="Arial"/>
        </w:rPr>
        <w:t xml:space="preserve">Igualmente, se observa que, en aquellos mercados donde han existido procesos de licitación </w:t>
      </w:r>
      <w:r w:rsidR="00A00563">
        <w:rPr>
          <w:rFonts w:cs="Arial"/>
        </w:rPr>
        <w:t>de frecuencias para</w:t>
      </w:r>
      <w:r w:rsidR="00A00563" w:rsidRPr="006F6E4E">
        <w:rPr>
          <w:rFonts w:cs="Arial"/>
        </w:rPr>
        <w:t xml:space="preserve"> </w:t>
      </w:r>
      <w:r w:rsidRPr="006F6E4E">
        <w:rPr>
          <w:rFonts w:cs="Arial"/>
        </w:rPr>
        <w:t xml:space="preserve">radiodifusión sonora en la banda FM, los niveles de concentración </w:t>
      </w:r>
      <w:r w:rsidR="00A00563">
        <w:rPr>
          <w:rFonts w:cs="Arial"/>
        </w:rPr>
        <w:t xml:space="preserve">de frecuencias </w:t>
      </w:r>
      <w:r w:rsidRPr="006F6E4E">
        <w:rPr>
          <w:rFonts w:cs="Arial"/>
        </w:rPr>
        <w:t xml:space="preserve">se han reducido significativamente, por lo cual, considerando los mercados donde se observan 3 (tres) o más competidores, el valor promedio alcanzado por el IHH </w:t>
      </w:r>
      <w:r w:rsidR="00A00563">
        <w:rPr>
          <w:rFonts w:cs="Arial"/>
        </w:rPr>
        <w:t xml:space="preserve">en términos de frecuencias </w:t>
      </w:r>
      <w:r w:rsidRPr="006F6E4E">
        <w:rPr>
          <w:rFonts w:cs="Arial"/>
        </w:rPr>
        <w:t>se ubica en alrededor de los 2,700 puntos</w:t>
      </w:r>
      <w:r w:rsidR="006F6E4E">
        <w:rPr>
          <w:rFonts w:cs="Arial"/>
        </w:rPr>
        <w:t xml:space="preserve">, por lo que con </w:t>
      </w:r>
      <w:r w:rsidRPr="006F6E4E">
        <w:rPr>
          <w:rFonts w:cs="Arial"/>
        </w:rPr>
        <w:t>procesos de licitación hacia adelante, se prevé que esos niveles de concentración se reducirán aún más.</w:t>
      </w:r>
    </w:p>
    <w:p w14:paraId="115B9C91" w14:textId="77777777" w:rsidR="002B7C5A" w:rsidRPr="006F6E4E" w:rsidRDefault="002B7C5A" w:rsidP="00897BDF">
      <w:pPr>
        <w:autoSpaceDE w:val="0"/>
        <w:autoSpaceDN w:val="0"/>
        <w:adjustRightInd w:val="0"/>
        <w:rPr>
          <w:rFonts w:cs="Arial"/>
        </w:rPr>
      </w:pPr>
    </w:p>
    <w:p w14:paraId="32AC513A" w14:textId="31C030D6" w:rsidR="002B7C5A" w:rsidRDefault="00A00563" w:rsidP="002B7C5A">
      <w:pPr>
        <w:autoSpaceDE w:val="0"/>
        <w:autoSpaceDN w:val="0"/>
        <w:adjustRightInd w:val="0"/>
        <w:rPr>
          <w:rFonts w:cs="Arial"/>
        </w:rPr>
      </w:pPr>
      <w:r>
        <w:rPr>
          <w:rFonts w:cs="Arial"/>
        </w:rPr>
        <w:t>Asimismo</w:t>
      </w:r>
      <w:r w:rsidR="002B7C5A" w:rsidRPr="006F6E4E">
        <w:rPr>
          <w:rFonts w:cs="Arial"/>
        </w:rPr>
        <w:t xml:space="preserve">, </w:t>
      </w:r>
      <w:r>
        <w:rPr>
          <w:rFonts w:cs="Arial"/>
        </w:rPr>
        <w:t xml:space="preserve">en </w:t>
      </w:r>
      <w:r w:rsidR="002B7C5A" w:rsidRPr="006F6E4E">
        <w:rPr>
          <w:rFonts w:cs="Arial"/>
        </w:rPr>
        <w:t xml:space="preserve">las bases de las licitaciones </w:t>
      </w:r>
      <w:r>
        <w:rPr>
          <w:rFonts w:cs="Arial"/>
        </w:rPr>
        <w:t>de frecuencias para</w:t>
      </w:r>
      <w:r w:rsidR="002B7C5A" w:rsidRPr="006F6E4E">
        <w:rPr>
          <w:rFonts w:cs="Arial"/>
        </w:rPr>
        <w:t xml:space="preserve"> radiodifusión sonora </w:t>
      </w:r>
      <w:r>
        <w:rPr>
          <w:rFonts w:cs="Arial"/>
        </w:rPr>
        <w:t xml:space="preserve">se han establecido </w:t>
      </w:r>
      <w:r w:rsidR="002B7C5A" w:rsidRPr="006F6E4E">
        <w:rPr>
          <w:rFonts w:cs="Arial"/>
        </w:rPr>
        <w:t>umbral</w:t>
      </w:r>
      <w:r>
        <w:rPr>
          <w:rFonts w:cs="Arial"/>
        </w:rPr>
        <w:t>es</w:t>
      </w:r>
      <w:r w:rsidR="002B7C5A" w:rsidRPr="006F6E4E">
        <w:rPr>
          <w:rFonts w:cs="Arial"/>
        </w:rPr>
        <w:t xml:space="preserve"> </w:t>
      </w:r>
      <w:r>
        <w:rPr>
          <w:rFonts w:cs="Arial"/>
        </w:rPr>
        <w:t>para el</w:t>
      </w:r>
      <w:r w:rsidR="002B7C5A" w:rsidRPr="006F6E4E">
        <w:rPr>
          <w:rFonts w:cs="Arial"/>
        </w:rPr>
        <w:t xml:space="preserve"> porcentaje de acumulación </w:t>
      </w:r>
      <w:r>
        <w:rPr>
          <w:rFonts w:cs="Arial"/>
        </w:rPr>
        <w:t xml:space="preserve">de frecuencias </w:t>
      </w:r>
      <w:r w:rsidR="002B7C5A" w:rsidRPr="006F6E4E">
        <w:rPr>
          <w:rFonts w:cs="Arial"/>
        </w:rPr>
        <w:t xml:space="preserve">de 30%. Además, este IFT no </w:t>
      </w:r>
      <w:r>
        <w:rPr>
          <w:rFonts w:cs="Arial"/>
        </w:rPr>
        <w:t xml:space="preserve">ha </w:t>
      </w:r>
      <w:r w:rsidR="002B7C5A" w:rsidRPr="006F6E4E">
        <w:rPr>
          <w:rFonts w:cs="Arial"/>
        </w:rPr>
        <w:t xml:space="preserve">rechazado operaciones en las que los agentes económicos tienen 30% o menos de participación en el mercado en procedimientos que han involucrado trámites regulatorios. </w:t>
      </w:r>
    </w:p>
    <w:p w14:paraId="307A11B4" w14:textId="01ABD53B" w:rsidR="00897BDF" w:rsidRDefault="00897BDF" w:rsidP="00897BDF">
      <w:pPr>
        <w:autoSpaceDE w:val="0"/>
        <w:autoSpaceDN w:val="0"/>
        <w:adjustRightInd w:val="0"/>
        <w:rPr>
          <w:rFonts w:cs="Arial"/>
        </w:rPr>
      </w:pPr>
    </w:p>
    <w:p w14:paraId="5B039BFF" w14:textId="68617829" w:rsidR="002B7C5A" w:rsidRPr="006F6E4E" w:rsidRDefault="002B7C5A" w:rsidP="002B7C5A">
      <w:pPr>
        <w:autoSpaceDE w:val="0"/>
        <w:autoSpaceDN w:val="0"/>
        <w:adjustRightInd w:val="0"/>
        <w:rPr>
          <w:rFonts w:cs="Arial"/>
        </w:rPr>
      </w:pPr>
      <w:r>
        <w:rPr>
          <w:rFonts w:cs="Arial"/>
        </w:rPr>
        <w:t>Respecto al</w:t>
      </w:r>
      <w:r w:rsidRPr="006F6E4E">
        <w:rPr>
          <w:rFonts w:cs="Arial"/>
        </w:rPr>
        <w:t xml:space="preserve"> sector de telecomunicaciones, </w:t>
      </w:r>
      <w:r>
        <w:rPr>
          <w:rFonts w:cs="Arial"/>
        </w:rPr>
        <w:t xml:space="preserve">se observa que </w:t>
      </w:r>
      <w:r w:rsidRPr="006F6E4E">
        <w:rPr>
          <w:rFonts w:cs="Arial"/>
        </w:rPr>
        <w:t xml:space="preserve">los niveles de concentración se mantienen elevados por encima de los 2,500 puntos. Además, no se han rechazado operaciones en las que el agente económico resultante de la operación tiene 35% o menos de participación de mercado; igualmente, en procesos de licitación se han incluido umbrales </w:t>
      </w:r>
      <w:r w:rsidR="00A00563">
        <w:rPr>
          <w:rFonts w:cs="Arial"/>
        </w:rPr>
        <w:t>para el</w:t>
      </w:r>
      <w:r w:rsidR="00A00563" w:rsidRPr="006F6E4E">
        <w:rPr>
          <w:rFonts w:cs="Arial"/>
        </w:rPr>
        <w:t xml:space="preserve"> porcentaje de acumulación </w:t>
      </w:r>
      <w:r w:rsidR="00A00563">
        <w:rPr>
          <w:rFonts w:cs="Arial"/>
        </w:rPr>
        <w:t xml:space="preserve">de frecuencias </w:t>
      </w:r>
      <w:r w:rsidR="00A00563" w:rsidRPr="006F6E4E">
        <w:rPr>
          <w:rFonts w:cs="Arial"/>
        </w:rPr>
        <w:t>de</w:t>
      </w:r>
      <w:r w:rsidR="00A00563" w:rsidRPr="006F6E4E" w:rsidDel="00A00563">
        <w:rPr>
          <w:rFonts w:cs="Arial"/>
        </w:rPr>
        <w:t xml:space="preserve"> </w:t>
      </w:r>
      <w:r w:rsidRPr="006F6E4E">
        <w:rPr>
          <w:rFonts w:cs="Arial"/>
        </w:rPr>
        <w:t>35%.</w:t>
      </w:r>
    </w:p>
    <w:p w14:paraId="6A155B0E" w14:textId="77777777" w:rsidR="002B7C5A" w:rsidRPr="006F6E4E" w:rsidRDefault="002B7C5A" w:rsidP="00897BDF">
      <w:pPr>
        <w:autoSpaceDE w:val="0"/>
        <w:autoSpaceDN w:val="0"/>
        <w:adjustRightInd w:val="0"/>
        <w:rPr>
          <w:rFonts w:cs="Arial"/>
        </w:rPr>
      </w:pPr>
    </w:p>
    <w:p w14:paraId="5605E21C" w14:textId="4D40F0CD" w:rsidR="00897BDF" w:rsidRPr="006F6E4E" w:rsidRDefault="00897BDF" w:rsidP="00897BDF">
      <w:pPr>
        <w:autoSpaceDE w:val="0"/>
        <w:autoSpaceDN w:val="0"/>
        <w:adjustRightInd w:val="0"/>
        <w:rPr>
          <w:rFonts w:cs="Arial"/>
        </w:rPr>
      </w:pPr>
      <w:r w:rsidRPr="006F6E4E">
        <w:rPr>
          <w:rFonts w:cs="Arial"/>
        </w:rPr>
        <w:t xml:space="preserve">Considerando lo anterior y ante los procesos de licitación de espectro implementadas por el IFT </w:t>
      </w:r>
      <w:r w:rsidR="002B7C5A">
        <w:rPr>
          <w:rFonts w:cs="Arial"/>
        </w:rPr>
        <w:t xml:space="preserve">tanto en el sector de telecomunicaciones y </w:t>
      </w:r>
      <w:r w:rsidR="006F6E4E">
        <w:rPr>
          <w:rFonts w:cs="Arial"/>
        </w:rPr>
        <w:t>de radiodifu</w:t>
      </w:r>
      <w:r w:rsidR="00CA3586">
        <w:rPr>
          <w:rFonts w:cs="Arial"/>
        </w:rPr>
        <w:t>s</w:t>
      </w:r>
      <w:r w:rsidR="006F6E4E">
        <w:rPr>
          <w:rFonts w:cs="Arial"/>
        </w:rPr>
        <w:t xml:space="preserve">ión, </w:t>
      </w:r>
      <w:r w:rsidRPr="006F6E4E">
        <w:rPr>
          <w:rFonts w:cs="Arial"/>
        </w:rPr>
        <w:t>que están reduciendo</w:t>
      </w:r>
      <w:r w:rsidR="002B7C5A">
        <w:rPr>
          <w:rFonts w:cs="Arial"/>
        </w:rPr>
        <w:t xml:space="preserve"> (y que se prevé que podrían seguir reduciendo)</w:t>
      </w:r>
      <w:r w:rsidRPr="006F6E4E">
        <w:rPr>
          <w:rFonts w:cs="Arial"/>
        </w:rPr>
        <w:t xml:space="preserve"> los niveles de concentración en los mercados, </w:t>
      </w:r>
      <w:r w:rsidR="00CA3586">
        <w:rPr>
          <w:rFonts w:cs="Arial"/>
        </w:rPr>
        <w:t>se propone</w:t>
      </w:r>
      <w:r w:rsidRPr="006F6E4E">
        <w:rPr>
          <w:rFonts w:cs="Arial"/>
        </w:rPr>
        <w:t xml:space="preserve"> </w:t>
      </w:r>
      <w:r w:rsidR="00597A3A">
        <w:rPr>
          <w:rFonts w:cs="Arial"/>
        </w:rPr>
        <w:t xml:space="preserve">modificar el artículo 6 del Criterio Técnico consistente en </w:t>
      </w:r>
      <w:r w:rsidRPr="006F6E4E">
        <w:rPr>
          <w:rFonts w:cs="Arial"/>
        </w:rPr>
        <w:t xml:space="preserve">reducir el umbral máximo del IHH que corresponde a niveles de concentración moderados de 3,000 a 2,500 puntos, </w:t>
      </w:r>
      <w:r w:rsidR="00597A3A">
        <w:rPr>
          <w:rFonts w:cs="Arial"/>
        </w:rPr>
        <w:t>y como consecuencia</w:t>
      </w:r>
      <w:r w:rsidRPr="006F6E4E">
        <w:rPr>
          <w:rFonts w:cs="Arial"/>
        </w:rPr>
        <w:t xml:space="preserve"> disminuir el umbral mínimo del IHH que corresponde a niveles de concentración elevados </w:t>
      </w:r>
      <w:r w:rsidR="00597A3A">
        <w:rPr>
          <w:rFonts w:cs="Arial"/>
        </w:rPr>
        <w:t>de manera que se considere que un mercado tiene</w:t>
      </w:r>
      <w:r w:rsidRPr="006F6E4E">
        <w:rPr>
          <w:rFonts w:cs="Arial"/>
        </w:rPr>
        <w:t xml:space="preserve"> niveles de concentración elevados </w:t>
      </w:r>
      <w:r w:rsidR="00597A3A">
        <w:rPr>
          <w:rFonts w:cs="Arial"/>
        </w:rPr>
        <w:t>si estos están</w:t>
      </w:r>
      <w:r w:rsidRPr="006F6E4E">
        <w:rPr>
          <w:rFonts w:cs="Arial"/>
        </w:rPr>
        <w:t xml:space="preserve"> por encima de los 2,500 puntos</w:t>
      </w:r>
      <w:r w:rsidR="00597A3A">
        <w:rPr>
          <w:rFonts w:cs="Arial"/>
        </w:rPr>
        <w:t xml:space="preserve"> del IHH</w:t>
      </w:r>
      <w:r w:rsidR="00CA3586">
        <w:rPr>
          <w:rFonts w:cs="Arial"/>
        </w:rPr>
        <w:t>. Esto</w:t>
      </w:r>
      <w:r w:rsidRPr="006F6E4E">
        <w:rPr>
          <w:rFonts w:cs="Arial"/>
        </w:rPr>
        <w:t xml:space="preserve"> es importante para, en su caso y previo análisis de todos los elementos a ser considerados en materia de competencia económica, evitar la autorización de operaciones con altas probabilidades de afectar la competencia.</w:t>
      </w:r>
    </w:p>
    <w:p w14:paraId="3AC01D18" w14:textId="77777777" w:rsidR="00897BDF" w:rsidRPr="006F6E4E" w:rsidRDefault="00897BDF" w:rsidP="00897BDF">
      <w:pPr>
        <w:autoSpaceDE w:val="0"/>
        <w:autoSpaceDN w:val="0"/>
        <w:adjustRightInd w:val="0"/>
        <w:rPr>
          <w:rFonts w:cs="Arial"/>
        </w:rPr>
      </w:pPr>
    </w:p>
    <w:p w14:paraId="429F2ED1" w14:textId="3960483D" w:rsidR="00897BDF" w:rsidRPr="0034192D" w:rsidRDefault="002B7C5A" w:rsidP="00897BDF">
      <w:pPr>
        <w:rPr>
          <w:rFonts w:cs="Arial"/>
        </w:rPr>
      </w:pPr>
      <w:r w:rsidRPr="0034192D">
        <w:rPr>
          <w:rFonts w:cs="Arial"/>
        </w:rPr>
        <w:t>Adicionalmente</w:t>
      </w:r>
      <w:r w:rsidR="00897BDF" w:rsidRPr="0034192D">
        <w:rPr>
          <w:rFonts w:cs="Arial"/>
        </w:rPr>
        <w:t xml:space="preserve">, </w:t>
      </w:r>
      <w:r w:rsidR="0034192D">
        <w:rPr>
          <w:rFonts w:cs="Arial"/>
        </w:rPr>
        <w:t xml:space="preserve">y en relación con lo anterior, también </w:t>
      </w:r>
      <w:r w:rsidR="00897BDF" w:rsidRPr="0034192D">
        <w:rPr>
          <w:rFonts w:cs="Arial"/>
        </w:rPr>
        <w:t xml:space="preserve">se considera necesario </w:t>
      </w:r>
      <w:r w:rsidR="0034192D">
        <w:rPr>
          <w:rFonts w:cs="Arial"/>
        </w:rPr>
        <w:t>modificar</w:t>
      </w:r>
      <w:r w:rsidR="00897BDF" w:rsidRPr="0034192D">
        <w:rPr>
          <w:rFonts w:cs="Arial"/>
        </w:rPr>
        <w:t xml:space="preserve"> el umbral que se identifica en el Artículo 7 del Criterio Técnico</w:t>
      </w:r>
      <w:r w:rsidR="0034192D">
        <w:rPr>
          <w:rFonts w:cs="Arial"/>
        </w:rPr>
        <w:t>,</w:t>
      </w:r>
      <w:r w:rsidR="00A00563">
        <w:rPr>
          <w:rFonts w:cs="Arial"/>
        </w:rPr>
        <w:t xml:space="preserve"> en el sentido de</w:t>
      </w:r>
      <w:r w:rsidR="0034192D">
        <w:rPr>
          <w:rFonts w:cs="Arial"/>
        </w:rPr>
        <w:t xml:space="preserve"> reducirlo</w:t>
      </w:r>
      <w:r w:rsidR="00897BDF" w:rsidRPr="0034192D">
        <w:rPr>
          <w:rFonts w:cs="Arial"/>
        </w:rPr>
        <w:t xml:space="preserve"> </w:t>
      </w:r>
      <w:r w:rsidR="0034192D" w:rsidRPr="0034192D">
        <w:rPr>
          <w:rFonts w:cs="Arial"/>
        </w:rPr>
        <w:t xml:space="preserve">de 35% </w:t>
      </w:r>
      <w:r w:rsidR="0034192D">
        <w:rPr>
          <w:rFonts w:cs="Arial"/>
        </w:rPr>
        <w:t xml:space="preserve">(treinta y cinco por ciento) </w:t>
      </w:r>
      <w:r w:rsidR="00897BDF" w:rsidRPr="0034192D">
        <w:rPr>
          <w:rFonts w:cs="Arial"/>
        </w:rPr>
        <w:t>a 30%</w:t>
      </w:r>
      <w:r w:rsidR="0034192D">
        <w:rPr>
          <w:rFonts w:cs="Arial"/>
        </w:rPr>
        <w:t xml:space="preserve"> (treinta por ciento)</w:t>
      </w:r>
      <w:r w:rsidR="0034192D" w:rsidRPr="0034192D">
        <w:rPr>
          <w:rFonts w:cs="Arial"/>
        </w:rPr>
        <w:t>, sólo para el caso del sector de radiodifusión.</w:t>
      </w:r>
    </w:p>
    <w:p w14:paraId="574762C8" w14:textId="77777777" w:rsidR="00897BDF" w:rsidRDefault="00897BDF" w:rsidP="00897BDF">
      <w:pPr>
        <w:rPr>
          <w:rFonts w:cs="Arial"/>
        </w:rPr>
      </w:pPr>
    </w:p>
    <w:p w14:paraId="4F6E7B3B" w14:textId="019A90CF" w:rsidR="000421B6" w:rsidRDefault="00DE33F7" w:rsidP="00897BDF">
      <w:pPr>
        <w:rPr>
          <w:rFonts w:cs="Arial"/>
        </w:rPr>
      </w:pPr>
      <w:r>
        <w:rPr>
          <w:rFonts w:cs="Arial"/>
        </w:rPr>
        <w:t>Además, d</w:t>
      </w:r>
      <w:r w:rsidR="00897BDF" w:rsidRPr="001D254C">
        <w:rPr>
          <w:rFonts w:cs="Arial"/>
        </w:rPr>
        <w:t xml:space="preserve">e manera general, </w:t>
      </w:r>
      <w:r w:rsidR="00801D6B">
        <w:rPr>
          <w:rFonts w:cs="Arial"/>
        </w:rPr>
        <w:t xml:space="preserve">también se </w:t>
      </w:r>
      <w:r w:rsidR="00897BDF" w:rsidRPr="001D254C">
        <w:rPr>
          <w:rFonts w:cs="Arial"/>
        </w:rPr>
        <w:t>incorpora</w:t>
      </w:r>
      <w:r w:rsidR="00801D6B">
        <w:rPr>
          <w:rFonts w:cs="Arial"/>
        </w:rPr>
        <w:t>n</w:t>
      </w:r>
      <w:r w:rsidR="00897BDF" w:rsidRPr="001D254C">
        <w:rPr>
          <w:rFonts w:cs="Arial"/>
        </w:rPr>
        <w:t xml:space="preserve"> información y/o precisiones en los artículos </w:t>
      </w:r>
      <w:r w:rsidR="00597A3A">
        <w:rPr>
          <w:rFonts w:cs="Arial"/>
        </w:rPr>
        <w:t>2, 3</w:t>
      </w:r>
      <w:r w:rsidR="00897BDF">
        <w:rPr>
          <w:rFonts w:cs="Arial"/>
        </w:rPr>
        <w:t xml:space="preserve">, </w:t>
      </w:r>
      <w:r w:rsidR="00597A3A">
        <w:rPr>
          <w:rFonts w:cs="Arial"/>
        </w:rPr>
        <w:t xml:space="preserve">4, </w:t>
      </w:r>
      <w:r w:rsidR="00897BDF">
        <w:rPr>
          <w:rFonts w:cs="Arial"/>
        </w:rPr>
        <w:t>5</w:t>
      </w:r>
      <w:r w:rsidR="00897BDF" w:rsidRPr="001D254C">
        <w:rPr>
          <w:rFonts w:cs="Arial"/>
        </w:rPr>
        <w:t xml:space="preserve">, </w:t>
      </w:r>
      <w:r w:rsidR="00597A3A">
        <w:rPr>
          <w:rFonts w:cs="Arial"/>
        </w:rPr>
        <w:t xml:space="preserve">6, 7, </w:t>
      </w:r>
      <w:r w:rsidR="00897BDF" w:rsidRPr="001D254C">
        <w:rPr>
          <w:rFonts w:cs="Arial"/>
        </w:rPr>
        <w:t>8</w:t>
      </w:r>
      <w:r w:rsidR="00897BDF">
        <w:rPr>
          <w:rFonts w:cs="Arial"/>
        </w:rPr>
        <w:t xml:space="preserve"> y 10</w:t>
      </w:r>
      <w:r w:rsidR="00501EAA">
        <w:rPr>
          <w:rFonts w:cs="Arial"/>
        </w:rPr>
        <w:t xml:space="preserve">, tales como la aclaración de en qué momento </w:t>
      </w:r>
      <w:r w:rsidR="000421B6">
        <w:rPr>
          <w:rFonts w:cs="Arial"/>
        </w:rPr>
        <w:t xml:space="preserve">y circunstancias </w:t>
      </w:r>
      <w:r w:rsidR="00501EAA">
        <w:rPr>
          <w:rFonts w:cs="Arial"/>
        </w:rPr>
        <w:t>del procedimiento del análisis de una concentración se utiliza el Criterio Técnico</w:t>
      </w:r>
      <w:r w:rsidR="000421B6">
        <w:rPr>
          <w:rFonts w:cs="Arial"/>
        </w:rPr>
        <w:t xml:space="preserve">, así como clarificar por qué con la adquisición de un agente económico disruptivo podría </w:t>
      </w:r>
      <w:r w:rsidR="000421B6" w:rsidRPr="000421B6">
        <w:rPr>
          <w:rFonts w:cs="Arial"/>
        </w:rPr>
        <w:t>considerar</w:t>
      </w:r>
      <w:r w:rsidR="000421B6">
        <w:rPr>
          <w:rFonts w:cs="Arial"/>
        </w:rPr>
        <w:t>se</w:t>
      </w:r>
      <w:r w:rsidR="000421B6" w:rsidRPr="000421B6">
        <w:rPr>
          <w:rFonts w:cs="Arial"/>
        </w:rPr>
        <w:t xml:space="preserve"> que existen potenciales riesgos </w:t>
      </w:r>
      <w:r w:rsidR="000421B6">
        <w:rPr>
          <w:rFonts w:cs="Arial"/>
        </w:rPr>
        <w:t>que tengan</w:t>
      </w:r>
      <w:r w:rsidR="000421B6" w:rsidRPr="000421B6">
        <w:rPr>
          <w:rFonts w:cs="Arial"/>
        </w:rPr>
        <w:t xml:space="preserve"> por objeto o efecto obstaculizar, disminuir, dañar o impedir la competencia y la libre concurrencia</w:t>
      </w:r>
      <w:r w:rsidR="000421B6">
        <w:rPr>
          <w:rFonts w:cs="Arial"/>
        </w:rPr>
        <w:t>.</w:t>
      </w:r>
    </w:p>
    <w:p w14:paraId="383B1532" w14:textId="77777777" w:rsidR="000421B6" w:rsidRDefault="000421B6" w:rsidP="000421B6">
      <w:pPr>
        <w:rPr>
          <w:rFonts w:cs="Arial"/>
        </w:rPr>
      </w:pPr>
      <w:r>
        <w:rPr>
          <w:rFonts w:cs="Arial"/>
        </w:rPr>
        <w:t xml:space="preserve">  </w:t>
      </w:r>
    </w:p>
    <w:p w14:paraId="4DA90178" w14:textId="195BD521" w:rsidR="000421B6" w:rsidRPr="009B29CC" w:rsidRDefault="000421B6" w:rsidP="00F659D8">
      <w:pPr>
        <w:rPr>
          <w:rFonts w:cs="Arial"/>
          <w:b/>
        </w:rPr>
      </w:pPr>
      <w:r>
        <w:rPr>
          <w:rFonts w:cs="Arial"/>
          <w:b/>
        </w:rPr>
        <w:t>Tercero.- Carácter de</w:t>
      </w:r>
      <w:r w:rsidR="00A00563">
        <w:rPr>
          <w:rFonts w:cs="Arial"/>
          <w:b/>
        </w:rPr>
        <w:t xml:space="preserve"> </w:t>
      </w:r>
      <w:r>
        <w:rPr>
          <w:rFonts w:cs="Arial"/>
          <w:b/>
        </w:rPr>
        <w:t>l</w:t>
      </w:r>
      <w:r w:rsidR="00A00563">
        <w:rPr>
          <w:rFonts w:cs="Arial"/>
          <w:b/>
        </w:rPr>
        <w:t>a</w:t>
      </w:r>
      <w:r>
        <w:rPr>
          <w:rFonts w:cs="Arial"/>
          <w:b/>
        </w:rPr>
        <w:t xml:space="preserve"> </w:t>
      </w:r>
      <w:r w:rsidR="00A00563">
        <w:rPr>
          <w:rFonts w:cs="Arial"/>
          <w:b/>
        </w:rPr>
        <w:t>m</w:t>
      </w:r>
      <w:r>
        <w:rPr>
          <w:rFonts w:cs="Arial"/>
          <w:b/>
        </w:rPr>
        <w:t>odificación al</w:t>
      </w:r>
      <w:r w:rsidRPr="009B29CC">
        <w:rPr>
          <w:rFonts w:cs="Arial"/>
          <w:b/>
        </w:rPr>
        <w:t xml:space="preserve"> </w:t>
      </w:r>
      <w:r>
        <w:rPr>
          <w:rFonts w:cs="Arial"/>
          <w:b/>
        </w:rPr>
        <w:t xml:space="preserve">Criterio Técnico. </w:t>
      </w:r>
      <w:r>
        <w:rPr>
          <w:rFonts w:cs="Arial"/>
        </w:rPr>
        <w:t xml:space="preserve">Como ha sido mencionado anteriormente, </w:t>
      </w:r>
      <w:r w:rsidR="00A00563">
        <w:rPr>
          <w:rFonts w:cs="Arial"/>
        </w:rPr>
        <w:t>la</w:t>
      </w:r>
      <w:r>
        <w:rPr>
          <w:rFonts w:cs="Arial"/>
        </w:rPr>
        <w:t xml:space="preserve"> </w:t>
      </w:r>
      <w:r w:rsidR="00A00563">
        <w:rPr>
          <w:rFonts w:cs="Arial"/>
        </w:rPr>
        <w:t>m</w:t>
      </w:r>
      <w:r>
        <w:rPr>
          <w:rFonts w:cs="Arial"/>
        </w:rPr>
        <w:t xml:space="preserve">odificación al Criterio Técnico surge de una revisión de dicho instrumento. No obstante, la modificación al Criterio Técnico continuará siendo </w:t>
      </w:r>
      <w:r>
        <w:rPr>
          <w:rFonts w:eastAsia="Times New Roman" w:cs="Arial"/>
          <w:bCs/>
          <w:kern w:val="1"/>
          <w:lang w:eastAsia="ar-SA"/>
        </w:rPr>
        <w:t>un marco de referencia que podrá seguir el Instituto en los procedimientos de notificación de concentraciones</w:t>
      </w:r>
      <w:r w:rsidRPr="007572C4">
        <w:rPr>
          <w:rFonts w:eastAsia="Times New Roman" w:cs="Arial"/>
          <w:bCs/>
          <w:kern w:val="1"/>
          <w:lang w:eastAsia="ar-SA"/>
        </w:rPr>
        <w:t>, sin que se le ot</w:t>
      </w:r>
      <w:r>
        <w:rPr>
          <w:rFonts w:eastAsia="Times New Roman" w:cs="Arial"/>
          <w:bCs/>
          <w:kern w:val="1"/>
          <w:lang w:eastAsia="ar-SA"/>
        </w:rPr>
        <w:t>orgue el carácter de vinculante</w:t>
      </w:r>
      <w:r>
        <w:rPr>
          <w:rFonts w:cs="Arial"/>
        </w:rPr>
        <w:t>.</w:t>
      </w:r>
    </w:p>
    <w:p w14:paraId="166CBF22" w14:textId="39F3EF79" w:rsidR="003D0738" w:rsidRDefault="003D0738" w:rsidP="00F659D8">
      <w:pPr>
        <w:rPr>
          <w:rFonts w:cs="Arial"/>
        </w:rPr>
      </w:pPr>
    </w:p>
    <w:p w14:paraId="5E36B4B8" w14:textId="203BDBC1" w:rsidR="009D6CEA" w:rsidRDefault="00F659D8" w:rsidP="00F659D8">
      <w:pPr>
        <w:jc w:val="center"/>
        <w:rPr>
          <w:rFonts w:cs="Arial"/>
        </w:rPr>
      </w:pPr>
      <w:r>
        <w:rPr>
          <w:rFonts w:cs="Arial"/>
        </w:rPr>
        <w:t>***</w:t>
      </w:r>
    </w:p>
    <w:p w14:paraId="1564A5D8" w14:textId="77777777" w:rsidR="00F659D8" w:rsidRPr="009B3638" w:rsidRDefault="00F659D8" w:rsidP="00F659D8">
      <w:pPr>
        <w:jc w:val="center"/>
        <w:rPr>
          <w:rFonts w:cs="Arial"/>
        </w:rPr>
      </w:pPr>
    </w:p>
    <w:p w14:paraId="64ED4B99" w14:textId="697DA145" w:rsidR="003D0738" w:rsidRPr="009B3638" w:rsidRDefault="003D0738" w:rsidP="00F659D8">
      <w:pPr>
        <w:rPr>
          <w:rFonts w:cs="Arial"/>
        </w:rPr>
      </w:pPr>
      <w:r>
        <w:rPr>
          <w:rFonts w:cs="Arial"/>
        </w:rPr>
        <w:lastRenderedPageBreak/>
        <w:t>Por</w:t>
      </w:r>
      <w:r w:rsidRPr="009B3638">
        <w:rPr>
          <w:rFonts w:cs="Arial"/>
        </w:rPr>
        <w:t xml:space="preserve"> lo anterior y con fundamento en lo</w:t>
      </w:r>
      <w:r>
        <w:rPr>
          <w:rFonts w:cs="Arial"/>
        </w:rPr>
        <w:t>s artículos</w:t>
      </w:r>
      <w:r w:rsidRPr="009B3638">
        <w:rPr>
          <w:rFonts w:cs="Arial"/>
        </w:rPr>
        <w:t xml:space="preserve"> </w:t>
      </w:r>
      <w:r w:rsidRPr="00837EF6">
        <w:rPr>
          <w:rFonts w:cs="Arial"/>
        </w:rPr>
        <w:t xml:space="preserve">28, párrafos décimo </w:t>
      </w:r>
      <w:r>
        <w:rPr>
          <w:rFonts w:cs="Arial"/>
        </w:rPr>
        <w:t>quinto y</w:t>
      </w:r>
      <w:r w:rsidRPr="00837EF6">
        <w:rPr>
          <w:rFonts w:cs="Arial"/>
        </w:rPr>
        <w:t xml:space="preserve"> décimo sexto</w:t>
      </w:r>
      <w:r w:rsidR="009D6CEA">
        <w:rPr>
          <w:rFonts w:cs="Arial"/>
        </w:rPr>
        <w:t>,</w:t>
      </w:r>
      <w:r w:rsidRPr="00837EF6">
        <w:rPr>
          <w:rFonts w:cs="Arial"/>
        </w:rPr>
        <w:t xml:space="preserve"> de la Constitución Política de los Estados Unidos Mexicanos;</w:t>
      </w:r>
      <w:r w:rsidRPr="00837EF6">
        <w:rPr>
          <w:rFonts w:cs="Arial"/>
          <w:bCs/>
          <w:color w:val="000000"/>
          <w:lang w:eastAsia="es-MX"/>
        </w:rPr>
        <w:t xml:space="preserve"> 7, párrafo</w:t>
      </w:r>
      <w:r>
        <w:rPr>
          <w:rFonts w:cs="Arial"/>
          <w:bCs/>
          <w:color w:val="000000"/>
          <w:lang w:eastAsia="es-MX"/>
        </w:rPr>
        <w:t>s primero y</w:t>
      </w:r>
      <w:r w:rsidRPr="00837EF6">
        <w:rPr>
          <w:rFonts w:cs="Arial"/>
          <w:bCs/>
          <w:color w:val="000000"/>
          <w:lang w:eastAsia="es-MX"/>
        </w:rPr>
        <w:t xml:space="preserve"> tercero,</w:t>
      </w:r>
      <w:r>
        <w:rPr>
          <w:rFonts w:cs="Arial"/>
          <w:bCs/>
          <w:color w:val="000000"/>
          <w:lang w:eastAsia="es-MX"/>
        </w:rPr>
        <w:t xml:space="preserve"> y </w:t>
      </w:r>
      <w:r w:rsidRPr="005C0825">
        <w:rPr>
          <w:rFonts w:cs="Arial"/>
          <w:bCs/>
          <w:color w:val="000000"/>
          <w:lang w:eastAsia="es-MX"/>
        </w:rPr>
        <w:t>15, fracci</w:t>
      </w:r>
      <w:r>
        <w:rPr>
          <w:rFonts w:cs="Arial"/>
          <w:bCs/>
          <w:color w:val="000000"/>
          <w:lang w:eastAsia="es-MX"/>
        </w:rPr>
        <w:t>ó</w:t>
      </w:r>
      <w:r w:rsidRPr="005C0825">
        <w:rPr>
          <w:rFonts w:cs="Arial"/>
          <w:bCs/>
          <w:color w:val="000000"/>
          <w:lang w:eastAsia="es-MX"/>
        </w:rPr>
        <w:t>n XVIII</w:t>
      </w:r>
      <w:r w:rsidR="009D6CEA">
        <w:rPr>
          <w:rFonts w:cs="Arial"/>
          <w:bCs/>
          <w:color w:val="000000"/>
          <w:lang w:eastAsia="es-MX"/>
        </w:rPr>
        <w:t>,</w:t>
      </w:r>
      <w:r w:rsidRPr="00837EF6">
        <w:rPr>
          <w:rFonts w:cs="Arial"/>
          <w:bCs/>
          <w:color w:val="000000"/>
          <w:lang w:eastAsia="es-MX"/>
        </w:rPr>
        <w:t xml:space="preserve"> de la Ley Federal de Telecomunicaciones y Radiodifusión</w:t>
      </w:r>
      <w:r w:rsidRPr="00837EF6">
        <w:rPr>
          <w:rFonts w:cs="Arial"/>
        </w:rPr>
        <w:t xml:space="preserve">; 1, 2, </w:t>
      </w:r>
      <w:r w:rsidR="002D3B38">
        <w:rPr>
          <w:rFonts w:cs="Arial"/>
        </w:rPr>
        <w:t xml:space="preserve">5, párrafo primero, 12, </w:t>
      </w:r>
      <w:r w:rsidR="00CA5584">
        <w:rPr>
          <w:rFonts w:cs="Arial"/>
        </w:rPr>
        <w:t>fracción</w:t>
      </w:r>
      <w:r w:rsidRPr="00837EF6">
        <w:rPr>
          <w:rFonts w:cs="Arial"/>
        </w:rPr>
        <w:t xml:space="preserve"> XXII, párrafo </w:t>
      </w:r>
      <w:r>
        <w:rPr>
          <w:rFonts w:cs="Arial"/>
        </w:rPr>
        <w:t>tercero</w:t>
      </w:r>
      <w:r w:rsidRPr="00837EF6">
        <w:rPr>
          <w:rFonts w:cs="Arial"/>
        </w:rPr>
        <w:t xml:space="preserve">, inciso </w:t>
      </w:r>
      <w:r>
        <w:rPr>
          <w:rFonts w:cs="Arial"/>
        </w:rPr>
        <w:t>a</w:t>
      </w:r>
      <w:r w:rsidRPr="00837EF6">
        <w:rPr>
          <w:rFonts w:cs="Arial"/>
        </w:rPr>
        <w:t>), 18, párrafo séptimo, y 138</w:t>
      </w:r>
      <w:r>
        <w:rPr>
          <w:rFonts w:cs="Arial"/>
        </w:rPr>
        <w:t>,</w:t>
      </w:r>
      <w:r w:rsidRPr="00837EF6">
        <w:rPr>
          <w:rFonts w:cs="Arial"/>
        </w:rPr>
        <w:t xml:space="preserve"> de la Ley Federal de Competencia Económica</w:t>
      </w:r>
      <w:r w:rsidRPr="00837EF6">
        <w:rPr>
          <w:rFonts w:cs="Arial"/>
          <w:color w:val="000000"/>
          <w:shd w:val="clear" w:color="auto" w:fill="FFFFFF"/>
        </w:rPr>
        <w:t>; 187</w:t>
      </w:r>
      <w:r w:rsidR="009D6CEA">
        <w:rPr>
          <w:rFonts w:cs="Arial"/>
          <w:color w:val="000000"/>
          <w:shd w:val="clear" w:color="auto" w:fill="FFFFFF"/>
        </w:rPr>
        <w:t>,</w:t>
      </w:r>
      <w:r w:rsidRPr="00837EF6">
        <w:rPr>
          <w:rFonts w:cs="Arial"/>
          <w:color w:val="000000"/>
          <w:shd w:val="clear" w:color="auto" w:fill="FFFFFF"/>
        </w:rPr>
        <w:t xml:space="preserve"> de las Disposiciones Regulatorias de la Ley Federal de Competencia Económica para los sectores de telecomunicaciones y radiodifusión;</w:t>
      </w:r>
      <w:r w:rsidRPr="00837EF6">
        <w:rPr>
          <w:rFonts w:cs="Arial"/>
        </w:rPr>
        <w:t xml:space="preserve"> 1, párrafos primero y tercero, 2, fracción X, 4, fracciones I, V, inciso vi), y VI, y 6, fracción XXXVII</w:t>
      </w:r>
      <w:r>
        <w:rPr>
          <w:rFonts w:cs="Arial"/>
        </w:rPr>
        <w:t>I</w:t>
      </w:r>
      <w:r w:rsidRPr="00837EF6">
        <w:rPr>
          <w:rFonts w:cs="Arial"/>
        </w:rPr>
        <w:t>, del Estatuto Orgánico del Instituto Federal de Telecomunicaciones, el Pleno de este Instituto expide el siguiente</w:t>
      </w:r>
      <w:r w:rsidRPr="009B3638">
        <w:rPr>
          <w:rFonts w:cs="Arial"/>
        </w:rPr>
        <w:t>:</w:t>
      </w:r>
    </w:p>
    <w:p w14:paraId="5C62438E" w14:textId="3203F305" w:rsidR="00D30044" w:rsidRDefault="00D30044" w:rsidP="00AC50B3">
      <w:pPr>
        <w:rPr>
          <w:rStyle w:val="Refdecomentario"/>
          <w:rFonts w:cs="Arial"/>
          <w:b/>
          <w:sz w:val="22"/>
          <w:szCs w:val="22"/>
        </w:rPr>
      </w:pPr>
    </w:p>
    <w:p w14:paraId="37BD2134" w14:textId="77777777" w:rsidR="00716037" w:rsidRPr="00AC50B3" w:rsidRDefault="00716037" w:rsidP="00AC50B3">
      <w:pPr>
        <w:rPr>
          <w:rFonts w:cs="Arial"/>
        </w:rPr>
      </w:pPr>
    </w:p>
    <w:p w14:paraId="0F550EFF" w14:textId="71D46168" w:rsidR="00756CA7" w:rsidRPr="00A832E2" w:rsidRDefault="00756CA7" w:rsidP="00756CA7">
      <w:pPr>
        <w:ind w:right="-1"/>
        <w:jc w:val="center"/>
        <w:rPr>
          <w:rFonts w:cs="Arial"/>
          <w:b/>
          <w:sz w:val="26"/>
          <w:szCs w:val="26"/>
        </w:rPr>
      </w:pPr>
      <w:r>
        <w:rPr>
          <w:rFonts w:cs="Arial"/>
          <w:b/>
          <w:sz w:val="26"/>
          <w:szCs w:val="26"/>
        </w:rPr>
        <w:t>Acuerdo</w:t>
      </w:r>
    </w:p>
    <w:p w14:paraId="4D2D0954" w14:textId="77777777" w:rsidR="00756CA7" w:rsidRDefault="00756CA7" w:rsidP="00756CA7">
      <w:pPr>
        <w:ind w:right="-1"/>
        <w:rPr>
          <w:rFonts w:cs="Arial"/>
          <w:b/>
        </w:rPr>
      </w:pPr>
    </w:p>
    <w:p w14:paraId="53CBBA4D" w14:textId="69076D20" w:rsidR="00756CA7" w:rsidRPr="000972D9" w:rsidRDefault="00756CA7" w:rsidP="00756CA7">
      <w:pPr>
        <w:ind w:right="-1"/>
        <w:rPr>
          <w:rFonts w:cs="Arial"/>
          <w:bCs/>
        </w:rPr>
      </w:pPr>
      <w:r>
        <w:rPr>
          <w:rFonts w:cs="Arial"/>
          <w:b/>
        </w:rPr>
        <w:t xml:space="preserve">Primero.- </w:t>
      </w:r>
      <w:r>
        <w:rPr>
          <w:rFonts w:cs="Arial"/>
          <w:bCs/>
        </w:rPr>
        <w:t xml:space="preserve">Se </w:t>
      </w:r>
      <w:r w:rsidRPr="000E5256">
        <w:rPr>
          <w:rFonts w:cs="Arial"/>
          <w:b/>
        </w:rPr>
        <w:t>MODIFICAN</w:t>
      </w:r>
      <w:r>
        <w:rPr>
          <w:rFonts w:cs="Arial"/>
          <w:bCs/>
        </w:rPr>
        <w:t xml:space="preserve"> los artículos</w:t>
      </w:r>
      <w:bookmarkStart w:id="4" w:name="_Hlk95246293"/>
      <w:r>
        <w:rPr>
          <w:rFonts w:cs="Arial"/>
          <w:bCs/>
        </w:rPr>
        <w:t xml:space="preserve"> 3, 4</w:t>
      </w:r>
      <w:r w:rsidR="00400DF8">
        <w:rPr>
          <w:rFonts w:cs="Arial"/>
          <w:bCs/>
        </w:rPr>
        <w:t xml:space="preserve">, inciso </w:t>
      </w:r>
      <w:proofErr w:type="spellStart"/>
      <w:r w:rsidR="00400DF8">
        <w:rPr>
          <w:rFonts w:cs="Arial"/>
          <w:bCs/>
        </w:rPr>
        <w:t>iii</w:t>
      </w:r>
      <w:proofErr w:type="spellEnd"/>
      <w:r w:rsidR="00400DF8">
        <w:rPr>
          <w:rFonts w:cs="Arial"/>
          <w:bCs/>
        </w:rPr>
        <w:t>)</w:t>
      </w:r>
      <w:r>
        <w:rPr>
          <w:rFonts w:cs="Arial"/>
          <w:bCs/>
        </w:rPr>
        <w:t>, 5</w:t>
      </w:r>
      <w:r w:rsidR="00D5744A">
        <w:rPr>
          <w:rFonts w:cs="Arial"/>
          <w:bCs/>
        </w:rPr>
        <w:t>, párrafos primero, tercero y cuarto</w:t>
      </w:r>
      <w:r>
        <w:rPr>
          <w:rFonts w:cs="Arial"/>
          <w:bCs/>
        </w:rPr>
        <w:t>, 6, 7</w:t>
      </w:r>
      <w:r w:rsidR="00400DF8">
        <w:rPr>
          <w:rFonts w:cs="Arial"/>
          <w:bCs/>
        </w:rPr>
        <w:t xml:space="preserve"> incisos b) y c)</w:t>
      </w:r>
      <w:r>
        <w:rPr>
          <w:rFonts w:cs="Arial"/>
          <w:bCs/>
        </w:rPr>
        <w:t>, 8</w:t>
      </w:r>
      <w:r w:rsidR="00400DF8">
        <w:rPr>
          <w:rFonts w:cs="Arial"/>
          <w:bCs/>
        </w:rPr>
        <w:t>, párrafo primero</w:t>
      </w:r>
      <w:r w:rsidR="00AE5AAA">
        <w:rPr>
          <w:rFonts w:cs="Arial"/>
          <w:bCs/>
        </w:rPr>
        <w:t>,</w:t>
      </w:r>
      <w:r>
        <w:rPr>
          <w:rFonts w:cs="Arial"/>
          <w:bCs/>
        </w:rPr>
        <w:t xml:space="preserve"> y 10</w:t>
      </w:r>
      <w:r w:rsidR="00AE5AAA">
        <w:rPr>
          <w:rFonts w:cs="Arial"/>
          <w:bCs/>
        </w:rPr>
        <w:t>,</w:t>
      </w:r>
      <w:r>
        <w:rPr>
          <w:rFonts w:cs="Arial"/>
          <w:bCs/>
        </w:rPr>
        <w:t xml:space="preserve"> </w:t>
      </w:r>
      <w:bookmarkEnd w:id="4"/>
      <w:r w:rsidR="00400DF8">
        <w:rPr>
          <w:rFonts w:cs="Arial"/>
          <w:bCs/>
        </w:rPr>
        <w:t xml:space="preserve">y se </w:t>
      </w:r>
      <w:r w:rsidR="00400DF8" w:rsidRPr="00400DF8">
        <w:rPr>
          <w:rFonts w:cs="Arial"/>
          <w:b/>
        </w:rPr>
        <w:t>ADICIONA</w:t>
      </w:r>
      <w:r w:rsidR="00400DF8">
        <w:rPr>
          <w:rFonts w:cs="Arial"/>
          <w:bCs/>
        </w:rPr>
        <w:t xml:space="preserve"> un segundo párrafo al artículo 2, </w:t>
      </w:r>
      <w:r>
        <w:rPr>
          <w:rFonts w:cs="Arial"/>
          <w:bCs/>
        </w:rPr>
        <w:t xml:space="preserve">del </w:t>
      </w:r>
      <w:r w:rsidRPr="000E5256">
        <w:rPr>
          <w:rFonts w:cs="Arial"/>
          <w:bCs/>
        </w:rPr>
        <w:t xml:space="preserve">Criterio Técnico para el Cálculo y </w:t>
      </w:r>
      <w:r>
        <w:rPr>
          <w:rFonts w:cs="Arial"/>
          <w:bCs/>
        </w:rPr>
        <w:t>a</w:t>
      </w:r>
      <w:r w:rsidRPr="000E5256">
        <w:rPr>
          <w:rFonts w:cs="Arial"/>
          <w:bCs/>
        </w:rPr>
        <w:t xml:space="preserve">plicación de un </w:t>
      </w:r>
      <w:r>
        <w:rPr>
          <w:rFonts w:cs="Arial"/>
          <w:bCs/>
        </w:rPr>
        <w:t>í</w:t>
      </w:r>
      <w:r w:rsidRPr="000E5256">
        <w:rPr>
          <w:rFonts w:cs="Arial"/>
          <w:bCs/>
        </w:rPr>
        <w:t xml:space="preserve">ndice </w:t>
      </w:r>
      <w:r>
        <w:rPr>
          <w:rFonts w:cs="Arial"/>
          <w:bCs/>
        </w:rPr>
        <w:t>c</w:t>
      </w:r>
      <w:r w:rsidRPr="000E5256">
        <w:rPr>
          <w:rFonts w:cs="Arial"/>
          <w:bCs/>
        </w:rPr>
        <w:t xml:space="preserve">uantitativo a fin de </w:t>
      </w:r>
      <w:r>
        <w:rPr>
          <w:rFonts w:cs="Arial"/>
          <w:bCs/>
        </w:rPr>
        <w:t>d</w:t>
      </w:r>
      <w:r w:rsidRPr="000E5256">
        <w:rPr>
          <w:rFonts w:cs="Arial"/>
          <w:bCs/>
        </w:rPr>
        <w:t xml:space="preserve">eterminar el </w:t>
      </w:r>
      <w:r>
        <w:rPr>
          <w:rFonts w:cs="Arial"/>
          <w:bCs/>
        </w:rPr>
        <w:t>g</w:t>
      </w:r>
      <w:r w:rsidRPr="000E5256">
        <w:rPr>
          <w:rFonts w:cs="Arial"/>
          <w:bCs/>
        </w:rPr>
        <w:t xml:space="preserve">rado de </w:t>
      </w:r>
      <w:r>
        <w:rPr>
          <w:rFonts w:cs="Arial"/>
          <w:bCs/>
        </w:rPr>
        <w:t>c</w:t>
      </w:r>
      <w:r w:rsidRPr="000E5256">
        <w:rPr>
          <w:rFonts w:cs="Arial"/>
          <w:bCs/>
        </w:rPr>
        <w:t xml:space="preserve">oncentración en los </w:t>
      </w:r>
      <w:r>
        <w:rPr>
          <w:rFonts w:cs="Arial"/>
          <w:bCs/>
        </w:rPr>
        <w:t>m</w:t>
      </w:r>
      <w:r w:rsidRPr="000E5256">
        <w:rPr>
          <w:rFonts w:cs="Arial"/>
          <w:bCs/>
        </w:rPr>
        <w:t xml:space="preserve">ercados y </w:t>
      </w:r>
      <w:r>
        <w:rPr>
          <w:rFonts w:cs="Arial"/>
          <w:bCs/>
        </w:rPr>
        <w:t>s</w:t>
      </w:r>
      <w:r w:rsidRPr="000E5256">
        <w:rPr>
          <w:rFonts w:cs="Arial"/>
          <w:bCs/>
        </w:rPr>
        <w:t xml:space="preserve">ervicios </w:t>
      </w:r>
      <w:r>
        <w:rPr>
          <w:rFonts w:cs="Arial"/>
          <w:bCs/>
        </w:rPr>
        <w:t>c</w:t>
      </w:r>
      <w:r w:rsidRPr="000E5256">
        <w:rPr>
          <w:rFonts w:cs="Arial"/>
          <w:bCs/>
        </w:rPr>
        <w:t xml:space="preserve">orrespondientes a los </w:t>
      </w:r>
      <w:r>
        <w:rPr>
          <w:rFonts w:cs="Arial"/>
          <w:bCs/>
        </w:rPr>
        <w:t>s</w:t>
      </w:r>
      <w:r w:rsidRPr="000E5256">
        <w:rPr>
          <w:rFonts w:cs="Arial"/>
          <w:bCs/>
        </w:rPr>
        <w:t xml:space="preserve">ectores de </w:t>
      </w:r>
      <w:r>
        <w:rPr>
          <w:rFonts w:cs="Arial"/>
          <w:bCs/>
        </w:rPr>
        <w:t>t</w:t>
      </w:r>
      <w:r w:rsidRPr="000E5256">
        <w:rPr>
          <w:rFonts w:cs="Arial"/>
          <w:bCs/>
        </w:rPr>
        <w:t xml:space="preserve">elecomunicaciones y </w:t>
      </w:r>
      <w:r>
        <w:rPr>
          <w:rFonts w:cs="Arial"/>
          <w:bCs/>
        </w:rPr>
        <w:t>r</w:t>
      </w:r>
      <w:r w:rsidRPr="000E5256">
        <w:rPr>
          <w:rFonts w:cs="Arial"/>
          <w:bCs/>
        </w:rPr>
        <w:t>adiodifusión</w:t>
      </w:r>
      <w:r>
        <w:rPr>
          <w:rFonts w:cs="Arial"/>
          <w:bCs/>
        </w:rPr>
        <w:t xml:space="preserve">, para quedar como sigue: </w:t>
      </w:r>
    </w:p>
    <w:p w14:paraId="49B6ED32" w14:textId="77777777" w:rsidR="00756CA7" w:rsidRPr="00A832E2" w:rsidRDefault="00756CA7" w:rsidP="00756CA7">
      <w:pPr>
        <w:ind w:right="-1"/>
        <w:rPr>
          <w:rFonts w:cs="Arial"/>
          <w:b/>
        </w:rPr>
      </w:pPr>
    </w:p>
    <w:p w14:paraId="09B66D1C" w14:textId="77777777" w:rsidR="00756CA7" w:rsidRDefault="00756CA7" w:rsidP="00756CA7">
      <w:pPr>
        <w:pStyle w:val="Prrafodelista"/>
        <w:numPr>
          <w:ilvl w:val="0"/>
          <w:numId w:val="29"/>
        </w:numPr>
        <w:ind w:left="0" w:firstLine="284"/>
        <w:rPr>
          <w:rFonts w:ascii="Arial" w:hAnsi="Arial" w:cs="Arial"/>
        </w:rPr>
      </w:pPr>
      <w:r>
        <w:rPr>
          <w:rFonts w:ascii="Arial" w:hAnsi="Arial" w:cs="Arial"/>
        </w:rPr>
        <w:t>…</w:t>
      </w:r>
    </w:p>
    <w:p w14:paraId="36848BC3" w14:textId="77777777" w:rsidR="00756CA7" w:rsidRPr="00FF2C52" w:rsidRDefault="00756CA7" w:rsidP="00756CA7">
      <w:pPr>
        <w:pStyle w:val="Prrafodelista"/>
        <w:rPr>
          <w:rFonts w:ascii="Arial" w:hAnsi="Arial" w:cs="Arial"/>
        </w:rPr>
      </w:pPr>
    </w:p>
    <w:p w14:paraId="15F28159" w14:textId="77777777" w:rsidR="00756CA7" w:rsidRPr="00D5744A" w:rsidRDefault="00756CA7" w:rsidP="00756CA7">
      <w:pPr>
        <w:ind w:firstLine="284"/>
        <w:rPr>
          <w:rFonts w:cs="Arial"/>
        </w:rPr>
      </w:pPr>
      <w:r w:rsidRPr="00D5744A">
        <w:rPr>
          <w:rFonts w:cs="Arial"/>
        </w:rPr>
        <w:t>El Instituto utilizará, como referencia, el presente Criterio Técnico en las primeras fases del procedimiento con el objeto de identificar aquellos mercados en los que una concentración tendría bajas probabilidades de afectar la competencia y, en ese caso, descartar proceder a un análisis exhaustivo. Por otra parte, en concentraciones que podrían representar un riesgo a la competencia, el Instituto realizará el análisis de diversos elementos, conforme a lo establecido en la Ley Federal de Competencia Económica, uno de los cuales es la identificación del grado de concentración, para lo cual se considerará el presente Criterio Técnico.</w:t>
      </w:r>
    </w:p>
    <w:p w14:paraId="1358EE14" w14:textId="77777777" w:rsidR="00756CA7" w:rsidRPr="00A832E2" w:rsidRDefault="00756CA7" w:rsidP="00756CA7">
      <w:pPr>
        <w:pStyle w:val="Default"/>
        <w:spacing w:line="276" w:lineRule="auto"/>
        <w:ind w:right="-1"/>
        <w:jc w:val="both"/>
        <w:rPr>
          <w:rFonts w:ascii="Arial" w:hAnsi="Arial" w:cs="Arial"/>
          <w:color w:val="auto"/>
          <w:sz w:val="22"/>
          <w:szCs w:val="22"/>
        </w:rPr>
      </w:pPr>
    </w:p>
    <w:p w14:paraId="55B23853" w14:textId="77777777" w:rsidR="00756CA7" w:rsidRPr="00D5744A" w:rsidRDefault="00756CA7" w:rsidP="00756CA7">
      <w:pPr>
        <w:pStyle w:val="Prrafodelista"/>
        <w:numPr>
          <w:ilvl w:val="0"/>
          <w:numId w:val="29"/>
        </w:numPr>
        <w:ind w:left="0" w:firstLine="284"/>
        <w:rPr>
          <w:rFonts w:ascii="Arial" w:hAnsi="Arial" w:cs="Arial"/>
        </w:rPr>
      </w:pPr>
      <w:r w:rsidRPr="00F637A0">
        <w:rPr>
          <w:rFonts w:ascii="Arial" w:hAnsi="Arial" w:cs="Arial"/>
        </w:rPr>
        <w:t xml:space="preserve">El Instituto utilizará el índice de concentración conocido en la literatura especializada como índice de </w:t>
      </w:r>
      <w:proofErr w:type="spellStart"/>
      <w:r w:rsidRPr="00F637A0">
        <w:rPr>
          <w:rFonts w:ascii="Arial" w:hAnsi="Arial" w:cs="Arial"/>
        </w:rPr>
        <w:t>Herfindahl-Hirschman</w:t>
      </w:r>
      <w:proofErr w:type="spellEnd"/>
      <w:r w:rsidRPr="00F637A0">
        <w:rPr>
          <w:rFonts w:ascii="Arial" w:hAnsi="Arial" w:cs="Arial"/>
        </w:rPr>
        <w:t xml:space="preserve"> (IHH), el cual se calcula a partir de las </w:t>
      </w:r>
      <w:r w:rsidRPr="00D5744A">
        <w:rPr>
          <w:rFonts w:ascii="Arial" w:hAnsi="Arial" w:cs="Arial"/>
        </w:rPr>
        <w:t>participaciones de los agentes económicos en los mercados relevantes y/o relacionados analizados.</w:t>
      </w:r>
    </w:p>
    <w:p w14:paraId="3127B7CC" w14:textId="77777777" w:rsidR="00756CA7" w:rsidRPr="00D5744A" w:rsidRDefault="00756CA7" w:rsidP="00756CA7">
      <w:pPr>
        <w:pStyle w:val="Prrafodelista"/>
        <w:rPr>
          <w:rFonts w:ascii="Arial" w:hAnsi="Arial" w:cs="Arial"/>
          <w:b/>
        </w:rPr>
      </w:pPr>
    </w:p>
    <w:p w14:paraId="5BC2D94F" w14:textId="77777777" w:rsidR="00756CA7" w:rsidRPr="00D5744A" w:rsidRDefault="00756CA7" w:rsidP="00756CA7">
      <w:pPr>
        <w:pStyle w:val="Prrafodelista"/>
        <w:ind w:left="0" w:firstLine="284"/>
        <w:rPr>
          <w:rFonts w:ascii="Arial" w:hAnsi="Arial" w:cs="Arial"/>
        </w:rPr>
      </w:pPr>
      <w:r w:rsidRPr="00D5744A">
        <w:rPr>
          <w:rFonts w:ascii="Arial" w:hAnsi="Arial" w:cs="Arial"/>
        </w:rPr>
        <w:t>Las participaciones en los mercados relevantes y relacionados analizados se calcularán a partir de variables que el Instituto considere pertinentes para el caso particular de estudio, que incluyen sin limitar: el número de usuarios, suscripciones, audiencia, tráfico en las redes, número de frecuencias o estaciones, capacidad instalada, valor o volumen de las ventas.</w:t>
      </w:r>
    </w:p>
    <w:p w14:paraId="5D17A17C" w14:textId="77777777" w:rsidR="00756CA7" w:rsidRPr="00D5744A" w:rsidRDefault="00756CA7" w:rsidP="00756CA7">
      <w:pPr>
        <w:ind w:right="-1"/>
        <w:rPr>
          <w:rFonts w:eastAsia="Times New Roman" w:cs="Arial"/>
          <w:lang w:eastAsia="es-MX"/>
        </w:rPr>
      </w:pPr>
    </w:p>
    <w:p w14:paraId="6E9B0090" w14:textId="77777777" w:rsidR="00756CA7" w:rsidRPr="00F637A0" w:rsidRDefault="00756CA7" w:rsidP="00756CA7">
      <w:pPr>
        <w:ind w:right="-1"/>
        <w:rPr>
          <w:rFonts w:eastAsia="Times New Roman" w:cs="Arial"/>
          <w:lang w:eastAsia="es-MX"/>
        </w:rPr>
      </w:pPr>
      <w:r w:rsidRPr="00D5744A">
        <w:rPr>
          <w:rFonts w:eastAsia="Times New Roman" w:cs="Arial"/>
          <w:lang w:eastAsia="es-MX"/>
        </w:rPr>
        <w:t xml:space="preserve">Por ejemplo, si se considera la variable de valor de las ventas y se define a </w:t>
      </w:r>
      <m:oMath>
        <m:sSub>
          <m:sSubPr>
            <m:ctrlPr>
              <w:rPr>
                <w:rFonts w:ascii="Cambria Math" w:eastAsia="Times New Roman" w:hAnsi="Cambria Math" w:cs="Arial"/>
                <w:i/>
                <w:lang w:eastAsia="es-MX"/>
              </w:rPr>
            </m:ctrlPr>
          </m:sSubPr>
          <m:e>
            <m:r>
              <w:rPr>
                <w:rFonts w:ascii="Cambria Math" w:eastAsia="Times New Roman" w:hAnsi="Cambria Math" w:cs="Arial"/>
                <w:lang w:eastAsia="es-MX"/>
              </w:rPr>
              <m:t>V</m:t>
            </m:r>
          </m:e>
          <m:sub>
            <m:r>
              <w:rPr>
                <w:rFonts w:ascii="Cambria Math" w:eastAsia="Times New Roman" w:hAnsi="Cambria Math" w:cs="Arial"/>
                <w:lang w:eastAsia="es-MX"/>
              </w:rPr>
              <m:t>i</m:t>
            </m:r>
          </m:sub>
        </m:sSub>
      </m:oMath>
      <w:r w:rsidRPr="00D5744A">
        <w:rPr>
          <w:rFonts w:eastAsia="Times New Roman" w:cs="Arial"/>
          <w:i/>
          <w:lang w:eastAsia="es-MX"/>
        </w:rPr>
        <w:t xml:space="preserve"> </w:t>
      </w:r>
      <w:r w:rsidRPr="00D5744A">
        <w:rPr>
          <w:rFonts w:eastAsia="Times New Roman" w:cs="Arial"/>
          <w:lang w:eastAsia="es-MX"/>
        </w:rPr>
        <w:t xml:space="preserve">como el valor de ventas del </w:t>
      </w:r>
      <m:oMath>
        <m:r>
          <w:rPr>
            <w:rFonts w:ascii="Cambria Math" w:eastAsia="Times New Roman" w:hAnsi="Cambria Math" w:cs="Arial"/>
            <w:lang w:eastAsia="es-MX"/>
          </w:rPr>
          <m:t>i</m:t>
        </m:r>
      </m:oMath>
      <w:r w:rsidRPr="00D5744A">
        <w:rPr>
          <w:rFonts w:eastAsia="Times New Roman" w:cs="Arial"/>
          <w:lang w:eastAsia="es-MX"/>
        </w:rPr>
        <w:t xml:space="preserve">-ésimo agente económico, y a </w:t>
      </w:r>
      <m:oMath>
        <m:r>
          <w:rPr>
            <w:rFonts w:ascii="Cambria Math" w:eastAsia="Times New Roman" w:hAnsi="Cambria Math" w:cs="Arial"/>
            <w:lang w:eastAsia="es-MX"/>
          </w:rPr>
          <m:t>V</m:t>
        </m:r>
      </m:oMath>
      <w:r w:rsidRPr="00D5744A">
        <w:rPr>
          <w:rFonts w:eastAsia="Times New Roman" w:cs="Arial"/>
          <w:lang w:eastAsia="es-MX"/>
        </w:rPr>
        <w:t xml:space="preserve"> como el valor de ventas total de todos los agentes económicos, donde </w:t>
      </w:r>
      <m:oMath>
        <m:r>
          <w:rPr>
            <w:rFonts w:ascii="Cambria Math" w:eastAsia="Times New Roman" w:hAnsi="Cambria Math" w:cs="Arial"/>
            <w:lang w:eastAsia="es-MX"/>
          </w:rPr>
          <m:t>V=</m:t>
        </m:r>
        <m:nary>
          <m:naryPr>
            <m:chr m:val="∑"/>
            <m:limLoc m:val="subSup"/>
            <m:ctrlPr>
              <w:rPr>
                <w:rFonts w:ascii="Cambria Math" w:eastAsia="Times New Roman" w:hAnsi="Cambria Math" w:cs="Arial"/>
                <w:i/>
                <w:lang w:eastAsia="es-MX"/>
              </w:rPr>
            </m:ctrlPr>
          </m:naryPr>
          <m:sub>
            <m:r>
              <w:rPr>
                <w:rFonts w:ascii="Cambria Math" w:eastAsia="Times New Roman" w:hAnsi="Cambria Math" w:cs="Arial"/>
                <w:lang w:eastAsia="es-MX"/>
              </w:rPr>
              <m:t>i=1</m:t>
            </m:r>
          </m:sub>
          <m:sup>
            <m:r>
              <w:rPr>
                <w:rFonts w:ascii="Cambria Math" w:eastAsia="Times New Roman" w:hAnsi="Cambria Math" w:cs="Arial"/>
                <w:lang w:eastAsia="es-MX"/>
              </w:rPr>
              <m:t>N</m:t>
            </m:r>
          </m:sup>
          <m:e>
            <m:sSub>
              <m:sSubPr>
                <m:ctrlPr>
                  <w:rPr>
                    <w:rFonts w:ascii="Cambria Math" w:eastAsia="Times New Roman" w:hAnsi="Cambria Math" w:cs="Arial"/>
                    <w:i/>
                    <w:lang w:eastAsia="es-MX"/>
                  </w:rPr>
                </m:ctrlPr>
              </m:sSubPr>
              <m:e>
                <m:r>
                  <w:rPr>
                    <w:rFonts w:ascii="Cambria Math" w:eastAsia="Times New Roman" w:hAnsi="Cambria Math" w:cs="Arial"/>
                    <w:lang w:eastAsia="es-MX"/>
                  </w:rPr>
                  <m:t>V</m:t>
                </m:r>
              </m:e>
              <m:sub>
                <m:r>
                  <w:rPr>
                    <w:rFonts w:ascii="Cambria Math" w:eastAsia="Times New Roman" w:hAnsi="Cambria Math" w:cs="Arial"/>
                    <w:lang w:eastAsia="es-MX"/>
                  </w:rPr>
                  <m:t>i</m:t>
                </m:r>
              </m:sub>
            </m:sSub>
          </m:e>
        </m:nary>
      </m:oMath>
      <w:r w:rsidRPr="00D5744A">
        <w:rPr>
          <w:rFonts w:eastAsia="Times New Roman" w:cs="Arial"/>
          <w:lang w:eastAsia="es-MX"/>
        </w:rPr>
        <w:t xml:space="preserve"> y </w:t>
      </w:r>
      <m:oMath>
        <m:r>
          <w:rPr>
            <w:rFonts w:ascii="Cambria Math" w:eastAsia="Times New Roman" w:hAnsi="Cambria Math" w:cs="Arial"/>
            <w:lang w:eastAsia="es-MX"/>
          </w:rPr>
          <m:t>N</m:t>
        </m:r>
      </m:oMath>
      <w:r w:rsidRPr="00D5744A">
        <w:rPr>
          <w:rFonts w:eastAsia="Times New Roman" w:cs="Arial"/>
          <w:lang w:eastAsia="es-MX"/>
        </w:rPr>
        <w:t xml:space="preserve"> es el número total de agentes económicos en el mercado</w:t>
      </w:r>
      <w:r w:rsidRPr="00D5744A">
        <w:rPr>
          <w:rFonts w:eastAsia="Times New Roman" w:cs="Arial"/>
          <w:i/>
          <w:lang w:eastAsia="es-MX"/>
        </w:rPr>
        <w:t>,</w:t>
      </w:r>
      <w:r w:rsidRPr="00D5744A">
        <w:rPr>
          <w:rFonts w:eastAsia="Times New Roman" w:cs="Arial"/>
          <w:lang w:eastAsia="es-MX"/>
        </w:rPr>
        <w:t xml:space="preserve"> </w:t>
      </w:r>
      <w:r w:rsidRPr="00D5744A">
        <w:rPr>
          <w:rFonts w:eastAsia="Times New Roman" w:cs="Arial"/>
          <w:lang w:eastAsia="es-MX"/>
        </w:rPr>
        <w:lastRenderedPageBreak/>
        <w:t xml:space="preserve">entonces, la </w:t>
      </w:r>
      <w:r w:rsidRPr="00D5744A">
        <w:rPr>
          <w:rFonts w:eastAsia="Times New Roman" w:cs="Arial"/>
          <w:b/>
          <w:lang w:eastAsia="es-MX"/>
        </w:rPr>
        <w:t xml:space="preserve">participación </w:t>
      </w:r>
      <w:r w:rsidRPr="00D5744A">
        <w:rPr>
          <w:rFonts w:eastAsia="Times New Roman" w:cs="Arial"/>
          <w:lang w:eastAsia="es-MX"/>
        </w:rPr>
        <w:t xml:space="preserve">del </w:t>
      </w:r>
      <m:oMath>
        <m:r>
          <w:rPr>
            <w:rFonts w:ascii="Cambria Math" w:eastAsia="Times New Roman" w:hAnsi="Cambria Math" w:cs="Arial"/>
            <w:lang w:eastAsia="es-MX"/>
          </w:rPr>
          <m:t>i</m:t>
        </m:r>
      </m:oMath>
      <w:r w:rsidRPr="00D5744A">
        <w:rPr>
          <w:rFonts w:eastAsia="Times New Roman" w:cs="Arial"/>
          <w:lang w:eastAsia="es-MX"/>
        </w:rPr>
        <w:t>-ésimo agente económico, que se identificará como</w:t>
      </w:r>
      <w:r w:rsidRPr="00F637A0">
        <w:rPr>
          <w:rFonts w:eastAsia="Times New Roman" w:cs="Arial"/>
          <w:lang w:eastAsia="es-MX"/>
        </w:rPr>
        <w:t xml:space="preserve"> </w:t>
      </w:r>
      <m:oMath>
        <m:sSub>
          <m:sSubPr>
            <m:ctrlPr>
              <w:rPr>
                <w:rFonts w:ascii="Cambria Math" w:eastAsia="Times New Roman" w:hAnsi="Cambria Math" w:cs="Arial"/>
                <w:i/>
                <w:lang w:eastAsia="es-MX"/>
              </w:rPr>
            </m:ctrlPr>
          </m:sSubPr>
          <m:e>
            <m:r>
              <w:rPr>
                <w:rFonts w:ascii="Cambria Math" w:eastAsia="Times New Roman" w:hAnsi="Cambria Math" w:cs="Arial"/>
                <w:lang w:eastAsia="es-MX"/>
              </w:rPr>
              <m:t>α</m:t>
            </m:r>
          </m:e>
          <m:sub>
            <m:r>
              <w:rPr>
                <w:rFonts w:ascii="Cambria Math" w:eastAsia="Times New Roman" w:hAnsi="Cambria Math" w:cs="Arial"/>
                <w:lang w:eastAsia="es-MX"/>
              </w:rPr>
              <m:t>i</m:t>
            </m:r>
          </m:sub>
        </m:sSub>
      </m:oMath>
      <w:r w:rsidRPr="00F637A0">
        <w:rPr>
          <w:rFonts w:eastAsia="Times New Roman" w:cs="Arial"/>
          <w:lang w:eastAsia="es-MX"/>
        </w:rPr>
        <w:t>, se define como:</w:t>
      </w:r>
    </w:p>
    <w:p w14:paraId="4B719171" w14:textId="77777777" w:rsidR="00756CA7" w:rsidRDefault="00756CA7" w:rsidP="00756CA7">
      <w:pPr>
        <w:ind w:right="-1"/>
        <w:rPr>
          <w:rFonts w:eastAsia="Times New Roman" w:cs="Arial"/>
          <w:color w:val="000000"/>
          <w:lang w:eastAsia="es-MX"/>
        </w:rPr>
      </w:pPr>
    </w:p>
    <w:p w14:paraId="5EE58313" w14:textId="77777777" w:rsidR="00756CA7" w:rsidRPr="00F045B7" w:rsidRDefault="006025E0" w:rsidP="00756CA7">
      <w:pPr>
        <w:ind w:right="-1"/>
        <w:rPr>
          <w:rFonts w:eastAsia="Times New Roman" w:cs="Arial"/>
          <w:color w:val="000000"/>
          <w:lang w:eastAsia="es-MX"/>
        </w:rPr>
      </w:pPr>
      <m:oMathPara>
        <m:oMath>
          <m:sSub>
            <m:sSubPr>
              <m:ctrlPr>
                <w:rPr>
                  <w:rFonts w:ascii="Cambria Math" w:eastAsia="Times New Roman" w:hAnsi="Cambria Math" w:cs="Arial"/>
                  <w:color w:val="000000"/>
                  <w:lang w:eastAsia="es-MX"/>
                </w:rPr>
              </m:ctrlPr>
            </m:sSubPr>
            <m:e>
              <m:r>
                <w:rPr>
                  <w:rFonts w:ascii="Cambria Math" w:eastAsia="Times New Roman" w:hAnsi="Cambria Math" w:cs="Arial"/>
                  <w:color w:val="000000"/>
                  <w:lang w:eastAsia="es-MX"/>
                </w:rPr>
                <m:t>α</m:t>
              </m:r>
            </m:e>
            <m:sub>
              <m:r>
                <w:rPr>
                  <w:rFonts w:ascii="Cambria Math" w:eastAsia="Times New Roman" w:hAnsi="Cambria Math" w:cs="Arial"/>
                  <w:color w:val="000000"/>
                  <w:lang w:eastAsia="es-MX"/>
                </w:rPr>
                <m:t>i</m:t>
              </m:r>
            </m:sub>
          </m:sSub>
          <m:r>
            <m:rPr>
              <m:sty m:val="p"/>
            </m:rPr>
            <w:rPr>
              <w:rFonts w:ascii="Cambria Math" w:eastAsia="Times New Roman" w:hAnsi="Cambria Math" w:cs="Arial"/>
              <w:color w:val="000000"/>
              <w:lang w:eastAsia="es-MX"/>
            </w:rPr>
            <m:t>=</m:t>
          </m:r>
          <m:d>
            <m:dPr>
              <m:ctrlPr>
                <w:rPr>
                  <w:rFonts w:ascii="Cambria Math" w:eastAsia="Times New Roman" w:hAnsi="Cambria Math" w:cs="Arial"/>
                  <w:color w:val="000000"/>
                  <w:lang w:eastAsia="es-MX"/>
                </w:rPr>
              </m:ctrlPr>
            </m:dPr>
            <m:e>
              <m:f>
                <m:fPr>
                  <m:ctrlPr>
                    <w:rPr>
                      <w:rFonts w:ascii="Cambria Math" w:eastAsia="Times New Roman" w:hAnsi="Cambria Math" w:cs="Arial"/>
                      <w:color w:val="000000"/>
                      <w:lang w:eastAsia="es-MX"/>
                    </w:rPr>
                  </m:ctrlPr>
                </m:fPr>
                <m:num>
                  <m:sSub>
                    <m:sSubPr>
                      <m:ctrlPr>
                        <w:rPr>
                          <w:rFonts w:ascii="Cambria Math" w:eastAsia="Times New Roman" w:hAnsi="Cambria Math" w:cs="Arial"/>
                          <w:color w:val="000000"/>
                          <w:lang w:eastAsia="es-MX"/>
                        </w:rPr>
                      </m:ctrlPr>
                    </m:sSubPr>
                    <m:e>
                      <m:r>
                        <w:rPr>
                          <w:rFonts w:ascii="Cambria Math" w:eastAsia="Times New Roman" w:hAnsi="Cambria Math" w:cs="Arial"/>
                          <w:color w:val="000000"/>
                          <w:lang w:eastAsia="es-MX"/>
                        </w:rPr>
                        <m:t>V</m:t>
                      </m:r>
                    </m:e>
                    <m:sub>
                      <m:r>
                        <w:rPr>
                          <w:rFonts w:ascii="Cambria Math" w:eastAsia="Times New Roman" w:hAnsi="Cambria Math" w:cs="Arial"/>
                          <w:color w:val="000000"/>
                          <w:lang w:eastAsia="es-MX"/>
                        </w:rPr>
                        <m:t>i</m:t>
                      </m:r>
                    </m:sub>
                  </m:sSub>
                </m:num>
                <m:den>
                  <m:r>
                    <w:rPr>
                      <w:rFonts w:ascii="Cambria Math" w:eastAsia="Times New Roman" w:hAnsi="Cambria Math" w:cs="Arial"/>
                      <w:color w:val="000000"/>
                      <w:lang w:eastAsia="es-MX"/>
                    </w:rPr>
                    <m:t>V</m:t>
                  </m:r>
                </m:den>
              </m:f>
            </m:e>
          </m:d>
          <m:r>
            <m:rPr>
              <m:sty m:val="p"/>
            </m:rPr>
            <w:rPr>
              <w:rFonts w:ascii="Cambria Math" w:eastAsia="Times New Roman" w:hAnsi="Cambria Math" w:cs="Arial"/>
              <w:color w:val="000000"/>
              <w:lang w:eastAsia="es-MX"/>
            </w:rPr>
            <m:t xml:space="preserve"> </m:t>
          </m:r>
          <m:r>
            <w:rPr>
              <w:rFonts w:ascii="Cambria Math" w:eastAsia="Times New Roman" w:hAnsi="Cambria Math" w:cs="Arial"/>
              <w:color w:val="000000"/>
              <w:lang w:eastAsia="es-MX"/>
            </w:rPr>
            <m:t>X</m:t>
          </m:r>
          <m:r>
            <m:rPr>
              <m:sty m:val="p"/>
            </m:rPr>
            <w:rPr>
              <w:rFonts w:ascii="Cambria Math" w:eastAsia="Times New Roman" w:hAnsi="Cambria Math" w:cs="Arial"/>
              <w:color w:val="000000"/>
              <w:lang w:eastAsia="es-MX"/>
            </w:rPr>
            <m:t xml:space="preserve"> 100</m:t>
          </m:r>
        </m:oMath>
      </m:oMathPara>
    </w:p>
    <w:p w14:paraId="25E266BE" w14:textId="77777777" w:rsidR="00756CA7" w:rsidRPr="00F045B7" w:rsidRDefault="00756CA7" w:rsidP="00756CA7">
      <w:pPr>
        <w:pStyle w:val="Default"/>
        <w:spacing w:line="276" w:lineRule="auto"/>
        <w:ind w:right="-1"/>
        <w:jc w:val="both"/>
        <w:rPr>
          <w:rFonts w:ascii="Arial" w:hAnsi="Arial" w:cs="Arial"/>
          <w:color w:val="auto"/>
          <w:sz w:val="22"/>
          <w:szCs w:val="22"/>
        </w:rPr>
      </w:pPr>
    </w:p>
    <w:p w14:paraId="798C3DA5" w14:textId="77777777" w:rsidR="00756CA7" w:rsidRPr="007B4527" w:rsidRDefault="00756CA7" w:rsidP="00756CA7">
      <w:pPr>
        <w:pStyle w:val="Prrafodelista"/>
        <w:numPr>
          <w:ilvl w:val="0"/>
          <w:numId w:val="29"/>
        </w:numPr>
        <w:ind w:left="0" w:right="-1" w:firstLine="284"/>
        <w:rPr>
          <w:rFonts w:ascii="Arial" w:hAnsi="Arial" w:cs="Arial"/>
        </w:rPr>
      </w:pPr>
      <w:r w:rsidRPr="007B4527">
        <w:rPr>
          <w:rFonts w:ascii="Arial" w:eastAsia="Calibri" w:hAnsi="Arial" w:cs="Arial"/>
          <w:lang w:eastAsia="es-MX"/>
        </w:rPr>
        <w:t>…</w:t>
      </w:r>
    </w:p>
    <w:p w14:paraId="1425CCBE" w14:textId="77777777" w:rsidR="00756CA7" w:rsidRPr="00A832E2" w:rsidRDefault="00756CA7" w:rsidP="00756CA7">
      <w:pPr>
        <w:shd w:val="clear" w:color="auto" w:fill="FFFFFF"/>
        <w:ind w:right="-1"/>
        <w:rPr>
          <w:rFonts w:eastAsia="Times New Roman" w:cs="Arial"/>
          <w:color w:val="000000"/>
          <w:lang w:eastAsia="es-MX"/>
        </w:rPr>
      </w:pPr>
    </w:p>
    <w:p w14:paraId="092C5AC9" w14:textId="77777777" w:rsidR="00756CA7" w:rsidRDefault="00756CA7" w:rsidP="00756CA7">
      <w:pPr>
        <w:pStyle w:val="Prrafodelista"/>
        <w:numPr>
          <w:ilvl w:val="0"/>
          <w:numId w:val="23"/>
        </w:numPr>
        <w:shd w:val="clear" w:color="auto" w:fill="FFFFFF"/>
        <w:ind w:left="568" w:hanging="284"/>
        <w:contextualSpacing w:val="0"/>
        <w:rPr>
          <w:rFonts w:ascii="Arial" w:eastAsia="Times New Roman" w:hAnsi="Arial" w:cs="Arial"/>
          <w:color w:val="000000"/>
          <w:lang w:eastAsia="es-MX"/>
        </w:rPr>
      </w:pPr>
      <w:r>
        <w:rPr>
          <w:rFonts w:ascii="Arial" w:eastAsia="Times New Roman" w:hAnsi="Arial" w:cs="Arial"/>
          <w:b/>
          <w:color w:val="000000"/>
          <w:lang w:eastAsia="es-MX"/>
        </w:rPr>
        <w:t>…</w:t>
      </w:r>
    </w:p>
    <w:p w14:paraId="05A3889F" w14:textId="77777777" w:rsidR="00756CA7" w:rsidRPr="00A832E2" w:rsidRDefault="00756CA7" w:rsidP="00756CA7">
      <w:pPr>
        <w:pStyle w:val="Prrafodelista"/>
        <w:shd w:val="clear" w:color="auto" w:fill="FFFFFF"/>
        <w:ind w:left="568"/>
        <w:contextualSpacing w:val="0"/>
        <w:rPr>
          <w:rFonts w:ascii="Arial" w:eastAsia="Times New Roman" w:hAnsi="Arial" w:cs="Arial"/>
          <w:color w:val="000000"/>
          <w:lang w:eastAsia="es-MX"/>
        </w:rPr>
      </w:pPr>
    </w:p>
    <w:p w14:paraId="6DBCE6B1" w14:textId="77777777" w:rsidR="00756CA7" w:rsidRDefault="00756CA7" w:rsidP="00756CA7">
      <w:pPr>
        <w:pStyle w:val="Prrafodelista"/>
        <w:numPr>
          <w:ilvl w:val="0"/>
          <w:numId w:val="23"/>
        </w:numPr>
        <w:shd w:val="clear" w:color="auto" w:fill="FFFFFF"/>
        <w:ind w:left="568" w:hanging="284"/>
        <w:contextualSpacing w:val="0"/>
        <w:rPr>
          <w:rFonts w:ascii="Arial" w:hAnsi="Arial" w:cs="Arial"/>
        </w:rPr>
      </w:pPr>
      <w:r>
        <w:rPr>
          <w:rFonts w:ascii="Arial" w:hAnsi="Arial" w:cs="Arial"/>
          <w:b/>
        </w:rPr>
        <w:t>…</w:t>
      </w:r>
    </w:p>
    <w:p w14:paraId="02EB1794" w14:textId="77777777" w:rsidR="00756CA7" w:rsidRPr="00F045B7" w:rsidRDefault="00756CA7" w:rsidP="00756CA7">
      <w:pPr>
        <w:shd w:val="clear" w:color="auto" w:fill="FFFFFF"/>
        <w:rPr>
          <w:rFonts w:cs="Arial"/>
        </w:rPr>
      </w:pPr>
    </w:p>
    <w:p w14:paraId="0FF4453C" w14:textId="77777777" w:rsidR="00756CA7" w:rsidRPr="00D5744A" w:rsidRDefault="00756CA7" w:rsidP="00756CA7">
      <w:pPr>
        <w:pStyle w:val="Prrafodelista"/>
        <w:numPr>
          <w:ilvl w:val="0"/>
          <w:numId w:val="23"/>
        </w:numPr>
        <w:shd w:val="clear" w:color="auto" w:fill="FFFFFF"/>
        <w:ind w:left="568" w:hanging="284"/>
        <w:contextualSpacing w:val="0"/>
        <w:rPr>
          <w:rFonts w:ascii="Arial" w:hAnsi="Arial" w:cs="Arial"/>
        </w:rPr>
      </w:pPr>
      <w:r w:rsidRPr="00D5744A">
        <w:rPr>
          <w:rFonts w:ascii="Arial" w:hAnsi="Arial" w:cs="Arial"/>
          <w:b/>
        </w:rPr>
        <w:t>El IHH aumenta cuando el número de empresas disminuye</w:t>
      </w:r>
      <w:r w:rsidRPr="00D5744A">
        <w:rPr>
          <w:rFonts w:ascii="Arial" w:hAnsi="Arial" w:cs="Arial"/>
        </w:rPr>
        <w:t>. Esta característica implica que cualquier fusión o adquisición completa entre dos o más empresas se ve reflejada en un valor más alto del IHH.</w:t>
      </w:r>
      <w:r w:rsidRPr="00D5744A">
        <w:rPr>
          <w:rFonts w:ascii="Arial" w:eastAsia="Times New Roman" w:hAnsi="Arial" w:cs="Arial"/>
          <w:lang w:eastAsia="es-MX"/>
        </w:rPr>
        <w:t xml:space="preserve"> Entre más pequeño sea el número de participantes, es más probable que las variaciones en el número de participantes o de las participaciones, modifiquen las condiciones de competencia para el resto de los agentes económicos. Estos cambios en las condiciones de competencia son capturados mediante una variación del IHH, pues éste aumenta cuando el número de competidores disminuye y viceversa.</w:t>
      </w:r>
    </w:p>
    <w:p w14:paraId="2910D8AE" w14:textId="77777777" w:rsidR="00756CA7" w:rsidRPr="00D5744A" w:rsidRDefault="00756CA7" w:rsidP="00756CA7">
      <w:pPr>
        <w:shd w:val="clear" w:color="auto" w:fill="FFFFFF"/>
        <w:rPr>
          <w:rFonts w:cs="Arial"/>
        </w:rPr>
      </w:pPr>
    </w:p>
    <w:p w14:paraId="06555971" w14:textId="77777777" w:rsidR="00756CA7" w:rsidRPr="00D5744A" w:rsidRDefault="00756CA7" w:rsidP="00756CA7">
      <w:pPr>
        <w:shd w:val="clear" w:color="auto" w:fill="FFFFFF"/>
        <w:rPr>
          <w:rFonts w:cs="Arial"/>
        </w:rPr>
      </w:pPr>
      <w:r w:rsidRPr="00D5744A">
        <w:rPr>
          <w:rFonts w:cs="Arial"/>
        </w:rPr>
        <w:t>…</w:t>
      </w:r>
    </w:p>
    <w:p w14:paraId="1354E971" w14:textId="77777777" w:rsidR="00756CA7" w:rsidRPr="00D5744A" w:rsidRDefault="00756CA7" w:rsidP="00756CA7">
      <w:pPr>
        <w:shd w:val="clear" w:color="auto" w:fill="FFFFFF"/>
        <w:rPr>
          <w:rFonts w:eastAsia="Times New Roman" w:cs="Arial"/>
          <w:color w:val="000000"/>
          <w:lang w:eastAsia="es-MX"/>
        </w:rPr>
      </w:pPr>
    </w:p>
    <w:p w14:paraId="3B8C6007" w14:textId="77777777" w:rsidR="00756CA7" w:rsidRPr="00D5744A" w:rsidRDefault="00756CA7" w:rsidP="00756CA7">
      <w:pPr>
        <w:pStyle w:val="Prrafodelista"/>
        <w:numPr>
          <w:ilvl w:val="0"/>
          <w:numId w:val="29"/>
        </w:numPr>
        <w:ind w:left="0" w:right="-1" w:firstLine="284"/>
        <w:contextualSpacing w:val="0"/>
        <w:rPr>
          <w:rFonts w:ascii="Arial" w:eastAsia="Times New Roman" w:hAnsi="Arial" w:cs="Arial"/>
          <w:color w:val="000000"/>
          <w:lang w:eastAsia="es-MX"/>
        </w:rPr>
      </w:pPr>
      <w:r w:rsidRPr="00D5744A">
        <w:rPr>
          <w:rFonts w:ascii="Arial" w:eastAsia="Times New Roman" w:hAnsi="Arial" w:cs="Arial"/>
          <w:color w:val="000000"/>
          <w:lang w:eastAsia="es-MX"/>
        </w:rPr>
        <w:t>En el análisis de concentraciones el Instituto calculará la variación del IHH (</w:t>
      </w:r>
      <m:oMath>
        <m:r>
          <m:rPr>
            <m:sty m:val="p"/>
          </m:rPr>
          <w:rPr>
            <w:rFonts w:ascii="Cambria Math" w:eastAsia="Times New Roman" w:hAnsi="Cambria Math" w:cs="Arial"/>
            <w:color w:val="000000"/>
            <w:lang w:eastAsia="es-MX"/>
          </w:rPr>
          <m:t>∆</m:t>
        </m:r>
        <m:r>
          <m:rPr>
            <m:sty m:val="p"/>
          </m:rPr>
          <w:rPr>
            <w:rFonts w:ascii="Cambria Math" w:eastAsia="Times New Roman" w:hAnsi="Cambria Math" w:cs="Arial"/>
            <w:lang w:eastAsia="es-MX"/>
          </w:rPr>
          <m:t>IH</m:t>
        </m:r>
        <m:r>
          <m:rPr>
            <m:sty m:val="p"/>
          </m:rPr>
          <w:rPr>
            <w:rFonts w:ascii="Cambria Math" w:eastAsia="Times New Roman" w:hAnsi="Cambria Math" w:cs="Arial"/>
            <w:color w:val="000000"/>
            <w:lang w:eastAsia="es-MX"/>
          </w:rPr>
          <m:t>H</m:t>
        </m:r>
      </m:oMath>
      <w:r w:rsidRPr="00D5744A">
        <w:rPr>
          <w:rFonts w:ascii="Arial" w:eastAsia="Times New Roman" w:hAnsi="Arial" w:cs="Arial"/>
          <w:color w:val="000000"/>
          <w:lang w:eastAsia="es-MX"/>
        </w:rPr>
        <w:t xml:space="preserve">) como una medida del cambio en el grado de concentración en el mercado derivado de la misma. La </w:t>
      </w:r>
      <m:oMath>
        <m:r>
          <m:rPr>
            <m:sty m:val="p"/>
          </m:rPr>
          <w:rPr>
            <w:rFonts w:ascii="Cambria Math" w:eastAsia="Times New Roman" w:hAnsi="Cambria Math" w:cs="Arial"/>
            <w:color w:val="000000"/>
            <w:lang w:eastAsia="es-MX"/>
          </w:rPr>
          <m:t>∆</m:t>
        </m:r>
        <m:r>
          <m:rPr>
            <m:sty m:val="p"/>
          </m:rPr>
          <w:rPr>
            <w:rFonts w:ascii="Cambria Math" w:eastAsia="Times New Roman" w:hAnsi="Cambria Math" w:cs="Arial"/>
            <w:lang w:eastAsia="es-MX"/>
          </w:rPr>
          <m:t>IH</m:t>
        </m:r>
        <m:r>
          <m:rPr>
            <m:sty m:val="p"/>
          </m:rPr>
          <w:rPr>
            <w:rFonts w:ascii="Cambria Math" w:eastAsia="Times New Roman" w:hAnsi="Cambria Math" w:cs="Arial"/>
            <w:color w:val="000000"/>
            <w:lang w:eastAsia="es-MX"/>
          </w:rPr>
          <m:t>H</m:t>
        </m:r>
      </m:oMath>
      <w:r w:rsidRPr="00D5744A">
        <w:rPr>
          <w:rFonts w:ascii="Arial" w:eastAsia="Times New Roman" w:hAnsi="Arial" w:cs="Arial"/>
          <w:color w:val="000000"/>
          <w:lang w:eastAsia="es-MX"/>
        </w:rPr>
        <w:t xml:space="preserve"> se calculará como la diferencia aritmética del valor del IHH después (</w:t>
      </w:r>
      <m:oMath>
        <m:r>
          <w:rPr>
            <w:rFonts w:ascii="Cambria Math" w:eastAsia="Times New Roman" w:hAnsi="Cambria Math" w:cs="Arial"/>
            <w:color w:val="000000"/>
            <w:lang w:eastAsia="es-MX"/>
          </w:rPr>
          <m:t>I</m:t>
        </m:r>
        <m:sSub>
          <m:sSubPr>
            <m:ctrlPr>
              <w:rPr>
                <w:rFonts w:ascii="Cambria Math" w:eastAsia="Times New Roman" w:hAnsi="Cambria Math" w:cs="Arial"/>
                <w:color w:val="000000"/>
                <w:lang w:eastAsia="es-MX"/>
              </w:rPr>
            </m:ctrlPr>
          </m:sSubPr>
          <m:e>
            <m:r>
              <w:rPr>
                <w:rFonts w:ascii="Cambria Math" w:eastAsia="Times New Roman" w:hAnsi="Cambria Math" w:cs="Arial"/>
                <w:color w:val="000000"/>
                <w:lang w:eastAsia="es-MX"/>
              </w:rPr>
              <m:t>HH</m:t>
            </m:r>
          </m:e>
          <m:sub>
            <m:r>
              <w:rPr>
                <w:rFonts w:ascii="Cambria Math" w:eastAsia="Times New Roman" w:hAnsi="Cambria Math" w:cs="Arial"/>
                <w:color w:val="000000"/>
                <w:lang w:eastAsia="es-MX"/>
              </w:rPr>
              <m:t>D</m:t>
            </m:r>
          </m:sub>
        </m:sSub>
      </m:oMath>
      <w:r w:rsidRPr="00D5744A">
        <w:rPr>
          <w:rFonts w:ascii="Arial" w:eastAsia="Times New Roman" w:hAnsi="Arial" w:cs="Arial"/>
          <w:color w:val="000000"/>
          <w:lang w:eastAsia="es-MX"/>
        </w:rPr>
        <w:t>) y antes (</w:t>
      </w:r>
      <m:oMath>
        <m:r>
          <w:rPr>
            <w:rFonts w:ascii="Cambria Math" w:eastAsia="Times New Roman" w:hAnsi="Cambria Math" w:cs="Arial"/>
            <w:color w:val="000000"/>
            <w:lang w:eastAsia="es-MX"/>
          </w:rPr>
          <m:t>I</m:t>
        </m:r>
        <m:sSub>
          <m:sSubPr>
            <m:ctrlPr>
              <w:rPr>
                <w:rFonts w:ascii="Cambria Math" w:eastAsia="Times New Roman" w:hAnsi="Cambria Math" w:cs="Arial"/>
                <w:color w:val="000000"/>
                <w:lang w:eastAsia="es-MX"/>
              </w:rPr>
            </m:ctrlPr>
          </m:sSubPr>
          <m:e>
            <m:r>
              <w:rPr>
                <w:rFonts w:ascii="Cambria Math" w:eastAsia="Times New Roman" w:hAnsi="Cambria Math" w:cs="Arial"/>
                <w:color w:val="000000"/>
                <w:lang w:eastAsia="es-MX"/>
              </w:rPr>
              <m:t>HH</m:t>
            </m:r>
          </m:e>
          <m:sub>
            <m:r>
              <w:rPr>
                <w:rFonts w:ascii="Cambria Math" w:eastAsia="Times New Roman" w:hAnsi="Cambria Math" w:cs="Arial"/>
                <w:color w:val="000000"/>
                <w:lang w:eastAsia="es-MX"/>
              </w:rPr>
              <m:t>A</m:t>
            </m:r>
          </m:sub>
        </m:sSub>
      </m:oMath>
      <w:r w:rsidRPr="00D5744A">
        <w:rPr>
          <w:rFonts w:ascii="Arial" w:eastAsia="Times New Roman" w:hAnsi="Arial" w:cs="Arial"/>
          <w:color w:val="000000"/>
          <w:lang w:eastAsia="es-MX"/>
        </w:rPr>
        <w:t>) de que se lleve a cabo la concentración.</w:t>
      </w:r>
    </w:p>
    <w:p w14:paraId="134CCD6E" w14:textId="77777777" w:rsidR="00756CA7" w:rsidRPr="00D5744A" w:rsidRDefault="00756CA7" w:rsidP="00756CA7">
      <w:pPr>
        <w:pStyle w:val="Prrafodelista"/>
        <w:ind w:left="0" w:right="-1"/>
        <w:contextualSpacing w:val="0"/>
        <w:rPr>
          <w:rFonts w:ascii="Arial" w:eastAsia="Times New Roman" w:hAnsi="Arial" w:cs="Arial"/>
          <w:color w:val="000000"/>
          <w:lang w:eastAsia="es-MX"/>
        </w:rPr>
      </w:pPr>
    </w:p>
    <w:p w14:paraId="0471A31F" w14:textId="77777777" w:rsidR="00756CA7" w:rsidRPr="00D5744A" w:rsidRDefault="00756CA7" w:rsidP="00756CA7">
      <w:pPr>
        <w:pStyle w:val="Prrafodelista"/>
        <w:ind w:left="0" w:right="-1"/>
        <w:contextualSpacing w:val="0"/>
        <w:rPr>
          <w:rFonts w:ascii="Arial" w:eastAsia="Times New Roman" w:hAnsi="Arial" w:cs="Arial"/>
          <w:color w:val="000000"/>
          <w:lang w:eastAsia="es-MX"/>
        </w:rPr>
      </w:pPr>
      <w:r w:rsidRPr="00D5744A">
        <w:rPr>
          <w:rFonts w:ascii="Arial" w:eastAsia="Times New Roman" w:hAnsi="Arial" w:cs="Arial"/>
          <w:color w:val="000000"/>
          <w:lang w:eastAsia="es-MX"/>
        </w:rPr>
        <w:t>…</w:t>
      </w:r>
    </w:p>
    <w:p w14:paraId="168B8B8B" w14:textId="77777777" w:rsidR="00756CA7" w:rsidRPr="00D5744A" w:rsidRDefault="00756CA7" w:rsidP="00756CA7">
      <w:pPr>
        <w:rPr>
          <w:rFonts w:eastAsia="Times New Roman" w:cs="Arial"/>
          <w:color w:val="000000"/>
          <w:lang w:eastAsia="es-MX"/>
        </w:rPr>
      </w:pPr>
    </w:p>
    <w:p w14:paraId="02751E94" w14:textId="77777777" w:rsidR="00756CA7" w:rsidRPr="00D5744A" w:rsidRDefault="00756CA7" w:rsidP="00756CA7">
      <w:pPr>
        <w:pStyle w:val="Prrafodelista"/>
        <w:ind w:left="0" w:right="-1"/>
        <w:contextualSpacing w:val="0"/>
        <w:rPr>
          <w:rFonts w:ascii="Arial" w:eastAsia="Times New Roman" w:hAnsi="Arial" w:cs="Arial"/>
          <w:color w:val="000000"/>
          <w:lang w:eastAsia="es-MX"/>
        </w:rPr>
      </w:pPr>
      <w:r w:rsidRPr="00D5744A">
        <w:rPr>
          <w:rFonts w:ascii="Arial" w:eastAsia="Times New Roman" w:hAnsi="Arial" w:cs="Arial"/>
          <w:color w:val="000000"/>
          <w:lang w:eastAsia="es-MX"/>
        </w:rPr>
        <w:t xml:space="preserve">Por ejemplo, en el caso particular de que 2 (dos) agentes económicos con participaciones </w:t>
      </w:r>
      <m:oMath>
        <m:sSub>
          <m:sSubPr>
            <m:ctrlPr>
              <w:rPr>
                <w:rFonts w:ascii="Cambria Math" w:eastAsia="Times New Roman" w:hAnsi="Cambria Math" w:cs="Arial"/>
                <w:color w:val="000000"/>
                <w:lang w:eastAsia="es-MX"/>
              </w:rPr>
            </m:ctrlPr>
          </m:sSubPr>
          <m:e>
            <m:r>
              <w:rPr>
                <w:rFonts w:ascii="Cambria Math" w:eastAsia="Times New Roman" w:hAnsi="Cambria Math" w:cs="Arial"/>
                <w:color w:val="000000"/>
                <w:lang w:eastAsia="es-MX"/>
              </w:rPr>
              <m:t>α</m:t>
            </m:r>
          </m:e>
          <m:sub>
            <m:r>
              <m:rPr>
                <m:sty m:val="p"/>
              </m:rPr>
              <w:rPr>
                <w:rFonts w:ascii="Cambria Math" w:eastAsia="Times New Roman" w:hAnsi="Cambria Math" w:cs="Arial"/>
                <w:color w:val="000000"/>
                <w:lang w:eastAsia="es-MX"/>
              </w:rPr>
              <m:t>1</m:t>
            </m:r>
          </m:sub>
        </m:sSub>
      </m:oMath>
      <w:r w:rsidRPr="00D5744A">
        <w:rPr>
          <w:rFonts w:ascii="Arial" w:eastAsia="Times New Roman" w:hAnsi="Arial" w:cs="Arial"/>
          <w:color w:val="000000"/>
          <w:lang w:eastAsia="es-MX"/>
        </w:rPr>
        <w:t xml:space="preserve"> y </w:t>
      </w:r>
      <m:oMath>
        <m:sSub>
          <m:sSubPr>
            <m:ctrlPr>
              <w:rPr>
                <w:rFonts w:ascii="Cambria Math" w:eastAsia="Times New Roman" w:hAnsi="Cambria Math" w:cs="Arial"/>
                <w:color w:val="000000"/>
                <w:lang w:eastAsia="es-MX"/>
              </w:rPr>
            </m:ctrlPr>
          </m:sSubPr>
          <m:e>
            <m:r>
              <w:rPr>
                <w:rFonts w:ascii="Cambria Math" w:eastAsia="Times New Roman" w:hAnsi="Cambria Math" w:cs="Arial"/>
                <w:color w:val="000000"/>
                <w:lang w:eastAsia="es-MX"/>
              </w:rPr>
              <m:t>α</m:t>
            </m:r>
          </m:e>
          <m:sub>
            <m:r>
              <m:rPr>
                <m:sty m:val="p"/>
              </m:rPr>
              <w:rPr>
                <w:rFonts w:ascii="Cambria Math" w:eastAsia="Times New Roman" w:hAnsi="Cambria Math" w:cs="Arial"/>
                <w:color w:val="000000"/>
                <w:lang w:eastAsia="es-MX"/>
              </w:rPr>
              <m:t>2</m:t>
            </m:r>
          </m:sub>
        </m:sSub>
      </m:oMath>
      <w:r w:rsidRPr="00D5744A">
        <w:rPr>
          <w:rFonts w:ascii="Arial" w:eastAsia="Times New Roman" w:hAnsi="Arial" w:cs="Arial"/>
          <w:color w:val="000000"/>
          <w:lang w:eastAsia="es-MX"/>
        </w:rPr>
        <w:t xml:space="preserve"> propusieran una concentración, la variación del IHH (</w:t>
      </w:r>
      <m:oMath>
        <m:r>
          <m:rPr>
            <m:sty m:val="p"/>
          </m:rPr>
          <w:rPr>
            <w:rFonts w:ascii="Cambria Math" w:eastAsia="Times New Roman" w:hAnsi="Cambria Math" w:cs="Arial"/>
            <w:lang w:eastAsia="es-MX"/>
          </w:rPr>
          <m:t>∆</m:t>
        </m:r>
        <m:r>
          <w:rPr>
            <w:rFonts w:ascii="Cambria Math" w:eastAsia="Times New Roman" w:hAnsi="Cambria Math" w:cs="Arial"/>
            <w:lang w:eastAsia="es-MX"/>
          </w:rPr>
          <m:t>IH</m:t>
        </m:r>
        <m:r>
          <w:rPr>
            <w:rFonts w:ascii="Cambria Math" w:eastAsia="Times New Roman" w:hAnsi="Cambria Math" w:cs="Arial"/>
            <w:color w:val="000000"/>
            <w:lang w:eastAsia="es-MX"/>
          </w:rPr>
          <m:t>H</m:t>
        </m:r>
      </m:oMath>
      <w:r w:rsidRPr="00D5744A">
        <w:rPr>
          <w:rFonts w:ascii="Arial" w:eastAsia="Times New Roman" w:hAnsi="Arial" w:cs="Arial"/>
          <w:color w:val="000000"/>
          <w:lang w:eastAsia="es-MX"/>
        </w:rPr>
        <w:t>) se calcularía como sigue:</w:t>
      </w:r>
    </w:p>
    <w:p w14:paraId="6222C764" w14:textId="77777777" w:rsidR="00756CA7" w:rsidRPr="00D5744A" w:rsidRDefault="00756CA7" w:rsidP="00756CA7">
      <w:pPr>
        <w:pStyle w:val="Prrafodelista"/>
        <w:ind w:left="0" w:right="-1"/>
        <w:contextualSpacing w:val="0"/>
        <w:rPr>
          <w:rFonts w:ascii="Arial" w:eastAsia="Times New Roman" w:hAnsi="Arial" w:cs="Arial"/>
          <w:color w:val="000000"/>
          <w:lang w:eastAsia="es-MX"/>
        </w:rPr>
      </w:pPr>
    </w:p>
    <w:p w14:paraId="6B4826F0" w14:textId="77777777" w:rsidR="00756CA7" w:rsidRPr="00BF4AC1" w:rsidRDefault="00756CA7" w:rsidP="00756CA7">
      <w:pPr>
        <w:pStyle w:val="Prrafodelista"/>
        <w:ind w:left="0" w:right="-1"/>
        <w:contextualSpacing w:val="0"/>
        <w:rPr>
          <w:rFonts w:ascii="Arial" w:eastAsia="Times New Roman" w:hAnsi="Arial" w:cs="Arial"/>
          <w:color w:val="000000"/>
          <w:lang w:eastAsia="es-MX"/>
        </w:rPr>
      </w:pPr>
      <m:oMath>
        <m:r>
          <w:rPr>
            <w:rFonts w:ascii="Cambria Math" w:eastAsia="Times New Roman" w:hAnsi="Cambria Math" w:cs="Arial"/>
            <w:lang w:eastAsia="es-MX"/>
          </w:rPr>
          <m:t>∆IHH</m:t>
        </m:r>
        <m:r>
          <w:rPr>
            <w:rFonts w:ascii="Cambria Math" w:eastAsia="Times New Roman" w:hAnsi="Cambria Math" w:cs="Arial"/>
            <w:color w:val="000000"/>
            <w:lang w:eastAsia="es-MX"/>
          </w:rPr>
          <m:t>=IH</m:t>
        </m:r>
        <m:sSub>
          <m:sSubPr>
            <m:ctrlPr>
              <w:rPr>
                <w:rFonts w:ascii="Cambria Math" w:eastAsia="Times New Roman" w:hAnsi="Cambria Math" w:cs="Arial"/>
                <w:i/>
                <w:color w:val="000000"/>
                <w:lang w:eastAsia="es-MX"/>
              </w:rPr>
            </m:ctrlPr>
          </m:sSubPr>
          <m:e>
            <m:r>
              <w:rPr>
                <w:rFonts w:ascii="Cambria Math" w:eastAsia="Times New Roman" w:hAnsi="Cambria Math" w:cs="Arial"/>
                <w:color w:val="000000"/>
                <w:lang w:eastAsia="es-MX"/>
              </w:rPr>
              <m:t>H</m:t>
            </m:r>
          </m:e>
          <m:sub>
            <m:r>
              <w:rPr>
                <w:rFonts w:ascii="Cambria Math" w:eastAsia="Times New Roman" w:hAnsi="Cambria Math" w:cs="Arial"/>
                <w:color w:val="000000"/>
                <w:lang w:eastAsia="es-MX"/>
              </w:rPr>
              <m:t>D</m:t>
            </m:r>
          </m:sub>
        </m:sSub>
        <m:r>
          <w:rPr>
            <w:rFonts w:ascii="Cambria Math" w:eastAsia="Times New Roman" w:hAnsi="Cambria Math" w:cs="Arial"/>
            <w:color w:val="000000"/>
            <w:lang w:eastAsia="es-MX"/>
          </w:rPr>
          <m:t>-IH</m:t>
        </m:r>
        <m:sSub>
          <m:sSubPr>
            <m:ctrlPr>
              <w:rPr>
                <w:rFonts w:ascii="Cambria Math" w:eastAsia="Times New Roman" w:hAnsi="Cambria Math" w:cs="Arial"/>
                <w:i/>
                <w:color w:val="000000"/>
                <w:lang w:eastAsia="es-MX"/>
              </w:rPr>
            </m:ctrlPr>
          </m:sSubPr>
          <m:e>
            <m:r>
              <w:rPr>
                <w:rFonts w:ascii="Cambria Math" w:eastAsia="Times New Roman" w:hAnsi="Cambria Math" w:cs="Arial"/>
                <w:color w:val="000000"/>
                <w:lang w:eastAsia="es-MX"/>
              </w:rPr>
              <m:t>H</m:t>
            </m:r>
          </m:e>
          <m:sub>
            <m:r>
              <w:rPr>
                <w:rFonts w:ascii="Cambria Math" w:eastAsia="Times New Roman" w:hAnsi="Cambria Math" w:cs="Arial"/>
                <w:color w:val="000000"/>
                <w:lang w:eastAsia="es-MX"/>
              </w:rPr>
              <m:t>A</m:t>
            </m:r>
          </m:sub>
        </m:sSub>
      </m:oMath>
      <w:r>
        <w:rPr>
          <w:rFonts w:ascii="Arial" w:eastAsia="Times New Roman" w:hAnsi="Arial" w:cs="Arial"/>
          <w:color w:val="000000"/>
          <w:lang w:eastAsia="es-MX"/>
        </w:rPr>
        <w:t xml:space="preserve"> </w:t>
      </w:r>
    </w:p>
    <w:p w14:paraId="4A0AAD56" w14:textId="77777777" w:rsidR="00756CA7" w:rsidRPr="00BF4AC1" w:rsidRDefault="00756CA7" w:rsidP="00756CA7">
      <w:pPr>
        <w:pStyle w:val="Prrafodelista"/>
        <w:ind w:left="0" w:right="-1"/>
        <w:contextualSpacing w:val="0"/>
        <w:rPr>
          <w:rFonts w:ascii="Arial" w:eastAsia="Times New Roman" w:hAnsi="Arial" w:cs="Arial"/>
          <w:color w:val="000000"/>
          <w:lang w:eastAsia="es-MX"/>
        </w:rPr>
      </w:pPr>
      <m:oMath>
        <m:r>
          <w:rPr>
            <w:rFonts w:ascii="Cambria Math" w:eastAsia="Times New Roman" w:hAnsi="Cambria Math" w:cs="Arial"/>
            <w:color w:val="000000"/>
            <w:lang w:eastAsia="es-MX"/>
          </w:rPr>
          <m:t>=</m:t>
        </m:r>
        <m:d>
          <m:dPr>
            <m:begChr m:val="["/>
            <m:endChr m:val="]"/>
            <m:ctrlPr>
              <w:rPr>
                <w:rFonts w:ascii="Cambria Math" w:eastAsia="Times New Roman" w:hAnsi="Cambria Math" w:cs="Arial"/>
                <w:i/>
                <w:color w:val="000000"/>
                <w:lang w:eastAsia="es-MX"/>
              </w:rPr>
            </m:ctrlPr>
          </m:dPr>
          <m:e>
            <m:sSup>
              <m:sSupPr>
                <m:ctrlPr>
                  <w:rPr>
                    <w:rFonts w:ascii="Cambria Math" w:eastAsia="Times New Roman" w:hAnsi="Cambria Math" w:cs="Arial"/>
                    <w:i/>
                    <w:color w:val="000000"/>
                    <w:lang w:eastAsia="es-MX"/>
                  </w:rPr>
                </m:ctrlPr>
              </m:sSupPr>
              <m:e>
                <m:d>
                  <m:dPr>
                    <m:ctrlPr>
                      <w:rPr>
                        <w:rFonts w:ascii="Cambria Math" w:eastAsia="Times New Roman" w:hAnsi="Cambria Math" w:cs="Arial"/>
                        <w:i/>
                        <w:color w:val="000000"/>
                        <w:lang w:eastAsia="es-MX"/>
                      </w:rPr>
                    </m:ctrlPr>
                  </m:dPr>
                  <m:e>
                    <m:sSub>
                      <m:sSubPr>
                        <m:ctrlPr>
                          <w:rPr>
                            <w:rFonts w:ascii="Cambria Math" w:eastAsia="Times New Roman" w:hAnsi="Cambria Math" w:cs="Arial"/>
                            <w:i/>
                            <w:color w:val="000000"/>
                            <w:lang w:eastAsia="es-MX"/>
                          </w:rPr>
                        </m:ctrlPr>
                      </m:sSubPr>
                      <m:e>
                        <m:r>
                          <w:rPr>
                            <w:rFonts w:ascii="Cambria Math" w:eastAsia="Times New Roman" w:hAnsi="Cambria Math" w:cs="Arial"/>
                            <w:color w:val="000000"/>
                            <w:lang w:eastAsia="es-MX"/>
                          </w:rPr>
                          <m:t>α</m:t>
                        </m:r>
                      </m:e>
                      <m:sub>
                        <m:r>
                          <w:rPr>
                            <w:rFonts w:ascii="Cambria Math" w:eastAsia="Times New Roman" w:hAnsi="Cambria Math" w:cs="Arial"/>
                            <w:color w:val="000000"/>
                            <w:lang w:eastAsia="es-MX"/>
                          </w:rPr>
                          <m:t>1</m:t>
                        </m:r>
                      </m:sub>
                    </m:sSub>
                    <m:r>
                      <w:rPr>
                        <w:rFonts w:ascii="Cambria Math" w:eastAsia="Times New Roman" w:hAnsi="Cambria Math" w:cs="Arial"/>
                        <w:color w:val="000000"/>
                        <w:lang w:eastAsia="es-MX"/>
                      </w:rPr>
                      <m:t>+</m:t>
                    </m:r>
                    <m:sSub>
                      <m:sSubPr>
                        <m:ctrlPr>
                          <w:rPr>
                            <w:rFonts w:ascii="Cambria Math" w:eastAsia="Times New Roman" w:hAnsi="Cambria Math" w:cs="Arial"/>
                            <w:i/>
                            <w:color w:val="000000"/>
                            <w:lang w:eastAsia="es-MX"/>
                          </w:rPr>
                        </m:ctrlPr>
                      </m:sSubPr>
                      <m:e>
                        <m:r>
                          <w:rPr>
                            <w:rFonts w:ascii="Cambria Math" w:eastAsia="Times New Roman" w:hAnsi="Cambria Math" w:cs="Arial"/>
                            <w:color w:val="000000"/>
                            <w:lang w:eastAsia="es-MX"/>
                          </w:rPr>
                          <m:t>α</m:t>
                        </m:r>
                      </m:e>
                      <m:sub>
                        <m:r>
                          <w:rPr>
                            <w:rFonts w:ascii="Cambria Math" w:eastAsia="Times New Roman" w:hAnsi="Cambria Math" w:cs="Arial"/>
                            <w:color w:val="000000"/>
                            <w:lang w:eastAsia="es-MX"/>
                          </w:rPr>
                          <m:t>2</m:t>
                        </m:r>
                      </m:sub>
                    </m:sSub>
                  </m:e>
                </m:d>
              </m:e>
              <m:sup>
                <m:r>
                  <w:rPr>
                    <w:rFonts w:ascii="Cambria Math" w:eastAsia="Times New Roman" w:hAnsi="Cambria Math" w:cs="Arial"/>
                    <w:color w:val="000000"/>
                    <w:lang w:eastAsia="es-MX"/>
                  </w:rPr>
                  <m:t>2</m:t>
                </m:r>
              </m:sup>
            </m:sSup>
            <m:r>
              <w:rPr>
                <w:rFonts w:ascii="Cambria Math" w:eastAsia="Times New Roman" w:hAnsi="Cambria Math" w:cs="Arial"/>
                <w:color w:val="000000"/>
                <w:lang w:eastAsia="es-MX"/>
              </w:rPr>
              <m:t>+</m:t>
            </m:r>
            <m:sSubSup>
              <m:sSubSupPr>
                <m:ctrlPr>
                  <w:rPr>
                    <w:rFonts w:ascii="Cambria Math" w:eastAsia="Times New Roman" w:hAnsi="Cambria Math" w:cs="Arial"/>
                    <w:i/>
                    <w:color w:val="000000"/>
                    <w:lang w:eastAsia="es-MX"/>
                  </w:rPr>
                </m:ctrlPr>
              </m:sSubSupPr>
              <m:e>
                <m:r>
                  <w:rPr>
                    <w:rFonts w:ascii="Cambria Math" w:eastAsia="Times New Roman" w:hAnsi="Cambria Math" w:cs="Arial"/>
                    <w:color w:val="000000"/>
                    <w:lang w:eastAsia="es-MX"/>
                  </w:rPr>
                  <m:t>α</m:t>
                </m:r>
              </m:e>
              <m:sub>
                <m:r>
                  <w:rPr>
                    <w:rFonts w:ascii="Cambria Math" w:eastAsia="Times New Roman" w:hAnsi="Cambria Math" w:cs="Arial"/>
                    <w:color w:val="000000"/>
                    <w:lang w:eastAsia="es-MX"/>
                  </w:rPr>
                  <m:t>3</m:t>
                </m:r>
              </m:sub>
              <m:sup>
                <m:r>
                  <w:rPr>
                    <w:rFonts w:ascii="Cambria Math" w:eastAsia="Times New Roman" w:hAnsi="Cambria Math" w:cs="Arial"/>
                    <w:color w:val="000000"/>
                    <w:lang w:eastAsia="es-MX"/>
                  </w:rPr>
                  <m:t>2</m:t>
                </m:r>
              </m:sup>
            </m:sSubSup>
            <m:r>
              <w:rPr>
                <w:rFonts w:ascii="Cambria Math" w:eastAsia="Times New Roman" w:hAnsi="Cambria Math" w:cs="Arial"/>
                <w:color w:val="000000"/>
                <w:lang w:eastAsia="es-MX"/>
              </w:rPr>
              <m:t>+…+</m:t>
            </m:r>
            <m:sSubSup>
              <m:sSubSupPr>
                <m:ctrlPr>
                  <w:rPr>
                    <w:rFonts w:ascii="Cambria Math" w:eastAsia="Times New Roman" w:hAnsi="Cambria Math" w:cs="Arial"/>
                    <w:i/>
                    <w:color w:val="000000"/>
                    <w:lang w:eastAsia="es-MX"/>
                  </w:rPr>
                </m:ctrlPr>
              </m:sSubSupPr>
              <m:e>
                <m:r>
                  <w:rPr>
                    <w:rFonts w:ascii="Cambria Math" w:eastAsia="Times New Roman" w:hAnsi="Cambria Math" w:cs="Arial"/>
                    <w:color w:val="000000"/>
                    <w:lang w:eastAsia="es-MX"/>
                  </w:rPr>
                  <m:t>α</m:t>
                </m:r>
              </m:e>
              <m:sub>
                <m:r>
                  <w:rPr>
                    <w:rFonts w:ascii="Cambria Math" w:eastAsia="Times New Roman" w:hAnsi="Cambria Math" w:cs="Arial"/>
                    <w:color w:val="000000"/>
                    <w:lang w:eastAsia="es-MX"/>
                  </w:rPr>
                  <m:t>N</m:t>
                </m:r>
              </m:sub>
              <m:sup>
                <m:r>
                  <w:rPr>
                    <w:rFonts w:ascii="Cambria Math" w:eastAsia="Times New Roman" w:hAnsi="Cambria Math" w:cs="Arial"/>
                    <w:color w:val="000000"/>
                    <w:lang w:eastAsia="es-MX"/>
                  </w:rPr>
                  <m:t>2</m:t>
                </m:r>
              </m:sup>
            </m:sSubSup>
          </m:e>
        </m:d>
        <m:r>
          <w:rPr>
            <w:rFonts w:ascii="Cambria Math" w:eastAsia="Times New Roman" w:hAnsi="Cambria Math" w:cs="Arial"/>
            <w:color w:val="000000"/>
            <w:lang w:eastAsia="es-MX"/>
          </w:rPr>
          <m:t>-</m:t>
        </m:r>
        <m:d>
          <m:dPr>
            <m:begChr m:val="["/>
            <m:endChr m:val="]"/>
            <m:ctrlPr>
              <w:rPr>
                <w:rFonts w:ascii="Cambria Math" w:eastAsia="Times New Roman" w:hAnsi="Cambria Math" w:cs="Arial"/>
                <w:i/>
                <w:color w:val="000000"/>
                <w:lang w:eastAsia="es-MX"/>
              </w:rPr>
            </m:ctrlPr>
          </m:dPr>
          <m:e>
            <m:sSubSup>
              <m:sSubSupPr>
                <m:ctrlPr>
                  <w:rPr>
                    <w:rFonts w:ascii="Cambria Math" w:eastAsia="Times New Roman" w:hAnsi="Cambria Math" w:cs="Arial"/>
                    <w:i/>
                    <w:color w:val="000000"/>
                    <w:lang w:eastAsia="es-MX"/>
                  </w:rPr>
                </m:ctrlPr>
              </m:sSubSupPr>
              <m:e>
                <m:r>
                  <w:rPr>
                    <w:rFonts w:ascii="Cambria Math" w:eastAsia="Times New Roman" w:hAnsi="Cambria Math" w:cs="Arial"/>
                    <w:color w:val="000000"/>
                    <w:lang w:eastAsia="es-MX"/>
                  </w:rPr>
                  <m:t>α</m:t>
                </m:r>
              </m:e>
              <m:sub>
                <m:r>
                  <w:rPr>
                    <w:rFonts w:ascii="Cambria Math" w:eastAsia="Times New Roman" w:hAnsi="Cambria Math" w:cs="Arial"/>
                    <w:color w:val="000000"/>
                    <w:lang w:eastAsia="es-MX"/>
                  </w:rPr>
                  <m:t>1</m:t>
                </m:r>
              </m:sub>
              <m:sup>
                <m:r>
                  <w:rPr>
                    <w:rFonts w:ascii="Cambria Math" w:eastAsia="Times New Roman" w:hAnsi="Cambria Math" w:cs="Arial"/>
                    <w:color w:val="000000"/>
                    <w:lang w:eastAsia="es-MX"/>
                  </w:rPr>
                  <m:t>2</m:t>
                </m:r>
              </m:sup>
            </m:sSubSup>
            <m:r>
              <w:rPr>
                <w:rFonts w:ascii="Cambria Math" w:eastAsia="Times New Roman" w:hAnsi="Cambria Math" w:cs="Arial"/>
                <w:color w:val="000000"/>
                <w:lang w:eastAsia="es-MX"/>
              </w:rPr>
              <m:t>+</m:t>
            </m:r>
            <m:sSubSup>
              <m:sSubSupPr>
                <m:ctrlPr>
                  <w:rPr>
                    <w:rFonts w:ascii="Cambria Math" w:eastAsia="Times New Roman" w:hAnsi="Cambria Math" w:cs="Arial"/>
                    <w:i/>
                    <w:color w:val="000000"/>
                    <w:lang w:eastAsia="es-MX"/>
                  </w:rPr>
                </m:ctrlPr>
              </m:sSubSupPr>
              <m:e>
                <m:r>
                  <w:rPr>
                    <w:rFonts w:ascii="Cambria Math" w:eastAsia="Times New Roman" w:hAnsi="Cambria Math" w:cs="Arial"/>
                    <w:color w:val="000000"/>
                    <w:lang w:eastAsia="es-MX"/>
                  </w:rPr>
                  <m:t>α</m:t>
                </m:r>
              </m:e>
              <m:sub>
                <m:r>
                  <w:rPr>
                    <w:rFonts w:ascii="Cambria Math" w:eastAsia="Times New Roman" w:hAnsi="Cambria Math" w:cs="Arial"/>
                    <w:color w:val="000000"/>
                    <w:lang w:eastAsia="es-MX"/>
                  </w:rPr>
                  <m:t>2</m:t>
                </m:r>
              </m:sub>
              <m:sup>
                <m:r>
                  <w:rPr>
                    <w:rFonts w:ascii="Cambria Math" w:eastAsia="Times New Roman" w:hAnsi="Cambria Math" w:cs="Arial"/>
                    <w:color w:val="000000"/>
                    <w:lang w:eastAsia="es-MX"/>
                  </w:rPr>
                  <m:t>2</m:t>
                </m:r>
              </m:sup>
            </m:sSubSup>
            <m:r>
              <w:rPr>
                <w:rFonts w:ascii="Cambria Math" w:eastAsia="Times New Roman" w:hAnsi="Cambria Math" w:cs="Arial"/>
                <w:color w:val="000000"/>
                <w:lang w:eastAsia="es-MX"/>
              </w:rPr>
              <m:t>+</m:t>
            </m:r>
            <m:sSubSup>
              <m:sSubSupPr>
                <m:ctrlPr>
                  <w:rPr>
                    <w:rFonts w:ascii="Cambria Math" w:eastAsia="Times New Roman" w:hAnsi="Cambria Math" w:cs="Arial"/>
                    <w:i/>
                    <w:color w:val="000000"/>
                    <w:lang w:eastAsia="es-MX"/>
                  </w:rPr>
                </m:ctrlPr>
              </m:sSubSupPr>
              <m:e>
                <m:r>
                  <w:rPr>
                    <w:rFonts w:ascii="Cambria Math" w:eastAsia="Times New Roman" w:hAnsi="Cambria Math" w:cs="Arial"/>
                    <w:color w:val="000000"/>
                    <w:lang w:eastAsia="es-MX"/>
                  </w:rPr>
                  <m:t>α</m:t>
                </m:r>
              </m:e>
              <m:sub>
                <m:r>
                  <w:rPr>
                    <w:rFonts w:ascii="Cambria Math" w:eastAsia="Times New Roman" w:hAnsi="Cambria Math" w:cs="Arial"/>
                    <w:color w:val="000000"/>
                    <w:lang w:eastAsia="es-MX"/>
                  </w:rPr>
                  <m:t>3</m:t>
                </m:r>
              </m:sub>
              <m:sup>
                <m:r>
                  <w:rPr>
                    <w:rFonts w:ascii="Cambria Math" w:eastAsia="Times New Roman" w:hAnsi="Cambria Math" w:cs="Arial"/>
                    <w:color w:val="000000"/>
                    <w:lang w:eastAsia="es-MX"/>
                  </w:rPr>
                  <m:t>2</m:t>
                </m:r>
              </m:sup>
            </m:sSubSup>
            <m:r>
              <w:rPr>
                <w:rFonts w:ascii="Cambria Math" w:eastAsia="Times New Roman" w:hAnsi="Cambria Math" w:cs="Arial"/>
                <w:color w:val="000000"/>
                <w:lang w:eastAsia="es-MX"/>
              </w:rPr>
              <m:t>+…+</m:t>
            </m:r>
            <m:sSubSup>
              <m:sSubSupPr>
                <m:ctrlPr>
                  <w:rPr>
                    <w:rFonts w:ascii="Cambria Math" w:eastAsia="Times New Roman" w:hAnsi="Cambria Math" w:cs="Arial"/>
                    <w:i/>
                    <w:color w:val="000000"/>
                    <w:lang w:eastAsia="es-MX"/>
                  </w:rPr>
                </m:ctrlPr>
              </m:sSubSupPr>
              <m:e>
                <m:r>
                  <w:rPr>
                    <w:rFonts w:ascii="Cambria Math" w:eastAsia="Times New Roman" w:hAnsi="Cambria Math" w:cs="Arial"/>
                    <w:color w:val="000000"/>
                    <w:lang w:eastAsia="es-MX"/>
                  </w:rPr>
                  <m:t>α</m:t>
                </m:r>
              </m:e>
              <m:sub>
                <m:r>
                  <w:rPr>
                    <w:rFonts w:ascii="Cambria Math" w:eastAsia="Times New Roman" w:hAnsi="Cambria Math" w:cs="Arial"/>
                    <w:color w:val="000000"/>
                    <w:lang w:eastAsia="es-MX"/>
                  </w:rPr>
                  <m:t>N</m:t>
                </m:r>
              </m:sub>
              <m:sup>
                <m:r>
                  <w:rPr>
                    <w:rFonts w:ascii="Cambria Math" w:eastAsia="Times New Roman" w:hAnsi="Cambria Math" w:cs="Arial"/>
                    <w:color w:val="000000"/>
                    <w:lang w:eastAsia="es-MX"/>
                  </w:rPr>
                  <m:t>2</m:t>
                </m:r>
              </m:sup>
            </m:sSubSup>
          </m:e>
        </m:d>
      </m:oMath>
      <w:r>
        <w:rPr>
          <w:rFonts w:ascii="Arial" w:eastAsia="Times New Roman" w:hAnsi="Arial" w:cs="Arial"/>
          <w:color w:val="000000"/>
          <w:lang w:eastAsia="es-MX"/>
        </w:rPr>
        <w:t xml:space="preserve"> </w:t>
      </w:r>
    </w:p>
    <w:p w14:paraId="16A8A8AB" w14:textId="77777777" w:rsidR="00756CA7" w:rsidRPr="00BF4AC1" w:rsidRDefault="00756CA7" w:rsidP="00756CA7">
      <w:pPr>
        <w:pStyle w:val="Prrafodelista"/>
        <w:ind w:left="0" w:right="-1"/>
        <w:contextualSpacing w:val="0"/>
        <w:rPr>
          <w:rFonts w:ascii="Arial" w:eastAsia="Times New Roman" w:hAnsi="Arial" w:cs="Arial"/>
          <w:color w:val="000000"/>
          <w:lang w:eastAsia="es-MX"/>
        </w:rPr>
      </w:pPr>
    </w:p>
    <w:p w14:paraId="5F5B553A" w14:textId="77777777" w:rsidR="00756CA7" w:rsidRPr="002E30CA" w:rsidRDefault="00756CA7" w:rsidP="00756CA7">
      <w:pPr>
        <w:pStyle w:val="Prrafodelista"/>
        <w:ind w:left="0" w:right="-1"/>
        <w:contextualSpacing w:val="0"/>
        <w:rPr>
          <w:rFonts w:ascii="Arial" w:eastAsia="Times New Roman" w:hAnsi="Arial" w:cs="Arial"/>
          <w:color w:val="000000"/>
          <w:lang w:eastAsia="es-MX"/>
        </w:rPr>
      </w:pPr>
      <m:oMath>
        <m:r>
          <w:rPr>
            <w:rFonts w:ascii="Cambria Math" w:eastAsia="Times New Roman" w:hAnsi="Cambria Math" w:cs="Arial"/>
            <w:color w:val="000000"/>
            <w:lang w:eastAsia="es-MX"/>
          </w:rPr>
          <m:t>=</m:t>
        </m:r>
        <m:d>
          <m:dPr>
            <m:begChr m:val="["/>
            <m:endChr m:val="]"/>
            <m:ctrlPr>
              <w:rPr>
                <w:rFonts w:ascii="Cambria Math" w:eastAsia="Times New Roman" w:hAnsi="Cambria Math" w:cs="Arial"/>
                <w:i/>
                <w:color w:val="000000"/>
                <w:lang w:eastAsia="es-MX"/>
              </w:rPr>
            </m:ctrlPr>
          </m:dPr>
          <m:e>
            <m:d>
              <m:dPr>
                <m:ctrlPr>
                  <w:rPr>
                    <w:rFonts w:ascii="Cambria Math" w:eastAsia="Times New Roman" w:hAnsi="Cambria Math" w:cs="Arial"/>
                    <w:i/>
                    <w:color w:val="000000"/>
                    <w:lang w:eastAsia="es-MX"/>
                  </w:rPr>
                </m:ctrlPr>
              </m:dPr>
              <m:e>
                <m:sSubSup>
                  <m:sSubSupPr>
                    <m:ctrlPr>
                      <w:rPr>
                        <w:rFonts w:ascii="Cambria Math" w:eastAsia="Times New Roman" w:hAnsi="Cambria Math" w:cs="Arial"/>
                        <w:i/>
                        <w:color w:val="000000"/>
                        <w:lang w:eastAsia="es-MX"/>
                      </w:rPr>
                    </m:ctrlPr>
                  </m:sSubSupPr>
                  <m:e>
                    <m:r>
                      <w:rPr>
                        <w:rFonts w:ascii="Cambria Math" w:eastAsia="Times New Roman" w:hAnsi="Cambria Math" w:cs="Arial"/>
                        <w:color w:val="000000"/>
                        <w:lang w:eastAsia="es-MX"/>
                      </w:rPr>
                      <m:t>α</m:t>
                    </m:r>
                  </m:e>
                  <m:sub>
                    <m:r>
                      <w:rPr>
                        <w:rFonts w:ascii="Cambria Math" w:eastAsia="Times New Roman" w:hAnsi="Cambria Math" w:cs="Arial"/>
                        <w:color w:val="000000"/>
                        <w:lang w:eastAsia="es-MX"/>
                      </w:rPr>
                      <m:t>1</m:t>
                    </m:r>
                  </m:sub>
                  <m:sup>
                    <m:r>
                      <w:rPr>
                        <w:rFonts w:ascii="Cambria Math" w:eastAsia="Times New Roman" w:hAnsi="Cambria Math" w:cs="Arial"/>
                        <w:color w:val="000000"/>
                        <w:lang w:eastAsia="es-MX"/>
                      </w:rPr>
                      <m:t>2</m:t>
                    </m:r>
                  </m:sup>
                </m:sSubSup>
                <m:r>
                  <w:rPr>
                    <w:rFonts w:ascii="Cambria Math" w:eastAsia="Times New Roman" w:hAnsi="Cambria Math" w:cs="Arial"/>
                    <w:color w:val="000000"/>
                    <w:lang w:eastAsia="es-MX"/>
                  </w:rPr>
                  <m:t>+2</m:t>
                </m:r>
                <m:sSub>
                  <m:sSubPr>
                    <m:ctrlPr>
                      <w:rPr>
                        <w:rFonts w:ascii="Cambria Math" w:eastAsia="Times New Roman" w:hAnsi="Cambria Math" w:cs="Arial"/>
                        <w:i/>
                        <w:color w:val="000000"/>
                        <w:lang w:eastAsia="es-MX"/>
                      </w:rPr>
                    </m:ctrlPr>
                  </m:sSubPr>
                  <m:e>
                    <m:r>
                      <w:rPr>
                        <w:rFonts w:ascii="Cambria Math" w:eastAsia="Times New Roman" w:hAnsi="Cambria Math" w:cs="Arial"/>
                        <w:color w:val="000000"/>
                        <w:lang w:eastAsia="es-MX"/>
                      </w:rPr>
                      <m:t>α</m:t>
                    </m:r>
                  </m:e>
                  <m:sub>
                    <m:r>
                      <w:rPr>
                        <w:rFonts w:ascii="Cambria Math" w:eastAsia="Times New Roman" w:hAnsi="Cambria Math" w:cs="Arial"/>
                        <w:color w:val="000000"/>
                        <w:lang w:eastAsia="es-MX"/>
                      </w:rPr>
                      <m:t>1</m:t>
                    </m:r>
                  </m:sub>
                </m:sSub>
                <m:sSub>
                  <m:sSubPr>
                    <m:ctrlPr>
                      <w:rPr>
                        <w:rFonts w:ascii="Cambria Math" w:eastAsia="Times New Roman" w:hAnsi="Cambria Math" w:cs="Arial"/>
                        <w:i/>
                        <w:color w:val="000000"/>
                        <w:lang w:eastAsia="es-MX"/>
                      </w:rPr>
                    </m:ctrlPr>
                  </m:sSubPr>
                  <m:e>
                    <m:r>
                      <w:rPr>
                        <w:rFonts w:ascii="Cambria Math" w:eastAsia="Times New Roman" w:hAnsi="Cambria Math" w:cs="Arial"/>
                        <w:color w:val="000000"/>
                        <w:lang w:eastAsia="es-MX"/>
                      </w:rPr>
                      <m:t>α</m:t>
                    </m:r>
                  </m:e>
                  <m:sub>
                    <m:r>
                      <w:rPr>
                        <w:rFonts w:ascii="Cambria Math" w:eastAsia="Times New Roman" w:hAnsi="Cambria Math" w:cs="Arial"/>
                        <w:color w:val="000000"/>
                        <w:lang w:eastAsia="es-MX"/>
                      </w:rPr>
                      <m:t>2</m:t>
                    </m:r>
                  </m:sub>
                </m:sSub>
                <m:r>
                  <w:rPr>
                    <w:rFonts w:ascii="Cambria Math" w:eastAsia="Times New Roman" w:hAnsi="Cambria Math" w:cs="Arial"/>
                    <w:color w:val="000000"/>
                    <w:lang w:eastAsia="es-MX"/>
                  </w:rPr>
                  <m:t>+</m:t>
                </m:r>
                <m:sSubSup>
                  <m:sSubSupPr>
                    <m:ctrlPr>
                      <w:rPr>
                        <w:rFonts w:ascii="Cambria Math" w:eastAsia="Times New Roman" w:hAnsi="Cambria Math" w:cs="Arial"/>
                        <w:i/>
                        <w:color w:val="000000"/>
                        <w:lang w:eastAsia="es-MX"/>
                      </w:rPr>
                    </m:ctrlPr>
                  </m:sSubSupPr>
                  <m:e>
                    <m:r>
                      <w:rPr>
                        <w:rFonts w:ascii="Cambria Math" w:eastAsia="Times New Roman" w:hAnsi="Cambria Math" w:cs="Arial"/>
                        <w:color w:val="000000"/>
                        <w:lang w:eastAsia="es-MX"/>
                      </w:rPr>
                      <m:t>α</m:t>
                    </m:r>
                  </m:e>
                  <m:sub>
                    <m:r>
                      <w:rPr>
                        <w:rFonts w:ascii="Cambria Math" w:eastAsia="Times New Roman" w:hAnsi="Cambria Math" w:cs="Arial"/>
                        <w:color w:val="000000"/>
                        <w:lang w:eastAsia="es-MX"/>
                      </w:rPr>
                      <m:t>2</m:t>
                    </m:r>
                  </m:sub>
                  <m:sup>
                    <m:r>
                      <w:rPr>
                        <w:rFonts w:ascii="Cambria Math" w:eastAsia="Times New Roman" w:hAnsi="Cambria Math" w:cs="Arial"/>
                        <w:color w:val="000000"/>
                        <w:lang w:eastAsia="es-MX"/>
                      </w:rPr>
                      <m:t>2</m:t>
                    </m:r>
                  </m:sup>
                </m:sSubSup>
              </m:e>
            </m:d>
            <m:r>
              <w:rPr>
                <w:rFonts w:ascii="Cambria Math" w:eastAsia="Times New Roman" w:hAnsi="Cambria Math" w:cs="Arial"/>
                <w:color w:val="000000"/>
                <w:lang w:eastAsia="es-MX"/>
              </w:rPr>
              <m:t>+</m:t>
            </m:r>
            <m:sSubSup>
              <m:sSubSupPr>
                <m:ctrlPr>
                  <w:rPr>
                    <w:rFonts w:ascii="Cambria Math" w:eastAsia="Times New Roman" w:hAnsi="Cambria Math" w:cs="Arial"/>
                    <w:i/>
                    <w:color w:val="000000"/>
                    <w:lang w:eastAsia="es-MX"/>
                  </w:rPr>
                </m:ctrlPr>
              </m:sSubSupPr>
              <m:e>
                <m:r>
                  <w:rPr>
                    <w:rFonts w:ascii="Cambria Math" w:eastAsia="Times New Roman" w:hAnsi="Cambria Math" w:cs="Arial"/>
                    <w:color w:val="000000"/>
                    <w:lang w:eastAsia="es-MX"/>
                  </w:rPr>
                  <m:t>α</m:t>
                </m:r>
              </m:e>
              <m:sub>
                <m:r>
                  <w:rPr>
                    <w:rFonts w:ascii="Cambria Math" w:eastAsia="Times New Roman" w:hAnsi="Cambria Math" w:cs="Arial"/>
                    <w:color w:val="000000"/>
                    <w:lang w:eastAsia="es-MX"/>
                  </w:rPr>
                  <m:t>3</m:t>
                </m:r>
              </m:sub>
              <m:sup>
                <m:r>
                  <w:rPr>
                    <w:rFonts w:ascii="Cambria Math" w:eastAsia="Times New Roman" w:hAnsi="Cambria Math" w:cs="Arial"/>
                    <w:color w:val="000000"/>
                    <w:lang w:eastAsia="es-MX"/>
                  </w:rPr>
                  <m:t>2</m:t>
                </m:r>
              </m:sup>
            </m:sSubSup>
            <m:r>
              <w:rPr>
                <w:rFonts w:ascii="Cambria Math" w:eastAsia="Times New Roman" w:hAnsi="Cambria Math" w:cs="Arial"/>
                <w:color w:val="000000"/>
                <w:lang w:eastAsia="es-MX"/>
              </w:rPr>
              <m:t>+…+</m:t>
            </m:r>
            <m:sSubSup>
              <m:sSubSupPr>
                <m:ctrlPr>
                  <w:rPr>
                    <w:rFonts w:ascii="Cambria Math" w:eastAsia="Times New Roman" w:hAnsi="Cambria Math" w:cs="Arial"/>
                    <w:i/>
                    <w:color w:val="000000"/>
                    <w:lang w:eastAsia="es-MX"/>
                  </w:rPr>
                </m:ctrlPr>
              </m:sSubSupPr>
              <m:e>
                <m:r>
                  <w:rPr>
                    <w:rFonts w:ascii="Cambria Math" w:eastAsia="Times New Roman" w:hAnsi="Cambria Math" w:cs="Arial"/>
                    <w:color w:val="000000"/>
                    <w:lang w:eastAsia="es-MX"/>
                  </w:rPr>
                  <m:t>α</m:t>
                </m:r>
              </m:e>
              <m:sub>
                <m:r>
                  <w:rPr>
                    <w:rFonts w:ascii="Cambria Math" w:eastAsia="Times New Roman" w:hAnsi="Cambria Math" w:cs="Arial"/>
                    <w:color w:val="000000"/>
                    <w:lang w:eastAsia="es-MX"/>
                  </w:rPr>
                  <m:t>N</m:t>
                </m:r>
              </m:sub>
              <m:sup>
                <m:r>
                  <w:rPr>
                    <w:rFonts w:ascii="Cambria Math" w:eastAsia="Times New Roman" w:hAnsi="Cambria Math" w:cs="Arial"/>
                    <w:color w:val="000000"/>
                    <w:lang w:eastAsia="es-MX"/>
                  </w:rPr>
                  <m:t>2</m:t>
                </m:r>
              </m:sup>
            </m:sSubSup>
          </m:e>
        </m:d>
        <m:r>
          <w:rPr>
            <w:rFonts w:ascii="Cambria Math" w:eastAsia="Times New Roman" w:hAnsi="Cambria Math" w:cs="Arial"/>
            <w:color w:val="000000"/>
            <w:lang w:eastAsia="es-MX"/>
          </w:rPr>
          <m:t>-</m:t>
        </m:r>
        <m:d>
          <m:dPr>
            <m:begChr m:val="["/>
            <m:endChr m:val="]"/>
            <m:ctrlPr>
              <w:rPr>
                <w:rFonts w:ascii="Cambria Math" w:eastAsia="Times New Roman" w:hAnsi="Cambria Math" w:cs="Arial"/>
                <w:i/>
                <w:color w:val="000000"/>
                <w:lang w:eastAsia="es-MX"/>
              </w:rPr>
            </m:ctrlPr>
          </m:dPr>
          <m:e>
            <m:sSubSup>
              <m:sSubSupPr>
                <m:ctrlPr>
                  <w:rPr>
                    <w:rFonts w:ascii="Cambria Math" w:eastAsia="Times New Roman" w:hAnsi="Cambria Math" w:cs="Arial"/>
                    <w:i/>
                    <w:color w:val="000000"/>
                    <w:lang w:eastAsia="es-MX"/>
                  </w:rPr>
                </m:ctrlPr>
              </m:sSubSupPr>
              <m:e>
                <m:r>
                  <w:rPr>
                    <w:rFonts w:ascii="Cambria Math" w:eastAsia="Times New Roman" w:hAnsi="Cambria Math" w:cs="Arial"/>
                    <w:color w:val="000000"/>
                    <w:lang w:eastAsia="es-MX"/>
                  </w:rPr>
                  <m:t>α</m:t>
                </m:r>
              </m:e>
              <m:sub>
                <m:r>
                  <w:rPr>
                    <w:rFonts w:ascii="Cambria Math" w:eastAsia="Times New Roman" w:hAnsi="Cambria Math" w:cs="Arial"/>
                    <w:color w:val="000000"/>
                    <w:lang w:eastAsia="es-MX"/>
                  </w:rPr>
                  <m:t>1</m:t>
                </m:r>
              </m:sub>
              <m:sup>
                <m:r>
                  <w:rPr>
                    <w:rFonts w:ascii="Cambria Math" w:eastAsia="Times New Roman" w:hAnsi="Cambria Math" w:cs="Arial"/>
                    <w:color w:val="000000"/>
                    <w:lang w:eastAsia="es-MX"/>
                  </w:rPr>
                  <m:t>2</m:t>
                </m:r>
              </m:sup>
            </m:sSubSup>
            <m:r>
              <w:rPr>
                <w:rFonts w:ascii="Cambria Math" w:eastAsia="Times New Roman" w:hAnsi="Cambria Math" w:cs="Arial"/>
                <w:color w:val="000000"/>
                <w:lang w:eastAsia="es-MX"/>
              </w:rPr>
              <m:t>+</m:t>
            </m:r>
            <m:sSubSup>
              <m:sSubSupPr>
                <m:ctrlPr>
                  <w:rPr>
                    <w:rFonts w:ascii="Cambria Math" w:eastAsia="Times New Roman" w:hAnsi="Cambria Math" w:cs="Arial"/>
                    <w:i/>
                    <w:color w:val="000000"/>
                    <w:lang w:eastAsia="es-MX"/>
                  </w:rPr>
                </m:ctrlPr>
              </m:sSubSupPr>
              <m:e>
                <m:r>
                  <w:rPr>
                    <w:rFonts w:ascii="Cambria Math" w:eastAsia="Times New Roman" w:hAnsi="Cambria Math" w:cs="Arial"/>
                    <w:color w:val="000000"/>
                    <w:lang w:eastAsia="es-MX"/>
                  </w:rPr>
                  <m:t>α</m:t>
                </m:r>
              </m:e>
              <m:sub>
                <m:r>
                  <w:rPr>
                    <w:rFonts w:ascii="Cambria Math" w:eastAsia="Times New Roman" w:hAnsi="Cambria Math" w:cs="Arial"/>
                    <w:color w:val="000000"/>
                    <w:lang w:eastAsia="es-MX"/>
                  </w:rPr>
                  <m:t>2</m:t>
                </m:r>
              </m:sub>
              <m:sup>
                <m:r>
                  <w:rPr>
                    <w:rFonts w:ascii="Cambria Math" w:eastAsia="Times New Roman" w:hAnsi="Cambria Math" w:cs="Arial"/>
                    <w:color w:val="000000"/>
                    <w:lang w:eastAsia="es-MX"/>
                  </w:rPr>
                  <m:t>2</m:t>
                </m:r>
              </m:sup>
            </m:sSubSup>
            <m:r>
              <w:rPr>
                <w:rFonts w:ascii="Cambria Math" w:eastAsia="Times New Roman" w:hAnsi="Cambria Math" w:cs="Arial"/>
                <w:color w:val="000000"/>
                <w:lang w:eastAsia="es-MX"/>
              </w:rPr>
              <m:t>+</m:t>
            </m:r>
            <m:sSubSup>
              <m:sSubSupPr>
                <m:ctrlPr>
                  <w:rPr>
                    <w:rFonts w:ascii="Cambria Math" w:eastAsia="Times New Roman" w:hAnsi="Cambria Math" w:cs="Arial"/>
                    <w:i/>
                    <w:color w:val="000000"/>
                    <w:lang w:eastAsia="es-MX"/>
                  </w:rPr>
                </m:ctrlPr>
              </m:sSubSupPr>
              <m:e>
                <m:r>
                  <w:rPr>
                    <w:rFonts w:ascii="Cambria Math" w:eastAsia="Times New Roman" w:hAnsi="Cambria Math" w:cs="Arial"/>
                    <w:color w:val="000000"/>
                    <w:lang w:eastAsia="es-MX"/>
                  </w:rPr>
                  <m:t>α</m:t>
                </m:r>
              </m:e>
              <m:sub>
                <m:r>
                  <w:rPr>
                    <w:rFonts w:ascii="Cambria Math" w:eastAsia="Times New Roman" w:hAnsi="Cambria Math" w:cs="Arial"/>
                    <w:color w:val="000000"/>
                    <w:lang w:eastAsia="es-MX"/>
                  </w:rPr>
                  <m:t>3</m:t>
                </m:r>
              </m:sub>
              <m:sup>
                <m:r>
                  <w:rPr>
                    <w:rFonts w:ascii="Cambria Math" w:eastAsia="Times New Roman" w:hAnsi="Cambria Math" w:cs="Arial"/>
                    <w:color w:val="000000"/>
                    <w:lang w:eastAsia="es-MX"/>
                  </w:rPr>
                  <m:t>2</m:t>
                </m:r>
              </m:sup>
            </m:sSubSup>
            <m:r>
              <w:rPr>
                <w:rFonts w:ascii="Cambria Math" w:eastAsia="Times New Roman" w:hAnsi="Cambria Math" w:cs="Arial"/>
                <w:color w:val="000000"/>
                <w:lang w:eastAsia="es-MX"/>
              </w:rPr>
              <m:t>+…+</m:t>
            </m:r>
            <m:sSubSup>
              <m:sSubSupPr>
                <m:ctrlPr>
                  <w:rPr>
                    <w:rFonts w:ascii="Cambria Math" w:eastAsia="Times New Roman" w:hAnsi="Cambria Math" w:cs="Arial"/>
                    <w:i/>
                    <w:color w:val="000000"/>
                    <w:lang w:eastAsia="es-MX"/>
                  </w:rPr>
                </m:ctrlPr>
              </m:sSubSupPr>
              <m:e>
                <m:r>
                  <w:rPr>
                    <w:rFonts w:ascii="Cambria Math" w:eastAsia="Times New Roman" w:hAnsi="Cambria Math" w:cs="Arial"/>
                    <w:color w:val="000000"/>
                    <w:lang w:eastAsia="es-MX"/>
                  </w:rPr>
                  <m:t>α</m:t>
                </m:r>
              </m:e>
              <m:sub>
                <m:r>
                  <w:rPr>
                    <w:rFonts w:ascii="Cambria Math" w:eastAsia="Times New Roman" w:hAnsi="Cambria Math" w:cs="Arial"/>
                    <w:color w:val="000000"/>
                    <w:lang w:eastAsia="es-MX"/>
                  </w:rPr>
                  <m:t>N</m:t>
                </m:r>
              </m:sub>
              <m:sup>
                <m:r>
                  <w:rPr>
                    <w:rFonts w:ascii="Cambria Math" w:eastAsia="Times New Roman" w:hAnsi="Cambria Math" w:cs="Arial"/>
                    <w:color w:val="000000"/>
                    <w:lang w:eastAsia="es-MX"/>
                  </w:rPr>
                  <m:t>2</m:t>
                </m:r>
              </m:sup>
            </m:sSubSup>
          </m:e>
        </m:d>
      </m:oMath>
      <w:r w:rsidRPr="002E30CA">
        <w:rPr>
          <w:rFonts w:ascii="Arial" w:eastAsia="Times New Roman" w:hAnsi="Arial" w:cs="Arial"/>
          <w:color w:val="000000"/>
          <w:lang w:eastAsia="es-MX"/>
        </w:rPr>
        <w:t xml:space="preserve"> </w:t>
      </w:r>
    </w:p>
    <w:p w14:paraId="4DE1793F" w14:textId="77777777" w:rsidR="00756CA7" w:rsidRPr="002E30CA" w:rsidRDefault="00756CA7" w:rsidP="00756CA7">
      <w:pPr>
        <w:pStyle w:val="Prrafodelista"/>
        <w:ind w:left="0" w:right="-1"/>
        <w:contextualSpacing w:val="0"/>
        <w:rPr>
          <w:rFonts w:ascii="Arial" w:eastAsia="Times New Roman" w:hAnsi="Arial" w:cs="Arial"/>
          <w:color w:val="000000"/>
          <w:lang w:eastAsia="es-MX"/>
        </w:rPr>
      </w:pPr>
    </w:p>
    <w:p w14:paraId="5DF5444B" w14:textId="77777777" w:rsidR="00756CA7" w:rsidRPr="00BF4AC1" w:rsidRDefault="00756CA7" w:rsidP="00756CA7">
      <w:pPr>
        <w:pStyle w:val="Prrafodelista"/>
        <w:ind w:left="0" w:right="-1"/>
        <w:contextualSpacing w:val="0"/>
        <w:rPr>
          <w:rFonts w:ascii="Arial" w:eastAsia="Times New Roman" w:hAnsi="Arial" w:cs="Arial"/>
          <w:color w:val="000000"/>
          <w:lang w:eastAsia="es-MX"/>
        </w:rPr>
      </w:pPr>
      <m:oMathPara>
        <m:oMathParaPr>
          <m:jc m:val="left"/>
        </m:oMathParaPr>
        <m:oMath>
          <m:r>
            <w:rPr>
              <w:rFonts w:ascii="Cambria Math" w:eastAsia="Times New Roman" w:hAnsi="Cambria Math" w:cs="Arial"/>
              <w:color w:val="000000"/>
              <w:lang w:eastAsia="es-MX"/>
            </w:rPr>
            <m:t>=2</m:t>
          </m:r>
          <m:sSub>
            <m:sSubPr>
              <m:ctrlPr>
                <w:rPr>
                  <w:rFonts w:ascii="Cambria Math" w:eastAsia="Times New Roman" w:hAnsi="Cambria Math" w:cs="Arial"/>
                  <w:i/>
                  <w:color w:val="000000"/>
                  <w:lang w:eastAsia="es-MX"/>
                </w:rPr>
              </m:ctrlPr>
            </m:sSubPr>
            <m:e>
              <m:r>
                <w:rPr>
                  <w:rFonts w:ascii="Cambria Math" w:eastAsia="Times New Roman" w:hAnsi="Cambria Math" w:cs="Arial"/>
                  <w:color w:val="000000"/>
                  <w:lang w:eastAsia="es-MX"/>
                </w:rPr>
                <m:t>α</m:t>
              </m:r>
            </m:e>
            <m:sub>
              <m:r>
                <w:rPr>
                  <w:rFonts w:ascii="Cambria Math" w:eastAsia="Times New Roman" w:hAnsi="Cambria Math" w:cs="Arial"/>
                  <w:color w:val="000000"/>
                  <w:lang w:eastAsia="es-MX"/>
                </w:rPr>
                <m:t>1</m:t>
              </m:r>
            </m:sub>
          </m:sSub>
          <m:sSub>
            <m:sSubPr>
              <m:ctrlPr>
                <w:rPr>
                  <w:rFonts w:ascii="Cambria Math" w:eastAsia="Times New Roman" w:hAnsi="Cambria Math" w:cs="Arial"/>
                  <w:i/>
                  <w:color w:val="000000"/>
                  <w:lang w:eastAsia="es-MX"/>
                </w:rPr>
              </m:ctrlPr>
            </m:sSubPr>
            <m:e>
              <m:r>
                <w:rPr>
                  <w:rFonts w:ascii="Cambria Math" w:eastAsia="Times New Roman" w:hAnsi="Cambria Math" w:cs="Arial"/>
                  <w:color w:val="000000"/>
                  <w:lang w:eastAsia="es-MX"/>
                </w:rPr>
                <m:t>α</m:t>
              </m:r>
            </m:e>
            <m:sub>
              <m:r>
                <w:rPr>
                  <w:rFonts w:ascii="Cambria Math" w:eastAsia="Times New Roman" w:hAnsi="Cambria Math" w:cs="Arial"/>
                  <w:color w:val="000000"/>
                  <w:lang w:eastAsia="es-MX"/>
                </w:rPr>
                <m:t>2</m:t>
              </m:r>
            </m:sub>
          </m:sSub>
        </m:oMath>
      </m:oMathPara>
    </w:p>
    <w:p w14:paraId="2549EC5B" w14:textId="77777777" w:rsidR="00756CA7" w:rsidRPr="00FA76A8" w:rsidRDefault="00756CA7" w:rsidP="00756CA7">
      <w:pPr>
        <w:pStyle w:val="Prrafodelista"/>
        <w:ind w:left="0" w:right="-1"/>
        <w:contextualSpacing w:val="0"/>
        <w:rPr>
          <w:rFonts w:ascii="Arial" w:eastAsia="Times New Roman" w:hAnsi="Arial" w:cs="Arial"/>
          <w:color w:val="000000"/>
          <w:lang w:eastAsia="es-MX"/>
        </w:rPr>
      </w:pPr>
    </w:p>
    <w:p w14:paraId="1FFD233F" w14:textId="77777777" w:rsidR="00756CA7" w:rsidRPr="00D5744A" w:rsidRDefault="00756CA7" w:rsidP="00756CA7">
      <w:pPr>
        <w:pStyle w:val="Prrafodelista"/>
        <w:ind w:left="0" w:right="-1"/>
        <w:contextualSpacing w:val="0"/>
        <w:rPr>
          <w:rFonts w:ascii="Arial" w:hAnsi="Arial" w:cs="Arial"/>
          <w:color w:val="000000"/>
        </w:rPr>
      </w:pPr>
      <w:r w:rsidRPr="00D5744A">
        <w:rPr>
          <w:rFonts w:ascii="Arial" w:hAnsi="Arial" w:cs="Arial"/>
          <w:color w:val="000000"/>
        </w:rPr>
        <w:t xml:space="preserve">Es decir, para el ejemplo que se presenta, la variación del IHH se puede obtener de la diferencia entre el valor del </w:t>
      </w:r>
      <m:oMath>
        <m:r>
          <w:rPr>
            <w:rFonts w:ascii="Cambria Math" w:hAnsi="Cambria Math" w:cs="Arial"/>
            <w:color w:val="000000"/>
          </w:rPr>
          <m:t>I</m:t>
        </m:r>
        <m:sSub>
          <m:sSubPr>
            <m:ctrlPr>
              <w:rPr>
                <w:rFonts w:ascii="Cambria Math" w:hAnsi="Cambria Math" w:cs="Arial"/>
                <w:i/>
                <w:color w:val="000000"/>
              </w:rPr>
            </m:ctrlPr>
          </m:sSubPr>
          <m:e>
            <m:r>
              <w:rPr>
                <w:rFonts w:ascii="Cambria Math" w:hAnsi="Cambria Math" w:cs="Arial"/>
                <w:color w:val="000000"/>
              </w:rPr>
              <m:t>HH</m:t>
            </m:r>
          </m:e>
          <m:sub>
            <m:r>
              <w:rPr>
                <w:rFonts w:ascii="Cambria Math" w:hAnsi="Cambria Math" w:cs="Arial"/>
                <w:color w:val="000000"/>
              </w:rPr>
              <m:t>D</m:t>
            </m:r>
          </m:sub>
        </m:sSub>
      </m:oMath>
      <w:r w:rsidRPr="00D5744A">
        <w:rPr>
          <w:rFonts w:ascii="Arial" w:hAnsi="Arial" w:cs="Arial"/>
          <w:color w:val="000000"/>
        </w:rPr>
        <w:t xml:space="preserve"> y del</w:t>
      </w:r>
      <w:r w:rsidRPr="00D5744A">
        <w:rPr>
          <w:rFonts w:ascii="Arial" w:hAnsi="Arial" w:cs="Arial"/>
        </w:rPr>
        <w:t xml:space="preserve"> </w:t>
      </w:r>
      <m:oMath>
        <m:r>
          <w:rPr>
            <w:rFonts w:ascii="Cambria Math" w:hAnsi="Cambria Math" w:cs="Arial"/>
          </w:rPr>
          <m:t>I</m:t>
        </m:r>
        <m:sSub>
          <m:sSubPr>
            <m:ctrlPr>
              <w:rPr>
                <w:rFonts w:ascii="Cambria Math" w:hAnsi="Cambria Math" w:cs="Arial"/>
                <w:i/>
              </w:rPr>
            </m:ctrlPr>
          </m:sSubPr>
          <m:e>
            <m:r>
              <w:rPr>
                <w:rFonts w:ascii="Cambria Math" w:hAnsi="Cambria Math" w:cs="Arial"/>
              </w:rPr>
              <m:t>HH</m:t>
            </m:r>
          </m:e>
          <m:sub>
            <m:r>
              <w:rPr>
                <w:rFonts w:ascii="Cambria Math" w:hAnsi="Cambria Math" w:cs="Arial"/>
              </w:rPr>
              <m:t>A</m:t>
            </m:r>
          </m:sub>
        </m:sSub>
      </m:oMath>
      <w:r w:rsidRPr="00D5744A">
        <w:rPr>
          <w:rFonts w:ascii="Arial" w:eastAsiaTheme="minorEastAsia" w:hAnsi="Arial" w:cs="Arial"/>
        </w:rPr>
        <w:t xml:space="preserve"> o de multiplicar por dos el producto de las participaciones previas a la concentración de l</w:t>
      </w:r>
      <w:r w:rsidRPr="00D5744A">
        <w:rPr>
          <w:rFonts w:ascii="Arial" w:eastAsiaTheme="minorEastAsia" w:hAnsi="Arial" w:cs="Arial"/>
          <w:color w:val="000000"/>
        </w:rPr>
        <w:t xml:space="preserve">os </w:t>
      </w:r>
      <w:r w:rsidRPr="00D5744A">
        <w:rPr>
          <w:rFonts w:ascii="Arial" w:hAnsi="Arial" w:cs="Arial"/>
          <w:color w:val="000000"/>
        </w:rPr>
        <w:t>2 (dos) agentes económicos</w:t>
      </w:r>
      <w:r w:rsidRPr="00D5744A">
        <w:rPr>
          <w:rFonts w:ascii="Arial" w:eastAsiaTheme="minorEastAsia" w:hAnsi="Arial" w:cs="Arial"/>
          <w:color w:val="000000"/>
        </w:rPr>
        <w:t xml:space="preserve"> que se concentran.</w:t>
      </w:r>
    </w:p>
    <w:p w14:paraId="4D3DE69A" w14:textId="77777777" w:rsidR="00756CA7" w:rsidRPr="00D5744A" w:rsidRDefault="00756CA7" w:rsidP="00756CA7">
      <w:pPr>
        <w:shd w:val="clear" w:color="auto" w:fill="FFFFFF"/>
        <w:ind w:right="-1"/>
        <w:rPr>
          <w:rFonts w:cs="Arial"/>
          <w:color w:val="000000"/>
        </w:rPr>
      </w:pPr>
    </w:p>
    <w:p w14:paraId="5AC47D0F" w14:textId="77777777" w:rsidR="00756CA7" w:rsidRPr="00D5744A" w:rsidRDefault="00756CA7" w:rsidP="00756CA7">
      <w:pPr>
        <w:pStyle w:val="Prrafodelista"/>
        <w:numPr>
          <w:ilvl w:val="0"/>
          <w:numId w:val="29"/>
        </w:numPr>
        <w:ind w:left="0" w:right="-1" w:firstLine="284"/>
        <w:rPr>
          <w:rFonts w:ascii="Arial" w:hAnsi="Arial" w:cs="Arial"/>
        </w:rPr>
      </w:pPr>
      <w:r w:rsidRPr="00D5744A">
        <w:rPr>
          <w:rFonts w:ascii="Arial" w:hAnsi="Arial" w:cs="Arial"/>
        </w:rPr>
        <w:lastRenderedPageBreak/>
        <w:t>El Instituto considerará que es poco probable que una concentración tiene por objeto o efecto obstaculizar, disminuir, dañar o impedir la competencia y la libre concurrencia, cuando posterior a ésta suceda alguna de las siguientes situaciones:</w:t>
      </w:r>
    </w:p>
    <w:p w14:paraId="3EFE7D7E" w14:textId="77777777" w:rsidR="00756CA7" w:rsidRPr="00D5744A" w:rsidRDefault="00756CA7" w:rsidP="00756CA7">
      <w:pPr>
        <w:pStyle w:val="Default"/>
        <w:spacing w:line="276" w:lineRule="auto"/>
        <w:ind w:left="720" w:right="-1"/>
        <w:jc w:val="both"/>
        <w:rPr>
          <w:rFonts w:ascii="Arial" w:hAnsi="Arial" w:cs="Arial"/>
          <w:sz w:val="22"/>
          <w:szCs w:val="22"/>
        </w:rPr>
      </w:pPr>
    </w:p>
    <w:p w14:paraId="44212AD5" w14:textId="77777777" w:rsidR="00756CA7" w:rsidRPr="00D5744A" w:rsidRDefault="00756CA7" w:rsidP="00756CA7">
      <w:pPr>
        <w:pStyle w:val="Default"/>
        <w:numPr>
          <w:ilvl w:val="0"/>
          <w:numId w:val="21"/>
        </w:numPr>
        <w:spacing w:after="120" w:line="276" w:lineRule="auto"/>
        <w:ind w:left="851" w:hanging="357"/>
        <w:jc w:val="both"/>
        <w:rPr>
          <w:rFonts w:ascii="Arial" w:hAnsi="Arial" w:cs="Arial"/>
          <w:color w:val="auto"/>
          <w:sz w:val="22"/>
          <w:szCs w:val="22"/>
        </w:rPr>
      </w:pPr>
      <w:r w:rsidRPr="00D5744A">
        <w:rPr>
          <w:rFonts w:ascii="Arial" w:hAnsi="Arial" w:cs="Arial"/>
          <w:color w:val="auto"/>
          <w:sz w:val="22"/>
          <w:szCs w:val="22"/>
        </w:rPr>
        <w:t xml:space="preserve">El grado de concentración sea bajo: </w:t>
      </w:r>
      <m:oMath>
        <m:r>
          <w:rPr>
            <w:rFonts w:ascii="Cambria Math" w:hAnsi="Cambria Math" w:cs="Arial"/>
            <w:color w:val="auto"/>
            <w:sz w:val="22"/>
            <w:szCs w:val="22"/>
          </w:rPr>
          <m:t>IHH ≤ 2,000</m:t>
        </m:r>
      </m:oMath>
      <w:r w:rsidRPr="00D5744A">
        <w:rPr>
          <w:rFonts w:ascii="Arial" w:hAnsi="Arial" w:cs="Arial"/>
          <w:color w:val="auto"/>
          <w:sz w:val="22"/>
          <w:szCs w:val="22"/>
        </w:rPr>
        <w:t xml:space="preserve"> puntos;</w:t>
      </w:r>
    </w:p>
    <w:p w14:paraId="477501F9" w14:textId="77777777" w:rsidR="00756CA7" w:rsidRPr="00D5744A" w:rsidRDefault="00756CA7" w:rsidP="00756CA7">
      <w:pPr>
        <w:pStyle w:val="Default"/>
        <w:numPr>
          <w:ilvl w:val="0"/>
          <w:numId w:val="21"/>
        </w:numPr>
        <w:spacing w:after="120" w:line="276" w:lineRule="auto"/>
        <w:ind w:left="851" w:hanging="357"/>
        <w:jc w:val="both"/>
        <w:rPr>
          <w:rFonts w:ascii="Arial" w:hAnsi="Arial" w:cs="Arial"/>
          <w:color w:val="auto"/>
          <w:sz w:val="22"/>
          <w:szCs w:val="22"/>
        </w:rPr>
      </w:pPr>
      <w:r w:rsidRPr="00D5744A">
        <w:rPr>
          <w:rFonts w:ascii="Arial" w:hAnsi="Arial" w:cs="Arial"/>
          <w:color w:val="auto"/>
          <w:sz w:val="22"/>
          <w:szCs w:val="22"/>
        </w:rPr>
        <w:t xml:space="preserve">El grado de concentración sea moderado: </w:t>
      </w:r>
      <m:oMath>
        <m:r>
          <w:rPr>
            <w:rFonts w:ascii="Cambria Math" w:hAnsi="Cambria Math" w:cs="Arial"/>
            <w:color w:val="auto"/>
            <w:sz w:val="22"/>
            <w:szCs w:val="22"/>
          </w:rPr>
          <m:t>2,000 &lt; IHH ≤ 2,500</m:t>
        </m:r>
      </m:oMath>
      <w:r w:rsidRPr="00D5744A">
        <w:rPr>
          <w:rFonts w:ascii="Arial" w:hAnsi="Arial" w:cs="Arial"/>
          <w:color w:val="auto"/>
          <w:sz w:val="22"/>
          <w:szCs w:val="22"/>
        </w:rPr>
        <w:t xml:space="preserve"> y</w:t>
      </w:r>
      <w:r w:rsidRPr="00D5744A">
        <w:rPr>
          <w:rFonts w:ascii="Arial" w:eastAsiaTheme="minorEastAsia" w:hAnsi="Arial" w:cs="Arial"/>
          <w:color w:val="auto"/>
          <w:sz w:val="22"/>
          <w:szCs w:val="22"/>
        </w:rPr>
        <w:t xml:space="preserve"> se tenga una </w:t>
      </w:r>
      <m:oMath>
        <m:r>
          <w:rPr>
            <w:rFonts w:ascii="Cambria Math" w:eastAsiaTheme="minorEastAsia" w:hAnsi="Cambria Math" w:cs="Arial"/>
            <w:color w:val="auto"/>
            <w:sz w:val="22"/>
            <w:szCs w:val="22"/>
          </w:rPr>
          <m:t>∆IHH ≤ 150</m:t>
        </m:r>
      </m:oMath>
      <w:r w:rsidRPr="00D5744A">
        <w:rPr>
          <w:rFonts w:ascii="Arial" w:hAnsi="Arial" w:cs="Arial"/>
          <w:color w:val="auto"/>
          <w:sz w:val="22"/>
          <w:szCs w:val="22"/>
        </w:rPr>
        <w:t xml:space="preserve"> puntos, o</w:t>
      </w:r>
    </w:p>
    <w:p w14:paraId="6ED98A11" w14:textId="77777777" w:rsidR="00756CA7" w:rsidRPr="00D5744A" w:rsidRDefault="00756CA7" w:rsidP="00756CA7">
      <w:pPr>
        <w:pStyle w:val="Default"/>
        <w:numPr>
          <w:ilvl w:val="0"/>
          <w:numId w:val="21"/>
        </w:numPr>
        <w:spacing w:line="276" w:lineRule="auto"/>
        <w:ind w:left="851" w:right="-1"/>
        <w:jc w:val="both"/>
        <w:rPr>
          <w:rFonts w:ascii="Arial" w:hAnsi="Arial" w:cs="Arial"/>
          <w:color w:val="auto"/>
          <w:sz w:val="22"/>
          <w:szCs w:val="22"/>
        </w:rPr>
      </w:pPr>
      <w:r w:rsidRPr="00D5744A">
        <w:rPr>
          <w:rFonts w:ascii="Arial" w:hAnsi="Arial" w:cs="Arial"/>
          <w:color w:val="auto"/>
          <w:sz w:val="22"/>
          <w:szCs w:val="22"/>
        </w:rPr>
        <w:t xml:space="preserve">El grado de concentración sea elevado: </w:t>
      </w:r>
      <m:oMath>
        <m:r>
          <w:rPr>
            <w:rFonts w:ascii="Cambria Math" w:hAnsi="Cambria Math" w:cs="Arial"/>
            <w:color w:val="auto"/>
            <w:sz w:val="22"/>
            <w:szCs w:val="22"/>
          </w:rPr>
          <m:t>IHH &gt; 2,500</m:t>
        </m:r>
      </m:oMath>
      <w:r w:rsidRPr="00D5744A">
        <w:rPr>
          <w:rFonts w:ascii="Arial" w:hAnsi="Arial" w:cs="Arial"/>
          <w:color w:val="auto"/>
          <w:sz w:val="22"/>
          <w:szCs w:val="22"/>
        </w:rPr>
        <w:t xml:space="preserve">, y </w:t>
      </w:r>
      <w:r w:rsidRPr="00D5744A">
        <w:rPr>
          <w:rFonts w:ascii="Arial" w:eastAsiaTheme="minorEastAsia" w:hAnsi="Arial" w:cs="Arial"/>
          <w:color w:val="auto"/>
          <w:sz w:val="22"/>
          <w:szCs w:val="22"/>
        </w:rPr>
        <w:t xml:space="preserve">se tenga una </w:t>
      </w:r>
      <m:oMath>
        <m:r>
          <w:rPr>
            <w:rFonts w:ascii="Cambria Math" w:eastAsiaTheme="minorEastAsia" w:hAnsi="Cambria Math" w:cs="Arial"/>
            <w:color w:val="auto"/>
            <w:sz w:val="22"/>
            <w:szCs w:val="22"/>
          </w:rPr>
          <m:t xml:space="preserve">∆IHH ≤ 100 </m:t>
        </m:r>
      </m:oMath>
      <w:r w:rsidRPr="00D5744A">
        <w:rPr>
          <w:rFonts w:ascii="Arial" w:hAnsi="Arial" w:cs="Arial"/>
          <w:color w:val="auto"/>
          <w:sz w:val="22"/>
          <w:szCs w:val="22"/>
        </w:rPr>
        <w:t>puntos.</w:t>
      </w:r>
    </w:p>
    <w:p w14:paraId="2A929B7F" w14:textId="77777777" w:rsidR="00756CA7" w:rsidRPr="00D5744A" w:rsidRDefault="00756CA7" w:rsidP="00756CA7">
      <w:pPr>
        <w:autoSpaceDE w:val="0"/>
        <w:autoSpaceDN w:val="0"/>
        <w:adjustRightInd w:val="0"/>
        <w:ind w:right="-1"/>
        <w:rPr>
          <w:rFonts w:cs="Arial"/>
          <w:color w:val="000000"/>
        </w:rPr>
      </w:pPr>
    </w:p>
    <w:p w14:paraId="55643193" w14:textId="77777777" w:rsidR="00756CA7" w:rsidRPr="00D5744A" w:rsidRDefault="00756CA7" w:rsidP="00756CA7">
      <w:pPr>
        <w:pStyle w:val="Prrafodelista"/>
        <w:numPr>
          <w:ilvl w:val="0"/>
          <w:numId w:val="29"/>
        </w:numPr>
        <w:ind w:left="0" w:right="-1" w:firstLine="284"/>
        <w:rPr>
          <w:rFonts w:ascii="Arial" w:eastAsia="Times New Roman" w:hAnsi="Arial" w:cs="Arial"/>
          <w:color w:val="000000"/>
          <w:lang w:eastAsia="es-MX"/>
        </w:rPr>
      </w:pPr>
      <w:r w:rsidRPr="00D5744A">
        <w:rPr>
          <w:rFonts w:ascii="Arial" w:hAnsi="Arial" w:cs="Arial"/>
        </w:rPr>
        <w:t xml:space="preserve">Aun cuando una concentración implique valores del IHH y de la  </w:t>
      </w:r>
      <m:oMath>
        <m:r>
          <m:rPr>
            <m:sty m:val="p"/>
          </m:rPr>
          <w:rPr>
            <w:rFonts w:ascii="Cambria Math" w:hAnsi="Cambria Math" w:cs="Arial"/>
          </w:rPr>
          <m:t>∆IHH</m:t>
        </m:r>
      </m:oMath>
      <w:r w:rsidRPr="00D5744A">
        <w:rPr>
          <w:rFonts w:ascii="Arial" w:hAnsi="Arial" w:cs="Arial"/>
        </w:rPr>
        <w:t xml:space="preserve"> que se ubiquen dentro de los umbrales establecidos en el numeral anterior, el Instituto podrá considerar que existen potenciales riesgos de que ésta tiene por objeto o efecto obstaculizar, disminuir, dañar o impedir la competencia y la libre concurrencia, si sucede </w:t>
      </w:r>
      <w:r w:rsidRPr="00D5744A">
        <w:rPr>
          <w:rFonts w:ascii="Arial" w:eastAsia="Times New Roman" w:hAnsi="Arial" w:cs="Arial"/>
          <w:color w:val="000000"/>
          <w:lang w:eastAsia="es-MX"/>
        </w:rPr>
        <w:t>una o varias de las siguientes circunstancias:</w:t>
      </w:r>
    </w:p>
    <w:p w14:paraId="7FCEB774" w14:textId="77777777" w:rsidR="00756CA7" w:rsidRPr="00D5744A" w:rsidRDefault="00756CA7" w:rsidP="00756CA7">
      <w:pPr>
        <w:pStyle w:val="Prrafodelista"/>
        <w:ind w:right="-1"/>
        <w:rPr>
          <w:rFonts w:ascii="Arial" w:eastAsia="Times New Roman" w:hAnsi="Arial" w:cs="Arial"/>
          <w:color w:val="000000"/>
          <w:lang w:eastAsia="es-MX"/>
        </w:rPr>
      </w:pPr>
    </w:p>
    <w:p w14:paraId="3860E24A" w14:textId="77777777" w:rsidR="00756CA7" w:rsidRPr="00D5744A" w:rsidRDefault="00756CA7" w:rsidP="00756CA7">
      <w:pPr>
        <w:pStyle w:val="Prrafodelista"/>
        <w:numPr>
          <w:ilvl w:val="0"/>
          <w:numId w:val="22"/>
        </w:numPr>
        <w:autoSpaceDE w:val="0"/>
        <w:autoSpaceDN w:val="0"/>
        <w:adjustRightInd w:val="0"/>
        <w:ind w:left="426" w:hanging="357"/>
        <w:contextualSpacing w:val="0"/>
        <w:rPr>
          <w:rFonts w:ascii="Arial" w:eastAsia="Times New Roman" w:hAnsi="Arial" w:cs="Arial"/>
          <w:color w:val="000000"/>
          <w:lang w:eastAsia="es-MX"/>
        </w:rPr>
      </w:pPr>
      <w:r w:rsidRPr="00D5744A">
        <w:rPr>
          <w:rFonts w:ascii="Arial" w:eastAsia="Times New Roman" w:hAnsi="Arial" w:cs="Arial"/>
          <w:color w:val="000000"/>
          <w:lang w:eastAsia="es-MX"/>
        </w:rPr>
        <w:t>…</w:t>
      </w:r>
    </w:p>
    <w:p w14:paraId="77D6022D" w14:textId="77777777" w:rsidR="00756CA7" w:rsidRPr="00D5744A" w:rsidRDefault="00756CA7" w:rsidP="00756CA7">
      <w:pPr>
        <w:pStyle w:val="Prrafodelista"/>
        <w:autoSpaceDE w:val="0"/>
        <w:autoSpaceDN w:val="0"/>
        <w:adjustRightInd w:val="0"/>
        <w:ind w:left="426"/>
        <w:contextualSpacing w:val="0"/>
        <w:rPr>
          <w:rFonts w:ascii="Arial" w:eastAsia="Times New Roman" w:hAnsi="Arial" w:cs="Arial"/>
          <w:color w:val="000000"/>
          <w:lang w:eastAsia="es-MX"/>
        </w:rPr>
      </w:pPr>
    </w:p>
    <w:p w14:paraId="681E7B9F" w14:textId="27FCCB44" w:rsidR="00756CA7" w:rsidRPr="00D5744A" w:rsidRDefault="009972DF" w:rsidP="00756CA7">
      <w:pPr>
        <w:pStyle w:val="Prrafodelista"/>
        <w:numPr>
          <w:ilvl w:val="0"/>
          <w:numId w:val="22"/>
        </w:numPr>
        <w:autoSpaceDE w:val="0"/>
        <w:autoSpaceDN w:val="0"/>
        <w:adjustRightInd w:val="0"/>
        <w:ind w:left="426" w:hanging="357"/>
        <w:contextualSpacing w:val="0"/>
        <w:rPr>
          <w:rFonts w:ascii="Arial" w:eastAsia="Times New Roman" w:hAnsi="Arial" w:cs="Arial"/>
          <w:lang w:eastAsia="es-MX"/>
        </w:rPr>
      </w:pPr>
      <w:r>
        <w:rPr>
          <w:rFonts w:ascii="Arial" w:eastAsia="Times New Roman" w:hAnsi="Arial" w:cs="Arial"/>
          <w:lang w:eastAsia="es-MX"/>
        </w:rPr>
        <w:t>El</w:t>
      </w:r>
      <w:r w:rsidRPr="00D5744A">
        <w:rPr>
          <w:rFonts w:ascii="Arial" w:eastAsia="Times New Roman" w:hAnsi="Arial" w:cs="Arial"/>
          <w:lang w:eastAsia="es-MX"/>
        </w:rPr>
        <w:t xml:space="preserve"> </w:t>
      </w:r>
      <w:r w:rsidR="00756CA7" w:rsidRPr="00D5744A">
        <w:rPr>
          <w:rFonts w:ascii="Arial" w:eastAsia="Times New Roman" w:hAnsi="Arial" w:cs="Arial"/>
          <w:lang w:eastAsia="es-MX"/>
        </w:rPr>
        <w:t>agente económico resultante de la operación alcance una participación superior al 35% (treinta y cinco por ciento) en cualquier mercado del sector de telecomunicaciones o superior al 30% (treinta por ciento) en cualquier mercado del sector de radiodifusión</w:t>
      </w:r>
      <w:r w:rsidR="00756CA7" w:rsidRPr="00D5744A">
        <w:rPr>
          <w:rFonts w:ascii="Arial" w:hAnsi="Arial" w:cs="Arial"/>
        </w:rPr>
        <w:t>;</w:t>
      </w:r>
    </w:p>
    <w:p w14:paraId="74796597" w14:textId="77777777" w:rsidR="00756CA7" w:rsidRPr="00D5744A" w:rsidRDefault="00756CA7" w:rsidP="00756CA7">
      <w:pPr>
        <w:pStyle w:val="Prrafodelista"/>
        <w:autoSpaceDE w:val="0"/>
        <w:autoSpaceDN w:val="0"/>
        <w:adjustRightInd w:val="0"/>
        <w:ind w:left="426"/>
        <w:contextualSpacing w:val="0"/>
        <w:rPr>
          <w:rFonts w:ascii="Arial" w:eastAsia="Times New Roman" w:hAnsi="Arial" w:cs="Arial"/>
          <w:color w:val="000000"/>
          <w:lang w:eastAsia="es-MX"/>
        </w:rPr>
      </w:pPr>
    </w:p>
    <w:p w14:paraId="703B4218" w14:textId="526279EB" w:rsidR="00756CA7" w:rsidRPr="00D5744A" w:rsidRDefault="00756CA7" w:rsidP="00756CA7">
      <w:pPr>
        <w:pStyle w:val="Prrafodelista"/>
        <w:numPr>
          <w:ilvl w:val="0"/>
          <w:numId w:val="22"/>
        </w:numPr>
        <w:autoSpaceDE w:val="0"/>
        <w:autoSpaceDN w:val="0"/>
        <w:adjustRightInd w:val="0"/>
        <w:ind w:left="426" w:hanging="357"/>
        <w:contextualSpacing w:val="0"/>
        <w:rPr>
          <w:rFonts w:ascii="Arial" w:eastAsia="Times New Roman" w:hAnsi="Arial" w:cs="Arial"/>
          <w:lang w:eastAsia="es-MX"/>
        </w:rPr>
      </w:pPr>
      <w:r w:rsidRPr="00D5744A">
        <w:rPr>
          <w:rFonts w:ascii="Arial" w:eastAsia="Times New Roman" w:hAnsi="Arial" w:cs="Arial"/>
          <w:lang w:eastAsia="es-MX"/>
        </w:rPr>
        <w:t xml:space="preserve">El agente económico adquirido es un agente económico disruptivo </w:t>
      </w:r>
      <w:r w:rsidR="00764180" w:rsidRPr="00D5744A">
        <w:rPr>
          <w:rFonts w:ascii="Arial" w:eastAsia="Times New Roman" w:hAnsi="Arial" w:cs="Arial"/>
          <w:lang w:eastAsia="es-MX"/>
        </w:rPr>
        <w:t xml:space="preserve">(conocido como </w:t>
      </w:r>
      <w:proofErr w:type="spellStart"/>
      <w:r w:rsidR="00764180" w:rsidRPr="00D5744A">
        <w:rPr>
          <w:rFonts w:ascii="Arial" w:eastAsia="Times New Roman" w:hAnsi="Arial" w:cs="Arial"/>
          <w:lang w:eastAsia="es-MX"/>
        </w:rPr>
        <w:t>maverick</w:t>
      </w:r>
      <w:proofErr w:type="spellEnd"/>
      <w:r w:rsidR="00764180" w:rsidRPr="00D5744A">
        <w:rPr>
          <w:rFonts w:ascii="Arial" w:eastAsia="Times New Roman" w:hAnsi="Arial" w:cs="Arial"/>
          <w:lang w:eastAsia="es-MX"/>
        </w:rPr>
        <w:t xml:space="preserve"> en inglés) </w:t>
      </w:r>
      <w:r w:rsidRPr="00D5744A">
        <w:rPr>
          <w:rFonts w:ascii="Arial" w:eastAsia="Times New Roman" w:hAnsi="Arial" w:cs="Arial"/>
          <w:lang w:eastAsia="es-MX"/>
        </w:rPr>
        <w:t>que se distinga, por ejemplo, por introducir o desarrollar nuevas tecnologías o modelos de negocios, que pueda alterar las condiciones de mercado o disciplinar los precios con base en su habilidad e incentivos a expandirse rápidamente y cuya fusión puede implicar la pérdida de competencia real o potencial de ese agente económico disruptivo;</w:t>
      </w:r>
    </w:p>
    <w:p w14:paraId="2C6396D2" w14:textId="77777777" w:rsidR="00756CA7" w:rsidRPr="00D5744A" w:rsidRDefault="00756CA7" w:rsidP="00756CA7">
      <w:pPr>
        <w:pStyle w:val="Prrafodelista"/>
        <w:autoSpaceDE w:val="0"/>
        <w:autoSpaceDN w:val="0"/>
        <w:adjustRightInd w:val="0"/>
        <w:ind w:left="426"/>
        <w:contextualSpacing w:val="0"/>
        <w:rPr>
          <w:rFonts w:ascii="Arial" w:eastAsia="Times New Roman" w:hAnsi="Arial" w:cs="Arial"/>
          <w:color w:val="000000"/>
          <w:lang w:eastAsia="es-MX"/>
        </w:rPr>
      </w:pPr>
    </w:p>
    <w:p w14:paraId="039DB2C3" w14:textId="77777777" w:rsidR="00756CA7" w:rsidRPr="00D5744A" w:rsidRDefault="00756CA7" w:rsidP="00756CA7">
      <w:pPr>
        <w:pStyle w:val="Prrafodelista"/>
        <w:numPr>
          <w:ilvl w:val="0"/>
          <w:numId w:val="22"/>
        </w:numPr>
        <w:ind w:left="425" w:hanging="357"/>
        <w:contextualSpacing w:val="0"/>
        <w:rPr>
          <w:rFonts w:ascii="Arial" w:eastAsia="Times New Roman" w:hAnsi="Arial" w:cs="Arial"/>
          <w:color w:val="000000"/>
          <w:lang w:eastAsia="es-MX"/>
        </w:rPr>
      </w:pPr>
      <w:r w:rsidRPr="00D5744A">
        <w:rPr>
          <w:rFonts w:ascii="Arial" w:eastAsia="Times New Roman" w:hAnsi="Arial" w:cs="Arial"/>
          <w:color w:val="000000"/>
          <w:lang w:eastAsia="es-MX"/>
        </w:rPr>
        <w:t>…</w:t>
      </w:r>
    </w:p>
    <w:p w14:paraId="53DF865B" w14:textId="77777777" w:rsidR="00756CA7" w:rsidRPr="00D5744A" w:rsidRDefault="00756CA7" w:rsidP="00756CA7">
      <w:pPr>
        <w:pStyle w:val="Prrafodelista"/>
        <w:ind w:left="425"/>
        <w:contextualSpacing w:val="0"/>
        <w:rPr>
          <w:rFonts w:ascii="Arial" w:eastAsia="Times New Roman" w:hAnsi="Arial" w:cs="Arial"/>
          <w:color w:val="000000"/>
          <w:lang w:eastAsia="es-MX"/>
        </w:rPr>
      </w:pPr>
    </w:p>
    <w:p w14:paraId="41322EA5" w14:textId="77777777" w:rsidR="00756CA7" w:rsidRPr="00D5744A" w:rsidRDefault="00756CA7" w:rsidP="00756CA7">
      <w:pPr>
        <w:pStyle w:val="Prrafodelista"/>
        <w:numPr>
          <w:ilvl w:val="0"/>
          <w:numId w:val="22"/>
        </w:numPr>
        <w:ind w:left="425" w:hanging="357"/>
        <w:contextualSpacing w:val="0"/>
        <w:rPr>
          <w:rFonts w:ascii="Arial" w:eastAsia="Times New Roman" w:hAnsi="Arial" w:cs="Arial"/>
          <w:color w:val="000000"/>
          <w:lang w:eastAsia="es-MX"/>
        </w:rPr>
      </w:pPr>
      <w:r w:rsidRPr="00D5744A">
        <w:rPr>
          <w:rFonts w:ascii="Arial" w:eastAsia="Times New Roman" w:hAnsi="Arial" w:cs="Arial"/>
          <w:color w:val="000000"/>
          <w:lang w:eastAsia="es-MX"/>
        </w:rPr>
        <w:t>...</w:t>
      </w:r>
    </w:p>
    <w:p w14:paraId="3D3444C3" w14:textId="77777777" w:rsidR="00756CA7" w:rsidRPr="00D5744A" w:rsidRDefault="00756CA7" w:rsidP="00756CA7">
      <w:pPr>
        <w:pStyle w:val="Prrafodelista"/>
        <w:ind w:left="425"/>
        <w:contextualSpacing w:val="0"/>
        <w:rPr>
          <w:rFonts w:ascii="Arial" w:eastAsia="Times New Roman" w:hAnsi="Arial" w:cs="Arial"/>
          <w:color w:val="000000"/>
          <w:lang w:eastAsia="es-MX"/>
        </w:rPr>
      </w:pPr>
    </w:p>
    <w:p w14:paraId="193EB7FF" w14:textId="77777777" w:rsidR="00756CA7" w:rsidRPr="00D5744A" w:rsidRDefault="00756CA7" w:rsidP="00756CA7">
      <w:pPr>
        <w:pStyle w:val="Prrafodelista"/>
        <w:numPr>
          <w:ilvl w:val="0"/>
          <w:numId w:val="29"/>
        </w:numPr>
        <w:ind w:left="0" w:right="-1" w:firstLine="284"/>
        <w:contextualSpacing w:val="0"/>
        <w:rPr>
          <w:rFonts w:ascii="Arial" w:hAnsi="Arial" w:cs="Arial"/>
        </w:rPr>
      </w:pPr>
      <w:r w:rsidRPr="00D5744A">
        <w:rPr>
          <w:rFonts w:ascii="Arial" w:hAnsi="Arial" w:cs="Arial"/>
        </w:rPr>
        <w:t>Además de ser una referencia en la evaluación de concentraciones tramitadas en términos de la LFCE, el presente Criterio Técnico también podrá emplearse en el análisis de solicitudes de otorgamiento y cesiones de concesiones; venta de acciones, suscripciones, enajenaciones, desincorporaciones o movimientos en la estructura accionaria de agentes económicos, y arrendamiento o cambio de bandas de frecuencias del espectro radioeléctrico.</w:t>
      </w:r>
    </w:p>
    <w:p w14:paraId="16256C3C" w14:textId="77777777" w:rsidR="00756CA7" w:rsidRPr="00D5744A" w:rsidRDefault="00756CA7" w:rsidP="00756CA7">
      <w:pPr>
        <w:pStyle w:val="Prrafodelista"/>
        <w:ind w:left="0" w:right="-1"/>
        <w:contextualSpacing w:val="0"/>
        <w:rPr>
          <w:rFonts w:ascii="Arial" w:hAnsi="Arial" w:cs="Arial"/>
        </w:rPr>
      </w:pPr>
    </w:p>
    <w:p w14:paraId="34B5EEEC" w14:textId="77777777" w:rsidR="00756CA7" w:rsidRPr="00D5744A" w:rsidRDefault="00756CA7" w:rsidP="00756CA7">
      <w:pPr>
        <w:pStyle w:val="Default"/>
        <w:spacing w:line="276" w:lineRule="auto"/>
        <w:ind w:right="-1"/>
        <w:jc w:val="both"/>
        <w:rPr>
          <w:rFonts w:ascii="Arial" w:hAnsi="Arial" w:cs="Arial"/>
          <w:sz w:val="22"/>
          <w:szCs w:val="22"/>
        </w:rPr>
      </w:pPr>
      <w:r w:rsidRPr="00D5744A">
        <w:rPr>
          <w:rFonts w:ascii="Arial" w:hAnsi="Arial" w:cs="Arial"/>
          <w:color w:val="auto"/>
          <w:sz w:val="22"/>
          <w:szCs w:val="22"/>
        </w:rPr>
        <w:t>…</w:t>
      </w:r>
    </w:p>
    <w:p w14:paraId="429BA542" w14:textId="77777777" w:rsidR="00756CA7" w:rsidRPr="00D5744A" w:rsidRDefault="00756CA7" w:rsidP="00756CA7">
      <w:pPr>
        <w:pStyle w:val="Prrafodelista"/>
        <w:ind w:left="0" w:right="-1"/>
        <w:rPr>
          <w:rFonts w:ascii="Arial" w:hAnsi="Arial" w:cs="Arial"/>
        </w:rPr>
      </w:pPr>
    </w:p>
    <w:p w14:paraId="681FA06D" w14:textId="77777777" w:rsidR="00756CA7" w:rsidRPr="00D5744A" w:rsidRDefault="00756CA7" w:rsidP="00756CA7">
      <w:pPr>
        <w:pStyle w:val="Prrafodelista"/>
        <w:numPr>
          <w:ilvl w:val="0"/>
          <w:numId w:val="28"/>
        </w:numPr>
        <w:ind w:left="0" w:right="-1" w:firstLine="284"/>
        <w:rPr>
          <w:rFonts w:ascii="Arial" w:hAnsi="Arial" w:cs="Arial"/>
        </w:rPr>
      </w:pPr>
      <w:r w:rsidRPr="00D5744A">
        <w:rPr>
          <w:rFonts w:ascii="Arial" w:eastAsia="Calibri" w:hAnsi="Arial" w:cs="Arial"/>
          <w:lang w:eastAsia="es-MX"/>
        </w:rPr>
        <w:t>Los umbrales establecidos en el</w:t>
      </w:r>
      <w:r w:rsidRPr="00D5744A">
        <w:rPr>
          <w:rFonts w:ascii="Arial" w:hAnsi="Arial" w:cs="Arial"/>
        </w:rPr>
        <w:t xml:space="preserve"> presente Criterio Técnico no se aplicarán a nivel de sector cuando el Instituto resuelva procedimientos conforme a lo establecido en el artículo </w:t>
      </w:r>
      <w:r w:rsidRPr="00D5744A">
        <w:rPr>
          <w:rFonts w:ascii="Arial" w:hAnsi="Arial" w:cs="Arial"/>
        </w:rPr>
        <w:lastRenderedPageBreak/>
        <w:t>Noveno Transitorio, párrafos primero a cuarto, del Decreto que expide la LFTR,</w:t>
      </w:r>
      <w:r w:rsidRPr="00D5744A">
        <w:rPr>
          <w:rStyle w:val="Refdenotaalpie"/>
          <w:rFonts w:ascii="Arial" w:hAnsi="Arial" w:cs="Arial"/>
        </w:rPr>
        <w:footnoteReference w:id="3"/>
      </w:r>
      <w:r w:rsidRPr="00D5744A">
        <w:rPr>
          <w:rFonts w:ascii="Arial" w:hAnsi="Arial" w:cs="Arial"/>
        </w:rPr>
        <w:t xml:space="preserve"> </w:t>
      </w:r>
      <w:r w:rsidRPr="00D5744A">
        <w:rPr>
          <w:rFonts w:ascii="Arial" w:eastAsia="Calibri" w:hAnsi="Arial" w:cs="Arial"/>
          <w:lang w:eastAsia="es-MX"/>
        </w:rPr>
        <w:t>pues para ello la misma LFTR identifica los umbrales que se aplicarán en el análisis de las operaciones que se presenten en términos de ese artículo.</w:t>
      </w:r>
    </w:p>
    <w:p w14:paraId="205A726E" w14:textId="77777777" w:rsidR="00756CA7" w:rsidRPr="00A832E2" w:rsidRDefault="00756CA7" w:rsidP="00756CA7">
      <w:pPr>
        <w:pStyle w:val="Default"/>
        <w:spacing w:line="276" w:lineRule="auto"/>
        <w:ind w:right="-1"/>
        <w:jc w:val="both"/>
        <w:rPr>
          <w:rFonts w:ascii="Arial" w:hAnsi="Arial" w:cs="Arial"/>
          <w:sz w:val="22"/>
          <w:szCs w:val="22"/>
        </w:rPr>
      </w:pPr>
    </w:p>
    <w:p w14:paraId="48E4B0F7" w14:textId="014B7F11" w:rsidR="00756CA7" w:rsidRPr="00904ECB" w:rsidRDefault="00756CA7" w:rsidP="00756CA7">
      <w:pPr>
        <w:rPr>
          <w:rFonts w:cs="Arial"/>
        </w:rPr>
      </w:pPr>
      <w:r w:rsidRPr="00904ECB">
        <w:rPr>
          <w:rFonts w:cs="Arial"/>
          <w:b/>
        </w:rPr>
        <w:t>Segundo.-</w:t>
      </w:r>
      <w:r w:rsidRPr="00904ECB">
        <w:rPr>
          <w:rFonts w:cs="Arial"/>
        </w:rPr>
        <w:t xml:space="preserve"> </w:t>
      </w:r>
      <w:r w:rsidR="007335AC" w:rsidRPr="009B3638">
        <w:rPr>
          <w:rFonts w:cs="Arial"/>
        </w:rPr>
        <w:t xml:space="preserve">Publicar extracto </w:t>
      </w:r>
      <w:r w:rsidR="007335AC">
        <w:rPr>
          <w:rFonts w:cs="Arial"/>
        </w:rPr>
        <w:t>de la</w:t>
      </w:r>
      <w:r w:rsidR="007335AC" w:rsidRPr="009B29CC">
        <w:rPr>
          <w:rFonts w:cs="Arial"/>
          <w:i/>
        </w:rPr>
        <w:t xml:space="preserve"> </w:t>
      </w:r>
      <w:r w:rsidR="007335AC">
        <w:rPr>
          <w:rFonts w:cs="Arial"/>
          <w:i/>
        </w:rPr>
        <w:t>“M</w:t>
      </w:r>
      <w:r w:rsidR="007335AC" w:rsidRPr="009B29CC">
        <w:rPr>
          <w:rFonts w:cs="Arial"/>
          <w:i/>
        </w:rPr>
        <w:t xml:space="preserve">odificación </w:t>
      </w:r>
      <w:r w:rsidR="007335AC">
        <w:rPr>
          <w:rFonts w:cs="Arial"/>
          <w:i/>
        </w:rPr>
        <w:t>a</w:t>
      </w:r>
      <w:r w:rsidR="007335AC" w:rsidRPr="007335AC">
        <w:rPr>
          <w:rFonts w:cs="Arial"/>
          <w:i/>
        </w:rPr>
        <w:t>l criterio técnico para el cálculo y aplicación de un índice cuantitativo a fin de determinar el grado de concentración en los mercados y servicios correspondientes a los sectores de telecomunicaciones y radiodifusión</w:t>
      </w:r>
      <w:r w:rsidR="007335AC" w:rsidRPr="009B3638">
        <w:rPr>
          <w:rFonts w:cs="Arial"/>
        </w:rPr>
        <w:t>.” en el Diario Oficial de la Federación e íntegramente en el sitio de Internet del Instituto</w:t>
      </w:r>
      <w:r w:rsidRPr="00904ECB">
        <w:rPr>
          <w:rFonts w:cs="Arial"/>
        </w:rPr>
        <w:t>.</w:t>
      </w:r>
    </w:p>
    <w:p w14:paraId="0865C6C1" w14:textId="77777777" w:rsidR="00756CA7" w:rsidRPr="00682C66" w:rsidRDefault="00756CA7" w:rsidP="00756CA7">
      <w:pPr>
        <w:rPr>
          <w:rFonts w:cs="Arial"/>
          <w:sz w:val="18"/>
          <w:szCs w:val="18"/>
        </w:rPr>
      </w:pPr>
    </w:p>
    <w:p w14:paraId="4386977B" w14:textId="77777777" w:rsidR="00756CA7" w:rsidRPr="00904ECB" w:rsidRDefault="00756CA7" w:rsidP="00756CA7">
      <w:pPr>
        <w:jc w:val="center"/>
        <w:rPr>
          <w:rFonts w:cs="Arial"/>
          <w:b/>
        </w:rPr>
      </w:pPr>
      <w:r w:rsidRPr="00904ECB">
        <w:rPr>
          <w:rFonts w:cs="Arial"/>
          <w:b/>
        </w:rPr>
        <w:t>Transitorios</w:t>
      </w:r>
    </w:p>
    <w:p w14:paraId="1D6E1A75" w14:textId="77777777" w:rsidR="00756CA7" w:rsidRPr="00682C66" w:rsidRDefault="00756CA7" w:rsidP="00756CA7">
      <w:pPr>
        <w:rPr>
          <w:rFonts w:cs="Arial"/>
          <w:sz w:val="18"/>
          <w:szCs w:val="18"/>
        </w:rPr>
      </w:pPr>
    </w:p>
    <w:p w14:paraId="23F9CD01" w14:textId="77777777" w:rsidR="00756CA7" w:rsidRPr="00904ECB" w:rsidRDefault="00756CA7" w:rsidP="00756CA7">
      <w:pPr>
        <w:ind w:firstLine="284"/>
        <w:rPr>
          <w:rFonts w:cs="Arial"/>
        </w:rPr>
      </w:pPr>
      <w:r>
        <w:rPr>
          <w:rFonts w:cs="Arial"/>
          <w:b/>
        </w:rPr>
        <w:t>Único</w:t>
      </w:r>
      <w:r w:rsidRPr="00904ECB">
        <w:rPr>
          <w:rFonts w:cs="Arial"/>
          <w:b/>
        </w:rPr>
        <w:t>.</w:t>
      </w:r>
      <w:r>
        <w:rPr>
          <w:rFonts w:cs="Arial"/>
          <w:b/>
        </w:rPr>
        <w:t>-</w:t>
      </w:r>
      <w:r w:rsidRPr="00904ECB">
        <w:rPr>
          <w:rFonts w:cs="Arial"/>
        </w:rPr>
        <w:t xml:space="preserve"> El presente Acuerdo entrará en vigor al día siguiente de su publicación en el Diario Oficial de la Federación.</w:t>
      </w:r>
    </w:p>
    <w:p w14:paraId="413A5251" w14:textId="77777777" w:rsidR="00756CA7" w:rsidRPr="00A832E2" w:rsidRDefault="00756CA7" w:rsidP="00756CA7">
      <w:pPr>
        <w:pStyle w:val="Default"/>
        <w:spacing w:line="276" w:lineRule="auto"/>
        <w:ind w:right="-1"/>
        <w:jc w:val="both"/>
      </w:pPr>
    </w:p>
    <w:p w14:paraId="4C378219" w14:textId="77777777" w:rsidR="00E916FC" w:rsidRPr="00A832E2" w:rsidRDefault="00E916FC" w:rsidP="00756CA7">
      <w:pPr>
        <w:pStyle w:val="Ttulo1"/>
        <w:keepNext w:val="0"/>
        <w:spacing w:line="276" w:lineRule="auto"/>
        <w:ind w:left="862" w:hanging="360"/>
      </w:pPr>
    </w:p>
    <w:sectPr w:rsidR="00E916FC" w:rsidRPr="00A832E2" w:rsidSect="00AC50B3">
      <w:headerReference w:type="even" r:id="rId11"/>
      <w:headerReference w:type="default" r:id="rId12"/>
      <w:footerReference w:type="default" r:id="rId13"/>
      <w:headerReference w:type="first" r:id="rId14"/>
      <w:pgSz w:w="12240" w:h="15840"/>
      <w:pgMar w:top="209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BD9BB" w14:textId="77777777" w:rsidR="006025E0" w:rsidRDefault="006025E0" w:rsidP="008A39CF">
      <w:pPr>
        <w:spacing w:line="240" w:lineRule="auto"/>
      </w:pPr>
      <w:r>
        <w:separator/>
      </w:r>
    </w:p>
  </w:endnote>
  <w:endnote w:type="continuationSeparator" w:id="0">
    <w:p w14:paraId="30A68B73" w14:textId="77777777" w:rsidR="006025E0" w:rsidRDefault="006025E0" w:rsidP="008A39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alibri"/>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ITC Avant Garde" w:hAnsi="ITC Avant Garde"/>
        <w:sz w:val="20"/>
        <w:szCs w:val="20"/>
      </w:rPr>
      <w:id w:val="-978072464"/>
      <w:docPartObj>
        <w:docPartGallery w:val="Page Numbers (Bottom of Page)"/>
        <w:docPartUnique/>
      </w:docPartObj>
    </w:sdtPr>
    <w:sdtEndPr>
      <w:rPr>
        <w:rFonts w:ascii="Arial" w:hAnsi="Arial" w:cs="Arial"/>
        <w:sz w:val="18"/>
        <w:szCs w:val="18"/>
      </w:rPr>
    </w:sdtEndPr>
    <w:sdtContent>
      <w:sdt>
        <w:sdtPr>
          <w:rPr>
            <w:rFonts w:cs="Arial"/>
            <w:sz w:val="18"/>
            <w:szCs w:val="18"/>
          </w:rPr>
          <w:id w:val="1274056603"/>
          <w:docPartObj>
            <w:docPartGallery w:val="Page Numbers (Top of Page)"/>
            <w:docPartUnique/>
          </w:docPartObj>
        </w:sdtPr>
        <w:sdtEndPr/>
        <w:sdtContent>
          <w:p w14:paraId="55650D31" w14:textId="7030BA80" w:rsidR="001C5B2D" w:rsidRPr="002B3AB4" w:rsidRDefault="00AC0CF7" w:rsidP="00AC0CF7">
            <w:pPr>
              <w:pStyle w:val="Piedepgina"/>
              <w:spacing w:before="200"/>
              <w:jc w:val="right"/>
              <w:rPr>
                <w:rFonts w:cs="Arial"/>
                <w:sz w:val="18"/>
                <w:szCs w:val="18"/>
              </w:rPr>
            </w:pPr>
            <w:r w:rsidRPr="002B3AB4">
              <w:rPr>
                <w:rFonts w:cs="Arial"/>
                <w:sz w:val="18"/>
                <w:szCs w:val="18"/>
                <w:lang w:val="es-ES"/>
              </w:rPr>
              <w:t xml:space="preserve">Página </w:t>
            </w:r>
            <w:r w:rsidRPr="002B3AB4">
              <w:rPr>
                <w:rFonts w:cs="Arial"/>
                <w:b/>
                <w:bCs/>
                <w:sz w:val="18"/>
                <w:szCs w:val="18"/>
              </w:rPr>
              <w:fldChar w:fldCharType="begin"/>
            </w:r>
            <w:r w:rsidRPr="002B3AB4">
              <w:rPr>
                <w:rFonts w:cs="Arial"/>
                <w:b/>
                <w:bCs/>
                <w:sz w:val="18"/>
                <w:szCs w:val="18"/>
              </w:rPr>
              <w:instrText>PAGE</w:instrText>
            </w:r>
            <w:r w:rsidRPr="002B3AB4">
              <w:rPr>
                <w:rFonts w:cs="Arial"/>
                <w:b/>
                <w:bCs/>
                <w:sz w:val="18"/>
                <w:szCs w:val="18"/>
              </w:rPr>
              <w:fldChar w:fldCharType="separate"/>
            </w:r>
            <w:r w:rsidR="00D1739B">
              <w:rPr>
                <w:rFonts w:cs="Arial"/>
                <w:b/>
                <w:bCs/>
                <w:noProof/>
                <w:sz w:val="18"/>
                <w:szCs w:val="18"/>
              </w:rPr>
              <w:t>8</w:t>
            </w:r>
            <w:r w:rsidRPr="002B3AB4">
              <w:rPr>
                <w:rFonts w:cs="Arial"/>
                <w:b/>
                <w:bCs/>
                <w:sz w:val="18"/>
                <w:szCs w:val="18"/>
              </w:rPr>
              <w:fldChar w:fldCharType="end"/>
            </w:r>
            <w:r w:rsidRPr="002B3AB4">
              <w:rPr>
                <w:rFonts w:cs="Arial"/>
                <w:sz w:val="18"/>
                <w:szCs w:val="18"/>
                <w:lang w:val="es-ES"/>
              </w:rPr>
              <w:t xml:space="preserve"> de </w:t>
            </w:r>
            <w:r w:rsidRPr="002B3AB4">
              <w:rPr>
                <w:rFonts w:cs="Arial"/>
                <w:b/>
                <w:bCs/>
                <w:sz w:val="18"/>
                <w:szCs w:val="18"/>
              </w:rPr>
              <w:fldChar w:fldCharType="begin"/>
            </w:r>
            <w:r w:rsidRPr="002B3AB4">
              <w:rPr>
                <w:rFonts w:cs="Arial"/>
                <w:b/>
                <w:bCs/>
                <w:sz w:val="18"/>
                <w:szCs w:val="18"/>
              </w:rPr>
              <w:instrText>NUMPAGES</w:instrText>
            </w:r>
            <w:r w:rsidRPr="002B3AB4">
              <w:rPr>
                <w:rFonts w:cs="Arial"/>
                <w:b/>
                <w:bCs/>
                <w:sz w:val="18"/>
                <w:szCs w:val="18"/>
              </w:rPr>
              <w:fldChar w:fldCharType="separate"/>
            </w:r>
            <w:r w:rsidR="00D1739B">
              <w:rPr>
                <w:rFonts w:cs="Arial"/>
                <w:b/>
                <w:bCs/>
                <w:noProof/>
                <w:sz w:val="18"/>
                <w:szCs w:val="18"/>
              </w:rPr>
              <w:t>8</w:t>
            </w:r>
            <w:r w:rsidRPr="002B3AB4">
              <w:rPr>
                <w:rFonts w:cs="Arial"/>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3A452" w14:textId="77777777" w:rsidR="006025E0" w:rsidRDefault="006025E0" w:rsidP="008A39CF">
      <w:pPr>
        <w:spacing w:line="240" w:lineRule="auto"/>
      </w:pPr>
      <w:r>
        <w:separator/>
      </w:r>
    </w:p>
  </w:footnote>
  <w:footnote w:type="continuationSeparator" w:id="0">
    <w:p w14:paraId="4AE55760" w14:textId="77777777" w:rsidR="006025E0" w:rsidRDefault="006025E0" w:rsidP="008A39CF">
      <w:pPr>
        <w:spacing w:line="240" w:lineRule="auto"/>
      </w:pPr>
      <w:r>
        <w:continuationSeparator/>
      </w:r>
    </w:p>
  </w:footnote>
  <w:footnote w:id="1">
    <w:p w14:paraId="409608AE" w14:textId="6CEEB319" w:rsidR="00255573" w:rsidRPr="00104C44" w:rsidRDefault="00951510">
      <w:pPr>
        <w:pStyle w:val="Textonotapie"/>
        <w:rPr>
          <w:rFonts w:cs="Arial"/>
          <w:sz w:val="14"/>
          <w:szCs w:val="14"/>
        </w:rPr>
      </w:pPr>
      <w:r w:rsidRPr="00951510">
        <w:rPr>
          <w:rStyle w:val="Refdenotaalpie"/>
          <w:rFonts w:cs="Arial"/>
          <w:sz w:val="14"/>
          <w:szCs w:val="14"/>
        </w:rPr>
        <w:footnoteRef/>
      </w:r>
      <w:r w:rsidRPr="00951510">
        <w:rPr>
          <w:rFonts w:cs="Arial"/>
          <w:sz w:val="14"/>
          <w:szCs w:val="14"/>
        </w:rPr>
        <w:t xml:space="preserve"> </w:t>
      </w:r>
      <w:r w:rsidRPr="00951510">
        <w:rPr>
          <w:rFonts w:cs="Arial"/>
          <w:color w:val="2F2F2F"/>
          <w:sz w:val="14"/>
          <w:szCs w:val="14"/>
          <w:shd w:val="clear" w:color="auto" w:fill="FFFFFF"/>
        </w:rPr>
        <w:t>La in</w:t>
      </w:r>
      <w:r w:rsidRPr="00104C44">
        <w:rPr>
          <w:rFonts w:cs="Arial"/>
          <w:color w:val="2F2F2F"/>
          <w:sz w:val="14"/>
          <w:szCs w:val="14"/>
          <w:shd w:val="clear" w:color="auto" w:fill="FFFFFF"/>
        </w:rPr>
        <w:t xml:space="preserve">formación relacionada con la consulta pública del Anteproyecto de modificación al Criterio Técnico se encuentra disponible en: </w:t>
      </w:r>
      <w:hyperlink r:id="rId1" w:history="1">
        <w:r w:rsidR="00255573" w:rsidRPr="00104C44">
          <w:rPr>
            <w:rStyle w:val="Hipervnculo"/>
            <w:rFonts w:cs="Arial"/>
            <w:sz w:val="14"/>
            <w:szCs w:val="14"/>
            <w:shd w:val="clear" w:color="auto" w:fill="FFFFFF"/>
          </w:rPr>
          <w:t>http://www.ift.org.mx/industria/consultas-publicas/criterio-tecnico-para-el-calculo-y-aplicacion-de-un-indice-cuantitativo-fin-de-determinar-el-grado</w:t>
        </w:r>
      </w:hyperlink>
    </w:p>
  </w:footnote>
  <w:footnote w:id="2">
    <w:p w14:paraId="7A12E382" w14:textId="68471EF6" w:rsidR="00104C44" w:rsidRDefault="00104C44">
      <w:pPr>
        <w:pStyle w:val="Textonotapie"/>
      </w:pPr>
      <w:r w:rsidRPr="00104C44">
        <w:rPr>
          <w:rStyle w:val="Refdenotaalpie"/>
          <w:sz w:val="14"/>
          <w:szCs w:val="14"/>
        </w:rPr>
        <w:footnoteRef/>
      </w:r>
      <w:r w:rsidRPr="00104C44">
        <w:rPr>
          <w:sz w:val="14"/>
          <w:szCs w:val="14"/>
        </w:rPr>
        <w:t xml:space="preserve"> Disponible en </w:t>
      </w:r>
      <w:hyperlink r:id="rId2" w:history="1">
        <w:r w:rsidRPr="00104C44">
          <w:rPr>
            <w:rStyle w:val="Hipervnculo"/>
            <w:sz w:val="14"/>
            <w:szCs w:val="14"/>
          </w:rPr>
          <w:t>http://www.ift.org.mx/sites/default/files/industria/temasrelevantes/17434/documentos/informecriteriotecnicovf.pdf</w:t>
        </w:r>
      </w:hyperlink>
    </w:p>
  </w:footnote>
  <w:footnote w:id="3">
    <w:p w14:paraId="7574B4AE" w14:textId="77777777" w:rsidR="00756CA7" w:rsidRPr="003E001B" w:rsidRDefault="00756CA7" w:rsidP="00756CA7">
      <w:pPr>
        <w:pStyle w:val="Textonotapie"/>
        <w:rPr>
          <w:rFonts w:cs="Arial"/>
          <w:sz w:val="14"/>
          <w:szCs w:val="14"/>
        </w:rPr>
      </w:pPr>
      <w:r w:rsidRPr="003E001B">
        <w:rPr>
          <w:rStyle w:val="Refdenotaalpie"/>
          <w:rFonts w:cs="Arial"/>
          <w:sz w:val="14"/>
          <w:szCs w:val="14"/>
        </w:rPr>
        <w:footnoteRef/>
      </w:r>
      <w:r w:rsidRPr="003E001B">
        <w:rPr>
          <w:rFonts w:cs="Arial"/>
          <w:sz w:val="14"/>
          <w:szCs w:val="14"/>
        </w:rPr>
        <w:t xml:space="preserve">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Disponible en: </w:t>
      </w:r>
      <w:hyperlink r:id="rId3" w:history="1">
        <w:r w:rsidRPr="003E001B">
          <w:rPr>
            <w:rStyle w:val="Hipervnculo"/>
            <w:rFonts w:cs="Arial"/>
            <w:sz w:val="14"/>
            <w:szCs w:val="14"/>
          </w:rPr>
          <w:t>http://www.dof.gob.mx/nota_detalle.php?codigo=5352323&amp;fecha=14/07/2014</w:t>
        </w:r>
      </w:hyperlink>
      <w:r w:rsidRPr="003E001B">
        <w:rPr>
          <w:rFonts w:cs="Arial"/>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04CC1" w14:textId="5AF5B50E" w:rsidR="001C5B2D" w:rsidRDefault="00115476">
    <w:pPr>
      <w:pStyle w:val="Encabezado"/>
    </w:pPr>
    <w:r>
      <w:rPr>
        <w:noProof/>
      </w:rPr>
      <w:pict w14:anchorId="2C5BDB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7852860" o:spid="_x0000_s2053" type="#_x0000_t136" style="position:absolute;left:0;text-align:left;margin-left:0;margin-top:0;width:482.15pt;height:180.8pt;rotation:315;z-index:-251655168;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654B7" w14:textId="5AD73C6A" w:rsidR="001C5B2D" w:rsidRPr="0068053A" w:rsidRDefault="00115476" w:rsidP="005232ED">
    <w:pPr>
      <w:pStyle w:val="Encabezado"/>
    </w:pPr>
    <w:r>
      <w:rPr>
        <w:noProof/>
      </w:rPr>
      <w:pict w14:anchorId="3D7D84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5" type="#_x0000_t75" alt="hoja membretada s dir-01" style="position:absolute;left:0;text-align:left;margin-left:-74pt;margin-top:-116.05pt;width:612pt;height:808pt;z-index:-251652096;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r>
      <w:rPr>
        <w:noProof/>
      </w:rPr>
      <w:pict w14:anchorId="5F340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7852861" o:spid="_x0000_s2054" type="#_x0000_t136" style="position:absolute;left:0;text-align:left;margin-left:0;margin-top:0;width:482.15pt;height:180.8pt;rotation:315;z-index:-251653120;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E305C" w14:textId="049D59C9" w:rsidR="001C5B2D" w:rsidRDefault="00115476">
    <w:pPr>
      <w:pStyle w:val="Encabezado"/>
    </w:pPr>
    <w:r>
      <w:rPr>
        <w:noProof/>
      </w:rPr>
      <w:pict w14:anchorId="0F7132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7852859" o:spid="_x0000_s2052" type="#_x0000_t136" style="position:absolute;left:0;text-align:left;margin-left:0;margin-top:0;width:482.15pt;height:180.8pt;rotation:315;z-index:-251657216;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B618B"/>
    <w:multiLevelType w:val="hybridMultilevel"/>
    <w:tmpl w:val="CEECE7CA"/>
    <w:lvl w:ilvl="0" w:tplc="CF4E9D60">
      <w:start w:val="10"/>
      <w:numFmt w:val="decimal"/>
      <w:suff w:val="space"/>
      <w:lvlText w:val="Artículo %1."/>
      <w:lvlJc w:val="left"/>
      <w:pPr>
        <w:ind w:left="721"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EA6393"/>
    <w:multiLevelType w:val="hybridMultilevel"/>
    <w:tmpl w:val="9A1EE1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BA42BF"/>
    <w:multiLevelType w:val="hybridMultilevel"/>
    <w:tmpl w:val="4DFE86A6"/>
    <w:lvl w:ilvl="0" w:tplc="B93254EC">
      <w:start w:val="1"/>
      <w:numFmt w:val="decimal"/>
      <w:suff w:val="space"/>
      <w:lvlText w:val="Artículo %1."/>
      <w:lvlJc w:val="left"/>
      <w:pPr>
        <w:ind w:left="721" w:hanging="360"/>
      </w:pPr>
      <w:rPr>
        <w:rFonts w:hint="default"/>
        <w:b/>
      </w:rPr>
    </w:lvl>
    <w:lvl w:ilvl="1" w:tplc="080A0019" w:tentative="1">
      <w:start w:val="1"/>
      <w:numFmt w:val="lowerLetter"/>
      <w:lvlText w:val="%2."/>
      <w:lvlJc w:val="left"/>
      <w:pPr>
        <w:ind w:left="1441" w:hanging="360"/>
      </w:pPr>
    </w:lvl>
    <w:lvl w:ilvl="2" w:tplc="080A001B" w:tentative="1">
      <w:start w:val="1"/>
      <w:numFmt w:val="lowerRoman"/>
      <w:lvlText w:val="%3."/>
      <w:lvlJc w:val="right"/>
      <w:pPr>
        <w:ind w:left="2161" w:hanging="180"/>
      </w:pPr>
    </w:lvl>
    <w:lvl w:ilvl="3" w:tplc="080A000F" w:tentative="1">
      <w:start w:val="1"/>
      <w:numFmt w:val="decimal"/>
      <w:lvlText w:val="%4."/>
      <w:lvlJc w:val="left"/>
      <w:pPr>
        <w:ind w:left="2881" w:hanging="360"/>
      </w:pPr>
    </w:lvl>
    <w:lvl w:ilvl="4" w:tplc="080A0019" w:tentative="1">
      <w:start w:val="1"/>
      <w:numFmt w:val="lowerLetter"/>
      <w:lvlText w:val="%5."/>
      <w:lvlJc w:val="left"/>
      <w:pPr>
        <w:ind w:left="3601" w:hanging="360"/>
      </w:pPr>
    </w:lvl>
    <w:lvl w:ilvl="5" w:tplc="080A001B" w:tentative="1">
      <w:start w:val="1"/>
      <w:numFmt w:val="lowerRoman"/>
      <w:lvlText w:val="%6."/>
      <w:lvlJc w:val="right"/>
      <w:pPr>
        <w:ind w:left="4321" w:hanging="180"/>
      </w:pPr>
    </w:lvl>
    <w:lvl w:ilvl="6" w:tplc="080A000F" w:tentative="1">
      <w:start w:val="1"/>
      <w:numFmt w:val="decimal"/>
      <w:lvlText w:val="%7."/>
      <w:lvlJc w:val="left"/>
      <w:pPr>
        <w:ind w:left="5041" w:hanging="360"/>
      </w:pPr>
    </w:lvl>
    <w:lvl w:ilvl="7" w:tplc="080A0019" w:tentative="1">
      <w:start w:val="1"/>
      <w:numFmt w:val="lowerLetter"/>
      <w:lvlText w:val="%8."/>
      <w:lvlJc w:val="left"/>
      <w:pPr>
        <w:ind w:left="5761" w:hanging="360"/>
      </w:pPr>
    </w:lvl>
    <w:lvl w:ilvl="8" w:tplc="080A001B" w:tentative="1">
      <w:start w:val="1"/>
      <w:numFmt w:val="lowerRoman"/>
      <w:lvlText w:val="%9."/>
      <w:lvlJc w:val="right"/>
      <w:pPr>
        <w:ind w:left="6481" w:hanging="180"/>
      </w:pPr>
    </w:lvl>
  </w:abstractNum>
  <w:abstractNum w:abstractNumId="3" w15:restartNumberingAfterBreak="0">
    <w:nsid w:val="0CE67AB6"/>
    <w:multiLevelType w:val="hybridMultilevel"/>
    <w:tmpl w:val="DADCC0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8D40E1"/>
    <w:multiLevelType w:val="multilevel"/>
    <w:tmpl w:val="6A107F4A"/>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5" w15:restartNumberingAfterBreak="0">
    <w:nsid w:val="11650A12"/>
    <w:multiLevelType w:val="hybridMultilevel"/>
    <w:tmpl w:val="19F679A2"/>
    <w:lvl w:ilvl="0" w:tplc="6BF61594">
      <w:start w:val="2"/>
      <w:numFmt w:val="decimal"/>
      <w:suff w:val="space"/>
      <w:lvlText w:val="Artículo %1."/>
      <w:lvlJc w:val="left"/>
      <w:pPr>
        <w:ind w:left="2912"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EC20E2"/>
    <w:multiLevelType w:val="hybridMultilevel"/>
    <w:tmpl w:val="04EA056A"/>
    <w:lvl w:ilvl="0" w:tplc="080A0013">
      <w:start w:val="1"/>
      <w:numFmt w:val="upperRoman"/>
      <w:lvlText w:val="%1."/>
      <w:lvlJc w:val="righ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1EF43CAB"/>
    <w:multiLevelType w:val="hybridMultilevel"/>
    <w:tmpl w:val="3EA82C4C"/>
    <w:lvl w:ilvl="0" w:tplc="A866E858">
      <w:start w:val="1"/>
      <w:numFmt w:val="decimal"/>
      <w:pStyle w:val="Ttulo3"/>
      <w:lvlText w:val="6.%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741BA4"/>
    <w:multiLevelType w:val="hybridMultilevel"/>
    <w:tmpl w:val="BF1645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6AB3446"/>
    <w:multiLevelType w:val="hybridMultilevel"/>
    <w:tmpl w:val="1884F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7C5C32"/>
    <w:multiLevelType w:val="hybridMultilevel"/>
    <w:tmpl w:val="796CC43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2AF66AD7"/>
    <w:multiLevelType w:val="hybridMultilevel"/>
    <w:tmpl w:val="9FA4FE0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B82F18"/>
    <w:multiLevelType w:val="hybridMultilevel"/>
    <w:tmpl w:val="C0F031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2B0BB7"/>
    <w:multiLevelType w:val="hybridMultilevel"/>
    <w:tmpl w:val="60A4DBB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4BFC3A31"/>
    <w:multiLevelType w:val="hybridMultilevel"/>
    <w:tmpl w:val="3682A9F4"/>
    <w:lvl w:ilvl="0" w:tplc="89BC53B8">
      <w:start w:val="1"/>
      <w:numFmt w:val="lowerLetter"/>
      <w:lvlText w:val="(%1)"/>
      <w:lvlJc w:val="left"/>
      <w:pPr>
        <w:ind w:left="1287" w:hanging="360"/>
      </w:pPr>
      <w:rPr>
        <w:rFonts w:ascii="ITC Avant Garde" w:eastAsia="Calibri" w:hAnsi="ITC Avant Garde" w:cs="Times New Roman"/>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5" w15:restartNumberingAfterBreak="0">
    <w:nsid w:val="527471FC"/>
    <w:multiLevelType w:val="hybridMultilevel"/>
    <w:tmpl w:val="2A78B218"/>
    <w:lvl w:ilvl="0" w:tplc="B6B4A8FA">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30232B6"/>
    <w:multiLevelType w:val="multilevel"/>
    <w:tmpl w:val="6A107F4A"/>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7" w15:restartNumberingAfterBreak="0">
    <w:nsid w:val="5AA8304D"/>
    <w:multiLevelType w:val="hybridMultilevel"/>
    <w:tmpl w:val="6478D12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CCB22AB"/>
    <w:multiLevelType w:val="hybridMultilevel"/>
    <w:tmpl w:val="01AEF20A"/>
    <w:lvl w:ilvl="0" w:tplc="54269762">
      <w:start w:val="100"/>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D6773AE"/>
    <w:multiLevelType w:val="multilevel"/>
    <w:tmpl w:val="6A107F4A"/>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0" w15:restartNumberingAfterBreak="0">
    <w:nsid w:val="5F173D98"/>
    <w:multiLevelType w:val="hybridMultilevel"/>
    <w:tmpl w:val="09C41B00"/>
    <w:lvl w:ilvl="0" w:tplc="59EAF3FE">
      <w:start w:val="1"/>
      <w:numFmt w:val="ordinalText"/>
      <w:suff w:val="space"/>
      <w:lvlText w:val="%1.-"/>
      <w:lvlJc w:val="left"/>
      <w:pPr>
        <w:ind w:left="2912"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1A70E01"/>
    <w:multiLevelType w:val="hybridMultilevel"/>
    <w:tmpl w:val="EC1CAF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1C475C1"/>
    <w:multiLevelType w:val="hybridMultilevel"/>
    <w:tmpl w:val="62944AD6"/>
    <w:lvl w:ilvl="0" w:tplc="F2A2F9FC">
      <w:start w:val="1"/>
      <w:numFmt w:val="upperRoman"/>
      <w:pStyle w:val="NormalIFT"/>
      <w:lvlText w:val="%1."/>
      <w:lvlJc w:val="right"/>
      <w:pPr>
        <w:ind w:left="720" w:hanging="360"/>
      </w:pPr>
      <w:rPr>
        <w:rFonts w:ascii="Times New Roman" w:hAnsi="Times New Roman" w:cs="Times New Roman" w:hint="default"/>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098418A"/>
    <w:multiLevelType w:val="hybridMultilevel"/>
    <w:tmpl w:val="AB58BBA0"/>
    <w:lvl w:ilvl="0" w:tplc="D204993A">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4" w15:restartNumberingAfterBreak="0">
    <w:nsid w:val="72312214"/>
    <w:multiLevelType w:val="hybridMultilevel"/>
    <w:tmpl w:val="4A0057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2BA1E15"/>
    <w:multiLevelType w:val="hybridMultilevel"/>
    <w:tmpl w:val="D1F07928"/>
    <w:lvl w:ilvl="0" w:tplc="6AD4E228">
      <w:start w:val="1"/>
      <w:numFmt w:val="lowerRoman"/>
      <w:lvlText w:val="%1)"/>
      <w:lvlJc w:val="left"/>
      <w:pPr>
        <w:ind w:left="1156" w:hanging="720"/>
      </w:pPr>
      <w:rPr>
        <w:rFonts w:hint="default"/>
      </w:rPr>
    </w:lvl>
    <w:lvl w:ilvl="1" w:tplc="080A0019" w:tentative="1">
      <w:start w:val="1"/>
      <w:numFmt w:val="lowerLetter"/>
      <w:lvlText w:val="%2."/>
      <w:lvlJc w:val="left"/>
      <w:pPr>
        <w:ind w:left="1516" w:hanging="360"/>
      </w:pPr>
    </w:lvl>
    <w:lvl w:ilvl="2" w:tplc="080A001B" w:tentative="1">
      <w:start w:val="1"/>
      <w:numFmt w:val="lowerRoman"/>
      <w:lvlText w:val="%3."/>
      <w:lvlJc w:val="right"/>
      <w:pPr>
        <w:ind w:left="2236" w:hanging="180"/>
      </w:pPr>
    </w:lvl>
    <w:lvl w:ilvl="3" w:tplc="080A000F" w:tentative="1">
      <w:start w:val="1"/>
      <w:numFmt w:val="decimal"/>
      <w:lvlText w:val="%4."/>
      <w:lvlJc w:val="left"/>
      <w:pPr>
        <w:ind w:left="2956" w:hanging="360"/>
      </w:pPr>
    </w:lvl>
    <w:lvl w:ilvl="4" w:tplc="080A0019" w:tentative="1">
      <w:start w:val="1"/>
      <w:numFmt w:val="lowerLetter"/>
      <w:lvlText w:val="%5."/>
      <w:lvlJc w:val="left"/>
      <w:pPr>
        <w:ind w:left="3676" w:hanging="360"/>
      </w:pPr>
    </w:lvl>
    <w:lvl w:ilvl="5" w:tplc="080A001B" w:tentative="1">
      <w:start w:val="1"/>
      <w:numFmt w:val="lowerRoman"/>
      <w:lvlText w:val="%6."/>
      <w:lvlJc w:val="right"/>
      <w:pPr>
        <w:ind w:left="4396" w:hanging="180"/>
      </w:pPr>
    </w:lvl>
    <w:lvl w:ilvl="6" w:tplc="080A000F" w:tentative="1">
      <w:start w:val="1"/>
      <w:numFmt w:val="decimal"/>
      <w:lvlText w:val="%7."/>
      <w:lvlJc w:val="left"/>
      <w:pPr>
        <w:ind w:left="5116" w:hanging="360"/>
      </w:pPr>
    </w:lvl>
    <w:lvl w:ilvl="7" w:tplc="080A0019" w:tentative="1">
      <w:start w:val="1"/>
      <w:numFmt w:val="lowerLetter"/>
      <w:lvlText w:val="%8."/>
      <w:lvlJc w:val="left"/>
      <w:pPr>
        <w:ind w:left="5836" w:hanging="360"/>
      </w:pPr>
    </w:lvl>
    <w:lvl w:ilvl="8" w:tplc="080A001B" w:tentative="1">
      <w:start w:val="1"/>
      <w:numFmt w:val="lowerRoman"/>
      <w:lvlText w:val="%9."/>
      <w:lvlJc w:val="right"/>
      <w:pPr>
        <w:ind w:left="6556" w:hanging="180"/>
      </w:pPr>
    </w:lvl>
  </w:abstractNum>
  <w:abstractNum w:abstractNumId="26" w15:restartNumberingAfterBreak="0">
    <w:nsid w:val="736548A9"/>
    <w:multiLevelType w:val="hybridMultilevel"/>
    <w:tmpl w:val="35520A36"/>
    <w:lvl w:ilvl="0" w:tplc="C4989824">
      <w:numFmt w:val="bullet"/>
      <w:lvlText w:val="-"/>
      <w:lvlJc w:val="left"/>
      <w:pPr>
        <w:ind w:left="720" w:hanging="360"/>
      </w:pPr>
      <w:rPr>
        <w:rFonts w:ascii="Arial" w:eastAsia="Calibr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4C912C3"/>
    <w:multiLevelType w:val="hybridMultilevel"/>
    <w:tmpl w:val="EB8636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EA71077"/>
    <w:multiLevelType w:val="hybridMultilevel"/>
    <w:tmpl w:val="46B610E2"/>
    <w:lvl w:ilvl="0" w:tplc="4C5489D6">
      <w:start w:val="1"/>
      <w:numFmt w:val="ordinalText"/>
      <w:suff w:val="space"/>
      <w:lvlText w:val="%1."/>
      <w:lvlJc w:val="right"/>
      <w:pPr>
        <w:ind w:left="567" w:hanging="283"/>
      </w:pPr>
      <w:rPr>
        <w:rFonts w:ascii="ITC Avant Garde" w:hAnsi="ITC Avant Garde" w:hint="default"/>
        <w:b/>
        <w:i w:val="0"/>
        <w:small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18"/>
  </w:num>
  <w:num w:numId="3">
    <w:abstractNumId w:val="16"/>
  </w:num>
  <w:num w:numId="4">
    <w:abstractNumId w:val="6"/>
  </w:num>
  <w:num w:numId="5">
    <w:abstractNumId w:val="7"/>
  </w:num>
  <w:num w:numId="6">
    <w:abstractNumId w:val="19"/>
  </w:num>
  <w:num w:numId="7">
    <w:abstractNumId w:val="21"/>
  </w:num>
  <w:num w:numId="8">
    <w:abstractNumId w:val="12"/>
  </w:num>
  <w:num w:numId="9">
    <w:abstractNumId w:val="23"/>
  </w:num>
  <w:num w:numId="10">
    <w:abstractNumId w:val="14"/>
  </w:num>
  <w:num w:numId="11">
    <w:abstractNumId w:val="13"/>
  </w:num>
  <w:num w:numId="12">
    <w:abstractNumId w:val="10"/>
  </w:num>
  <w:num w:numId="13">
    <w:abstractNumId w:val="8"/>
  </w:num>
  <w:num w:numId="14">
    <w:abstractNumId w:val="24"/>
  </w:num>
  <w:num w:numId="15">
    <w:abstractNumId w:val="1"/>
  </w:num>
  <w:num w:numId="16">
    <w:abstractNumId w:val="27"/>
  </w:num>
  <w:num w:numId="17">
    <w:abstractNumId w:val="11"/>
  </w:num>
  <w:num w:numId="18">
    <w:abstractNumId w:val="4"/>
  </w:num>
  <w:num w:numId="19">
    <w:abstractNumId w:val="9"/>
  </w:num>
  <w:num w:numId="20">
    <w:abstractNumId w:val="28"/>
  </w:num>
  <w:num w:numId="21">
    <w:abstractNumId w:val="3"/>
  </w:num>
  <w:num w:numId="22">
    <w:abstractNumId w:val="17"/>
  </w:num>
  <w:num w:numId="23">
    <w:abstractNumId w:val="25"/>
  </w:num>
  <w:num w:numId="24">
    <w:abstractNumId w:val="15"/>
  </w:num>
  <w:num w:numId="25">
    <w:abstractNumId w:val="2"/>
  </w:num>
  <w:num w:numId="26">
    <w:abstractNumId w:val="20"/>
  </w:num>
  <w:num w:numId="27">
    <w:abstractNumId w:val="26"/>
  </w:num>
  <w:num w:numId="28">
    <w:abstractNumId w:val="0"/>
  </w:num>
  <w:num w:numId="29">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1"/>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9CF"/>
    <w:rsid w:val="00000DA5"/>
    <w:rsid w:val="00001E4D"/>
    <w:rsid w:val="0000247F"/>
    <w:rsid w:val="000036AC"/>
    <w:rsid w:val="000045E5"/>
    <w:rsid w:val="00004BA6"/>
    <w:rsid w:val="00005A78"/>
    <w:rsid w:val="00012092"/>
    <w:rsid w:val="000121A9"/>
    <w:rsid w:val="00012919"/>
    <w:rsid w:val="000143BF"/>
    <w:rsid w:val="00016B01"/>
    <w:rsid w:val="00017765"/>
    <w:rsid w:val="0002058B"/>
    <w:rsid w:val="000209AC"/>
    <w:rsid w:val="00021217"/>
    <w:rsid w:val="00022C06"/>
    <w:rsid w:val="00023DB9"/>
    <w:rsid w:val="00024668"/>
    <w:rsid w:val="00033979"/>
    <w:rsid w:val="00034263"/>
    <w:rsid w:val="000349B1"/>
    <w:rsid w:val="000362B2"/>
    <w:rsid w:val="00036D0E"/>
    <w:rsid w:val="0004084B"/>
    <w:rsid w:val="000421B6"/>
    <w:rsid w:val="0004325F"/>
    <w:rsid w:val="00043AB9"/>
    <w:rsid w:val="00043AC9"/>
    <w:rsid w:val="00043E1D"/>
    <w:rsid w:val="00044064"/>
    <w:rsid w:val="00044784"/>
    <w:rsid w:val="00050838"/>
    <w:rsid w:val="0005283A"/>
    <w:rsid w:val="000618D8"/>
    <w:rsid w:val="00064591"/>
    <w:rsid w:val="000658CB"/>
    <w:rsid w:val="0007557E"/>
    <w:rsid w:val="000760C8"/>
    <w:rsid w:val="000765BB"/>
    <w:rsid w:val="000816B4"/>
    <w:rsid w:val="00083308"/>
    <w:rsid w:val="00084F1C"/>
    <w:rsid w:val="00084FF6"/>
    <w:rsid w:val="00086D8F"/>
    <w:rsid w:val="000902F7"/>
    <w:rsid w:val="00094562"/>
    <w:rsid w:val="00094E7B"/>
    <w:rsid w:val="00095198"/>
    <w:rsid w:val="00095691"/>
    <w:rsid w:val="000972D0"/>
    <w:rsid w:val="000A04FB"/>
    <w:rsid w:val="000A0635"/>
    <w:rsid w:val="000A3631"/>
    <w:rsid w:val="000B00B2"/>
    <w:rsid w:val="000B0DC3"/>
    <w:rsid w:val="000B2058"/>
    <w:rsid w:val="000B6C6B"/>
    <w:rsid w:val="000B6D54"/>
    <w:rsid w:val="000B6DD2"/>
    <w:rsid w:val="000C0C40"/>
    <w:rsid w:val="000C5501"/>
    <w:rsid w:val="000C5E23"/>
    <w:rsid w:val="000D4D74"/>
    <w:rsid w:val="000D5C30"/>
    <w:rsid w:val="000D6F64"/>
    <w:rsid w:val="000D7361"/>
    <w:rsid w:val="000E234F"/>
    <w:rsid w:val="000E237C"/>
    <w:rsid w:val="000E5026"/>
    <w:rsid w:val="000E57D4"/>
    <w:rsid w:val="000F0B6D"/>
    <w:rsid w:val="000F117A"/>
    <w:rsid w:val="000F164A"/>
    <w:rsid w:val="000F3A02"/>
    <w:rsid w:val="000F5DCE"/>
    <w:rsid w:val="000F619C"/>
    <w:rsid w:val="000F72A8"/>
    <w:rsid w:val="001001BA"/>
    <w:rsid w:val="00104BB9"/>
    <w:rsid w:val="00104C44"/>
    <w:rsid w:val="0010553E"/>
    <w:rsid w:val="00107B4A"/>
    <w:rsid w:val="0011217F"/>
    <w:rsid w:val="00112FC4"/>
    <w:rsid w:val="00115476"/>
    <w:rsid w:val="0011656A"/>
    <w:rsid w:val="00116EB4"/>
    <w:rsid w:val="001173CC"/>
    <w:rsid w:val="001229D4"/>
    <w:rsid w:val="00122AB2"/>
    <w:rsid w:val="001252A0"/>
    <w:rsid w:val="0012549E"/>
    <w:rsid w:val="001339C6"/>
    <w:rsid w:val="00137437"/>
    <w:rsid w:val="00137EA6"/>
    <w:rsid w:val="00140AA5"/>
    <w:rsid w:val="00141BEC"/>
    <w:rsid w:val="00144722"/>
    <w:rsid w:val="00144C0D"/>
    <w:rsid w:val="001467B0"/>
    <w:rsid w:val="00146A74"/>
    <w:rsid w:val="00152067"/>
    <w:rsid w:val="00162FE0"/>
    <w:rsid w:val="00163547"/>
    <w:rsid w:val="0016456B"/>
    <w:rsid w:val="001653E5"/>
    <w:rsid w:val="0016728D"/>
    <w:rsid w:val="001710C8"/>
    <w:rsid w:val="00172BCA"/>
    <w:rsid w:val="001756DD"/>
    <w:rsid w:val="00177445"/>
    <w:rsid w:val="00181262"/>
    <w:rsid w:val="00185679"/>
    <w:rsid w:val="00185A29"/>
    <w:rsid w:val="00187045"/>
    <w:rsid w:val="00190F90"/>
    <w:rsid w:val="00194D80"/>
    <w:rsid w:val="00194E7A"/>
    <w:rsid w:val="00197335"/>
    <w:rsid w:val="001A3A60"/>
    <w:rsid w:val="001B142D"/>
    <w:rsid w:val="001B61C0"/>
    <w:rsid w:val="001C5B2D"/>
    <w:rsid w:val="001D254C"/>
    <w:rsid w:val="001F0411"/>
    <w:rsid w:val="001F5A0F"/>
    <w:rsid w:val="001F7167"/>
    <w:rsid w:val="001F7981"/>
    <w:rsid w:val="00201F8F"/>
    <w:rsid w:val="002029E4"/>
    <w:rsid w:val="0020445A"/>
    <w:rsid w:val="00204B07"/>
    <w:rsid w:val="0020653D"/>
    <w:rsid w:val="00206A41"/>
    <w:rsid w:val="00206D9A"/>
    <w:rsid w:val="00211578"/>
    <w:rsid w:val="002128C4"/>
    <w:rsid w:val="00213B5C"/>
    <w:rsid w:val="00220056"/>
    <w:rsid w:val="00221228"/>
    <w:rsid w:val="00222887"/>
    <w:rsid w:val="0022306A"/>
    <w:rsid w:val="00223467"/>
    <w:rsid w:val="00225150"/>
    <w:rsid w:val="00225851"/>
    <w:rsid w:val="00225FA2"/>
    <w:rsid w:val="0022750A"/>
    <w:rsid w:val="00230016"/>
    <w:rsid w:val="00230441"/>
    <w:rsid w:val="00232D72"/>
    <w:rsid w:val="00237988"/>
    <w:rsid w:val="00243C9A"/>
    <w:rsid w:val="0024471F"/>
    <w:rsid w:val="00245B0A"/>
    <w:rsid w:val="00247EFF"/>
    <w:rsid w:val="00250FD0"/>
    <w:rsid w:val="00253EC5"/>
    <w:rsid w:val="00255573"/>
    <w:rsid w:val="002559DE"/>
    <w:rsid w:val="00256508"/>
    <w:rsid w:val="0025651A"/>
    <w:rsid w:val="00260675"/>
    <w:rsid w:val="00261EBE"/>
    <w:rsid w:val="00264E57"/>
    <w:rsid w:val="002673C4"/>
    <w:rsid w:val="00272C9B"/>
    <w:rsid w:val="0027455C"/>
    <w:rsid w:val="0027644C"/>
    <w:rsid w:val="0027728B"/>
    <w:rsid w:val="002804B3"/>
    <w:rsid w:val="00280B81"/>
    <w:rsid w:val="00282D6D"/>
    <w:rsid w:val="00283CB5"/>
    <w:rsid w:val="002902C5"/>
    <w:rsid w:val="00291BDC"/>
    <w:rsid w:val="00292354"/>
    <w:rsid w:val="002931E1"/>
    <w:rsid w:val="002A082E"/>
    <w:rsid w:val="002A120A"/>
    <w:rsid w:val="002A4CC8"/>
    <w:rsid w:val="002A4F7D"/>
    <w:rsid w:val="002A5195"/>
    <w:rsid w:val="002A7B18"/>
    <w:rsid w:val="002A7B2A"/>
    <w:rsid w:val="002B07F1"/>
    <w:rsid w:val="002B09FC"/>
    <w:rsid w:val="002B3AB4"/>
    <w:rsid w:val="002B3AE1"/>
    <w:rsid w:val="002B6E90"/>
    <w:rsid w:val="002B727C"/>
    <w:rsid w:val="002B7430"/>
    <w:rsid w:val="002B7C5A"/>
    <w:rsid w:val="002D19A5"/>
    <w:rsid w:val="002D3B38"/>
    <w:rsid w:val="002D443D"/>
    <w:rsid w:val="002D47F6"/>
    <w:rsid w:val="002E263D"/>
    <w:rsid w:val="002E3596"/>
    <w:rsid w:val="002E436E"/>
    <w:rsid w:val="002E5A4D"/>
    <w:rsid w:val="002E63B1"/>
    <w:rsid w:val="002F27DA"/>
    <w:rsid w:val="002F379D"/>
    <w:rsid w:val="002F451B"/>
    <w:rsid w:val="00300A75"/>
    <w:rsid w:val="00301303"/>
    <w:rsid w:val="00303CA3"/>
    <w:rsid w:val="00303D29"/>
    <w:rsid w:val="00305F1D"/>
    <w:rsid w:val="00307DE9"/>
    <w:rsid w:val="0031356D"/>
    <w:rsid w:val="00314C1D"/>
    <w:rsid w:val="00314E21"/>
    <w:rsid w:val="00325A56"/>
    <w:rsid w:val="00327258"/>
    <w:rsid w:val="00327290"/>
    <w:rsid w:val="0032748D"/>
    <w:rsid w:val="00331001"/>
    <w:rsid w:val="00336F5E"/>
    <w:rsid w:val="003400DB"/>
    <w:rsid w:val="0034192D"/>
    <w:rsid w:val="00342FE5"/>
    <w:rsid w:val="0034471F"/>
    <w:rsid w:val="0035185E"/>
    <w:rsid w:val="00357C22"/>
    <w:rsid w:val="003606DD"/>
    <w:rsid w:val="00361C72"/>
    <w:rsid w:val="00362F92"/>
    <w:rsid w:val="00362FF1"/>
    <w:rsid w:val="003665C2"/>
    <w:rsid w:val="0037008A"/>
    <w:rsid w:val="0037350D"/>
    <w:rsid w:val="00373D69"/>
    <w:rsid w:val="00377883"/>
    <w:rsid w:val="00377E6A"/>
    <w:rsid w:val="00380DAD"/>
    <w:rsid w:val="003819E1"/>
    <w:rsid w:val="00384554"/>
    <w:rsid w:val="0039184A"/>
    <w:rsid w:val="003930D8"/>
    <w:rsid w:val="003A0FE0"/>
    <w:rsid w:val="003A1438"/>
    <w:rsid w:val="003A2251"/>
    <w:rsid w:val="003A33AD"/>
    <w:rsid w:val="003A605F"/>
    <w:rsid w:val="003A79DA"/>
    <w:rsid w:val="003B02C3"/>
    <w:rsid w:val="003B4E70"/>
    <w:rsid w:val="003B6DC5"/>
    <w:rsid w:val="003B7E3C"/>
    <w:rsid w:val="003C17CD"/>
    <w:rsid w:val="003C1F75"/>
    <w:rsid w:val="003C52BE"/>
    <w:rsid w:val="003C579C"/>
    <w:rsid w:val="003C5DCE"/>
    <w:rsid w:val="003C791C"/>
    <w:rsid w:val="003C7A7E"/>
    <w:rsid w:val="003D0738"/>
    <w:rsid w:val="003D6359"/>
    <w:rsid w:val="003D65F4"/>
    <w:rsid w:val="003D68EF"/>
    <w:rsid w:val="003E0927"/>
    <w:rsid w:val="003E1FCE"/>
    <w:rsid w:val="003E3A6E"/>
    <w:rsid w:val="003E4218"/>
    <w:rsid w:val="003E5BB7"/>
    <w:rsid w:val="003E7B36"/>
    <w:rsid w:val="003F22F2"/>
    <w:rsid w:val="003F30B8"/>
    <w:rsid w:val="003F6E64"/>
    <w:rsid w:val="003F7676"/>
    <w:rsid w:val="003F7A6D"/>
    <w:rsid w:val="00400DB3"/>
    <w:rsid w:val="00400DF8"/>
    <w:rsid w:val="0040188F"/>
    <w:rsid w:val="004033D8"/>
    <w:rsid w:val="00404B07"/>
    <w:rsid w:val="00407C0A"/>
    <w:rsid w:val="00413586"/>
    <w:rsid w:val="0041429B"/>
    <w:rsid w:val="0041539E"/>
    <w:rsid w:val="004201AB"/>
    <w:rsid w:val="00420CA2"/>
    <w:rsid w:val="00421937"/>
    <w:rsid w:val="00421D08"/>
    <w:rsid w:val="004223DC"/>
    <w:rsid w:val="00425849"/>
    <w:rsid w:val="00426C4D"/>
    <w:rsid w:val="00427962"/>
    <w:rsid w:val="004329D2"/>
    <w:rsid w:val="00433421"/>
    <w:rsid w:val="004400B0"/>
    <w:rsid w:val="004428AE"/>
    <w:rsid w:val="00442A49"/>
    <w:rsid w:val="00443905"/>
    <w:rsid w:val="00446512"/>
    <w:rsid w:val="00446C15"/>
    <w:rsid w:val="00451E55"/>
    <w:rsid w:val="00460187"/>
    <w:rsid w:val="00462902"/>
    <w:rsid w:val="00465567"/>
    <w:rsid w:val="004665A5"/>
    <w:rsid w:val="00466926"/>
    <w:rsid w:val="00467581"/>
    <w:rsid w:val="00473D5E"/>
    <w:rsid w:val="004745F0"/>
    <w:rsid w:val="00474D16"/>
    <w:rsid w:val="00481F6F"/>
    <w:rsid w:val="00484867"/>
    <w:rsid w:val="0048518F"/>
    <w:rsid w:val="00490515"/>
    <w:rsid w:val="00493410"/>
    <w:rsid w:val="004966C2"/>
    <w:rsid w:val="004A14AE"/>
    <w:rsid w:val="004A23A7"/>
    <w:rsid w:val="004A7D6C"/>
    <w:rsid w:val="004B194B"/>
    <w:rsid w:val="004B28C8"/>
    <w:rsid w:val="004B4755"/>
    <w:rsid w:val="004B760D"/>
    <w:rsid w:val="004B78E8"/>
    <w:rsid w:val="004B7EA1"/>
    <w:rsid w:val="004C0069"/>
    <w:rsid w:val="004C25E8"/>
    <w:rsid w:val="004C3FE3"/>
    <w:rsid w:val="004C56C5"/>
    <w:rsid w:val="004C779B"/>
    <w:rsid w:val="004D0464"/>
    <w:rsid w:val="004D5605"/>
    <w:rsid w:val="004D6CEE"/>
    <w:rsid w:val="004D78FE"/>
    <w:rsid w:val="004D79F8"/>
    <w:rsid w:val="004E0610"/>
    <w:rsid w:val="004E2736"/>
    <w:rsid w:val="004E2C3A"/>
    <w:rsid w:val="004E3D60"/>
    <w:rsid w:val="004E4F5F"/>
    <w:rsid w:val="004E78CD"/>
    <w:rsid w:val="004F09A0"/>
    <w:rsid w:val="004F3F78"/>
    <w:rsid w:val="004F555A"/>
    <w:rsid w:val="004F6680"/>
    <w:rsid w:val="00501EAA"/>
    <w:rsid w:val="00502CCB"/>
    <w:rsid w:val="00504776"/>
    <w:rsid w:val="00504C49"/>
    <w:rsid w:val="005051B4"/>
    <w:rsid w:val="00510473"/>
    <w:rsid w:val="005226B1"/>
    <w:rsid w:val="005232ED"/>
    <w:rsid w:val="005303EE"/>
    <w:rsid w:val="0053170A"/>
    <w:rsid w:val="00531E1E"/>
    <w:rsid w:val="00532955"/>
    <w:rsid w:val="00534533"/>
    <w:rsid w:val="0054253E"/>
    <w:rsid w:val="0054541C"/>
    <w:rsid w:val="00555F70"/>
    <w:rsid w:val="0056100F"/>
    <w:rsid w:val="0056192D"/>
    <w:rsid w:val="00562759"/>
    <w:rsid w:val="0056317D"/>
    <w:rsid w:val="00564DBB"/>
    <w:rsid w:val="005667FB"/>
    <w:rsid w:val="005671DC"/>
    <w:rsid w:val="005678B7"/>
    <w:rsid w:val="00567D77"/>
    <w:rsid w:val="00573260"/>
    <w:rsid w:val="00575C7D"/>
    <w:rsid w:val="00577A56"/>
    <w:rsid w:val="00577B45"/>
    <w:rsid w:val="00581408"/>
    <w:rsid w:val="00581EB7"/>
    <w:rsid w:val="00582468"/>
    <w:rsid w:val="0058263F"/>
    <w:rsid w:val="005833FD"/>
    <w:rsid w:val="00584E71"/>
    <w:rsid w:val="00585CAE"/>
    <w:rsid w:val="0058642B"/>
    <w:rsid w:val="00592CFD"/>
    <w:rsid w:val="005945E3"/>
    <w:rsid w:val="0059783B"/>
    <w:rsid w:val="00597A3A"/>
    <w:rsid w:val="005A0422"/>
    <w:rsid w:val="005A05F2"/>
    <w:rsid w:val="005A1A28"/>
    <w:rsid w:val="005A2563"/>
    <w:rsid w:val="005A3BEB"/>
    <w:rsid w:val="005B0E7D"/>
    <w:rsid w:val="005B0F2F"/>
    <w:rsid w:val="005B7C2F"/>
    <w:rsid w:val="005C7497"/>
    <w:rsid w:val="005D038D"/>
    <w:rsid w:val="005D4A1E"/>
    <w:rsid w:val="005D5E5C"/>
    <w:rsid w:val="005D7698"/>
    <w:rsid w:val="005E1B47"/>
    <w:rsid w:val="005E2708"/>
    <w:rsid w:val="005E38DE"/>
    <w:rsid w:val="005E4D97"/>
    <w:rsid w:val="005F0C85"/>
    <w:rsid w:val="005F4FA0"/>
    <w:rsid w:val="005F55B3"/>
    <w:rsid w:val="0060122E"/>
    <w:rsid w:val="0060222B"/>
    <w:rsid w:val="006025E0"/>
    <w:rsid w:val="006027E2"/>
    <w:rsid w:val="006075BD"/>
    <w:rsid w:val="006117E3"/>
    <w:rsid w:val="00611ECA"/>
    <w:rsid w:val="00612A31"/>
    <w:rsid w:val="0061349A"/>
    <w:rsid w:val="00613A3D"/>
    <w:rsid w:val="006235B7"/>
    <w:rsid w:val="006363CE"/>
    <w:rsid w:val="006419F7"/>
    <w:rsid w:val="00641E15"/>
    <w:rsid w:val="006440B0"/>
    <w:rsid w:val="0064567F"/>
    <w:rsid w:val="00645D46"/>
    <w:rsid w:val="006464DA"/>
    <w:rsid w:val="00654097"/>
    <w:rsid w:val="00655951"/>
    <w:rsid w:val="0066175B"/>
    <w:rsid w:val="006656BC"/>
    <w:rsid w:val="00671B78"/>
    <w:rsid w:val="00675D3B"/>
    <w:rsid w:val="0068053A"/>
    <w:rsid w:val="00680595"/>
    <w:rsid w:val="0068079D"/>
    <w:rsid w:val="00681543"/>
    <w:rsid w:val="00682723"/>
    <w:rsid w:val="006861EA"/>
    <w:rsid w:val="00687234"/>
    <w:rsid w:val="0068753F"/>
    <w:rsid w:val="006924D7"/>
    <w:rsid w:val="00695750"/>
    <w:rsid w:val="00697D77"/>
    <w:rsid w:val="006A1D51"/>
    <w:rsid w:val="006A1E8E"/>
    <w:rsid w:val="006A4710"/>
    <w:rsid w:val="006A50A9"/>
    <w:rsid w:val="006A67D1"/>
    <w:rsid w:val="006B5232"/>
    <w:rsid w:val="006B68CB"/>
    <w:rsid w:val="006B6BE8"/>
    <w:rsid w:val="006C0053"/>
    <w:rsid w:val="006C6090"/>
    <w:rsid w:val="006C644D"/>
    <w:rsid w:val="006C6973"/>
    <w:rsid w:val="006C6AE8"/>
    <w:rsid w:val="006C7FC6"/>
    <w:rsid w:val="006D48AC"/>
    <w:rsid w:val="006D5D73"/>
    <w:rsid w:val="006E4348"/>
    <w:rsid w:val="006E5E53"/>
    <w:rsid w:val="006E7570"/>
    <w:rsid w:val="006F07F7"/>
    <w:rsid w:val="006F281C"/>
    <w:rsid w:val="006F3C3B"/>
    <w:rsid w:val="006F4657"/>
    <w:rsid w:val="006F6620"/>
    <w:rsid w:val="006F6E4E"/>
    <w:rsid w:val="006F7586"/>
    <w:rsid w:val="00702BC9"/>
    <w:rsid w:val="00704F4B"/>
    <w:rsid w:val="007051F6"/>
    <w:rsid w:val="0070629C"/>
    <w:rsid w:val="00710E9C"/>
    <w:rsid w:val="00711D82"/>
    <w:rsid w:val="007125ED"/>
    <w:rsid w:val="0071325C"/>
    <w:rsid w:val="00715248"/>
    <w:rsid w:val="00716037"/>
    <w:rsid w:val="00717909"/>
    <w:rsid w:val="00717D84"/>
    <w:rsid w:val="007212EB"/>
    <w:rsid w:val="00721857"/>
    <w:rsid w:val="00723689"/>
    <w:rsid w:val="00725F47"/>
    <w:rsid w:val="007263A4"/>
    <w:rsid w:val="00731423"/>
    <w:rsid w:val="00731970"/>
    <w:rsid w:val="007331C8"/>
    <w:rsid w:val="007335AC"/>
    <w:rsid w:val="007337D9"/>
    <w:rsid w:val="0073736A"/>
    <w:rsid w:val="00737F68"/>
    <w:rsid w:val="007443B8"/>
    <w:rsid w:val="00744F92"/>
    <w:rsid w:val="007455D7"/>
    <w:rsid w:val="00745FAD"/>
    <w:rsid w:val="00746490"/>
    <w:rsid w:val="007466BC"/>
    <w:rsid w:val="00746B27"/>
    <w:rsid w:val="00747B12"/>
    <w:rsid w:val="007508F7"/>
    <w:rsid w:val="00750E11"/>
    <w:rsid w:val="007512FD"/>
    <w:rsid w:val="00751C8D"/>
    <w:rsid w:val="00752E7E"/>
    <w:rsid w:val="00753051"/>
    <w:rsid w:val="00756626"/>
    <w:rsid w:val="00756CA7"/>
    <w:rsid w:val="00762289"/>
    <w:rsid w:val="007631E9"/>
    <w:rsid w:val="00764180"/>
    <w:rsid w:val="007658DB"/>
    <w:rsid w:val="00767E4D"/>
    <w:rsid w:val="0077369A"/>
    <w:rsid w:val="00773BCC"/>
    <w:rsid w:val="00774114"/>
    <w:rsid w:val="007779E5"/>
    <w:rsid w:val="00782649"/>
    <w:rsid w:val="0078478C"/>
    <w:rsid w:val="00785996"/>
    <w:rsid w:val="007933D4"/>
    <w:rsid w:val="00795633"/>
    <w:rsid w:val="007A174A"/>
    <w:rsid w:val="007A25A5"/>
    <w:rsid w:val="007B21FE"/>
    <w:rsid w:val="007B2854"/>
    <w:rsid w:val="007B7800"/>
    <w:rsid w:val="007C026C"/>
    <w:rsid w:val="007C1BB0"/>
    <w:rsid w:val="007C1CA9"/>
    <w:rsid w:val="007C1F3A"/>
    <w:rsid w:val="007C37D3"/>
    <w:rsid w:val="007C4BDB"/>
    <w:rsid w:val="007C7C07"/>
    <w:rsid w:val="007D325B"/>
    <w:rsid w:val="007D4910"/>
    <w:rsid w:val="007D7078"/>
    <w:rsid w:val="007D79CD"/>
    <w:rsid w:val="007E01D6"/>
    <w:rsid w:val="007E268F"/>
    <w:rsid w:val="007F0A41"/>
    <w:rsid w:val="007F2D0F"/>
    <w:rsid w:val="007F2D21"/>
    <w:rsid w:val="007F3DC1"/>
    <w:rsid w:val="007F561C"/>
    <w:rsid w:val="007F6FED"/>
    <w:rsid w:val="007F7F63"/>
    <w:rsid w:val="00801D6B"/>
    <w:rsid w:val="00803669"/>
    <w:rsid w:val="00803BBB"/>
    <w:rsid w:val="00803F40"/>
    <w:rsid w:val="00805E7D"/>
    <w:rsid w:val="00806DE4"/>
    <w:rsid w:val="00807BE2"/>
    <w:rsid w:val="00812373"/>
    <w:rsid w:val="00815EBF"/>
    <w:rsid w:val="00821327"/>
    <w:rsid w:val="00821DC5"/>
    <w:rsid w:val="0082608A"/>
    <w:rsid w:val="008271B8"/>
    <w:rsid w:val="00834965"/>
    <w:rsid w:val="00836787"/>
    <w:rsid w:val="00837B2B"/>
    <w:rsid w:val="00840704"/>
    <w:rsid w:val="0084088E"/>
    <w:rsid w:val="00841C30"/>
    <w:rsid w:val="00845290"/>
    <w:rsid w:val="00846C93"/>
    <w:rsid w:val="00847A11"/>
    <w:rsid w:val="00850F23"/>
    <w:rsid w:val="00851162"/>
    <w:rsid w:val="00853144"/>
    <w:rsid w:val="0085708B"/>
    <w:rsid w:val="008601DC"/>
    <w:rsid w:val="00866A46"/>
    <w:rsid w:val="008676DA"/>
    <w:rsid w:val="008748FA"/>
    <w:rsid w:val="00875023"/>
    <w:rsid w:val="008759EA"/>
    <w:rsid w:val="008828CD"/>
    <w:rsid w:val="00883458"/>
    <w:rsid w:val="00890242"/>
    <w:rsid w:val="00890A71"/>
    <w:rsid w:val="00892080"/>
    <w:rsid w:val="00893237"/>
    <w:rsid w:val="00894927"/>
    <w:rsid w:val="00894D99"/>
    <w:rsid w:val="00896B1B"/>
    <w:rsid w:val="00897BDF"/>
    <w:rsid w:val="008A1268"/>
    <w:rsid w:val="008A1D3A"/>
    <w:rsid w:val="008A39CF"/>
    <w:rsid w:val="008A43AB"/>
    <w:rsid w:val="008A68B5"/>
    <w:rsid w:val="008B075B"/>
    <w:rsid w:val="008B266A"/>
    <w:rsid w:val="008B4494"/>
    <w:rsid w:val="008B4D60"/>
    <w:rsid w:val="008B75A5"/>
    <w:rsid w:val="008C05B3"/>
    <w:rsid w:val="008C0B3C"/>
    <w:rsid w:val="008C1E8E"/>
    <w:rsid w:val="008C2633"/>
    <w:rsid w:val="008C3831"/>
    <w:rsid w:val="008C6F86"/>
    <w:rsid w:val="008D1B59"/>
    <w:rsid w:val="008D2CCA"/>
    <w:rsid w:val="008D34D4"/>
    <w:rsid w:val="008D3647"/>
    <w:rsid w:val="008D5211"/>
    <w:rsid w:val="008D55A4"/>
    <w:rsid w:val="008D74F5"/>
    <w:rsid w:val="008E0EC8"/>
    <w:rsid w:val="008E4A41"/>
    <w:rsid w:val="008E5162"/>
    <w:rsid w:val="008E572F"/>
    <w:rsid w:val="008E5BEE"/>
    <w:rsid w:val="008F0AC8"/>
    <w:rsid w:val="008F0B5F"/>
    <w:rsid w:val="008F2BE3"/>
    <w:rsid w:val="008F7487"/>
    <w:rsid w:val="00906529"/>
    <w:rsid w:val="00907272"/>
    <w:rsid w:val="00910806"/>
    <w:rsid w:val="00913766"/>
    <w:rsid w:val="00914C3C"/>
    <w:rsid w:val="00916C16"/>
    <w:rsid w:val="00916E6B"/>
    <w:rsid w:val="00926894"/>
    <w:rsid w:val="00930E8B"/>
    <w:rsid w:val="0093171F"/>
    <w:rsid w:val="00935B1E"/>
    <w:rsid w:val="0094528A"/>
    <w:rsid w:val="00946668"/>
    <w:rsid w:val="00947D3B"/>
    <w:rsid w:val="00947E22"/>
    <w:rsid w:val="009504EF"/>
    <w:rsid w:val="009507C4"/>
    <w:rsid w:val="00951510"/>
    <w:rsid w:val="00953B2F"/>
    <w:rsid w:val="0095608C"/>
    <w:rsid w:val="009572EF"/>
    <w:rsid w:val="00960E72"/>
    <w:rsid w:val="0096210C"/>
    <w:rsid w:val="00962894"/>
    <w:rsid w:val="00962EC4"/>
    <w:rsid w:val="0096491A"/>
    <w:rsid w:val="009650D6"/>
    <w:rsid w:val="009654CF"/>
    <w:rsid w:val="00966D29"/>
    <w:rsid w:val="009679A2"/>
    <w:rsid w:val="0097157B"/>
    <w:rsid w:val="009724C4"/>
    <w:rsid w:val="00972723"/>
    <w:rsid w:val="009727DB"/>
    <w:rsid w:val="009730EE"/>
    <w:rsid w:val="00974B5B"/>
    <w:rsid w:val="00974C70"/>
    <w:rsid w:val="00977E64"/>
    <w:rsid w:val="00985324"/>
    <w:rsid w:val="0098604A"/>
    <w:rsid w:val="00995896"/>
    <w:rsid w:val="009972DF"/>
    <w:rsid w:val="00997A3C"/>
    <w:rsid w:val="009A0943"/>
    <w:rsid w:val="009A11E6"/>
    <w:rsid w:val="009A1FDF"/>
    <w:rsid w:val="009A210F"/>
    <w:rsid w:val="009A3878"/>
    <w:rsid w:val="009A51AF"/>
    <w:rsid w:val="009B121E"/>
    <w:rsid w:val="009B1BD3"/>
    <w:rsid w:val="009B1C63"/>
    <w:rsid w:val="009B4412"/>
    <w:rsid w:val="009B469D"/>
    <w:rsid w:val="009B46B6"/>
    <w:rsid w:val="009B46C9"/>
    <w:rsid w:val="009B51F4"/>
    <w:rsid w:val="009B76DC"/>
    <w:rsid w:val="009C2A19"/>
    <w:rsid w:val="009D2B1B"/>
    <w:rsid w:val="009D2B79"/>
    <w:rsid w:val="009D4964"/>
    <w:rsid w:val="009D5FCF"/>
    <w:rsid w:val="009D6CEA"/>
    <w:rsid w:val="009D7703"/>
    <w:rsid w:val="009E2124"/>
    <w:rsid w:val="009E255E"/>
    <w:rsid w:val="009E4F94"/>
    <w:rsid w:val="009F0466"/>
    <w:rsid w:val="009F162C"/>
    <w:rsid w:val="009F3D85"/>
    <w:rsid w:val="009F4297"/>
    <w:rsid w:val="009F4D26"/>
    <w:rsid w:val="00A00563"/>
    <w:rsid w:val="00A00741"/>
    <w:rsid w:val="00A043CE"/>
    <w:rsid w:val="00A06CC2"/>
    <w:rsid w:val="00A1095D"/>
    <w:rsid w:val="00A11B38"/>
    <w:rsid w:val="00A12F5A"/>
    <w:rsid w:val="00A12F63"/>
    <w:rsid w:val="00A171C6"/>
    <w:rsid w:val="00A20FAB"/>
    <w:rsid w:val="00A238A0"/>
    <w:rsid w:val="00A24B88"/>
    <w:rsid w:val="00A24D3F"/>
    <w:rsid w:val="00A35AEE"/>
    <w:rsid w:val="00A407A2"/>
    <w:rsid w:val="00A41C73"/>
    <w:rsid w:val="00A42D82"/>
    <w:rsid w:val="00A45545"/>
    <w:rsid w:val="00A4764B"/>
    <w:rsid w:val="00A508D3"/>
    <w:rsid w:val="00A512B2"/>
    <w:rsid w:val="00A51AE9"/>
    <w:rsid w:val="00A56321"/>
    <w:rsid w:val="00A645E3"/>
    <w:rsid w:val="00A649BD"/>
    <w:rsid w:val="00A64C5F"/>
    <w:rsid w:val="00A669AB"/>
    <w:rsid w:val="00A679BF"/>
    <w:rsid w:val="00A70215"/>
    <w:rsid w:val="00A77C2D"/>
    <w:rsid w:val="00A832E2"/>
    <w:rsid w:val="00A837FB"/>
    <w:rsid w:val="00A85421"/>
    <w:rsid w:val="00A8609A"/>
    <w:rsid w:val="00A90004"/>
    <w:rsid w:val="00A903A6"/>
    <w:rsid w:val="00A90EA6"/>
    <w:rsid w:val="00A92572"/>
    <w:rsid w:val="00A978E3"/>
    <w:rsid w:val="00AA490A"/>
    <w:rsid w:val="00AA4FD6"/>
    <w:rsid w:val="00AB10BD"/>
    <w:rsid w:val="00AB251D"/>
    <w:rsid w:val="00AB321B"/>
    <w:rsid w:val="00AC0CF7"/>
    <w:rsid w:val="00AC1648"/>
    <w:rsid w:val="00AC2111"/>
    <w:rsid w:val="00AC35C8"/>
    <w:rsid w:val="00AC3BC7"/>
    <w:rsid w:val="00AC50B3"/>
    <w:rsid w:val="00AD1008"/>
    <w:rsid w:val="00AD2808"/>
    <w:rsid w:val="00AD7872"/>
    <w:rsid w:val="00AD7E92"/>
    <w:rsid w:val="00AE2487"/>
    <w:rsid w:val="00AE36A6"/>
    <w:rsid w:val="00AE3E96"/>
    <w:rsid w:val="00AE542F"/>
    <w:rsid w:val="00AE5AAA"/>
    <w:rsid w:val="00AE6BE2"/>
    <w:rsid w:val="00AF2448"/>
    <w:rsid w:val="00AF33B2"/>
    <w:rsid w:val="00B01F7D"/>
    <w:rsid w:val="00B0237D"/>
    <w:rsid w:val="00B05518"/>
    <w:rsid w:val="00B137FD"/>
    <w:rsid w:val="00B13B6D"/>
    <w:rsid w:val="00B143EF"/>
    <w:rsid w:val="00B15FB7"/>
    <w:rsid w:val="00B1627F"/>
    <w:rsid w:val="00B218AA"/>
    <w:rsid w:val="00B22796"/>
    <w:rsid w:val="00B26551"/>
    <w:rsid w:val="00B27EFC"/>
    <w:rsid w:val="00B3250A"/>
    <w:rsid w:val="00B35853"/>
    <w:rsid w:val="00B407DC"/>
    <w:rsid w:val="00B40B5D"/>
    <w:rsid w:val="00B41EB8"/>
    <w:rsid w:val="00B5426C"/>
    <w:rsid w:val="00B54791"/>
    <w:rsid w:val="00B56A61"/>
    <w:rsid w:val="00B575EB"/>
    <w:rsid w:val="00B640BE"/>
    <w:rsid w:val="00B64100"/>
    <w:rsid w:val="00B64169"/>
    <w:rsid w:val="00B669AB"/>
    <w:rsid w:val="00B70684"/>
    <w:rsid w:val="00B772EA"/>
    <w:rsid w:val="00B777B1"/>
    <w:rsid w:val="00B81FB2"/>
    <w:rsid w:val="00B8248D"/>
    <w:rsid w:val="00B82C07"/>
    <w:rsid w:val="00B85DCB"/>
    <w:rsid w:val="00B87D2A"/>
    <w:rsid w:val="00B90D85"/>
    <w:rsid w:val="00B93137"/>
    <w:rsid w:val="00B9540A"/>
    <w:rsid w:val="00B97900"/>
    <w:rsid w:val="00BA2369"/>
    <w:rsid w:val="00BA36A3"/>
    <w:rsid w:val="00BB0787"/>
    <w:rsid w:val="00BB07BC"/>
    <w:rsid w:val="00BB6628"/>
    <w:rsid w:val="00BB6FE5"/>
    <w:rsid w:val="00BC17E9"/>
    <w:rsid w:val="00BC1A6C"/>
    <w:rsid w:val="00BC1F6A"/>
    <w:rsid w:val="00BC3581"/>
    <w:rsid w:val="00BC658E"/>
    <w:rsid w:val="00BD06AF"/>
    <w:rsid w:val="00BD0ACA"/>
    <w:rsid w:val="00BD3495"/>
    <w:rsid w:val="00BE0A92"/>
    <w:rsid w:val="00BE21E3"/>
    <w:rsid w:val="00BE6671"/>
    <w:rsid w:val="00BF1D3D"/>
    <w:rsid w:val="00BF4AC1"/>
    <w:rsid w:val="00BF4CF4"/>
    <w:rsid w:val="00C000E7"/>
    <w:rsid w:val="00C01433"/>
    <w:rsid w:val="00C0193D"/>
    <w:rsid w:val="00C04A12"/>
    <w:rsid w:val="00C05F31"/>
    <w:rsid w:val="00C10818"/>
    <w:rsid w:val="00C1109A"/>
    <w:rsid w:val="00C20C04"/>
    <w:rsid w:val="00C22153"/>
    <w:rsid w:val="00C22FCD"/>
    <w:rsid w:val="00C240D1"/>
    <w:rsid w:val="00C26C32"/>
    <w:rsid w:val="00C301F6"/>
    <w:rsid w:val="00C3067C"/>
    <w:rsid w:val="00C34475"/>
    <w:rsid w:val="00C34D89"/>
    <w:rsid w:val="00C35014"/>
    <w:rsid w:val="00C40F0B"/>
    <w:rsid w:val="00C4182C"/>
    <w:rsid w:val="00C51CA0"/>
    <w:rsid w:val="00C520DF"/>
    <w:rsid w:val="00C545A5"/>
    <w:rsid w:val="00C56307"/>
    <w:rsid w:val="00C6046B"/>
    <w:rsid w:val="00C63357"/>
    <w:rsid w:val="00C659E5"/>
    <w:rsid w:val="00C66716"/>
    <w:rsid w:val="00C70983"/>
    <w:rsid w:val="00C72947"/>
    <w:rsid w:val="00C737EA"/>
    <w:rsid w:val="00C74D10"/>
    <w:rsid w:val="00C751C2"/>
    <w:rsid w:val="00C759A2"/>
    <w:rsid w:val="00C82269"/>
    <w:rsid w:val="00C830FA"/>
    <w:rsid w:val="00C845ED"/>
    <w:rsid w:val="00C86957"/>
    <w:rsid w:val="00C96DB7"/>
    <w:rsid w:val="00CA16F7"/>
    <w:rsid w:val="00CA30AB"/>
    <w:rsid w:val="00CA3586"/>
    <w:rsid w:val="00CA3718"/>
    <w:rsid w:val="00CA4DED"/>
    <w:rsid w:val="00CA4F86"/>
    <w:rsid w:val="00CA5584"/>
    <w:rsid w:val="00CB0F3D"/>
    <w:rsid w:val="00CB2A35"/>
    <w:rsid w:val="00CB56D3"/>
    <w:rsid w:val="00CB5E52"/>
    <w:rsid w:val="00CB7D3B"/>
    <w:rsid w:val="00CC2D1F"/>
    <w:rsid w:val="00CC4496"/>
    <w:rsid w:val="00CC4544"/>
    <w:rsid w:val="00CD3034"/>
    <w:rsid w:val="00CD334A"/>
    <w:rsid w:val="00CD5227"/>
    <w:rsid w:val="00CD7D69"/>
    <w:rsid w:val="00CE0866"/>
    <w:rsid w:val="00CE10F5"/>
    <w:rsid w:val="00CE24EF"/>
    <w:rsid w:val="00CE3489"/>
    <w:rsid w:val="00CE6562"/>
    <w:rsid w:val="00CE67E7"/>
    <w:rsid w:val="00CE7AEC"/>
    <w:rsid w:val="00CF0640"/>
    <w:rsid w:val="00CF5B96"/>
    <w:rsid w:val="00CF63C8"/>
    <w:rsid w:val="00CF661F"/>
    <w:rsid w:val="00CF673A"/>
    <w:rsid w:val="00D021F9"/>
    <w:rsid w:val="00D0438C"/>
    <w:rsid w:val="00D06C30"/>
    <w:rsid w:val="00D10F4A"/>
    <w:rsid w:val="00D155DB"/>
    <w:rsid w:val="00D16ABE"/>
    <w:rsid w:val="00D1739B"/>
    <w:rsid w:val="00D17668"/>
    <w:rsid w:val="00D1771A"/>
    <w:rsid w:val="00D203A0"/>
    <w:rsid w:val="00D2368D"/>
    <w:rsid w:val="00D23C3D"/>
    <w:rsid w:val="00D23CCF"/>
    <w:rsid w:val="00D27901"/>
    <w:rsid w:val="00D30044"/>
    <w:rsid w:val="00D315F9"/>
    <w:rsid w:val="00D31628"/>
    <w:rsid w:val="00D32499"/>
    <w:rsid w:val="00D34195"/>
    <w:rsid w:val="00D3773F"/>
    <w:rsid w:val="00D37F23"/>
    <w:rsid w:val="00D4067A"/>
    <w:rsid w:val="00D407E0"/>
    <w:rsid w:val="00D435BB"/>
    <w:rsid w:val="00D510E9"/>
    <w:rsid w:val="00D5387F"/>
    <w:rsid w:val="00D548E6"/>
    <w:rsid w:val="00D5744A"/>
    <w:rsid w:val="00D57A96"/>
    <w:rsid w:val="00D61F2B"/>
    <w:rsid w:val="00D6435F"/>
    <w:rsid w:val="00D663A3"/>
    <w:rsid w:val="00D7289F"/>
    <w:rsid w:val="00D7302D"/>
    <w:rsid w:val="00D74486"/>
    <w:rsid w:val="00D74696"/>
    <w:rsid w:val="00D76492"/>
    <w:rsid w:val="00D80AB3"/>
    <w:rsid w:val="00D81087"/>
    <w:rsid w:val="00D81F75"/>
    <w:rsid w:val="00D820D5"/>
    <w:rsid w:val="00D859F1"/>
    <w:rsid w:val="00D86F81"/>
    <w:rsid w:val="00D87583"/>
    <w:rsid w:val="00D94FCC"/>
    <w:rsid w:val="00D96DE7"/>
    <w:rsid w:val="00DA035A"/>
    <w:rsid w:val="00DA0DC9"/>
    <w:rsid w:val="00DA47F3"/>
    <w:rsid w:val="00DB18FB"/>
    <w:rsid w:val="00DB75F9"/>
    <w:rsid w:val="00DC28DF"/>
    <w:rsid w:val="00DC4B7E"/>
    <w:rsid w:val="00DC4EC6"/>
    <w:rsid w:val="00DC5255"/>
    <w:rsid w:val="00DD0C18"/>
    <w:rsid w:val="00DD1462"/>
    <w:rsid w:val="00DD46FE"/>
    <w:rsid w:val="00DD5245"/>
    <w:rsid w:val="00DE33F7"/>
    <w:rsid w:val="00DE3863"/>
    <w:rsid w:val="00DE4A40"/>
    <w:rsid w:val="00DE5910"/>
    <w:rsid w:val="00DF1578"/>
    <w:rsid w:val="00DF2E11"/>
    <w:rsid w:val="00DF4CEF"/>
    <w:rsid w:val="00DF57C8"/>
    <w:rsid w:val="00DF7DB7"/>
    <w:rsid w:val="00E00DC4"/>
    <w:rsid w:val="00E021F9"/>
    <w:rsid w:val="00E026D5"/>
    <w:rsid w:val="00E0500B"/>
    <w:rsid w:val="00E05663"/>
    <w:rsid w:val="00E05721"/>
    <w:rsid w:val="00E0649A"/>
    <w:rsid w:val="00E071E0"/>
    <w:rsid w:val="00E11F27"/>
    <w:rsid w:val="00E21CD6"/>
    <w:rsid w:val="00E232FB"/>
    <w:rsid w:val="00E240E4"/>
    <w:rsid w:val="00E245A7"/>
    <w:rsid w:val="00E27534"/>
    <w:rsid w:val="00E30A75"/>
    <w:rsid w:val="00E321AD"/>
    <w:rsid w:val="00E34064"/>
    <w:rsid w:val="00E34E6D"/>
    <w:rsid w:val="00E35FF3"/>
    <w:rsid w:val="00E37B9A"/>
    <w:rsid w:val="00E43426"/>
    <w:rsid w:val="00E44BDC"/>
    <w:rsid w:val="00E4509D"/>
    <w:rsid w:val="00E46620"/>
    <w:rsid w:val="00E5709C"/>
    <w:rsid w:val="00E575F8"/>
    <w:rsid w:val="00E57C15"/>
    <w:rsid w:val="00E57D52"/>
    <w:rsid w:val="00E62300"/>
    <w:rsid w:val="00E624EE"/>
    <w:rsid w:val="00E626E4"/>
    <w:rsid w:val="00E63347"/>
    <w:rsid w:val="00E63372"/>
    <w:rsid w:val="00E669AA"/>
    <w:rsid w:val="00E7093D"/>
    <w:rsid w:val="00E812DA"/>
    <w:rsid w:val="00E81C00"/>
    <w:rsid w:val="00E832D4"/>
    <w:rsid w:val="00E85FF4"/>
    <w:rsid w:val="00E86141"/>
    <w:rsid w:val="00E861FF"/>
    <w:rsid w:val="00E878F4"/>
    <w:rsid w:val="00E8799F"/>
    <w:rsid w:val="00E916FC"/>
    <w:rsid w:val="00E967B4"/>
    <w:rsid w:val="00E97456"/>
    <w:rsid w:val="00EA7856"/>
    <w:rsid w:val="00EB01EC"/>
    <w:rsid w:val="00EB1742"/>
    <w:rsid w:val="00EB1888"/>
    <w:rsid w:val="00EB39A0"/>
    <w:rsid w:val="00EB3BAA"/>
    <w:rsid w:val="00EB475E"/>
    <w:rsid w:val="00EB58D5"/>
    <w:rsid w:val="00EB6867"/>
    <w:rsid w:val="00EB7733"/>
    <w:rsid w:val="00ED0E68"/>
    <w:rsid w:val="00ED22BB"/>
    <w:rsid w:val="00ED62EA"/>
    <w:rsid w:val="00ED635A"/>
    <w:rsid w:val="00EE0C9C"/>
    <w:rsid w:val="00EE265A"/>
    <w:rsid w:val="00EF03E9"/>
    <w:rsid w:val="00EF4D98"/>
    <w:rsid w:val="00EF737D"/>
    <w:rsid w:val="00F004B2"/>
    <w:rsid w:val="00F009E4"/>
    <w:rsid w:val="00F02F44"/>
    <w:rsid w:val="00F045B7"/>
    <w:rsid w:val="00F049DE"/>
    <w:rsid w:val="00F10E82"/>
    <w:rsid w:val="00F12B29"/>
    <w:rsid w:val="00F15338"/>
    <w:rsid w:val="00F17F58"/>
    <w:rsid w:val="00F20414"/>
    <w:rsid w:val="00F22A1D"/>
    <w:rsid w:val="00F23D6A"/>
    <w:rsid w:val="00F258E2"/>
    <w:rsid w:val="00F25F8D"/>
    <w:rsid w:val="00F32190"/>
    <w:rsid w:val="00F32401"/>
    <w:rsid w:val="00F33313"/>
    <w:rsid w:val="00F35AB7"/>
    <w:rsid w:val="00F3603E"/>
    <w:rsid w:val="00F401E4"/>
    <w:rsid w:val="00F404AD"/>
    <w:rsid w:val="00F40A2C"/>
    <w:rsid w:val="00F41EDB"/>
    <w:rsid w:val="00F43257"/>
    <w:rsid w:val="00F4753F"/>
    <w:rsid w:val="00F47B6E"/>
    <w:rsid w:val="00F51B92"/>
    <w:rsid w:val="00F57CB6"/>
    <w:rsid w:val="00F61886"/>
    <w:rsid w:val="00F63281"/>
    <w:rsid w:val="00F63841"/>
    <w:rsid w:val="00F642F0"/>
    <w:rsid w:val="00F659D8"/>
    <w:rsid w:val="00F65CDA"/>
    <w:rsid w:val="00F66619"/>
    <w:rsid w:val="00F71209"/>
    <w:rsid w:val="00F72F31"/>
    <w:rsid w:val="00F73545"/>
    <w:rsid w:val="00F74D40"/>
    <w:rsid w:val="00F7660F"/>
    <w:rsid w:val="00F76729"/>
    <w:rsid w:val="00F769E6"/>
    <w:rsid w:val="00F83951"/>
    <w:rsid w:val="00F8455A"/>
    <w:rsid w:val="00F86218"/>
    <w:rsid w:val="00F93FCA"/>
    <w:rsid w:val="00F94443"/>
    <w:rsid w:val="00FA397E"/>
    <w:rsid w:val="00FA76A8"/>
    <w:rsid w:val="00FB05E4"/>
    <w:rsid w:val="00FB13F6"/>
    <w:rsid w:val="00FB164D"/>
    <w:rsid w:val="00FB1E72"/>
    <w:rsid w:val="00FB2B3D"/>
    <w:rsid w:val="00FB3D7A"/>
    <w:rsid w:val="00FB4541"/>
    <w:rsid w:val="00FB4CAE"/>
    <w:rsid w:val="00FC0905"/>
    <w:rsid w:val="00FC1068"/>
    <w:rsid w:val="00FC2753"/>
    <w:rsid w:val="00FC293E"/>
    <w:rsid w:val="00FC3F5F"/>
    <w:rsid w:val="00FC6AE4"/>
    <w:rsid w:val="00FD1C47"/>
    <w:rsid w:val="00FD43D7"/>
    <w:rsid w:val="00FD48E7"/>
    <w:rsid w:val="00FD6530"/>
    <w:rsid w:val="00FE1DD2"/>
    <w:rsid w:val="00FE38B7"/>
    <w:rsid w:val="00FF08F7"/>
    <w:rsid w:val="00FF0C99"/>
    <w:rsid w:val="00FF4C49"/>
    <w:rsid w:val="00FF54E6"/>
    <w:rsid w:val="00FF5647"/>
    <w:rsid w:val="00FF66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988995B"/>
  <w15:chartTrackingRefBased/>
  <w15:docId w15:val="{3B1CCE00-B5DB-40A2-9EAB-34BE61F4A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2D21"/>
    <w:pPr>
      <w:spacing w:after="0" w:line="276" w:lineRule="auto"/>
      <w:jc w:val="both"/>
    </w:pPr>
    <w:rPr>
      <w:rFonts w:ascii="Arial" w:eastAsia="Calibri" w:hAnsi="Arial" w:cs="Times New Roman"/>
    </w:rPr>
  </w:style>
  <w:style w:type="paragraph" w:styleId="Ttulo1">
    <w:name w:val="heading 1"/>
    <w:basedOn w:val="Normal"/>
    <w:next w:val="Normal"/>
    <w:link w:val="Ttulo1Car"/>
    <w:qFormat/>
    <w:rsid w:val="008A39CF"/>
    <w:pPr>
      <w:keepNext/>
      <w:spacing w:line="240" w:lineRule="auto"/>
      <w:jc w:val="center"/>
      <w:outlineLvl w:val="0"/>
    </w:pPr>
    <w:rPr>
      <w:rFonts w:ascii="Times New Roman" w:eastAsia="Times New Roman" w:hAnsi="Times New Roman"/>
      <w:b/>
      <w:bCs/>
      <w:sz w:val="20"/>
      <w:szCs w:val="24"/>
      <w:lang w:eastAsia="es-ES"/>
    </w:rPr>
  </w:style>
  <w:style w:type="paragraph" w:styleId="Ttulo2">
    <w:name w:val="heading 2"/>
    <w:aliases w:val="Título Tema"/>
    <w:basedOn w:val="Normal"/>
    <w:next w:val="Normal"/>
    <w:link w:val="Ttulo2Car"/>
    <w:uiPriority w:val="9"/>
    <w:unhideWhenUsed/>
    <w:qFormat/>
    <w:rsid w:val="008A39CF"/>
    <w:pPr>
      <w:keepNext/>
      <w:keepLines/>
      <w:autoSpaceDE w:val="0"/>
      <w:autoSpaceDN w:val="0"/>
      <w:adjustRightInd w:val="0"/>
      <w:spacing w:after="120"/>
      <w:outlineLvl w:val="1"/>
    </w:pPr>
    <w:rPr>
      <w:rFonts w:ascii="ITC Avant Garde" w:hAnsi="ITC Avant Garde"/>
      <w:b/>
    </w:rPr>
  </w:style>
  <w:style w:type="paragraph" w:styleId="Ttulo3">
    <w:name w:val="heading 3"/>
    <w:basedOn w:val="Normal"/>
    <w:next w:val="Normal"/>
    <w:link w:val="Ttulo3Car"/>
    <w:uiPriority w:val="9"/>
    <w:unhideWhenUsed/>
    <w:qFormat/>
    <w:rsid w:val="008A39CF"/>
    <w:pPr>
      <w:numPr>
        <w:numId w:val="5"/>
      </w:numPr>
      <w:contextualSpacing/>
      <w:outlineLvl w:val="2"/>
    </w:pPr>
    <w:rPr>
      <w:rFonts w:ascii="ITC Avant Garde" w:hAnsi="ITC Avant Garde"/>
      <w:b/>
      <w:i/>
    </w:rPr>
  </w:style>
  <w:style w:type="paragraph" w:styleId="Ttulo4">
    <w:name w:val="heading 4"/>
    <w:basedOn w:val="Ttulo2"/>
    <w:next w:val="Normal"/>
    <w:link w:val="Ttulo4Car"/>
    <w:uiPriority w:val="9"/>
    <w:unhideWhenUsed/>
    <w:qFormat/>
    <w:rsid w:val="008A39CF"/>
    <w:pPr>
      <w:autoSpaceDE/>
      <w:autoSpaceDN/>
      <w:adjustRightInd/>
      <w:spacing w:before="240" w:line="240" w:lineRule="auto"/>
      <w:ind w:left="658" w:hanging="658"/>
      <w:outlineLvl w:val="3"/>
    </w:pPr>
    <w:rPr>
      <w:rFonts w:eastAsiaTheme="minorHAns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A39CF"/>
    <w:rPr>
      <w:rFonts w:ascii="Times New Roman" w:eastAsia="Times New Roman" w:hAnsi="Times New Roman" w:cs="Times New Roman"/>
      <w:b/>
      <w:bCs/>
      <w:sz w:val="20"/>
      <w:szCs w:val="24"/>
      <w:lang w:eastAsia="es-ES"/>
    </w:rPr>
  </w:style>
  <w:style w:type="character" w:customStyle="1" w:styleId="Ttulo2Car">
    <w:name w:val="Título 2 Car"/>
    <w:aliases w:val="Título Tema Car"/>
    <w:basedOn w:val="Fuentedeprrafopredeter"/>
    <w:link w:val="Ttulo2"/>
    <w:uiPriority w:val="9"/>
    <w:rsid w:val="008A39CF"/>
    <w:rPr>
      <w:rFonts w:ascii="ITC Avant Garde" w:eastAsia="Calibri" w:hAnsi="ITC Avant Garde" w:cs="Times New Roman"/>
      <w:b/>
    </w:rPr>
  </w:style>
  <w:style w:type="character" w:customStyle="1" w:styleId="Ttulo3Car">
    <w:name w:val="Título 3 Car"/>
    <w:basedOn w:val="Fuentedeprrafopredeter"/>
    <w:link w:val="Ttulo3"/>
    <w:uiPriority w:val="9"/>
    <w:rsid w:val="008A39CF"/>
    <w:rPr>
      <w:rFonts w:ascii="ITC Avant Garde" w:eastAsia="Calibri" w:hAnsi="ITC Avant Garde" w:cs="Times New Roman"/>
      <w:b/>
      <w:i/>
    </w:rPr>
  </w:style>
  <w:style w:type="character" w:customStyle="1" w:styleId="Ttulo4Car">
    <w:name w:val="Título 4 Car"/>
    <w:basedOn w:val="Fuentedeprrafopredeter"/>
    <w:link w:val="Ttulo4"/>
    <w:uiPriority w:val="9"/>
    <w:rsid w:val="008A39CF"/>
    <w:rPr>
      <w:rFonts w:ascii="ITC Avant Garde" w:hAnsi="ITC Avant Garde" w:cs="Times New Roman"/>
      <w:b/>
    </w:rPr>
  </w:style>
  <w:style w:type="paragraph" w:styleId="Encabezado">
    <w:name w:val="header"/>
    <w:basedOn w:val="Normal"/>
    <w:link w:val="EncabezadoCar"/>
    <w:uiPriority w:val="99"/>
    <w:unhideWhenUsed/>
    <w:rsid w:val="008A39C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8A39CF"/>
    <w:rPr>
      <w:rFonts w:ascii="Calibri" w:eastAsia="Calibri" w:hAnsi="Calibri" w:cs="Times New Roman"/>
    </w:rPr>
  </w:style>
  <w:style w:type="paragraph" w:styleId="Piedepgina">
    <w:name w:val="footer"/>
    <w:basedOn w:val="Normal"/>
    <w:link w:val="PiedepginaCar"/>
    <w:uiPriority w:val="99"/>
    <w:unhideWhenUsed/>
    <w:rsid w:val="008A39C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8A39CF"/>
    <w:rPr>
      <w:rFonts w:ascii="Calibri" w:eastAsia="Calibri" w:hAnsi="Calibri" w:cs="Times New Roman"/>
    </w:rPr>
  </w:style>
  <w:style w:type="paragraph" w:customStyle="1" w:styleId="estilo30">
    <w:name w:val="estilo30"/>
    <w:basedOn w:val="Normal"/>
    <w:rsid w:val="008A39CF"/>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8A39CF"/>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8A39CF"/>
    <w:pPr>
      <w:autoSpaceDE w:val="0"/>
      <w:autoSpaceDN w:val="0"/>
      <w:adjustRightInd w:val="0"/>
      <w:spacing w:after="0" w:line="240" w:lineRule="auto"/>
    </w:pPr>
    <w:rPr>
      <w:rFonts w:ascii="Tahoma" w:eastAsia="Calibri" w:hAnsi="Tahoma" w:cs="Tahoma"/>
      <w:color w:val="000000"/>
      <w:sz w:val="24"/>
      <w:szCs w:val="24"/>
      <w:lang w:eastAsia="es-MX"/>
    </w:rPr>
  </w:style>
  <w:style w:type="character" w:styleId="Refdenotaalpie">
    <w:name w:val="footnote reference"/>
    <w:aliases w:val="Ref,de nota al pie,fr,(NECG) Footnote Reference,o,Appel note de bas de p,Style 12,Style 124,Style 13,Style 3,Style 17,FR,Footnote Reference/,callout,Style 6,Footnote,Style 20,Ref. de nota al pie 2,Footnotes refss,Texto de nota al pie"/>
    <w:basedOn w:val="Fuentedeprrafopredeter"/>
    <w:uiPriority w:val="99"/>
    <w:qFormat/>
    <w:rsid w:val="008A39CF"/>
    <w:rPr>
      <w:vertAlign w:val="superscript"/>
    </w:rPr>
  </w:style>
  <w:style w:type="paragraph" w:styleId="Prrafodelista">
    <w:name w:val="List Paragraph"/>
    <w:basedOn w:val="Normal"/>
    <w:link w:val="PrrafodelistaCar"/>
    <w:uiPriority w:val="34"/>
    <w:qFormat/>
    <w:rsid w:val="008A39CF"/>
    <w:pPr>
      <w:ind w:left="720"/>
      <w:contextualSpacing/>
    </w:pPr>
    <w:rPr>
      <w:rFonts w:asciiTheme="minorHAnsi" w:eastAsiaTheme="minorHAnsi" w:hAnsiTheme="minorHAnsi" w:cstheme="minorBidi"/>
    </w:rPr>
  </w:style>
  <w:style w:type="paragraph" w:styleId="Textoindependiente2">
    <w:name w:val="Body Text 2"/>
    <w:basedOn w:val="Normal"/>
    <w:link w:val="Textoindependiente2Car"/>
    <w:semiHidden/>
    <w:rsid w:val="008A39CF"/>
    <w:pPr>
      <w:tabs>
        <w:tab w:val="left" w:pos="0"/>
        <w:tab w:val="left" w:pos="142"/>
      </w:tabs>
      <w:spacing w:line="240" w:lineRule="auto"/>
    </w:pPr>
    <w:rPr>
      <w:rFonts w:ascii="Times New Roman" w:eastAsia="Times New Roman" w:hAnsi="Times New Roman"/>
      <w:sz w:val="24"/>
      <w:szCs w:val="20"/>
      <w:lang w:eastAsia="es-ES"/>
    </w:rPr>
  </w:style>
  <w:style w:type="character" w:customStyle="1" w:styleId="Textoindependiente2Car">
    <w:name w:val="Texto independiente 2 Car"/>
    <w:basedOn w:val="Fuentedeprrafopredeter"/>
    <w:link w:val="Textoindependiente2"/>
    <w:semiHidden/>
    <w:rsid w:val="008A39CF"/>
    <w:rPr>
      <w:rFonts w:ascii="Times New Roman" w:eastAsia="Times New Roman" w:hAnsi="Times New Roman" w:cs="Times New Roman"/>
      <w:sz w:val="24"/>
      <w:szCs w:val="20"/>
      <w:lang w:eastAsia="es-ES"/>
    </w:rPr>
  </w:style>
  <w:style w:type="paragraph" w:customStyle="1" w:styleId="Texto">
    <w:name w:val="Texto"/>
    <w:basedOn w:val="Normal"/>
    <w:link w:val="TextoCar"/>
    <w:rsid w:val="008A39CF"/>
    <w:pPr>
      <w:spacing w:after="101" w:line="216" w:lineRule="exact"/>
      <w:ind w:firstLine="288"/>
    </w:pPr>
    <w:rPr>
      <w:rFonts w:eastAsia="Times New Roman" w:cs="Arial"/>
      <w:sz w:val="18"/>
      <w:szCs w:val="20"/>
      <w:lang w:val="es-ES" w:eastAsia="es-ES"/>
    </w:rPr>
  </w:style>
  <w:style w:type="character" w:customStyle="1" w:styleId="TextoCar">
    <w:name w:val="Texto Car"/>
    <w:link w:val="Texto"/>
    <w:locked/>
    <w:rsid w:val="008A39CF"/>
    <w:rPr>
      <w:rFonts w:ascii="Arial" w:eastAsia="Times New Roman" w:hAnsi="Arial" w:cs="Arial"/>
      <w:sz w:val="18"/>
      <w:szCs w:val="20"/>
      <w:lang w:val="es-ES" w:eastAsia="es-ES"/>
    </w:rPr>
  </w:style>
  <w:style w:type="paragraph" w:customStyle="1" w:styleId="Prrafodelista1">
    <w:name w:val="Párrafo de lista1"/>
    <w:basedOn w:val="Normal"/>
    <w:uiPriority w:val="34"/>
    <w:qFormat/>
    <w:rsid w:val="008A39CF"/>
    <w:pPr>
      <w:spacing w:line="240" w:lineRule="auto"/>
      <w:ind w:left="708"/>
    </w:pPr>
  </w:style>
  <w:style w:type="paragraph" w:styleId="Textoindependiente">
    <w:name w:val="Body Text"/>
    <w:basedOn w:val="Normal"/>
    <w:link w:val="TextoindependienteCar"/>
    <w:uiPriority w:val="99"/>
    <w:semiHidden/>
    <w:unhideWhenUsed/>
    <w:rsid w:val="008A39CF"/>
    <w:pPr>
      <w:spacing w:after="120"/>
    </w:pPr>
  </w:style>
  <w:style w:type="character" w:customStyle="1" w:styleId="TextoindependienteCar">
    <w:name w:val="Texto independiente Car"/>
    <w:basedOn w:val="Fuentedeprrafopredeter"/>
    <w:link w:val="Textoindependiente"/>
    <w:uiPriority w:val="99"/>
    <w:semiHidden/>
    <w:rsid w:val="008A39CF"/>
    <w:rPr>
      <w:rFonts w:ascii="Calibri" w:eastAsia="Calibri" w:hAnsi="Calibri" w:cs="Times New Roman"/>
    </w:rPr>
  </w:style>
  <w:style w:type="paragraph" w:styleId="Textodeglobo">
    <w:name w:val="Balloon Text"/>
    <w:basedOn w:val="Normal"/>
    <w:link w:val="TextodegloboCar"/>
    <w:uiPriority w:val="99"/>
    <w:semiHidden/>
    <w:unhideWhenUsed/>
    <w:rsid w:val="008A39CF"/>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39CF"/>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8A39CF"/>
    <w:rPr>
      <w:sz w:val="16"/>
      <w:szCs w:val="16"/>
    </w:rPr>
  </w:style>
  <w:style w:type="paragraph" w:styleId="Textocomentario">
    <w:name w:val="annotation text"/>
    <w:basedOn w:val="Normal"/>
    <w:link w:val="TextocomentarioCar"/>
    <w:uiPriority w:val="99"/>
    <w:unhideWhenUsed/>
    <w:rsid w:val="008A39CF"/>
    <w:pPr>
      <w:spacing w:line="240" w:lineRule="auto"/>
    </w:pPr>
    <w:rPr>
      <w:sz w:val="20"/>
      <w:szCs w:val="20"/>
    </w:rPr>
  </w:style>
  <w:style w:type="character" w:customStyle="1" w:styleId="TextocomentarioCar">
    <w:name w:val="Texto comentario Car"/>
    <w:basedOn w:val="Fuentedeprrafopredeter"/>
    <w:link w:val="Textocomentario"/>
    <w:uiPriority w:val="99"/>
    <w:rsid w:val="008A39CF"/>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8A39CF"/>
    <w:rPr>
      <w:b/>
      <w:bCs/>
    </w:rPr>
  </w:style>
  <w:style w:type="character" w:customStyle="1" w:styleId="AsuntodelcomentarioCar">
    <w:name w:val="Asunto del comentario Car"/>
    <w:basedOn w:val="TextocomentarioCar"/>
    <w:link w:val="Asuntodelcomentario"/>
    <w:uiPriority w:val="99"/>
    <w:semiHidden/>
    <w:rsid w:val="008A39CF"/>
    <w:rPr>
      <w:rFonts w:ascii="Calibri" w:eastAsia="Calibri" w:hAnsi="Calibri" w:cs="Times New Roman"/>
      <w:b/>
      <w:bCs/>
      <w:sz w:val="20"/>
      <w:szCs w:val="20"/>
    </w:rPr>
  </w:style>
  <w:style w:type="table" w:styleId="Tablaconcuadrcula">
    <w:name w:val="Table Grid"/>
    <w:basedOn w:val="Tablanormal"/>
    <w:uiPriority w:val="39"/>
    <w:rsid w:val="008A39CF"/>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ft"/>
    <w:basedOn w:val="Normal"/>
    <w:link w:val="TextonotapieCar"/>
    <w:uiPriority w:val="99"/>
    <w:unhideWhenUsed/>
    <w:qFormat/>
    <w:rsid w:val="008A39CF"/>
    <w:pPr>
      <w:spacing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8A39CF"/>
    <w:rPr>
      <w:rFonts w:ascii="Calibri" w:eastAsia="Calibri" w:hAnsi="Calibri" w:cs="Times New Roman"/>
      <w:sz w:val="20"/>
      <w:szCs w:val="20"/>
    </w:rPr>
  </w:style>
  <w:style w:type="character" w:styleId="Hipervnculo">
    <w:name w:val="Hyperlink"/>
    <w:basedOn w:val="Fuentedeprrafopredeter"/>
    <w:uiPriority w:val="99"/>
    <w:rsid w:val="008A39CF"/>
    <w:rPr>
      <w:color w:val="0000FF"/>
      <w:u w:val="single"/>
    </w:rPr>
  </w:style>
  <w:style w:type="paragraph" w:styleId="Sinespaciado">
    <w:name w:val="No Spacing"/>
    <w:link w:val="SinespaciadoCar"/>
    <w:uiPriority w:val="1"/>
    <w:qFormat/>
    <w:rsid w:val="008A39CF"/>
    <w:pPr>
      <w:spacing w:after="0" w:line="240" w:lineRule="auto"/>
    </w:pPr>
    <w:rPr>
      <w:rFonts w:ascii="Calibri" w:eastAsia="Calibri" w:hAnsi="Calibri" w:cs="Times New Roman"/>
    </w:rPr>
  </w:style>
  <w:style w:type="paragraph" w:styleId="Revisin">
    <w:name w:val="Revision"/>
    <w:hidden/>
    <w:uiPriority w:val="99"/>
    <w:semiHidden/>
    <w:rsid w:val="008A39CF"/>
    <w:pPr>
      <w:spacing w:after="0" w:line="240" w:lineRule="auto"/>
    </w:pPr>
    <w:rPr>
      <w:rFonts w:ascii="Calibri" w:eastAsia="Calibri" w:hAnsi="Calibri" w:cs="Times New Roman"/>
    </w:rPr>
  </w:style>
  <w:style w:type="paragraph" w:customStyle="1" w:styleId="NormalIFT">
    <w:name w:val="Normal IFT"/>
    <w:basedOn w:val="Prrafodelista"/>
    <w:link w:val="NormalIFTCar"/>
    <w:qFormat/>
    <w:rsid w:val="008A39CF"/>
    <w:pPr>
      <w:numPr>
        <w:numId w:val="1"/>
      </w:numPr>
      <w:autoSpaceDE w:val="0"/>
      <w:autoSpaceDN w:val="0"/>
      <w:adjustRightInd w:val="0"/>
      <w:spacing w:line="240" w:lineRule="auto"/>
      <w:contextualSpacing w:val="0"/>
    </w:pPr>
    <w:rPr>
      <w:rFonts w:ascii="ITC Avant Garde" w:eastAsia="Times New Roman" w:hAnsi="ITC Avant Garde" w:cs="Times New Roman"/>
      <w:bCs/>
      <w:color w:val="000000"/>
      <w:sz w:val="24"/>
      <w:szCs w:val="24"/>
      <w:lang w:val="es-ES_tradnl" w:eastAsia="es-ES"/>
    </w:rPr>
  </w:style>
  <w:style w:type="character" w:customStyle="1" w:styleId="NormalIFTCar">
    <w:name w:val="Normal IFT Car"/>
    <w:link w:val="NormalIFT"/>
    <w:rsid w:val="008A39CF"/>
    <w:rPr>
      <w:rFonts w:ascii="ITC Avant Garde" w:eastAsia="Times New Roman" w:hAnsi="ITC Avant Garde" w:cs="Times New Roman"/>
      <w:bCs/>
      <w:color w:val="000000"/>
      <w:sz w:val="24"/>
      <w:szCs w:val="24"/>
      <w:lang w:val="es-ES_tradnl" w:eastAsia="es-ES"/>
    </w:rPr>
  </w:style>
  <w:style w:type="character" w:customStyle="1" w:styleId="apple-converted-space">
    <w:name w:val="apple-converted-space"/>
    <w:rsid w:val="008A39CF"/>
  </w:style>
  <w:style w:type="character" w:styleId="Hipervnculovisitado">
    <w:name w:val="FollowedHyperlink"/>
    <w:basedOn w:val="Fuentedeprrafopredeter"/>
    <w:uiPriority w:val="99"/>
    <w:semiHidden/>
    <w:unhideWhenUsed/>
    <w:rsid w:val="008A39CF"/>
    <w:rPr>
      <w:color w:val="954F72" w:themeColor="followedHyperlink"/>
      <w:u w:val="single"/>
    </w:rPr>
  </w:style>
  <w:style w:type="character" w:customStyle="1" w:styleId="hps">
    <w:name w:val="hps"/>
    <w:basedOn w:val="Fuentedeprrafopredeter"/>
    <w:rsid w:val="008A39CF"/>
  </w:style>
  <w:style w:type="character" w:customStyle="1" w:styleId="atn">
    <w:name w:val="atn"/>
    <w:basedOn w:val="Fuentedeprrafopredeter"/>
    <w:rsid w:val="008A39CF"/>
  </w:style>
  <w:style w:type="table" w:customStyle="1" w:styleId="Tabladecuadrcula4-nfasis51">
    <w:name w:val="Tabla de cuadrícula 4 - Énfasis 51"/>
    <w:basedOn w:val="Tablanormal"/>
    <w:uiPriority w:val="49"/>
    <w:rsid w:val="008A39C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PrrafodelistaCar">
    <w:name w:val="Párrafo de lista Car"/>
    <w:link w:val="Prrafodelista"/>
    <w:uiPriority w:val="34"/>
    <w:rsid w:val="008A39CF"/>
  </w:style>
  <w:style w:type="paragraph" w:customStyle="1" w:styleId="texto0">
    <w:name w:val="texto"/>
    <w:basedOn w:val="Normal"/>
    <w:rsid w:val="004F555A"/>
    <w:pPr>
      <w:spacing w:after="101" w:line="240" w:lineRule="auto"/>
      <w:ind w:firstLine="288"/>
    </w:pPr>
    <w:rPr>
      <w:rFonts w:ascii="Times New Roman" w:eastAsia="Times New Roman" w:hAnsi="Times New Roman"/>
      <w:color w:val="2F2F2F"/>
      <w:sz w:val="18"/>
      <w:szCs w:val="18"/>
      <w:lang w:eastAsia="es-MX"/>
    </w:rPr>
  </w:style>
  <w:style w:type="character" w:customStyle="1" w:styleId="SinespaciadoCar">
    <w:name w:val="Sin espaciado Car"/>
    <w:basedOn w:val="Fuentedeprrafopredeter"/>
    <w:link w:val="Sinespaciado"/>
    <w:uiPriority w:val="1"/>
    <w:rsid w:val="00D30044"/>
    <w:rPr>
      <w:rFonts w:ascii="Calibri" w:eastAsia="Calibri" w:hAnsi="Calibri" w:cs="Times New Roman"/>
    </w:rPr>
  </w:style>
  <w:style w:type="character" w:styleId="Textodelmarcadordeposicin">
    <w:name w:val="Placeholder Text"/>
    <w:basedOn w:val="Fuentedeprrafopredeter"/>
    <w:uiPriority w:val="99"/>
    <w:semiHidden/>
    <w:rsid w:val="00F045B7"/>
    <w:rPr>
      <w:color w:val="808080"/>
    </w:rPr>
  </w:style>
  <w:style w:type="character" w:styleId="Mencinsinresolver">
    <w:name w:val="Unresolved Mention"/>
    <w:basedOn w:val="Fuentedeprrafopredeter"/>
    <w:uiPriority w:val="99"/>
    <w:semiHidden/>
    <w:unhideWhenUsed/>
    <w:rsid w:val="002555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38464">
      <w:bodyDiv w:val="1"/>
      <w:marLeft w:val="0"/>
      <w:marRight w:val="0"/>
      <w:marTop w:val="0"/>
      <w:marBottom w:val="0"/>
      <w:divBdr>
        <w:top w:val="none" w:sz="0" w:space="0" w:color="auto"/>
        <w:left w:val="none" w:sz="0" w:space="0" w:color="auto"/>
        <w:bottom w:val="none" w:sz="0" w:space="0" w:color="auto"/>
        <w:right w:val="none" w:sz="0" w:space="0" w:color="auto"/>
      </w:divBdr>
    </w:div>
    <w:div w:id="131098948">
      <w:bodyDiv w:val="1"/>
      <w:marLeft w:val="0"/>
      <w:marRight w:val="0"/>
      <w:marTop w:val="0"/>
      <w:marBottom w:val="0"/>
      <w:divBdr>
        <w:top w:val="none" w:sz="0" w:space="0" w:color="auto"/>
        <w:left w:val="none" w:sz="0" w:space="0" w:color="auto"/>
        <w:bottom w:val="none" w:sz="0" w:space="0" w:color="auto"/>
        <w:right w:val="none" w:sz="0" w:space="0" w:color="auto"/>
      </w:divBdr>
    </w:div>
    <w:div w:id="156120758">
      <w:bodyDiv w:val="1"/>
      <w:marLeft w:val="0"/>
      <w:marRight w:val="0"/>
      <w:marTop w:val="0"/>
      <w:marBottom w:val="0"/>
      <w:divBdr>
        <w:top w:val="none" w:sz="0" w:space="0" w:color="auto"/>
        <w:left w:val="none" w:sz="0" w:space="0" w:color="auto"/>
        <w:bottom w:val="none" w:sz="0" w:space="0" w:color="auto"/>
        <w:right w:val="none" w:sz="0" w:space="0" w:color="auto"/>
      </w:divBdr>
    </w:div>
    <w:div w:id="186023866">
      <w:bodyDiv w:val="1"/>
      <w:marLeft w:val="0"/>
      <w:marRight w:val="0"/>
      <w:marTop w:val="0"/>
      <w:marBottom w:val="0"/>
      <w:divBdr>
        <w:top w:val="none" w:sz="0" w:space="0" w:color="auto"/>
        <w:left w:val="none" w:sz="0" w:space="0" w:color="auto"/>
        <w:bottom w:val="none" w:sz="0" w:space="0" w:color="auto"/>
        <w:right w:val="none" w:sz="0" w:space="0" w:color="auto"/>
      </w:divBdr>
    </w:div>
    <w:div w:id="212543814">
      <w:bodyDiv w:val="1"/>
      <w:marLeft w:val="0"/>
      <w:marRight w:val="0"/>
      <w:marTop w:val="0"/>
      <w:marBottom w:val="0"/>
      <w:divBdr>
        <w:top w:val="none" w:sz="0" w:space="0" w:color="auto"/>
        <w:left w:val="none" w:sz="0" w:space="0" w:color="auto"/>
        <w:bottom w:val="none" w:sz="0" w:space="0" w:color="auto"/>
        <w:right w:val="none" w:sz="0" w:space="0" w:color="auto"/>
      </w:divBdr>
    </w:div>
    <w:div w:id="446659671">
      <w:bodyDiv w:val="1"/>
      <w:marLeft w:val="0"/>
      <w:marRight w:val="0"/>
      <w:marTop w:val="0"/>
      <w:marBottom w:val="0"/>
      <w:divBdr>
        <w:top w:val="none" w:sz="0" w:space="0" w:color="auto"/>
        <w:left w:val="none" w:sz="0" w:space="0" w:color="auto"/>
        <w:bottom w:val="none" w:sz="0" w:space="0" w:color="auto"/>
        <w:right w:val="none" w:sz="0" w:space="0" w:color="auto"/>
      </w:divBdr>
    </w:div>
    <w:div w:id="551498342">
      <w:bodyDiv w:val="1"/>
      <w:marLeft w:val="0"/>
      <w:marRight w:val="0"/>
      <w:marTop w:val="0"/>
      <w:marBottom w:val="0"/>
      <w:divBdr>
        <w:top w:val="none" w:sz="0" w:space="0" w:color="auto"/>
        <w:left w:val="none" w:sz="0" w:space="0" w:color="auto"/>
        <w:bottom w:val="none" w:sz="0" w:space="0" w:color="auto"/>
        <w:right w:val="none" w:sz="0" w:space="0" w:color="auto"/>
      </w:divBdr>
    </w:div>
    <w:div w:id="596408429">
      <w:bodyDiv w:val="1"/>
      <w:marLeft w:val="0"/>
      <w:marRight w:val="0"/>
      <w:marTop w:val="0"/>
      <w:marBottom w:val="0"/>
      <w:divBdr>
        <w:top w:val="none" w:sz="0" w:space="0" w:color="auto"/>
        <w:left w:val="none" w:sz="0" w:space="0" w:color="auto"/>
        <w:bottom w:val="none" w:sz="0" w:space="0" w:color="auto"/>
        <w:right w:val="none" w:sz="0" w:space="0" w:color="auto"/>
      </w:divBdr>
    </w:div>
    <w:div w:id="615722016">
      <w:bodyDiv w:val="1"/>
      <w:marLeft w:val="0"/>
      <w:marRight w:val="0"/>
      <w:marTop w:val="0"/>
      <w:marBottom w:val="0"/>
      <w:divBdr>
        <w:top w:val="none" w:sz="0" w:space="0" w:color="auto"/>
        <w:left w:val="none" w:sz="0" w:space="0" w:color="auto"/>
        <w:bottom w:val="none" w:sz="0" w:space="0" w:color="auto"/>
        <w:right w:val="none" w:sz="0" w:space="0" w:color="auto"/>
      </w:divBdr>
    </w:div>
    <w:div w:id="673648373">
      <w:bodyDiv w:val="1"/>
      <w:marLeft w:val="0"/>
      <w:marRight w:val="0"/>
      <w:marTop w:val="0"/>
      <w:marBottom w:val="0"/>
      <w:divBdr>
        <w:top w:val="none" w:sz="0" w:space="0" w:color="auto"/>
        <w:left w:val="none" w:sz="0" w:space="0" w:color="auto"/>
        <w:bottom w:val="none" w:sz="0" w:space="0" w:color="auto"/>
        <w:right w:val="none" w:sz="0" w:space="0" w:color="auto"/>
      </w:divBdr>
      <w:divsChild>
        <w:div w:id="2007593523">
          <w:marLeft w:val="0"/>
          <w:marRight w:val="0"/>
          <w:marTop w:val="240"/>
          <w:marBottom w:val="0"/>
          <w:divBdr>
            <w:top w:val="none" w:sz="0" w:space="0" w:color="auto"/>
            <w:left w:val="none" w:sz="0" w:space="0" w:color="auto"/>
            <w:bottom w:val="none" w:sz="0" w:space="0" w:color="auto"/>
            <w:right w:val="none" w:sz="0" w:space="0" w:color="auto"/>
          </w:divBdr>
          <w:divsChild>
            <w:div w:id="659501590">
              <w:marLeft w:val="0"/>
              <w:marRight w:val="0"/>
              <w:marTop w:val="0"/>
              <w:marBottom w:val="0"/>
              <w:divBdr>
                <w:top w:val="none" w:sz="0" w:space="0" w:color="auto"/>
                <w:left w:val="none" w:sz="0" w:space="0" w:color="auto"/>
                <w:bottom w:val="none" w:sz="0" w:space="0" w:color="auto"/>
                <w:right w:val="none" w:sz="0" w:space="0" w:color="auto"/>
              </w:divBdr>
              <w:divsChild>
                <w:div w:id="1505247614">
                  <w:marLeft w:val="0"/>
                  <w:marRight w:val="0"/>
                  <w:marTop w:val="0"/>
                  <w:marBottom w:val="0"/>
                  <w:divBdr>
                    <w:top w:val="none" w:sz="0" w:space="0" w:color="auto"/>
                    <w:left w:val="none" w:sz="0" w:space="0" w:color="auto"/>
                    <w:bottom w:val="none" w:sz="0" w:space="0" w:color="auto"/>
                    <w:right w:val="none" w:sz="0" w:space="0" w:color="auto"/>
                  </w:divBdr>
                  <w:divsChild>
                    <w:div w:id="122672309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87563298">
      <w:bodyDiv w:val="1"/>
      <w:marLeft w:val="0"/>
      <w:marRight w:val="0"/>
      <w:marTop w:val="0"/>
      <w:marBottom w:val="0"/>
      <w:divBdr>
        <w:top w:val="none" w:sz="0" w:space="0" w:color="auto"/>
        <w:left w:val="none" w:sz="0" w:space="0" w:color="auto"/>
        <w:bottom w:val="none" w:sz="0" w:space="0" w:color="auto"/>
        <w:right w:val="none" w:sz="0" w:space="0" w:color="auto"/>
      </w:divBdr>
    </w:div>
    <w:div w:id="833296366">
      <w:bodyDiv w:val="1"/>
      <w:marLeft w:val="0"/>
      <w:marRight w:val="0"/>
      <w:marTop w:val="0"/>
      <w:marBottom w:val="0"/>
      <w:divBdr>
        <w:top w:val="none" w:sz="0" w:space="0" w:color="auto"/>
        <w:left w:val="none" w:sz="0" w:space="0" w:color="auto"/>
        <w:bottom w:val="none" w:sz="0" w:space="0" w:color="auto"/>
        <w:right w:val="none" w:sz="0" w:space="0" w:color="auto"/>
      </w:divBdr>
    </w:div>
    <w:div w:id="912936541">
      <w:bodyDiv w:val="1"/>
      <w:marLeft w:val="0"/>
      <w:marRight w:val="0"/>
      <w:marTop w:val="0"/>
      <w:marBottom w:val="0"/>
      <w:divBdr>
        <w:top w:val="none" w:sz="0" w:space="0" w:color="auto"/>
        <w:left w:val="none" w:sz="0" w:space="0" w:color="auto"/>
        <w:bottom w:val="none" w:sz="0" w:space="0" w:color="auto"/>
        <w:right w:val="none" w:sz="0" w:space="0" w:color="auto"/>
      </w:divBdr>
    </w:div>
    <w:div w:id="958875154">
      <w:bodyDiv w:val="1"/>
      <w:marLeft w:val="0"/>
      <w:marRight w:val="0"/>
      <w:marTop w:val="0"/>
      <w:marBottom w:val="0"/>
      <w:divBdr>
        <w:top w:val="none" w:sz="0" w:space="0" w:color="auto"/>
        <w:left w:val="none" w:sz="0" w:space="0" w:color="auto"/>
        <w:bottom w:val="none" w:sz="0" w:space="0" w:color="auto"/>
        <w:right w:val="none" w:sz="0" w:space="0" w:color="auto"/>
      </w:divBdr>
    </w:div>
    <w:div w:id="986976872">
      <w:bodyDiv w:val="1"/>
      <w:marLeft w:val="0"/>
      <w:marRight w:val="0"/>
      <w:marTop w:val="0"/>
      <w:marBottom w:val="0"/>
      <w:divBdr>
        <w:top w:val="none" w:sz="0" w:space="0" w:color="auto"/>
        <w:left w:val="none" w:sz="0" w:space="0" w:color="auto"/>
        <w:bottom w:val="none" w:sz="0" w:space="0" w:color="auto"/>
        <w:right w:val="none" w:sz="0" w:space="0" w:color="auto"/>
      </w:divBdr>
    </w:div>
    <w:div w:id="994990953">
      <w:bodyDiv w:val="1"/>
      <w:marLeft w:val="0"/>
      <w:marRight w:val="0"/>
      <w:marTop w:val="0"/>
      <w:marBottom w:val="0"/>
      <w:divBdr>
        <w:top w:val="none" w:sz="0" w:space="0" w:color="auto"/>
        <w:left w:val="none" w:sz="0" w:space="0" w:color="auto"/>
        <w:bottom w:val="none" w:sz="0" w:space="0" w:color="auto"/>
        <w:right w:val="none" w:sz="0" w:space="0" w:color="auto"/>
      </w:divBdr>
    </w:div>
    <w:div w:id="1080786928">
      <w:bodyDiv w:val="1"/>
      <w:marLeft w:val="0"/>
      <w:marRight w:val="0"/>
      <w:marTop w:val="0"/>
      <w:marBottom w:val="0"/>
      <w:divBdr>
        <w:top w:val="none" w:sz="0" w:space="0" w:color="auto"/>
        <w:left w:val="none" w:sz="0" w:space="0" w:color="auto"/>
        <w:bottom w:val="none" w:sz="0" w:space="0" w:color="auto"/>
        <w:right w:val="none" w:sz="0" w:space="0" w:color="auto"/>
      </w:divBdr>
      <w:divsChild>
        <w:div w:id="210309796">
          <w:marLeft w:val="720"/>
          <w:marRight w:val="0"/>
          <w:marTop w:val="0"/>
          <w:marBottom w:val="101"/>
          <w:divBdr>
            <w:top w:val="none" w:sz="0" w:space="0" w:color="auto"/>
            <w:left w:val="none" w:sz="0" w:space="0" w:color="auto"/>
            <w:bottom w:val="none" w:sz="0" w:space="0" w:color="auto"/>
            <w:right w:val="none" w:sz="0" w:space="0" w:color="auto"/>
          </w:divBdr>
        </w:div>
        <w:div w:id="677542328">
          <w:marLeft w:val="0"/>
          <w:marRight w:val="0"/>
          <w:marTop w:val="0"/>
          <w:marBottom w:val="101"/>
          <w:divBdr>
            <w:top w:val="none" w:sz="0" w:space="0" w:color="auto"/>
            <w:left w:val="none" w:sz="0" w:space="0" w:color="auto"/>
            <w:bottom w:val="none" w:sz="0" w:space="0" w:color="auto"/>
            <w:right w:val="none" w:sz="0" w:space="0" w:color="auto"/>
          </w:divBdr>
        </w:div>
      </w:divsChild>
    </w:div>
    <w:div w:id="1091128060">
      <w:bodyDiv w:val="1"/>
      <w:marLeft w:val="0"/>
      <w:marRight w:val="0"/>
      <w:marTop w:val="0"/>
      <w:marBottom w:val="0"/>
      <w:divBdr>
        <w:top w:val="none" w:sz="0" w:space="0" w:color="auto"/>
        <w:left w:val="none" w:sz="0" w:space="0" w:color="auto"/>
        <w:bottom w:val="none" w:sz="0" w:space="0" w:color="auto"/>
        <w:right w:val="none" w:sz="0" w:space="0" w:color="auto"/>
      </w:divBdr>
      <w:divsChild>
        <w:div w:id="1848984415">
          <w:marLeft w:val="0"/>
          <w:marRight w:val="0"/>
          <w:marTop w:val="240"/>
          <w:marBottom w:val="0"/>
          <w:divBdr>
            <w:top w:val="none" w:sz="0" w:space="0" w:color="auto"/>
            <w:left w:val="none" w:sz="0" w:space="0" w:color="auto"/>
            <w:bottom w:val="none" w:sz="0" w:space="0" w:color="auto"/>
            <w:right w:val="none" w:sz="0" w:space="0" w:color="auto"/>
          </w:divBdr>
          <w:divsChild>
            <w:div w:id="45622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51982">
      <w:bodyDiv w:val="1"/>
      <w:marLeft w:val="0"/>
      <w:marRight w:val="0"/>
      <w:marTop w:val="0"/>
      <w:marBottom w:val="0"/>
      <w:divBdr>
        <w:top w:val="none" w:sz="0" w:space="0" w:color="auto"/>
        <w:left w:val="none" w:sz="0" w:space="0" w:color="auto"/>
        <w:bottom w:val="none" w:sz="0" w:space="0" w:color="auto"/>
        <w:right w:val="none" w:sz="0" w:space="0" w:color="auto"/>
      </w:divBdr>
    </w:div>
    <w:div w:id="1337076771">
      <w:bodyDiv w:val="1"/>
      <w:marLeft w:val="0"/>
      <w:marRight w:val="0"/>
      <w:marTop w:val="0"/>
      <w:marBottom w:val="0"/>
      <w:divBdr>
        <w:top w:val="none" w:sz="0" w:space="0" w:color="auto"/>
        <w:left w:val="none" w:sz="0" w:space="0" w:color="auto"/>
        <w:bottom w:val="none" w:sz="0" w:space="0" w:color="auto"/>
        <w:right w:val="none" w:sz="0" w:space="0" w:color="auto"/>
      </w:divBdr>
    </w:div>
    <w:div w:id="1354307343">
      <w:bodyDiv w:val="1"/>
      <w:marLeft w:val="0"/>
      <w:marRight w:val="0"/>
      <w:marTop w:val="0"/>
      <w:marBottom w:val="0"/>
      <w:divBdr>
        <w:top w:val="none" w:sz="0" w:space="0" w:color="auto"/>
        <w:left w:val="none" w:sz="0" w:space="0" w:color="auto"/>
        <w:bottom w:val="none" w:sz="0" w:space="0" w:color="auto"/>
        <w:right w:val="none" w:sz="0" w:space="0" w:color="auto"/>
      </w:divBdr>
    </w:div>
    <w:div w:id="1371958009">
      <w:bodyDiv w:val="1"/>
      <w:marLeft w:val="0"/>
      <w:marRight w:val="0"/>
      <w:marTop w:val="0"/>
      <w:marBottom w:val="0"/>
      <w:divBdr>
        <w:top w:val="none" w:sz="0" w:space="0" w:color="auto"/>
        <w:left w:val="none" w:sz="0" w:space="0" w:color="auto"/>
        <w:bottom w:val="none" w:sz="0" w:space="0" w:color="auto"/>
        <w:right w:val="none" w:sz="0" w:space="0" w:color="auto"/>
      </w:divBdr>
    </w:div>
    <w:div w:id="1382747056">
      <w:bodyDiv w:val="1"/>
      <w:marLeft w:val="0"/>
      <w:marRight w:val="0"/>
      <w:marTop w:val="0"/>
      <w:marBottom w:val="0"/>
      <w:divBdr>
        <w:top w:val="none" w:sz="0" w:space="0" w:color="auto"/>
        <w:left w:val="none" w:sz="0" w:space="0" w:color="auto"/>
        <w:bottom w:val="none" w:sz="0" w:space="0" w:color="auto"/>
        <w:right w:val="none" w:sz="0" w:space="0" w:color="auto"/>
      </w:divBdr>
      <w:divsChild>
        <w:div w:id="475217980">
          <w:marLeft w:val="0"/>
          <w:marRight w:val="0"/>
          <w:marTop w:val="0"/>
          <w:marBottom w:val="0"/>
          <w:divBdr>
            <w:top w:val="none" w:sz="0" w:space="0" w:color="auto"/>
            <w:left w:val="none" w:sz="0" w:space="0" w:color="auto"/>
            <w:bottom w:val="none" w:sz="0" w:space="0" w:color="auto"/>
            <w:right w:val="none" w:sz="0" w:space="0" w:color="auto"/>
          </w:divBdr>
          <w:divsChild>
            <w:div w:id="2037461216">
              <w:marLeft w:val="0"/>
              <w:marRight w:val="0"/>
              <w:marTop w:val="0"/>
              <w:marBottom w:val="0"/>
              <w:divBdr>
                <w:top w:val="none" w:sz="0" w:space="0" w:color="auto"/>
                <w:left w:val="none" w:sz="0" w:space="0" w:color="auto"/>
                <w:bottom w:val="none" w:sz="0" w:space="0" w:color="auto"/>
                <w:right w:val="none" w:sz="0" w:space="0" w:color="auto"/>
              </w:divBdr>
              <w:divsChild>
                <w:div w:id="470749675">
                  <w:marLeft w:val="0"/>
                  <w:marRight w:val="0"/>
                  <w:marTop w:val="0"/>
                  <w:marBottom w:val="0"/>
                  <w:divBdr>
                    <w:top w:val="none" w:sz="0" w:space="0" w:color="auto"/>
                    <w:left w:val="none" w:sz="0" w:space="0" w:color="auto"/>
                    <w:bottom w:val="none" w:sz="0" w:space="0" w:color="auto"/>
                    <w:right w:val="none" w:sz="0" w:space="0" w:color="auto"/>
                  </w:divBdr>
                  <w:divsChild>
                    <w:div w:id="1511290612">
                      <w:marLeft w:val="0"/>
                      <w:marRight w:val="0"/>
                      <w:marTop w:val="0"/>
                      <w:marBottom w:val="0"/>
                      <w:divBdr>
                        <w:top w:val="none" w:sz="0" w:space="0" w:color="auto"/>
                        <w:left w:val="none" w:sz="0" w:space="0" w:color="auto"/>
                        <w:bottom w:val="none" w:sz="0" w:space="0" w:color="auto"/>
                        <w:right w:val="none" w:sz="0" w:space="0" w:color="auto"/>
                      </w:divBdr>
                      <w:divsChild>
                        <w:div w:id="245194284">
                          <w:marLeft w:val="0"/>
                          <w:marRight w:val="0"/>
                          <w:marTop w:val="0"/>
                          <w:marBottom w:val="0"/>
                          <w:divBdr>
                            <w:top w:val="none" w:sz="0" w:space="0" w:color="auto"/>
                            <w:left w:val="none" w:sz="0" w:space="0" w:color="auto"/>
                            <w:bottom w:val="none" w:sz="0" w:space="0" w:color="auto"/>
                            <w:right w:val="none" w:sz="0" w:space="0" w:color="auto"/>
                          </w:divBdr>
                          <w:divsChild>
                            <w:div w:id="1595894748">
                              <w:marLeft w:val="0"/>
                              <w:marRight w:val="0"/>
                              <w:marTop w:val="0"/>
                              <w:marBottom w:val="0"/>
                              <w:divBdr>
                                <w:top w:val="none" w:sz="0" w:space="0" w:color="auto"/>
                                <w:left w:val="none" w:sz="0" w:space="0" w:color="auto"/>
                                <w:bottom w:val="none" w:sz="0" w:space="0" w:color="auto"/>
                                <w:right w:val="none" w:sz="0" w:space="0" w:color="auto"/>
                              </w:divBdr>
                              <w:divsChild>
                                <w:div w:id="1127971354">
                                  <w:marLeft w:val="0"/>
                                  <w:marRight w:val="0"/>
                                  <w:marTop w:val="0"/>
                                  <w:marBottom w:val="0"/>
                                  <w:divBdr>
                                    <w:top w:val="none" w:sz="0" w:space="0" w:color="auto"/>
                                    <w:left w:val="none" w:sz="0" w:space="0" w:color="auto"/>
                                    <w:bottom w:val="none" w:sz="0" w:space="0" w:color="auto"/>
                                    <w:right w:val="none" w:sz="0" w:space="0" w:color="auto"/>
                                  </w:divBdr>
                                  <w:divsChild>
                                    <w:div w:id="1350109650">
                                      <w:marLeft w:val="0"/>
                                      <w:marRight w:val="0"/>
                                      <w:marTop w:val="0"/>
                                      <w:marBottom w:val="0"/>
                                      <w:divBdr>
                                        <w:top w:val="none" w:sz="0" w:space="0" w:color="auto"/>
                                        <w:left w:val="none" w:sz="0" w:space="0" w:color="auto"/>
                                        <w:bottom w:val="none" w:sz="0" w:space="0" w:color="auto"/>
                                        <w:right w:val="none" w:sz="0" w:space="0" w:color="auto"/>
                                      </w:divBdr>
                                      <w:divsChild>
                                        <w:div w:id="1663776540">
                                          <w:marLeft w:val="0"/>
                                          <w:marRight w:val="0"/>
                                          <w:marTop w:val="0"/>
                                          <w:marBottom w:val="0"/>
                                          <w:divBdr>
                                            <w:top w:val="none" w:sz="0" w:space="0" w:color="auto"/>
                                            <w:left w:val="none" w:sz="0" w:space="0" w:color="auto"/>
                                            <w:bottom w:val="none" w:sz="0" w:space="0" w:color="auto"/>
                                            <w:right w:val="none" w:sz="0" w:space="0" w:color="auto"/>
                                          </w:divBdr>
                                          <w:divsChild>
                                            <w:div w:id="1582058133">
                                              <w:marLeft w:val="0"/>
                                              <w:marRight w:val="0"/>
                                              <w:marTop w:val="0"/>
                                              <w:marBottom w:val="0"/>
                                              <w:divBdr>
                                                <w:top w:val="single" w:sz="12" w:space="2" w:color="FFFFCC"/>
                                                <w:left w:val="single" w:sz="12" w:space="2" w:color="FFFFCC"/>
                                                <w:bottom w:val="single" w:sz="12" w:space="2" w:color="FFFFCC"/>
                                                <w:right w:val="single" w:sz="12" w:space="0" w:color="FFFFCC"/>
                                              </w:divBdr>
                                              <w:divsChild>
                                                <w:div w:id="1382628712">
                                                  <w:marLeft w:val="0"/>
                                                  <w:marRight w:val="0"/>
                                                  <w:marTop w:val="0"/>
                                                  <w:marBottom w:val="0"/>
                                                  <w:divBdr>
                                                    <w:top w:val="none" w:sz="0" w:space="0" w:color="auto"/>
                                                    <w:left w:val="none" w:sz="0" w:space="0" w:color="auto"/>
                                                    <w:bottom w:val="none" w:sz="0" w:space="0" w:color="auto"/>
                                                    <w:right w:val="none" w:sz="0" w:space="0" w:color="auto"/>
                                                  </w:divBdr>
                                                  <w:divsChild>
                                                    <w:div w:id="473956864">
                                                      <w:marLeft w:val="0"/>
                                                      <w:marRight w:val="0"/>
                                                      <w:marTop w:val="0"/>
                                                      <w:marBottom w:val="0"/>
                                                      <w:divBdr>
                                                        <w:top w:val="none" w:sz="0" w:space="0" w:color="auto"/>
                                                        <w:left w:val="none" w:sz="0" w:space="0" w:color="auto"/>
                                                        <w:bottom w:val="none" w:sz="0" w:space="0" w:color="auto"/>
                                                        <w:right w:val="none" w:sz="0" w:space="0" w:color="auto"/>
                                                      </w:divBdr>
                                                      <w:divsChild>
                                                        <w:div w:id="1213541336">
                                                          <w:marLeft w:val="0"/>
                                                          <w:marRight w:val="0"/>
                                                          <w:marTop w:val="0"/>
                                                          <w:marBottom w:val="0"/>
                                                          <w:divBdr>
                                                            <w:top w:val="none" w:sz="0" w:space="0" w:color="auto"/>
                                                            <w:left w:val="none" w:sz="0" w:space="0" w:color="auto"/>
                                                            <w:bottom w:val="none" w:sz="0" w:space="0" w:color="auto"/>
                                                            <w:right w:val="none" w:sz="0" w:space="0" w:color="auto"/>
                                                          </w:divBdr>
                                                          <w:divsChild>
                                                            <w:div w:id="892929863">
                                                              <w:marLeft w:val="0"/>
                                                              <w:marRight w:val="0"/>
                                                              <w:marTop w:val="0"/>
                                                              <w:marBottom w:val="0"/>
                                                              <w:divBdr>
                                                                <w:top w:val="none" w:sz="0" w:space="0" w:color="auto"/>
                                                                <w:left w:val="none" w:sz="0" w:space="0" w:color="auto"/>
                                                                <w:bottom w:val="none" w:sz="0" w:space="0" w:color="auto"/>
                                                                <w:right w:val="none" w:sz="0" w:space="0" w:color="auto"/>
                                                              </w:divBdr>
                                                              <w:divsChild>
                                                                <w:div w:id="1101022901">
                                                                  <w:marLeft w:val="0"/>
                                                                  <w:marRight w:val="0"/>
                                                                  <w:marTop w:val="0"/>
                                                                  <w:marBottom w:val="0"/>
                                                                  <w:divBdr>
                                                                    <w:top w:val="none" w:sz="0" w:space="0" w:color="auto"/>
                                                                    <w:left w:val="none" w:sz="0" w:space="0" w:color="auto"/>
                                                                    <w:bottom w:val="none" w:sz="0" w:space="0" w:color="auto"/>
                                                                    <w:right w:val="none" w:sz="0" w:space="0" w:color="auto"/>
                                                                  </w:divBdr>
                                                                  <w:divsChild>
                                                                    <w:div w:id="781921751">
                                                                      <w:marLeft w:val="0"/>
                                                                      <w:marRight w:val="0"/>
                                                                      <w:marTop w:val="0"/>
                                                                      <w:marBottom w:val="0"/>
                                                                      <w:divBdr>
                                                                        <w:top w:val="none" w:sz="0" w:space="0" w:color="auto"/>
                                                                        <w:left w:val="none" w:sz="0" w:space="0" w:color="auto"/>
                                                                        <w:bottom w:val="none" w:sz="0" w:space="0" w:color="auto"/>
                                                                        <w:right w:val="none" w:sz="0" w:space="0" w:color="auto"/>
                                                                      </w:divBdr>
                                                                      <w:divsChild>
                                                                        <w:div w:id="389307663">
                                                                          <w:marLeft w:val="0"/>
                                                                          <w:marRight w:val="0"/>
                                                                          <w:marTop w:val="0"/>
                                                                          <w:marBottom w:val="0"/>
                                                                          <w:divBdr>
                                                                            <w:top w:val="none" w:sz="0" w:space="0" w:color="auto"/>
                                                                            <w:left w:val="none" w:sz="0" w:space="0" w:color="auto"/>
                                                                            <w:bottom w:val="none" w:sz="0" w:space="0" w:color="auto"/>
                                                                            <w:right w:val="none" w:sz="0" w:space="0" w:color="auto"/>
                                                                          </w:divBdr>
                                                                          <w:divsChild>
                                                                            <w:div w:id="2001763838">
                                                                              <w:marLeft w:val="0"/>
                                                                              <w:marRight w:val="0"/>
                                                                              <w:marTop w:val="0"/>
                                                                              <w:marBottom w:val="0"/>
                                                                              <w:divBdr>
                                                                                <w:top w:val="none" w:sz="0" w:space="0" w:color="auto"/>
                                                                                <w:left w:val="none" w:sz="0" w:space="0" w:color="auto"/>
                                                                                <w:bottom w:val="none" w:sz="0" w:space="0" w:color="auto"/>
                                                                                <w:right w:val="none" w:sz="0" w:space="0" w:color="auto"/>
                                                                              </w:divBdr>
                                                                              <w:divsChild>
                                                                                <w:div w:id="255019306">
                                                                                  <w:marLeft w:val="0"/>
                                                                                  <w:marRight w:val="0"/>
                                                                                  <w:marTop w:val="0"/>
                                                                                  <w:marBottom w:val="0"/>
                                                                                  <w:divBdr>
                                                                                    <w:top w:val="none" w:sz="0" w:space="0" w:color="auto"/>
                                                                                    <w:left w:val="none" w:sz="0" w:space="0" w:color="auto"/>
                                                                                    <w:bottom w:val="none" w:sz="0" w:space="0" w:color="auto"/>
                                                                                    <w:right w:val="none" w:sz="0" w:space="0" w:color="auto"/>
                                                                                  </w:divBdr>
                                                                                  <w:divsChild>
                                                                                    <w:div w:id="1706951570">
                                                                                      <w:marLeft w:val="0"/>
                                                                                      <w:marRight w:val="0"/>
                                                                                      <w:marTop w:val="0"/>
                                                                                      <w:marBottom w:val="0"/>
                                                                                      <w:divBdr>
                                                                                        <w:top w:val="none" w:sz="0" w:space="0" w:color="auto"/>
                                                                                        <w:left w:val="none" w:sz="0" w:space="0" w:color="auto"/>
                                                                                        <w:bottom w:val="none" w:sz="0" w:space="0" w:color="auto"/>
                                                                                        <w:right w:val="none" w:sz="0" w:space="0" w:color="auto"/>
                                                                                      </w:divBdr>
                                                                                      <w:divsChild>
                                                                                        <w:div w:id="69237458">
                                                                                          <w:marLeft w:val="0"/>
                                                                                          <w:marRight w:val="120"/>
                                                                                          <w:marTop w:val="0"/>
                                                                                          <w:marBottom w:val="150"/>
                                                                                          <w:divBdr>
                                                                                            <w:top w:val="single" w:sz="2" w:space="0" w:color="EFEFEF"/>
                                                                                            <w:left w:val="single" w:sz="6" w:space="0" w:color="EFEFEF"/>
                                                                                            <w:bottom w:val="single" w:sz="6" w:space="0" w:color="E2E2E2"/>
                                                                                            <w:right w:val="single" w:sz="6" w:space="0" w:color="EFEFEF"/>
                                                                                          </w:divBdr>
                                                                                          <w:divsChild>
                                                                                            <w:div w:id="501504944">
                                                                                              <w:marLeft w:val="0"/>
                                                                                              <w:marRight w:val="0"/>
                                                                                              <w:marTop w:val="0"/>
                                                                                              <w:marBottom w:val="0"/>
                                                                                              <w:divBdr>
                                                                                                <w:top w:val="none" w:sz="0" w:space="0" w:color="auto"/>
                                                                                                <w:left w:val="none" w:sz="0" w:space="0" w:color="auto"/>
                                                                                                <w:bottom w:val="none" w:sz="0" w:space="0" w:color="auto"/>
                                                                                                <w:right w:val="none" w:sz="0" w:space="0" w:color="auto"/>
                                                                                              </w:divBdr>
                                                                                              <w:divsChild>
                                                                                                <w:div w:id="989479341">
                                                                                                  <w:marLeft w:val="0"/>
                                                                                                  <w:marRight w:val="0"/>
                                                                                                  <w:marTop w:val="0"/>
                                                                                                  <w:marBottom w:val="0"/>
                                                                                                  <w:divBdr>
                                                                                                    <w:top w:val="none" w:sz="0" w:space="0" w:color="auto"/>
                                                                                                    <w:left w:val="none" w:sz="0" w:space="0" w:color="auto"/>
                                                                                                    <w:bottom w:val="none" w:sz="0" w:space="0" w:color="auto"/>
                                                                                                    <w:right w:val="none" w:sz="0" w:space="0" w:color="auto"/>
                                                                                                  </w:divBdr>
                                                                                                  <w:divsChild>
                                                                                                    <w:div w:id="1405761935">
                                                                                                      <w:marLeft w:val="0"/>
                                                                                                      <w:marRight w:val="0"/>
                                                                                                      <w:marTop w:val="0"/>
                                                                                                      <w:marBottom w:val="0"/>
                                                                                                      <w:divBdr>
                                                                                                        <w:top w:val="none" w:sz="0" w:space="0" w:color="auto"/>
                                                                                                        <w:left w:val="none" w:sz="0" w:space="0" w:color="auto"/>
                                                                                                        <w:bottom w:val="none" w:sz="0" w:space="0" w:color="auto"/>
                                                                                                        <w:right w:val="none" w:sz="0" w:space="0" w:color="auto"/>
                                                                                                      </w:divBdr>
                                                                                                      <w:divsChild>
                                                                                                        <w:div w:id="1081221898">
                                                                                                          <w:marLeft w:val="0"/>
                                                                                                          <w:marRight w:val="0"/>
                                                                                                          <w:marTop w:val="0"/>
                                                                                                          <w:marBottom w:val="0"/>
                                                                                                          <w:divBdr>
                                                                                                            <w:top w:val="none" w:sz="0" w:space="0" w:color="auto"/>
                                                                                                            <w:left w:val="none" w:sz="0" w:space="0" w:color="auto"/>
                                                                                                            <w:bottom w:val="none" w:sz="0" w:space="0" w:color="auto"/>
                                                                                                            <w:right w:val="none" w:sz="0" w:space="0" w:color="auto"/>
                                                                                                          </w:divBdr>
                                                                                                          <w:divsChild>
                                                                                                            <w:div w:id="385181695">
                                                                                                              <w:marLeft w:val="0"/>
                                                                                                              <w:marRight w:val="0"/>
                                                                                                              <w:marTop w:val="0"/>
                                                                                                              <w:marBottom w:val="0"/>
                                                                                                              <w:divBdr>
                                                                                                                <w:top w:val="single" w:sz="2" w:space="4" w:color="D0D0D0"/>
                                                                                                                <w:left w:val="single" w:sz="2" w:space="0" w:color="D0D0D0"/>
                                                                                                                <w:bottom w:val="single" w:sz="2" w:space="4" w:color="D0D0D0"/>
                                                                                                                <w:right w:val="single" w:sz="2" w:space="0" w:color="D0D0D0"/>
                                                                                                              </w:divBdr>
                                                                                                              <w:divsChild>
                                                                                                                <w:div w:id="268006962">
                                                                                                                  <w:marLeft w:val="225"/>
                                                                                                                  <w:marRight w:val="225"/>
                                                                                                                  <w:marTop w:val="75"/>
                                                                                                                  <w:marBottom w:val="75"/>
                                                                                                                  <w:divBdr>
                                                                                                                    <w:top w:val="none" w:sz="0" w:space="0" w:color="auto"/>
                                                                                                                    <w:left w:val="none" w:sz="0" w:space="0" w:color="auto"/>
                                                                                                                    <w:bottom w:val="none" w:sz="0" w:space="0" w:color="auto"/>
                                                                                                                    <w:right w:val="none" w:sz="0" w:space="0" w:color="auto"/>
                                                                                                                  </w:divBdr>
                                                                                                                  <w:divsChild>
                                                                                                                    <w:div w:id="853224878">
                                                                                                                      <w:marLeft w:val="0"/>
                                                                                                                      <w:marRight w:val="0"/>
                                                                                                                      <w:marTop w:val="0"/>
                                                                                                                      <w:marBottom w:val="0"/>
                                                                                                                      <w:divBdr>
                                                                                                                        <w:top w:val="single" w:sz="6" w:space="0" w:color="auto"/>
                                                                                                                        <w:left w:val="single" w:sz="6" w:space="0" w:color="auto"/>
                                                                                                                        <w:bottom w:val="single" w:sz="6" w:space="0" w:color="auto"/>
                                                                                                                        <w:right w:val="single" w:sz="6" w:space="0" w:color="auto"/>
                                                                                                                      </w:divBdr>
                                                                                                                      <w:divsChild>
                                                                                                                        <w:div w:id="89227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4895150">
      <w:bodyDiv w:val="1"/>
      <w:marLeft w:val="0"/>
      <w:marRight w:val="0"/>
      <w:marTop w:val="0"/>
      <w:marBottom w:val="0"/>
      <w:divBdr>
        <w:top w:val="none" w:sz="0" w:space="0" w:color="auto"/>
        <w:left w:val="none" w:sz="0" w:space="0" w:color="auto"/>
        <w:bottom w:val="none" w:sz="0" w:space="0" w:color="auto"/>
        <w:right w:val="none" w:sz="0" w:space="0" w:color="auto"/>
      </w:divBdr>
    </w:div>
    <w:div w:id="1969823320">
      <w:bodyDiv w:val="1"/>
      <w:marLeft w:val="0"/>
      <w:marRight w:val="0"/>
      <w:marTop w:val="0"/>
      <w:marBottom w:val="0"/>
      <w:divBdr>
        <w:top w:val="none" w:sz="0" w:space="0" w:color="auto"/>
        <w:left w:val="none" w:sz="0" w:space="0" w:color="auto"/>
        <w:bottom w:val="none" w:sz="0" w:space="0" w:color="auto"/>
        <w:right w:val="none" w:sz="0" w:space="0" w:color="auto"/>
      </w:divBdr>
    </w:div>
    <w:div w:id="1998724726">
      <w:bodyDiv w:val="1"/>
      <w:marLeft w:val="0"/>
      <w:marRight w:val="0"/>
      <w:marTop w:val="0"/>
      <w:marBottom w:val="0"/>
      <w:divBdr>
        <w:top w:val="none" w:sz="0" w:space="0" w:color="auto"/>
        <w:left w:val="none" w:sz="0" w:space="0" w:color="auto"/>
        <w:bottom w:val="none" w:sz="0" w:space="0" w:color="auto"/>
        <w:right w:val="none" w:sz="0" w:space="0" w:color="auto"/>
      </w:divBdr>
    </w:div>
    <w:div w:id="21148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dof.gob.mx/nota_detalle.php?codigo=5352323&amp;fecha=14/07/2014" TargetMode="External"/><Relationship Id="rId2" Type="http://schemas.openxmlformats.org/officeDocument/2006/relationships/hyperlink" Target="http://www.ift.org.mx/sites/default/files/industria/temasrelevantes/17434/documentos/informecriteriotecnicovf.pdf" TargetMode="External"/><Relationship Id="rId1" Type="http://schemas.openxmlformats.org/officeDocument/2006/relationships/hyperlink" Target="http://www.ift.org.mx/industria/consultas-publicas/criterio-tecnico-para-el-calculo-y-aplicacion-de-un-indice-cuantitativo-fin-de-determinar-el-grad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7810BB62C8401429A0832347F2B0CD5" ma:contentTypeVersion="0" ma:contentTypeDescription="Crear nuevo documento." ma:contentTypeScope="" ma:versionID="2e811fa641097a5f4e144866d9bde68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8848C-E832-4033-B14E-E9CB9A7C92A7}">
  <ds:schemaRefs>
    <ds:schemaRef ds:uri="http://schemas.microsoft.com/sharepoint/v3/contenttype/forms"/>
  </ds:schemaRefs>
</ds:datastoreItem>
</file>

<file path=customXml/itemProps2.xml><?xml version="1.0" encoding="utf-8"?>
<ds:datastoreItem xmlns:ds="http://schemas.openxmlformats.org/officeDocument/2006/customXml" ds:itemID="{80497115-E747-4B47-B8D2-A8F3250A2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54648B2-BD6C-42C7-A32E-BC7D73FB6A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E8B862-2CAC-4C69-B143-5F7A8F26C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2857</Words>
  <Characters>15718</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Denisse Adriana Requena Stringer</dc:creator>
  <cp:keywords/>
  <dc:description/>
  <cp:lastModifiedBy>Josue Teoyotl Calderon</cp:lastModifiedBy>
  <cp:revision>6</cp:revision>
  <cp:lastPrinted>2022-02-23T16:21:00Z</cp:lastPrinted>
  <dcterms:created xsi:type="dcterms:W3CDTF">2022-02-23T00:01:00Z</dcterms:created>
  <dcterms:modified xsi:type="dcterms:W3CDTF">2022-02-23T16:22:00Z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0x01010097810BB62C8401429A0832347F2B0CD5</vt:lpwstr>
  </property>
</Properties>
</file>