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453B3" w14:textId="70CBC237" w:rsidR="00E916FC" w:rsidRPr="00FC48DA" w:rsidRDefault="00E916FC" w:rsidP="003C0BAD">
      <w:pPr>
        <w:ind w:right="-1"/>
        <w:jc w:val="center"/>
        <w:rPr>
          <w:rFonts w:cs="Arial"/>
          <w:b/>
          <w:sz w:val="26"/>
          <w:szCs w:val="26"/>
        </w:rPr>
      </w:pPr>
      <w:r w:rsidRPr="00FC48DA">
        <w:rPr>
          <w:rFonts w:cs="Arial"/>
          <w:b/>
          <w:sz w:val="26"/>
          <w:szCs w:val="26"/>
        </w:rPr>
        <w:t xml:space="preserve">Anteproyecto de modificación </w:t>
      </w:r>
      <w:r w:rsidR="00F12B29" w:rsidRPr="00FC48DA">
        <w:rPr>
          <w:rFonts w:cs="Arial"/>
          <w:b/>
          <w:sz w:val="26"/>
          <w:szCs w:val="26"/>
        </w:rPr>
        <w:t>a</w:t>
      </w:r>
      <w:r w:rsidRPr="00FC48DA">
        <w:rPr>
          <w:rFonts w:cs="Arial"/>
          <w:b/>
          <w:sz w:val="26"/>
          <w:szCs w:val="26"/>
        </w:rPr>
        <w:t>l criterio técnico para el cálculo y aplicación de un índice cuantitativo a fin de determinar el grado de concentración en los mercados y servicios correspondientes a los sectores de telecomunicaciones y radiodifusión</w:t>
      </w:r>
    </w:p>
    <w:p w14:paraId="6B1BC661" w14:textId="77777777" w:rsidR="00E916FC" w:rsidRPr="00FC48DA" w:rsidRDefault="00E916FC" w:rsidP="00E916FC">
      <w:pPr>
        <w:ind w:right="-1"/>
        <w:rPr>
          <w:rFonts w:cs="Arial"/>
          <w:b/>
        </w:rPr>
      </w:pPr>
    </w:p>
    <w:p w14:paraId="2396549A" w14:textId="77777777" w:rsidR="00E916FC" w:rsidRPr="00FC48DA" w:rsidRDefault="00E916FC" w:rsidP="00E916FC">
      <w:pPr>
        <w:ind w:right="-1"/>
        <w:rPr>
          <w:rFonts w:cs="Arial"/>
          <w:b/>
        </w:rPr>
      </w:pPr>
    </w:p>
    <w:p w14:paraId="59385802" w14:textId="723D3A03" w:rsidR="00E916FC" w:rsidRPr="00FC48DA" w:rsidRDefault="00E916FC" w:rsidP="00A832E2">
      <w:pPr>
        <w:pStyle w:val="Prrafodelista"/>
        <w:numPr>
          <w:ilvl w:val="0"/>
          <w:numId w:val="25"/>
        </w:numPr>
        <w:ind w:left="0" w:firstLine="284"/>
        <w:rPr>
          <w:rFonts w:ascii="Arial" w:hAnsi="Arial" w:cs="Arial"/>
        </w:rPr>
      </w:pPr>
      <w:r w:rsidRPr="00FC48DA">
        <w:rPr>
          <w:rFonts w:ascii="Arial" w:hAnsi="Arial" w:cs="Arial"/>
        </w:rPr>
        <w:t>E</w:t>
      </w:r>
      <w:r w:rsidR="00A832E2" w:rsidRPr="00FC48DA">
        <w:rPr>
          <w:rFonts w:ascii="Arial" w:hAnsi="Arial" w:cs="Arial"/>
        </w:rPr>
        <w:t>l presente Criterio T</w:t>
      </w:r>
      <w:r w:rsidRPr="00FC48DA">
        <w:rPr>
          <w:rFonts w:ascii="Arial" w:hAnsi="Arial" w:cs="Arial"/>
        </w:rPr>
        <w:t xml:space="preserve">écnico </w:t>
      </w:r>
      <w:r w:rsidR="00A832E2" w:rsidRPr="00FC48DA">
        <w:rPr>
          <w:rFonts w:ascii="Arial" w:hAnsi="Arial" w:cs="Arial"/>
        </w:rPr>
        <w:t xml:space="preserve">tiene por objeto dar a conocer: 1) el índice mediante el cual el Instituto Federal de Telecomunicaciones (Instituto) determinará el grado de </w:t>
      </w:r>
      <w:bookmarkStart w:id="0" w:name="_GoBack"/>
      <w:bookmarkEnd w:id="0"/>
      <w:r w:rsidR="00A832E2" w:rsidRPr="00FC48DA">
        <w:rPr>
          <w:rFonts w:ascii="Arial" w:hAnsi="Arial" w:cs="Arial"/>
        </w:rPr>
        <w:t>concentración en los mercados y servicios correspondientes a los sectores de telecomunicaciones y radiodifusión, 2) los umbrales que, como un indicio, permitirán al Instituto identificar las concentraciones que tienen poca probabilidad de obstaculizar, disminuir, dañar o impedir la competencia y la libre concurrencia, y 3) el ámbito de aplicación del índice y de los umbrales en procedimientos que tramita y resuelve el Instituto.</w:t>
      </w:r>
    </w:p>
    <w:p w14:paraId="61952A2E" w14:textId="77777777" w:rsidR="00E916FC" w:rsidRPr="00FC48DA" w:rsidRDefault="00E916FC" w:rsidP="00E916FC">
      <w:pPr>
        <w:ind w:right="-1" w:firstLine="1"/>
        <w:rPr>
          <w:rFonts w:cs="Arial"/>
        </w:rPr>
      </w:pPr>
    </w:p>
    <w:p w14:paraId="327FFE4E" w14:textId="4C07E698" w:rsidR="00E916FC" w:rsidRPr="00FC48DA" w:rsidRDefault="00E916FC" w:rsidP="00A832E2">
      <w:pPr>
        <w:pStyle w:val="Prrafodelista"/>
        <w:numPr>
          <w:ilvl w:val="0"/>
          <w:numId w:val="25"/>
        </w:numPr>
        <w:ind w:left="0" w:firstLine="284"/>
        <w:rPr>
          <w:rFonts w:ascii="Arial" w:hAnsi="Arial" w:cs="Arial"/>
        </w:rPr>
      </w:pPr>
      <w:r w:rsidRPr="00FC48DA">
        <w:rPr>
          <w:rFonts w:ascii="Arial" w:hAnsi="Arial" w:cs="Arial"/>
        </w:rPr>
        <w:t xml:space="preserve">El Instituto utilizará el índice como </w:t>
      </w:r>
      <w:r w:rsidR="00A832E2" w:rsidRPr="00FC48DA">
        <w:rPr>
          <w:rFonts w:ascii="Arial" w:hAnsi="Arial" w:cs="Arial"/>
        </w:rPr>
        <w:t xml:space="preserve">una primera aproximación a la estructura de mercado y como </w:t>
      </w:r>
      <w:r w:rsidRPr="00FC48DA">
        <w:rPr>
          <w:rFonts w:ascii="Arial" w:hAnsi="Arial" w:cs="Arial"/>
        </w:rPr>
        <w:t xml:space="preserve">un indicador del grado de concentración en los mercados y servicios en los sectores de telecomunicaciones y radiodifusión. En la evaluación de concentraciones </w:t>
      </w:r>
      <w:r w:rsidR="00A832E2" w:rsidRPr="00FC48DA">
        <w:rPr>
          <w:rFonts w:ascii="Arial" w:hAnsi="Arial" w:cs="Arial"/>
        </w:rPr>
        <w:t xml:space="preserve">el Instituto utilizará </w:t>
      </w:r>
      <w:r w:rsidRPr="00FC48DA">
        <w:rPr>
          <w:rFonts w:ascii="Arial" w:hAnsi="Arial" w:cs="Arial"/>
        </w:rPr>
        <w:t>el índice y los umbrales como referencia de la probabilidad de que éstas tengan por objeto o efecto obstaculizar, disminuir, dañar o impedir la competencia y la libre concurrencia en el mercado.</w:t>
      </w:r>
      <w:r w:rsidRPr="00FC48DA" w:rsidDel="00A843C9">
        <w:rPr>
          <w:rFonts w:ascii="Arial" w:hAnsi="Arial" w:cs="Arial"/>
        </w:rPr>
        <w:t xml:space="preserve"> </w:t>
      </w:r>
    </w:p>
    <w:p w14:paraId="734BB6C5" w14:textId="77777777" w:rsidR="00E916FC" w:rsidRPr="00FC48DA" w:rsidRDefault="00E916FC" w:rsidP="00E916FC">
      <w:pPr>
        <w:pStyle w:val="Default"/>
        <w:spacing w:line="276" w:lineRule="auto"/>
        <w:ind w:right="-1"/>
        <w:jc w:val="both"/>
        <w:rPr>
          <w:rFonts w:ascii="Arial" w:hAnsi="Arial" w:cs="Arial"/>
          <w:color w:val="auto"/>
          <w:sz w:val="22"/>
          <w:szCs w:val="22"/>
        </w:rPr>
      </w:pPr>
    </w:p>
    <w:p w14:paraId="00CA69C2" w14:textId="77777777" w:rsidR="00A832E2" w:rsidRPr="00FC48DA" w:rsidRDefault="00A832E2" w:rsidP="00A832E2">
      <w:pPr>
        <w:pStyle w:val="Prrafodelista"/>
        <w:numPr>
          <w:ilvl w:val="0"/>
          <w:numId w:val="25"/>
        </w:numPr>
        <w:ind w:left="0" w:firstLine="284"/>
        <w:rPr>
          <w:rFonts w:ascii="Arial" w:hAnsi="Arial" w:cs="Arial"/>
        </w:rPr>
      </w:pPr>
      <w:r w:rsidRPr="00FC48DA">
        <w:rPr>
          <w:rFonts w:ascii="Arial" w:hAnsi="Arial" w:cs="Arial"/>
        </w:rPr>
        <w:t xml:space="preserve">El Instituto utilizará el índice de concentración conocido en la literatura especializada como índice de </w:t>
      </w:r>
      <w:proofErr w:type="spellStart"/>
      <w:r w:rsidRPr="00FC48DA">
        <w:rPr>
          <w:rFonts w:ascii="Arial" w:hAnsi="Arial" w:cs="Arial"/>
        </w:rPr>
        <w:t>Herfindahl-Hirschman</w:t>
      </w:r>
      <w:proofErr w:type="spellEnd"/>
      <w:r w:rsidRPr="00FC48DA">
        <w:rPr>
          <w:rFonts w:ascii="Arial" w:hAnsi="Arial" w:cs="Arial"/>
        </w:rPr>
        <w:t xml:space="preserve"> (IHH), el cual se calcula a partir de las participaciones de los agentes económicos.</w:t>
      </w:r>
    </w:p>
    <w:p w14:paraId="701E8A19" w14:textId="77777777" w:rsidR="00A832E2" w:rsidRPr="00FC48DA" w:rsidRDefault="00A832E2" w:rsidP="00A832E2">
      <w:pPr>
        <w:pStyle w:val="Prrafodelista"/>
        <w:rPr>
          <w:rFonts w:ascii="Arial" w:hAnsi="Arial" w:cs="Arial"/>
          <w:b/>
        </w:rPr>
      </w:pPr>
    </w:p>
    <w:p w14:paraId="6330082E" w14:textId="13139C65" w:rsidR="00A832E2" w:rsidRPr="00FC48DA" w:rsidRDefault="00A832E2" w:rsidP="00A832E2">
      <w:pPr>
        <w:pStyle w:val="Prrafodelista"/>
        <w:ind w:left="0" w:firstLine="284"/>
        <w:rPr>
          <w:rFonts w:ascii="Arial" w:hAnsi="Arial" w:cs="Arial"/>
        </w:rPr>
      </w:pPr>
      <w:r w:rsidRPr="00FC48DA">
        <w:rPr>
          <w:rFonts w:ascii="Arial" w:hAnsi="Arial" w:cs="Arial"/>
        </w:rPr>
        <w:t>Las participaciones se calcularán a partir de variables que el Instituto considere pertinentes para el caso particular de estudio, que incluyen sin limitar: el número de usuarios, suscripciones, audiencia, tráfico en las redes, número de frecuencias o estaciones, capacidad instalada, valor o volumen de las ventas.</w:t>
      </w:r>
    </w:p>
    <w:p w14:paraId="170E36D2" w14:textId="420815EC" w:rsidR="00E916FC" w:rsidRPr="00FC48DA" w:rsidRDefault="00E916FC" w:rsidP="00E916FC">
      <w:pPr>
        <w:ind w:right="-1"/>
        <w:rPr>
          <w:rFonts w:eastAsia="Times New Roman" w:cs="Arial"/>
          <w:lang w:eastAsia="es-MX"/>
        </w:rPr>
      </w:pPr>
    </w:p>
    <w:p w14:paraId="5F1E9B0B" w14:textId="5A901CDC" w:rsidR="00E916FC" w:rsidRPr="00FC48DA" w:rsidRDefault="00E916FC" w:rsidP="00F045B7">
      <w:pPr>
        <w:ind w:right="-1"/>
        <w:rPr>
          <w:rFonts w:eastAsia="Times New Roman" w:cs="Arial"/>
          <w:lang w:eastAsia="es-MX"/>
        </w:rPr>
      </w:pPr>
      <w:bookmarkStart w:id="1" w:name="_Hlk80120166"/>
      <w:r w:rsidRPr="00FC48DA">
        <w:rPr>
          <w:rFonts w:eastAsia="Times New Roman" w:cs="Arial"/>
          <w:lang w:eastAsia="es-MX"/>
        </w:rPr>
        <w:t xml:space="preserve">Por ejemplo, si se considera la variable de valor de las ventas y se define a </w:t>
      </w:r>
      <m:oMath>
        <m:sSub>
          <m:sSubPr>
            <m:ctrlPr>
              <w:rPr>
                <w:rFonts w:ascii="Cambria Math" w:eastAsia="Times New Roman" w:hAnsi="Cambria Math" w:cs="Arial"/>
                <w:i/>
                <w:lang w:eastAsia="es-MX"/>
              </w:rPr>
            </m:ctrlPr>
          </m:sSubPr>
          <m:e>
            <m:r>
              <w:rPr>
                <w:rFonts w:ascii="Cambria Math" w:eastAsia="Times New Roman" w:hAnsi="Cambria Math" w:cs="Arial"/>
                <w:lang w:eastAsia="es-MX"/>
              </w:rPr>
              <m:t>V</m:t>
            </m:r>
          </m:e>
          <m:sub>
            <m:r>
              <w:rPr>
                <w:rFonts w:ascii="Cambria Math" w:eastAsia="Times New Roman" w:hAnsi="Cambria Math" w:cs="Arial"/>
                <w:lang w:eastAsia="es-MX"/>
              </w:rPr>
              <m:t>i</m:t>
            </m:r>
          </m:sub>
        </m:sSub>
      </m:oMath>
      <w:r w:rsidRPr="00FC48DA">
        <w:rPr>
          <w:rFonts w:eastAsia="Times New Roman" w:cs="Arial"/>
          <w:i/>
          <w:lang w:eastAsia="es-MX"/>
        </w:rPr>
        <w:t xml:space="preserve"> </w:t>
      </w:r>
      <w:r w:rsidRPr="00FC48DA">
        <w:rPr>
          <w:rFonts w:eastAsia="Times New Roman" w:cs="Arial"/>
          <w:lang w:eastAsia="es-MX"/>
        </w:rPr>
        <w:t xml:space="preserve">como el valor de ventas del </w:t>
      </w:r>
      <m:oMath>
        <m:r>
          <w:rPr>
            <w:rFonts w:ascii="Cambria Math" w:eastAsia="Times New Roman" w:hAnsi="Cambria Math" w:cs="Arial"/>
            <w:lang w:eastAsia="es-MX"/>
          </w:rPr>
          <m:t>i</m:t>
        </m:r>
      </m:oMath>
      <w:r w:rsidRPr="00FC48DA">
        <w:rPr>
          <w:rFonts w:eastAsia="Times New Roman" w:cs="Arial"/>
          <w:lang w:eastAsia="es-MX"/>
        </w:rPr>
        <w:t xml:space="preserve">-ésimo agente económico, y a </w:t>
      </w:r>
      <m:oMath>
        <m:r>
          <w:rPr>
            <w:rFonts w:ascii="Cambria Math" w:eastAsia="Times New Roman" w:hAnsi="Cambria Math" w:cs="Arial"/>
            <w:lang w:eastAsia="es-MX"/>
          </w:rPr>
          <m:t>V</m:t>
        </m:r>
      </m:oMath>
      <w:r w:rsidRPr="00FC48DA">
        <w:rPr>
          <w:rFonts w:eastAsia="Times New Roman" w:cs="Arial"/>
          <w:lang w:eastAsia="es-MX"/>
        </w:rPr>
        <w:t xml:space="preserve"> como el valor de ventas total</w:t>
      </w:r>
      <w:r w:rsidR="00FC6929" w:rsidRPr="00FC48DA">
        <w:rPr>
          <w:rFonts w:eastAsia="Times New Roman" w:cs="Arial"/>
          <w:lang w:eastAsia="es-MX"/>
        </w:rPr>
        <w:t xml:space="preserve"> de todos los agentes económicos</w:t>
      </w:r>
      <w:r w:rsidRPr="00FC48DA">
        <w:rPr>
          <w:rFonts w:eastAsia="Times New Roman" w:cs="Arial"/>
          <w:lang w:eastAsia="es-MX"/>
        </w:rPr>
        <w:t xml:space="preserve">, donde </w:t>
      </w:r>
      <m:oMath>
        <m:r>
          <w:rPr>
            <w:rFonts w:ascii="Cambria Math" w:eastAsia="Times New Roman" w:hAnsi="Cambria Math" w:cs="Arial"/>
            <w:lang w:eastAsia="es-MX"/>
          </w:rPr>
          <m:t>V=</m:t>
        </m:r>
        <m:nary>
          <m:naryPr>
            <m:chr m:val="∑"/>
            <m:limLoc m:val="subSup"/>
            <m:ctrlPr>
              <w:rPr>
                <w:rFonts w:ascii="Cambria Math" w:eastAsia="Times New Roman" w:hAnsi="Cambria Math" w:cs="Arial"/>
                <w:i/>
                <w:lang w:eastAsia="es-MX"/>
              </w:rPr>
            </m:ctrlPr>
          </m:naryPr>
          <m:sub>
            <m:r>
              <w:rPr>
                <w:rFonts w:ascii="Cambria Math" w:eastAsia="Times New Roman" w:hAnsi="Cambria Math" w:cs="Arial"/>
                <w:lang w:eastAsia="es-MX"/>
              </w:rPr>
              <m:t>i=1</m:t>
            </m:r>
          </m:sub>
          <m:sup>
            <m:r>
              <w:rPr>
                <w:rFonts w:ascii="Cambria Math" w:eastAsia="Times New Roman" w:hAnsi="Cambria Math" w:cs="Arial"/>
                <w:lang w:eastAsia="es-MX"/>
              </w:rPr>
              <m:t>N</m:t>
            </m:r>
          </m:sup>
          <m:e>
            <m:sSub>
              <m:sSubPr>
                <m:ctrlPr>
                  <w:rPr>
                    <w:rFonts w:ascii="Cambria Math" w:eastAsia="Times New Roman" w:hAnsi="Cambria Math" w:cs="Arial"/>
                    <w:i/>
                    <w:lang w:eastAsia="es-MX"/>
                  </w:rPr>
                </m:ctrlPr>
              </m:sSubPr>
              <m:e>
                <m:r>
                  <w:rPr>
                    <w:rFonts w:ascii="Cambria Math" w:eastAsia="Times New Roman" w:hAnsi="Cambria Math" w:cs="Arial"/>
                    <w:lang w:eastAsia="es-MX"/>
                  </w:rPr>
                  <m:t>V</m:t>
                </m:r>
              </m:e>
              <m:sub>
                <m:r>
                  <w:rPr>
                    <w:rFonts w:ascii="Cambria Math" w:eastAsia="Times New Roman" w:hAnsi="Cambria Math" w:cs="Arial"/>
                    <w:lang w:eastAsia="es-MX"/>
                  </w:rPr>
                  <m:t>i</m:t>
                </m:r>
              </m:sub>
            </m:sSub>
          </m:e>
        </m:nary>
      </m:oMath>
      <w:r w:rsidR="003212E8" w:rsidRPr="00FC48DA">
        <w:rPr>
          <w:rFonts w:eastAsia="Times New Roman" w:cs="Arial"/>
          <w:lang w:eastAsia="es-MX"/>
        </w:rPr>
        <w:t xml:space="preserve"> y </w:t>
      </w:r>
      <m:oMath>
        <m:r>
          <w:rPr>
            <w:rFonts w:ascii="Cambria Math" w:eastAsia="Times New Roman" w:hAnsi="Cambria Math" w:cs="Arial"/>
            <w:lang w:eastAsia="es-MX"/>
          </w:rPr>
          <m:t>N</m:t>
        </m:r>
      </m:oMath>
      <w:r w:rsidR="003212E8" w:rsidRPr="00FC48DA">
        <w:rPr>
          <w:rFonts w:eastAsia="Times New Roman" w:cs="Arial"/>
          <w:lang w:eastAsia="es-MX"/>
        </w:rPr>
        <w:t xml:space="preserve"> es el número total de agentes económico</w:t>
      </w:r>
      <w:r w:rsidR="00E320DD" w:rsidRPr="00FC48DA">
        <w:rPr>
          <w:rFonts w:eastAsia="Times New Roman" w:cs="Arial"/>
          <w:lang w:eastAsia="es-MX"/>
        </w:rPr>
        <w:t>s</w:t>
      </w:r>
      <w:r w:rsidR="003212E8" w:rsidRPr="00FC48DA">
        <w:rPr>
          <w:rFonts w:eastAsia="Times New Roman" w:cs="Arial"/>
          <w:lang w:eastAsia="es-MX"/>
        </w:rPr>
        <w:t xml:space="preserve"> en el mercado</w:t>
      </w:r>
      <w:r w:rsidRPr="00FC48DA">
        <w:rPr>
          <w:rFonts w:eastAsia="Times New Roman" w:cs="Arial"/>
          <w:i/>
          <w:lang w:eastAsia="es-MX"/>
        </w:rPr>
        <w:t>,</w:t>
      </w:r>
      <w:r w:rsidRPr="00FC48DA">
        <w:rPr>
          <w:rFonts w:eastAsia="Times New Roman" w:cs="Arial"/>
          <w:lang w:eastAsia="es-MX"/>
        </w:rPr>
        <w:t xml:space="preserve"> entonces, la </w:t>
      </w:r>
      <w:r w:rsidRPr="00FC48DA">
        <w:rPr>
          <w:rFonts w:eastAsia="Times New Roman" w:cs="Arial"/>
          <w:b/>
          <w:lang w:eastAsia="es-MX"/>
        </w:rPr>
        <w:t xml:space="preserve">participación </w:t>
      </w:r>
      <w:r w:rsidRPr="00FC48DA">
        <w:rPr>
          <w:rFonts w:eastAsia="Times New Roman" w:cs="Arial"/>
          <w:lang w:eastAsia="es-MX"/>
        </w:rPr>
        <w:t xml:space="preserve">del </w:t>
      </w:r>
      <m:oMath>
        <m:r>
          <w:rPr>
            <w:rFonts w:ascii="Cambria Math" w:eastAsia="Times New Roman" w:hAnsi="Cambria Math" w:cs="Arial"/>
            <w:lang w:eastAsia="es-MX"/>
          </w:rPr>
          <m:t>i</m:t>
        </m:r>
      </m:oMath>
      <w:r w:rsidRPr="00FC48DA">
        <w:rPr>
          <w:rFonts w:eastAsia="Times New Roman" w:cs="Arial"/>
          <w:lang w:eastAsia="es-MX"/>
        </w:rPr>
        <w:t xml:space="preserve">-ésimo agente económico, que se identificará como </w:t>
      </w:r>
      <m:oMath>
        <m:sSub>
          <m:sSubPr>
            <m:ctrlPr>
              <w:rPr>
                <w:rFonts w:ascii="Cambria Math" w:eastAsia="Times New Roman" w:hAnsi="Cambria Math" w:cs="Arial"/>
                <w:i/>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i</m:t>
            </m:r>
          </m:sub>
        </m:sSub>
      </m:oMath>
      <w:r w:rsidRPr="00FC48DA">
        <w:rPr>
          <w:rFonts w:eastAsia="Times New Roman" w:cs="Arial"/>
          <w:lang w:eastAsia="es-MX"/>
        </w:rPr>
        <w:t>, se define como</w:t>
      </w:r>
      <w:bookmarkEnd w:id="1"/>
      <w:r w:rsidRPr="00FC48DA">
        <w:rPr>
          <w:rFonts w:eastAsia="Times New Roman" w:cs="Arial"/>
          <w:lang w:eastAsia="es-MX"/>
        </w:rPr>
        <w:t>:</w:t>
      </w:r>
    </w:p>
    <w:p w14:paraId="7615DF8E" w14:textId="77777777" w:rsidR="00F045B7" w:rsidRPr="00FC48DA" w:rsidRDefault="00F045B7" w:rsidP="00F045B7">
      <w:pPr>
        <w:ind w:right="-1"/>
        <w:rPr>
          <w:rFonts w:eastAsia="Times New Roman" w:cs="Arial"/>
          <w:lang w:eastAsia="es-MX"/>
        </w:rPr>
      </w:pPr>
    </w:p>
    <w:p w14:paraId="47708D5E" w14:textId="4C87D33C" w:rsidR="00F045B7" w:rsidRPr="00FC48DA" w:rsidRDefault="0016024D" w:rsidP="00F045B7">
      <w:pPr>
        <w:ind w:right="-1"/>
        <w:rPr>
          <w:rFonts w:eastAsia="Times New Roman" w:cs="Arial"/>
          <w:lang w:eastAsia="es-MX"/>
        </w:rPr>
      </w:pPr>
      <m:oMathPara>
        <m:oMath>
          <m:sSub>
            <m:sSubPr>
              <m:ctrlPr>
                <w:rPr>
                  <w:rFonts w:ascii="Cambria Math" w:eastAsia="Times New Roman" w:hAnsi="Cambria Math" w:cs="Arial"/>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i</m:t>
              </m:r>
            </m:sub>
          </m:sSub>
          <m:r>
            <m:rPr>
              <m:sty m:val="p"/>
            </m:rPr>
            <w:rPr>
              <w:rFonts w:ascii="Cambria Math" w:eastAsia="Times New Roman" w:hAnsi="Cambria Math" w:cs="Arial"/>
              <w:lang w:eastAsia="es-MX"/>
            </w:rPr>
            <m:t>=</m:t>
          </m:r>
          <m:d>
            <m:dPr>
              <m:ctrlPr>
                <w:rPr>
                  <w:rFonts w:ascii="Cambria Math" w:eastAsia="Times New Roman" w:hAnsi="Cambria Math" w:cs="Arial"/>
                  <w:lang w:eastAsia="es-MX"/>
                </w:rPr>
              </m:ctrlPr>
            </m:dPr>
            <m:e>
              <m:f>
                <m:fPr>
                  <m:ctrlPr>
                    <w:rPr>
                      <w:rFonts w:ascii="Cambria Math" w:eastAsia="Times New Roman" w:hAnsi="Cambria Math" w:cs="Arial"/>
                      <w:lang w:eastAsia="es-MX"/>
                    </w:rPr>
                  </m:ctrlPr>
                </m:fPr>
                <m:num>
                  <m:sSub>
                    <m:sSubPr>
                      <m:ctrlPr>
                        <w:rPr>
                          <w:rFonts w:ascii="Cambria Math" w:eastAsia="Times New Roman" w:hAnsi="Cambria Math" w:cs="Arial"/>
                          <w:lang w:eastAsia="es-MX"/>
                        </w:rPr>
                      </m:ctrlPr>
                    </m:sSubPr>
                    <m:e>
                      <m:r>
                        <w:rPr>
                          <w:rFonts w:ascii="Cambria Math" w:eastAsia="Times New Roman" w:hAnsi="Cambria Math" w:cs="Arial"/>
                          <w:lang w:eastAsia="es-MX"/>
                        </w:rPr>
                        <m:t>V</m:t>
                      </m:r>
                    </m:e>
                    <m:sub>
                      <m:r>
                        <w:rPr>
                          <w:rFonts w:ascii="Cambria Math" w:eastAsia="Times New Roman" w:hAnsi="Cambria Math" w:cs="Arial"/>
                          <w:lang w:eastAsia="es-MX"/>
                        </w:rPr>
                        <m:t>i</m:t>
                      </m:r>
                    </m:sub>
                  </m:sSub>
                </m:num>
                <m:den>
                  <m:r>
                    <w:rPr>
                      <w:rFonts w:ascii="Cambria Math" w:eastAsia="Times New Roman" w:hAnsi="Cambria Math" w:cs="Arial"/>
                      <w:lang w:eastAsia="es-MX"/>
                    </w:rPr>
                    <m:t>V</m:t>
                  </m:r>
                </m:den>
              </m:f>
            </m:e>
          </m:d>
          <m:r>
            <m:rPr>
              <m:sty m:val="p"/>
            </m:rPr>
            <w:rPr>
              <w:rFonts w:ascii="Cambria Math" w:eastAsia="Times New Roman" w:hAnsi="Cambria Math" w:cs="Arial"/>
              <w:lang w:eastAsia="es-MX"/>
            </w:rPr>
            <m:t xml:space="preserve"> </m:t>
          </m:r>
          <m:r>
            <w:rPr>
              <w:rFonts w:ascii="Cambria Math" w:eastAsia="Times New Roman" w:hAnsi="Cambria Math" w:cs="Arial"/>
              <w:lang w:eastAsia="es-MX"/>
            </w:rPr>
            <m:t>X</m:t>
          </m:r>
          <m:r>
            <m:rPr>
              <m:sty m:val="p"/>
            </m:rPr>
            <w:rPr>
              <w:rFonts w:ascii="Cambria Math" w:eastAsia="Times New Roman" w:hAnsi="Cambria Math" w:cs="Arial"/>
              <w:lang w:eastAsia="es-MX"/>
            </w:rPr>
            <m:t xml:space="preserve"> 100</m:t>
          </m:r>
        </m:oMath>
      </m:oMathPara>
    </w:p>
    <w:p w14:paraId="11BF75DF" w14:textId="77777777" w:rsidR="00F045B7" w:rsidRPr="00FC48DA" w:rsidRDefault="00F045B7" w:rsidP="00F045B7">
      <w:pPr>
        <w:pStyle w:val="Default"/>
        <w:spacing w:line="276" w:lineRule="auto"/>
        <w:ind w:right="-1"/>
        <w:jc w:val="both"/>
        <w:rPr>
          <w:rFonts w:ascii="Arial" w:hAnsi="Arial" w:cs="Arial"/>
          <w:color w:val="auto"/>
          <w:sz w:val="22"/>
          <w:szCs w:val="22"/>
        </w:rPr>
      </w:pPr>
    </w:p>
    <w:p w14:paraId="05D035E0" w14:textId="53114FEB" w:rsidR="00E916FC" w:rsidRPr="00FC48DA" w:rsidRDefault="00E916FC" w:rsidP="00F045B7">
      <w:pPr>
        <w:pStyle w:val="Prrafodelista"/>
        <w:numPr>
          <w:ilvl w:val="0"/>
          <w:numId w:val="25"/>
        </w:numPr>
        <w:ind w:left="0" w:firstLine="284"/>
        <w:rPr>
          <w:rFonts w:ascii="Arial" w:eastAsia="Calibri" w:hAnsi="Arial" w:cs="Arial"/>
          <w:lang w:eastAsia="es-MX"/>
        </w:rPr>
      </w:pPr>
      <w:r w:rsidRPr="00FC48DA">
        <w:rPr>
          <w:rFonts w:ascii="Arial" w:eastAsia="Calibri" w:hAnsi="Arial" w:cs="Arial"/>
          <w:lang w:eastAsia="es-MX"/>
        </w:rPr>
        <w:t>El IHH se calculará como la suma de las participaciones de cada agente económico elevadas al cuadrado, es decir,</w:t>
      </w:r>
    </w:p>
    <w:p w14:paraId="5A33CB41" w14:textId="48176088" w:rsidR="00F045B7" w:rsidRPr="00FC48DA" w:rsidRDefault="00F045B7" w:rsidP="00F045B7">
      <w:pPr>
        <w:pStyle w:val="Default"/>
        <w:spacing w:line="276" w:lineRule="auto"/>
        <w:ind w:right="-1"/>
        <w:jc w:val="both"/>
        <w:rPr>
          <w:rFonts w:ascii="Arial" w:hAnsi="Arial" w:cs="Arial"/>
          <w:color w:val="auto"/>
          <w:sz w:val="22"/>
          <w:szCs w:val="22"/>
        </w:rPr>
      </w:pPr>
    </w:p>
    <w:p w14:paraId="43DF0DD5" w14:textId="46515252" w:rsidR="00F045B7" w:rsidRPr="00FC48DA" w:rsidRDefault="00F045B7" w:rsidP="00F045B7">
      <w:pPr>
        <w:pStyle w:val="Default"/>
        <w:spacing w:line="276" w:lineRule="auto"/>
        <w:ind w:right="-1"/>
        <w:jc w:val="both"/>
        <w:rPr>
          <w:rFonts w:ascii="Arial" w:hAnsi="Arial" w:cs="Arial"/>
          <w:color w:val="auto"/>
          <w:sz w:val="22"/>
          <w:szCs w:val="22"/>
        </w:rPr>
      </w:pPr>
      <m:oMathPara>
        <m:oMath>
          <m:r>
            <w:rPr>
              <w:rFonts w:ascii="Cambria Math" w:hAnsi="Cambria Math" w:cs="Arial"/>
              <w:color w:val="auto"/>
              <w:sz w:val="22"/>
              <w:szCs w:val="22"/>
            </w:rPr>
            <w:lastRenderedPageBreak/>
            <m:t>IHH=</m:t>
          </m:r>
          <m:nary>
            <m:naryPr>
              <m:chr m:val="∑"/>
              <m:limLoc m:val="subSup"/>
              <m:ctrlPr>
                <w:rPr>
                  <w:rFonts w:ascii="Cambria Math" w:hAnsi="Cambria Math" w:cs="Arial"/>
                  <w:i/>
                  <w:color w:val="auto"/>
                  <w:sz w:val="22"/>
                  <w:szCs w:val="22"/>
                </w:rPr>
              </m:ctrlPr>
            </m:naryPr>
            <m:sub>
              <m:r>
                <w:rPr>
                  <w:rFonts w:ascii="Cambria Math" w:hAnsi="Cambria Math" w:cs="Arial"/>
                  <w:color w:val="auto"/>
                  <w:sz w:val="22"/>
                  <w:szCs w:val="22"/>
                </w:rPr>
                <m:t>i=1</m:t>
              </m:r>
            </m:sub>
            <m:sup>
              <m:r>
                <w:rPr>
                  <w:rFonts w:ascii="Cambria Math" w:hAnsi="Cambria Math" w:cs="Arial"/>
                  <w:color w:val="auto"/>
                  <w:sz w:val="22"/>
                  <w:szCs w:val="22"/>
                </w:rPr>
                <m:t>N</m:t>
              </m:r>
            </m:sup>
            <m:e>
              <m:sSubSup>
                <m:sSubSupPr>
                  <m:ctrlPr>
                    <w:rPr>
                      <w:rFonts w:ascii="Cambria Math" w:hAnsi="Cambria Math" w:cs="Arial"/>
                      <w:i/>
                      <w:color w:val="auto"/>
                      <w:sz w:val="22"/>
                      <w:szCs w:val="22"/>
                    </w:rPr>
                  </m:ctrlPr>
                </m:sSubSupPr>
                <m:e>
                  <m:r>
                    <w:rPr>
                      <w:rFonts w:ascii="Cambria Math" w:hAnsi="Cambria Math" w:cs="Arial"/>
                      <w:color w:val="auto"/>
                      <w:sz w:val="22"/>
                      <w:szCs w:val="22"/>
                    </w:rPr>
                    <m:t>α</m:t>
                  </m:r>
                </m:e>
                <m:sub>
                  <m:r>
                    <w:rPr>
                      <w:rFonts w:ascii="Cambria Math" w:hAnsi="Cambria Math" w:cs="Arial"/>
                      <w:color w:val="auto"/>
                      <w:sz w:val="22"/>
                      <w:szCs w:val="22"/>
                    </w:rPr>
                    <m:t>i</m:t>
                  </m:r>
                </m:sub>
                <m:sup>
                  <m:r>
                    <w:rPr>
                      <w:rFonts w:ascii="Cambria Math" w:hAnsi="Cambria Math" w:cs="Arial"/>
                      <w:color w:val="auto"/>
                      <w:sz w:val="22"/>
                      <w:szCs w:val="22"/>
                    </w:rPr>
                    <m:t>2</m:t>
                  </m:r>
                </m:sup>
              </m:sSubSup>
            </m:e>
          </m:nary>
        </m:oMath>
      </m:oMathPara>
    </w:p>
    <w:p w14:paraId="5D75DCED" w14:textId="77777777" w:rsidR="00F045B7" w:rsidRPr="00FC48DA" w:rsidRDefault="00F045B7" w:rsidP="00F045B7">
      <w:pPr>
        <w:pStyle w:val="Default"/>
        <w:spacing w:line="276" w:lineRule="auto"/>
        <w:ind w:right="-1"/>
        <w:jc w:val="both"/>
        <w:rPr>
          <w:rFonts w:ascii="Arial" w:hAnsi="Arial" w:cs="Arial"/>
          <w:color w:val="auto"/>
          <w:sz w:val="22"/>
          <w:szCs w:val="22"/>
        </w:rPr>
      </w:pPr>
    </w:p>
    <w:p w14:paraId="1FAF942A" w14:textId="6106D067" w:rsidR="00E916FC" w:rsidRPr="00FC48DA" w:rsidRDefault="00E916FC" w:rsidP="00F045B7">
      <w:pPr>
        <w:pStyle w:val="Default"/>
        <w:spacing w:line="276" w:lineRule="auto"/>
        <w:ind w:right="-1"/>
        <w:jc w:val="both"/>
        <w:rPr>
          <w:rFonts w:ascii="Arial" w:hAnsi="Arial" w:cs="Arial"/>
          <w:color w:val="auto"/>
          <w:sz w:val="22"/>
          <w:szCs w:val="22"/>
        </w:rPr>
      </w:pPr>
      <w:r w:rsidRPr="00FC48DA">
        <w:rPr>
          <w:rFonts w:ascii="Arial" w:hAnsi="Arial" w:cs="Arial"/>
          <w:color w:val="auto"/>
          <w:sz w:val="22"/>
          <w:szCs w:val="22"/>
        </w:rPr>
        <w:t>Las características más relevantes del IHH son las siguientes:</w:t>
      </w:r>
    </w:p>
    <w:p w14:paraId="2DD3D52B" w14:textId="77777777" w:rsidR="00E916FC" w:rsidRPr="00FC48DA" w:rsidRDefault="00E916FC" w:rsidP="00E916FC">
      <w:pPr>
        <w:shd w:val="clear" w:color="auto" w:fill="FFFFFF"/>
        <w:ind w:right="-1"/>
        <w:rPr>
          <w:rFonts w:eastAsia="Times New Roman" w:cs="Arial"/>
          <w:lang w:eastAsia="es-MX"/>
        </w:rPr>
      </w:pPr>
    </w:p>
    <w:p w14:paraId="32A59828" w14:textId="55CC2817" w:rsidR="00E916FC" w:rsidRPr="00FC48DA" w:rsidRDefault="00F045B7" w:rsidP="00F045B7">
      <w:pPr>
        <w:pStyle w:val="Prrafodelista"/>
        <w:numPr>
          <w:ilvl w:val="0"/>
          <w:numId w:val="23"/>
        </w:numPr>
        <w:shd w:val="clear" w:color="auto" w:fill="FFFFFF"/>
        <w:ind w:left="568" w:hanging="284"/>
        <w:contextualSpacing w:val="0"/>
        <w:rPr>
          <w:rFonts w:ascii="Arial" w:eastAsia="Times New Roman" w:hAnsi="Arial" w:cs="Arial"/>
          <w:lang w:eastAsia="es-MX"/>
        </w:rPr>
      </w:pPr>
      <w:r w:rsidRPr="00FC48DA">
        <w:rPr>
          <w:rFonts w:ascii="Arial" w:eastAsia="Times New Roman" w:hAnsi="Arial" w:cs="Arial"/>
          <w:b/>
          <w:lang w:eastAsia="es-MX"/>
        </w:rPr>
        <w:t>P</w:t>
      </w:r>
      <w:r w:rsidR="00E916FC" w:rsidRPr="00FC48DA">
        <w:rPr>
          <w:rFonts w:ascii="Arial" w:eastAsia="Times New Roman" w:hAnsi="Arial" w:cs="Arial"/>
          <w:b/>
          <w:lang w:eastAsia="es-MX"/>
        </w:rPr>
        <w:t>uede tomar valores entre cero y diez mil puntos.</w:t>
      </w:r>
      <w:r w:rsidR="00E916FC" w:rsidRPr="00FC48DA">
        <w:rPr>
          <w:rFonts w:ascii="Arial" w:eastAsia="Times New Roman" w:hAnsi="Arial" w:cs="Arial"/>
          <w:lang w:eastAsia="es-MX"/>
        </w:rPr>
        <w:t xml:space="preserve"> Un valor bajo, cercano a cero, corresponde a una situación en la cual cada uno de los agentes económicos tiene una participación poco significativa. En el otro extremo, el valor máximo corresponde a una situación en la que existe sólo un agente económico. Así, valores elevados del IHH son el reflejo de mercados c</w:t>
      </w:r>
      <w:r w:rsidRPr="00FC48DA">
        <w:rPr>
          <w:rFonts w:ascii="Arial" w:eastAsia="Times New Roman" w:hAnsi="Arial" w:cs="Arial"/>
          <w:lang w:eastAsia="es-MX"/>
        </w:rPr>
        <w:t>on alto grado de concentración.</w:t>
      </w:r>
    </w:p>
    <w:p w14:paraId="142AEC53" w14:textId="77777777" w:rsidR="00F045B7" w:rsidRPr="00FC48DA" w:rsidRDefault="00F045B7" w:rsidP="00F045B7">
      <w:pPr>
        <w:pStyle w:val="Prrafodelista"/>
        <w:shd w:val="clear" w:color="auto" w:fill="FFFFFF"/>
        <w:ind w:left="568"/>
        <w:contextualSpacing w:val="0"/>
        <w:rPr>
          <w:rFonts w:ascii="Arial" w:eastAsia="Times New Roman" w:hAnsi="Arial" w:cs="Arial"/>
          <w:lang w:eastAsia="es-MX"/>
        </w:rPr>
      </w:pPr>
    </w:p>
    <w:p w14:paraId="15CAFF97" w14:textId="3BB93D3F" w:rsidR="00E916FC" w:rsidRPr="00FC48DA" w:rsidRDefault="00E916FC" w:rsidP="00F045B7">
      <w:pPr>
        <w:pStyle w:val="Prrafodelista"/>
        <w:numPr>
          <w:ilvl w:val="0"/>
          <w:numId w:val="23"/>
        </w:numPr>
        <w:shd w:val="clear" w:color="auto" w:fill="FFFFFF"/>
        <w:ind w:left="568" w:hanging="284"/>
        <w:contextualSpacing w:val="0"/>
        <w:rPr>
          <w:rFonts w:ascii="Arial" w:hAnsi="Arial" w:cs="Arial"/>
        </w:rPr>
      </w:pPr>
      <w:r w:rsidRPr="00FC48DA">
        <w:rPr>
          <w:rFonts w:ascii="Arial" w:hAnsi="Arial" w:cs="Arial"/>
          <w:b/>
        </w:rPr>
        <w:t>El IHH considera toda la actividad económica analizada y refleja la posición relativa de los agentes económicos</w:t>
      </w:r>
      <w:r w:rsidRPr="00FC48DA">
        <w:rPr>
          <w:rFonts w:ascii="Arial" w:hAnsi="Arial" w:cs="Arial"/>
        </w:rPr>
        <w:t xml:space="preserve">, y no es necesario determinar </w:t>
      </w:r>
      <w:r w:rsidRPr="00FC48DA">
        <w:rPr>
          <w:rFonts w:ascii="Arial" w:hAnsi="Arial" w:cs="Arial"/>
          <w:i/>
        </w:rPr>
        <w:t>a priori</w:t>
      </w:r>
      <w:r w:rsidRPr="00FC48DA">
        <w:rPr>
          <w:rFonts w:ascii="Arial" w:hAnsi="Arial" w:cs="Arial"/>
        </w:rPr>
        <w:t xml:space="preserve"> a los más importantes para calcularlo.</w:t>
      </w:r>
    </w:p>
    <w:p w14:paraId="4C6F6BEF" w14:textId="26353047" w:rsidR="00F045B7" w:rsidRPr="00FC48DA" w:rsidRDefault="00F045B7" w:rsidP="00F045B7">
      <w:pPr>
        <w:shd w:val="clear" w:color="auto" w:fill="FFFFFF"/>
        <w:rPr>
          <w:rFonts w:cs="Arial"/>
        </w:rPr>
      </w:pPr>
    </w:p>
    <w:p w14:paraId="27BBFB28" w14:textId="42410E5C" w:rsidR="00E916FC" w:rsidRPr="00FC48DA" w:rsidRDefault="00E916FC" w:rsidP="00FA76A8">
      <w:pPr>
        <w:pStyle w:val="Prrafodelista"/>
        <w:numPr>
          <w:ilvl w:val="0"/>
          <w:numId w:val="23"/>
        </w:numPr>
        <w:shd w:val="clear" w:color="auto" w:fill="FFFFFF"/>
        <w:ind w:left="568" w:hanging="284"/>
        <w:contextualSpacing w:val="0"/>
        <w:rPr>
          <w:rFonts w:ascii="Arial" w:hAnsi="Arial" w:cs="Arial"/>
        </w:rPr>
      </w:pPr>
      <w:r w:rsidRPr="00FC48DA">
        <w:rPr>
          <w:rFonts w:ascii="Arial" w:hAnsi="Arial" w:cs="Arial"/>
          <w:b/>
        </w:rPr>
        <w:t>El IHH aumenta cuando el número de empresas disminuye</w:t>
      </w:r>
      <w:r w:rsidRPr="00FC48DA">
        <w:rPr>
          <w:rFonts w:ascii="Arial" w:hAnsi="Arial" w:cs="Arial"/>
        </w:rPr>
        <w:t>. Esta característica implica que cualquier fusión o adquisición completa entre dos o más empresas se ve reflejada en un valor más alto del IHH.</w:t>
      </w:r>
      <w:r w:rsidRPr="00FC48DA">
        <w:rPr>
          <w:rFonts w:ascii="Arial" w:eastAsia="Times New Roman" w:hAnsi="Arial" w:cs="Arial"/>
          <w:lang w:eastAsia="es-MX"/>
        </w:rPr>
        <w:t xml:space="preserve"> Entre más pequeño sea el número de participantes, es más probable que las variaciones en el número de participantes o de las participaciones, modifiquen las condiciones de competencia para el resto de los agentes económicos. Estos cambios en las condiciones de competencia s</w:t>
      </w:r>
      <w:r w:rsidR="00C34D89" w:rsidRPr="00FC48DA">
        <w:rPr>
          <w:rFonts w:ascii="Arial" w:eastAsia="Times New Roman" w:hAnsi="Arial" w:cs="Arial"/>
          <w:lang w:eastAsia="es-MX"/>
        </w:rPr>
        <w:t>on</w:t>
      </w:r>
      <w:r w:rsidRPr="00FC48DA">
        <w:rPr>
          <w:rFonts w:ascii="Arial" w:eastAsia="Times New Roman" w:hAnsi="Arial" w:cs="Arial"/>
          <w:lang w:eastAsia="es-MX"/>
        </w:rPr>
        <w:t xml:space="preserve"> capturad</w:t>
      </w:r>
      <w:r w:rsidR="00C34D89" w:rsidRPr="00FC48DA">
        <w:rPr>
          <w:rFonts w:ascii="Arial" w:eastAsia="Times New Roman" w:hAnsi="Arial" w:cs="Arial"/>
          <w:lang w:eastAsia="es-MX"/>
        </w:rPr>
        <w:t>os</w:t>
      </w:r>
      <w:r w:rsidRPr="00FC48DA">
        <w:rPr>
          <w:rFonts w:ascii="Arial" w:eastAsia="Times New Roman" w:hAnsi="Arial" w:cs="Arial"/>
          <w:lang w:eastAsia="es-MX"/>
        </w:rPr>
        <w:t xml:space="preserve"> mediante una variación del IHH, pues éste aumenta cuando el número de competidores disminuye y viceversa.</w:t>
      </w:r>
    </w:p>
    <w:p w14:paraId="2874A63F" w14:textId="20157C5E" w:rsidR="00FA76A8" w:rsidRPr="00FC48DA" w:rsidRDefault="00FA76A8" w:rsidP="00FA76A8">
      <w:pPr>
        <w:shd w:val="clear" w:color="auto" w:fill="FFFFFF"/>
        <w:rPr>
          <w:rFonts w:cs="Arial"/>
        </w:rPr>
      </w:pPr>
    </w:p>
    <w:p w14:paraId="77759808" w14:textId="08491969" w:rsidR="00E916FC" w:rsidRPr="00FC48DA" w:rsidRDefault="00E916FC" w:rsidP="00FA76A8">
      <w:pPr>
        <w:shd w:val="clear" w:color="auto" w:fill="FFFFFF"/>
        <w:rPr>
          <w:rFonts w:cs="Arial"/>
        </w:rPr>
      </w:pPr>
      <w:r w:rsidRPr="00FC48DA">
        <w:rPr>
          <w:rFonts w:cs="Arial"/>
        </w:rPr>
        <w:t>Cuando no sea posible identificar a agentes económicos cuyas participaciones sean poco significativas (“otros”), para efectos del cálculo del IHH la participación agregada de “otros” se dividirá entre un número de agentes a los que se les asignará una participación simétrica igual o menor a la participación que tenga el agente económico identificado de menor tamaño.</w:t>
      </w:r>
    </w:p>
    <w:p w14:paraId="77609481" w14:textId="77777777" w:rsidR="00F045B7" w:rsidRPr="00FC48DA" w:rsidRDefault="00F045B7" w:rsidP="00FA76A8">
      <w:pPr>
        <w:shd w:val="clear" w:color="auto" w:fill="FFFFFF"/>
        <w:rPr>
          <w:rFonts w:eastAsia="Times New Roman" w:cs="Arial"/>
          <w:lang w:eastAsia="es-MX"/>
        </w:rPr>
      </w:pPr>
    </w:p>
    <w:p w14:paraId="107755FD" w14:textId="3A15FF34" w:rsidR="00E916FC" w:rsidRPr="00FC48DA" w:rsidRDefault="00E916FC" w:rsidP="00FA76A8">
      <w:pPr>
        <w:pStyle w:val="Prrafodelista"/>
        <w:numPr>
          <w:ilvl w:val="0"/>
          <w:numId w:val="25"/>
        </w:numPr>
        <w:ind w:left="0" w:right="-1" w:firstLine="0"/>
        <w:contextualSpacing w:val="0"/>
        <w:rPr>
          <w:rFonts w:ascii="Arial" w:eastAsia="Times New Roman" w:hAnsi="Arial" w:cs="Arial"/>
          <w:lang w:eastAsia="es-MX"/>
        </w:rPr>
      </w:pPr>
      <w:r w:rsidRPr="00FC48DA">
        <w:rPr>
          <w:rFonts w:ascii="Arial" w:eastAsia="Times New Roman" w:hAnsi="Arial" w:cs="Arial"/>
          <w:lang w:eastAsia="es-MX"/>
        </w:rPr>
        <w:t>En el análisis de concentraciones el Instituto calculará la variación del IHH (</w:t>
      </w:r>
      <m:oMath>
        <m:r>
          <m:rPr>
            <m:sty m:val="p"/>
          </m:rPr>
          <w:rPr>
            <w:rFonts w:ascii="Cambria Math" w:eastAsia="Times New Roman" w:hAnsi="Cambria Math" w:cs="Arial"/>
            <w:lang w:eastAsia="es-MX"/>
          </w:rPr>
          <m:t>∆IHH</m:t>
        </m:r>
      </m:oMath>
      <w:r w:rsidRPr="00FC48DA">
        <w:rPr>
          <w:rFonts w:ascii="Arial" w:eastAsia="Times New Roman" w:hAnsi="Arial" w:cs="Arial"/>
          <w:lang w:eastAsia="es-MX"/>
        </w:rPr>
        <w:t xml:space="preserve">) como una medida del cambio en el grado de concentración en el mercado derivado de la misma. La </w:t>
      </w:r>
      <m:oMath>
        <m:r>
          <m:rPr>
            <m:sty m:val="p"/>
          </m:rPr>
          <w:rPr>
            <w:rFonts w:ascii="Cambria Math" w:eastAsia="Times New Roman" w:hAnsi="Cambria Math" w:cs="Arial"/>
            <w:lang w:eastAsia="es-MX"/>
          </w:rPr>
          <m:t>∆IHH</m:t>
        </m:r>
      </m:oMath>
      <w:r w:rsidRPr="00FC48DA">
        <w:rPr>
          <w:rFonts w:ascii="Arial" w:eastAsia="Times New Roman" w:hAnsi="Arial" w:cs="Arial"/>
          <w:lang w:eastAsia="es-MX"/>
        </w:rPr>
        <w:t xml:space="preserve"> se calculará como la diferencia aritmética del valor del IHH después (</w:t>
      </w:r>
      <m:oMath>
        <m:r>
          <w:rPr>
            <w:rFonts w:ascii="Cambria Math" w:eastAsia="Times New Roman" w:hAnsi="Cambria Math" w:cs="Arial"/>
            <w:lang w:eastAsia="es-MX"/>
          </w:rPr>
          <m:t>I</m:t>
        </m:r>
        <m:sSub>
          <m:sSubPr>
            <m:ctrlPr>
              <w:rPr>
                <w:rFonts w:ascii="Cambria Math" w:eastAsia="Times New Roman" w:hAnsi="Cambria Math" w:cs="Arial"/>
                <w:lang w:eastAsia="es-MX"/>
              </w:rPr>
            </m:ctrlPr>
          </m:sSubPr>
          <m:e>
            <m:r>
              <w:rPr>
                <w:rFonts w:ascii="Cambria Math" w:eastAsia="Times New Roman" w:hAnsi="Cambria Math" w:cs="Arial"/>
                <w:lang w:eastAsia="es-MX"/>
              </w:rPr>
              <m:t>HH</m:t>
            </m:r>
          </m:e>
          <m:sub>
            <m:r>
              <w:rPr>
                <w:rFonts w:ascii="Cambria Math" w:eastAsia="Times New Roman" w:hAnsi="Cambria Math" w:cs="Arial"/>
                <w:lang w:eastAsia="es-MX"/>
              </w:rPr>
              <m:t>D</m:t>
            </m:r>
          </m:sub>
        </m:sSub>
      </m:oMath>
      <w:r w:rsidRPr="00FC48DA">
        <w:rPr>
          <w:rFonts w:ascii="Arial" w:eastAsia="Times New Roman" w:hAnsi="Arial" w:cs="Arial"/>
          <w:lang w:eastAsia="es-MX"/>
        </w:rPr>
        <w:t>) y antes (</w:t>
      </w:r>
      <m:oMath>
        <m:r>
          <w:rPr>
            <w:rFonts w:ascii="Cambria Math" w:eastAsia="Times New Roman" w:hAnsi="Cambria Math" w:cs="Arial"/>
            <w:lang w:eastAsia="es-MX"/>
          </w:rPr>
          <m:t>I</m:t>
        </m:r>
        <m:sSub>
          <m:sSubPr>
            <m:ctrlPr>
              <w:rPr>
                <w:rFonts w:ascii="Cambria Math" w:eastAsia="Times New Roman" w:hAnsi="Cambria Math" w:cs="Arial"/>
                <w:lang w:eastAsia="es-MX"/>
              </w:rPr>
            </m:ctrlPr>
          </m:sSubPr>
          <m:e>
            <m:r>
              <w:rPr>
                <w:rFonts w:ascii="Cambria Math" w:eastAsia="Times New Roman" w:hAnsi="Cambria Math" w:cs="Arial"/>
                <w:lang w:eastAsia="es-MX"/>
              </w:rPr>
              <m:t>HH</m:t>
            </m:r>
          </m:e>
          <m:sub>
            <m:r>
              <w:rPr>
                <w:rFonts w:ascii="Cambria Math" w:eastAsia="Times New Roman" w:hAnsi="Cambria Math" w:cs="Arial"/>
                <w:lang w:eastAsia="es-MX"/>
              </w:rPr>
              <m:t>A</m:t>
            </m:r>
          </m:sub>
        </m:sSub>
      </m:oMath>
      <w:r w:rsidRPr="00FC48DA">
        <w:rPr>
          <w:rFonts w:ascii="Arial" w:eastAsia="Times New Roman" w:hAnsi="Arial" w:cs="Arial"/>
          <w:lang w:eastAsia="es-MX"/>
        </w:rPr>
        <w:t xml:space="preserve">) de que se lleve a cabo la </w:t>
      </w:r>
      <w:r w:rsidR="00FA76A8" w:rsidRPr="00FC48DA">
        <w:rPr>
          <w:rFonts w:ascii="Arial" w:eastAsia="Times New Roman" w:hAnsi="Arial" w:cs="Arial"/>
          <w:lang w:eastAsia="es-MX"/>
        </w:rPr>
        <w:t>concentración</w:t>
      </w:r>
      <w:r w:rsidRPr="00FC48DA">
        <w:rPr>
          <w:rFonts w:ascii="Arial" w:eastAsia="Times New Roman" w:hAnsi="Arial" w:cs="Arial"/>
          <w:lang w:eastAsia="es-MX"/>
        </w:rPr>
        <w:t>.</w:t>
      </w:r>
    </w:p>
    <w:p w14:paraId="78EC4481" w14:textId="77777777" w:rsidR="00FA76A8" w:rsidRPr="00FC48DA" w:rsidRDefault="00FA76A8" w:rsidP="00FA76A8">
      <w:pPr>
        <w:pStyle w:val="Prrafodelista"/>
        <w:ind w:left="0" w:right="-1"/>
        <w:contextualSpacing w:val="0"/>
        <w:rPr>
          <w:rFonts w:ascii="Arial" w:eastAsia="Times New Roman" w:hAnsi="Arial" w:cs="Arial"/>
          <w:lang w:eastAsia="es-MX"/>
        </w:rPr>
      </w:pPr>
    </w:p>
    <w:p w14:paraId="74B7D12F" w14:textId="6A673485" w:rsidR="00E916FC" w:rsidRPr="00FC48DA" w:rsidRDefault="00E916FC" w:rsidP="00BF4AC1">
      <w:pPr>
        <w:pStyle w:val="Prrafodelista"/>
        <w:ind w:left="0" w:right="-1"/>
        <w:contextualSpacing w:val="0"/>
        <w:rPr>
          <w:rFonts w:ascii="Arial" w:eastAsia="Times New Roman" w:hAnsi="Arial" w:cs="Arial"/>
          <w:lang w:eastAsia="es-MX"/>
        </w:rPr>
      </w:pPr>
      <w:r w:rsidRPr="00FC48DA">
        <w:rPr>
          <w:rFonts w:ascii="Arial" w:eastAsia="Times New Roman" w:hAnsi="Arial" w:cs="Arial"/>
          <w:lang w:eastAsia="es-MX"/>
        </w:rPr>
        <w:t xml:space="preserve">En el cálculo del </w:t>
      </w:r>
      <m:oMath>
        <m:r>
          <w:rPr>
            <w:rFonts w:ascii="Cambria Math" w:eastAsia="Times New Roman" w:hAnsi="Cambria Math" w:cs="Arial"/>
            <w:lang w:eastAsia="es-MX"/>
          </w:rPr>
          <m:t>I</m:t>
        </m:r>
        <m:sSub>
          <m:sSubPr>
            <m:ctrlPr>
              <w:rPr>
                <w:rFonts w:ascii="Cambria Math" w:eastAsia="Times New Roman" w:hAnsi="Cambria Math" w:cs="Arial"/>
                <w:lang w:eastAsia="es-MX"/>
              </w:rPr>
            </m:ctrlPr>
          </m:sSubPr>
          <m:e>
            <m:r>
              <w:rPr>
                <w:rFonts w:ascii="Cambria Math" w:eastAsia="Times New Roman" w:hAnsi="Cambria Math" w:cs="Arial"/>
                <w:lang w:eastAsia="es-MX"/>
              </w:rPr>
              <m:t>HH</m:t>
            </m:r>
          </m:e>
          <m:sub>
            <m:r>
              <w:rPr>
                <w:rFonts w:ascii="Cambria Math" w:eastAsia="Times New Roman" w:hAnsi="Cambria Math" w:cs="Arial"/>
                <w:lang w:eastAsia="es-MX"/>
              </w:rPr>
              <m:t>D</m:t>
            </m:r>
          </m:sub>
        </m:sSub>
      </m:oMath>
      <w:r w:rsidRPr="00FC48DA">
        <w:rPr>
          <w:rFonts w:ascii="Arial" w:eastAsia="Times New Roman" w:hAnsi="Arial" w:cs="Arial"/>
          <w:lang w:eastAsia="es-MX"/>
        </w:rPr>
        <w:t xml:space="preserve"> se considera la participación que tendría el agente económico resultante de la operación, mientras que en el cálculo del </w:t>
      </w:r>
      <m:oMath>
        <m:r>
          <w:rPr>
            <w:rFonts w:ascii="Cambria Math" w:eastAsia="Times New Roman" w:hAnsi="Cambria Math" w:cs="Arial"/>
            <w:lang w:eastAsia="es-MX"/>
          </w:rPr>
          <m:t>I</m:t>
        </m:r>
        <m:sSub>
          <m:sSubPr>
            <m:ctrlPr>
              <w:rPr>
                <w:rFonts w:ascii="Cambria Math" w:eastAsia="Times New Roman" w:hAnsi="Cambria Math" w:cs="Arial"/>
                <w:lang w:eastAsia="es-MX"/>
              </w:rPr>
            </m:ctrlPr>
          </m:sSubPr>
          <m:e>
            <m:r>
              <w:rPr>
                <w:rFonts w:ascii="Cambria Math" w:eastAsia="Times New Roman" w:hAnsi="Cambria Math" w:cs="Arial"/>
                <w:lang w:eastAsia="es-MX"/>
              </w:rPr>
              <m:t>HH</m:t>
            </m:r>
          </m:e>
          <m:sub>
            <m:r>
              <w:rPr>
                <w:rFonts w:ascii="Cambria Math" w:eastAsia="Times New Roman" w:hAnsi="Cambria Math" w:cs="Arial"/>
                <w:lang w:eastAsia="es-MX"/>
              </w:rPr>
              <m:t>A</m:t>
            </m:r>
          </m:sub>
        </m:sSub>
      </m:oMath>
      <w:r w:rsidRPr="00FC48DA">
        <w:rPr>
          <w:rFonts w:ascii="Arial" w:eastAsia="Times New Roman" w:hAnsi="Arial" w:cs="Arial"/>
          <w:lang w:eastAsia="es-MX"/>
        </w:rPr>
        <w:t xml:space="preserve"> se consideran las participaciones por separado de cada uno de los agentes económicos involucrados. En ambos casos, las participaciones de los agentes económicos no involucrados en la operación se mantienen sin variación.</w:t>
      </w:r>
    </w:p>
    <w:p w14:paraId="04A29E72" w14:textId="77777777" w:rsidR="00FA76A8" w:rsidRPr="00FC48DA" w:rsidRDefault="00FA76A8" w:rsidP="00FA76A8">
      <w:pPr>
        <w:pStyle w:val="Prrafodelista"/>
        <w:rPr>
          <w:rFonts w:ascii="Arial" w:eastAsia="Times New Roman" w:hAnsi="Arial" w:cs="Arial"/>
          <w:lang w:eastAsia="es-MX"/>
        </w:rPr>
      </w:pPr>
    </w:p>
    <w:p w14:paraId="6C61A734" w14:textId="77777777" w:rsidR="00FA76A8" w:rsidRPr="00FC48DA" w:rsidRDefault="00E916FC" w:rsidP="00FA76A8">
      <w:pPr>
        <w:pStyle w:val="Prrafodelista"/>
        <w:ind w:left="0" w:right="-1"/>
        <w:contextualSpacing w:val="0"/>
        <w:rPr>
          <w:rFonts w:ascii="Arial" w:eastAsia="Times New Roman" w:hAnsi="Arial" w:cs="Arial"/>
          <w:lang w:eastAsia="es-MX"/>
        </w:rPr>
      </w:pPr>
      <w:r w:rsidRPr="00FC48DA">
        <w:rPr>
          <w:rFonts w:ascii="Arial" w:eastAsia="Times New Roman" w:hAnsi="Arial" w:cs="Arial"/>
          <w:lang w:eastAsia="es-MX"/>
        </w:rPr>
        <w:t xml:space="preserve">Por ejemplo, en el caso particular de que 2 (dos) agentes económicos con participaciones </w:t>
      </w:r>
      <m:oMath>
        <m:sSub>
          <m:sSubPr>
            <m:ctrlPr>
              <w:rPr>
                <w:rFonts w:ascii="Cambria Math" w:eastAsia="Times New Roman" w:hAnsi="Cambria Math" w:cs="Arial"/>
                <w:lang w:eastAsia="es-MX"/>
              </w:rPr>
            </m:ctrlPr>
          </m:sSubPr>
          <m:e>
            <m:r>
              <w:rPr>
                <w:rFonts w:ascii="Cambria Math" w:eastAsia="Times New Roman" w:hAnsi="Cambria Math" w:cs="Arial"/>
                <w:lang w:eastAsia="es-MX"/>
              </w:rPr>
              <m:t>α</m:t>
            </m:r>
          </m:e>
          <m:sub>
            <m:r>
              <m:rPr>
                <m:sty m:val="p"/>
              </m:rPr>
              <w:rPr>
                <w:rFonts w:ascii="Cambria Math" w:eastAsia="Times New Roman" w:hAnsi="Cambria Math" w:cs="Arial"/>
                <w:lang w:eastAsia="es-MX"/>
              </w:rPr>
              <m:t>1</m:t>
            </m:r>
          </m:sub>
        </m:sSub>
      </m:oMath>
      <w:r w:rsidRPr="00FC48DA">
        <w:rPr>
          <w:rFonts w:ascii="Arial" w:eastAsia="Times New Roman" w:hAnsi="Arial" w:cs="Arial"/>
          <w:lang w:eastAsia="es-MX"/>
        </w:rPr>
        <w:t xml:space="preserve"> y </w:t>
      </w:r>
      <m:oMath>
        <m:sSub>
          <m:sSubPr>
            <m:ctrlPr>
              <w:rPr>
                <w:rFonts w:ascii="Cambria Math" w:eastAsia="Times New Roman" w:hAnsi="Cambria Math" w:cs="Arial"/>
                <w:lang w:eastAsia="es-MX"/>
              </w:rPr>
            </m:ctrlPr>
          </m:sSubPr>
          <m:e>
            <m:r>
              <w:rPr>
                <w:rFonts w:ascii="Cambria Math" w:eastAsia="Times New Roman" w:hAnsi="Cambria Math" w:cs="Arial"/>
                <w:lang w:eastAsia="es-MX"/>
              </w:rPr>
              <m:t>α</m:t>
            </m:r>
          </m:e>
          <m:sub>
            <m:r>
              <m:rPr>
                <m:sty m:val="p"/>
              </m:rPr>
              <w:rPr>
                <w:rFonts w:ascii="Cambria Math" w:eastAsia="Times New Roman" w:hAnsi="Cambria Math" w:cs="Arial"/>
                <w:lang w:eastAsia="es-MX"/>
              </w:rPr>
              <m:t>2</m:t>
            </m:r>
          </m:sub>
        </m:sSub>
      </m:oMath>
      <w:r w:rsidRPr="00FC48DA">
        <w:rPr>
          <w:rFonts w:ascii="Arial" w:eastAsia="Times New Roman" w:hAnsi="Arial" w:cs="Arial"/>
          <w:lang w:eastAsia="es-MX"/>
        </w:rPr>
        <w:t xml:space="preserve"> propusieran una concentración, la variación del IHH (</w:t>
      </w:r>
      <m:oMath>
        <m:r>
          <m:rPr>
            <m:sty m:val="p"/>
          </m:rPr>
          <w:rPr>
            <w:rFonts w:ascii="Cambria Math" w:eastAsia="Times New Roman" w:hAnsi="Cambria Math" w:cs="Arial"/>
            <w:lang w:eastAsia="es-MX"/>
          </w:rPr>
          <m:t>∆</m:t>
        </m:r>
        <m:r>
          <w:rPr>
            <w:rFonts w:ascii="Cambria Math" w:eastAsia="Times New Roman" w:hAnsi="Cambria Math" w:cs="Arial"/>
            <w:lang w:eastAsia="es-MX"/>
          </w:rPr>
          <m:t>IHH</m:t>
        </m:r>
      </m:oMath>
      <w:r w:rsidRPr="00FC48DA">
        <w:rPr>
          <w:rFonts w:ascii="Arial" w:eastAsia="Times New Roman" w:hAnsi="Arial" w:cs="Arial"/>
          <w:lang w:eastAsia="es-MX"/>
        </w:rPr>
        <w:t>) se calcularía como sigue:</w:t>
      </w:r>
    </w:p>
    <w:p w14:paraId="053D6C6F" w14:textId="77777777" w:rsidR="00FA76A8" w:rsidRPr="00FC48DA" w:rsidRDefault="00FA76A8" w:rsidP="00FA76A8">
      <w:pPr>
        <w:pStyle w:val="Prrafodelista"/>
        <w:ind w:left="0" w:right="-1"/>
        <w:contextualSpacing w:val="0"/>
        <w:rPr>
          <w:rFonts w:ascii="Arial" w:eastAsia="Times New Roman" w:hAnsi="Arial" w:cs="Arial"/>
          <w:lang w:eastAsia="es-MX"/>
        </w:rPr>
      </w:pPr>
    </w:p>
    <w:p w14:paraId="3231CD91" w14:textId="2CC928B6" w:rsidR="00BF4AC1" w:rsidRPr="00FC48DA" w:rsidRDefault="00FA76A8" w:rsidP="00FA76A8">
      <w:pPr>
        <w:pStyle w:val="Prrafodelista"/>
        <w:ind w:left="0" w:right="-1"/>
        <w:contextualSpacing w:val="0"/>
        <w:rPr>
          <w:rFonts w:ascii="Arial" w:eastAsia="Times New Roman" w:hAnsi="Arial" w:cs="Arial"/>
          <w:lang w:eastAsia="es-MX"/>
        </w:rPr>
      </w:pPr>
      <m:oMath>
        <m:r>
          <w:rPr>
            <w:rFonts w:ascii="Cambria Math" w:eastAsia="Times New Roman" w:hAnsi="Cambria Math" w:cs="Arial"/>
            <w:lang w:eastAsia="es-MX"/>
          </w:rPr>
          <m:t>∆IHH=IH</m:t>
        </m:r>
        <m:sSub>
          <m:sSubPr>
            <m:ctrlPr>
              <w:rPr>
                <w:rFonts w:ascii="Cambria Math" w:eastAsia="Times New Roman" w:hAnsi="Cambria Math" w:cs="Arial"/>
                <w:i/>
                <w:lang w:eastAsia="es-MX"/>
              </w:rPr>
            </m:ctrlPr>
          </m:sSubPr>
          <m:e>
            <m:r>
              <w:rPr>
                <w:rFonts w:ascii="Cambria Math" w:eastAsia="Times New Roman" w:hAnsi="Cambria Math" w:cs="Arial"/>
                <w:lang w:eastAsia="es-MX"/>
              </w:rPr>
              <m:t>H</m:t>
            </m:r>
          </m:e>
          <m:sub>
            <m:r>
              <w:rPr>
                <w:rFonts w:ascii="Cambria Math" w:eastAsia="Times New Roman" w:hAnsi="Cambria Math" w:cs="Arial"/>
                <w:lang w:eastAsia="es-MX"/>
              </w:rPr>
              <m:t>D</m:t>
            </m:r>
          </m:sub>
        </m:sSub>
        <m:r>
          <w:rPr>
            <w:rFonts w:ascii="Cambria Math" w:eastAsia="Times New Roman" w:hAnsi="Cambria Math" w:cs="Arial"/>
            <w:lang w:eastAsia="es-MX"/>
          </w:rPr>
          <m:t>-IH</m:t>
        </m:r>
        <m:sSub>
          <m:sSubPr>
            <m:ctrlPr>
              <w:rPr>
                <w:rFonts w:ascii="Cambria Math" w:eastAsia="Times New Roman" w:hAnsi="Cambria Math" w:cs="Arial"/>
                <w:i/>
                <w:lang w:eastAsia="es-MX"/>
              </w:rPr>
            </m:ctrlPr>
          </m:sSubPr>
          <m:e>
            <m:r>
              <w:rPr>
                <w:rFonts w:ascii="Cambria Math" w:eastAsia="Times New Roman" w:hAnsi="Cambria Math" w:cs="Arial"/>
                <w:lang w:eastAsia="es-MX"/>
              </w:rPr>
              <m:t>H</m:t>
            </m:r>
          </m:e>
          <m:sub>
            <m:r>
              <w:rPr>
                <w:rFonts w:ascii="Cambria Math" w:eastAsia="Times New Roman" w:hAnsi="Cambria Math" w:cs="Arial"/>
                <w:lang w:eastAsia="es-MX"/>
              </w:rPr>
              <m:t>A</m:t>
            </m:r>
          </m:sub>
        </m:sSub>
      </m:oMath>
      <w:r w:rsidR="00BF4AC1" w:rsidRPr="00FC48DA">
        <w:rPr>
          <w:rFonts w:ascii="Arial" w:eastAsia="Times New Roman" w:hAnsi="Arial" w:cs="Arial"/>
          <w:lang w:eastAsia="es-MX"/>
        </w:rPr>
        <w:t xml:space="preserve"> </w:t>
      </w:r>
    </w:p>
    <w:p w14:paraId="0B85E5C4" w14:textId="2B318E86" w:rsidR="00BF4AC1" w:rsidRPr="00FC48DA" w:rsidRDefault="00FA76A8" w:rsidP="00FA76A8">
      <w:pPr>
        <w:pStyle w:val="Prrafodelista"/>
        <w:ind w:left="0" w:right="-1"/>
        <w:contextualSpacing w:val="0"/>
        <w:rPr>
          <w:rFonts w:ascii="Arial" w:eastAsia="Times New Roman" w:hAnsi="Arial" w:cs="Arial"/>
          <w:lang w:eastAsia="es-MX"/>
        </w:rPr>
      </w:pPr>
      <m:oMath>
        <m:r>
          <w:rPr>
            <w:rFonts w:ascii="Cambria Math" w:eastAsia="Times New Roman" w:hAnsi="Cambria Math" w:cs="Arial"/>
            <w:lang w:eastAsia="es-MX"/>
          </w:rPr>
          <w:lastRenderedPageBreak/>
          <m:t>=</m:t>
        </m:r>
        <m:d>
          <m:dPr>
            <m:begChr m:val="["/>
            <m:endChr m:val="]"/>
            <m:ctrlPr>
              <w:rPr>
                <w:rFonts w:ascii="Cambria Math" w:eastAsia="Times New Roman" w:hAnsi="Cambria Math" w:cs="Arial"/>
                <w:i/>
                <w:lang w:eastAsia="es-MX"/>
              </w:rPr>
            </m:ctrlPr>
          </m:dPr>
          <m:e>
            <m:sSup>
              <m:sSupPr>
                <m:ctrlPr>
                  <w:rPr>
                    <w:rFonts w:ascii="Cambria Math" w:eastAsia="Times New Roman" w:hAnsi="Cambria Math" w:cs="Arial"/>
                    <w:i/>
                    <w:lang w:eastAsia="es-MX"/>
                  </w:rPr>
                </m:ctrlPr>
              </m:sSupPr>
              <m:e>
                <m:d>
                  <m:dPr>
                    <m:ctrlPr>
                      <w:rPr>
                        <w:rFonts w:ascii="Cambria Math" w:eastAsia="Times New Roman" w:hAnsi="Cambria Math" w:cs="Arial"/>
                        <w:i/>
                        <w:lang w:eastAsia="es-MX"/>
                      </w:rPr>
                    </m:ctrlPr>
                  </m:dPr>
                  <m:e>
                    <m:sSub>
                      <m:sSubPr>
                        <m:ctrlPr>
                          <w:rPr>
                            <w:rFonts w:ascii="Cambria Math" w:eastAsia="Times New Roman" w:hAnsi="Cambria Math" w:cs="Arial"/>
                            <w:i/>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1</m:t>
                        </m:r>
                      </m:sub>
                    </m:sSub>
                    <m:r>
                      <w:rPr>
                        <w:rFonts w:ascii="Cambria Math" w:eastAsia="Times New Roman" w:hAnsi="Cambria Math" w:cs="Arial"/>
                        <w:lang w:eastAsia="es-MX"/>
                      </w:rPr>
                      <m:t>+</m:t>
                    </m:r>
                    <m:sSub>
                      <m:sSubPr>
                        <m:ctrlPr>
                          <w:rPr>
                            <w:rFonts w:ascii="Cambria Math" w:eastAsia="Times New Roman" w:hAnsi="Cambria Math" w:cs="Arial"/>
                            <w:i/>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2</m:t>
                        </m:r>
                      </m:sub>
                    </m:sSub>
                  </m:e>
                </m:d>
              </m:e>
              <m:sup>
                <m:r>
                  <w:rPr>
                    <w:rFonts w:ascii="Cambria Math" w:eastAsia="Times New Roman" w:hAnsi="Cambria Math" w:cs="Arial"/>
                    <w:lang w:eastAsia="es-MX"/>
                  </w:rPr>
                  <m:t>2</m:t>
                </m:r>
              </m:sup>
            </m:s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3</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N</m:t>
                </m:r>
              </m:sub>
              <m:sup>
                <m:r>
                  <w:rPr>
                    <w:rFonts w:ascii="Cambria Math" w:eastAsia="Times New Roman" w:hAnsi="Cambria Math" w:cs="Arial"/>
                    <w:lang w:eastAsia="es-MX"/>
                  </w:rPr>
                  <m:t>2</m:t>
                </m:r>
              </m:sup>
            </m:sSubSup>
          </m:e>
        </m:d>
        <m:r>
          <w:rPr>
            <w:rFonts w:ascii="Cambria Math" w:eastAsia="Times New Roman" w:hAnsi="Cambria Math" w:cs="Arial"/>
            <w:lang w:eastAsia="es-MX"/>
          </w:rPr>
          <m:t>-</m:t>
        </m:r>
        <m:d>
          <m:dPr>
            <m:begChr m:val="["/>
            <m:endChr m:val="]"/>
            <m:ctrlPr>
              <w:rPr>
                <w:rFonts w:ascii="Cambria Math" w:eastAsia="Times New Roman" w:hAnsi="Cambria Math" w:cs="Arial"/>
                <w:i/>
                <w:lang w:eastAsia="es-MX"/>
              </w:rPr>
            </m:ctrlPr>
          </m:dPr>
          <m:e>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1</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2</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3</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N</m:t>
                </m:r>
              </m:sub>
              <m:sup>
                <m:r>
                  <w:rPr>
                    <w:rFonts w:ascii="Cambria Math" w:eastAsia="Times New Roman" w:hAnsi="Cambria Math" w:cs="Arial"/>
                    <w:lang w:eastAsia="es-MX"/>
                  </w:rPr>
                  <m:t>2</m:t>
                </m:r>
              </m:sup>
            </m:sSubSup>
          </m:e>
        </m:d>
      </m:oMath>
      <w:r w:rsidR="00BF4AC1" w:rsidRPr="00FC48DA">
        <w:rPr>
          <w:rFonts w:ascii="Arial" w:eastAsia="Times New Roman" w:hAnsi="Arial" w:cs="Arial"/>
          <w:lang w:eastAsia="es-MX"/>
        </w:rPr>
        <w:t xml:space="preserve"> </w:t>
      </w:r>
    </w:p>
    <w:p w14:paraId="75E68137" w14:textId="77777777" w:rsidR="00BF4AC1" w:rsidRPr="00FC48DA" w:rsidRDefault="00BF4AC1" w:rsidP="00FA76A8">
      <w:pPr>
        <w:pStyle w:val="Prrafodelista"/>
        <w:ind w:left="0" w:right="-1"/>
        <w:contextualSpacing w:val="0"/>
        <w:rPr>
          <w:rFonts w:ascii="Arial" w:eastAsia="Times New Roman" w:hAnsi="Arial" w:cs="Arial"/>
          <w:lang w:eastAsia="es-MX"/>
        </w:rPr>
      </w:pPr>
    </w:p>
    <w:p w14:paraId="5922DED1" w14:textId="1EBBF957" w:rsidR="00BF4AC1" w:rsidRPr="00FC48DA" w:rsidRDefault="00BF4AC1" w:rsidP="00FA76A8">
      <w:pPr>
        <w:pStyle w:val="Prrafodelista"/>
        <w:ind w:left="0" w:right="-1"/>
        <w:contextualSpacing w:val="0"/>
        <w:rPr>
          <w:rFonts w:ascii="Arial" w:eastAsia="Times New Roman" w:hAnsi="Arial" w:cs="Arial"/>
          <w:lang w:eastAsia="es-MX"/>
        </w:rPr>
      </w:pPr>
      <m:oMath>
        <m:r>
          <w:rPr>
            <w:rFonts w:ascii="Cambria Math" w:eastAsia="Times New Roman" w:hAnsi="Cambria Math" w:cs="Arial"/>
            <w:lang w:eastAsia="es-MX"/>
          </w:rPr>
          <m:t>=</m:t>
        </m:r>
        <m:d>
          <m:dPr>
            <m:begChr m:val="["/>
            <m:endChr m:val="]"/>
            <m:ctrlPr>
              <w:rPr>
                <w:rFonts w:ascii="Cambria Math" w:eastAsia="Times New Roman" w:hAnsi="Cambria Math" w:cs="Arial"/>
                <w:i/>
                <w:lang w:eastAsia="es-MX"/>
              </w:rPr>
            </m:ctrlPr>
          </m:dPr>
          <m:e>
            <m:d>
              <m:dPr>
                <m:ctrlPr>
                  <w:rPr>
                    <w:rFonts w:ascii="Cambria Math" w:eastAsia="Times New Roman" w:hAnsi="Cambria Math" w:cs="Arial"/>
                    <w:i/>
                    <w:lang w:eastAsia="es-MX"/>
                  </w:rPr>
                </m:ctrlPr>
              </m:dPr>
              <m:e>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1</m:t>
                    </m:r>
                  </m:sub>
                  <m:sup>
                    <m:r>
                      <w:rPr>
                        <w:rFonts w:ascii="Cambria Math" w:eastAsia="Times New Roman" w:hAnsi="Cambria Math" w:cs="Arial"/>
                        <w:lang w:eastAsia="es-MX"/>
                      </w:rPr>
                      <m:t>2</m:t>
                    </m:r>
                  </m:sup>
                </m:sSubSup>
                <m:r>
                  <w:rPr>
                    <w:rFonts w:ascii="Cambria Math" w:eastAsia="Times New Roman" w:hAnsi="Cambria Math" w:cs="Arial"/>
                    <w:lang w:eastAsia="es-MX"/>
                  </w:rPr>
                  <m:t>+2</m:t>
                </m:r>
                <m:sSub>
                  <m:sSubPr>
                    <m:ctrlPr>
                      <w:rPr>
                        <w:rFonts w:ascii="Cambria Math" w:eastAsia="Times New Roman" w:hAnsi="Cambria Math" w:cs="Arial"/>
                        <w:i/>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1</m:t>
                    </m:r>
                  </m:sub>
                </m:sSub>
                <m:sSub>
                  <m:sSubPr>
                    <m:ctrlPr>
                      <w:rPr>
                        <w:rFonts w:ascii="Cambria Math" w:eastAsia="Times New Roman" w:hAnsi="Cambria Math" w:cs="Arial"/>
                        <w:i/>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2</m:t>
                    </m:r>
                  </m:sub>
                </m:sSub>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2</m:t>
                    </m:r>
                  </m:sub>
                  <m:sup>
                    <m:r>
                      <w:rPr>
                        <w:rFonts w:ascii="Cambria Math" w:eastAsia="Times New Roman" w:hAnsi="Cambria Math" w:cs="Arial"/>
                        <w:lang w:eastAsia="es-MX"/>
                      </w:rPr>
                      <m:t>2</m:t>
                    </m:r>
                  </m:sup>
                </m:sSubSup>
              </m:e>
            </m:d>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3</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N</m:t>
                </m:r>
              </m:sub>
              <m:sup>
                <m:r>
                  <w:rPr>
                    <w:rFonts w:ascii="Cambria Math" w:eastAsia="Times New Roman" w:hAnsi="Cambria Math" w:cs="Arial"/>
                    <w:lang w:eastAsia="es-MX"/>
                  </w:rPr>
                  <m:t>2</m:t>
                </m:r>
              </m:sup>
            </m:sSubSup>
          </m:e>
        </m:d>
        <m:r>
          <w:rPr>
            <w:rFonts w:ascii="Cambria Math" w:eastAsia="Times New Roman" w:hAnsi="Cambria Math" w:cs="Arial"/>
            <w:lang w:eastAsia="es-MX"/>
          </w:rPr>
          <m:t>-</m:t>
        </m:r>
        <m:d>
          <m:dPr>
            <m:begChr m:val="["/>
            <m:endChr m:val="]"/>
            <m:ctrlPr>
              <w:rPr>
                <w:rFonts w:ascii="Cambria Math" w:eastAsia="Times New Roman" w:hAnsi="Cambria Math" w:cs="Arial"/>
                <w:i/>
                <w:lang w:eastAsia="es-MX"/>
              </w:rPr>
            </m:ctrlPr>
          </m:dPr>
          <m:e>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1</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2</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3</m:t>
                </m:r>
              </m:sub>
              <m:sup>
                <m:r>
                  <w:rPr>
                    <w:rFonts w:ascii="Cambria Math" w:eastAsia="Times New Roman" w:hAnsi="Cambria Math" w:cs="Arial"/>
                    <w:lang w:eastAsia="es-MX"/>
                  </w:rPr>
                  <m:t>2</m:t>
                </m:r>
              </m:sup>
            </m:sSubSup>
            <m:r>
              <w:rPr>
                <w:rFonts w:ascii="Cambria Math" w:eastAsia="Times New Roman" w:hAnsi="Cambria Math" w:cs="Arial"/>
                <w:lang w:eastAsia="es-MX"/>
              </w:rPr>
              <m:t>+…+</m:t>
            </m:r>
            <m:sSubSup>
              <m:sSubSupPr>
                <m:ctrlPr>
                  <w:rPr>
                    <w:rFonts w:ascii="Cambria Math" w:eastAsia="Times New Roman" w:hAnsi="Cambria Math" w:cs="Arial"/>
                    <w:i/>
                    <w:lang w:eastAsia="es-MX"/>
                  </w:rPr>
                </m:ctrlPr>
              </m:sSubSupPr>
              <m:e>
                <m:r>
                  <w:rPr>
                    <w:rFonts w:ascii="Cambria Math" w:eastAsia="Times New Roman" w:hAnsi="Cambria Math" w:cs="Arial"/>
                    <w:lang w:eastAsia="es-MX"/>
                  </w:rPr>
                  <m:t>α</m:t>
                </m:r>
              </m:e>
              <m:sub>
                <m:r>
                  <w:rPr>
                    <w:rFonts w:ascii="Cambria Math" w:eastAsia="Times New Roman" w:hAnsi="Cambria Math" w:cs="Arial"/>
                    <w:lang w:eastAsia="es-MX"/>
                  </w:rPr>
                  <m:t>N</m:t>
                </m:r>
              </m:sub>
              <m:sup>
                <m:r>
                  <w:rPr>
                    <w:rFonts w:ascii="Cambria Math" w:eastAsia="Times New Roman" w:hAnsi="Cambria Math" w:cs="Arial"/>
                    <w:lang w:eastAsia="es-MX"/>
                  </w:rPr>
                  <m:t>2</m:t>
                </m:r>
              </m:sup>
            </m:sSubSup>
          </m:e>
        </m:d>
      </m:oMath>
      <w:r w:rsidRPr="00FC48DA">
        <w:rPr>
          <w:rFonts w:ascii="Arial" w:eastAsia="Times New Roman" w:hAnsi="Arial" w:cs="Arial"/>
          <w:lang w:eastAsia="es-MX"/>
        </w:rPr>
        <w:t xml:space="preserve"> </w:t>
      </w:r>
    </w:p>
    <w:p w14:paraId="0EF0048C" w14:textId="77777777" w:rsidR="00BF4AC1" w:rsidRPr="00FC48DA" w:rsidRDefault="00BF4AC1" w:rsidP="00FA76A8">
      <w:pPr>
        <w:pStyle w:val="Prrafodelista"/>
        <w:ind w:left="0" w:right="-1"/>
        <w:contextualSpacing w:val="0"/>
        <w:rPr>
          <w:rFonts w:ascii="Arial" w:eastAsia="Times New Roman" w:hAnsi="Arial" w:cs="Arial"/>
          <w:lang w:eastAsia="es-MX"/>
        </w:rPr>
      </w:pPr>
    </w:p>
    <w:p w14:paraId="5FD4D0FB" w14:textId="6D2C576D" w:rsidR="00FA76A8" w:rsidRPr="00FC48DA" w:rsidRDefault="00BF4AC1" w:rsidP="00FA76A8">
      <w:pPr>
        <w:pStyle w:val="Prrafodelista"/>
        <w:ind w:left="0" w:right="-1"/>
        <w:contextualSpacing w:val="0"/>
        <w:rPr>
          <w:rFonts w:ascii="Arial" w:eastAsia="Times New Roman" w:hAnsi="Arial" w:cs="Arial"/>
          <w:lang w:eastAsia="es-MX"/>
        </w:rPr>
      </w:pPr>
      <m:oMathPara>
        <m:oMathParaPr>
          <m:jc m:val="left"/>
        </m:oMathParaPr>
        <m:oMath>
          <m:r>
            <w:rPr>
              <w:rFonts w:ascii="Cambria Math" w:eastAsia="Times New Roman" w:hAnsi="Cambria Math" w:cs="Arial"/>
              <w:lang w:eastAsia="es-MX"/>
            </w:rPr>
            <m:t>=2</m:t>
          </m:r>
          <m:sSub>
            <m:sSubPr>
              <m:ctrlPr>
                <w:rPr>
                  <w:rFonts w:ascii="Cambria Math" w:eastAsia="Times New Roman" w:hAnsi="Cambria Math" w:cs="Arial"/>
                  <w:i/>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1</m:t>
              </m:r>
            </m:sub>
          </m:sSub>
          <m:sSub>
            <m:sSubPr>
              <m:ctrlPr>
                <w:rPr>
                  <w:rFonts w:ascii="Cambria Math" w:eastAsia="Times New Roman" w:hAnsi="Cambria Math" w:cs="Arial"/>
                  <w:i/>
                  <w:lang w:eastAsia="es-MX"/>
                </w:rPr>
              </m:ctrlPr>
            </m:sSubPr>
            <m:e>
              <m:r>
                <w:rPr>
                  <w:rFonts w:ascii="Cambria Math" w:eastAsia="Times New Roman" w:hAnsi="Cambria Math" w:cs="Arial"/>
                  <w:lang w:eastAsia="es-MX"/>
                </w:rPr>
                <m:t>α</m:t>
              </m:r>
            </m:e>
            <m:sub>
              <m:r>
                <w:rPr>
                  <w:rFonts w:ascii="Cambria Math" w:eastAsia="Times New Roman" w:hAnsi="Cambria Math" w:cs="Arial"/>
                  <w:lang w:eastAsia="es-MX"/>
                </w:rPr>
                <m:t>2</m:t>
              </m:r>
            </m:sub>
          </m:sSub>
        </m:oMath>
      </m:oMathPara>
    </w:p>
    <w:p w14:paraId="4A577889" w14:textId="172D7733" w:rsidR="00FA76A8" w:rsidRPr="00FC48DA" w:rsidRDefault="00FA76A8" w:rsidP="00FA76A8">
      <w:pPr>
        <w:pStyle w:val="Prrafodelista"/>
        <w:ind w:left="0" w:right="-1"/>
        <w:contextualSpacing w:val="0"/>
        <w:rPr>
          <w:rFonts w:ascii="Arial" w:eastAsia="Times New Roman" w:hAnsi="Arial" w:cs="Arial"/>
          <w:lang w:eastAsia="es-MX"/>
        </w:rPr>
      </w:pPr>
    </w:p>
    <w:p w14:paraId="53ADFF4C" w14:textId="098703A1" w:rsidR="00E916FC" w:rsidRPr="00FC48DA" w:rsidRDefault="00E916FC" w:rsidP="00FA76A8">
      <w:pPr>
        <w:pStyle w:val="Prrafodelista"/>
        <w:ind w:left="0" w:right="-1"/>
        <w:contextualSpacing w:val="0"/>
        <w:rPr>
          <w:rFonts w:ascii="Arial" w:hAnsi="Arial" w:cs="Arial"/>
        </w:rPr>
      </w:pPr>
      <w:bookmarkStart w:id="2" w:name="_Hlk80120284"/>
      <w:r w:rsidRPr="00FC48DA">
        <w:rPr>
          <w:rFonts w:ascii="Arial" w:hAnsi="Arial" w:cs="Arial"/>
        </w:rPr>
        <w:t xml:space="preserve">Es decir, para el ejemplo que se presenta, la variación del IHH se puede obtener de la diferencia entre el valor del </w:t>
      </w:r>
      <m:oMath>
        <m:r>
          <w:rPr>
            <w:rFonts w:ascii="Cambria Math" w:hAnsi="Cambria Math" w:cs="Arial"/>
          </w:rPr>
          <m:t>I</m:t>
        </m:r>
        <m:sSub>
          <m:sSubPr>
            <m:ctrlPr>
              <w:rPr>
                <w:rFonts w:ascii="Cambria Math" w:hAnsi="Cambria Math" w:cs="Arial"/>
                <w:i/>
              </w:rPr>
            </m:ctrlPr>
          </m:sSubPr>
          <m:e>
            <m:r>
              <w:rPr>
                <w:rFonts w:ascii="Cambria Math" w:hAnsi="Cambria Math" w:cs="Arial"/>
              </w:rPr>
              <m:t>HH</m:t>
            </m:r>
          </m:e>
          <m:sub>
            <m:r>
              <w:rPr>
                <w:rFonts w:ascii="Cambria Math" w:hAnsi="Cambria Math" w:cs="Arial"/>
              </w:rPr>
              <m:t>D</m:t>
            </m:r>
          </m:sub>
        </m:sSub>
      </m:oMath>
      <w:r w:rsidRPr="00FC48DA">
        <w:rPr>
          <w:rFonts w:ascii="Arial" w:hAnsi="Arial" w:cs="Arial"/>
        </w:rPr>
        <w:t xml:space="preserve"> y del </w:t>
      </w:r>
      <m:oMath>
        <m:r>
          <w:rPr>
            <w:rFonts w:ascii="Cambria Math" w:hAnsi="Cambria Math" w:cs="Arial"/>
          </w:rPr>
          <m:t>I</m:t>
        </m:r>
        <m:sSub>
          <m:sSubPr>
            <m:ctrlPr>
              <w:rPr>
                <w:rFonts w:ascii="Cambria Math" w:hAnsi="Cambria Math" w:cs="Arial"/>
                <w:i/>
              </w:rPr>
            </m:ctrlPr>
          </m:sSubPr>
          <m:e>
            <m:r>
              <w:rPr>
                <w:rFonts w:ascii="Cambria Math" w:hAnsi="Cambria Math" w:cs="Arial"/>
              </w:rPr>
              <m:t>HH</m:t>
            </m:r>
          </m:e>
          <m:sub>
            <m:r>
              <w:rPr>
                <w:rFonts w:ascii="Cambria Math" w:hAnsi="Cambria Math" w:cs="Arial"/>
              </w:rPr>
              <m:t>A</m:t>
            </m:r>
          </m:sub>
        </m:sSub>
      </m:oMath>
      <w:r w:rsidRPr="00FC48DA">
        <w:rPr>
          <w:rFonts w:ascii="Arial" w:eastAsiaTheme="minorEastAsia" w:hAnsi="Arial" w:cs="Arial"/>
        </w:rPr>
        <w:t xml:space="preserve"> o de multiplicar por dos el producto de las participaciones</w:t>
      </w:r>
      <w:r w:rsidR="002E30CA" w:rsidRPr="00FC48DA">
        <w:rPr>
          <w:rFonts w:ascii="Arial" w:eastAsiaTheme="minorEastAsia" w:hAnsi="Arial" w:cs="Arial"/>
        </w:rPr>
        <w:t xml:space="preserve"> previas a la concentración</w:t>
      </w:r>
      <w:r w:rsidRPr="00FC48DA">
        <w:rPr>
          <w:rFonts w:ascii="Arial" w:eastAsiaTheme="minorEastAsia" w:hAnsi="Arial" w:cs="Arial"/>
        </w:rPr>
        <w:t xml:space="preserve"> de los </w:t>
      </w:r>
      <w:r w:rsidRPr="00FC48DA">
        <w:rPr>
          <w:rFonts w:ascii="Arial" w:hAnsi="Arial" w:cs="Arial"/>
        </w:rPr>
        <w:t>2 (dos) agentes económicos</w:t>
      </w:r>
      <w:r w:rsidRPr="00FC48DA">
        <w:rPr>
          <w:rFonts w:ascii="Arial" w:eastAsiaTheme="minorEastAsia" w:hAnsi="Arial" w:cs="Arial"/>
        </w:rPr>
        <w:t xml:space="preserve"> que se concentran</w:t>
      </w:r>
      <w:bookmarkEnd w:id="2"/>
      <w:r w:rsidRPr="00FC48DA">
        <w:rPr>
          <w:rFonts w:ascii="Arial" w:eastAsiaTheme="minorEastAsia" w:hAnsi="Arial" w:cs="Arial"/>
        </w:rPr>
        <w:t>.</w:t>
      </w:r>
    </w:p>
    <w:p w14:paraId="381F672F" w14:textId="7E8D0B1C" w:rsidR="00E916FC" w:rsidRPr="00FC48DA" w:rsidRDefault="00E916FC" w:rsidP="00E916FC">
      <w:pPr>
        <w:shd w:val="clear" w:color="auto" w:fill="FFFFFF"/>
        <w:ind w:right="-1"/>
        <w:rPr>
          <w:rFonts w:cs="Arial"/>
        </w:rPr>
      </w:pPr>
    </w:p>
    <w:p w14:paraId="27C647D3" w14:textId="3112DA3B" w:rsidR="00E916FC" w:rsidRPr="00FC48DA" w:rsidRDefault="00E916FC" w:rsidP="00BF4AC1">
      <w:pPr>
        <w:pStyle w:val="Prrafodelista"/>
        <w:numPr>
          <w:ilvl w:val="0"/>
          <w:numId w:val="25"/>
        </w:numPr>
        <w:ind w:left="0" w:right="-1" w:firstLine="0"/>
        <w:rPr>
          <w:rFonts w:ascii="Arial" w:hAnsi="Arial" w:cs="Arial"/>
        </w:rPr>
      </w:pPr>
      <w:r w:rsidRPr="00FC48DA">
        <w:rPr>
          <w:rFonts w:ascii="Arial" w:hAnsi="Arial" w:cs="Arial"/>
        </w:rPr>
        <w:t xml:space="preserve">El Instituto considerará que es poco probable que una </w:t>
      </w:r>
      <w:r w:rsidR="00BF4AC1" w:rsidRPr="00FC48DA">
        <w:rPr>
          <w:rFonts w:ascii="Arial" w:hAnsi="Arial" w:cs="Arial"/>
        </w:rPr>
        <w:t>concentración</w:t>
      </w:r>
      <w:r w:rsidRPr="00FC48DA">
        <w:rPr>
          <w:rFonts w:ascii="Arial" w:hAnsi="Arial" w:cs="Arial"/>
        </w:rPr>
        <w:t xml:space="preserve"> tiene por objeto o efecto obstaculizar, disminuir, dañar o impedir la competencia y la libre concurrencia, cuando posterior a </w:t>
      </w:r>
      <w:r w:rsidR="00001E4D" w:rsidRPr="00FC48DA">
        <w:rPr>
          <w:rFonts w:ascii="Arial" w:hAnsi="Arial" w:cs="Arial"/>
        </w:rPr>
        <w:t>ésta</w:t>
      </w:r>
      <w:r w:rsidRPr="00FC48DA">
        <w:rPr>
          <w:rFonts w:ascii="Arial" w:hAnsi="Arial" w:cs="Arial"/>
        </w:rPr>
        <w:t xml:space="preserve"> suceda alguna de las siguientes situaciones:</w:t>
      </w:r>
    </w:p>
    <w:p w14:paraId="7CBE23A5" w14:textId="77777777" w:rsidR="00E916FC" w:rsidRPr="00FC48DA" w:rsidRDefault="00E916FC" w:rsidP="00E916FC">
      <w:pPr>
        <w:pStyle w:val="Default"/>
        <w:spacing w:line="276" w:lineRule="auto"/>
        <w:ind w:left="720" w:right="-1"/>
        <w:jc w:val="both"/>
        <w:rPr>
          <w:rFonts w:ascii="Arial" w:hAnsi="Arial" w:cs="Arial"/>
          <w:color w:val="auto"/>
          <w:sz w:val="22"/>
          <w:szCs w:val="22"/>
        </w:rPr>
      </w:pPr>
    </w:p>
    <w:p w14:paraId="256A6169" w14:textId="3858469A" w:rsidR="00E916FC" w:rsidRPr="00FC48DA" w:rsidRDefault="00E916FC" w:rsidP="00E916FC">
      <w:pPr>
        <w:pStyle w:val="Default"/>
        <w:numPr>
          <w:ilvl w:val="0"/>
          <w:numId w:val="21"/>
        </w:numPr>
        <w:spacing w:after="120" w:line="276" w:lineRule="auto"/>
        <w:ind w:left="851" w:hanging="357"/>
        <w:jc w:val="both"/>
        <w:rPr>
          <w:rFonts w:ascii="Arial" w:hAnsi="Arial" w:cs="Arial"/>
          <w:color w:val="auto"/>
          <w:sz w:val="22"/>
          <w:szCs w:val="22"/>
        </w:rPr>
      </w:pPr>
      <w:r w:rsidRPr="00FC48DA">
        <w:rPr>
          <w:rFonts w:ascii="Arial" w:hAnsi="Arial" w:cs="Arial"/>
          <w:color w:val="auto"/>
          <w:sz w:val="22"/>
          <w:szCs w:val="22"/>
        </w:rPr>
        <w:t xml:space="preserve">El grado de concentración sea bajo: </w:t>
      </w:r>
      <m:oMath>
        <m:r>
          <w:rPr>
            <w:rFonts w:ascii="Cambria Math" w:hAnsi="Cambria Math" w:cs="Arial"/>
            <w:color w:val="auto"/>
            <w:sz w:val="22"/>
            <w:szCs w:val="22"/>
          </w:rPr>
          <m:t>IHH ≤ 2,000</m:t>
        </m:r>
      </m:oMath>
      <w:r w:rsidRPr="00FC48DA">
        <w:rPr>
          <w:rFonts w:ascii="Arial" w:hAnsi="Arial" w:cs="Arial"/>
          <w:color w:val="auto"/>
          <w:sz w:val="22"/>
          <w:szCs w:val="22"/>
        </w:rPr>
        <w:t xml:space="preserve"> puntos;</w:t>
      </w:r>
    </w:p>
    <w:p w14:paraId="7D27C558" w14:textId="6F97A0C6" w:rsidR="00E916FC" w:rsidRPr="00FC48DA" w:rsidRDefault="00E916FC" w:rsidP="00E916FC">
      <w:pPr>
        <w:pStyle w:val="Default"/>
        <w:numPr>
          <w:ilvl w:val="0"/>
          <w:numId w:val="21"/>
        </w:numPr>
        <w:spacing w:after="120" w:line="276" w:lineRule="auto"/>
        <w:ind w:left="851" w:hanging="357"/>
        <w:jc w:val="both"/>
        <w:rPr>
          <w:rFonts w:ascii="Arial" w:hAnsi="Arial" w:cs="Arial"/>
          <w:color w:val="auto"/>
          <w:sz w:val="22"/>
          <w:szCs w:val="22"/>
        </w:rPr>
      </w:pPr>
      <w:r w:rsidRPr="00FC48DA">
        <w:rPr>
          <w:rFonts w:ascii="Arial" w:hAnsi="Arial" w:cs="Arial"/>
          <w:color w:val="auto"/>
          <w:sz w:val="22"/>
          <w:szCs w:val="22"/>
        </w:rPr>
        <w:t xml:space="preserve">El grado de concentración sea moderado: </w:t>
      </w:r>
      <m:oMath>
        <m:r>
          <w:rPr>
            <w:rFonts w:ascii="Cambria Math" w:hAnsi="Cambria Math" w:cs="Arial"/>
            <w:color w:val="auto"/>
            <w:sz w:val="22"/>
            <w:szCs w:val="22"/>
          </w:rPr>
          <m:t>2,000 &lt; IHH ≤ 2,500</m:t>
        </m:r>
      </m:oMath>
      <w:r w:rsidR="00C34475" w:rsidRPr="00FC48DA">
        <w:rPr>
          <w:rFonts w:ascii="Arial" w:hAnsi="Arial" w:cs="Arial"/>
          <w:color w:val="auto"/>
          <w:sz w:val="22"/>
          <w:szCs w:val="22"/>
        </w:rPr>
        <w:t>,</w:t>
      </w:r>
      <w:r w:rsidRPr="00FC48DA">
        <w:rPr>
          <w:rFonts w:ascii="Arial" w:hAnsi="Arial" w:cs="Arial"/>
          <w:color w:val="auto"/>
          <w:sz w:val="22"/>
          <w:szCs w:val="22"/>
        </w:rPr>
        <w:t xml:space="preserve"> y</w:t>
      </w:r>
      <w:r w:rsidRPr="00FC48DA">
        <w:rPr>
          <w:rFonts w:ascii="Arial" w:eastAsiaTheme="minorEastAsia" w:hAnsi="Arial" w:cs="Arial"/>
          <w:color w:val="auto"/>
          <w:sz w:val="22"/>
          <w:szCs w:val="22"/>
        </w:rPr>
        <w:t xml:space="preserve"> se tenga una </w:t>
      </w:r>
      <m:oMath>
        <m:r>
          <w:rPr>
            <w:rFonts w:ascii="Cambria Math" w:eastAsiaTheme="minorEastAsia" w:hAnsi="Cambria Math" w:cs="Arial"/>
            <w:color w:val="auto"/>
            <w:sz w:val="22"/>
            <w:szCs w:val="22"/>
          </w:rPr>
          <m:t>∆IHH ≤ 150</m:t>
        </m:r>
      </m:oMath>
      <w:r w:rsidRPr="00FC48DA">
        <w:rPr>
          <w:rFonts w:ascii="Arial" w:hAnsi="Arial" w:cs="Arial"/>
          <w:color w:val="auto"/>
          <w:sz w:val="22"/>
          <w:szCs w:val="22"/>
        </w:rPr>
        <w:t xml:space="preserve"> puntos</w:t>
      </w:r>
      <w:r w:rsidR="00C34475" w:rsidRPr="00FC48DA">
        <w:rPr>
          <w:rFonts w:ascii="Arial" w:hAnsi="Arial" w:cs="Arial"/>
          <w:color w:val="auto"/>
          <w:sz w:val="22"/>
          <w:szCs w:val="22"/>
        </w:rPr>
        <w:t>,</w:t>
      </w:r>
      <w:r w:rsidRPr="00FC48DA">
        <w:rPr>
          <w:rFonts w:ascii="Arial" w:hAnsi="Arial" w:cs="Arial"/>
          <w:color w:val="auto"/>
          <w:sz w:val="22"/>
          <w:szCs w:val="22"/>
        </w:rPr>
        <w:t xml:space="preserve"> o</w:t>
      </w:r>
    </w:p>
    <w:p w14:paraId="79CAB6C1" w14:textId="26FFAFF6" w:rsidR="00E916FC" w:rsidRPr="00FC48DA" w:rsidRDefault="00E916FC" w:rsidP="00E916FC">
      <w:pPr>
        <w:pStyle w:val="Default"/>
        <w:numPr>
          <w:ilvl w:val="0"/>
          <w:numId w:val="21"/>
        </w:numPr>
        <w:spacing w:line="276" w:lineRule="auto"/>
        <w:ind w:left="851" w:right="-1"/>
        <w:jc w:val="both"/>
        <w:rPr>
          <w:rFonts w:ascii="Arial" w:hAnsi="Arial" w:cs="Arial"/>
          <w:color w:val="auto"/>
          <w:sz w:val="22"/>
          <w:szCs w:val="22"/>
        </w:rPr>
      </w:pPr>
      <w:r w:rsidRPr="00FC48DA">
        <w:rPr>
          <w:rFonts w:ascii="Arial" w:hAnsi="Arial" w:cs="Arial"/>
          <w:color w:val="auto"/>
          <w:sz w:val="22"/>
          <w:szCs w:val="22"/>
        </w:rPr>
        <w:t xml:space="preserve">El grado de concentración sea elevado: </w:t>
      </w:r>
      <m:oMath>
        <m:r>
          <w:rPr>
            <w:rFonts w:ascii="Cambria Math" w:hAnsi="Cambria Math" w:cs="Arial"/>
            <w:color w:val="auto"/>
            <w:sz w:val="22"/>
            <w:szCs w:val="22"/>
          </w:rPr>
          <m:t>IHH &gt; 2,500</m:t>
        </m:r>
      </m:oMath>
      <w:r w:rsidR="00C34475" w:rsidRPr="00FC48DA">
        <w:rPr>
          <w:rFonts w:ascii="Arial" w:hAnsi="Arial" w:cs="Arial"/>
          <w:color w:val="auto"/>
          <w:sz w:val="22"/>
          <w:szCs w:val="22"/>
        </w:rPr>
        <w:t>,</w:t>
      </w:r>
      <w:r w:rsidRPr="00FC48DA">
        <w:rPr>
          <w:rFonts w:ascii="Arial" w:hAnsi="Arial" w:cs="Arial"/>
          <w:color w:val="auto"/>
          <w:sz w:val="22"/>
          <w:szCs w:val="22"/>
        </w:rPr>
        <w:t xml:space="preserve"> y </w:t>
      </w:r>
      <w:r w:rsidRPr="00FC48DA">
        <w:rPr>
          <w:rFonts w:ascii="Arial" w:eastAsiaTheme="minorEastAsia" w:hAnsi="Arial" w:cs="Arial"/>
          <w:color w:val="auto"/>
          <w:sz w:val="22"/>
          <w:szCs w:val="22"/>
        </w:rPr>
        <w:t xml:space="preserve">se tenga una </w:t>
      </w:r>
      <m:oMath>
        <m:r>
          <w:rPr>
            <w:rFonts w:ascii="Cambria Math" w:eastAsiaTheme="minorEastAsia" w:hAnsi="Cambria Math" w:cs="Arial"/>
            <w:color w:val="auto"/>
            <w:sz w:val="22"/>
            <w:szCs w:val="22"/>
          </w:rPr>
          <m:t xml:space="preserve">∆IHH ≤ 100 </m:t>
        </m:r>
      </m:oMath>
      <w:r w:rsidRPr="00FC48DA">
        <w:rPr>
          <w:rFonts w:ascii="Arial" w:hAnsi="Arial" w:cs="Arial"/>
          <w:color w:val="auto"/>
          <w:sz w:val="22"/>
          <w:szCs w:val="22"/>
        </w:rPr>
        <w:t>puntos.</w:t>
      </w:r>
    </w:p>
    <w:p w14:paraId="25DB5E16" w14:textId="77777777" w:rsidR="00E916FC" w:rsidRPr="00FC48DA" w:rsidRDefault="00E916FC" w:rsidP="00E916FC">
      <w:pPr>
        <w:autoSpaceDE w:val="0"/>
        <w:autoSpaceDN w:val="0"/>
        <w:adjustRightInd w:val="0"/>
        <w:ind w:right="-1"/>
        <w:rPr>
          <w:rFonts w:cs="Arial"/>
        </w:rPr>
      </w:pPr>
    </w:p>
    <w:p w14:paraId="6BB54A08" w14:textId="11104411" w:rsidR="00E916FC" w:rsidRPr="00FC48DA" w:rsidRDefault="00E916FC" w:rsidP="00001E4D">
      <w:pPr>
        <w:pStyle w:val="Prrafodelista"/>
        <w:numPr>
          <w:ilvl w:val="0"/>
          <w:numId w:val="25"/>
        </w:numPr>
        <w:ind w:left="0" w:right="-1" w:firstLine="0"/>
        <w:rPr>
          <w:rFonts w:ascii="Arial" w:eastAsia="Times New Roman" w:hAnsi="Arial" w:cs="Arial"/>
          <w:lang w:eastAsia="es-MX"/>
        </w:rPr>
      </w:pPr>
      <w:r w:rsidRPr="00FC48DA">
        <w:rPr>
          <w:rFonts w:ascii="Arial" w:hAnsi="Arial" w:cs="Arial"/>
        </w:rPr>
        <w:t xml:space="preserve">Aun cuando una </w:t>
      </w:r>
      <w:r w:rsidR="00001E4D" w:rsidRPr="00FC48DA">
        <w:rPr>
          <w:rFonts w:ascii="Arial" w:hAnsi="Arial" w:cs="Arial"/>
        </w:rPr>
        <w:t>concent</w:t>
      </w:r>
      <w:r w:rsidRPr="00FC48DA">
        <w:rPr>
          <w:rFonts w:ascii="Arial" w:hAnsi="Arial" w:cs="Arial"/>
        </w:rPr>
        <w:t xml:space="preserve">ración implique valores del IHH y de la  </w:t>
      </w:r>
      <m:oMath>
        <m:r>
          <m:rPr>
            <m:sty m:val="p"/>
          </m:rPr>
          <w:rPr>
            <w:rFonts w:ascii="Cambria Math" w:hAnsi="Cambria Math" w:cs="Arial"/>
          </w:rPr>
          <m:t>∆IHH</m:t>
        </m:r>
      </m:oMath>
      <w:r w:rsidRPr="00FC48DA">
        <w:rPr>
          <w:rFonts w:ascii="Arial" w:hAnsi="Arial" w:cs="Arial"/>
        </w:rPr>
        <w:t xml:space="preserve"> que se ubiquen dentro de los umbrales establecidos en el numeral anterior, el Instituto podrá considerar que existen potenciales riesgos de que ésta tiene por objeto o efecto obstaculizar, disminuir, dañar o impedir la competencia y la libre concurrencia, si sucede </w:t>
      </w:r>
      <w:r w:rsidRPr="00FC48DA">
        <w:rPr>
          <w:rFonts w:ascii="Arial" w:eastAsia="Times New Roman" w:hAnsi="Arial" w:cs="Arial"/>
          <w:lang w:eastAsia="es-MX"/>
        </w:rPr>
        <w:t>una o varias de las siguientes circunstancias:</w:t>
      </w:r>
    </w:p>
    <w:p w14:paraId="24E5FF28" w14:textId="77777777" w:rsidR="00E916FC" w:rsidRPr="00FC48DA" w:rsidRDefault="00E916FC" w:rsidP="00E916FC">
      <w:pPr>
        <w:pStyle w:val="Prrafodelista"/>
        <w:ind w:right="-1"/>
        <w:rPr>
          <w:rFonts w:ascii="Arial" w:eastAsia="Times New Roman" w:hAnsi="Arial" w:cs="Arial"/>
          <w:lang w:eastAsia="es-MX"/>
        </w:rPr>
      </w:pPr>
    </w:p>
    <w:p w14:paraId="267A6AE3" w14:textId="384A5684" w:rsidR="00E916FC" w:rsidRPr="00FC48DA" w:rsidRDefault="00E916FC" w:rsidP="00001E4D">
      <w:pPr>
        <w:pStyle w:val="Prrafodelista"/>
        <w:numPr>
          <w:ilvl w:val="0"/>
          <w:numId w:val="22"/>
        </w:numPr>
        <w:autoSpaceDE w:val="0"/>
        <w:autoSpaceDN w:val="0"/>
        <w:adjustRightInd w:val="0"/>
        <w:ind w:left="426" w:hanging="357"/>
        <w:contextualSpacing w:val="0"/>
        <w:rPr>
          <w:rFonts w:ascii="Arial" w:eastAsia="Times New Roman" w:hAnsi="Arial" w:cs="Arial"/>
          <w:lang w:eastAsia="es-MX"/>
        </w:rPr>
      </w:pPr>
      <w:r w:rsidRPr="00FC48DA">
        <w:rPr>
          <w:rFonts w:ascii="Arial" w:eastAsia="Times New Roman" w:hAnsi="Arial" w:cs="Arial"/>
          <w:lang w:eastAsia="es-MX"/>
        </w:rPr>
        <w:t>Los agentes económicos involucrados en la operación t</w:t>
      </w:r>
      <w:r w:rsidRPr="00FC48DA">
        <w:rPr>
          <w:rFonts w:ascii="Arial" w:hAnsi="Arial" w:cs="Arial"/>
        </w:rPr>
        <w:t>engan o puedan llegar a adquirir poder sustancial en mercados relacionados;</w:t>
      </w:r>
    </w:p>
    <w:p w14:paraId="16E5CD4A" w14:textId="77777777" w:rsidR="00001E4D" w:rsidRPr="00FC48DA" w:rsidRDefault="00001E4D" w:rsidP="00001E4D">
      <w:pPr>
        <w:pStyle w:val="Prrafodelista"/>
        <w:autoSpaceDE w:val="0"/>
        <w:autoSpaceDN w:val="0"/>
        <w:adjustRightInd w:val="0"/>
        <w:ind w:left="426"/>
        <w:contextualSpacing w:val="0"/>
        <w:rPr>
          <w:rFonts w:ascii="Arial" w:eastAsia="Times New Roman" w:hAnsi="Arial" w:cs="Arial"/>
          <w:lang w:eastAsia="es-MX"/>
        </w:rPr>
      </w:pPr>
    </w:p>
    <w:p w14:paraId="416359A3" w14:textId="56358D74" w:rsidR="00E916FC" w:rsidRPr="00FC48DA" w:rsidRDefault="00E916FC" w:rsidP="00001E4D">
      <w:pPr>
        <w:pStyle w:val="Prrafodelista"/>
        <w:numPr>
          <w:ilvl w:val="0"/>
          <w:numId w:val="22"/>
        </w:numPr>
        <w:autoSpaceDE w:val="0"/>
        <w:autoSpaceDN w:val="0"/>
        <w:adjustRightInd w:val="0"/>
        <w:ind w:left="426" w:hanging="357"/>
        <w:contextualSpacing w:val="0"/>
        <w:rPr>
          <w:rFonts w:ascii="Arial" w:eastAsia="Times New Roman" w:hAnsi="Arial" w:cs="Arial"/>
          <w:lang w:eastAsia="es-MX"/>
        </w:rPr>
      </w:pPr>
      <w:r w:rsidRPr="00FC48DA">
        <w:rPr>
          <w:rFonts w:ascii="Arial" w:eastAsia="Times New Roman" w:hAnsi="Arial" w:cs="Arial"/>
          <w:lang w:eastAsia="es-MX"/>
        </w:rPr>
        <w:t xml:space="preserve">Los agentes económicos </w:t>
      </w:r>
      <w:r w:rsidR="0041539E" w:rsidRPr="00FC48DA">
        <w:rPr>
          <w:rFonts w:ascii="Arial" w:eastAsia="Times New Roman" w:hAnsi="Arial" w:cs="Arial"/>
          <w:lang w:eastAsia="es-MX"/>
        </w:rPr>
        <w:t>resultantes de</w:t>
      </w:r>
      <w:r w:rsidRPr="00FC48DA">
        <w:rPr>
          <w:rFonts w:ascii="Arial" w:eastAsia="Times New Roman" w:hAnsi="Arial" w:cs="Arial"/>
          <w:lang w:eastAsia="es-MX"/>
        </w:rPr>
        <w:t xml:space="preserve"> la operación alcancen una participación superior al </w:t>
      </w:r>
      <w:r w:rsidR="000C0C40" w:rsidRPr="00FC48DA">
        <w:rPr>
          <w:rFonts w:ascii="Arial" w:eastAsia="Times New Roman" w:hAnsi="Arial" w:cs="Arial"/>
          <w:lang w:eastAsia="es-MX"/>
        </w:rPr>
        <w:t>35% (</w:t>
      </w:r>
      <w:r w:rsidRPr="00FC48DA">
        <w:rPr>
          <w:rFonts w:ascii="Arial" w:eastAsia="Times New Roman" w:hAnsi="Arial" w:cs="Arial"/>
          <w:lang w:eastAsia="es-MX"/>
        </w:rPr>
        <w:t>treinta y cinco por ciento</w:t>
      </w:r>
      <w:r w:rsidR="000C0C40" w:rsidRPr="00FC48DA">
        <w:rPr>
          <w:rFonts w:ascii="Arial" w:eastAsia="Times New Roman" w:hAnsi="Arial" w:cs="Arial"/>
          <w:lang w:eastAsia="es-MX"/>
        </w:rPr>
        <w:t>)</w:t>
      </w:r>
      <w:r w:rsidRPr="00FC48DA">
        <w:rPr>
          <w:rFonts w:ascii="Arial" w:eastAsia="Times New Roman" w:hAnsi="Arial" w:cs="Arial"/>
          <w:lang w:eastAsia="es-MX"/>
        </w:rPr>
        <w:t xml:space="preserve"> en cualquier mercado del sector de telecomunicaciones o superior al </w:t>
      </w:r>
      <w:r w:rsidR="000C0C40" w:rsidRPr="00FC48DA">
        <w:rPr>
          <w:rFonts w:ascii="Arial" w:eastAsia="Times New Roman" w:hAnsi="Arial" w:cs="Arial"/>
          <w:lang w:eastAsia="es-MX"/>
        </w:rPr>
        <w:t>30% (</w:t>
      </w:r>
      <w:r w:rsidRPr="00FC48DA">
        <w:rPr>
          <w:rFonts w:ascii="Arial" w:eastAsia="Times New Roman" w:hAnsi="Arial" w:cs="Arial"/>
          <w:lang w:eastAsia="es-MX"/>
        </w:rPr>
        <w:t>treinta por ciento</w:t>
      </w:r>
      <w:r w:rsidR="000C0C40" w:rsidRPr="00FC48DA">
        <w:rPr>
          <w:rFonts w:ascii="Arial" w:eastAsia="Times New Roman" w:hAnsi="Arial" w:cs="Arial"/>
          <w:lang w:eastAsia="es-MX"/>
        </w:rPr>
        <w:t>)</w:t>
      </w:r>
      <w:r w:rsidRPr="00FC48DA">
        <w:rPr>
          <w:rFonts w:ascii="Arial" w:eastAsia="Times New Roman" w:hAnsi="Arial" w:cs="Arial"/>
          <w:lang w:eastAsia="es-MX"/>
        </w:rPr>
        <w:t xml:space="preserve"> en cualquier mercado del sector de radiodifusión</w:t>
      </w:r>
      <w:r w:rsidRPr="00FC48DA">
        <w:rPr>
          <w:rFonts w:ascii="Arial" w:hAnsi="Arial" w:cs="Arial"/>
        </w:rPr>
        <w:t>;</w:t>
      </w:r>
    </w:p>
    <w:p w14:paraId="3378FB94" w14:textId="77777777" w:rsidR="00001E4D" w:rsidRPr="00FC48DA" w:rsidRDefault="00001E4D" w:rsidP="00001E4D">
      <w:pPr>
        <w:pStyle w:val="Prrafodelista"/>
        <w:autoSpaceDE w:val="0"/>
        <w:autoSpaceDN w:val="0"/>
        <w:adjustRightInd w:val="0"/>
        <w:ind w:left="426"/>
        <w:contextualSpacing w:val="0"/>
        <w:rPr>
          <w:rFonts w:ascii="Arial" w:eastAsia="Times New Roman" w:hAnsi="Arial" w:cs="Arial"/>
          <w:lang w:eastAsia="es-MX"/>
        </w:rPr>
      </w:pPr>
    </w:p>
    <w:p w14:paraId="1B728D85" w14:textId="1A585C2A" w:rsidR="00E916FC" w:rsidRPr="00FC48DA" w:rsidRDefault="00E916FC" w:rsidP="00001E4D">
      <w:pPr>
        <w:pStyle w:val="Prrafodelista"/>
        <w:numPr>
          <w:ilvl w:val="0"/>
          <w:numId w:val="22"/>
        </w:numPr>
        <w:autoSpaceDE w:val="0"/>
        <w:autoSpaceDN w:val="0"/>
        <w:adjustRightInd w:val="0"/>
        <w:ind w:left="426" w:hanging="357"/>
        <w:contextualSpacing w:val="0"/>
        <w:rPr>
          <w:rFonts w:ascii="Arial" w:eastAsia="Times New Roman" w:hAnsi="Arial" w:cs="Arial"/>
          <w:lang w:eastAsia="es-MX"/>
        </w:rPr>
      </w:pPr>
      <w:r w:rsidRPr="00FC48DA">
        <w:rPr>
          <w:rFonts w:ascii="Arial" w:eastAsia="Times New Roman" w:hAnsi="Arial" w:cs="Arial"/>
          <w:lang w:eastAsia="es-MX"/>
        </w:rPr>
        <w:t xml:space="preserve">El agente económico adquirido es un agente económico disruptivo (conocido como </w:t>
      </w:r>
      <w:proofErr w:type="spellStart"/>
      <w:r w:rsidRPr="00FC48DA">
        <w:rPr>
          <w:rFonts w:ascii="Arial" w:eastAsia="Times New Roman" w:hAnsi="Arial" w:cs="Arial"/>
          <w:i/>
          <w:lang w:eastAsia="es-MX"/>
        </w:rPr>
        <w:t>maverick</w:t>
      </w:r>
      <w:proofErr w:type="spellEnd"/>
      <w:r w:rsidRPr="00FC48DA">
        <w:rPr>
          <w:rFonts w:ascii="Arial" w:eastAsia="Times New Roman" w:hAnsi="Arial" w:cs="Arial"/>
          <w:lang w:eastAsia="es-MX"/>
        </w:rPr>
        <w:t xml:space="preserve"> en inglés) que se distinga, por ejemplo, por introducir o desarrollar nuevas tecnologías o modelos de negocios o que pueda disciplinar los precios con base en su habilidad e incentivos a expandirse rápidamente;</w:t>
      </w:r>
    </w:p>
    <w:p w14:paraId="4AD47453" w14:textId="77777777" w:rsidR="00001E4D" w:rsidRPr="00FC48DA" w:rsidRDefault="00001E4D" w:rsidP="00001E4D">
      <w:pPr>
        <w:pStyle w:val="Prrafodelista"/>
        <w:autoSpaceDE w:val="0"/>
        <w:autoSpaceDN w:val="0"/>
        <w:adjustRightInd w:val="0"/>
        <w:ind w:left="426"/>
        <w:contextualSpacing w:val="0"/>
        <w:rPr>
          <w:rFonts w:ascii="Arial" w:eastAsia="Times New Roman" w:hAnsi="Arial" w:cs="Arial"/>
          <w:lang w:eastAsia="es-MX"/>
        </w:rPr>
      </w:pPr>
    </w:p>
    <w:p w14:paraId="14ABEFDA" w14:textId="4CFF1A67" w:rsidR="00E916FC" w:rsidRPr="00FC48DA" w:rsidRDefault="00E916FC" w:rsidP="00001E4D">
      <w:pPr>
        <w:pStyle w:val="Prrafodelista"/>
        <w:numPr>
          <w:ilvl w:val="0"/>
          <w:numId w:val="22"/>
        </w:numPr>
        <w:ind w:left="425" w:hanging="357"/>
        <w:contextualSpacing w:val="0"/>
        <w:rPr>
          <w:rFonts w:ascii="Arial" w:eastAsia="Times New Roman" w:hAnsi="Arial" w:cs="Arial"/>
          <w:lang w:eastAsia="es-MX"/>
        </w:rPr>
      </w:pPr>
      <w:r w:rsidRPr="00FC48DA">
        <w:rPr>
          <w:rFonts w:ascii="Arial" w:eastAsia="Times New Roman" w:hAnsi="Arial" w:cs="Arial"/>
          <w:lang w:eastAsia="es-MX"/>
        </w:rPr>
        <w:t>Uno o más de los agentes económicos involucrados en la operación haya participado dentro de los últimos cinco años en operaciones previas en el mismo mercado y que consideradas en conjunto con la operación analizada, rebasen los u</w:t>
      </w:r>
      <w:r w:rsidR="00001E4D" w:rsidRPr="00FC48DA">
        <w:rPr>
          <w:rFonts w:ascii="Arial" w:eastAsia="Times New Roman" w:hAnsi="Arial" w:cs="Arial"/>
          <w:lang w:eastAsia="es-MX"/>
        </w:rPr>
        <w:t>mbrales referidos en el Artículo 6 del presente Criterio Técnico</w:t>
      </w:r>
      <w:r w:rsidR="008F2BE3" w:rsidRPr="00FC48DA">
        <w:rPr>
          <w:rFonts w:ascii="Arial" w:eastAsia="Times New Roman" w:hAnsi="Arial" w:cs="Arial"/>
          <w:lang w:eastAsia="es-MX"/>
        </w:rPr>
        <w:t>;</w:t>
      </w:r>
    </w:p>
    <w:p w14:paraId="35E0A5DF" w14:textId="77777777" w:rsidR="00001E4D" w:rsidRPr="00FC48DA" w:rsidRDefault="00001E4D" w:rsidP="00001E4D">
      <w:pPr>
        <w:pStyle w:val="Prrafodelista"/>
        <w:ind w:left="425"/>
        <w:contextualSpacing w:val="0"/>
        <w:rPr>
          <w:rFonts w:ascii="Arial" w:eastAsia="Times New Roman" w:hAnsi="Arial" w:cs="Arial"/>
          <w:lang w:eastAsia="es-MX"/>
        </w:rPr>
      </w:pPr>
    </w:p>
    <w:p w14:paraId="231D2B14" w14:textId="756C49F0" w:rsidR="00E916FC" w:rsidRPr="00FC48DA" w:rsidRDefault="00E916FC" w:rsidP="00001E4D">
      <w:pPr>
        <w:pStyle w:val="Prrafodelista"/>
        <w:numPr>
          <w:ilvl w:val="0"/>
          <w:numId w:val="22"/>
        </w:numPr>
        <w:ind w:left="425" w:hanging="357"/>
        <w:contextualSpacing w:val="0"/>
        <w:rPr>
          <w:rFonts w:ascii="Arial" w:eastAsia="Times New Roman" w:hAnsi="Arial" w:cs="Arial"/>
          <w:lang w:eastAsia="es-MX"/>
        </w:rPr>
      </w:pPr>
      <w:r w:rsidRPr="00FC48DA">
        <w:rPr>
          <w:rFonts w:ascii="Arial" w:eastAsia="Times New Roman" w:hAnsi="Arial" w:cs="Arial"/>
          <w:lang w:eastAsia="es-MX"/>
        </w:rPr>
        <w:t xml:space="preserve">La </w:t>
      </w:r>
      <w:r w:rsidR="00001E4D" w:rsidRPr="00FC48DA">
        <w:rPr>
          <w:rFonts w:ascii="Arial" w:eastAsia="Times New Roman" w:hAnsi="Arial" w:cs="Arial"/>
          <w:lang w:eastAsia="es-MX"/>
        </w:rPr>
        <w:t>concentración</w:t>
      </w:r>
      <w:r w:rsidRPr="00FC48DA">
        <w:rPr>
          <w:rFonts w:ascii="Arial" w:eastAsia="Times New Roman" w:hAnsi="Arial" w:cs="Arial"/>
          <w:lang w:eastAsia="es-MX"/>
        </w:rPr>
        <w:t xml:space="preserve"> pueda generar incentivos o facilitar la coordinación entre los agentes económicos que participen en el mercado analizado o mercados relacionados.</w:t>
      </w:r>
    </w:p>
    <w:p w14:paraId="4D7DC7EB" w14:textId="77777777" w:rsidR="00001E4D" w:rsidRPr="00FC48DA" w:rsidRDefault="00001E4D" w:rsidP="00001E4D">
      <w:pPr>
        <w:pStyle w:val="Prrafodelista"/>
        <w:ind w:left="425"/>
        <w:contextualSpacing w:val="0"/>
        <w:rPr>
          <w:rFonts w:ascii="Arial" w:eastAsia="Times New Roman" w:hAnsi="Arial" w:cs="Arial"/>
          <w:lang w:eastAsia="es-MX"/>
        </w:rPr>
      </w:pPr>
    </w:p>
    <w:p w14:paraId="310A708A" w14:textId="5F8086E3" w:rsidR="00E916FC" w:rsidRPr="00FC48DA" w:rsidRDefault="00E916FC" w:rsidP="008F2BE3">
      <w:pPr>
        <w:pStyle w:val="Prrafodelista"/>
        <w:numPr>
          <w:ilvl w:val="0"/>
          <w:numId w:val="25"/>
        </w:numPr>
        <w:ind w:left="0" w:right="-1" w:firstLine="0"/>
        <w:contextualSpacing w:val="0"/>
        <w:rPr>
          <w:rFonts w:ascii="Arial" w:hAnsi="Arial" w:cs="Arial"/>
        </w:rPr>
      </w:pPr>
      <w:r w:rsidRPr="00FC48DA">
        <w:rPr>
          <w:rFonts w:ascii="Arial" w:hAnsi="Arial" w:cs="Arial"/>
        </w:rPr>
        <w:t>Además de ser una referencia en la evaluación de concentraciones</w:t>
      </w:r>
      <w:r w:rsidR="008F2BE3" w:rsidRPr="00FC48DA">
        <w:rPr>
          <w:rFonts w:ascii="Arial" w:hAnsi="Arial" w:cs="Arial"/>
        </w:rPr>
        <w:t xml:space="preserve"> tramitadas en términos de la LFCE</w:t>
      </w:r>
      <w:r w:rsidRPr="00FC48DA">
        <w:rPr>
          <w:rFonts w:ascii="Arial" w:hAnsi="Arial" w:cs="Arial"/>
        </w:rPr>
        <w:t xml:space="preserve">, el presente Criterio Técnico también podrá emplearse en el análisis de solicitudes </w:t>
      </w:r>
      <w:r w:rsidR="008F2BE3" w:rsidRPr="00FC48DA">
        <w:rPr>
          <w:rFonts w:ascii="Arial" w:hAnsi="Arial" w:cs="Arial"/>
        </w:rPr>
        <w:t xml:space="preserve">de otorgamiento y </w:t>
      </w:r>
      <w:r w:rsidRPr="00FC48DA">
        <w:rPr>
          <w:rFonts w:ascii="Arial" w:hAnsi="Arial" w:cs="Arial"/>
        </w:rPr>
        <w:t>cesiones de concesiones; venta de acciones, suscripciones, enajenaciones, desincorporaciones o movimientos en la estructura accionaria de agentes económicos</w:t>
      </w:r>
      <w:r w:rsidR="008F2BE3" w:rsidRPr="00FC48DA">
        <w:rPr>
          <w:rFonts w:ascii="Arial" w:hAnsi="Arial" w:cs="Arial"/>
        </w:rPr>
        <w:t>, y</w:t>
      </w:r>
      <w:r w:rsidRPr="00FC48DA">
        <w:rPr>
          <w:rFonts w:ascii="Arial" w:hAnsi="Arial" w:cs="Arial"/>
        </w:rPr>
        <w:t xml:space="preserve"> arrendamiento o cambio de bandas de frecuencias del espectro radioeléctrico.</w:t>
      </w:r>
    </w:p>
    <w:p w14:paraId="788C228A" w14:textId="77777777" w:rsidR="00E916FC" w:rsidRPr="00FC48DA" w:rsidRDefault="00E916FC" w:rsidP="008F2BE3">
      <w:pPr>
        <w:pStyle w:val="Prrafodelista"/>
        <w:ind w:left="0" w:right="-1"/>
        <w:contextualSpacing w:val="0"/>
        <w:rPr>
          <w:rFonts w:ascii="Arial" w:hAnsi="Arial" w:cs="Arial"/>
        </w:rPr>
      </w:pPr>
    </w:p>
    <w:p w14:paraId="3316021E" w14:textId="77777777" w:rsidR="00E916FC" w:rsidRPr="00FC48DA" w:rsidRDefault="00E916FC" w:rsidP="00E916FC">
      <w:pPr>
        <w:pStyle w:val="Default"/>
        <w:spacing w:line="276" w:lineRule="auto"/>
        <w:ind w:right="-1"/>
        <w:jc w:val="both"/>
        <w:rPr>
          <w:rFonts w:ascii="Arial" w:hAnsi="Arial" w:cs="Arial"/>
          <w:color w:val="auto"/>
          <w:sz w:val="22"/>
          <w:szCs w:val="22"/>
        </w:rPr>
      </w:pPr>
      <w:r w:rsidRPr="00FC48DA">
        <w:rPr>
          <w:rFonts w:ascii="Arial" w:hAnsi="Arial" w:cs="Arial"/>
          <w:color w:val="auto"/>
          <w:sz w:val="22"/>
          <w:szCs w:val="22"/>
        </w:rPr>
        <w:t>Asimismo, el Instituto podrá utilizar el IHH como un indicador del grado de concentración en el análisis de existencia de poder sustancial, condiciones de competencia efectiva u otros asuntos en materia de libre concurrencia y competencia económica que el Instituto tenga facultades de estudiar y resolver en términos de lo que indica la Ley Federal de Competencia Económica (LFCE), la Ley Federal de Telecomunicaciones y Radiodifusión (LFTR) y las Disposiciones Regulatorias de la Ley Federal de Competencia Económica para los sectores de telecomunicaciones y radiodifusión (Disposiciones Regulatorias). El Instituto también podrá utilizar el índice de concentración como un indicador del grado de concentración en mercados relacionados.</w:t>
      </w:r>
    </w:p>
    <w:p w14:paraId="6E5C07A5" w14:textId="77777777" w:rsidR="00E916FC" w:rsidRPr="00FC48DA" w:rsidRDefault="00E916FC" w:rsidP="00E916FC">
      <w:pPr>
        <w:pStyle w:val="Default"/>
        <w:spacing w:line="276" w:lineRule="auto"/>
        <w:ind w:right="-1"/>
        <w:jc w:val="both"/>
        <w:rPr>
          <w:rFonts w:ascii="Arial" w:hAnsi="Arial" w:cs="Arial"/>
          <w:color w:val="auto"/>
          <w:sz w:val="22"/>
          <w:szCs w:val="22"/>
        </w:rPr>
      </w:pPr>
    </w:p>
    <w:p w14:paraId="5B9E4179" w14:textId="77777777" w:rsidR="00E916FC" w:rsidRPr="00FC48DA" w:rsidRDefault="00E916FC" w:rsidP="008F2BE3">
      <w:pPr>
        <w:pStyle w:val="Prrafodelista"/>
        <w:numPr>
          <w:ilvl w:val="0"/>
          <w:numId w:val="25"/>
        </w:numPr>
        <w:ind w:left="0" w:right="-1" w:firstLine="0"/>
        <w:rPr>
          <w:rFonts w:ascii="Arial" w:hAnsi="Arial" w:cs="Arial"/>
        </w:rPr>
      </w:pPr>
      <w:r w:rsidRPr="00FC48DA">
        <w:rPr>
          <w:rFonts w:ascii="Arial" w:hAnsi="Arial" w:cs="Arial"/>
        </w:rPr>
        <w:t>En ningún caso el Instituto tomará sus decisiones utilizando como único elemento de análisis el IHH y los umbrales. El Instituto considerará, según corresponda, los elementos previstos en los artículos 58, 59, 63 y 64 de la LFCE y los relacionados de las Disposiciones Regulatorias, tales como barreras a la entrada, poder sustancial de mercado, acceso a fuentes de insumos, comportamiento reciente de los agentes, así como los efectos de la concentración analizada y las eficiencias económicas derivadas de la misma.</w:t>
      </w:r>
    </w:p>
    <w:p w14:paraId="61429499" w14:textId="77777777" w:rsidR="00E916FC" w:rsidRPr="00FC48DA" w:rsidRDefault="00E916FC" w:rsidP="008F2BE3">
      <w:pPr>
        <w:pStyle w:val="Prrafodelista"/>
        <w:ind w:left="0" w:right="-1"/>
        <w:rPr>
          <w:rFonts w:ascii="Arial" w:hAnsi="Arial" w:cs="Arial"/>
        </w:rPr>
      </w:pPr>
    </w:p>
    <w:p w14:paraId="524BA306" w14:textId="1F688B0C" w:rsidR="00E916FC" w:rsidRPr="00FC48DA" w:rsidRDefault="00E916FC" w:rsidP="008F2BE3">
      <w:pPr>
        <w:pStyle w:val="Prrafodelista"/>
        <w:numPr>
          <w:ilvl w:val="0"/>
          <w:numId w:val="25"/>
        </w:numPr>
        <w:ind w:left="0" w:right="-1" w:firstLine="0"/>
        <w:rPr>
          <w:rFonts w:ascii="Arial" w:hAnsi="Arial" w:cs="Arial"/>
        </w:rPr>
      </w:pPr>
      <w:r w:rsidRPr="00FC48DA">
        <w:rPr>
          <w:rFonts w:ascii="Arial" w:hAnsi="Arial" w:cs="Arial"/>
        </w:rPr>
        <w:t xml:space="preserve">El presente </w:t>
      </w:r>
      <w:r w:rsidR="008F2BE3" w:rsidRPr="00FC48DA">
        <w:rPr>
          <w:rFonts w:ascii="Arial" w:hAnsi="Arial" w:cs="Arial"/>
        </w:rPr>
        <w:t>Criterio T</w:t>
      </w:r>
      <w:r w:rsidRPr="00FC48DA">
        <w:rPr>
          <w:rFonts w:ascii="Arial" w:hAnsi="Arial" w:cs="Arial"/>
        </w:rPr>
        <w:t xml:space="preserve">écnico no se aplicará </w:t>
      </w:r>
      <w:r w:rsidR="008F2BE3" w:rsidRPr="00FC48DA">
        <w:rPr>
          <w:rFonts w:ascii="Arial" w:hAnsi="Arial" w:cs="Arial"/>
        </w:rPr>
        <w:t xml:space="preserve">a nivel de sector </w:t>
      </w:r>
      <w:r w:rsidRPr="00FC48DA">
        <w:rPr>
          <w:rFonts w:ascii="Arial" w:hAnsi="Arial" w:cs="Arial"/>
        </w:rPr>
        <w:t xml:space="preserve">cuando el Instituto resuelva </w:t>
      </w:r>
      <w:r w:rsidR="008F2BE3" w:rsidRPr="00FC48DA">
        <w:rPr>
          <w:rFonts w:ascii="Arial" w:hAnsi="Arial" w:cs="Arial"/>
        </w:rPr>
        <w:t xml:space="preserve">procedimientos </w:t>
      </w:r>
      <w:r w:rsidRPr="00FC48DA">
        <w:rPr>
          <w:rFonts w:ascii="Arial" w:hAnsi="Arial" w:cs="Arial"/>
        </w:rPr>
        <w:t>conforme a lo establecido en el artículo Noveno Transitorio, párrafos primero a cuarto, del Decreto que expide la LFTR,</w:t>
      </w:r>
      <w:r w:rsidRPr="00FC48DA">
        <w:rPr>
          <w:rStyle w:val="Refdenotaalpie"/>
          <w:rFonts w:ascii="Arial" w:hAnsi="Arial" w:cs="Arial"/>
        </w:rPr>
        <w:footnoteReference w:id="1"/>
      </w:r>
      <w:r w:rsidRPr="00FC48DA">
        <w:rPr>
          <w:rFonts w:ascii="Arial" w:hAnsi="Arial" w:cs="Arial"/>
        </w:rPr>
        <w:t xml:space="preserve"> el cual señala explícitamente el cálculo y aplicación del Índice de Dominancia, el IHH y la ∆</w:t>
      </w:r>
      <w:r w:rsidR="008F2BE3" w:rsidRPr="00FC48DA">
        <w:rPr>
          <w:rFonts w:ascii="Arial" w:hAnsi="Arial" w:cs="Arial"/>
        </w:rPr>
        <w:t>I</w:t>
      </w:r>
      <w:r w:rsidRPr="00FC48DA">
        <w:rPr>
          <w:rFonts w:ascii="Arial" w:hAnsi="Arial" w:cs="Arial"/>
        </w:rPr>
        <w:t>HH.</w:t>
      </w:r>
    </w:p>
    <w:p w14:paraId="3AB9F72B" w14:textId="77777777" w:rsidR="00E916FC" w:rsidRPr="00FC48DA" w:rsidRDefault="00E916FC" w:rsidP="008F2BE3">
      <w:pPr>
        <w:pStyle w:val="Default"/>
        <w:spacing w:before="120" w:after="120" w:line="276" w:lineRule="auto"/>
        <w:ind w:right="-1"/>
        <w:rPr>
          <w:rFonts w:ascii="Arial" w:hAnsi="Arial" w:cs="Arial"/>
          <w:color w:val="auto"/>
          <w:sz w:val="22"/>
          <w:szCs w:val="22"/>
        </w:rPr>
      </w:pPr>
    </w:p>
    <w:p w14:paraId="7F7E0494" w14:textId="77A6C692" w:rsidR="00E916FC" w:rsidRPr="00FC48DA" w:rsidRDefault="00E916FC" w:rsidP="00E916FC">
      <w:pPr>
        <w:pStyle w:val="Prrafodelista"/>
        <w:numPr>
          <w:ilvl w:val="0"/>
          <w:numId w:val="25"/>
        </w:numPr>
        <w:ind w:left="0" w:right="-1" w:firstLine="0"/>
        <w:rPr>
          <w:rFonts w:ascii="Arial" w:hAnsi="Arial" w:cs="Arial"/>
        </w:rPr>
      </w:pPr>
      <w:r w:rsidRPr="00FC48DA">
        <w:rPr>
          <w:rFonts w:ascii="Arial" w:hAnsi="Arial" w:cs="Arial"/>
        </w:rPr>
        <w:t xml:space="preserve">En términos del artículo 110 de la LFCE, el Instituto, a través de la Unidad de Competencia Económica, ofrecerá orientación a cualquier persona física o moral, así como a cualquier Autoridad Pública, en relación con la aplicación de este </w:t>
      </w:r>
      <w:r w:rsidR="008F2BE3" w:rsidRPr="00FC48DA">
        <w:rPr>
          <w:rFonts w:ascii="Arial" w:hAnsi="Arial" w:cs="Arial"/>
        </w:rPr>
        <w:t>Criterio T</w:t>
      </w:r>
      <w:r w:rsidRPr="00FC48DA">
        <w:rPr>
          <w:rFonts w:ascii="Arial" w:hAnsi="Arial" w:cs="Arial"/>
        </w:rPr>
        <w:t>écnico.</w:t>
      </w:r>
    </w:p>
    <w:sectPr w:rsidR="00E916FC" w:rsidRPr="00FC48DA" w:rsidSect="003902CF">
      <w:headerReference w:type="even" r:id="rId11"/>
      <w:headerReference w:type="default" r:id="rId12"/>
      <w:footerReference w:type="default" r:id="rId13"/>
      <w:headerReference w:type="first" r:id="rId14"/>
      <w:pgSz w:w="12240" w:h="15840"/>
      <w:pgMar w:top="2098" w:right="1418" w:bottom="1134" w:left="1418"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D5D51" w14:textId="77777777" w:rsidR="0016024D" w:rsidRDefault="0016024D" w:rsidP="008A39CF">
      <w:pPr>
        <w:spacing w:line="240" w:lineRule="auto"/>
      </w:pPr>
      <w:r>
        <w:separator/>
      </w:r>
    </w:p>
  </w:endnote>
  <w:endnote w:type="continuationSeparator" w:id="0">
    <w:p w14:paraId="37197831" w14:textId="77777777" w:rsidR="0016024D" w:rsidRDefault="0016024D" w:rsidP="008A3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TC Avant Garde" w:hAnsi="ITC Avant Garde"/>
        <w:sz w:val="20"/>
        <w:szCs w:val="20"/>
      </w:rPr>
      <w:id w:val="-978072464"/>
      <w:docPartObj>
        <w:docPartGallery w:val="Page Numbers (Bottom of Page)"/>
        <w:docPartUnique/>
      </w:docPartObj>
    </w:sdtPr>
    <w:sdtEndPr>
      <w:rPr>
        <w:rFonts w:ascii="Arial" w:hAnsi="Arial" w:cs="Arial"/>
        <w:sz w:val="18"/>
        <w:szCs w:val="18"/>
      </w:rPr>
    </w:sdtEndPr>
    <w:sdtContent>
      <w:sdt>
        <w:sdtPr>
          <w:rPr>
            <w:rFonts w:cs="Arial"/>
            <w:sz w:val="18"/>
            <w:szCs w:val="18"/>
          </w:rPr>
          <w:id w:val="1274056603"/>
          <w:docPartObj>
            <w:docPartGallery w:val="Page Numbers (Top of Page)"/>
            <w:docPartUnique/>
          </w:docPartObj>
        </w:sdtPr>
        <w:sdtEndPr/>
        <w:sdtContent>
          <w:p w14:paraId="55650D31" w14:textId="029BE9B1" w:rsidR="001C5B2D" w:rsidRPr="002B3AB4" w:rsidRDefault="00AC0CF7" w:rsidP="00AC0CF7">
            <w:pPr>
              <w:pStyle w:val="Piedepgina"/>
              <w:spacing w:before="200"/>
              <w:jc w:val="right"/>
              <w:rPr>
                <w:rFonts w:cs="Arial"/>
                <w:sz w:val="18"/>
                <w:szCs w:val="18"/>
              </w:rPr>
            </w:pPr>
            <w:r w:rsidRPr="002B3AB4">
              <w:rPr>
                <w:rFonts w:cs="Arial"/>
                <w:sz w:val="18"/>
                <w:szCs w:val="18"/>
                <w:lang w:val="es-ES"/>
              </w:rPr>
              <w:t xml:space="preserve">Página </w:t>
            </w:r>
            <w:r w:rsidRPr="004B572C">
              <w:rPr>
                <w:rFonts w:cs="Arial"/>
                <w:sz w:val="18"/>
                <w:szCs w:val="18"/>
              </w:rPr>
              <w:fldChar w:fldCharType="begin"/>
            </w:r>
            <w:r w:rsidRPr="00FC48DA">
              <w:rPr>
                <w:rFonts w:cs="Arial"/>
                <w:sz w:val="18"/>
                <w:szCs w:val="18"/>
              </w:rPr>
              <w:instrText>PAGE</w:instrText>
            </w:r>
            <w:r w:rsidRPr="004B572C">
              <w:rPr>
                <w:rFonts w:cs="Arial"/>
                <w:sz w:val="18"/>
                <w:szCs w:val="18"/>
              </w:rPr>
              <w:fldChar w:fldCharType="separate"/>
            </w:r>
            <w:r w:rsidR="00D1739B" w:rsidRPr="00FC48DA">
              <w:rPr>
                <w:rFonts w:cs="Arial"/>
                <w:noProof/>
                <w:sz w:val="18"/>
                <w:szCs w:val="18"/>
              </w:rPr>
              <w:t>8</w:t>
            </w:r>
            <w:r w:rsidRPr="004B572C">
              <w:rPr>
                <w:rFonts w:cs="Arial"/>
                <w:sz w:val="18"/>
                <w:szCs w:val="18"/>
              </w:rPr>
              <w:fldChar w:fldCharType="end"/>
            </w:r>
            <w:r w:rsidRPr="002B3AB4">
              <w:rPr>
                <w:rFonts w:cs="Arial"/>
                <w:sz w:val="18"/>
                <w:szCs w:val="18"/>
                <w:lang w:val="es-ES"/>
              </w:rPr>
              <w:t xml:space="preserve"> de </w:t>
            </w:r>
            <w:r w:rsidR="003902CF">
              <w:rPr>
                <w:rFonts w:cs="Arial"/>
                <w:sz w:val="18"/>
                <w:szCs w:val="18"/>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53B5" w14:textId="77777777" w:rsidR="0016024D" w:rsidRDefault="0016024D" w:rsidP="008A39CF">
      <w:pPr>
        <w:spacing w:line="240" w:lineRule="auto"/>
      </w:pPr>
      <w:r>
        <w:separator/>
      </w:r>
    </w:p>
  </w:footnote>
  <w:footnote w:type="continuationSeparator" w:id="0">
    <w:p w14:paraId="039BAD5F" w14:textId="77777777" w:rsidR="0016024D" w:rsidRDefault="0016024D" w:rsidP="008A39CF">
      <w:pPr>
        <w:spacing w:line="240" w:lineRule="auto"/>
      </w:pPr>
      <w:r>
        <w:continuationSeparator/>
      </w:r>
    </w:p>
  </w:footnote>
  <w:footnote w:id="1">
    <w:p w14:paraId="18885FAD" w14:textId="77777777" w:rsidR="00E916FC" w:rsidRPr="003E001B" w:rsidRDefault="00E916FC" w:rsidP="00E916FC">
      <w:pPr>
        <w:pStyle w:val="Textonotapie"/>
        <w:rPr>
          <w:rFonts w:cs="Arial"/>
          <w:sz w:val="14"/>
          <w:szCs w:val="14"/>
        </w:rPr>
      </w:pPr>
      <w:r w:rsidRPr="003E001B">
        <w:rPr>
          <w:rStyle w:val="Refdenotaalpie"/>
          <w:rFonts w:cs="Arial"/>
          <w:sz w:val="14"/>
          <w:szCs w:val="14"/>
        </w:rPr>
        <w:footnoteRef/>
      </w:r>
      <w:r w:rsidRPr="003E001B">
        <w:rPr>
          <w:rFonts w:cs="Arial"/>
          <w:sz w:val="14"/>
          <w:szCs w:val="14"/>
        </w:rPr>
        <w:t xml:space="preserve">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Disponible en: </w:t>
      </w:r>
      <w:hyperlink r:id="rId1" w:history="1">
        <w:r w:rsidRPr="003E001B">
          <w:rPr>
            <w:rStyle w:val="Hipervnculo"/>
            <w:rFonts w:cs="Arial"/>
            <w:sz w:val="14"/>
            <w:szCs w:val="14"/>
          </w:rPr>
          <w:t>http://www.dof.gob.mx/nota_detalle.php?codigo=5352323&amp;fecha=14/07/2014</w:t>
        </w:r>
      </w:hyperlink>
      <w:r w:rsidRPr="003E001B">
        <w:rPr>
          <w:rFonts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4CC1" w14:textId="7C0872B5" w:rsidR="001C5B2D" w:rsidRDefault="003902CF">
    <w:pPr>
      <w:pStyle w:val="Encabezado"/>
    </w:pPr>
    <w:r>
      <w:rPr>
        <w:noProof/>
      </w:rPr>
      <w:pict w14:anchorId="3C1E9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0954" o:spid="_x0000_s2053" type="#_x0000_t136" style="position:absolute;left:0;text-align:left;margin-left:0;margin-top:0;width:530.3pt;height:132.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54B7" w14:textId="20374A1B" w:rsidR="001C5B2D" w:rsidRPr="0068053A" w:rsidRDefault="003902CF" w:rsidP="005232ED">
    <w:pPr>
      <w:pStyle w:val="Encabezado"/>
    </w:pPr>
    <w:r>
      <w:rPr>
        <w:noProof/>
      </w:rPr>
      <w:pict w14:anchorId="3D7D8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5" type="#_x0000_t75" alt="hoja membretada s dir-01" style="position:absolute;left:0;text-align:left;margin-left:-74pt;margin-top:-116.05pt;width:612pt;height:808pt;z-index:-251652096;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20402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0955" o:spid="_x0000_s2054" type="#_x0000_t136" style="position:absolute;left:0;text-align:left;margin-left:0;margin-top:0;width:530.3pt;height:132.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305C" w14:textId="38A1340C" w:rsidR="001C5B2D" w:rsidRDefault="003902CF">
    <w:pPr>
      <w:pStyle w:val="Encabezado"/>
    </w:pPr>
    <w:r>
      <w:rPr>
        <w:noProof/>
      </w:rPr>
      <w:pict w14:anchorId="17B5E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0953" o:spid="_x0000_s2052" type="#_x0000_t136" style="position:absolute;left:0;text-align:left;margin-left:0;margin-top:0;width:530.3pt;height:132.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393"/>
    <w:multiLevelType w:val="hybridMultilevel"/>
    <w:tmpl w:val="9A1EE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BA42BF"/>
    <w:multiLevelType w:val="hybridMultilevel"/>
    <w:tmpl w:val="4DFE86A6"/>
    <w:lvl w:ilvl="0" w:tplc="B93254EC">
      <w:start w:val="1"/>
      <w:numFmt w:val="decimal"/>
      <w:suff w:val="space"/>
      <w:lvlText w:val="Artículo %1."/>
      <w:lvlJc w:val="left"/>
      <w:pPr>
        <w:ind w:left="721" w:hanging="360"/>
      </w:pPr>
      <w:rPr>
        <w:rFonts w:hint="default"/>
        <w:b/>
      </w:r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 w15:restartNumberingAfterBreak="0">
    <w:nsid w:val="0CE67AB6"/>
    <w:multiLevelType w:val="hybridMultilevel"/>
    <w:tmpl w:val="DADCC0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8D40E1"/>
    <w:multiLevelType w:val="multilevel"/>
    <w:tmpl w:val="6A107F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DEC20E2"/>
    <w:multiLevelType w:val="hybridMultilevel"/>
    <w:tmpl w:val="04EA056A"/>
    <w:lvl w:ilvl="0" w:tplc="080A0013">
      <w:start w:val="1"/>
      <w:numFmt w:val="upperRoman"/>
      <w:lvlText w:val="%1."/>
      <w:lvlJc w:val="righ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F43CAB"/>
    <w:multiLevelType w:val="hybridMultilevel"/>
    <w:tmpl w:val="3EA82C4C"/>
    <w:lvl w:ilvl="0" w:tplc="A866E858">
      <w:start w:val="1"/>
      <w:numFmt w:val="decimal"/>
      <w:pStyle w:val="Ttulo3"/>
      <w:lvlText w:val="6.%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741BA4"/>
    <w:multiLevelType w:val="hybridMultilevel"/>
    <w:tmpl w:val="BF164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AB3446"/>
    <w:multiLevelType w:val="hybridMultilevel"/>
    <w:tmpl w:val="1884F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7C5C32"/>
    <w:multiLevelType w:val="hybridMultilevel"/>
    <w:tmpl w:val="796CC4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AF66AD7"/>
    <w:multiLevelType w:val="hybridMultilevel"/>
    <w:tmpl w:val="9FA4FE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B82F18"/>
    <w:multiLevelType w:val="hybridMultilevel"/>
    <w:tmpl w:val="C0F03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2B0BB7"/>
    <w:multiLevelType w:val="hybridMultilevel"/>
    <w:tmpl w:val="60A4DB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BFC3A31"/>
    <w:multiLevelType w:val="hybridMultilevel"/>
    <w:tmpl w:val="3682A9F4"/>
    <w:lvl w:ilvl="0" w:tplc="89BC53B8">
      <w:start w:val="1"/>
      <w:numFmt w:val="lowerLetter"/>
      <w:lvlText w:val="(%1)"/>
      <w:lvlJc w:val="left"/>
      <w:pPr>
        <w:ind w:left="1287" w:hanging="360"/>
      </w:pPr>
      <w:rPr>
        <w:rFonts w:ascii="ITC Avant Garde" w:eastAsia="Calibri" w:hAnsi="ITC Avant Garde" w:cs="Times New Roman"/>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27471FC"/>
    <w:multiLevelType w:val="hybridMultilevel"/>
    <w:tmpl w:val="2A78B218"/>
    <w:lvl w:ilvl="0" w:tplc="B6B4A8FA">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232B6"/>
    <w:multiLevelType w:val="multilevel"/>
    <w:tmpl w:val="6A107F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5AA8304D"/>
    <w:multiLevelType w:val="hybridMultilevel"/>
    <w:tmpl w:val="6478D1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CB22AB"/>
    <w:multiLevelType w:val="hybridMultilevel"/>
    <w:tmpl w:val="01AEF20A"/>
    <w:lvl w:ilvl="0" w:tplc="54269762">
      <w:start w:val="10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6773AE"/>
    <w:multiLevelType w:val="multilevel"/>
    <w:tmpl w:val="6A107F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61A70E01"/>
    <w:multiLevelType w:val="hybridMultilevel"/>
    <w:tmpl w:val="EC1CA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C475C1"/>
    <w:multiLevelType w:val="hybridMultilevel"/>
    <w:tmpl w:val="62944AD6"/>
    <w:lvl w:ilvl="0" w:tplc="F2A2F9FC">
      <w:start w:val="1"/>
      <w:numFmt w:val="upperRoman"/>
      <w:pStyle w:val="NormalIFT"/>
      <w:lvlText w:val="%1."/>
      <w:lvlJc w:val="right"/>
      <w:pPr>
        <w:ind w:left="720" w:hanging="360"/>
      </w:pPr>
      <w:rPr>
        <w:rFonts w:ascii="Times New Roman" w:hAnsi="Times New Roman" w:cs="Times New Roman"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98418A"/>
    <w:multiLevelType w:val="hybridMultilevel"/>
    <w:tmpl w:val="AB58BBA0"/>
    <w:lvl w:ilvl="0" w:tplc="D204993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2312214"/>
    <w:multiLevelType w:val="hybridMultilevel"/>
    <w:tmpl w:val="4A005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BA1E15"/>
    <w:multiLevelType w:val="hybridMultilevel"/>
    <w:tmpl w:val="D1F07928"/>
    <w:lvl w:ilvl="0" w:tplc="6AD4E228">
      <w:start w:val="1"/>
      <w:numFmt w:val="lowerRoman"/>
      <w:lvlText w:val="%1)"/>
      <w:lvlJc w:val="left"/>
      <w:pPr>
        <w:ind w:left="1156" w:hanging="720"/>
      </w:pPr>
      <w:rPr>
        <w:rFonts w:hint="default"/>
      </w:rPr>
    </w:lvl>
    <w:lvl w:ilvl="1" w:tplc="080A0019" w:tentative="1">
      <w:start w:val="1"/>
      <w:numFmt w:val="lowerLetter"/>
      <w:lvlText w:val="%2."/>
      <w:lvlJc w:val="left"/>
      <w:pPr>
        <w:ind w:left="1516" w:hanging="360"/>
      </w:pPr>
    </w:lvl>
    <w:lvl w:ilvl="2" w:tplc="080A001B" w:tentative="1">
      <w:start w:val="1"/>
      <w:numFmt w:val="lowerRoman"/>
      <w:lvlText w:val="%3."/>
      <w:lvlJc w:val="right"/>
      <w:pPr>
        <w:ind w:left="2236" w:hanging="180"/>
      </w:pPr>
    </w:lvl>
    <w:lvl w:ilvl="3" w:tplc="080A000F" w:tentative="1">
      <w:start w:val="1"/>
      <w:numFmt w:val="decimal"/>
      <w:lvlText w:val="%4."/>
      <w:lvlJc w:val="left"/>
      <w:pPr>
        <w:ind w:left="2956" w:hanging="360"/>
      </w:pPr>
    </w:lvl>
    <w:lvl w:ilvl="4" w:tplc="080A0019" w:tentative="1">
      <w:start w:val="1"/>
      <w:numFmt w:val="lowerLetter"/>
      <w:lvlText w:val="%5."/>
      <w:lvlJc w:val="left"/>
      <w:pPr>
        <w:ind w:left="3676" w:hanging="360"/>
      </w:pPr>
    </w:lvl>
    <w:lvl w:ilvl="5" w:tplc="080A001B" w:tentative="1">
      <w:start w:val="1"/>
      <w:numFmt w:val="lowerRoman"/>
      <w:lvlText w:val="%6."/>
      <w:lvlJc w:val="right"/>
      <w:pPr>
        <w:ind w:left="4396" w:hanging="180"/>
      </w:pPr>
    </w:lvl>
    <w:lvl w:ilvl="6" w:tplc="080A000F" w:tentative="1">
      <w:start w:val="1"/>
      <w:numFmt w:val="decimal"/>
      <w:lvlText w:val="%7."/>
      <w:lvlJc w:val="left"/>
      <w:pPr>
        <w:ind w:left="5116" w:hanging="360"/>
      </w:pPr>
    </w:lvl>
    <w:lvl w:ilvl="7" w:tplc="080A0019" w:tentative="1">
      <w:start w:val="1"/>
      <w:numFmt w:val="lowerLetter"/>
      <w:lvlText w:val="%8."/>
      <w:lvlJc w:val="left"/>
      <w:pPr>
        <w:ind w:left="5836" w:hanging="360"/>
      </w:pPr>
    </w:lvl>
    <w:lvl w:ilvl="8" w:tplc="080A001B" w:tentative="1">
      <w:start w:val="1"/>
      <w:numFmt w:val="lowerRoman"/>
      <w:lvlText w:val="%9."/>
      <w:lvlJc w:val="right"/>
      <w:pPr>
        <w:ind w:left="6556" w:hanging="180"/>
      </w:pPr>
    </w:lvl>
  </w:abstractNum>
  <w:abstractNum w:abstractNumId="23" w15:restartNumberingAfterBreak="0">
    <w:nsid w:val="74C912C3"/>
    <w:multiLevelType w:val="hybridMultilevel"/>
    <w:tmpl w:val="EB863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A71077"/>
    <w:multiLevelType w:val="hybridMultilevel"/>
    <w:tmpl w:val="46B610E2"/>
    <w:lvl w:ilvl="0" w:tplc="4C5489D6">
      <w:start w:val="1"/>
      <w:numFmt w:val="ordinalText"/>
      <w:suff w:val="space"/>
      <w:lvlText w:val="%1."/>
      <w:lvlJc w:val="right"/>
      <w:pPr>
        <w:ind w:left="567" w:hanging="283"/>
      </w:pPr>
      <w:rPr>
        <w:rFonts w:ascii="ITC Avant Garde" w:hAnsi="ITC Avant Garde" w:hint="default"/>
        <w:b/>
        <w:i w:val="0"/>
        <w:small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14"/>
  </w:num>
  <w:num w:numId="4">
    <w:abstractNumId w:val="4"/>
  </w:num>
  <w:num w:numId="5">
    <w:abstractNumId w:val="5"/>
  </w:num>
  <w:num w:numId="6">
    <w:abstractNumId w:val="17"/>
  </w:num>
  <w:num w:numId="7">
    <w:abstractNumId w:val="18"/>
  </w:num>
  <w:num w:numId="8">
    <w:abstractNumId w:val="10"/>
  </w:num>
  <w:num w:numId="9">
    <w:abstractNumId w:val="20"/>
  </w:num>
  <w:num w:numId="10">
    <w:abstractNumId w:val="12"/>
  </w:num>
  <w:num w:numId="11">
    <w:abstractNumId w:val="11"/>
  </w:num>
  <w:num w:numId="12">
    <w:abstractNumId w:val="8"/>
  </w:num>
  <w:num w:numId="13">
    <w:abstractNumId w:val="6"/>
  </w:num>
  <w:num w:numId="14">
    <w:abstractNumId w:val="21"/>
  </w:num>
  <w:num w:numId="15">
    <w:abstractNumId w:val="0"/>
  </w:num>
  <w:num w:numId="16">
    <w:abstractNumId w:val="23"/>
  </w:num>
  <w:num w:numId="17">
    <w:abstractNumId w:val="9"/>
  </w:num>
  <w:num w:numId="18">
    <w:abstractNumId w:val="3"/>
  </w:num>
  <w:num w:numId="19">
    <w:abstractNumId w:val="7"/>
  </w:num>
  <w:num w:numId="20">
    <w:abstractNumId w:val="24"/>
  </w:num>
  <w:num w:numId="21">
    <w:abstractNumId w:val="2"/>
  </w:num>
  <w:num w:numId="22">
    <w:abstractNumId w:val="15"/>
  </w:num>
  <w:num w:numId="23">
    <w:abstractNumId w:val="22"/>
  </w:num>
  <w:num w:numId="24">
    <w:abstractNumId w:val="13"/>
  </w:num>
  <w:num w:numId="2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CF"/>
    <w:rsid w:val="00000DA5"/>
    <w:rsid w:val="00001E4D"/>
    <w:rsid w:val="0000247F"/>
    <w:rsid w:val="000045E5"/>
    <w:rsid w:val="00004BA6"/>
    <w:rsid w:val="00005A78"/>
    <w:rsid w:val="00012092"/>
    <w:rsid w:val="000121A9"/>
    <w:rsid w:val="000143BF"/>
    <w:rsid w:val="00016B01"/>
    <w:rsid w:val="00017765"/>
    <w:rsid w:val="0002058B"/>
    <w:rsid w:val="000209AC"/>
    <w:rsid w:val="00021217"/>
    <w:rsid w:val="00023DB9"/>
    <w:rsid w:val="00024668"/>
    <w:rsid w:val="00033979"/>
    <w:rsid w:val="00034263"/>
    <w:rsid w:val="000349B1"/>
    <w:rsid w:val="000362B2"/>
    <w:rsid w:val="00036D0E"/>
    <w:rsid w:val="0004084B"/>
    <w:rsid w:val="0004325F"/>
    <w:rsid w:val="00043AB9"/>
    <w:rsid w:val="00043AC9"/>
    <w:rsid w:val="00043E1D"/>
    <w:rsid w:val="00044064"/>
    <w:rsid w:val="00044784"/>
    <w:rsid w:val="00050838"/>
    <w:rsid w:val="0005283A"/>
    <w:rsid w:val="000618D8"/>
    <w:rsid w:val="00064591"/>
    <w:rsid w:val="000658CB"/>
    <w:rsid w:val="0007557E"/>
    <w:rsid w:val="000760C8"/>
    <w:rsid w:val="000765BB"/>
    <w:rsid w:val="000816B4"/>
    <w:rsid w:val="00083308"/>
    <w:rsid w:val="00084F1C"/>
    <w:rsid w:val="00084FF6"/>
    <w:rsid w:val="000902F7"/>
    <w:rsid w:val="00094562"/>
    <w:rsid w:val="00094E7B"/>
    <w:rsid w:val="00095198"/>
    <w:rsid w:val="000972D0"/>
    <w:rsid w:val="000A0635"/>
    <w:rsid w:val="000A3631"/>
    <w:rsid w:val="000B00B2"/>
    <w:rsid w:val="000B0DC3"/>
    <w:rsid w:val="000B6C6B"/>
    <w:rsid w:val="000B6D54"/>
    <w:rsid w:val="000B6DD2"/>
    <w:rsid w:val="000C0C40"/>
    <w:rsid w:val="000C5501"/>
    <w:rsid w:val="000C5E23"/>
    <w:rsid w:val="000D3121"/>
    <w:rsid w:val="000D4D74"/>
    <w:rsid w:val="000D5C30"/>
    <w:rsid w:val="000D6F64"/>
    <w:rsid w:val="000D7361"/>
    <w:rsid w:val="000E234F"/>
    <w:rsid w:val="000E237C"/>
    <w:rsid w:val="000E5026"/>
    <w:rsid w:val="000F0B6D"/>
    <w:rsid w:val="000F117A"/>
    <w:rsid w:val="000F164A"/>
    <w:rsid w:val="000F5DCE"/>
    <w:rsid w:val="000F619C"/>
    <w:rsid w:val="001001BA"/>
    <w:rsid w:val="00104BB9"/>
    <w:rsid w:val="0010553E"/>
    <w:rsid w:val="00107B4A"/>
    <w:rsid w:val="0011217F"/>
    <w:rsid w:val="00112FC4"/>
    <w:rsid w:val="0011656A"/>
    <w:rsid w:val="00116EB4"/>
    <w:rsid w:val="001173CC"/>
    <w:rsid w:val="001229D4"/>
    <w:rsid w:val="00122AB2"/>
    <w:rsid w:val="001252A0"/>
    <w:rsid w:val="0012549E"/>
    <w:rsid w:val="001339C6"/>
    <w:rsid w:val="00137437"/>
    <w:rsid w:val="00137EA6"/>
    <w:rsid w:val="00140AA5"/>
    <w:rsid w:val="00141BEC"/>
    <w:rsid w:val="00144C0D"/>
    <w:rsid w:val="001467B0"/>
    <w:rsid w:val="00146A74"/>
    <w:rsid w:val="00152067"/>
    <w:rsid w:val="0016024D"/>
    <w:rsid w:val="00162FE0"/>
    <w:rsid w:val="00163547"/>
    <w:rsid w:val="0016456B"/>
    <w:rsid w:val="00164742"/>
    <w:rsid w:val="001653E5"/>
    <w:rsid w:val="0016728D"/>
    <w:rsid w:val="001710C8"/>
    <w:rsid w:val="00172BCA"/>
    <w:rsid w:val="001756DD"/>
    <w:rsid w:val="00177445"/>
    <w:rsid w:val="00181262"/>
    <w:rsid w:val="00185679"/>
    <w:rsid w:val="00185A29"/>
    <w:rsid w:val="00187045"/>
    <w:rsid w:val="00190F90"/>
    <w:rsid w:val="00194D80"/>
    <w:rsid w:val="00194E7A"/>
    <w:rsid w:val="00197335"/>
    <w:rsid w:val="001A3A60"/>
    <w:rsid w:val="001B142D"/>
    <w:rsid w:val="001B61C0"/>
    <w:rsid w:val="001C5B2D"/>
    <w:rsid w:val="001D254C"/>
    <w:rsid w:val="001E2A11"/>
    <w:rsid w:val="001F0411"/>
    <w:rsid w:val="001F5A0F"/>
    <w:rsid w:val="001F7167"/>
    <w:rsid w:val="001F7981"/>
    <w:rsid w:val="00201F8F"/>
    <w:rsid w:val="002029E4"/>
    <w:rsid w:val="0020445A"/>
    <w:rsid w:val="00204B07"/>
    <w:rsid w:val="0020653D"/>
    <w:rsid w:val="00206A41"/>
    <w:rsid w:val="00206D9A"/>
    <w:rsid w:val="00211578"/>
    <w:rsid w:val="002128C4"/>
    <w:rsid w:val="00213B5C"/>
    <w:rsid w:val="00220056"/>
    <w:rsid w:val="00221228"/>
    <w:rsid w:val="00222887"/>
    <w:rsid w:val="0022306A"/>
    <w:rsid w:val="00225150"/>
    <w:rsid w:val="00225851"/>
    <w:rsid w:val="00225FA2"/>
    <w:rsid w:val="0022750A"/>
    <w:rsid w:val="00230016"/>
    <w:rsid w:val="00230441"/>
    <w:rsid w:val="00232D72"/>
    <w:rsid w:val="00237988"/>
    <w:rsid w:val="00243C9A"/>
    <w:rsid w:val="0024471F"/>
    <w:rsid w:val="00245B0A"/>
    <w:rsid w:val="00247EFF"/>
    <w:rsid w:val="00250FD0"/>
    <w:rsid w:val="00253EC5"/>
    <w:rsid w:val="002559DE"/>
    <w:rsid w:val="00256508"/>
    <w:rsid w:val="0025651A"/>
    <w:rsid w:val="00260675"/>
    <w:rsid w:val="00261EBE"/>
    <w:rsid w:val="00264E57"/>
    <w:rsid w:val="00265014"/>
    <w:rsid w:val="002673C4"/>
    <w:rsid w:val="00272C9B"/>
    <w:rsid w:val="0027455C"/>
    <w:rsid w:val="0027644C"/>
    <w:rsid w:val="0027728B"/>
    <w:rsid w:val="002804B3"/>
    <w:rsid w:val="00280B81"/>
    <w:rsid w:val="00282D6D"/>
    <w:rsid w:val="00283CB5"/>
    <w:rsid w:val="002902C5"/>
    <w:rsid w:val="00291BDC"/>
    <w:rsid w:val="00292354"/>
    <w:rsid w:val="002931E1"/>
    <w:rsid w:val="002A082E"/>
    <w:rsid w:val="002A120A"/>
    <w:rsid w:val="002A4CC8"/>
    <w:rsid w:val="002A4F7D"/>
    <w:rsid w:val="002A5195"/>
    <w:rsid w:val="002A7B18"/>
    <w:rsid w:val="002A7B2A"/>
    <w:rsid w:val="002B07F1"/>
    <w:rsid w:val="002B09FC"/>
    <w:rsid w:val="002B3AB4"/>
    <w:rsid w:val="002B3AE1"/>
    <w:rsid w:val="002B6E90"/>
    <w:rsid w:val="002B727C"/>
    <w:rsid w:val="002B7430"/>
    <w:rsid w:val="002D19A5"/>
    <w:rsid w:val="002D3B38"/>
    <w:rsid w:val="002D443D"/>
    <w:rsid w:val="002D47F6"/>
    <w:rsid w:val="002E263D"/>
    <w:rsid w:val="002E30CA"/>
    <w:rsid w:val="002E3596"/>
    <w:rsid w:val="002E436E"/>
    <w:rsid w:val="002E5A4D"/>
    <w:rsid w:val="002E63B1"/>
    <w:rsid w:val="002F451B"/>
    <w:rsid w:val="00300A75"/>
    <w:rsid w:val="00303CA3"/>
    <w:rsid w:val="00303D29"/>
    <w:rsid w:val="00305F1D"/>
    <w:rsid w:val="00307DE9"/>
    <w:rsid w:val="0031356D"/>
    <w:rsid w:val="00314C1D"/>
    <w:rsid w:val="00314E21"/>
    <w:rsid w:val="003212E8"/>
    <w:rsid w:val="00325A56"/>
    <w:rsid w:val="00327290"/>
    <w:rsid w:val="0032748D"/>
    <w:rsid w:val="00331001"/>
    <w:rsid w:val="00336F5E"/>
    <w:rsid w:val="003400DB"/>
    <w:rsid w:val="00342FE5"/>
    <w:rsid w:val="0034471F"/>
    <w:rsid w:val="0035185E"/>
    <w:rsid w:val="00357C22"/>
    <w:rsid w:val="003606DD"/>
    <w:rsid w:val="00361C72"/>
    <w:rsid w:val="00362F92"/>
    <w:rsid w:val="003665C2"/>
    <w:rsid w:val="0037008A"/>
    <w:rsid w:val="0037350D"/>
    <w:rsid w:val="00373D69"/>
    <w:rsid w:val="00377883"/>
    <w:rsid w:val="00377E6A"/>
    <w:rsid w:val="00380DAD"/>
    <w:rsid w:val="003819E1"/>
    <w:rsid w:val="00384554"/>
    <w:rsid w:val="003902CF"/>
    <w:rsid w:val="0039184A"/>
    <w:rsid w:val="003930D8"/>
    <w:rsid w:val="003A0FE0"/>
    <w:rsid w:val="003A1438"/>
    <w:rsid w:val="003A2251"/>
    <w:rsid w:val="003A33AD"/>
    <w:rsid w:val="003A605F"/>
    <w:rsid w:val="003A79DA"/>
    <w:rsid w:val="003B02C3"/>
    <w:rsid w:val="003B4E70"/>
    <w:rsid w:val="003C0BAD"/>
    <w:rsid w:val="003C17CD"/>
    <w:rsid w:val="003C52BE"/>
    <w:rsid w:val="003C579C"/>
    <w:rsid w:val="003C5DCE"/>
    <w:rsid w:val="003C791C"/>
    <w:rsid w:val="003C7A7E"/>
    <w:rsid w:val="003D0738"/>
    <w:rsid w:val="003D6359"/>
    <w:rsid w:val="003D68EF"/>
    <w:rsid w:val="003E001B"/>
    <w:rsid w:val="003E1FCE"/>
    <w:rsid w:val="003E5BB7"/>
    <w:rsid w:val="003E7B36"/>
    <w:rsid w:val="003F22F2"/>
    <w:rsid w:val="003F30B8"/>
    <w:rsid w:val="003F6E64"/>
    <w:rsid w:val="003F7676"/>
    <w:rsid w:val="003F7A6D"/>
    <w:rsid w:val="00400DB3"/>
    <w:rsid w:val="0040188F"/>
    <w:rsid w:val="004033D8"/>
    <w:rsid w:val="00404B07"/>
    <w:rsid w:val="00407C0A"/>
    <w:rsid w:val="00407C94"/>
    <w:rsid w:val="00413586"/>
    <w:rsid w:val="0041429B"/>
    <w:rsid w:val="0041539E"/>
    <w:rsid w:val="004201AB"/>
    <w:rsid w:val="00420CA2"/>
    <w:rsid w:val="00421937"/>
    <w:rsid w:val="00421D08"/>
    <w:rsid w:val="004223DC"/>
    <w:rsid w:val="00425849"/>
    <w:rsid w:val="00426C4D"/>
    <w:rsid w:val="00427962"/>
    <w:rsid w:val="004329D2"/>
    <w:rsid w:val="00433421"/>
    <w:rsid w:val="004428AE"/>
    <w:rsid w:val="00442A49"/>
    <w:rsid w:val="00443905"/>
    <w:rsid w:val="00446512"/>
    <w:rsid w:val="00446C15"/>
    <w:rsid w:val="00451E55"/>
    <w:rsid w:val="00460187"/>
    <w:rsid w:val="00462902"/>
    <w:rsid w:val="004665A5"/>
    <w:rsid w:val="00466926"/>
    <w:rsid w:val="00467581"/>
    <w:rsid w:val="00470F86"/>
    <w:rsid w:val="00473D5E"/>
    <w:rsid w:val="004745F0"/>
    <w:rsid w:val="00474D16"/>
    <w:rsid w:val="00481F6F"/>
    <w:rsid w:val="00484867"/>
    <w:rsid w:val="00490515"/>
    <w:rsid w:val="004966C2"/>
    <w:rsid w:val="004A14AE"/>
    <w:rsid w:val="004A7D6C"/>
    <w:rsid w:val="004B194B"/>
    <w:rsid w:val="004B28C8"/>
    <w:rsid w:val="004B4755"/>
    <w:rsid w:val="004B572C"/>
    <w:rsid w:val="004B6936"/>
    <w:rsid w:val="004B760D"/>
    <w:rsid w:val="004B78E8"/>
    <w:rsid w:val="004C0069"/>
    <w:rsid w:val="004C25E8"/>
    <w:rsid w:val="004C3FE3"/>
    <w:rsid w:val="004C56C5"/>
    <w:rsid w:val="004C779B"/>
    <w:rsid w:val="004D0464"/>
    <w:rsid w:val="004D5605"/>
    <w:rsid w:val="004D6CEE"/>
    <w:rsid w:val="004D78FE"/>
    <w:rsid w:val="004D79F8"/>
    <w:rsid w:val="004E0610"/>
    <w:rsid w:val="004E2736"/>
    <w:rsid w:val="004E2C3A"/>
    <w:rsid w:val="004E3D60"/>
    <w:rsid w:val="004E4F5F"/>
    <w:rsid w:val="004E78CD"/>
    <w:rsid w:val="004F09A0"/>
    <w:rsid w:val="004F3F78"/>
    <w:rsid w:val="004F555A"/>
    <w:rsid w:val="004F6680"/>
    <w:rsid w:val="00502CCB"/>
    <w:rsid w:val="00504776"/>
    <w:rsid w:val="00504C49"/>
    <w:rsid w:val="005051B4"/>
    <w:rsid w:val="00506BE5"/>
    <w:rsid w:val="00510473"/>
    <w:rsid w:val="005226B1"/>
    <w:rsid w:val="005232ED"/>
    <w:rsid w:val="005303EE"/>
    <w:rsid w:val="0053170A"/>
    <w:rsid w:val="00531E1E"/>
    <w:rsid w:val="00532955"/>
    <w:rsid w:val="00534533"/>
    <w:rsid w:val="0054253E"/>
    <w:rsid w:val="0054541C"/>
    <w:rsid w:val="005466BF"/>
    <w:rsid w:val="00555F70"/>
    <w:rsid w:val="0056100F"/>
    <w:rsid w:val="0056192D"/>
    <w:rsid w:val="00562759"/>
    <w:rsid w:val="0056317D"/>
    <w:rsid w:val="00564DBB"/>
    <w:rsid w:val="005667FB"/>
    <w:rsid w:val="005671DC"/>
    <w:rsid w:val="005678B7"/>
    <w:rsid w:val="00567D77"/>
    <w:rsid w:val="00573260"/>
    <w:rsid w:val="00575C7D"/>
    <w:rsid w:val="00577A56"/>
    <w:rsid w:val="00577B45"/>
    <w:rsid w:val="00581408"/>
    <w:rsid w:val="00581EB7"/>
    <w:rsid w:val="00582468"/>
    <w:rsid w:val="0058263F"/>
    <w:rsid w:val="005833FD"/>
    <w:rsid w:val="00584E71"/>
    <w:rsid w:val="00585CAE"/>
    <w:rsid w:val="0058642B"/>
    <w:rsid w:val="005945E3"/>
    <w:rsid w:val="0059783B"/>
    <w:rsid w:val="005A0422"/>
    <w:rsid w:val="005A05F2"/>
    <w:rsid w:val="005A12AA"/>
    <w:rsid w:val="005A1A28"/>
    <w:rsid w:val="005A2563"/>
    <w:rsid w:val="005A3BEB"/>
    <w:rsid w:val="005B0E7D"/>
    <w:rsid w:val="005B0F2F"/>
    <w:rsid w:val="005B7C2F"/>
    <w:rsid w:val="005D038D"/>
    <w:rsid w:val="005D4A1E"/>
    <w:rsid w:val="005D5E5C"/>
    <w:rsid w:val="005D7698"/>
    <w:rsid w:val="005E1B47"/>
    <w:rsid w:val="005E2708"/>
    <w:rsid w:val="005E38DE"/>
    <w:rsid w:val="005E4D97"/>
    <w:rsid w:val="005F0C85"/>
    <w:rsid w:val="005F4FA0"/>
    <w:rsid w:val="005F55B3"/>
    <w:rsid w:val="0060122E"/>
    <w:rsid w:val="0060222B"/>
    <w:rsid w:val="006027E2"/>
    <w:rsid w:val="00604D3E"/>
    <w:rsid w:val="006075BD"/>
    <w:rsid w:val="006117E3"/>
    <w:rsid w:val="00611ECA"/>
    <w:rsid w:val="00612A31"/>
    <w:rsid w:val="0061349A"/>
    <w:rsid w:val="00613A3D"/>
    <w:rsid w:val="006235B7"/>
    <w:rsid w:val="006363CE"/>
    <w:rsid w:val="006419F7"/>
    <w:rsid w:val="00641E15"/>
    <w:rsid w:val="006440B0"/>
    <w:rsid w:val="0064567F"/>
    <w:rsid w:val="00645D46"/>
    <w:rsid w:val="006464DA"/>
    <w:rsid w:val="00654097"/>
    <w:rsid w:val="0066175B"/>
    <w:rsid w:val="006656BC"/>
    <w:rsid w:val="00671B78"/>
    <w:rsid w:val="00675D3B"/>
    <w:rsid w:val="0068053A"/>
    <w:rsid w:val="00680595"/>
    <w:rsid w:val="0068079D"/>
    <w:rsid w:val="00681543"/>
    <w:rsid w:val="00682723"/>
    <w:rsid w:val="006861EA"/>
    <w:rsid w:val="00687234"/>
    <w:rsid w:val="0068753F"/>
    <w:rsid w:val="006924D7"/>
    <w:rsid w:val="00695750"/>
    <w:rsid w:val="00697D77"/>
    <w:rsid w:val="006A1D51"/>
    <w:rsid w:val="006A1E8E"/>
    <w:rsid w:val="006A4710"/>
    <w:rsid w:val="006A50A9"/>
    <w:rsid w:val="006A67D1"/>
    <w:rsid w:val="006B3A0A"/>
    <w:rsid w:val="006B50B8"/>
    <w:rsid w:val="006B5232"/>
    <w:rsid w:val="006B68CB"/>
    <w:rsid w:val="006B6BE8"/>
    <w:rsid w:val="006C0053"/>
    <w:rsid w:val="006C6090"/>
    <w:rsid w:val="006C644D"/>
    <w:rsid w:val="006C6973"/>
    <w:rsid w:val="006C6AE8"/>
    <w:rsid w:val="006C7FC6"/>
    <w:rsid w:val="006D48AC"/>
    <w:rsid w:val="006D5454"/>
    <w:rsid w:val="006D5D73"/>
    <w:rsid w:val="006E4348"/>
    <w:rsid w:val="006E5E53"/>
    <w:rsid w:val="006E7570"/>
    <w:rsid w:val="006F07F7"/>
    <w:rsid w:val="006F281C"/>
    <w:rsid w:val="006F3C3B"/>
    <w:rsid w:val="006F4657"/>
    <w:rsid w:val="006F6620"/>
    <w:rsid w:val="006F7586"/>
    <w:rsid w:val="00702BC9"/>
    <w:rsid w:val="00704F4B"/>
    <w:rsid w:val="007051F6"/>
    <w:rsid w:val="0070629C"/>
    <w:rsid w:val="00710E9C"/>
    <w:rsid w:val="00711D82"/>
    <w:rsid w:val="007125ED"/>
    <w:rsid w:val="0071325C"/>
    <w:rsid w:val="00715248"/>
    <w:rsid w:val="00716037"/>
    <w:rsid w:val="00717909"/>
    <w:rsid w:val="00717D84"/>
    <w:rsid w:val="007212EB"/>
    <w:rsid w:val="00721857"/>
    <w:rsid w:val="00725F47"/>
    <w:rsid w:val="007263A4"/>
    <w:rsid w:val="00731423"/>
    <w:rsid w:val="00731970"/>
    <w:rsid w:val="007337D9"/>
    <w:rsid w:val="00737F68"/>
    <w:rsid w:val="007443B8"/>
    <w:rsid w:val="00744F92"/>
    <w:rsid w:val="007455D7"/>
    <w:rsid w:val="00745FAD"/>
    <w:rsid w:val="00746490"/>
    <w:rsid w:val="007466BC"/>
    <w:rsid w:val="00746B27"/>
    <w:rsid w:val="00747B12"/>
    <w:rsid w:val="007508F7"/>
    <w:rsid w:val="00750E11"/>
    <w:rsid w:val="007512FD"/>
    <w:rsid w:val="00751C8D"/>
    <w:rsid w:val="00752E7E"/>
    <w:rsid w:val="00753051"/>
    <w:rsid w:val="00756626"/>
    <w:rsid w:val="00762289"/>
    <w:rsid w:val="007631E9"/>
    <w:rsid w:val="007633FF"/>
    <w:rsid w:val="007658DB"/>
    <w:rsid w:val="00773BCC"/>
    <w:rsid w:val="00774114"/>
    <w:rsid w:val="007779E5"/>
    <w:rsid w:val="00782649"/>
    <w:rsid w:val="0078478C"/>
    <w:rsid w:val="00785996"/>
    <w:rsid w:val="007933D4"/>
    <w:rsid w:val="00795633"/>
    <w:rsid w:val="007A174A"/>
    <w:rsid w:val="007B21FE"/>
    <w:rsid w:val="007B2854"/>
    <w:rsid w:val="007C026C"/>
    <w:rsid w:val="007C1CA9"/>
    <w:rsid w:val="007C1F3A"/>
    <w:rsid w:val="007C37D3"/>
    <w:rsid w:val="007C4BDB"/>
    <w:rsid w:val="007C7C07"/>
    <w:rsid w:val="007D325B"/>
    <w:rsid w:val="007D4910"/>
    <w:rsid w:val="007D7078"/>
    <w:rsid w:val="007D79CD"/>
    <w:rsid w:val="007E01D6"/>
    <w:rsid w:val="007E268F"/>
    <w:rsid w:val="007F0A41"/>
    <w:rsid w:val="007F2D21"/>
    <w:rsid w:val="007F3DC1"/>
    <w:rsid w:val="007F6FED"/>
    <w:rsid w:val="007F7F63"/>
    <w:rsid w:val="00803669"/>
    <w:rsid w:val="00803BBB"/>
    <w:rsid w:val="00803F40"/>
    <w:rsid w:val="00805E7D"/>
    <w:rsid w:val="00806DE4"/>
    <w:rsid w:val="00807BE2"/>
    <w:rsid w:val="00812373"/>
    <w:rsid w:val="00815EBF"/>
    <w:rsid w:val="00821327"/>
    <w:rsid w:val="00821DC5"/>
    <w:rsid w:val="0082608A"/>
    <w:rsid w:val="008271B8"/>
    <w:rsid w:val="00834965"/>
    <w:rsid w:val="00836787"/>
    <w:rsid w:val="00837B2B"/>
    <w:rsid w:val="00840704"/>
    <w:rsid w:val="0084088E"/>
    <w:rsid w:val="00841C30"/>
    <w:rsid w:val="00845290"/>
    <w:rsid w:val="00846C93"/>
    <w:rsid w:val="00847A11"/>
    <w:rsid w:val="00850F23"/>
    <w:rsid w:val="00851162"/>
    <w:rsid w:val="00853144"/>
    <w:rsid w:val="0085708B"/>
    <w:rsid w:val="008601DC"/>
    <w:rsid w:val="00866A46"/>
    <w:rsid w:val="008676DA"/>
    <w:rsid w:val="008748FA"/>
    <w:rsid w:val="00875023"/>
    <w:rsid w:val="008759EA"/>
    <w:rsid w:val="008828CD"/>
    <w:rsid w:val="00883458"/>
    <w:rsid w:val="00890242"/>
    <w:rsid w:val="00890A71"/>
    <w:rsid w:val="00892080"/>
    <w:rsid w:val="00893237"/>
    <w:rsid w:val="00894927"/>
    <w:rsid w:val="00894D99"/>
    <w:rsid w:val="00896B1B"/>
    <w:rsid w:val="008A1268"/>
    <w:rsid w:val="008A1D3A"/>
    <w:rsid w:val="008A39CF"/>
    <w:rsid w:val="008A43AB"/>
    <w:rsid w:val="008A68B5"/>
    <w:rsid w:val="008B075B"/>
    <w:rsid w:val="008B266A"/>
    <w:rsid w:val="008B4494"/>
    <w:rsid w:val="008B4D60"/>
    <w:rsid w:val="008B75A5"/>
    <w:rsid w:val="008C05B3"/>
    <w:rsid w:val="008C0B3C"/>
    <w:rsid w:val="008C1E8E"/>
    <w:rsid w:val="008C3831"/>
    <w:rsid w:val="008C6F86"/>
    <w:rsid w:val="008D1B59"/>
    <w:rsid w:val="008D2CCA"/>
    <w:rsid w:val="008D34D4"/>
    <w:rsid w:val="008D3647"/>
    <w:rsid w:val="008D5211"/>
    <w:rsid w:val="008D55A4"/>
    <w:rsid w:val="008E0EC8"/>
    <w:rsid w:val="008E4A41"/>
    <w:rsid w:val="008E5BEE"/>
    <w:rsid w:val="008F0AC8"/>
    <w:rsid w:val="008F0B5F"/>
    <w:rsid w:val="008F2BE3"/>
    <w:rsid w:val="008F7487"/>
    <w:rsid w:val="00906529"/>
    <w:rsid w:val="00907272"/>
    <w:rsid w:val="00910806"/>
    <w:rsid w:val="00913766"/>
    <w:rsid w:val="00914C3C"/>
    <w:rsid w:val="00916C16"/>
    <w:rsid w:val="00916E6B"/>
    <w:rsid w:val="00926894"/>
    <w:rsid w:val="00930E8B"/>
    <w:rsid w:val="0093171F"/>
    <w:rsid w:val="00935B1E"/>
    <w:rsid w:val="0094528A"/>
    <w:rsid w:val="00946668"/>
    <w:rsid w:val="00947D3B"/>
    <w:rsid w:val="00947E22"/>
    <w:rsid w:val="009504EF"/>
    <w:rsid w:val="009507C4"/>
    <w:rsid w:val="00953B2F"/>
    <w:rsid w:val="0095608C"/>
    <w:rsid w:val="009572EF"/>
    <w:rsid w:val="00960E72"/>
    <w:rsid w:val="0096210C"/>
    <w:rsid w:val="00962894"/>
    <w:rsid w:val="00962EC4"/>
    <w:rsid w:val="0096491A"/>
    <w:rsid w:val="009650D6"/>
    <w:rsid w:val="009654CF"/>
    <w:rsid w:val="00966D29"/>
    <w:rsid w:val="009679A2"/>
    <w:rsid w:val="009724C4"/>
    <w:rsid w:val="00972723"/>
    <w:rsid w:val="009727DB"/>
    <w:rsid w:val="009730EE"/>
    <w:rsid w:val="00974B5B"/>
    <w:rsid w:val="00974C70"/>
    <w:rsid w:val="00977E64"/>
    <w:rsid w:val="00985324"/>
    <w:rsid w:val="0098604A"/>
    <w:rsid w:val="00995896"/>
    <w:rsid w:val="00997A3C"/>
    <w:rsid w:val="009A0943"/>
    <w:rsid w:val="009A11E6"/>
    <w:rsid w:val="009A1FDF"/>
    <w:rsid w:val="009A210F"/>
    <w:rsid w:val="009A3878"/>
    <w:rsid w:val="009A51AF"/>
    <w:rsid w:val="009B0C8C"/>
    <w:rsid w:val="009B121E"/>
    <w:rsid w:val="009B1BD3"/>
    <w:rsid w:val="009B1C63"/>
    <w:rsid w:val="009B4412"/>
    <w:rsid w:val="009B469D"/>
    <w:rsid w:val="009B46B6"/>
    <w:rsid w:val="009B46C9"/>
    <w:rsid w:val="009B51F4"/>
    <w:rsid w:val="009B76DC"/>
    <w:rsid w:val="009C2A19"/>
    <w:rsid w:val="009D2B1B"/>
    <w:rsid w:val="009D2B79"/>
    <w:rsid w:val="009D4964"/>
    <w:rsid w:val="009D5FCF"/>
    <w:rsid w:val="009D6CEA"/>
    <w:rsid w:val="009D7703"/>
    <w:rsid w:val="009E2124"/>
    <w:rsid w:val="009E255E"/>
    <w:rsid w:val="009E4F94"/>
    <w:rsid w:val="009F0466"/>
    <w:rsid w:val="009F162C"/>
    <w:rsid w:val="009F3D85"/>
    <w:rsid w:val="009F4297"/>
    <w:rsid w:val="009F4D26"/>
    <w:rsid w:val="00A00741"/>
    <w:rsid w:val="00A043CE"/>
    <w:rsid w:val="00A06CC2"/>
    <w:rsid w:val="00A1095D"/>
    <w:rsid w:val="00A11B38"/>
    <w:rsid w:val="00A12F5A"/>
    <w:rsid w:val="00A12F63"/>
    <w:rsid w:val="00A171C6"/>
    <w:rsid w:val="00A20FAB"/>
    <w:rsid w:val="00A238A0"/>
    <w:rsid w:val="00A24B88"/>
    <w:rsid w:val="00A24D3F"/>
    <w:rsid w:val="00A35AEE"/>
    <w:rsid w:val="00A37877"/>
    <w:rsid w:val="00A407A2"/>
    <w:rsid w:val="00A41C73"/>
    <w:rsid w:val="00A42D82"/>
    <w:rsid w:val="00A45545"/>
    <w:rsid w:val="00A4764B"/>
    <w:rsid w:val="00A508D3"/>
    <w:rsid w:val="00A512B2"/>
    <w:rsid w:val="00A51AE9"/>
    <w:rsid w:val="00A56321"/>
    <w:rsid w:val="00A645E3"/>
    <w:rsid w:val="00A649BD"/>
    <w:rsid w:val="00A64C5F"/>
    <w:rsid w:val="00A669AB"/>
    <w:rsid w:val="00A679BF"/>
    <w:rsid w:val="00A70215"/>
    <w:rsid w:val="00A77C2D"/>
    <w:rsid w:val="00A832E2"/>
    <w:rsid w:val="00A837FB"/>
    <w:rsid w:val="00A85421"/>
    <w:rsid w:val="00A8609A"/>
    <w:rsid w:val="00A90004"/>
    <w:rsid w:val="00A90EA6"/>
    <w:rsid w:val="00A92572"/>
    <w:rsid w:val="00A978E3"/>
    <w:rsid w:val="00AA490A"/>
    <w:rsid w:val="00AA4FD6"/>
    <w:rsid w:val="00AB10BD"/>
    <w:rsid w:val="00AB251D"/>
    <w:rsid w:val="00AB321B"/>
    <w:rsid w:val="00AC0CF7"/>
    <w:rsid w:val="00AC2111"/>
    <w:rsid w:val="00AC35C8"/>
    <w:rsid w:val="00AC3BC7"/>
    <w:rsid w:val="00AC50B3"/>
    <w:rsid w:val="00AD1008"/>
    <w:rsid w:val="00AD2808"/>
    <w:rsid w:val="00AD7872"/>
    <w:rsid w:val="00AD7E92"/>
    <w:rsid w:val="00AE2487"/>
    <w:rsid w:val="00AE36A6"/>
    <w:rsid w:val="00AE3E96"/>
    <w:rsid w:val="00AE542F"/>
    <w:rsid w:val="00AE6BE2"/>
    <w:rsid w:val="00AF33B2"/>
    <w:rsid w:val="00AF5B2D"/>
    <w:rsid w:val="00B01F7D"/>
    <w:rsid w:val="00B0237D"/>
    <w:rsid w:val="00B05518"/>
    <w:rsid w:val="00B137FD"/>
    <w:rsid w:val="00B13B6D"/>
    <w:rsid w:val="00B143EF"/>
    <w:rsid w:val="00B15FB7"/>
    <w:rsid w:val="00B1627F"/>
    <w:rsid w:val="00B218AA"/>
    <w:rsid w:val="00B22796"/>
    <w:rsid w:val="00B27EFC"/>
    <w:rsid w:val="00B3250A"/>
    <w:rsid w:val="00B407DC"/>
    <w:rsid w:val="00B40B5D"/>
    <w:rsid w:val="00B41EB8"/>
    <w:rsid w:val="00B5426C"/>
    <w:rsid w:val="00B54791"/>
    <w:rsid w:val="00B56A61"/>
    <w:rsid w:val="00B575EB"/>
    <w:rsid w:val="00B640BE"/>
    <w:rsid w:val="00B64169"/>
    <w:rsid w:val="00B669AB"/>
    <w:rsid w:val="00B70684"/>
    <w:rsid w:val="00B772EA"/>
    <w:rsid w:val="00B777B1"/>
    <w:rsid w:val="00B81FB2"/>
    <w:rsid w:val="00B8248D"/>
    <w:rsid w:val="00B85DCB"/>
    <w:rsid w:val="00B87D2A"/>
    <w:rsid w:val="00B90D85"/>
    <w:rsid w:val="00B93137"/>
    <w:rsid w:val="00B9540A"/>
    <w:rsid w:val="00B97900"/>
    <w:rsid w:val="00BA2369"/>
    <w:rsid w:val="00BA36A3"/>
    <w:rsid w:val="00BB0787"/>
    <w:rsid w:val="00BB07BC"/>
    <w:rsid w:val="00BB5746"/>
    <w:rsid w:val="00BB6628"/>
    <w:rsid w:val="00BB6FE5"/>
    <w:rsid w:val="00BC17E9"/>
    <w:rsid w:val="00BC3581"/>
    <w:rsid w:val="00BC658E"/>
    <w:rsid w:val="00BD06AF"/>
    <w:rsid w:val="00BD0ACA"/>
    <w:rsid w:val="00BD3495"/>
    <w:rsid w:val="00BE0A92"/>
    <w:rsid w:val="00BE21E3"/>
    <w:rsid w:val="00BE6671"/>
    <w:rsid w:val="00BF1D3D"/>
    <w:rsid w:val="00BF4AC1"/>
    <w:rsid w:val="00BF4CF4"/>
    <w:rsid w:val="00C000E7"/>
    <w:rsid w:val="00C01433"/>
    <w:rsid w:val="00C0193D"/>
    <w:rsid w:val="00C04A12"/>
    <w:rsid w:val="00C05F31"/>
    <w:rsid w:val="00C10818"/>
    <w:rsid w:val="00C1109A"/>
    <w:rsid w:val="00C20C04"/>
    <w:rsid w:val="00C22153"/>
    <w:rsid w:val="00C22FCD"/>
    <w:rsid w:val="00C240D1"/>
    <w:rsid w:val="00C26C32"/>
    <w:rsid w:val="00C301F6"/>
    <w:rsid w:val="00C3067C"/>
    <w:rsid w:val="00C34475"/>
    <w:rsid w:val="00C34D89"/>
    <w:rsid w:val="00C40F0B"/>
    <w:rsid w:val="00C4182C"/>
    <w:rsid w:val="00C51CA0"/>
    <w:rsid w:val="00C5372B"/>
    <w:rsid w:val="00C545A5"/>
    <w:rsid w:val="00C56307"/>
    <w:rsid w:val="00C6046B"/>
    <w:rsid w:val="00C63357"/>
    <w:rsid w:val="00C659E5"/>
    <w:rsid w:val="00C66716"/>
    <w:rsid w:val="00C70983"/>
    <w:rsid w:val="00C72947"/>
    <w:rsid w:val="00C737EA"/>
    <w:rsid w:val="00C74D10"/>
    <w:rsid w:val="00C751C2"/>
    <w:rsid w:val="00C759A2"/>
    <w:rsid w:val="00C82269"/>
    <w:rsid w:val="00C830FA"/>
    <w:rsid w:val="00C845ED"/>
    <w:rsid w:val="00C86957"/>
    <w:rsid w:val="00C96DB7"/>
    <w:rsid w:val="00CA16F7"/>
    <w:rsid w:val="00CA30AB"/>
    <w:rsid w:val="00CA3718"/>
    <w:rsid w:val="00CA4DED"/>
    <w:rsid w:val="00CA4F86"/>
    <w:rsid w:val="00CA5584"/>
    <w:rsid w:val="00CB0F3D"/>
    <w:rsid w:val="00CB2A35"/>
    <w:rsid w:val="00CB56D3"/>
    <w:rsid w:val="00CB5E52"/>
    <w:rsid w:val="00CB7D3B"/>
    <w:rsid w:val="00CC0B6A"/>
    <w:rsid w:val="00CC2D1F"/>
    <w:rsid w:val="00CC4496"/>
    <w:rsid w:val="00CC4544"/>
    <w:rsid w:val="00CD3034"/>
    <w:rsid w:val="00CD334A"/>
    <w:rsid w:val="00CD5227"/>
    <w:rsid w:val="00CD7D69"/>
    <w:rsid w:val="00CE0866"/>
    <w:rsid w:val="00CE10F5"/>
    <w:rsid w:val="00CE24EF"/>
    <w:rsid w:val="00CE3489"/>
    <w:rsid w:val="00CE6562"/>
    <w:rsid w:val="00CE67E7"/>
    <w:rsid w:val="00CF0640"/>
    <w:rsid w:val="00CF5B96"/>
    <w:rsid w:val="00CF63C8"/>
    <w:rsid w:val="00CF673A"/>
    <w:rsid w:val="00D021F9"/>
    <w:rsid w:val="00D0438C"/>
    <w:rsid w:val="00D06C30"/>
    <w:rsid w:val="00D10F4A"/>
    <w:rsid w:val="00D155DB"/>
    <w:rsid w:val="00D16ABE"/>
    <w:rsid w:val="00D1739B"/>
    <w:rsid w:val="00D17668"/>
    <w:rsid w:val="00D1771A"/>
    <w:rsid w:val="00D203A0"/>
    <w:rsid w:val="00D220AF"/>
    <w:rsid w:val="00D2368D"/>
    <w:rsid w:val="00D23C3D"/>
    <w:rsid w:val="00D23CCF"/>
    <w:rsid w:val="00D27901"/>
    <w:rsid w:val="00D30044"/>
    <w:rsid w:val="00D315F9"/>
    <w:rsid w:val="00D31628"/>
    <w:rsid w:val="00D32499"/>
    <w:rsid w:val="00D34195"/>
    <w:rsid w:val="00D3773F"/>
    <w:rsid w:val="00D37F23"/>
    <w:rsid w:val="00D4067A"/>
    <w:rsid w:val="00D407E0"/>
    <w:rsid w:val="00D435BB"/>
    <w:rsid w:val="00D510E9"/>
    <w:rsid w:val="00D5387F"/>
    <w:rsid w:val="00D548E6"/>
    <w:rsid w:val="00D57A96"/>
    <w:rsid w:val="00D60618"/>
    <w:rsid w:val="00D61F2B"/>
    <w:rsid w:val="00D6435F"/>
    <w:rsid w:val="00D663A3"/>
    <w:rsid w:val="00D7289F"/>
    <w:rsid w:val="00D7302D"/>
    <w:rsid w:val="00D74486"/>
    <w:rsid w:val="00D74696"/>
    <w:rsid w:val="00D80AB3"/>
    <w:rsid w:val="00D81087"/>
    <w:rsid w:val="00D81F75"/>
    <w:rsid w:val="00D820D5"/>
    <w:rsid w:val="00D859F1"/>
    <w:rsid w:val="00D86F81"/>
    <w:rsid w:val="00D94FCC"/>
    <w:rsid w:val="00D96DE7"/>
    <w:rsid w:val="00DA035A"/>
    <w:rsid w:val="00DA0DC9"/>
    <w:rsid w:val="00DA47F3"/>
    <w:rsid w:val="00DB18FB"/>
    <w:rsid w:val="00DB75F9"/>
    <w:rsid w:val="00DC28DF"/>
    <w:rsid w:val="00DC4B7E"/>
    <w:rsid w:val="00DC4EC6"/>
    <w:rsid w:val="00DC5255"/>
    <w:rsid w:val="00DD0C18"/>
    <w:rsid w:val="00DD1462"/>
    <w:rsid w:val="00DD46FE"/>
    <w:rsid w:val="00DD5245"/>
    <w:rsid w:val="00DD75AF"/>
    <w:rsid w:val="00DE3863"/>
    <w:rsid w:val="00DE5910"/>
    <w:rsid w:val="00DF2E11"/>
    <w:rsid w:val="00DF4CEF"/>
    <w:rsid w:val="00DF57C8"/>
    <w:rsid w:val="00DF7DB7"/>
    <w:rsid w:val="00E00DC4"/>
    <w:rsid w:val="00E021F9"/>
    <w:rsid w:val="00E026D5"/>
    <w:rsid w:val="00E0500B"/>
    <w:rsid w:val="00E05663"/>
    <w:rsid w:val="00E05721"/>
    <w:rsid w:val="00E0649A"/>
    <w:rsid w:val="00E071E0"/>
    <w:rsid w:val="00E11F27"/>
    <w:rsid w:val="00E21CD6"/>
    <w:rsid w:val="00E232FB"/>
    <w:rsid w:val="00E240E4"/>
    <w:rsid w:val="00E245A7"/>
    <w:rsid w:val="00E30A75"/>
    <w:rsid w:val="00E320DD"/>
    <w:rsid w:val="00E321AD"/>
    <w:rsid w:val="00E34064"/>
    <w:rsid w:val="00E34E6D"/>
    <w:rsid w:val="00E35FF3"/>
    <w:rsid w:val="00E37B9A"/>
    <w:rsid w:val="00E43426"/>
    <w:rsid w:val="00E44BDC"/>
    <w:rsid w:val="00E4509D"/>
    <w:rsid w:val="00E46620"/>
    <w:rsid w:val="00E5709C"/>
    <w:rsid w:val="00E575F8"/>
    <w:rsid w:val="00E57C15"/>
    <w:rsid w:val="00E57D52"/>
    <w:rsid w:val="00E62300"/>
    <w:rsid w:val="00E624EE"/>
    <w:rsid w:val="00E626E4"/>
    <w:rsid w:val="00E63347"/>
    <w:rsid w:val="00E63372"/>
    <w:rsid w:val="00E669AA"/>
    <w:rsid w:val="00E7093D"/>
    <w:rsid w:val="00E75387"/>
    <w:rsid w:val="00E812DA"/>
    <w:rsid w:val="00E81C00"/>
    <w:rsid w:val="00E832D4"/>
    <w:rsid w:val="00E85FF4"/>
    <w:rsid w:val="00E86141"/>
    <w:rsid w:val="00E861FF"/>
    <w:rsid w:val="00E878F4"/>
    <w:rsid w:val="00E8799F"/>
    <w:rsid w:val="00E916FC"/>
    <w:rsid w:val="00E967B4"/>
    <w:rsid w:val="00E97456"/>
    <w:rsid w:val="00EA7856"/>
    <w:rsid w:val="00EB01EC"/>
    <w:rsid w:val="00EB1742"/>
    <w:rsid w:val="00EB1888"/>
    <w:rsid w:val="00EB39A0"/>
    <w:rsid w:val="00EB3BAA"/>
    <w:rsid w:val="00EB475E"/>
    <w:rsid w:val="00EB58D5"/>
    <w:rsid w:val="00EB6867"/>
    <w:rsid w:val="00EB7733"/>
    <w:rsid w:val="00ED0E68"/>
    <w:rsid w:val="00ED22BB"/>
    <w:rsid w:val="00ED62EA"/>
    <w:rsid w:val="00ED635A"/>
    <w:rsid w:val="00ED6E0F"/>
    <w:rsid w:val="00EE18A5"/>
    <w:rsid w:val="00EE265A"/>
    <w:rsid w:val="00EF03E9"/>
    <w:rsid w:val="00EF4D98"/>
    <w:rsid w:val="00EF737D"/>
    <w:rsid w:val="00F004B2"/>
    <w:rsid w:val="00F009E4"/>
    <w:rsid w:val="00F02F44"/>
    <w:rsid w:val="00F045B7"/>
    <w:rsid w:val="00F049DE"/>
    <w:rsid w:val="00F10E82"/>
    <w:rsid w:val="00F12B29"/>
    <w:rsid w:val="00F15338"/>
    <w:rsid w:val="00F17F58"/>
    <w:rsid w:val="00F20414"/>
    <w:rsid w:val="00F22A1D"/>
    <w:rsid w:val="00F23D6A"/>
    <w:rsid w:val="00F258E2"/>
    <w:rsid w:val="00F25F8D"/>
    <w:rsid w:val="00F32190"/>
    <w:rsid w:val="00F32401"/>
    <w:rsid w:val="00F33313"/>
    <w:rsid w:val="00F35AB7"/>
    <w:rsid w:val="00F3603E"/>
    <w:rsid w:val="00F401E4"/>
    <w:rsid w:val="00F404AD"/>
    <w:rsid w:val="00F40A2C"/>
    <w:rsid w:val="00F41EDB"/>
    <w:rsid w:val="00F43257"/>
    <w:rsid w:val="00F4753F"/>
    <w:rsid w:val="00F47B6E"/>
    <w:rsid w:val="00F51B92"/>
    <w:rsid w:val="00F52C12"/>
    <w:rsid w:val="00F57CB6"/>
    <w:rsid w:val="00F61886"/>
    <w:rsid w:val="00F63281"/>
    <w:rsid w:val="00F63841"/>
    <w:rsid w:val="00F642F0"/>
    <w:rsid w:val="00F65CDA"/>
    <w:rsid w:val="00F66619"/>
    <w:rsid w:val="00F71209"/>
    <w:rsid w:val="00F72F31"/>
    <w:rsid w:val="00F73545"/>
    <w:rsid w:val="00F74D40"/>
    <w:rsid w:val="00F7660F"/>
    <w:rsid w:val="00F76729"/>
    <w:rsid w:val="00F769E6"/>
    <w:rsid w:val="00F83951"/>
    <w:rsid w:val="00F8455A"/>
    <w:rsid w:val="00F86218"/>
    <w:rsid w:val="00F93FCA"/>
    <w:rsid w:val="00F94443"/>
    <w:rsid w:val="00FA0DEF"/>
    <w:rsid w:val="00FA6169"/>
    <w:rsid w:val="00FA76A8"/>
    <w:rsid w:val="00FB05E4"/>
    <w:rsid w:val="00FB13F6"/>
    <w:rsid w:val="00FB164D"/>
    <w:rsid w:val="00FB1E72"/>
    <w:rsid w:val="00FB2B3D"/>
    <w:rsid w:val="00FB3D7A"/>
    <w:rsid w:val="00FB4541"/>
    <w:rsid w:val="00FB4CAE"/>
    <w:rsid w:val="00FC0905"/>
    <w:rsid w:val="00FC1068"/>
    <w:rsid w:val="00FC2753"/>
    <w:rsid w:val="00FC293E"/>
    <w:rsid w:val="00FC3F5F"/>
    <w:rsid w:val="00FC48DA"/>
    <w:rsid w:val="00FC6929"/>
    <w:rsid w:val="00FC6AE4"/>
    <w:rsid w:val="00FD1C47"/>
    <w:rsid w:val="00FD43D7"/>
    <w:rsid w:val="00FD48E7"/>
    <w:rsid w:val="00FE1DD2"/>
    <w:rsid w:val="00FE38B7"/>
    <w:rsid w:val="00FF08F7"/>
    <w:rsid w:val="00FF0C99"/>
    <w:rsid w:val="00FF4C49"/>
    <w:rsid w:val="00FF54E6"/>
    <w:rsid w:val="00FF5647"/>
    <w:rsid w:val="00FF6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988995B"/>
  <w15:chartTrackingRefBased/>
  <w15:docId w15:val="{3B1CCE00-B5DB-40A2-9EAB-34BE61F4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D21"/>
    <w:pPr>
      <w:spacing w:after="0" w:line="276" w:lineRule="auto"/>
      <w:jc w:val="both"/>
    </w:pPr>
    <w:rPr>
      <w:rFonts w:ascii="Arial" w:eastAsia="Calibri" w:hAnsi="Arial" w:cs="Times New Roman"/>
    </w:rPr>
  </w:style>
  <w:style w:type="paragraph" w:styleId="Ttulo1">
    <w:name w:val="heading 1"/>
    <w:basedOn w:val="Normal"/>
    <w:next w:val="Normal"/>
    <w:link w:val="Ttulo1Car"/>
    <w:qFormat/>
    <w:rsid w:val="008A39CF"/>
    <w:pPr>
      <w:keepNext/>
      <w:spacing w:line="240" w:lineRule="auto"/>
      <w:jc w:val="center"/>
      <w:outlineLvl w:val="0"/>
    </w:pPr>
    <w:rPr>
      <w:rFonts w:ascii="Times New Roman" w:eastAsia="Times New Roman" w:hAnsi="Times New Roman"/>
      <w:b/>
      <w:bCs/>
      <w:sz w:val="20"/>
      <w:szCs w:val="24"/>
      <w:lang w:eastAsia="es-ES"/>
    </w:rPr>
  </w:style>
  <w:style w:type="paragraph" w:styleId="Ttulo2">
    <w:name w:val="heading 2"/>
    <w:aliases w:val="Título Tema"/>
    <w:basedOn w:val="Normal"/>
    <w:next w:val="Normal"/>
    <w:link w:val="Ttulo2Car"/>
    <w:uiPriority w:val="9"/>
    <w:unhideWhenUsed/>
    <w:qFormat/>
    <w:rsid w:val="008A39CF"/>
    <w:pPr>
      <w:keepNext/>
      <w:keepLines/>
      <w:autoSpaceDE w:val="0"/>
      <w:autoSpaceDN w:val="0"/>
      <w:adjustRightInd w:val="0"/>
      <w:spacing w:after="120"/>
      <w:outlineLvl w:val="1"/>
    </w:pPr>
    <w:rPr>
      <w:rFonts w:ascii="ITC Avant Garde" w:hAnsi="ITC Avant Garde"/>
      <w:b/>
    </w:rPr>
  </w:style>
  <w:style w:type="paragraph" w:styleId="Ttulo3">
    <w:name w:val="heading 3"/>
    <w:basedOn w:val="Normal"/>
    <w:next w:val="Normal"/>
    <w:link w:val="Ttulo3Car"/>
    <w:uiPriority w:val="9"/>
    <w:unhideWhenUsed/>
    <w:qFormat/>
    <w:rsid w:val="008A39CF"/>
    <w:pPr>
      <w:numPr>
        <w:numId w:val="5"/>
      </w:numPr>
      <w:contextualSpacing/>
      <w:outlineLvl w:val="2"/>
    </w:pPr>
    <w:rPr>
      <w:rFonts w:ascii="ITC Avant Garde" w:hAnsi="ITC Avant Garde"/>
      <w:b/>
      <w:i/>
    </w:rPr>
  </w:style>
  <w:style w:type="paragraph" w:styleId="Ttulo4">
    <w:name w:val="heading 4"/>
    <w:basedOn w:val="Ttulo2"/>
    <w:next w:val="Normal"/>
    <w:link w:val="Ttulo4Car"/>
    <w:uiPriority w:val="9"/>
    <w:unhideWhenUsed/>
    <w:qFormat/>
    <w:rsid w:val="008A39CF"/>
    <w:pPr>
      <w:autoSpaceDE/>
      <w:autoSpaceDN/>
      <w:adjustRightInd/>
      <w:spacing w:before="240" w:line="240" w:lineRule="auto"/>
      <w:ind w:left="658" w:hanging="658"/>
      <w:outlineLvl w:val="3"/>
    </w:pPr>
    <w:rPr>
      <w:rFonts w:eastAsia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39CF"/>
    <w:rPr>
      <w:rFonts w:ascii="Times New Roman" w:eastAsia="Times New Roman" w:hAnsi="Times New Roman" w:cs="Times New Roman"/>
      <w:b/>
      <w:bCs/>
      <w:sz w:val="20"/>
      <w:szCs w:val="24"/>
      <w:lang w:eastAsia="es-ES"/>
    </w:rPr>
  </w:style>
  <w:style w:type="character" w:customStyle="1" w:styleId="Ttulo2Car">
    <w:name w:val="Título 2 Car"/>
    <w:aliases w:val="Título Tema Car"/>
    <w:basedOn w:val="Fuentedeprrafopredeter"/>
    <w:link w:val="Ttulo2"/>
    <w:uiPriority w:val="9"/>
    <w:rsid w:val="008A39CF"/>
    <w:rPr>
      <w:rFonts w:ascii="ITC Avant Garde" w:eastAsia="Calibri" w:hAnsi="ITC Avant Garde" w:cs="Times New Roman"/>
      <w:b/>
    </w:rPr>
  </w:style>
  <w:style w:type="character" w:customStyle="1" w:styleId="Ttulo3Car">
    <w:name w:val="Título 3 Car"/>
    <w:basedOn w:val="Fuentedeprrafopredeter"/>
    <w:link w:val="Ttulo3"/>
    <w:uiPriority w:val="9"/>
    <w:rsid w:val="008A39CF"/>
    <w:rPr>
      <w:rFonts w:ascii="ITC Avant Garde" w:eastAsia="Calibri" w:hAnsi="ITC Avant Garde" w:cs="Times New Roman"/>
      <w:b/>
      <w:i/>
    </w:rPr>
  </w:style>
  <w:style w:type="character" w:customStyle="1" w:styleId="Ttulo4Car">
    <w:name w:val="Título 4 Car"/>
    <w:basedOn w:val="Fuentedeprrafopredeter"/>
    <w:link w:val="Ttulo4"/>
    <w:uiPriority w:val="9"/>
    <w:rsid w:val="008A39CF"/>
    <w:rPr>
      <w:rFonts w:ascii="ITC Avant Garde" w:hAnsi="ITC Avant Garde" w:cs="Times New Roman"/>
      <w:b/>
    </w:rPr>
  </w:style>
  <w:style w:type="paragraph" w:styleId="Encabezado">
    <w:name w:val="header"/>
    <w:basedOn w:val="Normal"/>
    <w:link w:val="EncabezadoCar"/>
    <w:uiPriority w:val="99"/>
    <w:unhideWhenUsed/>
    <w:rsid w:val="008A39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A39CF"/>
    <w:rPr>
      <w:rFonts w:ascii="Calibri" w:eastAsia="Calibri" w:hAnsi="Calibri" w:cs="Times New Roman"/>
    </w:rPr>
  </w:style>
  <w:style w:type="paragraph" w:styleId="Piedepgina">
    <w:name w:val="footer"/>
    <w:basedOn w:val="Normal"/>
    <w:link w:val="PiedepginaCar"/>
    <w:uiPriority w:val="99"/>
    <w:unhideWhenUsed/>
    <w:rsid w:val="008A39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A39CF"/>
    <w:rPr>
      <w:rFonts w:ascii="Calibri" w:eastAsia="Calibri" w:hAnsi="Calibri" w:cs="Times New Roman"/>
    </w:rPr>
  </w:style>
  <w:style w:type="paragraph" w:customStyle="1" w:styleId="estilo30">
    <w:name w:val="estilo30"/>
    <w:basedOn w:val="Normal"/>
    <w:rsid w:val="008A39CF"/>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A39C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8A39CF"/>
    <w:pPr>
      <w:autoSpaceDE w:val="0"/>
      <w:autoSpaceDN w:val="0"/>
      <w:adjustRightInd w:val="0"/>
      <w:spacing w:after="0" w:line="240" w:lineRule="auto"/>
    </w:pPr>
    <w:rPr>
      <w:rFonts w:ascii="Tahoma" w:eastAsia="Calibri" w:hAnsi="Tahoma" w:cs="Tahoma"/>
      <w:color w:val="000000"/>
      <w:sz w:val="24"/>
      <w:szCs w:val="24"/>
      <w:lang w:eastAsia="es-MX"/>
    </w:rPr>
  </w:style>
  <w:style w:type="character" w:styleId="Refdenotaalpie">
    <w:name w:val="footnote reference"/>
    <w:aliases w:val="Ref,de nota al pie,fr,(NECG) Footnote Reference,o,Appel note de bas de p,Style 12,Style 124,Style 13,Style 3,Style 17,FR,Footnote Reference/,callout,Style 6,Footnote,Style 20,Ref. de nota al pie 2,Footnotes refss,Texto de nota al pie"/>
    <w:basedOn w:val="Fuentedeprrafopredeter"/>
    <w:uiPriority w:val="99"/>
    <w:qFormat/>
    <w:rsid w:val="008A39CF"/>
    <w:rPr>
      <w:vertAlign w:val="superscript"/>
    </w:rPr>
  </w:style>
  <w:style w:type="paragraph" w:styleId="Prrafodelista">
    <w:name w:val="List Paragraph"/>
    <w:basedOn w:val="Normal"/>
    <w:link w:val="PrrafodelistaCar"/>
    <w:uiPriority w:val="34"/>
    <w:qFormat/>
    <w:rsid w:val="008A39CF"/>
    <w:pPr>
      <w:ind w:left="720"/>
      <w:contextualSpacing/>
    </w:pPr>
    <w:rPr>
      <w:rFonts w:asciiTheme="minorHAnsi" w:eastAsiaTheme="minorHAnsi" w:hAnsiTheme="minorHAnsi" w:cstheme="minorBidi"/>
    </w:rPr>
  </w:style>
  <w:style w:type="paragraph" w:styleId="Textoindependiente2">
    <w:name w:val="Body Text 2"/>
    <w:basedOn w:val="Normal"/>
    <w:link w:val="Textoindependiente2Car"/>
    <w:semiHidden/>
    <w:rsid w:val="008A39CF"/>
    <w:pPr>
      <w:tabs>
        <w:tab w:val="left" w:pos="0"/>
        <w:tab w:val="left" w:pos="142"/>
      </w:tabs>
      <w:spacing w:line="240" w:lineRule="auto"/>
    </w:pPr>
    <w:rPr>
      <w:rFonts w:ascii="Times New Roman" w:eastAsia="Times New Roman" w:hAnsi="Times New Roman"/>
      <w:sz w:val="24"/>
      <w:szCs w:val="20"/>
      <w:lang w:eastAsia="es-ES"/>
    </w:rPr>
  </w:style>
  <w:style w:type="character" w:customStyle="1" w:styleId="Textoindependiente2Car">
    <w:name w:val="Texto independiente 2 Car"/>
    <w:basedOn w:val="Fuentedeprrafopredeter"/>
    <w:link w:val="Textoindependiente2"/>
    <w:semiHidden/>
    <w:rsid w:val="008A39CF"/>
    <w:rPr>
      <w:rFonts w:ascii="Times New Roman" w:eastAsia="Times New Roman" w:hAnsi="Times New Roman" w:cs="Times New Roman"/>
      <w:sz w:val="24"/>
      <w:szCs w:val="20"/>
      <w:lang w:eastAsia="es-ES"/>
    </w:rPr>
  </w:style>
  <w:style w:type="paragraph" w:customStyle="1" w:styleId="Texto">
    <w:name w:val="Texto"/>
    <w:basedOn w:val="Normal"/>
    <w:link w:val="TextoCar"/>
    <w:rsid w:val="008A39CF"/>
    <w:pPr>
      <w:spacing w:after="101" w:line="216" w:lineRule="exact"/>
      <w:ind w:firstLine="288"/>
    </w:pPr>
    <w:rPr>
      <w:rFonts w:eastAsia="Times New Roman" w:cs="Arial"/>
      <w:sz w:val="18"/>
      <w:szCs w:val="20"/>
      <w:lang w:val="es-ES" w:eastAsia="es-ES"/>
    </w:rPr>
  </w:style>
  <w:style w:type="character" w:customStyle="1" w:styleId="TextoCar">
    <w:name w:val="Texto Car"/>
    <w:link w:val="Texto"/>
    <w:locked/>
    <w:rsid w:val="008A39CF"/>
    <w:rPr>
      <w:rFonts w:ascii="Arial" w:eastAsia="Times New Roman" w:hAnsi="Arial" w:cs="Arial"/>
      <w:sz w:val="18"/>
      <w:szCs w:val="20"/>
      <w:lang w:val="es-ES" w:eastAsia="es-ES"/>
    </w:rPr>
  </w:style>
  <w:style w:type="paragraph" w:customStyle="1" w:styleId="Prrafodelista1">
    <w:name w:val="Párrafo de lista1"/>
    <w:basedOn w:val="Normal"/>
    <w:uiPriority w:val="34"/>
    <w:qFormat/>
    <w:rsid w:val="008A39CF"/>
    <w:pPr>
      <w:spacing w:line="240" w:lineRule="auto"/>
      <w:ind w:left="708"/>
    </w:pPr>
  </w:style>
  <w:style w:type="paragraph" w:styleId="Textoindependiente">
    <w:name w:val="Body Text"/>
    <w:basedOn w:val="Normal"/>
    <w:link w:val="TextoindependienteCar"/>
    <w:uiPriority w:val="99"/>
    <w:semiHidden/>
    <w:unhideWhenUsed/>
    <w:rsid w:val="008A39CF"/>
    <w:pPr>
      <w:spacing w:after="120"/>
    </w:pPr>
  </w:style>
  <w:style w:type="character" w:customStyle="1" w:styleId="TextoindependienteCar">
    <w:name w:val="Texto independiente Car"/>
    <w:basedOn w:val="Fuentedeprrafopredeter"/>
    <w:link w:val="Textoindependiente"/>
    <w:uiPriority w:val="99"/>
    <w:semiHidden/>
    <w:rsid w:val="008A39CF"/>
    <w:rPr>
      <w:rFonts w:ascii="Calibri" w:eastAsia="Calibri" w:hAnsi="Calibri" w:cs="Times New Roman"/>
    </w:rPr>
  </w:style>
  <w:style w:type="paragraph" w:styleId="Textodeglobo">
    <w:name w:val="Balloon Text"/>
    <w:basedOn w:val="Normal"/>
    <w:link w:val="TextodegloboCar"/>
    <w:uiPriority w:val="99"/>
    <w:semiHidden/>
    <w:unhideWhenUsed/>
    <w:rsid w:val="008A39C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9CF"/>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8A39CF"/>
    <w:rPr>
      <w:sz w:val="16"/>
      <w:szCs w:val="16"/>
    </w:rPr>
  </w:style>
  <w:style w:type="paragraph" w:styleId="Textocomentario">
    <w:name w:val="annotation text"/>
    <w:basedOn w:val="Normal"/>
    <w:link w:val="TextocomentarioCar"/>
    <w:uiPriority w:val="99"/>
    <w:unhideWhenUsed/>
    <w:rsid w:val="008A39CF"/>
    <w:pPr>
      <w:spacing w:line="240" w:lineRule="auto"/>
    </w:pPr>
    <w:rPr>
      <w:sz w:val="20"/>
      <w:szCs w:val="20"/>
    </w:rPr>
  </w:style>
  <w:style w:type="character" w:customStyle="1" w:styleId="TextocomentarioCar">
    <w:name w:val="Texto comentario Car"/>
    <w:basedOn w:val="Fuentedeprrafopredeter"/>
    <w:link w:val="Textocomentario"/>
    <w:uiPriority w:val="99"/>
    <w:rsid w:val="008A39C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A39CF"/>
    <w:rPr>
      <w:b/>
      <w:bCs/>
    </w:rPr>
  </w:style>
  <w:style w:type="character" w:customStyle="1" w:styleId="AsuntodelcomentarioCar">
    <w:name w:val="Asunto del comentario Car"/>
    <w:basedOn w:val="TextocomentarioCar"/>
    <w:link w:val="Asuntodelcomentario"/>
    <w:uiPriority w:val="99"/>
    <w:semiHidden/>
    <w:rsid w:val="008A39CF"/>
    <w:rPr>
      <w:rFonts w:ascii="Calibri" w:eastAsia="Calibri" w:hAnsi="Calibri" w:cs="Times New Roman"/>
      <w:b/>
      <w:bCs/>
      <w:sz w:val="20"/>
      <w:szCs w:val="20"/>
    </w:rPr>
  </w:style>
  <w:style w:type="table" w:styleId="Tablaconcuadrcula">
    <w:name w:val="Table Grid"/>
    <w:basedOn w:val="Tablanormal"/>
    <w:uiPriority w:val="39"/>
    <w:rsid w:val="008A39C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ft"/>
    <w:basedOn w:val="Normal"/>
    <w:link w:val="TextonotapieCar"/>
    <w:uiPriority w:val="99"/>
    <w:unhideWhenUsed/>
    <w:qFormat/>
    <w:rsid w:val="008A39CF"/>
    <w:pPr>
      <w:spacing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8A39CF"/>
    <w:rPr>
      <w:rFonts w:ascii="Calibri" w:eastAsia="Calibri" w:hAnsi="Calibri" w:cs="Times New Roman"/>
      <w:sz w:val="20"/>
      <w:szCs w:val="20"/>
    </w:rPr>
  </w:style>
  <w:style w:type="character" w:styleId="Hipervnculo">
    <w:name w:val="Hyperlink"/>
    <w:basedOn w:val="Fuentedeprrafopredeter"/>
    <w:uiPriority w:val="99"/>
    <w:rsid w:val="008A39CF"/>
    <w:rPr>
      <w:color w:val="0000FF"/>
      <w:u w:val="single"/>
    </w:rPr>
  </w:style>
  <w:style w:type="paragraph" w:styleId="Sinespaciado">
    <w:name w:val="No Spacing"/>
    <w:link w:val="SinespaciadoCar"/>
    <w:uiPriority w:val="1"/>
    <w:qFormat/>
    <w:rsid w:val="008A39CF"/>
    <w:pPr>
      <w:spacing w:after="0" w:line="240" w:lineRule="auto"/>
    </w:pPr>
    <w:rPr>
      <w:rFonts w:ascii="Calibri" w:eastAsia="Calibri" w:hAnsi="Calibri" w:cs="Times New Roman"/>
    </w:rPr>
  </w:style>
  <w:style w:type="paragraph" w:styleId="Revisin">
    <w:name w:val="Revision"/>
    <w:hidden/>
    <w:uiPriority w:val="99"/>
    <w:semiHidden/>
    <w:rsid w:val="008A39CF"/>
    <w:pPr>
      <w:spacing w:after="0" w:line="240" w:lineRule="auto"/>
    </w:pPr>
    <w:rPr>
      <w:rFonts w:ascii="Calibri" w:eastAsia="Calibri" w:hAnsi="Calibri" w:cs="Times New Roman"/>
    </w:rPr>
  </w:style>
  <w:style w:type="paragraph" w:customStyle="1" w:styleId="NormalIFT">
    <w:name w:val="Normal IFT"/>
    <w:basedOn w:val="Prrafodelista"/>
    <w:link w:val="NormalIFTCar"/>
    <w:qFormat/>
    <w:rsid w:val="008A39CF"/>
    <w:pPr>
      <w:numPr>
        <w:numId w:val="1"/>
      </w:numPr>
      <w:autoSpaceDE w:val="0"/>
      <w:autoSpaceDN w:val="0"/>
      <w:adjustRightInd w:val="0"/>
      <w:spacing w:line="240" w:lineRule="auto"/>
      <w:contextualSpacing w:val="0"/>
    </w:pPr>
    <w:rPr>
      <w:rFonts w:ascii="ITC Avant Garde" w:eastAsia="Times New Roman" w:hAnsi="ITC Avant Garde" w:cs="Times New Roman"/>
      <w:bCs/>
      <w:color w:val="000000"/>
      <w:sz w:val="24"/>
      <w:szCs w:val="24"/>
      <w:lang w:val="es-ES_tradnl" w:eastAsia="es-ES"/>
    </w:rPr>
  </w:style>
  <w:style w:type="character" w:customStyle="1" w:styleId="NormalIFTCar">
    <w:name w:val="Normal IFT Car"/>
    <w:link w:val="NormalIFT"/>
    <w:rsid w:val="008A39CF"/>
    <w:rPr>
      <w:rFonts w:ascii="ITC Avant Garde" w:eastAsia="Times New Roman" w:hAnsi="ITC Avant Garde" w:cs="Times New Roman"/>
      <w:bCs/>
      <w:color w:val="000000"/>
      <w:sz w:val="24"/>
      <w:szCs w:val="24"/>
      <w:lang w:val="es-ES_tradnl" w:eastAsia="es-ES"/>
    </w:rPr>
  </w:style>
  <w:style w:type="character" w:customStyle="1" w:styleId="apple-converted-space">
    <w:name w:val="apple-converted-space"/>
    <w:rsid w:val="008A39CF"/>
  </w:style>
  <w:style w:type="character" w:styleId="Hipervnculovisitado">
    <w:name w:val="FollowedHyperlink"/>
    <w:basedOn w:val="Fuentedeprrafopredeter"/>
    <w:uiPriority w:val="99"/>
    <w:semiHidden/>
    <w:unhideWhenUsed/>
    <w:rsid w:val="008A39CF"/>
    <w:rPr>
      <w:color w:val="954F72" w:themeColor="followedHyperlink"/>
      <w:u w:val="single"/>
    </w:rPr>
  </w:style>
  <w:style w:type="character" w:customStyle="1" w:styleId="hps">
    <w:name w:val="hps"/>
    <w:basedOn w:val="Fuentedeprrafopredeter"/>
    <w:rsid w:val="008A39CF"/>
  </w:style>
  <w:style w:type="character" w:customStyle="1" w:styleId="atn">
    <w:name w:val="atn"/>
    <w:basedOn w:val="Fuentedeprrafopredeter"/>
    <w:rsid w:val="008A39CF"/>
  </w:style>
  <w:style w:type="table" w:customStyle="1" w:styleId="Tabladecuadrcula4-nfasis51">
    <w:name w:val="Tabla de cuadrícula 4 - Énfasis 51"/>
    <w:basedOn w:val="Tablanormal"/>
    <w:uiPriority w:val="49"/>
    <w:rsid w:val="008A39C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link w:val="Prrafodelista"/>
    <w:uiPriority w:val="34"/>
    <w:rsid w:val="008A39CF"/>
  </w:style>
  <w:style w:type="paragraph" w:customStyle="1" w:styleId="texto0">
    <w:name w:val="texto"/>
    <w:basedOn w:val="Normal"/>
    <w:rsid w:val="004F555A"/>
    <w:pPr>
      <w:spacing w:after="101" w:line="240" w:lineRule="auto"/>
      <w:ind w:firstLine="288"/>
    </w:pPr>
    <w:rPr>
      <w:rFonts w:ascii="Times New Roman" w:eastAsia="Times New Roman" w:hAnsi="Times New Roman"/>
      <w:color w:val="2F2F2F"/>
      <w:sz w:val="18"/>
      <w:szCs w:val="18"/>
      <w:lang w:eastAsia="es-MX"/>
    </w:rPr>
  </w:style>
  <w:style w:type="character" w:customStyle="1" w:styleId="SinespaciadoCar">
    <w:name w:val="Sin espaciado Car"/>
    <w:basedOn w:val="Fuentedeprrafopredeter"/>
    <w:link w:val="Sinespaciado"/>
    <w:uiPriority w:val="1"/>
    <w:rsid w:val="00D30044"/>
    <w:rPr>
      <w:rFonts w:ascii="Calibri" w:eastAsia="Calibri" w:hAnsi="Calibri" w:cs="Times New Roman"/>
    </w:rPr>
  </w:style>
  <w:style w:type="character" w:styleId="Textodelmarcadordeposicin">
    <w:name w:val="Placeholder Text"/>
    <w:basedOn w:val="Fuentedeprrafopredeter"/>
    <w:uiPriority w:val="99"/>
    <w:semiHidden/>
    <w:rsid w:val="00F045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8464">
      <w:bodyDiv w:val="1"/>
      <w:marLeft w:val="0"/>
      <w:marRight w:val="0"/>
      <w:marTop w:val="0"/>
      <w:marBottom w:val="0"/>
      <w:divBdr>
        <w:top w:val="none" w:sz="0" w:space="0" w:color="auto"/>
        <w:left w:val="none" w:sz="0" w:space="0" w:color="auto"/>
        <w:bottom w:val="none" w:sz="0" w:space="0" w:color="auto"/>
        <w:right w:val="none" w:sz="0" w:space="0" w:color="auto"/>
      </w:divBdr>
    </w:div>
    <w:div w:id="131098948">
      <w:bodyDiv w:val="1"/>
      <w:marLeft w:val="0"/>
      <w:marRight w:val="0"/>
      <w:marTop w:val="0"/>
      <w:marBottom w:val="0"/>
      <w:divBdr>
        <w:top w:val="none" w:sz="0" w:space="0" w:color="auto"/>
        <w:left w:val="none" w:sz="0" w:space="0" w:color="auto"/>
        <w:bottom w:val="none" w:sz="0" w:space="0" w:color="auto"/>
        <w:right w:val="none" w:sz="0" w:space="0" w:color="auto"/>
      </w:divBdr>
    </w:div>
    <w:div w:id="156120758">
      <w:bodyDiv w:val="1"/>
      <w:marLeft w:val="0"/>
      <w:marRight w:val="0"/>
      <w:marTop w:val="0"/>
      <w:marBottom w:val="0"/>
      <w:divBdr>
        <w:top w:val="none" w:sz="0" w:space="0" w:color="auto"/>
        <w:left w:val="none" w:sz="0" w:space="0" w:color="auto"/>
        <w:bottom w:val="none" w:sz="0" w:space="0" w:color="auto"/>
        <w:right w:val="none" w:sz="0" w:space="0" w:color="auto"/>
      </w:divBdr>
    </w:div>
    <w:div w:id="186023866">
      <w:bodyDiv w:val="1"/>
      <w:marLeft w:val="0"/>
      <w:marRight w:val="0"/>
      <w:marTop w:val="0"/>
      <w:marBottom w:val="0"/>
      <w:divBdr>
        <w:top w:val="none" w:sz="0" w:space="0" w:color="auto"/>
        <w:left w:val="none" w:sz="0" w:space="0" w:color="auto"/>
        <w:bottom w:val="none" w:sz="0" w:space="0" w:color="auto"/>
        <w:right w:val="none" w:sz="0" w:space="0" w:color="auto"/>
      </w:divBdr>
    </w:div>
    <w:div w:id="212543814">
      <w:bodyDiv w:val="1"/>
      <w:marLeft w:val="0"/>
      <w:marRight w:val="0"/>
      <w:marTop w:val="0"/>
      <w:marBottom w:val="0"/>
      <w:divBdr>
        <w:top w:val="none" w:sz="0" w:space="0" w:color="auto"/>
        <w:left w:val="none" w:sz="0" w:space="0" w:color="auto"/>
        <w:bottom w:val="none" w:sz="0" w:space="0" w:color="auto"/>
        <w:right w:val="none" w:sz="0" w:space="0" w:color="auto"/>
      </w:divBdr>
    </w:div>
    <w:div w:id="446659671">
      <w:bodyDiv w:val="1"/>
      <w:marLeft w:val="0"/>
      <w:marRight w:val="0"/>
      <w:marTop w:val="0"/>
      <w:marBottom w:val="0"/>
      <w:divBdr>
        <w:top w:val="none" w:sz="0" w:space="0" w:color="auto"/>
        <w:left w:val="none" w:sz="0" w:space="0" w:color="auto"/>
        <w:bottom w:val="none" w:sz="0" w:space="0" w:color="auto"/>
        <w:right w:val="none" w:sz="0" w:space="0" w:color="auto"/>
      </w:divBdr>
    </w:div>
    <w:div w:id="551498342">
      <w:bodyDiv w:val="1"/>
      <w:marLeft w:val="0"/>
      <w:marRight w:val="0"/>
      <w:marTop w:val="0"/>
      <w:marBottom w:val="0"/>
      <w:divBdr>
        <w:top w:val="none" w:sz="0" w:space="0" w:color="auto"/>
        <w:left w:val="none" w:sz="0" w:space="0" w:color="auto"/>
        <w:bottom w:val="none" w:sz="0" w:space="0" w:color="auto"/>
        <w:right w:val="none" w:sz="0" w:space="0" w:color="auto"/>
      </w:divBdr>
    </w:div>
    <w:div w:id="596408429">
      <w:bodyDiv w:val="1"/>
      <w:marLeft w:val="0"/>
      <w:marRight w:val="0"/>
      <w:marTop w:val="0"/>
      <w:marBottom w:val="0"/>
      <w:divBdr>
        <w:top w:val="none" w:sz="0" w:space="0" w:color="auto"/>
        <w:left w:val="none" w:sz="0" w:space="0" w:color="auto"/>
        <w:bottom w:val="none" w:sz="0" w:space="0" w:color="auto"/>
        <w:right w:val="none" w:sz="0" w:space="0" w:color="auto"/>
      </w:divBdr>
    </w:div>
    <w:div w:id="615722016">
      <w:bodyDiv w:val="1"/>
      <w:marLeft w:val="0"/>
      <w:marRight w:val="0"/>
      <w:marTop w:val="0"/>
      <w:marBottom w:val="0"/>
      <w:divBdr>
        <w:top w:val="none" w:sz="0" w:space="0" w:color="auto"/>
        <w:left w:val="none" w:sz="0" w:space="0" w:color="auto"/>
        <w:bottom w:val="none" w:sz="0" w:space="0" w:color="auto"/>
        <w:right w:val="none" w:sz="0" w:space="0" w:color="auto"/>
      </w:divBdr>
    </w:div>
    <w:div w:id="673648373">
      <w:bodyDiv w:val="1"/>
      <w:marLeft w:val="0"/>
      <w:marRight w:val="0"/>
      <w:marTop w:val="0"/>
      <w:marBottom w:val="0"/>
      <w:divBdr>
        <w:top w:val="none" w:sz="0" w:space="0" w:color="auto"/>
        <w:left w:val="none" w:sz="0" w:space="0" w:color="auto"/>
        <w:bottom w:val="none" w:sz="0" w:space="0" w:color="auto"/>
        <w:right w:val="none" w:sz="0" w:space="0" w:color="auto"/>
      </w:divBdr>
      <w:divsChild>
        <w:div w:id="2007593523">
          <w:marLeft w:val="0"/>
          <w:marRight w:val="0"/>
          <w:marTop w:val="240"/>
          <w:marBottom w:val="0"/>
          <w:divBdr>
            <w:top w:val="none" w:sz="0" w:space="0" w:color="auto"/>
            <w:left w:val="none" w:sz="0" w:space="0" w:color="auto"/>
            <w:bottom w:val="none" w:sz="0" w:space="0" w:color="auto"/>
            <w:right w:val="none" w:sz="0" w:space="0" w:color="auto"/>
          </w:divBdr>
          <w:divsChild>
            <w:div w:id="659501590">
              <w:marLeft w:val="0"/>
              <w:marRight w:val="0"/>
              <w:marTop w:val="0"/>
              <w:marBottom w:val="0"/>
              <w:divBdr>
                <w:top w:val="none" w:sz="0" w:space="0" w:color="auto"/>
                <w:left w:val="none" w:sz="0" w:space="0" w:color="auto"/>
                <w:bottom w:val="none" w:sz="0" w:space="0" w:color="auto"/>
                <w:right w:val="none" w:sz="0" w:space="0" w:color="auto"/>
              </w:divBdr>
              <w:divsChild>
                <w:div w:id="1505247614">
                  <w:marLeft w:val="0"/>
                  <w:marRight w:val="0"/>
                  <w:marTop w:val="0"/>
                  <w:marBottom w:val="0"/>
                  <w:divBdr>
                    <w:top w:val="none" w:sz="0" w:space="0" w:color="auto"/>
                    <w:left w:val="none" w:sz="0" w:space="0" w:color="auto"/>
                    <w:bottom w:val="none" w:sz="0" w:space="0" w:color="auto"/>
                    <w:right w:val="none" w:sz="0" w:space="0" w:color="auto"/>
                  </w:divBdr>
                  <w:divsChild>
                    <w:div w:id="12267230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7563298">
      <w:bodyDiv w:val="1"/>
      <w:marLeft w:val="0"/>
      <w:marRight w:val="0"/>
      <w:marTop w:val="0"/>
      <w:marBottom w:val="0"/>
      <w:divBdr>
        <w:top w:val="none" w:sz="0" w:space="0" w:color="auto"/>
        <w:left w:val="none" w:sz="0" w:space="0" w:color="auto"/>
        <w:bottom w:val="none" w:sz="0" w:space="0" w:color="auto"/>
        <w:right w:val="none" w:sz="0" w:space="0" w:color="auto"/>
      </w:divBdr>
    </w:div>
    <w:div w:id="833296366">
      <w:bodyDiv w:val="1"/>
      <w:marLeft w:val="0"/>
      <w:marRight w:val="0"/>
      <w:marTop w:val="0"/>
      <w:marBottom w:val="0"/>
      <w:divBdr>
        <w:top w:val="none" w:sz="0" w:space="0" w:color="auto"/>
        <w:left w:val="none" w:sz="0" w:space="0" w:color="auto"/>
        <w:bottom w:val="none" w:sz="0" w:space="0" w:color="auto"/>
        <w:right w:val="none" w:sz="0" w:space="0" w:color="auto"/>
      </w:divBdr>
    </w:div>
    <w:div w:id="912936541">
      <w:bodyDiv w:val="1"/>
      <w:marLeft w:val="0"/>
      <w:marRight w:val="0"/>
      <w:marTop w:val="0"/>
      <w:marBottom w:val="0"/>
      <w:divBdr>
        <w:top w:val="none" w:sz="0" w:space="0" w:color="auto"/>
        <w:left w:val="none" w:sz="0" w:space="0" w:color="auto"/>
        <w:bottom w:val="none" w:sz="0" w:space="0" w:color="auto"/>
        <w:right w:val="none" w:sz="0" w:space="0" w:color="auto"/>
      </w:divBdr>
    </w:div>
    <w:div w:id="958875154">
      <w:bodyDiv w:val="1"/>
      <w:marLeft w:val="0"/>
      <w:marRight w:val="0"/>
      <w:marTop w:val="0"/>
      <w:marBottom w:val="0"/>
      <w:divBdr>
        <w:top w:val="none" w:sz="0" w:space="0" w:color="auto"/>
        <w:left w:val="none" w:sz="0" w:space="0" w:color="auto"/>
        <w:bottom w:val="none" w:sz="0" w:space="0" w:color="auto"/>
        <w:right w:val="none" w:sz="0" w:space="0" w:color="auto"/>
      </w:divBdr>
    </w:div>
    <w:div w:id="986976872">
      <w:bodyDiv w:val="1"/>
      <w:marLeft w:val="0"/>
      <w:marRight w:val="0"/>
      <w:marTop w:val="0"/>
      <w:marBottom w:val="0"/>
      <w:divBdr>
        <w:top w:val="none" w:sz="0" w:space="0" w:color="auto"/>
        <w:left w:val="none" w:sz="0" w:space="0" w:color="auto"/>
        <w:bottom w:val="none" w:sz="0" w:space="0" w:color="auto"/>
        <w:right w:val="none" w:sz="0" w:space="0" w:color="auto"/>
      </w:divBdr>
    </w:div>
    <w:div w:id="994990953">
      <w:bodyDiv w:val="1"/>
      <w:marLeft w:val="0"/>
      <w:marRight w:val="0"/>
      <w:marTop w:val="0"/>
      <w:marBottom w:val="0"/>
      <w:divBdr>
        <w:top w:val="none" w:sz="0" w:space="0" w:color="auto"/>
        <w:left w:val="none" w:sz="0" w:space="0" w:color="auto"/>
        <w:bottom w:val="none" w:sz="0" w:space="0" w:color="auto"/>
        <w:right w:val="none" w:sz="0" w:space="0" w:color="auto"/>
      </w:divBdr>
    </w:div>
    <w:div w:id="1091128060">
      <w:bodyDiv w:val="1"/>
      <w:marLeft w:val="0"/>
      <w:marRight w:val="0"/>
      <w:marTop w:val="0"/>
      <w:marBottom w:val="0"/>
      <w:divBdr>
        <w:top w:val="none" w:sz="0" w:space="0" w:color="auto"/>
        <w:left w:val="none" w:sz="0" w:space="0" w:color="auto"/>
        <w:bottom w:val="none" w:sz="0" w:space="0" w:color="auto"/>
        <w:right w:val="none" w:sz="0" w:space="0" w:color="auto"/>
      </w:divBdr>
      <w:divsChild>
        <w:div w:id="1848984415">
          <w:marLeft w:val="0"/>
          <w:marRight w:val="0"/>
          <w:marTop w:val="240"/>
          <w:marBottom w:val="0"/>
          <w:divBdr>
            <w:top w:val="none" w:sz="0" w:space="0" w:color="auto"/>
            <w:left w:val="none" w:sz="0" w:space="0" w:color="auto"/>
            <w:bottom w:val="none" w:sz="0" w:space="0" w:color="auto"/>
            <w:right w:val="none" w:sz="0" w:space="0" w:color="auto"/>
          </w:divBdr>
          <w:divsChild>
            <w:div w:id="456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1982">
      <w:bodyDiv w:val="1"/>
      <w:marLeft w:val="0"/>
      <w:marRight w:val="0"/>
      <w:marTop w:val="0"/>
      <w:marBottom w:val="0"/>
      <w:divBdr>
        <w:top w:val="none" w:sz="0" w:space="0" w:color="auto"/>
        <w:left w:val="none" w:sz="0" w:space="0" w:color="auto"/>
        <w:bottom w:val="none" w:sz="0" w:space="0" w:color="auto"/>
        <w:right w:val="none" w:sz="0" w:space="0" w:color="auto"/>
      </w:divBdr>
    </w:div>
    <w:div w:id="1337076771">
      <w:bodyDiv w:val="1"/>
      <w:marLeft w:val="0"/>
      <w:marRight w:val="0"/>
      <w:marTop w:val="0"/>
      <w:marBottom w:val="0"/>
      <w:divBdr>
        <w:top w:val="none" w:sz="0" w:space="0" w:color="auto"/>
        <w:left w:val="none" w:sz="0" w:space="0" w:color="auto"/>
        <w:bottom w:val="none" w:sz="0" w:space="0" w:color="auto"/>
        <w:right w:val="none" w:sz="0" w:space="0" w:color="auto"/>
      </w:divBdr>
    </w:div>
    <w:div w:id="1354307343">
      <w:bodyDiv w:val="1"/>
      <w:marLeft w:val="0"/>
      <w:marRight w:val="0"/>
      <w:marTop w:val="0"/>
      <w:marBottom w:val="0"/>
      <w:divBdr>
        <w:top w:val="none" w:sz="0" w:space="0" w:color="auto"/>
        <w:left w:val="none" w:sz="0" w:space="0" w:color="auto"/>
        <w:bottom w:val="none" w:sz="0" w:space="0" w:color="auto"/>
        <w:right w:val="none" w:sz="0" w:space="0" w:color="auto"/>
      </w:divBdr>
    </w:div>
    <w:div w:id="1371958009">
      <w:bodyDiv w:val="1"/>
      <w:marLeft w:val="0"/>
      <w:marRight w:val="0"/>
      <w:marTop w:val="0"/>
      <w:marBottom w:val="0"/>
      <w:divBdr>
        <w:top w:val="none" w:sz="0" w:space="0" w:color="auto"/>
        <w:left w:val="none" w:sz="0" w:space="0" w:color="auto"/>
        <w:bottom w:val="none" w:sz="0" w:space="0" w:color="auto"/>
        <w:right w:val="none" w:sz="0" w:space="0" w:color="auto"/>
      </w:divBdr>
    </w:div>
    <w:div w:id="1382747056">
      <w:bodyDiv w:val="1"/>
      <w:marLeft w:val="0"/>
      <w:marRight w:val="0"/>
      <w:marTop w:val="0"/>
      <w:marBottom w:val="0"/>
      <w:divBdr>
        <w:top w:val="none" w:sz="0" w:space="0" w:color="auto"/>
        <w:left w:val="none" w:sz="0" w:space="0" w:color="auto"/>
        <w:bottom w:val="none" w:sz="0" w:space="0" w:color="auto"/>
        <w:right w:val="none" w:sz="0" w:space="0" w:color="auto"/>
      </w:divBdr>
      <w:divsChild>
        <w:div w:id="475217980">
          <w:marLeft w:val="0"/>
          <w:marRight w:val="0"/>
          <w:marTop w:val="0"/>
          <w:marBottom w:val="0"/>
          <w:divBdr>
            <w:top w:val="none" w:sz="0" w:space="0" w:color="auto"/>
            <w:left w:val="none" w:sz="0" w:space="0" w:color="auto"/>
            <w:bottom w:val="none" w:sz="0" w:space="0" w:color="auto"/>
            <w:right w:val="none" w:sz="0" w:space="0" w:color="auto"/>
          </w:divBdr>
          <w:divsChild>
            <w:div w:id="2037461216">
              <w:marLeft w:val="0"/>
              <w:marRight w:val="0"/>
              <w:marTop w:val="0"/>
              <w:marBottom w:val="0"/>
              <w:divBdr>
                <w:top w:val="none" w:sz="0" w:space="0" w:color="auto"/>
                <w:left w:val="none" w:sz="0" w:space="0" w:color="auto"/>
                <w:bottom w:val="none" w:sz="0" w:space="0" w:color="auto"/>
                <w:right w:val="none" w:sz="0" w:space="0" w:color="auto"/>
              </w:divBdr>
              <w:divsChild>
                <w:div w:id="470749675">
                  <w:marLeft w:val="0"/>
                  <w:marRight w:val="0"/>
                  <w:marTop w:val="0"/>
                  <w:marBottom w:val="0"/>
                  <w:divBdr>
                    <w:top w:val="none" w:sz="0" w:space="0" w:color="auto"/>
                    <w:left w:val="none" w:sz="0" w:space="0" w:color="auto"/>
                    <w:bottom w:val="none" w:sz="0" w:space="0" w:color="auto"/>
                    <w:right w:val="none" w:sz="0" w:space="0" w:color="auto"/>
                  </w:divBdr>
                  <w:divsChild>
                    <w:div w:id="1511290612">
                      <w:marLeft w:val="0"/>
                      <w:marRight w:val="0"/>
                      <w:marTop w:val="0"/>
                      <w:marBottom w:val="0"/>
                      <w:divBdr>
                        <w:top w:val="none" w:sz="0" w:space="0" w:color="auto"/>
                        <w:left w:val="none" w:sz="0" w:space="0" w:color="auto"/>
                        <w:bottom w:val="none" w:sz="0" w:space="0" w:color="auto"/>
                        <w:right w:val="none" w:sz="0" w:space="0" w:color="auto"/>
                      </w:divBdr>
                      <w:divsChild>
                        <w:div w:id="245194284">
                          <w:marLeft w:val="0"/>
                          <w:marRight w:val="0"/>
                          <w:marTop w:val="0"/>
                          <w:marBottom w:val="0"/>
                          <w:divBdr>
                            <w:top w:val="none" w:sz="0" w:space="0" w:color="auto"/>
                            <w:left w:val="none" w:sz="0" w:space="0" w:color="auto"/>
                            <w:bottom w:val="none" w:sz="0" w:space="0" w:color="auto"/>
                            <w:right w:val="none" w:sz="0" w:space="0" w:color="auto"/>
                          </w:divBdr>
                          <w:divsChild>
                            <w:div w:id="1595894748">
                              <w:marLeft w:val="0"/>
                              <w:marRight w:val="0"/>
                              <w:marTop w:val="0"/>
                              <w:marBottom w:val="0"/>
                              <w:divBdr>
                                <w:top w:val="none" w:sz="0" w:space="0" w:color="auto"/>
                                <w:left w:val="none" w:sz="0" w:space="0" w:color="auto"/>
                                <w:bottom w:val="none" w:sz="0" w:space="0" w:color="auto"/>
                                <w:right w:val="none" w:sz="0" w:space="0" w:color="auto"/>
                              </w:divBdr>
                              <w:divsChild>
                                <w:div w:id="1127971354">
                                  <w:marLeft w:val="0"/>
                                  <w:marRight w:val="0"/>
                                  <w:marTop w:val="0"/>
                                  <w:marBottom w:val="0"/>
                                  <w:divBdr>
                                    <w:top w:val="none" w:sz="0" w:space="0" w:color="auto"/>
                                    <w:left w:val="none" w:sz="0" w:space="0" w:color="auto"/>
                                    <w:bottom w:val="none" w:sz="0" w:space="0" w:color="auto"/>
                                    <w:right w:val="none" w:sz="0" w:space="0" w:color="auto"/>
                                  </w:divBdr>
                                  <w:divsChild>
                                    <w:div w:id="1350109650">
                                      <w:marLeft w:val="0"/>
                                      <w:marRight w:val="0"/>
                                      <w:marTop w:val="0"/>
                                      <w:marBottom w:val="0"/>
                                      <w:divBdr>
                                        <w:top w:val="none" w:sz="0" w:space="0" w:color="auto"/>
                                        <w:left w:val="none" w:sz="0" w:space="0" w:color="auto"/>
                                        <w:bottom w:val="none" w:sz="0" w:space="0" w:color="auto"/>
                                        <w:right w:val="none" w:sz="0" w:space="0" w:color="auto"/>
                                      </w:divBdr>
                                      <w:divsChild>
                                        <w:div w:id="1663776540">
                                          <w:marLeft w:val="0"/>
                                          <w:marRight w:val="0"/>
                                          <w:marTop w:val="0"/>
                                          <w:marBottom w:val="0"/>
                                          <w:divBdr>
                                            <w:top w:val="none" w:sz="0" w:space="0" w:color="auto"/>
                                            <w:left w:val="none" w:sz="0" w:space="0" w:color="auto"/>
                                            <w:bottom w:val="none" w:sz="0" w:space="0" w:color="auto"/>
                                            <w:right w:val="none" w:sz="0" w:space="0" w:color="auto"/>
                                          </w:divBdr>
                                          <w:divsChild>
                                            <w:div w:id="1582058133">
                                              <w:marLeft w:val="0"/>
                                              <w:marRight w:val="0"/>
                                              <w:marTop w:val="0"/>
                                              <w:marBottom w:val="0"/>
                                              <w:divBdr>
                                                <w:top w:val="single" w:sz="12" w:space="2" w:color="FFFFCC"/>
                                                <w:left w:val="single" w:sz="12" w:space="2" w:color="FFFFCC"/>
                                                <w:bottom w:val="single" w:sz="12" w:space="2" w:color="FFFFCC"/>
                                                <w:right w:val="single" w:sz="12" w:space="0" w:color="FFFFCC"/>
                                              </w:divBdr>
                                              <w:divsChild>
                                                <w:div w:id="1382628712">
                                                  <w:marLeft w:val="0"/>
                                                  <w:marRight w:val="0"/>
                                                  <w:marTop w:val="0"/>
                                                  <w:marBottom w:val="0"/>
                                                  <w:divBdr>
                                                    <w:top w:val="none" w:sz="0" w:space="0" w:color="auto"/>
                                                    <w:left w:val="none" w:sz="0" w:space="0" w:color="auto"/>
                                                    <w:bottom w:val="none" w:sz="0" w:space="0" w:color="auto"/>
                                                    <w:right w:val="none" w:sz="0" w:space="0" w:color="auto"/>
                                                  </w:divBdr>
                                                  <w:divsChild>
                                                    <w:div w:id="473956864">
                                                      <w:marLeft w:val="0"/>
                                                      <w:marRight w:val="0"/>
                                                      <w:marTop w:val="0"/>
                                                      <w:marBottom w:val="0"/>
                                                      <w:divBdr>
                                                        <w:top w:val="none" w:sz="0" w:space="0" w:color="auto"/>
                                                        <w:left w:val="none" w:sz="0" w:space="0" w:color="auto"/>
                                                        <w:bottom w:val="none" w:sz="0" w:space="0" w:color="auto"/>
                                                        <w:right w:val="none" w:sz="0" w:space="0" w:color="auto"/>
                                                      </w:divBdr>
                                                      <w:divsChild>
                                                        <w:div w:id="1213541336">
                                                          <w:marLeft w:val="0"/>
                                                          <w:marRight w:val="0"/>
                                                          <w:marTop w:val="0"/>
                                                          <w:marBottom w:val="0"/>
                                                          <w:divBdr>
                                                            <w:top w:val="none" w:sz="0" w:space="0" w:color="auto"/>
                                                            <w:left w:val="none" w:sz="0" w:space="0" w:color="auto"/>
                                                            <w:bottom w:val="none" w:sz="0" w:space="0" w:color="auto"/>
                                                            <w:right w:val="none" w:sz="0" w:space="0" w:color="auto"/>
                                                          </w:divBdr>
                                                          <w:divsChild>
                                                            <w:div w:id="892929863">
                                                              <w:marLeft w:val="0"/>
                                                              <w:marRight w:val="0"/>
                                                              <w:marTop w:val="0"/>
                                                              <w:marBottom w:val="0"/>
                                                              <w:divBdr>
                                                                <w:top w:val="none" w:sz="0" w:space="0" w:color="auto"/>
                                                                <w:left w:val="none" w:sz="0" w:space="0" w:color="auto"/>
                                                                <w:bottom w:val="none" w:sz="0" w:space="0" w:color="auto"/>
                                                                <w:right w:val="none" w:sz="0" w:space="0" w:color="auto"/>
                                                              </w:divBdr>
                                                              <w:divsChild>
                                                                <w:div w:id="1101022901">
                                                                  <w:marLeft w:val="0"/>
                                                                  <w:marRight w:val="0"/>
                                                                  <w:marTop w:val="0"/>
                                                                  <w:marBottom w:val="0"/>
                                                                  <w:divBdr>
                                                                    <w:top w:val="none" w:sz="0" w:space="0" w:color="auto"/>
                                                                    <w:left w:val="none" w:sz="0" w:space="0" w:color="auto"/>
                                                                    <w:bottom w:val="none" w:sz="0" w:space="0" w:color="auto"/>
                                                                    <w:right w:val="none" w:sz="0" w:space="0" w:color="auto"/>
                                                                  </w:divBdr>
                                                                  <w:divsChild>
                                                                    <w:div w:id="781921751">
                                                                      <w:marLeft w:val="0"/>
                                                                      <w:marRight w:val="0"/>
                                                                      <w:marTop w:val="0"/>
                                                                      <w:marBottom w:val="0"/>
                                                                      <w:divBdr>
                                                                        <w:top w:val="none" w:sz="0" w:space="0" w:color="auto"/>
                                                                        <w:left w:val="none" w:sz="0" w:space="0" w:color="auto"/>
                                                                        <w:bottom w:val="none" w:sz="0" w:space="0" w:color="auto"/>
                                                                        <w:right w:val="none" w:sz="0" w:space="0" w:color="auto"/>
                                                                      </w:divBdr>
                                                                      <w:divsChild>
                                                                        <w:div w:id="389307663">
                                                                          <w:marLeft w:val="0"/>
                                                                          <w:marRight w:val="0"/>
                                                                          <w:marTop w:val="0"/>
                                                                          <w:marBottom w:val="0"/>
                                                                          <w:divBdr>
                                                                            <w:top w:val="none" w:sz="0" w:space="0" w:color="auto"/>
                                                                            <w:left w:val="none" w:sz="0" w:space="0" w:color="auto"/>
                                                                            <w:bottom w:val="none" w:sz="0" w:space="0" w:color="auto"/>
                                                                            <w:right w:val="none" w:sz="0" w:space="0" w:color="auto"/>
                                                                          </w:divBdr>
                                                                          <w:divsChild>
                                                                            <w:div w:id="2001763838">
                                                                              <w:marLeft w:val="0"/>
                                                                              <w:marRight w:val="0"/>
                                                                              <w:marTop w:val="0"/>
                                                                              <w:marBottom w:val="0"/>
                                                                              <w:divBdr>
                                                                                <w:top w:val="none" w:sz="0" w:space="0" w:color="auto"/>
                                                                                <w:left w:val="none" w:sz="0" w:space="0" w:color="auto"/>
                                                                                <w:bottom w:val="none" w:sz="0" w:space="0" w:color="auto"/>
                                                                                <w:right w:val="none" w:sz="0" w:space="0" w:color="auto"/>
                                                                              </w:divBdr>
                                                                              <w:divsChild>
                                                                                <w:div w:id="255019306">
                                                                                  <w:marLeft w:val="0"/>
                                                                                  <w:marRight w:val="0"/>
                                                                                  <w:marTop w:val="0"/>
                                                                                  <w:marBottom w:val="0"/>
                                                                                  <w:divBdr>
                                                                                    <w:top w:val="none" w:sz="0" w:space="0" w:color="auto"/>
                                                                                    <w:left w:val="none" w:sz="0" w:space="0" w:color="auto"/>
                                                                                    <w:bottom w:val="none" w:sz="0" w:space="0" w:color="auto"/>
                                                                                    <w:right w:val="none" w:sz="0" w:space="0" w:color="auto"/>
                                                                                  </w:divBdr>
                                                                                  <w:divsChild>
                                                                                    <w:div w:id="1706951570">
                                                                                      <w:marLeft w:val="0"/>
                                                                                      <w:marRight w:val="0"/>
                                                                                      <w:marTop w:val="0"/>
                                                                                      <w:marBottom w:val="0"/>
                                                                                      <w:divBdr>
                                                                                        <w:top w:val="none" w:sz="0" w:space="0" w:color="auto"/>
                                                                                        <w:left w:val="none" w:sz="0" w:space="0" w:color="auto"/>
                                                                                        <w:bottom w:val="none" w:sz="0" w:space="0" w:color="auto"/>
                                                                                        <w:right w:val="none" w:sz="0" w:space="0" w:color="auto"/>
                                                                                      </w:divBdr>
                                                                                      <w:divsChild>
                                                                                        <w:div w:id="69237458">
                                                                                          <w:marLeft w:val="0"/>
                                                                                          <w:marRight w:val="120"/>
                                                                                          <w:marTop w:val="0"/>
                                                                                          <w:marBottom w:val="150"/>
                                                                                          <w:divBdr>
                                                                                            <w:top w:val="single" w:sz="2" w:space="0" w:color="EFEFEF"/>
                                                                                            <w:left w:val="single" w:sz="6" w:space="0" w:color="EFEFEF"/>
                                                                                            <w:bottom w:val="single" w:sz="6" w:space="0" w:color="E2E2E2"/>
                                                                                            <w:right w:val="single" w:sz="6" w:space="0" w:color="EFEFEF"/>
                                                                                          </w:divBdr>
                                                                                          <w:divsChild>
                                                                                            <w:div w:id="501504944">
                                                                                              <w:marLeft w:val="0"/>
                                                                                              <w:marRight w:val="0"/>
                                                                                              <w:marTop w:val="0"/>
                                                                                              <w:marBottom w:val="0"/>
                                                                                              <w:divBdr>
                                                                                                <w:top w:val="none" w:sz="0" w:space="0" w:color="auto"/>
                                                                                                <w:left w:val="none" w:sz="0" w:space="0" w:color="auto"/>
                                                                                                <w:bottom w:val="none" w:sz="0" w:space="0" w:color="auto"/>
                                                                                                <w:right w:val="none" w:sz="0" w:space="0" w:color="auto"/>
                                                                                              </w:divBdr>
                                                                                              <w:divsChild>
                                                                                                <w:div w:id="989479341">
                                                                                                  <w:marLeft w:val="0"/>
                                                                                                  <w:marRight w:val="0"/>
                                                                                                  <w:marTop w:val="0"/>
                                                                                                  <w:marBottom w:val="0"/>
                                                                                                  <w:divBdr>
                                                                                                    <w:top w:val="none" w:sz="0" w:space="0" w:color="auto"/>
                                                                                                    <w:left w:val="none" w:sz="0" w:space="0" w:color="auto"/>
                                                                                                    <w:bottom w:val="none" w:sz="0" w:space="0" w:color="auto"/>
                                                                                                    <w:right w:val="none" w:sz="0" w:space="0" w:color="auto"/>
                                                                                                  </w:divBdr>
                                                                                                  <w:divsChild>
                                                                                                    <w:div w:id="1405761935">
                                                                                                      <w:marLeft w:val="0"/>
                                                                                                      <w:marRight w:val="0"/>
                                                                                                      <w:marTop w:val="0"/>
                                                                                                      <w:marBottom w:val="0"/>
                                                                                                      <w:divBdr>
                                                                                                        <w:top w:val="none" w:sz="0" w:space="0" w:color="auto"/>
                                                                                                        <w:left w:val="none" w:sz="0" w:space="0" w:color="auto"/>
                                                                                                        <w:bottom w:val="none" w:sz="0" w:space="0" w:color="auto"/>
                                                                                                        <w:right w:val="none" w:sz="0" w:space="0" w:color="auto"/>
                                                                                                      </w:divBdr>
                                                                                                      <w:divsChild>
                                                                                                        <w:div w:id="1081221898">
                                                                                                          <w:marLeft w:val="0"/>
                                                                                                          <w:marRight w:val="0"/>
                                                                                                          <w:marTop w:val="0"/>
                                                                                                          <w:marBottom w:val="0"/>
                                                                                                          <w:divBdr>
                                                                                                            <w:top w:val="none" w:sz="0" w:space="0" w:color="auto"/>
                                                                                                            <w:left w:val="none" w:sz="0" w:space="0" w:color="auto"/>
                                                                                                            <w:bottom w:val="none" w:sz="0" w:space="0" w:color="auto"/>
                                                                                                            <w:right w:val="none" w:sz="0" w:space="0" w:color="auto"/>
                                                                                                          </w:divBdr>
                                                                                                          <w:divsChild>
                                                                                                            <w:div w:id="385181695">
                                                                                                              <w:marLeft w:val="0"/>
                                                                                                              <w:marRight w:val="0"/>
                                                                                                              <w:marTop w:val="0"/>
                                                                                                              <w:marBottom w:val="0"/>
                                                                                                              <w:divBdr>
                                                                                                                <w:top w:val="single" w:sz="2" w:space="4" w:color="D0D0D0"/>
                                                                                                                <w:left w:val="single" w:sz="2" w:space="0" w:color="D0D0D0"/>
                                                                                                                <w:bottom w:val="single" w:sz="2" w:space="4" w:color="D0D0D0"/>
                                                                                                                <w:right w:val="single" w:sz="2" w:space="0" w:color="D0D0D0"/>
                                                                                                              </w:divBdr>
                                                                                                              <w:divsChild>
                                                                                                                <w:div w:id="268006962">
                                                                                                                  <w:marLeft w:val="225"/>
                                                                                                                  <w:marRight w:val="225"/>
                                                                                                                  <w:marTop w:val="75"/>
                                                                                                                  <w:marBottom w:val="75"/>
                                                                                                                  <w:divBdr>
                                                                                                                    <w:top w:val="none" w:sz="0" w:space="0" w:color="auto"/>
                                                                                                                    <w:left w:val="none" w:sz="0" w:space="0" w:color="auto"/>
                                                                                                                    <w:bottom w:val="none" w:sz="0" w:space="0" w:color="auto"/>
                                                                                                                    <w:right w:val="none" w:sz="0" w:space="0" w:color="auto"/>
                                                                                                                  </w:divBdr>
                                                                                                                  <w:divsChild>
                                                                                                                    <w:div w:id="853224878">
                                                                                                                      <w:marLeft w:val="0"/>
                                                                                                                      <w:marRight w:val="0"/>
                                                                                                                      <w:marTop w:val="0"/>
                                                                                                                      <w:marBottom w:val="0"/>
                                                                                                                      <w:divBdr>
                                                                                                                        <w:top w:val="single" w:sz="6" w:space="0" w:color="auto"/>
                                                                                                                        <w:left w:val="single" w:sz="6" w:space="0" w:color="auto"/>
                                                                                                                        <w:bottom w:val="single" w:sz="6" w:space="0" w:color="auto"/>
                                                                                                                        <w:right w:val="single" w:sz="6" w:space="0" w:color="auto"/>
                                                                                                                      </w:divBdr>
                                                                                                                      <w:divsChild>
                                                                                                                        <w:div w:id="8922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895150">
      <w:bodyDiv w:val="1"/>
      <w:marLeft w:val="0"/>
      <w:marRight w:val="0"/>
      <w:marTop w:val="0"/>
      <w:marBottom w:val="0"/>
      <w:divBdr>
        <w:top w:val="none" w:sz="0" w:space="0" w:color="auto"/>
        <w:left w:val="none" w:sz="0" w:space="0" w:color="auto"/>
        <w:bottom w:val="none" w:sz="0" w:space="0" w:color="auto"/>
        <w:right w:val="none" w:sz="0" w:space="0" w:color="auto"/>
      </w:divBdr>
    </w:div>
    <w:div w:id="1969823320">
      <w:bodyDiv w:val="1"/>
      <w:marLeft w:val="0"/>
      <w:marRight w:val="0"/>
      <w:marTop w:val="0"/>
      <w:marBottom w:val="0"/>
      <w:divBdr>
        <w:top w:val="none" w:sz="0" w:space="0" w:color="auto"/>
        <w:left w:val="none" w:sz="0" w:space="0" w:color="auto"/>
        <w:bottom w:val="none" w:sz="0" w:space="0" w:color="auto"/>
        <w:right w:val="none" w:sz="0" w:space="0" w:color="auto"/>
      </w:divBdr>
    </w:div>
    <w:div w:id="21148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352323&amp;fecha=14/07/20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5BF0C5ED42E4479976ED3C939C5A67" ma:contentTypeVersion="0" ma:contentTypeDescription="Crear nuevo documento." ma:contentTypeScope="" ma:versionID="fe2dde7c3b101e3209f5785238f4273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648B2-BD6C-42C7-A32E-BC7D73FB6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A8848C-E832-4033-B14E-E9CB9A7C92A7}">
  <ds:schemaRefs>
    <ds:schemaRef ds:uri="http://schemas.microsoft.com/sharepoint/v3/contenttype/forms"/>
  </ds:schemaRefs>
</ds:datastoreItem>
</file>

<file path=customXml/itemProps3.xml><?xml version="1.0" encoding="utf-8"?>
<ds:datastoreItem xmlns:ds="http://schemas.openxmlformats.org/officeDocument/2006/customXml" ds:itemID="{A4253B39-B2E5-4E73-8389-FCC17ACE1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937099-6F2A-4362-8D73-C6FBDB39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1509</Words>
  <Characters>8302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Adriana Requena Stringer</dc:creator>
  <cp:keywords/>
  <dc:description/>
  <cp:lastModifiedBy>Josue Teoyotl Calderon</cp:lastModifiedBy>
  <cp:revision>5</cp:revision>
  <cp:lastPrinted>2015-08-12T00:56:00Z</cp:lastPrinted>
  <dcterms:created xsi:type="dcterms:W3CDTF">2021-08-18T18:14:00Z</dcterms:created>
  <dcterms:modified xsi:type="dcterms:W3CDTF">2021-08-26T21:31:00Z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0x010100355BF0C5ED42E4479976ED3C939C5A67</vt:lpwstr>
  </property>
</Properties>
</file>