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DCB79C" w14:textId="54DFBE8A" w:rsidR="0070274F" w:rsidRPr="00DF2131" w:rsidRDefault="0070274F" w:rsidP="00DF2131">
      <w:pPr>
        <w:spacing w:after="160" w:line="259" w:lineRule="auto"/>
        <w:rPr>
          <w:rFonts w:ascii="Arial" w:hAnsi="Arial" w:cs="Arial"/>
          <w:bCs/>
          <w:lang w:val="es-MX" w:eastAsia="es-MX"/>
        </w:rPr>
      </w:pPr>
      <w:r w:rsidRPr="0070274F">
        <w:rPr>
          <w:rFonts w:ascii="Arial" w:eastAsia="Times New Roman" w:hAnsi="Arial" w:cs="Arial"/>
          <w:b/>
          <w:sz w:val="26"/>
          <w:szCs w:val="26"/>
        </w:rPr>
        <w:t xml:space="preserve">Anteproyecto de Guía para tramitar el procedimiento seguido en forma de </w:t>
      </w:r>
      <w:bookmarkStart w:id="0" w:name="_GoBack"/>
      <w:bookmarkEnd w:id="0"/>
      <w:r w:rsidRPr="0070274F">
        <w:rPr>
          <w:rFonts w:ascii="Arial" w:eastAsia="Times New Roman" w:hAnsi="Arial" w:cs="Arial"/>
          <w:b/>
          <w:sz w:val="26"/>
          <w:szCs w:val="26"/>
        </w:rPr>
        <w:t>juicio por la comisión de prácticas monopólicas y concentraciones ilícitas en los sectores de Telecomunicaciones y Radiodifusión.</w:t>
      </w:r>
    </w:p>
    <w:p w14:paraId="547CBC67" w14:textId="77777777" w:rsidR="0070274F" w:rsidRPr="0070274F" w:rsidRDefault="0070274F" w:rsidP="0070274F">
      <w:pPr>
        <w:spacing w:after="0" w:line="252" w:lineRule="auto"/>
        <w:jc w:val="both"/>
        <w:rPr>
          <w:rFonts w:ascii="Arial" w:eastAsia="Times New Roman" w:hAnsi="Arial" w:cs="Arial"/>
          <w:b/>
          <w:sz w:val="26"/>
          <w:szCs w:val="26"/>
        </w:rPr>
      </w:pPr>
    </w:p>
    <w:p w14:paraId="5054A85D" w14:textId="77777777" w:rsidR="0070274F" w:rsidRPr="0070274F" w:rsidRDefault="0070274F" w:rsidP="0070274F">
      <w:pPr>
        <w:spacing w:after="0" w:line="252" w:lineRule="auto"/>
        <w:jc w:val="both"/>
        <w:rPr>
          <w:rFonts w:ascii="Arial" w:eastAsia="Times New Roman" w:hAnsi="Arial" w:cs="Arial"/>
          <w:b/>
          <w:sz w:val="26"/>
          <w:szCs w:val="26"/>
        </w:rPr>
      </w:pPr>
    </w:p>
    <w:p w14:paraId="5ACBD5AB" w14:textId="77777777" w:rsidR="0070274F" w:rsidRPr="0070274F" w:rsidRDefault="0070274F" w:rsidP="0070274F">
      <w:pPr>
        <w:spacing w:after="0" w:line="252" w:lineRule="auto"/>
        <w:jc w:val="center"/>
        <w:rPr>
          <w:rFonts w:ascii="Arial" w:eastAsia="Times New Roman" w:hAnsi="Arial" w:cs="Arial"/>
          <w:b/>
          <w:u w:val="single"/>
        </w:rPr>
      </w:pPr>
      <w:r w:rsidRPr="0070274F">
        <w:rPr>
          <w:rFonts w:ascii="Arial" w:eastAsia="Times New Roman" w:hAnsi="Arial" w:cs="Arial"/>
          <w:b/>
          <w:u w:val="single"/>
        </w:rPr>
        <w:t>Contenido</w:t>
      </w:r>
    </w:p>
    <w:p w14:paraId="58D0F1D0" w14:textId="77777777" w:rsidR="0070274F" w:rsidRPr="0070274F" w:rsidRDefault="0070274F" w:rsidP="0070274F">
      <w:pPr>
        <w:spacing w:after="0" w:line="252" w:lineRule="auto"/>
        <w:jc w:val="both"/>
        <w:rPr>
          <w:rFonts w:ascii="Arial" w:eastAsia="Times New Roman" w:hAnsi="Arial" w:cs="Arial"/>
          <w:b/>
        </w:rPr>
      </w:pPr>
    </w:p>
    <w:p w14:paraId="62D99998" w14:textId="30EEE189" w:rsidR="0070274F" w:rsidRPr="0070274F" w:rsidRDefault="0070274F" w:rsidP="0070274F">
      <w:pPr>
        <w:tabs>
          <w:tab w:val="right" w:leader="dot" w:pos="9016"/>
        </w:tabs>
        <w:spacing w:after="0"/>
        <w:rPr>
          <w:rFonts w:eastAsia="Times New Roman"/>
          <w:noProof/>
          <w:sz w:val="20"/>
          <w:szCs w:val="20"/>
          <w:lang w:val="es-MX" w:eastAsia="es-MX"/>
        </w:rPr>
      </w:pPr>
      <w:r w:rsidRPr="0070274F">
        <w:rPr>
          <w:rFonts w:ascii="Arial" w:eastAsia="Times New Roman" w:hAnsi="Arial" w:cs="Arial"/>
          <w:sz w:val="20"/>
          <w:szCs w:val="20"/>
          <w:lang w:val="es-MX" w:eastAsia="es-MX"/>
        </w:rPr>
        <w:fldChar w:fldCharType="begin"/>
      </w:r>
      <w:r w:rsidRPr="0070274F">
        <w:rPr>
          <w:rFonts w:ascii="Arial" w:eastAsia="Times New Roman" w:hAnsi="Arial" w:cs="Arial"/>
          <w:sz w:val="20"/>
          <w:szCs w:val="20"/>
          <w:lang w:val="es-MX" w:eastAsia="es-MX"/>
        </w:rPr>
        <w:instrText xml:space="preserve"> TOC \o "1-3" \h \z \u </w:instrText>
      </w:r>
      <w:r w:rsidRPr="0070274F">
        <w:rPr>
          <w:rFonts w:ascii="Arial" w:eastAsia="Times New Roman" w:hAnsi="Arial" w:cs="Arial"/>
          <w:sz w:val="20"/>
          <w:szCs w:val="20"/>
          <w:lang w:val="es-MX" w:eastAsia="es-MX"/>
        </w:rPr>
        <w:fldChar w:fldCharType="separate"/>
      </w:r>
      <w:hyperlink w:anchor="_Toc70950923" w:history="1">
        <w:r w:rsidRPr="0070274F">
          <w:rPr>
            <w:rFonts w:ascii="Arial" w:eastAsia="Times New Roman" w:hAnsi="Arial"/>
            <w:noProof/>
            <w:color w:val="0563C1"/>
            <w:sz w:val="20"/>
            <w:szCs w:val="20"/>
            <w:u w:val="single"/>
            <w:lang w:val="es-MX" w:eastAsia="es-MX"/>
          </w:rPr>
          <w:t>Glosario</w:t>
        </w:r>
        <w:r w:rsidRPr="0070274F">
          <w:rPr>
            <w:rFonts w:ascii="Arial" w:eastAsia="Times New Roman" w:hAnsi="Arial"/>
            <w:noProof/>
            <w:webHidden/>
            <w:sz w:val="20"/>
            <w:szCs w:val="20"/>
            <w:lang w:val="es-MX" w:eastAsia="es-MX"/>
          </w:rPr>
          <w:tab/>
        </w:r>
        <w:r w:rsidRPr="0070274F">
          <w:rPr>
            <w:rFonts w:ascii="Arial" w:eastAsia="Times New Roman" w:hAnsi="Arial"/>
            <w:noProof/>
            <w:webHidden/>
            <w:sz w:val="20"/>
            <w:szCs w:val="20"/>
            <w:lang w:val="es-MX" w:eastAsia="es-MX"/>
          </w:rPr>
          <w:fldChar w:fldCharType="begin"/>
        </w:r>
        <w:r w:rsidRPr="0070274F">
          <w:rPr>
            <w:rFonts w:ascii="Arial" w:eastAsia="Times New Roman" w:hAnsi="Arial"/>
            <w:noProof/>
            <w:webHidden/>
            <w:sz w:val="20"/>
            <w:szCs w:val="20"/>
            <w:lang w:val="es-MX" w:eastAsia="es-MX"/>
          </w:rPr>
          <w:instrText xml:space="preserve"> PAGEREF _Toc70950923 \h </w:instrText>
        </w:r>
        <w:r w:rsidRPr="0070274F">
          <w:rPr>
            <w:rFonts w:ascii="Arial" w:eastAsia="Times New Roman" w:hAnsi="Arial"/>
            <w:noProof/>
            <w:webHidden/>
            <w:sz w:val="20"/>
            <w:szCs w:val="20"/>
            <w:lang w:val="es-MX" w:eastAsia="es-MX"/>
          </w:rPr>
        </w:r>
        <w:r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w:t>
        </w:r>
        <w:r w:rsidRPr="0070274F">
          <w:rPr>
            <w:rFonts w:ascii="Arial" w:eastAsia="Times New Roman" w:hAnsi="Arial"/>
            <w:noProof/>
            <w:webHidden/>
            <w:sz w:val="20"/>
            <w:szCs w:val="20"/>
            <w:lang w:val="es-MX" w:eastAsia="es-MX"/>
          </w:rPr>
          <w:fldChar w:fldCharType="end"/>
        </w:r>
      </w:hyperlink>
    </w:p>
    <w:p w14:paraId="50E63EAC" w14:textId="35601C31" w:rsidR="0070274F" w:rsidRPr="0070274F" w:rsidRDefault="005B396E" w:rsidP="0070274F">
      <w:pPr>
        <w:tabs>
          <w:tab w:val="right" w:leader="dot" w:pos="9016"/>
        </w:tabs>
        <w:spacing w:after="0"/>
        <w:rPr>
          <w:rFonts w:eastAsia="Times New Roman"/>
          <w:noProof/>
          <w:sz w:val="20"/>
          <w:szCs w:val="20"/>
          <w:lang w:val="es-MX" w:eastAsia="es-MX"/>
        </w:rPr>
      </w:pPr>
      <w:hyperlink w:anchor="_Toc70950924" w:history="1">
        <w:r w:rsidR="0070274F" w:rsidRPr="0070274F">
          <w:rPr>
            <w:rFonts w:ascii="Arial" w:eastAsia="Times New Roman" w:hAnsi="Arial" w:cs="Arial"/>
            <w:noProof/>
            <w:color w:val="0563C1"/>
            <w:sz w:val="20"/>
            <w:szCs w:val="20"/>
            <w:u w:val="single"/>
            <w:lang w:val="es-MX" w:eastAsia="es-MX"/>
          </w:rPr>
          <w:t>1. Introducción</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_Toc70950924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3</w:t>
        </w:r>
        <w:r w:rsidR="0070274F" w:rsidRPr="0070274F">
          <w:rPr>
            <w:rFonts w:ascii="Arial" w:eastAsia="Times New Roman" w:hAnsi="Arial"/>
            <w:noProof/>
            <w:webHidden/>
            <w:sz w:val="20"/>
            <w:szCs w:val="20"/>
            <w:lang w:val="es-MX" w:eastAsia="es-MX"/>
          </w:rPr>
          <w:fldChar w:fldCharType="end"/>
        </w:r>
      </w:hyperlink>
    </w:p>
    <w:p w14:paraId="2BFF4040" w14:textId="757827CF" w:rsidR="0070274F" w:rsidRPr="0070274F" w:rsidRDefault="005B396E" w:rsidP="0070274F">
      <w:pPr>
        <w:tabs>
          <w:tab w:val="right" w:leader="dot" w:pos="9016"/>
        </w:tabs>
        <w:spacing w:after="0"/>
        <w:rPr>
          <w:rFonts w:eastAsia="Times New Roman"/>
          <w:noProof/>
          <w:sz w:val="20"/>
          <w:szCs w:val="20"/>
          <w:lang w:val="es-MX" w:eastAsia="es-MX"/>
        </w:rPr>
      </w:pPr>
      <w:hyperlink w:anchor="_Toc70950925" w:history="1">
        <w:r w:rsidR="0070274F" w:rsidRPr="0070274F">
          <w:rPr>
            <w:rFonts w:ascii="Arial" w:eastAsia="Times New Roman" w:hAnsi="Arial" w:cs="Arial"/>
            <w:noProof/>
            <w:color w:val="0563C1"/>
            <w:sz w:val="20"/>
            <w:szCs w:val="20"/>
            <w:u w:val="single"/>
            <w:lang w:val="es-MX" w:eastAsia="es-MX"/>
          </w:rPr>
          <w:t>2. Trámite del procedimiento</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_Toc70950925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4</w:t>
        </w:r>
        <w:r w:rsidR="0070274F" w:rsidRPr="0070274F">
          <w:rPr>
            <w:rFonts w:ascii="Arial" w:eastAsia="Times New Roman" w:hAnsi="Arial"/>
            <w:noProof/>
            <w:webHidden/>
            <w:sz w:val="20"/>
            <w:szCs w:val="20"/>
            <w:lang w:val="es-MX" w:eastAsia="es-MX"/>
          </w:rPr>
          <w:fldChar w:fldCharType="end"/>
        </w:r>
      </w:hyperlink>
    </w:p>
    <w:p w14:paraId="7A50A313" w14:textId="4A8A616B"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26" w:history="1">
        <w:r w:rsidR="0070274F" w:rsidRPr="0070274F">
          <w:rPr>
            <w:rFonts w:ascii="Arial" w:eastAsia="Times New Roman" w:hAnsi="Arial"/>
            <w:noProof/>
            <w:color w:val="0563C1"/>
            <w:sz w:val="20"/>
            <w:szCs w:val="20"/>
            <w:u w:val="single"/>
            <w:lang w:val="es-MX" w:eastAsia="es-MX"/>
          </w:rPr>
          <w:t>2.1. Cuestión Previa al Procedimiento</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_Toc70950926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5</w:t>
        </w:r>
        <w:r w:rsidR="0070274F" w:rsidRPr="0070274F">
          <w:rPr>
            <w:rFonts w:ascii="Arial" w:eastAsia="Times New Roman" w:hAnsi="Arial"/>
            <w:noProof/>
            <w:webHidden/>
            <w:sz w:val="20"/>
            <w:szCs w:val="20"/>
            <w:lang w:val="es-MX" w:eastAsia="es-MX"/>
          </w:rPr>
          <w:fldChar w:fldCharType="end"/>
        </w:r>
      </w:hyperlink>
    </w:p>
    <w:p w14:paraId="028D0937" w14:textId="364CD7CC"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27" w:history="1">
        <w:r w:rsidR="0070274F" w:rsidRPr="0070274F">
          <w:rPr>
            <w:rFonts w:ascii="Arial" w:eastAsia="Times New Roman" w:hAnsi="Arial"/>
            <w:noProof/>
            <w:color w:val="0563C1"/>
            <w:sz w:val="20"/>
            <w:szCs w:val="20"/>
            <w:u w:val="single"/>
            <w:lang w:val="es-MX" w:eastAsia="es-MX"/>
          </w:rPr>
          <w:t>2.2. Emplazamiento</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_Toc70950927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5</w:t>
        </w:r>
        <w:r w:rsidR="0070274F" w:rsidRPr="0070274F">
          <w:rPr>
            <w:rFonts w:ascii="Arial" w:eastAsia="Times New Roman" w:hAnsi="Arial"/>
            <w:noProof/>
            <w:webHidden/>
            <w:sz w:val="20"/>
            <w:szCs w:val="20"/>
            <w:lang w:val="es-MX" w:eastAsia="es-MX"/>
          </w:rPr>
          <w:fldChar w:fldCharType="end"/>
        </w:r>
      </w:hyperlink>
    </w:p>
    <w:p w14:paraId="77A73973" w14:textId="611D7EC6"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28" w:history="1">
        <w:r w:rsidR="0070274F" w:rsidRPr="0070274F">
          <w:rPr>
            <w:rFonts w:ascii="Arial" w:eastAsia="Times New Roman" w:hAnsi="Arial"/>
            <w:noProof/>
            <w:color w:val="0563C1"/>
            <w:sz w:val="20"/>
            <w:szCs w:val="20"/>
            <w:u w:val="single"/>
            <w:lang w:val="es-MX" w:eastAsia="es-MX"/>
          </w:rPr>
          <w:t>2.3. Constancias del Expediente</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_Toc70950928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6</w:t>
        </w:r>
        <w:r w:rsidR="0070274F" w:rsidRPr="0070274F">
          <w:rPr>
            <w:rFonts w:ascii="Arial" w:eastAsia="Times New Roman" w:hAnsi="Arial"/>
            <w:noProof/>
            <w:webHidden/>
            <w:sz w:val="20"/>
            <w:szCs w:val="20"/>
            <w:lang w:val="es-MX" w:eastAsia="es-MX"/>
          </w:rPr>
          <w:fldChar w:fldCharType="end"/>
        </w:r>
      </w:hyperlink>
    </w:p>
    <w:p w14:paraId="6553F301" w14:textId="20CA1511"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29" w:history="1">
        <w:r w:rsidR="0070274F" w:rsidRPr="0070274F">
          <w:rPr>
            <w:rFonts w:ascii="Arial" w:eastAsia="Times New Roman" w:hAnsi="Arial"/>
            <w:noProof/>
            <w:color w:val="0563C1"/>
            <w:sz w:val="20"/>
            <w:szCs w:val="20"/>
            <w:u w:val="single"/>
            <w:lang w:val="es-MX" w:eastAsia="es-MX"/>
          </w:rPr>
          <w:t>2.4. Escrito de manifestaciones del probable responsable</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_Toc70950929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7</w:t>
        </w:r>
        <w:r w:rsidR="0070274F" w:rsidRPr="0070274F">
          <w:rPr>
            <w:rFonts w:ascii="Arial" w:eastAsia="Times New Roman" w:hAnsi="Arial"/>
            <w:noProof/>
            <w:webHidden/>
            <w:sz w:val="20"/>
            <w:szCs w:val="20"/>
            <w:lang w:val="es-MX" w:eastAsia="es-MX"/>
          </w:rPr>
          <w:fldChar w:fldCharType="end"/>
        </w:r>
      </w:hyperlink>
    </w:p>
    <w:p w14:paraId="609E5271" w14:textId="23B9C574"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30" w:history="1">
        <w:r w:rsidR="0070274F" w:rsidRPr="0070274F">
          <w:rPr>
            <w:rFonts w:ascii="Arial" w:eastAsia="Times New Roman" w:hAnsi="Arial"/>
            <w:noProof/>
            <w:color w:val="0563C1"/>
            <w:sz w:val="20"/>
            <w:szCs w:val="20"/>
            <w:u w:val="single"/>
            <w:lang w:val="es-MX" w:eastAsia="es-MX"/>
          </w:rPr>
          <w:t>2.5. Ofrecimiento, admisión y desahogo de Pruebas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_Toc70950930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8</w:t>
        </w:r>
        <w:r w:rsidR="0070274F" w:rsidRPr="0070274F">
          <w:rPr>
            <w:rFonts w:ascii="Arial" w:eastAsia="Times New Roman" w:hAnsi="Arial"/>
            <w:noProof/>
            <w:webHidden/>
            <w:sz w:val="20"/>
            <w:szCs w:val="20"/>
            <w:lang w:val="es-MX" w:eastAsia="es-MX"/>
          </w:rPr>
          <w:fldChar w:fldCharType="end"/>
        </w:r>
      </w:hyperlink>
    </w:p>
    <w:p w14:paraId="34CD942A" w14:textId="19169C28" w:rsidR="0070274F" w:rsidRPr="0070274F" w:rsidRDefault="005B396E" w:rsidP="0070274F">
      <w:pPr>
        <w:tabs>
          <w:tab w:val="right" w:leader="dot" w:pos="9016"/>
        </w:tabs>
        <w:spacing w:after="0"/>
        <w:ind w:left="440"/>
        <w:rPr>
          <w:rFonts w:eastAsia="Times New Roman"/>
          <w:noProof/>
          <w:sz w:val="20"/>
          <w:szCs w:val="20"/>
          <w:lang w:val="es-MX" w:eastAsia="es-MX"/>
        </w:rPr>
      </w:pPr>
      <w:hyperlink w:anchor="_Toc70950931" w:history="1">
        <w:r w:rsidR="0070274F" w:rsidRPr="0070274F">
          <w:rPr>
            <w:rFonts w:ascii="Arial" w:eastAsia="Times New Roman" w:hAnsi="Arial"/>
            <w:noProof/>
            <w:color w:val="0563C1"/>
            <w:sz w:val="20"/>
            <w:szCs w:val="20"/>
            <w:u w:val="single"/>
            <w:lang w:val="es-MX" w:eastAsia="es-MX"/>
          </w:rPr>
          <w:t>2.5.1. Documentales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_Toc70950931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10</w:t>
        </w:r>
        <w:r w:rsidR="0070274F" w:rsidRPr="0070274F">
          <w:rPr>
            <w:rFonts w:ascii="Arial" w:eastAsia="Times New Roman" w:hAnsi="Arial"/>
            <w:noProof/>
            <w:webHidden/>
            <w:sz w:val="20"/>
            <w:szCs w:val="20"/>
            <w:lang w:val="es-MX" w:eastAsia="es-MX"/>
          </w:rPr>
          <w:fldChar w:fldCharType="end"/>
        </w:r>
      </w:hyperlink>
    </w:p>
    <w:p w14:paraId="4DB9E44D" w14:textId="6193E580" w:rsidR="0070274F" w:rsidRPr="0070274F" w:rsidRDefault="005B396E" w:rsidP="0070274F">
      <w:pPr>
        <w:tabs>
          <w:tab w:val="right" w:leader="dot" w:pos="9016"/>
        </w:tabs>
        <w:spacing w:after="0"/>
        <w:ind w:left="440"/>
        <w:rPr>
          <w:rFonts w:eastAsia="Times New Roman"/>
          <w:noProof/>
          <w:sz w:val="20"/>
          <w:szCs w:val="20"/>
          <w:lang w:val="es-MX" w:eastAsia="es-MX"/>
        </w:rPr>
      </w:pPr>
      <w:hyperlink w:anchor="_Toc70950932" w:history="1">
        <w:r w:rsidR="0070274F" w:rsidRPr="0070274F">
          <w:rPr>
            <w:rFonts w:ascii="Arial" w:eastAsia="Times New Roman" w:hAnsi="Arial"/>
            <w:noProof/>
            <w:color w:val="0563C1"/>
            <w:sz w:val="20"/>
            <w:szCs w:val="20"/>
            <w:u w:val="single"/>
            <w:lang w:val="es-MX" w:eastAsia="es-MX"/>
          </w:rPr>
          <w:t>2.5.2. Testimonial y Confesional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_Toc70950932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10</w:t>
        </w:r>
        <w:r w:rsidR="0070274F" w:rsidRPr="0070274F">
          <w:rPr>
            <w:rFonts w:ascii="Arial" w:eastAsia="Times New Roman" w:hAnsi="Arial"/>
            <w:noProof/>
            <w:webHidden/>
            <w:sz w:val="20"/>
            <w:szCs w:val="20"/>
            <w:lang w:val="es-MX" w:eastAsia="es-MX"/>
          </w:rPr>
          <w:fldChar w:fldCharType="end"/>
        </w:r>
      </w:hyperlink>
    </w:p>
    <w:p w14:paraId="6F783E07" w14:textId="1233E3AE" w:rsidR="0070274F" w:rsidRPr="0070274F" w:rsidRDefault="005B396E" w:rsidP="0070274F">
      <w:pPr>
        <w:tabs>
          <w:tab w:val="right" w:leader="dot" w:pos="9016"/>
        </w:tabs>
        <w:spacing w:after="0"/>
        <w:ind w:left="440"/>
        <w:rPr>
          <w:rFonts w:eastAsia="Times New Roman"/>
          <w:noProof/>
          <w:sz w:val="20"/>
          <w:szCs w:val="20"/>
          <w:lang w:val="es-MX" w:eastAsia="es-MX"/>
        </w:rPr>
      </w:pPr>
      <w:hyperlink w:anchor="_Toc70950933" w:history="1">
        <w:r w:rsidR="0070274F" w:rsidRPr="0070274F">
          <w:rPr>
            <w:rFonts w:ascii="Arial" w:eastAsia="Times New Roman" w:hAnsi="Arial"/>
            <w:noProof/>
            <w:color w:val="0563C1"/>
            <w:sz w:val="20"/>
            <w:szCs w:val="20"/>
            <w:u w:val="single"/>
            <w:lang w:val="es-MX" w:eastAsia="es-MX"/>
          </w:rPr>
          <w:t>2.5.3. Pericial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_Toc70950933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13</w:t>
        </w:r>
        <w:r w:rsidR="0070274F" w:rsidRPr="0070274F">
          <w:rPr>
            <w:rFonts w:ascii="Arial" w:eastAsia="Times New Roman" w:hAnsi="Arial"/>
            <w:noProof/>
            <w:webHidden/>
            <w:sz w:val="20"/>
            <w:szCs w:val="20"/>
            <w:lang w:val="es-MX" w:eastAsia="es-MX"/>
          </w:rPr>
          <w:fldChar w:fldCharType="end"/>
        </w:r>
      </w:hyperlink>
    </w:p>
    <w:p w14:paraId="72F08D7F" w14:textId="5C5FDF42" w:rsidR="0070274F" w:rsidRPr="0070274F" w:rsidRDefault="005B396E" w:rsidP="0070274F">
      <w:pPr>
        <w:tabs>
          <w:tab w:val="right" w:leader="dot" w:pos="9016"/>
        </w:tabs>
        <w:spacing w:after="0"/>
        <w:ind w:left="440"/>
        <w:rPr>
          <w:rFonts w:eastAsia="Times New Roman"/>
          <w:noProof/>
          <w:sz w:val="20"/>
          <w:szCs w:val="20"/>
          <w:lang w:val="es-MX" w:eastAsia="es-MX"/>
        </w:rPr>
      </w:pPr>
      <w:hyperlink w:anchor="_Toc70950934" w:history="1">
        <w:r w:rsidR="0070274F" w:rsidRPr="0070274F">
          <w:rPr>
            <w:rFonts w:ascii="Arial" w:eastAsia="Times New Roman" w:hAnsi="Arial"/>
            <w:noProof/>
            <w:color w:val="0563C1"/>
            <w:sz w:val="20"/>
            <w:szCs w:val="20"/>
            <w:u w:val="single"/>
            <w:lang w:val="es-MX" w:eastAsia="es-MX"/>
          </w:rPr>
          <w:t>2.5.4. Inspección</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_Toc70950934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15</w:t>
        </w:r>
        <w:r w:rsidR="0070274F" w:rsidRPr="0070274F">
          <w:rPr>
            <w:rFonts w:ascii="Arial" w:eastAsia="Times New Roman" w:hAnsi="Arial"/>
            <w:noProof/>
            <w:webHidden/>
            <w:sz w:val="20"/>
            <w:szCs w:val="20"/>
            <w:lang w:val="es-MX" w:eastAsia="es-MX"/>
          </w:rPr>
          <w:fldChar w:fldCharType="end"/>
        </w:r>
      </w:hyperlink>
    </w:p>
    <w:p w14:paraId="11714431" w14:textId="4F06004D" w:rsidR="0070274F" w:rsidRPr="0070274F" w:rsidRDefault="005B396E" w:rsidP="0070274F">
      <w:pPr>
        <w:tabs>
          <w:tab w:val="right" w:leader="dot" w:pos="9016"/>
        </w:tabs>
        <w:spacing w:after="0"/>
        <w:ind w:left="440"/>
        <w:rPr>
          <w:rFonts w:eastAsia="Times New Roman"/>
          <w:noProof/>
          <w:sz w:val="20"/>
          <w:szCs w:val="20"/>
          <w:lang w:val="es-MX" w:eastAsia="es-MX"/>
        </w:rPr>
      </w:pPr>
      <w:hyperlink w:anchor="_Toc70950935" w:history="1">
        <w:r w:rsidR="0070274F" w:rsidRPr="0070274F">
          <w:rPr>
            <w:rFonts w:ascii="Arial" w:eastAsia="Times New Roman" w:hAnsi="Arial"/>
            <w:noProof/>
            <w:color w:val="0563C1"/>
            <w:sz w:val="20"/>
            <w:szCs w:val="20"/>
            <w:u w:val="single"/>
            <w:lang w:val="es-MX" w:eastAsia="es-MX"/>
          </w:rPr>
          <w:t>2.5.6. Pruebas Supervenientes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_Toc70950935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16</w:t>
        </w:r>
        <w:r w:rsidR="0070274F" w:rsidRPr="0070274F">
          <w:rPr>
            <w:rFonts w:ascii="Arial" w:eastAsia="Times New Roman" w:hAnsi="Arial"/>
            <w:noProof/>
            <w:webHidden/>
            <w:sz w:val="20"/>
            <w:szCs w:val="20"/>
            <w:lang w:val="es-MX" w:eastAsia="es-MX"/>
          </w:rPr>
          <w:fldChar w:fldCharType="end"/>
        </w:r>
      </w:hyperlink>
    </w:p>
    <w:p w14:paraId="4151B370" w14:textId="29A9A212"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36" w:history="1">
        <w:r w:rsidR="0070274F" w:rsidRPr="0070274F">
          <w:rPr>
            <w:rFonts w:ascii="Arial" w:eastAsia="Times New Roman" w:hAnsi="Arial"/>
            <w:noProof/>
            <w:color w:val="0563C1"/>
            <w:sz w:val="20"/>
            <w:szCs w:val="20"/>
            <w:u w:val="single"/>
            <w:lang w:val="es-MX" w:eastAsia="es-MX"/>
          </w:rPr>
          <w:t>2.6. Pruebas para mejor proveer</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_Toc70950936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16</w:t>
        </w:r>
        <w:r w:rsidR="0070274F" w:rsidRPr="0070274F">
          <w:rPr>
            <w:rFonts w:ascii="Arial" w:eastAsia="Times New Roman" w:hAnsi="Arial"/>
            <w:noProof/>
            <w:webHidden/>
            <w:sz w:val="20"/>
            <w:szCs w:val="20"/>
            <w:lang w:val="es-MX" w:eastAsia="es-MX"/>
          </w:rPr>
          <w:fldChar w:fldCharType="end"/>
        </w:r>
      </w:hyperlink>
    </w:p>
    <w:p w14:paraId="765DACE5" w14:textId="7A2CF4C0"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37" w:history="1">
        <w:r w:rsidR="0070274F" w:rsidRPr="0070274F">
          <w:rPr>
            <w:rFonts w:ascii="Arial" w:eastAsia="Times New Roman" w:hAnsi="Arial"/>
            <w:noProof/>
            <w:color w:val="0563C1"/>
            <w:sz w:val="20"/>
            <w:szCs w:val="20"/>
            <w:u w:val="single"/>
            <w:lang w:val="es-MX" w:eastAsia="es-MX"/>
          </w:rPr>
          <w:t>2.7. Alegatos e integración</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_Toc70950937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16</w:t>
        </w:r>
        <w:r w:rsidR="0070274F" w:rsidRPr="0070274F">
          <w:rPr>
            <w:rFonts w:ascii="Arial" w:eastAsia="Times New Roman" w:hAnsi="Arial"/>
            <w:noProof/>
            <w:webHidden/>
            <w:sz w:val="20"/>
            <w:szCs w:val="20"/>
            <w:lang w:val="es-MX" w:eastAsia="es-MX"/>
          </w:rPr>
          <w:fldChar w:fldCharType="end"/>
        </w:r>
      </w:hyperlink>
    </w:p>
    <w:p w14:paraId="02BECBE6" w14:textId="6BF88FBD"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38" w:history="1">
        <w:r w:rsidR="0070274F" w:rsidRPr="0070274F">
          <w:rPr>
            <w:rFonts w:ascii="Arial" w:eastAsia="Times New Roman" w:hAnsi="Arial"/>
            <w:noProof/>
            <w:color w:val="0563C1"/>
            <w:sz w:val="20"/>
            <w:szCs w:val="20"/>
            <w:u w:val="single"/>
            <w:lang w:val="es-MX" w:eastAsia="es-MX"/>
          </w:rPr>
          <w:t>2.8. Comisionada o Comisionado Ponente</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_Toc70950938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16</w:t>
        </w:r>
        <w:r w:rsidR="0070274F" w:rsidRPr="0070274F">
          <w:rPr>
            <w:rFonts w:ascii="Arial" w:eastAsia="Times New Roman" w:hAnsi="Arial"/>
            <w:noProof/>
            <w:webHidden/>
            <w:sz w:val="20"/>
            <w:szCs w:val="20"/>
            <w:lang w:val="es-MX" w:eastAsia="es-MX"/>
          </w:rPr>
          <w:fldChar w:fldCharType="end"/>
        </w:r>
      </w:hyperlink>
    </w:p>
    <w:p w14:paraId="6CA0F006" w14:textId="0C287BFA"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39" w:history="1">
        <w:r w:rsidR="0070274F" w:rsidRPr="0070274F">
          <w:rPr>
            <w:rFonts w:ascii="Arial" w:eastAsia="Times New Roman" w:hAnsi="Arial"/>
            <w:noProof/>
            <w:color w:val="0563C1"/>
            <w:sz w:val="20"/>
            <w:szCs w:val="20"/>
            <w:u w:val="single"/>
            <w:lang w:val="es-MX" w:eastAsia="es-MX"/>
          </w:rPr>
          <w:t>2.9. Audiencia oral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_Toc70950939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17</w:t>
        </w:r>
        <w:r w:rsidR="0070274F" w:rsidRPr="0070274F">
          <w:rPr>
            <w:rFonts w:ascii="Arial" w:eastAsia="Times New Roman" w:hAnsi="Arial"/>
            <w:noProof/>
            <w:webHidden/>
            <w:sz w:val="20"/>
            <w:szCs w:val="20"/>
            <w:lang w:val="es-MX" w:eastAsia="es-MX"/>
          </w:rPr>
          <w:fldChar w:fldCharType="end"/>
        </w:r>
      </w:hyperlink>
    </w:p>
    <w:p w14:paraId="7524FC3B" w14:textId="17ECFB1B"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0" w:history="1">
        <w:r w:rsidR="0070274F" w:rsidRPr="0070274F">
          <w:rPr>
            <w:rFonts w:ascii="Arial" w:eastAsia="Times New Roman" w:hAnsi="Arial"/>
            <w:noProof/>
            <w:color w:val="0563C1"/>
            <w:sz w:val="20"/>
            <w:szCs w:val="20"/>
            <w:u w:val="single"/>
            <w:lang w:val="es-MX" w:eastAsia="es-MX"/>
          </w:rPr>
          <w:t>2.10. Resolución</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_Toc70950940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19</w:t>
        </w:r>
        <w:r w:rsidR="0070274F" w:rsidRPr="0070274F">
          <w:rPr>
            <w:rFonts w:ascii="Arial" w:eastAsia="Times New Roman" w:hAnsi="Arial"/>
            <w:noProof/>
            <w:webHidden/>
            <w:sz w:val="20"/>
            <w:szCs w:val="20"/>
            <w:lang w:val="es-MX" w:eastAsia="es-MX"/>
          </w:rPr>
          <w:fldChar w:fldCharType="end"/>
        </w:r>
      </w:hyperlink>
    </w:p>
    <w:p w14:paraId="26ED637D" w14:textId="56E0880A" w:rsidR="0070274F" w:rsidRPr="0070274F" w:rsidRDefault="005B396E" w:rsidP="0070274F">
      <w:pPr>
        <w:tabs>
          <w:tab w:val="right" w:leader="dot" w:pos="9016"/>
        </w:tabs>
        <w:spacing w:after="0"/>
        <w:rPr>
          <w:rFonts w:eastAsia="Times New Roman"/>
          <w:noProof/>
          <w:sz w:val="20"/>
          <w:szCs w:val="20"/>
          <w:lang w:val="es-MX" w:eastAsia="es-MX"/>
        </w:rPr>
      </w:pPr>
      <w:hyperlink w:anchor="_Toc70950941" w:history="1">
        <w:r w:rsidR="0070274F" w:rsidRPr="0070274F">
          <w:rPr>
            <w:rFonts w:ascii="Arial" w:eastAsia="Times New Roman" w:hAnsi="Arial" w:cs="Arial"/>
            <w:noProof/>
            <w:color w:val="0563C1"/>
            <w:sz w:val="20"/>
            <w:szCs w:val="20"/>
            <w:u w:val="single"/>
            <w:lang w:val="es-MX" w:eastAsia="es-MX"/>
          </w:rPr>
          <w:t>3. Valoración de pruebas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_Toc70950941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19</w:t>
        </w:r>
        <w:r w:rsidR="0070274F" w:rsidRPr="0070274F">
          <w:rPr>
            <w:rFonts w:ascii="Arial" w:eastAsia="Times New Roman" w:hAnsi="Arial"/>
            <w:noProof/>
            <w:webHidden/>
            <w:sz w:val="20"/>
            <w:szCs w:val="20"/>
            <w:lang w:val="es-MX" w:eastAsia="es-MX"/>
          </w:rPr>
          <w:fldChar w:fldCharType="end"/>
        </w:r>
      </w:hyperlink>
    </w:p>
    <w:p w14:paraId="7C0E7638" w14:textId="6B12F888"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2" w:history="1">
        <w:r w:rsidR="0070274F" w:rsidRPr="0070274F">
          <w:rPr>
            <w:rFonts w:ascii="Arial" w:eastAsia="Times New Roman" w:hAnsi="Arial"/>
            <w:noProof/>
            <w:color w:val="0563C1"/>
            <w:sz w:val="20"/>
            <w:szCs w:val="20"/>
            <w:u w:val="single"/>
            <w:lang w:val="es-MX" w:eastAsia="es-MX"/>
          </w:rPr>
          <w:t>3.1. Documental pública</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_Toc70950942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20</w:t>
        </w:r>
        <w:r w:rsidR="0070274F" w:rsidRPr="0070274F">
          <w:rPr>
            <w:rFonts w:ascii="Arial" w:eastAsia="Times New Roman" w:hAnsi="Arial"/>
            <w:noProof/>
            <w:webHidden/>
            <w:sz w:val="20"/>
            <w:szCs w:val="20"/>
            <w:lang w:val="es-MX" w:eastAsia="es-MX"/>
          </w:rPr>
          <w:fldChar w:fldCharType="end"/>
        </w:r>
      </w:hyperlink>
    </w:p>
    <w:p w14:paraId="51DA2AF1" w14:textId="558D1F33"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3" w:history="1">
        <w:r w:rsidR="0070274F" w:rsidRPr="0070274F">
          <w:rPr>
            <w:rFonts w:ascii="Arial" w:eastAsia="Times New Roman" w:hAnsi="Arial"/>
            <w:noProof/>
            <w:color w:val="0563C1"/>
            <w:sz w:val="20"/>
            <w:szCs w:val="20"/>
            <w:u w:val="single"/>
            <w:lang w:val="es-MX" w:eastAsia="es-MX"/>
          </w:rPr>
          <w:t>3.2. Documental privada</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_Toc70950943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20</w:t>
        </w:r>
        <w:r w:rsidR="0070274F" w:rsidRPr="0070274F">
          <w:rPr>
            <w:rFonts w:ascii="Arial" w:eastAsia="Times New Roman" w:hAnsi="Arial"/>
            <w:noProof/>
            <w:webHidden/>
            <w:sz w:val="20"/>
            <w:szCs w:val="20"/>
            <w:lang w:val="es-MX" w:eastAsia="es-MX"/>
          </w:rPr>
          <w:fldChar w:fldCharType="end"/>
        </w:r>
      </w:hyperlink>
    </w:p>
    <w:p w14:paraId="39AE4F45" w14:textId="217D5839"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4" w:history="1">
        <w:r w:rsidR="0070274F" w:rsidRPr="0070274F">
          <w:rPr>
            <w:rFonts w:ascii="Arial" w:eastAsia="Times New Roman" w:hAnsi="Arial"/>
            <w:noProof/>
            <w:color w:val="0563C1"/>
            <w:sz w:val="20"/>
            <w:szCs w:val="20"/>
            <w:u w:val="single"/>
            <w:lang w:val="es-MX" w:eastAsia="es-MX"/>
          </w:rPr>
          <w:t>3.3. Elementos aportados por la ciencia</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_Toc70950944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21</w:t>
        </w:r>
        <w:r w:rsidR="0070274F" w:rsidRPr="0070274F">
          <w:rPr>
            <w:rFonts w:ascii="Arial" w:eastAsia="Times New Roman" w:hAnsi="Arial"/>
            <w:noProof/>
            <w:webHidden/>
            <w:sz w:val="20"/>
            <w:szCs w:val="20"/>
            <w:lang w:val="es-MX" w:eastAsia="es-MX"/>
          </w:rPr>
          <w:fldChar w:fldCharType="end"/>
        </w:r>
      </w:hyperlink>
    </w:p>
    <w:p w14:paraId="6F23DD3C" w14:textId="5580644A"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5" w:history="1">
        <w:r w:rsidR="0070274F" w:rsidRPr="0070274F">
          <w:rPr>
            <w:rFonts w:ascii="Arial" w:eastAsia="Times New Roman" w:hAnsi="Arial"/>
            <w:noProof/>
            <w:color w:val="0563C1"/>
            <w:sz w:val="20"/>
            <w:szCs w:val="20"/>
            <w:u w:val="single"/>
            <w:lang w:val="es-MX" w:eastAsia="es-MX"/>
          </w:rPr>
          <w:t>3.4. Pericial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_Toc70950945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21</w:t>
        </w:r>
        <w:r w:rsidR="0070274F" w:rsidRPr="0070274F">
          <w:rPr>
            <w:rFonts w:ascii="Arial" w:eastAsia="Times New Roman" w:hAnsi="Arial"/>
            <w:noProof/>
            <w:webHidden/>
            <w:sz w:val="20"/>
            <w:szCs w:val="20"/>
            <w:lang w:val="es-MX" w:eastAsia="es-MX"/>
          </w:rPr>
          <w:fldChar w:fldCharType="end"/>
        </w:r>
      </w:hyperlink>
    </w:p>
    <w:p w14:paraId="4DEB3876" w14:textId="1DFCA196"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6" w:history="1">
        <w:r w:rsidR="0070274F" w:rsidRPr="0070274F">
          <w:rPr>
            <w:rFonts w:ascii="Arial" w:eastAsia="Times New Roman" w:hAnsi="Arial"/>
            <w:noProof/>
            <w:color w:val="0563C1"/>
            <w:sz w:val="20"/>
            <w:szCs w:val="20"/>
            <w:u w:val="single"/>
            <w:lang w:val="es-MX" w:eastAsia="es-MX"/>
          </w:rPr>
          <w:t>3.5. Inspección</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_Toc70950946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22</w:t>
        </w:r>
        <w:r w:rsidR="0070274F" w:rsidRPr="0070274F">
          <w:rPr>
            <w:rFonts w:ascii="Arial" w:eastAsia="Times New Roman" w:hAnsi="Arial"/>
            <w:noProof/>
            <w:webHidden/>
            <w:sz w:val="20"/>
            <w:szCs w:val="20"/>
            <w:lang w:val="es-MX" w:eastAsia="es-MX"/>
          </w:rPr>
          <w:fldChar w:fldCharType="end"/>
        </w:r>
      </w:hyperlink>
    </w:p>
    <w:p w14:paraId="53E1F5D6" w14:textId="406578D2"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7" w:history="1">
        <w:r w:rsidR="0070274F" w:rsidRPr="0070274F">
          <w:rPr>
            <w:rFonts w:ascii="Arial" w:eastAsia="Times New Roman" w:hAnsi="Arial"/>
            <w:noProof/>
            <w:color w:val="0563C1"/>
            <w:sz w:val="20"/>
            <w:szCs w:val="20"/>
            <w:u w:val="single"/>
            <w:lang w:val="es-MX" w:eastAsia="es-MX"/>
          </w:rPr>
          <w:t>3.6. Testimonial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_Toc70950947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23</w:t>
        </w:r>
        <w:r w:rsidR="0070274F" w:rsidRPr="0070274F">
          <w:rPr>
            <w:rFonts w:ascii="Arial" w:eastAsia="Times New Roman" w:hAnsi="Arial"/>
            <w:noProof/>
            <w:webHidden/>
            <w:sz w:val="20"/>
            <w:szCs w:val="20"/>
            <w:lang w:val="es-MX" w:eastAsia="es-MX"/>
          </w:rPr>
          <w:fldChar w:fldCharType="end"/>
        </w:r>
      </w:hyperlink>
    </w:p>
    <w:p w14:paraId="1EA0ECF5" w14:textId="1AA104D3"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48" w:history="1">
        <w:r w:rsidR="0070274F" w:rsidRPr="0070274F">
          <w:rPr>
            <w:rFonts w:ascii="Arial" w:eastAsia="Times New Roman" w:hAnsi="Arial"/>
            <w:noProof/>
            <w:color w:val="0563C1"/>
            <w:sz w:val="20"/>
            <w:szCs w:val="20"/>
            <w:u w:val="single"/>
            <w:lang w:val="es-MX" w:eastAsia="es-MX"/>
          </w:rPr>
          <w:t>3.7 Confesional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_Toc70950948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23</w:t>
        </w:r>
        <w:r w:rsidR="0070274F" w:rsidRPr="0070274F">
          <w:rPr>
            <w:rFonts w:ascii="Arial" w:eastAsia="Times New Roman" w:hAnsi="Arial"/>
            <w:noProof/>
            <w:webHidden/>
            <w:sz w:val="20"/>
            <w:szCs w:val="20"/>
            <w:lang w:val="es-MX" w:eastAsia="es-MX"/>
          </w:rPr>
          <w:fldChar w:fldCharType="end"/>
        </w:r>
      </w:hyperlink>
    </w:p>
    <w:p w14:paraId="1EAF4128" w14:textId="151117FC" w:rsidR="0070274F" w:rsidRPr="0070274F" w:rsidRDefault="005B396E" w:rsidP="0070274F">
      <w:pPr>
        <w:tabs>
          <w:tab w:val="right" w:leader="dot" w:pos="9016"/>
        </w:tabs>
        <w:spacing w:after="0"/>
        <w:rPr>
          <w:rFonts w:eastAsia="Times New Roman"/>
          <w:noProof/>
          <w:sz w:val="20"/>
          <w:szCs w:val="20"/>
          <w:lang w:val="es-MX" w:eastAsia="es-MX"/>
        </w:rPr>
      </w:pPr>
      <w:hyperlink w:anchor="_Toc70950949" w:history="1">
        <w:r w:rsidR="0070274F" w:rsidRPr="0070274F">
          <w:rPr>
            <w:rFonts w:ascii="Arial" w:eastAsia="Times New Roman" w:hAnsi="Arial" w:cs="Arial"/>
            <w:noProof/>
            <w:color w:val="0563C1"/>
            <w:sz w:val="20"/>
            <w:szCs w:val="20"/>
            <w:u w:val="single"/>
            <w:lang w:val="es-MX" w:eastAsia="es-MX"/>
          </w:rPr>
          <w:t>4. Disposiciones generales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_Toc70950949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24</w:t>
        </w:r>
        <w:r w:rsidR="0070274F" w:rsidRPr="0070274F">
          <w:rPr>
            <w:rFonts w:ascii="Arial" w:eastAsia="Times New Roman" w:hAnsi="Arial"/>
            <w:noProof/>
            <w:webHidden/>
            <w:sz w:val="20"/>
            <w:szCs w:val="20"/>
            <w:lang w:val="es-MX" w:eastAsia="es-MX"/>
          </w:rPr>
          <w:fldChar w:fldCharType="end"/>
        </w:r>
      </w:hyperlink>
    </w:p>
    <w:p w14:paraId="44636051" w14:textId="04614B7B"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50" w:history="1">
        <w:r w:rsidR="0070274F" w:rsidRPr="0070274F">
          <w:rPr>
            <w:rFonts w:ascii="Arial" w:eastAsia="Times New Roman" w:hAnsi="Arial"/>
            <w:noProof/>
            <w:color w:val="0563C1"/>
            <w:sz w:val="20"/>
            <w:szCs w:val="20"/>
            <w:u w:val="single"/>
            <w:lang w:val="es-MX" w:eastAsia="es-MX"/>
          </w:rPr>
          <w:t>4.1. Promociones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_Toc70950950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24</w:t>
        </w:r>
        <w:r w:rsidR="0070274F" w:rsidRPr="0070274F">
          <w:rPr>
            <w:rFonts w:ascii="Arial" w:eastAsia="Times New Roman" w:hAnsi="Arial"/>
            <w:noProof/>
            <w:webHidden/>
            <w:sz w:val="20"/>
            <w:szCs w:val="20"/>
            <w:lang w:val="es-MX" w:eastAsia="es-MX"/>
          </w:rPr>
          <w:fldChar w:fldCharType="end"/>
        </w:r>
      </w:hyperlink>
    </w:p>
    <w:p w14:paraId="3372D386" w14:textId="33520F78"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51" w:history="1">
        <w:r w:rsidR="0070274F" w:rsidRPr="0070274F">
          <w:rPr>
            <w:rFonts w:ascii="Arial" w:eastAsia="Times New Roman" w:hAnsi="Arial"/>
            <w:noProof/>
            <w:color w:val="0563C1"/>
            <w:sz w:val="20"/>
            <w:szCs w:val="20"/>
            <w:u w:val="single"/>
            <w:lang w:val="es-MX" w:eastAsia="es-MX"/>
          </w:rPr>
          <w:t>4.2. Actuaciones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_Toc70950951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25</w:t>
        </w:r>
        <w:r w:rsidR="0070274F" w:rsidRPr="0070274F">
          <w:rPr>
            <w:rFonts w:ascii="Arial" w:eastAsia="Times New Roman" w:hAnsi="Arial"/>
            <w:noProof/>
            <w:webHidden/>
            <w:sz w:val="20"/>
            <w:szCs w:val="20"/>
            <w:lang w:val="es-MX" w:eastAsia="es-MX"/>
          </w:rPr>
          <w:fldChar w:fldCharType="end"/>
        </w:r>
      </w:hyperlink>
    </w:p>
    <w:p w14:paraId="57299C30" w14:textId="7CA7D011"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52" w:history="1">
        <w:r w:rsidR="0070274F" w:rsidRPr="0070274F">
          <w:rPr>
            <w:rFonts w:ascii="Arial" w:eastAsia="Times New Roman" w:hAnsi="Arial"/>
            <w:noProof/>
            <w:color w:val="0563C1"/>
            <w:sz w:val="20"/>
            <w:szCs w:val="20"/>
            <w:u w:val="single"/>
            <w:lang w:val="es-MX" w:eastAsia="es-MX"/>
          </w:rPr>
          <w:t>4.3. Representación</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_Toc70950952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25</w:t>
        </w:r>
        <w:r w:rsidR="0070274F" w:rsidRPr="0070274F">
          <w:rPr>
            <w:rFonts w:ascii="Arial" w:eastAsia="Times New Roman" w:hAnsi="Arial"/>
            <w:noProof/>
            <w:webHidden/>
            <w:sz w:val="20"/>
            <w:szCs w:val="20"/>
            <w:lang w:val="es-MX" w:eastAsia="es-MX"/>
          </w:rPr>
          <w:fldChar w:fldCharType="end"/>
        </w:r>
      </w:hyperlink>
    </w:p>
    <w:p w14:paraId="7259B57A" w14:textId="369A21BD"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53" w:history="1">
        <w:r w:rsidR="0070274F" w:rsidRPr="0070274F">
          <w:rPr>
            <w:rFonts w:ascii="Arial" w:eastAsia="Times New Roman" w:hAnsi="Arial"/>
            <w:noProof/>
            <w:color w:val="0563C1"/>
            <w:sz w:val="20"/>
            <w:szCs w:val="20"/>
            <w:u w:val="single"/>
            <w:lang w:val="es-MX" w:eastAsia="es-MX"/>
          </w:rPr>
          <w:t>4.4 Plazos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_Toc70950953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26</w:t>
        </w:r>
        <w:r w:rsidR="0070274F" w:rsidRPr="0070274F">
          <w:rPr>
            <w:rFonts w:ascii="Arial" w:eastAsia="Times New Roman" w:hAnsi="Arial"/>
            <w:noProof/>
            <w:webHidden/>
            <w:sz w:val="20"/>
            <w:szCs w:val="20"/>
            <w:lang w:val="es-MX" w:eastAsia="es-MX"/>
          </w:rPr>
          <w:fldChar w:fldCharType="end"/>
        </w:r>
      </w:hyperlink>
    </w:p>
    <w:p w14:paraId="7693F391" w14:textId="668CF3D7"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54" w:history="1">
        <w:r w:rsidR="0070274F" w:rsidRPr="0070274F">
          <w:rPr>
            <w:rFonts w:ascii="Arial" w:eastAsia="Times New Roman" w:hAnsi="Arial"/>
            <w:noProof/>
            <w:color w:val="0563C1"/>
            <w:sz w:val="20"/>
            <w:szCs w:val="20"/>
            <w:u w:val="single"/>
            <w:lang w:val="es-MX" w:eastAsia="es-MX"/>
          </w:rPr>
          <w:t>4.5. Notificaciones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_Toc70950954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27</w:t>
        </w:r>
        <w:r w:rsidR="0070274F" w:rsidRPr="0070274F">
          <w:rPr>
            <w:rFonts w:ascii="Arial" w:eastAsia="Times New Roman" w:hAnsi="Arial"/>
            <w:noProof/>
            <w:webHidden/>
            <w:sz w:val="20"/>
            <w:szCs w:val="20"/>
            <w:lang w:val="es-MX" w:eastAsia="es-MX"/>
          </w:rPr>
          <w:fldChar w:fldCharType="end"/>
        </w:r>
      </w:hyperlink>
    </w:p>
    <w:p w14:paraId="24F3F165" w14:textId="0F0C4F30" w:rsidR="0070274F" w:rsidRPr="0070274F" w:rsidRDefault="005B396E" w:rsidP="0070274F">
      <w:pPr>
        <w:tabs>
          <w:tab w:val="right" w:leader="dot" w:pos="9016"/>
        </w:tabs>
        <w:spacing w:after="0"/>
        <w:ind w:left="440"/>
        <w:rPr>
          <w:rFonts w:eastAsia="Times New Roman"/>
          <w:noProof/>
          <w:sz w:val="20"/>
          <w:szCs w:val="20"/>
          <w:lang w:val="es-MX" w:eastAsia="es-MX"/>
        </w:rPr>
      </w:pPr>
      <w:hyperlink w:anchor="_Toc70950955" w:history="1">
        <w:r w:rsidR="0070274F" w:rsidRPr="0070274F">
          <w:rPr>
            <w:rFonts w:ascii="Arial" w:eastAsia="Times New Roman" w:hAnsi="Arial"/>
            <w:noProof/>
            <w:color w:val="0563C1"/>
            <w:sz w:val="20"/>
            <w:szCs w:val="20"/>
            <w:u w:val="single"/>
            <w:lang w:val="es-MX" w:eastAsia="es-MX"/>
          </w:rPr>
          <w:t>4.5.1. Notificaciones personales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_Toc70950955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27</w:t>
        </w:r>
        <w:r w:rsidR="0070274F" w:rsidRPr="0070274F">
          <w:rPr>
            <w:rFonts w:ascii="Arial" w:eastAsia="Times New Roman" w:hAnsi="Arial"/>
            <w:noProof/>
            <w:webHidden/>
            <w:sz w:val="20"/>
            <w:szCs w:val="20"/>
            <w:lang w:val="es-MX" w:eastAsia="es-MX"/>
          </w:rPr>
          <w:fldChar w:fldCharType="end"/>
        </w:r>
      </w:hyperlink>
    </w:p>
    <w:p w14:paraId="3D8082F0" w14:textId="4EB0FC08" w:rsidR="0070274F" w:rsidRPr="0070274F" w:rsidRDefault="005B396E" w:rsidP="0070274F">
      <w:pPr>
        <w:tabs>
          <w:tab w:val="right" w:leader="dot" w:pos="9016"/>
        </w:tabs>
        <w:spacing w:after="0"/>
        <w:ind w:left="440"/>
        <w:rPr>
          <w:rFonts w:eastAsia="Times New Roman"/>
          <w:noProof/>
          <w:sz w:val="20"/>
          <w:szCs w:val="20"/>
          <w:lang w:val="es-MX" w:eastAsia="es-MX"/>
        </w:rPr>
      </w:pPr>
      <w:hyperlink w:anchor="_Toc70950956" w:history="1">
        <w:r w:rsidR="0070274F" w:rsidRPr="0070274F">
          <w:rPr>
            <w:rFonts w:ascii="Arial" w:eastAsia="Times New Roman" w:hAnsi="Arial"/>
            <w:noProof/>
            <w:color w:val="0563C1"/>
            <w:sz w:val="20"/>
            <w:szCs w:val="20"/>
            <w:u w:val="single"/>
            <w:lang w:val="es-MX" w:eastAsia="es-MX"/>
          </w:rPr>
          <w:t>4.5.2. Notificaciones por lista</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_Toc70950956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27</w:t>
        </w:r>
        <w:r w:rsidR="0070274F" w:rsidRPr="0070274F">
          <w:rPr>
            <w:rFonts w:ascii="Arial" w:eastAsia="Times New Roman" w:hAnsi="Arial"/>
            <w:noProof/>
            <w:webHidden/>
            <w:sz w:val="20"/>
            <w:szCs w:val="20"/>
            <w:lang w:val="es-MX" w:eastAsia="es-MX"/>
          </w:rPr>
          <w:fldChar w:fldCharType="end"/>
        </w:r>
      </w:hyperlink>
    </w:p>
    <w:p w14:paraId="062C0376" w14:textId="3A97F110"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57" w:history="1">
        <w:r w:rsidR="0070274F" w:rsidRPr="0070274F">
          <w:rPr>
            <w:rFonts w:ascii="Arial" w:eastAsia="Times New Roman" w:hAnsi="Arial"/>
            <w:noProof/>
            <w:color w:val="0563C1"/>
            <w:sz w:val="20"/>
            <w:szCs w:val="20"/>
            <w:u w:val="single"/>
            <w:lang w:val="es-MX" w:eastAsia="es-MX"/>
          </w:rPr>
          <w:t>4.6. Clasificación de información</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_Toc70950957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28</w:t>
        </w:r>
        <w:r w:rsidR="0070274F" w:rsidRPr="0070274F">
          <w:rPr>
            <w:rFonts w:ascii="Arial" w:eastAsia="Times New Roman" w:hAnsi="Arial"/>
            <w:noProof/>
            <w:webHidden/>
            <w:sz w:val="20"/>
            <w:szCs w:val="20"/>
            <w:lang w:val="es-MX" w:eastAsia="es-MX"/>
          </w:rPr>
          <w:fldChar w:fldCharType="end"/>
        </w:r>
      </w:hyperlink>
    </w:p>
    <w:p w14:paraId="618D8A46" w14:textId="58A3FB84" w:rsidR="0070274F" w:rsidRPr="0070274F" w:rsidRDefault="005B396E" w:rsidP="0070274F">
      <w:pPr>
        <w:tabs>
          <w:tab w:val="right" w:leader="dot" w:pos="9016"/>
        </w:tabs>
        <w:spacing w:after="0"/>
        <w:rPr>
          <w:rFonts w:eastAsia="Times New Roman"/>
          <w:noProof/>
          <w:sz w:val="20"/>
          <w:szCs w:val="20"/>
          <w:lang w:val="es-MX" w:eastAsia="es-MX"/>
        </w:rPr>
      </w:pPr>
      <w:hyperlink w:anchor="_Toc70950958" w:history="1">
        <w:r w:rsidR="0070274F" w:rsidRPr="0070274F">
          <w:rPr>
            <w:rFonts w:ascii="Arial" w:eastAsia="Times New Roman" w:hAnsi="Arial" w:cs="Arial"/>
            <w:noProof/>
            <w:color w:val="0563C1"/>
            <w:sz w:val="20"/>
            <w:szCs w:val="20"/>
            <w:u w:val="single"/>
            <w:lang w:val="es-MX" w:eastAsia="es-MX"/>
          </w:rPr>
          <w:t>5. Personas ajenas o extrañas al procedimiento</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_Toc70950958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30</w:t>
        </w:r>
        <w:r w:rsidR="0070274F" w:rsidRPr="0070274F">
          <w:rPr>
            <w:rFonts w:ascii="Arial" w:eastAsia="Times New Roman" w:hAnsi="Arial"/>
            <w:noProof/>
            <w:webHidden/>
            <w:sz w:val="20"/>
            <w:szCs w:val="20"/>
            <w:lang w:val="es-MX" w:eastAsia="es-MX"/>
          </w:rPr>
          <w:fldChar w:fldCharType="end"/>
        </w:r>
      </w:hyperlink>
    </w:p>
    <w:p w14:paraId="0DFE996B" w14:textId="5FFF3BC2" w:rsidR="0070274F" w:rsidRPr="0070274F" w:rsidRDefault="005B396E" w:rsidP="0070274F">
      <w:pPr>
        <w:tabs>
          <w:tab w:val="right" w:leader="dot" w:pos="9016"/>
        </w:tabs>
        <w:spacing w:after="0"/>
        <w:rPr>
          <w:rFonts w:eastAsia="Times New Roman"/>
          <w:noProof/>
          <w:sz w:val="20"/>
          <w:szCs w:val="20"/>
          <w:lang w:val="es-MX" w:eastAsia="es-MX"/>
        </w:rPr>
      </w:pPr>
      <w:hyperlink w:anchor="_Toc70950959" w:history="1">
        <w:r w:rsidR="0070274F" w:rsidRPr="0070274F">
          <w:rPr>
            <w:rFonts w:ascii="Arial" w:eastAsia="Times New Roman" w:hAnsi="Arial" w:cs="Arial"/>
            <w:noProof/>
            <w:color w:val="0563C1"/>
            <w:sz w:val="20"/>
            <w:szCs w:val="20"/>
            <w:u w:val="single"/>
            <w:lang w:val="es-MX" w:eastAsia="es-MX"/>
          </w:rPr>
          <w:t>6. Criterios judiciales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_Toc70950959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31</w:t>
        </w:r>
        <w:r w:rsidR="0070274F" w:rsidRPr="0070274F">
          <w:rPr>
            <w:rFonts w:ascii="Arial" w:eastAsia="Times New Roman" w:hAnsi="Arial"/>
            <w:noProof/>
            <w:webHidden/>
            <w:sz w:val="20"/>
            <w:szCs w:val="20"/>
            <w:lang w:val="es-MX" w:eastAsia="es-MX"/>
          </w:rPr>
          <w:fldChar w:fldCharType="end"/>
        </w:r>
      </w:hyperlink>
    </w:p>
    <w:p w14:paraId="7B504641" w14:textId="4053F9D9" w:rsidR="0070274F" w:rsidRPr="0070274F" w:rsidRDefault="005B396E" w:rsidP="0070274F">
      <w:pPr>
        <w:tabs>
          <w:tab w:val="right" w:leader="dot" w:pos="9016"/>
        </w:tabs>
        <w:spacing w:after="0"/>
        <w:rPr>
          <w:rFonts w:eastAsia="Times New Roman"/>
          <w:noProof/>
          <w:sz w:val="20"/>
          <w:szCs w:val="20"/>
          <w:lang w:val="es-MX" w:eastAsia="es-MX"/>
        </w:rPr>
      </w:pPr>
      <w:hyperlink w:anchor="_Toc70950960" w:history="1">
        <w:r w:rsidR="0070274F" w:rsidRPr="0070274F">
          <w:rPr>
            <w:rFonts w:ascii="Arial" w:eastAsia="Times New Roman" w:hAnsi="Arial"/>
            <w:noProof/>
            <w:color w:val="0563C1"/>
            <w:sz w:val="20"/>
            <w:szCs w:val="20"/>
            <w:u w:val="single"/>
            <w:lang w:val="es-MX" w:eastAsia="es-MX"/>
          </w:rPr>
          <w:t>Anexo: Práctica Internacional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_Toc70950960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34</w:t>
        </w:r>
        <w:r w:rsidR="0070274F" w:rsidRPr="0070274F">
          <w:rPr>
            <w:rFonts w:ascii="Arial" w:eastAsia="Times New Roman" w:hAnsi="Arial"/>
            <w:noProof/>
            <w:webHidden/>
            <w:sz w:val="20"/>
            <w:szCs w:val="20"/>
            <w:lang w:val="es-MX" w:eastAsia="es-MX"/>
          </w:rPr>
          <w:fldChar w:fldCharType="end"/>
        </w:r>
      </w:hyperlink>
    </w:p>
    <w:p w14:paraId="51A42825" w14:textId="2D3840D3"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61" w:history="1">
        <w:r w:rsidR="0070274F" w:rsidRPr="0070274F">
          <w:rPr>
            <w:rFonts w:ascii="Arial" w:eastAsia="Times New Roman" w:hAnsi="Arial"/>
            <w:noProof/>
            <w:color w:val="0563C1"/>
            <w:sz w:val="20"/>
            <w:szCs w:val="20"/>
            <w:u w:val="single"/>
            <w:lang w:val="es-MX" w:eastAsia="es-MX"/>
          </w:rPr>
          <w:t>Reino Unido</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_Toc70950961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34</w:t>
        </w:r>
        <w:r w:rsidR="0070274F" w:rsidRPr="0070274F">
          <w:rPr>
            <w:rFonts w:ascii="Arial" w:eastAsia="Times New Roman" w:hAnsi="Arial"/>
            <w:noProof/>
            <w:webHidden/>
            <w:sz w:val="20"/>
            <w:szCs w:val="20"/>
            <w:lang w:val="es-MX" w:eastAsia="es-MX"/>
          </w:rPr>
          <w:fldChar w:fldCharType="end"/>
        </w:r>
      </w:hyperlink>
    </w:p>
    <w:p w14:paraId="21A4E916" w14:textId="47E5CF9B"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62" w:history="1">
        <w:r w:rsidR="0070274F" w:rsidRPr="0070274F">
          <w:rPr>
            <w:rFonts w:ascii="Arial" w:eastAsia="Times New Roman" w:hAnsi="Arial"/>
            <w:noProof/>
            <w:color w:val="0563C1"/>
            <w:sz w:val="20"/>
            <w:szCs w:val="20"/>
            <w:u w:val="single"/>
            <w:lang w:val="es-MX" w:eastAsia="es-MX"/>
          </w:rPr>
          <w:t>Brasil</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_Toc70950962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35</w:t>
        </w:r>
        <w:r w:rsidR="0070274F" w:rsidRPr="0070274F">
          <w:rPr>
            <w:rFonts w:ascii="Arial" w:eastAsia="Times New Roman" w:hAnsi="Arial"/>
            <w:noProof/>
            <w:webHidden/>
            <w:sz w:val="20"/>
            <w:szCs w:val="20"/>
            <w:lang w:val="es-MX" w:eastAsia="es-MX"/>
          </w:rPr>
          <w:fldChar w:fldCharType="end"/>
        </w:r>
      </w:hyperlink>
    </w:p>
    <w:p w14:paraId="4E8EBC12" w14:textId="31E09BBC" w:rsidR="0070274F" w:rsidRPr="0070274F" w:rsidRDefault="005B396E" w:rsidP="0070274F">
      <w:pPr>
        <w:tabs>
          <w:tab w:val="right" w:leader="dot" w:pos="9016"/>
        </w:tabs>
        <w:spacing w:after="0"/>
        <w:ind w:left="220"/>
        <w:rPr>
          <w:rFonts w:eastAsia="Times New Roman"/>
          <w:noProof/>
          <w:sz w:val="20"/>
          <w:szCs w:val="20"/>
          <w:lang w:val="es-MX" w:eastAsia="es-MX"/>
        </w:rPr>
      </w:pPr>
      <w:hyperlink w:anchor="_Toc70950963" w:history="1">
        <w:r w:rsidR="0070274F" w:rsidRPr="0070274F">
          <w:rPr>
            <w:rFonts w:ascii="Arial" w:eastAsia="Times New Roman" w:hAnsi="Arial"/>
            <w:noProof/>
            <w:color w:val="0563C1"/>
            <w:sz w:val="20"/>
            <w:szCs w:val="20"/>
            <w:u w:val="single"/>
            <w:lang w:val="es-MX" w:eastAsia="es-MX"/>
          </w:rPr>
          <w:t>Estados Unidos</w:t>
        </w:r>
        <w:r w:rsidR="0070274F" w:rsidRPr="0070274F">
          <w:rPr>
            <w:rFonts w:ascii="Arial" w:eastAsia="Times New Roman" w:hAnsi="Arial"/>
            <w:noProof/>
            <w:webHidden/>
            <w:sz w:val="20"/>
            <w:szCs w:val="20"/>
            <w:lang w:val="es-MX" w:eastAsia="es-MX"/>
          </w:rPr>
          <w:tab/>
        </w:r>
        <w:r w:rsidR="0070274F" w:rsidRPr="0070274F">
          <w:rPr>
            <w:rFonts w:ascii="Arial" w:eastAsia="Times New Roman" w:hAnsi="Arial"/>
            <w:noProof/>
            <w:webHidden/>
            <w:sz w:val="20"/>
            <w:szCs w:val="20"/>
            <w:lang w:val="es-MX" w:eastAsia="es-MX"/>
          </w:rPr>
          <w:fldChar w:fldCharType="begin"/>
        </w:r>
        <w:r w:rsidR="0070274F" w:rsidRPr="0070274F">
          <w:rPr>
            <w:rFonts w:ascii="Arial" w:eastAsia="Times New Roman" w:hAnsi="Arial"/>
            <w:noProof/>
            <w:webHidden/>
            <w:sz w:val="20"/>
            <w:szCs w:val="20"/>
            <w:lang w:val="es-MX" w:eastAsia="es-MX"/>
          </w:rPr>
          <w:instrText xml:space="preserve"> PAGEREF _Toc70950963 \h </w:instrText>
        </w:r>
        <w:r w:rsidR="0070274F" w:rsidRPr="0070274F">
          <w:rPr>
            <w:rFonts w:ascii="Arial" w:eastAsia="Times New Roman" w:hAnsi="Arial"/>
            <w:noProof/>
            <w:webHidden/>
            <w:sz w:val="20"/>
            <w:szCs w:val="20"/>
            <w:lang w:val="es-MX" w:eastAsia="es-MX"/>
          </w:rPr>
        </w:r>
        <w:r w:rsidR="0070274F" w:rsidRPr="0070274F">
          <w:rPr>
            <w:rFonts w:ascii="Arial" w:eastAsia="Times New Roman" w:hAnsi="Arial"/>
            <w:noProof/>
            <w:webHidden/>
            <w:sz w:val="20"/>
            <w:szCs w:val="20"/>
            <w:lang w:val="es-MX" w:eastAsia="es-MX"/>
          </w:rPr>
          <w:fldChar w:fldCharType="separate"/>
        </w:r>
        <w:r w:rsidR="00B92D07">
          <w:rPr>
            <w:rFonts w:ascii="Arial" w:eastAsia="Times New Roman" w:hAnsi="Arial"/>
            <w:noProof/>
            <w:webHidden/>
            <w:sz w:val="20"/>
            <w:szCs w:val="20"/>
            <w:lang w:val="es-MX" w:eastAsia="es-MX"/>
          </w:rPr>
          <w:t>36</w:t>
        </w:r>
        <w:r w:rsidR="0070274F" w:rsidRPr="0070274F">
          <w:rPr>
            <w:rFonts w:ascii="Arial" w:eastAsia="Times New Roman" w:hAnsi="Arial"/>
            <w:noProof/>
            <w:webHidden/>
            <w:sz w:val="20"/>
            <w:szCs w:val="20"/>
            <w:lang w:val="es-MX" w:eastAsia="es-MX"/>
          </w:rPr>
          <w:fldChar w:fldCharType="end"/>
        </w:r>
      </w:hyperlink>
    </w:p>
    <w:p w14:paraId="54D1D887" w14:textId="77777777" w:rsidR="0070274F" w:rsidRPr="0070274F" w:rsidRDefault="0070274F" w:rsidP="0070274F">
      <w:pPr>
        <w:spacing w:after="0"/>
        <w:jc w:val="both"/>
        <w:rPr>
          <w:rFonts w:ascii="Arial" w:eastAsia="Times New Roman" w:hAnsi="Arial" w:cs="Arial"/>
          <w:b/>
          <w:szCs w:val="26"/>
        </w:rPr>
      </w:pPr>
      <w:r w:rsidRPr="0070274F">
        <w:rPr>
          <w:rFonts w:ascii="Arial" w:eastAsia="Times New Roman" w:hAnsi="Arial" w:cs="Arial"/>
          <w:sz w:val="20"/>
          <w:szCs w:val="20"/>
        </w:rPr>
        <w:fldChar w:fldCharType="end"/>
      </w:r>
    </w:p>
    <w:p w14:paraId="116C92A8" w14:textId="77777777" w:rsidR="0070274F" w:rsidRPr="0070274F" w:rsidRDefault="0070274F" w:rsidP="0070274F">
      <w:pPr>
        <w:keepNext/>
        <w:keepLines/>
        <w:spacing w:after="0" w:line="252" w:lineRule="auto"/>
        <w:ind w:left="567"/>
        <w:jc w:val="both"/>
        <w:outlineLvl w:val="0"/>
        <w:rPr>
          <w:rFonts w:ascii="Arial" w:eastAsia="Times New Roman" w:hAnsi="Arial"/>
          <w:b/>
          <w:bCs/>
          <w:caps/>
          <w:spacing w:val="4"/>
          <w:sz w:val="26"/>
          <w:szCs w:val="28"/>
        </w:rPr>
      </w:pPr>
      <w:bookmarkStart w:id="1" w:name="_Toc69242771"/>
      <w:bookmarkStart w:id="2" w:name="_Toc69248079"/>
      <w:bookmarkStart w:id="3" w:name="_Toc69248438"/>
      <w:bookmarkStart w:id="4" w:name="_Toc70950923"/>
      <w:r w:rsidRPr="0070274F">
        <w:rPr>
          <w:rFonts w:ascii="Arial" w:eastAsia="Times New Roman" w:hAnsi="Arial"/>
          <w:b/>
          <w:bCs/>
          <w:spacing w:val="4"/>
          <w:sz w:val="26"/>
          <w:szCs w:val="28"/>
        </w:rPr>
        <w:t>Glosario</w:t>
      </w:r>
      <w:bookmarkEnd w:id="1"/>
      <w:bookmarkEnd w:id="2"/>
      <w:bookmarkEnd w:id="3"/>
      <w:r w:rsidRPr="0070274F">
        <w:rPr>
          <w:rFonts w:ascii="Arial" w:eastAsia="Times New Roman" w:hAnsi="Arial" w:cs="Arial"/>
          <w:b/>
          <w:bCs/>
          <w:caps/>
          <w:spacing w:val="4"/>
          <w:sz w:val="26"/>
          <w:szCs w:val="26"/>
          <w:vertAlign w:val="superscript"/>
        </w:rPr>
        <w:footnoteReference w:id="2"/>
      </w:r>
      <w:bookmarkEnd w:id="4"/>
    </w:p>
    <w:p w14:paraId="0D42E1D2" w14:textId="77777777" w:rsidR="0070274F" w:rsidRPr="0070274F" w:rsidRDefault="0070274F" w:rsidP="0070274F">
      <w:pPr>
        <w:spacing w:after="0" w:line="252" w:lineRule="auto"/>
        <w:jc w:val="both"/>
        <w:rPr>
          <w:rFonts w:ascii="Arial" w:eastAsia="Times New Roman" w:hAnsi="Arial" w:cs="Arial"/>
          <w:b/>
        </w:rPr>
      </w:pPr>
    </w:p>
    <w:p w14:paraId="59DDDDE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la presente Guía se utilizarán, además de los establecidos en la Ley Federal de Competencia Económica, los siguientes acrónimos y términos:</w:t>
      </w:r>
    </w:p>
    <w:p w14:paraId="2F96ABA1" w14:textId="77777777" w:rsidR="0070274F" w:rsidRPr="0070274F" w:rsidRDefault="0070274F" w:rsidP="0070274F">
      <w:pPr>
        <w:spacing w:after="0" w:line="252" w:lineRule="auto"/>
        <w:jc w:val="both"/>
        <w:rPr>
          <w:rFonts w:ascii="Arial" w:eastAsia="Times New Roman" w:hAnsi="Arial" w:cs="Arial"/>
          <w:highlight w:val="gree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1"/>
        <w:gridCol w:w="6645"/>
      </w:tblGrid>
      <w:tr w:rsidR="0070274F" w:rsidRPr="0070274F" w14:paraId="608C3635" w14:textId="77777777" w:rsidTr="00CD4989">
        <w:trPr>
          <w:tblHeader/>
        </w:trPr>
        <w:tc>
          <w:tcPr>
            <w:tcW w:w="2371" w:type="dxa"/>
            <w:shd w:val="clear" w:color="auto" w:fill="92D050"/>
            <w:vAlign w:val="center"/>
          </w:tcPr>
          <w:p w14:paraId="4243089E"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Término o acrónimo</w:t>
            </w:r>
          </w:p>
        </w:tc>
        <w:tc>
          <w:tcPr>
            <w:tcW w:w="6645" w:type="dxa"/>
            <w:shd w:val="clear" w:color="auto" w:fill="92D050"/>
          </w:tcPr>
          <w:p w14:paraId="20AE7A08" w14:textId="77777777" w:rsidR="0070274F" w:rsidRPr="0070274F" w:rsidRDefault="0070274F" w:rsidP="0070274F">
            <w:pPr>
              <w:spacing w:after="0"/>
              <w:jc w:val="center"/>
              <w:rPr>
                <w:rFonts w:ascii="Arial" w:eastAsia="Times New Roman" w:hAnsi="Arial" w:cs="Arial"/>
                <w:b/>
                <w:sz w:val="20"/>
              </w:rPr>
            </w:pPr>
            <w:r w:rsidRPr="0070274F">
              <w:rPr>
                <w:rFonts w:ascii="Arial" w:eastAsia="Times New Roman" w:hAnsi="Arial" w:cs="Arial"/>
                <w:b/>
                <w:sz w:val="20"/>
              </w:rPr>
              <w:t>Definición</w:t>
            </w:r>
          </w:p>
        </w:tc>
      </w:tr>
      <w:tr w:rsidR="0070274F" w:rsidRPr="0070274F" w14:paraId="7617CFA2" w14:textId="77777777" w:rsidTr="00CD4989">
        <w:tc>
          <w:tcPr>
            <w:tcW w:w="2371" w:type="dxa"/>
            <w:vAlign w:val="center"/>
          </w:tcPr>
          <w:p w14:paraId="7E087D05"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AE / Agente Económico</w:t>
            </w:r>
          </w:p>
        </w:tc>
        <w:tc>
          <w:tcPr>
            <w:tcW w:w="6645" w:type="dxa"/>
          </w:tcPr>
          <w:p w14:paraId="26B12CFE"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Toda persona física o moral, con o sin fines de lucro, dependencias y entidades de la administración pública federal, estatal o municipal, asociaciones, cámaras empresariales, agrupaciones de profesionistas, fideicomisos o cualquier otra forma de participación en la actividad económica.</w:t>
            </w:r>
          </w:p>
        </w:tc>
      </w:tr>
      <w:tr w:rsidR="0070274F" w:rsidRPr="0070274F" w14:paraId="78EA2513" w14:textId="77777777" w:rsidTr="00CD4989">
        <w:tc>
          <w:tcPr>
            <w:tcW w:w="2371" w:type="dxa"/>
            <w:vAlign w:val="center"/>
          </w:tcPr>
          <w:p w14:paraId="0A855F02"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Autoridad Investigadora</w:t>
            </w:r>
          </w:p>
        </w:tc>
        <w:tc>
          <w:tcPr>
            <w:tcW w:w="6645" w:type="dxa"/>
          </w:tcPr>
          <w:p w14:paraId="399A8B98"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Autoridad Investigadora del Instituto.</w:t>
            </w:r>
          </w:p>
        </w:tc>
      </w:tr>
      <w:tr w:rsidR="0070274F" w:rsidRPr="0070274F" w14:paraId="1924715A" w14:textId="77777777" w:rsidTr="00CD4989">
        <w:tc>
          <w:tcPr>
            <w:tcW w:w="2371" w:type="dxa"/>
            <w:vAlign w:val="center"/>
          </w:tcPr>
          <w:p w14:paraId="499D4875"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CADE</w:t>
            </w:r>
          </w:p>
        </w:tc>
        <w:tc>
          <w:tcPr>
            <w:tcW w:w="6645" w:type="dxa"/>
          </w:tcPr>
          <w:p w14:paraId="31F18267"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lang w:val="es-MX"/>
              </w:rPr>
              <w:t>Conselho Administrativo de Defesa Economica (Autoridad de Competencia en Brasil).</w:t>
            </w:r>
          </w:p>
        </w:tc>
      </w:tr>
      <w:tr w:rsidR="0070274F" w:rsidRPr="0070274F" w14:paraId="0D967B6E" w14:textId="77777777" w:rsidTr="00CD4989">
        <w:tc>
          <w:tcPr>
            <w:tcW w:w="2371" w:type="dxa"/>
            <w:vAlign w:val="center"/>
          </w:tcPr>
          <w:p w14:paraId="261D4B8F"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CMA</w:t>
            </w:r>
          </w:p>
        </w:tc>
        <w:tc>
          <w:tcPr>
            <w:tcW w:w="6645" w:type="dxa"/>
          </w:tcPr>
          <w:p w14:paraId="4CE879D3"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szCs w:val="20"/>
              </w:rPr>
              <w:t>Autoridad de Competencia y Mercados de Reino Unido (</w:t>
            </w:r>
            <w:r w:rsidRPr="0070274F">
              <w:rPr>
                <w:rFonts w:ascii="Arial" w:eastAsia="Times New Roman" w:hAnsi="Arial" w:cs="Arial"/>
                <w:i/>
                <w:sz w:val="20"/>
                <w:szCs w:val="20"/>
              </w:rPr>
              <w:t>Competition and Markets Authority</w:t>
            </w:r>
            <w:r w:rsidRPr="0070274F">
              <w:rPr>
                <w:rFonts w:ascii="Arial" w:eastAsia="Times New Roman" w:hAnsi="Arial" w:cs="Arial"/>
                <w:sz w:val="20"/>
                <w:szCs w:val="20"/>
              </w:rPr>
              <w:t>, en inglés), la cual sustituyó a la OFT y a la Comisión de Competencia (</w:t>
            </w:r>
            <w:r w:rsidRPr="0070274F">
              <w:rPr>
                <w:rFonts w:ascii="Arial" w:eastAsia="Times New Roman" w:hAnsi="Arial" w:cs="Arial"/>
                <w:i/>
                <w:sz w:val="20"/>
                <w:szCs w:val="20"/>
              </w:rPr>
              <w:t>Competition Commission</w:t>
            </w:r>
            <w:r w:rsidRPr="0070274F">
              <w:rPr>
                <w:rFonts w:ascii="Arial" w:eastAsia="Times New Roman" w:hAnsi="Arial" w:cs="Arial"/>
                <w:bCs/>
                <w:sz w:val="20"/>
                <w:szCs w:val="20"/>
              </w:rPr>
              <w:t>, en inglés)</w:t>
            </w:r>
            <w:r w:rsidRPr="0070274F">
              <w:rPr>
                <w:rFonts w:ascii="Arial" w:eastAsia="Times New Roman" w:hAnsi="Arial" w:cs="Arial"/>
                <w:sz w:val="20"/>
                <w:szCs w:val="20"/>
              </w:rPr>
              <w:t xml:space="preserve"> en 2013.</w:t>
            </w:r>
          </w:p>
        </w:tc>
      </w:tr>
      <w:tr w:rsidR="0070274F" w:rsidRPr="0070274F" w14:paraId="2BF414C7" w14:textId="77777777" w:rsidTr="00CD4989">
        <w:tc>
          <w:tcPr>
            <w:tcW w:w="2371" w:type="dxa"/>
            <w:vAlign w:val="center"/>
          </w:tcPr>
          <w:p w14:paraId="6109F464"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CPEUM</w:t>
            </w:r>
          </w:p>
        </w:tc>
        <w:tc>
          <w:tcPr>
            <w:tcW w:w="6645" w:type="dxa"/>
          </w:tcPr>
          <w:p w14:paraId="55F17A77"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 xml:space="preserve">Constitución Política de los Estados Unidos Mexicanos. </w:t>
            </w:r>
          </w:p>
        </w:tc>
      </w:tr>
      <w:tr w:rsidR="0070274F" w:rsidRPr="0070274F" w14:paraId="7003B647" w14:textId="77777777" w:rsidTr="00CD4989">
        <w:tc>
          <w:tcPr>
            <w:tcW w:w="2371" w:type="dxa"/>
            <w:vAlign w:val="center"/>
          </w:tcPr>
          <w:p w14:paraId="4DCDDF33"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CFPC</w:t>
            </w:r>
          </w:p>
        </w:tc>
        <w:tc>
          <w:tcPr>
            <w:tcW w:w="6645" w:type="dxa"/>
          </w:tcPr>
          <w:p w14:paraId="6DF87740"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Código Federal de Procedimientos Civiles.</w:t>
            </w:r>
          </w:p>
        </w:tc>
      </w:tr>
      <w:tr w:rsidR="0070274F" w:rsidRPr="0070274F" w14:paraId="7E7A7562" w14:textId="77777777" w:rsidTr="00CD4989">
        <w:tc>
          <w:tcPr>
            <w:tcW w:w="2371" w:type="dxa"/>
            <w:vAlign w:val="center"/>
          </w:tcPr>
          <w:p w14:paraId="5974AE83"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DGPC</w:t>
            </w:r>
          </w:p>
        </w:tc>
        <w:tc>
          <w:tcPr>
            <w:tcW w:w="6645" w:type="dxa"/>
          </w:tcPr>
          <w:p w14:paraId="6C57C701"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Dirección General de Procedimientos de Competencia, adscrita a la UCE.</w:t>
            </w:r>
          </w:p>
        </w:tc>
      </w:tr>
      <w:tr w:rsidR="0070274F" w:rsidRPr="0070274F" w14:paraId="6291696C" w14:textId="77777777" w:rsidTr="00CD4989">
        <w:tc>
          <w:tcPr>
            <w:tcW w:w="2371" w:type="dxa"/>
            <w:vAlign w:val="center"/>
          </w:tcPr>
          <w:p w14:paraId="3AF632E7"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szCs w:val="20"/>
              </w:rPr>
              <w:t>DOF</w:t>
            </w:r>
          </w:p>
        </w:tc>
        <w:tc>
          <w:tcPr>
            <w:tcW w:w="6645" w:type="dxa"/>
          </w:tcPr>
          <w:p w14:paraId="120B9CF7"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szCs w:val="20"/>
              </w:rPr>
              <w:t>Diario Oficial de la Federación.</w:t>
            </w:r>
          </w:p>
        </w:tc>
      </w:tr>
      <w:tr w:rsidR="0070274F" w:rsidRPr="0070274F" w14:paraId="2AF29477" w14:textId="77777777" w:rsidTr="00CD4989">
        <w:tc>
          <w:tcPr>
            <w:tcW w:w="2371" w:type="dxa"/>
            <w:vAlign w:val="center"/>
          </w:tcPr>
          <w:p w14:paraId="7F864F30"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DOJ</w:t>
            </w:r>
          </w:p>
        </w:tc>
        <w:tc>
          <w:tcPr>
            <w:tcW w:w="6645" w:type="dxa"/>
          </w:tcPr>
          <w:p w14:paraId="5E98E769" w14:textId="77777777" w:rsidR="0070274F" w:rsidRPr="0070274F" w:rsidRDefault="0070274F" w:rsidP="0070274F">
            <w:pPr>
              <w:spacing w:after="0"/>
              <w:jc w:val="both"/>
              <w:rPr>
                <w:rFonts w:ascii="Arial" w:eastAsia="Times New Roman" w:hAnsi="Arial" w:cs="Arial"/>
                <w:sz w:val="20"/>
                <w:szCs w:val="20"/>
              </w:rPr>
            </w:pPr>
            <w:r w:rsidRPr="0070274F">
              <w:rPr>
                <w:rFonts w:ascii="Arial" w:eastAsia="Times New Roman" w:hAnsi="Arial" w:cs="Arial"/>
                <w:sz w:val="20"/>
                <w:szCs w:val="20"/>
              </w:rPr>
              <w:t>Departamento de Justicia de Estados Unidos de América (</w:t>
            </w:r>
            <w:r w:rsidRPr="0070274F">
              <w:rPr>
                <w:rFonts w:ascii="Arial" w:eastAsia="Times New Roman" w:hAnsi="Arial" w:cs="Arial"/>
                <w:i/>
                <w:sz w:val="20"/>
                <w:szCs w:val="20"/>
              </w:rPr>
              <w:t xml:space="preserve">Department of Justice, </w:t>
            </w:r>
            <w:r w:rsidRPr="0070274F">
              <w:rPr>
                <w:rFonts w:ascii="Arial" w:eastAsia="Times New Roman" w:hAnsi="Arial" w:cs="Arial"/>
                <w:sz w:val="20"/>
                <w:szCs w:val="20"/>
              </w:rPr>
              <w:t>en inglés)</w:t>
            </w:r>
          </w:p>
        </w:tc>
      </w:tr>
      <w:tr w:rsidR="0070274F" w:rsidRPr="0070274F" w14:paraId="1AE4153E" w14:textId="77777777" w:rsidTr="00CD4989">
        <w:tc>
          <w:tcPr>
            <w:tcW w:w="2371" w:type="dxa"/>
            <w:vAlign w:val="center"/>
          </w:tcPr>
          <w:p w14:paraId="37367398"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DRLFCE</w:t>
            </w:r>
          </w:p>
        </w:tc>
        <w:tc>
          <w:tcPr>
            <w:tcW w:w="6645" w:type="dxa"/>
          </w:tcPr>
          <w:p w14:paraId="3EFD6A4E"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Disposiciones Regulatorias de la Ley Federal de Competencia Económica para los sectores de telecomunicaciones y radiodifusión.</w:t>
            </w:r>
          </w:p>
        </w:tc>
      </w:tr>
      <w:tr w:rsidR="0070274F" w:rsidRPr="0070274F" w14:paraId="3A4D8904" w14:textId="77777777" w:rsidTr="00CD4989">
        <w:tc>
          <w:tcPr>
            <w:tcW w:w="2371" w:type="dxa"/>
            <w:vAlign w:val="center"/>
          </w:tcPr>
          <w:p w14:paraId="3B0FBC5F"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Estatuto Orgánico</w:t>
            </w:r>
          </w:p>
        </w:tc>
        <w:tc>
          <w:tcPr>
            <w:tcW w:w="6645" w:type="dxa"/>
          </w:tcPr>
          <w:p w14:paraId="65BA61F9"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Estatuto Orgánico del Instituto Federal de Telecomunicaciones.</w:t>
            </w:r>
          </w:p>
        </w:tc>
      </w:tr>
      <w:tr w:rsidR="0070274F" w:rsidRPr="0070274F" w14:paraId="722C9B54" w14:textId="77777777" w:rsidTr="00CD4989">
        <w:tc>
          <w:tcPr>
            <w:tcW w:w="2371" w:type="dxa"/>
            <w:vAlign w:val="center"/>
          </w:tcPr>
          <w:p w14:paraId="4B8E2616"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FTC</w:t>
            </w:r>
          </w:p>
        </w:tc>
        <w:tc>
          <w:tcPr>
            <w:tcW w:w="6645" w:type="dxa"/>
          </w:tcPr>
          <w:p w14:paraId="2757E659" w14:textId="77777777" w:rsidR="0070274F" w:rsidRPr="0070274F" w:rsidRDefault="0070274F" w:rsidP="0070274F">
            <w:pPr>
              <w:spacing w:after="0"/>
              <w:jc w:val="both"/>
              <w:rPr>
                <w:rFonts w:ascii="Arial" w:eastAsia="Times New Roman" w:hAnsi="Arial" w:cs="Arial"/>
                <w:sz w:val="20"/>
                <w:szCs w:val="20"/>
              </w:rPr>
            </w:pPr>
            <w:r w:rsidRPr="0070274F">
              <w:rPr>
                <w:rFonts w:ascii="Arial" w:eastAsia="Times New Roman" w:hAnsi="Arial" w:cs="Arial"/>
                <w:sz w:val="20"/>
                <w:szCs w:val="20"/>
              </w:rPr>
              <w:t>Comisión Federal de Comercio de Estados Unidos de América (</w:t>
            </w:r>
            <w:r w:rsidRPr="0070274F">
              <w:rPr>
                <w:rFonts w:ascii="Arial" w:eastAsia="Times New Roman" w:hAnsi="Arial" w:cs="Arial"/>
                <w:i/>
                <w:sz w:val="20"/>
                <w:szCs w:val="20"/>
              </w:rPr>
              <w:t>Federal Trade Commission</w:t>
            </w:r>
            <w:r w:rsidRPr="0070274F">
              <w:rPr>
                <w:rFonts w:ascii="Arial" w:eastAsia="Times New Roman" w:hAnsi="Arial" w:cs="Arial"/>
                <w:sz w:val="20"/>
                <w:szCs w:val="20"/>
              </w:rPr>
              <w:t>, en inglés).</w:t>
            </w:r>
          </w:p>
        </w:tc>
      </w:tr>
      <w:tr w:rsidR="0070274F" w:rsidRPr="0070274F" w14:paraId="5648840B" w14:textId="77777777" w:rsidTr="00CD4989">
        <w:tc>
          <w:tcPr>
            <w:tcW w:w="2371" w:type="dxa"/>
            <w:vAlign w:val="center"/>
          </w:tcPr>
          <w:p w14:paraId="344FCBCB"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Guía</w:t>
            </w:r>
          </w:p>
        </w:tc>
        <w:tc>
          <w:tcPr>
            <w:tcW w:w="6645" w:type="dxa"/>
          </w:tcPr>
          <w:p w14:paraId="744A0256" w14:textId="77777777" w:rsidR="0070274F" w:rsidRPr="0070274F" w:rsidRDefault="0070274F" w:rsidP="0070274F">
            <w:pPr>
              <w:spacing w:after="0" w:line="240" w:lineRule="auto"/>
              <w:jc w:val="both"/>
              <w:rPr>
                <w:rFonts w:ascii="Arial" w:eastAsia="Times New Roman" w:hAnsi="Arial" w:cs="Arial"/>
                <w:sz w:val="20"/>
              </w:rPr>
            </w:pPr>
            <w:r w:rsidRPr="0070274F">
              <w:rPr>
                <w:rFonts w:ascii="Arial" w:eastAsia="Times New Roman" w:hAnsi="Arial" w:cs="Arial"/>
                <w:sz w:val="20"/>
              </w:rPr>
              <w:t>La presente Guía para tramitar el procedimiento seguido en forma de juicio por la comisión de prácticas monopólicas y concentraciones ilícitas en los sectores de TyR.</w:t>
            </w:r>
          </w:p>
        </w:tc>
      </w:tr>
      <w:tr w:rsidR="0070274F" w:rsidRPr="0070274F" w14:paraId="7F812A16" w14:textId="77777777" w:rsidTr="00CD4989">
        <w:tc>
          <w:tcPr>
            <w:tcW w:w="2371" w:type="dxa"/>
            <w:vAlign w:val="center"/>
          </w:tcPr>
          <w:p w14:paraId="36FE7BEE"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Instituto / IFT</w:t>
            </w:r>
          </w:p>
        </w:tc>
        <w:tc>
          <w:tcPr>
            <w:tcW w:w="6645" w:type="dxa"/>
          </w:tcPr>
          <w:p w14:paraId="5BE51C72"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Instituto Federal de Telecomunicaciones.</w:t>
            </w:r>
          </w:p>
        </w:tc>
      </w:tr>
      <w:tr w:rsidR="0070274F" w:rsidRPr="0070274F" w14:paraId="40969405" w14:textId="77777777" w:rsidTr="00CD4989">
        <w:tc>
          <w:tcPr>
            <w:tcW w:w="2371" w:type="dxa"/>
            <w:vAlign w:val="center"/>
          </w:tcPr>
          <w:p w14:paraId="193884AE"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LFCE</w:t>
            </w:r>
          </w:p>
        </w:tc>
        <w:tc>
          <w:tcPr>
            <w:tcW w:w="6645" w:type="dxa"/>
          </w:tcPr>
          <w:p w14:paraId="2846D643"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Ley Federal de Competencia Económica.</w:t>
            </w:r>
          </w:p>
        </w:tc>
      </w:tr>
      <w:tr w:rsidR="0070274F" w:rsidRPr="0070274F" w14:paraId="2C65202D" w14:textId="77777777" w:rsidTr="00CD4989">
        <w:tc>
          <w:tcPr>
            <w:tcW w:w="2371" w:type="dxa"/>
            <w:vAlign w:val="center"/>
          </w:tcPr>
          <w:p w14:paraId="6BB948D3"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szCs w:val="20"/>
              </w:rPr>
              <w:t>LFTR</w:t>
            </w:r>
          </w:p>
        </w:tc>
        <w:tc>
          <w:tcPr>
            <w:tcW w:w="6645" w:type="dxa"/>
          </w:tcPr>
          <w:p w14:paraId="3E2BABA8"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szCs w:val="20"/>
              </w:rPr>
              <w:t>Ley Federal de Telecomunicaciones y Radiodifusión.</w:t>
            </w:r>
          </w:p>
        </w:tc>
      </w:tr>
      <w:tr w:rsidR="0070274F" w:rsidRPr="0070274F" w14:paraId="69E2618B" w14:textId="77777777" w:rsidTr="00CD4989">
        <w:tc>
          <w:tcPr>
            <w:tcW w:w="2371" w:type="dxa"/>
            <w:vAlign w:val="center"/>
          </w:tcPr>
          <w:p w14:paraId="3E903783" w14:textId="77777777" w:rsidR="0070274F" w:rsidRPr="0070274F" w:rsidRDefault="0070274F" w:rsidP="0070274F">
            <w:pPr>
              <w:spacing w:after="0"/>
              <w:jc w:val="both"/>
              <w:rPr>
                <w:rFonts w:ascii="Arial" w:eastAsia="Times New Roman" w:hAnsi="Arial" w:cs="Arial"/>
                <w:b/>
                <w:sz w:val="20"/>
                <w:szCs w:val="20"/>
              </w:rPr>
            </w:pPr>
            <w:r w:rsidRPr="0070274F">
              <w:rPr>
                <w:rFonts w:ascii="Arial" w:eastAsia="Times New Roman" w:hAnsi="Arial" w:cs="Arial"/>
                <w:b/>
                <w:sz w:val="20"/>
                <w:szCs w:val="20"/>
              </w:rPr>
              <w:t>OFCOM</w:t>
            </w:r>
          </w:p>
        </w:tc>
        <w:tc>
          <w:tcPr>
            <w:tcW w:w="6645" w:type="dxa"/>
          </w:tcPr>
          <w:p w14:paraId="3DAE7C46" w14:textId="77777777" w:rsidR="0070274F" w:rsidRPr="0070274F" w:rsidRDefault="0070274F" w:rsidP="0070274F">
            <w:pPr>
              <w:spacing w:after="0"/>
              <w:jc w:val="both"/>
              <w:rPr>
                <w:rFonts w:ascii="Arial" w:eastAsia="Times New Roman" w:hAnsi="Arial" w:cs="Arial"/>
                <w:sz w:val="20"/>
                <w:szCs w:val="20"/>
              </w:rPr>
            </w:pPr>
            <w:r w:rsidRPr="0070274F">
              <w:rPr>
                <w:rFonts w:ascii="Arial" w:eastAsia="Times New Roman" w:hAnsi="Arial" w:cs="Arial"/>
                <w:sz w:val="20"/>
                <w:szCs w:val="20"/>
              </w:rPr>
              <w:t>Regulador de telecomunicaciones de Reino Unido (</w:t>
            </w:r>
            <w:r w:rsidRPr="0070274F">
              <w:rPr>
                <w:rFonts w:ascii="Arial" w:eastAsia="Times New Roman" w:hAnsi="Arial" w:cs="Arial"/>
                <w:i/>
                <w:sz w:val="20"/>
                <w:szCs w:val="20"/>
              </w:rPr>
              <w:t>Office of Communications</w:t>
            </w:r>
            <w:r w:rsidRPr="0070274F">
              <w:rPr>
                <w:rFonts w:ascii="Arial" w:eastAsia="Times New Roman" w:hAnsi="Arial" w:cs="Arial"/>
                <w:sz w:val="20"/>
                <w:szCs w:val="20"/>
              </w:rPr>
              <w:t>, en inglés).</w:t>
            </w:r>
          </w:p>
        </w:tc>
      </w:tr>
      <w:tr w:rsidR="0070274F" w:rsidRPr="0070274F" w14:paraId="072ADF4A" w14:textId="77777777" w:rsidTr="00CD4989">
        <w:tc>
          <w:tcPr>
            <w:tcW w:w="2371" w:type="dxa"/>
            <w:vAlign w:val="center"/>
          </w:tcPr>
          <w:p w14:paraId="2CC502B7"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Pleno</w:t>
            </w:r>
          </w:p>
        </w:tc>
        <w:tc>
          <w:tcPr>
            <w:tcW w:w="6645" w:type="dxa"/>
          </w:tcPr>
          <w:p w14:paraId="1D05EB91"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Órgano de gobierno del Instituto, integrado por siete Comisionados, incluyendo al Comisionado Presidente.</w:t>
            </w:r>
          </w:p>
        </w:tc>
      </w:tr>
      <w:tr w:rsidR="0070274F" w:rsidRPr="0070274F" w14:paraId="7392866E" w14:textId="77777777" w:rsidTr="00CD4989">
        <w:tc>
          <w:tcPr>
            <w:tcW w:w="2371" w:type="dxa"/>
            <w:vAlign w:val="center"/>
          </w:tcPr>
          <w:p w14:paraId="12C4C38C"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t>PJF</w:t>
            </w:r>
          </w:p>
        </w:tc>
        <w:tc>
          <w:tcPr>
            <w:tcW w:w="6645" w:type="dxa"/>
          </w:tcPr>
          <w:p w14:paraId="218E850A"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Poder Judicial de la Federación.</w:t>
            </w:r>
          </w:p>
        </w:tc>
      </w:tr>
      <w:tr w:rsidR="0070274F" w:rsidRPr="0070274F" w14:paraId="2894464E" w14:textId="77777777" w:rsidTr="00CD4989">
        <w:tc>
          <w:tcPr>
            <w:tcW w:w="2371" w:type="dxa"/>
            <w:vAlign w:val="center"/>
          </w:tcPr>
          <w:p w14:paraId="573C13D5"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szCs w:val="20"/>
              </w:rPr>
              <w:t>TyR</w:t>
            </w:r>
          </w:p>
        </w:tc>
        <w:tc>
          <w:tcPr>
            <w:tcW w:w="6645" w:type="dxa"/>
          </w:tcPr>
          <w:p w14:paraId="36D1C58B"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szCs w:val="20"/>
              </w:rPr>
              <w:t>Telecomunicaciones y Radiodifusión.</w:t>
            </w:r>
          </w:p>
        </w:tc>
      </w:tr>
      <w:tr w:rsidR="0070274F" w:rsidRPr="0070274F" w14:paraId="6128CB23" w14:textId="77777777" w:rsidTr="00CD4989">
        <w:tc>
          <w:tcPr>
            <w:tcW w:w="2371" w:type="dxa"/>
            <w:vAlign w:val="center"/>
          </w:tcPr>
          <w:p w14:paraId="5B59EBE3" w14:textId="77777777" w:rsidR="0070274F" w:rsidRPr="0070274F" w:rsidRDefault="0070274F" w:rsidP="0070274F">
            <w:pPr>
              <w:spacing w:after="0"/>
              <w:jc w:val="both"/>
              <w:rPr>
                <w:rFonts w:ascii="Arial" w:eastAsia="Times New Roman" w:hAnsi="Arial" w:cs="Arial"/>
                <w:b/>
                <w:sz w:val="20"/>
              </w:rPr>
            </w:pPr>
            <w:r w:rsidRPr="0070274F">
              <w:rPr>
                <w:rFonts w:ascii="Arial" w:eastAsia="Times New Roman" w:hAnsi="Arial" w:cs="Arial"/>
                <w:b/>
                <w:sz w:val="20"/>
              </w:rPr>
              <w:lastRenderedPageBreak/>
              <w:t>UCE</w:t>
            </w:r>
          </w:p>
        </w:tc>
        <w:tc>
          <w:tcPr>
            <w:tcW w:w="6645" w:type="dxa"/>
          </w:tcPr>
          <w:p w14:paraId="23BB3D3B" w14:textId="77777777" w:rsidR="0070274F" w:rsidRPr="0070274F" w:rsidRDefault="0070274F" w:rsidP="0070274F">
            <w:pPr>
              <w:spacing w:after="0"/>
              <w:jc w:val="both"/>
              <w:rPr>
                <w:rFonts w:ascii="Arial" w:eastAsia="Times New Roman" w:hAnsi="Arial" w:cs="Arial"/>
                <w:sz w:val="20"/>
              </w:rPr>
            </w:pPr>
            <w:r w:rsidRPr="0070274F">
              <w:rPr>
                <w:rFonts w:ascii="Arial" w:eastAsia="Times New Roman" w:hAnsi="Arial" w:cs="Arial"/>
                <w:sz w:val="20"/>
              </w:rPr>
              <w:t>Unidad de Competencia Económica del Instituto, que funge como el órgano encargado de la instrucción previsto en el artículo 3, fracción XII de la LFCE.</w:t>
            </w:r>
          </w:p>
        </w:tc>
      </w:tr>
    </w:tbl>
    <w:p w14:paraId="7505DB39" w14:textId="77777777" w:rsidR="0070274F" w:rsidRPr="0070274F" w:rsidRDefault="0070274F" w:rsidP="0070274F">
      <w:pPr>
        <w:spacing w:after="0" w:line="252" w:lineRule="auto"/>
        <w:jc w:val="both"/>
        <w:rPr>
          <w:rFonts w:eastAsia="Times New Roman" w:cs="Arial"/>
        </w:rPr>
      </w:pPr>
      <w:bookmarkStart w:id="5" w:name="_Toc69242772"/>
      <w:bookmarkStart w:id="6" w:name="_Toc69248080"/>
    </w:p>
    <w:p w14:paraId="7CB80DEB" w14:textId="77777777" w:rsidR="0070274F" w:rsidRPr="0070274F" w:rsidRDefault="0070274F" w:rsidP="0070274F">
      <w:pPr>
        <w:spacing w:after="0" w:line="252" w:lineRule="auto"/>
        <w:jc w:val="both"/>
        <w:rPr>
          <w:rFonts w:eastAsia="Times New Roman" w:cs="Arial"/>
        </w:rPr>
      </w:pPr>
    </w:p>
    <w:p w14:paraId="3BFAE616" w14:textId="77777777" w:rsidR="0070274F" w:rsidRPr="0070274F" w:rsidRDefault="0070274F" w:rsidP="0070274F">
      <w:pPr>
        <w:spacing w:after="0" w:line="252" w:lineRule="auto"/>
        <w:jc w:val="both"/>
        <w:rPr>
          <w:rFonts w:eastAsia="Times New Roman" w:cs="Arial"/>
        </w:rPr>
      </w:pPr>
    </w:p>
    <w:p w14:paraId="23599B42" w14:textId="77777777" w:rsidR="0070274F" w:rsidRPr="0070274F" w:rsidRDefault="0070274F" w:rsidP="0070274F">
      <w:pPr>
        <w:spacing w:after="0" w:line="252" w:lineRule="auto"/>
        <w:jc w:val="both"/>
        <w:rPr>
          <w:rFonts w:eastAsia="Times New Roman" w:cs="Arial"/>
        </w:rPr>
      </w:pPr>
    </w:p>
    <w:p w14:paraId="3FA5EE78" w14:textId="77777777" w:rsidR="0070274F" w:rsidRPr="0070274F" w:rsidRDefault="0070274F" w:rsidP="0070274F">
      <w:pPr>
        <w:keepNext/>
        <w:spacing w:after="0"/>
        <w:ind w:left="567" w:hanging="360"/>
        <w:jc w:val="both"/>
        <w:outlineLvl w:val="0"/>
        <w:rPr>
          <w:rFonts w:ascii="Arial" w:eastAsia="Times New Roman" w:hAnsi="Arial" w:cs="Arial"/>
          <w:b/>
          <w:sz w:val="26"/>
          <w:szCs w:val="26"/>
          <w:lang w:val="es-MX"/>
        </w:rPr>
      </w:pPr>
      <w:bookmarkStart w:id="7" w:name="_Toc69248439"/>
      <w:bookmarkStart w:id="8" w:name="_Toc70950924"/>
      <w:r w:rsidRPr="0070274F">
        <w:rPr>
          <w:rFonts w:ascii="Arial" w:eastAsia="Times New Roman" w:hAnsi="Arial" w:cs="Arial"/>
          <w:b/>
          <w:sz w:val="26"/>
          <w:szCs w:val="26"/>
          <w:lang w:val="es-MX"/>
        </w:rPr>
        <w:t>1. Introducción</w:t>
      </w:r>
      <w:bookmarkEnd w:id="5"/>
      <w:bookmarkEnd w:id="6"/>
      <w:bookmarkEnd w:id="7"/>
      <w:bookmarkEnd w:id="8"/>
    </w:p>
    <w:p w14:paraId="5BBA53F9" w14:textId="77777777" w:rsidR="0070274F" w:rsidRPr="0070274F" w:rsidRDefault="0070274F" w:rsidP="0070274F">
      <w:pPr>
        <w:spacing w:after="0" w:line="252" w:lineRule="auto"/>
        <w:jc w:val="both"/>
        <w:rPr>
          <w:rFonts w:ascii="Arial" w:eastAsia="Times New Roman" w:hAnsi="Arial" w:cs="Arial"/>
          <w:b/>
        </w:rPr>
      </w:pPr>
    </w:p>
    <w:p w14:paraId="16346441" w14:textId="77777777" w:rsidR="0070274F" w:rsidRPr="0070274F" w:rsidRDefault="0070274F" w:rsidP="0070274F">
      <w:pPr>
        <w:spacing w:after="0"/>
        <w:jc w:val="both"/>
        <w:rPr>
          <w:rFonts w:ascii="Arial" w:eastAsia="Times New Roman" w:hAnsi="Arial" w:cs="Arial"/>
          <w:shd w:val="clear" w:color="auto" w:fill="FFFFFF"/>
        </w:rPr>
      </w:pPr>
      <w:r w:rsidRPr="0070274F">
        <w:rPr>
          <w:rFonts w:ascii="Arial" w:eastAsia="Times New Roman" w:hAnsi="Arial" w:cs="Arial"/>
          <w:bCs/>
          <w:kern w:val="1"/>
          <w:lang w:eastAsia="ar-SA"/>
        </w:rPr>
        <w:t xml:space="preserve">La presente Guía se publica con </w:t>
      </w:r>
      <w:r w:rsidRPr="0070274F">
        <w:rPr>
          <w:rFonts w:ascii="Arial" w:eastAsia="Times New Roman" w:hAnsi="Arial" w:cs="Arial"/>
        </w:rPr>
        <w:t>fundamento en los artículos 28, párrafos décimo cuarto a décimo sexto, de la CPEUM;</w:t>
      </w:r>
      <w:r w:rsidRPr="0070274F">
        <w:rPr>
          <w:rFonts w:ascii="Arial" w:eastAsia="Times New Roman" w:hAnsi="Arial" w:cs="Arial"/>
          <w:bCs/>
        </w:rPr>
        <w:t xml:space="preserve"> 7, párrafo tercero, de la LFTR</w:t>
      </w:r>
      <w:r w:rsidRPr="0070274F">
        <w:rPr>
          <w:rFonts w:ascii="Arial" w:eastAsia="Times New Roman" w:hAnsi="Arial" w:cs="Arial"/>
        </w:rPr>
        <w:t>; 1, 2, 5, párrafo primero, 12, fracción XXII, párrafo tercero, inciso g), 18, párrafo séptimo, y 138, fracciones I y II, de la LFCE</w:t>
      </w:r>
      <w:r w:rsidRPr="0070274F">
        <w:rPr>
          <w:rFonts w:ascii="Arial" w:eastAsia="Times New Roman" w:hAnsi="Arial" w:cs="Arial"/>
          <w:shd w:val="clear" w:color="auto" w:fill="FFFFFF"/>
        </w:rPr>
        <w:t>; y 187 de las DRLFCE.</w:t>
      </w:r>
    </w:p>
    <w:p w14:paraId="72F6E18F" w14:textId="77777777" w:rsidR="0070274F" w:rsidRPr="0070274F" w:rsidRDefault="0070274F" w:rsidP="0070274F">
      <w:pPr>
        <w:spacing w:after="0"/>
        <w:jc w:val="both"/>
        <w:rPr>
          <w:rFonts w:ascii="Arial" w:eastAsia="Times New Roman" w:hAnsi="Arial" w:cs="Arial"/>
          <w:bCs/>
        </w:rPr>
      </w:pPr>
    </w:p>
    <w:p w14:paraId="043823E3" w14:textId="77777777" w:rsidR="0070274F" w:rsidRPr="0070274F" w:rsidRDefault="0070274F" w:rsidP="0070274F">
      <w:pPr>
        <w:spacing w:after="0"/>
        <w:jc w:val="both"/>
        <w:rPr>
          <w:rFonts w:ascii="Arial" w:eastAsia="Times New Roman" w:hAnsi="Arial" w:cs="Arial"/>
          <w:bCs/>
        </w:rPr>
      </w:pPr>
      <w:r w:rsidRPr="0070274F">
        <w:rPr>
          <w:rFonts w:ascii="Arial" w:eastAsia="Times New Roman" w:hAnsi="Arial" w:cs="Arial"/>
          <w:bCs/>
          <w:kern w:val="1"/>
          <w:lang w:eastAsia="ar-SA"/>
        </w:rPr>
        <w:t xml:space="preserve">De acuerdo con el artículo 28 de la CPEUM, el Instituto es un órgano constitucional autónomo que tiene por objeto el desarrollo eficiente de los sectores de TyR, además de ser la autoridad en materia de competencia económica de dichos sectores, por lo que cuenta con facultades para investigar, combatir, perseguir con eficacia y castigar las prácticas que afectan los procesos de libre competencia, lo cual involucra </w:t>
      </w:r>
      <w:r w:rsidRPr="0070274F">
        <w:rPr>
          <w:rFonts w:ascii="Arial" w:eastAsia="Times New Roman" w:hAnsi="Arial" w:cs="Arial"/>
          <w:bCs/>
        </w:rPr>
        <w:t>dos grandes etapas procedimentales.</w:t>
      </w:r>
    </w:p>
    <w:p w14:paraId="78C57588" w14:textId="77777777" w:rsidR="0070274F" w:rsidRPr="0070274F" w:rsidRDefault="0070274F" w:rsidP="0070274F">
      <w:pPr>
        <w:spacing w:after="0"/>
        <w:jc w:val="both"/>
        <w:rPr>
          <w:rFonts w:ascii="Arial" w:eastAsia="Times New Roman" w:hAnsi="Arial" w:cs="Arial"/>
          <w:bCs/>
        </w:rPr>
      </w:pPr>
    </w:p>
    <w:p w14:paraId="4A3AD9D7" w14:textId="2B69B8F3" w:rsidR="0070274F" w:rsidRPr="0070274F" w:rsidRDefault="0070274F" w:rsidP="0070274F">
      <w:pPr>
        <w:spacing w:after="0"/>
        <w:jc w:val="both"/>
        <w:rPr>
          <w:rFonts w:ascii="Arial" w:eastAsia="Times New Roman" w:hAnsi="Arial" w:cs="Arial"/>
          <w:bCs/>
        </w:rPr>
      </w:pPr>
      <w:r w:rsidRPr="0070274F">
        <w:rPr>
          <w:rFonts w:ascii="Arial" w:eastAsia="Times New Roman" w:hAnsi="Arial" w:cs="Arial"/>
          <w:bCs/>
        </w:rPr>
        <w:t>La primera etapa es de investigación, tiene un carácter inquisitorio y está a cargo de la Autoridad Investigadora. En ella se recaban los medios de prueba que permitan verificar la existencia de prácticas monopólicas o concentraciones ilícitas definidas en los artículos 53 a 56, 62 y 64 de la LFCE. Esta etapa concluye con la presentación de un dictamen al Pleno y, en caso de que</w:t>
      </w:r>
      <w:r w:rsidR="00595246">
        <w:rPr>
          <w:rFonts w:ascii="Arial" w:eastAsia="Times New Roman" w:hAnsi="Arial" w:cs="Arial"/>
          <w:bCs/>
        </w:rPr>
        <w:t xml:space="preserve"> se emita un</w:t>
      </w:r>
      <w:r w:rsidR="003F6A2B">
        <w:rPr>
          <w:rFonts w:ascii="Arial" w:eastAsia="Times New Roman" w:hAnsi="Arial" w:cs="Arial"/>
          <w:bCs/>
        </w:rPr>
        <w:t xml:space="preserve"> dictamen </w:t>
      </w:r>
      <w:r w:rsidR="00D231B3">
        <w:rPr>
          <w:rFonts w:ascii="Arial" w:eastAsia="Times New Roman" w:hAnsi="Arial" w:cs="Arial"/>
          <w:bCs/>
        </w:rPr>
        <w:t xml:space="preserve">que </w:t>
      </w:r>
      <w:r w:rsidR="003F6A2B">
        <w:rPr>
          <w:rFonts w:ascii="Arial" w:eastAsia="Times New Roman" w:hAnsi="Arial" w:cs="Arial"/>
          <w:bCs/>
        </w:rPr>
        <w:t>impute una pr</w:t>
      </w:r>
      <w:r w:rsidR="00D91ECE">
        <w:rPr>
          <w:rFonts w:ascii="Arial" w:eastAsia="Times New Roman" w:hAnsi="Arial" w:cs="Arial"/>
          <w:bCs/>
        </w:rPr>
        <w:t>obable</w:t>
      </w:r>
      <w:r w:rsidR="003F6A2B">
        <w:rPr>
          <w:rFonts w:ascii="Arial" w:eastAsia="Times New Roman" w:hAnsi="Arial" w:cs="Arial"/>
          <w:bCs/>
        </w:rPr>
        <w:t xml:space="preserve"> responsabilidad</w:t>
      </w:r>
      <w:r w:rsidRPr="0070274F">
        <w:rPr>
          <w:rFonts w:ascii="Arial" w:eastAsia="Times New Roman" w:hAnsi="Arial" w:cs="Arial"/>
          <w:bCs/>
        </w:rPr>
        <w:t>, se da paso a la segunda etapa.</w:t>
      </w:r>
    </w:p>
    <w:p w14:paraId="4EC3FBA0" w14:textId="77777777" w:rsidR="0070274F" w:rsidRPr="0070274F" w:rsidRDefault="0070274F" w:rsidP="0070274F">
      <w:pPr>
        <w:spacing w:after="0"/>
        <w:jc w:val="both"/>
        <w:rPr>
          <w:rFonts w:ascii="Arial" w:eastAsia="Times New Roman" w:hAnsi="Arial" w:cs="Arial"/>
          <w:bCs/>
        </w:rPr>
      </w:pPr>
    </w:p>
    <w:p w14:paraId="4F98FFE4" w14:textId="03AC0A71" w:rsidR="0070274F" w:rsidRPr="0070274F" w:rsidRDefault="0070274F" w:rsidP="0070274F">
      <w:pPr>
        <w:spacing w:after="0"/>
        <w:jc w:val="both"/>
        <w:rPr>
          <w:rFonts w:ascii="Arial" w:eastAsia="Times New Roman" w:hAnsi="Arial" w:cs="Arial"/>
          <w:bCs/>
        </w:rPr>
      </w:pPr>
      <w:r w:rsidRPr="0070274F">
        <w:rPr>
          <w:rFonts w:ascii="Arial" w:eastAsia="Times New Roman" w:hAnsi="Arial" w:cs="Arial"/>
          <w:bCs/>
        </w:rPr>
        <w:t>La segunda etapa, conocida como procedimiento seguido en forma de juicio, está a cargo de la UCE</w:t>
      </w:r>
      <w:r w:rsidR="009C6886">
        <w:rPr>
          <w:rFonts w:ascii="Arial" w:eastAsia="Times New Roman" w:hAnsi="Arial" w:cs="Arial"/>
          <w:bCs/>
        </w:rPr>
        <w:t xml:space="preserve"> e</w:t>
      </w:r>
      <w:r w:rsidRPr="0070274F">
        <w:rPr>
          <w:rFonts w:ascii="Arial" w:eastAsia="Times New Roman" w:hAnsi="Arial" w:cs="Arial"/>
          <w:bCs/>
        </w:rPr>
        <w:t xml:space="preserve"> inicia con el emplazamiento a los probables responsables, a quienes se les notifica el dictamen de probable responsabilidad, en cuyo texto se debe: i) identificar al o los probables responsables; ii) especificar los hechos investigados y su probable objeto o efecto en el mercado; iii) las pruebas y demás elementos de convicción que obren en el expediente de investigación y su análisis; y iv) los elementos que sustentan el sentido del dictamen y, en su caso, las disposiciones legales que se estimen violadas y las consecuencias que pueden derivar con dicha violación.</w:t>
      </w:r>
    </w:p>
    <w:p w14:paraId="3B9DB4B5" w14:textId="77777777" w:rsidR="0070274F" w:rsidRPr="0070274F" w:rsidRDefault="0070274F" w:rsidP="0070274F">
      <w:pPr>
        <w:spacing w:after="0"/>
        <w:jc w:val="both"/>
        <w:rPr>
          <w:rFonts w:ascii="Arial" w:eastAsia="Times New Roman" w:hAnsi="Arial" w:cs="Arial"/>
          <w:bCs/>
        </w:rPr>
      </w:pPr>
    </w:p>
    <w:p w14:paraId="2C2A464B" w14:textId="77777777" w:rsidR="0070274F" w:rsidRPr="0070274F" w:rsidRDefault="0070274F" w:rsidP="0070274F">
      <w:pPr>
        <w:spacing w:after="0"/>
        <w:jc w:val="both"/>
        <w:rPr>
          <w:rFonts w:ascii="Arial" w:eastAsia="Times New Roman" w:hAnsi="Arial" w:cs="Arial"/>
          <w:bCs/>
        </w:rPr>
      </w:pPr>
      <w:r w:rsidRPr="0070274F">
        <w:rPr>
          <w:rFonts w:ascii="Arial" w:eastAsia="Times New Roman" w:hAnsi="Arial" w:cs="Arial"/>
          <w:bCs/>
        </w:rPr>
        <w:t xml:space="preserve">La división del procedimiento en dos etapas es consistente con la práctica internacional (ver Anexo) y tiene el objetivo principal de </w:t>
      </w:r>
      <w:r w:rsidRPr="0070274F">
        <w:rPr>
          <w:rFonts w:ascii="Arial" w:eastAsia="Times New Roman" w:hAnsi="Arial" w:cs="Arial"/>
          <w:lang w:val="es-MX"/>
        </w:rPr>
        <w:t>garantizar la independencia entre el órgano de decisión y el equipo de investigación, así como evitar influencias, filtración de información o conflictos de interés al momento de emitir la resolución.</w:t>
      </w:r>
    </w:p>
    <w:p w14:paraId="6CD76A1C" w14:textId="77777777" w:rsidR="0070274F" w:rsidRPr="0070274F" w:rsidRDefault="0070274F" w:rsidP="0070274F">
      <w:pPr>
        <w:spacing w:after="0"/>
        <w:jc w:val="both"/>
        <w:rPr>
          <w:rFonts w:ascii="Arial" w:eastAsia="Times New Roman" w:hAnsi="Arial" w:cs="Arial"/>
          <w:bCs/>
        </w:rPr>
      </w:pPr>
    </w:p>
    <w:p w14:paraId="1F0E9D39" w14:textId="77777777" w:rsidR="0070274F" w:rsidRPr="0070274F" w:rsidRDefault="0070274F" w:rsidP="0070274F">
      <w:pPr>
        <w:spacing w:after="0"/>
        <w:jc w:val="both"/>
        <w:rPr>
          <w:rFonts w:ascii="Arial" w:eastAsia="Times New Roman" w:hAnsi="Arial" w:cs="Arial"/>
          <w:bCs/>
        </w:rPr>
      </w:pPr>
      <w:r w:rsidRPr="0070274F">
        <w:rPr>
          <w:rFonts w:ascii="Arial" w:eastAsia="Times New Roman" w:hAnsi="Arial" w:cs="Arial"/>
          <w:bCs/>
        </w:rPr>
        <w:t xml:space="preserve">El procedimiento seguido en forma de juicio tiene por objeto escuchar las manifestaciones de los AE probables responsables y valorar las pruebas que ofrezcan en contra de la imputación </w:t>
      </w:r>
      <w:r w:rsidRPr="0070274F">
        <w:rPr>
          <w:rFonts w:ascii="Arial" w:eastAsia="Times New Roman" w:hAnsi="Arial" w:cs="Arial"/>
          <w:bCs/>
        </w:rPr>
        <w:lastRenderedPageBreak/>
        <w:t>contenida en el dictamen de probable responsabilidad. Debido a esa propiedad, en esta etapa se respetan las formalidades esenciales del procedimiento y en la resolución final del Pleno se determina si efectivamente se realizaron actos contrarios a la LFCE y, en su caso, se ordena la supresión o corrección de los actos y se imponen las multas correspondientes.</w:t>
      </w:r>
    </w:p>
    <w:p w14:paraId="0EB260A9" w14:textId="77777777" w:rsidR="0070274F" w:rsidRPr="0070274F" w:rsidRDefault="0070274F" w:rsidP="0070274F">
      <w:pPr>
        <w:spacing w:after="0"/>
        <w:jc w:val="both"/>
        <w:rPr>
          <w:rFonts w:ascii="Arial" w:eastAsia="Times New Roman" w:hAnsi="Arial" w:cs="Arial"/>
          <w:bCs/>
        </w:rPr>
      </w:pPr>
    </w:p>
    <w:p w14:paraId="6C32FBC6" w14:textId="77777777" w:rsidR="0070274F" w:rsidRPr="0070274F" w:rsidRDefault="0070274F" w:rsidP="0070274F">
      <w:pPr>
        <w:spacing w:after="0"/>
        <w:jc w:val="both"/>
        <w:rPr>
          <w:rFonts w:ascii="Arial" w:eastAsia="Times New Roman" w:hAnsi="Arial" w:cs="Arial"/>
          <w:bCs/>
        </w:rPr>
      </w:pPr>
      <w:r w:rsidRPr="0070274F">
        <w:rPr>
          <w:rFonts w:ascii="Arial" w:eastAsia="Times New Roman" w:hAnsi="Arial" w:cs="Arial"/>
        </w:rPr>
        <w:t xml:space="preserve">En este contexto, </w:t>
      </w:r>
      <w:r w:rsidRPr="0070274F">
        <w:rPr>
          <w:rFonts w:ascii="Arial" w:eastAsia="Times New Roman" w:hAnsi="Arial" w:cs="Arial"/>
          <w:bCs/>
          <w:kern w:val="1"/>
          <w:lang w:eastAsia="ar-SA"/>
        </w:rPr>
        <w:t>la Guía tiene los propósitos de</w:t>
      </w:r>
      <w:r w:rsidR="00473F04">
        <w:rPr>
          <w:rFonts w:ascii="Arial" w:eastAsia="Times New Roman" w:hAnsi="Arial" w:cs="Arial"/>
          <w:bCs/>
          <w:kern w:val="1"/>
          <w:lang w:eastAsia="ar-SA"/>
        </w:rPr>
        <w:t>:</w:t>
      </w:r>
      <w:r w:rsidRPr="0070274F">
        <w:rPr>
          <w:rFonts w:ascii="Arial" w:eastAsia="Times New Roman" w:hAnsi="Arial" w:cs="Arial"/>
          <w:bCs/>
          <w:kern w:val="1"/>
          <w:lang w:eastAsia="ar-SA"/>
        </w:rPr>
        <w:t xml:space="preserve"> </w:t>
      </w:r>
      <w:r w:rsidRPr="0070274F">
        <w:rPr>
          <w:rFonts w:ascii="Arial" w:eastAsia="Times New Roman" w:hAnsi="Arial" w:cs="Arial"/>
          <w:b/>
          <w:bCs/>
          <w:kern w:val="1"/>
          <w:lang w:eastAsia="ar-SA"/>
        </w:rPr>
        <w:t>i)</w:t>
      </w:r>
      <w:r w:rsidRPr="0070274F">
        <w:rPr>
          <w:rFonts w:ascii="Arial" w:eastAsia="Times New Roman" w:hAnsi="Arial" w:cs="Arial"/>
          <w:bCs/>
          <w:kern w:val="1"/>
          <w:lang w:eastAsia="ar-SA"/>
        </w:rPr>
        <w:t xml:space="preserve"> orientar a los AE, a los interesados y a la sociedad en general, respecto a</w:t>
      </w:r>
      <w:r w:rsidRPr="0070274F">
        <w:rPr>
          <w:rFonts w:ascii="Arial" w:eastAsia="Times New Roman" w:hAnsi="Arial" w:cs="Arial"/>
          <w:bCs/>
        </w:rPr>
        <w:t xml:space="preserve"> la finalidad y desahogo de cada una de las etapas del procedimiento seguido en forma de juicio, </w:t>
      </w:r>
      <w:r w:rsidRPr="0070274F">
        <w:rPr>
          <w:rFonts w:ascii="Arial" w:eastAsia="Times New Roman" w:hAnsi="Arial" w:cs="Arial"/>
          <w:b/>
          <w:bCs/>
        </w:rPr>
        <w:t>ii)</w:t>
      </w:r>
      <w:r w:rsidRPr="0070274F">
        <w:rPr>
          <w:rFonts w:ascii="Arial" w:eastAsia="Times New Roman" w:hAnsi="Arial" w:cs="Arial"/>
          <w:bCs/>
        </w:rPr>
        <w:t xml:space="preserve"> describir de manera sencilla y transparente la tramitación del procedimiento seguido en forma de juicio, </w:t>
      </w:r>
      <w:r w:rsidRPr="0070274F">
        <w:rPr>
          <w:rFonts w:ascii="Arial" w:eastAsia="Times New Roman" w:hAnsi="Arial" w:cs="Arial"/>
          <w:b/>
          <w:bCs/>
        </w:rPr>
        <w:t>iii)</w:t>
      </w:r>
      <w:r w:rsidRPr="0070274F">
        <w:rPr>
          <w:rFonts w:ascii="Arial" w:eastAsia="Times New Roman" w:hAnsi="Arial" w:cs="Arial"/>
          <w:bCs/>
        </w:rPr>
        <w:t xml:space="preserve"> explicar las etapas procesales, plazos y actuaciones que realiza el Instituto a través de la </w:t>
      </w:r>
      <w:r w:rsidRPr="0070274F">
        <w:rPr>
          <w:rFonts w:ascii="Arial" w:eastAsia="Times New Roman" w:hAnsi="Arial" w:cs="Arial"/>
        </w:rPr>
        <w:t>UCE</w:t>
      </w:r>
      <w:r w:rsidRPr="0070274F">
        <w:rPr>
          <w:rFonts w:ascii="Arial" w:eastAsia="Times New Roman" w:hAnsi="Arial" w:cs="Arial"/>
          <w:bCs/>
        </w:rPr>
        <w:t xml:space="preserve"> en su calidad de órgano encargado de la instrucción, y </w:t>
      </w:r>
      <w:r w:rsidRPr="0070274F">
        <w:rPr>
          <w:rFonts w:ascii="Arial" w:eastAsia="Times New Roman" w:hAnsi="Arial" w:cs="Arial"/>
          <w:b/>
          <w:bCs/>
        </w:rPr>
        <w:t>iv)</w:t>
      </w:r>
      <w:r w:rsidRPr="0070274F">
        <w:rPr>
          <w:rFonts w:ascii="Arial" w:eastAsia="Times New Roman" w:hAnsi="Arial" w:cs="Arial"/>
          <w:bCs/>
        </w:rPr>
        <w:t xml:space="preserve"> divulgar algunos de los criterios judiciales más relevantes que aplican a las etapas procesales del procedimiento seguido en forma de juicio. </w:t>
      </w:r>
    </w:p>
    <w:p w14:paraId="7AF1C699" w14:textId="77777777" w:rsidR="0070274F" w:rsidRPr="0070274F" w:rsidRDefault="0070274F" w:rsidP="0070274F">
      <w:pPr>
        <w:spacing w:after="0"/>
        <w:jc w:val="both"/>
        <w:rPr>
          <w:rFonts w:ascii="Arial" w:eastAsia="Times New Roman" w:hAnsi="Arial" w:cs="Arial"/>
          <w:bCs/>
        </w:rPr>
      </w:pPr>
    </w:p>
    <w:p w14:paraId="285CDC89" w14:textId="3BE4595D" w:rsidR="0070274F" w:rsidRPr="0070274F" w:rsidRDefault="0070274F" w:rsidP="0070274F">
      <w:pPr>
        <w:spacing w:after="0"/>
        <w:jc w:val="both"/>
        <w:rPr>
          <w:rFonts w:ascii="Arial" w:eastAsia="Times New Roman" w:hAnsi="Arial" w:cs="Arial"/>
          <w:bCs/>
          <w:kern w:val="1"/>
          <w:lang w:eastAsia="ar-SA"/>
        </w:rPr>
      </w:pPr>
      <w:r w:rsidRPr="0070274F">
        <w:rPr>
          <w:rFonts w:ascii="Arial" w:eastAsia="Times New Roman" w:hAnsi="Arial" w:cs="Arial"/>
        </w:rPr>
        <w:t xml:space="preserve">La Guía </w:t>
      </w:r>
      <w:r w:rsidR="00473F04">
        <w:rPr>
          <w:rFonts w:ascii="Arial" w:eastAsia="Times New Roman" w:hAnsi="Arial" w:cs="Arial"/>
        </w:rPr>
        <w:t>no</w:t>
      </w:r>
      <w:r w:rsidRPr="0070274F">
        <w:rPr>
          <w:rFonts w:ascii="Arial" w:eastAsia="Times New Roman" w:hAnsi="Arial" w:cs="Arial"/>
        </w:rPr>
        <w:t xml:space="preserve"> establece presunción de legalidad ni constituye un listado exhaustivo de aspectos a considerar en el trámite del procedimiento seguido en forma de juicio, por lo que el Instituto se reserva en todo momento la discrecionalidad técnica y normativa, a fin de interpretar, apreciar y decidir sobre la aplicación de circunstancias técnicas y fácticas, así como normas jurídicas que resulten aplicables a los asuntos de su competencia.</w:t>
      </w:r>
    </w:p>
    <w:p w14:paraId="0D853E7A" w14:textId="77777777" w:rsidR="0070274F" w:rsidRPr="0070274F" w:rsidRDefault="0070274F" w:rsidP="0070274F">
      <w:pPr>
        <w:spacing w:after="0"/>
        <w:jc w:val="both"/>
        <w:rPr>
          <w:rFonts w:ascii="Arial" w:eastAsia="Times New Roman" w:hAnsi="Arial" w:cs="Arial"/>
        </w:rPr>
      </w:pPr>
    </w:p>
    <w:p w14:paraId="4BBA857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ningún caso se tramitará un procedimiento seguido en forma de juicio basándose exclusivamente en esta Guía, sino que el trámite se realizará con fundamento en lo previsto en la LFCE y en las DRLFCE y se motivará con base en los hechos y constancias que integren el expediente en que se actúe, caso por caso.</w:t>
      </w:r>
    </w:p>
    <w:p w14:paraId="4D9F1A72" w14:textId="77777777" w:rsidR="0070274F" w:rsidRPr="0070274F" w:rsidRDefault="0070274F" w:rsidP="0070274F">
      <w:pPr>
        <w:spacing w:after="0"/>
        <w:jc w:val="both"/>
        <w:rPr>
          <w:rFonts w:ascii="Arial" w:eastAsia="Times New Roman" w:hAnsi="Arial" w:cs="Arial"/>
          <w:bCs/>
          <w:kern w:val="1"/>
          <w:lang w:eastAsia="ar-SA"/>
        </w:rPr>
      </w:pPr>
    </w:p>
    <w:p w14:paraId="6BC656B0" w14:textId="77777777" w:rsidR="0070274F" w:rsidRPr="0070274F" w:rsidRDefault="0070274F" w:rsidP="0070274F">
      <w:pPr>
        <w:spacing w:after="0"/>
        <w:jc w:val="both"/>
        <w:rPr>
          <w:rFonts w:ascii="Arial" w:eastAsia="Times New Roman" w:hAnsi="Arial" w:cs="Arial"/>
          <w:bCs/>
          <w:kern w:val="1"/>
          <w:lang w:eastAsia="ar-SA"/>
        </w:rPr>
      </w:pPr>
      <w:r w:rsidRPr="0070274F">
        <w:rPr>
          <w:rFonts w:ascii="Arial" w:eastAsia="Times New Roman" w:hAnsi="Arial" w:cs="Arial"/>
          <w:bCs/>
          <w:kern w:val="1"/>
          <w:lang w:eastAsia="ar-SA"/>
        </w:rPr>
        <w:t xml:space="preserve">Las actuaciones que se describen en la presente Guía están basadas en lo establecido en la CPEUM, la LFCE y las DRLFCE, así como los precedentes y la jurisprudencia emitida por el PJF y la práctica seguida por el Instituto. </w:t>
      </w:r>
    </w:p>
    <w:p w14:paraId="32F87E85" w14:textId="77777777" w:rsidR="0070274F" w:rsidRPr="0070274F" w:rsidRDefault="0070274F" w:rsidP="0070274F">
      <w:pPr>
        <w:spacing w:after="0"/>
        <w:jc w:val="both"/>
        <w:rPr>
          <w:rFonts w:ascii="Arial" w:eastAsia="Times New Roman" w:hAnsi="Arial" w:cs="Arial"/>
          <w:kern w:val="1"/>
          <w:lang w:eastAsia="ar-SA"/>
        </w:rPr>
      </w:pPr>
    </w:p>
    <w:p w14:paraId="021A9368" w14:textId="77777777" w:rsidR="0070274F" w:rsidRPr="0070274F" w:rsidRDefault="0070274F" w:rsidP="0070274F">
      <w:pPr>
        <w:spacing w:after="0"/>
        <w:jc w:val="both"/>
        <w:rPr>
          <w:rFonts w:ascii="Arial" w:eastAsia="Times New Roman" w:hAnsi="Arial" w:cs="Arial"/>
          <w:bCs/>
          <w:kern w:val="1"/>
          <w:lang w:eastAsia="ar-SA"/>
        </w:rPr>
      </w:pPr>
      <w:r w:rsidRPr="0070274F">
        <w:rPr>
          <w:rFonts w:ascii="Arial" w:eastAsia="Times New Roman" w:hAnsi="Arial" w:cs="Arial"/>
          <w:bCs/>
          <w:kern w:val="1"/>
          <w:lang w:eastAsia="ar-SA"/>
        </w:rPr>
        <w:t xml:space="preserve">Este documento es susceptible de modificaciones futuras en la medida que la legislación y los criterios que guían su aplicación cambien y en atención a las interpretaciones y los criterios que emitan las autoridades competentes, incluido el PJF. Asimismo, esta Guía será revisada por el Instituto por lo menos cada 5 (cinco) años, de conformidad con lo señalado en el artículo 138 </w:t>
      </w:r>
      <w:r w:rsidRPr="0070274F">
        <w:rPr>
          <w:rFonts w:ascii="Arial" w:eastAsia="Times New Roman" w:hAnsi="Arial" w:cs="Arial"/>
          <w:bCs/>
          <w:i/>
          <w:iCs/>
          <w:kern w:val="1"/>
          <w:lang w:eastAsia="ar-SA"/>
        </w:rPr>
        <w:t>in fine</w:t>
      </w:r>
      <w:r w:rsidRPr="0070274F">
        <w:rPr>
          <w:rFonts w:ascii="Arial" w:eastAsia="Times New Roman" w:hAnsi="Arial" w:cs="Arial"/>
          <w:bCs/>
          <w:kern w:val="1"/>
          <w:lang w:eastAsia="ar-SA"/>
        </w:rPr>
        <w:t>, de la LFCE.</w:t>
      </w:r>
    </w:p>
    <w:p w14:paraId="50959D26" w14:textId="77777777" w:rsidR="0070274F" w:rsidRPr="0070274F" w:rsidRDefault="0070274F" w:rsidP="0070274F">
      <w:pPr>
        <w:spacing w:after="0"/>
        <w:jc w:val="both"/>
        <w:rPr>
          <w:rFonts w:ascii="Arial" w:eastAsia="Times New Roman" w:hAnsi="Arial" w:cs="Arial"/>
          <w:bCs/>
        </w:rPr>
      </w:pPr>
    </w:p>
    <w:p w14:paraId="16BAA6A2" w14:textId="77777777" w:rsidR="0070274F" w:rsidRPr="0070274F" w:rsidRDefault="0070274F" w:rsidP="0070274F">
      <w:pPr>
        <w:keepNext/>
        <w:spacing w:after="0"/>
        <w:ind w:left="567" w:hanging="360"/>
        <w:jc w:val="both"/>
        <w:outlineLvl w:val="0"/>
        <w:rPr>
          <w:rFonts w:ascii="Arial" w:eastAsia="Times New Roman" w:hAnsi="Arial" w:cs="Arial"/>
          <w:b/>
          <w:sz w:val="26"/>
          <w:szCs w:val="26"/>
          <w:lang w:val="es-MX"/>
        </w:rPr>
      </w:pPr>
      <w:bookmarkStart w:id="9" w:name="_Toc69242776"/>
      <w:bookmarkStart w:id="10" w:name="_Toc69248084"/>
      <w:bookmarkStart w:id="11" w:name="_Toc69248443"/>
      <w:bookmarkStart w:id="12" w:name="_Toc70950925"/>
      <w:r w:rsidRPr="0070274F">
        <w:rPr>
          <w:rFonts w:ascii="Arial" w:eastAsia="Times New Roman" w:hAnsi="Arial" w:cs="Arial"/>
          <w:b/>
          <w:sz w:val="26"/>
          <w:szCs w:val="26"/>
          <w:lang w:val="es-MX"/>
        </w:rPr>
        <w:t>2. Trámite del procedimiento</w:t>
      </w:r>
      <w:bookmarkEnd w:id="9"/>
      <w:bookmarkEnd w:id="10"/>
      <w:bookmarkEnd w:id="11"/>
      <w:bookmarkEnd w:id="12"/>
    </w:p>
    <w:p w14:paraId="11974795" w14:textId="77777777" w:rsidR="0070274F" w:rsidRPr="0070274F" w:rsidRDefault="0070274F" w:rsidP="0070274F">
      <w:pPr>
        <w:keepNext/>
        <w:spacing w:after="0"/>
        <w:jc w:val="both"/>
        <w:rPr>
          <w:rFonts w:ascii="Arial" w:eastAsia="Times New Roman" w:hAnsi="Arial" w:cs="Arial"/>
        </w:rPr>
      </w:pPr>
    </w:p>
    <w:p w14:paraId="73A1D17A"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procedimiento seguido en forma de juicio se sujeta a lo dispuesto en los artículos 80 a 84, 111 a 117 y 119 a 126 de la LFCE; 1, 2, 33 a 50, 57, 68, 69, 74 a 77, 87 a 110, 165 a 175 y 190 a 192 de las DRLFCE; 4, fracción V, inciso vi), 46 a 49, fracciones I, V, VIII, 97 y 101 del Estatuto Orgánico; y en lo no previsto, se aplica supletoriamente el CFPC.</w:t>
      </w:r>
    </w:p>
    <w:p w14:paraId="21EE37EC" w14:textId="77777777" w:rsidR="0070274F" w:rsidRPr="0070274F" w:rsidRDefault="0070274F" w:rsidP="0070274F">
      <w:pPr>
        <w:spacing w:after="0"/>
        <w:jc w:val="both"/>
        <w:rPr>
          <w:rFonts w:ascii="Arial" w:eastAsia="Times New Roman" w:hAnsi="Arial" w:cs="Arial"/>
        </w:rPr>
      </w:pPr>
    </w:p>
    <w:p w14:paraId="4AE4234A" w14:textId="77777777" w:rsidR="0070274F" w:rsidRPr="0070274F" w:rsidRDefault="0070274F" w:rsidP="004227CB">
      <w:pPr>
        <w:keepNext/>
        <w:numPr>
          <w:ilvl w:val="0"/>
          <w:numId w:val="4"/>
        </w:numPr>
        <w:spacing w:after="0" w:line="252" w:lineRule="auto"/>
        <w:ind w:left="567" w:firstLine="0"/>
        <w:jc w:val="both"/>
        <w:outlineLvl w:val="1"/>
        <w:rPr>
          <w:rFonts w:ascii="Arial" w:eastAsia="Times New Roman" w:hAnsi="Arial"/>
          <w:b/>
          <w:bCs/>
          <w:sz w:val="26"/>
          <w:szCs w:val="28"/>
        </w:rPr>
      </w:pPr>
      <w:bookmarkStart w:id="13" w:name="_Toc69242777"/>
      <w:bookmarkStart w:id="14" w:name="_Toc69248085"/>
      <w:bookmarkStart w:id="15" w:name="_Toc69248444"/>
      <w:bookmarkStart w:id="16" w:name="_Toc70950926"/>
      <w:r w:rsidRPr="0070274F">
        <w:rPr>
          <w:rFonts w:ascii="Arial" w:eastAsia="Times New Roman" w:hAnsi="Arial"/>
          <w:b/>
          <w:bCs/>
          <w:sz w:val="26"/>
          <w:szCs w:val="28"/>
        </w:rPr>
        <w:lastRenderedPageBreak/>
        <w:t>2.1. Cuestión Previa al Procedimiento</w:t>
      </w:r>
      <w:bookmarkEnd w:id="13"/>
      <w:bookmarkEnd w:id="14"/>
      <w:bookmarkEnd w:id="15"/>
      <w:bookmarkEnd w:id="16"/>
    </w:p>
    <w:p w14:paraId="2D2A9D75" w14:textId="77777777" w:rsidR="0070274F" w:rsidRPr="0070274F" w:rsidRDefault="0070274F" w:rsidP="0070274F">
      <w:pPr>
        <w:keepNext/>
        <w:spacing w:after="0"/>
        <w:jc w:val="both"/>
        <w:rPr>
          <w:rFonts w:ascii="Arial" w:eastAsia="Times New Roman" w:hAnsi="Arial" w:cs="Arial"/>
        </w:rPr>
      </w:pPr>
    </w:p>
    <w:p w14:paraId="56E76798" w14:textId="7409072A"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Concluida la investigación y,</w:t>
      </w:r>
      <w:r w:rsidRPr="0070274F">
        <w:rPr>
          <w:rFonts w:ascii="Arial" w:eastAsia="Times New Roman" w:hAnsi="Arial" w:cs="Arial"/>
          <w:bCs/>
        </w:rPr>
        <w:t xml:space="preserve"> en caso de que</w:t>
      </w:r>
      <w:r w:rsidR="00595246">
        <w:rPr>
          <w:rFonts w:ascii="Arial" w:eastAsia="Times New Roman" w:hAnsi="Arial" w:cs="Arial"/>
          <w:bCs/>
        </w:rPr>
        <w:t xml:space="preserve"> se emita un Dictamen de Probable Responsabilidad</w:t>
      </w:r>
      <w:r w:rsidRPr="0070274F">
        <w:rPr>
          <w:rFonts w:ascii="Arial" w:eastAsia="Times New Roman" w:hAnsi="Arial" w:cs="Arial"/>
        </w:rPr>
        <w:t>, el Pleno ordenará al órgano encargado de la instrucción (la UCE) iniciar el procedimiento seguido en forma de juicio mediante el emplazamiento a los AE declarados como probables responsables. Esta orden se realizará dentro del plazo de 30 (treinta) días siguientes a la fecha en la que la Autoridad Investigadora haya presentado el dictamen de probable responsabilidad al Pleno.</w:t>
      </w:r>
    </w:p>
    <w:p w14:paraId="067E271C" w14:textId="77777777" w:rsidR="0070274F" w:rsidRPr="0070274F" w:rsidRDefault="0070274F" w:rsidP="0070274F">
      <w:pPr>
        <w:spacing w:after="0"/>
        <w:jc w:val="both"/>
        <w:rPr>
          <w:rFonts w:ascii="Arial" w:eastAsia="Times New Roman" w:hAnsi="Arial" w:cs="Arial"/>
        </w:rPr>
      </w:pPr>
    </w:p>
    <w:p w14:paraId="30AF1E70" w14:textId="1E8F4C34"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recibida la orden del Pleno, la UCE solicitará a la Autoridad Investigadora la totalidad de las constancias que integran el expediente</w:t>
      </w:r>
      <w:r w:rsidR="00753507">
        <w:rPr>
          <w:rFonts w:ascii="Arial" w:eastAsia="Times New Roman" w:hAnsi="Arial" w:cs="Arial"/>
        </w:rPr>
        <w:t>.</w:t>
      </w:r>
      <w:r w:rsidRPr="0070274F">
        <w:rPr>
          <w:rFonts w:ascii="Arial" w:eastAsia="Times New Roman" w:hAnsi="Arial" w:cs="Arial"/>
        </w:rPr>
        <w:t xml:space="preserve"> </w:t>
      </w:r>
      <w:r w:rsidR="00753507">
        <w:rPr>
          <w:rFonts w:ascii="Arial" w:eastAsia="Times New Roman" w:hAnsi="Arial" w:cs="Arial"/>
        </w:rPr>
        <w:t>A</w:t>
      </w:r>
      <w:r w:rsidRPr="0070274F">
        <w:rPr>
          <w:rFonts w:ascii="Arial" w:eastAsia="Times New Roman" w:hAnsi="Arial" w:cs="Arial"/>
        </w:rPr>
        <w:t>l recibir las constancias, el Titular de la UCE turnará el expediente a la DGPC para efectos de realizar el emplazamiento a los probables responsables, así como para realizar todos los actos necesarios para tramitar el procedimiento seguido en forma de juicio hasta su conclusión.</w:t>
      </w:r>
    </w:p>
    <w:p w14:paraId="492F6A2E" w14:textId="77777777" w:rsidR="0070274F" w:rsidRPr="0070274F" w:rsidRDefault="0070274F" w:rsidP="0070274F">
      <w:pPr>
        <w:spacing w:after="0"/>
        <w:jc w:val="both"/>
        <w:rPr>
          <w:rFonts w:ascii="Arial" w:eastAsia="Times New Roman" w:hAnsi="Arial" w:cs="Arial"/>
        </w:rPr>
      </w:pPr>
    </w:p>
    <w:p w14:paraId="3B094918" w14:textId="2A36A96E"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En el procedimiento únicamente serán parte la Autoridad Investigadora y los AE señalados como probables responsables en el dictamen de probable responsabilidad. </w:t>
      </w:r>
      <w:r w:rsidR="00753507">
        <w:rPr>
          <w:rFonts w:ascii="Arial" w:eastAsia="Times New Roman" w:hAnsi="Arial" w:cs="Arial"/>
        </w:rPr>
        <w:t>En caso de que la investigación haya derivado de una denuncia, q</w:t>
      </w:r>
      <w:r w:rsidRPr="0070274F">
        <w:rPr>
          <w:rFonts w:ascii="Arial" w:eastAsia="Times New Roman" w:hAnsi="Arial" w:cs="Arial"/>
        </w:rPr>
        <w:t>uien haya presentado la denuncia solamente será coadyuvante de la Autoridad Investigadora. Durante el procedimiento seguido en forma de juicio, únicamente los AE con interés jurídico podrán tener acceso al expediente, excepto a aquella información clasificada como confidencial.</w:t>
      </w:r>
    </w:p>
    <w:p w14:paraId="6E45E426" w14:textId="77777777" w:rsidR="0070274F" w:rsidRPr="0070274F" w:rsidRDefault="0070274F" w:rsidP="0070274F">
      <w:pPr>
        <w:spacing w:after="0"/>
        <w:jc w:val="both"/>
        <w:rPr>
          <w:rFonts w:ascii="Arial" w:eastAsia="Times New Roman" w:hAnsi="Arial" w:cs="Arial"/>
        </w:rPr>
      </w:pPr>
    </w:p>
    <w:p w14:paraId="0A4E7C1F" w14:textId="77777777" w:rsidR="0070274F" w:rsidRPr="0070274F" w:rsidRDefault="0070274F" w:rsidP="004227CB">
      <w:pPr>
        <w:keepNext/>
        <w:numPr>
          <w:ilvl w:val="0"/>
          <w:numId w:val="4"/>
        </w:numPr>
        <w:spacing w:after="0" w:line="252" w:lineRule="auto"/>
        <w:ind w:left="567" w:firstLine="0"/>
        <w:jc w:val="both"/>
        <w:outlineLvl w:val="1"/>
        <w:rPr>
          <w:rFonts w:ascii="Arial" w:eastAsia="Times New Roman" w:hAnsi="Arial"/>
          <w:b/>
          <w:bCs/>
          <w:sz w:val="26"/>
          <w:szCs w:val="28"/>
        </w:rPr>
      </w:pPr>
      <w:bookmarkStart w:id="17" w:name="_Toc69242778"/>
      <w:bookmarkStart w:id="18" w:name="_Toc69248086"/>
      <w:bookmarkStart w:id="19" w:name="_Toc69248445"/>
      <w:bookmarkStart w:id="20" w:name="_Toc70950927"/>
      <w:r w:rsidRPr="0070274F">
        <w:rPr>
          <w:rFonts w:ascii="Arial" w:eastAsia="Times New Roman" w:hAnsi="Arial"/>
          <w:b/>
          <w:bCs/>
          <w:sz w:val="26"/>
          <w:szCs w:val="28"/>
        </w:rPr>
        <w:t>2.2. Emplazamiento</w:t>
      </w:r>
      <w:bookmarkEnd w:id="17"/>
      <w:bookmarkEnd w:id="18"/>
      <w:bookmarkEnd w:id="19"/>
      <w:bookmarkEnd w:id="20"/>
    </w:p>
    <w:p w14:paraId="7FFC5D8A" w14:textId="77777777" w:rsidR="0070274F" w:rsidRPr="0070274F" w:rsidRDefault="0070274F" w:rsidP="0070274F">
      <w:pPr>
        <w:keepNext/>
        <w:spacing w:after="0"/>
        <w:jc w:val="both"/>
        <w:rPr>
          <w:rFonts w:ascii="Arial" w:eastAsia="Times New Roman" w:hAnsi="Arial" w:cs="Arial"/>
        </w:rPr>
      </w:pPr>
    </w:p>
    <w:p w14:paraId="0F9D84C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procedimiento seguido en forma de juicio inicia con el emplazamiento a los Agentes Económicos del dictamen de probable responsabilidad. La DGPC realizará dicha notificación dentro de los 15 (quince) días siguientes a aquél en el que el Pleno hubiese ordenado iniciar el procedimiento seguido en forma de juicio.</w:t>
      </w:r>
    </w:p>
    <w:p w14:paraId="28FA78EB" w14:textId="77777777" w:rsidR="0070274F" w:rsidRPr="0070274F" w:rsidRDefault="0070274F" w:rsidP="0070274F">
      <w:pPr>
        <w:spacing w:after="0"/>
        <w:jc w:val="both"/>
        <w:rPr>
          <w:rFonts w:ascii="Arial" w:eastAsia="Times New Roman" w:hAnsi="Arial" w:cs="Arial"/>
        </w:rPr>
      </w:pPr>
    </w:p>
    <w:p w14:paraId="2BFD879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servidor público encargado de realizar la notificación entregará a la persona con quien se entienda la diligencia, una copia certificada del dictamen de probable responsabilidad que obre en el expediente, excepto la información confidencial clasificada por la Autoridad Investigadora durante la investigación y de la cual no sea titular el probable responsable sujeto al emplazamiento.</w:t>
      </w:r>
    </w:p>
    <w:p w14:paraId="3846A85B" w14:textId="77777777" w:rsidR="0070274F" w:rsidRPr="0070274F" w:rsidRDefault="0070274F" w:rsidP="0070274F">
      <w:pPr>
        <w:spacing w:after="0"/>
        <w:jc w:val="both"/>
        <w:rPr>
          <w:rFonts w:ascii="Arial" w:eastAsia="Times New Roman" w:hAnsi="Arial" w:cs="Arial"/>
        </w:rPr>
      </w:pPr>
    </w:p>
    <w:tbl>
      <w:tblPr>
        <w:tblStyle w:val="Tablaconcuadrcula2"/>
        <w:tblW w:w="0" w:type="auto"/>
        <w:tblLook w:val="04A0" w:firstRow="1" w:lastRow="0" w:firstColumn="1" w:lastColumn="0" w:noHBand="0" w:noVBand="1"/>
      </w:tblPr>
      <w:tblGrid>
        <w:gridCol w:w="9016"/>
      </w:tblGrid>
      <w:tr w:rsidR="0070274F" w:rsidRPr="0070274F" w14:paraId="14C26296" w14:textId="77777777" w:rsidTr="0070274F">
        <w:tc>
          <w:tcPr>
            <w:tcW w:w="9016" w:type="dxa"/>
            <w:tcBorders>
              <w:top w:val="single" w:sz="4" w:space="0" w:color="auto"/>
              <w:left w:val="single" w:sz="4" w:space="0" w:color="auto"/>
              <w:bottom w:val="single" w:sz="4" w:space="0" w:color="auto"/>
              <w:right w:val="single" w:sz="4" w:space="0" w:color="auto"/>
            </w:tcBorders>
            <w:shd w:val="clear" w:color="auto" w:fill="E2EFD9"/>
          </w:tcPr>
          <w:p w14:paraId="09B58D5E"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Precedentes del PJF</w:t>
            </w:r>
          </w:p>
          <w:p w14:paraId="14FD0E9E" w14:textId="77777777" w:rsidR="0070274F" w:rsidRPr="0070274F" w:rsidRDefault="0070274F" w:rsidP="0070274F">
            <w:pPr>
              <w:spacing w:after="0"/>
              <w:rPr>
                <w:rFonts w:ascii="Arial" w:eastAsia="Times New Roman" w:hAnsi="Arial" w:cs="Arial"/>
                <w:sz w:val="20"/>
                <w:szCs w:val="20"/>
              </w:rPr>
            </w:pPr>
          </w:p>
          <w:p w14:paraId="4B26711B"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El siguiente criterio judicial establece la forma en la que se realizará el emplazamiento, notificando copia del Dictamen de Probable Responsabilidad sin correr traslado con las constancias del expediente, sino que basta poner a disposición del probable responsable el expediente, con excepción de la información confidencial, para habilitar su defensa.</w:t>
            </w:r>
          </w:p>
          <w:p w14:paraId="1CCDEB02" w14:textId="77777777" w:rsidR="0070274F" w:rsidRPr="0070274F" w:rsidRDefault="0070274F" w:rsidP="0070274F">
            <w:pPr>
              <w:spacing w:after="0"/>
              <w:rPr>
                <w:rFonts w:ascii="Arial" w:eastAsia="Times New Roman" w:hAnsi="Arial" w:cs="Arial"/>
                <w:sz w:val="20"/>
                <w:szCs w:val="20"/>
              </w:rPr>
            </w:pPr>
          </w:p>
          <w:p w14:paraId="22BD692B"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 xml:space="preserve">OFICIO DE PROBABLE RESPONSABILIDAD EN EL PROCEDIMIENTO ADMINISTRATIVO SEGUIDO EN FORMA DE JUICIO RESPECTO DE PRÁCTICAS MONOPÓLICAS ABSOLUTAS. </w:t>
            </w:r>
            <w:r w:rsidRPr="0070274F">
              <w:rPr>
                <w:rFonts w:ascii="Arial" w:eastAsia="Times New Roman" w:hAnsi="Arial" w:cs="Arial"/>
                <w:b/>
                <w:i/>
                <w:sz w:val="20"/>
                <w:szCs w:val="20"/>
              </w:rPr>
              <w:lastRenderedPageBreak/>
              <w:t>NO EXISTE OBLIGACIÓN DE CORRER TRASLADO CON EL EXPEDIENTE COMPLETO QUE LO RESPALDA (LEGISLACIÓN VIGENTE HASTA EL 6 DE JULIO DE 2014)</w:t>
            </w:r>
            <w:r w:rsidRPr="0070274F">
              <w:rPr>
                <w:rFonts w:ascii="Arial" w:eastAsia="Times New Roman" w:hAnsi="Arial" w:cs="Arial"/>
                <w:sz w:val="20"/>
                <w:szCs w:val="20"/>
              </w:rPr>
              <w:t>”. TCC; 10a. Época; Gaceta del Semanario Judicial de la Federación; I.1o.A.E.184 A (10a.); TA. Registro No.: 2013111.</w:t>
            </w:r>
          </w:p>
          <w:p w14:paraId="57786E5C" w14:textId="77777777" w:rsidR="0070274F" w:rsidRPr="0070274F" w:rsidRDefault="0070274F" w:rsidP="0070274F">
            <w:pPr>
              <w:spacing w:after="0"/>
              <w:rPr>
                <w:rFonts w:ascii="Arial" w:eastAsia="Times New Roman" w:hAnsi="Arial" w:cs="Arial"/>
                <w:sz w:val="20"/>
                <w:szCs w:val="20"/>
              </w:rPr>
            </w:pPr>
          </w:p>
          <w:p w14:paraId="422EB429"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Como parte de las formalidades esenciales del procedimiento administrativo seguido en forma de juicio respecto de prácticas monopólicas absolutas, el artículo 33, fracción II, de la Ley Federal de Competencia Económica, vigente hasta el 6 de julio de 2014, fecha en que se abrogó, prevé la obligación de emplazar al probable responsable con aquel oficio; sin embargo, las formalidades esenciales establecidas en el artículo 14 de la Constitución Política de los Estados Unidos Mexicanos y el derecho a una defensa adecuada, </w:t>
            </w:r>
            <w:r w:rsidRPr="0070274F">
              <w:rPr>
                <w:rFonts w:ascii="Arial" w:eastAsia="Times New Roman" w:hAnsi="Arial" w:cs="Arial"/>
                <w:b/>
                <w:i/>
                <w:sz w:val="20"/>
                <w:szCs w:val="20"/>
                <w:u w:val="single"/>
              </w:rPr>
              <w:t>no conllevan exigir a la autoridad que con el emplazamiento corra traslado de todos y cada uno de los documentos y constancias que integran el expediente que respalda el oficio</w:t>
            </w:r>
            <w:r w:rsidRPr="0070274F">
              <w:rPr>
                <w:rFonts w:ascii="Arial" w:eastAsia="Times New Roman" w:hAnsi="Arial" w:cs="Arial"/>
                <w:i/>
                <w:sz w:val="20"/>
                <w:szCs w:val="20"/>
              </w:rPr>
              <w:t xml:space="preserve">, pues para considerar que se respeta el derecho indicado, entendido como la posibilidad de participar en el procedimiento con conocimiento pleno de las promociones, argumentos y pruebas integradas al expediente, </w:t>
            </w:r>
            <w:r w:rsidRPr="0070274F">
              <w:rPr>
                <w:rFonts w:ascii="Arial" w:eastAsia="Times New Roman" w:hAnsi="Arial" w:cs="Arial"/>
                <w:b/>
                <w:i/>
                <w:sz w:val="20"/>
                <w:szCs w:val="20"/>
                <w:u w:val="single"/>
              </w:rPr>
              <w:t>basta que se ponga éste a disposición del probable responsable, excluyendo la información confidencial y la que no sea determinante, ya que por medio de la consulta que realice conocerá los aspectos que integran la litis y podrá preparar su defensa</w:t>
            </w:r>
            <w:r w:rsidRPr="0070274F">
              <w:rPr>
                <w:rFonts w:ascii="Arial" w:eastAsia="Times New Roman" w:hAnsi="Arial" w:cs="Arial"/>
                <w:sz w:val="20"/>
                <w:szCs w:val="20"/>
              </w:rPr>
              <w:t>”. [énfasis añadido]</w:t>
            </w:r>
            <w:r w:rsidRPr="0070274F" w:rsidDel="00AE6A9D">
              <w:rPr>
                <w:rFonts w:ascii="Arial" w:eastAsia="Times New Roman" w:hAnsi="Arial" w:cs="Arial"/>
                <w:b/>
                <w:sz w:val="20"/>
                <w:szCs w:val="20"/>
              </w:rPr>
              <w:t xml:space="preserve"> </w:t>
            </w:r>
          </w:p>
        </w:tc>
      </w:tr>
    </w:tbl>
    <w:p w14:paraId="004CD83B" w14:textId="77777777" w:rsidR="0070274F" w:rsidRPr="0070274F" w:rsidRDefault="0070274F" w:rsidP="0070274F">
      <w:pPr>
        <w:spacing w:after="0"/>
        <w:jc w:val="both"/>
        <w:rPr>
          <w:rFonts w:ascii="Arial" w:eastAsia="Times New Roman" w:hAnsi="Arial" w:cs="Arial"/>
          <w:b/>
        </w:rPr>
      </w:pPr>
    </w:p>
    <w:p w14:paraId="1F100AB4" w14:textId="77777777" w:rsidR="0070274F" w:rsidRPr="0070274F" w:rsidRDefault="0070274F" w:rsidP="004227CB">
      <w:pPr>
        <w:keepNext/>
        <w:numPr>
          <w:ilvl w:val="0"/>
          <w:numId w:val="4"/>
        </w:numPr>
        <w:spacing w:after="0" w:line="252" w:lineRule="auto"/>
        <w:ind w:left="567" w:firstLine="0"/>
        <w:jc w:val="both"/>
        <w:outlineLvl w:val="1"/>
        <w:rPr>
          <w:rFonts w:ascii="Arial" w:eastAsia="Times New Roman" w:hAnsi="Arial"/>
          <w:b/>
          <w:bCs/>
          <w:sz w:val="26"/>
          <w:szCs w:val="28"/>
        </w:rPr>
      </w:pPr>
      <w:bookmarkStart w:id="21" w:name="_Toc69242779"/>
      <w:bookmarkStart w:id="22" w:name="_Toc69248087"/>
      <w:bookmarkStart w:id="23" w:name="_Toc69248446"/>
      <w:bookmarkStart w:id="24" w:name="_Toc70950928"/>
      <w:r w:rsidRPr="0070274F">
        <w:rPr>
          <w:rFonts w:ascii="Arial" w:eastAsia="Times New Roman" w:hAnsi="Arial"/>
          <w:b/>
          <w:bCs/>
          <w:sz w:val="26"/>
          <w:szCs w:val="28"/>
        </w:rPr>
        <w:t>2.3. Constancias del Expediente</w:t>
      </w:r>
      <w:bookmarkEnd w:id="21"/>
      <w:bookmarkEnd w:id="22"/>
      <w:bookmarkEnd w:id="23"/>
      <w:bookmarkEnd w:id="24"/>
    </w:p>
    <w:p w14:paraId="457768DE" w14:textId="77777777" w:rsidR="0070274F" w:rsidRPr="0070274F" w:rsidRDefault="0070274F" w:rsidP="0070274F">
      <w:pPr>
        <w:keepNext/>
        <w:spacing w:after="0"/>
        <w:jc w:val="both"/>
        <w:rPr>
          <w:rFonts w:ascii="Arial" w:eastAsia="Times New Roman" w:hAnsi="Arial" w:cs="Arial"/>
          <w:b/>
        </w:rPr>
      </w:pPr>
    </w:p>
    <w:p w14:paraId="10FEEDD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El expediente contendrá todas las actuaciones realizadas durante la investigación y el procedimiento seguido en forma de juicio. </w:t>
      </w:r>
    </w:p>
    <w:p w14:paraId="1EF6CE69" w14:textId="77777777" w:rsidR="0070274F" w:rsidRPr="0070274F" w:rsidRDefault="0070274F" w:rsidP="0070274F">
      <w:pPr>
        <w:spacing w:after="0"/>
        <w:jc w:val="both"/>
        <w:rPr>
          <w:rFonts w:ascii="Arial" w:eastAsia="Times New Roman" w:hAnsi="Arial" w:cs="Arial"/>
        </w:rPr>
      </w:pPr>
    </w:p>
    <w:p w14:paraId="677717E9" w14:textId="40910B87" w:rsidR="00080A83" w:rsidRPr="0070274F" w:rsidRDefault="0070274F" w:rsidP="0070274F">
      <w:pPr>
        <w:spacing w:after="0"/>
        <w:jc w:val="both"/>
        <w:rPr>
          <w:rFonts w:ascii="Arial" w:eastAsia="Times New Roman" w:hAnsi="Arial" w:cs="Arial"/>
        </w:rPr>
      </w:pPr>
      <w:r w:rsidRPr="0070274F">
        <w:rPr>
          <w:rFonts w:ascii="Arial" w:eastAsia="Times New Roman" w:hAnsi="Arial" w:cs="Arial"/>
        </w:rPr>
        <w:t>Una vez emplazado, el probable responsable podrá consultar las constancias que integran el expediente</w:t>
      </w:r>
      <w:r w:rsidR="00985511">
        <w:rPr>
          <w:rFonts w:ascii="Arial" w:eastAsia="Times New Roman" w:hAnsi="Arial" w:cs="Arial"/>
        </w:rPr>
        <w:t xml:space="preserve"> y utilizar cualquier medio de reproducción para obtener copias de los documentos que obren en el mismo</w:t>
      </w:r>
      <w:r w:rsidRPr="0070274F">
        <w:rPr>
          <w:rFonts w:ascii="Arial" w:eastAsia="Times New Roman" w:hAnsi="Arial" w:cs="Arial"/>
        </w:rPr>
        <w:t>. La consulta</w:t>
      </w:r>
      <w:r w:rsidR="00080A83">
        <w:rPr>
          <w:rFonts w:ascii="Arial" w:eastAsia="Times New Roman" w:hAnsi="Arial" w:cs="Arial"/>
        </w:rPr>
        <w:t xml:space="preserve"> deberá hacerse baj</w:t>
      </w:r>
      <w:r w:rsidR="00EE7020">
        <w:rPr>
          <w:rFonts w:ascii="Arial" w:eastAsia="Times New Roman" w:hAnsi="Arial" w:cs="Arial"/>
        </w:rPr>
        <w:t>o supervisión de un servidor público del</w:t>
      </w:r>
      <w:r w:rsidR="00080A83">
        <w:rPr>
          <w:rFonts w:ascii="Arial" w:eastAsia="Times New Roman" w:hAnsi="Arial" w:cs="Arial"/>
        </w:rPr>
        <w:t xml:space="preserve"> Instituto</w:t>
      </w:r>
      <w:r w:rsidRPr="0070274F">
        <w:rPr>
          <w:rFonts w:ascii="Arial" w:eastAsia="Times New Roman" w:hAnsi="Arial" w:cs="Arial"/>
        </w:rPr>
        <w:t xml:space="preserve"> dentro de los días y horas hábiles que así determine el Instituto en su calendario anual de labores y tendrá lugar en el domicilio ubicado en Insurgentes Sur 1143, colonia Noche</w:t>
      </w:r>
      <w:r w:rsidR="00CB4645">
        <w:rPr>
          <w:rFonts w:ascii="Arial" w:eastAsia="Times New Roman" w:hAnsi="Arial" w:cs="Arial"/>
        </w:rPr>
        <w:t>b</w:t>
      </w:r>
      <w:r w:rsidRPr="0070274F">
        <w:rPr>
          <w:rFonts w:ascii="Arial" w:eastAsia="Times New Roman" w:hAnsi="Arial" w:cs="Arial"/>
        </w:rPr>
        <w:t>uena, C.P. 03720 en la demarcación territorial Benito Juárez, Ciudad de México.</w:t>
      </w:r>
    </w:p>
    <w:p w14:paraId="5EDD380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Con el objeto de contribuir al desempeño eficiente de la UCE y agilizar la consulta de los expedientes, los probables responsables podrán solicitar el acceso al expediente mediante la dirección de correo electrónico </w:t>
      </w:r>
      <w:hyperlink r:id="rId11" w:history="1">
        <w:r w:rsidRPr="0070274F">
          <w:rPr>
            <w:rFonts w:ascii="Arial" w:eastAsia="Times New Roman" w:hAnsi="Arial" w:cs="Arial"/>
            <w:color w:val="0563C1"/>
            <w:u w:val="single"/>
          </w:rPr>
          <w:t>oficialiacompetencia@ift.org.mx</w:t>
        </w:r>
      </w:hyperlink>
      <w:r w:rsidRPr="0070274F">
        <w:rPr>
          <w:rFonts w:ascii="Arial" w:eastAsia="Times New Roman" w:hAnsi="Arial" w:cs="Arial"/>
        </w:rPr>
        <w:t xml:space="preserve">. En el correo referido, deberán señalar el número de expediente, nombre completo de las personas que consultarán el expediente, así como la fecha y hora en la que pretenden acudir a las instalaciones del Instituto. Esta solicitud será confirmada por el mismo medio electrónico. La omisión de la solicitud no impide en ningún momento que los probables responsables puedan acceder al expediente en términos del párrafo anterior. </w:t>
      </w:r>
    </w:p>
    <w:p w14:paraId="67BC7F4C" w14:textId="77777777" w:rsidR="0070274F" w:rsidRPr="0070274F" w:rsidRDefault="0070274F" w:rsidP="0070274F">
      <w:pPr>
        <w:spacing w:after="0"/>
        <w:jc w:val="both"/>
        <w:rPr>
          <w:rFonts w:ascii="Arial" w:eastAsia="Times New Roman" w:hAnsi="Arial" w:cs="Arial"/>
        </w:rPr>
      </w:pPr>
    </w:p>
    <w:p w14:paraId="456C7D5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Durante la secuela del procedimiento, únicamente podrán tener acceso al expediente los Agentes Económicos con interés jurídico, sus representantes o sus autorizados,</w:t>
      </w:r>
      <w:r w:rsidRPr="0070274F">
        <w:rPr>
          <w:rFonts w:eastAsia="Times New Roman"/>
        </w:rPr>
        <w:t xml:space="preserve"> </w:t>
      </w:r>
      <w:r w:rsidRPr="0070274F">
        <w:rPr>
          <w:rFonts w:ascii="Arial" w:eastAsia="Times New Roman" w:hAnsi="Arial" w:cs="Arial"/>
        </w:rPr>
        <w:t xml:space="preserve">excepto a aquella información clasificada como confidencial. Asimismo, en su calidad de parte, la Autoridad Investigadora también podrá acceder a las constancias del expediente a través de los servidores públicos que para tal efecto designe su Titular. </w:t>
      </w:r>
    </w:p>
    <w:p w14:paraId="6E127B87" w14:textId="77777777" w:rsidR="0070274F" w:rsidRPr="0070274F" w:rsidRDefault="0070274F" w:rsidP="0070274F">
      <w:pPr>
        <w:spacing w:after="0"/>
        <w:jc w:val="both"/>
        <w:rPr>
          <w:rFonts w:ascii="Arial" w:eastAsia="Times New Roman" w:hAnsi="Arial" w:cs="Arial"/>
        </w:rPr>
      </w:pPr>
    </w:p>
    <w:p w14:paraId="5619D7F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 xml:space="preserve">Los probables responsables podrán solicitar copia certificada de las constancias que integran el expediente, con excepción de la información confidencial de la cual no sean titulares. Con el objeto de agilizar su expedición, el probable responsable deberá señalar en su escrito de solicitud los folios de los documentos sobre los cuales requiere copia certificada y al mismo tiempo acompañar el comprobante del pago de derechos respectivo. </w:t>
      </w:r>
    </w:p>
    <w:p w14:paraId="387EE431" w14:textId="77777777" w:rsidR="0070274F" w:rsidRPr="0070274F" w:rsidRDefault="0070274F" w:rsidP="0070274F">
      <w:pPr>
        <w:spacing w:after="0"/>
        <w:jc w:val="both"/>
        <w:rPr>
          <w:rFonts w:ascii="Arial" w:eastAsia="Times New Roman" w:hAnsi="Arial" w:cs="Arial"/>
        </w:rPr>
      </w:pPr>
    </w:p>
    <w:p w14:paraId="7704EDE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Los Agentes Económicos que hayan presentado documentos o participado en alguna diligencia durante la investigación, también podrán obtener copia certificada de dichas constancias atendiendo a lo dispuesto en el párrafo anterior. </w:t>
      </w:r>
    </w:p>
    <w:p w14:paraId="1326FF40" w14:textId="77777777" w:rsidR="0070274F" w:rsidRPr="0070274F" w:rsidRDefault="0070274F" w:rsidP="0070274F">
      <w:pPr>
        <w:spacing w:after="0"/>
        <w:jc w:val="both"/>
        <w:rPr>
          <w:rFonts w:ascii="Arial" w:eastAsia="Times New Roman" w:hAnsi="Arial" w:cs="Arial"/>
        </w:rPr>
      </w:pPr>
    </w:p>
    <w:p w14:paraId="5A1AEF5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No podrá tener acceso al expediente persona alguna que no se encuentre autorizada o tenga acreditada su personalidad en el expediente y haya sido acordada en ese sentido por el Instituto, ni fuera del horario establecido para la oficialía de partes.</w:t>
      </w:r>
    </w:p>
    <w:p w14:paraId="565E0765" w14:textId="77777777" w:rsidR="0070274F" w:rsidRPr="0070274F" w:rsidRDefault="0070274F" w:rsidP="0070274F">
      <w:pPr>
        <w:spacing w:after="0"/>
        <w:jc w:val="both"/>
        <w:rPr>
          <w:rFonts w:ascii="Arial" w:eastAsia="Times New Roman" w:hAnsi="Arial" w:cs="Arial"/>
        </w:rPr>
      </w:pPr>
    </w:p>
    <w:p w14:paraId="704E9F81"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25" w:name="_Toc69242780"/>
      <w:bookmarkStart w:id="26" w:name="_Toc69248088"/>
      <w:bookmarkStart w:id="27" w:name="_Toc69248447"/>
      <w:bookmarkStart w:id="28" w:name="_Toc70950929"/>
      <w:r w:rsidRPr="0070274F">
        <w:rPr>
          <w:rFonts w:ascii="Arial" w:eastAsia="Times New Roman" w:hAnsi="Arial"/>
          <w:b/>
          <w:bCs/>
          <w:sz w:val="26"/>
          <w:szCs w:val="28"/>
        </w:rPr>
        <w:t>2.4. Escrito de manifestaciones del probable responsable</w:t>
      </w:r>
      <w:bookmarkEnd w:id="25"/>
      <w:bookmarkEnd w:id="26"/>
      <w:bookmarkEnd w:id="27"/>
      <w:bookmarkEnd w:id="28"/>
    </w:p>
    <w:p w14:paraId="134A14B2" w14:textId="77777777" w:rsidR="0070274F" w:rsidRPr="0070274F" w:rsidRDefault="0070274F" w:rsidP="0070274F">
      <w:pPr>
        <w:spacing w:after="0"/>
        <w:jc w:val="both"/>
        <w:rPr>
          <w:rFonts w:ascii="Arial" w:eastAsia="Times New Roman" w:hAnsi="Arial" w:cs="Arial"/>
        </w:rPr>
      </w:pPr>
    </w:p>
    <w:p w14:paraId="1C08BBD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realizado el emplazamiento, los probables responsables podrán manifestar lo que a su derecho convenga dentro de un plazo improrrogable de 45 (cuarenta y cinco) días hábiles contados a partir del día siguiente a aquel en que haya surtido efectos la notificación del dictamen de probable responsabilidad. El emplazado deberá referirse a cada uno de los hechos expresados en el dictamen de probable responsabilidad. Los hechos respecto de los cuales no haga manifestación alguna se tendrán por ciertos, salvo prueba en contrario. Lo mismo ocurrirá si no presenta su contestación dentro del plazo señalado. El probable responsable asumirá la carga de la prueba de sus manifestaciones.</w:t>
      </w:r>
    </w:p>
    <w:p w14:paraId="161A21E3" w14:textId="77777777" w:rsidR="0070274F" w:rsidRPr="0070274F" w:rsidRDefault="0070274F" w:rsidP="0070274F">
      <w:pPr>
        <w:spacing w:after="0"/>
        <w:jc w:val="both"/>
        <w:rPr>
          <w:rFonts w:ascii="Arial" w:eastAsia="Times New Roman" w:hAnsi="Arial" w:cs="Arial"/>
        </w:rPr>
      </w:pPr>
    </w:p>
    <w:p w14:paraId="0392B698" w14:textId="002C659B"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En el mismo escrito de manifestaciones podrán realizarse objeciones a los medios de convicción que sustenten la probable responsabilidad. Si el dictamen se </w:t>
      </w:r>
      <w:r w:rsidR="00D72E19">
        <w:rPr>
          <w:rFonts w:ascii="Arial" w:eastAsia="Times New Roman" w:hAnsi="Arial" w:cs="Arial"/>
        </w:rPr>
        <w:t>basó</w:t>
      </w:r>
      <w:r w:rsidRPr="0070274F">
        <w:rPr>
          <w:rFonts w:ascii="Arial" w:eastAsia="Times New Roman" w:hAnsi="Arial" w:cs="Arial"/>
        </w:rPr>
        <w:t xml:space="preserve"> en comparecencias, periciales o inspecciones, el probable responsable podrá presentar interrogatorio para los peritos o repreguntas para los comparecientes, así como de los puntos que estime pertinentes respecto de las inspecciones realizadas durante la investigación.</w:t>
      </w:r>
    </w:p>
    <w:p w14:paraId="2E739061" w14:textId="77777777" w:rsidR="0070274F" w:rsidRPr="0070274F" w:rsidRDefault="0070274F" w:rsidP="0070274F">
      <w:pPr>
        <w:spacing w:after="0"/>
        <w:jc w:val="both"/>
        <w:rPr>
          <w:rFonts w:ascii="Arial" w:eastAsia="Times New Roman" w:hAnsi="Arial" w:cs="Arial"/>
        </w:rPr>
      </w:pPr>
    </w:p>
    <w:p w14:paraId="2276A4B1"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 DGPC dará vista a la Autoridad Investigadora con el escrito de manifestaciones del probable responsable, dentro de un plazo no mayor a 5 (cinco) días contados a partir del día siguiente a la fecha en que el escrito de manifestaciones haya sido presentado al Instituto. </w:t>
      </w:r>
    </w:p>
    <w:p w14:paraId="3C98F0C5" w14:textId="77777777" w:rsidR="0070274F" w:rsidRPr="0070274F" w:rsidRDefault="0070274F" w:rsidP="0070274F">
      <w:pPr>
        <w:spacing w:after="0"/>
        <w:jc w:val="both"/>
        <w:rPr>
          <w:rFonts w:ascii="Arial" w:eastAsia="Times New Roman" w:hAnsi="Arial" w:cs="Arial"/>
        </w:rPr>
      </w:pPr>
    </w:p>
    <w:p w14:paraId="52598092" w14:textId="77777777" w:rsid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 Autoridad Investigadora podrá pronunciarse respecto de los argumentos y las pruebas ofrecidas por el probable responsable, incluyendo, en su caso, la adición de preguntas al cuestionario de la prueba pericial, dentro de un plazo no mayor a 15 (quince) días contados a partir del día siguiente a la fecha en que se le notifique el oficio de vista. Al desahogar la vista la Autoridad Investigadora podrá: </w:t>
      </w:r>
      <w:r w:rsidRPr="0070274F">
        <w:rPr>
          <w:rFonts w:ascii="Arial" w:eastAsia="Times New Roman" w:hAnsi="Arial" w:cs="Arial"/>
          <w:b/>
        </w:rPr>
        <w:t>(i)</w:t>
      </w:r>
      <w:r w:rsidRPr="0070274F">
        <w:rPr>
          <w:rFonts w:ascii="Arial" w:eastAsia="Times New Roman" w:hAnsi="Arial" w:cs="Arial"/>
        </w:rPr>
        <w:t xml:space="preserve"> objetarlas, </w:t>
      </w:r>
      <w:r w:rsidRPr="0070274F">
        <w:rPr>
          <w:rFonts w:ascii="Arial" w:eastAsia="Times New Roman" w:hAnsi="Arial" w:cs="Arial"/>
          <w:b/>
        </w:rPr>
        <w:t>(ii)</w:t>
      </w:r>
      <w:r w:rsidRPr="0070274F">
        <w:rPr>
          <w:rFonts w:ascii="Arial" w:eastAsia="Times New Roman" w:hAnsi="Arial" w:cs="Arial"/>
        </w:rPr>
        <w:t xml:space="preserve"> adicionar interrogatorio o formular nuevas posiciones sobre las pruebas testimonial, pericial y confesional, y </w:t>
      </w:r>
      <w:r w:rsidRPr="0070274F">
        <w:rPr>
          <w:rFonts w:ascii="Arial" w:eastAsia="Times New Roman" w:hAnsi="Arial" w:cs="Arial"/>
          <w:b/>
        </w:rPr>
        <w:t>(iii)</w:t>
      </w:r>
      <w:r w:rsidRPr="0070274F">
        <w:rPr>
          <w:rFonts w:ascii="Arial" w:eastAsia="Times New Roman" w:hAnsi="Arial" w:cs="Arial"/>
        </w:rPr>
        <w:t xml:space="preserve"> adicionar puntos que resulten pertinentes sobre la prueba de inspección. Asimismo, puede señalar a los servidores públicos designados para efectos de consultar las constancias del expediente.</w:t>
      </w:r>
    </w:p>
    <w:p w14:paraId="4EA6340F" w14:textId="77777777" w:rsidR="00EE22E8" w:rsidRPr="0070274F" w:rsidRDefault="00EE22E8" w:rsidP="0070274F">
      <w:pPr>
        <w:spacing w:after="0"/>
        <w:jc w:val="both"/>
        <w:rPr>
          <w:rFonts w:ascii="Arial" w:eastAsia="Times New Roman" w:hAnsi="Arial" w:cs="Arial"/>
        </w:rPr>
      </w:pPr>
    </w:p>
    <w:p w14:paraId="5928072D"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DGPC emitirá un acuerdo mediante el cual se tenga por desahogada la vista, el cual será notificado a la Autoridad Investigadora. En su caso, se proveerá respecto de los actos previstos en el artículo 96 de las DRLFCE mediante acuerdo que será notificado a los probables responsables.</w:t>
      </w:r>
    </w:p>
    <w:p w14:paraId="6FA8407B" w14:textId="77777777" w:rsidR="0070274F" w:rsidRPr="0070274F" w:rsidRDefault="0070274F" w:rsidP="0070274F">
      <w:pPr>
        <w:spacing w:after="0"/>
        <w:jc w:val="both"/>
        <w:rPr>
          <w:rFonts w:ascii="Arial" w:eastAsia="Times New Roman" w:hAnsi="Arial" w:cs="Arial"/>
        </w:rPr>
      </w:pPr>
    </w:p>
    <w:p w14:paraId="24BEA78C"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29" w:name="_Toc69242781"/>
      <w:bookmarkStart w:id="30" w:name="_Toc69248089"/>
      <w:bookmarkStart w:id="31" w:name="_Toc69248448"/>
      <w:bookmarkStart w:id="32" w:name="_Toc70950930"/>
      <w:r w:rsidRPr="0070274F">
        <w:rPr>
          <w:rFonts w:ascii="Arial" w:eastAsia="Times New Roman" w:hAnsi="Arial"/>
          <w:b/>
          <w:bCs/>
          <w:sz w:val="26"/>
          <w:szCs w:val="28"/>
        </w:rPr>
        <w:t>2.5. Ofrecimiento, admisión y desahogo de Pruebas</w:t>
      </w:r>
      <w:bookmarkEnd w:id="29"/>
      <w:bookmarkEnd w:id="30"/>
      <w:bookmarkEnd w:id="31"/>
      <w:bookmarkEnd w:id="32"/>
    </w:p>
    <w:p w14:paraId="412E58E3" w14:textId="77777777" w:rsidR="0070274F" w:rsidRPr="0070274F" w:rsidRDefault="0070274F" w:rsidP="0070274F">
      <w:pPr>
        <w:spacing w:after="0"/>
        <w:jc w:val="both"/>
        <w:rPr>
          <w:rFonts w:ascii="Arial" w:eastAsia="Times New Roman" w:hAnsi="Arial" w:cs="Arial"/>
        </w:rPr>
      </w:pPr>
    </w:p>
    <w:p w14:paraId="2A14CAB1"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Los medios de prueba deben ofrecerse con el escrito de manifestaciones al dictamen de probable responsabilidad, expresando con claridad los hechos que se pretenden demostrar con cada uno de ellos. </w:t>
      </w:r>
    </w:p>
    <w:p w14:paraId="7AB0B40D" w14:textId="77777777" w:rsidR="0070274F" w:rsidRPr="0070274F" w:rsidRDefault="0070274F" w:rsidP="0070274F">
      <w:pPr>
        <w:spacing w:after="0"/>
        <w:jc w:val="both"/>
        <w:rPr>
          <w:rFonts w:ascii="Arial" w:eastAsia="Times New Roman" w:hAnsi="Arial" w:cs="Arial"/>
        </w:rPr>
      </w:pPr>
    </w:p>
    <w:p w14:paraId="67F8491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Al ofrecer las pruebas, los emplazados deberán acompañar y considerar, según el caso, lo siguiente:</w:t>
      </w:r>
    </w:p>
    <w:p w14:paraId="3B17CBD8" w14:textId="77777777" w:rsidR="0070274F" w:rsidRPr="0070274F" w:rsidRDefault="0070274F" w:rsidP="0070274F">
      <w:pPr>
        <w:spacing w:after="0"/>
        <w:jc w:val="both"/>
        <w:rPr>
          <w:rFonts w:ascii="Arial" w:eastAsia="Times New Roman" w:hAnsi="Arial" w:cs="Arial"/>
        </w:rPr>
      </w:pPr>
    </w:p>
    <w:p w14:paraId="1AF3FFED" w14:textId="3C517F65" w:rsidR="0070274F" w:rsidRPr="0070274F" w:rsidRDefault="0070274F" w:rsidP="004227CB">
      <w:pPr>
        <w:numPr>
          <w:ilvl w:val="0"/>
          <w:numId w:val="7"/>
        </w:numPr>
        <w:spacing w:after="0" w:line="252" w:lineRule="auto"/>
        <w:ind w:left="709"/>
        <w:jc w:val="both"/>
        <w:rPr>
          <w:rFonts w:ascii="Arial" w:eastAsia="Times New Roman" w:hAnsi="Arial" w:cs="Arial"/>
        </w:rPr>
      </w:pPr>
      <w:r w:rsidRPr="0070274F">
        <w:rPr>
          <w:rFonts w:ascii="Arial" w:eastAsia="Times New Roman" w:hAnsi="Arial" w:cs="Arial"/>
        </w:rPr>
        <w:t xml:space="preserve">Las documentales que se ofrezcan. Si los probables responsables pretenden ofrecer documentos que obren ante alguna autoridad pública, deberán identificar su ubicación y acreditar que solicitaron dichos documentos con al menos 5 (cinco) días </w:t>
      </w:r>
      <w:r w:rsidR="00ED137F">
        <w:rPr>
          <w:rFonts w:ascii="Arial" w:eastAsia="Times New Roman" w:hAnsi="Arial" w:cs="Arial"/>
        </w:rPr>
        <w:t>de anticipación</w:t>
      </w:r>
      <w:r w:rsidRPr="0070274F">
        <w:rPr>
          <w:rFonts w:ascii="Arial" w:eastAsia="Times New Roman" w:hAnsi="Arial" w:cs="Arial"/>
        </w:rPr>
        <w:t xml:space="preserve"> a la fecha en que venza el plazo para presentar su escrito de manifestaciones al dictamen de probable responsabilidad, siempre y cuando estuviesen disponibles para el oferente de la prueba.</w:t>
      </w:r>
    </w:p>
    <w:p w14:paraId="1DADF480" w14:textId="77777777" w:rsidR="0070274F" w:rsidRPr="0070274F" w:rsidRDefault="0070274F" w:rsidP="0070274F">
      <w:pPr>
        <w:spacing w:after="0"/>
        <w:ind w:left="709"/>
        <w:jc w:val="both"/>
        <w:rPr>
          <w:rFonts w:ascii="Arial" w:eastAsia="Times New Roman" w:hAnsi="Arial" w:cs="Arial"/>
        </w:rPr>
      </w:pPr>
    </w:p>
    <w:p w14:paraId="35899E54" w14:textId="77777777" w:rsidR="0070274F" w:rsidRPr="0070274F" w:rsidRDefault="0070274F" w:rsidP="0070274F">
      <w:pPr>
        <w:spacing w:after="0"/>
        <w:ind w:left="709"/>
        <w:jc w:val="both"/>
        <w:rPr>
          <w:rFonts w:ascii="Arial" w:eastAsia="Times New Roman" w:hAnsi="Arial" w:cs="Arial"/>
        </w:rPr>
      </w:pPr>
      <w:r w:rsidRPr="0070274F">
        <w:rPr>
          <w:rFonts w:ascii="Arial" w:eastAsia="Times New Roman" w:hAnsi="Arial" w:cs="Arial"/>
        </w:rPr>
        <w:t>Se entiende que el emplazado tiene a su disposición los documentos cuando legalmente pueda acceder a ellos y obtener copia autorizada de los originales o de las constancias respectivas.</w:t>
      </w:r>
    </w:p>
    <w:p w14:paraId="7B8BCF75" w14:textId="77777777" w:rsidR="0070274F" w:rsidRPr="0070274F" w:rsidRDefault="0070274F" w:rsidP="0070274F">
      <w:pPr>
        <w:spacing w:after="0"/>
        <w:ind w:left="709"/>
        <w:jc w:val="both"/>
        <w:rPr>
          <w:rFonts w:ascii="Arial" w:eastAsia="Times New Roman" w:hAnsi="Arial" w:cs="Arial"/>
        </w:rPr>
      </w:pPr>
    </w:p>
    <w:p w14:paraId="3DA2BEA1" w14:textId="77777777" w:rsidR="0070274F" w:rsidRPr="0070274F" w:rsidRDefault="0070274F" w:rsidP="0070274F">
      <w:pPr>
        <w:spacing w:after="0"/>
        <w:ind w:left="709"/>
        <w:jc w:val="both"/>
        <w:rPr>
          <w:rFonts w:ascii="Arial" w:eastAsia="Times New Roman" w:hAnsi="Arial" w:cs="Arial"/>
        </w:rPr>
      </w:pPr>
      <w:r w:rsidRPr="0070274F">
        <w:rPr>
          <w:rFonts w:ascii="Arial" w:eastAsia="Times New Roman" w:hAnsi="Arial" w:cs="Arial"/>
        </w:rPr>
        <w:t>Cuando las pruebas documentales no estén disponibles para el oferente, éste debe identificar con toda precisión los documentos correspondientes y señalar el archivo o lugar en que se encuentran para que a su costa se mande expedir copia o en su caso, la UCE requiera su remisión, siempre y cuando ésta sea legalmente procedente.</w:t>
      </w:r>
    </w:p>
    <w:p w14:paraId="2777FB89" w14:textId="77777777" w:rsidR="0070274F" w:rsidRPr="0070274F" w:rsidRDefault="0070274F" w:rsidP="0070274F">
      <w:pPr>
        <w:spacing w:after="0"/>
        <w:ind w:left="709"/>
        <w:jc w:val="both"/>
        <w:rPr>
          <w:rFonts w:ascii="Arial" w:eastAsia="Times New Roman" w:hAnsi="Arial" w:cs="Arial"/>
        </w:rPr>
      </w:pPr>
    </w:p>
    <w:p w14:paraId="40F97077" w14:textId="77777777" w:rsidR="0070274F" w:rsidRPr="0070274F" w:rsidRDefault="0070274F" w:rsidP="004227CB">
      <w:pPr>
        <w:numPr>
          <w:ilvl w:val="0"/>
          <w:numId w:val="7"/>
        </w:numPr>
        <w:spacing w:after="0" w:line="252" w:lineRule="auto"/>
        <w:ind w:left="709"/>
        <w:jc w:val="both"/>
        <w:rPr>
          <w:rFonts w:ascii="Arial" w:eastAsia="Times New Roman" w:hAnsi="Arial" w:cs="Arial"/>
        </w:rPr>
      </w:pPr>
      <w:r w:rsidRPr="0070274F">
        <w:rPr>
          <w:rFonts w:ascii="Arial" w:eastAsia="Times New Roman" w:hAnsi="Arial" w:cs="Arial"/>
        </w:rPr>
        <w:t>En el caso de la confesional, deberán señalar el domicilio y los datos de localización del compareciente. Asimismo, deberá presentar el pliego que contenga las posiciones que habrán de absolverse, mismo que deberá presentarse en sobre cerrado.</w:t>
      </w:r>
    </w:p>
    <w:p w14:paraId="3C5C59D3" w14:textId="77777777" w:rsidR="0070274F" w:rsidRPr="0070274F" w:rsidRDefault="0070274F" w:rsidP="0070274F">
      <w:pPr>
        <w:spacing w:after="0"/>
        <w:ind w:left="709"/>
        <w:jc w:val="both"/>
        <w:rPr>
          <w:rFonts w:ascii="Arial" w:eastAsia="Times New Roman" w:hAnsi="Arial" w:cs="Arial"/>
        </w:rPr>
      </w:pPr>
    </w:p>
    <w:p w14:paraId="3DEED044" w14:textId="77777777" w:rsidR="0070274F" w:rsidRPr="0070274F" w:rsidRDefault="0070274F" w:rsidP="004227CB">
      <w:pPr>
        <w:numPr>
          <w:ilvl w:val="0"/>
          <w:numId w:val="7"/>
        </w:numPr>
        <w:spacing w:after="0" w:line="252" w:lineRule="auto"/>
        <w:ind w:left="709"/>
        <w:jc w:val="both"/>
        <w:rPr>
          <w:rFonts w:ascii="Arial" w:eastAsia="Times New Roman" w:hAnsi="Arial" w:cs="Arial"/>
        </w:rPr>
      </w:pPr>
      <w:r w:rsidRPr="0070274F">
        <w:rPr>
          <w:rFonts w:ascii="Arial" w:eastAsia="Times New Roman" w:hAnsi="Arial" w:cs="Arial"/>
        </w:rPr>
        <w:t>En el caso de la testimonial, se podrán ofrecer hasta 2 (dos) testigos por cada hecho que se pretenda acreditar, señalando el domicilio y los datos de localización. Asimismo, se deberán acompañar los interrogatorios al tenor de los cuales deberán ser examinados los testigos.</w:t>
      </w:r>
    </w:p>
    <w:p w14:paraId="0DB887AA" w14:textId="77777777" w:rsidR="0070274F" w:rsidRPr="0070274F" w:rsidRDefault="0070274F" w:rsidP="0070274F">
      <w:pPr>
        <w:spacing w:after="0"/>
        <w:ind w:left="709"/>
        <w:jc w:val="both"/>
        <w:rPr>
          <w:rFonts w:ascii="Arial" w:eastAsia="Times New Roman" w:hAnsi="Arial" w:cs="Arial"/>
        </w:rPr>
      </w:pPr>
    </w:p>
    <w:p w14:paraId="7B3938C1" w14:textId="77777777" w:rsidR="0070274F" w:rsidRPr="0070274F" w:rsidRDefault="0070274F" w:rsidP="004227CB">
      <w:pPr>
        <w:numPr>
          <w:ilvl w:val="0"/>
          <w:numId w:val="7"/>
        </w:numPr>
        <w:spacing w:after="0" w:line="252" w:lineRule="auto"/>
        <w:ind w:left="709"/>
        <w:jc w:val="both"/>
        <w:rPr>
          <w:rFonts w:ascii="Arial" w:eastAsia="Times New Roman" w:hAnsi="Arial" w:cs="Arial"/>
        </w:rPr>
      </w:pPr>
      <w:r w:rsidRPr="0070274F">
        <w:rPr>
          <w:rFonts w:ascii="Arial" w:eastAsia="Times New Roman" w:hAnsi="Arial" w:cs="Arial"/>
        </w:rPr>
        <w:t>En el caso de la inspección, la mención precisa del lugar, los objetos y los documentos que deban ser examinados.</w:t>
      </w:r>
    </w:p>
    <w:p w14:paraId="5D434690" w14:textId="77777777" w:rsidR="0070274F" w:rsidRPr="0070274F" w:rsidRDefault="0070274F" w:rsidP="0070274F">
      <w:pPr>
        <w:spacing w:after="0"/>
        <w:ind w:left="709"/>
        <w:jc w:val="both"/>
        <w:rPr>
          <w:rFonts w:ascii="Arial" w:eastAsia="Times New Roman" w:hAnsi="Arial" w:cs="Arial"/>
        </w:rPr>
      </w:pPr>
    </w:p>
    <w:p w14:paraId="78F6E54A" w14:textId="77777777" w:rsidR="0070274F" w:rsidRPr="0070274F" w:rsidRDefault="0070274F" w:rsidP="004227CB">
      <w:pPr>
        <w:numPr>
          <w:ilvl w:val="0"/>
          <w:numId w:val="7"/>
        </w:numPr>
        <w:spacing w:after="0" w:line="252" w:lineRule="auto"/>
        <w:ind w:left="709"/>
        <w:jc w:val="both"/>
        <w:rPr>
          <w:rFonts w:ascii="Arial" w:eastAsia="Times New Roman" w:hAnsi="Arial" w:cs="Arial"/>
        </w:rPr>
      </w:pPr>
      <w:r w:rsidRPr="0070274F">
        <w:rPr>
          <w:rFonts w:ascii="Arial" w:eastAsia="Times New Roman" w:hAnsi="Arial" w:cs="Arial"/>
        </w:rPr>
        <w:lastRenderedPageBreak/>
        <w:t>En el caso de la pericial, el objeto de la prueba, el cuestionario de preguntas y la designación del perito único.</w:t>
      </w:r>
    </w:p>
    <w:p w14:paraId="32C74610" w14:textId="77777777" w:rsidR="0070274F" w:rsidRPr="0070274F" w:rsidRDefault="0070274F" w:rsidP="0070274F">
      <w:pPr>
        <w:spacing w:after="0"/>
        <w:jc w:val="both"/>
        <w:rPr>
          <w:rFonts w:ascii="Arial" w:eastAsia="Times New Roman" w:hAnsi="Arial" w:cs="Arial"/>
        </w:rPr>
      </w:pPr>
    </w:p>
    <w:p w14:paraId="21D7A92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su caso, la UCE prevendrá al oferente de la prueba cuando omita lo siguiente: (i) presentar el nombre o el domicilio de los testigos o perito; (ii) acompañar el pliego de posiciones, el interrogatorio o el pliego de preguntas; o (iii) expresar con claridad cuál es el hecho o hechos que se trata de demostrar. Los interesados contarán con un plazo de 5 (cinco) días para desahogar las prevenciones y, en caso contrario, se desecharán los medios de prueba ofrecidos.</w:t>
      </w:r>
    </w:p>
    <w:p w14:paraId="69813919" w14:textId="77777777" w:rsidR="0070274F" w:rsidRPr="0070274F" w:rsidRDefault="0070274F" w:rsidP="0070274F">
      <w:pPr>
        <w:spacing w:after="0"/>
        <w:jc w:val="both"/>
        <w:rPr>
          <w:rFonts w:ascii="Arial" w:eastAsia="Times New Roman" w:hAnsi="Arial" w:cs="Arial"/>
        </w:rPr>
      </w:pPr>
    </w:p>
    <w:p w14:paraId="1D785E8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 prevención sobre las pruebas se realizará una vez transcurrido el plazo otorgado a la Autoridad Investigadora para el desahogo de la vista correspondiente y con anterioridad a la admisión o desechamiento de las pruebas, según sea el caso. </w:t>
      </w:r>
    </w:p>
    <w:p w14:paraId="2DD04BB3" w14:textId="77777777" w:rsidR="0070274F" w:rsidRPr="0070274F" w:rsidRDefault="0070274F" w:rsidP="0070274F">
      <w:pPr>
        <w:spacing w:after="0"/>
        <w:jc w:val="both"/>
        <w:rPr>
          <w:rFonts w:ascii="Arial" w:eastAsia="Times New Roman" w:hAnsi="Arial" w:cs="Arial"/>
        </w:rPr>
      </w:pPr>
    </w:p>
    <w:p w14:paraId="2AF4CAE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De no ser necesario realizar prevención alguna sobre el ofrecimiento de pruebas, en un plazo no mayor a 10 (diez) días contados a partir del día siguiente al vencimiento del plazo otorgado a la Autoridad Investigadora para el desahogo de la vista, la UCE acordará el desechamiento o la admisión de las pruebas y fijará el lugar, día y hora para el desahogo de aquellas que por su naturaleza así lo ameriten. </w:t>
      </w:r>
    </w:p>
    <w:p w14:paraId="0C18AE3A" w14:textId="77777777" w:rsidR="0070274F" w:rsidRPr="0070274F" w:rsidRDefault="0070274F" w:rsidP="0070274F">
      <w:pPr>
        <w:spacing w:after="0"/>
        <w:jc w:val="both"/>
        <w:rPr>
          <w:rFonts w:ascii="Arial" w:eastAsia="Times New Roman" w:hAnsi="Arial" w:cs="Arial"/>
        </w:rPr>
      </w:pPr>
    </w:p>
    <w:p w14:paraId="29E0A44A"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UCE desechará los medios de prueba en los supuestos siguientes: (i) cuando no sean ofrecidos conforme a derecho; (ii) cuando no tengan relación con los hechos materia del procedimiento; (iii) cuando sean innecesarios o ilícitos; (iv) cuando no acredite que realizó la solicitud para obtener la documentación necesaria por parte de alguna autoridad o cuando no acompañe el pliego de posiciones que deban absolverse, en sobre cerrado; (v) cuando se presente en sobre cerrado el interrogatorio o el cuestionario respecto de las pruebas testimonial y pericial o (vi) la confesional o la testimonial estén cargo de autoridades.</w:t>
      </w:r>
    </w:p>
    <w:p w14:paraId="2A0B6DB8" w14:textId="77777777" w:rsidR="0070274F" w:rsidRPr="0070274F" w:rsidRDefault="0070274F" w:rsidP="0070274F">
      <w:pPr>
        <w:spacing w:after="0"/>
        <w:jc w:val="both"/>
        <w:rPr>
          <w:rFonts w:ascii="Arial" w:eastAsia="Times New Roman" w:hAnsi="Arial" w:cs="Arial"/>
        </w:rPr>
      </w:pPr>
    </w:p>
    <w:p w14:paraId="137D069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desahogo de las pruebas se realizará dentro de un plazo no mayor de 20 (veinte) días, contados a partir de su admisión. La Autoridad Investigadora y los AE con interés jurídico podrán asistir al desahogo de las pruebas.</w:t>
      </w:r>
    </w:p>
    <w:p w14:paraId="3E725AB2" w14:textId="77777777" w:rsidR="0070274F" w:rsidRPr="0070274F" w:rsidRDefault="0070274F" w:rsidP="0070274F">
      <w:pPr>
        <w:spacing w:after="0"/>
        <w:jc w:val="both"/>
        <w:rPr>
          <w:rFonts w:ascii="Arial" w:eastAsia="Times New Roman" w:hAnsi="Arial" w:cs="Arial"/>
        </w:rPr>
      </w:pPr>
    </w:p>
    <w:p w14:paraId="440E2CF7"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El probable responsable realizará los actos necesarios y asumirá los costos para el oportuno desahogo de las pruebas admitidas que así lo ameriten y en caso de no hacerlo o su realización sea imposible, éstas se declararán desiertas. </w:t>
      </w:r>
    </w:p>
    <w:p w14:paraId="6EDFD273" w14:textId="77777777" w:rsidR="0070274F" w:rsidRPr="0070274F" w:rsidRDefault="0070274F" w:rsidP="0070274F">
      <w:pPr>
        <w:spacing w:after="0"/>
        <w:jc w:val="both"/>
        <w:rPr>
          <w:rFonts w:ascii="Arial" w:eastAsia="Times New Roman" w:hAnsi="Arial" w:cs="Arial"/>
        </w:rPr>
      </w:pPr>
    </w:p>
    <w:p w14:paraId="1B99740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caso de que el emplazado presente el acuse de la solicitud de documentos ante la autoridad correspondiente, tendrá 5 (cinco) días para presentarlos al Instituto, contados a partir de que la autoridad haya notificado el acuerdo relativo a la expedición de las copias correspondientes. Se declarará desierta la prueba documental que haya sido admitida cuando el oferente no presente el documento al Instituto en el plazo señalado.</w:t>
      </w:r>
    </w:p>
    <w:p w14:paraId="6903DEF7" w14:textId="77777777" w:rsidR="0070274F" w:rsidRPr="0070274F" w:rsidRDefault="0070274F" w:rsidP="0070274F">
      <w:pPr>
        <w:spacing w:after="0"/>
        <w:jc w:val="both"/>
        <w:rPr>
          <w:rFonts w:ascii="Arial" w:eastAsia="Times New Roman" w:hAnsi="Arial" w:cs="Arial"/>
        </w:rPr>
      </w:pPr>
    </w:p>
    <w:p w14:paraId="548DA80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UCE notificará a los interesados con una anticipación mínima de 3 (tres) días, el inicio de las actuaciones necesarias para el desahogo de las pruebas que hayan sido admitidas u ordenadas.</w:t>
      </w:r>
    </w:p>
    <w:p w14:paraId="59752ABA" w14:textId="77777777" w:rsidR="0070274F" w:rsidRPr="0070274F" w:rsidRDefault="0070274F" w:rsidP="0070274F">
      <w:pPr>
        <w:spacing w:after="0"/>
        <w:jc w:val="both"/>
        <w:rPr>
          <w:rFonts w:ascii="Arial" w:eastAsia="Times New Roman" w:hAnsi="Arial" w:cs="Arial"/>
        </w:rPr>
      </w:pPr>
    </w:p>
    <w:p w14:paraId="7EF51542" w14:textId="77777777" w:rsidR="0070274F" w:rsidRPr="0070274F" w:rsidRDefault="0070274F" w:rsidP="0070274F">
      <w:pPr>
        <w:keepNext/>
        <w:keepLines/>
        <w:spacing w:after="0"/>
        <w:ind w:left="567"/>
        <w:jc w:val="both"/>
        <w:outlineLvl w:val="2"/>
        <w:rPr>
          <w:rFonts w:ascii="Arial" w:eastAsia="Times New Roman" w:hAnsi="Arial"/>
          <w:b/>
          <w:spacing w:val="4"/>
          <w:sz w:val="26"/>
          <w:szCs w:val="24"/>
        </w:rPr>
      </w:pPr>
      <w:bookmarkStart w:id="33" w:name="_Toc69242782"/>
      <w:bookmarkStart w:id="34" w:name="_Toc69248090"/>
      <w:bookmarkStart w:id="35" w:name="_Toc69248449"/>
      <w:bookmarkStart w:id="36" w:name="_Toc70950931"/>
      <w:r w:rsidRPr="0070274F">
        <w:rPr>
          <w:rFonts w:ascii="Arial" w:eastAsia="Times New Roman" w:hAnsi="Arial"/>
          <w:b/>
          <w:spacing w:val="4"/>
          <w:sz w:val="26"/>
          <w:szCs w:val="24"/>
        </w:rPr>
        <w:t>2.5.1. Documentales</w:t>
      </w:r>
      <w:bookmarkEnd w:id="33"/>
      <w:bookmarkEnd w:id="34"/>
      <w:bookmarkEnd w:id="35"/>
      <w:bookmarkEnd w:id="36"/>
    </w:p>
    <w:p w14:paraId="1B3D7034" w14:textId="77777777" w:rsidR="0070274F" w:rsidRPr="0070274F" w:rsidRDefault="0070274F" w:rsidP="0070274F">
      <w:pPr>
        <w:spacing w:after="0"/>
        <w:jc w:val="both"/>
        <w:rPr>
          <w:rFonts w:ascii="Arial" w:eastAsia="Times New Roman" w:hAnsi="Arial" w:cs="Arial"/>
        </w:rPr>
      </w:pPr>
    </w:p>
    <w:p w14:paraId="1F062BA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pruebas documentales se desahogan por su propia y especial naturaleza. Es decir, no requieren de una de una diligencia especial para ser valoradas en el trámite del procedimiento seguido en forma de juicio. En ese sentido, los documentos no serán materia de la prueba inspeccional.</w:t>
      </w:r>
    </w:p>
    <w:p w14:paraId="4AC6227A" w14:textId="77777777" w:rsidR="0070274F" w:rsidRPr="0070274F" w:rsidRDefault="0070274F" w:rsidP="0070274F">
      <w:pPr>
        <w:spacing w:after="0"/>
        <w:jc w:val="both"/>
        <w:rPr>
          <w:rFonts w:ascii="Arial" w:eastAsia="Times New Roman" w:hAnsi="Arial" w:cs="Arial"/>
        </w:rPr>
      </w:pPr>
    </w:p>
    <w:p w14:paraId="2E25769E" w14:textId="77777777" w:rsidR="0070274F" w:rsidRPr="0070274F" w:rsidRDefault="0070274F" w:rsidP="0070274F">
      <w:pPr>
        <w:keepNext/>
        <w:keepLines/>
        <w:spacing w:after="0"/>
        <w:ind w:left="567"/>
        <w:jc w:val="both"/>
        <w:outlineLvl w:val="2"/>
        <w:rPr>
          <w:rFonts w:ascii="Arial" w:eastAsia="Times New Roman" w:hAnsi="Arial"/>
          <w:b/>
          <w:spacing w:val="4"/>
          <w:sz w:val="26"/>
          <w:szCs w:val="24"/>
        </w:rPr>
      </w:pPr>
      <w:bookmarkStart w:id="37" w:name="_Toc69242783"/>
      <w:bookmarkStart w:id="38" w:name="_Toc69248091"/>
      <w:bookmarkStart w:id="39" w:name="_Toc69248450"/>
      <w:bookmarkStart w:id="40" w:name="_Toc70950932"/>
      <w:r w:rsidRPr="0070274F">
        <w:rPr>
          <w:rFonts w:ascii="Arial" w:eastAsia="Times New Roman" w:hAnsi="Arial"/>
          <w:b/>
          <w:spacing w:val="4"/>
          <w:sz w:val="26"/>
          <w:szCs w:val="24"/>
        </w:rPr>
        <w:t>2.5.2. Testimonial y Confesional</w:t>
      </w:r>
      <w:bookmarkEnd w:id="37"/>
      <w:bookmarkEnd w:id="38"/>
      <w:bookmarkEnd w:id="39"/>
      <w:bookmarkEnd w:id="40"/>
    </w:p>
    <w:p w14:paraId="6E444C22" w14:textId="77777777" w:rsidR="0070274F" w:rsidRPr="0070274F" w:rsidRDefault="0070274F" w:rsidP="0070274F">
      <w:pPr>
        <w:spacing w:after="0"/>
        <w:jc w:val="both"/>
        <w:rPr>
          <w:rFonts w:ascii="Arial" w:eastAsia="Times New Roman" w:hAnsi="Arial" w:cs="Arial"/>
        </w:rPr>
      </w:pPr>
    </w:p>
    <w:p w14:paraId="4D29B22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UCE citará mediante oficio a los comparecientes de la testimonial o confesional, el cual contendrá al menos lo siguiente: (i) un extracto del acuerdo por el que se admitió la prueba ofrecida y mediante el cual se ordenó citar al compareciente; (ii) fecha, hora y lugar donde se realizará la comparecencia; (iii) señalar que se trata de una prueba testimonial o confesional, según sea el caso; (iv) un apercibimiento con medida de apremio sobre las consecuencias de incumplir y faltar al desahogo de la prueba sin causa que los justifique.</w:t>
      </w:r>
    </w:p>
    <w:p w14:paraId="53A48178" w14:textId="77777777" w:rsidR="0070274F" w:rsidRPr="0070274F" w:rsidRDefault="0070274F" w:rsidP="0070274F">
      <w:pPr>
        <w:spacing w:after="0"/>
        <w:jc w:val="both"/>
        <w:rPr>
          <w:rFonts w:ascii="Arial" w:eastAsia="Times New Roman" w:hAnsi="Arial" w:cs="Arial"/>
        </w:rPr>
      </w:pPr>
    </w:p>
    <w:p w14:paraId="6907C9B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ordenada la diligencia, si la UCE advierte que el domicilio y/o el nombre del compareciente es incorrecto o incierto, por una sola ocasión, prevendrá al oferente a efecto de que señale nuevo domicilio o corrija el nombre del compareciente, con la finalidad de desahogar la prueba ofrecida, bajo el apercibimiento de que, en caso de resultar incorrecto o incierto nuevamente, se tendrá por desierta la prueba.</w:t>
      </w:r>
    </w:p>
    <w:p w14:paraId="6AD315C6" w14:textId="77777777" w:rsidR="0070274F" w:rsidRPr="0070274F" w:rsidRDefault="0070274F" w:rsidP="0070274F">
      <w:pPr>
        <w:spacing w:after="0"/>
        <w:jc w:val="both"/>
        <w:rPr>
          <w:rFonts w:ascii="Arial" w:eastAsia="Times New Roman" w:hAnsi="Arial" w:cs="Arial"/>
        </w:rPr>
      </w:pPr>
    </w:p>
    <w:p w14:paraId="3EF73D0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Cuando sobrevenga una imposibilidad física o jurídica y por una sola ocasión, el oferente de la prueba testimonial podrá nombrar nuevos testigos, hasta 1 (un) día antes de la fecha señalada para comparecer ante el Instituto.</w:t>
      </w:r>
    </w:p>
    <w:p w14:paraId="2DECDED4" w14:textId="77777777" w:rsidR="0070274F" w:rsidRPr="0070274F" w:rsidRDefault="0070274F" w:rsidP="0070274F">
      <w:pPr>
        <w:spacing w:after="0"/>
        <w:jc w:val="both"/>
        <w:rPr>
          <w:rFonts w:ascii="Arial" w:eastAsia="Times New Roman" w:hAnsi="Arial" w:cs="Arial"/>
        </w:rPr>
      </w:pPr>
    </w:p>
    <w:p w14:paraId="732D481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 comparecencia podrá realizarse en las oficinas del Instituto, o en cualquier otro lugar que autorice la UCE y así se señale expresamente en el oficio de citación. </w:t>
      </w:r>
    </w:p>
    <w:p w14:paraId="2B32F1AC" w14:textId="77777777" w:rsidR="0070274F" w:rsidRPr="0070274F" w:rsidRDefault="0070274F" w:rsidP="0070274F">
      <w:pPr>
        <w:spacing w:after="0"/>
        <w:jc w:val="both"/>
        <w:rPr>
          <w:rFonts w:ascii="Arial" w:eastAsia="Times New Roman" w:hAnsi="Arial" w:cs="Arial"/>
        </w:rPr>
      </w:pPr>
    </w:p>
    <w:p w14:paraId="5C6E153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El compareciente deberá acudir con una identificación oficial vigente al lugar, en el día y la hora que la UCE haya determinado y señalado en el oficio mediante el cual fue citado. </w:t>
      </w:r>
    </w:p>
    <w:p w14:paraId="06300479" w14:textId="77777777" w:rsidR="0070274F" w:rsidRPr="0070274F" w:rsidRDefault="0070274F" w:rsidP="0070274F">
      <w:pPr>
        <w:spacing w:after="0"/>
        <w:jc w:val="both"/>
        <w:rPr>
          <w:rFonts w:ascii="Arial" w:eastAsia="Times New Roman" w:hAnsi="Arial" w:cs="Arial"/>
        </w:rPr>
      </w:pPr>
    </w:p>
    <w:p w14:paraId="7B28393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compareciente podrá ser acompañado por su abogado o persona de confianza, situación que deberá comunicar al servidor público del Instituto comisionado al inicio de la diligencia. El abogado o persona de confianza que acompañe al compareciente sólo tendrá la facultad de intervenir durante la misma para objetar la legalidad de las preguntas o posiciones que se formulen, sin poder aconsejar, asistir o contestar a nombre del compareciente. En caso de que una pregunta o posición sea objetada, el servidor público que desahogue la diligencia calificará la objeción declarándola fundada o infundada. En caso de ser fundada, la pregunta podrá ser reformulada.</w:t>
      </w:r>
    </w:p>
    <w:p w14:paraId="512914EE" w14:textId="77777777" w:rsidR="0070274F" w:rsidRPr="0070274F" w:rsidRDefault="0070274F" w:rsidP="0070274F">
      <w:pPr>
        <w:spacing w:after="0"/>
        <w:jc w:val="both"/>
        <w:rPr>
          <w:rFonts w:ascii="Arial" w:eastAsia="Times New Roman" w:hAnsi="Arial" w:cs="Arial"/>
        </w:rPr>
      </w:pPr>
    </w:p>
    <w:p w14:paraId="3014CFCB"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En todo momento, el servidor público del Instituto que practique la diligencia de desahogo de la prueba testimonial o confesional puede dictar las providencias y los apercibimientos que procedan a quienes se encuentren presentes en la diligencia, a efecto de desahogarla conforme a derecho. En su caso, exhortará al abogado o persona de confianza que acompañe al compareciente a conducirse con orden y respeto, y en caso de no hacerlo, la diligencia se desahogará únicamente con el compareciente. Concluida la diligencia, se dará vista a quien asista al compareciente para que realice las observaciones que estime pertinentes.</w:t>
      </w:r>
    </w:p>
    <w:p w14:paraId="297476B7" w14:textId="77777777" w:rsidR="0070274F" w:rsidRPr="0070274F" w:rsidRDefault="0070274F" w:rsidP="0070274F">
      <w:pPr>
        <w:spacing w:after="0"/>
        <w:jc w:val="both"/>
        <w:rPr>
          <w:rFonts w:ascii="Arial" w:eastAsia="Times New Roman" w:hAnsi="Arial" w:cs="Arial"/>
        </w:rPr>
      </w:pPr>
    </w:p>
    <w:p w14:paraId="73FB076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falta de nombramiento de abogado o persona de confianza no impedirá ni invalidará la diligencia. Asimismo, cualquier persona, sea el compareciente o persona de confianza, puede asistir, aunque no hable el idioma español, siempre y cuando esté acompañada de un intérprete, a costa del oferente o de quien proponga el desahogo de la diligencia.</w:t>
      </w:r>
    </w:p>
    <w:p w14:paraId="0057A163" w14:textId="77777777" w:rsidR="0070274F" w:rsidRPr="0070274F" w:rsidRDefault="0070274F" w:rsidP="0070274F">
      <w:pPr>
        <w:spacing w:after="0"/>
        <w:jc w:val="both"/>
        <w:rPr>
          <w:rFonts w:ascii="Arial" w:eastAsia="Times New Roman" w:hAnsi="Arial" w:cs="Arial"/>
        </w:rPr>
      </w:pPr>
    </w:p>
    <w:p w14:paraId="3CD6F17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Al inicio de la diligencia, el servidor público del Instituto que practique la diligencia tomará la protesta de decir verdad al compareciente, y advertirá las penas en que incurren en caso de conducirse con falsedad. El compareciente indicará su nombre, edad, estado civil, lugar de residencia, ocupación, su relación con los emplazados y los hechos materia del procedimiento.</w:t>
      </w:r>
    </w:p>
    <w:p w14:paraId="1CFA12F0" w14:textId="77777777" w:rsidR="0070274F" w:rsidRPr="0070274F" w:rsidRDefault="0070274F" w:rsidP="0070274F">
      <w:pPr>
        <w:spacing w:after="0"/>
        <w:jc w:val="both"/>
        <w:rPr>
          <w:rFonts w:ascii="Arial" w:eastAsia="Times New Roman" w:hAnsi="Arial" w:cs="Arial"/>
        </w:rPr>
      </w:pPr>
    </w:p>
    <w:p w14:paraId="40B5459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Cuando el compareciente lo solicite, además de asentarse su declaración en español, podrá escribirse en su propio idioma y con el puño y letra del declarante. El intérprete, antes de desempeñar su encargo, protestará hacerlo lealmente, haciéndose constar esta circunstancia en el acta correspondiente.</w:t>
      </w:r>
    </w:p>
    <w:p w14:paraId="053BD235" w14:textId="77777777" w:rsidR="0070274F" w:rsidRPr="0070274F" w:rsidRDefault="0070274F" w:rsidP="0070274F">
      <w:pPr>
        <w:spacing w:after="0"/>
        <w:jc w:val="both"/>
        <w:rPr>
          <w:rFonts w:ascii="Arial" w:eastAsia="Times New Roman" w:hAnsi="Arial" w:cs="Arial"/>
        </w:rPr>
      </w:pPr>
    </w:p>
    <w:p w14:paraId="62FBE3A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En el caso de la testimonial, en caso de haber más de 1 (un) testigo, éstos serán examinados separada y sucesivamente, sin que unos puedan presenciar las declaraciones de los otros. El servidor público del Instituto que practique la diligencia deberá dictar las providencias necesarias para que los testigos no se comuniquen entre sí, ni por medio de otra persona, antes de que rindan su declaración ni realicen comunicación por cualquier medio durante la diligencia. </w:t>
      </w:r>
    </w:p>
    <w:p w14:paraId="7458E0BE" w14:textId="77777777" w:rsidR="0070274F" w:rsidRPr="0070274F" w:rsidRDefault="0070274F" w:rsidP="0070274F">
      <w:pPr>
        <w:spacing w:after="0"/>
        <w:jc w:val="both"/>
        <w:rPr>
          <w:rFonts w:ascii="Arial" w:eastAsia="Times New Roman" w:hAnsi="Arial" w:cs="Arial"/>
        </w:rPr>
      </w:pPr>
    </w:p>
    <w:p w14:paraId="10B2D4E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Las preguntas realizadas a los comparecientes serán claras, precisas, no serán insidiosas o tendenciosas, ni afirmativas o inquisitivas, y procurando que cada una contenga un solo hecho. El compareciente deberá contestar a las preguntas en forma clara, precisa, sin ambigüedades ni evasivas y responder a todas las aclaraciones que se le requieran, dando en todo momento la razón fundada de su dicho; si se negare a responder, el servidor público comisionado lo apercibirá para que responda. Los comparecientes no podrán ser asesorados o recibir orientación para dar contestación a las preguntas, aunque podrán consultar notas, información o documentos que lleven consigo, cuando sea pertinente según la naturaleza del asunto, previa autorización del servidor público comisionado para desahogar la diligencia. </w:t>
      </w:r>
    </w:p>
    <w:p w14:paraId="379D9F52" w14:textId="77777777" w:rsidR="0070274F" w:rsidRPr="0070274F" w:rsidRDefault="0070274F" w:rsidP="0070274F">
      <w:pPr>
        <w:spacing w:after="0"/>
        <w:jc w:val="both"/>
        <w:rPr>
          <w:rFonts w:ascii="Arial" w:eastAsia="Times New Roman" w:hAnsi="Arial" w:cs="Arial"/>
        </w:rPr>
      </w:pPr>
    </w:p>
    <w:p w14:paraId="34F5CFA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Del desahogo de las testimoniales o confesionales se levantará un acta en la que se hará constar, por lo menos, lo siguiente: </w:t>
      </w:r>
    </w:p>
    <w:p w14:paraId="552B07DD" w14:textId="77777777" w:rsidR="0070274F" w:rsidRPr="0070274F" w:rsidRDefault="0070274F" w:rsidP="0070274F">
      <w:pPr>
        <w:spacing w:after="0"/>
        <w:jc w:val="both"/>
        <w:rPr>
          <w:rFonts w:ascii="Arial" w:eastAsia="Times New Roman" w:hAnsi="Arial" w:cs="Arial"/>
        </w:rPr>
      </w:pPr>
    </w:p>
    <w:p w14:paraId="6ED981D9"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lastRenderedPageBreak/>
        <w:t>Nombre y domicilio del compareciente y, en su caso, del abogado o persona de confianza que lo acompañe.</w:t>
      </w:r>
    </w:p>
    <w:p w14:paraId="2957567F" w14:textId="77777777" w:rsidR="0070274F" w:rsidRPr="0070274F" w:rsidRDefault="0070274F" w:rsidP="0070274F">
      <w:pPr>
        <w:spacing w:after="0"/>
        <w:ind w:left="709"/>
        <w:jc w:val="both"/>
        <w:rPr>
          <w:rFonts w:ascii="Arial" w:eastAsia="Times New Roman" w:hAnsi="Arial" w:cs="Arial"/>
        </w:rPr>
      </w:pPr>
    </w:p>
    <w:p w14:paraId="169E18EF"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Ocupación y, en caso de que sea citado por estar relacionado con una persona moral o laborar para una persona física o moral, cargo o puesto del que comparece.</w:t>
      </w:r>
    </w:p>
    <w:p w14:paraId="4A2F57A6" w14:textId="77777777" w:rsidR="0070274F" w:rsidRPr="0070274F" w:rsidRDefault="0070274F" w:rsidP="0070274F">
      <w:pPr>
        <w:spacing w:after="0"/>
        <w:ind w:left="709"/>
        <w:jc w:val="both"/>
        <w:rPr>
          <w:rFonts w:ascii="Arial" w:eastAsia="Times New Roman" w:hAnsi="Arial" w:cs="Arial"/>
        </w:rPr>
      </w:pPr>
    </w:p>
    <w:p w14:paraId="15425872"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El lugar, el día y la hora en que se inicia y concluye la diligencia.</w:t>
      </w:r>
    </w:p>
    <w:p w14:paraId="2D47B86D" w14:textId="77777777" w:rsidR="0070274F" w:rsidRPr="0070274F" w:rsidRDefault="0070274F" w:rsidP="0070274F">
      <w:pPr>
        <w:spacing w:after="0"/>
        <w:ind w:left="709"/>
        <w:jc w:val="both"/>
        <w:rPr>
          <w:rFonts w:ascii="Arial" w:eastAsia="Times New Roman" w:hAnsi="Arial" w:cs="Arial"/>
        </w:rPr>
      </w:pPr>
    </w:p>
    <w:p w14:paraId="337AEB1D"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Fecha en que se emitió la orden y se notificó la citación del compareciente.</w:t>
      </w:r>
    </w:p>
    <w:p w14:paraId="0D9A963F" w14:textId="77777777" w:rsidR="0070274F" w:rsidRPr="0070274F" w:rsidRDefault="0070274F" w:rsidP="0070274F">
      <w:pPr>
        <w:spacing w:after="0"/>
        <w:ind w:left="709"/>
        <w:jc w:val="both"/>
        <w:rPr>
          <w:rFonts w:ascii="Arial" w:eastAsia="Times New Roman" w:hAnsi="Arial" w:cs="Arial"/>
        </w:rPr>
      </w:pPr>
    </w:p>
    <w:p w14:paraId="7E82B923"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Número y fecha del oficio mediante el cual se comisionó a los servidores públicos del Instituto para el desahogo de la diligencia, en su caso.</w:t>
      </w:r>
    </w:p>
    <w:p w14:paraId="78057424" w14:textId="77777777" w:rsidR="0070274F" w:rsidRPr="0070274F" w:rsidRDefault="0070274F" w:rsidP="0070274F">
      <w:pPr>
        <w:spacing w:after="0"/>
        <w:ind w:left="709"/>
        <w:jc w:val="both"/>
        <w:rPr>
          <w:rFonts w:ascii="Arial" w:eastAsia="Times New Roman" w:hAnsi="Arial" w:cs="Arial"/>
        </w:rPr>
      </w:pPr>
    </w:p>
    <w:p w14:paraId="04456FCF"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Los apercibimientos que correspondan.</w:t>
      </w:r>
    </w:p>
    <w:p w14:paraId="76DF0CDF" w14:textId="77777777" w:rsidR="0070274F" w:rsidRPr="0070274F" w:rsidRDefault="0070274F" w:rsidP="0070274F">
      <w:pPr>
        <w:spacing w:after="0"/>
        <w:ind w:left="709"/>
        <w:jc w:val="both"/>
        <w:rPr>
          <w:rFonts w:ascii="Arial" w:eastAsia="Times New Roman" w:hAnsi="Arial" w:cs="Arial"/>
        </w:rPr>
      </w:pPr>
    </w:p>
    <w:p w14:paraId="65FDBB73"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Nombre de todos los servidores públicos que intervienen en la diligencia.</w:t>
      </w:r>
    </w:p>
    <w:p w14:paraId="520D0F1B" w14:textId="77777777" w:rsidR="0070274F" w:rsidRPr="0070274F" w:rsidRDefault="0070274F" w:rsidP="0070274F">
      <w:pPr>
        <w:spacing w:after="0"/>
        <w:ind w:left="709"/>
        <w:jc w:val="both"/>
        <w:rPr>
          <w:rFonts w:ascii="Arial" w:eastAsia="Times New Roman" w:hAnsi="Arial" w:cs="Arial"/>
        </w:rPr>
      </w:pPr>
    </w:p>
    <w:p w14:paraId="5A0960F7"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Copia de los documentos mediante los cuales se identifiquen todas las personas que hayan intervenido en la diligencia, previo cotejo con su original por parte del servidor público que sea comisionado para desahogar la diligencia.</w:t>
      </w:r>
    </w:p>
    <w:p w14:paraId="34D9BB9F" w14:textId="77777777" w:rsidR="0070274F" w:rsidRPr="0070274F" w:rsidRDefault="0070274F" w:rsidP="0070274F">
      <w:pPr>
        <w:spacing w:after="0"/>
        <w:ind w:left="709"/>
        <w:jc w:val="both"/>
        <w:rPr>
          <w:rFonts w:ascii="Arial" w:eastAsia="Times New Roman" w:hAnsi="Arial" w:cs="Arial"/>
        </w:rPr>
      </w:pPr>
    </w:p>
    <w:p w14:paraId="1FFF9F13"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Las preguntas y sus respectivas respuestas, así como las objeciones formuladas, su calificación, las causas de su calificación y, en su caso, la pregunta reformulada y su respuesta, se irán asentando en el acta y estarán a la vista del compareciente una vez que termine de responder la totalidad de las preguntas o posiciones realizadas por los servidores públicos comisionados para desahogar la diligencia.</w:t>
      </w:r>
    </w:p>
    <w:p w14:paraId="2C866D5A" w14:textId="77777777" w:rsidR="0070274F" w:rsidRPr="0070274F" w:rsidRDefault="0070274F" w:rsidP="0070274F">
      <w:pPr>
        <w:spacing w:after="0"/>
        <w:ind w:left="709"/>
        <w:jc w:val="both"/>
        <w:rPr>
          <w:rFonts w:ascii="Arial" w:eastAsia="Times New Roman" w:hAnsi="Arial" w:cs="Arial"/>
        </w:rPr>
      </w:pPr>
    </w:p>
    <w:p w14:paraId="3C1DDA2E" w14:textId="77777777" w:rsidR="0070274F" w:rsidRPr="0070274F" w:rsidRDefault="0070274F" w:rsidP="0070274F">
      <w:pPr>
        <w:spacing w:after="0"/>
        <w:ind w:left="709"/>
        <w:jc w:val="both"/>
        <w:rPr>
          <w:rFonts w:ascii="Arial" w:eastAsia="Times New Roman" w:hAnsi="Arial" w:cs="Arial"/>
        </w:rPr>
      </w:pPr>
      <w:r w:rsidRPr="0070274F">
        <w:rPr>
          <w:rFonts w:ascii="Arial" w:eastAsia="Times New Roman" w:hAnsi="Arial" w:cs="Arial"/>
        </w:rPr>
        <w:t>Una vez asentadas en el acta, las respuestas del compareciente no pueden ser cambiadas.</w:t>
      </w:r>
    </w:p>
    <w:p w14:paraId="6047F14C" w14:textId="77777777" w:rsidR="0070274F" w:rsidRPr="0070274F" w:rsidRDefault="0070274F" w:rsidP="0070274F">
      <w:pPr>
        <w:spacing w:after="0"/>
        <w:ind w:left="709"/>
        <w:jc w:val="both"/>
        <w:rPr>
          <w:rFonts w:ascii="Arial" w:eastAsia="Times New Roman" w:hAnsi="Arial" w:cs="Arial"/>
        </w:rPr>
      </w:pPr>
    </w:p>
    <w:p w14:paraId="4300E19A" w14:textId="77777777" w:rsidR="0070274F" w:rsidRPr="0070274F" w:rsidRDefault="0070274F" w:rsidP="0070274F">
      <w:pPr>
        <w:spacing w:after="0"/>
        <w:ind w:left="709"/>
        <w:jc w:val="both"/>
        <w:rPr>
          <w:rFonts w:ascii="Arial" w:eastAsia="Times New Roman" w:hAnsi="Arial" w:cs="Arial"/>
        </w:rPr>
      </w:pPr>
      <w:r w:rsidRPr="0070274F">
        <w:rPr>
          <w:rFonts w:ascii="Arial" w:eastAsia="Times New Roman" w:hAnsi="Arial" w:cs="Arial"/>
        </w:rPr>
        <w:t>En su caso, la mención de que el servidor público comisionado apercibió al compareciente por haberse negado a declarar o a responder las preguntas que le fueron realizadas.</w:t>
      </w:r>
    </w:p>
    <w:p w14:paraId="13DBA77E" w14:textId="77777777" w:rsidR="0070274F" w:rsidRPr="0070274F" w:rsidRDefault="0070274F" w:rsidP="0070274F">
      <w:pPr>
        <w:spacing w:after="0"/>
        <w:ind w:left="709"/>
        <w:jc w:val="both"/>
        <w:rPr>
          <w:rFonts w:ascii="Arial" w:eastAsia="Times New Roman" w:hAnsi="Arial" w:cs="Arial"/>
        </w:rPr>
      </w:pPr>
    </w:p>
    <w:p w14:paraId="6CB53861"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El derecho que le asiste al compareciente para que, en el término de 5 (cinco) días, contados a partir del día siguiente a la celebración de la diligencia solicite, en su caso, la clasificación de la información como confidencial de conformidad con el artículo 125 de la LFCE.</w:t>
      </w:r>
    </w:p>
    <w:p w14:paraId="7F40D67F" w14:textId="77777777" w:rsidR="0070274F" w:rsidRPr="0070274F" w:rsidRDefault="0070274F" w:rsidP="0070274F">
      <w:pPr>
        <w:spacing w:after="0"/>
        <w:ind w:left="709"/>
        <w:jc w:val="both"/>
        <w:rPr>
          <w:rFonts w:ascii="Arial" w:eastAsia="Times New Roman" w:hAnsi="Arial" w:cs="Arial"/>
        </w:rPr>
      </w:pPr>
    </w:p>
    <w:p w14:paraId="7571D0AD"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t>Mención de la oportunidad que se da al compareciente y a su abogado o persona de confianza para ejercer el derecho de hacer observaciones al término de la declaración y, en su caso, la inserción de dichas observaciones. También se asentará la negativa a ejercer ese derecho, y</w:t>
      </w:r>
    </w:p>
    <w:p w14:paraId="2A5F7782" w14:textId="77777777" w:rsidR="0070274F" w:rsidRPr="0070274F" w:rsidRDefault="0070274F" w:rsidP="0070274F">
      <w:pPr>
        <w:spacing w:after="0"/>
        <w:ind w:left="709"/>
        <w:jc w:val="both"/>
        <w:rPr>
          <w:rFonts w:ascii="Arial" w:eastAsia="Times New Roman" w:hAnsi="Arial" w:cs="Arial"/>
        </w:rPr>
      </w:pPr>
    </w:p>
    <w:p w14:paraId="2B78770B" w14:textId="77777777" w:rsidR="0070274F" w:rsidRPr="0070274F" w:rsidRDefault="0070274F" w:rsidP="004227CB">
      <w:pPr>
        <w:numPr>
          <w:ilvl w:val="0"/>
          <w:numId w:val="8"/>
        </w:numPr>
        <w:spacing w:after="0" w:line="252" w:lineRule="auto"/>
        <w:ind w:left="709"/>
        <w:jc w:val="both"/>
        <w:rPr>
          <w:rFonts w:ascii="Arial" w:eastAsia="Times New Roman" w:hAnsi="Arial" w:cs="Arial"/>
        </w:rPr>
      </w:pPr>
      <w:r w:rsidRPr="0070274F">
        <w:rPr>
          <w:rFonts w:ascii="Arial" w:eastAsia="Times New Roman" w:hAnsi="Arial" w:cs="Arial"/>
        </w:rPr>
        <w:lastRenderedPageBreak/>
        <w:t>Nombre y firma de quienes intervienen en la diligencia y, en su caso, la indicación de que el compareciente u otras personas se negaron a firmar el acta, circunstancia que no invalidará la diligencia.</w:t>
      </w:r>
    </w:p>
    <w:p w14:paraId="477B990B" w14:textId="77777777" w:rsidR="0070274F" w:rsidRPr="0070274F" w:rsidRDefault="0070274F" w:rsidP="0070274F">
      <w:pPr>
        <w:spacing w:after="0"/>
        <w:jc w:val="both"/>
        <w:rPr>
          <w:rFonts w:ascii="Arial" w:eastAsia="Times New Roman" w:hAnsi="Arial" w:cs="Arial"/>
        </w:rPr>
      </w:pPr>
    </w:p>
    <w:p w14:paraId="6BAB0FBD"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Previo a la firma del acta, los servidores públicos comisionados para desahogar la diligencia deben dar lectura de la misma, acto que también debe hacerse constar en el acta. Del acta de la comparecencia se entregará copia simple al compareciente.</w:t>
      </w:r>
    </w:p>
    <w:p w14:paraId="1C87B036" w14:textId="77777777" w:rsidR="0070274F" w:rsidRPr="0070274F" w:rsidRDefault="0070274F" w:rsidP="0070274F">
      <w:pPr>
        <w:spacing w:after="0"/>
        <w:jc w:val="both"/>
        <w:rPr>
          <w:rFonts w:ascii="Arial" w:eastAsia="Times New Roman" w:hAnsi="Arial" w:cs="Arial"/>
        </w:rPr>
      </w:pPr>
    </w:p>
    <w:p w14:paraId="1C7FC67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Solamente la UCE podrá grabar las diligencias mediante dispositivos de grabación de audio o video para verificar las respuestas del compareciente. En su caso, el medio en el cual conste la grabación se agregará al acta para que obre en el expediente. La falta de grabación no invalida la diligencia.</w:t>
      </w:r>
    </w:p>
    <w:p w14:paraId="6CEE45BB" w14:textId="77777777" w:rsidR="0070274F" w:rsidRPr="0070274F" w:rsidRDefault="0070274F" w:rsidP="0070274F">
      <w:pPr>
        <w:spacing w:after="0"/>
        <w:jc w:val="both"/>
        <w:rPr>
          <w:rFonts w:ascii="Arial" w:eastAsia="Times New Roman" w:hAnsi="Arial" w:cs="Arial"/>
        </w:rPr>
      </w:pPr>
    </w:p>
    <w:p w14:paraId="0BF60A1A" w14:textId="77777777" w:rsidR="0070274F" w:rsidRPr="0070274F" w:rsidRDefault="0070274F" w:rsidP="0070274F">
      <w:pPr>
        <w:keepNext/>
        <w:keepLines/>
        <w:spacing w:after="0"/>
        <w:ind w:left="567"/>
        <w:jc w:val="both"/>
        <w:outlineLvl w:val="2"/>
        <w:rPr>
          <w:rFonts w:ascii="Arial" w:eastAsia="Times New Roman" w:hAnsi="Arial"/>
          <w:b/>
          <w:spacing w:val="4"/>
          <w:sz w:val="26"/>
          <w:szCs w:val="24"/>
        </w:rPr>
      </w:pPr>
      <w:bookmarkStart w:id="41" w:name="_Toc69242784"/>
      <w:bookmarkStart w:id="42" w:name="_Toc69248092"/>
      <w:bookmarkStart w:id="43" w:name="_Toc69248451"/>
      <w:bookmarkStart w:id="44" w:name="_Toc70950933"/>
      <w:r w:rsidRPr="0070274F">
        <w:rPr>
          <w:rFonts w:ascii="Arial" w:eastAsia="Times New Roman" w:hAnsi="Arial"/>
          <w:b/>
          <w:spacing w:val="4"/>
          <w:sz w:val="26"/>
          <w:szCs w:val="24"/>
        </w:rPr>
        <w:t>2.5.3. Pericial</w:t>
      </w:r>
      <w:bookmarkEnd w:id="41"/>
      <w:bookmarkEnd w:id="42"/>
      <w:bookmarkEnd w:id="43"/>
      <w:bookmarkEnd w:id="44"/>
    </w:p>
    <w:p w14:paraId="78EE41F6" w14:textId="77777777" w:rsidR="0070274F" w:rsidRPr="0070274F" w:rsidRDefault="0070274F" w:rsidP="0070274F">
      <w:pPr>
        <w:spacing w:after="0"/>
        <w:jc w:val="both"/>
        <w:rPr>
          <w:rFonts w:ascii="Arial" w:eastAsia="Times New Roman" w:hAnsi="Arial" w:cs="Arial"/>
        </w:rPr>
      </w:pPr>
    </w:p>
    <w:p w14:paraId="6765753F" w14:textId="06E7FFB2"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oferente de la prueba pericial deberá presentar ante la UCE al perito con el objeto ratificar su nombramiento y protestar el encargo. Esta comparecencia deberá realizarse dentro del término de 3 (tres) días contados a partir del día en que surta efectos la notificación del acuerdo de admisión de pruebas. La prueba se declarará desierta si el perito nombrado no comparece</w:t>
      </w:r>
      <w:r w:rsidR="002C4E73" w:rsidRPr="002C4E73">
        <w:rPr>
          <w:rFonts w:ascii="Arial" w:eastAsia="Times New Roman" w:hAnsi="Arial" w:cs="Arial"/>
        </w:rPr>
        <w:t xml:space="preserve"> </w:t>
      </w:r>
      <w:r w:rsidR="002C4E73" w:rsidRPr="0070274F">
        <w:rPr>
          <w:rFonts w:ascii="Arial" w:eastAsia="Times New Roman" w:hAnsi="Arial" w:cs="Arial"/>
        </w:rPr>
        <w:t>a ratificar su nombramiento y protestar el encargo</w:t>
      </w:r>
      <w:r w:rsidRPr="0070274F">
        <w:rPr>
          <w:rFonts w:ascii="Arial" w:eastAsia="Times New Roman" w:hAnsi="Arial" w:cs="Arial"/>
        </w:rPr>
        <w:t xml:space="preserve"> sin justificar la causa.</w:t>
      </w:r>
    </w:p>
    <w:p w14:paraId="3A4FEDE5" w14:textId="77777777" w:rsidR="0070274F" w:rsidRPr="0070274F" w:rsidRDefault="0070274F" w:rsidP="0070274F">
      <w:pPr>
        <w:spacing w:after="0"/>
        <w:jc w:val="both"/>
        <w:rPr>
          <w:rFonts w:ascii="Arial" w:eastAsia="Times New Roman" w:hAnsi="Arial" w:cs="Arial"/>
        </w:rPr>
      </w:pPr>
    </w:p>
    <w:p w14:paraId="2766354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Al comparecer, el perito deberá exhibir los documentos con los que acredite los estudios, conocimiento y experiencia respecto de la materia específica en la que se ofreció la prueba. Tal acreditación quedará al juicio de la UCE. Ante la comparecencia del perito se levantará un acta y en ella se hará constar, por lo menos, lo siguiente:</w:t>
      </w:r>
    </w:p>
    <w:p w14:paraId="1716720F" w14:textId="77777777" w:rsidR="0070274F" w:rsidRPr="0070274F" w:rsidRDefault="0070274F" w:rsidP="0070274F">
      <w:pPr>
        <w:spacing w:after="0"/>
        <w:jc w:val="both"/>
        <w:rPr>
          <w:rFonts w:ascii="Arial" w:eastAsia="Times New Roman" w:hAnsi="Arial" w:cs="Arial"/>
        </w:rPr>
      </w:pPr>
    </w:p>
    <w:p w14:paraId="532262B2" w14:textId="77777777" w:rsidR="0070274F" w:rsidRPr="0070274F" w:rsidRDefault="0070274F" w:rsidP="004227CB">
      <w:pPr>
        <w:numPr>
          <w:ilvl w:val="0"/>
          <w:numId w:val="9"/>
        </w:numPr>
        <w:spacing w:after="0" w:line="252" w:lineRule="auto"/>
        <w:ind w:left="709"/>
        <w:jc w:val="both"/>
        <w:rPr>
          <w:rFonts w:ascii="Arial" w:eastAsia="Times New Roman" w:hAnsi="Arial" w:cs="Arial"/>
        </w:rPr>
      </w:pPr>
      <w:r w:rsidRPr="0070274F">
        <w:rPr>
          <w:rFonts w:ascii="Arial" w:eastAsia="Times New Roman" w:hAnsi="Arial" w:cs="Arial"/>
        </w:rPr>
        <w:t>El lugar, día y la hora en la que se realiza la comparecencia.</w:t>
      </w:r>
    </w:p>
    <w:p w14:paraId="693117CF" w14:textId="77777777" w:rsidR="0070274F" w:rsidRPr="0070274F" w:rsidRDefault="0070274F" w:rsidP="0070274F">
      <w:pPr>
        <w:spacing w:after="0"/>
        <w:ind w:left="709"/>
        <w:jc w:val="both"/>
        <w:rPr>
          <w:rFonts w:ascii="Arial" w:eastAsia="Times New Roman" w:hAnsi="Arial" w:cs="Arial"/>
        </w:rPr>
      </w:pPr>
    </w:p>
    <w:p w14:paraId="1B6B558A" w14:textId="77777777" w:rsidR="0070274F" w:rsidRPr="0070274F" w:rsidRDefault="0070274F" w:rsidP="004227CB">
      <w:pPr>
        <w:numPr>
          <w:ilvl w:val="0"/>
          <w:numId w:val="9"/>
        </w:numPr>
        <w:spacing w:after="0" w:line="252" w:lineRule="auto"/>
        <w:ind w:left="709"/>
        <w:jc w:val="both"/>
        <w:rPr>
          <w:rFonts w:ascii="Arial" w:eastAsia="Times New Roman" w:hAnsi="Arial" w:cs="Arial"/>
        </w:rPr>
      </w:pPr>
      <w:r w:rsidRPr="0070274F">
        <w:rPr>
          <w:rFonts w:ascii="Arial" w:eastAsia="Times New Roman" w:hAnsi="Arial" w:cs="Arial"/>
        </w:rPr>
        <w:t xml:space="preserve">Fecha de la emisión y notificación del acuerdo de admisión de pruebas. </w:t>
      </w:r>
    </w:p>
    <w:p w14:paraId="7FBD53D7" w14:textId="77777777" w:rsidR="0070274F" w:rsidRPr="0070274F" w:rsidRDefault="0070274F" w:rsidP="0070274F">
      <w:pPr>
        <w:spacing w:after="0"/>
        <w:ind w:left="709"/>
        <w:jc w:val="both"/>
        <w:rPr>
          <w:rFonts w:ascii="Arial" w:eastAsia="Times New Roman" w:hAnsi="Arial" w:cs="Arial"/>
        </w:rPr>
      </w:pPr>
    </w:p>
    <w:p w14:paraId="1D464E9A" w14:textId="77777777" w:rsidR="0070274F" w:rsidRPr="0070274F" w:rsidRDefault="0070274F" w:rsidP="004227CB">
      <w:pPr>
        <w:numPr>
          <w:ilvl w:val="0"/>
          <w:numId w:val="9"/>
        </w:numPr>
        <w:spacing w:after="0" w:line="252" w:lineRule="auto"/>
        <w:ind w:left="709"/>
        <w:jc w:val="both"/>
        <w:rPr>
          <w:rFonts w:ascii="Arial" w:eastAsia="Times New Roman" w:hAnsi="Arial" w:cs="Arial"/>
        </w:rPr>
      </w:pPr>
      <w:r w:rsidRPr="0070274F">
        <w:rPr>
          <w:rFonts w:ascii="Arial" w:eastAsia="Times New Roman" w:hAnsi="Arial" w:cs="Arial"/>
        </w:rPr>
        <w:t>Nombres del perito y del representante legal, apoderado o autorizado que presenta al perito por parte del Agente Económico emplazado.</w:t>
      </w:r>
    </w:p>
    <w:p w14:paraId="2D422836" w14:textId="77777777" w:rsidR="0070274F" w:rsidRPr="0070274F" w:rsidRDefault="0070274F" w:rsidP="0070274F">
      <w:pPr>
        <w:spacing w:after="0"/>
        <w:ind w:left="709"/>
        <w:jc w:val="both"/>
        <w:rPr>
          <w:rFonts w:ascii="Arial" w:eastAsia="Times New Roman" w:hAnsi="Arial" w:cs="Arial"/>
        </w:rPr>
      </w:pPr>
    </w:p>
    <w:p w14:paraId="5E0D7748" w14:textId="77777777" w:rsidR="0070274F" w:rsidRPr="0070274F" w:rsidRDefault="0070274F" w:rsidP="004227CB">
      <w:pPr>
        <w:numPr>
          <w:ilvl w:val="0"/>
          <w:numId w:val="9"/>
        </w:numPr>
        <w:spacing w:after="0" w:line="252" w:lineRule="auto"/>
        <w:ind w:left="709"/>
        <w:jc w:val="both"/>
        <w:rPr>
          <w:rFonts w:ascii="Arial" w:eastAsia="Times New Roman" w:hAnsi="Arial" w:cs="Arial"/>
        </w:rPr>
      </w:pPr>
      <w:r w:rsidRPr="0070274F">
        <w:rPr>
          <w:rFonts w:ascii="Arial" w:eastAsia="Times New Roman" w:hAnsi="Arial" w:cs="Arial"/>
        </w:rPr>
        <w:t>Mención de los documentos con los cuales el perito acredita los estudios, conocimientos y experiencia respecto de la materia específica en la que se ofreció la prueba.</w:t>
      </w:r>
    </w:p>
    <w:p w14:paraId="45A5F2ED" w14:textId="77777777" w:rsidR="0070274F" w:rsidRPr="0070274F" w:rsidRDefault="0070274F" w:rsidP="0070274F">
      <w:pPr>
        <w:spacing w:after="0"/>
        <w:ind w:left="709"/>
        <w:jc w:val="both"/>
        <w:rPr>
          <w:rFonts w:ascii="Arial" w:eastAsia="Times New Roman" w:hAnsi="Arial" w:cs="Arial"/>
        </w:rPr>
      </w:pPr>
    </w:p>
    <w:p w14:paraId="0A654BE9" w14:textId="77777777" w:rsidR="0070274F" w:rsidRPr="0070274F" w:rsidRDefault="0070274F" w:rsidP="004227CB">
      <w:pPr>
        <w:numPr>
          <w:ilvl w:val="0"/>
          <w:numId w:val="9"/>
        </w:numPr>
        <w:spacing w:after="0" w:line="252" w:lineRule="auto"/>
        <w:ind w:left="709"/>
        <w:jc w:val="both"/>
        <w:rPr>
          <w:rFonts w:ascii="Arial" w:eastAsia="Times New Roman" w:hAnsi="Arial" w:cs="Arial"/>
        </w:rPr>
      </w:pPr>
      <w:r w:rsidRPr="0070274F">
        <w:rPr>
          <w:rFonts w:ascii="Arial" w:eastAsia="Times New Roman" w:hAnsi="Arial" w:cs="Arial"/>
        </w:rPr>
        <w:t xml:space="preserve">Firmas de quienes intervienen en la comparecencia. </w:t>
      </w:r>
    </w:p>
    <w:p w14:paraId="6B1DED01" w14:textId="77777777" w:rsidR="0070274F" w:rsidRPr="0070274F" w:rsidRDefault="0070274F" w:rsidP="0070274F">
      <w:pPr>
        <w:spacing w:after="0"/>
        <w:jc w:val="both"/>
        <w:rPr>
          <w:rFonts w:ascii="Arial" w:eastAsia="Times New Roman" w:hAnsi="Arial" w:cs="Arial"/>
        </w:rPr>
      </w:pPr>
    </w:p>
    <w:p w14:paraId="761A248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caso de que la UCE advierta que el nombre del perito es incorrecto, por una sola ocasión, prevendrá al oferente a efecto de que corrija el nombre con la finalidad de desahogar la prueba ofrecida, bajo el apercibimiento de que, en caso de resultar incorrecto nuevamente, se tendrá por desierta la prueba.</w:t>
      </w:r>
    </w:p>
    <w:p w14:paraId="63F7BE2F" w14:textId="77777777" w:rsidR="0070274F" w:rsidRPr="0070274F" w:rsidRDefault="0070274F" w:rsidP="0070274F">
      <w:pPr>
        <w:spacing w:after="0"/>
        <w:jc w:val="both"/>
        <w:rPr>
          <w:rFonts w:ascii="Arial" w:eastAsia="Times New Roman" w:hAnsi="Arial" w:cs="Arial"/>
        </w:rPr>
      </w:pPr>
    </w:p>
    <w:p w14:paraId="3247F00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Una vez realizada la comparecencia, la UCE emitirá un acuerdo mediante el cual se tendrá por ratificado el nombramiento y protestado el encargo del perito, se indicará el plazo con que el perito cuenta para rendir su dictamen por escrito,</w:t>
      </w:r>
      <w:r w:rsidRPr="0070274F">
        <w:rPr>
          <w:rFonts w:eastAsia="Times New Roman"/>
        </w:rPr>
        <w:t xml:space="preserve"> </w:t>
      </w:r>
      <w:r w:rsidRPr="0070274F">
        <w:rPr>
          <w:rFonts w:ascii="Arial" w:eastAsia="Times New Roman" w:hAnsi="Arial" w:cs="Arial"/>
        </w:rPr>
        <w:t>el cuestionario que ofrece el emplazado y las preguntas que adiciona la AI, y la oportunidad que le asiste al oferente de la prueba para solicitar una prórroga en casos debidamente justificados. Asimismo, se apercibirá al oferente que, en caso de que el perito no rinda su dictamen en el plazo otorgado sin causa justificada, se tendrá por desierta la prueba.</w:t>
      </w:r>
    </w:p>
    <w:p w14:paraId="0CCF5BE4" w14:textId="77777777" w:rsidR="0070274F" w:rsidRPr="0070274F" w:rsidRDefault="0070274F" w:rsidP="0070274F">
      <w:pPr>
        <w:spacing w:after="0"/>
        <w:jc w:val="both"/>
        <w:rPr>
          <w:rFonts w:ascii="Arial" w:eastAsia="Times New Roman" w:hAnsi="Arial" w:cs="Arial"/>
        </w:rPr>
      </w:pPr>
    </w:p>
    <w:p w14:paraId="0A04E12B"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perito deberá rendir su dictamen por escrito en un plazo que no excederá de 15 (quince) días contados a partir del día siguiente a aquél en que acepte y proteste el cargo. Dicho plazo podrá prorrogarse en casos debidamente justificados y siempre que se solicite por el oferente de la prueba con una anticipación de 3 (tres) días al vencimiento del plazo originalmente señalado.</w:t>
      </w:r>
    </w:p>
    <w:p w14:paraId="783EEFF5" w14:textId="77777777" w:rsidR="0070274F" w:rsidRPr="0070274F" w:rsidRDefault="0070274F" w:rsidP="0070274F">
      <w:pPr>
        <w:spacing w:after="0"/>
        <w:jc w:val="both"/>
        <w:rPr>
          <w:rFonts w:ascii="Arial" w:eastAsia="Times New Roman" w:hAnsi="Arial" w:cs="Arial"/>
        </w:rPr>
      </w:pPr>
    </w:p>
    <w:p w14:paraId="218872D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Cuando sobrevenga una imposibilidad física o jurídica y por una sola ocasión, el oferente de la prueba pericial podrá nombrar nuevo perito, hasta 1 (un) día antes de la fecha señalada para presentar su dictamen o comparecer ante el Instituto.</w:t>
      </w:r>
    </w:p>
    <w:p w14:paraId="0AAA0D5B" w14:textId="77777777" w:rsidR="0070274F" w:rsidRPr="0070274F" w:rsidRDefault="0070274F" w:rsidP="0070274F">
      <w:pPr>
        <w:spacing w:after="0"/>
        <w:jc w:val="both"/>
        <w:rPr>
          <w:rFonts w:ascii="Arial" w:eastAsia="Times New Roman" w:hAnsi="Arial" w:cs="Arial"/>
        </w:rPr>
      </w:pPr>
    </w:p>
    <w:p w14:paraId="38CF037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rendido el dictamen pericial en tiempo y forma, la UCE emitirá un acuerdo mediante el cual se tendrá por rendido el dictamen. La UCE podrá citar o emitir requerimientos de información al perito por conducto del oferente de la prueba dentro de los 10 (diez) días siguientes a aquel en que se tenga por rendido el dictamen. Asimismo, la UCE podrá requerir al perito la práctica de nuevas diligencias cuando tenga razones justificadas para ello, mismas que deberá desahogar en un plazo que no excederá de 15 (quince) días contados a partir de que surta efectos la notificación del acuerdo correspondiente al Agente Económico que haya ofrecido la prueba pericial.</w:t>
      </w:r>
    </w:p>
    <w:p w14:paraId="78C50142" w14:textId="77777777" w:rsidR="0070274F" w:rsidRPr="0070274F" w:rsidRDefault="0070274F" w:rsidP="0070274F">
      <w:pPr>
        <w:spacing w:after="0"/>
        <w:jc w:val="both"/>
        <w:rPr>
          <w:rFonts w:ascii="Arial" w:eastAsia="Times New Roman" w:hAnsi="Arial" w:cs="Arial"/>
        </w:rPr>
      </w:pPr>
    </w:p>
    <w:p w14:paraId="38CE4C0B"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Cuando a juicio de la UCE deba dirigirse la diligencia respectiva y su naturaleza lo permita, emitirá un acuerdo mediante el cual se señalará el lugar, el día y la hora para el desahogo de la prueba pericial, mismo que se notificará a las partes del procedimiento seguido en forma de juicio. En el desahogo de la diligencia, el servidor público designado puede solicitar al perito todas las aclaraciones que estime conducentes. En este caso, de la diligencia se levantará acta en la que se harán constar las actuaciones realizadas, las respuestas del perito y las manifestaciones del oferente de la prueba, siempre y cuando éstas versen sobre el mismo dictamen pericial. El acta será firmada por todos los que intervengan en ella.</w:t>
      </w:r>
    </w:p>
    <w:p w14:paraId="5D4820A1" w14:textId="77777777" w:rsidR="0070274F" w:rsidRPr="0070274F" w:rsidRDefault="0070274F" w:rsidP="0070274F">
      <w:pPr>
        <w:spacing w:after="0"/>
        <w:jc w:val="both"/>
        <w:rPr>
          <w:rFonts w:ascii="Arial" w:eastAsia="Times New Roman" w:hAnsi="Arial" w:cs="Arial"/>
        </w:rPr>
      </w:pPr>
    </w:p>
    <w:p w14:paraId="3318AA2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 prueba pericial se tendrá por desahogada cuando la UCE no ordene requerimientos o diligencias adicionales, o en su caso, sean ordenadas nuevas diligencias y estas sean desahogadas por el perito en tiempo y forma. </w:t>
      </w:r>
    </w:p>
    <w:p w14:paraId="5443DEE6" w14:textId="77777777" w:rsidR="0070274F" w:rsidRPr="0070274F" w:rsidRDefault="0070274F" w:rsidP="0070274F">
      <w:pPr>
        <w:spacing w:after="0"/>
        <w:jc w:val="both"/>
        <w:rPr>
          <w:rFonts w:ascii="Arial" w:eastAsia="Times New Roman" w:hAnsi="Arial" w:cs="Arial"/>
        </w:rPr>
      </w:pPr>
    </w:p>
    <w:p w14:paraId="4ACB03C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prueba pericial se declarará desierta cuando el oferente no provea lo necesario para la preparación y desahogo de la misma.</w:t>
      </w:r>
    </w:p>
    <w:p w14:paraId="695BFA06" w14:textId="77777777" w:rsidR="0070274F" w:rsidRPr="0070274F" w:rsidRDefault="0070274F" w:rsidP="0070274F">
      <w:pPr>
        <w:spacing w:after="0"/>
        <w:jc w:val="both"/>
        <w:rPr>
          <w:rFonts w:ascii="Arial" w:eastAsia="Times New Roman" w:hAnsi="Arial" w:cs="Arial"/>
        </w:rPr>
      </w:pPr>
    </w:p>
    <w:p w14:paraId="08939C23" w14:textId="77777777" w:rsidR="0070274F" w:rsidRPr="0070274F" w:rsidRDefault="0070274F" w:rsidP="0070274F">
      <w:pPr>
        <w:keepNext/>
        <w:keepLines/>
        <w:spacing w:after="0"/>
        <w:ind w:left="567"/>
        <w:jc w:val="both"/>
        <w:outlineLvl w:val="2"/>
        <w:rPr>
          <w:rFonts w:ascii="Arial" w:eastAsia="Times New Roman" w:hAnsi="Arial"/>
          <w:b/>
          <w:spacing w:val="4"/>
          <w:sz w:val="26"/>
          <w:szCs w:val="24"/>
        </w:rPr>
      </w:pPr>
      <w:bookmarkStart w:id="45" w:name="_Toc69242785"/>
      <w:bookmarkStart w:id="46" w:name="_Toc69248093"/>
      <w:bookmarkStart w:id="47" w:name="_Toc69248452"/>
      <w:bookmarkStart w:id="48" w:name="_Toc70950934"/>
      <w:r w:rsidRPr="0070274F">
        <w:rPr>
          <w:rFonts w:ascii="Arial" w:eastAsia="Times New Roman" w:hAnsi="Arial"/>
          <w:b/>
          <w:spacing w:val="4"/>
          <w:sz w:val="26"/>
          <w:szCs w:val="24"/>
        </w:rPr>
        <w:lastRenderedPageBreak/>
        <w:t>2.5.4. Inspección</w:t>
      </w:r>
      <w:bookmarkEnd w:id="45"/>
      <w:bookmarkEnd w:id="46"/>
      <w:bookmarkEnd w:id="47"/>
      <w:bookmarkEnd w:id="48"/>
    </w:p>
    <w:p w14:paraId="21D9AA08" w14:textId="77777777" w:rsidR="0070274F" w:rsidRPr="0070274F" w:rsidRDefault="0070274F" w:rsidP="0070274F">
      <w:pPr>
        <w:spacing w:after="0"/>
        <w:jc w:val="both"/>
        <w:rPr>
          <w:rFonts w:ascii="Arial" w:eastAsia="Times New Roman" w:hAnsi="Arial" w:cs="Arial"/>
        </w:rPr>
      </w:pPr>
    </w:p>
    <w:p w14:paraId="365CBB0A"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Será materia de inspección todo aquello que pueda ser directamente apreciado por el o los servidores públicos comisionados para tal efecto, sin necesidad de conocimiento técnico alguno, siempre que se encuentre dentro del objeto de visita, sin que en ningún caso puedan realizarse requerimientos genéricos.</w:t>
      </w:r>
    </w:p>
    <w:p w14:paraId="1E804913" w14:textId="77777777" w:rsidR="0070274F" w:rsidRPr="0070274F" w:rsidRDefault="0070274F" w:rsidP="0070274F">
      <w:pPr>
        <w:spacing w:after="0"/>
        <w:jc w:val="both"/>
        <w:rPr>
          <w:rFonts w:ascii="Arial" w:eastAsia="Times New Roman" w:hAnsi="Arial" w:cs="Arial"/>
        </w:rPr>
      </w:pPr>
    </w:p>
    <w:p w14:paraId="3A801A9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orden de inspección contendrá el objeto, alcance y duración a los que deberá limitarse la diligencia, así como el nombre o nombres de los servidores públicos que la practicarán.</w:t>
      </w:r>
    </w:p>
    <w:p w14:paraId="5F891800" w14:textId="77777777" w:rsidR="0070274F" w:rsidRPr="0070274F" w:rsidRDefault="0070274F" w:rsidP="0070274F">
      <w:pPr>
        <w:spacing w:after="0"/>
        <w:jc w:val="both"/>
        <w:rPr>
          <w:rFonts w:ascii="Arial" w:eastAsia="Times New Roman" w:hAnsi="Arial" w:cs="Arial"/>
        </w:rPr>
      </w:pPr>
    </w:p>
    <w:p w14:paraId="296AAF9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Si algún AE con interés jurídico en el procedimiento concurre al desahogo de la prueba, solamente podrá realizar las observaciones que estime convenientes, sin que pueda formular preguntas a las personas que se ubican en el lugar objeto de la prueba. </w:t>
      </w:r>
    </w:p>
    <w:p w14:paraId="7CDEE36E" w14:textId="77777777" w:rsidR="0070274F" w:rsidRPr="0070274F" w:rsidRDefault="0070274F" w:rsidP="0070274F">
      <w:pPr>
        <w:spacing w:after="0"/>
        <w:jc w:val="both"/>
        <w:rPr>
          <w:rFonts w:ascii="Arial" w:eastAsia="Times New Roman" w:hAnsi="Arial" w:cs="Arial"/>
        </w:rPr>
      </w:pPr>
    </w:p>
    <w:p w14:paraId="0DC80047"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Al concluir la inspección se levantará acta circunstanciada, en la que se hará constar:</w:t>
      </w:r>
    </w:p>
    <w:p w14:paraId="4CBF6D72" w14:textId="77777777" w:rsidR="0070274F" w:rsidRPr="0070274F" w:rsidRDefault="0070274F" w:rsidP="0070274F">
      <w:pPr>
        <w:spacing w:after="0"/>
        <w:jc w:val="both"/>
        <w:rPr>
          <w:rFonts w:ascii="Arial" w:eastAsia="Times New Roman" w:hAnsi="Arial" w:cs="Arial"/>
        </w:rPr>
      </w:pPr>
    </w:p>
    <w:p w14:paraId="66D69D75"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El lugar, el día y la hora en que se inicia y concluye la diligencia;</w:t>
      </w:r>
    </w:p>
    <w:p w14:paraId="526372AF" w14:textId="77777777" w:rsidR="0070274F" w:rsidRPr="0070274F" w:rsidRDefault="0070274F" w:rsidP="0070274F">
      <w:pPr>
        <w:spacing w:after="0"/>
        <w:ind w:left="709"/>
        <w:jc w:val="both"/>
        <w:rPr>
          <w:rFonts w:ascii="Arial" w:eastAsia="Times New Roman" w:hAnsi="Arial" w:cs="Arial"/>
        </w:rPr>
      </w:pPr>
    </w:p>
    <w:p w14:paraId="4C3393F7"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Fecha en que se emitió y notificó la orden de inspección;</w:t>
      </w:r>
    </w:p>
    <w:p w14:paraId="71C05640" w14:textId="77777777" w:rsidR="0070274F" w:rsidRPr="0070274F" w:rsidRDefault="0070274F" w:rsidP="0070274F">
      <w:pPr>
        <w:spacing w:after="0"/>
        <w:ind w:left="709"/>
        <w:jc w:val="both"/>
        <w:rPr>
          <w:rFonts w:ascii="Arial" w:eastAsia="Times New Roman" w:hAnsi="Arial" w:cs="Arial"/>
        </w:rPr>
      </w:pPr>
    </w:p>
    <w:p w14:paraId="7AB9C830"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Número y fecha del oficio mediante el cual se comisionó a los servidores públicos para el desahogo de la diligencia, en su caso;</w:t>
      </w:r>
    </w:p>
    <w:p w14:paraId="4441CBDA" w14:textId="77777777" w:rsidR="0070274F" w:rsidRPr="0070274F" w:rsidRDefault="0070274F" w:rsidP="0070274F">
      <w:pPr>
        <w:spacing w:after="0"/>
        <w:ind w:left="709"/>
        <w:jc w:val="both"/>
        <w:rPr>
          <w:rFonts w:ascii="Arial" w:eastAsia="Times New Roman" w:hAnsi="Arial" w:cs="Arial"/>
        </w:rPr>
      </w:pPr>
    </w:p>
    <w:p w14:paraId="2B36521F"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Los apercibimientos que correspondan conforme a la LFCE;</w:t>
      </w:r>
    </w:p>
    <w:p w14:paraId="5DF946A0" w14:textId="77777777" w:rsidR="0070274F" w:rsidRPr="0070274F" w:rsidRDefault="0070274F" w:rsidP="0070274F">
      <w:pPr>
        <w:spacing w:after="0"/>
        <w:ind w:left="709"/>
        <w:jc w:val="both"/>
        <w:rPr>
          <w:rFonts w:ascii="Arial" w:eastAsia="Times New Roman" w:hAnsi="Arial" w:cs="Arial"/>
        </w:rPr>
      </w:pPr>
    </w:p>
    <w:p w14:paraId="3F176063"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Nombre de todos los servidores públicos que intervienen en la diligencia;</w:t>
      </w:r>
    </w:p>
    <w:p w14:paraId="7ED97DE4" w14:textId="77777777" w:rsidR="0070274F" w:rsidRPr="0070274F" w:rsidRDefault="0070274F" w:rsidP="0070274F">
      <w:pPr>
        <w:spacing w:after="0"/>
        <w:ind w:left="709"/>
        <w:jc w:val="both"/>
        <w:rPr>
          <w:rFonts w:ascii="Arial" w:eastAsia="Times New Roman" w:hAnsi="Arial" w:cs="Arial"/>
        </w:rPr>
      </w:pPr>
    </w:p>
    <w:p w14:paraId="78BFA26A"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Copia de los documentos mediante los cuales se identifiquen todas las personas que hayan intervenido en la diligencia, previo cotejo con su original o copia certificada, por parte del servidor público comisionado a desahogar la diligencia;</w:t>
      </w:r>
    </w:p>
    <w:p w14:paraId="6AC6AFD2" w14:textId="77777777" w:rsidR="0070274F" w:rsidRPr="0070274F" w:rsidRDefault="0070274F" w:rsidP="0070274F">
      <w:pPr>
        <w:spacing w:after="0"/>
        <w:ind w:left="709"/>
        <w:jc w:val="both"/>
        <w:rPr>
          <w:rFonts w:ascii="Arial" w:eastAsia="Times New Roman" w:hAnsi="Arial" w:cs="Arial"/>
        </w:rPr>
      </w:pPr>
    </w:p>
    <w:p w14:paraId="6353FA1B"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Las cuestiones que se observaron, que se irán asentando y estarán a la vista de las personas que intervengan en la diligencia;</w:t>
      </w:r>
    </w:p>
    <w:p w14:paraId="27AED087" w14:textId="77777777" w:rsidR="0070274F" w:rsidRPr="0070274F" w:rsidRDefault="0070274F" w:rsidP="0070274F">
      <w:pPr>
        <w:spacing w:after="0"/>
        <w:ind w:left="709"/>
        <w:jc w:val="both"/>
        <w:rPr>
          <w:rFonts w:ascii="Arial" w:eastAsia="Times New Roman" w:hAnsi="Arial" w:cs="Arial"/>
        </w:rPr>
      </w:pPr>
    </w:p>
    <w:p w14:paraId="7882820A"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Mención de la oportunidad que se da a las personas que intervienen para formular las observaciones que consideren pertinentes, al término de la inspección y, en su caso, la inserción de dichas observaciones. También se asentará la negativa a ejercer ese derecho, y</w:t>
      </w:r>
    </w:p>
    <w:p w14:paraId="41C39FE9" w14:textId="77777777" w:rsidR="0070274F" w:rsidRPr="0070274F" w:rsidRDefault="0070274F" w:rsidP="0070274F">
      <w:pPr>
        <w:spacing w:after="0"/>
        <w:ind w:left="709"/>
        <w:jc w:val="both"/>
        <w:rPr>
          <w:rFonts w:ascii="Arial" w:eastAsia="Times New Roman" w:hAnsi="Arial" w:cs="Arial"/>
        </w:rPr>
      </w:pPr>
    </w:p>
    <w:p w14:paraId="08DA853D" w14:textId="77777777" w:rsidR="0070274F" w:rsidRPr="0070274F" w:rsidRDefault="0070274F" w:rsidP="004227CB">
      <w:pPr>
        <w:numPr>
          <w:ilvl w:val="0"/>
          <w:numId w:val="10"/>
        </w:numPr>
        <w:spacing w:after="0" w:line="252" w:lineRule="auto"/>
        <w:ind w:left="709"/>
        <w:jc w:val="both"/>
        <w:rPr>
          <w:rFonts w:ascii="Arial" w:eastAsia="Times New Roman" w:hAnsi="Arial" w:cs="Arial"/>
        </w:rPr>
      </w:pPr>
      <w:r w:rsidRPr="0070274F">
        <w:rPr>
          <w:rFonts w:ascii="Arial" w:eastAsia="Times New Roman" w:hAnsi="Arial" w:cs="Arial"/>
        </w:rPr>
        <w:t>Nombre y firma de quienes intervienen en la diligencia y, en su caso, la indicación de quienes se negaron a firmar el acta.</w:t>
      </w:r>
    </w:p>
    <w:p w14:paraId="42363599" w14:textId="77777777" w:rsidR="0070274F" w:rsidRPr="0070274F" w:rsidRDefault="0070274F" w:rsidP="0070274F">
      <w:pPr>
        <w:spacing w:after="0"/>
        <w:jc w:val="both"/>
        <w:rPr>
          <w:rFonts w:ascii="Arial" w:eastAsia="Times New Roman" w:hAnsi="Arial" w:cs="Arial"/>
        </w:rPr>
      </w:pPr>
    </w:p>
    <w:p w14:paraId="34B3108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En su caso, se podrá agregar al acta, los planos levantados o fotografías tomadas del lugar u objeto inspeccionados. Previamente a la firma del acta, los servidores públicos comisionados </w:t>
      </w:r>
      <w:r w:rsidRPr="0070274F">
        <w:rPr>
          <w:rFonts w:ascii="Arial" w:eastAsia="Times New Roman" w:hAnsi="Arial" w:cs="Arial"/>
        </w:rPr>
        <w:lastRenderedPageBreak/>
        <w:t xml:space="preserve">para desahogar la diligencia deberán dar lectura de la misma, acto que deberá también hacerse constar en el acta. </w:t>
      </w:r>
    </w:p>
    <w:p w14:paraId="548D5AF0" w14:textId="77777777" w:rsidR="0070274F" w:rsidRPr="0070274F" w:rsidRDefault="0070274F" w:rsidP="0070274F">
      <w:pPr>
        <w:spacing w:after="0"/>
        <w:jc w:val="both"/>
        <w:rPr>
          <w:rFonts w:ascii="Arial" w:eastAsia="Times New Roman" w:hAnsi="Arial" w:cs="Arial"/>
        </w:rPr>
      </w:pPr>
    </w:p>
    <w:p w14:paraId="4DE691DD" w14:textId="77777777" w:rsidR="0070274F" w:rsidRPr="0070274F" w:rsidRDefault="0070274F" w:rsidP="0070274F">
      <w:pPr>
        <w:keepNext/>
        <w:keepLines/>
        <w:spacing w:after="0"/>
        <w:ind w:left="567"/>
        <w:jc w:val="both"/>
        <w:outlineLvl w:val="2"/>
        <w:rPr>
          <w:rFonts w:ascii="Arial" w:eastAsia="Times New Roman" w:hAnsi="Arial"/>
          <w:b/>
          <w:spacing w:val="4"/>
          <w:sz w:val="26"/>
          <w:szCs w:val="24"/>
        </w:rPr>
      </w:pPr>
      <w:bookmarkStart w:id="49" w:name="_Toc69242786"/>
      <w:bookmarkStart w:id="50" w:name="_Toc69248094"/>
      <w:bookmarkStart w:id="51" w:name="_Toc69248453"/>
      <w:bookmarkStart w:id="52" w:name="_Toc70950935"/>
      <w:r w:rsidRPr="0070274F">
        <w:rPr>
          <w:rFonts w:ascii="Arial" w:eastAsia="Times New Roman" w:hAnsi="Arial"/>
          <w:b/>
          <w:spacing w:val="4"/>
          <w:sz w:val="26"/>
          <w:szCs w:val="24"/>
        </w:rPr>
        <w:t>2.5.6. Pruebas Supervenientes</w:t>
      </w:r>
      <w:bookmarkEnd w:id="49"/>
      <w:bookmarkEnd w:id="50"/>
      <w:bookmarkEnd w:id="51"/>
      <w:bookmarkEnd w:id="52"/>
    </w:p>
    <w:p w14:paraId="21769B9C" w14:textId="77777777" w:rsidR="0070274F" w:rsidRPr="0070274F" w:rsidRDefault="0070274F" w:rsidP="0070274F">
      <w:pPr>
        <w:spacing w:after="0"/>
        <w:jc w:val="both"/>
        <w:rPr>
          <w:rFonts w:ascii="Arial" w:eastAsia="Times New Roman" w:hAnsi="Arial" w:cs="Arial"/>
        </w:rPr>
      </w:pPr>
    </w:p>
    <w:p w14:paraId="5E3C7EB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pruebas supervenientes podrán presentarse hasta antes de la integración del expediente. Se entenderá como pruebas supervenientes, aquellas que no existían al momento de presentar el escrito de manifestaciones.</w:t>
      </w:r>
    </w:p>
    <w:p w14:paraId="51D64AE2" w14:textId="77777777" w:rsidR="0070274F" w:rsidRPr="0070274F" w:rsidRDefault="0070274F" w:rsidP="0070274F">
      <w:pPr>
        <w:spacing w:after="0"/>
        <w:jc w:val="both"/>
        <w:rPr>
          <w:rFonts w:ascii="Arial" w:eastAsia="Times New Roman" w:hAnsi="Arial" w:cs="Arial"/>
        </w:rPr>
      </w:pPr>
    </w:p>
    <w:p w14:paraId="6A7B228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reglas para el desahogo de las pruebas supervenientes serán las mismas que aplican para aquellas que pueden ser ofrecidas en el escrito de manifestaciones.</w:t>
      </w:r>
    </w:p>
    <w:p w14:paraId="10E7D4C2" w14:textId="77777777" w:rsidR="0070274F" w:rsidRPr="0070274F" w:rsidRDefault="0070274F" w:rsidP="0070274F">
      <w:pPr>
        <w:spacing w:after="0"/>
        <w:jc w:val="both"/>
        <w:rPr>
          <w:rFonts w:ascii="Arial" w:eastAsia="Times New Roman" w:hAnsi="Arial" w:cs="Arial"/>
        </w:rPr>
      </w:pPr>
    </w:p>
    <w:p w14:paraId="28D9CFCC"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53" w:name="_Toc69242795"/>
      <w:bookmarkStart w:id="54" w:name="_Toc69248103"/>
      <w:bookmarkStart w:id="55" w:name="_Toc69248462"/>
      <w:bookmarkStart w:id="56" w:name="_Toc70950936"/>
      <w:r w:rsidRPr="0070274F">
        <w:rPr>
          <w:rFonts w:ascii="Arial" w:eastAsia="Times New Roman" w:hAnsi="Arial"/>
          <w:b/>
          <w:bCs/>
          <w:sz w:val="26"/>
          <w:szCs w:val="28"/>
        </w:rPr>
        <w:t>2.6. Pruebas para mejor proveer</w:t>
      </w:r>
      <w:bookmarkEnd w:id="53"/>
      <w:bookmarkEnd w:id="54"/>
      <w:bookmarkEnd w:id="55"/>
      <w:bookmarkEnd w:id="56"/>
    </w:p>
    <w:p w14:paraId="47059D3A" w14:textId="77777777" w:rsidR="0070274F" w:rsidRPr="0070274F" w:rsidRDefault="0070274F" w:rsidP="0070274F">
      <w:pPr>
        <w:spacing w:after="0"/>
        <w:jc w:val="both"/>
        <w:rPr>
          <w:rFonts w:ascii="Arial" w:eastAsia="Times New Roman" w:hAnsi="Arial" w:cs="Arial"/>
        </w:rPr>
      </w:pPr>
    </w:p>
    <w:p w14:paraId="3D6D84ED"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desahogadas las pruebas ordinarias, dentro de los 10 (diez) días siguientes, el Instituto podrá allegarse y ordenar el desahogo de pruebas para mejor proveer. Para tal efecto, el Instituto emitirá el acuerdo mediante el cual ordene el desahogo de pruebas para mejor proveer y dar vista al probable responsable y a la Autoridad Investigadora, para que en un plazo de 5 (cinco) días manifiesten lo que a su derecho convenga. Desahogada la vista o precluido el derecho para hacerlo, el Instituto proveerá lo necesario para el desahogo de las pruebas para mejor proveer.</w:t>
      </w:r>
    </w:p>
    <w:p w14:paraId="2D913D2F" w14:textId="77777777" w:rsidR="0070274F" w:rsidRPr="0070274F" w:rsidRDefault="0070274F" w:rsidP="0070274F">
      <w:pPr>
        <w:spacing w:after="0"/>
        <w:jc w:val="both"/>
        <w:rPr>
          <w:rFonts w:ascii="Arial" w:eastAsia="Times New Roman" w:hAnsi="Arial" w:cs="Arial"/>
        </w:rPr>
      </w:pPr>
    </w:p>
    <w:p w14:paraId="37E4F9A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Instituto podrá requerir a cualquier persona que tenga conocimiento o relación con el procedimiento seguido en forma de juicio, información, cosas o documentos que obren en su poder. Para tal efecto, el Instituto podrá hacerlo como pruebas para mejor proveer.</w:t>
      </w:r>
    </w:p>
    <w:p w14:paraId="664B7E98" w14:textId="77777777" w:rsidR="0070274F" w:rsidRPr="0070274F" w:rsidRDefault="0070274F" w:rsidP="0070274F">
      <w:pPr>
        <w:spacing w:after="0"/>
        <w:jc w:val="both"/>
        <w:rPr>
          <w:rFonts w:ascii="Arial" w:eastAsia="Times New Roman" w:hAnsi="Arial" w:cs="Arial"/>
        </w:rPr>
      </w:pPr>
    </w:p>
    <w:p w14:paraId="79448D1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reglas para el desahogo de las pruebas para mejor proveer serán las mismas que aplican para aquellas que pueden ser ofrecidas en el escrito de manifestaciones.</w:t>
      </w:r>
    </w:p>
    <w:p w14:paraId="55E6BA6C" w14:textId="77777777" w:rsidR="0070274F" w:rsidRPr="0070274F" w:rsidRDefault="0070274F" w:rsidP="0070274F">
      <w:pPr>
        <w:spacing w:after="0"/>
        <w:jc w:val="both"/>
        <w:rPr>
          <w:rFonts w:ascii="Arial" w:eastAsia="Times New Roman" w:hAnsi="Arial" w:cs="Arial"/>
        </w:rPr>
      </w:pPr>
    </w:p>
    <w:p w14:paraId="0F8AAB43"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57" w:name="_Toc69242796"/>
      <w:bookmarkStart w:id="58" w:name="_Toc69248104"/>
      <w:bookmarkStart w:id="59" w:name="_Toc69248463"/>
      <w:bookmarkStart w:id="60" w:name="_Toc70950937"/>
      <w:r w:rsidRPr="0070274F">
        <w:rPr>
          <w:rFonts w:ascii="Arial" w:eastAsia="Times New Roman" w:hAnsi="Arial"/>
          <w:b/>
          <w:bCs/>
          <w:sz w:val="26"/>
          <w:szCs w:val="28"/>
        </w:rPr>
        <w:t>2.7. Alegatos e integración</w:t>
      </w:r>
      <w:bookmarkEnd w:id="57"/>
      <w:bookmarkEnd w:id="58"/>
      <w:bookmarkEnd w:id="59"/>
      <w:bookmarkEnd w:id="60"/>
    </w:p>
    <w:p w14:paraId="55D8DDA4" w14:textId="77777777" w:rsidR="0070274F" w:rsidRPr="0070274F" w:rsidRDefault="0070274F" w:rsidP="0070274F">
      <w:pPr>
        <w:spacing w:after="0"/>
        <w:jc w:val="both"/>
        <w:rPr>
          <w:rFonts w:ascii="Arial" w:eastAsia="Times New Roman" w:hAnsi="Arial" w:cs="Arial"/>
        </w:rPr>
      </w:pPr>
    </w:p>
    <w:p w14:paraId="7BBBAE2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desahogadas las pruebas ordinarias o, en su caso, las pruebas para mejor proveer,</w:t>
      </w:r>
      <w:r w:rsidRPr="0070274F" w:rsidDel="00C04203">
        <w:rPr>
          <w:rFonts w:ascii="Arial" w:eastAsia="Times New Roman" w:hAnsi="Arial" w:cs="Arial"/>
        </w:rPr>
        <w:t xml:space="preserve"> </w:t>
      </w:r>
      <w:r w:rsidRPr="0070274F">
        <w:rPr>
          <w:rFonts w:ascii="Arial" w:eastAsia="Times New Roman" w:hAnsi="Arial" w:cs="Arial"/>
        </w:rPr>
        <w:t>el Instituto fijará un plazo no mayor a 10 (diez) días para que el probable responsable y la Autoridad Investigadora formulen por escrito los alegatos que correspondan.</w:t>
      </w:r>
    </w:p>
    <w:p w14:paraId="6A15C6C4" w14:textId="77777777" w:rsidR="0070274F" w:rsidRPr="0070274F" w:rsidRDefault="0070274F" w:rsidP="0070274F">
      <w:pPr>
        <w:spacing w:after="0"/>
        <w:jc w:val="both"/>
        <w:rPr>
          <w:rFonts w:ascii="Arial" w:eastAsia="Times New Roman" w:hAnsi="Arial" w:cs="Arial"/>
        </w:rPr>
      </w:pPr>
    </w:p>
    <w:p w14:paraId="607745E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El expediente se entenderá integrado a la fecha de presentación de los alegatos o al vencimiento del plazo otorgado para ello. El acuerdo que para tal efecto emita el Instituto, deberá indicar la fecha en que se tuvo por integrado el expediente y la razón de ello. </w:t>
      </w:r>
    </w:p>
    <w:p w14:paraId="5AC1ED62" w14:textId="77777777" w:rsidR="0070274F" w:rsidRPr="0070274F" w:rsidRDefault="0070274F" w:rsidP="0070274F">
      <w:pPr>
        <w:spacing w:after="0"/>
        <w:jc w:val="both"/>
        <w:rPr>
          <w:rFonts w:ascii="Arial" w:eastAsia="Times New Roman" w:hAnsi="Arial" w:cs="Arial"/>
        </w:rPr>
      </w:pPr>
    </w:p>
    <w:p w14:paraId="5CBCBE76"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61" w:name="_Toc69242797"/>
      <w:bookmarkStart w:id="62" w:name="_Toc69248105"/>
      <w:bookmarkStart w:id="63" w:name="_Toc69248464"/>
      <w:bookmarkStart w:id="64" w:name="_Toc70950938"/>
      <w:r w:rsidRPr="0070274F">
        <w:rPr>
          <w:rFonts w:ascii="Arial" w:eastAsia="Times New Roman" w:hAnsi="Arial"/>
          <w:b/>
          <w:bCs/>
          <w:sz w:val="26"/>
          <w:szCs w:val="28"/>
        </w:rPr>
        <w:t>2.8. Comisionada o Comisionado Ponente</w:t>
      </w:r>
      <w:bookmarkEnd w:id="61"/>
      <w:bookmarkEnd w:id="62"/>
      <w:bookmarkEnd w:id="63"/>
      <w:bookmarkEnd w:id="64"/>
    </w:p>
    <w:p w14:paraId="4FE3AA5B" w14:textId="77777777" w:rsidR="0070274F" w:rsidRPr="0070274F" w:rsidRDefault="0070274F" w:rsidP="0070274F">
      <w:pPr>
        <w:spacing w:after="0"/>
        <w:jc w:val="both"/>
        <w:rPr>
          <w:rFonts w:ascii="Arial" w:eastAsia="Times New Roman" w:hAnsi="Arial" w:cs="Arial"/>
        </w:rPr>
      </w:pPr>
    </w:p>
    <w:p w14:paraId="6C0B37B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Una vez integrado el expediente, se informará al Presidente o Presidenta del Instituto sobre el estado procesal que guarda el expediente, a efecto de que lo turne al Comisionado o Comisionada Ponente que corresponda.</w:t>
      </w:r>
    </w:p>
    <w:p w14:paraId="0564DBA5" w14:textId="77777777" w:rsidR="0070274F" w:rsidRPr="0070274F" w:rsidRDefault="0070274F" w:rsidP="0070274F">
      <w:pPr>
        <w:spacing w:after="0"/>
        <w:jc w:val="both"/>
        <w:rPr>
          <w:rFonts w:ascii="Arial" w:eastAsia="Times New Roman" w:hAnsi="Arial" w:cs="Arial"/>
        </w:rPr>
      </w:pPr>
    </w:p>
    <w:p w14:paraId="094B081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Comisionada o Comisionado Ponente se designará de manera rotatoria, siguiendo rigurosamente el orden de designación de los Comisionados, así como el orden cronológico en que se integró el expediente, quien tendrá la obligación de presentar el proyecto de resolución al Pleno para su aprobación o modificación, en cuyo caso incorporará al proyecto dichas modificaciones o correcciones sugeridas por el Pleno.</w:t>
      </w:r>
    </w:p>
    <w:p w14:paraId="1E82D25F" w14:textId="77777777" w:rsidR="0070274F" w:rsidRPr="0070274F" w:rsidRDefault="0070274F" w:rsidP="0070274F">
      <w:pPr>
        <w:spacing w:after="0"/>
        <w:jc w:val="both"/>
        <w:rPr>
          <w:rFonts w:ascii="Arial" w:eastAsia="Times New Roman" w:hAnsi="Arial" w:cs="Arial"/>
        </w:rPr>
      </w:pPr>
    </w:p>
    <w:p w14:paraId="1BCD42D5"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65" w:name="_Toc69242798"/>
      <w:bookmarkStart w:id="66" w:name="_Toc69248106"/>
      <w:bookmarkStart w:id="67" w:name="_Toc69248465"/>
      <w:bookmarkStart w:id="68" w:name="_Toc70950939"/>
      <w:r w:rsidRPr="0070274F">
        <w:rPr>
          <w:rFonts w:ascii="Arial" w:eastAsia="Times New Roman" w:hAnsi="Arial"/>
          <w:b/>
          <w:bCs/>
          <w:sz w:val="26"/>
          <w:szCs w:val="28"/>
        </w:rPr>
        <w:t>2.9. Audiencia oral</w:t>
      </w:r>
      <w:bookmarkEnd w:id="65"/>
      <w:bookmarkEnd w:id="66"/>
      <w:bookmarkEnd w:id="67"/>
      <w:bookmarkEnd w:id="68"/>
    </w:p>
    <w:p w14:paraId="2C89A153" w14:textId="77777777" w:rsidR="0070274F" w:rsidRPr="0070274F" w:rsidRDefault="0070274F" w:rsidP="0070274F">
      <w:pPr>
        <w:spacing w:after="0"/>
        <w:jc w:val="both"/>
        <w:rPr>
          <w:rFonts w:ascii="Arial" w:eastAsia="Times New Roman" w:hAnsi="Arial" w:cs="Arial"/>
        </w:rPr>
      </w:pPr>
    </w:p>
    <w:p w14:paraId="36FEAC9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Dentro de los 10 (diez) días siguientes a la notificación del acuerdo por el que la UCE haya tenido integrado el expediente, el probable responsable o, en su caso, el denunciante, tendrán derecho de solicitar al Pleno la realización de una audiencia oral, con el objeto de realizar las manifestaciones que estimen pertinentes, las cuales solamente podrán versar sobre la materia e información que obre en el expediente.</w:t>
      </w:r>
    </w:p>
    <w:p w14:paraId="6330FD77" w14:textId="77777777" w:rsidR="0070274F" w:rsidRPr="0070274F" w:rsidRDefault="0070274F" w:rsidP="0070274F">
      <w:pPr>
        <w:spacing w:after="0"/>
        <w:jc w:val="both"/>
        <w:rPr>
          <w:rFonts w:ascii="Arial" w:eastAsia="Times New Roman" w:hAnsi="Arial" w:cs="Arial"/>
        </w:rPr>
      </w:pPr>
    </w:p>
    <w:p w14:paraId="6978B6CA"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que la UCE reciba la solicitud de la audiencia oral, emitirá un acuerdo mediante el cual reservará su otorgamiento al Pleno, quien acordará la solicitud presentada, fijará, en su caso, la fecha, lugar y la hora para su celebración, y determinará e informará a los AE el tiempo otorgado para cada intervención. Dicho acuerdo se le notificará a la Autoridad Investigadora a efecto que designe a los servidores públicos que asistirán a la audiencia.</w:t>
      </w:r>
    </w:p>
    <w:p w14:paraId="57094730" w14:textId="77777777" w:rsidR="0070274F" w:rsidRPr="0070274F" w:rsidRDefault="0070274F" w:rsidP="0070274F">
      <w:pPr>
        <w:spacing w:after="0"/>
        <w:jc w:val="both"/>
        <w:rPr>
          <w:rFonts w:ascii="Arial" w:eastAsia="Times New Roman" w:hAnsi="Arial" w:cs="Arial"/>
        </w:rPr>
      </w:pPr>
    </w:p>
    <w:p w14:paraId="19FCD42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 la audiencia solamente podrán asistir el probable responsable o el denunciante o las personas a quienes el Instituto les haya tenido por acreditada la personalidad o el carácter de autorizados en términos amplios del artículo 111 de la LFCE. El probable responsable, el denunciante o en su caso la Autoridad Investigadora, presentarán ante el Instituto una lista con el nombre o nombres de las personas que asistirán a la audiencia oral y la calidad que tengan en el expediente, al menos 1 (un) día antes de su celebración.</w:t>
      </w:r>
    </w:p>
    <w:p w14:paraId="1364B717" w14:textId="77777777" w:rsidR="0070274F" w:rsidRPr="0070274F" w:rsidRDefault="0070274F" w:rsidP="0070274F">
      <w:pPr>
        <w:spacing w:after="0"/>
        <w:jc w:val="both"/>
        <w:rPr>
          <w:rFonts w:ascii="Arial" w:eastAsia="Times New Roman" w:hAnsi="Arial" w:cs="Arial"/>
        </w:rPr>
      </w:pPr>
    </w:p>
    <w:p w14:paraId="19D0A0A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número de asistentes por parte de cada probable responsable, denunciante o la Autoridad Investigadora, no podrá exceder de 2 (dos) personas; dichas personas deberán presentar identificación oficial vigente al iniciarse la audiencia y deberán haber sido señaladas en la lista de asistentes que hayan presentado el probable responsable o el denunciante a través de sus representantes. En el caso de los servidores públicos de la Autoridad Investigadora, únicamente será necesario que se presenten con la credencial que los identifica como funcionarios del Instituto.</w:t>
      </w:r>
    </w:p>
    <w:p w14:paraId="73B11D4E" w14:textId="77777777" w:rsidR="0070274F" w:rsidRPr="0070274F" w:rsidRDefault="0070274F" w:rsidP="0070274F">
      <w:pPr>
        <w:spacing w:after="0"/>
        <w:jc w:val="both"/>
        <w:rPr>
          <w:rFonts w:ascii="Arial" w:eastAsia="Times New Roman" w:hAnsi="Arial" w:cs="Arial"/>
        </w:rPr>
      </w:pPr>
    </w:p>
    <w:p w14:paraId="6CBE415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 la audiencia deberán asistir por lo menos 4 (cuatro) Comisionados, 1 (un) servidor público de la Autoridad Investigadora y 1 (uno) de la UCE. En caso de que no asistan 4 (cuatro) Comisionados a la audiencia, el Pleno acordará una nueva fecha para su celebración.</w:t>
      </w:r>
    </w:p>
    <w:p w14:paraId="59DD276E" w14:textId="77777777" w:rsidR="0070274F" w:rsidRPr="0070274F" w:rsidRDefault="0070274F" w:rsidP="0070274F">
      <w:pPr>
        <w:spacing w:after="0"/>
        <w:jc w:val="both"/>
        <w:rPr>
          <w:rFonts w:ascii="Arial" w:eastAsia="Times New Roman" w:hAnsi="Arial" w:cs="Arial"/>
        </w:rPr>
      </w:pPr>
    </w:p>
    <w:p w14:paraId="143E80C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La audiencia oral no se podrá grabar, filmar o reproducir de ninguna manera y su celebración se desarrollará conforme a lo siguiente:</w:t>
      </w:r>
    </w:p>
    <w:p w14:paraId="3CE00A25" w14:textId="77777777" w:rsidR="0070274F" w:rsidRPr="0070274F" w:rsidRDefault="0070274F" w:rsidP="0070274F">
      <w:pPr>
        <w:spacing w:after="0"/>
        <w:jc w:val="both"/>
        <w:rPr>
          <w:rFonts w:ascii="Arial" w:eastAsia="Times New Roman" w:hAnsi="Arial" w:cs="Arial"/>
        </w:rPr>
      </w:pPr>
    </w:p>
    <w:p w14:paraId="79F206D4"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Quien presida la audiencia determinará su duración con base en el número de asistentes y en las particularidades del caso.</w:t>
      </w:r>
    </w:p>
    <w:p w14:paraId="54FCE79A" w14:textId="77777777" w:rsidR="0070274F" w:rsidRPr="0070274F" w:rsidRDefault="0070274F" w:rsidP="0070274F">
      <w:pPr>
        <w:spacing w:after="0"/>
        <w:jc w:val="both"/>
        <w:rPr>
          <w:rFonts w:ascii="Arial" w:eastAsia="Times New Roman" w:hAnsi="Arial" w:cs="Arial"/>
        </w:rPr>
      </w:pPr>
    </w:p>
    <w:p w14:paraId="054DF111"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Una vez iniciada la audiencia no se permitirá el ingreso de persona alguna.</w:t>
      </w:r>
    </w:p>
    <w:p w14:paraId="1A25BECB" w14:textId="77777777" w:rsidR="0070274F" w:rsidRPr="0070274F" w:rsidRDefault="0070274F" w:rsidP="0070274F">
      <w:pPr>
        <w:spacing w:after="0"/>
        <w:jc w:val="both"/>
        <w:rPr>
          <w:rFonts w:ascii="Arial" w:eastAsia="Times New Roman" w:hAnsi="Arial" w:cs="Arial"/>
        </w:rPr>
      </w:pPr>
    </w:p>
    <w:p w14:paraId="35152C44"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El probable responsable, el denunciante o el servidor público de la Autoridad Investigadora podrán intervenir por 2 (dos) ocasiones en la audiencia oral. Una vez que cada uno de los participantes concluya su intervención, los Comisionados asistentes podrán hacer preguntas a cualquiera de los participantes.</w:t>
      </w:r>
    </w:p>
    <w:p w14:paraId="0850013A" w14:textId="77777777" w:rsidR="0070274F" w:rsidRPr="0070274F" w:rsidRDefault="0070274F" w:rsidP="0070274F">
      <w:pPr>
        <w:spacing w:after="0"/>
        <w:jc w:val="both"/>
        <w:rPr>
          <w:rFonts w:ascii="Arial" w:eastAsia="Times New Roman" w:hAnsi="Arial" w:cs="Arial"/>
        </w:rPr>
      </w:pPr>
    </w:p>
    <w:p w14:paraId="004BBD5B"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Quien presida la audiencia, cederá la palabra en primer lugar a los AE y posteriormente al servidor público de la Autoridad Investigadora. El probable responsable o el denunciante sólo podrán realizar las aclaraciones que consideren pertinentes respecto de los argumentos expuestos en el escrito de manifestaciones al dictamen de probable responsabilidad, las pruebas ofrecidas por el probable responsable y el desahogo de las mismas, los alegatos y los documentos que obren en el expediente de mérito.</w:t>
      </w:r>
    </w:p>
    <w:p w14:paraId="74ABF0C5" w14:textId="77777777" w:rsidR="0070274F" w:rsidRPr="0070274F" w:rsidRDefault="0070274F" w:rsidP="0070274F">
      <w:pPr>
        <w:spacing w:after="0"/>
        <w:jc w:val="both"/>
        <w:rPr>
          <w:rFonts w:ascii="Arial" w:eastAsia="Times New Roman" w:hAnsi="Arial" w:cs="Arial"/>
        </w:rPr>
      </w:pPr>
    </w:p>
    <w:p w14:paraId="0340B5ED"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Todos los asistentes deberán conducirse con orden y respeto. En caso contrario, quien presida la audiencia podrá ordenar que se retire cualquier persona que a su juicio se conduzca de manera inapropiada, sin que ello invalide la audiencia, y para tal efecto podrá hacer uso de las medidas de apremio que establece la LFCE.</w:t>
      </w:r>
    </w:p>
    <w:p w14:paraId="648FE670" w14:textId="77777777" w:rsidR="0070274F" w:rsidRPr="0070274F" w:rsidRDefault="0070274F" w:rsidP="0070274F">
      <w:pPr>
        <w:spacing w:after="0"/>
        <w:jc w:val="both"/>
        <w:rPr>
          <w:rFonts w:ascii="Arial" w:eastAsia="Times New Roman" w:hAnsi="Arial" w:cs="Arial"/>
        </w:rPr>
      </w:pPr>
    </w:p>
    <w:p w14:paraId="7F88505F"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Quien tenga el uso de la palabra únicamente se dirigirá a los Comisionados asistentes y las personas que no tengan el uso de la voz deberán permanecer en silencio. Sólo los Comisionados podrán solicitar aclaraciones una vez finalizadas las intervenciones.</w:t>
      </w:r>
    </w:p>
    <w:p w14:paraId="2B803CC2" w14:textId="77777777" w:rsidR="0070274F" w:rsidRPr="0070274F" w:rsidRDefault="0070274F" w:rsidP="0070274F">
      <w:pPr>
        <w:spacing w:after="0"/>
        <w:jc w:val="both"/>
        <w:rPr>
          <w:rFonts w:ascii="Arial" w:eastAsia="Times New Roman" w:hAnsi="Arial" w:cs="Arial"/>
        </w:rPr>
      </w:pPr>
    </w:p>
    <w:p w14:paraId="71A795D9"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Concluida la audiencia, se elaborará un acta en la cual se hará constar únicamente el hecho de que se celebró la audiencia, los asistentes a la misma y la forma en la que el probable responsable y el denunciante, o sus representantes, se identificaron. Asimismo, deberá incluirse la mención, bajo protesta de decir verdad, de que los asistentes o sus representantes se manifestaron únicamente respecto de los argumentos expuestos en el escrito de manifestaciones al dictamen de probable responsabilidad, las pruebas ofrecidas por el probable responsable y el desahogo de las mismas, los alegatos, así como de los documentos que obren en el expediente.</w:t>
      </w:r>
    </w:p>
    <w:p w14:paraId="452C8896" w14:textId="77777777" w:rsidR="0070274F" w:rsidRPr="0070274F" w:rsidRDefault="0070274F" w:rsidP="0070274F">
      <w:pPr>
        <w:spacing w:after="0"/>
        <w:jc w:val="both"/>
        <w:rPr>
          <w:rFonts w:ascii="Arial" w:eastAsia="Times New Roman" w:hAnsi="Arial" w:cs="Arial"/>
        </w:rPr>
      </w:pPr>
    </w:p>
    <w:p w14:paraId="5880CBEA" w14:textId="77777777" w:rsidR="0070274F" w:rsidRPr="0070274F" w:rsidRDefault="0070274F" w:rsidP="004227CB">
      <w:pPr>
        <w:numPr>
          <w:ilvl w:val="0"/>
          <w:numId w:val="13"/>
        </w:numPr>
        <w:spacing w:after="0" w:line="252" w:lineRule="auto"/>
        <w:contextualSpacing/>
        <w:jc w:val="both"/>
        <w:rPr>
          <w:rFonts w:ascii="Arial" w:eastAsia="Times New Roman" w:hAnsi="Arial" w:cs="Arial"/>
        </w:rPr>
      </w:pPr>
      <w:r w:rsidRPr="0070274F">
        <w:rPr>
          <w:rFonts w:ascii="Arial" w:eastAsia="Times New Roman" w:hAnsi="Arial" w:cs="Arial"/>
        </w:rPr>
        <w:t>Todos los asistentes firmarán el acta; en caso de que alguno se negara a hacerlo, se hará constar tal situación sin que pueda afectarse su validez. El acta se integrará al expediente como constancia de la celebración de la audiencia oral. Los asistentes a la audiencia serán responsables de la información que se divulgue en ese acto, incluyendo la información confidencial que expresen dentro de la audiencia.</w:t>
      </w:r>
    </w:p>
    <w:p w14:paraId="601BBFA6" w14:textId="77777777" w:rsidR="0070274F" w:rsidRPr="0070274F" w:rsidRDefault="0070274F" w:rsidP="0070274F">
      <w:pPr>
        <w:spacing w:after="0"/>
        <w:ind w:left="720"/>
        <w:jc w:val="both"/>
        <w:rPr>
          <w:rFonts w:ascii="Arial" w:eastAsia="Times New Roman" w:hAnsi="Arial" w:cs="Arial"/>
        </w:rPr>
      </w:pPr>
    </w:p>
    <w:p w14:paraId="239435D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Solicitada y desahogada la audiencia oral, los AE con interés jurídico en el procedimiento no podrán solicitar otra audiencia o entrevista con el Pleno, tratándose del mismo asunto o procedimiento.</w:t>
      </w:r>
    </w:p>
    <w:p w14:paraId="07E37B71" w14:textId="77777777" w:rsidR="0070274F" w:rsidRPr="0070274F" w:rsidRDefault="0070274F" w:rsidP="0070274F">
      <w:pPr>
        <w:spacing w:after="0"/>
        <w:jc w:val="both"/>
        <w:rPr>
          <w:rFonts w:ascii="Arial" w:eastAsia="Times New Roman" w:hAnsi="Arial" w:cs="Arial"/>
        </w:rPr>
      </w:pPr>
    </w:p>
    <w:p w14:paraId="3D033FD8"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69" w:name="_Toc69242799"/>
      <w:bookmarkStart w:id="70" w:name="_Toc69248107"/>
      <w:bookmarkStart w:id="71" w:name="_Toc69248466"/>
      <w:bookmarkStart w:id="72" w:name="_Toc70950940"/>
      <w:r w:rsidRPr="0070274F">
        <w:rPr>
          <w:rFonts w:ascii="Arial" w:eastAsia="Times New Roman" w:hAnsi="Arial"/>
          <w:b/>
          <w:bCs/>
          <w:sz w:val="26"/>
          <w:szCs w:val="28"/>
        </w:rPr>
        <w:t>2.10. Resolución</w:t>
      </w:r>
      <w:bookmarkEnd w:id="69"/>
      <w:bookmarkEnd w:id="70"/>
      <w:bookmarkEnd w:id="71"/>
      <w:bookmarkEnd w:id="72"/>
    </w:p>
    <w:p w14:paraId="40B5183C" w14:textId="77777777" w:rsidR="0070274F" w:rsidRPr="0070274F" w:rsidRDefault="0070274F" w:rsidP="0070274F">
      <w:pPr>
        <w:spacing w:after="0"/>
        <w:jc w:val="both"/>
        <w:rPr>
          <w:rFonts w:ascii="Arial" w:eastAsia="Times New Roman" w:hAnsi="Arial" w:cs="Arial"/>
        </w:rPr>
      </w:pPr>
    </w:p>
    <w:p w14:paraId="7E6F9CA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 Comisionada o Comisionado Ponente a quien se haya turnado el procedimiento seguido en forma de juicio, tendrá la obligación de presentar un proyecto de resolución a consideración del Pleno del Instituto para que éste sea aprobado o en su caso modificado. </w:t>
      </w:r>
    </w:p>
    <w:p w14:paraId="1ADA5B63" w14:textId="77777777" w:rsidR="0070274F" w:rsidRPr="0070274F" w:rsidRDefault="0070274F" w:rsidP="0070274F">
      <w:pPr>
        <w:spacing w:after="0"/>
        <w:jc w:val="both"/>
        <w:rPr>
          <w:rFonts w:ascii="Arial" w:eastAsia="Times New Roman" w:hAnsi="Arial" w:cs="Arial"/>
        </w:rPr>
      </w:pPr>
    </w:p>
    <w:p w14:paraId="45F0A3D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Pleno del Instituto dictará la resolución que corresponda en un plazo que no excederá de 40 (cuarenta) días contados a partir del día siguiente a aquel en que quedó integrado el expediente. La resolución definitiva contendrá al menos lo siguiente:</w:t>
      </w:r>
    </w:p>
    <w:p w14:paraId="3BC9E511" w14:textId="77777777" w:rsidR="0070274F" w:rsidRPr="0070274F" w:rsidRDefault="0070274F" w:rsidP="0070274F">
      <w:pPr>
        <w:spacing w:after="0"/>
        <w:jc w:val="both"/>
        <w:rPr>
          <w:rFonts w:ascii="Arial" w:eastAsia="Times New Roman" w:hAnsi="Arial" w:cs="Arial"/>
        </w:rPr>
      </w:pPr>
    </w:p>
    <w:p w14:paraId="4B6589FA" w14:textId="77777777" w:rsidR="0070274F" w:rsidRPr="0070274F" w:rsidRDefault="0070274F" w:rsidP="004227CB">
      <w:pPr>
        <w:numPr>
          <w:ilvl w:val="0"/>
          <w:numId w:val="11"/>
        </w:numPr>
        <w:spacing w:after="0" w:line="252" w:lineRule="auto"/>
        <w:ind w:left="709"/>
        <w:jc w:val="both"/>
        <w:rPr>
          <w:rFonts w:ascii="Arial" w:eastAsia="Times New Roman" w:hAnsi="Arial" w:cs="Arial"/>
        </w:rPr>
      </w:pPr>
      <w:r w:rsidRPr="0070274F">
        <w:rPr>
          <w:rFonts w:ascii="Arial" w:eastAsia="Times New Roman" w:hAnsi="Arial" w:cs="Arial"/>
        </w:rPr>
        <w:t>La apreciación de los medios de convicción conducentes para tener o no por acreditada la realización de la práctica monopólica o concentración ilícita;</w:t>
      </w:r>
    </w:p>
    <w:p w14:paraId="116B1CA1" w14:textId="77777777" w:rsidR="0070274F" w:rsidRPr="0070274F" w:rsidRDefault="0070274F" w:rsidP="0070274F">
      <w:pPr>
        <w:spacing w:after="0"/>
        <w:ind w:left="349"/>
        <w:jc w:val="both"/>
        <w:rPr>
          <w:rFonts w:ascii="Arial" w:eastAsia="Times New Roman" w:hAnsi="Arial" w:cs="Arial"/>
        </w:rPr>
      </w:pPr>
    </w:p>
    <w:p w14:paraId="55361A0A" w14:textId="77777777" w:rsidR="0070274F" w:rsidRPr="0070274F" w:rsidRDefault="0070274F" w:rsidP="004227CB">
      <w:pPr>
        <w:numPr>
          <w:ilvl w:val="0"/>
          <w:numId w:val="11"/>
        </w:numPr>
        <w:spacing w:after="0" w:line="252" w:lineRule="auto"/>
        <w:ind w:left="709"/>
        <w:jc w:val="both"/>
        <w:rPr>
          <w:rFonts w:ascii="Arial" w:eastAsia="Times New Roman" w:hAnsi="Arial" w:cs="Arial"/>
        </w:rPr>
      </w:pPr>
      <w:r w:rsidRPr="0070274F">
        <w:rPr>
          <w:rFonts w:ascii="Arial" w:eastAsia="Times New Roman" w:hAnsi="Arial" w:cs="Arial"/>
        </w:rPr>
        <w:t>En el caso de una práctica monopólica relativa, la determinación de que el o los AE responsables tienen poder sustancial en términos de la LFCE.</w:t>
      </w:r>
    </w:p>
    <w:p w14:paraId="1791CB66" w14:textId="77777777" w:rsidR="0070274F" w:rsidRPr="0070274F" w:rsidRDefault="0070274F" w:rsidP="0070274F">
      <w:pPr>
        <w:spacing w:after="0"/>
        <w:ind w:left="709"/>
        <w:jc w:val="both"/>
        <w:rPr>
          <w:rFonts w:ascii="Arial" w:eastAsia="Times New Roman" w:hAnsi="Arial" w:cs="Arial"/>
        </w:rPr>
      </w:pPr>
    </w:p>
    <w:p w14:paraId="4F34D2C2" w14:textId="77777777" w:rsidR="0070274F" w:rsidRPr="0070274F" w:rsidRDefault="0070274F" w:rsidP="004227CB">
      <w:pPr>
        <w:numPr>
          <w:ilvl w:val="0"/>
          <w:numId w:val="11"/>
        </w:numPr>
        <w:spacing w:after="0" w:line="252" w:lineRule="auto"/>
        <w:ind w:left="709"/>
        <w:jc w:val="both"/>
        <w:rPr>
          <w:rFonts w:ascii="Arial" w:eastAsia="Times New Roman" w:hAnsi="Arial" w:cs="Arial"/>
        </w:rPr>
      </w:pPr>
      <w:r w:rsidRPr="0070274F">
        <w:rPr>
          <w:rFonts w:ascii="Arial" w:eastAsia="Times New Roman" w:hAnsi="Arial" w:cs="Arial"/>
        </w:rPr>
        <w:t>La determinación de si se ordena la supresión definitiva de la práctica monopólica o concentración ilícita o de sus efectos o la determinación de realizar actos o acciones cuya omisión haya causado la práctica monopólica o concentración ilícita, así como los medios y plazos para acreditar el cumplimiento de dicha determinación ante el Instituto.</w:t>
      </w:r>
    </w:p>
    <w:p w14:paraId="388639FD" w14:textId="77777777" w:rsidR="0070274F" w:rsidRPr="0070274F" w:rsidRDefault="0070274F" w:rsidP="0070274F">
      <w:pPr>
        <w:spacing w:after="0"/>
        <w:ind w:left="709"/>
        <w:jc w:val="both"/>
        <w:rPr>
          <w:rFonts w:ascii="Arial" w:eastAsia="Times New Roman" w:hAnsi="Arial" w:cs="Arial"/>
        </w:rPr>
      </w:pPr>
    </w:p>
    <w:p w14:paraId="106B6CC4" w14:textId="6519EB33" w:rsidR="0070274F" w:rsidRPr="0070274F" w:rsidRDefault="0070274F" w:rsidP="004227CB">
      <w:pPr>
        <w:numPr>
          <w:ilvl w:val="0"/>
          <w:numId w:val="11"/>
        </w:numPr>
        <w:spacing w:after="0" w:line="252" w:lineRule="auto"/>
        <w:ind w:left="709"/>
        <w:jc w:val="both"/>
        <w:rPr>
          <w:rFonts w:ascii="Arial" w:eastAsia="Times New Roman" w:hAnsi="Arial" w:cs="Arial"/>
        </w:rPr>
      </w:pPr>
      <w:r w:rsidRPr="0070274F">
        <w:rPr>
          <w:rFonts w:ascii="Arial" w:eastAsia="Times New Roman" w:hAnsi="Arial" w:cs="Arial"/>
        </w:rPr>
        <w:t>La determinación sobre imposición de sanciones que</w:t>
      </w:r>
      <w:r w:rsidR="00F82B7E">
        <w:rPr>
          <w:rFonts w:ascii="Arial" w:eastAsia="Times New Roman" w:hAnsi="Arial" w:cs="Arial"/>
        </w:rPr>
        <w:t>,</w:t>
      </w:r>
      <w:r w:rsidRPr="0070274F">
        <w:rPr>
          <w:rFonts w:ascii="Arial" w:eastAsia="Times New Roman" w:hAnsi="Arial" w:cs="Arial"/>
        </w:rPr>
        <w:t xml:space="preserve"> en su caso</w:t>
      </w:r>
      <w:r w:rsidR="00F82B7E">
        <w:rPr>
          <w:rFonts w:ascii="Arial" w:eastAsia="Times New Roman" w:hAnsi="Arial" w:cs="Arial"/>
        </w:rPr>
        <w:t>,</w:t>
      </w:r>
      <w:r w:rsidRPr="0070274F">
        <w:rPr>
          <w:rFonts w:ascii="Arial" w:eastAsia="Times New Roman" w:hAnsi="Arial" w:cs="Arial"/>
        </w:rPr>
        <w:t xml:space="preserve"> correspondan.</w:t>
      </w:r>
    </w:p>
    <w:p w14:paraId="0438441E" w14:textId="77777777" w:rsidR="0070274F" w:rsidRPr="0070274F" w:rsidRDefault="0070274F" w:rsidP="0070274F">
      <w:pPr>
        <w:spacing w:after="0"/>
        <w:jc w:val="both"/>
        <w:rPr>
          <w:rFonts w:ascii="Arial" w:eastAsia="Times New Roman" w:hAnsi="Arial" w:cs="Arial"/>
        </w:rPr>
      </w:pPr>
    </w:p>
    <w:p w14:paraId="7D99ED1D"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Una vez que la UCE reciba la resolución definitiva del Pleno, procederá a notificar una copia certificada a los probables responsables, garantizando el debido resguardo de la información confidencial que, en su caso, el Pleno hubiese empleado en la resolución definitiva.</w:t>
      </w:r>
    </w:p>
    <w:p w14:paraId="152A76E9" w14:textId="77777777" w:rsidR="0070274F" w:rsidRPr="0070274F" w:rsidRDefault="0070274F" w:rsidP="0070274F">
      <w:pPr>
        <w:spacing w:after="0"/>
        <w:jc w:val="both"/>
        <w:rPr>
          <w:rFonts w:ascii="Arial" w:eastAsia="Times New Roman" w:hAnsi="Arial" w:cs="Arial"/>
        </w:rPr>
      </w:pPr>
    </w:p>
    <w:p w14:paraId="19208869" w14:textId="77777777" w:rsidR="0070274F" w:rsidRPr="0070274F" w:rsidRDefault="0070274F" w:rsidP="0070274F">
      <w:pPr>
        <w:keepNext/>
        <w:spacing w:after="0"/>
        <w:ind w:left="567" w:hanging="360"/>
        <w:jc w:val="both"/>
        <w:outlineLvl w:val="0"/>
        <w:rPr>
          <w:rFonts w:ascii="Arial" w:eastAsia="Times New Roman" w:hAnsi="Arial" w:cs="Arial"/>
          <w:b/>
          <w:caps/>
          <w:spacing w:val="4"/>
          <w:sz w:val="26"/>
          <w:szCs w:val="26"/>
          <w:lang w:val="es-MX"/>
        </w:rPr>
      </w:pPr>
      <w:bookmarkStart w:id="73" w:name="_Toc69242787"/>
      <w:bookmarkStart w:id="74" w:name="_Toc69248095"/>
      <w:bookmarkStart w:id="75" w:name="_Toc69248454"/>
      <w:bookmarkStart w:id="76" w:name="_Toc70950941"/>
      <w:r w:rsidRPr="0070274F">
        <w:rPr>
          <w:rFonts w:ascii="Arial" w:eastAsia="Times New Roman" w:hAnsi="Arial" w:cs="Arial"/>
          <w:b/>
          <w:sz w:val="26"/>
          <w:szCs w:val="26"/>
          <w:lang w:val="es-MX"/>
        </w:rPr>
        <w:t>3. Valoración de pruebas</w:t>
      </w:r>
      <w:bookmarkEnd w:id="73"/>
      <w:bookmarkEnd w:id="74"/>
      <w:bookmarkEnd w:id="75"/>
      <w:bookmarkEnd w:id="76"/>
    </w:p>
    <w:p w14:paraId="101DEDBA" w14:textId="77777777" w:rsidR="0070274F" w:rsidRPr="0070274F" w:rsidRDefault="0070274F" w:rsidP="0070274F">
      <w:pPr>
        <w:spacing w:after="0"/>
        <w:jc w:val="both"/>
        <w:rPr>
          <w:rFonts w:ascii="Arial" w:eastAsia="Times New Roman" w:hAnsi="Arial" w:cs="Arial"/>
        </w:rPr>
      </w:pPr>
    </w:p>
    <w:p w14:paraId="6735BA4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Instituto gozará de la más amplia libertad para hacer el análisis de las pruebas, para determinar el valor de las mismas, unas enfrente de las otras, y para fijar el resultado final de dicha valoración. La valoración de las pruebas se basará en la apreciación en su conjunto de los elementos probatorios directos, indirectos e indiciarios que aparezcan en el proceso.</w:t>
      </w:r>
    </w:p>
    <w:p w14:paraId="13384176" w14:textId="77777777" w:rsidR="0070274F" w:rsidRPr="0070274F" w:rsidRDefault="0070274F" w:rsidP="0070274F">
      <w:pPr>
        <w:spacing w:after="0"/>
        <w:jc w:val="both"/>
        <w:rPr>
          <w:rFonts w:ascii="Arial" w:eastAsia="Times New Roman" w:hAnsi="Arial" w:cs="Arial"/>
        </w:rPr>
      </w:pPr>
    </w:p>
    <w:p w14:paraId="7034158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Para la valoración de las pruebas, el Instituto podrá acudir supletoriamente a las reglas establecidas en el CFPC y/o a los criterios emitidos por el PJF.</w:t>
      </w:r>
    </w:p>
    <w:p w14:paraId="192A7E5D" w14:textId="77777777" w:rsidR="0070274F" w:rsidRPr="0070274F" w:rsidRDefault="0070274F" w:rsidP="0070274F">
      <w:pPr>
        <w:spacing w:after="0"/>
        <w:jc w:val="both"/>
        <w:rPr>
          <w:rFonts w:ascii="Arial" w:eastAsia="Times New Roman" w:hAnsi="Arial" w:cs="Arial"/>
        </w:rPr>
      </w:pPr>
    </w:p>
    <w:tbl>
      <w:tblPr>
        <w:tblStyle w:val="Tablaconcuadrcula2"/>
        <w:tblW w:w="0" w:type="auto"/>
        <w:tblLook w:val="04A0" w:firstRow="1" w:lastRow="0" w:firstColumn="1" w:lastColumn="0" w:noHBand="0" w:noVBand="1"/>
      </w:tblPr>
      <w:tblGrid>
        <w:gridCol w:w="9016"/>
      </w:tblGrid>
      <w:tr w:rsidR="0070274F" w:rsidRPr="0070274F" w14:paraId="762A0936" w14:textId="77777777" w:rsidTr="0070274F">
        <w:tc>
          <w:tcPr>
            <w:tcW w:w="9016" w:type="dxa"/>
            <w:tcBorders>
              <w:top w:val="single" w:sz="12" w:space="0" w:color="auto"/>
              <w:left w:val="single" w:sz="12" w:space="0" w:color="auto"/>
              <w:bottom w:val="single" w:sz="12" w:space="0" w:color="auto"/>
              <w:right w:val="single" w:sz="12" w:space="0" w:color="auto"/>
            </w:tcBorders>
            <w:shd w:val="clear" w:color="auto" w:fill="E2EFD9"/>
          </w:tcPr>
          <w:p w14:paraId="0E3E70C2"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Precedentes del PJF</w:t>
            </w:r>
          </w:p>
          <w:p w14:paraId="0C787415" w14:textId="77777777" w:rsidR="0070274F" w:rsidRPr="0070274F" w:rsidRDefault="0070274F" w:rsidP="0070274F">
            <w:pPr>
              <w:spacing w:after="0"/>
              <w:rPr>
                <w:rFonts w:ascii="Arial" w:eastAsia="Times New Roman" w:hAnsi="Arial" w:cs="Arial"/>
                <w:sz w:val="20"/>
                <w:szCs w:val="20"/>
              </w:rPr>
            </w:pPr>
          </w:p>
          <w:p w14:paraId="040A068D" w14:textId="34071E39"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lastRenderedPageBreak/>
              <w:t>El siguiente criterio es ilustrativo en cuanto al estándar probatorio en el procedimiento seguido en forma de juicio. En concreto, se ha reconocido que es posible acudir a la prueba indiciaria y adminicular diversas pruebas de las desahogadas y contenidas en el expediente para poder alcanzar una determinación</w:t>
            </w:r>
            <w:r w:rsidR="00762821">
              <w:rPr>
                <w:rFonts w:ascii="Arial" w:eastAsia="Times New Roman" w:hAnsi="Arial" w:cs="Arial"/>
                <w:sz w:val="20"/>
                <w:szCs w:val="20"/>
              </w:rPr>
              <w:t>.</w:t>
            </w:r>
          </w:p>
          <w:p w14:paraId="0FA9F630" w14:textId="77777777" w:rsidR="0070274F" w:rsidRPr="0070274F" w:rsidRDefault="0070274F" w:rsidP="0070274F">
            <w:pPr>
              <w:spacing w:after="0"/>
              <w:rPr>
                <w:rFonts w:ascii="Arial" w:eastAsia="Times New Roman" w:hAnsi="Arial" w:cs="Arial"/>
                <w:sz w:val="20"/>
                <w:szCs w:val="20"/>
              </w:rPr>
            </w:pPr>
          </w:p>
          <w:p w14:paraId="0656544D"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a)</w:t>
            </w:r>
            <w:r w:rsidRPr="0070274F">
              <w:rPr>
                <w:rFonts w:ascii="Arial" w:eastAsia="Times New Roman" w:hAnsi="Arial" w:cs="Arial"/>
                <w:sz w:val="20"/>
                <w:szCs w:val="20"/>
              </w:rPr>
              <w:t xml:space="preserve"> “</w:t>
            </w:r>
            <w:r w:rsidRPr="0070274F">
              <w:rPr>
                <w:rFonts w:ascii="Arial" w:eastAsia="Times New Roman" w:hAnsi="Arial" w:cs="Arial"/>
                <w:b/>
                <w:i/>
                <w:sz w:val="20"/>
                <w:szCs w:val="20"/>
              </w:rPr>
              <w:t>PRÁCTICA MONOPÓLICA ABSOLUTA. PARA SU ACREDITAMIENTO LA AUTORIDAD PUEDE ACUDIR A PRUEBAS INDICIARIAS, LO QUE NO SE OPONE AL PRINCIPIO DE PRESUNCIÓN DE INOCENCIA</w:t>
            </w:r>
            <w:r w:rsidRPr="0070274F">
              <w:rPr>
                <w:rFonts w:ascii="Arial" w:eastAsia="Times New Roman" w:hAnsi="Arial" w:cs="Arial"/>
                <w:sz w:val="20"/>
                <w:szCs w:val="20"/>
              </w:rPr>
              <w:t>”. SCJN; 10a. Época; Gaceta del Semanario Judicial de la Federación; 2a./J. 101/2015 (10a.); J. Registro No.: 2009659.</w:t>
            </w:r>
          </w:p>
          <w:p w14:paraId="38ECBEAD" w14:textId="77777777" w:rsidR="0070274F" w:rsidRPr="0070274F" w:rsidRDefault="0070274F" w:rsidP="0070274F">
            <w:pPr>
              <w:spacing w:after="0"/>
              <w:rPr>
                <w:rFonts w:ascii="Arial" w:eastAsia="Times New Roman" w:hAnsi="Arial" w:cs="Arial"/>
                <w:sz w:val="20"/>
                <w:szCs w:val="20"/>
              </w:rPr>
            </w:pPr>
          </w:p>
          <w:p w14:paraId="6D5BCF3B"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Si bien es cierto que el principio de presunción de inocencia implica que para desvirtuarla, la autoridad debe colmar un estándar probatorio alto, también lo es que </w:t>
            </w:r>
            <w:r w:rsidRPr="0070274F">
              <w:rPr>
                <w:rFonts w:ascii="Arial" w:eastAsia="Times New Roman" w:hAnsi="Arial" w:cs="Arial"/>
                <w:b/>
                <w:i/>
                <w:sz w:val="20"/>
                <w:szCs w:val="20"/>
                <w:u w:val="single"/>
              </w:rPr>
              <w:t>en los procedimientos sancionatorios de los que conoce la Comisión Federal de Competencia ésta puede explorar y basar su resolución en presunciones contrarias contenidas en pruebas indiciarias, las que pueden considerarse suficientes para sancionar a los sujetos investigados si éstos no desvirtúan dichas pruebas al ejercer su derecho de audiencia</w:t>
            </w:r>
            <w:r w:rsidRPr="0070274F">
              <w:rPr>
                <w:rFonts w:ascii="Arial" w:eastAsia="Times New Roman" w:hAnsi="Arial" w:cs="Arial"/>
                <w:i/>
                <w:sz w:val="20"/>
                <w:szCs w:val="20"/>
              </w:rPr>
              <w:t xml:space="preserve">; lo que no se opone al indicado principio y se explica porque tratándose de las prácticas monopólicas absolutas a que se refiere el artículo 9o. de la Ley Federal de Competencia Económica, vigente hasta el 6 de julio de 2014, es difícil establecer con precisión cómo se ha concertado un acuerdo o llegado a un comportamiento anticompetitivo concertado, </w:t>
            </w:r>
            <w:r w:rsidRPr="0070274F">
              <w:rPr>
                <w:rFonts w:ascii="Arial" w:eastAsia="Times New Roman" w:hAnsi="Arial" w:cs="Arial"/>
                <w:b/>
                <w:i/>
                <w:sz w:val="20"/>
                <w:szCs w:val="20"/>
                <w:u w:val="single"/>
              </w:rPr>
              <w:t>dado el cuidado que los interesados ponen para velar u ocultar cualquier vestigio o rastro de ello, por lo que en muchos casos, si no es que en la gran mayoría, no se podrá encontrar prueba directa</w:t>
            </w:r>
            <w:r w:rsidRPr="0070274F">
              <w:rPr>
                <w:rFonts w:ascii="Arial" w:eastAsia="Times New Roman" w:hAnsi="Arial" w:cs="Arial"/>
                <w:i/>
                <w:sz w:val="20"/>
                <w:szCs w:val="20"/>
              </w:rPr>
              <w:t xml:space="preserve"> de la conducta desplegada por el agente o los agentes involucrados ni de todos los detalles que, por obvias razones, se ocultan u oscurecen</w:t>
            </w:r>
            <w:r w:rsidRPr="0070274F">
              <w:rPr>
                <w:rFonts w:ascii="Arial" w:eastAsia="Times New Roman" w:hAnsi="Arial" w:cs="Arial"/>
                <w:sz w:val="20"/>
                <w:szCs w:val="20"/>
              </w:rPr>
              <w:t>”. [énfasis añadido]</w:t>
            </w:r>
          </w:p>
        </w:tc>
      </w:tr>
    </w:tbl>
    <w:p w14:paraId="45B04358" w14:textId="77777777" w:rsidR="0070274F" w:rsidRPr="0070274F" w:rsidRDefault="0070274F" w:rsidP="0070274F">
      <w:pPr>
        <w:spacing w:after="0"/>
        <w:jc w:val="both"/>
        <w:rPr>
          <w:rFonts w:ascii="Arial" w:eastAsia="Times New Roman" w:hAnsi="Arial" w:cs="Arial"/>
        </w:rPr>
      </w:pPr>
    </w:p>
    <w:p w14:paraId="16146202"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77" w:name="_Toc69242788"/>
      <w:bookmarkStart w:id="78" w:name="_Toc69248096"/>
      <w:bookmarkStart w:id="79" w:name="_Toc69248455"/>
      <w:bookmarkStart w:id="80" w:name="_Toc70950942"/>
      <w:r w:rsidRPr="0070274F">
        <w:rPr>
          <w:rFonts w:ascii="Arial" w:eastAsia="Times New Roman" w:hAnsi="Arial"/>
          <w:b/>
          <w:bCs/>
          <w:sz w:val="26"/>
          <w:szCs w:val="28"/>
        </w:rPr>
        <w:t>3.1. Documental pública</w:t>
      </w:r>
      <w:bookmarkEnd w:id="77"/>
      <w:bookmarkEnd w:id="78"/>
      <w:bookmarkEnd w:id="79"/>
      <w:bookmarkEnd w:id="80"/>
    </w:p>
    <w:p w14:paraId="2700B4CE" w14:textId="77777777" w:rsidR="0070274F" w:rsidRPr="0070274F" w:rsidRDefault="0070274F" w:rsidP="0070274F">
      <w:pPr>
        <w:spacing w:after="0"/>
        <w:jc w:val="both"/>
        <w:rPr>
          <w:rFonts w:ascii="Arial" w:eastAsia="Times New Roman" w:hAnsi="Arial" w:cs="Arial"/>
        </w:rPr>
      </w:pPr>
    </w:p>
    <w:p w14:paraId="612500A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Su valor se surte cuando reúna los requisitos exigidos por la ley. Hacen prueba plena de los hechos legalmente afirmados por la autoridad emisora. Si contienen declaraciones de verdad o manifestaciones de hechos de particulares, sólo prueban plenamente que se realizaron tales declaraciones o manifestaciones, pero no la verdad de lo declarado, o que determinadas circunstancias ocurrieron de la manera en que se expresa.</w:t>
      </w:r>
    </w:p>
    <w:p w14:paraId="6396DAE3" w14:textId="77777777" w:rsidR="0070274F" w:rsidRPr="0070274F" w:rsidRDefault="0070274F" w:rsidP="0070274F">
      <w:pPr>
        <w:spacing w:after="0"/>
        <w:jc w:val="both"/>
        <w:rPr>
          <w:rFonts w:ascii="Arial" w:eastAsia="Times New Roman" w:hAnsi="Arial" w:cs="Arial"/>
        </w:rPr>
      </w:pPr>
    </w:p>
    <w:p w14:paraId="2D58169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declaraciones o manifestaciones hacen prueba plena contra quienes las hicieron o asistieron al acto en que fueron hechas.</w:t>
      </w:r>
    </w:p>
    <w:p w14:paraId="2767C725" w14:textId="77777777" w:rsidR="0070274F" w:rsidRPr="0070274F" w:rsidRDefault="0070274F" w:rsidP="0070274F">
      <w:pPr>
        <w:spacing w:after="0"/>
        <w:jc w:val="both"/>
        <w:rPr>
          <w:rFonts w:ascii="Arial" w:eastAsia="Times New Roman" w:hAnsi="Arial" w:cs="Arial"/>
        </w:rPr>
      </w:pPr>
    </w:p>
    <w:p w14:paraId="534FAEE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caso de que el contenido de una documental pública se contradiga con otras pruebas, su valor queda a la libre apreciación del Instituto.</w:t>
      </w:r>
    </w:p>
    <w:p w14:paraId="32F6CE28" w14:textId="77777777" w:rsidR="0070274F" w:rsidRPr="0070274F" w:rsidRDefault="0070274F" w:rsidP="0070274F">
      <w:pPr>
        <w:spacing w:after="0"/>
        <w:jc w:val="both"/>
        <w:rPr>
          <w:rFonts w:ascii="Arial" w:eastAsia="Times New Roman" w:hAnsi="Arial" w:cs="Arial"/>
        </w:rPr>
      </w:pPr>
    </w:p>
    <w:p w14:paraId="414FAB60"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81" w:name="_Toc69242789"/>
      <w:bookmarkStart w:id="82" w:name="_Toc69248097"/>
      <w:bookmarkStart w:id="83" w:name="_Toc69248456"/>
      <w:bookmarkStart w:id="84" w:name="_Toc70950943"/>
      <w:r w:rsidRPr="0070274F">
        <w:rPr>
          <w:rFonts w:ascii="Arial" w:eastAsia="Times New Roman" w:hAnsi="Arial"/>
          <w:b/>
          <w:bCs/>
          <w:sz w:val="26"/>
          <w:szCs w:val="28"/>
        </w:rPr>
        <w:t>3.2. Documental privada</w:t>
      </w:r>
      <w:bookmarkEnd w:id="81"/>
      <w:bookmarkEnd w:id="82"/>
      <w:bookmarkEnd w:id="83"/>
      <w:bookmarkEnd w:id="84"/>
    </w:p>
    <w:p w14:paraId="286E495C" w14:textId="77777777" w:rsidR="0070274F" w:rsidRPr="0070274F" w:rsidRDefault="0070274F" w:rsidP="0070274F">
      <w:pPr>
        <w:spacing w:after="0"/>
        <w:jc w:val="both"/>
        <w:rPr>
          <w:rFonts w:ascii="Arial" w:eastAsia="Times New Roman" w:hAnsi="Arial" w:cs="Arial"/>
        </w:rPr>
      </w:pPr>
    </w:p>
    <w:p w14:paraId="2A010CD7"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Forma prueba de los hechos mencionados en él, sólo en cuanto sean contrarios a los intereses de su autor. Si proviene de un tercero, sólo prueba en favor de quien se quiere beneficiar de él y contra la otra parte si ésta no lo objeta. La verdad de su contenido debe demostrarse por otras pruebas.</w:t>
      </w:r>
    </w:p>
    <w:p w14:paraId="05565359" w14:textId="77777777" w:rsidR="0070274F" w:rsidRPr="0070274F" w:rsidRDefault="0070274F" w:rsidP="0070274F">
      <w:pPr>
        <w:spacing w:after="0"/>
        <w:jc w:val="both"/>
        <w:rPr>
          <w:rFonts w:ascii="Arial" w:eastAsia="Times New Roman" w:hAnsi="Arial" w:cs="Arial"/>
          <w:lang w:val="es-MX"/>
        </w:rPr>
      </w:pPr>
    </w:p>
    <w:p w14:paraId="5BC83C7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documento privado que contenga una declaración de verdad, sólo hace prueba de su fecha y de la existencia de la declaración, pero no de los hechos declarados. En todo caso, las declaraciones hacen plena prueba contra quienes las hicieron. El documento privado prueba plenamente en contra de quien lo presenta.</w:t>
      </w:r>
    </w:p>
    <w:p w14:paraId="2BC5B2B3" w14:textId="77777777" w:rsidR="0070274F" w:rsidRPr="0070274F" w:rsidRDefault="0070274F" w:rsidP="0070274F">
      <w:pPr>
        <w:spacing w:after="0"/>
        <w:jc w:val="both"/>
        <w:rPr>
          <w:rFonts w:ascii="Arial" w:eastAsia="Times New Roman" w:hAnsi="Arial" w:cs="Arial"/>
        </w:rPr>
      </w:pPr>
    </w:p>
    <w:p w14:paraId="5A653958"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85" w:name="_Toc69242790"/>
      <w:bookmarkStart w:id="86" w:name="_Toc69248098"/>
      <w:bookmarkStart w:id="87" w:name="_Toc69248457"/>
      <w:bookmarkStart w:id="88" w:name="_Toc70950944"/>
      <w:r w:rsidRPr="0070274F">
        <w:rPr>
          <w:rFonts w:ascii="Arial" w:eastAsia="Times New Roman" w:hAnsi="Arial"/>
          <w:b/>
          <w:bCs/>
          <w:sz w:val="26"/>
          <w:szCs w:val="28"/>
        </w:rPr>
        <w:t>3.3. Elementos aportados por la ciencia</w:t>
      </w:r>
      <w:bookmarkEnd w:id="85"/>
      <w:bookmarkEnd w:id="86"/>
      <w:bookmarkEnd w:id="87"/>
      <w:bookmarkEnd w:id="88"/>
    </w:p>
    <w:p w14:paraId="7855C746" w14:textId="77777777" w:rsidR="0070274F" w:rsidRPr="0070274F" w:rsidRDefault="0070274F" w:rsidP="0070274F">
      <w:pPr>
        <w:spacing w:after="0"/>
        <w:jc w:val="both"/>
        <w:rPr>
          <w:rFonts w:ascii="Arial" w:eastAsia="Times New Roman" w:hAnsi="Arial" w:cs="Arial"/>
        </w:rPr>
      </w:pPr>
    </w:p>
    <w:p w14:paraId="0DCAAE4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Este carácter lo puede tener toda aquella información generada o comunicada que conste en medios electrónicos o en cualquier otra tecnología.</w:t>
      </w:r>
    </w:p>
    <w:p w14:paraId="338BEE1F" w14:textId="77777777" w:rsidR="0070274F" w:rsidRPr="0070274F" w:rsidRDefault="0070274F" w:rsidP="0070274F">
      <w:pPr>
        <w:spacing w:after="0"/>
        <w:jc w:val="both"/>
        <w:rPr>
          <w:rFonts w:ascii="Arial" w:eastAsia="Times New Roman" w:hAnsi="Arial" w:cs="Arial"/>
        </w:rPr>
      </w:pPr>
    </w:p>
    <w:p w14:paraId="1A3AF46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Instituto estimará la fiabilidad del método en que haya sido generada, comunicada, recibida o archivada. Asimismo, valorará si se ha mantenido íntegra e inalterada desde que se generó definitivamente, es accesible para una posterior consulta y si es posible atribuir el contenido de la información a las personas obligadas. Su valor queda al prudente arbitrio del Instituto.</w:t>
      </w:r>
    </w:p>
    <w:p w14:paraId="62BFD947" w14:textId="77777777" w:rsidR="0070274F" w:rsidRPr="0070274F" w:rsidRDefault="0070274F" w:rsidP="0070274F">
      <w:pPr>
        <w:spacing w:after="0"/>
        <w:jc w:val="both"/>
        <w:rPr>
          <w:rFonts w:ascii="Arial" w:eastAsia="Times New Roman" w:hAnsi="Arial" w:cs="Arial"/>
        </w:rPr>
      </w:pPr>
    </w:p>
    <w:p w14:paraId="74FF7745"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89" w:name="_Toc69242791"/>
      <w:bookmarkStart w:id="90" w:name="_Toc69248099"/>
      <w:bookmarkStart w:id="91" w:name="_Toc69248458"/>
      <w:bookmarkStart w:id="92" w:name="_Toc70950945"/>
      <w:r w:rsidRPr="0070274F">
        <w:rPr>
          <w:rFonts w:ascii="Arial" w:eastAsia="Times New Roman" w:hAnsi="Arial"/>
          <w:b/>
          <w:bCs/>
          <w:sz w:val="26"/>
          <w:szCs w:val="28"/>
        </w:rPr>
        <w:t>3.4. Pericial</w:t>
      </w:r>
      <w:bookmarkEnd w:id="89"/>
      <w:bookmarkEnd w:id="90"/>
      <w:bookmarkEnd w:id="91"/>
      <w:bookmarkEnd w:id="92"/>
    </w:p>
    <w:p w14:paraId="078F8349" w14:textId="77777777" w:rsidR="0070274F" w:rsidRPr="0070274F" w:rsidRDefault="0070274F" w:rsidP="0070274F">
      <w:pPr>
        <w:spacing w:after="0"/>
        <w:jc w:val="both"/>
        <w:rPr>
          <w:rFonts w:ascii="Arial" w:eastAsia="Times New Roman" w:hAnsi="Arial" w:cs="Arial"/>
        </w:rPr>
      </w:pPr>
    </w:p>
    <w:p w14:paraId="27AC4CA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pruebas periciales se valoran conforme a los dictámenes rendidos por los peritos y en su caso, con base en las diligencias adicionales que el Instituto haya ordenado. Estos dictámenes son analizados al prudente arbitrio del Instituto, toda vez que, su valoración no está sujeta a un método legal o tasado, sino que está sometido a la facultad discrecional y prudencia de la autoridad, en aplicación de la sana crítica, de la lógica y de la experiencia.</w:t>
      </w:r>
    </w:p>
    <w:p w14:paraId="18067BCA" w14:textId="77777777" w:rsidR="0070274F" w:rsidRPr="0070274F" w:rsidRDefault="0070274F" w:rsidP="0070274F">
      <w:pPr>
        <w:spacing w:after="0"/>
        <w:jc w:val="both"/>
        <w:rPr>
          <w:rFonts w:ascii="Arial" w:eastAsia="Times New Roman" w:hAnsi="Arial" w:cs="Arial"/>
        </w:rPr>
      </w:pPr>
    </w:p>
    <w:p w14:paraId="4BC7C049" w14:textId="77777777" w:rsidR="0070274F" w:rsidRPr="0070274F" w:rsidRDefault="0070274F" w:rsidP="0070274F">
      <w:pPr>
        <w:spacing w:after="0"/>
        <w:jc w:val="both"/>
        <w:rPr>
          <w:rFonts w:ascii="Arial" w:hAnsi="Arial" w:cs="Arial"/>
        </w:rPr>
      </w:pPr>
      <w:r w:rsidRPr="0070274F">
        <w:rPr>
          <w:rFonts w:ascii="Arial" w:eastAsia="Times New Roman" w:hAnsi="Arial" w:cs="Arial"/>
        </w:rPr>
        <w:t>La prueba pericial únicamente orienta y auxilia al Instituto; sin embargo, no lo obligan con la opinión de su contenido, pues quien en última instancia resuelve es el Pleno, con base en su libertad técnica y conforme a sus atribuciones para valorar el acervo probatorio que obre en el Expediente</w:t>
      </w:r>
      <w:r w:rsidRPr="0070274F">
        <w:rPr>
          <w:rFonts w:ascii="Arial" w:hAnsi="Arial" w:cs="Arial"/>
        </w:rPr>
        <w:t>.</w:t>
      </w:r>
    </w:p>
    <w:p w14:paraId="49288A6F" w14:textId="77777777" w:rsidR="0070274F" w:rsidRPr="0070274F" w:rsidRDefault="0070274F" w:rsidP="0070274F">
      <w:pPr>
        <w:spacing w:after="0"/>
        <w:jc w:val="both"/>
        <w:rPr>
          <w:rFonts w:ascii="Arial" w:eastAsia="Times New Roman" w:hAnsi="Arial" w:cs="Arial"/>
        </w:rPr>
      </w:pPr>
    </w:p>
    <w:tbl>
      <w:tblPr>
        <w:tblStyle w:val="Tablaconcuadrcula2"/>
        <w:tblW w:w="0" w:type="auto"/>
        <w:tblLook w:val="04A0" w:firstRow="1" w:lastRow="0" w:firstColumn="1" w:lastColumn="0" w:noHBand="0" w:noVBand="1"/>
      </w:tblPr>
      <w:tblGrid>
        <w:gridCol w:w="9016"/>
      </w:tblGrid>
      <w:tr w:rsidR="0070274F" w:rsidRPr="0070274F" w14:paraId="3CB123FD" w14:textId="77777777" w:rsidTr="0070274F">
        <w:tc>
          <w:tcPr>
            <w:tcW w:w="9016" w:type="dxa"/>
            <w:tcBorders>
              <w:top w:val="single" w:sz="12" w:space="0" w:color="auto"/>
              <w:left w:val="single" w:sz="12" w:space="0" w:color="auto"/>
              <w:bottom w:val="single" w:sz="12" w:space="0" w:color="auto"/>
              <w:right w:val="single" w:sz="12" w:space="0" w:color="auto"/>
            </w:tcBorders>
            <w:shd w:val="clear" w:color="auto" w:fill="E2EFD9"/>
          </w:tcPr>
          <w:p w14:paraId="33539CF7"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Precedentes del PJF</w:t>
            </w:r>
          </w:p>
          <w:p w14:paraId="29B98500" w14:textId="77777777" w:rsidR="0070274F" w:rsidRPr="0070274F" w:rsidRDefault="0070274F" w:rsidP="0070274F">
            <w:pPr>
              <w:spacing w:after="0"/>
              <w:rPr>
                <w:rFonts w:ascii="Arial" w:eastAsia="Times New Roman" w:hAnsi="Arial" w:cs="Arial"/>
                <w:sz w:val="20"/>
                <w:szCs w:val="20"/>
              </w:rPr>
            </w:pPr>
          </w:p>
          <w:p w14:paraId="4D301F99"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El siguiente criterio judicial es ilustrativo en cuanto a la valoración de la prueba pericial en una resolución de un procedimiento seguido en forma de juicio.</w:t>
            </w:r>
          </w:p>
          <w:p w14:paraId="4A391F2D" w14:textId="77777777" w:rsidR="0070274F" w:rsidRPr="0070274F" w:rsidRDefault="0070274F" w:rsidP="0070274F">
            <w:pPr>
              <w:spacing w:after="0"/>
              <w:rPr>
                <w:rFonts w:ascii="Arial" w:eastAsia="Times New Roman" w:hAnsi="Arial" w:cs="Arial"/>
                <w:sz w:val="20"/>
                <w:szCs w:val="20"/>
              </w:rPr>
            </w:pPr>
          </w:p>
          <w:p w14:paraId="0C6DDF16"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a)</w:t>
            </w:r>
            <w:r w:rsidRPr="0070274F">
              <w:rPr>
                <w:rFonts w:ascii="Arial" w:eastAsia="Times New Roman" w:hAnsi="Arial" w:cs="Arial"/>
                <w:sz w:val="20"/>
                <w:szCs w:val="20"/>
              </w:rPr>
              <w:t xml:space="preserve"> “</w:t>
            </w:r>
            <w:r w:rsidRPr="0070274F">
              <w:rPr>
                <w:rFonts w:ascii="Arial" w:eastAsia="Times New Roman" w:hAnsi="Arial" w:cs="Arial"/>
                <w:b/>
                <w:i/>
                <w:sz w:val="20"/>
                <w:szCs w:val="20"/>
              </w:rPr>
              <w:t>PRUEBA PERICIAL. SU VALORACIÓN EN EL JUICIO DE AMPARO</w:t>
            </w:r>
            <w:r w:rsidRPr="0070274F">
              <w:rPr>
                <w:rFonts w:ascii="Arial" w:eastAsia="Times New Roman" w:hAnsi="Arial" w:cs="Arial"/>
                <w:sz w:val="20"/>
                <w:szCs w:val="20"/>
              </w:rPr>
              <w:t>”. [J]; 10a. Época; 2a. Sala; Gaceta S.J.F.; Libro 21, agosto de 2015; Tomo I; Pág. 815. 2a./J. 97/2015 (10a.). Registro No. 2009661.</w:t>
            </w:r>
          </w:p>
          <w:p w14:paraId="6E140B62" w14:textId="77777777" w:rsidR="0070274F" w:rsidRPr="0070274F" w:rsidRDefault="0070274F" w:rsidP="0070274F">
            <w:pPr>
              <w:spacing w:after="0"/>
              <w:rPr>
                <w:rFonts w:ascii="Arial" w:eastAsia="Times New Roman" w:hAnsi="Arial" w:cs="Arial"/>
                <w:sz w:val="20"/>
                <w:szCs w:val="20"/>
              </w:rPr>
            </w:pPr>
          </w:p>
          <w:p w14:paraId="120597E1" w14:textId="77777777" w:rsidR="0070274F" w:rsidRPr="0070274F" w:rsidRDefault="0070274F" w:rsidP="0070274F">
            <w:pPr>
              <w:spacing w:after="0" w:line="240" w:lineRule="auto"/>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El artículo 151, párrafo último, de la Ley de Amparo vigente hasta el 2 de abril de 2013, establece que </w:t>
            </w:r>
            <w:r w:rsidRPr="0070274F">
              <w:rPr>
                <w:rFonts w:ascii="Arial" w:eastAsia="Times New Roman" w:hAnsi="Arial" w:cs="Arial"/>
                <w:b/>
                <w:i/>
                <w:sz w:val="20"/>
                <w:szCs w:val="20"/>
                <w:u w:val="single"/>
              </w:rPr>
              <w:t>la prueba pericial será calificada por el Juez según prudente estimación, lo que significa que, para su valoración, no está sujeto a un método legal o tasado, sino que es libre</w:t>
            </w:r>
            <w:r w:rsidRPr="0070274F">
              <w:rPr>
                <w:rFonts w:ascii="Arial" w:eastAsia="Times New Roman" w:hAnsi="Arial" w:cs="Arial"/>
                <w:i/>
                <w:sz w:val="20"/>
                <w:szCs w:val="20"/>
              </w:rPr>
              <w:t xml:space="preserve">, lo que no implica que la que lleve a cabo esté exenta de una exposición razonada que desarrolle las conclusiones a las que arribe, porque ese ejercicio de </w:t>
            </w:r>
            <w:r w:rsidRPr="0070274F">
              <w:rPr>
                <w:rFonts w:ascii="Arial" w:eastAsia="Times New Roman" w:hAnsi="Arial" w:cs="Arial"/>
                <w:b/>
                <w:i/>
                <w:sz w:val="20"/>
                <w:szCs w:val="20"/>
                <w:u w:val="single"/>
              </w:rPr>
              <w:t>razonabilidad</w:t>
            </w:r>
            <w:r w:rsidRPr="0070274F">
              <w:rPr>
                <w:rFonts w:ascii="Arial" w:eastAsia="Times New Roman" w:hAnsi="Arial" w:cs="Arial"/>
                <w:i/>
                <w:sz w:val="20"/>
                <w:szCs w:val="20"/>
              </w:rPr>
              <w:t xml:space="preserve">, que involucra la valoración de una prueba pericial según su prudente estimación, también exige el respeto al principio de legalidad que obliga, en el ejercicio jurisdiccional, a motivar las conclusiones que expliquen por qué el </w:t>
            </w:r>
            <w:r w:rsidRPr="0070274F">
              <w:rPr>
                <w:rFonts w:ascii="Arial" w:eastAsia="Times New Roman" w:hAnsi="Arial" w:cs="Arial"/>
                <w:i/>
                <w:sz w:val="20"/>
                <w:szCs w:val="20"/>
              </w:rPr>
              <w:lastRenderedPageBreak/>
              <w:t>dictamen pericial provoca convicción para el dictado de la sentencia, por lo que sólo llevando a cabo el ejercicio que se indica podrá calificarse como debidamente valorada una prueba pericial en el juicio de amparo</w:t>
            </w:r>
            <w:r w:rsidRPr="0070274F">
              <w:rPr>
                <w:rFonts w:ascii="Arial" w:eastAsia="Times New Roman" w:hAnsi="Arial" w:cs="Arial"/>
                <w:sz w:val="20"/>
                <w:szCs w:val="20"/>
              </w:rPr>
              <w:t>”. [énfasis añadido]</w:t>
            </w:r>
          </w:p>
          <w:p w14:paraId="7BA04E27" w14:textId="77777777" w:rsidR="0070274F" w:rsidRPr="0070274F" w:rsidRDefault="0070274F" w:rsidP="0070274F">
            <w:pPr>
              <w:spacing w:after="0" w:line="240" w:lineRule="auto"/>
              <w:rPr>
                <w:rFonts w:ascii="Arial" w:eastAsia="Times New Roman" w:hAnsi="Arial" w:cs="Arial"/>
                <w:sz w:val="20"/>
                <w:szCs w:val="20"/>
              </w:rPr>
            </w:pPr>
          </w:p>
          <w:p w14:paraId="4FE32FF1" w14:textId="77777777" w:rsidR="0070274F" w:rsidRPr="0070274F" w:rsidRDefault="0070274F" w:rsidP="0070274F">
            <w:pPr>
              <w:spacing w:after="0" w:line="240" w:lineRule="auto"/>
              <w:rPr>
                <w:rFonts w:ascii="Arial" w:eastAsia="Times New Roman" w:hAnsi="Arial" w:cs="Arial"/>
                <w:sz w:val="20"/>
                <w:szCs w:val="20"/>
              </w:rPr>
            </w:pPr>
            <w:r w:rsidRPr="0070274F">
              <w:rPr>
                <w:rFonts w:ascii="Arial" w:eastAsia="Times New Roman" w:hAnsi="Arial" w:cs="Arial"/>
                <w:sz w:val="20"/>
                <w:szCs w:val="20"/>
              </w:rPr>
              <w:t>El siguiente criterio es ilustrativo en cuanto a la manera de acreditar que un perito es experto en el arte o ciencia en el que se haya ofrecido la prueba.</w:t>
            </w:r>
          </w:p>
          <w:p w14:paraId="59B32177" w14:textId="77777777" w:rsidR="0070274F" w:rsidRPr="0070274F" w:rsidRDefault="0070274F" w:rsidP="0070274F">
            <w:pPr>
              <w:spacing w:after="0" w:line="240" w:lineRule="auto"/>
              <w:rPr>
                <w:rFonts w:ascii="Arial" w:eastAsia="Times New Roman" w:hAnsi="Arial" w:cs="Arial"/>
                <w:sz w:val="20"/>
                <w:szCs w:val="20"/>
              </w:rPr>
            </w:pPr>
          </w:p>
          <w:p w14:paraId="4817C82B"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 xml:space="preserve">b) </w:t>
            </w:r>
            <w:r w:rsidRPr="0070274F">
              <w:rPr>
                <w:rFonts w:ascii="Arial" w:eastAsia="Times New Roman" w:hAnsi="Arial" w:cs="Arial"/>
                <w:sz w:val="20"/>
                <w:szCs w:val="20"/>
              </w:rPr>
              <w:t>“</w:t>
            </w:r>
            <w:r w:rsidRPr="0070274F">
              <w:rPr>
                <w:rFonts w:ascii="Arial" w:eastAsia="Times New Roman" w:hAnsi="Arial" w:cs="Arial"/>
                <w:b/>
                <w:i/>
                <w:sz w:val="20"/>
                <w:szCs w:val="20"/>
              </w:rPr>
              <w:t>PERITO. AL EFECTUAR LA ACEPTACIÓN Y PROTESTA DEL CARGO DEBE EXHIBIR COPIA CERTIFICADA DE LA CÉDULA PROFESIONAL O DEL DOCUMENTO DIRIGIDO A DEMOSTRAR QUE POSEE LOS CONOCIMIENTOS ESPECIALES EN EL ARTE, TÉCNICA O INDUSTRIA MATERIA DE SU DESIGNACIÓN</w:t>
            </w:r>
            <w:r w:rsidRPr="0070274F">
              <w:rPr>
                <w:rFonts w:ascii="Arial" w:eastAsia="Times New Roman" w:hAnsi="Arial" w:cs="Arial"/>
                <w:sz w:val="20"/>
                <w:szCs w:val="20"/>
              </w:rPr>
              <w:t>”. TCC; 9a. Época; Semanario Judicial de la Federación y su Gaceta; I.3o.C.879 C; TA. Registro No.: 163061.</w:t>
            </w:r>
          </w:p>
          <w:p w14:paraId="5366EFB6" w14:textId="77777777" w:rsidR="0070274F" w:rsidRPr="0070274F" w:rsidRDefault="0070274F" w:rsidP="0070274F">
            <w:pPr>
              <w:spacing w:after="0"/>
              <w:rPr>
                <w:rFonts w:ascii="Arial" w:eastAsia="Times New Roman" w:hAnsi="Arial" w:cs="Arial"/>
                <w:sz w:val="20"/>
                <w:szCs w:val="20"/>
              </w:rPr>
            </w:pPr>
          </w:p>
          <w:p w14:paraId="2F070E02" w14:textId="77777777" w:rsidR="0070274F" w:rsidRPr="0070274F" w:rsidRDefault="0070274F" w:rsidP="0070274F">
            <w:pPr>
              <w:spacing w:after="0" w:line="240" w:lineRule="auto"/>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La prueba pericial debe admitirse a juicio cuando esté debidamente ofrecida, según dispone el artículo 347, fracciones III y IV, del Código de Procedimientos Civiles para el Distrito Federal. En ese caso, las partes quedan obligadas a que sus peritos, dentro del plazo de tres días, acepten el cargo y protesten su fiel y legal desempeño, para lo </w:t>
            </w:r>
            <w:r w:rsidRPr="0070274F">
              <w:rPr>
                <w:rFonts w:ascii="Arial" w:eastAsia="Times New Roman" w:hAnsi="Arial" w:cs="Arial"/>
                <w:b/>
                <w:i/>
                <w:sz w:val="20"/>
                <w:szCs w:val="20"/>
                <w:u w:val="single"/>
              </w:rPr>
              <w:t>cual deben anexar original o copia certificada de su cédula profesional o del documento dirigido a demostrar que poseen los conocimientos especiales en el arte, técnica o industria materia de su designación</w:t>
            </w:r>
            <w:r w:rsidRPr="0070274F">
              <w:rPr>
                <w:rFonts w:ascii="Arial" w:eastAsia="Times New Roman" w:hAnsi="Arial" w:cs="Arial"/>
                <w:i/>
                <w:sz w:val="20"/>
                <w:szCs w:val="20"/>
              </w:rPr>
              <w:t>. En consecuencia, dicho requisito no se verá satisfecho cuando el perito exhiba copia simple de alguno de los referidos documentos o si lo hace con posterioridad, porque al existir disposición expresa de la ley debe atenderse a la literalidad del precepto que, al ser claro, no admite una interpretación contraria a su sentido original</w:t>
            </w:r>
            <w:r w:rsidRPr="0070274F">
              <w:rPr>
                <w:rFonts w:ascii="Arial" w:eastAsia="Times New Roman" w:hAnsi="Arial" w:cs="Arial"/>
                <w:sz w:val="20"/>
                <w:szCs w:val="20"/>
              </w:rPr>
              <w:t>”. [énfasis añadido]</w:t>
            </w:r>
          </w:p>
        </w:tc>
      </w:tr>
    </w:tbl>
    <w:p w14:paraId="72BE82C4" w14:textId="77777777" w:rsidR="0070274F" w:rsidRPr="0070274F" w:rsidRDefault="0070274F" w:rsidP="0070274F">
      <w:pPr>
        <w:spacing w:after="0"/>
        <w:jc w:val="both"/>
        <w:rPr>
          <w:rFonts w:ascii="Arial" w:hAnsi="Arial" w:cs="Arial"/>
        </w:rPr>
      </w:pPr>
    </w:p>
    <w:p w14:paraId="11AB7B96"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93" w:name="_Toc69242792"/>
      <w:bookmarkStart w:id="94" w:name="_Toc69248100"/>
      <w:bookmarkStart w:id="95" w:name="_Toc69248459"/>
      <w:bookmarkStart w:id="96" w:name="_Toc70950946"/>
      <w:r w:rsidRPr="0070274F">
        <w:rPr>
          <w:rFonts w:ascii="Arial" w:eastAsia="Times New Roman" w:hAnsi="Arial"/>
          <w:b/>
          <w:bCs/>
          <w:sz w:val="26"/>
          <w:szCs w:val="28"/>
        </w:rPr>
        <w:t>3.5. Inspección</w:t>
      </w:r>
      <w:bookmarkEnd w:id="93"/>
      <w:bookmarkEnd w:id="94"/>
      <w:bookmarkEnd w:id="95"/>
      <w:bookmarkEnd w:id="96"/>
    </w:p>
    <w:p w14:paraId="7AB0EFFF" w14:textId="77777777" w:rsidR="0070274F" w:rsidRPr="0070274F" w:rsidRDefault="0070274F" w:rsidP="0070274F">
      <w:pPr>
        <w:spacing w:after="0"/>
        <w:jc w:val="both"/>
        <w:rPr>
          <w:rFonts w:ascii="Arial" w:eastAsia="Times New Roman" w:hAnsi="Arial" w:cs="Arial"/>
        </w:rPr>
      </w:pPr>
    </w:p>
    <w:p w14:paraId="70F406EA"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Su valoración queda sujeta a que no se requieran conocimientos técnicos especiales ya que es la prueba pericial la que exige un conocimiento técnico especializado. </w:t>
      </w:r>
    </w:p>
    <w:p w14:paraId="5CBA33D2" w14:textId="77777777" w:rsidR="0070274F" w:rsidRPr="0070274F" w:rsidRDefault="0070274F" w:rsidP="0070274F">
      <w:pPr>
        <w:spacing w:after="0"/>
        <w:jc w:val="both"/>
        <w:rPr>
          <w:rFonts w:ascii="Arial" w:eastAsia="Times New Roman" w:hAnsi="Arial" w:cs="Arial"/>
        </w:rPr>
      </w:pPr>
    </w:p>
    <w:p w14:paraId="6E62E00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Por su naturaleza, la prueba de inspección implica que cualquier persona pueda captar por medio de los sentidos el objeto o hecho que se pretende acreditar, sin embargo, en el procedimiento seguido en forma de juicio, es el Pleno del Instituto quien tiene la facultad para otorgarle a esta prueba valor probatorio pleno.</w:t>
      </w:r>
    </w:p>
    <w:p w14:paraId="62390CC3" w14:textId="77777777" w:rsidR="0070274F" w:rsidRPr="0070274F" w:rsidRDefault="0070274F" w:rsidP="0070274F">
      <w:pPr>
        <w:spacing w:after="0"/>
        <w:jc w:val="both"/>
        <w:rPr>
          <w:rFonts w:ascii="Arial" w:eastAsia="Times New Roman" w:hAnsi="Arial" w:cs="Arial"/>
        </w:rPr>
      </w:pPr>
    </w:p>
    <w:tbl>
      <w:tblPr>
        <w:tblStyle w:val="Tablaconcuadrcula2"/>
        <w:tblW w:w="0" w:type="auto"/>
        <w:tblLook w:val="04A0" w:firstRow="1" w:lastRow="0" w:firstColumn="1" w:lastColumn="0" w:noHBand="0" w:noVBand="1"/>
      </w:tblPr>
      <w:tblGrid>
        <w:gridCol w:w="8996"/>
      </w:tblGrid>
      <w:tr w:rsidR="0070274F" w:rsidRPr="0070274F" w14:paraId="1901A645" w14:textId="77777777" w:rsidTr="0070274F">
        <w:tc>
          <w:tcPr>
            <w:tcW w:w="8996" w:type="dxa"/>
            <w:tcBorders>
              <w:top w:val="single" w:sz="12" w:space="0" w:color="auto"/>
              <w:left w:val="single" w:sz="12" w:space="0" w:color="auto"/>
              <w:bottom w:val="single" w:sz="12" w:space="0" w:color="auto"/>
              <w:right w:val="single" w:sz="12" w:space="0" w:color="auto"/>
            </w:tcBorders>
            <w:shd w:val="clear" w:color="auto" w:fill="E2EFD9"/>
          </w:tcPr>
          <w:p w14:paraId="41AB72E0" w14:textId="77777777" w:rsidR="0070274F" w:rsidRPr="0070274F" w:rsidRDefault="0070274F" w:rsidP="0070274F">
            <w:pPr>
              <w:spacing w:after="0"/>
              <w:rPr>
                <w:rFonts w:ascii="Arial" w:eastAsia="Times New Roman" w:hAnsi="Arial" w:cs="Arial"/>
                <w:b/>
                <w:sz w:val="20"/>
                <w:szCs w:val="20"/>
              </w:rPr>
            </w:pPr>
            <w:r w:rsidRPr="0070274F">
              <w:rPr>
                <w:rFonts w:ascii="Arial" w:eastAsia="Times New Roman" w:hAnsi="Arial" w:cs="Arial"/>
                <w:b/>
                <w:sz w:val="20"/>
                <w:szCs w:val="20"/>
              </w:rPr>
              <w:t>Precedentes del PJF</w:t>
            </w:r>
          </w:p>
          <w:p w14:paraId="6962D3A3" w14:textId="77777777" w:rsidR="0070274F" w:rsidRPr="0070274F" w:rsidRDefault="0070274F" w:rsidP="0070274F">
            <w:pPr>
              <w:spacing w:after="0"/>
              <w:rPr>
                <w:rFonts w:ascii="Arial" w:eastAsia="Times New Roman" w:hAnsi="Arial" w:cs="Arial"/>
                <w:b/>
                <w:sz w:val="20"/>
                <w:szCs w:val="20"/>
              </w:rPr>
            </w:pPr>
          </w:p>
          <w:p w14:paraId="0F5E135F"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Los siguientes criterios judiciales son ilustrativos sobre los criterios de valoración de una inspección en la resolución de un procedimiento seguido en forma de juicio.</w:t>
            </w:r>
          </w:p>
          <w:p w14:paraId="2719E05B" w14:textId="77777777" w:rsidR="0070274F" w:rsidRPr="0070274F" w:rsidRDefault="0070274F" w:rsidP="0070274F">
            <w:pPr>
              <w:spacing w:after="0"/>
              <w:rPr>
                <w:rFonts w:ascii="Arial" w:eastAsia="Times New Roman" w:hAnsi="Arial" w:cs="Arial"/>
                <w:sz w:val="20"/>
                <w:szCs w:val="20"/>
              </w:rPr>
            </w:pPr>
          </w:p>
          <w:p w14:paraId="26C0C96B"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a)</w:t>
            </w:r>
            <w:r w:rsidRPr="0070274F">
              <w:rPr>
                <w:rFonts w:ascii="Arial" w:eastAsia="Times New Roman" w:hAnsi="Arial" w:cs="Arial"/>
                <w:sz w:val="20"/>
                <w:szCs w:val="20"/>
              </w:rPr>
              <w:t xml:space="preserve"> “</w:t>
            </w:r>
            <w:r w:rsidRPr="0070274F">
              <w:rPr>
                <w:rFonts w:ascii="Arial" w:eastAsia="Times New Roman" w:hAnsi="Arial" w:cs="Arial"/>
                <w:b/>
                <w:bCs/>
                <w:i/>
                <w:sz w:val="20"/>
                <w:szCs w:val="20"/>
              </w:rPr>
              <w:t>INSPECCION OCULAR, VALOR PROBATORIO DE LA</w:t>
            </w:r>
            <w:r w:rsidRPr="0070274F">
              <w:rPr>
                <w:rFonts w:ascii="Arial" w:eastAsia="Times New Roman" w:hAnsi="Arial" w:cs="Arial"/>
                <w:sz w:val="20"/>
                <w:szCs w:val="20"/>
              </w:rPr>
              <w:t>”. SCJN; 6a. Época; Semanario Judicial de la Federación Volumen LXXX, Quinta Parte, página: 24; Registro No.: 273986.</w:t>
            </w:r>
          </w:p>
          <w:p w14:paraId="4CFBD6DA" w14:textId="77777777" w:rsidR="0070274F" w:rsidRPr="0070274F" w:rsidRDefault="0070274F" w:rsidP="0070274F">
            <w:pPr>
              <w:spacing w:after="0"/>
              <w:rPr>
                <w:rFonts w:ascii="Arial" w:eastAsia="Times New Roman" w:hAnsi="Arial" w:cs="Arial"/>
                <w:sz w:val="20"/>
                <w:szCs w:val="20"/>
              </w:rPr>
            </w:pPr>
          </w:p>
          <w:p w14:paraId="746E3FE2"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La prueba de inspección ocular tan solo </w:t>
            </w:r>
            <w:r w:rsidRPr="0070274F">
              <w:rPr>
                <w:rFonts w:ascii="Arial" w:eastAsia="Times New Roman" w:hAnsi="Arial" w:cs="Arial"/>
                <w:b/>
                <w:i/>
                <w:sz w:val="20"/>
                <w:szCs w:val="20"/>
                <w:u w:val="single"/>
              </w:rPr>
              <w:t>resulta apta para tener por justificados los hechos que se observan en el acto mismo en que es practicada</w:t>
            </w:r>
            <w:r w:rsidRPr="0070274F">
              <w:rPr>
                <w:rFonts w:ascii="Arial" w:eastAsia="Times New Roman" w:hAnsi="Arial" w:cs="Arial"/>
                <w:i/>
                <w:sz w:val="20"/>
                <w:szCs w:val="20"/>
              </w:rPr>
              <w:t>, pero no para inferir en ella hechos o cuestiones diversas a la inspección propiamente dicha</w:t>
            </w:r>
            <w:r w:rsidRPr="0070274F">
              <w:rPr>
                <w:rFonts w:ascii="Arial" w:eastAsia="Times New Roman" w:hAnsi="Arial" w:cs="Arial"/>
                <w:sz w:val="20"/>
                <w:szCs w:val="20"/>
              </w:rPr>
              <w:t>”. [énfasis añadido]</w:t>
            </w:r>
          </w:p>
          <w:p w14:paraId="4495C760" w14:textId="77777777" w:rsidR="0070274F" w:rsidRPr="0070274F" w:rsidRDefault="0070274F" w:rsidP="0070274F">
            <w:pPr>
              <w:spacing w:after="0"/>
              <w:rPr>
                <w:rFonts w:ascii="Arial" w:eastAsia="Times New Roman" w:hAnsi="Arial" w:cs="Arial"/>
                <w:sz w:val="20"/>
                <w:szCs w:val="20"/>
              </w:rPr>
            </w:pPr>
          </w:p>
          <w:p w14:paraId="410E7488"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lastRenderedPageBreak/>
              <w:t>b)</w:t>
            </w:r>
            <w:r w:rsidRPr="0070274F">
              <w:rPr>
                <w:rFonts w:ascii="Arial" w:eastAsia="Times New Roman" w:hAnsi="Arial" w:cs="Arial"/>
                <w:sz w:val="20"/>
                <w:szCs w:val="20"/>
              </w:rPr>
              <w:t xml:space="preserve"> “</w:t>
            </w:r>
            <w:r w:rsidRPr="0070274F">
              <w:rPr>
                <w:rFonts w:ascii="Arial" w:eastAsia="Times New Roman" w:hAnsi="Arial" w:cs="Arial"/>
                <w:b/>
                <w:bCs/>
                <w:i/>
                <w:sz w:val="20"/>
                <w:szCs w:val="20"/>
              </w:rPr>
              <w:t>INSPECCION PRACTICADA POR AUTORIDADES DIVERSAS A LA JUDICIAL O AL MINISTERIO PUBLICO, VALOR DE LA</w:t>
            </w:r>
            <w:r w:rsidRPr="0070274F">
              <w:rPr>
                <w:rFonts w:ascii="Arial" w:eastAsia="Times New Roman" w:hAnsi="Arial" w:cs="Arial"/>
                <w:sz w:val="20"/>
                <w:szCs w:val="20"/>
              </w:rPr>
              <w:t>”. SCJN; 5a. Época; Semanario Judicial de la Federación. Tomo CXXVII, página: 1045; Registro No.: 807544.</w:t>
            </w:r>
          </w:p>
          <w:p w14:paraId="62996A42" w14:textId="77777777" w:rsidR="0070274F" w:rsidRPr="0070274F" w:rsidRDefault="0070274F" w:rsidP="0070274F">
            <w:pPr>
              <w:spacing w:after="0"/>
              <w:rPr>
                <w:rFonts w:ascii="Arial" w:eastAsia="Times New Roman" w:hAnsi="Arial" w:cs="Arial"/>
                <w:sz w:val="20"/>
                <w:szCs w:val="20"/>
              </w:rPr>
            </w:pPr>
          </w:p>
          <w:p w14:paraId="328E528C" w14:textId="77777777" w:rsidR="0070274F" w:rsidRPr="0070274F" w:rsidRDefault="0070274F" w:rsidP="0070274F">
            <w:pPr>
              <w:spacing w:after="0" w:line="240" w:lineRule="auto"/>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La ley siempre buscando una mayor seguridad para el acusado, se sirve de formalidades que deben llenarse para que la inspección haga prueba plena, pero eso no impide que la practicada por autoridades diversas a la judicial o al Ministerio Público puedan ser tomadas en cuenta y servir de medios de convicción, pues </w:t>
            </w:r>
            <w:r w:rsidRPr="0070274F">
              <w:rPr>
                <w:rFonts w:ascii="Arial" w:eastAsia="Times New Roman" w:hAnsi="Arial" w:cs="Arial"/>
                <w:b/>
                <w:i/>
                <w:sz w:val="20"/>
                <w:szCs w:val="20"/>
                <w:u w:val="single"/>
              </w:rPr>
              <w:t>el juzgador en casos de esa naturaleza las apreciará de acuerdo a las reglas generales de valoración de la prueba</w:t>
            </w:r>
            <w:r w:rsidRPr="0070274F">
              <w:rPr>
                <w:rFonts w:ascii="Arial" w:eastAsia="Times New Roman" w:hAnsi="Arial" w:cs="Arial"/>
                <w:i/>
                <w:sz w:val="20"/>
                <w:szCs w:val="20"/>
              </w:rPr>
              <w:t>; es decir, les concederá valor probatorio siempre que no sean inverosímiles en sí mismas, ni contradigan las recibidas con las formalidades que la ley exige</w:t>
            </w:r>
            <w:r w:rsidRPr="0070274F">
              <w:rPr>
                <w:rFonts w:ascii="Arial" w:eastAsia="Times New Roman" w:hAnsi="Arial" w:cs="Arial"/>
                <w:sz w:val="20"/>
                <w:szCs w:val="20"/>
              </w:rPr>
              <w:t>”. [énfasis añadido]</w:t>
            </w:r>
          </w:p>
        </w:tc>
      </w:tr>
    </w:tbl>
    <w:p w14:paraId="6F545DA2" w14:textId="77777777" w:rsidR="0070274F" w:rsidRPr="0070274F" w:rsidRDefault="0070274F" w:rsidP="0070274F">
      <w:pPr>
        <w:spacing w:after="0"/>
        <w:jc w:val="both"/>
        <w:rPr>
          <w:rFonts w:ascii="Arial" w:eastAsia="Times New Roman" w:hAnsi="Arial" w:cs="Arial"/>
        </w:rPr>
      </w:pPr>
    </w:p>
    <w:p w14:paraId="12991560"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97" w:name="_Toc69242793"/>
      <w:bookmarkStart w:id="98" w:name="_Toc69248101"/>
      <w:bookmarkStart w:id="99" w:name="_Toc69248460"/>
      <w:bookmarkStart w:id="100" w:name="_Toc70950947"/>
      <w:r w:rsidRPr="0070274F">
        <w:rPr>
          <w:rFonts w:ascii="Arial" w:eastAsia="Times New Roman" w:hAnsi="Arial"/>
          <w:b/>
          <w:bCs/>
          <w:sz w:val="26"/>
          <w:szCs w:val="28"/>
        </w:rPr>
        <w:t>3.6. Testimonial</w:t>
      </w:r>
      <w:bookmarkEnd w:id="97"/>
      <w:bookmarkEnd w:id="98"/>
      <w:bookmarkEnd w:id="99"/>
      <w:bookmarkEnd w:id="100"/>
    </w:p>
    <w:p w14:paraId="15D5D1BA" w14:textId="77777777" w:rsidR="0070274F" w:rsidRPr="0070274F" w:rsidRDefault="0070274F" w:rsidP="0070274F">
      <w:pPr>
        <w:spacing w:after="0"/>
        <w:jc w:val="both"/>
        <w:rPr>
          <w:rFonts w:ascii="Arial" w:eastAsia="Times New Roman" w:hAnsi="Arial" w:cs="Arial"/>
        </w:rPr>
      </w:pPr>
    </w:p>
    <w:p w14:paraId="46DB9BD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Instituto tomará en consideración que los testigos: convengan en lo esencial del acto o hecho que refieran; declaren haber apreciado directamente con sus sentidos el hecho al que se refieran y no por inducciones ni referencias de terceros; tengan el criterio necesario para juzgar el acto por su edad, capacidad o instrucción; sean imparciales; no hayan sido obligados por fuerza o miedo, ni impulsados por engaño, error o soborno, y; den la razón fundada de su dicho.</w:t>
      </w:r>
    </w:p>
    <w:p w14:paraId="71F68E0C" w14:textId="77777777" w:rsidR="0070274F" w:rsidRPr="0070274F" w:rsidRDefault="0070274F" w:rsidP="0070274F">
      <w:pPr>
        <w:spacing w:after="0"/>
        <w:jc w:val="both"/>
        <w:rPr>
          <w:rFonts w:ascii="Arial" w:eastAsia="Times New Roman" w:hAnsi="Arial" w:cs="Arial"/>
        </w:rPr>
      </w:pPr>
    </w:p>
    <w:p w14:paraId="1AB467B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Un solo testigo sólo hace prueba plena cuando las partes convienen expresamente pasar por su dicho y cuando no esté en oposición con otras pruebas.</w:t>
      </w:r>
    </w:p>
    <w:p w14:paraId="15FC5710" w14:textId="77777777" w:rsidR="0070274F" w:rsidRPr="0070274F" w:rsidRDefault="0070274F" w:rsidP="0070274F">
      <w:pPr>
        <w:spacing w:after="0"/>
        <w:jc w:val="both"/>
        <w:rPr>
          <w:rFonts w:ascii="Arial" w:eastAsia="Times New Roman" w:hAnsi="Arial" w:cs="Arial"/>
        </w:rPr>
      </w:pPr>
    </w:p>
    <w:p w14:paraId="0CA4CA6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todo caso, su valor queda a la prudente apreciación del Instituto.</w:t>
      </w:r>
    </w:p>
    <w:p w14:paraId="28F54668" w14:textId="77777777" w:rsidR="0070274F" w:rsidRPr="0070274F" w:rsidRDefault="0070274F" w:rsidP="0070274F">
      <w:pPr>
        <w:spacing w:after="0"/>
        <w:jc w:val="both"/>
        <w:rPr>
          <w:rFonts w:ascii="Arial" w:eastAsia="Times New Roman" w:hAnsi="Arial" w:cs="Arial"/>
        </w:rPr>
      </w:pPr>
    </w:p>
    <w:p w14:paraId="649AC2B8" w14:textId="77777777" w:rsidR="0070274F" w:rsidRPr="0070274F" w:rsidRDefault="0070274F" w:rsidP="004227CB">
      <w:pPr>
        <w:keepNext/>
        <w:numPr>
          <w:ilvl w:val="0"/>
          <w:numId w:val="4"/>
        </w:numPr>
        <w:spacing w:after="0" w:line="252" w:lineRule="auto"/>
        <w:ind w:left="567" w:firstLine="0"/>
        <w:jc w:val="both"/>
        <w:outlineLvl w:val="1"/>
        <w:rPr>
          <w:rFonts w:ascii="Arial" w:eastAsia="Times New Roman" w:hAnsi="Arial"/>
          <w:b/>
          <w:bCs/>
          <w:sz w:val="26"/>
          <w:szCs w:val="28"/>
        </w:rPr>
      </w:pPr>
      <w:bookmarkStart w:id="101" w:name="_Toc69242794"/>
      <w:bookmarkStart w:id="102" w:name="_Toc69248102"/>
      <w:bookmarkStart w:id="103" w:name="_Toc69248461"/>
      <w:bookmarkStart w:id="104" w:name="_Toc70950948"/>
      <w:r w:rsidRPr="0070274F">
        <w:rPr>
          <w:rFonts w:ascii="Arial" w:eastAsia="Times New Roman" w:hAnsi="Arial"/>
          <w:b/>
          <w:bCs/>
          <w:sz w:val="26"/>
          <w:szCs w:val="28"/>
        </w:rPr>
        <w:t>3.7 Confesional</w:t>
      </w:r>
      <w:bookmarkEnd w:id="101"/>
      <w:bookmarkEnd w:id="102"/>
      <w:bookmarkEnd w:id="103"/>
      <w:bookmarkEnd w:id="104"/>
    </w:p>
    <w:p w14:paraId="202CFCDD" w14:textId="77777777" w:rsidR="0070274F" w:rsidRPr="0070274F" w:rsidRDefault="0070274F" w:rsidP="0070274F">
      <w:pPr>
        <w:keepNext/>
        <w:spacing w:after="0"/>
        <w:jc w:val="both"/>
        <w:rPr>
          <w:rFonts w:ascii="Arial" w:eastAsia="Times New Roman" w:hAnsi="Arial" w:cs="Arial"/>
        </w:rPr>
      </w:pPr>
    </w:p>
    <w:p w14:paraId="78ED72F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confesión puede ser expresa o ficta. La confesión expresa hará prueba plena si es hecha por persona con capacidad para obligarse; con pleno conocimiento; sin coacción ni violencia; concerniente a la cuestión a dirimir, y; que sea un hecho propio, del representado o del cedente. La confesión ficta produce el efecto de una presunción, cuando no haya pruebas que la contradigan.</w:t>
      </w:r>
    </w:p>
    <w:p w14:paraId="48604EEA" w14:textId="77777777" w:rsidR="0070274F" w:rsidRPr="0070274F" w:rsidRDefault="0070274F" w:rsidP="0070274F">
      <w:pPr>
        <w:spacing w:after="0"/>
        <w:jc w:val="both"/>
        <w:rPr>
          <w:rFonts w:ascii="Arial" w:eastAsia="Times New Roman" w:hAnsi="Arial" w:cs="Arial"/>
        </w:rPr>
      </w:pPr>
    </w:p>
    <w:p w14:paraId="31C0311D"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No será necesario ofrecer como prueba los hechos propios de las partes, aseverados en cualquier acto dentro del procedimiento de investigación o seguido en forma de juicio y harán prueba plena en contra de quien los asevere. Ocurrirá lo mismo si el emplazado no formula manifestaciones al Dictamen de Probable Responsabilidad dentro del plazo señalado en la LFCE para ello o respecto de los hechos sobre los que no se manifieste, cuestiones que tendrá el efecto jurídico de tenerlos por ciertos.</w:t>
      </w:r>
    </w:p>
    <w:p w14:paraId="3528F1AA" w14:textId="77777777" w:rsidR="0070274F" w:rsidRPr="0070274F" w:rsidRDefault="0070274F" w:rsidP="0070274F">
      <w:pPr>
        <w:spacing w:after="0"/>
        <w:jc w:val="both"/>
        <w:rPr>
          <w:rFonts w:ascii="Arial" w:eastAsia="Times New Roman" w:hAnsi="Arial" w:cs="Arial"/>
        </w:rPr>
      </w:pPr>
    </w:p>
    <w:p w14:paraId="7ECBCF36"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Además de la facultad para valorar las pruebas, el Instituto también determinará el alcance o eficacia de las pruebas.</w:t>
      </w:r>
    </w:p>
    <w:p w14:paraId="6BD93D41" w14:textId="77777777" w:rsidR="0070274F" w:rsidRPr="0070274F" w:rsidRDefault="0070274F" w:rsidP="0070274F">
      <w:pPr>
        <w:spacing w:after="0"/>
        <w:jc w:val="both"/>
        <w:rPr>
          <w:rFonts w:ascii="Arial" w:eastAsia="Times New Roman" w:hAnsi="Arial" w:cs="Arial"/>
        </w:rPr>
      </w:pPr>
    </w:p>
    <w:p w14:paraId="080FE386" w14:textId="77777777" w:rsidR="0070274F" w:rsidRPr="0070274F" w:rsidRDefault="0070274F" w:rsidP="0070274F">
      <w:pPr>
        <w:keepNext/>
        <w:spacing w:after="0"/>
        <w:ind w:left="567" w:hanging="360"/>
        <w:jc w:val="both"/>
        <w:outlineLvl w:val="0"/>
        <w:rPr>
          <w:rFonts w:ascii="Arial" w:eastAsia="Times New Roman" w:hAnsi="Arial" w:cs="Arial"/>
          <w:b/>
          <w:sz w:val="26"/>
          <w:szCs w:val="26"/>
          <w:lang w:val="es-MX"/>
        </w:rPr>
      </w:pPr>
      <w:bookmarkStart w:id="105" w:name="_Toc69242800"/>
      <w:bookmarkStart w:id="106" w:name="_Toc69248108"/>
      <w:bookmarkStart w:id="107" w:name="_Toc69248467"/>
      <w:bookmarkStart w:id="108" w:name="_Toc70950949"/>
      <w:r w:rsidRPr="0070274F">
        <w:rPr>
          <w:rFonts w:ascii="Arial" w:eastAsia="Times New Roman" w:hAnsi="Arial" w:cs="Arial"/>
          <w:b/>
          <w:sz w:val="26"/>
          <w:szCs w:val="26"/>
          <w:lang w:val="es-MX"/>
        </w:rPr>
        <w:lastRenderedPageBreak/>
        <w:t>4. Disposiciones generales</w:t>
      </w:r>
      <w:bookmarkEnd w:id="105"/>
      <w:bookmarkEnd w:id="106"/>
      <w:bookmarkEnd w:id="107"/>
      <w:bookmarkEnd w:id="108"/>
      <w:r w:rsidRPr="0070274F">
        <w:rPr>
          <w:rFonts w:ascii="Arial" w:eastAsia="Times New Roman" w:hAnsi="Arial" w:cs="Arial"/>
          <w:b/>
          <w:sz w:val="26"/>
          <w:szCs w:val="26"/>
          <w:lang w:val="es-MX"/>
        </w:rPr>
        <w:t xml:space="preserve"> </w:t>
      </w:r>
    </w:p>
    <w:p w14:paraId="6498375C" w14:textId="77777777" w:rsidR="0070274F" w:rsidRPr="0070274F" w:rsidRDefault="0070274F" w:rsidP="0070274F">
      <w:pPr>
        <w:spacing w:after="0"/>
        <w:jc w:val="both"/>
        <w:rPr>
          <w:rFonts w:ascii="Arial" w:eastAsia="Times New Roman" w:hAnsi="Arial" w:cs="Arial"/>
        </w:rPr>
      </w:pPr>
    </w:p>
    <w:p w14:paraId="3E90C0A7"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LFCE y las DRLFCE contienen reglas generales para el trámite de todos los procedimientos previstos en la LFCE. Para efectos del procedimiento seguido en forma de juicio deberán considerarse las disposiciones siguientes:</w:t>
      </w:r>
    </w:p>
    <w:p w14:paraId="523BA6A6" w14:textId="77777777" w:rsidR="0070274F" w:rsidRPr="0070274F" w:rsidRDefault="0070274F" w:rsidP="0070274F">
      <w:pPr>
        <w:spacing w:after="0"/>
        <w:jc w:val="both"/>
        <w:rPr>
          <w:rFonts w:ascii="Arial" w:eastAsia="Times New Roman" w:hAnsi="Arial" w:cs="Arial"/>
        </w:rPr>
      </w:pPr>
    </w:p>
    <w:p w14:paraId="5575224B" w14:textId="77777777" w:rsidR="0070274F" w:rsidRPr="0070274F" w:rsidRDefault="0070274F" w:rsidP="004227CB">
      <w:pPr>
        <w:keepNext/>
        <w:numPr>
          <w:ilvl w:val="0"/>
          <w:numId w:val="4"/>
        </w:numPr>
        <w:spacing w:after="0" w:line="252" w:lineRule="auto"/>
        <w:ind w:left="567" w:firstLine="0"/>
        <w:jc w:val="both"/>
        <w:outlineLvl w:val="1"/>
        <w:rPr>
          <w:rFonts w:ascii="Arial" w:eastAsia="Times New Roman" w:hAnsi="Arial"/>
          <w:b/>
          <w:bCs/>
          <w:sz w:val="26"/>
          <w:szCs w:val="28"/>
          <w:u w:val="single"/>
        </w:rPr>
      </w:pPr>
      <w:bookmarkStart w:id="109" w:name="_Toc69242801"/>
      <w:bookmarkStart w:id="110" w:name="_Toc69248109"/>
      <w:bookmarkStart w:id="111" w:name="_Toc69248468"/>
      <w:bookmarkStart w:id="112" w:name="_Toc70950950"/>
      <w:r w:rsidRPr="0070274F">
        <w:rPr>
          <w:rFonts w:ascii="Arial" w:eastAsia="Times New Roman" w:hAnsi="Arial"/>
          <w:b/>
          <w:bCs/>
          <w:sz w:val="26"/>
          <w:szCs w:val="28"/>
        </w:rPr>
        <w:t>4.1. Promociones</w:t>
      </w:r>
      <w:bookmarkEnd w:id="109"/>
      <w:bookmarkEnd w:id="110"/>
      <w:bookmarkEnd w:id="111"/>
      <w:bookmarkEnd w:id="112"/>
      <w:r w:rsidRPr="0070274F">
        <w:rPr>
          <w:rFonts w:ascii="Arial" w:eastAsia="Times New Roman" w:hAnsi="Arial"/>
          <w:b/>
          <w:bCs/>
          <w:sz w:val="26"/>
          <w:szCs w:val="28"/>
        </w:rPr>
        <w:t xml:space="preserve"> </w:t>
      </w:r>
    </w:p>
    <w:p w14:paraId="09B177FB" w14:textId="77777777" w:rsidR="0070274F" w:rsidRPr="0070274F" w:rsidRDefault="0070274F" w:rsidP="0070274F">
      <w:pPr>
        <w:keepNext/>
        <w:spacing w:after="0"/>
        <w:jc w:val="both"/>
        <w:rPr>
          <w:rFonts w:ascii="Arial" w:eastAsia="Times New Roman" w:hAnsi="Arial" w:cs="Arial"/>
        </w:rPr>
      </w:pPr>
    </w:p>
    <w:p w14:paraId="78549EC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Todos los actos y las promociones deberán formularse por escrito, en forma respetuosa, presentarse en idioma español y estar firmadas por quienes intervienen en ellas. La firma de los servidores públicos del Instituto podrá ser autógrafa o electrónica. Cuando los promoventes o personas que intervengan en una actuación no supieren o no pudieren firmar, pondrán su huella digital en presencia de 2 (dos) testigos, quienes deberán firmar dicha actuación o promoción. La falta de cumplimiento de estos requisitos dará lugar a que dichas actuaciones se tengan por no presentadas.</w:t>
      </w:r>
    </w:p>
    <w:p w14:paraId="615BA316" w14:textId="77777777" w:rsidR="0070274F" w:rsidRPr="0070274F" w:rsidRDefault="0070274F" w:rsidP="0070274F">
      <w:pPr>
        <w:spacing w:after="0"/>
        <w:jc w:val="both"/>
        <w:rPr>
          <w:rFonts w:ascii="Arial" w:eastAsia="Times New Roman" w:hAnsi="Arial" w:cs="Arial"/>
        </w:rPr>
      </w:pPr>
    </w:p>
    <w:p w14:paraId="138C73C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Si una persona que haya intervenido en una diligencia practicada por el Instituto se negara a firmar, o en su caso, a poner su huella digital, se hará constar esta circunstancia en el acta que se levante para tal efecto. La falta de firma o huella no invalidará las actuaciones.</w:t>
      </w:r>
    </w:p>
    <w:p w14:paraId="0E41C17B" w14:textId="77777777" w:rsidR="0070274F" w:rsidRPr="0070274F" w:rsidRDefault="0070274F" w:rsidP="0070274F">
      <w:pPr>
        <w:spacing w:after="0"/>
        <w:jc w:val="both"/>
        <w:rPr>
          <w:rFonts w:ascii="Arial" w:eastAsia="Times New Roman" w:hAnsi="Arial" w:cs="Arial"/>
        </w:rPr>
      </w:pPr>
    </w:p>
    <w:p w14:paraId="0BA843A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En el caso de que el promovente presente junto a su promoción, documentos en idioma distinto al español, deberá acompañar la traducción realizada por un perito traductor de los aspectos que bajo su responsabilidad estime relevantes, sin perjuicio de que el Instituto podrá solicitar al promovente que se amplíe o se realice en su totalidad la traducción por perito traductor, cuando lo considere pertinente. Asimismo, deberá acompañar el documento con el cual el perito acredite su conocimiento técnico del idioma que se trate, sin perjuicio de que, en caso de estimarlo pertinente, el Instituto podrá requerir que se presente traducción por perito traductor reconocido por el Poder Judicial de las entidades federativas o de la Federación. El Instituto no considerará el texto de los documentos que estén en idioma distinto al español y no cuenten con traducción. </w:t>
      </w:r>
    </w:p>
    <w:p w14:paraId="513851CE" w14:textId="77777777" w:rsidR="0070274F" w:rsidRPr="0070274F" w:rsidRDefault="0070274F" w:rsidP="0070274F">
      <w:pPr>
        <w:spacing w:after="0"/>
        <w:jc w:val="both"/>
        <w:rPr>
          <w:rFonts w:ascii="Arial" w:eastAsia="Times New Roman" w:hAnsi="Arial" w:cs="Arial"/>
        </w:rPr>
      </w:pPr>
    </w:p>
    <w:p w14:paraId="78A73A8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Con independencia de lo anterior, el Instituto podrá recabar documentos en idioma distinto al español y anexarlos al expediente junto con la traducción de los aspectos que estime relevantes.</w:t>
      </w:r>
    </w:p>
    <w:p w14:paraId="427C4B91" w14:textId="77777777" w:rsidR="0070274F" w:rsidRPr="0070274F" w:rsidRDefault="0070274F" w:rsidP="0070274F">
      <w:pPr>
        <w:spacing w:after="0"/>
        <w:jc w:val="both"/>
        <w:rPr>
          <w:rFonts w:ascii="Arial" w:eastAsia="Times New Roman" w:hAnsi="Arial" w:cs="Arial"/>
        </w:rPr>
      </w:pPr>
    </w:p>
    <w:p w14:paraId="356BD85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promociones y documentos deberán presentarse únicamente en la oficialía de partes del Instituto en horario laboral, conforme al calendario de labores del Instituto aprobado anualmente y publicado en el DOF.</w:t>
      </w:r>
    </w:p>
    <w:p w14:paraId="0556385A" w14:textId="77777777" w:rsidR="0070274F" w:rsidRPr="0070274F" w:rsidRDefault="0070274F" w:rsidP="0070274F">
      <w:pPr>
        <w:spacing w:after="0"/>
        <w:jc w:val="both"/>
        <w:rPr>
          <w:rFonts w:ascii="Arial" w:eastAsia="Times New Roman" w:hAnsi="Arial" w:cs="Arial"/>
        </w:rPr>
      </w:pPr>
    </w:p>
    <w:p w14:paraId="57BC8C8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Asimismo, se podrán presentar promociones el día del vencimiento de su plazo, después de concluido el horario en que la oficialía de partes puede recibir documentos, por transmisión electrónica a la dirección de correo </w:t>
      </w:r>
      <w:hyperlink r:id="rId12" w:history="1">
        <w:r w:rsidRPr="0070274F">
          <w:rPr>
            <w:rFonts w:ascii="Arial" w:eastAsia="Times New Roman" w:hAnsi="Arial" w:cs="Arial"/>
            <w:color w:val="0563C1"/>
            <w:u w:val="single"/>
          </w:rPr>
          <w:t>oficialiacompetencia@ift.org.mx</w:t>
        </w:r>
      </w:hyperlink>
      <w:r w:rsidRPr="0070274F">
        <w:rPr>
          <w:rFonts w:ascii="Arial" w:eastAsia="Times New Roman" w:hAnsi="Arial" w:cs="Arial"/>
        </w:rPr>
        <w:t>. Una vez recibido, el sistema generará automáticamente un acuse de recibo que será enviado a la dirección de correo electrónico desde la que se originó el envío.</w:t>
      </w:r>
    </w:p>
    <w:p w14:paraId="77678A27" w14:textId="77777777" w:rsidR="0070274F" w:rsidRPr="0070274F" w:rsidRDefault="0070274F" w:rsidP="0070274F">
      <w:pPr>
        <w:spacing w:after="0"/>
        <w:jc w:val="both"/>
        <w:rPr>
          <w:rFonts w:ascii="Arial" w:eastAsia="Times New Roman" w:hAnsi="Arial" w:cs="Arial"/>
        </w:rPr>
      </w:pPr>
    </w:p>
    <w:p w14:paraId="5A2BF11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La transmisión electrónica deberá contener como archivos adjuntos la promoción firmada y explicar el contenido de los anexos que se acompañan mediante una lista detallada de los documentos. Asimismo, deberán relacionar su escrito con cada uno de los anexos.</w:t>
      </w:r>
    </w:p>
    <w:p w14:paraId="62CC704B" w14:textId="77777777" w:rsidR="0070274F" w:rsidRPr="0070274F" w:rsidRDefault="0070274F" w:rsidP="0070274F">
      <w:pPr>
        <w:spacing w:after="0"/>
        <w:jc w:val="both"/>
        <w:rPr>
          <w:rFonts w:ascii="Arial" w:eastAsia="Times New Roman" w:hAnsi="Arial" w:cs="Arial"/>
        </w:rPr>
      </w:pPr>
    </w:p>
    <w:p w14:paraId="57FCD9E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promociones y documentos presentados por transmisión electrónica solamente serán admisibles cuando la promoción original, sus anexos y el acuse de recibo sean presentados en la oficialía de partes al día hábil siguiente de haberse realizado la transmisión electrónica. Si la promoción y documentos presentados en la oficialía de partes difieren de los presentados por transmisión electrónica, se tendrán por no presentados.</w:t>
      </w:r>
    </w:p>
    <w:p w14:paraId="1A3FE835" w14:textId="77777777" w:rsidR="0070274F" w:rsidRPr="0070274F" w:rsidRDefault="0070274F" w:rsidP="0070274F">
      <w:pPr>
        <w:spacing w:after="0"/>
        <w:jc w:val="both"/>
        <w:rPr>
          <w:rFonts w:ascii="Arial" w:eastAsia="Times New Roman" w:hAnsi="Arial" w:cs="Arial"/>
        </w:rPr>
      </w:pPr>
    </w:p>
    <w:p w14:paraId="20BBEDB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Cualquier documento que se presente en forma diversa a las descritas, no interrumpirá ni suspenderá el plazo y se tendrá por recibido hasta que ingrese en la oficialía de partes.</w:t>
      </w:r>
    </w:p>
    <w:p w14:paraId="649AF1EC" w14:textId="77777777" w:rsidR="0070274F" w:rsidRPr="0070274F" w:rsidRDefault="0070274F" w:rsidP="0070274F">
      <w:pPr>
        <w:spacing w:after="0"/>
        <w:jc w:val="both"/>
        <w:rPr>
          <w:rFonts w:ascii="Arial" w:eastAsia="Times New Roman" w:hAnsi="Arial" w:cs="Arial"/>
        </w:rPr>
      </w:pPr>
    </w:p>
    <w:p w14:paraId="273FDB47"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113" w:name="_Toc69242802"/>
      <w:bookmarkStart w:id="114" w:name="_Toc69248110"/>
      <w:bookmarkStart w:id="115" w:name="_Toc69248469"/>
      <w:bookmarkStart w:id="116" w:name="_Toc70950951"/>
      <w:r w:rsidRPr="0070274F">
        <w:rPr>
          <w:rFonts w:ascii="Arial" w:eastAsia="Times New Roman" w:hAnsi="Arial"/>
          <w:b/>
          <w:bCs/>
          <w:sz w:val="26"/>
          <w:szCs w:val="28"/>
        </w:rPr>
        <w:t>4.2. Actuaciones</w:t>
      </w:r>
      <w:bookmarkEnd w:id="113"/>
      <w:bookmarkEnd w:id="114"/>
      <w:bookmarkEnd w:id="115"/>
      <w:bookmarkEnd w:id="116"/>
    </w:p>
    <w:p w14:paraId="57CC05E3" w14:textId="77777777" w:rsidR="0070274F" w:rsidRPr="0070274F" w:rsidRDefault="0070274F" w:rsidP="0070274F">
      <w:pPr>
        <w:spacing w:after="0"/>
        <w:jc w:val="both"/>
        <w:rPr>
          <w:rFonts w:ascii="Arial" w:eastAsia="Times New Roman" w:hAnsi="Arial" w:cs="Arial"/>
        </w:rPr>
      </w:pPr>
    </w:p>
    <w:p w14:paraId="490AC02A"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 toda promoción recaerá un acuerdo en el que se expresará la fecha de su emisión, la fecha de recepción de la promoción, una síntesis de la promoción, la motivación de la autoridad, los fundamentos de su emisión y la firma del servidor público competente para ello. Los acuerdos se emitirán en un plazo no mayor a 10 (diez) días, salvo que se establezca un término diferente en la LFCE o las DRLFCE.</w:t>
      </w:r>
    </w:p>
    <w:p w14:paraId="3C7AD7E9" w14:textId="77777777" w:rsidR="0070274F" w:rsidRPr="0070274F" w:rsidRDefault="0070274F" w:rsidP="0070274F">
      <w:pPr>
        <w:spacing w:after="0"/>
        <w:jc w:val="both"/>
        <w:rPr>
          <w:rFonts w:ascii="Arial" w:eastAsia="Times New Roman" w:hAnsi="Arial" w:cs="Arial"/>
        </w:rPr>
      </w:pPr>
    </w:p>
    <w:p w14:paraId="4FB9D88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Todas las actuaciones se realizarán en días y horas hábiles. Sin embargo, mediante acuerdo respectivo se podrán habilitar días y horas inhábiles para actuar o para que se practiquen diligencias y notificaciones, cuando hubiere causa que lo justifique, en el cual se expresará la causa y las diligencias que habrán de practicarse.</w:t>
      </w:r>
    </w:p>
    <w:p w14:paraId="27B415BF" w14:textId="77777777" w:rsidR="0070274F" w:rsidRPr="0070274F" w:rsidRDefault="0070274F" w:rsidP="0070274F">
      <w:pPr>
        <w:spacing w:after="0"/>
        <w:jc w:val="both"/>
        <w:rPr>
          <w:rFonts w:ascii="Arial" w:eastAsia="Times New Roman" w:hAnsi="Arial" w:cs="Arial"/>
        </w:rPr>
      </w:pPr>
    </w:p>
    <w:p w14:paraId="42B31967" w14:textId="7A73D09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Son días hábiles todos los del año, menos los sábados y domingos, y aquellos que se declaren inhábiles conforme al calendario de labores aprobado anualmente por el Pleno y publicado en el DOF. Los días en que se suspendan labores o cuando las oficinas </w:t>
      </w:r>
      <w:r w:rsidR="00007393">
        <w:rPr>
          <w:rFonts w:ascii="Arial" w:eastAsia="Times New Roman" w:hAnsi="Arial" w:cs="Arial"/>
        </w:rPr>
        <w:t>del Instituto</w:t>
      </w:r>
      <w:r w:rsidRPr="0070274F">
        <w:rPr>
          <w:rFonts w:ascii="Arial" w:eastAsia="Times New Roman" w:hAnsi="Arial" w:cs="Arial"/>
        </w:rPr>
        <w:t xml:space="preserve"> permanezcan cerradas, serán considerados como inhábiles para todos los efectos legales, salvo en los casos de habilitación expresa para la realización o práctica de diligencias.</w:t>
      </w:r>
    </w:p>
    <w:p w14:paraId="6BE2562A" w14:textId="77777777" w:rsidR="0070274F" w:rsidRPr="0070274F" w:rsidRDefault="0070274F" w:rsidP="0070274F">
      <w:pPr>
        <w:spacing w:after="0"/>
        <w:jc w:val="both"/>
        <w:rPr>
          <w:rFonts w:ascii="Arial" w:eastAsia="Times New Roman" w:hAnsi="Arial" w:cs="Arial"/>
        </w:rPr>
      </w:pPr>
    </w:p>
    <w:p w14:paraId="6510699D"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Son horas hábiles para notificar y realizar diligencias las que median desde las siete hasta las diecinueve horas. Es importante distinguir que el horario para recepción de documentos en la oficialía de partes del Instituto será el dispuesto en el calendario anual de labores aprobado por el Pleno y publicado en el DOF.</w:t>
      </w:r>
    </w:p>
    <w:p w14:paraId="41B09CA7" w14:textId="77777777" w:rsidR="0070274F" w:rsidRPr="0070274F" w:rsidRDefault="0070274F" w:rsidP="0070274F">
      <w:pPr>
        <w:spacing w:after="0"/>
        <w:jc w:val="both"/>
        <w:rPr>
          <w:rFonts w:ascii="Arial" w:eastAsia="Times New Roman" w:hAnsi="Arial" w:cs="Arial"/>
        </w:rPr>
      </w:pPr>
    </w:p>
    <w:p w14:paraId="2F768CBC"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u w:val="single"/>
        </w:rPr>
      </w:pPr>
      <w:bookmarkStart w:id="117" w:name="_Toc69242803"/>
      <w:bookmarkStart w:id="118" w:name="_Toc69248111"/>
      <w:bookmarkStart w:id="119" w:name="_Toc69248470"/>
      <w:bookmarkStart w:id="120" w:name="_Toc70950952"/>
      <w:r w:rsidRPr="0070274F">
        <w:rPr>
          <w:rFonts w:ascii="Arial" w:eastAsia="Times New Roman" w:hAnsi="Arial"/>
          <w:b/>
          <w:bCs/>
          <w:sz w:val="26"/>
          <w:szCs w:val="28"/>
        </w:rPr>
        <w:t>4.3. Representación</w:t>
      </w:r>
      <w:bookmarkEnd w:id="117"/>
      <w:bookmarkEnd w:id="118"/>
      <w:bookmarkEnd w:id="119"/>
      <w:bookmarkEnd w:id="120"/>
    </w:p>
    <w:p w14:paraId="7201C882" w14:textId="77777777" w:rsidR="0070274F" w:rsidRPr="0070274F" w:rsidRDefault="0070274F" w:rsidP="0070274F">
      <w:pPr>
        <w:spacing w:after="0"/>
        <w:jc w:val="both"/>
        <w:rPr>
          <w:rFonts w:ascii="Arial" w:eastAsia="Times New Roman" w:hAnsi="Arial" w:cs="Arial"/>
        </w:rPr>
      </w:pPr>
    </w:p>
    <w:p w14:paraId="4976169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La representación deberá acreditarse mediante testimonio notarial o copia certificada del documento o instrumento que contenga las facultades para ello, de conformidad con las formalidades establecidas en la legislación aplicable, el cual podrá presentarse con el primer </w:t>
      </w:r>
      <w:r w:rsidRPr="0070274F">
        <w:rPr>
          <w:rFonts w:ascii="Arial" w:eastAsia="Times New Roman" w:hAnsi="Arial" w:cs="Arial"/>
        </w:rPr>
        <w:lastRenderedPageBreak/>
        <w:t>escrito o inscribirse en el registro de personas acreditadas que, en su caso, llegue a establecer el Instituto para los procedimientos tramitados con base en la LFCE.</w:t>
      </w:r>
    </w:p>
    <w:p w14:paraId="524E7ABF" w14:textId="77777777" w:rsidR="0070274F" w:rsidRPr="0070274F" w:rsidRDefault="0070274F" w:rsidP="0070274F">
      <w:pPr>
        <w:spacing w:after="0"/>
        <w:jc w:val="both"/>
        <w:rPr>
          <w:rFonts w:ascii="Arial" w:eastAsia="Times New Roman" w:hAnsi="Arial" w:cs="Arial"/>
          <w:u w:val="single"/>
        </w:rPr>
      </w:pPr>
    </w:p>
    <w:p w14:paraId="27C7D8F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su caso, a efecto de acreditar la personalidad de un promovente inscrito ante el registro de personas acreditadas, éste deberá señalar el folio y número de constancia de inscripción.</w:t>
      </w:r>
    </w:p>
    <w:p w14:paraId="38DA4A14" w14:textId="77777777" w:rsidR="0070274F" w:rsidRPr="0070274F" w:rsidRDefault="0070274F" w:rsidP="0070274F">
      <w:pPr>
        <w:spacing w:after="0"/>
        <w:jc w:val="both"/>
        <w:rPr>
          <w:rFonts w:ascii="Arial" w:eastAsia="Times New Roman" w:hAnsi="Arial" w:cs="Arial"/>
        </w:rPr>
      </w:pPr>
    </w:p>
    <w:p w14:paraId="2958A16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Los AE o su representante legal podrán autorizar a las personas que estimen pertinente para que reciban notificaciones, realicen promociones, ofrezcan medios de prueba, concurran al desahogo de pruebas, formulen alegatos y, en general, lleven a cabo actos necesarios para la debida sustanciación del procedimiento. El autorizado en estos términos no podrá sustituir ni delegar su autorización.</w:t>
      </w:r>
    </w:p>
    <w:p w14:paraId="4834D8D7" w14:textId="77777777" w:rsidR="0070274F" w:rsidRPr="0070274F" w:rsidRDefault="0070274F" w:rsidP="0070274F">
      <w:pPr>
        <w:spacing w:after="0"/>
        <w:jc w:val="both"/>
        <w:rPr>
          <w:rFonts w:ascii="Arial" w:eastAsia="Times New Roman" w:hAnsi="Arial" w:cs="Arial"/>
          <w:u w:val="single"/>
        </w:rPr>
      </w:pPr>
    </w:p>
    <w:p w14:paraId="2E6F839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Asimismo, los AE o su representante legal podrán designar personas únicamente para oír y recibir notificaciones y documentos e imponerse de las constancias del expediente, quienes no gozarán de las facultades referidas en el párrafo anterior. Cuando en su promoción los AE no especifiquen para qué efectos autorizan a las personas que señalan, se entenderá que los autorizan únicamente para los efectos descritos en este párrafo.</w:t>
      </w:r>
    </w:p>
    <w:p w14:paraId="07178595" w14:textId="77777777" w:rsidR="0070274F" w:rsidRPr="0070274F" w:rsidRDefault="0070274F" w:rsidP="0070274F">
      <w:pPr>
        <w:spacing w:after="0"/>
        <w:jc w:val="both"/>
        <w:rPr>
          <w:rFonts w:ascii="Arial" w:eastAsia="Times New Roman" w:hAnsi="Arial" w:cs="Arial"/>
        </w:rPr>
      </w:pPr>
    </w:p>
    <w:p w14:paraId="2C6C5D2D"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El Instituto prevendrá a los promoventes cuando no acrediten su personalidad en los términos descritos. Desahogada la prevención, se acordará lo conducente. En caso contrario, se tendrá por no presentado el escrito correspondiente.</w:t>
      </w:r>
    </w:p>
    <w:p w14:paraId="543F5C17" w14:textId="77777777" w:rsidR="0070274F" w:rsidRPr="0070274F" w:rsidRDefault="0070274F" w:rsidP="0070274F">
      <w:pPr>
        <w:spacing w:after="0"/>
        <w:jc w:val="both"/>
        <w:rPr>
          <w:rFonts w:ascii="Arial" w:eastAsia="Times New Roman" w:hAnsi="Arial" w:cs="Arial"/>
        </w:rPr>
      </w:pPr>
    </w:p>
    <w:p w14:paraId="1DBCC8E8" w14:textId="77777777" w:rsidR="0070274F" w:rsidRPr="0070274F" w:rsidRDefault="0070274F" w:rsidP="004227CB">
      <w:pPr>
        <w:keepNext/>
        <w:numPr>
          <w:ilvl w:val="0"/>
          <w:numId w:val="4"/>
        </w:numPr>
        <w:spacing w:after="0" w:line="252" w:lineRule="auto"/>
        <w:ind w:left="567" w:firstLine="0"/>
        <w:jc w:val="both"/>
        <w:outlineLvl w:val="1"/>
        <w:rPr>
          <w:rFonts w:ascii="Arial" w:eastAsia="Times New Roman" w:hAnsi="Arial"/>
          <w:b/>
          <w:bCs/>
          <w:sz w:val="26"/>
          <w:szCs w:val="28"/>
        </w:rPr>
      </w:pPr>
      <w:bookmarkStart w:id="121" w:name="_Toc69242804"/>
      <w:bookmarkStart w:id="122" w:name="_Toc69248112"/>
      <w:bookmarkStart w:id="123" w:name="_Toc69248471"/>
      <w:bookmarkStart w:id="124" w:name="_Toc70950953"/>
      <w:r w:rsidRPr="0070274F">
        <w:rPr>
          <w:rFonts w:ascii="Arial" w:eastAsia="Times New Roman" w:hAnsi="Arial"/>
          <w:b/>
          <w:bCs/>
          <w:sz w:val="26"/>
          <w:szCs w:val="28"/>
        </w:rPr>
        <w:t>4.4 Plazos</w:t>
      </w:r>
      <w:bookmarkEnd w:id="121"/>
      <w:bookmarkEnd w:id="122"/>
      <w:bookmarkEnd w:id="123"/>
      <w:bookmarkEnd w:id="124"/>
    </w:p>
    <w:p w14:paraId="6E742AFE" w14:textId="77777777" w:rsidR="0070274F" w:rsidRPr="0070274F" w:rsidRDefault="0070274F" w:rsidP="0070274F">
      <w:pPr>
        <w:keepNext/>
        <w:spacing w:after="0"/>
        <w:jc w:val="both"/>
        <w:rPr>
          <w:rFonts w:ascii="Arial" w:eastAsia="Times New Roman" w:hAnsi="Arial" w:cs="Arial"/>
        </w:rPr>
      </w:pPr>
    </w:p>
    <w:p w14:paraId="79A253B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Los plazos referidos en días en la LFCE, las DRLFCE y la presente Guía, se entenderán como hábiles. El procedimiento seguido en forma de juicio no prevé ningún plazo referido en meses. Cuando no se especifique plazo se entenderán 5 (cinco) días para cualquier actuación.</w:t>
      </w:r>
    </w:p>
    <w:p w14:paraId="6373C1CB" w14:textId="77777777" w:rsidR="0070274F" w:rsidRPr="0070274F" w:rsidRDefault="0070274F" w:rsidP="0070274F">
      <w:pPr>
        <w:spacing w:after="0"/>
        <w:jc w:val="both"/>
        <w:rPr>
          <w:rFonts w:ascii="Arial" w:eastAsia="Times New Roman" w:hAnsi="Arial" w:cs="Arial"/>
        </w:rPr>
      </w:pPr>
    </w:p>
    <w:p w14:paraId="6ADE68E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Salvo disposición en contrario, todos los plazos empezarán a correr a partir del día siguiente a aquél en que haya surtido efectos la notificación respectiva. Para tal efecto, todas las notificaciones realizadas a los Agentes Económicos surtirán sus efectos el mismo día en que se practiquen.</w:t>
      </w:r>
    </w:p>
    <w:p w14:paraId="716A5B4C" w14:textId="77777777" w:rsidR="0070274F" w:rsidRPr="0070274F" w:rsidRDefault="0070274F" w:rsidP="0070274F">
      <w:pPr>
        <w:spacing w:after="0"/>
        <w:jc w:val="both"/>
        <w:rPr>
          <w:rFonts w:ascii="Arial" w:eastAsia="Times New Roman" w:hAnsi="Arial" w:cs="Arial"/>
        </w:rPr>
      </w:pPr>
    </w:p>
    <w:p w14:paraId="183D719E" w14:textId="77777777" w:rsidR="0070274F" w:rsidRPr="0070274F" w:rsidRDefault="0070274F" w:rsidP="0070274F">
      <w:pPr>
        <w:spacing w:after="0"/>
        <w:jc w:val="both"/>
        <w:rPr>
          <w:rFonts w:ascii="Arial" w:eastAsia="Times New Roman" w:hAnsi="Arial" w:cs="Arial"/>
        </w:rPr>
      </w:pPr>
      <w:r w:rsidRPr="00F85CFC">
        <w:rPr>
          <w:rFonts w:ascii="Arial" w:eastAsia="Times New Roman" w:hAnsi="Arial" w:cs="Arial"/>
        </w:rPr>
        <w:t>Salvo disposición en contrario, para el ejercicio de las atribuciones del Instituto, los plazos empezarán a correr a partir del día siguiente a la fecha en que el escrito de que se trate se reciba en la oficialía de partes</w:t>
      </w:r>
      <w:r w:rsidRPr="0070274F">
        <w:rPr>
          <w:rFonts w:ascii="Arial" w:eastAsia="Times New Roman" w:hAnsi="Arial" w:cs="Arial"/>
        </w:rPr>
        <w:t>. Asimismo, el plazo establecido en la LFCE o en las DRLFCE para la actuación del Instituto derivado de una promoción, contará a partir del día siguiente a aquél en que el promovente acredite su personalidad en el expediente respectivo.</w:t>
      </w:r>
    </w:p>
    <w:p w14:paraId="083C6962" w14:textId="77777777" w:rsidR="0070274F" w:rsidRPr="0070274F" w:rsidRDefault="0070274F" w:rsidP="0070274F">
      <w:pPr>
        <w:spacing w:after="0"/>
        <w:jc w:val="both"/>
        <w:rPr>
          <w:rFonts w:ascii="Arial" w:eastAsia="Times New Roman" w:hAnsi="Arial" w:cs="Arial"/>
        </w:rPr>
      </w:pPr>
    </w:p>
    <w:p w14:paraId="10A383C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Toda prórroga prevista en la LFCE o en las DRLFCE podrá ser concedida, a juicio del Instituto, a los AE o terceros que la soliciten y justifiquen su necesidad. En estos casos, las prórrogas podrán concederse hasta por un plazo igual al originalmente otorgado. </w:t>
      </w:r>
    </w:p>
    <w:p w14:paraId="6C04604F" w14:textId="77777777" w:rsidR="0070274F" w:rsidRPr="0070274F" w:rsidRDefault="0070274F" w:rsidP="0070274F">
      <w:pPr>
        <w:spacing w:after="0"/>
        <w:jc w:val="both"/>
        <w:rPr>
          <w:rFonts w:ascii="Arial" w:eastAsia="Times New Roman" w:hAnsi="Arial" w:cs="Arial"/>
        </w:rPr>
      </w:pPr>
    </w:p>
    <w:p w14:paraId="7EEF94CE"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125" w:name="_Toc69242805"/>
      <w:bookmarkStart w:id="126" w:name="_Toc69248113"/>
      <w:bookmarkStart w:id="127" w:name="_Toc69248472"/>
      <w:bookmarkStart w:id="128" w:name="_Toc70950954"/>
      <w:r w:rsidRPr="0070274F">
        <w:rPr>
          <w:rFonts w:ascii="Arial" w:eastAsia="Times New Roman" w:hAnsi="Arial"/>
          <w:b/>
          <w:bCs/>
          <w:sz w:val="26"/>
          <w:szCs w:val="28"/>
        </w:rPr>
        <w:lastRenderedPageBreak/>
        <w:t>4.5. Notificaciones</w:t>
      </w:r>
      <w:bookmarkEnd w:id="125"/>
      <w:bookmarkEnd w:id="126"/>
      <w:bookmarkEnd w:id="127"/>
      <w:bookmarkEnd w:id="128"/>
    </w:p>
    <w:p w14:paraId="482CA86F" w14:textId="77777777" w:rsidR="0070274F" w:rsidRPr="0070274F" w:rsidRDefault="0070274F" w:rsidP="0070274F">
      <w:pPr>
        <w:spacing w:after="0"/>
        <w:jc w:val="both"/>
        <w:rPr>
          <w:rFonts w:ascii="Arial" w:eastAsia="Times New Roman" w:hAnsi="Arial" w:cs="Arial"/>
        </w:rPr>
      </w:pPr>
    </w:p>
    <w:p w14:paraId="74467F11"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Con el primer escrito presentado durante el procedimiento seguido en forma de juicio o en la primera diligencia que se intervenga, los AE deberán designar domicilio para oír y recibir notificaciones en la Ciudad de México. </w:t>
      </w:r>
    </w:p>
    <w:p w14:paraId="4F8599B9" w14:textId="77777777" w:rsidR="0070274F" w:rsidRPr="0070274F" w:rsidRDefault="0070274F" w:rsidP="0070274F">
      <w:pPr>
        <w:spacing w:after="0"/>
        <w:jc w:val="both"/>
        <w:rPr>
          <w:rFonts w:ascii="Arial" w:eastAsia="Times New Roman" w:hAnsi="Arial" w:cs="Arial"/>
        </w:rPr>
      </w:pPr>
    </w:p>
    <w:p w14:paraId="5367336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Igualmente, los AE deberán señalar el domicilio en que ha de hacerse la primera notificación a la persona que le interese que se notifique por la intervención que deban tener en el asunto. Respecto a los servidores públicos, no será necesario señalar su domicilio, pues siempre serán notificados en su residencia oficial.</w:t>
      </w:r>
    </w:p>
    <w:p w14:paraId="392D1260" w14:textId="77777777" w:rsidR="0070274F" w:rsidRPr="0070274F" w:rsidRDefault="0070274F" w:rsidP="0070274F">
      <w:pPr>
        <w:spacing w:after="0"/>
        <w:jc w:val="both"/>
        <w:rPr>
          <w:rFonts w:ascii="Arial" w:eastAsia="Times New Roman" w:hAnsi="Arial" w:cs="Arial"/>
        </w:rPr>
      </w:pPr>
    </w:p>
    <w:p w14:paraId="1126B9AE" w14:textId="77777777" w:rsidR="0070274F" w:rsidRPr="0070274F" w:rsidRDefault="0070274F" w:rsidP="0070274F">
      <w:pPr>
        <w:keepNext/>
        <w:keepLines/>
        <w:spacing w:after="0"/>
        <w:ind w:left="567"/>
        <w:jc w:val="both"/>
        <w:outlineLvl w:val="2"/>
        <w:rPr>
          <w:rFonts w:ascii="Arial" w:eastAsia="Times New Roman" w:hAnsi="Arial"/>
          <w:b/>
          <w:spacing w:val="4"/>
          <w:sz w:val="26"/>
          <w:szCs w:val="24"/>
        </w:rPr>
      </w:pPr>
      <w:bookmarkStart w:id="129" w:name="_Toc69242806"/>
      <w:bookmarkStart w:id="130" w:name="_Toc69248114"/>
      <w:bookmarkStart w:id="131" w:name="_Toc69248473"/>
      <w:bookmarkStart w:id="132" w:name="_Toc70950955"/>
      <w:r w:rsidRPr="0070274F">
        <w:rPr>
          <w:rFonts w:ascii="Arial" w:eastAsia="Times New Roman" w:hAnsi="Arial"/>
          <w:b/>
          <w:spacing w:val="4"/>
          <w:sz w:val="26"/>
          <w:szCs w:val="24"/>
        </w:rPr>
        <w:t>4.5.1. Notificaciones personales</w:t>
      </w:r>
      <w:bookmarkEnd w:id="129"/>
      <w:bookmarkEnd w:id="130"/>
      <w:bookmarkEnd w:id="131"/>
      <w:bookmarkEnd w:id="132"/>
    </w:p>
    <w:p w14:paraId="15AE02A8" w14:textId="77777777" w:rsidR="0070274F" w:rsidRPr="0070274F" w:rsidRDefault="0070274F" w:rsidP="0070274F">
      <w:pPr>
        <w:spacing w:after="0"/>
        <w:jc w:val="both"/>
        <w:rPr>
          <w:rFonts w:ascii="Arial" w:eastAsia="Times New Roman" w:hAnsi="Arial" w:cs="Arial"/>
        </w:rPr>
      </w:pPr>
    </w:p>
    <w:p w14:paraId="4FA8B49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Se notificarán personalmente los actos siguientes:</w:t>
      </w:r>
    </w:p>
    <w:p w14:paraId="162491E5" w14:textId="77777777" w:rsidR="0070274F" w:rsidRPr="0070274F" w:rsidRDefault="0070274F" w:rsidP="0070274F">
      <w:pPr>
        <w:spacing w:after="0"/>
        <w:jc w:val="both"/>
        <w:rPr>
          <w:rFonts w:ascii="Arial" w:eastAsia="Times New Roman" w:hAnsi="Arial" w:cs="Arial"/>
        </w:rPr>
      </w:pPr>
    </w:p>
    <w:p w14:paraId="13FDC8E6" w14:textId="77777777" w:rsidR="0070274F" w:rsidRPr="0070274F" w:rsidRDefault="0070274F" w:rsidP="004227CB">
      <w:pPr>
        <w:numPr>
          <w:ilvl w:val="0"/>
          <w:numId w:val="5"/>
        </w:numPr>
        <w:spacing w:after="0" w:line="252" w:lineRule="auto"/>
        <w:ind w:left="709"/>
        <w:jc w:val="both"/>
        <w:rPr>
          <w:rFonts w:ascii="Arial" w:eastAsia="Times New Roman" w:hAnsi="Arial" w:cs="Arial"/>
        </w:rPr>
      </w:pPr>
      <w:r w:rsidRPr="0070274F">
        <w:rPr>
          <w:rFonts w:ascii="Arial" w:eastAsia="Times New Roman" w:hAnsi="Arial" w:cs="Arial"/>
        </w:rPr>
        <w:t>El emplazamiento al o los probables responsables con el dictamen de probable responsabilidad.</w:t>
      </w:r>
    </w:p>
    <w:p w14:paraId="0A10D6B5" w14:textId="77777777" w:rsidR="0070274F" w:rsidRPr="0070274F" w:rsidRDefault="0070274F" w:rsidP="0070274F">
      <w:pPr>
        <w:spacing w:after="0"/>
        <w:ind w:left="709"/>
        <w:jc w:val="both"/>
        <w:rPr>
          <w:rFonts w:ascii="Arial" w:eastAsia="Times New Roman" w:hAnsi="Arial" w:cs="Arial"/>
        </w:rPr>
      </w:pPr>
    </w:p>
    <w:p w14:paraId="4309853E" w14:textId="77777777" w:rsidR="0070274F" w:rsidRPr="0070274F" w:rsidRDefault="0070274F" w:rsidP="004227CB">
      <w:pPr>
        <w:numPr>
          <w:ilvl w:val="0"/>
          <w:numId w:val="5"/>
        </w:numPr>
        <w:spacing w:after="0" w:line="252" w:lineRule="auto"/>
        <w:ind w:left="709"/>
        <w:jc w:val="both"/>
        <w:rPr>
          <w:rFonts w:ascii="Arial" w:eastAsia="Times New Roman" w:hAnsi="Arial" w:cs="Arial"/>
        </w:rPr>
      </w:pPr>
      <w:r w:rsidRPr="0070274F">
        <w:rPr>
          <w:rFonts w:ascii="Arial" w:eastAsia="Times New Roman" w:hAnsi="Arial" w:cs="Arial"/>
        </w:rPr>
        <w:t>Requerimientos de información y documentos.</w:t>
      </w:r>
    </w:p>
    <w:p w14:paraId="5F496ACC" w14:textId="77777777" w:rsidR="0070274F" w:rsidRPr="0070274F" w:rsidRDefault="0070274F" w:rsidP="0070274F">
      <w:pPr>
        <w:spacing w:after="0"/>
        <w:ind w:left="709"/>
        <w:jc w:val="both"/>
        <w:rPr>
          <w:rFonts w:ascii="Arial" w:eastAsia="Times New Roman" w:hAnsi="Arial" w:cs="Arial"/>
        </w:rPr>
      </w:pPr>
    </w:p>
    <w:p w14:paraId="1E92F4B2" w14:textId="77777777" w:rsidR="0070274F" w:rsidRPr="0070274F" w:rsidRDefault="0070274F" w:rsidP="004227CB">
      <w:pPr>
        <w:numPr>
          <w:ilvl w:val="0"/>
          <w:numId w:val="5"/>
        </w:numPr>
        <w:spacing w:after="0" w:line="252" w:lineRule="auto"/>
        <w:ind w:left="709"/>
        <w:jc w:val="both"/>
        <w:rPr>
          <w:rFonts w:ascii="Arial" w:eastAsia="Times New Roman" w:hAnsi="Arial" w:cs="Arial"/>
        </w:rPr>
      </w:pPr>
      <w:r w:rsidRPr="0070274F">
        <w:rPr>
          <w:rFonts w:ascii="Arial" w:eastAsia="Times New Roman" w:hAnsi="Arial" w:cs="Arial"/>
        </w:rPr>
        <w:t>Acuerdos de prevención y aquellos dirigidos a cualquier persona ajena o extraña al procedimiento.</w:t>
      </w:r>
    </w:p>
    <w:p w14:paraId="06C20950" w14:textId="77777777" w:rsidR="0070274F" w:rsidRPr="0070274F" w:rsidRDefault="0070274F" w:rsidP="0070274F">
      <w:pPr>
        <w:spacing w:after="0"/>
        <w:ind w:left="709"/>
        <w:jc w:val="both"/>
        <w:rPr>
          <w:rFonts w:ascii="Arial" w:eastAsia="Times New Roman" w:hAnsi="Arial" w:cs="Arial"/>
        </w:rPr>
      </w:pPr>
    </w:p>
    <w:p w14:paraId="5CEC01D3" w14:textId="77777777" w:rsidR="0070274F" w:rsidRPr="0070274F" w:rsidRDefault="0070274F" w:rsidP="004227CB">
      <w:pPr>
        <w:numPr>
          <w:ilvl w:val="0"/>
          <w:numId w:val="5"/>
        </w:numPr>
        <w:spacing w:after="0" w:line="252" w:lineRule="auto"/>
        <w:ind w:left="709"/>
        <w:jc w:val="both"/>
        <w:rPr>
          <w:rFonts w:ascii="Arial" w:eastAsia="Times New Roman" w:hAnsi="Arial" w:cs="Arial"/>
        </w:rPr>
      </w:pPr>
      <w:r w:rsidRPr="0070274F">
        <w:rPr>
          <w:rFonts w:ascii="Arial" w:eastAsia="Times New Roman" w:hAnsi="Arial" w:cs="Arial"/>
        </w:rPr>
        <w:t>El oficio de citación a declarar para el desahogo de pruebas.</w:t>
      </w:r>
    </w:p>
    <w:p w14:paraId="650EEB98" w14:textId="77777777" w:rsidR="0070274F" w:rsidRPr="0070274F" w:rsidRDefault="0070274F" w:rsidP="0070274F">
      <w:pPr>
        <w:spacing w:after="0"/>
        <w:ind w:left="709"/>
        <w:jc w:val="both"/>
        <w:rPr>
          <w:rFonts w:ascii="Arial" w:eastAsia="Times New Roman" w:hAnsi="Arial" w:cs="Arial"/>
        </w:rPr>
      </w:pPr>
    </w:p>
    <w:p w14:paraId="08710E4C" w14:textId="77777777" w:rsidR="0070274F" w:rsidRPr="0070274F" w:rsidRDefault="0070274F" w:rsidP="004227CB">
      <w:pPr>
        <w:numPr>
          <w:ilvl w:val="0"/>
          <w:numId w:val="5"/>
        </w:numPr>
        <w:spacing w:after="0" w:line="252" w:lineRule="auto"/>
        <w:ind w:left="709"/>
        <w:jc w:val="both"/>
        <w:rPr>
          <w:rFonts w:ascii="Arial" w:eastAsia="Times New Roman" w:hAnsi="Arial" w:cs="Arial"/>
        </w:rPr>
      </w:pPr>
      <w:r w:rsidRPr="0070274F">
        <w:rPr>
          <w:rFonts w:ascii="Arial" w:eastAsia="Times New Roman" w:hAnsi="Arial" w:cs="Arial"/>
        </w:rPr>
        <w:t>La resolución de Pleno que ponga fin al procedimiento.</w:t>
      </w:r>
    </w:p>
    <w:p w14:paraId="743E388C" w14:textId="77777777" w:rsidR="0070274F" w:rsidRPr="0070274F" w:rsidRDefault="0070274F" w:rsidP="0070274F">
      <w:pPr>
        <w:spacing w:after="0"/>
        <w:ind w:left="709"/>
        <w:jc w:val="both"/>
        <w:rPr>
          <w:rFonts w:ascii="Arial" w:eastAsia="Times New Roman" w:hAnsi="Arial" w:cs="Arial"/>
        </w:rPr>
      </w:pPr>
    </w:p>
    <w:p w14:paraId="120C42E1" w14:textId="77777777" w:rsidR="0070274F" w:rsidRPr="0070274F" w:rsidRDefault="0070274F" w:rsidP="004227CB">
      <w:pPr>
        <w:numPr>
          <w:ilvl w:val="0"/>
          <w:numId w:val="5"/>
        </w:numPr>
        <w:spacing w:after="0" w:line="252" w:lineRule="auto"/>
        <w:ind w:left="709"/>
        <w:jc w:val="both"/>
        <w:rPr>
          <w:rFonts w:ascii="Arial" w:eastAsia="Times New Roman" w:hAnsi="Arial" w:cs="Arial"/>
        </w:rPr>
      </w:pPr>
      <w:r w:rsidRPr="0070274F">
        <w:rPr>
          <w:rFonts w:ascii="Arial" w:eastAsia="Times New Roman" w:hAnsi="Arial" w:cs="Arial"/>
        </w:rPr>
        <w:t>Cualquier acto cuando así lo ordene expresamente la UCE o el Pleno.</w:t>
      </w:r>
    </w:p>
    <w:p w14:paraId="7B6E7A7E" w14:textId="77777777" w:rsidR="0070274F" w:rsidRPr="0070274F" w:rsidRDefault="0070274F" w:rsidP="0070274F">
      <w:pPr>
        <w:spacing w:after="0"/>
        <w:jc w:val="both"/>
        <w:rPr>
          <w:rFonts w:ascii="Arial" w:eastAsia="Times New Roman" w:hAnsi="Arial" w:cs="Arial"/>
        </w:rPr>
      </w:pPr>
    </w:p>
    <w:p w14:paraId="585E1BEC"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Estos actos podrán notificarse por correo certificado o mensajería cuando el interesado lo solicite y adjunte el comprobante de pago respectivo; podrán notificarse por comparecencia cuando el interesado acuda a las oficinas del Instituto; y en su caso, por medios electrónicos cuando el Instituto así lo determine mediante disposiciones de carácter general.</w:t>
      </w:r>
    </w:p>
    <w:p w14:paraId="2D621928" w14:textId="77777777" w:rsidR="0070274F" w:rsidRPr="0070274F" w:rsidRDefault="0070274F" w:rsidP="0070274F">
      <w:pPr>
        <w:spacing w:after="0"/>
        <w:jc w:val="both"/>
        <w:rPr>
          <w:rFonts w:ascii="Arial" w:eastAsia="Times New Roman" w:hAnsi="Arial" w:cs="Arial"/>
        </w:rPr>
      </w:pPr>
    </w:p>
    <w:p w14:paraId="276BE701"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notificaciones personales se harán en el último domicilio acordado, o en su defecto, aquel señalado en el expediente o, en su caso, en las oficinas del Instituto; deberán estar dirigidas a los representantes legales, apoderados legales o personas autorizadas para tal efecto. En ausencia de estos, la notificación podrá realizarse con la persona que se encuentre en el domicilio.</w:t>
      </w:r>
    </w:p>
    <w:p w14:paraId="7189D22C" w14:textId="77777777" w:rsidR="0070274F" w:rsidRPr="0070274F" w:rsidRDefault="0070274F" w:rsidP="0070274F">
      <w:pPr>
        <w:spacing w:after="0"/>
        <w:jc w:val="both"/>
        <w:rPr>
          <w:rFonts w:ascii="Arial" w:eastAsia="Times New Roman" w:hAnsi="Arial" w:cs="Arial"/>
        </w:rPr>
      </w:pPr>
    </w:p>
    <w:p w14:paraId="4F50E6C2" w14:textId="77777777" w:rsidR="0070274F" w:rsidRPr="0070274F" w:rsidRDefault="0070274F" w:rsidP="0070274F">
      <w:pPr>
        <w:keepNext/>
        <w:keepLines/>
        <w:spacing w:after="0"/>
        <w:ind w:left="567"/>
        <w:jc w:val="both"/>
        <w:outlineLvl w:val="2"/>
        <w:rPr>
          <w:rFonts w:ascii="Arial" w:eastAsia="Times New Roman" w:hAnsi="Arial"/>
          <w:b/>
          <w:spacing w:val="4"/>
          <w:sz w:val="26"/>
          <w:szCs w:val="24"/>
        </w:rPr>
      </w:pPr>
      <w:bookmarkStart w:id="133" w:name="_Toc69242807"/>
      <w:bookmarkStart w:id="134" w:name="_Toc69248115"/>
      <w:bookmarkStart w:id="135" w:name="_Toc69248474"/>
      <w:bookmarkStart w:id="136" w:name="_Toc70950956"/>
      <w:r w:rsidRPr="0070274F">
        <w:rPr>
          <w:rFonts w:ascii="Arial" w:eastAsia="Times New Roman" w:hAnsi="Arial"/>
          <w:b/>
          <w:spacing w:val="4"/>
          <w:sz w:val="26"/>
          <w:szCs w:val="24"/>
        </w:rPr>
        <w:t>4.5.2. Notificaciones por lista</w:t>
      </w:r>
      <w:bookmarkEnd w:id="133"/>
      <w:bookmarkEnd w:id="134"/>
      <w:bookmarkEnd w:id="135"/>
      <w:bookmarkEnd w:id="136"/>
    </w:p>
    <w:p w14:paraId="6DB17538" w14:textId="77777777" w:rsidR="0070274F" w:rsidRPr="0070274F" w:rsidRDefault="0070274F" w:rsidP="0070274F">
      <w:pPr>
        <w:spacing w:after="0"/>
        <w:jc w:val="both"/>
        <w:rPr>
          <w:rFonts w:ascii="Arial" w:eastAsia="Times New Roman" w:hAnsi="Arial" w:cs="Arial"/>
        </w:rPr>
      </w:pPr>
    </w:p>
    <w:p w14:paraId="4BEACFE4"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Los actos del Instituto que no requieran notificarse personalmente se publicarán en la lista de notificaciones que emitirá la UCE, la cual será publicada en el sitio de Internet del Instituto y también se pondrá a disposición del público en las oficinas de la UCE.</w:t>
      </w:r>
    </w:p>
    <w:p w14:paraId="0A36430F" w14:textId="77777777" w:rsidR="0070274F" w:rsidRPr="0070274F" w:rsidRDefault="0070274F" w:rsidP="0070274F">
      <w:pPr>
        <w:spacing w:after="0"/>
        <w:jc w:val="both"/>
        <w:rPr>
          <w:rFonts w:ascii="Arial" w:eastAsia="Times New Roman" w:hAnsi="Arial" w:cs="Arial"/>
        </w:rPr>
      </w:pPr>
    </w:p>
    <w:p w14:paraId="5EB7592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En la lista se expresará el número de expediente en que se dicta el acto, el nombre, la denominación o la razón social de los involucrados en el procedimiento, la unidad administrativa que emite; en su caso, el número de oficialía de partes que le fue asignado al escrito que se acuerda y un extracto de lo resuelto o acordado. </w:t>
      </w:r>
    </w:p>
    <w:p w14:paraId="3AE36084" w14:textId="77777777" w:rsidR="0070274F" w:rsidRPr="0070274F" w:rsidRDefault="0070274F" w:rsidP="0070274F">
      <w:pPr>
        <w:spacing w:after="0"/>
        <w:jc w:val="both"/>
        <w:rPr>
          <w:rFonts w:ascii="Arial" w:eastAsia="Times New Roman" w:hAnsi="Arial" w:cs="Arial"/>
        </w:rPr>
      </w:pPr>
    </w:p>
    <w:p w14:paraId="3FFA88C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Se realizarán notificaciones en lista aquellas que, aun teniendo el carácter de personales, actualicen alguno de los siguientes supuestos:</w:t>
      </w:r>
    </w:p>
    <w:p w14:paraId="095D6E65" w14:textId="77777777" w:rsidR="0070274F" w:rsidRPr="0070274F" w:rsidRDefault="0070274F" w:rsidP="0070274F">
      <w:pPr>
        <w:spacing w:after="0"/>
        <w:jc w:val="both"/>
        <w:rPr>
          <w:rFonts w:ascii="Arial" w:eastAsia="Times New Roman" w:hAnsi="Arial" w:cs="Arial"/>
        </w:rPr>
      </w:pPr>
    </w:p>
    <w:p w14:paraId="6060CC17" w14:textId="77777777" w:rsidR="0070274F" w:rsidRPr="0070274F" w:rsidRDefault="0070274F" w:rsidP="004227CB">
      <w:pPr>
        <w:numPr>
          <w:ilvl w:val="0"/>
          <w:numId w:val="12"/>
        </w:numPr>
        <w:spacing w:after="0" w:line="252" w:lineRule="auto"/>
        <w:ind w:left="709"/>
        <w:jc w:val="both"/>
        <w:rPr>
          <w:rFonts w:ascii="Arial" w:eastAsia="Times New Roman" w:hAnsi="Arial" w:cs="Arial"/>
        </w:rPr>
      </w:pPr>
      <w:r w:rsidRPr="0070274F">
        <w:rPr>
          <w:rFonts w:ascii="Arial" w:eastAsia="Times New Roman" w:hAnsi="Arial" w:cs="Arial"/>
        </w:rPr>
        <w:t>Si el servidor público encargado de realizar la notificación se cerciora que el promovente señaló un domicilio inexistente o inexacto;</w:t>
      </w:r>
    </w:p>
    <w:p w14:paraId="7C827F6B" w14:textId="77777777" w:rsidR="0070274F" w:rsidRPr="0070274F" w:rsidRDefault="0070274F" w:rsidP="0070274F">
      <w:pPr>
        <w:spacing w:after="0"/>
        <w:ind w:left="709"/>
        <w:jc w:val="both"/>
        <w:rPr>
          <w:rFonts w:ascii="Arial" w:eastAsia="Times New Roman" w:hAnsi="Arial" w:cs="Arial"/>
        </w:rPr>
      </w:pPr>
    </w:p>
    <w:p w14:paraId="355F2FBF" w14:textId="77777777" w:rsidR="0070274F" w:rsidRPr="0070274F" w:rsidRDefault="0070274F" w:rsidP="004227CB">
      <w:pPr>
        <w:numPr>
          <w:ilvl w:val="0"/>
          <w:numId w:val="12"/>
        </w:numPr>
        <w:spacing w:after="0" w:line="252" w:lineRule="auto"/>
        <w:ind w:left="709"/>
        <w:jc w:val="both"/>
        <w:rPr>
          <w:rFonts w:ascii="Arial" w:eastAsia="Times New Roman" w:hAnsi="Arial" w:cs="Arial"/>
        </w:rPr>
      </w:pPr>
      <w:r w:rsidRPr="0070274F">
        <w:rPr>
          <w:rFonts w:ascii="Arial" w:eastAsia="Times New Roman" w:hAnsi="Arial" w:cs="Arial"/>
        </w:rPr>
        <w:t>Si el servidor público encargado de realizar la notificación se cerciora que las personas buscadas no habitan o no tienen el asiento de sus negocios en el domicilio señalado para oír y recibir notificaciones, y</w:t>
      </w:r>
    </w:p>
    <w:p w14:paraId="1FB7803D" w14:textId="77777777" w:rsidR="0070274F" w:rsidRPr="0070274F" w:rsidRDefault="0070274F" w:rsidP="0070274F">
      <w:pPr>
        <w:spacing w:after="0"/>
        <w:ind w:left="709"/>
        <w:jc w:val="both"/>
        <w:rPr>
          <w:rFonts w:ascii="Arial" w:eastAsia="Times New Roman" w:hAnsi="Arial" w:cs="Arial"/>
        </w:rPr>
      </w:pPr>
    </w:p>
    <w:p w14:paraId="5DBF736F" w14:textId="77777777" w:rsidR="0070274F" w:rsidRPr="0070274F" w:rsidRDefault="0070274F" w:rsidP="004227CB">
      <w:pPr>
        <w:numPr>
          <w:ilvl w:val="0"/>
          <w:numId w:val="12"/>
        </w:numPr>
        <w:spacing w:after="0" w:line="252" w:lineRule="auto"/>
        <w:ind w:left="709"/>
        <w:jc w:val="both"/>
        <w:rPr>
          <w:rFonts w:ascii="Arial" w:eastAsia="Times New Roman" w:hAnsi="Arial" w:cs="Arial"/>
        </w:rPr>
      </w:pPr>
      <w:r w:rsidRPr="0070274F">
        <w:rPr>
          <w:rFonts w:ascii="Arial" w:eastAsia="Times New Roman" w:hAnsi="Arial" w:cs="Arial"/>
        </w:rPr>
        <w:t>Cuando no se señale domicilio en la primera promoción o éste no se señale en la Ciudad de México, sin perjuicio que con posterioridad se designe.</w:t>
      </w:r>
    </w:p>
    <w:p w14:paraId="14BC49E9" w14:textId="77777777" w:rsidR="0070274F" w:rsidRPr="0070274F" w:rsidRDefault="0070274F" w:rsidP="0070274F">
      <w:pPr>
        <w:spacing w:after="0"/>
        <w:jc w:val="both"/>
        <w:rPr>
          <w:rFonts w:ascii="Arial" w:eastAsia="Times New Roman" w:hAnsi="Arial" w:cs="Arial"/>
        </w:rPr>
      </w:pPr>
    </w:p>
    <w:p w14:paraId="166C284B"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Las notificaciones por lista que se realicen en virtud de los supuestos anteriores, surtirán plenos efectos como si se hubiese tratado de una notificación personal.</w:t>
      </w:r>
    </w:p>
    <w:p w14:paraId="4E528502" w14:textId="77777777" w:rsidR="0070274F" w:rsidRPr="0070274F" w:rsidRDefault="0070274F" w:rsidP="0070274F">
      <w:pPr>
        <w:spacing w:after="0"/>
        <w:jc w:val="both"/>
        <w:rPr>
          <w:rFonts w:ascii="Arial" w:eastAsia="Times New Roman" w:hAnsi="Arial" w:cs="Arial"/>
        </w:rPr>
      </w:pPr>
    </w:p>
    <w:p w14:paraId="4EC58DAB"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137" w:name="_Toc69242808"/>
      <w:bookmarkStart w:id="138" w:name="_Toc69248116"/>
      <w:bookmarkStart w:id="139" w:name="_Toc69248475"/>
      <w:bookmarkStart w:id="140" w:name="_Toc70950957"/>
      <w:r w:rsidRPr="0070274F">
        <w:rPr>
          <w:rFonts w:ascii="Arial" w:eastAsia="Times New Roman" w:hAnsi="Arial"/>
          <w:b/>
          <w:bCs/>
          <w:sz w:val="26"/>
          <w:szCs w:val="28"/>
        </w:rPr>
        <w:t>4.6. Clasificación de información</w:t>
      </w:r>
      <w:bookmarkEnd w:id="137"/>
      <w:bookmarkEnd w:id="138"/>
      <w:bookmarkEnd w:id="139"/>
      <w:bookmarkEnd w:id="140"/>
    </w:p>
    <w:p w14:paraId="0BD8C133" w14:textId="77777777" w:rsidR="0070274F" w:rsidRPr="0070274F" w:rsidRDefault="0070274F" w:rsidP="0070274F">
      <w:pPr>
        <w:spacing w:after="0"/>
        <w:jc w:val="both"/>
        <w:rPr>
          <w:rFonts w:ascii="Arial" w:eastAsia="Times New Roman" w:hAnsi="Arial" w:cs="Arial"/>
        </w:rPr>
      </w:pPr>
    </w:p>
    <w:p w14:paraId="1578807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Cualquier información o documento que obre o se integre en el expediente donde se tramite un procedimiento seguido en forma de juicio, será considerada como reservada, confidencial o pública, según se definen en los artículos 3, fracciones IX, X y XI, y 125 de la LFCE.</w:t>
      </w:r>
    </w:p>
    <w:p w14:paraId="4AE5453F" w14:textId="77777777" w:rsidR="0070274F" w:rsidRPr="0070274F" w:rsidRDefault="0070274F" w:rsidP="0070274F">
      <w:pPr>
        <w:spacing w:after="0"/>
        <w:jc w:val="both"/>
        <w:rPr>
          <w:rFonts w:ascii="Arial" w:eastAsia="Times New Roman" w:hAnsi="Arial" w:cs="Arial"/>
        </w:rPr>
      </w:pPr>
    </w:p>
    <w:p w14:paraId="589E70EE"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el caso particular de información confidencial, sólo tendrá tal carácter cuando el Agente Económico así lo solicite, acredite que tiene tal carácter y presente un resumen de la información, a satisfacción del Instituto, para ser glosado al expediente, o bien, las razones por las que no puede realizarse dicho resumen, en cuyo caso el Instituto podrá realizarlo.</w:t>
      </w:r>
    </w:p>
    <w:p w14:paraId="515F3BA4" w14:textId="77777777" w:rsidR="0070274F" w:rsidRPr="0070274F" w:rsidRDefault="0070274F" w:rsidP="0070274F">
      <w:pPr>
        <w:spacing w:after="0"/>
        <w:jc w:val="both"/>
        <w:rPr>
          <w:rFonts w:ascii="Arial" w:eastAsia="Times New Roman" w:hAnsi="Arial" w:cs="Arial"/>
        </w:rPr>
      </w:pPr>
    </w:p>
    <w:p w14:paraId="4D7FF2F8"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caso de que un Agente Económico no solicite clasificar información con el carácter de confidencial, la UCE podrá prevenirlo para que en un plazo de 5 (cinco) días señale si parte de la información aportada tiene tal carácter, lo acredite y presente el resumen referido en el párrafo anterior. Si el Agente Económico no desahoga la prevención o al desahogarla no cumple con lo anterior, la UCE realizará la clasificación conforme a derecho y se tendrá al Agente Económico conforme con dicha clasificación.</w:t>
      </w:r>
    </w:p>
    <w:p w14:paraId="4098FF9E" w14:textId="77777777" w:rsidR="0070274F" w:rsidRPr="0070274F" w:rsidRDefault="0070274F" w:rsidP="0070274F">
      <w:pPr>
        <w:spacing w:after="0"/>
        <w:jc w:val="both"/>
        <w:rPr>
          <w:rFonts w:ascii="Arial" w:eastAsia="Times New Roman" w:hAnsi="Arial" w:cs="Arial"/>
        </w:rPr>
      </w:pPr>
    </w:p>
    <w:tbl>
      <w:tblPr>
        <w:tblStyle w:val="Tablaconcuadrcula2"/>
        <w:tblW w:w="0" w:type="auto"/>
        <w:tblLook w:val="04A0" w:firstRow="1" w:lastRow="0" w:firstColumn="1" w:lastColumn="0" w:noHBand="0" w:noVBand="1"/>
      </w:tblPr>
      <w:tblGrid>
        <w:gridCol w:w="8996"/>
      </w:tblGrid>
      <w:tr w:rsidR="0070274F" w:rsidRPr="0070274F" w14:paraId="53386B0E" w14:textId="77777777" w:rsidTr="0070274F">
        <w:tc>
          <w:tcPr>
            <w:tcW w:w="8996" w:type="dxa"/>
            <w:tcBorders>
              <w:top w:val="single" w:sz="12" w:space="0" w:color="auto"/>
              <w:left w:val="single" w:sz="12" w:space="0" w:color="auto"/>
              <w:bottom w:val="single" w:sz="12" w:space="0" w:color="auto"/>
              <w:right w:val="single" w:sz="12" w:space="0" w:color="auto"/>
            </w:tcBorders>
            <w:shd w:val="clear" w:color="auto" w:fill="E2EFD9"/>
          </w:tcPr>
          <w:p w14:paraId="48931CFA" w14:textId="77777777" w:rsidR="0070274F" w:rsidRPr="0070274F" w:rsidRDefault="0070274F" w:rsidP="0070274F">
            <w:pPr>
              <w:spacing w:after="0"/>
              <w:rPr>
                <w:rFonts w:ascii="Arial" w:eastAsia="Times New Roman" w:hAnsi="Arial" w:cs="Arial"/>
                <w:b/>
                <w:sz w:val="20"/>
                <w:szCs w:val="20"/>
              </w:rPr>
            </w:pPr>
            <w:r w:rsidRPr="0070274F">
              <w:rPr>
                <w:rFonts w:ascii="Arial" w:eastAsia="Times New Roman" w:hAnsi="Arial" w:cs="Arial"/>
                <w:b/>
                <w:sz w:val="20"/>
                <w:szCs w:val="20"/>
              </w:rPr>
              <w:lastRenderedPageBreak/>
              <w:t>Precedentes del PJF</w:t>
            </w:r>
          </w:p>
          <w:p w14:paraId="4ECB6EB9" w14:textId="77777777" w:rsidR="0070274F" w:rsidRPr="0070274F" w:rsidRDefault="0070274F" w:rsidP="0070274F">
            <w:pPr>
              <w:spacing w:after="0"/>
              <w:rPr>
                <w:rFonts w:ascii="Arial" w:eastAsia="Times New Roman" w:hAnsi="Arial" w:cs="Arial"/>
                <w:sz w:val="20"/>
                <w:szCs w:val="20"/>
              </w:rPr>
            </w:pPr>
          </w:p>
          <w:p w14:paraId="6D63891E"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 xml:space="preserve">Los siguientes criterios judiciales tienen aplicación en la integración y clasificación de las constancias de los expedientes en un procedimiento seguido en forma de juicio. Asimismo, estos criterios son ilustrativos en cuanto a quiénes pueden acceder a las constancias del expediente. En concreto, se trata de criterios que refuerzan la noción de la naturaleza de la clasificación de la información y que cuando se acredite que hay información confidencial, ésta debe archivarse en cuerda o tomo separado. </w:t>
            </w:r>
          </w:p>
          <w:p w14:paraId="1E9042E7" w14:textId="77777777" w:rsidR="0070274F" w:rsidRPr="0070274F" w:rsidRDefault="0070274F" w:rsidP="0070274F">
            <w:pPr>
              <w:spacing w:after="0"/>
              <w:rPr>
                <w:rFonts w:ascii="Arial" w:eastAsia="Times New Roman" w:hAnsi="Arial" w:cs="Arial"/>
                <w:sz w:val="20"/>
                <w:szCs w:val="20"/>
              </w:rPr>
            </w:pPr>
          </w:p>
          <w:p w14:paraId="1F636D43"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a)</w:t>
            </w:r>
            <w:r w:rsidRPr="0070274F">
              <w:rPr>
                <w:rFonts w:ascii="Arial" w:eastAsia="Times New Roman" w:hAnsi="Arial" w:cs="Arial"/>
                <w:sz w:val="20"/>
                <w:szCs w:val="20"/>
              </w:rPr>
              <w:t xml:space="preserve"> “</w:t>
            </w:r>
            <w:r w:rsidRPr="0070274F">
              <w:rPr>
                <w:rFonts w:ascii="Arial" w:eastAsia="Times New Roman" w:hAnsi="Arial" w:cs="Arial"/>
                <w:b/>
                <w:i/>
                <w:sz w:val="20"/>
                <w:szCs w:val="20"/>
              </w:rPr>
              <w:t>INFORMACIÓN CLASIFICADA COMO CONFIDENCIAL EXHIBIDA CON EL INFORME JUSTIFICADO. ESA CATEGORÍA INCLUYE AQUELLA DISTINTA DE LOS SECRETOS COMERCIALES, CUYA REVELACIÓN PERJUDICARÍA SIGNIFICATIVAMENTE A UNA PERSONA O EMPRESA</w:t>
            </w:r>
            <w:r w:rsidRPr="0070274F">
              <w:rPr>
                <w:rFonts w:ascii="Arial" w:eastAsia="Times New Roman" w:hAnsi="Arial" w:cs="Arial"/>
                <w:sz w:val="20"/>
                <w:szCs w:val="20"/>
              </w:rPr>
              <w:t>”. TCC; 10a. Época; Gaceta del Semanario Judicial de la Federación; I.1o.A.E.53 K (10a.); TA. Registro No.: 2011726.</w:t>
            </w:r>
          </w:p>
          <w:p w14:paraId="446378E8" w14:textId="77777777" w:rsidR="0070274F" w:rsidRPr="0070274F" w:rsidRDefault="0070274F" w:rsidP="0070274F">
            <w:pPr>
              <w:spacing w:after="0"/>
              <w:rPr>
                <w:rFonts w:ascii="Arial" w:eastAsia="Times New Roman" w:hAnsi="Arial" w:cs="Arial"/>
                <w:sz w:val="20"/>
                <w:szCs w:val="20"/>
              </w:rPr>
            </w:pPr>
          </w:p>
          <w:p w14:paraId="372246C1"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La fracción II del artículo 31 bis de la Ley Federal de Competencia Económica abrogada dispone que tendrá el carácter de confidencial aquella información que, de hacerse del conocimiento de los demás agentes económicos con interés jurídico en los procedimientos sustanciados por el órgano regulador en la materia, pueda causar un daño o perjuicio en su posición competitiva a quien la haya proporcionado, contenga datos personales cuya difusión requiera su consentimiento, pueda poner en riesgo su seguridad o cuando por disposición legal se prohíba su divulgación. Por tanto, </w:t>
            </w:r>
            <w:r w:rsidRPr="0070274F">
              <w:rPr>
                <w:rFonts w:ascii="Arial" w:eastAsia="Times New Roman" w:hAnsi="Arial" w:cs="Arial"/>
                <w:b/>
                <w:i/>
                <w:sz w:val="20"/>
                <w:szCs w:val="20"/>
                <w:u w:val="single"/>
              </w:rPr>
              <w:t>debe incluirse en la categoría de información confidencial, aquella exhibida con el informe justificado en el juicio de amparo, distinta de los secretos comerciales, pero que su revelación perjudicaría significativamente a una persona o empresa</w:t>
            </w:r>
            <w:r w:rsidRPr="0070274F">
              <w:rPr>
                <w:rFonts w:ascii="Arial" w:eastAsia="Times New Roman" w:hAnsi="Arial" w:cs="Arial"/>
                <w:i/>
                <w:sz w:val="20"/>
                <w:szCs w:val="20"/>
              </w:rPr>
              <w:t>, en función de las circunstancias específicas de cada caso, como sucedería con la información proporcionada por terceras partes sobre empresas que permitan a éstas ejercer presiones de carácter económico, el riesgo de medidas de represalia comercial sobre sus competidores o sobre sus socios comerciales, clientes o proveedores, o que sirva a las partes para identificar a los denunciantes o a otros terceros cuando éstos deseen, justificadamente, permanecer en el anonimato</w:t>
            </w:r>
            <w:r w:rsidRPr="0070274F">
              <w:rPr>
                <w:rFonts w:ascii="Arial" w:eastAsia="Times New Roman" w:hAnsi="Arial" w:cs="Arial"/>
                <w:sz w:val="20"/>
                <w:szCs w:val="20"/>
              </w:rPr>
              <w:t>”. [énfasis añadido]</w:t>
            </w:r>
          </w:p>
          <w:p w14:paraId="39013839" w14:textId="77777777" w:rsidR="0070274F" w:rsidRPr="0070274F" w:rsidRDefault="0070274F" w:rsidP="0070274F">
            <w:pPr>
              <w:spacing w:after="0"/>
              <w:rPr>
                <w:rFonts w:ascii="Arial" w:eastAsia="Times New Roman" w:hAnsi="Arial" w:cs="Arial"/>
                <w:sz w:val="20"/>
                <w:szCs w:val="20"/>
              </w:rPr>
            </w:pPr>
          </w:p>
          <w:p w14:paraId="7ED6C1F0"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b)</w:t>
            </w:r>
            <w:r w:rsidRPr="0070274F">
              <w:rPr>
                <w:rFonts w:ascii="Arial" w:eastAsia="Times New Roman" w:hAnsi="Arial" w:cs="Arial"/>
                <w:sz w:val="20"/>
                <w:szCs w:val="20"/>
              </w:rPr>
              <w:t xml:space="preserve"> “</w:t>
            </w:r>
            <w:r w:rsidRPr="0070274F">
              <w:rPr>
                <w:rFonts w:ascii="Arial" w:eastAsia="Times New Roman" w:hAnsi="Arial" w:cs="Arial"/>
                <w:b/>
                <w:i/>
                <w:sz w:val="20"/>
                <w:szCs w:val="20"/>
              </w:rPr>
              <w:t>COMISIÓN FEDERAL DE COMPETENCIA. LA DOCUMENTACIÓN E INFORMACIÓN CONFIDENCIAL PROPORCIONADAS POR LOS AGENTES ECONÓMICOS INVOLUCRADOS EN UN PROCEDIMIENTO DE INVESTIGACIÓN DE PRÁCTICAS MONOPÓLICAS, DEBE ARCHIVARSE POR CUERDA SEPARADA</w:t>
            </w:r>
            <w:r w:rsidRPr="0070274F">
              <w:rPr>
                <w:rFonts w:ascii="Arial" w:eastAsia="Times New Roman" w:hAnsi="Arial" w:cs="Arial"/>
                <w:sz w:val="20"/>
                <w:szCs w:val="20"/>
              </w:rPr>
              <w:t>”. TCC; 9a. Época; Semanario Judicial de la Federación y su Gaceta; I.7o.A.312 A; TA. Registro No.: 180940.</w:t>
            </w:r>
          </w:p>
          <w:p w14:paraId="0FDB0F39" w14:textId="77777777" w:rsidR="0070274F" w:rsidRPr="0070274F" w:rsidRDefault="0070274F" w:rsidP="0070274F">
            <w:pPr>
              <w:spacing w:after="0"/>
              <w:rPr>
                <w:rFonts w:ascii="Arial" w:eastAsia="Times New Roman" w:hAnsi="Arial" w:cs="Arial"/>
                <w:sz w:val="20"/>
                <w:szCs w:val="20"/>
              </w:rPr>
            </w:pPr>
          </w:p>
          <w:p w14:paraId="61E3BB12" w14:textId="77777777" w:rsidR="0070274F" w:rsidRPr="0070274F" w:rsidRDefault="0070274F" w:rsidP="0070274F">
            <w:pPr>
              <w:spacing w:after="0" w:line="240" w:lineRule="auto"/>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En términos del artículo 31, segundo párrafo, de la Ley Federal de Competencia Económica, la información y documentos que haya obtenido directamente la comisión en la realización de sus investigaciones, así como los que se le proporcionen, son estrictamente confidenciales. Aun cuando la norma legal en estudio, o su reglamento, no prevén que la información confidencial se archive por cuerda separada, debe destacarse que el artículo 20, fracción VI, de la Ley Federal de Transparencia y Acceso a la Información Pública Gubernamental dispone que los sujetos obligados por dicha norma deberán adoptar las medidas necesarias para garantizar la seguridad de los datos personales y evitar su alteración, pérdida, transmisión y acceso no autorizado. Por ende, </w:t>
            </w:r>
            <w:r w:rsidRPr="0070274F">
              <w:rPr>
                <w:rFonts w:ascii="Arial" w:eastAsia="Times New Roman" w:hAnsi="Arial" w:cs="Arial"/>
                <w:b/>
                <w:i/>
                <w:sz w:val="20"/>
                <w:szCs w:val="20"/>
                <w:u w:val="single"/>
              </w:rPr>
              <w:t>archivar o tramitar por cuerda separada la documentación e información confidencial exhibidas por los agentes económicos en los procedimientos de investigación de prácticas monopólicas, resulta una medida idónea para proteger la información confidencial, máxime si se trata de expedientes a los que tienen acceso todos los involucrados</w:t>
            </w:r>
            <w:r w:rsidRPr="0070274F">
              <w:rPr>
                <w:rFonts w:ascii="Arial" w:eastAsia="Times New Roman" w:hAnsi="Arial" w:cs="Arial"/>
                <w:i/>
                <w:sz w:val="20"/>
                <w:szCs w:val="20"/>
              </w:rPr>
              <w:t xml:space="preserve">. Por el contrario, si la documentación e información confidenciales constaran en la misma pieza de autos, se haría </w:t>
            </w:r>
            <w:r w:rsidRPr="0070274F">
              <w:rPr>
                <w:rFonts w:ascii="Arial" w:eastAsia="Times New Roman" w:hAnsi="Arial" w:cs="Arial"/>
                <w:i/>
                <w:sz w:val="20"/>
                <w:szCs w:val="20"/>
              </w:rPr>
              <w:lastRenderedPageBreak/>
              <w:t>nugatorio tal carácter, ya que en esa hipótesis cualquier agente económico con acceso al expediente podría conocerlos</w:t>
            </w:r>
            <w:r w:rsidRPr="0070274F">
              <w:rPr>
                <w:rFonts w:ascii="Arial" w:eastAsia="Times New Roman" w:hAnsi="Arial" w:cs="Arial"/>
                <w:sz w:val="20"/>
                <w:szCs w:val="20"/>
              </w:rPr>
              <w:t>”. [énfasis añadido]</w:t>
            </w:r>
          </w:p>
          <w:p w14:paraId="788C98AC" w14:textId="77777777" w:rsidR="0070274F" w:rsidRPr="0070274F" w:rsidRDefault="0070274F" w:rsidP="0070274F">
            <w:pPr>
              <w:spacing w:after="0"/>
              <w:rPr>
                <w:rFonts w:ascii="Arial" w:eastAsia="Times New Roman" w:hAnsi="Arial" w:cs="Arial"/>
                <w:sz w:val="20"/>
                <w:szCs w:val="20"/>
              </w:rPr>
            </w:pPr>
          </w:p>
          <w:p w14:paraId="44C9F758" w14:textId="77777777" w:rsidR="0070274F" w:rsidRPr="0070274F" w:rsidRDefault="0070274F" w:rsidP="0070274F">
            <w:pPr>
              <w:spacing w:after="0"/>
              <w:rPr>
                <w:rFonts w:ascii="Arial" w:eastAsia="Times New Roman" w:hAnsi="Arial" w:cs="Arial"/>
                <w:sz w:val="20"/>
                <w:szCs w:val="20"/>
              </w:rPr>
            </w:pPr>
            <w:r w:rsidRPr="0070274F">
              <w:rPr>
                <w:rFonts w:ascii="Arial" w:eastAsia="Times New Roman" w:hAnsi="Arial" w:cs="Arial"/>
                <w:b/>
                <w:sz w:val="20"/>
                <w:szCs w:val="20"/>
              </w:rPr>
              <w:t xml:space="preserve">c) </w:t>
            </w:r>
            <w:r w:rsidRPr="0070274F">
              <w:rPr>
                <w:rFonts w:ascii="Arial" w:eastAsia="Times New Roman" w:hAnsi="Arial" w:cs="Arial"/>
                <w:sz w:val="20"/>
                <w:szCs w:val="20"/>
              </w:rPr>
              <w:t>“</w:t>
            </w:r>
            <w:r w:rsidRPr="0070274F">
              <w:rPr>
                <w:rFonts w:ascii="Arial" w:eastAsia="Times New Roman" w:hAnsi="Arial" w:cs="Arial"/>
                <w:b/>
                <w:i/>
                <w:sz w:val="20"/>
                <w:szCs w:val="20"/>
              </w:rPr>
              <w:t>COMPETENCIA ECONÓMICA. EL ARTÍCULO 31 BIS, FRACCIÓN II, PÁRRAFO SEGUNDO, DE LA LEY FEDERAL RELATIVA, AL PREVER QUE LA INFORMACIÓN QUE SE RECABE DURANTE EL PROCEDIMIENTO DE INVESTIGACIÓN SEGUIDO ANTE LA COMISIÓN, SÓLO SERÁ CLASIFICADA COMO CONFIDENCIAL CUANDO EL AGENTE ECONÓMICO ASÍ LO SOLICITE, NO VULNERA EL DERECHO DE AUDIENCIA PREVISTO EN EL ARTÍCULO 14, PÁRRAFO SEGUNDO, DE LA CONSTITUCIÓN POLÍTICA DE LOS ESTADOS UNIDOS MEXICANOS</w:t>
            </w:r>
            <w:r w:rsidRPr="0070274F">
              <w:rPr>
                <w:rFonts w:ascii="Arial" w:eastAsia="Times New Roman" w:hAnsi="Arial" w:cs="Arial"/>
                <w:sz w:val="20"/>
                <w:szCs w:val="20"/>
              </w:rPr>
              <w:t>”. SCJN; 9a. Época; Semanario Judicial de la Federación y su Gaceta; 1a. XL/2008; TA. Registro No.: 169931.</w:t>
            </w:r>
          </w:p>
          <w:p w14:paraId="1322C45C" w14:textId="77777777" w:rsidR="0070274F" w:rsidRPr="0070274F" w:rsidRDefault="0070274F" w:rsidP="0070274F">
            <w:pPr>
              <w:spacing w:after="0"/>
              <w:rPr>
                <w:rFonts w:ascii="Arial" w:eastAsia="Times New Roman" w:hAnsi="Arial" w:cs="Arial"/>
                <w:sz w:val="20"/>
                <w:szCs w:val="20"/>
              </w:rPr>
            </w:pPr>
          </w:p>
          <w:p w14:paraId="37D3CBA6" w14:textId="77777777" w:rsidR="0070274F" w:rsidRPr="0070274F" w:rsidRDefault="0070274F" w:rsidP="0070274F">
            <w:pPr>
              <w:spacing w:after="0" w:line="240" w:lineRule="auto"/>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El derecho de audiencia consagrado en el artículo constitucional referido, exige que ningún acto privativo pueda surtir efectos legales sin que previamente se dé oportunidad de defensa a la parte afectada y se cumplan las formalidades esenciales del procedimiento, que consisten en que se realice la notificación del inicio del procedimiento; que se otorgue la oportunidad de ofrecer y desahogar las pruebas para la defensa; que se conceda la oportunidad de alegar y que se dicte una resolución que dirima las cuestiones debatidas. En este sentido, el artículo 31 bis, fracción II, párrafo segundo, de la Ley Federal de Competencia Económica, no viola el aludido derecho constitucional, en primer lugar, porque cuando se actualiza la hipótesis normativa de clasificación de la información, el agente económico cuya información es clasificada, necesariamente, ha sido requerido para intervenir en la investigación que se sigue ante la Comisión Federal de Competencia Económica; en segundo término, porque esa intervención permite que el agente económico sea plenamente tomado en consideración previo al acto clasificatorio, dado que éste debe elevar una solicitud para que determinada información considerada pública por ley sea clasificada como confidencial, aunado a que debe presentar un resumen de la información mediante el cual acredite a través de todos los medios jurídicos a su alcance (argumentos, pruebas y alegatos), que la información respectiva es confidencial; y, finalmente, porque la Comisión Federal de Competencia está obligada a emitir el resumen respectivo (resolución), en el cual determine si la información respecto de la cual se solicitó la clasificación es pública o confidencial</w:t>
            </w:r>
            <w:r w:rsidRPr="0070274F">
              <w:rPr>
                <w:rFonts w:ascii="Arial" w:eastAsia="Times New Roman" w:hAnsi="Arial" w:cs="Arial"/>
                <w:sz w:val="20"/>
                <w:szCs w:val="20"/>
              </w:rPr>
              <w:t>”.</w:t>
            </w:r>
          </w:p>
        </w:tc>
      </w:tr>
    </w:tbl>
    <w:p w14:paraId="366FEA6D" w14:textId="77777777" w:rsidR="0070274F" w:rsidRPr="0070274F" w:rsidRDefault="0070274F" w:rsidP="0070274F">
      <w:pPr>
        <w:spacing w:after="0"/>
        <w:jc w:val="both"/>
        <w:rPr>
          <w:rFonts w:ascii="Arial" w:eastAsia="Times New Roman" w:hAnsi="Arial" w:cs="Arial"/>
        </w:rPr>
      </w:pPr>
    </w:p>
    <w:p w14:paraId="7E81387A" w14:textId="77777777" w:rsidR="0070274F" w:rsidRPr="0070274F" w:rsidRDefault="0070274F" w:rsidP="0070274F">
      <w:pPr>
        <w:keepNext/>
        <w:spacing w:after="0"/>
        <w:ind w:left="567" w:hanging="360"/>
        <w:jc w:val="both"/>
        <w:outlineLvl w:val="0"/>
        <w:rPr>
          <w:rFonts w:ascii="Arial" w:eastAsia="Times New Roman" w:hAnsi="Arial" w:cs="Arial"/>
          <w:b/>
          <w:sz w:val="26"/>
          <w:szCs w:val="26"/>
          <w:lang w:val="es-MX"/>
        </w:rPr>
      </w:pPr>
      <w:bookmarkStart w:id="141" w:name="_Toc69242809"/>
      <w:bookmarkStart w:id="142" w:name="_Toc69248117"/>
      <w:bookmarkStart w:id="143" w:name="_Toc69248476"/>
      <w:bookmarkStart w:id="144" w:name="_Toc70950958"/>
      <w:r w:rsidRPr="0070274F">
        <w:rPr>
          <w:rFonts w:ascii="Arial" w:eastAsia="Times New Roman" w:hAnsi="Arial" w:cs="Arial"/>
          <w:b/>
          <w:sz w:val="26"/>
          <w:szCs w:val="26"/>
          <w:lang w:val="es-MX"/>
        </w:rPr>
        <w:t>5. Personas ajenas o extrañas al procedimiento</w:t>
      </w:r>
      <w:bookmarkEnd w:id="141"/>
      <w:bookmarkEnd w:id="142"/>
      <w:bookmarkEnd w:id="143"/>
      <w:bookmarkEnd w:id="144"/>
    </w:p>
    <w:p w14:paraId="3E609B34" w14:textId="77777777" w:rsidR="0070274F" w:rsidRPr="0070274F" w:rsidRDefault="0070274F" w:rsidP="0070274F">
      <w:pPr>
        <w:spacing w:after="0"/>
        <w:jc w:val="both"/>
        <w:rPr>
          <w:rFonts w:ascii="Arial" w:eastAsia="Times New Roman" w:hAnsi="Arial" w:cs="Arial"/>
        </w:rPr>
      </w:pPr>
    </w:p>
    <w:p w14:paraId="1B2EEF8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Si bien la LFCE establece que únicamente son parte en el procedimiento seguido en forma de juicio el probable responsable y la Autoridad Investigadora, lo cierto es que, durante su trámite, la UCE puede realizar requerimientos a cualquier persona ajena o extraña al procedimiento en cuestión. </w:t>
      </w:r>
    </w:p>
    <w:p w14:paraId="72A825D8" w14:textId="77777777" w:rsidR="0070274F" w:rsidRPr="0070274F" w:rsidRDefault="0070274F" w:rsidP="0070274F">
      <w:pPr>
        <w:spacing w:after="0"/>
        <w:jc w:val="both"/>
        <w:rPr>
          <w:rFonts w:ascii="Arial" w:eastAsia="Times New Roman" w:hAnsi="Arial" w:cs="Arial"/>
        </w:rPr>
      </w:pPr>
    </w:p>
    <w:p w14:paraId="37C0CFD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En efecto, de conformidad con el artículo 119 de la LFCE, toda persona física o moral que tenga conocimiento o relación con algún hecho materia de un procedimiento seguido en forma de juicio en trámite, tiene la obligación de proporcionar en el término de 10 (diez) días la información, cosas y documentos que obren en su poder en el medio que le sean requeridos, de presentarse a declarar en el lugar, fecha y hora en que sea citada, y permitir que se realicen las visitas de verificación. </w:t>
      </w:r>
    </w:p>
    <w:p w14:paraId="7AF18AF8" w14:textId="77777777" w:rsidR="0070274F" w:rsidRPr="0070274F" w:rsidRDefault="0070274F" w:rsidP="0070274F">
      <w:pPr>
        <w:spacing w:after="0"/>
        <w:jc w:val="both"/>
        <w:rPr>
          <w:rFonts w:ascii="Arial" w:eastAsia="Times New Roman" w:hAnsi="Arial" w:cs="Arial"/>
        </w:rPr>
      </w:pPr>
    </w:p>
    <w:p w14:paraId="1F6D4A93"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Para garantizar el cumplimiento de lo anterior, la UCE podrá aplicar indistintamente las medidas de apremio previstas en el artículo 126 de la LFCE.</w:t>
      </w:r>
    </w:p>
    <w:p w14:paraId="3ED2B442"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 </w:t>
      </w:r>
    </w:p>
    <w:p w14:paraId="345A0D10"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lastRenderedPageBreak/>
        <w:t xml:space="preserve">Es importante señalar que las personas ajenas o extrañas al procedimiento únicamente serán requeridas por su relación con los hechos investigados. Los requerimientos que, en su caso se realicen, no implican ninguna responsabilidad para las personas ajenas o extrañas con relación a la comisión de las prácticas monopólicas o concentraciones ilícitas que se hayan imputado en el dictamen de probable responsabilidad. Dado que no tienen un interés jurídico en el procedimiento, no podrán consultar en ningún momento las constancias que integran el expediente. </w:t>
      </w:r>
    </w:p>
    <w:p w14:paraId="7DB3E46B" w14:textId="77777777" w:rsidR="0070274F" w:rsidRPr="0070274F" w:rsidRDefault="0070274F" w:rsidP="0070274F">
      <w:pPr>
        <w:spacing w:after="0"/>
        <w:jc w:val="both"/>
        <w:rPr>
          <w:rFonts w:ascii="Arial" w:eastAsia="Times New Roman" w:hAnsi="Arial" w:cs="Arial"/>
        </w:rPr>
      </w:pPr>
    </w:p>
    <w:p w14:paraId="794ED341" w14:textId="77777777" w:rsidR="0070274F" w:rsidRPr="0070274F" w:rsidRDefault="0070274F" w:rsidP="0070274F">
      <w:pPr>
        <w:keepNext/>
        <w:spacing w:after="0"/>
        <w:ind w:left="567" w:hanging="360"/>
        <w:jc w:val="both"/>
        <w:outlineLvl w:val="0"/>
        <w:rPr>
          <w:rFonts w:ascii="Arial" w:eastAsia="Times New Roman" w:hAnsi="Arial" w:cs="Arial"/>
          <w:b/>
          <w:sz w:val="26"/>
          <w:szCs w:val="26"/>
          <w:lang w:val="es-MX"/>
        </w:rPr>
      </w:pPr>
      <w:bookmarkStart w:id="145" w:name="_Toc69242810"/>
      <w:bookmarkStart w:id="146" w:name="_Toc69248118"/>
      <w:bookmarkStart w:id="147" w:name="_Toc69248477"/>
      <w:bookmarkStart w:id="148" w:name="_Toc70950959"/>
      <w:r w:rsidRPr="0070274F">
        <w:rPr>
          <w:rFonts w:ascii="Arial" w:eastAsia="Times New Roman" w:hAnsi="Arial" w:cs="Arial"/>
          <w:b/>
          <w:sz w:val="26"/>
          <w:szCs w:val="26"/>
          <w:lang w:val="es-MX"/>
        </w:rPr>
        <w:t>6. Criterios judiciales</w:t>
      </w:r>
      <w:bookmarkEnd w:id="145"/>
      <w:bookmarkEnd w:id="146"/>
      <w:bookmarkEnd w:id="147"/>
      <w:bookmarkEnd w:id="148"/>
    </w:p>
    <w:p w14:paraId="600B6484" w14:textId="77777777" w:rsidR="0070274F" w:rsidRPr="0070274F" w:rsidRDefault="0070274F" w:rsidP="0070274F">
      <w:pPr>
        <w:spacing w:after="0"/>
        <w:jc w:val="both"/>
        <w:rPr>
          <w:rFonts w:ascii="Arial" w:eastAsia="Times New Roman" w:hAnsi="Arial" w:cs="Arial"/>
          <w:szCs w:val="20"/>
        </w:rPr>
      </w:pPr>
    </w:p>
    <w:p w14:paraId="301BF831" w14:textId="77777777" w:rsidR="0070274F" w:rsidRPr="0070274F" w:rsidRDefault="0070274F" w:rsidP="0070274F">
      <w:pPr>
        <w:spacing w:after="0"/>
        <w:jc w:val="both"/>
        <w:rPr>
          <w:rFonts w:ascii="Arial" w:eastAsia="Times New Roman" w:hAnsi="Arial" w:cs="Arial"/>
          <w:szCs w:val="20"/>
        </w:rPr>
      </w:pPr>
      <w:r w:rsidRPr="0070274F">
        <w:rPr>
          <w:rFonts w:ascii="Arial" w:eastAsia="Times New Roman" w:hAnsi="Arial" w:cs="Arial"/>
          <w:szCs w:val="20"/>
        </w:rPr>
        <w:t>En el presente apartado se incluyen algunos criterios judiciales que podrían ser invocados en la resolución correspondiente al procedimiento seguido en forma de juicio.</w:t>
      </w:r>
    </w:p>
    <w:p w14:paraId="3C0D3A48" w14:textId="77777777" w:rsidR="0070274F" w:rsidRPr="0070274F" w:rsidRDefault="0070274F" w:rsidP="0070274F">
      <w:pPr>
        <w:spacing w:after="0"/>
        <w:jc w:val="both"/>
        <w:rPr>
          <w:rFonts w:ascii="Arial" w:eastAsia="Times New Roman" w:hAnsi="Arial" w:cs="Arial"/>
          <w:szCs w:val="20"/>
        </w:rPr>
      </w:pPr>
    </w:p>
    <w:p w14:paraId="6281A4C3" w14:textId="77777777" w:rsidR="0070274F" w:rsidRPr="0070274F" w:rsidRDefault="0070274F" w:rsidP="0070274F">
      <w:pPr>
        <w:spacing w:after="0"/>
        <w:jc w:val="both"/>
        <w:rPr>
          <w:rFonts w:ascii="Arial" w:eastAsia="Times New Roman" w:hAnsi="Arial" w:cs="Arial"/>
          <w:szCs w:val="20"/>
        </w:rPr>
      </w:pPr>
      <w:r w:rsidRPr="0070274F">
        <w:rPr>
          <w:rFonts w:ascii="Arial" w:eastAsia="Times New Roman" w:hAnsi="Arial" w:cs="Arial"/>
          <w:szCs w:val="20"/>
        </w:rPr>
        <w:t>De forma general, los criterios judiciales numerados a continuación, versan sobre cuestiones procesales que el Pleno puede valorar al emitir su resolución, tales como la consideración de hechos notorios, la calificación de argumentos, el orden del estudio de dichos argumentos, entre otros. Sin embargo, en todo momento, el Instituto puede aplicar o dejar de aplicar estos u otros criterios, atendiendo a los hechos del caso concreto.</w:t>
      </w:r>
    </w:p>
    <w:p w14:paraId="229AA70E" w14:textId="77777777" w:rsidR="0070274F" w:rsidRPr="0070274F" w:rsidRDefault="0070274F" w:rsidP="0070274F">
      <w:pPr>
        <w:spacing w:after="0"/>
        <w:jc w:val="both"/>
        <w:rPr>
          <w:rFonts w:ascii="Arial" w:eastAsia="Times New Roman" w:hAnsi="Arial" w:cs="Arial"/>
          <w:szCs w:val="20"/>
        </w:rPr>
      </w:pPr>
    </w:p>
    <w:p w14:paraId="2207923D"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HECHOS NOTORIOS. CONDICIONES QUE NORMAN LA FACULTAD LEGAL DE LOS JUZGADORES PARA INVOCARLOS</w:t>
      </w:r>
      <w:r w:rsidRPr="0070274F">
        <w:rPr>
          <w:rFonts w:ascii="Arial" w:eastAsia="Times New Roman" w:hAnsi="Arial" w:cs="Arial"/>
          <w:sz w:val="20"/>
          <w:szCs w:val="20"/>
        </w:rPr>
        <w:t>”. [J]; 9a. Época; T.C.C.; S.J.F. y su Gaceta; Tomo XIX, enero de 2004; Pág. 1350. VI.3o.A. J/32. Registro No.: 182407.</w:t>
      </w:r>
    </w:p>
    <w:p w14:paraId="1781F2F2" w14:textId="77777777" w:rsidR="0070274F" w:rsidRPr="0070274F" w:rsidRDefault="0070274F" w:rsidP="0070274F">
      <w:pPr>
        <w:spacing w:after="0"/>
        <w:ind w:left="708"/>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La aptitud de que gozan los juzgadores para invocar hechos notorios se ve sujeta, esencialmente, </w:t>
      </w:r>
      <w:r w:rsidRPr="0070274F">
        <w:rPr>
          <w:rFonts w:ascii="Arial" w:eastAsia="Times New Roman" w:hAnsi="Arial" w:cs="Arial"/>
          <w:b/>
          <w:i/>
          <w:sz w:val="20"/>
          <w:szCs w:val="20"/>
          <w:u w:val="single"/>
        </w:rPr>
        <w:t>a que el conocimiento del hecho forme parte de la cultura normal de un determinado sector social al tiempo de emitirse la resolución</w:t>
      </w:r>
      <w:r w:rsidRPr="0070274F">
        <w:rPr>
          <w:rFonts w:ascii="Arial" w:eastAsia="Times New Roman" w:hAnsi="Arial" w:cs="Arial"/>
          <w:i/>
          <w:sz w:val="20"/>
          <w:szCs w:val="20"/>
        </w:rPr>
        <w:t>. La notoriedad es un concepto esencialmente relativo; no existen hechos conocidos por todos los hombres sin limitación de tiempo ni de espacio. Además, la notoriedad de un hecho dentro de un determinado ámbito social no significa conocimiento efectivo del mismo por todos aquellos que integran ese sector y ni siquiera por parte de la mayoría de aquéllos. No es el conocimiento efectivo lo que produce la notoriedad, sino la normalidad de este conocimiento en el tipo medio de hombre perteneciente a un determinado sector social y dotado por ello de cierta cultura. Por último, ese conocimiento o esa posibilidad de conocimiento no deriva de una relación individual con los hechos en el momento en que se producen o se han producido, sino sólo de la circunstancia de pertenecer al grupo social en que tales hechos son notorios. Por consiguiente, si el hecho alegado se hace depender de la relación particular que guarda el interesado con el hecho, en el momento en que éste se realizó, pero no descansa en la circunstancia de que aquél pertenezca a determinado grupo social en que tal hecho sea notorio, ello denota que el hecho que se invoca no radica en que el conocimiento del mismo forme parte de la cultura propia del círculo social del sujeto, en el tiempo en que la decisión ocurrió; de lo que se sigue que en ese caso los Jueces están imposibilitados para introducir a la litis, a manera de hecho notorio, una situación en la que exclusivamente está inmerso el interesado</w:t>
      </w:r>
      <w:r w:rsidRPr="0070274F">
        <w:rPr>
          <w:rFonts w:ascii="Arial" w:eastAsia="Times New Roman" w:hAnsi="Arial" w:cs="Arial"/>
          <w:sz w:val="20"/>
          <w:szCs w:val="20"/>
        </w:rPr>
        <w:t>”. [énfasis añadido]</w:t>
      </w:r>
    </w:p>
    <w:p w14:paraId="6F51FE03" w14:textId="77777777" w:rsidR="0070274F" w:rsidRPr="0070274F" w:rsidRDefault="0070274F" w:rsidP="0070274F">
      <w:pPr>
        <w:spacing w:after="0"/>
        <w:jc w:val="both"/>
        <w:rPr>
          <w:rFonts w:ascii="Arial" w:eastAsia="Times New Roman" w:hAnsi="Arial" w:cs="Arial"/>
          <w:sz w:val="20"/>
          <w:szCs w:val="20"/>
        </w:rPr>
      </w:pPr>
    </w:p>
    <w:p w14:paraId="378A9999" w14:textId="77777777" w:rsidR="0070274F" w:rsidRPr="0070274F" w:rsidRDefault="0070274F" w:rsidP="004227CB">
      <w:pPr>
        <w:numPr>
          <w:ilvl w:val="0"/>
          <w:numId w:val="6"/>
        </w:numPr>
        <w:spacing w:after="0" w:line="252" w:lineRule="auto"/>
        <w:jc w:val="both"/>
        <w:rPr>
          <w:rFonts w:ascii="Arial" w:eastAsia="Times New Roman" w:hAnsi="Arial" w:cs="Arial"/>
          <w:sz w:val="14"/>
          <w:szCs w:val="16"/>
        </w:rPr>
      </w:pPr>
      <w:r w:rsidRPr="0070274F">
        <w:rPr>
          <w:rFonts w:ascii="Arial" w:eastAsia="Times New Roman" w:hAnsi="Arial" w:cs="Arial"/>
          <w:sz w:val="20"/>
          <w:szCs w:val="20"/>
        </w:rPr>
        <w:t>“</w:t>
      </w:r>
      <w:r w:rsidRPr="0070274F">
        <w:rPr>
          <w:rFonts w:ascii="Arial" w:eastAsia="Times New Roman" w:hAnsi="Arial" w:cs="Arial"/>
          <w:b/>
          <w:i/>
          <w:sz w:val="20"/>
          <w:szCs w:val="20"/>
        </w:rPr>
        <w:t>HECHOS NOTORIOS. CONCEPTOS GENERAL Y JURÍDICO</w:t>
      </w:r>
      <w:r w:rsidRPr="0070274F">
        <w:rPr>
          <w:rFonts w:ascii="Arial" w:eastAsia="Times New Roman" w:hAnsi="Arial" w:cs="Arial"/>
          <w:sz w:val="20"/>
          <w:szCs w:val="20"/>
        </w:rPr>
        <w:t>”. [J]; 9a. Época; Pleno; S.J.F. y su Gaceta; Tomo XXIII, junio de 2006; Pág. 963. P./J. 74/2006. Registro No.: 174899.</w:t>
      </w:r>
    </w:p>
    <w:p w14:paraId="5B335A9F" w14:textId="77777777" w:rsidR="0070274F" w:rsidRPr="0070274F" w:rsidRDefault="0070274F" w:rsidP="0070274F">
      <w:pPr>
        <w:spacing w:after="160" w:line="252" w:lineRule="auto"/>
        <w:ind w:left="708"/>
        <w:jc w:val="both"/>
        <w:rPr>
          <w:rFonts w:ascii="Arial" w:eastAsia="Times New Roman" w:hAnsi="Arial" w:cs="Arial"/>
          <w:sz w:val="20"/>
          <w:szCs w:val="20"/>
        </w:rPr>
      </w:pPr>
      <w:r w:rsidRPr="0070274F">
        <w:rPr>
          <w:rFonts w:ascii="Arial" w:eastAsia="Times New Roman" w:hAnsi="Arial" w:cs="Arial"/>
        </w:rPr>
        <w:t>“</w:t>
      </w:r>
      <w:r w:rsidRPr="0070274F">
        <w:rPr>
          <w:rFonts w:ascii="Arial" w:eastAsia="Times New Roman" w:hAnsi="Arial" w:cs="Arial"/>
          <w:i/>
          <w:sz w:val="20"/>
          <w:szCs w:val="20"/>
        </w:rPr>
        <w:t xml:space="preserve">Conforme al artículo 88 del Código Federal de Procedimientos Civiles los tribunales pueden invocar hechos notorios aunque no hayan sido alegados ni probados por las partes. </w:t>
      </w:r>
      <w:r w:rsidRPr="0070274F">
        <w:rPr>
          <w:rFonts w:ascii="Arial" w:eastAsia="Times New Roman" w:hAnsi="Arial" w:cs="Arial"/>
          <w:b/>
          <w:i/>
          <w:sz w:val="20"/>
          <w:szCs w:val="20"/>
          <w:u w:val="single"/>
        </w:rPr>
        <w:t xml:space="preserve">Por hechos notorios deben entenderse, en general, aquellos que por el conocimiento humano se </w:t>
      </w:r>
      <w:r w:rsidRPr="0070274F">
        <w:rPr>
          <w:rFonts w:ascii="Arial" w:eastAsia="Times New Roman" w:hAnsi="Arial" w:cs="Arial"/>
          <w:b/>
          <w:i/>
          <w:sz w:val="20"/>
          <w:szCs w:val="20"/>
          <w:u w:val="single"/>
        </w:rPr>
        <w:lastRenderedPageBreak/>
        <w:t>consideran ciertos e indiscutibles</w:t>
      </w:r>
      <w:r w:rsidRPr="0070274F">
        <w:rPr>
          <w:rFonts w:ascii="Arial" w:eastAsia="Times New Roman" w:hAnsi="Arial" w:cs="Arial"/>
          <w:i/>
          <w:sz w:val="20"/>
          <w:szCs w:val="20"/>
        </w:rPr>
        <w:t xml:space="preserve">,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w:t>
      </w:r>
      <w:r w:rsidRPr="0070274F">
        <w:rPr>
          <w:rFonts w:ascii="Arial" w:eastAsia="Times New Roman" w:hAnsi="Arial" w:cs="Arial"/>
          <w:b/>
          <w:i/>
          <w:sz w:val="20"/>
          <w:szCs w:val="20"/>
          <w:u w:val="single"/>
        </w:rPr>
        <w:t>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del conocimiento público en el medio social donde ocurrió o donde se tramita el procedimiento</w:t>
      </w:r>
      <w:r w:rsidRPr="0070274F">
        <w:rPr>
          <w:rFonts w:ascii="Arial" w:eastAsia="Times New Roman" w:hAnsi="Arial" w:cs="Arial"/>
          <w:sz w:val="20"/>
          <w:szCs w:val="20"/>
        </w:rPr>
        <w:t>”. [énfasis añadido]</w:t>
      </w:r>
    </w:p>
    <w:p w14:paraId="5C287002" w14:textId="77777777" w:rsidR="0070274F" w:rsidRPr="0070274F" w:rsidRDefault="0070274F" w:rsidP="0070274F">
      <w:pPr>
        <w:spacing w:after="0"/>
        <w:jc w:val="both"/>
        <w:rPr>
          <w:rFonts w:ascii="Arial" w:eastAsia="Times New Roman" w:hAnsi="Arial" w:cs="Arial"/>
          <w:sz w:val="14"/>
          <w:szCs w:val="16"/>
          <w:lang w:val="es-MX"/>
        </w:rPr>
      </w:pPr>
    </w:p>
    <w:p w14:paraId="165DEC4C"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PÁGINAS WEB O ELECTRÓNICAS. SU CONTENIDO ES UN HECHO NOTORIO Y SUSCEPTIBLE DE SER VALORADO EN UNA DECISIÓN JUDICIAL</w:t>
      </w:r>
      <w:r w:rsidRPr="0070274F">
        <w:rPr>
          <w:rFonts w:ascii="Arial" w:eastAsia="Times New Roman" w:hAnsi="Arial" w:cs="Arial"/>
          <w:sz w:val="20"/>
          <w:szCs w:val="20"/>
        </w:rPr>
        <w:t>”.</w:t>
      </w:r>
      <w:r w:rsidRPr="0070274F">
        <w:rPr>
          <w:rFonts w:ascii="Arial" w:eastAsia="Times New Roman" w:hAnsi="Arial" w:cs="Arial"/>
          <w:bCs/>
          <w:iCs/>
          <w:sz w:val="20"/>
          <w:szCs w:val="20"/>
        </w:rPr>
        <w:t xml:space="preserve"> </w:t>
      </w:r>
      <w:r w:rsidRPr="0070274F">
        <w:rPr>
          <w:rFonts w:ascii="Arial" w:eastAsia="Times New Roman" w:hAnsi="Arial" w:cs="Arial"/>
          <w:sz w:val="20"/>
          <w:szCs w:val="20"/>
        </w:rPr>
        <w:t>TCC; 10a. Época; Semanario Judicial de la Federación y su Gaceta; I.3o.C.35 K (10a.); TA. Registro No.: 2004949</w:t>
      </w:r>
    </w:p>
    <w:p w14:paraId="2C3EE4D8" w14:textId="77777777" w:rsidR="0070274F" w:rsidRPr="0070274F" w:rsidRDefault="0070274F" w:rsidP="0070274F">
      <w:pPr>
        <w:spacing w:after="0"/>
        <w:ind w:left="720"/>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u w:val="single"/>
        </w:rPr>
        <w:t>Los datos publicados en documentos o páginas situados en redes informáticas constituyen un hecho notorio por formar parte del conocimiento público a través de tales medios</w:t>
      </w:r>
      <w:r w:rsidRPr="0070274F">
        <w:rPr>
          <w:rFonts w:ascii="Arial" w:eastAsia="Times New Roman" w:hAnsi="Arial" w:cs="Arial"/>
          <w:i/>
          <w:sz w:val="20"/>
          <w:szCs w:val="20"/>
        </w:rPr>
        <w:t xml:space="preserve">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w:t>
      </w:r>
      <w:r w:rsidRPr="0070274F">
        <w:rPr>
          <w:rFonts w:ascii="Arial" w:eastAsia="Times New Roman" w:hAnsi="Arial" w:cs="Arial"/>
          <w:b/>
          <w:i/>
          <w:sz w:val="20"/>
          <w:szCs w:val="20"/>
          <w:u w:val="single"/>
        </w:rPr>
        <w:t>lo cierto es que sí es posible determinar si por el tipo de datos un hecho forma parte de la cultura normal de un sector de la sociedad y pueda ser considerado como notorio por el juzgador y, consecuentemente, valorado en una decisión judicial</w:t>
      </w:r>
      <w:r w:rsidRPr="0070274F">
        <w:rPr>
          <w:rFonts w:ascii="Arial" w:eastAsia="Times New Roman" w:hAnsi="Arial" w:cs="Arial"/>
          <w:i/>
          <w:sz w:val="20"/>
          <w:szCs w:val="20"/>
        </w:rPr>
        <w:t xml:space="preserve">,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w:t>
      </w:r>
      <w:r w:rsidRPr="0070274F">
        <w:rPr>
          <w:rFonts w:ascii="Arial" w:eastAsia="Times New Roman" w:hAnsi="Arial" w:cs="Arial"/>
          <w:b/>
          <w:i/>
          <w:sz w:val="20"/>
          <w:szCs w:val="20"/>
          <w:u w:val="single"/>
        </w:rPr>
        <w:t>puede ser tomado como prueba plena, a menos que haya una en contrario que no fue creada por orden del interesado, ya que se le reputará autor y podrá perjudicarle lo que ofrezca en sus términos</w:t>
      </w:r>
      <w:r w:rsidRPr="0070274F">
        <w:rPr>
          <w:rFonts w:ascii="Arial" w:eastAsia="Times New Roman" w:hAnsi="Arial" w:cs="Arial"/>
          <w:sz w:val="20"/>
          <w:szCs w:val="20"/>
        </w:rPr>
        <w:t>”. [énfasis añadido]</w:t>
      </w:r>
    </w:p>
    <w:p w14:paraId="03DE0605" w14:textId="77777777" w:rsidR="0070274F" w:rsidRPr="0070274F" w:rsidRDefault="0070274F" w:rsidP="0070274F">
      <w:pPr>
        <w:spacing w:after="0"/>
        <w:ind w:left="720"/>
        <w:jc w:val="both"/>
        <w:rPr>
          <w:rFonts w:ascii="Arial" w:eastAsia="Times New Roman" w:hAnsi="Arial" w:cs="Arial"/>
          <w:sz w:val="20"/>
          <w:szCs w:val="20"/>
        </w:rPr>
      </w:pPr>
    </w:p>
    <w:p w14:paraId="77998F3B"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CONCEPTOS DE VIOLACIÓN. EL JUEZ NO ESTÁ OBLIGADO A TRANSCRIBIRLOS</w:t>
      </w:r>
      <w:r w:rsidRPr="0070274F">
        <w:rPr>
          <w:rFonts w:ascii="Arial" w:eastAsia="Times New Roman" w:hAnsi="Arial" w:cs="Arial"/>
          <w:sz w:val="20"/>
          <w:szCs w:val="20"/>
        </w:rPr>
        <w:t>”. TCC; 9a. Época; Semanario Judicial de la Federación y su Gaceta; VI.2o. J/129; J. Registro No.: 196477.</w:t>
      </w:r>
    </w:p>
    <w:p w14:paraId="5918CB16" w14:textId="77777777" w:rsidR="0070274F" w:rsidRPr="0070274F" w:rsidRDefault="0070274F" w:rsidP="0070274F">
      <w:pPr>
        <w:spacing w:after="0"/>
        <w:ind w:left="708"/>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El hecho de que el Juez Federal no transcriba en su fallo los conceptos de violación expresados en la demanda, no implica que haya infringido disposiciones de la Ley de Amparo, a la cual sujeta su actuación, pues </w:t>
      </w:r>
      <w:r w:rsidRPr="0070274F">
        <w:rPr>
          <w:rFonts w:ascii="Arial" w:eastAsia="Times New Roman" w:hAnsi="Arial" w:cs="Arial"/>
          <w:b/>
          <w:i/>
          <w:sz w:val="20"/>
          <w:szCs w:val="20"/>
          <w:u w:val="single"/>
        </w:rPr>
        <w:t>no hay precepto alguno que establezca la obligación de llevar a cabo tal transcripción; además de que dicha omisión no deja en estado de indefensión al quejoso</w:t>
      </w:r>
      <w:r w:rsidRPr="0070274F">
        <w:rPr>
          <w:rFonts w:ascii="Arial" w:eastAsia="Times New Roman" w:hAnsi="Arial" w:cs="Arial"/>
          <w:i/>
          <w:sz w:val="20"/>
          <w:szCs w:val="20"/>
        </w:rPr>
        <w:t>, dado que no se le priva de la oportunidad para recurrir la resolución y alegar lo que estime pertinente para demostrar, en su caso, la ilegalidad de la misma</w:t>
      </w:r>
      <w:r w:rsidRPr="0070274F">
        <w:rPr>
          <w:rFonts w:ascii="Arial" w:eastAsia="Times New Roman" w:hAnsi="Arial" w:cs="Arial"/>
          <w:sz w:val="20"/>
          <w:szCs w:val="20"/>
        </w:rPr>
        <w:t>”. [énfasis añadido]</w:t>
      </w:r>
    </w:p>
    <w:p w14:paraId="2733E030" w14:textId="77777777" w:rsidR="0070274F" w:rsidRPr="0070274F" w:rsidRDefault="0070274F" w:rsidP="0070274F">
      <w:pPr>
        <w:spacing w:after="0"/>
        <w:jc w:val="both"/>
        <w:rPr>
          <w:rFonts w:ascii="Arial" w:eastAsia="Times New Roman" w:hAnsi="Arial" w:cs="Arial"/>
          <w:sz w:val="20"/>
          <w:szCs w:val="20"/>
        </w:rPr>
      </w:pPr>
    </w:p>
    <w:p w14:paraId="0C2C5913"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AGRAVIOS, EXAMEN DE LOS</w:t>
      </w:r>
      <w:r w:rsidRPr="0070274F">
        <w:rPr>
          <w:rFonts w:ascii="Arial" w:eastAsia="Times New Roman" w:hAnsi="Arial" w:cs="Arial"/>
          <w:sz w:val="20"/>
          <w:szCs w:val="20"/>
        </w:rPr>
        <w:t>”. Jurisprudencia en materia: Civil, dictada en la Séptima Época, por la Tercera Sala. Visible en el SJF en el Tomo: 48, Cuarta Parte. Página: 15. Registro No.: 241958.</w:t>
      </w:r>
    </w:p>
    <w:p w14:paraId="1C61D3E5" w14:textId="77777777" w:rsidR="0070274F" w:rsidRPr="0070274F" w:rsidRDefault="0070274F" w:rsidP="0070274F">
      <w:pPr>
        <w:spacing w:after="0"/>
        <w:ind w:left="708"/>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Es obvio que </w:t>
      </w:r>
      <w:r w:rsidRPr="0070274F">
        <w:rPr>
          <w:rFonts w:ascii="Arial" w:eastAsia="Times New Roman" w:hAnsi="Arial" w:cs="Arial"/>
          <w:b/>
          <w:i/>
          <w:sz w:val="20"/>
          <w:szCs w:val="20"/>
          <w:u w:val="single"/>
        </w:rPr>
        <w:t>ninguna lesión a los derechos de los quejosos puede causarse por la sola circunstancia de que los agravios se hayan estudiado en su conjunto, esto es, englobándolos todos ellos, para su análisis, en diversos grupos</w:t>
      </w:r>
      <w:r w:rsidRPr="0070274F">
        <w:rPr>
          <w:rFonts w:ascii="Arial" w:eastAsia="Times New Roman" w:hAnsi="Arial" w:cs="Arial"/>
          <w:i/>
          <w:sz w:val="20"/>
          <w:szCs w:val="20"/>
        </w:rPr>
        <w:t xml:space="preserve">. Ha de admitirse que lo que interesa no es precisamente la forma como los agravios sean examinados, en su conjunto, separando todos los expuestos en distintos grupos o bien uno por uno y en el propio orden de su exposición o en orden diverso, etcétera; lo que importa es el dato sustancial de que se estudien </w:t>
      </w:r>
      <w:r w:rsidRPr="0070274F">
        <w:rPr>
          <w:rFonts w:ascii="Arial" w:eastAsia="Times New Roman" w:hAnsi="Arial" w:cs="Arial"/>
          <w:i/>
          <w:sz w:val="20"/>
          <w:szCs w:val="20"/>
        </w:rPr>
        <w:lastRenderedPageBreak/>
        <w:t xml:space="preserve">todos, de que </w:t>
      </w:r>
      <w:r w:rsidRPr="0070274F">
        <w:rPr>
          <w:rFonts w:ascii="Arial" w:eastAsia="Times New Roman" w:hAnsi="Arial" w:cs="Arial"/>
          <w:b/>
          <w:i/>
          <w:sz w:val="20"/>
          <w:szCs w:val="20"/>
          <w:u w:val="single"/>
        </w:rPr>
        <w:t>ninguno quede libre de examen, cualesquiera que sea la forma que al efecto se elija</w:t>
      </w:r>
      <w:r w:rsidRPr="0070274F">
        <w:rPr>
          <w:rFonts w:ascii="Arial" w:eastAsia="Times New Roman" w:hAnsi="Arial" w:cs="Arial"/>
          <w:sz w:val="20"/>
          <w:szCs w:val="20"/>
        </w:rPr>
        <w:t>”. [énfasis añadido]</w:t>
      </w:r>
    </w:p>
    <w:p w14:paraId="700AAF30" w14:textId="77777777" w:rsidR="0070274F" w:rsidRPr="0070274F" w:rsidRDefault="0070274F" w:rsidP="0070274F">
      <w:pPr>
        <w:spacing w:after="0"/>
        <w:jc w:val="both"/>
        <w:rPr>
          <w:rFonts w:ascii="Arial" w:eastAsia="Times New Roman" w:hAnsi="Arial" w:cs="Arial"/>
          <w:sz w:val="20"/>
          <w:szCs w:val="20"/>
        </w:rPr>
      </w:pPr>
    </w:p>
    <w:p w14:paraId="64EFAAB6"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AGRAVIOS INOPERANTES EN LA REVISIÓN. LO SON LAS SIMPLES EXPRESIONES GENÉRICAS Y ABSTRACTAS CUANDO NO PROCEDE LA SUPLENCIA DE LA QUEJA DEFICIENTE</w:t>
      </w:r>
      <w:r w:rsidRPr="0070274F">
        <w:rPr>
          <w:rFonts w:ascii="Arial" w:eastAsia="Times New Roman" w:hAnsi="Arial" w:cs="Arial"/>
          <w:sz w:val="20"/>
          <w:szCs w:val="20"/>
        </w:rPr>
        <w:t>”. TCC; 9a. Época; Semanario Judicial de la Federación y su Gaceta; I.11o.C. J/5; J. Registro No.: 176045.</w:t>
      </w:r>
    </w:p>
    <w:p w14:paraId="59750612" w14:textId="77777777" w:rsidR="0070274F" w:rsidRPr="0070274F" w:rsidRDefault="0070274F" w:rsidP="0070274F">
      <w:pPr>
        <w:spacing w:after="0"/>
        <w:ind w:left="708"/>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Si no se está en el caso de suplir la deficiencia de los agravios en términos del artículo 76 Bis, fracción VI, de la Ley de Amparo, no basta que el recurrente exprese sus agravios en forma genérica y abstracta, es decir, que se concrete a hacer simples aseveraciones para que el Tribunal Colegiado emprenda el examen de la legalidad de la resolución recurrida del Juez de Distrito a la luz de tales manifestaciones, sino que </w:t>
      </w:r>
      <w:r w:rsidRPr="0070274F">
        <w:rPr>
          <w:rFonts w:ascii="Arial" w:eastAsia="Times New Roman" w:hAnsi="Arial" w:cs="Arial"/>
          <w:b/>
          <w:i/>
          <w:sz w:val="20"/>
          <w:szCs w:val="20"/>
          <w:u w:val="single"/>
        </w:rPr>
        <w:t>se requiere que el inconforme en tales argumentos exponga de manera razonada los motivos concretos en los cuales sustenta sus propias alegaciones, esto es, en los que explique el porqué de sus aseveraciones, pues de lo contrario los agravios resultarán inoperantes</w:t>
      </w:r>
      <w:r w:rsidRPr="0070274F">
        <w:rPr>
          <w:rFonts w:ascii="Arial" w:eastAsia="Times New Roman" w:hAnsi="Arial" w:cs="Arial"/>
          <w:sz w:val="20"/>
          <w:szCs w:val="20"/>
        </w:rPr>
        <w:t>”. [énfasis añadido]</w:t>
      </w:r>
    </w:p>
    <w:p w14:paraId="7976C756" w14:textId="77777777" w:rsidR="0070274F" w:rsidRPr="0070274F" w:rsidRDefault="0070274F" w:rsidP="0070274F">
      <w:pPr>
        <w:spacing w:after="0"/>
        <w:jc w:val="both"/>
        <w:rPr>
          <w:rFonts w:ascii="Arial" w:eastAsia="Times New Roman" w:hAnsi="Arial" w:cs="Arial"/>
          <w:sz w:val="20"/>
          <w:szCs w:val="20"/>
        </w:rPr>
      </w:pPr>
    </w:p>
    <w:p w14:paraId="5CCA3689"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CONCEPTOS DE VIOLACIÓN O AGRAVIOS. AUN CUANDO PARA LA PROCEDENCIA DE SU ESTUDIO BASTA CON EXPRESAR LA CAUSA DE PEDIR, ELLO NO IMPLICA QUE LOS QUEJOSOS O RECURRENTES SE LIMITEN A REALIZAR MERAS AFIRMACIONES SIN FUNDAMENTO</w:t>
      </w:r>
      <w:r w:rsidRPr="0070274F">
        <w:rPr>
          <w:rFonts w:ascii="Arial" w:eastAsia="Times New Roman" w:hAnsi="Arial" w:cs="Arial"/>
          <w:sz w:val="20"/>
          <w:szCs w:val="20"/>
        </w:rPr>
        <w:t>”. SCJN; 9a. Época; Semanario Judicial de la Federación y su Gaceta; 1a./J. 81/2002; J. Registro No.: 185425.</w:t>
      </w:r>
    </w:p>
    <w:p w14:paraId="549B0F31" w14:textId="77777777" w:rsidR="0070274F" w:rsidRPr="0070274F" w:rsidRDefault="0070274F" w:rsidP="0070274F">
      <w:pPr>
        <w:spacing w:after="160" w:line="252" w:lineRule="auto"/>
        <w:ind w:left="708"/>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El hecho de que el Tribunal Pleno de la Suprema Corte de Justicia de la Nación haya establecido en su jurisprudencia que para que proceda el estudio de los conceptos de violación o de los agravios, basta con que en ellos se exprese la causa de pedir, obedece a la necesidad de precisar que aquéllos no necesariamente deben plantearse a manera de silogismo jurídico, o bien, bajo cierta redacción sacramental, pero </w:t>
      </w:r>
      <w:r w:rsidRPr="0070274F">
        <w:rPr>
          <w:rFonts w:ascii="Arial" w:eastAsia="Times New Roman" w:hAnsi="Arial" w:cs="Arial"/>
          <w:b/>
          <w:i/>
          <w:sz w:val="20"/>
          <w:szCs w:val="20"/>
          <w:u w:val="single"/>
        </w:rPr>
        <w:t>ello de manera alguna implica que los quejosos o recurrentes se limiten a realizar meras afirmaciones sin sustento o fundamento, pues es obvio que a ellos corresponde (salvo en los supuestos legales de suplencia de la queja) exponer razonadamente el porqué estiman inconstitucionales o ilegales los actos que reclaman o recurren</w:t>
      </w:r>
      <w:r w:rsidRPr="0070274F">
        <w:rPr>
          <w:rFonts w:ascii="Arial" w:eastAsia="Times New Roman" w:hAnsi="Arial" w:cs="Arial"/>
          <w:i/>
          <w:sz w:val="20"/>
          <w:szCs w:val="20"/>
        </w:rPr>
        <w:t>. Lo anterior se corrobora con el criterio sustentado por este Alto Tribunal en el sentido de que resultan inoperantes aquellos argumentos que no atacan los fundamentos del acto o resolución que con ellos pretende combatirse</w:t>
      </w:r>
      <w:r w:rsidRPr="0070274F">
        <w:rPr>
          <w:rFonts w:ascii="Arial" w:eastAsia="Times New Roman" w:hAnsi="Arial" w:cs="Arial"/>
          <w:sz w:val="20"/>
          <w:szCs w:val="20"/>
        </w:rPr>
        <w:t>”. [énfasis añadido]</w:t>
      </w:r>
    </w:p>
    <w:p w14:paraId="5BA2BA71" w14:textId="77777777" w:rsidR="0070274F" w:rsidRPr="0070274F" w:rsidRDefault="0070274F" w:rsidP="0070274F">
      <w:pPr>
        <w:spacing w:after="0"/>
        <w:jc w:val="both"/>
        <w:rPr>
          <w:rFonts w:ascii="Arial" w:eastAsia="Times New Roman" w:hAnsi="Arial" w:cs="Arial"/>
          <w:sz w:val="20"/>
          <w:szCs w:val="20"/>
          <w:lang w:val="es-MX"/>
        </w:rPr>
      </w:pPr>
    </w:p>
    <w:p w14:paraId="0CD7739F"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AGRAVIOS INOPERANTES. LO SON AQUELLOS QUE SE SUSTENTAN EN PREMISAS FALSAS</w:t>
      </w:r>
      <w:r w:rsidRPr="0070274F">
        <w:rPr>
          <w:rFonts w:ascii="Arial" w:eastAsia="Times New Roman" w:hAnsi="Arial" w:cs="Arial"/>
          <w:sz w:val="20"/>
          <w:szCs w:val="20"/>
        </w:rPr>
        <w:t>”. SCJN; 10a. Época; Semanario Judicial de la Federación y su Gaceta; 2a./J. 108/2012 (10a.); J. Registro No.: 2001825.</w:t>
      </w:r>
    </w:p>
    <w:p w14:paraId="407B43D3" w14:textId="77777777" w:rsidR="0070274F" w:rsidRPr="0070274F" w:rsidRDefault="0070274F" w:rsidP="0070274F">
      <w:pPr>
        <w:spacing w:after="0"/>
        <w:ind w:left="708"/>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u w:val="single"/>
        </w:rPr>
        <w:t>Los agravios cuya construcción parte de premisas falsas son inoperantes</w:t>
      </w:r>
      <w:r w:rsidRPr="0070274F">
        <w:rPr>
          <w:rFonts w:ascii="Arial" w:eastAsia="Times New Roman" w:hAnsi="Arial" w:cs="Arial"/>
          <w:i/>
          <w:sz w:val="20"/>
          <w:szCs w:val="20"/>
        </w:rPr>
        <w:t xml:space="preserve">, ya que a ningún fin práctico conduciría su análisis y calificación, </w:t>
      </w:r>
      <w:r w:rsidRPr="0070274F">
        <w:rPr>
          <w:rFonts w:ascii="Arial" w:eastAsia="Times New Roman" w:hAnsi="Arial" w:cs="Arial"/>
          <w:b/>
          <w:i/>
          <w:sz w:val="20"/>
          <w:szCs w:val="20"/>
          <w:u w:val="single"/>
        </w:rPr>
        <w:t xml:space="preserve">pues al partir de una suposición que no resultó verdadera, su conclusión resulta ineficaz </w:t>
      </w:r>
      <w:r w:rsidRPr="0070274F">
        <w:rPr>
          <w:rFonts w:ascii="Arial" w:eastAsia="Times New Roman" w:hAnsi="Arial" w:cs="Arial"/>
          <w:i/>
          <w:sz w:val="20"/>
          <w:szCs w:val="20"/>
        </w:rPr>
        <w:t>para obtener la revocación de la sentencia recurrida</w:t>
      </w:r>
      <w:r w:rsidRPr="0070274F">
        <w:rPr>
          <w:rFonts w:ascii="Arial" w:eastAsia="Times New Roman" w:hAnsi="Arial" w:cs="Arial"/>
          <w:sz w:val="20"/>
          <w:szCs w:val="20"/>
        </w:rPr>
        <w:t>”. [énfasis añadido]</w:t>
      </w:r>
    </w:p>
    <w:p w14:paraId="53E5BDCF" w14:textId="77777777" w:rsidR="0070274F" w:rsidRPr="0070274F" w:rsidRDefault="0070274F" w:rsidP="0070274F">
      <w:pPr>
        <w:spacing w:after="0"/>
        <w:jc w:val="both"/>
        <w:rPr>
          <w:rFonts w:ascii="Arial" w:eastAsia="Times New Roman" w:hAnsi="Arial" w:cs="Arial"/>
          <w:sz w:val="20"/>
          <w:szCs w:val="20"/>
        </w:rPr>
      </w:pPr>
    </w:p>
    <w:p w14:paraId="2FAF84F8" w14:textId="77777777" w:rsidR="0070274F" w:rsidRPr="0070274F" w:rsidRDefault="0070274F" w:rsidP="004227CB">
      <w:pPr>
        <w:numPr>
          <w:ilvl w:val="0"/>
          <w:numId w:val="6"/>
        </w:numPr>
        <w:spacing w:after="0" w:line="252" w:lineRule="auto"/>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b/>
          <w:i/>
          <w:sz w:val="20"/>
          <w:szCs w:val="20"/>
        </w:rPr>
        <w:t>PROCEDIMIENTO DE INVESTIGACIÓN DE PRÁCTICAS MONOPÓLICAS ABSOLUTAS. CARACTERÍSTICAS DE LA DEFINICIÓN DE "MERCADO INVESTIGADO" QUE SE HACE EN EL ACUERDO DE INICIO RELATIVO (LEGISLACIÓN VIGENTE HASTA EL 10 DE MAYO DE 2011)</w:t>
      </w:r>
      <w:r w:rsidRPr="0070274F">
        <w:rPr>
          <w:rFonts w:ascii="Arial" w:eastAsia="Times New Roman" w:hAnsi="Arial" w:cs="Arial"/>
          <w:sz w:val="20"/>
          <w:szCs w:val="20"/>
        </w:rPr>
        <w:t>”. [TA]; 10a. Época; T.C.C.; Gaceta S.J.F.; Libro 36, noviembre de 2016; Tomo IV; Pág. 2487. I.1o.A.E.179 A (10a.). Registro No. 2013122.</w:t>
      </w:r>
    </w:p>
    <w:p w14:paraId="7B8CDE9B" w14:textId="77777777" w:rsidR="0070274F" w:rsidRPr="0070274F" w:rsidRDefault="0070274F" w:rsidP="0070274F">
      <w:pPr>
        <w:spacing w:after="0"/>
        <w:ind w:left="708"/>
        <w:jc w:val="both"/>
        <w:rPr>
          <w:rFonts w:ascii="Arial" w:eastAsia="Times New Roman" w:hAnsi="Arial" w:cs="Arial"/>
          <w:sz w:val="20"/>
          <w:szCs w:val="20"/>
        </w:rPr>
      </w:pPr>
      <w:r w:rsidRPr="0070274F">
        <w:rPr>
          <w:rFonts w:ascii="Arial" w:eastAsia="Times New Roman" w:hAnsi="Arial" w:cs="Arial"/>
          <w:sz w:val="20"/>
          <w:szCs w:val="20"/>
        </w:rPr>
        <w:t>“</w:t>
      </w:r>
      <w:r w:rsidRPr="0070274F">
        <w:rPr>
          <w:rFonts w:ascii="Arial" w:eastAsia="Times New Roman" w:hAnsi="Arial" w:cs="Arial"/>
          <w:i/>
          <w:sz w:val="20"/>
          <w:szCs w:val="20"/>
        </w:rPr>
        <w:t xml:space="preserve">De conformidad con el artículo 30, segundo párrafo, de la Ley Federal de Competencia Económica, vigente hasta el 10 de mayo de 2011, actualmente abrogada, el procedimiento de investigación de prácticas monopólicas absolutas comienza con la emisión del acuerdo inicial, del </w:t>
      </w:r>
      <w:r w:rsidRPr="0070274F">
        <w:rPr>
          <w:rFonts w:ascii="Arial" w:eastAsia="Times New Roman" w:hAnsi="Arial" w:cs="Arial"/>
          <w:i/>
          <w:sz w:val="20"/>
          <w:szCs w:val="20"/>
        </w:rPr>
        <w:lastRenderedPageBreak/>
        <w:t xml:space="preserve">que debe elaborarse un extracto que ha de enviarse al Diario Oficial de la Federación para su publicación y el cual debe contener, cuando menos, la probable violación a investigar y el mercado en el que se realiza, con el objeto de que cualquier persona pueda coadyuvar en la investigación. De esto último se sigue que </w:t>
      </w:r>
      <w:r w:rsidRPr="0070274F">
        <w:rPr>
          <w:rFonts w:ascii="Arial" w:eastAsia="Times New Roman" w:hAnsi="Arial" w:cs="Arial"/>
          <w:b/>
          <w:i/>
          <w:sz w:val="20"/>
          <w:szCs w:val="20"/>
          <w:u w:val="single"/>
        </w:rPr>
        <w:t>la definición del "mercado investigado" que se hace en el acuerdo de inicio</w:t>
      </w:r>
      <w:r w:rsidRPr="0070274F">
        <w:rPr>
          <w:rFonts w:ascii="Arial" w:eastAsia="Times New Roman" w:hAnsi="Arial" w:cs="Arial"/>
          <w:i/>
          <w:sz w:val="20"/>
          <w:szCs w:val="20"/>
        </w:rPr>
        <w:t xml:space="preserve">, no es en favor, propiamente, del agente investigado, sino </w:t>
      </w:r>
      <w:r w:rsidRPr="0070274F">
        <w:rPr>
          <w:rFonts w:ascii="Arial" w:eastAsia="Times New Roman" w:hAnsi="Arial" w:cs="Arial"/>
          <w:b/>
          <w:i/>
          <w:sz w:val="20"/>
          <w:szCs w:val="20"/>
          <w:u w:val="single"/>
        </w:rPr>
        <w:t>para que cualquier persona pueda auxiliar en la investigación</w:t>
      </w:r>
      <w:r w:rsidRPr="0070274F">
        <w:rPr>
          <w:rFonts w:ascii="Arial" w:eastAsia="Times New Roman" w:hAnsi="Arial" w:cs="Arial"/>
          <w:i/>
          <w:sz w:val="20"/>
          <w:szCs w:val="20"/>
        </w:rPr>
        <w:t>, de manera que la falta de precisión en que puede incurrir la autoridad al respecto, no constituye un elemento sustancial que irrogue indefensión a aquél. Además, cuando se trata de la investigación de una práctica monopólica absoluta, no es indispensable realizar una delimitación objetiva, geográfica o temporal, ya que si bien puede ser pertinente tratándose de prácticas monopólicas relativas -donde sí debe definirse el mercado relevante-, no es tema en aquélla, en la cual, la esencia y única razón de una eventual responsabilidad es la colusión entre los agentes económicos que debieran competir entre sí, por lo que basta señalar de manera general el mercado en que debe darse un proceso de competencia o rivalidad</w:t>
      </w:r>
      <w:r w:rsidRPr="0070274F">
        <w:rPr>
          <w:rFonts w:ascii="Arial" w:eastAsia="Times New Roman" w:hAnsi="Arial" w:cs="Arial"/>
          <w:sz w:val="20"/>
          <w:szCs w:val="20"/>
        </w:rPr>
        <w:t>”. [énfasis añadido]</w:t>
      </w:r>
    </w:p>
    <w:p w14:paraId="6644C935" w14:textId="77777777" w:rsidR="0070274F" w:rsidRPr="0070274F" w:rsidRDefault="0070274F" w:rsidP="0070274F">
      <w:pPr>
        <w:spacing w:after="0"/>
        <w:jc w:val="both"/>
        <w:rPr>
          <w:rFonts w:ascii="Arial" w:eastAsia="Times New Roman" w:hAnsi="Arial" w:cs="Arial"/>
          <w:b/>
        </w:rPr>
      </w:pPr>
    </w:p>
    <w:p w14:paraId="77E7DB7B" w14:textId="77777777" w:rsidR="0070274F" w:rsidRPr="0070274F" w:rsidRDefault="0070274F" w:rsidP="0070274F">
      <w:pPr>
        <w:keepNext/>
        <w:keepLines/>
        <w:spacing w:after="0"/>
        <w:ind w:left="567"/>
        <w:jc w:val="both"/>
        <w:outlineLvl w:val="0"/>
        <w:rPr>
          <w:rFonts w:ascii="Arial" w:eastAsia="Times New Roman" w:hAnsi="Arial"/>
          <w:b/>
          <w:bCs/>
          <w:caps/>
          <w:spacing w:val="4"/>
          <w:sz w:val="26"/>
          <w:szCs w:val="28"/>
        </w:rPr>
      </w:pPr>
      <w:bookmarkStart w:id="149" w:name="_Toc69242811"/>
      <w:bookmarkStart w:id="150" w:name="_Toc69248119"/>
      <w:bookmarkStart w:id="151" w:name="_Toc69248478"/>
      <w:bookmarkStart w:id="152" w:name="_Toc70950960"/>
      <w:r w:rsidRPr="0070274F">
        <w:rPr>
          <w:rFonts w:ascii="Arial" w:eastAsia="Times New Roman" w:hAnsi="Arial"/>
          <w:b/>
          <w:bCs/>
          <w:spacing w:val="4"/>
          <w:sz w:val="26"/>
          <w:szCs w:val="28"/>
        </w:rPr>
        <w:t>Anexo: Práctica Internacional</w:t>
      </w:r>
      <w:bookmarkEnd w:id="149"/>
      <w:bookmarkEnd w:id="150"/>
      <w:bookmarkEnd w:id="151"/>
      <w:bookmarkEnd w:id="152"/>
    </w:p>
    <w:p w14:paraId="14DBE6BC" w14:textId="77777777" w:rsidR="0070274F" w:rsidRPr="0070274F" w:rsidRDefault="0070274F" w:rsidP="0070274F">
      <w:pPr>
        <w:spacing w:after="0"/>
        <w:jc w:val="both"/>
        <w:rPr>
          <w:rFonts w:ascii="Arial" w:eastAsia="Times New Roman" w:hAnsi="Arial" w:cs="Arial"/>
        </w:rPr>
      </w:pPr>
    </w:p>
    <w:p w14:paraId="532F873F"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rPr>
      </w:pPr>
      <w:bookmarkStart w:id="153" w:name="_Toc69248120"/>
      <w:bookmarkStart w:id="154" w:name="_Toc69248479"/>
      <w:bookmarkStart w:id="155" w:name="_Toc70950961"/>
      <w:r w:rsidRPr="0070274F">
        <w:rPr>
          <w:rFonts w:ascii="Arial" w:eastAsia="Times New Roman" w:hAnsi="Arial"/>
          <w:b/>
          <w:bCs/>
          <w:sz w:val="26"/>
          <w:szCs w:val="28"/>
        </w:rPr>
        <w:t>Reino Unido</w:t>
      </w:r>
      <w:bookmarkEnd w:id="153"/>
      <w:bookmarkEnd w:id="154"/>
      <w:bookmarkEnd w:id="155"/>
    </w:p>
    <w:p w14:paraId="61646AA1" w14:textId="77777777" w:rsidR="0070274F" w:rsidRPr="0070274F" w:rsidRDefault="0070274F" w:rsidP="0070274F">
      <w:pPr>
        <w:spacing w:after="0"/>
        <w:jc w:val="both"/>
        <w:rPr>
          <w:rFonts w:ascii="Arial" w:eastAsia="Times New Roman" w:hAnsi="Arial" w:cs="Arial"/>
        </w:rPr>
      </w:pPr>
    </w:p>
    <w:p w14:paraId="645B8E2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En el Reno Unido, existe una autoridad general en materia de competencia económica, la CMA, y reguladores sectoriales que son autoridades de competencia en su materia específica; en telecomunicaciones, esta autoridad es la OFCOM.</w:t>
      </w:r>
    </w:p>
    <w:p w14:paraId="27699569" w14:textId="77777777" w:rsidR="0070274F" w:rsidRPr="0070274F" w:rsidRDefault="0070274F" w:rsidP="0070274F">
      <w:pPr>
        <w:spacing w:after="0"/>
        <w:jc w:val="both"/>
        <w:rPr>
          <w:rFonts w:ascii="Arial" w:eastAsia="Times New Roman" w:hAnsi="Arial" w:cs="Arial"/>
        </w:rPr>
      </w:pPr>
    </w:p>
    <w:p w14:paraId="1895A0CF"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 xml:space="preserve">Ambas autoridades poseen facultades concurrentes en materia de telecomunicaciones y radiodifusión y el </w:t>
      </w:r>
      <w:r w:rsidRPr="0070274F">
        <w:rPr>
          <w:rFonts w:ascii="Arial" w:eastAsia="Times New Roman" w:hAnsi="Arial" w:cs="Arial"/>
          <w:color w:val="0B0C0C"/>
          <w:shd w:val="clear" w:color="auto" w:fill="FFFFFF"/>
        </w:rPr>
        <w:t>17 de junio de 2014 firmaron un memorándum de entendimiento</w:t>
      </w:r>
      <w:r w:rsidRPr="0070274F">
        <w:rPr>
          <w:rFonts w:ascii="Arial" w:eastAsia="Times New Roman" w:hAnsi="Arial" w:cs="Arial"/>
          <w:color w:val="0B0C0C"/>
          <w:shd w:val="clear" w:color="auto" w:fill="FFFFFF"/>
          <w:vertAlign w:val="superscript"/>
        </w:rPr>
        <w:footnoteReference w:id="3"/>
      </w:r>
      <w:r w:rsidRPr="0070274F">
        <w:rPr>
          <w:rFonts w:ascii="Arial" w:eastAsia="Times New Roman" w:hAnsi="Arial" w:cs="Arial"/>
          <w:color w:val="0B0C0C"/>
          <w:shd w:val="clear" w:color="auto" w:fill="FFFFFF"/>
        </w:rPr>
        <w:t xml:space="preserve"> para coordinar la designación de sus casos, y evitar duplicidad procesal e institucional. </w:t>
      </w:r>
    </w:p>
    <w:p w14:paraId="3F46D980" w14:textId="77777777" w:rsidR="0070274F" w:rsidRPr="0070274F" w:rsidRDefault="0070274F" w:rsidP="0070274F">
      <w:pPr>
        <w:spacing w:after="0"/>
        <w:jc w:val="both"/>
        <w:rPr>
          <w:rFonts w:ascii="Arial" w:eastAsia="Times New Roman" w:hAnsi="Arial" w:cs="Arial"/>
        </w:rPr>
      </w:pPr>
    </w:p>
    <w:p w14:paraId="1C12D519"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rPr>
        <w:t>La CMA y OFCOM aplican la Ley de Competencia de 1998, cuyos capítulos I y II detallan las conductas anticompetitivas que deben perseguir y sancionar.</w:t>
      </w:r>
      <w:r w:rsidRPr="0070274F">
        <w:rPr>
          <w:rFonts w:ascii="Arial" w:eastAsia="Times New Roman" w:hAnsi="Arial" w:cs="Arial"/>
          <w:vertAlign w:val="superscript"/>
        </w:rPr>
        <w:footnoteReference w:id="4"/>
      </w:r>
      <w:r w:rsidRPr="0070274F">
        <w:rPr>
          <w:rFonts w:ascii="Arial" w:eastAsia="Times New Roman" w:hAnsi="Arial" w:cs="Arial"/>
        </w:rPr>
        <w:t xml:space="preserve"> En la guía de la CMA para procedimientos de investigación bajo la Ley de Competencia de 1998,</w:t>
      </w:r>
      <w:r w:rsidRPr="0070274F">
        <w:rPr>
          <w:rFonts w:ascii="Arial" w:eastAsia="Times New Roman" w:hAnsi="Arial" w:cs="Arial"/>
          <w:vertAlign w:val="superscript"/>
        </w:rPr>
        <w:footnoteReference w:id="5"/>
      </w:r>
      <w:r w:rsidRPr="0070274F">
        <w:rPr>
          <w:rFonts w:ascii="Arial" w:eastAsia="Times New Roman" w:hAnsi="Arial" w:cs="Arial"/>
        </w:rPr>
        <w:t xml:space="preserve"> el procedimiento seguido en forma de juicio (que se detalla más adelante) se encuentra de las secciones 11 a 16.</w:t>
      </w:r>
    </w:p>
    <w:p w14:paraId="1985F281" w14:textId="77777777" w:rsidR="0070274F" w:rsidRPr="0070274F" w:rsidRDefault="0070274F" w:rsidP="0070274F">
      <w:pPr>
        <w:spacing w:after="0"/>
        <w:jc w:val="both"/>
        <w:rPr>
          <w:rFonts w:ascii="Arial" w:eastAsia="Times New Roman" w:hAnsi="Arial" w:cs="Arial"/>
        </w:rPr>
      </w:pPr>
    </w:p>
    <w:p w14:paraId="42B51136"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 xml:space="preserve">Tras la investigación por conductas anticompetitivas, si la opinión provisional de la CMA es que la conducta investigada configura una supuesto indebido, la CMA emitirá un pliego de cargos a cada empresa que considere responsable de la infracción y les dará oportunidad para revisar el </w:t>
      </w:r>
      <w:r w:rsidRPr="0070274F">
        <w:rPr>
          <w:rFonts w:ascii="Arial" w:eastAsia="Times New Roman" w:hAnsi="Arial" w:cs="Arial"/>
          <w:lang w:val="es-MX"/>
        </w:rPr>
        <w:lastRenderedPageBreak/>
        <w:t>expediente de la CMA. Además, si la CMA considera que la conducta en el pliego de cargos justifica la imposición de una sanción pecuniaria, al mismo tiempo emitirá una propuesta de la sanción a cada empresa a la que proponga para imponer tal pena.</w:t>
      </w:r>
    </w:p>
    <w:p w14:paraId="37620FFF" w14:textId="77777777" w:rsidR="0070274F" w:rsidRPr="0070274F" w:rsidRDefault="0070274F" w:rsidP="0070274F">
      <w:pPr>
        <w:spacing w:after="0"/>
        <w:jc w:val="both"/>
        <w:rPr>
          <w:rFonts w:ascii="Arial" w:eastAsia="Times New Roman" w:hAnsi="Arial" w:cs="Arial"/>
          <w:lang w:val="es-MX"/>
        </w:rPr>
      </w:pPr>
    </w:p>
    <w:p w14:paraId="480C7923"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El pliego de cargos representa la visión provisional con los hechos y la evaluación jurídica y económica de la CMA, así como los pasos a seguir. Permite a las empresas una oportunidad de conocer el caso completo en su contra y garantizar sus derechos de audiencia y de réplica.</w:t>
      </w:r>
    </w:p>
    <w:p w14:paraId="219002D7" w14:textId="77777777" w:rsidR="0070274F" w:rsidRPr="0070274F" w:rsidRDefault="0070274F" w:rsidP="0070274F">
      <w:pPr>
        <w:spacing w:after="0"/>
        <w:jc w:val="both"/>
        <w:rPr>
          <w:rFonts w:ascii="Arial" w:eastAsia="Times New Roman" w:hAnsi="Arial" w:cs="Arial"/>
          <w:lang w:val="es-MX"/>
        </w:rPr>
      </w:pPr>
    </w:p>
    <w:p w14:paraId="2CC9C4C1"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La CMA contacta a las empresas por si desean entablar conversaciones en caso de estar dispuestas a admitir que han infringido la ley; de ser así, un procedimiento administrativo simplificado regirá el resto de la investigación de la conducta de esa empresa, y se impondrá una sanción reducida.</w:t>
      </w:r>
    </w:p>
    <w:p w14:paraId="538DE100" w14:textId="77777777" w:rsidR="0070274F" w:rsidRPr="0070274F" w:rsidRDefault="0070274F" w:rsidP="0070274F">
      <w:pPr>
        <w:spacing w:after="0"/>
        <w:jc w:val="both"/>
        <w:rPr>
          <w:rFonts w:ascii="Arial" w:eastAsia="Times New Roman" w:hAnsi="Arial" w:cs="Arial"/>
          <w:lang w:val="es-MX"/>
        </w:rPr>
      </w:pPr>
    </w:p>
    <w:p w14:paraId="04FDA262"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 xml:space="preserve">Una vez que la CMA ha emitido un pliego de cargos, el Comité de Políticas y Casos designa un “Grupo de Decisión de Casos” de tres miembros que resolverá el asunto. Este grupo es responsable de decidir si hay elementos para emitir la infracción y, en su caso, sobre el monto apropiado de la misma. </w:t>
      </w:r>
    </w:p>
    <w:p w14:paraId="114B33DD" w14:textId="77777777" w:rsidR="0070274F" w:rsidRPr="0070274F" w:rsidRDefault="0070274F" w:rsidP="0070274F">
      <w:pPr>
        <w:spacing w:after="0"/>
        <w:jc w:val="both"/>
        <w:rPr>
          <w:rFonts w:ascii="Arial" w:eastAsia="Times New Roman" w:hAnsi="Arial" w:cs="Arial"/>
          <w:lang w:val="es-MX"/>
        </w:rPr>
      </w:pPr>
    </w:p>
    <w:p w14:paraId="0D1169D9"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El líder de investigación del caso no será miembro del Grupo de Decisión de Casos designado, para asegurar que la decisión final sea tomada por funcionarios que no estuvieron involucrados en la decisión de emitir el pliego de cargos.</w:t>
      </w:r>
    </w:p>
    <w:p w14:paraId="70166506" w14:textId="77777777" w:rsidR="0070274F" w:rsidRPr="0070274F" w:rsidRDefault="0070274F" w:rsidP="0070274F">
      <w:pPr>
        <w:spacing w:after="0"/>
        <w:jc w:val="both"/>
        <w:rPr>
          <w:rFonts w:ascii="Arial" w:eastAsia="Times New Roman" w:hAnsi="Arial" w:cs="Arial"/>
          <w:lang w:val="es-MX"/>
        </w:rPr>
      </w:pPr>
    </w:p>
    <w:p w14:paraId="262E840D"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Al igual que en la legislación mexicana, este procedimiento busca garantizar la independencia entre el órgano de decisión y el equipo de investigación, evitando influencias o conflictos de interés al momento de emitir la resolución.</w:t>
      </w:r>
    </w:p>
    <w:p w14:paraId="618CBDB6" w14:textId="77777777" w:rsidR="0070274F" w:rsidRPr="0070274F" w:rsidRDefault="0070274F" w:rsidP="0070274F">
      <w:pPr>
        <w:spacing w:after="0"/>
        <w:jc w:val="both"/>
        <w:rPr>
          <w:rFonts w:ascii="Arial" w:eastAsia="Times New Roman" w:hAnsi="Arial" w:cs="Arial"/>
          <w:lang w:val="es-MX"/>
        </w:rPr>
      </w:pPr>
    </w:p>
    <w:p w14:paraId="6F56EAE5" w14:textId="77777777" w:rsidR="0070274F" w:rsidRPr="0070274F" w:rsidRDefault="0070274F" w:rsidP="0070274F">
      <w:pPr>
        <w:spacing w:after="0"/>
        <w:jc w:val="both"/>
        <w:rPr>
          <w:rFonts w:ascii="Arial" w:eastAsia="Times New Roman" w:hAnsi="Arial" w:cs="Arial"/>
        </w:rPr>
      </w:pPr>
      <w:r w:rsidRPr="0070274F">
        <w:rPr>
          <w:rFonts w:ascii="Arial" w:eastAsia="Times New Roman" w:hAnsi="Arial" w:cs="Arial"/>
          <w:lang w:val="es-MX"/>
        </w:rPr>
        <w:t>La decisión del grupo que resuelve a la investigación establecerá en su totalidad los hechos en los que se basa la CMA, dando contestación a toda manifestación que se haya realizado durante el curso de la investigación.</w:t>
      </w:r>
      <w:r w:rsidRPr="0070274F">
        <w:rPr>
          <w:rFonts w:ascii="Arial" w:eastAsia="Times New Roman" w:hAnsi="Arial" w:cs="Arial"/>
        </w:rPr>
        <w:t xml:space="preserve"> Las partes tienen derecho a apelar la decisión ante el Tribunal de Apelación de la Competencia después de tomada tal decisión.</w:t>
      </w:r>
    </w:p>
    <w:p w14:paraId="747E5617" w14:textId="77777777" w:rsidR="0070274F" w:rsidRPr="0070274F" w:rsidRDefault="0070274F" w:rsidP="0070274F">
      <w:pPr>
        <w:spacing w:after="0"/>
        <w:jc w:val="both"/>
        <w:rPr>
          <w:rFonts w:ascii="Arial" w:eastAsia="Times New Roman" w:hAnsi="Arial" w:cs="Arial"/>
        </w:rPr>
      </w:pPr>
    </w:p>
    <w:p w14:paraId="2DB996C9" w14:textId="77777777" w:rsidR="0070274F" w:rsidRPr="0070274F" w:rsidRDefault="0070274F" w:rsidP="004227CB">
      <w:pPr>
        <w:keepNext/>
        <w:keepLines/>
        <w:numPr>
          <w:ilvl w:val="0"/>
          <w:numId w:val="4"/>
        </w:numPr>
        <w:spacing w:after="0" w:line="252" w:lineRule="auto"/>
        <w:ind w:left="708" w:firstLine="0"/>
        <w:jc w:val="both"/>
        <w:outlineLvl w:val="1"/>
        <w:rPr>
          <w:rFonts w:ascii="Arial" w:eastAsia="Times New Roman" w:hAnsi="Arial"/>
          <w:b/>
          <w:bCs/>
          <w:sz w:val="26"/>
          <w:szCs w:val="28"/>
          <w:lang w:val="es-MX"/>
        </w:rPr>
      </w:pPr>
      <w:bookmarkStart w:id="156" w:name="_Toc69242812"/>
      <w:bookmarkStart w:id="157" w:name="_Toc69248121"/>
      <w:bookmarkStart w:id="158" w:name="_Toc69248480"/>
      <w:bookmarkStart w:id="159" w:name="_Toc70950962"/>
      <w:r w:rsidRPr="0070274F">
        <w:rPr>
          <w:rFonts w:ascii="Arial" w:eastAsia="Times New Roman" w:hAnsi="Arial"/>
          <w:b/>
          <w:bCs/>
          <w:sz w:val="26"/>
          <w:szCs w:val="28"/>
          <w:lang w:val="es-MX"/>
        </w:rPr>
        <w:t>Brasil</w:t>
      </w:r>
      <w:bookmarkEnd w:id="156"/>
      <w:bookmarkEnd w:id="157"/>
      <w:bookmarkEnd w:id="158"/>
      <w:bookmarkEnd w:id="159"/>
    </w:p>
    <w:p w14:paraId="43DA5C2F" w14:textId="77777777" w:rsidR="0070274F" w:rsidRPr="0070274F" w:rsidRDefault="0070274F" w:rsidP="0070274F">
      <w:pPr>
        <w:spacing w:after="0"/>
        <w:jc w:val="both"/>
        <w:rPr>
          <w:rFonts w:ascii="Arial" w:eastAsia="Times New Roman" w:hAnsi="Arial" w:cs="Arial"/>
          <w:lang w:val="es-MX"/>
        </w:rPr>
      </w:pPr>
    </w:p>
    <w:p w14:paraId="2B0F55A3"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El CADE</w:t>
      </w:r>
      <w:r w:rsidRPr="0070274F">
        <w:rPr>
          <w:rFonts w:ascii="Arial" w:eastAsia="Times New Roman" w:hAnsi="Arial" w:cs="Arial"/>
          <w:i/>
          <w:lang w:val="es-MX"/>
        </w:rPr>
        <w:t xml:space="preserve"> </w:t>
      </w:r>
      <w:r w:rsidRPr="0070274F">
        <w:rPr>
          <w:rFonts w:ascii="Arial" w:eastAsia="Times New Roman" w:hAnsi="Arial" w:cs="Arial"/>
          <w:lang w:val="es-MX"/>
        </w:rPr>
        <w:t>es la autoridad en materia de competencia económica en Brasil y aplica la Ley 12.529/11</w:t>
      </w:r>
      <w:r w:rsidRPr="0070274F">
        <w:rPr>
          <w:rFonts w:ascii="Arial" w:eastAsia="Times New Roman" w:hAnsi="Arial" w:cs="Arial"/>
          <w:vertAlign w:val="superscript"/>
          <w:lang w:val="es-MX"/>
        </w:rPr>
        <w:footnoteReference w:id="6"/>
      </w:r>
      <w:r w:rsidRPr="0070274F">
        <w:rPr>
          <w:rFonts w:ascii="Arial" w:eastAsia="Times New Roman" w:hAnsi="Arial" w:cs="Arial"/>
          <w:lang w:val="es-MX"/>
        </w:rPr>
        <w:t xml:space="preserve"> que entró en vigor en 2012. Dicha ley enlista las conductas anticompetitivas que persigue en su artículo 36. En el capítulo IV, artículos 69 al 83, se encuentran las disposiciones que regulan el procedimiento seguido en forma de juicio.</w:t>
      </w:r>
    </w:p>
    <w:p w14:paraId="06550A89" w14:textId="77777777" w:rsidR="0070274F" w:rsidRPr="0070274F" w:rsidRDefault="0070274F" w:rsidP="0070274F">
      <w:pPr>
        <w:spacing w:after="0"/>
        <w:jc w:val="both"/>
        <w:rPr>
          <w:rFonts w:ascii="Arial" w:eastAsia="Times New Roman" w:hAnsi="Arial" w:cs="Arial"/>
          <w:lang w:val="es-MX"/>
        </w:rPr>
      </w:pPr>
    </w:p>
    <w:p w14:paraId="0781E5B7"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 xml:space="preserve">La etapa de investigación es llevada cabo por el equipo del Superintendente General, quien es la autoridad investigadora del CADE. Una vez concluida la investigación, llamada Consulta </w:t>
      </w:r>
      <w:r w:rsidRPr="0070274F">
        <w:rPr>
          <w:rFonts w:ascii="Arial" w:eastAsia="Times New Roman" w:hAnsi="Arial" w:cs="Arial"/>
          <w:lang w:val="es-MX"/>
        </w:rPr>
        <w:lastRenderedPageBreak/>
        <w:t xml:space="preserve">Administrativa, se inicia la etapa de Procedimiento Administrativo. La nota técnica final de la Consulta Administrativa constituye los cargos formulados contra la empresa imputada. Después de la respuesta de las empresas imputadas comienza el período de presentación de pruebas. </w:t>
      </w:r>
    </w:p>
    <w:p w14:paraId="1D565CF2" w14:textId="77777777" w:rsidR="0070274F" w:rsidRPr="0070274F" w:rsidRDefault="0070274F" w:rsidP="0070274F">
      <w:pPr>
        <w:spacing w:after="0"/>
        <w:jc w:val="both"/>
        <w:rPr>
          <w:rFonts w:ascii="Arial" w:eastAsia="Times New Roman" w:hAnsi="Arial" w:cs="Arial"/>
          <w:lang w:val="es-MX"/>
        </w:rPr>
      </w:pPr>
    </w:p>
    <w:p w14:paraId="153883FD"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La estructura institucional del CADE prevé una separación estructural entre el Superintendente General</w:t>
      </w:r>
      <w:r w:rsidRPr="0070274F" w:rsidDel="003D0627">
        <w:rPr>
          <w:rFonts w:ascii="Arial" w:eastAsia="Times New Roman" w:hAnsi="Arial" w:cs="Arial"/>
          <w:lang w:val="es-MX"/>
        </w:rPr>
        <w:t xml:space="preserve"> </w:t>
      </w:r>
      <w:r w:rsidRPr="0070274F">
        <w:rPr>
          <w:rFonts w:ascii="Arial" w:eastAsia="Times New Roman" w:hAnsi="Arial" w:cs="Arial"/>
          <w:lang w:val="es-MX"/>
        </w:rPr>
        <w:t>como autoridad investigadora y el órgano decisor del CADE para evitar influencia y filtración de información en etapas separadas.</w:t>
      </w:r>
    </w:p>
    <w:p w14:paraId="342C2CBF" w14:textId="77777777" w:rsidR="0070274F" w:rsidRPr="0070274F" w:rsidRDefault="0070274F" w:rsidP="0070274F">
      <w:pPr>
        <w:spacing w:after="0"/>
        <w:jc w:val="both"/>
        <w:rPr>
          <w:rFonts w:ascii="Arial" w:eastAsia="Times New Roman" w:hAnsi="Arial" w:cs="Arial"/>
          <w:lang w:val="es-MX"/>
        </w:rPr>
      </w:pPr>
    </w:p>
    <w:p w14:paraId="1DBD58D5"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Culminado el desahogo que garantiza el debido proceso para las partes, el Superintendente General</w:t>
      </w:r>
      <w:r w:rsidRPr="0070274F" w:rsidDel="003D0627">
        <w:rPr>
          <w:rFonts w:ascii="Arial" w:eastAsia="Times New Roman" w:hAnsi="Arial" w:cs="Arial"/>
          <w:lang w:val="es-MX"/>
        </w:rPr>
        <w:t xml:space="preserve"> </w:t>
      </w:r>
      <w:r w:rsidRPr="0070274F">
        <w:rPr>
          <w:rFonts w:ascii="Arial" w:eastAsia="Times New Roman" w:hAnsi="Arial" w:cs="Arial"/>
          <w:lang w:val="es-MX"/>
        </w:rPr>
        <w:t>envía el expediente al Comisionado Presidente del CADE, exponiendo su opinión en un informe detallado sobre la posibilidad de desestimar el caso o si hay una infracción.</w:t>
      </w:r>
    </w:p>
    <w:p w14:paraId="040594C3" w14:textId="77777777" w:rsidR="0070274F" w:rsidRPr="0070274F" w:rsidRDefault="0070274F" w:rsidP="0070274F">
      <w:pPr>
        <w:spacing w:after="0"/>
        <w:jc w:val="both"/>
        <w:rPr>
          <w:rFonts w:ascii="Arial" w:eastAsia="Times New Roman" w:hAnsi="Arial" w:cs="Arial"/>
          <w:lang w:val="es-MX"/>
        </w:rPr>
      </w:pPr>
    </w:p>
    <w:p w14:paraId="6528A4DA"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El procedimiento es asignado aleatoriamente por el Comisionado Presidente a un Comisionado Informante (en la legislación mexicana es Comisionado Ponente), quien es responsable de revisar el caso y producir un informe principal que se somete a juicio ante el órgano decisor.</w:t>
      </w:r>
    </w:p>
    <w:p w14:paraId="634918E2" w14:textId="77777777" w:rsidR="0070274F" w:rsidRPr="0070274F" w:rsidRDefault="0070274F" w:rsidP="0070274F">
      <w:pPr>
        <w:spacing w:after="0"/>
        <w:jc w:val="both"/>
        <w:rPr>
          <w:rFonts w:ascii="Arial" w:eastAsia="Times New Roman" w:hAnsi="Arial" w:cs="Arial"/>
          <w:lang w:val="es-MX"/>
        </w:rPr>
      </w:pPr>
    </w:p>
    <w:p w14:paraId="064C8034"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Existe el supuesto para que otro Comisionado pida realizar un informe adicional si estima que su informe tendrá mayor apoyo que el que presenta el Comisionado Informante. En este caso, los Comisionados eligen entre los dos informes presentados al órgano decisor.</w:t>
      </w:r>
    </w:p>
    <w:p w14:paraId="3FDF0629" w14:textId="77777777" w:rsidR="0070274F" w:rsidRPr="0070274F" w:rsidRDefault="0070274F" w:rsidP="0070274F">
      <w:pPr>
        <w:spacing w:after="0"/>
        <w:jc w:val="both"/>
        <w:rPr>
          <w:rFonts w:ascii="Arial" w:eastAsia="Times New Roman" w:hAnsi="Arial" w:cs="Arial"/>
          <w:lang w:val="es-MX"/>
        </w:rPr>
      </w:pPr>
    </w:p>
    <w:p w14:paraId="69FC205E"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Las decisiones se toman por mayoría de votos o por consenso. El Pleno, al resolver, decide si desestima el caso, si no encuentra evidencia clara de conducta anticompetitiva o si impone multas y/u ordena el cese de la conducta.</w:t>
      </w:r>
    </w:p>
    <w:p w14:paraId="0872AF50" w14:textId="77777777" w:rsidR="0070274F" w:rsidRPr="0070274F" w:rsidRDefault="0070274F" w:rsidP="0070274F">
      <w:pPr>
        <w:spacing w:after="0"/>
        <w:jc w:val="both"/>
        <w:rPr>
          <w:rFonts w:ascii="Arial" w:eastAsia="Times New Roman" w:hAnsi="Arial" w:cs="Arial"/>
          <w:lang w:val="es-MX"/>
        </w:rPr>
      </w:pPr>
    </w:p>
    <w:p w14:paraId="32BC3886" w14:textId="77777777" w:rsidR="0070274F" w:rsidRPr="0070274F" w:rsidRDefault="0070274F" w:rsidP="004227CB">
      <w:pPr>
        <w:keepNext/>
        <w:keepLines/>
        <w:numPr>
          <w:ilvl w:val="0"/>
          <w:numId w:val="4"/>
        </w:numPr>
        <w:spacing w:after="0" w:line="252" w:lineRule="auto"/>
        <w:ind w:left="567" w:firstLine="0"/>
        <w:jc w:val="both"/>
        <w:outlineLvl w:val="1"/>
        <w:rPr>
          <w:rFonts w:ascii="Arial" w:eastAsia="Times New Roman" w:hAnsi="Arial"/>
          <w:b/>
          <w:bCs/>
          <w:sz w:val="26"/>
          <w:szCs w:val="28"/>
          <w:lang w:val="es-MX"/>
        </w:rPr>
      </w:pPr>
      <w:bookmarkStart w:id="160" w:name="_Toc69242813"/>
      <w:bookmarkStart w:id="161" w:name="_Toc69248122"/>
      <w:bookmarkStart w:id="162" w:name="_Toc69248481"/>
      <w:bookmarkStart w:id="163" w:name="_Toc70950963"/>
      <w:r w:rsidRPr="0070274F">
        <w:rPr>
          <w:rFonts w:ascii="Arial" w:eastAsia="Times New Roman" w:hAnsi="Arial"/>
          <w:b/>
          <w:bCs/>
          <w:sz w:val="26"/>
          <w:szCs w:val="28"/>
          <w:lang w:val="es-MX"/>
        </w:rPr>
        <w:t>Estados Unidos</w:t>
      </w:r>
      <w:bookmarkEnd w:id="160"/>
      <w:bookmarkEnd w:id="161"/>
      <w:bookmarkEnd w:id="162"/>
      <w:bookmarkEnd w:id="163"/>
    </w:p>
    <w:p w14:paraId="79D149D0" w14:textId="77777777" w:rsidR="0070274F" w:rsidRPr="0070274F" w:rsidRDefault="0070274F" w:rsidP="0070274F">
      <w:pPr>
        <w:spacing w:after="0"/>
        <w:jc w:val="both"/>
        <w:rPr>
          <w:rFonts w:ascii="Arial" w:eastAsia="Times New Roman" w:hAnsi="Arial" w:cs="Arial"/>
          <w:lang w:val="es-MX"/>
        </w:rPr>
      </w:pPr>
    </w:p>
    <w:p w14:paraId="6D09A84C"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La política de competencia económica en Estados Unidos recae en 2 (dos) autoridades nacionales: el DOJ y la FTC.  De manera similar al caso de Reino Unido, ambas autoridades tienen facultades concurrentes en materia de competencia económica. El 5 de marzo de 2002 firmaron un Memorándum de Entendimiento</w:t>
      </w:r>
      <w:r w:rsidRPr="0070274F">
        <w:rPr>
          <w:rFonts w:ascii="Arial" w:eastAsia="Times New Roman" w:hAnsi="Arial" w:cs="Arial"/>
          <w:vertAlign w:val="superscript"/>
          <w:lang w:val="es-MX"/>
        </w:rPr>
        <w:footnoteReference w:id="7"/>
      </w:r>
      <w:r w:rsidRPr="0070274F">
        <w:rPr>
          <w:rFonts w:ascii="Arial" w:eastAsia="Times New Roman" w:hAnsi="Arial" w:cs="Arial"/>
          <w:lang w:val="es-MX"/>
        </w:rPr>
        <w:t xml:space="preserve"> entre ambas autoridades para la designación de casos, dando mayor certeza y eficiencia a sus labores públicas.</w:t>
      </w:r>
    </w:p>
    <w:p w14:paraId="268A4FA4" w14:textId="77777777" w:rsidR="0070274F" w:rsidRPr="0070274F" w:rsidRDefault="0070274F" w:rsidP="0070274F">
      <w:pPr>
        <w:spacing w:after="0"/>
        <w:jc w:val="both"/>
        <w:rPr>
          <w:rFonts w:ascii="Arial" w:eastAsia="Times New Roman" w:hAnsi="Arial" w:cs="Arial"/>
          <w:lang w:val="es-MX"/>
        </w:rPr>
      </w:pPr>
    </w:p>
    <w:p w14:paraId="231E0CF0"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Todas las solicitudes para iniciar nuevas investigaciones por conductas anticompetitivas deben ser aprobadas entre FTC y DOJ, de conformidad con el Memorándum referido.</w:t>
      </w:r>
    </w:p>
    <w:p w14:paraId="52E31C2B" w14:textId="77777777" w:rsidR="0070274F" w:rsidRPr="0070274F" w:rsidRDefault="0070274F" w:rsidP="0070274F">
      <w:pPr>
        <w:spacing w:after="0"/>
        <w:jc w:val="both"/>
        <w:rPr>
          <w:rFonts w:ascii="Arial" w:eastAsia="Times New Roman" w:hAnsi="Arial" w:cs="Arial"/>
          <w:lang w:val="es-MX"/>
        </w:rPr>
      </w:pPr>
    </w:p>
    <w:p w14:paraId="6DBC7450"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 xml:space="preserve">La FTC utiliza la legislación vigente en la </w:t>
      </w:r>
      <w:r w:rsidRPr="0070274F">
        <w:rPr>
          <w:rFonts w:ascii="Arial" w:eastAsia="Times New Roman" w:hAnsi="Arial" w:cs="Arial"/>
          <w:i/>
          <w:lang w:val="es-MX"/>
        </w:rPr>
        <w:t>Federal Trade Commission Act</w:t>
      </w:r>
      <w:r w:rsidRPr="0070274F">
        <w:rPr>
          <w:rFonts w:ascii="Arial" w:eastAsia="Times New Roman" w:hAnsi="Arial" w:cs="Arial"/>
          <w:i/>
          <w:vertAlign w:val="superscript"/>
          <w:lang w:val="es-MX"/>
        </w:rPr>
        <w:footnoteReference w:id="8"/>
      </w:r>
      <w:r w:rsidRPr="0070274F">
        <w:rPr>
          <w:rFonts w:ascii="Arial" w:eastAsia="Times New Roman" w:hAnsi="Arial" w:cs="Arial"/>
          <w:lang w:val="es-MX"/>
        </w:rPr>
        <w:t xml:space="preserve"> (15 U.S.C.,</w:t>
      </w:r>
      <w:r w:rsidRPr="0070274F">
        <w:rPr>
          <w:rFonts w:ascii="Arial" w:eastAsia="Times New Roman" w:hAnsi="Arial" w:cs="Arial"/>
          <w:vertAlign w:val="superscript"/>
          <w:lang w:val="es-MX"/>
        </w:rPr>
        <w:footnoteReference w:id="9"/>
      </w:r>
      <w:r w:rsidRPr="0070274F">
        <w:rPr>
          <w:rFonts w:ascii="Arial" w:eastAsia="Times New Roman" w:hAnsi="Arial" w:cs="Arial"/>
          <w:lang w:val="es-MX"/>
        </w:rPr>
        <w:t xml:space="preserve"> secciones 41 a 58) y la </w:t>
      </w:r>
      <w:r w:rsidRPr="0070274F">
        <w:rPr>
          <w:rFonts w:ascii="Arial" w:eastAsia="Times New Roman" w:hAnsi="Arial" w:cs="Arial"/>
          <w:i/>
          <w:lang w:val="es-MX"/>
        </w:rPr>
        <w:t>Clayton Act</w:t>
      </w:r>
      <w:r w:rsidRPr="0070274F">
        <w:rPr>
          <w:rFonts w:ascii="Arial" w:eastAsia="Times New Roman" w:hAnsi="Arial" w:cs="Arial"/>
          <w:lang w:val="es-MX"/>
        </w:rPr>
        <w:t xml:space="preserve"> (15 U.S.C., secciones 12 a 27). El DOJ se basa en la legislación contenida en la </w:t>
      </w:r>
      <w:r w:rsidRPr="0070274F">
        <w:rPr>
          <w:rFonts w:ascii="Arial" w:eastAsia="Times New Roman" w:hAnsi="Arial" w:cs="Arial"/>
          <w:i/>
          <w:lang w:val="es-MX"/>
        </w:rPr>
        <w:t>Sherman Act</w:t>
      </w:r>
      <w:r w:rsidRPr="0070274F">
        <w:rPr>
          <w:rFonts w:ascii="Arial" w:eastAsia="Times New Roman" w:hAnsi="Arial" w:cs="Arial"/>
          <w:lang w:val="es-MX"/>
        </w:rPr>
        <w:t xml:space="preserve"> (15 U.S.C., secciones 1 a 7) y la </w:t>
      </w:r>
      <w:r w:rsidRPr="0070274F">
        <w:rPr>
          <w:rFonts w:ascii="Arial" w:eastAsia="Times New Roman" w:hAnsi="Arial" w:cs="Arial"/>
          <w:i/>
          <w:lang w:val="es-MX"/>
        </w:rPr>
        <w:t>Clayton Act</w:t>
      </w:r>
      <w:r w:rsidRPr="0070274F">
        <w:rPr>
          <w:rFonts w:ascii="Arial" w:eastAsia="Times New Roman" w:hAnsi="Arial" w:cs="Arial"/>
          <w:lang w:val="es-MX"/>
        </w:rPr>
        <w:t xml:space="preserve">; además, el DOJ tiene </w:t>
      </w:r>
      <w:r w:rsidRPr="0070274F">
        <w:rPr>
          <w:rFonts w:ascii="Arial" w:eastAsia="Times New Roman" w:hAnsi="Arial" w:cs="Arial"/>
          <w:lang w:val="es-MX"/>
        </w:rPr>
        <w:lastRenderedPageBreak/>
        <w:t>un Manual de la División Antimonopolios que, en su capítulo III, detalla el desarrollo de casos e investigaciones.</w:t>
      </w:r>
      <w:r w:rsidRPr="0070274F">
        <w:rPr>
          <w:rFonts w:ascii="Arial" w:eastAsia="Times New Roman" w:hAnsi="Arial" w:cs="Arial"/>
          <w:vertAlign w:val="superscript"/>
          <w:lang w:val="es-MX"/>
        </w:rPr>
        <w:footnoteReference w:id="10"/>
      </w:r>
    </w:p>
    <w:p w14:paraId="71C700F8" w14:textId="77777777" w:rsidR="006C51E6" w:rsidRDefault="006C51E6" w:rsidP="0070274F">
      <w:pPr>
        <w:spacing w:after="0"/>
        <w:jc w:val="both"/>
        <w:rPr>
          <w:rFonts w:ascii="Arial" w:eastAsia="Times New Roman" w:hAnsi="Arial" w:cs="Arial"/>
          <w:lang w:val="es-MX"/>
        </w:rPr>
      </w:pPr>
    </w:p>
    <w:p w14:paraId="7A7D171C" w14:textId="284ABF01"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Para evitar conflictos competenciales recurrentes, las 2 (dos) autoridades han dividido sus responsabilidades para evitar duplicar esfuerzos. Ambas agencias tienen amplios poderes para iniciar investigaciones y exigir documentos y testimonios</w:t>
      </w:r>
      <w:r w:rsidR="006C51E6">
        <w:rPr>
          <w:rFonts w:ascii="Arial" w:eastAsia="Times New Roman" w:hAnsi="Arial" w:cs="Arial"/>
          <w:lang w:val="es-MX"/>
        </w:rPr>
        <w:t>.</w:t>
      </w:r>
      <w:r w:rsidRPr="0070274F">
        <w:rPr>
          <w:rFonts w:ascii="Arial" w:eastAsia="Times New Roman" w:hAnsi="Arial" w:cs="Arial"/>
          <w:lang w:val="es-MX"/>
        </w:rPr>
        <w:t xml:space="preserve"> </w:t>
      </w:r>
      <w:r w:rsidR="006C51E6">
        <w:rPr>
          <w:rFonts w:ascii="Arial" w:eastAsia="Times New Roman" w:hAnsi="Arial" w:cs="Arial"/>
          <w:lang w:val="es-MX"/>
        </w:rPr>
        <w:t>L</w:t>
      </w:r>
      <w:r w:rsidRPr="0070274F">
        <w:rPr>
          <w:rFonts w:ascii="Arial" w:eastAsia="Times New Roman" w:hAnsi="Arial" w:cs="Arial"/>
          <w:lang w:val="es-MX"/>
        </w:rPr>
        <w:t>os procedimientos llevados por ambas autoridades contemplan audiencias por un sistema oral adversarial, garantizando el debido proceso a cualquier empresa investigada.</w:t>
      </w:r>
    </w:p>
    <w:p w14:paraId="2BEC9877" w14:textId="77777777" w:rsidR="0070274F" w:rsidRPr="0070274F" w:rsidRDefault="0070274F" w:rsidP="0070274F">
      <w:pPr>
        <w:spacing w:after="0"/>
        <w:jc w:val="both"/>
        <w:rPr>
          <w:rFonts w:ascii="Arial" w:eastAsia="Times New Roman" w:hAnsi="Arial" w:cs="Arial"/>
          <w:lang w:val="es-MX"/>
        </w:rPr>
      </w:pPr>
    </w:p>
    <w:p w14:paraId="2EA1DA7C"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El DOJ asegura una toma de decisiones independiente, sin influencia del Poder Ejecutivo y, al terminar su investigación, presenta sus casos ante jueces federales, como parte demandante o fiscal.</w:t>
      </w:r>
    </w:p>
    <w:p w14:paraId="124784F1" w14:textId="77777777" w:rsidR="0070274F" w:rsidRPr="0070274F" w:rsidRDefault="0070274F" w:rsidP="0070274F">
      <w:pPr>
        <w:spacing w:after="0"/>
        <w:jc w:val="both"/>
        <w:rPr>
          <w:rFonts w:ascii="Arial" w:eastAsia="Times New Roman" w:hAnsi="Arial" w:cs="Arial"/>
          <w:lang w:val="es-MX"/>
        </w:rPr>
      </w:pPr>
    </w:p>
    <w:p w14:paraId="5CC3C660" w14:textId="77777777" w:rsidR="0070274F" w:rsidRPr="0070274F" w:rsidRDefault="0070274F" w:rsidP="0070274F">
      <w:pPr>
        <w:spacing w:after="0"/>
        <w:jc w:val="both"/>
        <w:rPr>
          <w:rFonts w:ascii="Arial" w:eastAsia="Times New Roman" w:hAnsi="Arial" w:cs="Arial"/>
          <w:lang w:val="es-MX"/>
        </w:rPr>
      </w:pPr>
      <w:r w:rsidRPr="0070274F">
        <w:rPr>
          <w:rFonts w:ascii="Arial" w:eastAsia="Times New Roman" w:hAnsi="Arial" w:cs="Arial"/>
          <w:lang w:val="es-MX"/>
        </w:rPr>
        <w:t>La FTC puede emitir una queja administrativa como parte de su propio proceso legal. La queja conduce a una audiencia similar al juicio que el DOJ interpone ante el juez federal, pero se lleva a cabo ante un juez administrativo; la decisión de la FTC y del juez administrativo están sujetas a revisión en los tribunales de apelación federales.</w:t>
      </w:r>
    </w:p>
    <w:p w14:paraId="5D9E2CE3" w14:textId="77777777" w:rsidR="0070274F" w:rsidRPr="005804D0" w:rsidRDefault="0070274F" w:rsidP="00BF577A">
      <w:pPr>
        <w:spacing w:before="120" w:after="120"/>
        <w:rPr>
          <w:rFonts w:ascii="Arial" w:hAnsi="Arial" w:cs="Arial"/>
          <w:bCs/>
          <w:lang w:val="es-MX" w:eastAsia="es-MX"/>
        </w:rPr>
      </w:pPr>
    </w:p>
    <w:sectPr w:rsidR="0070274F" w:rsidRPr="005804D0" w:rsidSect="00CB38F2">
      <w:headerReference w:type="even" r:id="rId13"/>
      <w:headerReference w:type="default" r:id="rId14"/>
      <w:footerReference w:type="even" r:id="rId15"/>
      <w:footerReference w:type="default" r:id="rId16"/>
      <w:headerReference w:type="first" r:id="rId17"/>
      <w:footerReference w:type="first" r:id="rId18"/>
      <w:type w:val="continuous"/>
      <w:pgSz w:w="12240" w:h="15840"/>
      <w:pgMar w:top="2098" w:right="1418" w:bottom="1134" w:left="1418" w:header="709" w:footer="8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2E606" w14:textId="77777777" w:rsidR="005B396E" w:rsidRDefault="005B396E" w:rsidP="000F1667">
      <w:pPr>
        <w:spacing w:after="0" w:line="240" w:lineRule="auto"/>
      </w:pPr>
      <w:r>
        <w:separator/>
      </w:r>
    </w:p>
  </w:endnote>
  <w:endnote w:type="continuationSeparator" w:id="0">
    <w:p w14:paraId="109CD8F3" w14:textId="77777777" w:rsidR="005B396E" w:rsidRDefault="005B396E" w:rsidP="000F1667">
      <w:pPr>
        <w:spacing w:after="0" w:line="240" w:lineRule="auto"/>
      </w:pPr>
      <w:r>
        <w:continuationSeparator/>
      </w:r>
    </w:p>
  </w:endnote>
  <w:endnote w:type="continuationNotice" w:id="1">
    <w:p w14:paraId="47BE5E53" w14:textId="77777777" w:rsidR="005B396E" w:rsidRDefault="005B39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one)">
    <w:altName w:val="Times New Roman"/>
    <w:panose1 w:val="00000000000000000000"/>
    <w:charset w:val="00"/>
    <w:family w:val="roman"/>
    <w:notTrueType/>
    <w:pitch w:val="default"/>
  </w:font>
  <w:font w:name="ITC Avant Garde">
    <w:altName w:val="Calibri"/>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DB379" w14:textId="77777777" w:rsidR="00A72B38" w:rsidRDefault="00A72B3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357977386"/>
      <w:docPartObj>
        <w:docPartGallery w:val="Page Numbers (Bottom of Page)"/>
        <w:docPartUnique/>
      </w:docPartObj>
    </w:sdtPr>
    <w:sdtEndPr/>
    <w:sdtContent>
      <w:sdt>
        <w:sdtPr>
          <w:rPr>
            <w:rFonts w:ascii="Arial" w:hAnsi="Arial" w:cs="Arial"/>
            <w:sz w:val="18"/>
            <w:szCs w:val="18"/>
          </w:rPr>
          <w:id w:val="458229369"/>
          <w:docPartObj>
            <w:docPartGallery w:val="Page Numbers (Top of Page)"/>
            <w:docPartUnique/>
          </w:docPartObj>
        </w:sdtPr>
        <w:sdtEndPr/>
        <w:sdtContent>
          <w:p w14:paraId="5FFE0669" w14:textId="227E0820" w:rsidR="00080A83" w:rsidRPr="00E50D05" w:rsidRDefault="00080A83" w:rsidP="00E50D05">
            <w:pPr>
              <w:pStyle w:val="Piedepgina"/>
              <w:jc w:val="right"/>
              <w:rPr>
                <w:rFonts w:ascii="Arial" w:hAnsi="Arial" w:cs="Arial"/>
                <w:sz w:val="18"/>
                <w:szCs w:val="18"/>
              </w:rPr>
            </w:pPr>
            <w:r w:rsidRPr="00BB6A0B">
              <w:rPr>
                <w:rFonts w:ascii="Arial" w:hAnsi="Arial" w:cs="Arial"/>
                <w:sz w:val="18"/>
                <w:szCs w:val="18"/>
              </w:rPr>
              <w:t xml:space="preserve">Página </w:t>
            </w:r>
            <w:r w:rsidRPr="00BB6A0B">
              <w:rPr>
                <w:rFonts w:ascii="Arial" w:hAnsi="Arial" w:cs="Arial"/>
                <w:bCs/>
                <w:sz w:val="18"/>
                <w:szCs w:val="18"/>
              </w:rPr>
              <w:fldChar w:fldCharType="begin"/>
            </w:r>
            <w:r w:rsidRPr="00BB6A0B">
              <w:rPr>
                <w:rFonts w:ascii="Arial" w:hAnsi="Arial" w:cs="Arial"/>
                <w:bCs/>
                <w:sz w:val="18"/>
                <w:szCs w:val="18"/>
              </w:rPr>
              <w:instrText>PAGE</w:instrText>
            </w:r>
            <w:r w:rsidRPr="00BB6A0B">
              <w:rPr>
                <w:rFonts w:ascii="Arial" w:hAnsi="Arial" w:cs="Arial"/>
                <w:bCs/>
                <w:sz w:val="18"/>
                <w:szCs w:val="18"/>
              </w:rPr>
              <w:fldChar w:fldCharType="separate"/>
            </w:r>
            <w:r w:rsidR="00A72B38">
              <w:rPr>
                <w:rFonts w:ascii="Arial" w:hAnsi="Arial" w:cs="Arial"/>
                <w:bCs/>
                <w:noProof/>
                <w:sz w:val="18"/>
                <w:szCs w:val="18"/>
              </w:rPr>
              <w:t>1</w:t>
            </w:r>
            <w:r w:rsidRPr="00BB6A0B">
              <w:rPr>
                <w:rFonts w:ascii="Arial" w:hAnsi="Arial" w:cs="Arial"/>
                <w:bCs/>
                <w:sz w:val="18"/>
                <w:szCs w:val="18"/>
              </w:rPr>
              <w:fldChar w:fldCharType="end"/>
            </w:r>
            <w:r w:rsidRPr="00BB6A0B">
              <w:rPr>
                <w:rFonts w:ascii="Arial" w:hAnsi="Arial" w:cs="Arial"/>
                <w:sz w:val="18"/>
                <w:szCs w:val="18"/>
              </w:rPr>
              <w:t xml:space="preserve"> de </w:t>
            </w:r>
            <w:r w:rsidRPr="00BB6A0B">
              <w:rPr>
                <w:rFonts w:ascii="Arial" w:hAnsi="Arial" w:cs="Arial"/>
                <w:bCs/>
                <w:sz w:val="18"/>
                <w:szCs w:val="18"/>
              </w:rPr>
              <w:fldChar w:fldCharType="begin"/>
            </w:r>
            <w:r w:rsidRPr="00BB6A0B">
              <w:rPr>
                <w:rFonts w:ascii="Arial" w:hAnsi="Arial" w:cs="Arial"/>
                <w:bCs/>
                <w:sz w:val="18"/>
                <w:szCs w:val="18"/>
              </w:rPr>
              <w:instrText>NUMPAGES</w:instrText>
            </w:r>
            <w:r w:rsidRPr="00BB6A0B">
              <w:rPr>
                <w:rFonts w:ascii="Arial" w:hAnsi="Arial" w:cs="Arial"/>
                <w:bCs/>
                <w:sz w:val="18"/>
                <w:szCs w:val="18"/>
              </w:rPr>
              <w:fldChar w:fldCharType="separate"/>
            </w:r>
            <w:r w:rsidR="00A72B38">
              <w:rPr>
                <w:rFonts w:ascii="Arial" w:hAnsi="Arial" w:cs="Arial"/>
                <w:bCs/>
                <w:noProof/>
                <w:sz w:val="18"/>
                <w:szCs w:val="18"/>
              </w:rPr>
              <w:t>37</w:t>
            </w:r>
            <w:r w:rsidRPr="00BB6A0B">
              <w:rPr>
                <w:rFonts w:ascii="Arial" w:hAnsi="Arial" w:cs="Arial"/>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C20CF" w14:textId="77777777" w:rsidR="00A72B38" w:rsidRDefault="00A72B3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50F62" w14:textId="77777777" w:rsidR="005B396E" w:rsidRDefault="005B396E" w:rsidP="000F1667">
      <w:pPr>
        <w:spacing w:after="0" w:line="240" w:lineRule="auto"/>
      </w:pPr>
      <w:r>
        <w:separator/>
      </w:r>
    </w:p>
  </w:footnote>
  <w:footnote w:type="continuationSeparator" w:id="0">
    <w:p w14:paraId="06F06BEF" w14:textId="77777777" w:rsidR="005B396E" w:rsidRDefault="005B396E" w:rsidP="000F1667">
      <w:pPr>
        <w:spacing w:after="0" w:line="240" w:lineRule="auto"/>
      </w:pPr>
      <w:r>
        <w:continuationSeparator/>
      </w:r>
    </w:p>
  </w:footnote>
  <w:footnote w:type="continuationNotice" w:id="1">
    <w:p w14:paraId="77104743" w14:textId="77777777" w:rsidR="005B396E" w:rsidRDefault="005B396E">
      <w:pPr>
        <w:spacing w:after="0" w:line="240" w:lineRule="auto"/>
      </w:pPr>
    </w:p>
  </w:footnote>
  <w:footnote w:id="2">
    <w:p w14:paraId="37756ABB" w14:textId="77777777" w:rsidR="00080A83" w:rsidRPr="00097118" w:rsidRDefault="00080A83" w:rsidP="0070274F">
      <w:pPr>
        <w:pStyle w:val="Textonotapie"/>
        <w:rPr>
          <w:rFonts w:ascii="Arial" w:hAnsi="Arial" w:cs="Arial"/>
          <w:sz w:val="14"/>
          <w:szCs w:val="14"/>
        </w:rPr>
      </w:pPr>
      <w:r w:rsidRPr="00097118">
        <w:rPr>
          <w:rStyle w:val="Refdenotaalpie"/>
          <w:rFonts w:ascii="Arial" w:hAnsi="Arial" w:cs="Arial"/>
          <w:sz w:val="14"/>
          <w:szCs w:val="14"/>
        </w:rPr>
        <w:footnoteRef/>
      </w:r>
      <w:r w:rsidRPr="00097118">
        <w:rPr>
          <w:rFonts w:ascii="Arial" w:hAnsi="Arial" w:cs="Arial"/>
          <w:sz w:val="14"/>
          <w:szCs w:val="14"/>
        </w:rPr>
        <w:t xml:space="preserve"> Los términos y acrónimos presentados tienen el único objeto de facilitar la lectura y su aplica</w:t>
      </w:r>
      <w:r>
        <w:rPr>
          <w:rFonts w:ascii="Arial" w:hAnsi="Arial" w:cs="Arial"/>
          <w:sz w:val="14"/>
          <w:szCs w:val="14"/>
        </w:rPr>
        <w:t>ción se limita a este documento</w:t>
      </w:r>
      <w:r w:rsidRPr="00097118">
        <w:rPr>
          <w:rFonts w:ascii="Arial" w:hAnsi="Arial" w:cs="Arial"/>
          <w:sz w:val="14"/>
          <w:szCs w:val="14"/>
        </w:rPr>
        <w:t>.</w:t>
      </w:r>
    </w:p>
  </w:footnote>
  <w:footnote w:id="3">
    <w:p w14:paraId="2E8C5B2E" w14:textId="77777777" w:rsidR="00080A83" w:rsidRPr="00A31D94" w:rsidRDefault="00080A83" w:rsidP="0070274F">
      <w:pPr>
        <w:pStyle w:val="Textonotapie"/>
        <w:rPr>
          <w:rFonts w:ascii="Arial" w:hAnsi="Arial" w:cs="Arial"/>
          <w:sz w:val="18"/>
          <w:szCs w:val="18"/>
        </w:rPr>
      </w:pPr>
      <w:r w:rsidRPr="00A31D94">
        <w:rPr>
          <w:rStyle w:val="Refdenotaalpie"/>
          <w:rFonts w:ascii="Arial" w:hAnsi="Arial" w:cs="Arial"/>
          <w:sz w:val="18"/>
          <w:szCs w:val="18"/>
        </w:rPr>
        <w:footnoteRef/>
      </w:r>
      <w:r w:rsidRPr="00A31D94">
        <w:rPr>
          <w:rFonts w:ascii="Arial" w:hAnsi="Arial" w:cs="Arial"/>
          <w:sz w:val="18"/>
          <w:szCs w:val="18"/>
        </w:rPr>
        <w:t xml:space="preserve"> Disponible en inglés en: </w:t>
      </w:r>
      <w:hyperlink r:id="rId1" w:history="1">
        <w:r w:rsidRPr="00B40989">
          <w:rPr>
            <w:rStyle w:val="Hipervnculo"/>
            <w:rFonts w:ascii="Arial" w:hAnsi="Arial" w:cs="Arial"/>
            <w:sz w:val="18"/>
            <w:szCs w:val="18"/>
          </w:rPr>
          <w:t>https://www.ofcom.org.uk/__data/assets/pdf_file/0021/83523/cma_and_ofcom_mou_on_use_of_concurrent_consumer_powers_webversion.pdf</w:t>
        </w:r>
      </w:hyperlink>
    </w:p>
  </w:footnote>
  <w:footnote w:id="4">
    <w:p w14:paraId="5992C5FB" w14:textId="77777777" w:rsidR="00080A83" w:rsidRPr="00A31D94" w:rsidRDefault="00080A83" w:rsidP="0070274F">
      <w:pPr>
        <w:pStyle w:val="Textonotapie"/>
        <w:rPr>
          <w:rFonts w:ascii="Arial" w:hAnsi="Arial" w:cs="Arial"/>
          <w:sz w:val="18"/>
          <w:szCs w:val="18"/>
        </w:rPr>
      </w:pPr>
      <w:r w:rsidRPr="00A31D94">
        <w:rPr>
          <w:rStyle w:val="Refdenotaalpie"/>
          <w:rFonts w:ascii="Arial" w:hAnsi="Arial" w:cs="Arial"/>
          <w:sz w:val="18"/>
          <w:szCs w:val="18"/>
        </w:rPr>
        <w:footnoteRef/>
      </w:r>
      <w:r w:rsidRPr="00A31D94">
        <w:rPr>
          <w:rFonts w:ascii="Arial" w:hAnsi="Arial" w:cs="Arial"/>
          <w:sz w:val="18"/>
          <w:szCs w:val="18"/>
        </w:rPr>
        <w:t xml:space="preserve"> Se usa como referencia la Guía que emite la CMA para los procedimientos en forma de juicio; OFCOM tiene una Guía propia, de igual forma para aplicar la misma Ley de Competencia de 1998, la cual se encuentra disponible en inglés en: </w:t>
      </w:r>
      <w:hyperlink r:id="rId2" w:history="1">
        <w:r w:rsidRPr="00B40989">
          <w:rPr>
            <w:rStyle w:val="Hipervnculo"/>
            <w:rFonts w:ascii="Arial" w:hAnsi="Arial" w:cs="Arial"/>
            <w:sz w:val="18"/>
            <w:szCs w:val="18"/>
          </w:rPr>
          <w:t>https://www.ofcom.org.uk/__data/assets/pdf_file/0014/102515/Enforcement-guidelines-for-Competition-Act-investigations.pdf</w:t>
        </w:r>
      </w:hyperlink>
    </w:p>
  </w:footnote>
  <w:footnote w:id="5">
    <w:p w14:paraId="6EC218F4" w14:textId="77777777" w:rsidR="00080A83" w:rsidRPr="00347BD3" w:rsidRDefault="00080A83" w:rsidP="0070274F">
      <w:pPr>
        <w:pStyle w:val="Textonotapie"/>
        <w:rPr>
          <w:rFonts w:ascii="Arial" w:hAnsi="Arial" w:cs="Arial"/>
          <w:lang w:val="es-MX"/>
        </w:rPr>
      </w:pPr>
      <w:r w:rsidRPr="00A31D94">
        <w:rPr>
          <w:rStyle w:val="Refdenotaalpie"/>
          <w:rFonts w:ascii="Arial" w:hAnsi="Arial" w:cs="Arial"/>
          <w:sz w:val="18"/>
          <w:szCs w:val="18"/>
        </w:rPr>
        <w:footnoteRef/>
      </w:r>
      <w:r w:rsidRPr="00A31D94">
        <w:rPr>
          <w:rFonts w:ascii="Arial" w:hAnsi="Arial" w:cs="Arial"/>
          <w:sz w:val="18"/>
          <w:szCs w:val="18"/>
        </w:rPr>
        <w:t xml:space="preserve"> </w:t>
      </w:r>
      <w:r w:rsidRPr="00A31D94">
        <w:rPr>
          <w:rFonts w:ascii="Arial" w:hAnsi="Arial" w:cs="Arial"/>
          <w:sz w:val="18"/>
          <w:szCs w:val="18"/>
          <w:lang w:val="es-MX"/>
        </w:rPr>
        <w:t xml:space="preserve">Mayor detalle al procedimiento implementado en Reino Unido puede consultarse en inglés en: </w:t>
      </w:r>
      <w:hyperlink r:id="rId3" w:anchor="issuing-the-cmas-provisional-findings--the-statement-of-objections-and-draft-penalty-statement" w:history="1">
        <w:r w:rsidRPr="00A31D94">
          <w:rPr>
            <w:rStyle w:val="Hipervnculo"/>
            <w:rFonts w:ascii="Arial" w:hAnsi="Arial" w:cs="Arial"/>
            <w:sz w:val="18"/>
            <w:szCs w:val="18"/>
            <w:lang w:val="es-MX"/>
          </w:rPr>
          <w:t>https://www.gov.uk/government/publications/guidance-on-the-cmas-investigation-procedures-in-competition-act-1998-cases/guidance-on-the-cmas-investigation-procedures-in-competition-act-1998-cases#issuing-the-cmas-provisional-findings--the-statement-of-objections-and-draft-penalty-statement</w:t>
        </w:r>
      </w:hyperlink>
      <w:r w:rsidRPr="00347BD3">
        <w:rPr>
          <w:rFonts w:ascii="Arial" w:hAnsi="Arial" w:cs="Arial"/>
          <w:lang w:val="es-MX"/>
        </w:rPr>
        <w:t xml:space="preserve"> </w:t>
      </w:r>
    </w:p>
  </w:footnote>
  <w:footnote w:id="6">
    <w:p w14:paraId="274442A0" w14:textId="77777777" w:rsidR="00080A83" w:rsidRPr="00A31D94" w:rsidRDefault="00080A83" w:rsidP="0070274F">
      <w:pPr>
        <w:pStyle w:val="Textonotapie"/>
        <w:rPr>
          <w:rFonts w:ascii="Arial" w:hAnsi="Arial" w:cs="Arial"/>
          <w:sz w:val="18"/>
          <w:szCs w:val="18"/>
          <w:lang w:val="es-MX"/>
        </w:rPr>
      </w:pPr>
      <w:r w:rsidRPr="00A31D94">
        <w:rPr>
          <w:rStyle w:val="Refdenotaalpie"/>
          <w:rFonts w:ascii="Arial" w:hAnsi="Arial" w:cs="Arial"/>
          <w:sz w:val="18"/>
          <w:szCs w:val="18"/>
        </w:rPr>
        <w:footnoteRef/>
      </w:r>
      <w:r w:rsidRPr="00A31D94">
        <w:rPr>
          <w:rFonts w:ascii="Arial" w:hAnsi="Arial" w:cs="Arial"/>
          <w:sz w:val="18"/>
          <w:szCs w:val="18"/>
        </w:rPr>
        <w:t xml:space="preserve"> </w:t>
      </w:r>
      <w:r w:rsidRPr="00A31D94">
        <w:rPr>
          <w:rFonts w:ascii="Arial" w:hAnsi="Arial" w:cs="Arial"/>
          <w:sz w:val="18"/>
          <w:szCs w:val="18"/>
          <w:lang w:val="es-MX"/>
        </w:rPr>
        <w:t xml:space="preserve">Disponible en inglés en: </w:t>
      </w:r>
      <w:hyperlink r:id="rId4" w:history="1">
        <w:r w:rsidRPr="00B40989">
          <w:rPr>
            <w:rStyle w:val="Hipervnculo"/>
            <w:rFonts w:ascii="Arial" w:hAnsi="Arial" w:cs="Arial"/>
            <w:sz w:val="18"/>
            <w:szCs w:val="18"/>
            <w:lang w:val="es-MX"/>
          </w:rPr>
          <w:t>http://en.cade.gov.br/topics/legislation/laws/law-no-12529-2011-english-version-from-18-05-2012.pdf/view</w:t>
        </w:r>
      </w:hyperlink>
    </w:p>
  </w:footnote>
  <w:footnote w:id="7">
    <w:p w14:paraId="00BCC2E1" w14:textId="77777777" w:rsidR="00080A83" w:rsidRPr="00A31D94" w:rsidRDefault="00080A83" w:rsidP="0070274F">
      <w:pPr>
        <w:pStyle w:val="Textonotapie"/>
        <w:rPr>
          <w:rFonts w:ascii="Arial" w:hAnsi="Arial" w:cs="Arial"/>
          <w:sz w:val="18"/>
          <w:szCs w:val="18"/>
          <w:lang w:val="es-MX"/>
        </w:rPr>
      </w:pPr>
      <w:r w:rsidRPr="00A31D94">
        <w:rPr>
          <w:rStyle w:val="Refdenotaalpie"/>
          <w:rFonts w:ascii="Arial" w:hAnsi="Arial" w:cs="Arial"/>
          <w:sz w:val="18"/>
          <w:szCs w:val="18"/>
        </w:rPr>
        <w:footnoteRef/>
      </w:r>
      <w:r w:rsidRPr="00A31D94">
        <w:rPr>
          <w:rFonts w:ascii="Arial" w:hAnsi="Arial" w:cs="Arial"/>
          <w:sz w:val="18"/>
          <w:szCs w:val="18"/>
        </w:rPr>
        <w:t xml:space="preserve"> </w:t>
      </w:r>
      <w:r w:rsidRPr="00A31D94">
        <w:rPr>
          <w:rFonts w:ascii="Arial" w:hAnsi="Arial" w:cs="Arial"/>
          <w:sz w:val="18"/>
          <w:szCs w:val="18"/>
          <w:lang w:val="es-MX"/>
        </w:rPr>
        <w:t xml:space="preserve">Disponible en inglés en: </w:t>
      </w:r>
      <w:hyperlink r:id="rId5" w:history="1">
        <w:r w:rsidRPr="00B40989">
          <w:rPr>
            <w:rStyle w:val="Hipervnculo"/>
            <w:rFonts w:ascii="Arial" w:hAnsi="Arial" w:cs="Arial"/>
            <w:sz w:val="18"/>
            <w:szCs w:val="18"/>
            <w:lang w:val="es-MX"/>
          </w:rPr>
          <w:t>https://www.justice.gov/sites/default/files/atr/legacy/2007/07/17/10170.pdf</w:t>
        </w:r>
      </w:hyperlink>
    </w:p>
  </w:footnote>
  <w:footnote w:id="8">
    <w:p w14:paraId="648CE18A" w14:textId="77777777" w:rsidR="00080A83" w:rsidRPr="00A31D94" w:rsidRDefault="00080A83" w:rsidP="0070274F">
      <w:pPr>
        <w:pStyle w:val="Textonotapie"/>
        <w:rPr>
          <w:rFonts w:ascii="Arial" w:hAnsi="Arial" w:cs="Arial"/>
          <w:sz w:val="18"/>
          <w:szCs w:val="18"/>
          <w:lang w:val="es-MX"/>
        </w:rPr>
      </w:pPr>
      <w:r w:rsidRPr="00A31D94">
        <w:rPr>
          <w:rStyle w:val="Refdenotaalpie"/>
          <w:rFonts w:ascii="Arial" w:hAnsi="Arial" w:cs="Arial"/>
          <w:sz w:val="18"/>
          <w:szCs w:val="18"/>
        </w:rPr>
        <w:footnoteRef/>
      </w:r>
      <w:r w:rsidRPr="00A31D94">
        <w:rPr>
          <w:rFonts w:ascii="Arial" w:hAnsi="Arial" w:cs="Arial"/>
          <w:sz w:val="18"/>
          <w:szCs w:val="18"/>
        </w:rPr>
        <w:t xml:space="preserve"> </w:t>
      </w:r>
      <w:r w:rsidRPr="00A31D94">
        <w:rPr>
          <w:rFonts w:ascii="Arial" w:hAnsi="Arial" w:cs="Arial"/>
          <w:sz w:val="18"/>
          <w:szCs w:val="18"/>
          <w:lang w:val="es-MX"/>
        </w:rPr>
        <w:t xml:space="preserve">Disponible en inglés en: </w:t>
      </w:r>
      <w:hyperlink r:id="rId6" w:history="1">
        <w:r w:rsidRPr="00B40989">
          <w:rPr>
            <w:rStyle w:val="Hipervnculo"/>
            <w:rFonts w:ascii="Arial" w:hAnsi="Arial" w:cs="Arial"/>
            <w:sz w:val="18"/>
            <w:szCs w:val="18"/>
            <w:lang w:val="es-MX"/>
          </w:rPr>
          <w:t>https://www.ftc.gov/sites/default/files/documents/statutes/federal-trade-commission-act/ftc_act_incorporatingus_safe_web_act.pdf</w:t>
        </w:r>
      </w:hyperlink>
    </w:p>
  </w:footnote>
  <w:footnote w:id="9">
    <w:p w14:paraId="0BB566FE" w14:textId="77777777" w:rsidR="00080A83" w:rsidRPr="00A31D94" w:rsidRDefault="00080A83" w:rsidP="0070274F">
      <w:pPr>
        <w:pStyle w:val="Textonotapie"/>
        <w:rPr>
          <w:rFonts w:ascii="Arial" w:hAnsi="Arial" w:cs="Arial"/>
          <w:sz w:val="18"/>
          <w:szCs w:val="18"/>
          <w:lang w:val="es-MX"/>
        </w:rPr>
      </w:pPr>
      <w:r w:rsidRPr="00A31D94">
        <w:rPr>
          <w:rStyle w:val="Refdenotaalpie"/>
          <w:rFonts w:ascii="Arial" w:hAnsi="Arial" w:cs="Arial"/>
          <w:sz w:val="18"/>
          <w:szCs w:val="18"/>
        </w:rPr>
        <w:footnoteRef/>
      </w:r>
      <w:r w:rsidRPr="00A31D94">
        <w:rPr>
          <w:rFonts w:ascii="Arial" w:hAnsi="Arial" w:cs="Arial"/>
          <w:sz w:val="18"/>
          <w:szCs w:val="18"/>
        </w:rPr>
        <w:t xml:space="preserve"> </w:t>
      </w:r>
      <w:r w:rsidRPr="00A31D94">
        <w:rPr>
          <w:rFonts w:ascii="Arial" w:hAnsi="Arial" w:cs="Arial"/>
          <w:sz w:val="18"/>
          <w:szCs w:val="18"/>
          <w:lang w:val="es-MX"/>
        </w:rPr>
        <w:t xml:space="preserve">Se refiere a </w:t>
      </w:r>
      <w:r w:rsidRPr="00A31D94">
        <w:rPr>
          <w:rFonts w:ascii="Arial" w:hAnsi="Arial" w:cs="Arial"/>
          <w:i/>
          <w:sz w:val="18"/>
          <w:szCs w:val="18"/>
          <w:lang w:val="es-MX"/>
        </w:rPr>
        <w:t>United States Code</w:t>
      </w:r>
      <w:r w:rsidRPr="00A31D94">
        <w:rPr>
          <w:rFonts w:ascii="Arial" w:hAnsi="Arial" w:cs="Arial"/>
          <w:sz w:val="18"/>
          <w:szCs w:val="18"/>
          <w:lang w:val="es-MX"/>
        </w:rPr>
        <w:t>.</w:t>
      </w:r>
    </w:p>
  </w:footnote>
  <w:footnote w:id="10">
    <w:p w14:paraId="493CE6E1" w14:textId="77777777" w:rsidR="00080A83" w:rsidRPr="00A31D94" w:rsidRDefault="00080A83" w:rsidP="0070274F">
      <w:pPr>
        <w:pStyle w:val="Textonotapie"/>
        <w:rPr>
          <w:lang w:val="es-MX"/>
        </w:rPr>
      </w:pPr>
      <w:r w:rsidRPr="00A31D94">
        <w:rPr>
          <w:rStyle w:val="Refdenotaalpie"/>
          <w:rFonts w:ascii="Arial" w:hAnsi="Arial" w:cs="Arial"/>
          <w:sz w:val="18"/>
          <w:szCs w:val="18"/>
        </w:rPr>
        <w:footnoteRef/>
      </w:r>
      <w:r w:rsidRPr="00A31D94">
        <w:rPr>
          <w:rFonts w:ascii="Arial" w:hAnsi="Arial" w:cs="Arial"/>
          <w:sz w:val="18"/>
          <w:szCs w:val="18"/>
        </w:rPr>
        <w:t xml:space="preserve"> </w:t>
      </w:r>
      <w:r w:rsidRPr="00A31D94">
        <w:rPr>
          <w:rFonts w:ascii="Arial" w:hAnsi="Arial" w:cs="Arial"/>
          <w:sz w:val="18"/>
          <w:szCs w:val="18"/>
          <w:lang w:val="es-MX"/>
        </w:rPr>
        <w:t xml:space="preserve">Disponible en inglés en: </w:t>
      </w:r>
      <w:hyperlink r:id="rId7" w:history="1">
        <w:r w:rsidRPr="00B40989">
          <w:rPr>
            <w:rStyle w:val="Hipervnculo"/>
            <w:rFonts w:ascii="Arial" w:hAnsi="Arial" w:cs="Arial"/>
            <w:sz w:val="18"/>
            <w:szCs w:val="18"/>
            <w:lang w:val="es-MX"/>
          </w:rPr>
          <w:t>https://www.justice.gov/atr/file/761141/download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147E2" w14:textId="5E099A85" w:rsidR="00A72B38" w:rsidRDefault="00A72B38">
    <w:pPr>
      <w:pStyle w:val="Encabezado"/>
    </w:pPr>
    <w:r>
      <w:rPr>
        <w:noProof/>
      </w:rPr>
      <w:pict w14:anchorId="681DE5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8985" o:spid="_x0000_s2050" type="#_x0000_t136" style="position:absolute;margin-left:0;margin-top:0;width:530.3pt;height:132.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372719" w14:textId="504D590C" w:rsidR="00A72B38" w:rsidRDefault="00A72B38">
    <w:pPr>
      <w:pStyle w:val="Encabezado"/>
    </w:pPr>
    <w:r>
      <w:rPr>
        <w:noProof/>
      </w:rPr>
      <w:pict w14:anchorId="3772F5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8986" o:spid="_x0000_s2051" type="#_x0000_t136" style="position:absolute;margin-left:0;margin-top:0;width:530.3pt;height:132.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8CABB" w14:textId="0BF6E629" w:rsidR="00A72B38" w:rsidRDefault="00A72B38">
    <w:pPr>
      <w:pStyle w:val="Encabezado"/>
    </w:pPr>
    <w:r>
      <w:rPr>
        <w:noProof/>
      </w:rPr>
      <w:pict w14:anchorId="2BC3A7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6498984" o:spid="_x0000_s2049" type="#_x0000_t136" style="position:absolute;margin-left:0;margin-top:0;width:530.3pt;height:132.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45A72"/>
    <w:multiLevelType w:val="hybridMultilevel"/>
    <w:tmpl w:val="6284F5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18227CCE"/>
    <w:multiLevelType w:val="hybridMultilevel"/>
    <w:tmpl w:val="E23004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0D46E4"/>
    <w:multiLevelType w:val="hybridMultilevel"/>
    <w:tmpl w:val="7E108D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D4F5981"/>
    <w:multiLevelType w:val="multilevel"/>
    <w:tmpl w:val="2ADA3A96"/>
    <w:name w:val="ListBulletList"/>
    <w:lvl w:ilvl="0">
      <w:start w:val="1"/>
      <w:numFmt w:val="bullet"/>
      <w:pStyle w:val="ListBullet1"/>
      <w:lvlText w:val=""/>
      <w:lvlJc w:val="left"/>
      <w:pPr>
        <w:tabs>
          <w:tab w:val="num" w:pos="340"/>
        </w:tabs>
        <w:ind w:left="340" w:hanging="340"/>
      </w:pPr>
      <w:rPr>
        <w:rFonts w:ascii="Wingdings 2" w:hAnsi="Wingdings 2" w:hint="default"/>
        <w:color w:val="5B9BD5" w:themeColor="accent1"/>
      </w:rPr>
    </w:lvl>
    <w:lvl w:ilvl="1">
      <w:start w:val="1"/>
      <w:numFmt w:val="bullet"/>
      <w:pStyle w:val="ListBullet2"/>
      <w:lvlText w:val="□"/>
      <w:lvlJc w:val="left"/>
      <w:pPr>
        <w:tabs>
          <w:tab w:val="num" w:pos="680"/>
        </w:tabs>
        <w:ind w:left="680" w:hanging="340"/>
      </w:pPr>
      <w:rPr>
        <w:rFonts w:ascii="Calibri" w:hAnsi="Calibri" w:hint="default"/>
        <w:color w:val="5B9BD5" w:themeColor="accent1"/>
      </w:rPr>
    </w:lvl>
    <w:lvl w:ilvl="2">
      <w:start w:val="1"/>
      <w:numFmt w:val="bullet"/>
      <w:pStyle w:val="ListBullet3"/>
      <w:lvlText w:val="–"/>
      <w:lvlJc w:val="left"/>
      <w:pPr>
        <w:tabs>
          <w:tab w:val="num" w:pos="1021"/>
        </w:tabs>
        <w:ind w:left="1021" w:hanging="341"/>
      </w:pPr>
      <w:rPr>
        <w:rFonts w:ascii="(none)" w:hAnsi="(none)" w:hint="default"/>
        <w:color w:val="5B9BD5"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4" w15:restartNumberingAfterBreak="0">
    <w:nsid w:val="32105EEF"/>
    <w:multiLevelType w:val="hybridMultilevel"/>
    <w:tmpl w:val="92C03D5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15:restartNumberingAfterBreak="0">
    <w:nsid w:val="4FBE0066"/>
    <w:multiLevelType w:val="hybridMultilevel"/>
    <w:tmpl w:val="6C1498A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50C6011E"/>
    <w:multiLevelType w:val="hybridMultilevel"/>
    <w:tmpl w:val="FF2CE7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55C52CE8"/>
    <w:multiLevelType w:val="hybridMultilevel"/>
    <w:tmpl w:val="144284D4"/>
    <w:lvl w:ilvl="0" w:tplc="2CE48614">
      <w:start w:val="1"/>
      <w:numFmt w:val="lowerLetter"/>
      <w:lvlText w:val="%1)"/>
      <w:lvlJc w:val="left"/>
      <w:pPr>
        <w:ind w:left="720" w:hanging="36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806148D"/>
    <w:multiLevelType w:val="hybridMultilevel"/>
    <w:tmpl w:val="6CE4063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580F126B"/>
    <w:multiLevelType w:val="hybridMultilevel"/>
    <w:tmpl w:val="DDBC2A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0" w15:restartNumberingAfterBreak="0">
    <w:nsid w:val="63464097"/>
    <w:multiLevelType w:val="hybridMultilevel"/>
    <w:tmpl w:val="56240ED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15:restartNumberingAfterBreak="0">
    <w:nsid w:val="65A24C7E"/>
    <w:multiLevelType w:val="hybridMultilevel"/>
    <w:tmpl w:val="DAAA555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6E3F265B"/>
    <w:multiLevelType w:val="multilevel"/>
    <w:tmpl w:val="784A3626"/>
    <w:lvl w:ilvl="0">
      <w:start w:val="3"/>
      <w:numFmt w:val="upperRoman"/>
      <w:pStyle w:val="Ttulo2"/>
      <w:lvlText w:val="%1."/>
      <w:lvlJc w:val="right"/>
      <w:pPr>
        <w:ind w:left="720" w:hanging="360"/>
      </w:pPr>
      <w:rPr>
        <w:rFonts w:ascii="ITC Avant Garde" w:hAnsi="ITC Avant Garde" w:hint="default"/>
        <w:b/>
        <w:sz w:val="22"/>
      </w:rPr>
    </w:lvl>
    <w:lvl w:ilvl="1">
      <w:start w:val="1"/>
      <w:numFmt w:val="decimal"/>
      <w:suff w:val="space"/>
      <w:lvlText w:val="%1.%2. "/>
      <w:lvlJc w:val="left"/>
      <w:pPr>
        <w:ind w:left="5747"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2"/>
  </w:num>
  <w:num w:numId="2">
    <w:abstractNumId w:val="3"/>
  </w:num>
  <w:num w:numId="3">
    <w:abstractNumId w:val="7"/>
  </w:num>
  <w:num w:numId="4">
    <w:abstractNumId w:val="4"/>
  </w:num>
  <w:num w:numId="5">
    <w:abstractNumId w:val="6"/>
  </w:num>
  <w:num w:numId="6">
    <w:abstractNumId w:val="2"/>
  </w:num>
  <w:num w:numId="7">
    <w:abstractNumId w:val="8"/>
  </w:num>
  <w:num w:numId="8">
    <w:abstractNumId w:val="10"/>
  </w:num>
  <w:num w:numId="9">
    <w:abstractNumId w:val="9"/>
  </w:num>
  <w:num w:numId="10">
    <w:abstractNumId w:val="5"/>
  </w:num>
  <w:num w:numId="11">
    <w:abstractNumId w:val="11"/>
  </w:num>
  <w:num w:numId="12">
    <w:abstractNumId w:val="0"/>
  </w:num>
  <w:num w:numId="13">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1DD"/>
    <w:rsid w:val="00007393"/>
    <w:rsid w:val="0001015A"/>
    <w:rsid w:val="00011227"/>
    <w:rsid w:val="00015C2E"/>
    <w:rsid w:val="0001666F"/>
    <w:rsid w:val="00020809"/>
    <w:rsid w:val="000228B3"/>
    <w:rsid w:val="000239CE"/>
    <w:rsid w:val="00024EF0"/>
    <w:rsid w:val="0002613A"/>
    <w:rsid w:val="00031310"/>
    <w:rsid w:val="000356CD"/>
    <w:rsid w:val="00036160"/>
    <w:rsid w:val="000448C5"/>
    <w:rsid w:val="0004749E"/>
    <w:rsid w:val="00050A90"/>
    <w:rsid w:val="000577B5"/>
    <w:rsid w:val="0006016F"/>
    <w:rsid w:val="00064285"/>
    <w:rsid w:val="0006446F"/>
    <w:rsid w:val="00064DF2"/>
    <w:rsid w:val="00070560"/>
    <w:rsid w:val="00074491"/>
    <w:rsid w:val="00074815"/>
    <w:rsid w:val="000805CA"/>
    <w:rsid w:val="00080A83"/>
    <w:rsid w:val="00081414"/>
    <w:rsid w:val="00086F4B"/>
    <w:rsid w:val="000933B7"/>
    <w:rsid w:val="00094A6E"/>
    <w:rsid w:val="000A7A3C"/>
    <w:rsid w:val="000B08D5"/>
    <w:rsid w:val="000B31CC"/>
    <w:rsid w:val="000B33AD"/>
    <w:rsid w:val="000B377E"/>
    <w:rsid w:val="000B58EC"/>
    <w:rsid w:val="000C037D"/>
    <w:rsid w:val="000C098A"/>
    <w:rsid w:val="000C569A"/>
    <w:rsid w:val="000D7623"/>
    <w:rsid w:val="000E09AA"/>
    <w:rsid w:val="000F1280"/>
    <w:rsid w:val="000F1667"/>
    <w:rsid w:val="000F40CA"/>
    <w:rsid w:val="000F7260"/>
    <w:rsid w:val="000F7414"/>
    <w:rsid w:val="0010495D"/>
    <w:rsid w:val="0011347F"/>
    <w:rsid w:val="00114F1F"/>
    <w:rsid w:val="00117439"/>
    <w:rsid w:val="00123DFF"/>
    <w:rsid w:val="0012455D"/>
    <w:rsid w:val="001250CB"/>
    <w:rsid w:val="00142C05"/>
    <w:rsid w:val="001461F4"/>
    <w:rsid w:val="00156C3A"/>
    <w:rsid w:val="00173F38"/>
    <w:rsid w:val="00175CBF"/>
    <w:rsid w:val="00177529"/>
    <w:rsid w:val="0018695B"/>
    <w:rsid w:val="001904F8"/>
    <w:rsid w:val="00192767"/>
    <w:rsid w:val="001A77D2"/>
    <w:rsid w:val="001A7A71"/>
    <w:rsid w:val="001B163B"/>
    <w:rsid w:val="001C2ADB"/>
    <w:rsid w:val="001D66DC"/>
    <w:rsid w:val="001E0DF4"/>
    <w:rsid w:val="001E53F8"/>
    <w:rsid w:val="001E6D2D"/>
    <w:rsid w:val="001F07C6"/>
    <w:rsid w:val="001F31EE"/>
    <w:rsid w:val="00202769"/>
    <w:rsid w:val="0020321B"/>
    <w:rsid w:val="0020377C"/>
    <w:rsid w:val="00206387"/>
    <w:rsid w:val="00211299"/>
    <w:rsid w:val="00226E7E"/>
    <w:rsid w:val="002322A9"/>
    <w:rsid w:val="00232648"/>
    <w:rsid w:val="00233A27"/>
    <w:rsid w:val="00235EBE"/>
    <w:rsid w:val="00253747"/>
    <w:rsid w:val="00255C81"/>
    <w:rsid w:val="002633C9"/>
    <w:rsid w:val="00273B98"/>
    <w:rsid w:val="002778B4"/>
    <w:rsid w:val="0028334D"/>
    <w:rsid w:val="0028705D"/>
    <w:rsid w:val="0029078F"/>
    <w:rsid w:val="00290BDC"/>
    <w:rsid w:val="00297A60"/>
    <w:rsid w:val="002A3C3A"/>
    <w:rsid w:val="002A425B"/>
    <w:rsid w:val="002B11CD"/>
    <w:rsid w:val="002B59BA"/>
    <w:rsid w:val="002C152D"/>
    <w:rsid w:val="002C4E73"/>
    <w:rsid w:val="002D2C33"/>
    <w:rsid w:val="002D796B"/>
    <w:rsid w:val="002F23BA"/>
    <w:rsid w:val="002F31EC"/>
    <w:rsid w:val="00301288"/>
    <w:rsid w:val="00301BD7"/>
    <w:rsid w:val="0031638B"/>
    <w:rsid w:val="00317527"/>
    <w:rsid w:val="003249FC"/>
    <w:rsid w:val="00326E5C"/>
    <w:rsid w:val="00326E73"/>
    <w:rsid w:val="0033402E"/>
    <w:rsid w:val="00334753"/>
    <w:rsid w:val="003352AD"/>
    <w:rsid w:val="00336DD5"/>
    <w:rsid w:val="00340F7D"/>
    <w:rsid w:val="00341730"/>
    <w:rsid w:val="00345440"/>
    <w:rsid w:val="00352933"/>
    <w:rsid w:val="003551FF"/>
    <w:rsid w:val="0035604B"/>
    <w:rsid w:val="00357BD0"/>
    <w:rsid w:val="00360E01"/>
    <w:rsid w:val="00362076"/>
    <w:rsid w:val="00371F6B"/>
    <w:rsid w:val="003731F4"/>
    <w:rsid w:val="00377CBA"/>
    <w:rsid w:val="0038078F"/>
    <w:rsid w:val="003839ED"/>
    <w:rsid w:val="003878CE"/>
    <w:rsid w:val="003904C5"/>
    <w:rsid w:val="003953DA"/>
    <w:rsid w:val="003A2FB9"/>
    <w:rsid w:val="003A35DA"/>
    <w:rsid w:val="003A39BB"/>
    <w:rsid w:val="003A3AF9"/>
    <w:rsid w:val="003A50DE"/>
    <w:rsid w:val="003A6DC2"/>
    <w:rsid w:val="003C7773"/>
    <w:rsid w:val="003D127A"/>
    <w:rsid w:val="003D353A"/>
    <w:rsid w:val="003E1EF7"/>
    <w:rsid w:val="003E4E7F"/>
    <w:rsid w:val="003E6265"/>
    <w:rsid w:val="003E68BA"/>
    <w:rsid w:val="003E6D2C"/>
    <w:rsid w:val="003F1F15"/>
    <w:rsid w:val="003F3252"/>
    <w:rsid w:val="003F51DE"/>
    <w:rsid w:val="003F5473"/>
    <w:rsid w:val="003F6A2B"/>
    <w:rsid w:val="00401260"/>
    <w:rsid w:val="00403758"/>
    <w:rsid w:val="00403B04"/>
    <w:rsid w:val="00404C0B"/>
    <w:rsid w:val="004054F6"/>
    <w:rsid w:val="0040628E"/>
    <w:rsid w:val="00406830"/>
    <w:rsid w:val="00414F55"/>
    <w:rsid w:val="004227CB"/>
    <w:rsid w:val="00425A2D"/>
    <w:rsid w:val="00431EF8"/>
    <w:rsid w:val="00432519"/>
    <w:rsid w:val="004351E0"/>
    <w:rsid w:val="00437BEB"/>
    <w:rsid w:val="004451BF"/>
    <w:rsid w:val="004454F8"/>
    <w:rsid w:val="0045363C"/>
    <w:rsid w:val="004565DE"/>
    <w:rsid w:val="00457A8B"/>
    <w:rsid w:val="00460D84"/>
    <w:rsid w:val="0047332F"/>
    <w:rsid w:val="00473F04"/>
    <w:rsid w:val="0048389E"/>
    <w:rsid w:val="004842F1"/>
    <w:rsid w:val="0048602E"/>
    <w:rsid w:val="004864D4"/>
    <w:rsid w:val="004873B4"/>
    <w:rsid w:val="00487925"/>
    <w:rsid w:val="00493105"/>
    <w:rsid w:val="004A68B7"/>
    <w:rsid w:val="004B0302"/>
    <w:rsid w:val="004B2175"/>
    <w:rsid w:val="004B3A84"/>
    <w:rsid w:val="004B5AD7"/>
    <w:rsid w:val="004B6229"/>
    <w:rsid w:val="004B6C3F"/>
    <w:rsid w:val="004C699A"/>
    <w:rsid w:val="004D06C1"/>
    <w:rsid w:val="004D23D9"/>
    <w:rsid w:val="004D3BA7"/>
    <w:rsid w:val="004D458D"/>
    <w:rsid w:val="004E207F"/>
    <w:rsid w:val="004E2287"/>
    <w:rsid w:val="004E343B"/>
    <w:rsid w:val="004F2F41"/>
    <w:rsid w:val="004F5342"/>
    <w:rsid w:val="005002AA"/>
    <w:rsid w:val="005105C3"/>
    <w:rsid w:val="00511DA9"/>
    <w:rsid w:val="005179BF"/>
    <w:rsid w:val="005204FC"/>
    <w:rsid w:val="00520AB6"/>
    <w:rsid w:val="00522D16"/>
    <w:rsid w:val="00526064"/>
    <w:rsid w:val="00542C18"/>
    <w:rsid w:val="00544385"/>
    <w:rsid w:val="005501CC"/>
    <w:rsid w:val="00560FEF"/>
    <w:rsid w:val="005616B6"/>
    <w:rsid w:val="00561F60"/>
    <w:rsid w:val="005642DD"/>
    <w:rsid w:val="0056495E"/>
    <w:rsid w:val="0056741E"/>
    <w:rsid w:val="005705D9"/>
    <w:rsid w:val="00571FC1"/>
    <w:rsid w:val="00572E2C"/>
    <w:rsid w:val="00574425"/>
    <w:rsid w:val="005804D0"/>
    <w:rsid w:val="00590E8F"/>
    <w:rsid w:val="00592C64"/>
    <w:rsid w:val="00594F1F"/>
    <w:rsid w:val="00595151"/>
    <w:rsid w:val="00595246"/>
    <w:rsid w:val="00595F75"/>
    <w:rsid w:val="00597108"/>
    <w:rsid w:val="00597231"/>
    <w:rsid w:val="00597D32"/>
    <w:rsid w:val="005B03CA"/>
    <w:rsid w:val="005B2336"/>
    <w:rsid w:val="005B396E"/>
    <w:rsid w:val="005B76EE"/>
    <w:rsid w:val="005C3F5E"/>
    <w:rsid w:val="005C765A"/>
    <w:rsid w:val="005D1983"/>
    <w:rsid w:val="005D42A5"/>
    <w:rsid w:val="005E2378"/>
    <w:rsid w:val="005E7BBE"/>
    <w:rsid w:val="005F28F9"/>
    <w:rsid w:val="006051DD"/>
    <w:rsid w:val="00610F2A"/>
    <w:rsid w:val="00613621"/>
    <w:rsid w:val="00614FFA"/>
    <w:rsid w:val="00626B37"/>
    <w:rsid w:val="00631169"/>
    <w:rsid w:val="006314C5"/>
    <w:rsid w:val="0063343A"/>
    <w:rsid w:val="0063527F"/>
    <w:rsid w:val="00635534"/>
    <w:rsid w:val="00646089"/>
    <w:rsid w:val="00646E23"/>
    <w:rsid w:val="006528BA"/>
    <w:rsid w:val="00652EDD"/>
    <w:rsid w:val="00663B54"/>
    <w:rsid w:val="00667BF1"/>
    <w:rsid w:val="00672D0A"/>
    <w:rsid w:val="0067713B"/>
    <w:rsid w:val="00680725"/>
    <w:rsid w:val="00681C66"/>
    <w:rsid w:val="0068753C"/>
    <w:rsid w:val="006963CF"/>
    <w:rsid w:val="006A313C"/>
    <w:rsid w:val="006A5305"/>
    <w:rsid w:val="006A61BB"/>
    <w:rsid w:val="006B5BAB"/>
    <w:rsid w:val="006B77FA"/>
    <w:rsid w:val="006C01BE"/>
    <w:rsid w:val="006C0722"/>
    <w:rsid w:val="006C201A"/>
    <w:rsid w:val="006C4DD2"/>
    <w:rsid w:val="006C51E6"/>
    <w:rsid w:val="006D0975"/>
    <w:rsid w:val="006D358C"/>
    <w:rsid w:val="006D3688"/>
    <w:rsid w:val="006D7003"/>
    <w:rsid w:val="006E2278"/>
    <w:rsid w:val="006E4BE7"/>
    <w:rsid w:val="006F3FDF"/>
    <w:rsid w:val="006F6820"/>
    <w:rsid w:val="007002C0"/>
    <w:rsid w:val="0070274F"/>
    <w:rsid w:val="00704F51"/>
    <w:rsid w:val="00707F48"/>
    <w:rsid w:val="00710653"/>
    <w:rsid w:val="007129EC"/>
    <w:rsid w:val="007167E0"/>
    <w:rsid w:val="00721257"/>
    <w:rsid w:val="007238A7"/>
    <w:rsid w:val="007243B7"/>
    <w:rsid w:val="00725692"/>
    <w:rsid w:val="0072618D"/>
    <w:rsid w:val="00730CB3"/>
    <w:rsid w:val="00734AD3"/>
    <w:rsid w:val="007448D0"/>
    <w:rsid w:val="00753507"/>
    <w:rsid w:val="00754E21"/>
    <w:rsid w:val="00757884"/>
    <w:rsid w:val="00762821"/>
    <w:rsid w:val="007659C8"/>
    <w:rsid w:val="007667CF"/>
    <w:rsid w:val="00771EB8"/>
    <w:rsid w:val="007752A9"/>
    <w:rsid w:val="007755AE"/>
    <w:rsid w:val="00776ABC"/>
    <w:rsid w:val="0078795B"/>
    <w:rsid w:val="00787C53"/>
    <w:rsid w:val="00792241"/>
    <w:rsid w:val="007A1E29"/>
    <w:rsid w:val="007A3E2F"/>
    <w:rsid w:val="007A7396"/>
    <w:rsid w:val="007B3168"/>
    <w:rsid w:val="007B6A9C"/>
    <w:rsid w:val="007B7CBA"/>
    <w:rsid w:val="007C1E57"/>
    <w:rsid w:val="007C453E"/>
    <w:rsid w:val="007D0161"/>
    <w:rsid w:val="007D107D"/>
    <w:rsid w:val="007D31FF"/>
    <w:rsid w:val="007E23F2"/>
    <w:rsid w:val="007F2CC2"/>
    <w:rsid w:val="007F5D2B"/>
    <w:rsid w:val="007F6A11"/>
    <w:rsid w:val="007F7ECC"/>
    <w:rsid w:val="0080144D"/>
    <w:rsid w:val="00812D26"/>
    <w:rsid w:val="00814FE3"/>
    <w:rsid w:val="00824A3E"/>
    <w:rsid w:val="008253F1"/>
    <w:rsid w:val="00825FF2"/>
    <w:rsid w:val="0082755C"/>
    <w:rsid w:val="008347CE"/>
    <w:rsid w:val="0083646A"/>
    <w:rsid w:val="00837DA3"/>
    <w:rsid w:val="00841A59"/>
    <w:rsid w:val="008420C6"/>
    <w:rsid w:val="00844E88"/>
    <w:rsid w:val="00844F43"/>
    <w:rsid w:val="00850584"/>
    <w:rsid w:val="00852082"/>
    <w:rsid w:val="00852170"/>
    <w:rsid w:val="00852362"/>
    <w:rsid w:val="008557B7"/>
    <w:rsid w:val="00862B8B"/>
    <w:rsid w:val="00872FB9"/>
    <w:rsid w:val="008826EF"/>
    <w:rsid w:val="00884DDC"/>
    <w:rsid w:val="00887EEB"/>
    <w:rsid w:val="00891918"/>
    <w:rsid w:val="0089210D"/>
    <w:rsid w:val="008977B0"/>
    <w:rsid w:val="008A3E40"/>
    <w:rsid w:val="008A6014"/>
    <w:rsid w:val="008B1307"/>
    <w:rsid w:val="008B1FA2"/>
    <w:rsid w:val="008C5D54"/>
    <w:rsid w:val="008D23C6"/>
    <w:rsid w:val="008D78FF"/>
    <w:rsid w:val="008E5017"/>
    <w:rsid w:val="008E70A6"/>
    <w:rsid w:val="008F1503"/>
    <w:rsid w:val="008F6593"/>
    <w:rsid w:val="008F7FBC"/>
    <w:rsid w:val="00903576"/>
    <w:rsid w:val="00905B99"/>
    <w:rsid w:val="0091654F"/>
    <w:rsid w:val="009254F2"/>
    <w:rsid w:val="00931FCE"/>
    <w:rsid w:val="00940E31"/>
    <w:rsid w:val="00941C94"/>
    <w:rsid w:val="00942F61"/>
    <w:rsid w:val="00947993"/>
    <w:rsid w:val="009516D0"/>
    <w:rsid w:val="009558CF"/>
    <w:rsid w:val="00956C73"/>
    <w:rsid w:val="00964CCC"/>
    <w:rsid w:val="009651CC"/>
    <w:rsid w:val="0097529C"/>
    <w:rsid w:val="0098224D"/>
    <w:rsid w:val="00985511"/>
    <w:rsid w:val="00985CB7"/>
    <w:rsid w:val="009907B9"/>
    <w:rsid w:val="00997CF2"/>
    <w:rsid w:val="009A3186"/>
    <w:rsid w:val="009A501B"/>
    <w:rsid w:val="009B3D25"/>
    <w:rsid w:val="009B6BE5"/>
    <w:rsid w:val="009C096A"/>
    <w:rsid w:val="009C3636"/>
    <w:rsid w:val="009C6886"/>
    <w:rsid w:val="009D595D"/>
    <w:rsid w:val="009D6439"/>
    <w:rsid w:val="009E5734"/>
    <w:rsid w:val="009E60BD"/>
    <w:rsid w:val="00A016E2"/>
    <w:rsid w:val="00A06782"/>
    <w:rsid w:val="00A12023"/>
    <w:rsid w:val="00A13A15"/>
    <w:rsid w:val="00A1421C"/>
    <w:rsid w:val="00A17F08"/>
    <w:rsid w:val="00A21FFA"/>
    <w:rsid w:val="00A23DCE"/>
    <w:rsid w:val="00A27032"/>
    <w:rsid w:val="00A2761E"/>
    <w:rsid w:val="00A31A14"/>
    <w:rsid w:val="00A33702"/>
    <w:rsid w:val="00A360D0"/>
    <w:rsid w:val="00A37C29"/>
    <w:rsid w:val="00A41A77"/>
    <w:rsid w:val="00A503B4"/>
    <w:rsid w:val="00A54135"/>
    <w:rsid w:val="00A555A5"/>
    <w:rsid w:val="00A5630C"/>
    <w:rsid w:val="00A57E24"/>
    <w:rsid w:val="00A62562"/>
    <w:rsid w:val="00A706BB"/>
    <w:rsid w:val="00A70F3F"/>
    <w:rsid w:val="00A72B38"/>
    <w:rsid w:val="00A7368E"/>
    <w:rsid w:val="00A73D37"/>
    <w:rsid w:val="00A80263"/>
    <w:rsid w:val="00A84E27"/>
    <w:rsid w:val="00AA0B58"/>
    <w:rsid w:val="00AB02B2"/>
    <w:rsid w:val="00AB03A7"/>
    <w:rsid w:val="00AB3419"/>
    <w:rsid w:val="00AB649A"/>
    <w:rsid w:val="00AD5294"/>
    <w:rsid w:val="00AE0DEA"/>
    <w:rsid w:val="00AE155A"/>
    <w:rsid w:val="00AF1C6D"/>
    <w:rsid w:val="00AF21CE"/>
    <w:rsid w:val="00AF42A4"/>
    <w:rsid w:val="00B025D1"/>
    <w:rsid w:val="00B05771"/>
    <w:rsid w:val="00B0740E"/>
    <w:rsid w:val="00B11EEF"/>
    <w:rsid w:val="00B13964"/>
    <w:rsid w:val="00B145C3"/>
    <w:rsid w:val="00B213B7"/>
    <w:rsid w:val="00B21853"/>
    <w:rsid w:val="00B231CE"/>
    <w:rsid w:val="00B2336B"/>
    <w:rsid w:val="00B23523"/>
    <w:rsid w:val="00B25979"/>
    <w:rsid w:val="00B30BEE"/>
    <w:rsid w:val="00B343D7"/>
    <w:rsid w:val="00B40514"/>
    <w:rsid w:val="00B41E43"/>
    <w:rsid w:val="00B44F9C"/>
    <w:rsid w:val="00B45D81"/>
    <w:rsid w:val="00B4708D"/>
    <w:rsid w:val="00B47466"/>
    <w:rsid w:val="00B5481F"/>
    <w:rsid w:val="00B550D6"/>
    <w:rsid w:val="00B550DB"/>
    <w:rsid w:val="00B600DD"/>
    <w:rsid w:val="00B66062"/>
    <w:rsid w:val="00B70BD3"/>
    <w:rsid w:val="00B74000"/>
    <w:rsid w:val="00B7567C"/>
    <w:rsid w:val="00B77794"/>
    <w:rsid w:val="00B866F3"/>
    <w:rsid w:val="00B8725F"/>
    <w:rsid w:val="00B9183B"/>
    <w:rsid w:val="00B92D07"/>
    <w:rsid w:val="00BA7954"/>
    <w:rsid w:val="00BB1989"/>
    <w:rsid w:val="00BB6A0B"/>
    <w:rsid w:val="00BC12B4"/>
    <w:rsid w:val="00BC2262"/>
    <w:rsid w:val="00BC2EF1"/>
    <w:rsid w:val="00BC39A3"/>
    <w:rsid w:val="00BC7F69"/>
    <w:rsid w:val="00BD4B2D"/>
    <w:rsid w:val="00BE4E2A"/>
    <w:rsid w:val="00BE5385"/>
    <w:rsid w:val="00BE68DE"/>
    <w:rsid w:val="00BF05B1"/>
    <w:rsid w:val="00BF0878"/>
    <w:rsid w:val="00BF4737"/>
    <w:rsid w:val="00BF577A"/>
    <w:rsid w:val="00C02E18"/>
    <w:rsid w:val="00C03B58"/>
    <w:rsid w:val="00C04F5B"/>
    <w:rsid w:val="00C10CB4"/>
    <w:rsid w:val="00C11043"/>
    <w:rsid w:val="00C120B2"/>
    <w:rsid w:val="00C14D90"/>
    <w:rsid w:val="00C16992"/>
    <w:rsid w:val="00C35182"/>
    <w:rsid w:val="00C50920"/>
    <w:rsid w:val="00C529A2"/>
    <w:rsid w:val="00C55518"/>
    <w:rsid w:val="00C55AB8"/>
    <w:rsid w:val="00C6205B"/>
    <w:rsid w:val="00C62585"/>
    <w:rsid w:val="00C62CA6"/>
    <w:rsid w:val="00C639F5"/>
    <w:rsid w:val="00C72747"/>
    <w:rsid w:val="00C72AC1"/>
    <w:rsid w:val="00C73249"/>
    <w:rsid w:val="00C73676"/>
    <w:rsid w:val="00C750E5"/>
    <w:rsid w:val="00C85E81"/>
    <w:rsid w:val="00C8657F"/>
    <w:rsid w:val="00C87F46"/>
    <w:rsid w:val="00C905E6"/>
    <w:rsid w:val="00C911DE"/>
    <w:rsid w:val="00C9799C"/>
    <w:rsid w:val="00CA4F0D"/>
    <w:rsid w:val="00CB38F2"/>
    <w:rsid w:val="00CB40D1"/>
    <w:rsid w:val="00CB4645"/>
    <w:rsid w:val="00CB5BAB"/>
    <w:rsid w:val="00CB68BB"/>
    <w:rsid w:val="00CB7EEA"/>
    <w:rsid w:val="00CC1C8F"/>
    <w:rsid w:val="00CD3E0D"/>
    <w:rsid w:val="00CD4989"/>
    <w:rsid w:val="00CD49BA"/>
    <w:rsid w:val="00CD5F9E"/>
    <w:rsid w:val="00CE11DD"/>
    <w:rsid w:val="00CE2E4B"/>
    <w:rsid w:val="00CE4425"/>
    <w:rsid w:val="00CE7A10"/>
    <w:rsid w:val="00D00889"/>
    <w:rsid w:val="00D024A4"/>
    <w:rsid w:val="00D164DD"/>
    <w:rsid w:val="00D1765C"/>
    <w:rsid w:val="00D20E7C"/>
    <w:rsid w:val="00D21CFB"/>
    <w:rsid w:val="00D231B3"/>
    <w:rsid w:val="00D2471F"/>
    <w:rsid w:val="00D269EB"/>
    <w:rsid w:val="00D276F9"/>
    <w:rsid w:val="00D35DC4"/>
    <w:rsid w:val="00D403CE"/>
    <w:rsid w:val="00D44C9C"/>
    <w:rsid w:val="00D4513B"/>
    <w:rsid w:val="00D572A2"/>
    <w:rsid w:val="00D60CCE"/>
    <w:rsid w:val="00D6486F"/>
    <w:rsid w:val="00D669AB"/>
    <w:rsid w:val="00D67FC6"/>
    <w:rsid w:val="00D71BFE"/>
    <w:rsid w:val="00D720FF"/>
    <w:rsid w:val="00D72E19"/>
    <w:rsid w:val="00D75485"/>
    <w:rsid w:val="00D82951"/>
    <w:rsid w:val="00D839B5"/>
    <w:rsid w:val="00D84BF8"/>
    <w:rsid w:val="00D85108"/>
    <w:rsid w:val="00D87E75"/>
    <w:rsid w:val="00D909BC"/>
    <w:rsid w:val="00D91ECE"/>
    <w:rsid w:val="00D91FCA"/>
    <w:rsid w:val="00D9220C"/>
    <w:rsid w:val="00DC2310"/>
    <w:rsid w:val="00DC3BA0"/>
    <w:rsid w:val="00DD3C46"/>
    <w:rsid w:val="00DD5A0B"/>
    <w:rsid w:val="00DD5E68"/>
    <w:rsid w:val="00DE14C9"/>
    <w:rsid w:val="00DE1945"/>
    <w:rsid w:val="00DF2131"/>
    <w:rsid w:val="00DF365C"/>
    <w:rsid w:val="00E013E9"/>
    <w:rsid w:val="00E03E4F"/>
    <w:rsid w:val="00E06B1E"/>
    <w:rsid w:val="00E06E3E"/>
    <w:rsid w:val="00E11369"/>
    <w:rsid w:val="00E113B2"/>
    <w:rsid w:val="00E14561"/>
    <w:rsid w:val="00E147DB"/>
    <w:rsid w:val="00E159A5"/>
    <w:rsid w:val="00E22C6A"/>
    <w:rsid w:val="00E27787"/>
    <w:rsid w:val="00E27FDA"/>
    <w:rsid w:val="00E3668D"/>
    <w:rsid w:val="00E40879"/>
    <w:rsid w:val="00E44A4D"/>
    <w:rsid w:val="00E47B82"/>
    <w:rsid w:val="00E50129"/>
    <w:rsid w:val="00E50D05"/>
    <w:rsid w:val="00E5151A"/>
    <w:rsid w:val="00E516BB"/>
    <w:rsid w:val="00E56CF7"/>
    <w:rsid w:val="00E575B6"/>
    <w:rsid w:val="00E5768B"/>
    <w:rsid w:val="00E612D5"/>
    <w:rsid w:val="00E621CB"/>
    <w:rsid w:val="00E64094"/>
    <w:rsid w:val="00E70BFA"/>
    <w:rsid w:val="00E76EDC"/>
    <w:rsid w:val="00E77963"/>
    <w:rsid w:val="00E77C19"/>
    <w:rsid w:val="00E92433"/>
    <w:rsid w:val="00E92C75"/>
    <w:rsid w:val="00E96E86"/>
    <w:rsid w:val="00EB2BA2"/>
    <w:rsid w:val="00EB35B6"/>
    <w:rsid w:val="00EB7A55"/>
    <w:rsid w:val="00EC000D"/>
    <w:rsid w:val="00EC7D0B"/>
    <w:rsid w:val="00EC7FC4"/>
    <w:rsid w:val="00ED137F"/>
    <w:rsid w:val="00ED614A"/>
    <w:rsid w:val="00EE07AC"/>
    <w:rsid w:val="00EE22E8"/>
    <w:rsid w:val="00EE33AB"/>
    <w:rsid w:val="00EE35FE"/>
    <w:rsid w:val="00EE3732"/>
    <w:rsid w:val="00EE4D5A"/>
    <w:rsid w:val="00EE5181"/>
    <w:rsid w:val="00EE7020"/>
    <w:rsid w:val="00EF0443"/>
    <w:rsid w:val="00EF640D"/>
    <w:rsid w:val="00F00F85"/>
    <w:rsid w:val="00F0365F"/>
    <w:rsid w:val="00F16B2A"/>
    <w:rsid w:val="00F17D0A"/>
    <w:rsid w:val="00F20A3A"/>
    <w:rsid w:val="00F25421"/>
    <w:rsid w:val="00F25C90"/>
    <w:rsid w:val="00F2718F"/>
    <w:rsid w:val="00F27AE6"/>
    <w:rsid w:val="00F33CBE"/>
    <w:rsid w:val="00F477CE"/>
    <w:rsid w:val="00F55C92"/>
    <w:rsid w:val="00F61171"/>
    <w:rsid w:val="00F62537"/>
    <w:rsid w:val="00F67245"/>
    <w:rsid w:val="00F70474"/>
    <w:rsid w:val="00F73233"/>
    <w:rsid w:val="00F75205"/>
    <w:rsid w:val="00F76D2C"/>
    <w:rsid w:val="00F81458"/>
    <w:rsid w:val="00F82B7E"/>
    <w:rsid w:val="00F85CFC"/>
    <w:rsid w:val="00F86F40"/>
    <w:rsid w:val="00F87C7C"/>
    <w:rsid w:val="00F91C99"/>
    <w:rsid w:val="00F935E0"/>
    <w:rsid w:val="00F955BF"/>
    <w:rsid w:val="00FA2C42"/>
    <w:rsid w:val="00FA3EBC"/>
    <w:rsid w:val="00FA48EF"/>
    <w:rsid w:val="00FA500F"/>
    <w:rsid w:val="00FB58CB"/>
    <w:rsid w:val="00FC672E"/>
    <w:rsid w:val="00FD5317"/>
    <w:rsid w:val="00FE1689"/>
    <w:rsid w:val="00FF2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B8BAD88"/>
  <w15:chartTrackingRefBased/>
  <w15:docId w15:val="{940A767E-8933-487C-844C-835A2EC6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67C"/>
    <w:pPr>
      <w:spacing w:after="200" w:line="276" w:lineRule="auto"/>
    </w:pPr>
    <w:rPr>
      <w:rFonts w:ascii="Calibri" w:eastAsia="Calibri" w:hAnsi="Calibri" w:cs="Times New Roman"/>
      <w:lang w:val="es-ES"/>
    </w:rPr>
  </w:style>
  <w:style w:type="paragraph" w:styleId="Ttulo1">
    <w:name w:val="heading 1"/>
    <w:basedOn w:val="Normal"/>
    <w:next w:val="Normal"/>
    <w:link w:val="Ttulo1Car"/>
    <w:uiPriority w:val="9"/>
    <w:qFormat/>
    <w:rsid w:val="000F166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26B37"/>
    <w:pPr>
      <w:keepNext/>
      <w:numPr>
        <w:numId w:val="1"/>
      </w:numPr>
      <w:spacing w:before="240" w:after="120"/>
      <w:jc w:val="both"/>
      <w:outlineLvl w:val="1"/>
    </w:pPr>
    <w:rPr>
      <w:rFonts w:ascii="ITC Avant Garde" w:eastAsia="Times New Roman" w:hAnsi="ITC Avant Garde"/>
      <w:b/>
      <w:color w:val="000000"/>
      <w:lang w:eastAsia="es-MX"/>
    </w:rPr>
  </w:style>
  <w:style w:type="paragraph" w:styleId="Ttulo3">
    <w:name w:val="heading 3"/>
    <w:basedOn w:val="Normal"/>
    <w:next w:val="Normal"/>
    <w:link w:val="Ttulo3Car"/>
    <w:uiPriority w:val="9"/>
    <w:unhideWhenUsed/>
    <w:qFormat/>
    <w:rsid w:val="007C1E5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70274F"/>
    <w:pPr>
      <w:keepNext/>
      <w:keepLines/>
      <w:spacing w:before="40" w:after="0"/>
      <w:outlineLvl w:val="3"/>
    </w:pPr>
    <w:rPr>
      <w:rFonts w:ascii="Calibri Light" w:eastAsia="Times New Roman" w:hAnsi="Calibri Light"/>
      <w:i/>
      <w:iCs/>
      <w:sz w:val="24"/>
      <w:szCs w:val="24"/>
      <w:lang w:val="es-MX"/>
    </w:rPr>
  </w:style>
  <w:style w:type="paragraph" w:styleId="Ttulo5">
    <w:name w:val="heading 5"/>
    <w:basedOn w:val="Normal"/>
    <w:next w:val="Normal"/>
    <w:link w:val="Ttulo5Car"/>
    <w:uiPriority w:val="9"/>
    <w:semiHidden/>
    <w:unhideWhenUsed/>
    <w:qFormat/>
    <w:rsid w:val="0070274F"/>
    <w:pPr>
      <w:keepNext/>
      <w:keepLines/>
      <w:spacing w:before="40" w:after="0"/>
      <w:outlineLvl w:val="4"/>
    </w:pPr>
    <w:rPr>
      <w:rFonts w:ascii="Calibri Light" w:eastAsia="Times New Roman" w:hAnsi="Calibri Light"/>
      <w:b/>
      <w:bCs/>
      <w:lang w:val="es-MX"/>
    </w:rPr>
  </w:style>
  <w:style w:type="paragraph" w:styleId="Ttulo6">
    <w:name w:val="heading 6"/>
    <w:basedOn w:val="Normal"/>
    <w:next w:val="Normal"/>
    <w:link w:val="Ttulo6Car"/>
    <w:uiPriority w:val="9"/>
    <w:semiHidden/>
    <w:unhideWhenUsed/>
    <w:qFormat/>
    <w:rsid w:val="0070274F"/>
    <w:pPr>
      <w:keepNext/>
      <w:keepLines/>
      <w:spacing w:before="40" w:after="0"/>
      <w:outlineLvl w:val="5"/>
    </w:pPr>
    <w:rPr>
      <w:rFonts w:ascii="Calibri Light" w:eastAsia="Times New Roman" w:hAnsi="Calibri Light"/>
      <w:b/>
      <w:bCs/>
      <w:i/>
      <w:iCs/>
      <w:lang w:val="es-MX"/>
    </w:rPr>
  </w:style>
  <w:style w:type="paragraph" w:styleId="Ttulo7">
    <w:name w:val="heading 7"/>
    <w:basedOn w:val="Normal"/>
    <w:next w:val="Normal"/>
    <w:link w:val="Ttulo7Car"/>
    <w:uiPriority w:val="9"/>
    <w:semiHidden/>
    <w:unhideWhenUsed/>
    <w:qFormat/>
    <w:rsid w:val="0070274F"/>
    <w:pPr>
      <w:keepNext/>
      <w:keepLines/>
      <w:spacing w:before="120" w:after="0" w:line="252" w:lineRule="auto"/>
      <w:jc w:val="both"/>
      <w:outlineLvl w:val="6"/>
    </w:pPr>
    <w:rPr>
      <w:rFonts w:eastAsia="Times New Roman"/>
      <w:i/>
      <w:iCs/>
    </w:rPr>
  </w:style>
  <w:style w:type="paragraph" w:styleId="Ttulo8">
    <w:name w:val="heading 8"/>
    <w:basedOn w:val="Normal"/>
    <w:next w:val="Normal"/>
    <w:link w:val="Ttulo8Car"/>
    <w:uiPriority w:val="9"/>
    <w:semiHidden/>
    <w:unhideWhenUsed/>
    <w:qFormat/>
    <w:rsid w:val="0070274F"/>
    <w:pPr>
      <w:keepNext/>
      <w:keepLines/>
      <w:spacing w:before="120" w:after="0" w:line="252" w:lineRule="auto"/>
      <w:jc w:val="both"/>
      <w:outlineLvl w:val="7"/>
    </w:pPr>
    <w:rPr>
      <w:rFonts w:eastAsia="Times New Roman"/>
      <w:b/>
      <w:bCs/>
    </w:rPr>
  </w:style>
  <w:style w:type="paragraph" w:styleId="Ttulo9">
    <w:name w:val="heading 9"/>
    <w:basedOn w:val="Normal"/>
    <w:next w:val="Normal"/>
    <w:link w:val="Ttulo9Car"/>
    <w:uiPriority w:val="9"/>
    <w:semiHidden/>
    <w:unhideWhenUsed/>
    <w:qFormat/>
    <w:rsid w:val="0070274F"/>
    <w:pPr>
      <w:keepNext/>
      <w:keepLines/>
      <w:spacing w:before="120" w:after="0" w:line="252" w:lineRule="auto"/>
      <w:jc w:val="both"/>
      <w:outlineLvl w:val="8"/>
    </w:pPr>
    <w:rPr>
      <w:rFonts w:eastAsia="Times New Roman"/>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estilo30">
    <w:name w:val="estilo30"/>
    <w:basedOn w:val="Normal"/>
    <w:rsid w:val="00CE11DD"/>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Bullet List,FooterText,numbered,List Paragraph1,Paragraphe de liste1,Bulletr List Paragraph,列出段落,列出段落1,Cuadros,Lista general,Numeración 1,Cuadrícula media 1 - Énfasis 21,4 Viñ 1nivel"/>
    <w:basedOn w:val="Normal"/>
    <w:link w:val="PrrafodelistaCar"/>
    <w:uiPriority w:val="34"/>
    <w:qFormat/>
    <w:rsid w:val="00CE11DD"/>
    <w:pPr>
      <w:spacing w:after="0" w:line="240" w:lineRule="auto"/>
      <w:ind w:left="708"/>
    </w:pPr>
    <w:rPr>
      <w:rFonts w:ascii="Arial" w:eastAsia="Times New Roman" w:hAnsi="Arial"/>
      <w:sz w:val="24"/>
      <w:szCs w:val="20"/>
      <w:lang w:eastAsia="es-ES"/>
    </w:rPr>
  </w:style>
  <w:style w:type="character" w:customStyle="1" w:styleId="apple-converted-space">
    <w:name w:val="apple-converted-space"/>
    <w:basedOn w:val="Fuentedeprrafopredeter"/>
    <w:rsid w:val="00CE11DD"/>
  </w:style>
  <w:style w:type="paragraph" w:styleId="Textoindependiente">
    <w:name w:val="Body Text"/>
    <w:basedOn w:val="Normal"/>
    <w:link w:val="TextoindependienteCar"/>
    <w:uiPriority w:val="99"/>
    <w:unhideWhenUsed/>
    <w:rsid w:val="00CE11DD"/>
    <w:pPr>
      <w:spacing w:after="120"/>
    </w:pPr>
  </w:style>
  <w:style w:type="character" w:customStyle="1" w:styleId="TextoindependienteCar">
    <w:name w:val="Texto independiente Car"/>
    <w:basedOn w:val="Fuentedeprrafopredeter"/>
    <w:link w:val="Textoindependiente"/>
    <w:uiPriority w:val="99"/>
    <w:rsid w:val="00CE11DD"/>
    <w:rPr>
      <w:rFonts w:ascii="Calibri" w:eastAsia="Calibri" w:hAnsi="Calibri" w:cs="Times New Roman"/>
    </w:rPr>
  </w:style>
  <w:style w:type="character" w:customStyle="1" w:styleId="PrrafodelistaCar">
    <w:name w:val="Párrafo de lista Car"/>
    <w:aliases w:val="Bullet List Car,FooterText Car,numbered Car,List Paragraph1 Car,Paragraphe de liste1 Car,Bulletr List Paragraph Car,列出段落 Car,列出段落1 Car,Cuadros Car,Lista general Car,Numeración 1 Car,Cuadrícula media 1 - Énfasis 21 Car"/>
    <w:link w:val="Prrafodelista"/>
    <w:uiPriority w:val="34"/>
    <w:rsid w:val="00CE11DD"/>
    <w:rPr>
      <w:rFonts w:ascii="Arial" w:eastAsia="Times New Roman" w:hAnsi="Arial" w:cs="Times New Roman"/>
      <w:sz w:val="24"/>
      <w:szCs w:val="20"/>
      <w:lang w:val="es-ES" w:eastAsia="es-ES"/>
    </w:rPr>
  </w:style>
  <w:style w:type="paragraph" w:styleId="Textoindependiente2">
    <w:name w:val="Body Text 2"/>
    <w:basedOn w:val="Normal"/>
    <w:link w:val="Textoindependiente2Car"/>
    <w:uiPriority w:val="99"/>
    <w:unhideWhenUsed/>
    <w:rsid w:val="00626B37"/>
    <w:pPr>
      <w:spacing w:after="120" w:line="480" w:lineRule="auto"/>
    </w:pPr>
  </w:style>
  <w:style w:type="character" w:customStyle="1" w:styleId="Textoindependiente2Car">
    <w:name w:val="Texto independiente 2 Car"/>
    <w:basedOn w:val="Fuentedeprrafopredeter"/>
    <w:link w:val="Textoindependiente2"/>
    <w:uiPriority w:val="99"/>
    <w:rsid w:val="00626B37"/>
    <w:rPr>
      <w:rFonts w:ascii="Calibri" w:eastAsia="Calibri" w:hAnsi="Calibri" w:cs="Times New Roman"/>
    </w:rPr>
  </w:style>
  <w:style w:type="character" w:customStyle="1" w:styleId="Ttulo2Car">
    <w:name w:val="Título 2 Car"/>
    <w:basedOn w:val="Fuentedeprrafopredeter"/>
    <w:link w:val="Ttulo2"/>
    <w:uiPriority w:val="9"/>
    <w:rsid w:val="00626B37"/>
    <w:rPr>
      <w:rFonts w:ascii="ITC Avant Garde" w:eastAsia="Times New Roman" w:hAnsi="ITC Avant Garde" w:cs="Times New Roman"/>
      <w:b/>
      <w:color w:val="000000"/>
      <w:lang w:val="es-ES" w:eastAsia="es-MX"/>
    </w:rPr>
  </w:style>
  <w:style w:type="table" w:styleId="Tablaconcuadrcula">
    <w:name w:val="Table Grid"/>
    <w:basedOn w:val="Tablanormal"/>
    <w:rsid w:val="00626B37"/>
    <w:pPr>
      <w:spacing w:after="0" w:line="240" w:lineRule="auto"/>
    </w:pPr>
    <w:rPr>
      <w:rFonts w:ascii="Calibri" w:eastAsia="Calibri" w:hAnsi="Calibri" w:cs="Times New Roman"/>
      <w:bCs/>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ente">
    <w:name w:val="Fuente"/>
    <w:basedOn w:val="Prrafodelista"/>
    <w:link w:val="FuenteChar"/>
    <w:qFormat/>
    <w:rsid w:val="00626B37"/>
    <w:pPr>
      <w:spacing w:after="200" w:line="276" w:lineRule="auto"/>
      <w:ind w:left="851"/>
      <w:contextualSpacing/>
      <w:jc w:val="both"/>
    </w:pPr>
    <w:rPr>
      <w:rFonts w:asciiTheme="minorHAnsi" w:eastAsiaTheme="minorEastAsia" w:hAnsiTheme="minorHAnsi" w:cstheme="minorBidi"/>
      <w:sz w:val="16"/>
      <w:szCs w:val="16"/>
      <w:lang w:val="es-MX" w:eastAsia="en-US" w:bidi="en-US"/>
    </w:rPr>
  </w:style>
  <w:style w:type="character" w:customStyle="1" w:styleId="FuenteChar">
    <w:name w:val="Fuente Char"/>
    <w:basedOn w:val="Fuentedeprrafopredeter"/>
    <w:link w:val="Fuente"/>
    <w:rsid w:val="00626B37"/>
    <w:rPr>
      <w:rFonts w:eastAsiaTheme="minorEastAsia"/>
      <w:sz w:val="16"/>
      <w:szCs w:val="16"/>
      <w:lang w:bidi="en-US"/>
    </w:rPr>
  </w:style>
  <w:style w:type="character" w:customStyle="1" w:styleId="Ttulo1Car">
    <w:name w:val="Título 1 Car"/>
    <w:basedOn w:val="Fuentedeprrafopredeter"/>
    <w:link w:val="Ttulo1"/>
    <w:uiPriority w:val="9"/>
    <w:rsid w:val="000F1667"/>
    <w:rPr>
      <w:rFonts w:asciiTheme="majorHAnsi" w:eastAsiaTheme="majorEastAsia" w:hAnsiTheme="majorHAnsi" w:cstheme="majorBidi"/>
      <w:color w:val="2E74B5" w:themeColor="accent1" w:themeShade="BF"/>
      <w:sz w:val="32"/>
      <w:szCs w:val="32"/>
    </w:rPr>
  </w:style>
  <w:style w:type="paragraph" w:styleId="Lista">
    <w:name w:val="List"/>
    <w:basedOn w:val="Normal"/>
    <w:uiPriority w:val="99"/>
    <w:unhideWhenUsed/>
    <w:rsid w:val="000F1667"/>
    <w:pPr>
      <w:ind w:left="283" w:hanging="283"/>
      <w:contextualSpacing/>
    </w:pPr>
  </w:style>
  <w:style w:type="paragraph" w:styleId="Lista2">
    <w:name w:val="List 2"/>
    <w:basedOn w:val="Normal"/>
    <w:uiPriority w:val="99"/>
    <w:unhideWhenUsed/>
    <w:rsid w:val="000F1667"/>
    <w:pPr>
      <w:ind w:left="566" w:hanging="283"/>
      <w:contextualSpacing/>
    </w:pPr>
  </w:style>
  <w:style w:type="paragraph" w:styleId="Sangradetextonormal">
    <w:name w:val="Body Text Indent"/>
    <w:basedOn w:val="Normal"/>
    <w:link w:val="SangradetextonormalCar"/>
    <w:uiPriority w:val="99"/>
    <w:unhideWhenUsed/>
    <w:rsid w:val="000F1667"/>
    <w:pPr>
      <w:spacing w:after="120"/>
      <w:ind w:left="283"/>
    </w:pPr>
  </w:style>
  <w:style w:type="character" w:customStyle="1" w:styleId="SangradetextonormalCar">
    <w:name w:val="Sangría de texto normal Car"/>
    <w:basedOn w:val="Fuentedeprrafopredeter"/>
    <w:link w:val="Sangradetextonormal"/>
    <w:uiPriority w:val="99"/>
    <w:rsid w:val="000F1667"/>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0F1667"/>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F1667"/>
    <w:rPr>
      <w:rFonts w:ascii="Calibri" w:eastAsia="Calibri" w:hAnsi="Calibri" w:cs="Times New Roman"/>
    </w:rPr>
  </w:style>
  <w:style w:type="paragraph" w:styleId="Textonotapie">
    <w:name w:val="footnote text"/>
    <w:aliases w:val="Pie de Pagina DGDTR,~FootnoteText,SF píe,Pie depágina,Footnote Text Char1,Footnote Text Char Char1,Footnote Text Char4 Char Char,Footnote Text Char1 Char1 Char1 Char,Footnote Text Char Char1 Char1 Char Char,fn,Footnote Text Char,Ca,Car,ft"/>
    <w:basedOn w:val="Normal"/>
    <w:link w:val="TextonotapieCar"/>
    <w:uiPriority w:val="99"/>
    <w:unhideWhenUsed/>
    <w:qFormat/>
    <w:rsid w:val="000F1667"/>
    <w:pPr>
      <w:spacing w:after="0" w:line="240" w:lineRule="auto"/>
    </w:pPr>
    <w:rPr>
      <w:sz w:val="20"/>
      <w:szCs w:val="20"/>
    </w:rPr>
  </w:style>
  <w:style w:type="character" w:customStyle="1" w:styleId="TextonotapieCar">
    <w:name w:val="Texto nota pie Car"/>
    <w:aliases w:val="Pie de Pagina DGDTR Car,~FootnoteText Car,SF píe Car,Pie depágina Car,Footnote Text Char1 Car,Footnote Text Char Char1 Car,Footnote Text Char4 Char Char Car,Footnote Text Char1 Char1 Char1 Char Car,fn Car,Footnote Text Char Car,Ca Car"/>
    <w:basedOn w:val="Fuentedeprrafopredeter"/>
    <w:link w:val="Textonotapie"/>
    <w:uiPriority w:val="99"/>
    <w:rsid w:val="000F1667"/>
    <w:rPr>
      <w:rFonts w:ascii="Calibri" w:eastAsia="Calibri" w:hAnsi="Calibri" w:cs="Times New Roman"/>
      <w:sz w:val="20"/>
      <w:szCs w:val="20"/>
    </w:rPr>
  </w:style>
  <w:style w:type="character" w:styleId="Refdenotaalpie">
    <w:name w:val="footnote reference"/>
    <w:aliases w:val="#Ref DGDTR,~FootnoteRef,Ref,de nota al pie,Ref. de nota al pie 2,Footnotes refss,Texto de nota al pie,Appel note de bas de page,referencia nota al pie,BVI fnr,Footnote number,f,4_G,16 Point,Superscript 6 Point,Texto nota al pie,o,fr"/>
    <w:basedOn w:val="Fuentedeprrafopredeter"/>
    <w:uiPriority w:val="99"/>
    <w:unhideWhenUsed/>
    <w:qFormat/>
    <w:rsid w:val="000F1667"/>
    <w:rPr>
      <w:vertAlign w:val="superscript"/>
    </w:rPr>
  </w:style>
  <w:style w:type="character" w:styleId="Hipervnculo">
    <w:name w:val="Hyperlink"/>
    <w:basedOn w:val="Fuentedeprrafopredeter"/>
    <w:uiPriority w:val="99"/>
    <w:unhideWhenUsed/>
    <w:rsid w:val="00BD4B2D"/>
    <w:rPr>
      <w:color w:val="0563C1" w:themeColor="hyperlink"/>
      <w:u w:val="single"/>
    </w:rPr>
  </w:style>
  <w:style w:type="paragraph" w:styleId="Sinespaciado">
    <w:name w:val="No Spacing"/>
    <w:uiPriority w:val="1"/>
    <w:qFormat/>
    <w:rsid w:val="00B25979"/>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EE3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E3732"/>
    <w:rPr>
      <w:rFonts w:ascii="Segoe UI" w:eastAsia="Calibri" w:hAnsi="Segoe UI" w:cs="Segoe UI"/>
      <w:sz w:val="18"/>
      <w:szCs w:val="18"/>
    </w:rPr>
  </w:style>
  <w:style w:type="paragraph" w:styleId="Encabezado">
    <w:name w:val="header"/>
    <w:basedOn w:val="Normal"/>
    <w:link w:val="EncabezadoCar"/>
    <w:uiPriority w:val="99"/>
    <w:unhideWhenUsed/>
    <w:rsid w:val="00BB6A0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B6A0B"/>
    <w:rPr>
      <w:rFonts w:ascii="Calibri" w:eastAsia="Calibri" w:hAnsi="Calibri" w:cs="Times New Roman"/>
    </w:rPr>
  </w:style>
  <w:style w:type="paragraph" w:styleId="Piedepgina">
    <w:name w:val="footer"/>
    <w:basedOn w:val="Normal"/>
    <w:link w:val="PiedepginaCar"/>
    <w:uiPriority w:val="99"/>
    <w:unhideWhenUsed/>
    <w:rsid w:val="00BB6A0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B6A0B"/>
    <w:rPr>
      <w:rFonts w:ascii="Calibri" w:eastAsia="Calibri" w:hAnsi="Calibri" w:cs="Times New Roman"/>
    </w:rPr>
  </w:style>
  <w:style w:type="character" w:customStyle="1" w:styleId="N1IFTCar">
    <w:name w:val="N1 IFT Car"/>
    <w:basedOn w:val="Fuentedeprrafopredeter"/>
    <w:link w:val="N1IFT"/>
    <w:locked/>
    <w:rsid w:val="00EB7A55"/>
    <w:rPr>
      <w:rFonts w:ascii="ITC Avant Garde" w:hAnsi="ITC Avant Garde"/>
      <w:b/>
      <w:bCs/>
      <w:color w:val="000000"/>
      <w:lang w:eastAsia="es-ES"/>
    </w:rPr>
  </w:style>
  <w:style w:type="paragraph" w:customStyle="1" w:styleId="N1IFT">
    <w:name w:val="N1 IFT"/>
    <w:basedOn w:val="Normal"/>
    <w:link w:val="N1IFTCar"/>
    <w:rsid w:val="00EB7A55"/>
    <w:pPr>
      <w:jc w:val="both"/>
    </w:pPr>
    <w:rPr>
      <w:rFonts w:ascii="ITC Avant Garde" w:eastAsiaTheme="minorHAnsi" w:hAnsi="ITC Avant Garde" w:cstheme="minorBidi"/>
      <w:b/>
      <w:bCs/>
      <w:color w:val="000000"/>
      <w:lang w:eastAsia="es-ES"/>
    </w:rPr>
  </w:style>
  <w:style w:type="character" w:styleId="Refdecomentario">
    <w:name w:val="annotation reference"/>
    <w:basedOn w:val="Fuentedeprrafopredeter"/>
    <w:uiPriority w:val="99"/>
    <w:semiHidden/>
    <w:unhideWhenUsed/>
    <w:rsid w:val="00852170"/>
    <w:rPr>
      <w:sz w:val="16"/>
      <w:szCs w:val="16"/>
    </w:rPr>
  </w:style>
  <w:style w:type="paragraph" w:styleId="Textocomentario">
    <w:name w:val="annotation text"/>
    <w:basedOn w:val="Normal"/>
    <w:link w:val="TextocomentarioCar"/>
    <w:uiPriority w:val="99"/>
    <w:unhideWhenUsed/>
    <w:rsid w:val="00852170"/>
    <w:pPr>
      <w:spacing w:after="0" w:line="240" w:lineRule="auto"/>
    </w:pPr>
    <w:rPr>
      <w:sz w:val="20"/>
      <w:szCs w:val="20"/>
      <w:lang w:val="es-MX" w:eastAsia="es-MX"/>
    </w:rPr>
  </w:style>
  <w:style w:type="character" w:customStyle="1" w:styleId="TextocomentarioCar">
    <w:name w:val="Texto comentario Car"/>
    <w:basedOn w:val="Fuentedeprrafopredeter"/>
    <w:link w:val="Textocomentario"/>
    <w:uiPriority w:val="99"/>
    <w:rsid w:val="00852170"/>
    <w:rPr>
      <w:rFonts w:ascii="Calibri" w:eastAsia="Calibri" w:hAnsi="Calibri" w:cs="Times New Roman"/>
      <w:sz w:val="20"/>
      <w:szCs w:val="20"/>
      <w:lang w:eastAsia="es-MX"/>
    </w:rPr>
  </w:style>
  <w:style w:type="paragraph" w:customStyle="1" w:styleId="CitaTextual">
    <w:name w:val="* Cita Textual"/>
    <w:basedOn w:val="Normal"/>
    <w:link w:val="CitaTextualCar"/>
    <w:qFormat/>
    <w:rsid w:val="00852170"/>
    <w:pPr>
      <w:spacing w:before="40"/>
      <w:ind w:left="567" w:right="567"/>
      <w:jc w:val="both"/>
    </w:pPr>
    <w:rPr>
      <w:rFonts w:ascii="Arial" w:eastAsiaTheme="minorHAnsi" w:hAnsi="Arial" w:cstheme="minorBidi"/>
      <w:i/>
      <w:sz w:val="18"/>
      <w:lang w:val="es-MX"/>
    </w:rPr>
  </w:style>
  <w:style w:type="character" w:customStyle="1" w:styleId="CitaTextualCar">
    <w:name w:val="* Cita Textual Car"/>
    <w:basedOn w:val="Fuentedeprrafopredeter"/>
    <w:link w:val="CitaTextual"/>
    <w:rsid w:val="00852170"/>
    <w:rPr>
      <w:rFonts w:ascii="Arial" w:hAnsi="Arial"/>
      <w:i/>
      <w:sz w:val="18"/>
    </w:rPr>
  </w:style>
  <w:style w:type="paragraph" w:customStyle="1" w:styleId="IFTnormal">
    <w:name w:val="IFT normal"/>
    <w:basedOn w:val="Normal"/>
    <w:link w:val="IFTnormalCar"/>
    <w:qFormat/>
    <w:rsid w:val="00852170"/>
    <w:pPr>
      <w:jc w:val="both"/>
    </w:pPr>
    <w:rPr>
      <w:rFonts w:ascii="ITC Avant Garde" w:hAnsi="ITC Avant Garde" w:cs="Arial"/>
      <w:color w:val="000000"/>
      <w:lang w:val="es-ES_tradnl" w:eastAsia="es-ES"/>
    </w:rPr>
  </w:style>
  <w:style w:type="character" w:customStyle="1" w:styleId="IFTnormalCar">
    <w:name w:val="IFT normal Car"/>
    <w:basedOn w:val="Fuentedeprrafopredeter"/>
    <w:link w:val="IFTnormal"/>
    <w:qFormat/>
    <w:rsid w:val="00852170"/>
    <w:rPr>
      <w:rFonts w:ascii="ITC Avant Garde" w:eastAsia="Calibri" w:hAnsi="ITC Avant Garde" w:cs="Arial"/>
      <w:color w:val="000000"/>
      <w:lang w:val="es-ES_tradnl" w:eastAsia="es-ES"/>
    </w:rPr>
  </w:style>
  <w:style w:type="numbering" w:customStyle="1" w:styleId="Sinlista1">
    <w:name w:val="Sin lista1"/>
    <w:next w:val="Sinlista"/>
    <w:uiPriority w:val="99"/>
    <w:semiHidden/>
    <w:unhideWhenUsed/>
    <w:rsid w:val="00FA2C42"/>
  </w:style>
  <w:style w:type="paragraph" w:customStyle="1" w:styleId="Leyenda">
    <w:name w:val="Leyenda"/>
    <w:basedOn w:val="Sangra3detindependiente"/>
    <w:rsid w:val="00FA2C42"/>
    <w:pPr>
      <w:spacing w:after="0"/>
      <w:ind w:left="3260" w:right="28"/>
      <w:jc w:val="both"/>
    </w:pPr>
    <w:rPr>
      <w:rFonts w:ascii="Arial" w:eastAsia="Times New Roman" w:hAnsi="Arial" w:cs="Arial"/>
      <w:sz w:val="12"/>
      <w:szCs w:val="20"/>
      <w:lang w:eastAsia="es-ES"/>
    </w:rPr>
  </w:style>
  <w:style w:type="paragraph" w:styleId="Sangra3detindependiente">
    <w:name w:val="Body Text Indent 3"/>
    <w:basedOn w:val="Normal"/>
    <w:link w:val="Sangra3detindependienteCar"/>
    <w:uiPriority w:val="99"/>
    <w:semiHidden/>
    <w:unhideWhenUsed/>
    <w:rsid w:val="00FA2C42"/>
    <w:pPr>
      <w:spacing w:after="120" w:line="240" w:lineRule="auto"/>
      <w:ind w:left="283"/>
    </w:pPr>
    <w:rPr>
      <w:sz w:val="16"/>
      <w:szCs w:val="16"/>
      <w:lang w:val="es-MX" w:eastAsia="es-MX"/>
    </w:rPr>
  </w:style>
  <w:style w:type="character" w:customStyle="1" w:styleId="Sangra3detindependienteCar">
    <w:name w:val="Sangría 3 de t. independiente Car"/>
    <w:basedOn w:val="Fuentedeprrafopredeter"/>
    <w:link w:val="Sangra3detindependiente"/>
    <w:uiPriority w:val="99"/>
    <w:semiHidden/>
    <w:rsid w:val="00FA2C42"/>
    <w:rPr>
      <w:rFonts w:ascii="Calibri" w:eastAsia="Calibri" w:hAnsi="Calibri" w:cs="Times New Roman"/>
      <w:sz w:val="16"/>
      <w:szCs w:val="16"/>
      <w:lang w:eastAsia="es-MX"/>
    </w:rPr>
  </w:style>
  <w:style w:type="paragraph" w:customStyle="1" w:styleId="Texto">
    <w:name w:val="Texto"/>
    <w:basedOn w:val="Normal"/>
    <w:link w:val="TextoCar"/>
    <w:rsid w:val="00FA2C42"/>
    <w:pPr>
      <w:spacing w:after="101" w:line="216" w:lineRule="exact"/>
      <w:ind w:firstLine="288"/>
      <w:jc w:val="both"/>
    </w:pPr>
    <w:rPr>
      <w:rFonts w:ascii="Arial" w:eastAsia="Times New Roman" w:hAnsi="Arial" w:cs="Arial"/>
      <w:sz w:val="18"/>
      <w:szCs w:val="20"/>
      <w:lang w:eastAsia="es-ES"/>
    </w:rPr>
  </w:style>
  <w:style w:type="character" w:customStyle="1" w:styleId="TextoCar">
    <w:name w:val="Texto Car"/>
    <w:link w:val="Texto"/>
    <w:locked/>
    <w:rsid w:val="00FA2C42"/>
    <w:rPr>
      <w:rFonts w:ascii="Arial" w:eastAsia="Times New Roman" w:hAnsi="Arial" w:cs="Arial"/>
      <w:sz w:val="18"/>
      <w:szCs w:val="20"/>
      <w:lang w:val="es-ES" w:eastAsia="es-ES"/>
    </w:rPr>
  </w:style>
  <w:style w:type="paragraph" w:customStyle="1" w:styleId="Citaift">
    <w:name w:val="Cita ift"/>
    <w:basedOn w:val="Normal"/>
    <w:link w:val="CitaiftCar"/>
    <w:qFormat/>
    <w:rsid w:val="00FA2C42"/>
    <w:pPr>
      <w:adjustRightInd w:val="0"/>
      <w:ind w:left="851" w:right="760"/>
      <w:jc w:val="both"/>
    </w:pPr>
    <w:rPr>
      <w:rFonts w:ascii="ITC Avant Garde" w:eastAsia="Times New Roman" w:hAnsi="ITC Avant Garde" w:cs="Arial"/>
      <w:i/>
      <w:color w:val="000000"/>
      <w:sz w:val="18"/>
      <w:szCs w:val="18"/>
      <w:lang w:val="es-MX" w:eastAsia="es-ES"/>
    </w:rPr>
  </w:style>
  <w:style w:type="character" w:customStyle="1" w:styleId="CitaiftCar">
    <w:name w:val="Cita ift Car"/>
    <w:link w:val="Citaift"/>
    <w:rsid w:val="00FA2C42"/>
    <w:rPr>
      <w:rFonts w:ascii="ITC Avant Garde" w:eastAsia="Times New Roman" w:hAnsi="ITC Avant Garde" w:cs="Arial"/>
      <w:i/>
      <w:color w:val="000000"/>
      <w:sz w:val="18"/>
      <w:szCs w:val="18"/>
      <w:lang w:eastAsia="es-ES"/>
    </w:rPr>
  </w:style>
  <w:style w:type="paragraph" w:styleId="Asuntodelcomentario">
    <w:name w:val="annotation subject"/>
    <w:basedOn w:val="Textocomentario"/>
    <w:next w:val="Textocomentario"/>
    <w:link w:val="AsuntodelcomentarioCar"/>
    <w:uiPriority w:val="99"/>
    <w:semiHidden/>
    <w:unhideWhenUsed/>
    <w:rsid w:val="00FA2C42"/>
    <w:rPr>
      <w:b/>
      <w:bCs/>
    </w:rPr>
  </w:style>
  <w:style w:type="character" w:customStyle="1" w:styleId="AsuntodelcomentarioCar">
    <w:name w:val="Asunto del comentario Car"/>
    <w:basedOn w:val="TextocomentarioCar"/>
    <w:link w:val="Asuntodelcomentario"/>
    <w:uiPriority w:val="99"/>
    <w:semiHidden/>
    <w:rsid w:val="00FA2C42"/>
    <w:rPr>
      <w:rFonts w:ascii="Calibri" w:eastAsia="Calibri" w:hAnsi="Calibri" w:cs="Times New Roman"/>
      <w:b/>
      <w:bCs/>
      <w:sz w:val="20"/>
      <w:szCs w:val="20"/>
      <w:lang w:eastAsia="es-MX"/>
    </w:rPr>
  </w:style>
  <w:style w:type="paragraph" w:customStyle="1" w:styleId="TtuloTDC1">
    <w:name w:val="Título TDC1"/>
    <w:basedOn w:val="Ttulo1"/>
    <w:next w:val="Normal"/>
    <w:uiPriority w:val="39"/>
    <w:unhideWhenUsed/>
    <w:qFormat/>
    <w:rsid w:val="00FA2C42"/>
    <w:pPr>
      <w:widowControl w:val="0"/>
      <w:adjustRightInd w:val="0"/>
      <w:spacing w:before="480" w:after="60"/>
      <w:contextualSpacing/>
      <w:jc w:val="both"/>
      <w:textAlignment w:val="baseline"/>
      <w:outlineLvl w:val="9"/>
    </w:pPr>
    <w:rPr>
      <w:b/>
      <w:bCs/>
      <w:color w:val="984806"/>
      <w:sz w:val="28"/>
      <w:szCs w:val="28"/>
      <w:lang w:val="es-ES_tradnl" w:eastAsia="es-ES"/>
    </w:rPr>
  </w:style>
  <w:style w:type="table" w:customStyle="1" w:styleId="Tablaconcuadrcula1">
    <w:name w:val="Tabla con cuadrícula1"/>
    <w:basedOn w:val="Tablanormal"/>
    <w:next w:val="Tablaconcuadrcula"/>
    <w:rsid w:val="00FA2C42"/>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IFT0">
    <w:name w:val="Cita IFT"/>
    <w:basedOn w:val="Normal"/>
    <w:link w:val="CitaIFTCar0"/>
    <w:qFormat/>
    <w:rsid w:val="00FA2C42"/>
    <w:pPr>
      <w:adjustRightInd w:val="0"/>
      <w:ind w:left="851" w:right="760"/>
      <w:jc w:val="both"/>
    </w:pPr>
    <w:rPr>
      <w:rFonts w:ascii="ITC Avant Garde" w:eastAsia="Times New Roman" w:hAnsi="ITC Avant Garde" w:cs="Arial"/>
      <w:bCs/>
      <w:i/>
      <w:color w:val="000000"/>
      <w:sz w:val="18"/>
      <w:szCs w:val="18"/>
      <w:lang w:val="es-ES_tradnl" w:eastAsia="es-ES"/>
    </w:rPr>
  </w:style>
  <w:style w:type="character" w:customStyle="1" w:styleId="CitaIFTCar0">
    <w:name w:val="Cita IFT Car"/>
    <w:link w:val="CitaIFT0"/>
    <w:qFormat/>
    <w:rsid w:val="00FA2C42"/>
    <w:rPr>
      <w:rFonts w:ascii="ITC Avant Garde" w:eastAsia="Times New Roman" w:hAnsi="ITC Avant Garde" w:cs="Arial"/>
      <w:bCs/>
      <w:i/>
      <w:color w:val="000000"/>
      <w:sz w:val="18"/>
      <w:szCs w:val="18"/>
      <w:lang w:val="es-ES_tradnl" w:eastAsia="es-ES"/>
    </w:rPr>
  </w:style>
  <w:style w:type="paragraph" w:customStyle="1" w:styleId="Default">
    <w:name w:val="Default"/>
    <w:rsid w:val="00FA2C42"/>
    <w:pPr>
      <w:autoSpaceDE w:val="0"/>
      <w:autoSpaceDN w:val="0"/>
      <w:adjustRightInd w:val="0"/>
      <w:spacing w:after="0" w:line="240" w:lineRule="auto"/>
    </w:pPr>
    <w:rPr>
      <w:rFonts w:ascii="ITC Avant Garde" w:eastAsia="Calibri" w:hAnsi="ITC Avant Garde" w:cs="ITC Avant Garde"/>
      <w:color w:val="000000"/>
      <w:sz w:val="24"/>
      <w:szCs w:val="24"/>
    </w:rPr>
  </w:style>
  <w:style w:type="character" w:customStyle="1" w:styleId="AntecedentesDGDTRCar">
    <w:name w:val="Antecedentes DGDTR Car"/>
    <w:basedOn w:val="Fuentedeprrafopredeter"/>
    <w:link w:val="AntecedentesDGDTR"/>
    <w:locked/>
    <w:rsid w:val="00FA2C42"/>
    <w:rPr>
      <w:rFonts w:ascii="ITC Avant Garde" w:eastAsia="Times New Roman" w:hAnsi="ITC Avant Garde"/>
      <w:color w:val="000000"/>
      <w:lang w:val="es-ES_tradnl" w:eastAsia="es-ES"/>
    </w:rPr>
  </w:style>
  <w:style w:type="paragraph" w:customStyle="1" w:styleId="AntecedentesDGDTR">
    <w:name w:val="Antecedentes DGDTR"/>
    <w:basedOn w:val="Normal"/>
    <w:link w:val="AntecedentesDGDTRCar"/>
    <w:qFormat/>
    <w:rsid w:val="00FA2C42"/>
    <w:pPr>
      <w:spacing w:after="0" w:line="288" w:lineRule="auto"/>
      <w:ind w:left="426" w:hanging="360"/>
      <w:jc w:val="both"/>
    </w:pPr>
    <w:rPr>
      <w:rFonts w:ascii="ITC Avant Garde" w:eastAsia="Times New Roman" w:hAnsi="ITC Avant Garde" w:cstheme="minorBidi"/>
      <w:color w:val="000000"/>
      <w:lang w:val="es-ES_tradnl" w:eastAsia="es-ES"/>
    </w:rPr>
  </w:style>
  <w:style w:type="character" w:customStyle="1" w:styleId="TextonotapieCar1">
    <w:name w:val="Texto nota pie Car1"/>
    <w:basedOn w:val="Fuentedeprrafopredeter"/>
    <w:uiPriority w:val="99"/>
    <w:semiHidden/>
    <w:rsid w:val="00FA2C42"/>
    <w:rPr>
      <w:rFonts w:ascii="Calibri" w:hAnsi="Calibri" w:cs="Times New Roman"/>
      <w:sz w:val="20"/>
      <w:szCs w:val="20"/>
      <w:lang w:eastAsia="es-MX"/>
    </w:rPr>
  </w:style>
  <w:style w:type="paragraph" w:customStyle="1" w:styleId="Tablecells">
    <w:name w:val="Table: cells"/>
    <w:qFormat/>
    <w:rsid w:val="00FA2C42"/>
    <w:pPr>
      <w:spacing w:before="40" w:after="40" w:line="240" w:lineRule="exact"/>
      <w:ind w:right="113"/>
    </w:pPr>
    <w:rPr>
      <w:rFonts w:ascii="Arial" w:hAnsi="Arial"/>
      <w:sz w:val="18"/>
      <w:lang w:val="en-GB"/>
    </w:rPr>
  </w:style>
  <w:style w:type="table" w:customStyle="1" w:styleId="Tabladecuadrcula2-nfasis61">
    <w:name w:val="Tabla de cuadrícula 2 - Énfasis 61"/>
    <w:basedOn w:val="Tablanormal"/>
    <w:next w:val="Tabladecuadrcula2-nfasis6"/>
    <w:uiPriority w:val="47"/>
    <w:rsid w:val="00FA2C42"/>
    <w:pPr>
      <w:spacing w:after="0" w:line="240" w:lineRule="auto"/>
    </w:pPr>
    <w:tblPr>
      <w:tblStyleRowBandSize w:val="1"/>
      <w:tblStyleColBandSize w:val="1"/>
      <w:tblBorders>
        <w:top w:val="single" w:sz="2" w:space="0" w:color="FABF8F"/>
        <w:bottom w:val="single" w:sz="2" w:space="0" w:color="FABF8F"/>
        <w:insideH w:val="single" w:sz="2" w:space="0" w:color="FABF8F"/>
        <w:insideV w:val="single" w:sz="2" w:space="0" w:color="FABF8F"/>
      </w:tblBorders>
    </w:tblPr>
    <w:tblStylePr w:type="firstRow">
      <w:rPr>
        <w:b/>
        <w:bCs/>
      </w:rPr>
      <w:tblPr/>
      <w:tcPr>
        <w:tcBorders>
          <w:top w:val="nil"/>
          <w:bottom w:val="single" w:sz="12" w:space="0" w:color="FABF8F"/>
          <w:insideH w:val="nil"/>
          <w:insideV w:val="nil"/>
        </w:tcBorders>
        <w:shd w:val="clear" w:color="auto" w:fill="FFFFFF"/>
      </w:tcPr>
    </w:tblStylePr>
    <w:tblStylePr w:type="lastRow">
      <w:rPr>
        <w:b/>
        <w:bCs/>
      </w:rPr>
      <w:tblPr/>
      <w:tcPr>
        <w:tcBorders>
          <w:top w:val="double" w:sz="2" w:space="0" w:color="FABF8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decuadrcula2-nfasis31">
    <w:name w:val="Tabla de cuadrícula 2 - Énfasis 31"/>
    <w:basedOn w:val="Tablanormal"/>
    <w:next w:val="Tabladecuadrcula2-nfasis3"/>
    <w:uiPriority w:val="47"/>
    <w:rsid w:val="00FA2C42"/>
    <w:pPr>
      <w:spacing w:after="0" w:line="240" w:lineRule="auto"/>
    </w:pPr>
    <w:rPr>
      <w:rFonts w:ascii="Arial" w:eastAsia="Calibri" w:hAnsi="Arial" w:cs="Arial"/>
      <w:sz w:val="24"/>
      <w:szCs w:val="24"/>
    </w:rPr>
    <w:tblPr>
      <w:tblStyleRowBandSize w:val="1"/>
      <w:tblStyleColBandSize w:val="1"/>
      <w:tblBorders>
        <w:top w:val="single" w:sz="2" w:space="0" w:color="C2D69B"/>
        <w:bottom w:val="single" w:sz="2" w:space="0" w:color="C2D69B"/>
        <w:insideH w:val="single" w:sz="2" w:space="0" w:color="C2D69B"/>
        <w:insideV w:val="single" w:sz="2" w:space="0" w:color="C2D69B"/>
      </w:tblBorders>
    </w:tblPr>
    <w:tblStylePr w:type="firstRow">
      <w:rPr>
        <w:b/>
        <w:bCs/>
      </w:rPr>
      <w:tblPr/>
      <w:tcPr>
        <w:tcBorders>
          <w:top w:val="nil"/>
          <w:bottom w:val="single" w:sz="12" w:space="0" w:color="C2D69B"/>
          <w:insideH w:val="nil"/>
          <w:insideV w:val="nil"/>
        </w:tcBorders>
        <w:shd w:val="clear" w:color="auto" w:fill="FFFFFF"/>
      </w:tcPr>
    </w:tblStylePr>
    <w:tblStylePr w:type="lastRow">
      <w:rPr>
        <w:b/>
        <w:bCs/>
      </w:rPr>
      <w:tblPr/>
      <w:tcPr>
        <w:tcBorders>
          <w:top w:val="double" w:sz="2" w:space="0" w:color="C2D69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ableheading">
    <w:name w:val="Table: heading"/>
    <w:basedOn w:val="Tablecells"/>
    <w:next w:val="Tablecells"/>
    <w:qFormat/>
    <w:rsid w:val="00FA2C42"/>
    <w:pPr>
      <w:keepNext/>
    </w:pPr>
    <w:rPr>
      <w:b/>
      <w:color w:val="FFFFFF"/>
    </w:rPr>
  </w:style>
  <w:style w:type="table" w:customStyle="1" w:styleId="Tabladecuadrcula7concolores-nfasis61">
    <w:name w:val="Tabla de cuadrícula 7 con colores - Énfasis 61"/>
    <w:basedOn w:val="Tablanormal"/>
    <w:next w:val="Tabladecuadrcula7concolores-nfasis6"/>
    <w:uiPriority w:val="52"/>
    <w:rsid w:val="00FA2C42"/>
    <w:pPr>
      <w:spacing w:after="0" w:line="240" w:lineRule="auto"/>
    </w:pPr>
    <w:rPr>
      <w:color w:val="E36C0A"/>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Tabladecuadrcula7concolores-nfasis31">
    <w:name w:val="Tabla de cuadrícula 7 con colores - Énfasis 31"/>
    <w:basedOn w:val="Tablanormal"/>
    <w:next w:val="Tabladecuadrcula7concolores-nfasis3"/>
    <w:uiPriority w:val="52"/>
    <w:rsid w:val="00FA2C42"/>
    <w:pPr>
      <w:spacing w:after="0" w:line="240" w:lineRule="auto"/>
    </w:pPr>
    <w:rPr>
      <w:rFonts w:ascii="Arial" w:eastAsia="Calibri" w:hAnsi="Arial" w:cs="Arial"/>
      <w:color w:val="76923C"/>
      <w:sz w:val="24"/>
      <w:szCs w:val="24"/>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F1DD"/>
      </w:tcPr>
    </w:tblStylePr>
    <w:tblStylePr w:type="band1Horz">
      <w:tblPr/>
      <w:tcPr>
        <w:shd w:val="clear" w:color="auto" w:fill="EAF1DD"/>
      </w:tcPr>
    </w:tblStylePr>
    <w:tblStylePr w:type="neCell">
      <w:tblPr/>
      <w:tcPr>
        <w:tcBorders>
          <w:bottom w:val="single" w:sz="4" w:space="0" w:color="C2D69B"/>
        </w:tcBorders>
      </w:tcPr>
    </w:tblStylePr>
    <w:tblStylePr w:type="nwCell">
      <w:tblPr/>
      <w:tcPr>
        <w:tcBorders>
          <w:bottom w:val="single" w:sz="4" w:space="0" w:color="C2D69B"/>
        </w:tcBorders>
      </w:tcPr>
    </w:tblStylePr>
    <w:tblStylePr w:type="seCell">
      <w:tblPr/>
      <w:tcPr>
        <w:tcBorders>
          <w:top w:val="single" w:sz="4" w:space="0" w:color="C2D69B"/>
        </w:tcBorders>
      </w:tcPr>
    </w:tblStylePr>
    <w:tblStylePr w:type="swCell">
      <w:tblPr/>
      <w:tcPr>
        <w:tcBorders>
          <w:top w:val="single" w:sz="4" w:space="0" w:color="C2D69B"/>
        </w:tcBorders>
      </w:tcPr>
    </w:tblStylePr>
  </w:style>
  <w:style w:type="table" w:customStyle="1" w:styleId="Tabladecuadrcula4-nfasis31">
    <w:name w:val="Tabla de cuadrícula 4 - Énfasis 31"/>
    <w:basedOn w:val="Tablanormal"/>
    <w:next w:val="Tabladecuadrcula4-nfasis3"/>
    <w:uiPriority w:val="49"/>
    <w:rsid w:val="00FA2C42"/>
    <w:pPr>
      <w:spacing w:after="0" w:line="240" w:lineRule="auto"/>
    </w:pPr>
    <w:rPr>
      <w:rFonts w:ascii="Arial" w:eastAsia="Calibri" w:hAnsi="Arial" w:cs="Arial"/>
      <w:sz w:val="24"/>
      <w:szCs w:val="24"/>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paragraph" w:customStyle="1" w:styleId="TableTextLeft">
    <w:name w:val="~TableTextLeft"/>
    <w:basedOn w:val="Normal"/>
    <w:qFormat/>
    <w:rsid w:val="00FA2C42"/>
    <w:pPr>
      <w:spacing w:before="40" w:after="40" w:line="240" w:lineRule="auto"/>
    </w:pPr>
    <w:rPr>
      <w:rFonts w:cs="Arial"/>
      <w:color w:val="000000"/>
      <w:sz w:val="20"/>
      <w:lang w:val="es-ES_tradnl"/>
    </w:rPr>
  </w:style>
  <w:style w:type="paragraph" w:customStyle="1" w:styleId="TableHeadingLeft">
    <w:name w:val="~TableHeadingLeft"/>
    <w:basedOn w:val="TableTextLeft"/>
    <w:qFormat/>
    <w:rsid w:val="00FA2C42"/>
    <w:rPr>
      <w:b/>
      <w:bCs/>
      <w:color w:val="9BBB59"/>
    </w:rPr>
  </w:style>
  <w:style w:type="paragraph" w:customStyle="1" w:styleId="TableHeadingRight">
    <w:name w:val="~TableHeadingRight"/>
    <w:basedOn w:val="TableHeadingLeft"/>
    <w:qFormat/>
    <w:rsid w:val="00FA2C42"/>
    <w:pPr>
      <w:jc w:val="right"/>
    </w:pPr>
  </w:style>
  <w:style w:type="paragraph" w:customStyle="1" w:styleId="TableTextRight">
    <w:name w:val="~TableTextRight"/>
    <w:basedOn w:val="TableTextLeft"/>
    <w:qFormat/>
    <w:rsid w:val="00FA2C42"/>
    <w:pPr>
      <w:jc w:val="right"/>
    </w:pPr>
  </w:style>
  <w:style w:type="table" w:customStyle="1" w:styleId="Frontier">
    <w:name w:val="~Frontier"/>
    <w:basedOn w:val="Tablanormal"/>
    <w:uiPriority w:val="99"/>
    <w:rsid w:val="00FA2C42"/>
    <w:pPr>
      <w:spacing w:after="0" w:line="240" w:lineRule="auto"/>
    </w:pPr>
    <w:rPr>
      <w:rFonts w:cs="Arial"/>
      <w:color w:val="000000"/>
      <w:lang w:val="en-GB"/>
    </w:rPr>
    <w:tblPr>
      <w:tblStyleRowBandSize w:val="1"/>
      <w:tblBorders>
        <w:top w:val="single" w:sz="2" w:space="0" w:color="9BBB59"/>
        <w:bottom w:val="single" w:sz="2" w:space="0" w:color="9BBB59"/>
        <w:insideH w:val="single" w:sz="2" w:space="0" w:color="EEECE1"/>
      </w:tblBorders>
    </w:tblPr>
    <w:trPr>
      <w:cantSplit/>
    </w:trPr>
    <w:tblStylePr w:type="firstRow">
      <w:tblPr/>
      <w:tcPr>
        <w:tcBorders>
          <w:top w:val="single" w:sz="2" w:space="0" w:color="9BBB59"/>
          <w:left w:val="nil"/>
          <w:bottom w:val="single" w:sz="2" w:space="0" w:color="9BBB59"/>
          <w:right w:val="nil"/>
          <w:insideH w:val="nil"/>
          <w:insideV w:val="nil"/>
          <w:tl2br w:val="nil"/>
          <w:tr2bl w:val="nil"/>
        </w:tcBorders>
      </w:tcPr>
    </w:tblStylePr>
    <w:tblStylePr w:type="lastRow">
      <w:rPr>
        <w:b/>
        <w:i w:val="0"/>
        <w:color w:val="9BBB59"/>
      </w:rPr>
      <w:tblPr/>
      <w:tcPr>
        <w:tcBorders>
          <w:top w:val="single" w:sz="2" w:space="0" w:color="9BBB59"/>
          <w:left w:val="nil"/>
          <w:bottom w:val="single" w:sz="2" w:space="0" w:color="9BBB59"/>
          <w:right w:val="nil"/>
          <w:insideH w:val="nil"/>
          <w:insideV w:val="nil"/>
          <w:tl2br w:val="nil"/>
          <w:tr2bl w:val="nil"/>
        </w:tcBorders>
      </w:tcPr>
    </w:tblStylePr>
    <w:tblStylePr w:type="band1Horz">
      <w:tblPr/>
      <w:tcPr>
        <w:shd w:val="clear" w:color="auto" w:fill="F2F2F2"/>
      </w:tcPr>
    </w:tblStylePr>
  </w:style>
  <w:style w:type="paragraph" w:customStyle="1" w:styleId="Source">
    <w:name w:val="~Source"/>
    <w:basedOn w:val="Normal"/>
    <w:next w:val="Normal"/>
    <w:uiPriority w:val="2"/>
    <w:qFormat/>
    <w:rsid w:val="00FA2C42"/>
    <w:pPr>
      <w:tabs>
        <w:tab w:val="left" w:pos="709"/>
      </w:tabs>
      <w:spacing w:before="60" w:after="60" w:line="240" w:lineRule="auto"/>
      <w:ind w:left="709" w:hanging="709"/>
    </w:pPr>
    <w:rPr>
      <w:rFonts w:cs="Arial"/>
      <w:i/>
      <w:color w:val="000000"/>
      <w:sz w:val="16"/>
      <w:lang w:val="es-ES_tradnl"/>
    </w:rPr>
  </w:style>
  <w:style w:type="table" w:customStyle="1" w:styleId="Tabladecuadrcula4-nfasis61">
    <w:name w:val="Tabla de cuadrícula 4 - Énfasis 61"/>
    <w:basedOn w:val="Tablanormal"/>
    <w:next w:val="Tabladecuadrcula4-nfasis6"/>
    <w:uiPriority w:val="49"/>
    <w:rsid w:val="00FA2C42"/>
    <w:pPr>
      <w:spacing w:after="0" w:line="240" w:lineRule="auto"/>
    </w:p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paragraph" w:customStyle="1" w:styleId="ListBullet1">
    <w:name w:val="~ListBullet1"/>
    <w:basedOn w:val="Normal"/>
    <w:uiPriority w:val="3"/>
    <w:qFormat/>
    <w:rsid w:val="00FA2C42"/>
    <w:pPr>
      <w:numPr>
        <w:numId w:val="2"/>
      </w:numPr>
      <w:spacing w:before="60" w:after="60" w:line="264" w:lineRule="auto"/>
      <w:jc w:val="both"/>
    </w:pPr>
    <w:rPr>
      <w:rFonts w:cs="Arial"/>
      <w:color w:val="000000"/>
      <w:lang w:val="es-ES_tradnl"/>
    </w:rPr>
  </w:style>
  <w:style w:type="paragraph" w:customStyle="1" w:styleId="ListBullet2">
    <w:name w:val="~ListBullet2"/>
    <w:basedOn w:val="ListBullet1"/>
    <w:uiPriority w:val="3"/>
    <w:qFormat/>
    <w:rsid w:val="00FA2C42"/>
    <w:pPr>
      <w:numPr>
        <w:ilvl w:val="1"/>
      </w:numPr>
    </w:pPr>
  </w:style>
  <w:style w:type="paragraph" w:customStyle="1" w:styleId="ListBullet3">
    <w:name w:val="~ListBullet3"/>
    <w:basedOn w:val="ListBullet2"/>
    <w:uiPriority w:val="3"/>
    <w:qFormat/>
    <w:rsid w:val="00FA2C42"/>
    <w:pPr>
      <w:numPr>
        <w:ilvl w:val="2"/>
      </w:numPr>
      <w:tabs>
        <w:tab w:val="clear" w:pos="1021"/>
      </w:tabs>
      <w:ind w:left="2160" w:hanging="360"/>
    </w:pPr>
  </w:style>
  <w:style w:type="table" w:styleId="Tabladecuadrcula2-nfasis6">
    <w:name w:val="Grid Table 2 Accent 6"/>
    <w:basedOn w:val="Tablanormal"/>
    <w:uiPriority w:val="47"/>
    <w:rsid w:val="00FA2C4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cuadrcula2-nfasis3">
    <w:name w:val="Grid Table 2 Accent 3"/>
    <w:basedOn w:val="Tablanormal"/>
    <w:uiPriority w:val="47"/>
    <w:rsid w:val="00FA2C4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7concolores-nfasis6">
    <w:name w:val="Grid Table 7 Colorful Accent 6"/>
    <w:basedOn w:val="Tablanormal"/>
    <w:uiPriority w:val="52"/>
    <w:rsid w:val="00FA2C4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Tabladecuadrcula7concolores-nfasis3">
    <w:name w:val="Grid Table 7 Colorful Accent 3"/>
    <w:basedOn w:val="Tablanormal"/>
    <w:uiPriority w:val="52"/>
    <w:rsid w:val="00FA2C4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decuadrcula4-nfasis3">
    <w:name w:val="Grid Table 4 Accent 3"/>
    <w:basedOn w:val="Tablanormal"/>
    <w:uiPriority w:val="49"/>
    <w:rsid w:val="00FA2C4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cuadrcula4-nfasis6">
    <w:name w:val="Grid Table 4 Accent 6"/>
    <w:basedOn w:val="Tablanormal"/>
    <w:uiPriority w:val="49"/>
    <w:rsid w:val="00FA2C42"/>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32">
    <w:name w:val="Tabla de cuadrícula 4 - Énfasis 32"/>
    <w:basedOn w:val="Tablanormal"/>
    <w:next w:val="Tabladecuadrcula4-nfasis3"/>
    <w:uiPriority w:val="49"/>
    <w:rsid w:val="00B600DD"/>
    <w:pPr>
      <w:spacing w:after="0" w:line="240" w:lineRule="auto"/>
    </w:pPr>
    <w:rPr>
      <w:rFonts w:ascii="Arial" w:eastAsia="Calibri" w:hAnsi="Arial" w:cs="Arial"/>
      <w:sz w:val="24"/>
      <w:szCs w:val="24"/>
    </w:rPr>
    <w:tblPr>
      <w:tblStyleRowBandSize w:val="1"/>
      <w:tblStyleColBandSize w:val="1"/>
      <w:tblBorders>
        <w:top w:val="single" w:sz="4" w:space="0" w:color="C2D69B"/>
        <w:left w:val="single" w:sz="4" w:space="0" w:color="C2D69B"/>
        <w:bottom w:val="single" w:sz="4" w:space="0" w:color="C2D69B"/>
        <w:right w:val="single" w:sz="4" w:space="0" w:color="C2D69B"/>
        <w:insideH w:val="single" w:sz="4" w:space="0" w:color="C2D69B"/>
        <w:insideV w:val="single" w:sz="4" w:space="0" w:color="C2D69B"/>
      </w:tblBorders>
    </w:tblPr>
    <w:tblStylePr w:type="firstRow">
      <w:rPr>
        <w:b/>
        <w:bCs/>
        <w:color w:val="FFFFFF"/>
      </w:rPr>
      <w:tblPr/>
      <w:tcPr>
        <w:tcBorders>
          <w:top w:val="single" w:sz="4" w:space="0" w:color="9BBB59"/>
          <w:left w:val="single" w:sz="4" w:space="0" w:color="9BBB59"/>
          <w:bottom w:val="single" w:sz="4" w:space="0" w:color="9BBB59"/>
          <w:right w:val="single" w:sz="4" w:space="0" w:color="9BBB59"/>
          <w:insideH w:val="nil"/>
          <w:insideV w:val="nil"/>
        </w:tcBorders>
        <w:shd w:val="clear" w:color="auto" w:fill="9BBB59"/>
      </w:tcPr>
    </w:tblStylePr>
    <w:tblStylePr w:type="lastRow">
      <w:rPr>
        <w:b/>
        <w:bCs/>
      </w:rPr>
      <w:tblPr/>
      <w:tcPr>
        <w:tcBorders>
          <w:top w:val="double" w:sz="4" w:space="0" w:color="9BBB59"/>
        </w:tcBorders>
      </w:tc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Frontier1">
    <w:name w:val="~Frontier1"/>
    <w:basedOn w:val="Tablanormal"/>
    <w:uiPriority w:val="99"/>
    <w:rsid w:val="00B600DD"/>
    <w:pPr>
      <w:spacing w:after="0" w:line="240" w:lineRule="auto"/>
    </w:pPr>
    <w:rPr>
      <w:rFonts w:cs="Arial"/>
      <w:color w:val="000000"/>
      <w:lang w:val="en-GB"/>
    </w:rPr>
    <w:tblPr>
      <w:tblStyleRowBandSize w:val="1"/>
      <w:tblBorders>
        <w:top w:val="single" w:sz="2" w:space="0" w:color="9BBB59"/>
        <w:bottom w:val="single" w:sz="2" w:space="0" w:color="9BBB59"/>
        <w:insideH w:val="single" w:sz="2" w:space="0" w:color="EEECE1"/>
      </w:tblBorders>
    </w:tblPr>
    <w:trPr>
      <w:cantSplit/>
    </w:trPr>
    <w:tblStylePr w:type="firstRow">
      <w:tblPr/>
      <w:tcPr>
        <w:tcBorders>
          <w:top w:val="single" w:sz="2" w:space="0" w:color="9BBB59"/>
          <w:left w:val="nil"/>
          <w:bottom w:val="single" w:sz="2" w:space="0" w:color="9BBB59"/>
          <w:right w:val="nil"/>
          <w:insideH w:val="nil"/>
          <w:insideV w:val="nil"/>
          <w:tl2br w:val="nil"/>
          <w:tr2bl w:val="nil"/>
        </w:tcBorders>
      </w:tcPr>
    </w:tblStylePr>
    <w:tblStylePr w:type="lastRow">
      <w:rPr>
        <w:b/>
        <w:i w:val="0"/>
        <w:color w:val="9BBB59"/>
      </w:rPr>
      <w:tblPr/>
      <w:tcPr>
        <w:tcBorders>
          <w:top w:val="single" w:sz="2" w:space="0" w:color="9BBB59"/>
          <w:left w:val="nil"/>
          <w:bottom w:val="single" w:sz="2" w:space="0" w:color="9BBB59"/>
          <w:right w:val="nil"/>
          <w:insideH w:val="nil"/>
          <w:insideV w:val="nil"/>
          <w:tl2br w:val="nil"/>
          <w:tr2bl w:val="nil"/>
        </w:tcBorders>
      </w:tcPr>
    </w:tblStylePr>
    <w:tblStylePr w:type="band1Horz">
      <w:tblPr/>
      <w:tcPr>
        <w:shd w:val="clear" w:color="auto" w:fill="F2F2F2"/>
      </w:tcPr>
    </w:tblStylePr>
  </w:style>
  <w:style w:type="character" w:styleId="Hipervnculovisitado">
    <w:name w:val="FollowedHyperlink"/>
    <w:basedOn w:val="Fuentedeprrafopredeter"/>
    <w:uiPriority w:val="99"/>
    <w:semiHidden/>
    <w:unhideWhenUsed/>
    <w:rsid w:val="007129EC"/>
    <w:rPr>
      <w:color w:val="954F72" w:themeColor="followedHyperlink"/>
      <w:u w:val="single"/>
    </w:rPr>
  </w:style>
  <w:style w:type="paragraph" w:styleId="NormalWeb">
    <w:name w:val="Normal (Web)"/>
    <w:basedOn w:val="Normal"/>
    <w:uiPriority w:val="99"/>
    <w:semiHidden/>
    <w:unhideWhenUsed/>
    <w:rsid w:val="009651CC"/>
    <w:pPr>
      <w:spacing w:before="100" w:beforeAutospacing="1" w:after="100" w:afterAutospacing="1" w:line="240" w:lineRule="auto"/>
    </w:pPr>
    <w:rPr>
      <w:rFonts w:ascii="Times New Roman" w:eastAsia="Times New Roman" w:hAnsi="Times New Roman"/>
      <w:sz w:val="24"/>
      <w:szCs w:val="24"/>
      <w:lang w:val="es-MX" w:eastAsia="es-MX"/>
    </w:rPr>
  </w:style>
  <w:style w:type="table" w:styleId="Tabladecuadrcula4">
    <w:name w:val="Grid Table 4"/>
    <w:basedOn w:val="Tablanormal"/>
    <w:uiPriority w:val="49"/>
    <w:rsid w:val="009651C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tulo3Car">
    <w:name w:val="Título 3 Car"/>
    <w:basedOn w:val="Fuentedeprrafopredeter"/>
    <w:link w:val="Ttulo3"/>
    <w:uiPriority w:val="9"/>
    <w:rsid w:val="007C1E57"/>
    <w:rPr>
      <w:rFonts w:asciiTheme="majorHAnsi" w:eastAsiaTheme="majorEastAsia" w:hAnsiTheme="majorHAnsi" w:cstheme="majorBidi"/>
      <w:color w:val="1F4D78" w:themeColor="accent1" w:themeShade="7F"/>
      <w:sz w:val="24"/>
      <w:szCs w:val="24"/>
      <w:lang w:val="es-ES"/>
    </w:rPr>
  </w:style>
  <w:style w:type="paragraph" w:customStyle="1" w:styleId="Ttulo41">
    <w:name w:val="Título 41"/>
    <w:basedOn w:val="Normal"/>
    <w:next w:val="Normal"/>
    <w:uiPriority w:val="9"/>
    <w:semiHidden/>
    <w:unhideWhenUsed/>
    <w:qFormat/>
    <w:rsid w:val="0070274F"/>
    <w:pPr>
      <w:keepNext/>
      <w:keepLines/>
      <w:spacing w:before="120" w:after="0" w:line="252" w:lineRule="auto"/>
      <w:jc w:val="both"/>
      <w:outlineLvl w:val="3"/>
    </w:pPr>
    <w:rPr>
      <w:rFonts w:ascii="Calibri Light" w:eastAsia="Times New Roman" w:hAnsi="Calibri Light"/>
      <w:i/>
      <w:iCs/>
      <w:sz w:val="24"/>
      <w:szCs w:val="24"/>
    </w:rPr>
  </w:style>
  <w:style w:type="paragraph" w:customStyle="1" w:styleId="Ttulo51">
    <w:name w:val="Título 51"/>
    <w:basedOn w:val="Normal"/>
    <w:next w:val="Normal"/>
    <w:uiPriority w:val="9"/>
    <w:semiHidden/>
    <w:unhideWhenUsed/>
    <w:qFormat/>
    <w:rsid w:val="0070274F"/>
    <w:pPr>
      <w:keepNext/>
      <w:keepLines/>
      <w:spacing w:before="120" w:after="0" w:line="252" w:lineRule="auto"/>
      <w:jc w:val="both"/>
      <w:outlineLvl w:val="4"/>
    </w:pPr>
    <w:rPr>
      <w:rFonts w:ascii="Calibri Light" w:eastAsia="Times New Roman" w:hAnsi="Calibri Light"/>
      <w:b/>
      <w:bCs/>
    </w:rPr>
  </w:style>
  <w:style w:type="paragraph" w:customStyle="1" w:styleId="Ttulo61">
    <w:name w:val="Título 61"/>
    <w:basedOn w:val="Normal"/>
    <w:next w:val="Normal"/>
    <w:uiPriority w:val="9"/>
    <w:semiHidden/>
    <w:unhideWhenUsed/>
    <w:qFormat/>
    <w:rsid w:val="0070274F"/>
    <w:pPr>
      <w:keepNext/>
      <w:keepLines/>
      <w:spacing w:before="120" w:after="0" w:line="252" w:lineRule="auto"/>
      <w:jc w:val="both"/>
      <w:outlineLvl w:val="5"/>
    </w:pPr>
    <w:rPr>
      <w:rFonts w:ascii="Calibri Light" w:eastAsia="Times New Roman" w:hAnsi="Calibri Light"/>
      <w:b/>
      <w:bCs/>
      <w:i/>
      <w:iCs/>
    </w:rPr>
  </w:style>
  <w:style w:type="character" w:customStyle="1" w:styleId="Ttulo7Car">
    <w:name w:val="Título 7 Car"/>
    <w:basedOn w:val="Fuentedeprrafopredeter"/>
    <w:link w:val="Ttulo7"/>
    <w:uiPriority w:val="9"/>
    <w:semiHidden/>
    <w:rsid w:val="0070274F"/>
    <w:rPr>
      <w:rFonts w:ascii="Calibri" w:eastAsia="Times New Roman" w:hAnsi="Calibri" w:cs="Times New Roman"/>
      <w:i/>
      <w:iCs/>
      <w:lang w:val="es-ES"/>
    </w:rPr>
  </w:style>
  <w:style w:type="character" w:customStyle="1" w:styleId="Ttulo8Car">
    <w:name w:val="Título 8 Car"/>
    <w:basedOn w:val="Fuentedeprrafopredeter"/>
    <w:link w:val="Ttulo8"/>
    <w:uiPriority w:val="9"/>
    <w:semiHidden/>
    <w:rsid w:val="0070274F"/>
    <w:rPr>
      <w:rFonts w:ascii="Calibri" w:eastAsia="Times New Roman" w:hAnsi="Calibri" w:cs="Times New Roman"/>
      <w:b/>
      <w:bCs/>
      <w:lang w:val="es-ES"/>
    </w:rPr>
  </w:style>
  <w:style w:type="character" w:customStyle="1" w:styleId="Ttulo9Car">
    <w:name w:val="Título 9 Car"/>
    <w:basedOn w:val="Fuentedeprrafopredeter"/>
    <w:link w:val="Ttulo9"/>
    <w:uiPriority w:val="9"/>
    <w:semiHidden/>
    <w:rsid w:val="0070274F"/>
    <w:rPr>
      <w:rFonts w:ascii="Calibri" w:eastAsia="Times New Roman" w:hAnsi="Calibri" w:cs="Times New Roman"/>
      <w:i/>
      <w:iCs/>
      <w:lang w:val="es-ES"/>
    </w:rPr>
  </w:style>
  <w:style w:type="numbering" w:customStyle="1" w:styleId="Sinlista2">
    <w:name w:val="Sin lista2"/>
    <w:next w:val="Sinlista"/>
    <w:uiPriority w:val="99"/>
    <w:semiHidden/>
    <w:unhideWhenUsed/>
    <w:rsid w:val="0070274F"/>
  </w:style>
  <w:style w:type="character" w:customStyle="1" w:styleId="Ttulo4Car">
    <w:name w:val="Título 4 Car"/>
    <w:basedOn w:val="Fuentedeprrafopredeter"/>
    <w:link w:val="Ttulo4"/>
    <w:uiPriority w:val="9"/>
    <w:semiHidden/>
    <w:rsid w:val="0070274F"/>
    <w:rPr>
      <w:rFonts w:ascii="Calibri Light" w:eastAsia="Times New Roman" w:hAnsi="Calibri Light" w:cs="Times New Roman"/>
      <w:i/>
      <w:iCs/>
      <w:sz w:val="24"/>
      <w:szCs w:val="24"/>
    </w:rPr>
  </w:style>
  <w:style w:type="character" w:customStyle="1" w:styleId="Ttulo5Car">
    <w:name w:val="Título 5 Car"/>
    <w:basedOn w:val="Fuentedeprrafopredeter"/>
    <w:link w:val="Ttulo5"/>
    <w:uiPriority w:val="9"/>
    <w:semiHidden/>
    <w:rsid w:val="0070274F"/>
    <w:rPr>
      <w:rFonts w:ascii="Calibri Light" w:eastAsia="Times New Roman" w:hAnsi="Calibri Light" w:cs="Times New Roman"/>
      <w:b/>
      <w:bCs/>
    </w:rPr>
  </w:style>
  <w:style w:type="character" w:customStyle="1" w:styleId="Ttulo6Car">
    <w:name w:val="Título 6 Car"/>
    <w:basedOn w:val="Fuentedeprrafopredeter"/>
    <w:link w:val="Ttulo6"/>
    <w:uiPriority w:val="9"/>
    <w:semiHidden/>
    <w:rsid w:val="0070274F"/>
    <w:rPr>
      <w:rFonts w:ascii="Calibri Light" w:eastAsia="Times New Roman" w:hAnsi="Calibri Light" w:cs="Times New Roman"/>
      <w:b/>
      <w:bCs/>
      <w:i/>
      <w:iCs/>
    </w:rPr>
  </w:style>
  <w:style w:type="paragraph" w:styleId="Descripcin">
    <w:name w:val="caption"/>
    <w:basedOn w:val="Normal"/>
    <w:next w:val="Normal"/>
    <w:uiPriority w:val="35"/>
    <w:semiHidden/>
    <w:unhideWhenUsed/>
    <w:qFormat/>
    <w:rsid w:val="0070274F"/>
    <w:pPr>
      <w:spacing w:after="160" w:line="252" w:lineRule="auto"/>
      <w:jc w:val="both"/>
    </w:pPr>
    <w:rPr>
      <w:rFonts w:eastAsia="Times New Roman"/>
      <w:b/>
      <w:bCs/>
      <w:sz w:val="18"/>
      <w:szCs w:val="18"/>
    </w:rPr>
  </w:style>
  <w:style w:type="paragraph" w:customStyle="1" w:styleId="Ttulo10">
    <w:name w:val="Título1"/>
    <w:basedOn w:val="Normal"/>
    <w:next w:val="Normal"/>
    <w:uiPriority w:val="10"/>
    <w:qFormat/>
    <w:rsid w:val="0070274F"/>
    <w:pPr>
      <w:spacing w:after="0" w:line="240" w:lineRule="auto"/>
      <w:contextualSpacing/>
      <w:jc w:val="center"/>
    </w:pPr>
    <w:rPr>
      <w:rFonts w:ascii="Calibri Light" w:eastAsia="Times New Roman" w:hAnsi="Calibri Light"/>
      <w:b/>
      <w:bCs/>
      <w:spacing w:val="-7"/>
      <w:sz w:val="48"/>
      <w:szCs w:val="48"/>
    </w:rPr>
  </w:style>
  <w:style w:type="character" w:customStyle="1" w:styleId="TtuloCar">
    <w:name w:val="Título Car"/>
    <w:basedOn w:val="Fuentedeprrafopredeter"/>
    <w:link w:val="Ttulo"/>
    <w:uiPriority w:val="10"/>
    <w:rsid w:val="0070274F"/>
    <w:rPr>
      <w:rFonts w:ascii="Calibri Light" w:eastAsia="Times New Roman" w:hAnsi="Calibri Light" w:cs="Times New Roman"/>
      <w:b/>
      <w:bCs/>
      <w:spacing w:val="-7"/>
      <w:sz w:val="48"/>
      <w:szCs w:val="48"/>
    </w:rPr>
  </w:style>
  <w:style w:type="paragraph" w:customStyle="1" w:styleId="Subttulo1">
    <w:name w:val="Subtítulo1"/>
    <w:basedOn w:val="Normal"/>
    <w:next w:val="Normal"/>
    <w:uiPriority w:val="11"/>
    <w:qFormat/>
    <w:rsid w:val="0070274F"/>
    <w:pPr>
      <w:numPr>
        <w:ilvl w:val="1"/>
      </w:numPr>
      <w:spacing w:after="240" w:line="252" w:lineRule="auto"/>
      <w:jc w:val="center"/>
    </w:pPr>
    <w:rPr>
      <w:rFonts w:ascii="Calibri Light" w:eastAsia="Times New Roman" w:hAnsi="Calibri Light"/>
      <w:sz w:val="24"/>
      <w:szCs w:val="24"/>
    </w:rPr>
  </w:style>
  <w:style w:type="character" w:customStyle="1" w:styleId="SubttuloCar">
    <w:name w:val="Subtítulo Car"/>
    <w:basedOn w:val="Fuentedeprrafopredeter"/>
    <w:link w:val="Subttulo"/>
    <w:uiPriority w:val="11"/>
    <w:rsid w:val="0070274F"/>
    <w:rPr>
      <w:rFonts w:ascii="Calibri Light" w:eastAsia="Times New Roman" w:hAnsi="Calibri Light" w:cs="Times New Roman"/>
      <w:sz w:val="24"/>
      <w:szCs w:val="24"/>
    </w:rPr>
  </w:style>
  <w:style w:type="character" w:styleId="Textoennegrita">
    <w:name w:val="Strong"/>
    <w:basedOn w:val="Fuentedeprrafopredeter"/>
    <w:uiPriority w:val="22"/>
    <w:qFormat/>
    <w:rsid w:val="0070274F"/>
    <w:rPr>
      <w:b/>
      <w:bCs/>
      <w:color w:val="auto"/>
    </w:rPr>
  </w:style>
  <w:style w:type="character" w:styleId="nfasis">
    <w:name w:val="Emphasis"/>
    <w:basedOn w:val="Fuentedeprrafopredeter"/>
    <w:uiPriority w:val="20"/>
    <w:qFormat/>
    <w:rsid w:val="0070274F"/>
    <w:rPr>
      <w:i/>
      <w:iCs/>
      <w:color w:val="auto"/>
    </w:rPr>
  </w:style>
  <w:style w:type="paragraph" w:customStyle="1" w:styleId="Cita1">
    <w:name w:val="Cita1"/>
    <w:basedOn w:val="Normal"/>
    <w:next w:val="Normal"/>
    <w:uiPriority w:val="29"/>
    <w:qFormat/>
    <w:rsid w:val="0070274F"/>
    <w:pPr>
      <w:spacing w:before="200" w:after="160" w:line="264" w:lineRule="auto"/>
      <w:ind w:left="864" w:right="864"/>
      <w:jc w:val="center"/>
    </w:pPr>
    <w:rPr>
      <w:rFonts w:ascii="Calibri Light" w:eastAsia="Times New Roman" w:hAnsi="Calibri Light"/>
      <w:i/>
      <w:iCs/>
      <w:sz w:val="24"/>
      <w:szCs w:val="24"/>
    </w:rPr>
  </w:style>
  <w:style w:type="character" w:customStyle="1" w:styleId="CitaCar">
    <w:name w:val="Cita Car"/>
    <w:basedOn w:val="Fuentedeprrafopredeter"/>
    <w:link w:val="Cita"/>
    <w:uiPriority w:val="29"/>
    <w:rsid w:val="0070274F"/>
    <w:rPr>
      <w:rFonts w:ascii="Calibri Light" w:eastAsia="Times New Roman" w:hAnsi="Calibri Light" w:cs="Times New Roman"/>
      <w:i/>
      <w:iCs/>
      <w:sz w:val="24"/>
      <w:szCs w:val="24"/>
    </w:rPr>
  </w:style>
  <w:style w:type="paragraph" w:customStyle="1" w:styleId="Citadestacada1">
    <w:name w:val="Cita destacada1"/>
    <w:basedOn w:val="Normal"/>
    <w:next w:val="Normal"/>
    <w:uiPriority w:val="30"/>
    <w:qFormat/>
    <w:rsid w:val="0070274F"/>
    <w:pPr>
      <w:spacing w:before="100" w:beforeAutospacing="1" w:after="240" w:line="252" w:lineRule="auto"/>
      <w:ind w:left="936" w:right="936"/>
      <w:jc w:val="center"/>
    </w:pPr>
    <w:rPr>
      <w:rFonts w:ascii="Calibri Light" w:eastAsia="Times New Roman" w:hAnsi="Calibri Light"/>
      <w:sz w:val="26"/>
      <w:szCs w:val="26"/>
    </w:rPr>
  </w:style>
  <w:style w:type="character" w:customStyle="1" w:styleId="CitadestacadaCar">
    <w:name w:val="Cita destacada Car"/>
    <w:basedOn w:val="Fuentedeprrafopredeter"/>
    <w:link w:val="Citadestacada"/>
    <w:uiPriority w:val="30"/>
    <w:rsid w:val="0070274F"/>
    <w:rPr>
      <w:rFonts w:ascii="Calibri Light" w:eastAsia="Times New Roman" w:hAnsi="Calibri Light" w:cs="Times New Roman"/>
      <w:sz w:val="26"/>
      <w:szCs w:val="26"/>
    </w:rPr>
  </w:style>
  <w:style w:type="character" w:styleId="nfasissutil">
    <w:name w:val="Subtle Emphasis"/>
    <w:basedOn w:val="Fuentedeprrafopredeter"/>
    <w:uiPriority w:val="19"/>
    <w:qFormat/>
    <w:rsid w:val="0070274F"/>
    <w:rPr>
      <w:i/>
      <w:iCs/>
      <w:color w:val="auto"/>
    </w:rPr>
  </w:style>
  <w:style w:type="character" w:styleId="nfasisintenso">
    <w:name w:val="Intense Emphasis"/>
    <w:basedOn w:val="Fuentedeprrafopredeter"/>
    <w:uiPriority w:val="21"/>
    <w:qFormat/>
    <w:rsid w:val="0070274F"/>
    <w:rPr>
      <w:b/>
      <w:bCs/>
      <w:i/>
      <w:iCs/>
      <w:color w:val="auto"/>
    </w:rPr>
  </w:style>
  <w:style w:type="character" w:customStyle="1" w:styleId="Referenciasutil1">
    <w:name w:val="Referencia sutil1"/>
    <w:basedOn w:val="Fuentedeprrafopredeter"/>
    <w:uiPriority w:val="31"/>
    <w:qFormat/>
    <w:rsid w:val="0070274F"/>
    <w:rPr>
      <w:smallCaps/>
      <w:color w:val="auto"/>
      <w:u w:val="single" w:color="7F7F7F"/>
    </w:rPr>
  </w:style>
  <w:style w:type="character" w:styleId="Referenciaintensa">
    <w:name w:val="Intense Reference"/>
    <w:basedOn w:val="Fuentedeprrafopredeter"/>
    <w:uiPriority w:val="32"/>
    <w:qFormat/>
    <w:rsid w:val="0070274F"/>
    <w:rPr>
      <w:b/>
      <w:bCs/>
      <w:smallCaps/>
      <w:color w:val="auto"/>
      <w:u w:val="single"/>
    </w:rPr>
  </w:style>
  <w:style w:type="character" w:styleId="Ttulodellibro">
    <w:name w:val="Book Title"/>
    <w:basedOn w:val="Fuentedeprrafopredeter"/>
    <w:uiPriority w:val="33"/>
    <w:qFormat/>
    <w:rsid w:val="0070274F"/>
    <w:rPr>
      <w:b/>
      <w:bCs/>
      <w:smallCaps/>
      <w:color w:val="auto"/>
    </w:rPr>
  </w:style>
  <w:style w:type="paragraph" w:styleId="TtuloTDC">
    <w:name w:val="TOC Heading"/>
    <w:basedOn w:val="Ttulo1"/>
    <w:next w:val="Normal"/>
    <w:uiPriority w:val="39"/>
    <w:unhideWhenUsed/>
    <w:qFormat/>
    <w:rsid w:val="0070274F"/>
    <w:pPr>
      <w:spacing w:before="320" w:after="40" w:line="252" w:lineRule="auto"/>
      <w:ind w:left="708"/>
      <w:jc w:val="both"/>
      <w:outlineLvl w:val="9"/>
    </w:pPr>
    <w:rPr>
      <w:rFonts w:ascii="Arial" w:hAnsi="Arial"/>
      <w:b/>
      <w:bCs/>
      <w:caps/>
      <w:color w:val="auto"/>
      <w:spacing w:val="4"/>
      <w:sz w:val="26"/>
      <w:szCs w:val="28"/>
    </w:rPr>
  </w:style>
  <w:style w:type="table" w:customStyle="1" w:styleId="Tablaconcuadrcula2">
    <w:name w:val="Tabla con cuadrícula2"/>
    <w:basedOn w:val="Tablanormal"/>
    <w:next w:val="Tablaconcuadrcula"/>
    <w:uiPriority w:val="39"/>
    <w:rsid w:val="0070274F"/>
    <w:pPr>
      <w:spacing w:after="0" w:line="240" w:lineRule="auto"/>
      <w:jc w:val="both"/>
    </w:pPr>
    <w:rPr>
      <w:rFonts w:eastAsia="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70274F"/>
    <w:pPr>
      <w:spacing w:after="100" w:line="259" w:lineRule="auto"/>
      <w:ind w:left="220"/>
    </w:pPr>
    <w:rPr>
      <w:rFonts w:ascii="Arial" w:eastAsia="Times New Roman" w:hAnsi="Arial"/>
      <w:b/>
      <w:sz w:val="24"/>
      <w:lang w:val="es-MX" w:eastAsia="es-MX"/>
    </w:rPr>
  </w:style>
  <w:style w:type="paragraph" w:styleId="TDC1">
    <w:name w:val="toc 1"/>
    <w:basedOn w:val="Normal"/>
    <w:next w:val="Normal"/>
    <w:autoRedefine/>
    <w:uiPriority w:val="39"/>
    <w:unhideWhenUsed/>
    <w:rsid w:val="0070274F"/>
    <w:pPr>
      <w:spacing w:after="100" w:line="259" w:lineRule="auto"/>
    </w:pPr>
    <w:rPr>
      <w:rFonts w:ascii="Arial" w:eastAsia="Times New Roman" w:hAnsi="Arial"/>
      <w:b/>
      <w:sz w:val="24"/>
      <w:lang w:val="es-MX" w:eastAsia="es-MX"/>
    </w:rPr>
  </w:style>
  <w:style w:type="paragraph" w:styleId="TDC3">
    <w:name w:val="toc 3"/>
    <w:basedOn w:val="Normal"/>
    <w:next w:val="Normal"/>
    <w:autoRedefine/>
    <w:uiPriority w:val="39"/>
    <w:unhideWhenUsed/>
    <w:rsid w:val="0070274F"/>
    <w:pPr>
      <w:spacing w:after="100" w:line="259" w:lineRule="auto"/>
      <w:ind w:left="440"/>
    </w:pPr>
    <w:rPr>
      <w:rFonts w:ascii="Arial" w:eastAsia="Times New Roman" w:hAnsi="Arial"/>
      <w:b/>
      <w:sz w:val="24"/>
      <w:lang w:val="es-MX" w:eastAsia="es-MX"/>
    </w:rPr>
  </w:style>
  <w:style w:type="character" w:customStyle="1" w:styleId="Ttulo4Car1">
    <w:name w:val="Título 4 Car1"/>
    <w:basedOn w:val="Fuentedeprrafopredeter"/>
    <w:uiPriority w:val="9"/>
    <w:semiHidden/>
    <w:rsid w:val="0070274F"/>
    <w:rPr>
      <w:rFonts w:asciiTheme="majorHAnsi" w:eastAsiaTheme="majorEastAsia" w:hAnsiTheme="majorHAnsi" w:cstheme="majorBidi"/>
      <w:i/>
      <w:iCs/>
      <w:color w:val="2E74B5" w:themeColor="accent1" w:themeShade="BF"/>
      <w:lang w:val="es-ES"/>
    </w:rPr>
  </w:style>
  <w:style w:type="character" w:customStyle="1" w:styleId="Ttulo5Car1">
    <w:name w:val="Título 5 Car1"/>
    <w:basedOn w:val="Fuentedeprrafopredeter"/>
    <w:uiPriority w:val="9"/>
    <w:semiHidden/>
    <w:rsid w:val="0070274F"/>
    <w:rPr>
      <w:rFonts w:asciiTheme="majorHAnsi" w:eastAsiaTheme="majorEastAsia" w:hAnsiTheme="majorHAnsi" w:cstheme="majorBidi"/>
      <w:color w:val="2E74B5" w:themeColor="accent1" w:themeShade="BF"/>
      <w:lang w:val="es-ES"/>
    </w:rPr>
  </w:style>
  <w:style w:type="character" w:customStyle="1" w:styleId="Ttulo6Car1">
    <w:name w:val="Título 6 Car1"/>
    <w:basedOn w:val="Fuentedeprrafopredeter"/>
    <w:uiPriority w:val="9"/>
    <w:semiHidden/>
    <w:rsid w:val="0070274F"/>
    <w:rPr>
      <w:rFonts w:asciiTheme="majorHAnsi" w:eastAsiaTheme="majorEastAsia" w:hAnsiTheme="majorHAnsi" w:cstheme="majorBidi"/>
      <w:color w:val="1F4D78" w:themeColor="accent1" w:themeShade="7F"/>
      <w:lang w:val="es-ES"/>
    </w:rPr>
  </w:style>
  <w:style w:type="paragraph" w:styleId="Ttulo">
    <w:name w:val="Title"/>
    <w:basedOn w:val="Normal"/>
    <w:next w:val="Normal"/>
    <w:link w:val="TtuloCar"/>
    <w:uiPriority w:val="10"/>
    <w:qFormat/>
    <w:rsid w:val="0070274F"/>
    <w:pPr>
      <w:spacing w:after="0" w:line="240" w:lineRule="auto"/>
      <w:contextualSpacing/>
    </w:pPr>
    <w:rPr>
      <w:rFonts w:ascii="Calibri Light" w:eastAsia="Times New Roman" w:hAnsi="Calibri Light"/>
      <w:b/>
      <w:bCs/>
      <w:spacing w:val="-7"/>
      <w:sz w:val="48"/>
      <w:szCs w:val="48"/>
      <w:lang w:val="es-MX"/>
    </w:rPr>
  </w:style>
  <w:style w:type="character" w:customStyle="1" w:styleId="TtuloCar1">
    <w:name w:val="Título Car1"/>
    <w:basedOn w:val="Fuentedeprrafopredeter"/>
    <w:uiPriority w:val="10"/>
    <w:rsid w:val="0070274F"/>
    <w:rPr>
      <w:rFonts w:asciiTheme="majorHAnsi" w:eastAsiaTheme="majorEastAsia" w:hAnsiTheme="majorHAnsi" w:cstheme="majorBidi"/>
      <w:spacing w:val="-10"/>
      <w:kern w:val="28"/>
      <w:sz w:val="56"/>
      <w:szCs w:val="56"/>
      <w:lang w:val="es-ES"/>
    </w:rPr>
  </w:style>
  <w:style w:type="paragraph" w:styleId="Subttulo">
    <w:name w:val="Subtitle"/>
    <w:basedOn w:val="Normal"/>
    <w:next w:val="Normal"/>
    <w:link w:val="SubttuloCar"/>
    <w:uiPriority w:val="11"/>
    <w:qFormat/>
    <w:rsid w:val="0070274F"/>
    <w:pPr>
      <w:numPr>
        <w:ilvl w:val="1"/>
      </w:numPr>
      <w:spacing w:after="160"/>
    </w:pPr>
    <w:rPr>
      <w:rFonts w:ascii="Calibri Light" w:eastAsia="Times New Roman" w:hAnsi="Calibri Light"/>
      <w:sz w:val="24"/>
      <w:szCs w:val="24"/>
      <w:lang w:val="es-MX"/>
    </w:rPr>
  </w:style>
  <w:style w:type="character" w:customStyle="1" w:styleId="SubttuloCar1">
    <w:name w:val="Subtítulo Car1"/>
    <w:basedOn w:val="Fuentedeprrafopredeter"/>
    <w:uiPriority w:val="11"/>
    <w:rsid w:val="0070274F"/>
    <w:rPr>
      <w:rFonts w:eastAsiaTheme="minorEastAsia"/>
      <w:color w:val="5A5A5A" w:themeColor="text1" w:themeTint="A5"/>
      <w:spacing w:val="15"/>
      <w:lang w:val="es-ES"/>
    </w:rPr>
  </w:style>
  <w:style w:type="paragraph" w:styleId="Cita">
    <w:name w:val="Quote"/>
    <w:basedOn w:val="Normal"/>
    <w:next w:val="Normal"/>
    <w:link w:val="CitaCar"/>
    <w:uiPriority w:val="29"/>
    <w:qFormat/>
    <w:rsid w:val="0070274F"/>
    <w:pPr>
      <w:spacing w:before="200" w:after="160"/>
      <w:ind w:left="864" w:right="864"/>
      <w:jc w:val="center"/>
    </w:pPr>
    <w:rPr>
      <w:rFonts w:ascii="Calibri Light" w:eastAsia="Times New Roman" w:hAnsi="Calibri Light"/>
      <w:i/>
      <w:iCs/>
      <w:sz w:val="24"/>
      <w:szCs w:val="24"/>
      <w:lang w:val="es-MX"/>
    </w:rPr>
  </w:style>
  <w:style w:type="character" w:customStyle="1" w:styleId="CitaCar1">
    <w:name w:val="Cita Car1"/>
    <w:basedOn w:val="Fuentedeprrafopredeter"/>
    <w:uiPriority w:val="29"/>
    <w:rsid w:val="0070274F"/>
    <w:rPr>
      <w:rFonts w:ascii="Calibri" w:eastAsia="Calibri" w:hAnsi="Calibri" w:cs="Times New Roman"/>
      <w:i/>
      <w:iCs/>
      <w:color w:val="404040" w:themeColor="text1" w:themeTint="BF"/>
      <w:lang w:val="es-ES"/>
    </w:rPr>
  </w:style>
  <w:style w:type="paragraph" w:styleId="Citadestacada">
    <w:name w:val="Intense Quote"/>
    <w:basedOn w:val="Normal"/>
    <w:next w:val="Normal"/>
    <w:link w:val="CitadestacadaCar"/>
    <w:uiPriority w:val="30"/>
    <w:qFormat/>
    <w:rsid w:val="0070274F"/>
    <w:pPr>
      <w:pBdr>
        <w:top w:val="single" w:sz="4" w:space="10" w:color="5B9BD5" w:themeColor="accent1"/>
        <w:bottom w:val="single" w:sz="4" w:space="10" w:color="5B9BD5" w:themeColor="accent1"/>
      </w:pBdr>
      <w:spacing w:before="360" w:after="360"/>
      <w:ind w:left="864" w:right="864"/>
      <w:jc w:val="center"/>
    </w:pPr>
    <w:rPr>
      <w:rFonts w:ascii="Calibri Light" w:eastAsia="Times New Roman" w:hAnsi="Calibri Light"/>
      <w:sz w:val="26"/>
      <w:szCs w:val="26"/>
      <w:lang w:val="es-MX"/>
    </w:rPr>
  </w:style>
  <w:style w:type="character" w:customStyle="1" w:styleId="CitadestacadaCar1">
    <w:name w:val="Cita destacada Car1"/>
    <w:basedOn w:val="Fuentedeprrafopredeter"/>
    <w:uiPriority w:val="30"/>
    <w:rsid w:val="0070274F"/>
    <w:rPr>
      <w:rFonts w:ascii="Calibri" w:eastAsia="Calibri" w:hAnsi="Calibri" w:cs="Times New Roman"/>
      <w:i/>
      <w:iCs/>
      <w:color w:val="5B9BD5" w:themeColor="accent1"/>
      <w:lang w:val="es-ES"/>
    </w:rPr>
  </w:style>
  <w:style w:type="character" w:styleId="Referenciasutil">
    <w:name w:val="Subtle Reference"/>
    <w:basedOn w:val="Fuentedeprrafopredeter"/>
    <w:uiPriority w:val="31"/>
    <w:qFormat/>
    <w:rsid w:val="0070274F"/>
    <w:rPr>
      <w:smallCaps/>
      <w:color w:val="5A5A5A" w:themeColor="text1" w:themeTint="A5"/>
    </w:rPr>
  </w:style>
  <w:style w:type="paragraph" w:styleId="Revisin">
    <w:name w:val="Revision"/>
    <w:hidden/>
    <w:uiPriority w:val="99"/>
    <w:semiHidden/>
    <w:rsid w:val="004D23D9"/>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12127">
      <w:bodyDiv w:val="1"/>
      <w:marLeft w:val="0"/>
      <w:marRight w:val="0"/>
      <w:marTop w:val="0"/>
      <w:marBottom w:val="0"/>
      <w:divBdr>
        <w:top w:val="none" w:sz="0" w:space="0" w:color="auto"/>
        <w:left w:val="none" w:sz="0" w:space="0" w:color="auto"/>
        <w:bottom w:val="none" w:sz="0" w:space="0" w:color="auto"/>
        <w:right w:val="none" w:sz="0" w:space="0" w:color="auto"/>
      </w:divBdr>
    </w:div>
    <w:div w:id="111484380">
      <w:bodyDiv w:val="1"/>
      <w:marLeft w:val="0"/>
      <w:marRight w:val="0"/>
      <w:marTop w:val="0"/>
      <w:marBottom w:val="0"/>
      <w:divBdr>
        <w:top w:val="none" w:sz="0" w:space="0" w:color="auto"/>
        <w:left w:val="none" w:sz="0" w:space="0" w:color="auto"/>
        <w:bottom w:val="none" w:sz="0" w:space="0" w:color="auto"/>
        <w:right w:val="none" w:sz="0" w:space="0" w:color="auto"/>
      </w:divBdr>
      <w:divsChild>
        <w:div w:id="2115005719">
          <w:marLeft w:val="720"/>
          <w:marRight w:val="0"/>
          <w:marTop w:val="0"/>
          <w:marBottom w:val="101"/>
          <w:divBdr>
            <w:top w:val="none" w:sz="0" w:space="0" w:color="auto"/>
            <w:left w:val="none" w:sz="0" w:space="0" w:color="auto"/>
            <w:bottom w:val="none" w:sz="0" w:space="0" w:color="auto"/>
            <w:right w:val="none" w:sz="0" w:space="0" w:color="auto"/>
          </w:divBdr>
        </w:div>
        <w:div w:id="674191130">
          <w:marLeft w:val="720"/>
          <w:marRight w:val="0"/>
          <w:marTop w:val="0"/>
          <w:marBottom w:val="101"/>
          <w:divBdr>
            <w:top w:val="none" w:sz="0" w:space="0" w:color="auto"/>
            <w:left w:val="none" w:sz="0" w:space="0" w:color="auto"/>
            <w:bottom w:val="none" w:sz="0" w:space="0" w:color="auto"/>
            <w:right w:val="none" w:sz="0" w:space="0" w:color="auto"/>
          </w:divBdr>
        </w:div>
        <w:div w:id="745568524">
          <w:marLeft w:val="720"/>
          <w:marRight w:val="0"/>
          <w:marTop w:val="0"/>
          <w:marBottom w:val="101"/>
          <w:divBdr>
            <w:top w:val="none" w:sz="0" w:space="0" w:color="auto"/>
            <w:left w:val="none" w:sz="0" w:space="0" w:color="auto"/>
            <w:bottom w:val="none" w:sz="0" w:space="0" w:color="auto"/>
            <w:right w:val="none" w:sz="0" w:space="0" w:color="auto"/>
          </w:divBdr>
        </w:div>
        <w:div w:id="1523011036">
          <w:marLeft w:val="720"/>
          <w:marRight w:val="0"/>
          <w:marTop w:val="0"/>
          <w:marBottom w:val="101"/>
          <w:divBdr>
            <w:top w:val="none" w:sz="0" w:space="0" w:color="auto"/>
            <w:left w:val="none" w:sz="0" w:space="0" w:color="auto"/>
            <w:bottom w:val="none" w:sz="0" w:space="0" w:color="auto"/>
            <w:right w:val="none" w:sz="0" w:space="0" w:color="auto"/>
          </w:divBdr>
        </w:div>
      </w:divsChild>
    </w:div>
    <w:div w:id="205339924">
      <w:bodyDiv w:val="1"/>
      <w:marLeft w:val="0"/>
      <w:marRight w:val="0"/>
      <w:marTop w:val="0"/>
      <w:marBottom w:val="0"/>
      <w:divBdr>
        <w:top w:val="none" w:sz="0" w:space="0" w:color="auto"/>
        <w:left w:val="none" w:sz="0" w:space="0" w:color="auto"/>
        <w:bottom w:val="none" w:sz="0" w:space="0" w:color="auto"/>
        <w:right w:val="none" w:sz="0" w:space="0" w:color="auto"/>
      </w:divBdr>
    </w:div>
    <w:div w:id="262808400">
      <w:bodyDiv w:val="1"/>
      <w:marLeft w:val="0"/>
      <w:marRight w:val="0"/>
      <w:marTop w:val="0"/>
      <w:marBottom w:val="0"/>
      <w:divBdr>
        <w:top w:val="none" w:sz="0" w:space="0" w:color="auto"/>
        <w:left w:val="none" w:sz="0" w:space="0" w:color="auto"/>
        <w:bottom w:val="none" w:sz="0" w:space="0" w:color="auto"/>
        <w:right w:val="none" w:sz="0" w:space="0" w:color="auto"/>
      </w:divBdr>
    </w:div>
    <w:div w:id="628434757">
      <w:bodyDiv w:val="1"/>
      <w:marLeft w:val="0"/>
      <w:marRight w:val="0"/>
      <w:marTop w:val="0"/>
      <w:marBottom w:val="0"/>
      <w:divBdr>
        <w:top w:val="none" w:sz="0" w:space="0" w:color="auto"/>
        <w:left w:val="none" w:sz="0" w:space="0" w:color="auto"/>
        <w:bottom w:val="none" w:sz="0" w:space="0" w:color="auto"/>
        <w:right w:val="none" w:sz="0" w:space="0" w:color="auto"/>
      </w:divBdr>
    </w:div>
    <w:div w:id="661353651">
      <w:bodyDiv w:val="1"/>
      <w:marLeft w:val="0"/>
      <w:marRight w:val="0"/>
      <w:marTop w:val="0"/>
      <w:marBottom w:val="0"/>
      <w:divBdr>
        <w:top w:val="none" w:sz="0" w:space="0" w:color="auto"/>
        <w:left w:val="none" w:sz="0" w:space="0" w:color="auto"/>
        <w:bottom w:val="none" w:sz="0" w:space="0" w:color="auto"/>
        <w:right w:val="none" w:sz="0" w:space="0" w:color="auto"/>
      </w:divBdr>
    </w:div>
    <w:div w:id="751853321">
      <w:bodyDiv w:val="1"/>
      <w:marLeft w:val="0"/>
      <w:marRight w:val="0"/>
      <w:marTop w:val="0"/>
      <w:marBottom w:val="0"/>
      <w:divBdr>
        <w:top w:val="none" w:sz="0" w:space="0" w:color="auto"/>
        <w:left w:val="none" w:sz="0" w:space="0" w:color="auto"/>
        <w:bottom w:val="none" w:sz="0" w:space="0" w:color="auto"/>
        <w:right w:val="none" w:sz="0" w:space="0" w:color="auto"/>
      </w:divBdr>
    </w:div>
    <w:div w:id="1076628070">
      <w:bodyDiv w:val="1"/>
      <w:marLeft w:val="0"/>
      <w:marRight w:val="0"/>
      <w:marTop w:val="0"/>
      <w:marBottom w:val="0"/>
      <w:divBdr>
        <w:top w:val="none" w:sz="0" w:space="0" w:color="auto"/>
        <w:left w:val="none" w:sz="0" w:space="0" w:color="auto"/>
        <w:bottom w:val="none" w:sz="0" w:space="0" w:color="auto"/>
        <w:right w:val="none" w:sz="0" w:space="0" w:color="auto"/>
      </w:divBdr>
    </w:div>
    <w:div w:id="1085301026">
      <w:bodyDiv w:val="1"/>
      <w:marLeft w:val="0"/>
      <w:marRight w:val="0"/>
      <w:marTop w:val="0"/>
      <w:marBottom w:val="0"/>
      <w:divBdr>
        <w:top w:val="none" w:sz="0" w:space="0" w:color="auto"/>
        <w:left w:val="none" w:sz="0" w:space="0" w:color="auto"/>
        <w:bottom w:val="none" w:sz="0" w:space="0" w:color="auto"/>
        <w:right w:val="none" w:sz="0" w:space="0" w:color="auto"/>
      </w:divBdr>
    </w:div>
    <w:div w:id="1148322803">
      <w:bodyDiv w:val="1"/>
      <w:marLeft w:val="0"/>
      <w:marRight w:val="0"/>
      <w:marTop w:val="0"/>
      <w:marBottom w:val="0"/>
      <w:divBdr>
        <w:top w:val="none" w:sz="0" w:space="0" w:color="auto"/>
        <w:left w:val="none" w:sz="0" w:space="0" w:color="auto"/>
        <w:bottom w:val="none" w:sz="0" w:space="0" w:color="auto"/>
        <w:right w:val="none" w:sz="0" w:space="0" w:color="auto"/>
      </w:divBdr>
      <w:divsChild>
        <w:div w:id="1513185423">
          <w:marLeft w:val="720"/>
          <w:marRight w:val="0"/>
          <w:marTop w:val="0"/>
          <w:marBottom w:val="101"/>
          <w:divBdr>
            <w:top w:val="none" w:sz="0" w:space="0" w:color="auto"/>
            <w:left w:val="none" w:sz="0" w:space="0" w:color="auto"/>
            <w:bottom w:val="none" w:sz="0" w:space="0" w:color="auto"/>
            <w:right w:val="none" w:sz="0" w:space="0" w:color="auto"/>
          </w:divBdr>
        </w:div>
        <w:div w:id="2042632634">
          <w:marLeft w:val="720"/>
          <w:marRight w:val="0"/>
          <w:marTop w:val="0"/>
          <w:marBottom w:val="101"/>
          <w:divBdr>
            <w:top w:val="none" w:sz="0" w:space="0" w:color="auto"/>
            <w:left w:val="none" w:sz="0" w:space="0" w:color="auto"/>
            <w:bottom w:val="none" w:sz="0" w:space="0" w:color="auto"/>
            <w:right w:val="none" w:sz="0" w:space="0" w:color="auto"/>
          </w:divBdr>
        </w:div>
        <w:div w:id="174468368">
          <w:marLeft w:val="720"/>
          <w:marRight w:val="0"/>
          <w:marTop w:val="0"/>
          <w:marBottom w:val="101"/>
          <w:divBdr>
            <w:top w:val="none" w:sz="0" w:space="0" w:color="auto"/>
            <w:left w:val="none" w:sz="0" w:space="0" w:color="auto"/>
            <w:bottom w:val="none" w:sz="0" w:space="0" w:color="auto"/>
            <w:right w:val="none" w:sz="0" w:space="0" w:color="auto"/>
          </w:divBdr>
        </w:div>
        <w:div w:id="1196113663">
          <w:marLeft w:val="720"/>
          <w:marRight w:val="0"/>
          <w:marTop w:val="0"/>
          <w:marBottom w:val="101"/>
          <w:divBdr>
            <w:top w:val="none" w:sz="0" w:space="0" w:color="auto"/>
            <w:left w:val="none" w:sz="0" w:space="0" w:color="auto"/>
            <w:bottom w:val="none" w:sz="0" w:space="0" w:color="auto"/>
            <w:right w:val="none" w:sz="0" w:space="0" w:color="auto"/>
          </w:divBdr>
        </w:div>
      </w:divsChild>
    </w:div>
    <w:div w:id="1160997420">
      <w:bodyDiv w:val="1"/>
      <w:marLeft w:val="0"/>
      <w:marRight w:val="0"/>
      <w:marTop w:val="0"/>
      <w:marBottom w:val="0"/>
      <w:divBdr>
        <w:top w:val="none" w:sz="0" w:space="0" w:color="auto"/>
        <w:left w:val="none" w:sz="0" w:space="0" w:color="auto"/>
        <w:bottom w:val="none" w:sz="0" w:space="0" w:color="auto"/>
        <w:right w:val="none" w:sz="0" w:space="0" w:color="auto"/>
      </w:divBdr>
    </w:div>
    <w:div w:id="1355494300">
      <w:bodyDiv w:val="1"/>
      <w:marLeft w:val="0"/>
      <w:marRight w:val="0"/>
      <w:marTop w:val="0"/>
      <w:marBottom w:val="0"/>
      <w:divBdr>
        <w:top w:val="none" w:sz="0" w:space="0" w:color="auto"/>
        <w:left w:val="none" w:sz="0" w:space="0" w:color="auto"/>
        <w:bottom w:val="none" w:sz="0" w:space="0" w:color="auto"/>
        <w:right w:val="none" w:sz="0" w:space="0" w:color="auto"/>
      </w:divBdr>
    </w:div>
    <w:div w:id="1504121419">
      <w:bodyDiv w:val="1"/>
      <w:marLeft w:val="0"/>
      <w:marRight w:val="0"/>
      <w:marTop w:val="0"/>
      <w:marBottom w:val="0"/>
      <w:divBdr>
        <w:top w:val="none" w:sz="0" w:space="0" w:color="auto"/>
        <w:left w:val="none" w:sz="0" w:space="0" w:color="auto"/>
        <w:bottom w:val="none" w:sz="0" w:space="0" w:color="auto"/>
        <w:right w:val="none" w:sz="0" w:space="0" w:color="auto"/>
      </w:divBdr>
    </w:div>
    <w:div w:id="1555315458">
      <w:bodyDiv w:val="1"/>
      <w:marLeft w:val="0"/>
      <w:marRight w:val="0"/>
      <w:marTop w:val="0"/>
      <w:marBottom w:val="0"/>
      <w:divBdr>
        <w:top w:val="none" w:sz="0" w:space="0" w:color="auto"/>
        <w:left w:val="none" w:sz="0" w:space="0" w:color="auto"/>
        <w:bottom w:val="none" w:sz="0" w:space="0" w:color="auto"/>
        <w:right w:val="none" w:sz="0" w:space="0" w:color="auto"/>
      </w:divBdr>
    </w:div>
    <w:div w:id="1577087480">
      <w:bodyDiv w:val="1"/>
      <w:marLeft w:val="0"/>
      <w:marRight w:val="0"/>
      <w:marTop w:val="0"/>
      <w:marBottom w:val="0"/>
      <w:divBdr>
        <w:top w:val="none" w:sz="0" w:space="0" w:color="auto"/>
        <w:left w:val="none" w:sz="0" w:space="0" w:color="auto"/>
        <w:bottom w:val="none" w:sz="0" w:space="0" w:color="auto"/>
        <w:right w:val="none" w:sz="0" w:space="0" w:color="auto"/>
      </w:divBdr>
    </w:div>
    <w:div w:id="1605115845">
      <w:bodyDiv w:val="1"/>
      <w:marLeft w:val="0"/>
      <w:marRight w:val="0"/>
      <w:marTop w:val="0"/>
      <w:marBottom w:val="0"/>
      <w:divBdr>
        <w:top w:val="none" w:sz="0" w:space="0" w:color="auto"/>
        <w:left w:val="none" w:sz="0" w:space="0" w:color="auto"/>
        <w:bottom w:val="none" w:sz="0" w:space="0" w:color="auto"/>
        <w:right w:val="none" w:sz="0" w:space="0" w:color="auto"/>
      </w:divBdr>
    </w:div>
    <w:div w:id="1815098207">
      <w:bodyDiv w:val="1"/>
      <w:marLeft w:val="0"/>
      <w:marRight w:val="0"/>
      <w:marTop w:val="0"/>
      <w:marBottom w:val="0"/>
      <w:divBdr>
        <w:top w:val="none" w:sz="0" w:space="0" w:color="auto"/>
        <w:left w:val="none" w:sz="0" w:space="0" w:color="auto"/>
        <w:bottom w:val="none" w:sz="0" w:space="0" w:color="auto"/>
        <w:right w:val="none" w:sz="0" w:space="0" w:color="auto"/>
      </w:divBdr>
    </w:div>
    <w:div w:id="1855537405">
      <w:bodyDiv w:val="1"/>
      <w:marLeft w:val="0"/>
      <w:marRight w:val="0"/>
      <w:marTop w:val="0"/>
      <w:marBottom w:val="0"/>
      <w:divBdr>
        <w:top w:val="none" w:sz="0" w:space="0" w:color="auto"/>
        <w:left w:val="none" w:sz="0" w:space="0" w:color="auto"/>
        <w:bottom w:val="none" w:sz="0" w:space="0" w:color="auto"/>
        <w:right w:val="none" w:sz="0" w:space="0" w:color="auto"/>
      </w:divBdr>
    </w:div>
    <w:div w:id="1875190922">
      <w:bodyDiv w:val="1"/>
      <w:marLeft w:val="0"/>
      <w:marRight w:val="0"/>
      <w:marTop w:val="0"/>
      <w:marBottom w:val="0"/>
      <w:divBdr>
        <w:top w:val="none" w:sz="0" w:space="0" w:color="auto"/>
        <w:left w:val="none" w:sz="0" w:space="0" w:color="auto"/>
        <w:bottom w:val="none" w:sz="0" w:space="0" w:color="auto"/>
        <w:right w:val="none" w:sz="0" w:space="0" w:color="auto"/>
      </w:divBdr>
    </w:div>
    <w:div w:id="1916039749">
      <w:bodyDiv w:val="1"/>
      <w:marLeft w:val="0"/>
      <w:marRight w:val="0"/>
      <w:marTop w:val="0"/>
      <w:marBottom w:val="0"/>
      <w:divBdr>
        <w:top w:val="none" w:sz="0" w:space="0" w:color="auto"/>
        <w:left w:val="none" w:sz="0" w:space="0" w:color="auto"/>
        <w:bottom w:val="none" w:sz="0" w:space="0" w:color="auto"/>
        <w:right w:val="none" w:sz="0" w:space="0" w:color="auto"/>
      </w:divBdr>
    </w:div>
    <w:div w:id="1935361963">
      <w:bodyDiv w:val="1"/>
      <w:marLeft w:val="0"/>
      <w:marRight w:val="0"/>
      <w:marTop w:val="0"/>
      <w:marBottom w:val="0"/>
      <w:divBdr>
        <w:top w:val="none" w:sz="0" w:space="0" w:color="auto"/>
        <w:left w:val="none" w:sz="0" w:space="0" w:color="auto"/>
        <w:bottom w:val="none" w:sz="0" w:space="0" w:color="auto"/>
        <w:right w:val="none" w:sz="0" w:space="0" w:color="auto"/>
      </w:divBdr>
    </w:div>
    <w:div w:id="2041543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icialiacompetencia@ift.org.mx"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icialiacompetencia@ift.org.m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on-the-cmas-investigation-procedures-in-competition-act-1998-cases/guidance-on-the-cmas-investigation-procedures-in-competition-act-1998-cases" TargetMode="External"/><Relationship Id="rId7" Type="http://schemas.openxmlformats.org/officeDocument/2006/relationships/hyperlink" Target="https://www.justice.gov/atr/file/761141/download" TargetMode="External"/><Relationship Id="rId2" Type="http://schemas.openxmlformats.org/officeDocument/2006/relationships/hyperlink" Target="https://www.ofcom.org.uk/__data/assets/pdf_file/0014/102515/Enforcement-guidelines-for-Competition-Act-investigations.pdf" TargetMode="External"/><Relationship Id="rId1" Type="http://schemas.openxmlformats.org/officeDocument/2006/relationships/hyperlink" Target="https://www.ofcom.org.uk/__data/assets/pdf_file/0021/83523/cma_and_ofcom_mou_on_use_of_concurrent_consumer_powers_webversion.pdf" TargetMode="External"/><Relationship Id="rId6" Type="http://schemas.openxmlformats.org/officeDocument/2006/relationships/hyperlink" Target="https://www.ftc.gov/sites/default/files/documents/statutes/federal-trade-commission-act/ftc_act_incorporatingus_safe_web_act.pdf" TargetMode="External"/><Relationship Id="rId5" Type="http://schemas.openxmlformats.org/officeDocument/2006/relationships/hyperlink" Target="https://www.justice.gov/sites/default/files/atr/legacy/2007/07/17/10170.pdf" TargetMode="External"/><Relationship Id="rId4" Type="http://schemas.openxmlformats.org/officeDocument/2006/relationships/hyperlink" Target="http://en.cade.gov.br/topics/legislation/laws/law-no-12529-2011-english-version-from-18-05-2012.pdf/view"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55BF0C5ED42E4479976ED3C939C5A67" ma:contentTypeVersion="0" ma:contentTypeDescription="Crear nuevo documento." ma:contentTypeScope="" ma:versionID="fe2dde7c3b101e3209f5785238f42736">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3F8FFF-16A8-407B-B11D-3EA3DF7B564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B03633-E6EF-4EB6-94CE-AC9BA08E6C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FED2375-11F7-4F11-A4F5-1C1E67C4B751}">
  <ds:schemaRefs>
    <ds:schemaRef ds:uri="http://schemas.microsoft.com/sharepoint/v3/contenttype/forms"/>
  </ds:schemaRefs>
</ds:datastoreItem>
</file>

<file path=customXml/itemProps4.xml><?xml version="1.0" encoding="utf-8"?>
<ds:datastoreItem xmlns:ds="http://schemas.openxmlformats.org/officeDocument/2006/customXml" ds:itemID="{34DD9CCB-31AE-4525-9EBA-11E5F1388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15579</Words>
  <Characters>85686</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Josue Teoyotl Calderon</cp:lastModifiedBy>
  <cp:revision>2</cp:revision>
  <dcterms:created xsi:type="dcterms:W3CDTF">2021-06-21T23:25:00Z</dcterms:created>
  <dcterms:modified xsi:type="dcterms:W3CDTF">2021-06-21T23:25:00Z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0x010100355BF0C5ED42E4479976ED3C939C5A67</vt:lpwstr>
  </property>
</Properties>
</file>