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8BCDD" w14:textId="206DF93C" w:rsidR="00886F2A" w:rsidRDefault="00600C81" w:rsidP="00D50B18">
      <w:pPr>
        <w:spacing w:before="120" w:after="120" w:line="23" w:lineRule="atLeast"/>
        <w:jc w:val="right"/>
        <w:rPr>
          <w:rFonts w:ascii="Arial" w:hAnsi="Arial" w:cs="Arial"/>
          <w:b/>
          <w:bCs/>
        </w:rPr>
      </w:pPr>
      <w:r>
        <w:rPr>
          <w:rFonts w:ascii="Arial" w:hAnsi="Arial" w:cs="Arial"/>
          <w:b/>
          <w:bCs/>
        </w:rPr>
        <w:t>Instituto Federal de Telecomunicaciones</w:t>
      </w:r>
    </w:p>
    <w:p w14:paraId="35FF38C8" w14:textId="1B35E3D4" w:rsidR="00600C81" w:rsidRDefault="00600C81" w:rsidP="00D50B18">
      <w:pPr>
        <w:spacing w:before="120" w:after="120" w:line="23" w:lineRule="atLeast"/>
        <w:jc w:val="right"/>
        <w:rPr>
          <w:rFonts w:ascii="Arial" w:hAnsi="Arial" w:cs="Arial"/>
          <w:b/>
          <w:bCs/>
        </w:rPr>
      </w:pPr>
      <w:r>
        <w:rPr>
          <w:rFonts w:ascii="Arial" w:hAnsi="Arial" w:cs="Arial"/>
          <w:b/>
          <w:bCs/>
        </w:rPr>
        <w:t>Unida</w:t>
      </w:r>
      <w:r w:rsidR="00351BE8">
        <w:rPr>
          <w:rFonts w:ascii="Arial" w:hAnsi="Arial" w:cs="Arial"/>
          <w:b/>
          <w:bCs/>
        </w:rPr>
        <w:t>d</w:t>
      </w:r>
      <w:r>
        <w:rPr>
          <w:rFonts w:ascii="Arial" w:hAnsi="Arial" w:cs="Arial"/>
          <w:b/>
          <w:bCs/>
        </w:rPr>
        <w:t xml:space="preserve"> de Competencia Económica</w:t>
      </w:r>
    </w:p>
    <w:p w14:paraId="7D720584" w14:textId="1A4AA06D" w:rsidR="00736A66" w:rsidRDefault="00736A66" w:rsidP="00D50B18">
      <w:pPr>
        <w:spacing w:before="120" w:after="120" w:line="23" w:lineRule="atLeast"/>
        <w:jc w:val="right"/>
        <w:rPr>
          <w:rFonts w:ascii="Arial" w:hAnsi="Arial" w:cs="Arial"/>
          <w:b/>
          <w:bCs/>
        </w:rPr>
      </w:pPr>
    </w:p>
    <w:p w14:paraId="3BF938A9" w14:textId="38B8CD35" w:rsidR="00736A66" w:rsidRDefault="00275B74" w:rsidP="00D50B18">
      <w:pPr>
        <w:spacing w:before="120" w:after="120" w:line="23" w:lineRule="atLeast"/>
        <w:jc w:val="right"/>
        <w:rPr>
          <w:rFonts w:ascii="Arial" w:hAnsi="Arial" w:cs="Arial"/>
          <w:b/>
          <w:bCs/>
        </w:rPr>
      </w:pPr>
      <w:r>
        <w:rPr>
          <w:rFonts w:ascii="Arial" w:hAnsi="Arial" w:cs="Arial"/>
          <w:b/>
          <w:bCs/>
        </w:rPr>
        <w:t>2</w:t>
      </w:r>
      <w:r w:rsidR="00FC6EBC">
        <w:rPr>
          <w:rFonts w:ascii="Arial" w:hAnsi="Arial" w:cs="Arial"/>
          <w:b/>
          <w:bCs/>
        </w:rPr>
        <w:t>8</w:t>
      </w:r>
      <w:r w:rsidR="00736A66">
        <w:rPr>
          <w:rFonts w:ascii="Arial" w:hAnsi="Arial" w:cs="Arial"/>
          <w:b/>
          <w:bCs/>
        </w:rPr>
        <w:t xml:space="preserve"> de septiembre de 2021</w:t>
      </w:r>
    </w:p>
    <w:p w14:paraId="5DE94B1C" w14:textId="77777777" w:rsidR="00600C81" w:rsidRDefault="00600C81" w:rsidP="00D50B18">
      <w:pPr>
        <w:spacing w:before="120" w:after="120" w:line="23" w:lineRule="atLeast"/>
        <w:jc w:val="center"/>
        <w:rPr>
          <w:rFonts w:ascii="Arial" w:hAnsi="Arial" w:cs="Arial"/>
          <w:b/>
          <w:bCs/>
        </w:rPr>
      </w:pPr>
    </w:p>
    <w:p w14:paraId="6583A949" w14:textId="32B22C4A" w:rsidR="0088636C" w:rsidRDefault="0088636C" w:rsidP="00D50B18">
      <w:pPr>
        <w:spacing w:before="120" w:after="120" w:line="23" w:lineRule="atLeast"/>
        <w:jc w:val="both"/>
        <w:rPr>
          <w:rFonts w:ascii="Arial" w:hAnsi="Arial" w:cs="Arial"/>
          <w:b/>
          <w:bCs/>
        </w:rPr>
      </w:pPr>
      <w:r w:rsidRPr="00730154">
        <w:rPr>
          <w:rFonts w:ascii="Arial" w:hAnsi="Arial" w:cs="Arial"/>
          <w:b/>
          <w:bCs/>
        </w:rPr>
        <w:t xml:space="preserve">INFORME que presenta </w:t>
      </w:r>
      <w:r w:rsidR="006477AA">
        <w:rPr>
          <w:rFonts w:ascii="Arial" w:hAnsi="Arial" w:cs="Arial"/>
          <w:b/>
          <w:bCs/>
        </w:rPr>
        <w:t xml:space="preserve">la Unidad de Competencia Económica respecto a </w:t>
      </w:r>
      <w:r w:rsidRPr="00730154">
        <w:rPr>
          <w:rFonts w:ascii="Arial" w:hAnsi="Arial" w:cs="Arial"/>
          <w:b/>
          <w:bCs/>
        </w:rPr>
        <w:t>los comentarios</w:t>
      </w:r>
      <w:r w:rsidR="007039D8">
        <w:rPr>
          <w:rFonts w:ascii="Arial" w:hAnsi="Arial" w:cs="Arial"/>
          <w:b/>
          <w:bCs/>
        </w:rPr>
        <w:t xml:space="preserve">, opiniones y aportaciones </w:t>
      </w:r>
      <w:r w:rsidRPr="00730154">
        <w:rPr>
          <w:rFonts w:ascii="Arial" w:hAnsi="Arial" w:cs="Arial"/>
          <w:b/>
          <w:bCs/>
        </w:rPr>
        <w:t>recibidos durante la consulta pública del</w:t>
      </w:r>
      <w:r>
        <w:rPr>
          <w:rFonts w:ascii="Arial" w:hAnsi="Arial" w:cs="Arial"/>
          <w:b/>
          <w:bCs/>
        </w:rPr>
        <w:t xml:space="preserve"> </w:t>
      </w:r>
      <w:r w:rsidRPr="0088636C">
        <w:rPr>
          <w:rFonts w:ascii="Arial" w:hAnsi="Arial" w:cs="Arial"/>
          <w:b/>
          <w:bCs/>
          <w:i/>
          <w:iCs/>
        </w:rPr>
        <w:t>“Anteproyecto de Guía para tramitar el procedimiento seguido en forma de juicio por la comisión de prácticas monopólicas y concentraciones ilícitas en los sectores de Telecomunicaciones y Radiodifusión”</w:t>
      </w:r>
      <w:r>
        <w:rPr>
          <w:rFonts w:ascii="Arial" w:hAnsi="Arial" w:cs="Arial"/>
          <w:b/>
          <w:bCs/>
        </w:rPr>
        <w:t xml:space="preserve">, así como consideraciones </w:t>
      </w:r>
      <w:r w:rsidRPr="0088636C">
        <w:rPr>
          <w:rFonts w:ascii="Arial" w:hAnsi="Arial" w:cs="Arial"/>
          <w:b/>
          <w:bCs/>
        </w:rPr>
        <w:t>a los mismos</w:t>
      </w:r>
      <w:r w:rsidR="007039D8">
        <w:rPr>
          <w:rFonts w:ascii="Arial" w:hAnsi="Arial" w:cs="Arial"/>
          <w:b/>
          <w:bCs/>
        </w:rPr>
        <w:t xml:space="preserve"> (Informe de Consideraciones)</w:t>
      </w:r>
      <w:r>
        <w:rPr>
          <w:rFonts w:ascii="Arial" w:hAnsi="Arial" w:cs="Arial"/>
          <w:b/>
          <w:bCs/>
        </w:rPr>
        <w:t>.</w:t>
      </w:r>
    </w:p>
    <w:p w14:paraId="6855EF5B" w14:textId="77777777" w:rsidR="004A4B96" w:rsidRDefault="004A4B96" w:rsidP="00D50B18">
      <w:pPr>
        <w:spacing w:before="120" w:after="120" w:line="23" w:lineRule="atLeast"/>
        <w:jc w:val="both"/>
        <w:rPr>
          <w:rFonts w:ascii="Arial" w:hAnsi="Arial" w:cs="Arial"/>
          <w:b/>
          <w:bCs/>
        </w:rPr>
      </w:pPr>
    </w:p>
    <w:p w14:paraId="62541306" w14:textId="2CFC48DA" w:rsidR="00B9227A" w:rsidRPr="005C5B1C" w:rsidRDefault="00B9227A" w:rsidP="00D50B18">
      <w:pPr>
        <w:spacing w:before="120" w:after="120" w:line="23" w:lineRule="atLeast"/>
        <w:jc w:val="both"/>
        <w:rPr>
          <w:rFonts w:ascii="Arial" w:hAnsi="Arial" w:cs="Arial"/>
        </w:rPr>
      </w:pPr>
      <w:r w:rsidRPr="005C5B1C">
        <w:rPr>
          <w:rFonts w:ascii="Arial" w:hAnsi="Arial" w:cs="Arial"/>
          <w:b/>
          <w:bCs/>
        </w:rPr>
        <w:t>Presentación</w:t>
      </w:r>
    </w:p>
    <w:p w14:paraId="352F09EA" w14:textId="34925BD5" w:rsidR="00D703E0" w:rsidRDefault="007A1DE0" w:rsidP="00D50B18">
      <w:pPr>
        <w:spacing w:before="120" w:after="120" w:line="23" w:lineRule="atLeast"/>
        <w:jc w:val="both"/>
        <w:rPr>
          <w:rFonts w:ascii="Arial" w:hAnsi="Arial" w:cs="Arial"/>
        </w:rPr>
      </w:pPr>
      <w:r>
        <w:rPr>
          <w:rFonts w:ascii="Arial" w:hAnsi="Arial" w:cs="Arial"/>
        </w:rPr>
        <w:t>La Unidad de Competencia Económica</w:t>
      </w:r>
      <w:r w:rsidR="00C976EB">
        <w:rPr>
          <w:rFonts w:ascii="Arial" w:hAnsi="Arial" w:cs="Arial"/>
        </w:rPr>
        <w:t xml:space="preserve"> </w:t>
      </w:r>
      <w:r w:rsidR="004A4B96">
        <w:rPr>
          <w:rFonts w:ascii="Arial" w:hAnsi="Arial" w:cs="Arial"/>
        </w:rPr>
        <w:t xml:space="preserve">(UCE) </w:t>
      </w:r>
      <w:r>
        <w:rPr>
          <w:rFonts w:ascii="Arial" w:hAnsi="Arial" w:cs="Arial"/>
        </w:rPr>
        <w:t>del In</w:t>
      </w:r>
      <w:r w:rsidRPr="0088630D">
        <w:rPr>
          <w:rFonts w:ascii="Arial" w:hAnsi="Arial" w:cs="Arial"/>
        </w:rPr>
        <w:t>stituto Federal de Telecomunicaciones</w:t>
      </w:r>
      <w:r w:rsidR="004A4B96">
        <w:rPr>
          <w:rFonts w:ascii="Arial" w:hAnsi="Arial" w:cs="Arial"/>
        </w:rPr>
        <w:t xml:space="preserve"> (Instituto)</w:t>
      </w:r>
      <w:r w:rsidR="00B31779" w:rsidRPr="0088630D">
        <w:rPr>
          <w:rFonts w:ascii="Arial" w:hAnsi="Arial" w:cs="Arial"/>
        </w:rPr>
        <w:t xml:space="preserve"> presenta este Informe de Consideraciones en cumplimiento</w:t>
      </w:r>
      <w:r w:rsidR="000134ED">
        <w:rPr>
          <w:rFonts w:ascii="Arial" w:hAnsi="Arial" w:cs="Arial"/>
        </w:rPr>
        <w:t xml:space="preserve"> al </w:t>
      </w:r>
      <w:r w:rsidR="000134ED" w:rsidRPr="00327E2B">
        <w:rPr>
          <w:rFonts w:ascii="Arial" w:hAnsi="Arial" w:cs="Arial"/>
        </w:rPr>
        <w:t xml:space="preserve">artículo 138, fracción II, de la Ley Federal de Competencia Económica, Acuerdo Tercero del </w:t>
      </w:r>
      <w:r w:rsidR="000134ED" w:rsidRPr="00327E2B">
        <w:rPr>
          <w:rFonts w:ascii="Arial" w:hAnsi="Arial" w:cs="Arial"/>
          <w:i/>
          <w:iCs/>
        </w:rPr>
        <w:t>Acuerdo mediante el cual el Pleno del Instituto Federal de Telecomunicaciones determina someter a Consulta Pública el “</w:t>
      </w:r>
      <w:r w:rsidR="000134ED" w:rsidRPr="000134ED">
        <w:rPr>
          <w:rFonts w:ascii="Arial" w:hAnsi="Arial" w:cs="Arial"/>
          <w:i/>
          <w:iCs/>
        </w:rPr>
        <w:t>Anteproyecto de Guía para tramitar el procedimiento seguido en forma de juicio por la comisión de prácticas monopólicas y concentraciones ilícitas en los sectores de Telecomunicaciones y Radiodifusión</w:t>
      </w:r>
      <w:r w:rsidR="00261109">
        <w:rPr>
          <w:rFonts w:ascii="Arial" w:hAnsi="Arial" w:cs="Arial"/>
          <w:i/>
          <w:iCs/>
        </w:rPr>
        <w:t>”</w:t>
      </w:r>
      <w:r w:rsidR="000134ED">
        <w:rPr>
          <w:rFonts w:ascii="Arial" w:hAnsi="Arial" w:cs="Arial"/>
          <w:i/>
          <w:iCs/>
        </w:rPr>
        <w:t xml:space="preserve"> (</w:t>
      </w:r>
      <w:r w:rsidR="000134ED">
        <w:rPr>
          <w:rFonts w:ascii="Arial" w:hAnsi="Arial" w:cs="Arial"/>
        </w:rPr>
        <w:t>A</w:t>
      </w:r>
      <w:r w:rsidR="000134ED" w:rsidRPr="00730154">
        <w:rPr>
          <w:rFonts w:ascii="Arial" w:hAnsi="Arial" w:cs="Arial"/>
        </w:rPr>
        <w:t>cuerdo P/IFT</w:t>
      </w:r>
      <w:r w:rsidR="000134ED" w:rsidRPr="000134ED">
        <w:rPr>
          <w:rFonts w:ascii="Arial" w:hAnsi="Arial" w:cs="Arial"/>
        </w:rPr>
        <w:t>/090621/264</w:t>
      </w:r>
      <w:r w:rsidR="000134ED">
        <w:rPr>
          <w:rFonts w:ascii="Arial" w:hAnsi="Arial" w:cs="Arial"/>
          <w:i/>
          <w:iCs/>
        </w:rPr>
        <w:t>)</w:t>
      </w:r>
      <w:r w:rsidR="000134ED" w:rsidRPr="00327E2B">
        <w:rPr>
          <w:rFonts w:ascii="Arial" w:hAnsi="Arial" w:cs="Arial"/>
        </w:rPr>
        <w:t>, y el Lineamiento Noveno</w:t>
      </w:r>
      <w:r w:rsidR="00B31779" w:rsidRPr="0088630D">
        <w:rPr>
          <w:rFonts w:ascii="Arial" w:hAnsi="Arial" w:cs="Arial"/>
        </w:rPr>
        <w:t xml:space="preserve"> </w:t>
      </w:r>
      <w:r w:rsidR="0074301B">
        <w:rPr>
          <w:rFonts w:ascii="Arial" w:hAnsi="Arial" w:cs="Arial"/>
        </w:rPr>
        <w:t xml:space="preserve">de </w:t>
      </w:r>
      <w:r w:rsidR="00B31779" w:rsidRPr="0088630D">
        <w:rPr>
          <w:rFonts w:ascii="Arial" w:hAnsi="Arial" w:cs="Arial"/>
        </w:rPr>
        <w:t xml:space="preserve">los </w:t>
      </w:r>
      <w:r w:rsidR="00600C81" w:rsidRPr="0088630D">
        <w:rPr>
          <w:rFonts w:ascii="Arial" w:hAnsi="Arial" w:cs="Arial"/>
        </w:rPr>
        <w:t>Lineamientos de Consulta Pública y Análisis de Impacto</w:t>
      </w:r>
      <w:r w:rsidR="00600C81">
        <w:rPr>
          <w:rFonts w:ascii="Arial" w:hAnsi="Arial" w:cs="Arial"/>
        </w:rPr>
        <w:t xml:space="preserve"> Regulatorio del Instituto Federal de Telecomunicaciones</w:t>
      </w:r>
      <w:r w:rsidR="00F43731">
        <w:rPr>
          <w:rFonts w:ascii="Arial" w:hAnsi="Arial" w:cs="Arial"/>
        </w:rPr>
        <w:t>.</w:t>
      </w:r>
      <w:r w:rsidR="003142E8">
        <w:rPr>
          <w:rStyle w:val="Refdenotaalpie"/>
          <w:rFonts w:ascii="Arial" w:hAnsi="Arial" w:cs="Arial"/>
        </w:rPr>
        <w:footnoteReference w:id="2"/>
      </w:r>
      <w:r w:rsidR="00B77B08">
        <w:rPr>
          <w:rFonts w:ascii="Arial" w:hAnsi="Arial" w:cs="Arial"/>
        </w:rPr>
        <w:t xml:space="preserve"> </w:t>
      </w:r>
    </w:p>
    <w:p w14:paraId="658720ED" w14:textId="799E716F" w:rsidR="002E7781" w:rsidRDefault="00C976EB" w:rsidP="00D50B18">
      <w:pPr>
        <w:spacing w:before="120" w:after="120" w:line="23" w:lineRule="atLeast"/>
        <w:jc w:val="both"/>
        <w:rPr>
          <w:rFonts w:ascii="Arial" w:hAnsi="Arial" w:cs="Arial"/>
          <w:b/>
          <w:bCs/>
        </w:rPr>
      </w:pPr>
      <w:r w:rsidRPr="006837A2">
        <w:rPr>
          <w:rFonts w:ascii="Arial" w:hAnsi="Arial" w:cs="Arial"/>
          <w:b/>
          <w:bCs/>
        </w:rPr>
        <w:t>Glosario</w:t>
      </w:r>
    </w:p>
    <w:tbl>
      <w:tblPr>
        <w:tblW w:w="878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55"/>
        <w:gridCol w:w="7229"/>
      </w:tblGrid>
      <w:tr w:rsidR="009C3B88" w:rsidRPr="003E2214" w14:paraId="4D20B1FC" w14:textId="77777777" w:rsidTr="006445B0">
        <w:trPr>
          <w:trHeight w:val="77"/>
          <w:tblHeader/>
          <w:jc w:val="center"/>
        </w:trPr>
        <w:tc>
          <w:tcPr>
            <w:tcW w:w="1555" w:type="dxa"/>
            <w:shd w:val="clear" w:color="auto" w:fill="92D050"/>
            <w:vAlign w:val="center"/>
          </w:tcPr>
          <w:p w14:paraId="1F602FD4" w14:textId="77777777" w:rsidR="009C3B88" w:rsidRPr="009C3B88" w:rsidRDefault="009C3B88" w:rsidP="00846622">
            <w:pPr>
              <w:autoSpaceDE w:val="0"/>
              <w:autoSpaceDN w:val="0"/>
              <w:adjustRightInd w:val="0"/>
              <w:spacing w:before="120" w:after="120" w:line="23" w:lineRule="atLeast"/>
              <w:jc w:val="center"/>
              <w:rPr>
                <w:rFonts w:ascii="Arial" w:hAnsi="Arial" w:cs="Arial"/>
                <w:b/>
                <w:sz w:val="18"/>
                <w:szCs w:val="18"/>
              </w:rPr>
            </w:pPr>
            <w:r w:rsidRPr="009C3B88">
              <w:rPr>
                <w:rFonts w:ascii="Arial" w:hAnsi="Arial" w:cs="Arial"/>
                <w:b/>
                <w:sz w:val="18"/>
                <w:szCs w:val="18"/>
              </w:rPr>
              <w:t>Concepto</w:t>
            </w:r>
          </w:p>
        </w:tc>
        <w:tc>
          <w:tcPr>
            <w:tcW w:w="7229" w:type="dxa"/>
            <w:shd w:val="clear" w:color="auto" w:fill="92D050"/>
          </w:tcPr>
          <w:p w14:paraId="48179E4C" w14:textId="77777777" w:rsidR="009C3B88" w:rsidRPr="009C3B88" w:rsidRDefault="009C3B88" w:rsidP="00D50B18">
            <w:pPr>
              <w:autoSpaceDE w:val="0"/>
              <w:autoSpaceDN w:val="0"/>
              <w:adjustRightInd w:val="0"/>
              <w:spacing w:before="120" w:after="120" w:line="23" w:lineRule="atLeast"/>
              <w:jc w:val="center"/>
              <w:rPr>
                <w:rFonts w:ascii="Arial" w:hAnsi="Arial" w:cs="Arial"/>
                <w:b/>
                <w:sz w:val="18"/>
                <w:szCs w:val="18"/>
              </w:rPr>
            </w:pPr>
            <w:r w:rsidRPr="009C3B88">
              <w:rPr>
                <w:rFonts w:ascii="Arial" w:hAnsi="Arial" w:cs="Arial"/>
                <w:b/>
                <w:sz w:val="18"/>
                <w:szCs w:val="18"/>
              </w:rPr>
              <w:t>Significado</w:t>
            </w:r>
          </w:p>
        </w:tc>
      </w:tr>
      <w:tr w:rsidR="009C3B88" w:rsidRPr="003E2214" w14:paraId="73200C41" w14:textId="77777777" w:rsidTr="006445B0">
        <w:trPr>
          <w:trHeight w:val="77"/>
          <w:jc w:val="center"/>
        </w:trPr>
        <w:tc>
          <w:tcPr>
            <w:tcW w:w="1555" w:type="dxa"/>
            <w:shd w:val="clear" w:color="auto" w:fill="auto"/>
            <w:vAlign w:val="center"/>
          </w:tcPr>
          <w:p w14:paraId="7A58EB5B" w14:textId="3453246D" w:rsidR="009C3B88" w:rsidRPr="009C3B88" w:rsidRDefault="00261109" w:rsidP="00846622">
            <w:pPr>
              <w:autoSpaceDE w:val="0"/>
              <w:autoSpaceDN w:val="0"/>
              <w:adjustRightInd w:val="0"/>
              <w:spacing w:before="120" w:after="120" w:line="23" w:lineRule="atLeast"/>
              <w:jc w:val="center"/>
              <w:rPr>
                <w:rFonts w:ascii="Arial" w:hAnsi="Arial" w:cs="Arial"/>
                <w:b/>
                <w:sz w:val="18"/>
                <w:szCs w:val="18"/>
              </w:rPr>
            </w:pPr>
            <w:r>
              <w:rPr>
                <w:rFonts w:ascii="Arial" w:hAnsi="Arial" w:cs="Arial"/>
                <w:b/>
                <w:sz w:val="18"/>
                <w:szCs w:val="18"/>
              </w:rPr>
              <w:t xml:space="preserve">Acuerdo </w:t>
            </w:r>
            <w:r w:rsidRPr="00261109">
              <w:rPr>
                <w:rFonts w:ascii="Arial" w:hAnsi="Arial" w:cs="Arial"/>
                <w:b/>
                <w:sz w:val="18"/>
                <w:szCs w:val="18"/>
              </w:rPr>
              <w:t>P/IFT/090621/264</w:t>
            </w:r>
          </w:p>
        </w:tc>
        <w:tc>
          <w:tcPr>
            <w:tcW w:w="7229" w:type="dxa"/>
            <w:shd w:val="clear" w:color="auto" w:fill="auto"/>
          </w:tcPr>
          <w:p w14:paraId="404A07F5" w14:textId="374848EF" w:rsidR="009C3B88" w:rsidRPr="009C3B88" w:rsidRDefault="00E94051" w:rsidP="00D50B18">
            <w:pPr>
              <w:autoSpaceDE w:val="0"/>
              <w:autoSpaceDN w:val="0"/>
              <w:adjustRightInd w:val="0"/>
              <w:spacing w:before="120" w:after="120" w:line="23" w:lineRule="atLeast"/>
              <w:jc w:val="both"/>
              <w:rPr>
                <w:rFonts w:ascii="Arial" w:hAnsi="Arial" w:cs="Arial"/>
                <w:sz w:val="18"/>
                <w:szCs w:val="18"/>
              </w:rPr>
            </w:pPr>
            <w:r w:rsidRPr="00E94051">
              <w:rPr>
                <w:rFonts w:ascii="Arial" w:hAnsi="Arial" w:cs="Arial"/>
                <w:sz w:val="18"/>
                <w:szCs w:val="18"/>
              </w:rPr>
              <w:t xml:space="preserve">Acuerdo mediante el cual el Pleno del Instituto Federal de Telecomunicaciones determina someter a Consulta Pública el </w:t>
            </w:r>
            <w:r w:rsidRPr="00E94051">
              <w:rPr>
                <w:rFonts w:ascii="Arial" w:hAnsi="Arial" w:cs="Arial"/>
                <w:i/>
                <w:iCs/>
                <w:sz w:val="18"/>
                <w:szCs w:val="18"/>
              </w:rPr>
              <w:t>“Anteproyecto de Guía para tramitar el procedimiento seguido en forma de juicio por la comisión de prácticas monopólicas y concentraciones ilícitas en los sectores de Telecomunicaciones y Radiodifusión</w:t>
            </w:r>
            <w:r w:rsidR="00261109" w:rsidRPr="00E94051">
              <w:rPr>
                <w:rFonts w:ascii="Arial" w:hAnsi="Arial" w:cs="Arial"/>
                <w:i/>
                <w:iCs/>
                <w:sz w:val="18"/>
                <w:szCs w:val="18"/>
              </w:rPr>
              <w:t>”</w:t>
            </w:r>
            <w:r w:rsidR="00261109">
              <w:rPr>
                <w:rFonts w:ascii="Arial" w:hAnsi="Arial" w:cs="Arial"/>
                <w:sz w:val="18"/>
                <w:szCs w:val="18"/>
              </w:rPr>
              <w:t>.</w:t>
            </w:r>
            <w:r>
              <w:rPr>
                <w:rFonts w:ascii="Arial" w:hAnsi="Arial" w:cs="Arial"/>
                <w:sz w:val="18"/>
                <w:szCs w:val="18"/>
              </w:rPr>
              <w:t xml:space="preserve"> </w:t>
            </w:r>
            <w:r w:rsidR="006C68A4">
              <w:rPr>
                <w:rFonts w:ascii="Arial" w:hAnsi="Arial" w:cs="Arial"/>
                <w:sz w:val="18"/>
                <w:szCs w:val="18"/>
              </w:rPr>
              <w:t xml:space="preserve"> </w:t>
            </w:r>
            <w:r w:rsidR="00261109">
              <w:rPr>
                <w:rFonts w:ascii="Arial" w:hAnsi="Arial" w:cs="Arial"/>
                <w:sz w:val="18"/>
                <w:szCs w:val="18"/>
              </w:rPr>
              <w:t xml:space="preserve">  </w:t>
            </w:r>
          </w:p>
        </w:tc>
      </w:tr>
      <w:tr w:rsidR="00261109" w:rsidRPr="003E2214" w14:paraId="3F6CF63A" w14:textId="77777777" w:rsidTr="006445B0">
        <w:trPr>
          <w:trHeight w:val="77"/>
          <w:jc w:val="center"/>
        </w:trPr>
        <w:tc>
          <w:tcPr>
            <w:tcW w:w="1555" w:type="dxa"/>
            <w:shd w:val="clear" w:color="auto" w:fill="auto"/>
            <w:vAlign w:val="center"/>
          </w:tcPr>
          <w:p w14:paraId="5D4C716B" w14:textId="02306026" w:rsidR="00261109" w:rsidRPr="009C3B88" w:rsidRDefault="00261109" w:rsidP="00261109">
            <w:pPr>
              <w:autoSpaceDE w:val="0"/>
              <w:autoSpaceDN w:val="0"/>
              <w:adjustRightInd w:val="0"/>
              <w:spacing w:before="120" w:after="120" w:line="23" w:lineRule="atLeast"/>
              <w:jc w:val="center"/>
              <w:rPr>
                <w:rFonts w:ascii="Arial" w:hAnsi="Arial" w:cs="Arial"/>
                <w:b/>
                <w:sz w:val="18"/>
                <w:szCs w:val="18"/>
              </w:rPr>
            </w:pPr>
            <w:r w:rsidRPr="009C3B88">
              <w:rPr>
                <w:rFonts w:ascii="Arial" w:hAnsi="Arial" w:cs="Arial"/>
                <w:b/>
                <w:sz w:val="18"/>
                <w:szCs w:val="18"/>
              </w:rPr>
              <w:t>AE/Agente Económico</w:t>
            </w:r>
          </w:p>
        </w:tc>
        <w:tc>
          <w:tcPr>
            <w:tcW w:w="7229" w:type="dxa"/>
            <w:shd w:val="clear" w:color="auto" w:fill="auto"/>
          </w:tcPr>
          <w:p w14:paraId="58A7FB9F" w14:textId="14E534B9" w:rsidR="00261109" w:rsidRPr="009C3B88" w:rsidRDefault="00261109" w:rsidP="00261109">
            <w:pPr>
              <w:autoSpaceDE w:val="0"/>
              <w:autoSpaceDN w:val="0"/>
              <w:adjustRightInd w:val="0"/>
              <w:spacing w:before="120" w:after="120" w:line="23" w:lineRule="atLeast"/>
              <w:jc w:val="both"/>
              <w:rPr>
                <w:rFonts w:ascii="Arial" w:eastAsia="Times New Roman" w:hAnsi="Arial" w:cs="Arial"/>
                <w:sz w:val="18"/>
                <w:szCs w:val="18"/>
              </w:rPr>
            </w:pPr>
            <w:r w:rsidRPr="009C3B88">
              <w:rPr>
                <w:rFonts w:ascii="Arial" w:eastAsia="Times New Roman" w:hAnsi="Arial" w:cs="Arial"/>
                <w:sz w:val="18"/>
                <w:szCs w:val="18"/>
              </w:rPr>
              <w:t>Toda persona física o moral, con o sin fines de lucro, dependencias y entidades de la administración pública federal, estatal o municipal, asociaciones, cámaras empresariales, agrupaciones de profesionistas, fideicomisos o cualquier otra forma de participación en la actividad económica.</w:t>
            </w:r>
          </w:p>
        </w:tc>
      </w:tr>
      <w:tr w:rsidR="00261109" w:rsidRPr="003E2214" w14:paraId="4BB44189" w14:textId="77777777" w:rsidTr="006445B0">
        <w:trPr>
          <w:trHeight w:val="77"/>
          <w:jc w:val="center"/>
        </w:trPr>
        <w:tc>
          <w:tcPr>
            <w:tcW w:w="1555" w:type="dxa"/>
            <w:shd w:val="clear" w:color="auto" w:fill="auto"/>
            <w:vAlign w:val="center"/>
          </w:tcPr>
          <w:p w14:paraId="5654E933" w14:textId="7A653F26" w:rsidR="00261109" w:rsidRPr="009C3B88" w:rsidRDefault="00261109" w:rsidP="00261109">
            <w:pPr>
              <w:autoSpaceDE w:val="0"/>
              <w:autoSpaceDN w:val="0"/>
              <w:adjustRightInd w:val="0"/>
              <w:spacing w:before="120" w:after="120" w:line="23" w:lineRule="atLeast"/>
              <w:jc w:val="center"/>
              <w:rPr>
                <w:rFonts w:ascii="Arial" w:hAnsi="Arial" w:cs="Arial"/>
                <w:b/>
                <w:sz w:val="18"/>
                <w:szCs w:val="18"/>
              </w:rPr>
            </w:pPr>
            <w:r w:rsidRPr="009C3B88">
              <w:rPr>
                <w:rFonts w:ascii="Arial" w:hAnsi="Arial" w:cs="Arial"/>
                <w:b/>
                <w:sz w:val="18"/>
                <w:szCs w:val="18"/>
              </w:rPr>
              <w:t>ANIR</w:t>
            </w:r>
          </w:p>
        </w:tc>
        <w:tc>
          <w:tcPr>
            <w:tcW w:w="7229" w:type="dxa"/>
            <w:shd w:val="clear" w:color="auto" w:fill="auto"/>
          </w:tcPr>
          <w:p w14:paraId="128321CC" w14:textId="19347E75" w:rsidR="00261109" w:rsidRPr="009C3B88" w:rsidRDefault="00261109" w:rsidP="00261109">
            <w:pPr>
              <w:autoSpaceDE w:val="0"/>
              <w:autoSpaceDN w:val="0"/>
              <w:adjustRightInd w:val="0"/>
              <w:spacing w:before="120" w:after="120" w:line="23" w:lineRule="atLeast"/>
              <w:jc w:val="both"/>
              <w:rPr>
                <w:rFonts w:ascii="Arial" w:eastAsia="Times New Roman" w:hAnsi="Arial" w:cs="Arial"/>
                <w:sz w:val="18"/>
                <w:szCs w:val="18"/>
              </w:rPr>
            </w:pPr>
            <w:r w:rsidRPr="009C3B88">
              <w:rPr>
                <w:rFonts w:ascii="Arial" w:hAnsi="Arial" w:cs="Arial"/>
                <w:sz w:val="18"/>
                <w:szCs w:val="18"/>
              </w:rPr>
              <w:t>Análisis de Nulo Impacto Regulatorio.</w:t>
            </w:r>
          </w:p>
        </w:tc>
      </w:tr>
      <w:tr w:rsidR="00261109" w:rsidRPr="003E2214" w14:paraId="109B1C63" w14:textId="77777777" w:rsidTr="006445B0">
        <w:trPr>
          <w:trHeight w:val="77"/>
          <w:jc w:val="center"/>
        </w:trPr>
        <w:tc>
          <w:tcPr>
            <w:tcW w:w="1555" w:type="dxa"/>
            <w:shd w:val="clear" w:color="auto" w:fill="auto"/>
            <w:vAlign w:val="center"/>
          </w:tcPr>
          <w:p w14:paraId="2F831A0B" w14:textId="77777777" w:rsidR="00261109" w:rsidRPr="009C3B88" w:rsidRDefault="00261109" w:rsidP="00261109">
            <w:pPr>
              <w:autoSpaceDE w:val="0"/>
              <w:autoSpaceDN w:val="0"/>
              <w:adjustRightInd w:val="0"/>
              <w:spacing w:before="120" w:after="120" w:line="23" w:lineRule="atLeast"/>
              <w:jc w:val="center"/>
              <w:rPr>
                <w:rFonts w:ascii="Arial" w:hAnsi="Arial" w:cs="Arial"/>
                <w:b/>
                <w:sz w:val="18"/>
                <w:szCs w:val="18"/>
              </w:rPr>
            </w:pPr>
            <w:r w:rsidRPr="009C3B88">
              <w:rPr>
                <w:rFonts w:ascii="Arial" w:hAnsi="Arial" w:cs="Arial"/>
                <w:b/>
                <w:sz w:val="18"/>
                <w:szCs w:val="18"/>
              </w:rPr>
              <w:lastRenderedPageBreak/>
              <w:t>Anteproyecto</w:t>
            </w:r>
          </w:p>
        </w:tc>
        <w:tc>
          <w:tcPr>
            <w:tcW w:w="7229" w:type="dxa"/>
            <w:shd w:val="clear" w:color="auto" w:fill="auto"/>
          </w:tcPr>
          <w:p w14:paraId="538AD85C" w14:textId="55E4D83F" w:rsidR="00261109" w:rsidRPr="009C3B88" w:rsidRDefault="00261109" w:rsidP="00261109">
            <w:pPr>
              <w:autoSpaceDE w:val="0"/>
              <w:autoSpaceDN w:val="0"/>
              <w:adjustRightInd w:val="0"/>
              <w:spacing w:before="120" w:after="120" w:line="23" w:lineRule="atLeast"/>
              <w:jc w:val="both"/>
              <w:rPr>
                <w:rFonts w:ascii="Arial" w:hAnsi="Arial" w:cs="Arial"/>
                <w:sz w:val="18"/>
                <w:szCs w:val="18"/>
              </w:rPr>
            </w:pPr>
            <w:r w:rsidRPr="009C3B88">
              <w:rPr>
                <w:rFonts w:ascii="Arial" w:hAnsi="Arial" w:cs="Arial"/>
                <w:sz w:val="18"/>
                <w:szCs w:val="18"/>
              </w:rPr>
              <w:t>Anteproyecto de Guía para tramitar el procedimiento seguido en forma de juicio por la comisión de prácticas monopólicas y concentraciones ilícitas en los sectores de Telecomunicaciones y Radiodifusión.</w:t>
            </w:r>
          </w:p>
        </w:tc>
      </w:tr>
      <w:tr w:rsidR="00261109" w:rsidRPr="003E2214" w14:paraId="6A2311FB" w14:textId="77777777" w:rsidTr="006445B0">
        <w:trPr>
          <w:trHeight w:val="77"/>
          <w:jc w:val="center"/>
        </w:trPr>
        <w:tc>
          <w:tcPr>
            <w:tcW w:w="1555" w:type="dxa"/>
            <w:shd w:val="clear" w:color="auto" w:fill="auto"/>
            <w:vAlign w:val="center"/>
          </w:tcPr>
          <w:p w14:paraId="5E0DE7E3" w14:textId="25640517" w:rsidR="00261109" w:rsidRPr="009C3B88" w:rsidRDefault="00261109" w:rsidP="00261109">
            <w:pPr>
              <w:autoSpaceDE w:val="0"/>
              <w:autoSpaceDN w:val="0"/>
              <w:adjustRightInd w:val="0"/>
              <w:spacing w:before="120" w:after="120" w:line="23" w:lineRule="atLeast"/>
              <w:jc w:val="center"/>
              <w:rPr>
                <w:rFonts w:ascii="Arial" w:hAnsi="Arial" w:cs="Arial"/>
                <w:b/>
                <w:sz w:val="18"/>
                <w:szCs w:val="18"/>
              </w:rPr>
            </w:pPr>
            <w:r w:rsidRPr="0046389B">
              <w:rPr>
                <w:rFonts w:ascii="Arial" w:hAnsi="Arial" w:cs="Arial"/>
                <w:b/>
                <w:sz w:val="18"/>
                <w:szCs w:val="18"/>
              </w:rPr>
              <w:t>COFECE</w:t>
            </w:r>
          </w:p>
        </w:tc>
        <w:tc>
          <w:tcPr>
            <w:tcW w:w="7229" w:type="dxa"/>
            <w:shd w:val="clear" w:color="auto" w:fill="auto"/>
          </w:tcPr>
          <w:p w14:paraId="5685E806" w14:textId="648478F4" w:rsidR="00261109" w:rsidRPr="009C3B88" w:rsidRDefault="00261109" w:rsidP="00261109">
            <w:pPr>
              <w:autoSpaceDE w:val="0"/>
              <w:autoSpaceDN w:val="0"/>
              <w:adjustRightInd w:val="0"/>
              <w:spacing w:before="120" w:after="120" w:line="23" w:lineRule="atLeast"/>
              <w:jc w:val="both"/>
              <w:rPr>
                <w:rFonts w:ascii="Arial" w:hAnsi="Arial" w:cs="Arial"/>
                <w:sz w:val="18"/>
                <w:szCs w:val="18"/>
              </w:rPr>
            </w:pPr>
            <w:r w:rsidRPr="00CB300E">
              <w:rPr>
                <w:rFonts w:ascii="Arial" w:hAnsi="Arial" w:cs="Arial"/>
                <w:sz w:val="18"/>
                <w:szCs w:val="18"/>
              </w:rPr>
              <w:t>Comisión Federal de Competencia Económica.</w:t>
            </w:r>
          </w:p>
        </w:tc>
      </w:tr>
      <w:tr w:rsidR="003A246E" w:rsidRPr="003E2214" w14:paraId="1847CB84" w14:textId="77777777" w:rsidTr="006445B0">
        <w:trPr>
          <w:trHeight w:val="77"/>
          <w:jc w:val="center"/>
        </w:trPr>
        <w:tc>
          <w:tcPr>
            <w:tcW w:w="1555" w:type="dxa"/>
            <w:shd w:val="clear" w:color="auto" w:fill="auto"/>
            <w:vAlign w:val="center"/>
          </w:tcPr>
          <w:p w14:paraId="5426ED48" w14:textId="3109FEE2" w:rsidR="003A246E" w:rsidRPr="0046389B" w:rsidRDefault="003A246E" w:rsidP="00261109">
            <w:pPr>
              <w:autoSpaceDE w:val="0"/>
              <w:autoSpaceDN w:val="0"/>
              <w:adjustRightInd w:val="0"/>
              <w:spacing w:before="120" w:after="120" w:line="23" w:lineRule="atLeast"/>
              <w:jc w:val="center"/>
              <w:rPr>
                <w:rFonts w:ascii="Arial" w:hAnsi="Arial" w:cs="Arial"/>
                <w:b/>
                <w:sz w:val="18"/>
                <w:szCs w:val="18"/>
              </w:rPr>
            </w:pPr>
            <w:r>
              <w:rPr>
                <w:rFonts w:ascii="Arial" w:hAnsi="Arial" w:cs="Arial"/>
                <w:b/>
                <w:sz w:val="18"/>
                <w:szCs w:val="18"/>
              </w:rPr>
              <w:t>Consulta Pública</w:t>
            </w:r>
          </w:p>
        </w:tc>
        <w:tc>
          <w:tcPr>
            <w:tcW w:w="7229" w:type="dxa"/>
            <w:shd w:val="clear" w:color="auto" w:fill="auto"/>
            <w:vAlign w:val="center"/>
          </w:tcPr>
          <w:p w14:paraId="7469C216" w14:textId="63581BC3" w:rsidR="003A246E" w:rsidRPr="00CB300E" w:rsidRDefault="003A246E" w:rsidP="00231E89">
            <w:pPr>
              <w:autoSpaceDE w:val="0"/>
              <w:autoSpaceDN w:val="0"/>
              <w:adjustRightInd w:val="0"/>
              <w:spacing w:before="120" w:after="120" w:line="23" w:lineRule="atLeast"/>
              <w:rPr>
                <w:rFonts w:ascii="Arial" w:hAnsi="Arial" w:cs="Arial"/>
                <w:sz w:val="18"/>
                <w:szCs w:val="18"/>
              </w:rPr>
            </w:pPr>
            <w:r>
              <w:rPr>
                <w:rFonts w:ascii="Arial" w:hAnsi="Arial" w:cs="Arial"/>
                <w:sz w:val="18"/>
                <w:szCs w:val="18"/>
              </w:rPr>
              <w:t>Consulta pública de</w:t>
            </w:r>
            <w:r w:rsidR="00BB2054">
              <w:rPr>
                <w:rFonts w:ascii="Arial" w:hAnsi="Arial" w:cs="Arial"/>
                <w:sz w:val="18"/>
                <w:szCs w:val="18"/>
              </w:rPr>
              <w:t>l</w:t>
            </w:r>
            <w:r>
              <w:rPr>
                <w:rFonts w:ascii="Arial" w:hAnsi="Arial" w:cs="Arial"/>
                <w:sz w:val="18"/>
                <w:szCs w:val="18"/>
              </w:rPr>
              <w:t xml:space="preserve"> Ante</w:t>
            </w:r>
            <w:r w:rsidR="00595F59">
              <w:rPr>
                <w:rFonts w:ascii="Arial" w:hAnsi="Arial" w:cs="Arial"/>
                <w:sz w:val="18"/>
                <w:szCs w:val="18"/>
              </w:rPr>
              <w:t>pr</w:t>
            </w:r>
            <w:r>
              <w:rPr>
                <w:rFonts w:ascii="Arial" w:hAnsi="Arial" w:cs="Arial"/>
                <w:sz w:val="18"/>
                <w:szCs w:val="18"/>
              </w:rPr>
              <w:t>oyecto.</w:t>
            </w:r>
          </w:p>
        </w:tc>
      </w:tr>
      <w:tr w:rsidR="00261109" w:rsidRPr="003E2214" w14:paraId="036BCE00" w14:textId="77777777" w:rsidTr="006445B0">
        <w:trPr>
          <w:trHeight w:val="77"/>
          <w:jc w:val="center"/>
        </w:trPr>
        <w:tc>
          <w:tcPr>
            <w:tcW w:w="1555" w:type="dxa"/>
            <w:shd w:val="clear" w:color="auto" w:fill="auto"/>
            <w:vAlign w:val="center"/>
          </w:tcPr>
          <w:p w14:paraId="4C3A2402" w14:textId="77777777" w:rsidR="00261109" w:rsidRPr="009C3B88" w:rsidRDefault="00261109" w:rsidP="00261109">
            <w:pPr>
              <w:autoSpaceDE w:val="0"/>
              <w:autoSpaceDN w:val="0"/>
              <w:adjustRightInd w:val="0"/>
              <w:spacing w:before="120" w:after="120" w:line="23" w:lineRule="atLeast"/>
              <w:jc w:val="center"/>
              <w:rPr>
                <w:rFonts w:ascii="Arial" w:hAnsi="Arial" w:cs="Arial"/>
                <w:b/>
                <w:sz w:val="18"/>
                <w:szCs w:val="18"/>
              </w:rPr>
            </w:pPr>
            <w:r w:rsidRPr="009C3B88">
              <w:rPr>
                <w:rFonts w:ascii="Arial" w:hAnsi="Arial" w:cs="Arial"/>
                <w:b/>
                <w:sz w:val="18"/>
                <w:szCs w:val="18"/>
              </w:rPr>
              <w:t>CPEUM</w:t>
            </w:r>
          </w:p>
        </w:tc>
        <w:tc>
          <w:tcPr>
            <w:tcW w:w="7229" w:type="dxa"/>
            <w:shd w:val="clear" w:color="auto" w:fill="auto"/>
          </w:tcPr>
          <w:p w14:paraId="6D84317F" w14:textId="77777777" w:rsidR="00261109" w:rsidRPr="009C3B88" w:rsidRDefault="00261109" w:rsidP="00261109">
            <w:pPr>
              <w:autoSpaceDE w:val="0"/>
              <w:autoSpaceDN w:val="0"/>
              <w:adjustRightInd w:val="0"/>
              <w:spacing w:before="120" w:after="120" w:line="23" w:lineRule="atLeast"/>
              <w:jc w:val="both"/>
              <w:rPr>
                <w:rFonts w:ascii="Arial" w:hAnsi="Arial" w:cs="Arial"/>
                <w:sz w:val="18"/>
                <w:szCs w:val="18"/>
              </w:rPr>
            </w:pPr>
            <w:r w:rsidRPr="009C3B88">
              <w:rPr>
                <w:rFonts w:ascii="Arial" w:hAnsi="Arial" w:cs="Arial"/>
                <w:sz w:val="18"/>
                <w:szCs w:val="18"/>
              </w:rPr>
              <w:t>Constitución Política de los Estados Unidos Mexicanos.</w:t>
            </w:r>
          </w:p>
        </w:tc>
      </w:tr>
      <w:tr w:rsidR="00261109" w:rsidRPr="003E2214" w14:paraId="072C7B3D" w14:textId="77777777" w:rsidTr="006445B0">
        <w:trPr>
          <w:trHeight w:val="77"/>
          <w:jc w:val="center"/>
        </w:trPr>
        <w:tc>
          <w:tcPr>
            <w:tcW w:w="1555" w:type="dxa"/>
            <w:shd w:val="clear" w:color="auto" w:fill="auto"/>
            <w:vAlign w:val="center"/>
          </w:tcPr>
          <w:p w14:paraId="5423DC16" w14:textId="6732660C" w:rsidR="00261109" w:rsidRPr="009C3B88" w:rsidRDefault="00261109" w:rsidP="00261109">
            <w:pPr>
              <w:autoSpaceDE w:val="0"/>
              <w:autoSpaceDN w:val="0"/>
              <w:adjustRightInd w:val="0"/>
              <w:spacing w:before="120" w:after="120" w:line="23" w:lineRule="atLeast"/>
              <w:jc w:val="center"/>
              <w:rPr>
                <w:rFonts w:ascii="Arial" w:hAnsi="Arial" w:cs="Arial"/>
                <w:b/>
                <w:sz w:val="18"/>
                <w:szCs w:val="18"/>
              </w:rPr>
            </w:pPr>
            <w:r w:rsidRPr="009C3B88">
              <w:rPr>
                <w:rFonts w:ascii="Arial" w:hAnsi="Arial" w:cs="Arial"/>
                <w:b/>
                <w:sz w:val="18"/>
                <w:szCs w:val="18"/>
              </w:rPr>
              <w:t>DOF</w:t>
            </w:r>
          </w:p>
        </w:tc>
        <w:tc>
          <w:tcPr>
            <w:tcW w:w="7229" w:type="dxa"/>
            <w:shd w:val="clear" w:color="auto" w:fill="auto"/>
          </w:tcPr>
          <w:p w14:paraId="7EBF2CF4" w14:textId="1381BE18" w:rsidR="00261109" w:rsidRPr="009C3B88" w:rsidRDefault="00261109" w:rsidP="00261109">
            <w:pPr>
              <w:autoSpaceDE w:val="0"/>
              <w:autoSpaceDN w:val="0"/>
              <w:adjustRightInd w:val="0"/>
              <w:spacing w:before="120" w:after="120" w:line="23" w:lineRule="atLeast"/>
              <w:jc w:val="both"/>
              <w:rPr>
                <w:rFonts w:ascii="Arial" w:hAnsi="Arial" w:cs="Arial"/>
                <w:sz w:val="18"/>
                <w:szCs w:val="18"/>
              </w:rPr>
            </w:pPr>
            <w:r w:rsidRPr="009C3B88">
              <w:rPr>
                <w:rFonts w:ascii="Arial" w:hAnsi="Arial" w:cs="Arial"/>
                <w:sz w:val="18"/>
                <w:szCs w:val="18"/>
              </w:rPr>
              <w:t>Diario Oficial de la Federación.</w:t>
            </w:r>
          </w:p>
        </w:tc>
      </w:tr>
      <w:tr w:rsidR="00261109" w:rsidRPr="003E2214" w14:paraId="3BB91452" w14:textId="77777777" w:rsidTr="006445B0">
        <w:trPr>
          <w:trHeight w:val="77"/>
          <w:jc w:val="center"/>
        </w:trPr>
        <w:tc>
          <w:tcPr>
            <w:tcW w:w="1555" w:type="dxa"/>
            <w:shd w:val="clear" w:color="auto" w:fill="auto"/>
            <w:vAlign w:val="center"/>
          </w:tcPr>
          <w:p w14:paraId="59CA8906" w14:textId="77777777" w:rsidR="00261109" w:rsidRPr="009C3B88" w:rsidRDefault="00261109" w:rsidP="00261109">
            <w:pPr>
              <w:autoSpaceDE w:val="0"/>
              <w:autoSpaceDN w:val="0"/>
              <w:adjustRightInd w:val="0"/>
              <w:spacing w:before="120" w:after="120" w:line="23" w:lineRule="atLeast"/>
              <w:jc w:val="center"/>
              <w:rPr>
                <w:rFonts w:ascii="Arial" w:hAnsi="Arial" w:cs="Arial"/>
                <w:b/>
                <w:sz w:val="18"/>
                <w:szCs w:val="18"/>
              </w:rPr>
            </w:pPr>
            <w:r w:rsidRPr="009C3B88">
              <w:rPr>
                <w:rFonts w:ascii="Arial" w:hAnsi="Arial" w:cs="Arial"/>
                <w:b/>
                <w:sz w:val="18"/>
                <w:szCs w:val="18"/>
              </w:rPr>
              <w:t>Instituto</w:t>
            </w:r>
            <w:r w:rsidRPr="009C3B88">
              <w:rPr>
                <w:rFonts w:ascii="Arial" w:hAnsi="Arial" w:cs="Arial"/>
                <w:b/>
                <w:bCs/>
                <w:sz w:val="18"/>
                <w:szCs w:val="18"/>
              </w:rPr>
              <w:t xml:space="preserve"> o IFT</w:t>
            </w:r>
          </w:p>
        </w:tc>
        <w:tc>
          <w:tcPr>
            <w:tcW w:w="7229" w:type="dxa"/>
            <w:shd w:val="clear" w:color="auto" w:fill="auto"/>
          </w:tcPr>
          <w:p w14:paraId="49F79FC5" w14:textId="77777777" w:rsidR="00261109" w:rsidRPr="009C3B88" w:rsidRDefault="00261109" w:rsidP="00261109">
            <w:pPr>
              <w:autoSpaceDE w:val="0"/>
              <w:autoSpaceDN w:val="0"/>
              <w:adjustRightInd w:val="0"/>
              <w:spacing w:before="120" w:after="120" w:line="23" w:lineRule="atLeast"/>
              <w:jc w:val="both"/>
              <w:rPr>
                <w:rFonts w:ascii="Arial" w:hAnsi="Arial" w:cs="Arial"/>
                <w:sz w:val="18"/>
                <w:szCs w:val="18"/>
              </w:rPr>
            </w:pPr>
            <w:r w:rsidRPr="009C3B88">
              <w:rPr>
                <w:rFonts w:ascii="Arial" w:hAnsi="Arial" w:cs="Arial"/>
                <w:sz w:val="18"/>
                <w:szCs w:val="18"/>
              </w:rPr>
              <w:t>Instituto Federal de Telecomunicaciones.</w:t>
            </w:r>
          </w:p>
        </w:tc>
      </w:tr>
      <w:tr w:rsidR="00261109" w:rsidRPr="003E2214" w14:paraId="73594182" w14:textId="77777777" w:rsidTr="006445B0">
        <w:trPr>
          <w:trHeight w:val="77"/>
          <w:jc w:val="center"/>
        </w:trPr>
        <w:tc>
          <w:tcPr>
            <w:tcW w:w="1555" w:type="dxa"/>
            <w:shd w:val="clear" w:color="auto" w:fill="auto"/>
            <w:vAlign w:val="center"/>
          </w:tcPr>
          <w:p w14:paraId="464D59C4" w14:textId="5DF0ABA4" w:rsidR="00261109" w:rsidRPr="009C3B88" w:rsidRDefault="00261109" w:rsidP="00261109">
            <w:pPr>
              <w:autoSpaceDE w:val="0"/>
              <w:autoSpaceDN w:val="0"/>
              <w:adjustRightInd w:val="0"/>
              <w:spacing w:before="120" w:after="120" w:line="23" w:lineRule="atLeast"/>
              <w:jc w:val="center"/>
              <w:rPr>
                <w:rFonts w:ascii="Arial" w:hAnsi="Arial" w:cs="Arial"/>
                <w:b/>
                <w:color w:val="FF0000"/>
                <w:sz w:val="18"/>
                <w:szCs w:val="18"/>
              </w:rPr>
            </w:pPr>
            <w:r w:rsidRPr="00881BE3">
              <w:rPr>
                <w:rFonts w:ascii="Arial" w:hAnsi="Arial" w:cs="Arial"/>
                <w:b/>
                <w:sz w:val="18"/>
                <w:szCs w:val="18"/>
              </w:rPr>
              <w:t>DRLFCE</w:t>
            </w:r>
          </w:p>
        </w:tc>
        <w:tc>
          <w:tcPr>
            <w:tcW w:w="7229" w:type="dxa"/>
            <w:shd w:val="clear" w:color="auto" w:fill="auto"/>
          </w:tcPr>
          <w:p w14:paraId="20799516" w14:textId="54B2A277" w:rsidR="00261109" w:rsidRPr="009C3B88" w:rsidRDefault="00261109" w:rsidP="00261109">
            <w:pPr>
              <w:autoSpaceDE w:val="0"/>
              <w:autoSpaceDN w:val="0"/>
              <w:adjustRightInd w:val="0"/>
              <w:spacing w:before="120" w:after="120" w:line="23" w:lineRule="atLeast"/>
              <w:jc w:val="both"/>
              <w:rPr>
                <w:rFonts w:ascii="Arial" w:hAnsi="Arial" w:cs="Arial"/>
                <w:sz w:val="18"/>
                <w:szCs w:val="18"/>
              </w:rPr>
            </w:pPr>
            <w:r w:rsidRPr="00395D35">
              <w:rPr>
                <w:rFonts w:ascii="Arial" w:hAnsi="Arial" w:cs="Arial"/>
                <w:sz w:val="18"/>
                <w:szCs w:val="18"/>
              </w:rPr>
              <w:t>Disposiciones Regulatorias de la Ley Federal de Competencia Económica para los sectores de telecomunicaciones y radiodifusión</w:t>
            </w:r>
            <w:r w:rsidRPr="004A2CE1">
              <w:rPr>
                <w:rFonts w:ascii="Arial" w:hAnsi="Arial" w:cs="Arial"/>
                <w:sz w:val="18"/>
                <w:szCs w:val="18"/>
              </w:rPr>
              <w:t>.</w:t>
            </w:r>
          </w:p>
        </w:tc>
      </w:tr>
      <w:tr w:rsidR="00261109" w:rsidRPr="003E2214" w14:paraId="65A08F72" w14:textId="77777777" w:rsidTr="006445B0">
        <w:trPr>
          <w:trHeight w:val="77"/>
          <w:jc w:val="center"/>
        </w:trPr>
        <w:tc>
          <w:tcPr>
            <w:tcW w:w="1555" w:type="dxa"/>
            <w:shd w:val="clear" w:color="auto" w:fill="auto"/>
            <w:vAlign w:val="center"/>
          </w:tcPr>
          <w:p w14:paraId="0C81844A" w14:textId="77777777" w:rsidR="00261109" w:rsidRPr="009C3B88" w:rsidRDefault="00261109" w:rsidP="00261109">
            <w:pPr>
              <w:autoSpaceDE w:val="0"/>
              <w:autoSpaceDN w:val="0"/>
              <w:adjustRightInd w:val="0"/>
              <w:spacing w:before="120" w:after="120" w:line="23" w:lineRule="atLeast"/>
              <w:jc w:val="center"/>
              <w:rPr>
                <w:rFonts w:ascii="Arial" w:hAnsi="Arial" w:cs="Arial"/>
                <w:b/>
                <w:sz w:val="18"/>
                <w:szCs w:val="18"/>
              </w:rPr>
            </w:pPr>
            <w:r w:rsidRPr="009C3B88">
              <w:rPr>
                <w:rFonts w:ascii="Arial" w:hAnsi="Arial" w:cs="Arial"/>
                <w:b/>
                <w:sz w:val="18"/>
                <w:szCs w:val="18"/>
              </w:rPr>
              <w:t>Estatuto Orgánico</w:t>
            </w:r>
          </w:p>
        </w:tc>
        <w:tc>
          <w:tcPr>
            <w:tcW w:w="7229" w:type="dxa"/>
            <w:shd w:val="clear" w:color="auto" w:fill="auto"/>
          </w:tcPr>
          <w:p w14:paraId="5FBCB60A" w14:textId="69E90EA4" w:rsidR="00261109" w:rsidRPr="009C3B88" w:rsidRDefault="00261109" w:rsidP="00261109">
            <w:pPr>
              <w:autoSpaceDE w:val="0"/>
              <w:autoSpaceDN w:val="0"/>
              <w:adjustRightInd w:val="0"/>
              <w:spacing w:before="120" w:after="120" w:line="23" w:lineRule="atLeast"/>
              <w:jc w:val="both"/>
              <w:rPr>
                <w:rFonts w:ascii="Arial" w:hAnsi="Arial" w:cs="Arial"/>
                <w:sz w:val="18"/>
                <w:szCs w:val="18"/>
              </w:rPr>
            </w:pPr>
            <w:r w:rsidRPr="009C3B88">
              <w:rPr>
                <w:rFonts w:ascii="Arial" w:hAnsi="Arial" w:cs="Arial"/>
                <w:sz w:val="18"/>
                <w:szCs w:val="18"/>
              </w:rPr>
              <w:t>Estatuto Orgánico del Instituto Federal de Telecomunicaciones</w:t>
            </w:r>
            <w:r>
              <w:rPr>
                <w:rFonts w:ascii="Arial" w:hAnsi="Arial" w:cs="Arial"/>
                <w:sz w:val="18"/>
                <w:szCs w:val="18"/>
              </w:rPr>
              <w:t>.</w:t>
            </w:r>
          </w:p>
        </w:tc>
      </w:tr>
      <w:tr w:rsidR="00261109" w:rsidRPr="003E2214" w14:paraId="73C559D9" w14:textId="77777777" w:rsidTr="006445B0">
        <w:trPr>
          <w:trHeight w:val="77"/>
          <w:jc w:val="center"/>
        </w:trPr>
        <w:tc>
          <w:tcPr>
            <w:tcW w:w="1555" w:type="dxa"/>
            <w:shd w:val="clear" w:color="auto" w:fill="auto"/>
            <w:vAlign w:val="center"/>
          </w:tcPr>
          <w:p w14:paraId="5BAC053E" w14:textId="0396EEA2" w:rsidR="00261109" w:rsidRPr="009C3B88" w:rsidRDefault="00261109" w:rsidP="00261109">
            <w:pPr>
              <w:autoSpaceDE w:val="0"/>
              <w:autoSpaceDN w:val="0"/>
              <w:adjustRightInd w:val="0"/>
              <w:spacing w:before="120" w:after="120" w:line="23" w:lineRule="atLeast"/>
              <w:jc w:val="center"/>
              <w:rPr>
                <w:rFonts w:ascii="Arial" w:hAnsi="Arial" w:cs="Arial"/>
                <w:b/>
                <w:sz w:val="18"/>
                <w:szCs w:val="18"/>
              </w:rPr>
            </w:pPr>
            <w:r w:rsidRPr="009C3B88">
              <w:rPr>
                <w:rFonts w:ascii="Arial" w:hAnsi="Arial" w:cs="Arial"/>
                <w:b/>
                <w:sz w:val="18"/>
                <w:szCs w:val="18"/>
              </w:rPr>
              <w:t>LFCE</w:t>
            </w:r>
          </w:p>
        </w:tc>
        <w:tc>
          <w:tcPr>
            <w:tcW w:w="7229" w:type="dxa"/>
            <w:shd w:val="clear" w:color="auto" w:fill="auto"/>
          </w:tcPr>
          <w:p w14:paraId="71520CE3" w14:textId="13051855" w:rsidR="00261109" w:rsidRPr="009C3B88" w:rsidRDefault="00261109" w:rsidP="00261109">
            <w:pPr>
              <w:pStyle w:val="Textonotapie"/>
              <w:spacing w:before="120" w:after="120" w:line="23" w:lineRule="atLeast"/>
              <w:jc w:val="both"/>
              <w:rPr>
                <w:rFonts w:ascii="Arial" w:hAnsi="Arial" w:cs="Arial"/>
                <w:sz w:val="18"/>
                <w:szCs w:val="18"/>
              </w:rPr>
            </w:pPr>
            <w:r w:rsidRPr="009C3B88">
              <w:rPr>
                <w:rFonts w:ascii="Arial" w:hAnsi="Arial" w:cs="Arial"/>
                <w:sz w:val="18"/>
                <w:szCs w:val="18"/>
              </w:rPr>
              <w:t>Ley Federal de Competencia Económica</w:t>
            </w:r>
            <w:r>
              <w:rPr>
                <w:rFonts w:ascii="Arial" w:hAnsi="Arial" w:cs="Arial"/>
                <w:sz w:val="18"/>
                <w:szCs w:val="18"/>
              </w:rPr>
              <w:t>.</w:t>
            </w:r>
          </w:p>
        </w:tc>
      </w:tr>
      <w:tr w:rsidR="00261109" w:rsidRPr="003E2214" w14:paraId="5161146F" w14:textId="77777777" w:rsidTr="006445B0">
        <w:trPr>
          <w:trHeight w:val="77"/>
          <w:jc w:val="center"/>
        </w:trPr>
        <w:tc>
          <w:tcPr>
            <w:tcW w:w="1555" w:type="dxa"/>
            <w:shd w:val="clear" w:color="auto" w:fill="auto"/>
            <w:vAlign w:val="center"/>
          </w:tcPr>
          <w:p w14:paraId="7514BD8F" w14:textId="77777777" w:rsidR="00261109" w:rsidRPr="009C3B88" w:rsidRDefault="00261109" w:rsidP="00261109">
            <w:pPr>
              <w:autoSpaceDE w:val="0"/>
              <w:autoSpaceDN w:val="0"/>
              <w:adjustRightInd w:val="0"/>
              <w:spacing w:before="120" w:after="120" w:line="23" w:lineRule="atLeast"/>
              <w:jc w:val="center"/>
              <w:rPr>
                <w:rFonts w:ascii="Arial" w:hAnsi="Arial" w:cs="Arial"/>
                <w:b/>
                <w:sz w:val="18"/>
                <w:szCs w:val="18"/>
              </w:rPr>
            </w:pPr>
            <w:r w:rsidRPr="009C3B88">
              <w:rPr>
                <w:rFonts w:ascii="Arial" w:hAnsi="Arial" w:cs="Arial"/>
                <w:b/>
                <w:sz w:val="18"/>
                <w:szCs w:val="18"/>
              </w:rPr>
              <w:t>Participante 1</w:t>
            </w:r>
          </w:p>
        </w:tc>
        <w:tc>
          <w:tcPr>
            <w:tcW w:w="7229" w:type="dxa"/>
            <w:shd w:val="clear" w:color="auto" w:fill="auto"/>
          </w:tcPr>
          <w:p w14:paraId="37B90E29" w14:textId="59A07956" w:rsidR="00261109" w:rsidRPr="009C3B88" w:rsidRDefault="00261109" w:rsidP="00261109">
            <w:pPr>
              <w:autoSpaceDE w:val="0"/>
              <w:autoSpaceDN w:val="0"/>
              <w:adjustRightInd w:val="0"/>
              <w:spacing w:before="120" w:after="120" w:line="23" w:lineRule="atLeast"/>
              <w:jc w:val="both"/>
              <w:rPr>
                <w:rFonts w:ascii="Arial" w:hAnsi="Arial" w:cs="Arial"/>
                <w:sz w:val="18"/>
                <w:szCs w:val="18"/>
              </w:rPr>
            </w:pPr>
            <w:r w:rsidRPr="00395E27">
              <w:rPr>
                <w:rFonts w:ascii="Arial" w:hAnsi="Arial" w:cs="Arial"/>
                <w:sz w:val="18"/>
                <w:szCs w:val="18"/>
              </w:rPr>
              <w:t>Víctor Tomás López Baltierra, representante legal.</w:t>
            </w:r>
          </w:p>
        </w:tc>
      </w:tr>
      <w:tr w:rsidR="00261109" w:rsidRPr="003E2214" w14:paraId="1F084277" w14:textId="77777777" w:rsidTr="006445B0">
        <w:trPr>
          <w:trHeight w:val="77"/>
          <w:jc w:val="center"/>
        </w:trPr>
        <w:tc>
          <w:tcPr>
            <w:tcW w:w="1555" w:type="dxa"/>
            <w:shd w:val="clear" w:color="auto" w:fill="auto"/>
            <w:vAlign w:val="center"/>
          </w:tcPr>
          <w:p w14:paraId="1459C27D" w14:textId="77777777" w:rsidR="00261109" w:rsidRPr="009C3B88" w:rsidRDefault="00261109" w:rsidP="00261109">
            <w:pPr>
              <w:autoSpaceDE w:val="0"/>
              <w:autoSpaceDN w:val="0"/>
              <w:adjustRightInd w:val="0"/>
              <w:spacing w:before="120" w:after="120" w:line="23" w:lineRule="atLeast"/>
              <w:jc w:val="center"/>
              <w:rPr>
                <w:rFonts w:ascii="Arial" w:hAnsi="Arial" w:cs="Arial"/>
                <w:b/>
                <w:sz w:val="18"/>
                <w:szCs w:val="18"/>
              </w:rPr>
            </w:pPr>
            <w:r w:rsidRPr="009C3B88">
              <w:rPr>
                <w:rFonts w:ascii="Arial" w:hAnsi="Arial" w:cs="Arial"/>
                <w:b/>
                <w:sz w:val="18"/>
                <w:szCs w:val="18"/>
              </w:rPr>
              <w:t>Participante 2</w:t>
            </w:r>
          </w:p>
        </w:tc>
        <w:tc>
          <w:tcPr>
            <w:tcW w:w="7229" w:type="dxa"/>
            <w:shd w:val="clear" w:color="auto" w:fill="auto"/>
          </w:tcPr>
          <w:p w14:paraId="5286F8EB" w14:textId="1DD72AAF" w:rsidR="00261109" w:rsidRPr="009C3B88" w:rsidRDefault="00261109" w:rsidP="00261109">
            <w:pPr>
              <w:autoSpaceDE w:val="0"/>
              <w:autoSpaceDN w:val="0"/>
              <w:adjustRightInd w:val="0"/>
              <w:spacing w:before="120" w:after="120" w:line="23" w:lineRule="atLeast"/>
              <w:jc w:val="both"/>
              <w:rPr>
                <w:rFonts w:ascii="Arial" w:hAnsi="Arial" w:cs="Arial"/>
                <w:sz w:val="18"/>
                <w:szCs w:val="18"/>
              </w:rPr>
            </w:pPr>
            <w:r w:rsidRPr="009C3B88">
              <w:rPr>
                <w:rFonts w:ascii="Arial" w:hAnsi="Arial" w:cs="Arial"/>
                <w:sz w:val="18"/>
                <w:szCs w:val="18"/>
              </w:rPr>
              <w:t>Comisión Federal de Competencia Económica</w:t>
            </w:r>
            <w:r>
              <w:rPr>
                <w:rFonts w:ascii="Arial" w:hAnsi="Arial" w:cs="Arial"/>
                <w:sz w:val="18"/>
                <w:szCs w:val="18"/>
              </w:rPr>
              <w:t>.</w:t>
            </w:r>
            <w:r w:rsidR="00E77A28">
              <w:rPr>
                <w:rFonts w:ascii="Arial" w:hAnsi="Arial" w:cs="Arial"/>
                <w:sz w:val="18"/>
                <w:szCs w:val="18"/>
              </w:rPr>
              <w:t xml:space="preserve"> </w:t>
            </w:r>
          </w:p>
        </w:tc>
      </w:tr>
      <w:tr w:rsidR="00261109" w:rsidRPr="003E2214" w14:paraId="287FCDFD" w14:textId="77777777" w:rsidTr="006445B0">
        <w:trPr>
          <w:trHeight w:val="77"/>
          <w:jc w:val="center"/>
        </w:trPr>
        <w:tc>
          <w:tcPr>
            <w:tcW w:w="1555" w:type="dxa"/>
            <w:shd w:val="clear" w:color="auto" w:fill="auto"/>
            <w:vAlign w:val="center"/>
          </w:tcPr>
          <w:p w14:paraId="1AEA82B5" w14:textId="77777777" w:rsidR="00261109" w:rsidRPr="009C3B88" w:rsidRDefault="00261109" w:rsidP="00261109">
            <w:pPr>
              <w:autoSpaceDE w:val="0"/>
              <w:autoSpaceDN w:val="0"/>
              <w:adjustRightInd w:val="0"/>
              <w:spacing w:before="120" w:after="120" w:line="23" w:lineRule="atLeast"/>
              <w:jc w:val="center"/>
              <w:rPr>
                <w:rFonts w:ascii="Arial" w:hAnsi="Arial" w:cs="Arial"/>
                <w:b/>
                <w:sz w:val="18"/>
                <w:szCs w:val="18"/>
              </w:rPr>
            </w:pPr>
            <w:r w:rsidRPr="009C3B88">
              <w:rPr>
                <w:rFonts w:ascii="Arial" w:hAnsi="Arial" w:cs="Arial"/>
                <w:b/>
                <w:sz w:val="18"/>
                <w:szCs w:val="18"/>
              </w:rPr>
              <w:t>Participante 3</w:t>
            </w:r>
          </w:p>
        </w:tc>
        <w:tc>
          <w:tcPr>
            <w:tcW w:w="7229" w:type="dxa"/>
            <w:shd w:val="clear" w:color="auto" w:fill="auto"/>
          </w:tcPr>
          <w:p w14:paraId="31A52B6D" w14:textId="77777777" w:rsidR="00261109" w:rsidRPr="009C3B88" w:rsidRDefault="00261109" w:rsidP="00261109">
            <w:pPr>
              <w:autoSpaceDE w:val="0"/>
              <w:autoSpaceDN w:val="0"/>
              <w:adjustRightInd w:val="0"/>
              <w:spacing w:before="120" w:after="120" w:line="23" w:lineRule="atLeast"/>
              <w:jc w:val="both"/>
              <w:rPr>
                <w:rFonts w:ascii="Arial" w:hAnsi="Arial" w:cs="Arial"/>
                <w:sz w:val="18"/>
                <w:szCs w:val="18"/>
              </w:rPr>
            </w:pPr>
            <w:r w:rsidRPr="009C3B88">
              <w:rPr>
                <w:rFonts w:ascii="Arial" w:hAnsi="Arial" w:cs="Arial"/>
                <w:sz w:val="18"/>
                <w:szCs w:val="18"/>
              </w:rPr>
              <w:t xml:space="preserve">Lucía Regina de los Ángeles Ojeda Cárdenas, Alejandra Magaña Cruz, Diego Barragán Roche, Bruno Puerto Salazar y </w:t>
            </w:r>
            <w:proofErr w:type="spellStart"/>
            <w:r w:rsidRPr="009C3B88">
              <w:rPr>
                <w:rFonts w:ascii="Arial" w:hAnsi="Arial" w:cs="Arial"/>
                <w:sz w:val="18"/>
                <w:szCs w:val="18"/>
              </w:rPr>
              <w:t>Sasil</w:t>
            </w:r>
            <w:proofErr w:type="spellEnd"/>
            <w:r w:rsidRPr="009C3B88">
              <w:rPr>
                <w:rFonts w:ascii="Arial" w:hAnsi="Arial" w:cs="Arial"/>
                <w:sz w:val="18"/>
                <w:szCs w:val="18"/>
              </w:rPr>
              <w:t xml:space="preserve"> Sixtos Millán.</w:t>
            </w:r>
          </w:p>
        </w:tc>
      </w:tr>
      <w:tr w:rsidR="00261109" w:rsidRPr="003E2214" w14:paraId="4C79E292" w14:textId="77777777" w:rsidTr="006445B0">
        <w:trPr>
          <w:trHeight w:val="77"/>
          <w:jc w:val="center"/>
        </w:trPr>
        <w:tc>
          <w:tcPr>
            <w:tcW w:w="1555" w:type="dxa"/>
            <w:shd w:val="clear" w:color="auto" w:fill="auto"/>
            <w:vAlign w:val="center"/>
          </w:tcPr>
          <w:p w14:paraId="4A0E3123" w14:textId="77777777" w:rsidR="00261109" w:rsidRPr="009C3B88" w:rsidRDefault="00261109" w:rsidP="00261109">
            <w:pPr>
              <w:autoSpaceDE w:val="0"/>
              <w:autoSpaceDN w:val="0"/>
              <w:adjustRightInd w:val="0"/>
              <w:spacing w:before="120" w:after="120" w:line="23" w:lineRule="atLeast"/>
              <w:jc w:val="center"/>
              <w:rPr>
                <w:rFonts w:ascii="Arial" w:hAnsi="Arial" w:cs="Arial"/>
                <w:b/>
                <w:sz w:val="18"/>
                <w:szCs w:val="18"/>
              </w:rPr>
            </w:pPr>
            <w:r w:rsidRPr="009C3B88">
              <w:rPr>
                <w:rFonts w:ascii="Arial" w:hAnsi="Arial" w:cs="Arial"/>
                <w:b/>
                <w:sz w:val="18"/>
                <w:szCs w:val="18"/>
              </w:rPr>
              <w:t>Participante 4</w:t>
            </w:r>
          </w:p>
        </w:tc>
        <w:tc>
          <w:tcPr>
            <w:tcW w:w="7229" w:type="dxa"/>
            <w:shd w:val="clear" w:color="auto" w:fill="auto"/>
          </w:tcPr>
          <w:p w14:paraId="1D7FD778" w14:textId="77777777" w:rsidR="00261109" w:rsidRPr="009C3B88" w:rsidRDefault="00261109" w:rsidP="00261109">
            <w:pPr>
              <w:autoSpaceDE w:val="0"/>
              <w:autoSpaceDN w:val="0"/>
              <w:adjustRightInd w:val="0"/>
              <w:spacing w:before="120" w:after="120" w:line="23" w:lineRule="atLeast"/>
              <w:jc w:val="both"/>
              <w:rPr>
                <w:rFonts w:ascii="Arial" w:hAnsi="Arial" w:cs="Arial"/>
                <w:sz w:val="18"/>
                <w:szCs w:val="18"/>
              </w:rPr>
            </w:pPr>
            <w:r w:rsidRPr="009C3B88">
              <w:rPr>
                <w:rFonts w:ascii="Arial" w:hAnsi="Arial" w:cs="Arial"/>
                <w:sz w:val="18"/>
                <w:szCs w:val="18"/>
              </w:rPr>
              <w:t xml:space="preserve">Carlos Mora Villalpando. </w:t>
            </w:r>
          </w:p>
        </w:tc>
      </w:tr>
      <w:tr w:rsidR="00261109" w:rsidRPr="003E2214" w14:paraId="6410F47D" w14:textId="77777777" w:rsidTr="006445B0">
        <w:trPr>
          <w:trHeight w:val="77"/>
          <w:jc w:val="center"/>
        </w:trPr>
        <w:tc>
          <w:tcPr>
            <w:tcW w:w="1555" w:type="dxa"/>
            <w:shd w:val="clear" w:color="auto" w:fill="auto"/>
            <w:vAlign w:val="center"/>
          </w:tcPr>
          <w:p w14:paraId="79764A06" w14:textId="69571403" w:rsidR="00261109" w:rsidRPr="009C3B88" w:rsidRDefault="00261109" w:rsidP="00261109">
            <w:pPr>
              <w:autoSpaceDE w:val="0"/>
              <w:autoSpaceDN w:val="0"/>
              <w:adjustRightInd w:val="0"/>
              <w:spacing w:before="120" w:after="120" w:line="23" w:lineRule="atLeast"/>
              <w:jc w:val="center"/>
              <w:rPr>
                <w:rFonts w:ascii="Arial" w:hAnsi="Arial" w:cs="Arial"/>
                <w:b/>
                <w:sz w:val="18"/>
                <w:szCs w:val="18"/>
              </w:rPr>
            </w:pPr>
            <w:r w:rsidRPr="003B4E20">
              <w:rPr>
                <w:rFonts w:ascii="Arial" w:hAnsi="Arial" w:cs="Arial"/>
                <w:b/>
                <w:sz w:val="18"/>
                <w:szCs w:val="18"/>
              </w:rPr>
              <w:t>PAT</w:t>
            </w:r>
          </w:p>
        </w:tc>
        <w:tc>
          <w:tcPr>
            <w:tcW w:w="7229" w:type="dxa"/>
            <w:shd w:val="clear" w:color="auto" w:fill="auto"/>
            <w:vAlign w:val="center"/>
          </w:tcPr>
          <w:p w14:paraId="4A02AF6E" w14:textId="4CA79C8B" w:rsidR="00261109" w:rsidRPr="009C3B88" w:rsidRDefault="00261109" w:rsidP="00261109">
            <w:pPr>
              <w:autoSpaceDE w:val="0"/>
              <w:autoSpaceDN w:val="0"/>
              <w:adjustRightInd w:val="0"/>
              <w:spacing w:before="120" w:after="120" w:line="23" w:lineRule="atLeast"/>
              <w:jc w:val="both"/>
              <w:rPr>
                <w:rFonts w:ascii="Arial" w:hAnsi="Arial" w:cs="Arial"/>
                <w:sz w:val="18"/>
                <w:szCs w:val="18"/>
              </w:rPr>
            </w:pPr>
            <w:r w:rsidRPr="00730154">
              <w:rPr>
                <w:rFonts w:ascii="Arial" w:hAnsi="Arial" w:cs="Arial"/>
                <w:sz w:val="18"/>
                <w:szCs w:val="18"/>
              </w:rPr>
              <w:t>Programa Anual de Trabajo del Instituto para el año 2021.</w:t>
            </w:r>
          </w:p>
        </w:tc>
      </w:tr>
      <w:tr w:rsidR="00261109" w:rsidRPr="003E2214" w14:paraId="15BCB042" w14:textId="77777777" w:rsidTr="006445B0">
        <w:trPr>
          <w:trHeight w:val="77"/>
          <w:jc w:val="center"/>
        </w:trPr>
        <w:tc>
          <w:tcPr>
            <w:tcW w:w="1555" w:type="dxa"/>
            <w:shd w:val="clear" w:color="auto" w:fill="auto"/>
            <w:vAlign w:val="center"/>
          </w:tcPr>
          <w:p w14:paraId="7AF5DBEB" w14:textId="77777777" w:rsidR="00261109" w:rsidRPr="009C3B88" w:rsidRDefault="00261109" w:rsidP="00261109">
            <w:pPr>
              <w:autoSpaceDE w:val="0"/>
              <w:autoSpaceDN w:val="0"/>
              <w:adjustRightInd w:val="0"/>
              <w:spacing w:before="120" w:after="120" w:line="23" w:lineRule="atLeast"/>
              <w:jc w:val="center"/>
              <w:rPr>
                <w:rFonts w:ascii="Arial" w:hAnsi="Arial" w:cs="Arial"/>
                <w:b/>
                <w:sz w:val="18"/>
                <w:szCs w:val="18"/>
              </w:rPr>
            </w:pPr>
            <w:r w:rsidRPr="009C3B88">
              <w:rPr>
                <w:rFonts w:ascii="Arial" w:hAnsi="Arial" w:cs="Arial"/>
                <w:b/>
                <w:sz w:val="18"/>
                <w:szCs w:val="18"/>
              </w:rPr>
              <w:t>Pleno</w:t>
            </w:r>
          </w:p>
        </w:tc>
        <w:tc>
          <w:tcPr>
            <w:tcW w:w="7229" w:type="dxa"/>
            <w:shd w:val="clear" w:color="auto" w:fill="auto"/>
          </w:tcPr>
          <w:p w14:paraId="4502C141" w14:textId="5E43B5E9" w:rsidR="00261109" w:rsidRPr="009C3B88" w:rsidRDefault="00261109" w:rsidP="00261109">
            <w:pPr>
              <w:autoSpaceDE w:val="0"/>
              <w:autoSpaceDN w:val="0"/>
              <w:adjustRightInd w:val="0"/>
              <w:spacing w:before="120" w:after="120" w:line="23" w:lineRule="atLeast"/>
              <w:jc w:val="both"/>
              <w:rPr>
                <w:rFonts w:ascii="Arial" w:hAnsi="Arial" w:cs="Arial"/>
                <w:sz w:val="18"/>
                <w:szCs w:val="18"/>
              </w:rPr>
            </w:pPr>
            <w:r w:rsidRPr="00B73257">
              <w:rPr>
                <w:rFonts w:ascii="Arial" w:hAnsi="Arial" w:cs="Arial"/>
                <w:sz w:val="18"/>
                <w:szCs w:val="18"/>
              </w:rPr>
              <w:t>Órgano máximo de gobierno del Instituto, integrado por siete Comisionados, incluyendo al Comisionado Presidente</w:t>
            </w:r>
            <w:r w:rsidRPr="009C3B88">
              <w:rPr>
                <w:rFonts w:ascii="Arial" w:hAnsi="Arial" w:cs="Arial"/>
                <w:sz w:val="18"/>
                <w:szCs w:val="18"/>
              </w:rPr>
              <w:t>.</w:t>
            </w:r>
          </w:p>
        </w:tc>
      </w:tr>
      <w:tr w:rsidR="00261109" w:rsidRPr="003E2214" w14:paraId="22C1D684" w14:textId="77777777" w:rsidTr="006445B0">
        <w:trPr>
          <w:trHeight w:val="77"/>
          <w:jc w:val="center"/>
        </w:trPr>
        <w:tc>
          <w:tcPr>
            <w:tcW w:w="1555" w:type="dxa"/>
            <w:shd w:val="clear" w:color="auto" w:fill="auto"/>
            <w:vAlign w:val="center"/>
          </w:tcPr>
          <w:p w14:paraId="02C29F0F" w14:textId="77AC2BBB" w:rsidR="00261109" w:rsidRPr="009C3B88" w:rsidRDefault="00261109" w:rsidP="00261109">
            <w:pPr>
              <w:autoSpaceDE w:val="0"/>
              <w:autoSpaceDN w:val="0"/>
              <w:adjustRightInd w:val="0"/>
              <w:spacing w:before="120" w:after="120" w:line="23" w:lineRule="atLeast"/>
              <w:jc w:val="center"/>
              <w:rPr>
                <w:rFonts w:ascii="Arial" w:hAnsi="Arial" w:cs="Arial"/>
                <w:b/>
                <w:sz w:val="18"/>
                <w:szCs w:val="18"/>
              </w:rPr>
            </w:pPr>
            <w:r w:rsidRPr="005945EA">
              <w:rPr>
                <w:rFonts w:ascii="Arial" w:hAnsi="Arial" w:cs="Arial"/>
                <w:b/>
                <w:sz w:val="18"/>
                <w:szCs w:val="18"/>
              </w:rPr>
              <w:t>Proyecto/Guía</w:t>
            </w:r>
          </w:p>
        </w:tc>
        <w:tc>
          <w:tcPr>
            <w:tcW w:w="7229" w:type="dxa"/>
            <w:shd w:val="clear" w:color="auto" w:fill="auto"/>
          </w:tcPr>
          <w:p w14:paraId="7F5CB612" w14:textId="18BD6BC5" w:rsidR="00261109" w:rsidRPr="009C3B88" w:rsidRDefault="00261109" w:rsidP="00261109">
            <w:pPr>
              <w:autoSpaceDE w:val="0"/>
              <w:autoSpaceDN w:val="0"/>
              <w:adjustRightInd w:val="0"/>
              <w:spacing w:before="120" w:after="120" w:line="23" w:lineRule="atLeast"/>
              <w:jc w:val="both"/>
              <w:rPr>
                <w:rFonts w:ascii="Arial" w:hAnsi="Arial" w:cs="Arial"/>
                <w:sz w:val="18"/>
                <w:szCs w:val="18"/>
              </w:rPr>
            </w:pPr>
            <w:r w:rsidRPr="009C3B88">
              <w:rPr>
                <w:rFonts w:ascii="Arial" w:hAnsi="Arial" w:cs="Arial"/>
                <w:sz w:val="18"/>
                <w:szCs w:val="18"/>
              </w:rPr>
              <w:t>Proyecto de Guía para tramitar el procedimiento seguido en forma de juicio por la comisión de prácticas monopólicas y concentraciones ilícitas en los sectores de Telecomunicaciones y Radiodifusión</w:t>
            </w:r>
            <w:r w:rsidRPr="005729BD">
              <w:rPr>
                <w:rFonts w:ascii="Arial" w:hAnsi="Arial" w:cs="Arial"/>
                <w:sz w:val="18"/>
                <w:szCs w:val="18"/>
              </w:rPr>
              <w:t>.</w:t>
            </w:r>
            <w:r>
              <w:rPr>
                <w:rFonts w:ascii="Arial" w:hAnsi="Arial" w:cs="Arial"/>
                <w:sz w:val="18"/>
                <w:szCs w:val="18"/>
              </w:rPr>
              <w:t xml:space="preserve"> </w:t>
            </w:r>
          </w:p>
        </w:tc>
      </w:tr>
      <w:tr w:rsidR="00261109" w:rsidRPr="003E2214" w14:paraId="0E504541" w14:textId="77777777" w:rsidTr="006445B0">
        <w:trPr>
          <w:trHeight w:val="77"/>
          <w:jc w:val="center"/>
        </w:trPr>
        <w:tc>
          <w:tcPr>
            <w:tcW w:w="1555" w:type="dxa"/>
            <w:shd w:val="clear" w:color="auto" w:fill="auto"/>
            <w:vAlign w:val="center"/>
          </w:tcPr>
          <w:p w14:paraId="014F47D2" w14:textId="77777777" w:rsidR="00261109" w:rsidRPr="009C3B88" w:rsidRDefault="00261109" w:rsidP="00261109">
            <w:pPr>
              <w:autoSpaceDE w:val="0"/>
              <w:autoSpaceDN w:val="0"/>
              <w:adjustRightInd w:val="0"/>
              <w:spacing w:before="120" w:after="120" w:line="23" w:lineRule="atLeast"/>
              <w:jc w:val="center"/>
              <w:rPr>
                <w:rFonts w:ascii="Arial" w:hAnsi="Arial" w:cs="Arial"/>
                <w:b/>
                <w:bCs/>
                <w:sz w:val="18"/>
                <w:szCs w:val="18"/>
              </w:rPr>
            </w:pPr>
            <w:r w:rsidRPr="009C3B88">
              <w:rPr>
                <w:rFonts w:ascii="Arial" w:hAnsi="Arial" w:cs="Arial"/>
                <w:b/>
                <w:bCs/>
                <w:sz w:val="18"/>
                <w:szCs w:val="18"/>
              </w:rPr>
              <w:t>PSFJ</w:t>
            </w:r>
          </w:p>
        </w:tc>
        <w:tc>
          <w:tcPr>
            <w:tcW w:w="7229" w:type="dxa"/>
            <w:shd w:val="clear" w:color="auto" w:fill="auto"/>
          </w:tcPr>
          <w:p w14:paraId="5982E9CD" w14:textId="77777777" w:rsidR="00261109" w:rsidRPr="009C3B88" w:rsidRDefault="00261109" w:rsidP="00261109">
            <w:pPr>
              <w:autoSpaceDE w:val="0"/>
              <w:autoSpaceDN w:val="0"/>
              <w:adjustRightInd w:val="0"/>
              <w:spacing w:before="120" w:after="120" w:line="23" w:lineRule="atLeast"/>
              <w:jc w:val="both"/>
              <w:rPr>
                <w:rFonts w:ascii="Arial" w:hAnsi="Arial" w:cs="Arial"/>
                <w:sz w:val="18"/>
                <w:szCs w:val="18"/>
              </w:rPr>
            </w:pPr>
            <w:r w:rsidRPr="009C3B88">
              <w:rPr>
                <w:rFonts w:ascii="Arial" w:hAnsi="Arial" w:cs="Arial"/>
                <w:sz w:val="18"/>
                <w:szCs w:val="18"/>
              </w:rPr>
              <w:t>Procedimiento Seguido en Forma de Juicio.</w:t>
            </w:r>
          </w:p>
        </w:tc>
      </w:tr>
      <w:tr w:rsidR="00261109" w:rsidRPr="003E2214" w14:paraId="6D6C5F25" w14:textId="77777777" w:rsidTr="006445B0">
        <w:trPr>
          <w:trHeight w:val="77"/>
          <w:jc w:val="center"/>
        </w:trPr>
        <w:tc>
          <w:tcPr>
            <w:tcW w:w="1555" w:type="dxa"/>
            <w:shd w:val="clear" w:color="auto" w:fill="auto"/>
            <w:vAlign w:val="center"/>
          </w:tcPr>
          <w:p w14:paraId="387D7D25" w14:textId="77777777" w:rsidR="00261109" w:rsidRPr="009C3B88" w:rsidRDefault="00261109" w:rsidP="00261109">
            <w:pPr>
              <w:autoSpaceDE w:val="0"/>
              <w:autoSpaceDN w:val="0"/>
              <w:adjustRightInd w:val="0"/>
              <w:spacing w:before="120" w:after="120" w:line="23" w:lineRule="atLeast"/>
              <w:jc w:val="center"/>
              <w:rPr>
                <w:rFonts w:ascii="Arial" w:hAnsi="Arial" w:cs="Arial"/>
                <w:b/>
                <w:sz w:val="18"/>
                <w:szCs w:val="18"/>
              </w:rPr>
            </w:pPr>
            <w:r w:rsidRPr="009C3B88">
              <w:rPr>
                <w:rFonts w:ascii="Arial" w:hAnsi="Arial" w:cs="Arial"/>
                <w:b/>
                <w:sz w:val="18"/>
                <w:szCs w:val="18"/>
              </w:rPr>
              <w:t>UCE</w:t>
            </w:r>
          </w:p>
        </w:tc>
        <w:tc>
          <w:tcPr>
            <w:tcW w:w="7229" w:type="dxa"/>
            <w:shd w:val="clear" w:color="auto" w:fill="auto"/>
          </w:tcPr>
          <w:p w14:paraId="4136C690" w14:textId="33B12D58" w:rsidR="00261109" w:rsidRPr="009C3B88" w:rsidRDefault="00261109" w:rsidP="00261109">
            <w:pPr>
              <w:autoSpaceDE w:val="0"/>
              <w:autoSpaceDN w:val="0"/>
              <w:adjustRightInd w:val="0"/>
              <w:spacing w:before="120" w:after="120" w:line="23" w:lineRule="atLeast"/>
              <w:jc w:val="both"/>
              <w:rPr>
                <w:rFonts w:ascii="Arial" w:hAnsi="Arial" w:cs="Arial"/>
                <w:sz w:val="18"/>
                <w:szCs w:val="18"/>
              </w:rPr>
            </w:pPr>
            <w:r w:rsidRPr="009C3B88">
              <w:rPr>
                <w:rFonts w:ascii="Arial" w:hAnsi="Arial" w:cs="Arial"/>
                <w:sz w:val="18"/>
                <w:szCs w:val="18"/>
              </w:rPr>
              <w:t xml:space="preserve">Unidad de </w:t>
            </w:r>
            <w:r>
              <w:rPr>
                <w:rFonts w:ascii="Arial" w:hAnsi="Arial" w:cs="Arial"/>
                <w:sz w:val="18"/>
                <w:szCs w:val="18"/>
              </w:rPr>
              <w:t>C</w:t>
            </w:r>
            <w:r w:rsidRPr="009C3B88">
              <w:rPr>
                <w:rFonts w:ascii="Arial" w:hAnsi="Arial" w:cs="Arial"/>
                <w:sz w:val="18"/>
                <w:szCs w:val="18"/>
              </w:rPr>
              <w:t>ompetencia Económica</w:t>
            </w:r>
            <w:r>
              <w:rPr>
                <w:rFonts w:ascii="Arial" w:hAnsi="Arial" w:cs="Arial"/>
                <w:sz w:val="18"/>
                <w:szCs w:val="18"/>
              </w:rPr>
              <w:t xml:space="preserve"> </w:t>
            </w:r>
            <w:r w:rsidRPr="00C35F7D">
              <w:rPr>
                <w:rFonts w:ascii="Arial" w:hAnsi="Arial" w:cs="Arial"/>
                <w:sz w:val="18"/>
                <w:szCs w:val="18"/>
              </w:rPr>
              <w:t>del Instituto</w:t>
            </w:r>
            <w:r w:rsidRPr="009C3B88">
              <w:rPr>
                <w:rFonts w:ascii="Arial" w:hAnsi="Arial" w:cs="Arial"/>
                <w:sz w:val="18"/>
                <w:szCs w:val="18"/>
              </w:rPr>
              <w:t xml:space="preserve">. </w:t>
            </w:r>
            <w:r>
              <w:rPr>
                <w:rFonts w:ascii="Arial" w:hAnsi="Arial" w:cs="Arial"/>
                <w:sz w:val="18"/>
                <w:szCs w:val="18"/>
              </w:rPr>
              <w:t xml:space="preserve"> </w:t>
            </w:r>
          </w:p>
        </w:tc>
      </w:tr>
    </w:tbl>
    <w:p w14:paraId="691CA4BD" w14:textId="000EFA0C" w:rsidR="00BD0207" w:rsidRDefault="009C0C80" w:rsidP="005F39CC">
      <w:pPr>
        <w:spacing w:before="120" w:after="120" w:line="23" w:lineRule="atLeast"/>
        <w:jc w:val="both"/>
        <w:rPr>
          <w:rFonts w:ascii="Arial" w:hAnsi="Arial" w:cs="Arial"/>
          <w:b/>
          <w:bCs/>
        </w:rPr>
      </w:pPr>
      <w:r>
        <w:rPr>
          <w:rFonts w:ascii="Arial" w:hAnsi="Arial" w:cs="Arial"/>
          <w:b/>
          <w:bCs/>
        </w:rPr>
        <w:t>1</w:t>
      </w:r>
      <w:r w:rsidR="00BD0207" w:rsidRPr="00BD0207">
        <w:rPr>
          <w:rFonts w:ascii="Arial" w:hAnsi="Arial" w:cs="Arial"/>
          <w:b/>
          <w:bCs/>
        </w:rPr>
        <w:t>.</w:t>
      </w:r>
      <w:r w:rsidR="00BD0207">
        <w:rPr>
          <w:rFonts w:ascii="Arial" w:hAnsi="Arial" w:cs="Arial"/>
          <w:b/>
          <w:bCs/>
        </w:rPr>
        <w:t xml:space="preserve"> Fecha de Elaboración</w:t>
      </w:r>
      <w:r w:rsidR="007C1BEB">
        <w:rPr>
          <w:rFonts w:ascii="Arial" w:hAnsi="Arial" w:cs="Arial"/>
          <w:b/>
          <w:bCs/>
        </w:rPr>
        <w:t>.</w:t>
      </w:r>
    </w:p>
    <w:p w14:paraId="02977C6A" w14:textId="72B0CFAC" w:rsidR="00BD0207" w:rsidRPr="0088630D" w:rsidRDefault="00BD0207" w:rsidP="00D50B18">
      <w:pPr>
        <w:spacing w:before="120" w:after="120" w:line="23" w:lineRule="atLeast"/>
        <w:jc w:val="both"/>
        <w:rPr>
          <w:rFonts w:ascii="Arial" w:hAnsi="Arial" w:cs="Arial"/>
        </w:rPr>
      </w:pPr>
      <w:r>
        <w:rPr>
          <w:rFonts w:ascii="Arial" w:hAnsi="Arial" w:cs="Arial"/>
        </w:rPr>
        <w:t xml:space="preserve">El Informe se tiene por integrado el </w:t>
      </w:r>
      <w:r w:rsidR="00275B74">
        <w:rPr>
          <w:rFonts w:ascii="Arial" w:hAnsi="Arial" w:cs="Arial"/>
        </w:rPr>
        <w:t>2</w:t>
      </w:r>
      <w:r w:rsidR="00FC6EBC">
        <w:rPr>
          <w:rFonts w:ascii="Arial" w:hAnsi="Arial" w:cs="Arial"/>
        </w:rPr>
        <w:t>8</w:t>
      </w:r>
      <w:r>
        <w:rPr>
          <w:rFonts w:ascii="Arial" w:hAnsi="Arial" w:cs="Arial"/>
        </w:rPr>
        <w:t xml:space="preserve"> de </w:t>
      </w:r>
      <w:r w:rsidR="00275B74">
        <w:rPr>
          <w:rFonts w:ascii="Arial" w:hAnsi="Arial" w:cs="Arial"/>
        </w:rPr>
        <w:t xml:space="preserve">septiembre </w:t>
      </w:r>
      <w:r>
        <w:rPr>
          <w:rFonts w:ascii="Arial" w:hAnsi="Arial" w:cs="Arial"/>
        </w:rPr>
        <w:t xml:space="preserve">de </w:t>
      </w:r>
      <w:r w:rsidR="00275B74">
        <w:rPr>
          <w:rFonts w:ascii="Arial" w:hAnsi="Arial" w:cs="Arial"/>
        </w:rPr>
        <w:t>2021</w:t>
      </w:r>
      <w:r>
        <w:rPr>
          <w:rFonts w:ascii="Arial" w:hAnsi="Arial" w:cs="Arial"/>
        </w:rPr>
        <w:t>, dentro del plazo legal</w:t>
      </w:r>
      <w:r w:rsidR="00F94DA5">
        <w:rPr>
          <w:rFonts w:ascii="Arial" w:hAnsi="Arial" w:cs="Arial"/>
        </w:rPr>
        <w:t xml:space="preserve"> </w:t>
      </w:r>
      <w:r w:rsidRPr="0088630D">
        <w:rPr>
          <w:rFonts w:ascii="Arial" w:hAnsi="Arial" w:cs="Arial"/>
        </w:rPr>
        <w:t xml:space="preserve">de 30 </w:t>
      </w:r>
      <w:r w:rsidR="003F749B">
        <w:rPr>
          <w:rFonts w:ascii="Arial" w:hAnsi="Arial" w:cs="Arial"/>
        </w:rPr>
        <w:t xml:space="preserve">(treinta) </w:t>
      </w:r>
      <w:r w:rsidRPr="0088630D">
        <w:rPr>
          <w:rFonts w:ascii="Arial" w:hAnsi="Arial" w:cs="Arial"/>
        </w:rPr>
        <w:t xml:space="preserve">días hábiles posteriores a la conclusión de la consulta pública, </w:t>
      </w:r>
      <w:r w:rsidR="003F749B">
        <w:rPr>
          <w:rFonts w:ascii="Arial" w:hAnsi="Arial" w:cs="Arial"/>
        </w:rPr>
        <w:t xml:space="preserve">otorgado </w:t>
      </w:r>
      <w:r w:rsidRPr="0088630D">
        <w:rPr>
          <w:rFonts w:ascii="Arial" w:hAnsi="Arial" w:cs="Arial"/>
        </w:rPr>
        <w:t xml:space="preserve">en punto resolutivo Tercero del </w:t>
      </w:r>
      <w:r w:rsidR="00A01A48">
        <w:rPr>
          <w:rFonts w:ascii="Arial" w:hAnsi="Arial" w:cs="Arial"/>
        </w:rPr>
        <w:t>A</w:t>
      </w:r>
      <w:r w:rsidRPr="0088630D">
        <w:rPr>
          <w:rFonts w:ascii="Arial" w:hAnsi="Arial" w:cs="Arial"/>
        </w:rPr>
        <w:t xml:space="preserve">cuerdo </w:t>
      </w:r>
      <w:r w:rsidR="001828DA" w:rsidRPr="0088630D">
        <w:rPr>
          <w:rFonts w:ascii="Arial" w:hAnsi="Arial" w:cs="Arial"/>
        </w:rPr>
        <w:t xml:space="preserve">P/IFT/090621/264 </w:t>
      </w:r>
      <w:r w:rsidRPr="0088630D">
        <w:rPr>
          <w:rFonts w:ascii="Arial" w:hAnsi="Arial" w:cs="Arial"/>
        </w:rPr>
        <w:t xml:space="preserve">y </w:t>
      </w:r>
      <w:r w:rsidR="00A01A48">
        <w:rPr>
          <w:rFonts w:ascii="Arial" w:hAnsi="Arial" w:cs="Arial"/>
        </w:rPr>
        <w:t xml:space="preserve">el </w:t>
      </w:r>
      <w:r w:rsidRPr="0088630D">
        <w:rPr>
          <w:rFonts w:ascii="Arial" w:hAnsi="Arial" w:cs="Arial"/>
        </w:rPr>
        <w:t>artículo 138, fracción II, de la</w:t>
      </w:r>
      <w:r w:rsidR="00C90E8B" w:rsidRPr="0088630D">
        <w:rPr>
          <w:rFonts w:ascii="Arial" w:hAnsi="Arial" w:cs="Arial"/>
        </w:rPr>
        <w:t xml:space="preserve"> LFCE</w:t>
      </w:r>
      <w:r w:rsidR="0088630D" w:rsidRPr="0088630D">
        <w:rPr>
          <w:rFonts w:ascii="Arial" w:hAnsi="Arial" w:cs="Arial"/>
        </w:rPr>
        <w:t>.</w:t>
      </w:r>
    </w:p>
    <w:p w14:paraId="3CFA5C50" w14:textId="6450766F" w:rsidR="001828DA" w:rsidRPr="0088630D" w:rsidRDefault="005F39CC" w:rsidP="00275B74">
      <w:pPr>
        <w:keepNext/>
        <w:spacing w:before="120" w:after="120" w:line="23" w:lineRule="atLeast"/>
        <w:jc w:val="both"/>
        <w:rPr>
          <w:rFonts w:ascii="Arial" w:hAnsi="Arial" w:cs="Arial"/>
          <w:b/>
          <w:bCs/>
        </w:rPr>
      </w:pPr>
      <w:r>
        <w:rPr>
          <w:rFonts w:ascii="Arial" w:hAnsi="Arial" w:cs="Arial"/>
          <w:b/>
          <w:bCs/>
        </w:rPr>
        <w:lastRenderedPageBreak/>
        <w:t>2</w:t>
      </w:r>
      <w:r w:rsidR="005C5B1C" w:rsidRPr="0088630D">
        <w:rPr>
          <w:rFonts w:ascii="Arial" w:hAnsi="Arial" w:cs="Arial"/>
          <w:b/>
          <w:bCs/>
        </w:rPr>
        <w:t xml:space="preserve">. </w:t>
      </w:r>
      <w:r w:rsidR="001828DA" w:rsidRPr="0088630D">
        <w:rPr>
          <w:rFonts w:ascii="Arial" w:hAnsi="Arial" w:cs="Arial"/>
          <w:b/>
          <w:bCs/>
        </w:rPr>
        <w:t>Título o Denominación de la Consulta Pública</w:t>
      </w:r>
      <w:r w:rsidR="007C1BEB">
        <w:rPr>
          <w:rFonts w:ascii="Arial" w:hAnsi="Arial" w:cs="Arial"/>
          <w:b/>
          <w:bCs/>
        </w:rPr>
        <w:t>.</w:t>
      </w:r>
    </w:p>
    <w:p w14:paraId="2EA25330" w14:textId="4183FD5C" w:rsidR="001828DA" w:rsidRPr="001828DA" w:rsidRDefault="00B0040C" w:rsidP="00D50B18">
      <w:pPr>
        <w:spacing w:before="120" w:after="120" w:line="23" w:lineRule="atLeast"/>
        <w:jc w:val="both"/>
        <w:rPr>
          <w:rFonts w:ascii="Arial" w:hAnsi="Arial" w:cs="Arial"/>
        </w:rPr>
      </w:pPr>
      <w:r>
        <w:rPr>
          <w:rFonts w:ascii="Arial" w:hAnsi="Arial" w:cs="Arial"/>
        </w:rPr>
        <w:t>C</w:t>
      </w:r>
      <w:r w:rsidR="001828DA" w:rsidRPr="0088630D">
        <w:rPr>
          <w:rFonts w:ascii="Arial" w:hAnsi="Arial" w:cs="Arial"/>
        </w:rPr>
        <w:t xml:space="preserve">onsulta pública </w:t>
      </w:r>
      <w:r>
        <w:rPr>
          <w:rFonts w:ascii="Arial" w:hAnsi="Arial" w:cs="Arial"/>
        </w:rPr>
        <w:t>d</w:t>
      </w:r>
      <w:r w:rsidR="001828DA" w:rsidRPr="0088630D">
        <w:rPr>
          <w:rFonts w:ascii="Arial" w:hAnsi="Arial" w:cs="Arial"/>
        </w:rPr>
        <w:t>el “</w:t>
      </w:r>
      <w:r w:rsidR="001828DA" w:rsidRPr="0088630D">
        <w:rPr>
          <w:rFonts w:ascii="Arial" w:hAnsi="Arial" w:cs="Arial"/>
          <w:i/>
          <w:iCs/>
        </w:rPr>
        <w:t>Anteproyecto de Guía para tramitar el procedimiento seguido en forma de juicio por la comisión de prácticas monopólicas y concentraciones ilícitas en los sectores de Telecomunicaciones y Radiodifusión</w:t>
      </w:r>
      <w:r w:rsidR="000460F3" w:rsidRPr="0088630D">
        <w:rPr>
          <w:rFonts w:ascii="Arial" w:hAnsi="Arial" w:cs="Arial"/>
        </w:rPr>
        <w:t>”</w:t>
      </w:r>
      <w:r w:rsidR="0088630D" w:rsidRPr="0088630D">
        <w:rPr>
          <w:rFonts w:ascii="Arial" w:hAnsi="Arial" w:cs="Arial"/>
          <w:bCs/>
          <w:lang w:eastAsia="es-MX"/>
        </w:rPr>
        <w:t>.</w:t>
      </w:r>
    </w:p>
    <w:p w14:paraId="04370D7C" w14:textId="0C16B0EE" w:rsidR="005C5B1C" w:rsidRDefault="005F39CC" w:rsidP="00D50B18">
      <w:pPr>
        <w:spacing w:before="120" w:after="120" w:line="23" w:lineRule="atLeast"/>
        <w:jc w:val="both"/>
        <w:rPr>
          <w:rFonts w:ascii="Arial" w:hAnsi="Arial" w:cs="Arial"/>
          <w:b/>
          <w:bCs/>
        </w:rPr>
      </w:pPr>
      <w:r>
        <w:rPr>
          <w:rFonts w:ascii="Arial" w:hAnsi="Arial" w:cs="Arial"/>
          <w:b/>
          <w:bCs/>
        </w:rPr>
        <w:t>3</w:t>
      </w:r>
      <w:r w:rsidR="001828DA">
        <w:rPr>
          <w:rFonts w:ascii="Arial" w:hAnsi="Arial" w:cs="Arial"/>
          <w:b/>
          <w:bCs/>
        </w:rPr>
        <w:t xml:space="preserve">. </w:t>
      </w:r>
      <w:r w:rsidR="005C5B1C" w:rsidRPr="005C5B1C">
        <w:rPr>
          <w:rFonts w:ascii="Arial" w:hAnsi="Arial" w:cs="Arial"/>
          <w:b/>
          <w:bCs/>
        </w:rPr>
        <w:t>Descripción de la Consulta Pública</w:t>
      </w:r>
      <w:r w:rsidR="007C1BEB">
        <w:rPr>
          <w:rFonts w:ascii="Arial" w:hAnsi="Arial" w:cs="Arial"/>
          <w:b/>
          <w:bCs/>
        </w:rPr>
        <w:t>.</w:t>
      </w:r>
    </w:p>
    <w:p w14:paraId="77BEA635" w14:textId="2A78C25C" w:rsidR="000460F3" w:rsidRPr="000460F3" w:rsidRDefault="006C00A0" w:rsidP="00D50B18">
      <w:pPr>
        <w:spacing w:before="120" w:after="120" w:line="23" w:lineRule="atLeast"/>
        <w:jc w:val="both"/>
        <w:rPr>
          <w:rFonts w:ascii="Arial" w:hAnsi="Arial" w:cs="Arial"/>
          <w:b/>
          <w:bCs/>
        </w:rPr>
      </w:pPr>
      <w:r>
        <w:rPr>
          <w:rFonts w:ascii="Arial" w:hAnsi="Arial" w:cs="Arial"/>
        </w:rPr>
        <w:t>El 22 de junio de 2021 se publicó e</w:t>
      </w:r>
      <w:r w:rsidR="000460F3">
        <w:rPr>
          <w:rFonts w:ascii="Arial" w:hAnsi="Arial" w:cs="Arial"/>
        </w:rPr>
        <w:t xml:space="preserve">l Anteproyecto </w:t>
      </w:r>
      <w:r>
        <w:rPr>
          <w:rFonts w:ascii="Arial" w:hAnsi="Arial" w:cs="Arial"/>
        </w:rPr>
        <w:t xml:space="preserve">en el sitio de Internet del Instituto, así como un extracto en el </w:t>
      </w:r>
      <w:r w:rsidR="0088630D">
        <w:rPr>
          <w:rFonts w:ascii="Arial" w:hAnsi="Arial" w:cs="Arial"/>
        </w:rPr>
        <w:t>DOF</w:t>
      </w:r>
      <w:r>
        <w:rPr>
          <w:rFonts w:ascii="Arial" w:hAnsi="Arial" w:cs="Arial"/>
        </w:rPr>
        <w:t xml:space="preserve">. </w:t>
      </w:r>
      <w:r w:rsidR="000460F3">
        <w:rPr>
          <w:rFonts w:ascii="Arial" w:hAnsi="Arial" w:cs="Arial"/>
        </w:rPr>
        <w:t xml:space="preserve">La </w:t>
      </w:r>
      <w:r w:rsidR="00244AA9">
        <w:rPr>
          <w:rFonts w:ascii="Arial" w:hAnsi="Arial" w:cs="Arial"/>
        </w:rPr>
        <w:t>C</w:t>
      </w:r>
      <w:r w:rsidR="000460F3" w:rsidRPr="003E2214">
        <w:rPr>
          <w:rFonts w:ascii="Arial" w:hAnsi="Arial" w:cs="Arial"/>
        </w:rPr>
        <w:t xml:space="preserve">onsulta </w:t>
      </w:r>
      <w:r w:rsidR="00244AA9">
        <w:rPr>
          <w:rFonts w:ascii="Arial" w:hAnsi="Arial" w:cs="Arial"/>
        </w:rPr>
        <w:t>P</w:t>
      </w:r>
      <w:r w:rsidR="000460F3" w:rsidRPr="003E2214">
        <w:rPr>
          <w:rFonts w:ascii="Arial" w:hAnsi="Arial" w:cs="Arial"/>
        </w:rPr>
        <w:t xml:space="preserve">ública se llevó a cabo por un periodo de </w:t>
      </w:r>
      <w:r w:rsidR="00524BC7">
        <w:rPr>
          <w:rFonts w:ascii="Arial" w:hAnsi="Arial" w:cs="Arial"/>
        </w:rPr>
        <w:t>30 (</w:t>
      </w:r>
      <w:r w:rsidR="00266261">
        <w:rPr>
          <w:rFonts w:ascii="Arial" w:hAnsi="Arial" w:cs="Arial"/>
        </w:rPr>
        <w:t>treinta</w:t>
      </w:r>
      <w:r w:rsidR="00524BC7">
        <w:rPr>
          <w:rFonts w:ascii="Arial" w:hAnsi="Arial" w:cs="Arial"/>
        </w:rPr>
        <w:t>)</w:t>
      </w:r>
      <w:r w:rsidR="00FC5606" w:rsidRPr="003E2214">
        <w:rPr>
          <w:rFonts w:ascii="Arial" w:hAnsi="Arial" w:cs="Arial"/>
        </w:rPr>
        <w:t xml:space="preserve"> </w:t>
      </w:r>
      <w:r w:rsidR="000460F3" w:rsidRPr="003E2214">
        <w:rPr>
          <w:rFonts w:ascii="Arial" w:hAnsi="Arial" w:cs="Arial"/>
        </w:rPr>
        <w:t>días hábiles, mismo</w:t>
      </w:r>
      <w:r>
        <w:rPr>
          <w:rFonts w:ascii="Arial" w:hAnsi="Arial" w:cs="Arial"/>
        </w:rPr>
        <w:t>s</w:t>
      </w:r>
      <w:r w:rsidR="000460F3" w:rsidRPr="003E2214">
        <w:rPr>
          <w:rFonts w:ascii="Arial" w:hAnsi="Arial" w:cs="Arial"/>
        </w:rPr>
        <w:t xml:space="preserve"> que </w:t>
      </w:r>
      <w:r>
        <w:rPr>
          <w:rFonts w:ascii="Arial" w:hAnsi="Arial" w:cs="Arial"/>
        </w:rPr>
        <w:t>transcurrieron</w:t>
      </w:r>
      <w:r w:rsidR="000460F3" w:rsidRPr="003E2214">
        <w:rPr>
          <w:rFonts w:ascii="Arial" w:hAnsi="Arial" w:cs="Arial"/>
        </w:rPr>
        <w:t xml:space="preserve"> del</w:t>
      </w:r>
      <w:r w:rsidR="000460F3">
        <w:rPr>
          <w:rFonts w:ascii="Arial" w:hAnsi="Arial" w:cs="Arial"/>
        </w:rPr>
        <w:t xml:space="preserve"> </w:t>
      </w:r>
      <w:r w:rsidR="0074754D">
        <w:rPr>
          <w:rFonts w:ascii="Arial" w:hAnsi="Arial" w:cs="Arial"/>
        </w:rPr>
        <w:t>23</w:t>
      </w:r>
      <w:r w:rsidR="000844D3" w:rsidRPr="000844D3">
        <w:rPr>
          <w:rFonts w:ascii="Arial" w:hAnsi="Arial" w:cs="Arial"/>
        </w:rPr>
        <w:t xml:space="preserve"> de junio al </w:t>
      </w:r>
      <w:r w:rsidR="0074754D">
        <w:rPr>
          <w:rFonts w:ascii="Arial" w:hAnsi="Arial" w:cs="Arial"/>
        </w:rPr>
        <w:t>17</w:t>
      </w:r>
      <w:r w:rsidR="000844D3" w:rsidRPr="000844D3">
        <w:rPr>
          <w:rFonts w:ascii="Arial" w:hAnsi="Arial" w:cs="Arial"/>
        </w:rPr>
        <w:t xml:space="preserve"> de agosto de </w:t>
      </w:r>
      <w:r w:rsidR="0074754D">
        <w:rPr>
          <w:rFonts w:ascii="Arial" w:hAnsi="Arial" w:cs="Arial"/>
        </w:rPr>
        <w:t>2021</w:t>
      </w:r>
      <w:r w:rsidR="000460F3" w:rsidRPr="003E2214">
        <w:rPr>
          <w:rFonts w:ascii="Arial" w:hAnsi="Arial" w:cs="Arial"/>
        </w:rPr>
        <w:t>.</w:t>
      </w:r>
      <w:r w:rsidR="00244AA9">
        <w:rPr>
          <w:rFonts w:ascii="Arial" w:hAnsi="Arial" w:cs="Arial"/>
        </w:rPr>
        <w:t xml:space="preserve"> </w:t>
      </w:r>
    </w:p>
    <w:p w14:paraId="5C7424E1" w14:textId="37B83D34" w:rsidR="00077345" w:rsidRPr="00077345" w:rsidRDefault="005F39CC" w:rsidP="00D50B18">
      <w:pPr>
        <w:spacing w:before="120" w:after="120" w:line="23" w:lineRule="atLeast"/>
        <w:jc w:val="both"/>
        <w:rPr>
          <w:rFonts w:ascii="Arial" w:hAnsi="Arial" w:cs="Arial"/>
          <w:b/>
          <w:bCs/>
        </w:rPr>
      </w:pPr>
      <w:r>
        <w:rPr>
          <w:rFonts w:ascii="Arial" w:hAnsi="Arial" w:cs="Arial"/>
          <w:b/>
        </w:rPr>
        <w:t>4</w:t>
      </w:r>
      <w:r w:rsidR="00077345" w:rsidRPr="009A7404">
        <w:rPr>
          <w:rFonts w:ascii="Arial" w:hAnsi="Arial" w:cs="Arial"/>
          <w:b/>
        </w:rPr>
        <w:t>. Objetivo</w:t>
      </w:r>
      <w:r w:rsidR="00C90E8B">
        <w:rPr>
          <w:rFonts w:ascii="Arial" w:hAnsi="Arial" w:cs="Arial"/>
          <w:b/>
        </w:rPr>
        <w:t>s</w:t>
      </w:r>
      <w:r w:rsidR="00077345" w:rsidRPr="009A7404">
        <w:rPr>
          <w:rFonts w:ascii="Arial" w:hAnsi="Arial" w:cs="Arial"/>
          <w:b/>
        </w:rPr>
        <w:t xml:space="preserve"> de la Consulta Pública</w:t>
      </w:r>
      <w:r w:rsidR="007C1BEB">
        <w:rPr>
          <w:rFonts w:ascii="Arial" w:hAnsi="Arial" w:cs="Arial"/>
          <w:b/>
        </w:rPr>
        <w:t>.</w:t>
      </w:r>
    </w:p>
    <w:p w14:paraId="6FEDDC08" w14:textId="02BF05CD" w:rsidR="00C90E8B" w:rsidRDefault="00C90E8B" w:rsidP="00D50B18">
      <w:pPr>
        <w:spacing w:before="120" w:after="120" w:line="23" w:lineRule="atLeast"/>
        <w:jc w:val="both"/>
        <w:rPr>
          <w:rFonts w:ascii="Arial" w:hAnsi="Arial" w:cs="Arial"/>
        </w:rPr>
      </w:pPr>
      <w:r>
        <w:rPr>
          <w:rFonts w:ascii="Arial" w:hAnsi="Arial" w:cs="Arial"/>
        </w:rPr>
        <w:t xml:space="preserve">Transparentar y fomentar la participación ciudadana en el proceso de elaboración o modificación de guías </w:t>
      </w:r>
      <w:r w:rsidRPr="00C90E8B">
        <w:rPr>
          <w:rFonts w:ascii="Arial" w:hAnsi="Arial" w:cs="Arial"/>
        </w:rPr>
        <w:t>que hace referencia el artículo 12, fracción XXII,</w:t>
      </w:r>
      <w:r w:rsidR="003E0812">
        <w:rPr>
          <w:rFonts w:ascii="Arial" w:hAnsi="Arial" w:cs="Arial"/>
        </w:rPr>
        <w:t xml:space="preserve"> de la LFCE, recabando </w:t>
      </w:r>
      <w:r w:rsidR="003E0812" w:rsidRPr="003E0812">
        <w:rPr>
          <w:rFonts w:ascii="Arial" w:hAnsi="Arial" w:cs="Arial"/>
        </w:rPr>
        <w:t>información, comentarios, opiniones, aportaciones u otros elementos de análisis por parte de cualquier persona, sobre algún tema de interés del Instituto, que le aporte elementos de manera previa a la emisión o realización</w:t>
      </w:r>
      <w:r w:rsidR="003E0812">
        <w:rPr>
          <w:rFonts w:ascii="Arial" w:hAnsi="Arial" w:cs="Arial"/>
        </w:rPr>
        <w:t xml:space="preserve"> de las guías </w:t>
      </w:r>
      <w:r w:rsidR="003E0812" w:rsidRPr="003E0812">
        <w:rPr>
          <w:rFonts w:ascii="Arial" w:hAnsi="Arial" w:cs="Arial"/>
        </w:rPr>
        <w:t>dirigidas a los sectores o mercados de telecomunicaciones o radiodifusión; así como en materia de competencia económica en dichos sectores, mercados y mercados relacionados</w:t>
      </w:r>
      <w:r w:rsidR="003E0812">
        <w:rPr>
          <w:rFonts w:ascii="Arial" w:hAnsi="Arial" w:cs="Arial"/>
        </w:rPr>
        <w:t>.</w:t>
      </w:r>
      <w:r w:rsidR="0026513B">
        <w:rPr>
          <w:rFonts w:ascii="Arial" w:hAnsi="Arial" w:cs="Arial"/>
        </w:rPr>
        <w:t xml:space="preserve"> </w:t>
      </w:r>
    </w:p>
    <w:p w14:paraId="7E01B7D1" w14:textId="4A638896" w:rsidR="005924D3" w:rsidRDefault="005F39CC" w:rsidP="00D50B18">
      <w:pPr>
        <w:spacing w:before="120" w:after="120" w:line="23" w:lineRule="atLeast"/>
        <w:jc w:val="both"/>
        <w:rPr>
          <w:rFonts w:ascii="Arial" w:hAnsi="Arial" w:cs="Arial"/>
          <w:b/>
          <w:bCs/>
        </w:rPr>
      </w:pPr>
      <w:r>
        <w:rPr>
          <w:rFonts w:ascii="Arial" w:hAnsi="Arial" w:cs="Arial"/>
          <w:b/>
          <w:bCs/>
        </w:rPr>
        <w:t>5</w:t>
      </w:r>
      <w:r w:rsidR="005924D3" w:rsidRPr="005924D3">
        <w:rPr>
          <w:rFonts w:ascii="Arial" w:hAnsi="Arial" w:cs="Arial"/>
          <w:b/>
          <w:bCs/>
        </w:rPr>
        <w:t xml:space="preserve">. </w:t>
      </w:r>
      <w:r w:rsidR="005924D3">
        <w:rPr>
          <w:rFonts w:ascii="Arial" w:hAnsi="Arial" w:cs="Arial"/>
          <w:b/>
          <w:bCs/>
        </w:rPr>
        <w:t>Unidad responsable de la Consulta Pública</w:t>
      </w:r>
      <w:r w:rsidR="007C1BEB">
        <w:rPr>
          <w:rFonts w:ascii="Arial" w:hAnsi="Arial" w:cs="Arial"/>
          <w:b/>
          <w:bCs/>
        </w:rPr>
        <w:t>.</w:t>
      </w:r>
    </w:p>
    <w:p w14:paraId="7D0A2AA1" w14:textId="502B3D45" w:rsidR="008677D3" w:rsidRDefault="0019663C" w:rsidP="00D50B18">
      <w:pPr>
        <w:autoSpaceDE w:val="0"/>
        <w:autoSpaceDN w:val="0"/>
        <w:adjustRightInd w:val="0"/>
        <w:spacing w:before="120" w:after="120" w:line="23" w:lineRule="atLeast"/>
        <w:jc w:val="both"/>
        <w:rPr>
          <w:rFonts w:ascii="Arial" w:eastAsia="Times New Roman" w:hAnsi="Arial" w:cs="Arial"/>
          <w:bCs/>
          <w:color w:val="000000"/>
          <w:lang w:eastAsia="es-MX"/>
        </w:rPr>
      </w:pPr>
      <w:r w:rsidRPr="0019663C">
        <w:rPr>
          <w:rFonts w:ascii="Arial" w:hAnsi="Arial" w:cs="Arial"/>
        </w:rPr>
        <w:t xml:space="preserve">La </w:t>
      </w:r>
      <w:r w:rsidR="00D00D4D">
        <w:rPr>
          <w:rFonts w:ascii="Arial" w:hAnsi="Arial" w:cs="Arial"/>
        </w:rPr>
        <w:t>UCE</w:t>
      </w:r>
      <w:r w:rsidR="008677D3" w:rsidRPr="0088630D">
        <w:rPr>
          <w:rFonts w:ascii="Arial" w:eastAsia="Times New Roman" w:hAnsi="Arial" w:cs="Arial"/>
          <w:bCs/>
          <w:color w:val="000000"/>
          <w:lang w:eastAsia="es-MX"/>
        </w:rPr>
        <w:t>.</w:t>
      </w:r>
    </w:p>
    <w:p w14:paraId="40F48F11" w14:textId="12D7C4D4" w:rsidR="008677D3" w:rsidRPr="0088630D" w:rsidRDefault="005F39CC" w:rsidP="00D50B18">
      <w:pPr>
        <w:autoSpaceDE w:val="0"/>
        <w:autoSpaceDN w:val="0"/>
        <w:adjustRightInd w:val="0"/>
        <w:spacing w:before="120" w:after="120" w:line="23" w:lineRule="atLeast"/>
        <w:jc w:val="both"/>
        <w:rPr>
          <w:rFonts w:ascii="Arial" w:eastAsia="Times New Roman" w:hAnsi="Arial" w:cs="Arial"/>
          <w:b/>
          <w:color w:val="000000"/>
          <w:lang w:eastAsia="es-MX"/>
        </w:rPr>
      </w:pPr>
      <w:r>
        <w:rPr>
          <w:rFonts w:ascii="Arial" w:eastAsia="Times New Roman" w:hAnsi="Arial" w:cs="Arial"/>
          <w:b/>
          <w:color w:val="000000"/>
          <w:lang w:eastAsia="es-MX"/>
        </w:rPr>
        <w:t>6</w:t>
      </w:r>
      <w:r w:rsidR="00032A99" w:rsidRPr="0088630D">
        <w:rPr>
          <w:rFonts w:ascii="Arial" w:eastAsia="Times New Roman" w:hAnsi="Arial" w:cs="Arial"/>
          <w:b/>
          <w:color w:val="000000"/>
          <w:lang w:eastAsia="es-MX"/>
        </w:rPr>
        <w:t>. Descripción de los participantes de la Consulta Pública.</w:t>
      </w:r>
    </w:p>
    <w:p w14:paraId="58C914AA" w14:textId="7A3F3243" w:rsidR="003E2214" w:rsidRPr="00C320A9" w:rsidRDefault="007E7216" w:rsidP="00D50B18">
      <w:pPr>
        <w:pStyle w:val="Listavistosa-nfasis11"/>
        <w:spacing w:before="120" w:after="120" w:line="23" w:lineRule="atLeast"/>
        <w:ind w:left="0" w:right="51"/>
        <w:contextualSpacing w:val="0"/>
        <w:jc w:val="both"/>
        <w:rPr>
          <w:rFonts w:ascii="Arial" w:hAnsi="Arial" w:cs="Arial"/>
          <w:szCs w:val="14"/>
        </w:rPr>
      </w:pPr>
      <w:r w:rsidRPr="007E7216">
        <w:rPr>
          <w:rFonts w:ascii="Arial" w:hAnsi="Arial" w:cs="Arial"/>
          <w:szCs w:val="14"/>
        </w:rPr>
        <w:t xml:space="preserve">En el proceso de </w:t>
      </w:r>
      <w:r w:rsidR="008A03E6" w:rsidRPr="007E7216">
        <w:rPr>
          <w:rFonts w:ascii="Arial" w:hAnsi="Arial" w:cs="Arial"/>
          <w:szCs w:val="14"/>
        </w:rPr>
        <w:t xml:space="preserve">Consulta Pública </w:t>
      </w:r>
      <w:r w:rsidRPr="007E7216">
        <w:rPr>
          <w:rFonts w:ascii="Arial" w:hAnsi="Arial" w:cs="Arial"/>
          <w:szCs w:val="14"/>
        </w:rPr>
        <w:t xml:space="preserve">se recibieron 4 </w:t>
      </w:r>
      <w:r w:rsidR="008A03E6">
        <w:rPr>
          <w:rFonts w:ascii="Arial" w:hAnsi="Arial" w:cs="Arial"/>
          <w:szCs w:val="14"/>
        </w:rPr>
        <w:t xml:space="preserve">(cuatro) </w:t>
      </w:r>
      <w:r w:rsidRPr="007E7216">
        <w:rPr>
          <w:rFonts w:ascii="Arial" w:hAnsi="Arial" w:cs="Arial"/>
          <w:szCs w:val="14"/>
        </w:rPr>
        <w:t>escritos de participantes a través del correo electrónico habilitado para tal efecto y por medio de la oficialía de partes del Instituto, mismos que se describen e identifican en el cuadro siguiente</w:t>
      </w:r>
      <w:r w:rsidR="00EA2F2C">
        <w:rPr>
          <w:rFonts w:ascii="Arial" w:hAnsi="Arial" w:cs="Arial"/>
        </w:rPr>
        <w:t>:</w:t>
      </w:r>
      <w:r>
        <w:rPr>
          <w:rFonts w:ascii="Arial" w:hAnsi="Arial" w:cs="Arial"/>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94"/>
        <w:gridCol w:w="2102"/>
        <w:gridCol w:w="2102"/>
        <w:gridCol w:w="3120"/>
      </w:tblGrid>
      <w:tr w:rsidR="003E2214" w:rsidRPr="003E2214" w14:paraId="4B1CA6A9" w14:textId="77777777" w:rsidTr="00973ABA">
        <w:trPr>
          <w:tblHeader/>
          <w:jc w:val="center"/>
        </w:trPr>
        <w:tc>
          <w:tcPr>
            <w:tcW w:w="1494" w:type="dxa"/>
            <w:shd w:val="clear" w:color="auto" w:fill="92D050"/>
            <w:tcMar>
              <w:top w:w="0" w:type="dxa"/>
              <w:left w:w="108" w:type="dxa"/>
              <w:bottom w:w="0" w:type="dxa"/>
              <w:right w:w="108" w:type="dxa"/>
            </w:tcMar>
            <w:vAlign w:val="center"/>
            <w:hideMark/>
          </w:tcPr>
          <w:p w14:paraId="352AA90E" w14:textId="77777777" w:rsidR="003E2214" w:rsidRPr="003E2214" w:rsidRDefault="003E2214" w:rsidP="00D50B18">
            <w:pPr>
              <w:spacing w:before="120" w:after="120" w:line="23" w:lineRule="atLeast"/>
              <w:jc w:val="center"/>
              <w:rPr>
                <w:rFonts w:ascii="Arial" w:hAnsi="Arial" w:cs="Arial"/>
                <w:b/>
                <w:bCs/>
                <w:sz w:val="18"/>
                <w:szCs w:val="18"/>
              </w:rPr>
            </w:pPr>
            <w:r w:rsidRPr="003E2214">
              <w:rPr>
                <w:rFonts w:ascii="Arial" w:hAnsi="Arial" w:cs="Arial"/>
                <w:b/>
                <w:bCs/>
                <w:sz w:val="18"/>
                <w:szCs w:val="18"/>
              </w:rPr>
              <w:t>Participantes</w:t>
            </w:r>
          </w:p>
        </w:tc>
        <w:tc>
          <w:tcPr>
            <w:tcW w:w="2102" w:type="dxa"/>
            <w:shd w:val="clear" w:color="auto" w:fill="92D050"/>
            <w:tcMar>
              <w:top w:w="0" w:type="dxa"/>
              <w:left w:w="108" w:type="dxa"/>
              <w:bottom w:w="0" w:type="dxa"/>
              <w:right w:w="108" w:type="dxa"/>
            </w:tcMar>
            <w:vAlign w:val="center"/>
            <w:hideMark/>
          </w:tcPr>
          <w:p w14:paraId="40A45C1F" w14:textId="77777777" w:rsidR="003E2214" w:rsidRPr="003E2214" w:rsidRDefault="003E2214" w:rsidP="00D50B18">
            <w:pPr>
              <w:spacing w:before="120" w:after="120" w:line="23" w:lineRule="atLeast"/>
              <w:jc w:val="center"/>
              <w:rPr>
                <w:rFonts w:ascii="Arial" w:hAnsi="Arial" w:cs="Arial"/>
                <w:b/>
                <w:bCs/>
                <w:sz w:val="18"/>
                <w:szCs w:val="18"/>
              </w:rPr>
            </w:pPr>
            <w:r w:rsidRPr="003E2214">
              <w:rPr>
                <w:rFonts w:ascii="Arial" w:hAnsi="Arial" w:cs="Arial"/>
                <w:b/>
                <w:bCs/>
                <w:sz w:val="18"/>
                <w:szCs w:val="18"/>
              </w:rPr>
              <w:t>Fecha de presentación</w:t>
            </w:r>
          </w:p>
        </w:tc>
        <w:tc>
          <w:tcPr>
            <w:tcW w:w="2102" w:type="dxa"/>
            <w:shd w:val="clear" w:color="auto" w:fill="92D050"/>
            <w:tcMar>
              <w:top w:w="0" w:type="dxa"/>
              <w:left w:w="108" w:type="dxa"/>
              <w:bottom w:w="0" w:type="dxa"/>
              <w:right w:w="108" w:type="dxa"/>
            </w:tcMar>
            <w:vAlign w:val="center"/>
            <w:hideMark/>
          </w:tcPr>
          <w:p w14:paraId="7C6EE986" w14:textId="77777777" w:rsidR="003E2214" w:rsidRPr="003E2214" w:rsidRDefault="003E2214" w:rsidP="00D50B18">
            <w:pPr>
              <w:spacing w:before="120" w:after="120" w:line="23" w:lineRule="atLeast"/>
              <w:jc w:val="center"/>
              <w:rPr>
                <w:rFonts w:ascii="Arial" w:hAnsi="Arial" w:cs="Arial"/>
                <w:b/>
                <w:bCs/>
                <w:sz w:val="18"/>
                <w:szCs w:val="18"/>
              </w:rPr>
            </w:pPr>
            <w:r w:rsidRPr="003E2214">
              <w:rPr>
                <w:rFonts w:ascii="Arial" w:hAnsi="Arial" w:cs="Arial"/>
                <w:b/>
                <w:bCs/>
                <w:sz w:val="18"/>
                <w:szCs w:val="18"/>
              </w:rPr>
              <w:t>Hora de presentación</w:t>
            </w:r>
          </w:p>
        </w:tc>
        <w:tc>
          <w:tcPr>
            <w:tcW w:w="3120" w:type="dxa"/>
            <w:shd w:val="clear" w:color="auto" w:fill="92D050"/>
            <w:vAlign w:val="center"/>
            <w:hideMark/>
          </w:tcPr>
          <w:p w14:paraId="4601B8D5" w14:textId="77777777" w:rsidR="003E2214" w:rsidRPr="003E2214" w:rsidRDefault="003E2214" w:rsidP="00D50B18">
            <w:pPr>
              <w:spacing w:before="120" w:after="120" w:line="23" w:lineRule="atLeast"/>
              <w:jc w:val="center"/>
              <w:rPr>
                <w:rFonts w:ascii="Arial" w:hAnsi="Arial" w:cs="Arial"/>
                <w:b/>
                <w:bCs/>
                <w:sz w:val="18"/>
                <w:szCs w:val="18"/>
              </w:rPr>
            </w:pPr>
            <w:r w:rsidRPr="003E2214">
              <w:rPr>
                <w:rFonts w:ascii="Arial" w:hAnsi="Arial" w:cs="Arial"/>
                <w:b/>
                <w:bCs/>
                <w:sz w:val="18"/>
                <w:szCs w:val="18"/>
              </w:rPr>
              <w:t>Formato de presentación</w:t>
            </w:r>
          </w:p>
        </w:tc>
      </w:tr>
      <w:tr w:rsidR="003E2214" w:rsidRPr="003E2214" w14:paraId="20B39023" w14:textId="77777777" w:rsidTr="00973ABA">
        <w:trPr>
          <w:trHeight w:val="449"/>
          <w:jc w:val="center"/>
        </w:trPr>
        <w:tc>
          <w:tcPr>
            <w:tcW w:w="1494" w:type="dxa"/>
            <w:shd w:val="clear" w:color="auto" w:fill="auto"/>
            <w:tcMar>
              <w:top w:w="0" w:type="dxa"/>
              <w:left w:w="108" w:type="dxa"/>
              <w:bottom w:w="0" w:type="dxa"/>
              <w:right w:w="108" w:type="dxa"/>
            </w:tcMar>
            <w:vAlign w:val="center"/>
          </w:tcPr>
          <w:p w14:paraId="25326EB9" w14:textId="77777777" w:rsidR="003E2214" w:rsidRPr="003E2214" w:rsidRDefault="003E2214" w:rsidP="00D50B18">
            <w:pPr>
              <w:spacing w:before="120" w:after="120" w:line="23" w:lineRule="atLeast"/>
              <w:jc w:val="both"/>
              <w:rPr>
                <w:rFonts w:ascii="Arial" w:hAnsi="Arial" w:cs="Arial"/>
                <w:sz w:val="18"/>
                <w:szCs w:val="18"/>
              </w:rPr>
            </w:pPr>
            <w:r w:rsidRPr="003E2214">
              <w:rPr>
                <w:rFonts w:ascii="Arial" w:hAnsi="Arial" w:cs="Arial"/>
                <w:sz w:val="18"/>
                <w:szCs w:val="18"/>
              </w:rPr>
              <w:t>Participante 1</w:t>
            </w:r>
          </w:p>
        </w:tc>
        <w:tc>
          <w:tcPr>
            <w:tcW w:w="2102" w:type="dxa"/>
            <w:shd w:val="clear" w:color="auto" w:fill="auto"/>
            <w:tcMar>
              <w:top w:w="0" w:type="dxa"/>
              <w:left w:w="108" w:type="dxa"/>
              <w:bottom w:w="0" w:type="dxa"/>
              <w:right w:w="108" w:type="dxa"/>
            </w:tcMar>
            <w:vAlign w:val="center"/>
          </w:tcPr>
          <w:p w14:paraId="1ACE7412" w14:textId="49339305" w:rsidR="003E2214" w:rsidRPr="003E2214" w:rsidRDefault="001F6B45" w:rsidP="00D50B18">
            <w:pPr>
              <w:spacing w:before="120" w:after="120" w:line="23" w:lineRule="atLeast"/>
              <w:jc w:val="center"/>
              <w:rPr>
                <w:rFonts w:ascii="Arial" w:hAnsi="Arial" w:cs="Arial"/>
                <w:b/>
                <w:sz w:val="18"/>
                <w:szCs w:val="18"/>
              </w:rPr>
            </w:pPr>
            <w:r>
              <w:rPr>
                <w:rFonts w:ascii="Arial" w:hAnsi="Arial" w:cs="Arial"/>
                <w:b/>
                <w:sz w:val="18"/>
                <w:szCs w:val="18"/>
              </w:rPr>
              <w:t>17</w:t>
            </w:r>
            <w:r w:rsidR="003E2214" w:rsidRPr="003E2214">
              <w:rPr>
                <w:rFonts w:ascii="Arial" w:hAnsi="Arial" w:cs="Arial"/>
                <w:b/>
                <w:sz w:val="18"/>
                <w:szCs w:val="18"/>
              </w:rPr>
              <w:t>/0</w:t>
            </w:r>
            <w:r>
              <w:rPr>
                <w:rFonts w:ascii="Arial" w:hAnsi="Arial" w:cs="Arial"/>
                <w:b/>
                <w:sz w:val="18"/>
                <w:szCs w:val="18"/>
              </w:rPr>
              <w:t>8</w:t>
            </w:r>
            <w:r w:rsidR="003E2214" w:rsidRPr="003E2214">
              <w:rPr>
                <w:rFonts w:ascii="Arial" w:hAnsi="Arial" w:cs="Arial"/>
                <w:b/>
                <w:sz w:val="18"/>
                <w:szCs w:val="18"/>
              </w:rPr>
              <w:t>/20</w:t>
            </w:r>
            <w:r>
              <w:rPr>
                <w:rFonts w:ascii="Arial" w:hAnsi="Arial" w:cs="Arial"/>
                <w:b/>
                <w:sz w:val="18"/>
                <w:szCs w:val="18"/>
              </w:rPr>
              <w:t>21</w:t>
            </w:r>
          </w:p>
        </w:tc>
        <w:tc>
          <w:tcPr>
            <w:tcW w:w="2102" w:type="dxa"/>
            <w:shd w:val="clear" w:color="auto" w:fill="auto"/>
            <w:tcMar>
              <w:top w:w="0" w:type="dxa"/>
              <w:left w:w="108" w:type="dxa"/>
              <w:bottom w:w="0" w:type="dxa"/>
              <w:right w:w="108" w:type="dxa"/>
            </w:tcMar>
            <w:vAlign w:val="center"/>
          </w:tcPr>
          <w:p w14:paraId="7D47873D" w14:textId="0487D178" w:rsidR="003E2214" w:rsidRPr="003E2214" w:rsidRDefault="001E4A78" w:rsidP="00D50B18">
            <w:pPr>
              <w:spacing w:before="120" w:after="120" w:line="23" w:lineRule="atLeast"/>
              <w:jc w:val="center"/>
              <w:rPr>
                <w:rFonts w:ascii="Arial" w:hAnsi="Arial" w:cs="Arial"/>
                <w:b/>
                <w:sz w:val="18"/>
                <w:szCs w:val="18"/>
              </w:rPr>
            </w:pPr>
            <w:r>
              <w:rPr>
                <w:rFonts w:ascii="Arial" w:hAnsi="Arial" w:cs="Arial"/>
                <w:b/>
                <w:sz w:val="18"/>
                <w:szCs w:val="18"/>
              </w:rPr>
              <w:t>18</w:t>
            </w:r>
            <w:r w:rsidR="003E2214" w:rsidRPr="003E2214">
              <w:rPr>
                <w:rFonts w:ascii="Arial" w:hAnsi="Arial" w:cs="Arial"/>
                <w:b/>
                <w:sz w:val="18"/>
                <w:szCs w:val="18"/>
              </w:rPr>
              <w:t>:0</w:t>
            </w:r>
            <w:r>
              <w:rPr>
                <w:rFonts w:ascii="Arial" w:hAnsi="Arial" w:cs="Arial"/>
                <w:b/>
                <w:sz w:val="18"/>
                <w:szCs w:val="18"/>
              </w:rPr>
              <w:t>2</w:t>
            </w:r>
          </w:p>
        </w:tc>
        <w:tc>
          <w:tcPr>
            <w:tcW w:w="3120" w:type="dxa"/>
            <w:shd w:val="clear" w:color="auto" w:fill="auto"/>
            <w:vAlign w:val="center"/>
          </w:tcPr>
          <w:p w14:paraId="3C1C31E9" w14:textId="77777777" w:rsidR="003E2214" w:rsidRPr="003E2214" w:rsidRDefault="003E2214" w:rsidP="00D50B18">
            <w:pPr>
              <w:spacing w:before="120" w:after="120" w:line="23" w:lineRule="atLeast"/>
              <w:jc w:val="center"/>
              <w:rPr>
                <w:rFonts w:ascii="Arial" w:hAnsi="Arial" w:cs="Arial"/>
                <w:sz w:val="18"/>
                <w:szCs w:val="18"/>
              </w:rPr>
            </w:pPr>
            <w:r w:rsidRPr="003E2214">
              <w:rPr>
                <w:rFonts w:ascii="Arial" w:hAnsi="Arial" w:cs="Arial"/>
                <w:sz w:val="18"/>
                <w:szCs w:val="18"/>
              </w:rPr>
              <w:t>Correo electrónico</w:t>
            </w:r>
          </w:p>
        </w:tc>
      </w:tr>
      <w:tr w:rsidR="003E2214" w:rsidRPr="003E2214" w14:paraId="4988007C" w14:textId="77777777" w:rsidTr="00973ABA">
        <w:trPr>
          <w:trHeight w:val="449"/>
          <w:jc w:val="center"/>
        </w:trPr>
        <w:tc>
          <w:tcPr>
            <w:tcW w:w="1494" w:type="dxa"/>
            <w:shd w:val="clear" w:color="auto" w:fill="auto"/>
            <w:tcMar>
              <w:top w:w="0" w:type="dxa"/>
              <w:left w:w="108" w:type="dxa"/>
              <w:bottom w:w="0" w:type="dxa"/>
              <w:right w:w="108" w:type="dxa"/>
            </w:tcMar>
            <w:vAlign w:val="center"/>
          </w:tcPr>
          <w:p w14:paraId="23AD560C" w14:textId="77777777" w:rsidR="003E2214" w:rsidRPr="003E2214" w:rsidRDefault="003E2214" w:rsidP="00D50B18">
            <w:pPr>
              <w:spacing w:before="120" w:after="120" w:line="23" w:lineRule="atLeast"/>
              <w:jc w:val="both"/>
              <w:rPr>
                <w:rFonts w:ascii="Arial" w:hAnsi="Arial" w:cs="Arial"/>
                <w:sz w:val="18"/>
                <w:szCs w:val="18"/>
              </w:rPr>
            </w:pPr>
            <w:r w:rsidRPr="003E2214">
              <w:rPr>
                <w:rFonts w:ascii="Arial" w:hAnsi="Arial" w:cs="Arial"/>
                <w:sz w:val="18"/>
                <w:szCs w:val="18"/>
              </w:rPr>
              <w:t>Participante 2</w:t>
            </w:r>
          </w:p>
        </w:tc>
        <w:tc>
          <w:tcPr>
            <w:tcW w:w="2102" w:type="dxa"/>
            <w:shd w:val="clear" w:color="auto" w:fill="auto"/>
            <w:tcMar>
              <w:top w:w="0" w:type="dxa"/>
              <w:left w:w="108" w:type="dxa"/>
              <w:bottom w:w="0" w:type="dxa"/>
              <w:right w:w="108" w:type="dxa"/>
            </w:tcMar>
            <w:vAlign w:val="center"/>
          </w:tcPr>
          <w:p w14:paraId="4BCAE133" w14:textId="6E38C7C3" w:rsidR="003E2214" w:rsidRPr="003E2214" w:rsidRDefault="001F6B45" w:rsidP="00D50B18">
            <w:pPr>
              <w:spacing w:before="120" w:after="120" w:line="23" w:lineRule="atLeast"/>
              <w:jc w:val="center"/>
              <w:rPr>
                <w:rFonts w:ascii="Arial" w:hAnsi="Arial" w:cs="Arial"/>
                <w:b/>
                <w:sz w:val="18"/>
                <w:szCs w:val="18"/>
              </w:rPr>
            </w:pPr>
            <w:r>
              <w:rPr>
                <w:rFonts w:ascii="Arial" w:hAnsi="Arial" w:cs="Arial"/>
                <w:b/>
                <w:sz w:val="18"/>
                <w:szCs w:val="18"/>
              </w:rPr>
              <w:t>17</w:t>
            </w:r>
            <w:r w:rsidRPr="003E2214">
              <w:rPr>
                <w:rFonts w:ascii="Arial" w:hAnsi="Arial" w:cs="Arial"/>
                <w:b/>
                <w:sz w:val="18"/>
                <w:szCs w:val="18"/>
              </w:rPr>
              <w:t>/0</w:t>
            </w:r>
            <w:r>
              <w:rPr>
                <w:rFonts w:ascii="Arial" w:hAnsi="Arial" w:cs="Arial"/>
                <w:b/>
                <w:sz w:val="18"/>
                <w:szCs w:val="18"/>
              </w:rPr>
              <w:t>8</w:t>
            </w:r>
            <w:r w:rsidRPr="003E2214">
              <w:rPr>
                <w:rFonts w:ascii="Arial" w:hAnsi="Arial" w:cs="Arial"/>
                <w:b/>
                <w:sz w:val="18"/>
                <w:szCs w:val="18"/>
              </w:rPr>
              <w:t>/20</w:t>
            </w:r>
            <w:r>
              <w:rPr>
                <w:rFonts w:ascii="Arial" w:hAnsi="Arial" w:cs="Arial"/>
                <w:b/>
                <w:sz w:val="18"/>
                <w:szCs w:val="18"/>
              </w:rPr>
              <w:t>21</w:t>
            </w:r>
          </w:p>
        </w:tc>
        <w:tc>
          <w:tcPr>
            <w:tcW w:w="2102" w:type="dxa"/>
            <w:shd w:val="clear" w:color="auto" w:fill="auto"/>
            <w:tcMar>
              <w:top w:w="0" w:type="dxa"/>
              <w:left w:w="108" w:type="dxa"/>
              <w:bottom w:w="0" w:type="dxa"/>
              <w:right w:w="108" w:type="dxa"/>
            </w:tcMar>
            <w:vAlign w:val="center"/>
          </w:tcPr>
          <w:p w14:paraId="412E4F5F" w14:textId="2399538C" w:rsidR="003E2214" w:rsidRPr="003E2214" w:rsidRDefault="001E4A78" w:rsidP="00D50B18">
            <w:pPr>
              <w:spacing w:before="120" w:after="120" w:line="23" w:lineRule="atLeast"/>
              <w:jc w:val="center"/>
              <w:rPr>
                <w:rFonts w:ascii="Arial" w:hAnsi="Arial" w:cs="Arial"/>
                <w:b/>
                <w:sz w:val="18"/>
                <w:szCs w:val="18"/>
              </w:rPr>
            </w:pPr>
            <w:r>
              <w:rPr>
                <w:rFonts w:ascii="Arial" w:hAnsi="Arial" w:cs="Arial"/>
                <w:b/>
                <w:sz w:val="18"/>
                <w:szCs w:val="18"/>
              </w:rPr>
              <w:t>18</w:t>
            </w:r>
            <w:r w:rsidR="003E2214" w:rsidRPr="003E2214">
              <w:rPr>
                <w:rFonts w:ascii="Arial" w:hAnsi="Arial" w:cs="Arial"/>
                <w:b/>
                <w:sz w:val="18"/>
                <w:szCs w:val="18"/>
              </w:rPr>
              <w:t>:</w:t>
            </w:r>
            <w:r>
              <w:rPr>
                <w:rFonts w:ascii="Arial" w:hAnsi="Arial" w:cs="Arial"/>
                <w:b/>
                <w:sz w:val="18"/>
                <w:szCs w:val="18"/>
              </w:rPr>
              <w:t>08</w:t>
            </w:r>
          </w:p>
        </w:tc>
        <w:tc>
          <w:tcPr>
            <w:tcW w:w="3120" w:type="dxa"/>
            <w:shd w:val="clear" w:color="auto" w:fill="auto"/>
            <w:vAlign w:val="center"/>
          </w:tcPr>
          <w:p w14:paraId="28A7D44B" w14:textId="74BD4538" w:rsidR="003E2214" w:rsidRPr="003E2214" w:rsidRDefault="00B424D0" w:rsidP="00D50B18">
            <w:pPr>
              <w:spacing w:before="120" w:after="120" w:line="23" w:lineRule="atLeast"/>
              <w:jc w:val="center"/>
              <w:rPr>
                <w:rFonts w:ascii="Arial" w:hAnsi="Arial" w:cs="Arial"/>
                <w:sz w:val="18"/>
                <w:szCs w:val="18"/>
              </w:rPr>
            </w:pPr>
            <w:r>
              <w:rPr>
                <w:rFonts w:ascii="Arial" w:hAnsi="Arial" w:cs="Arial"/>
                <w:sz w:val="18"/>
                <w:szCs w:val="18"/>
              </w:rPr>
              <w:t>Oficio</w:t>
            </w:r>
            <w:r w:rsidR="008E69EE">
              <w:rPr>
                <w:rFonts w:ascii="Arial" w:hAnsi="Arial" w:cs="Arial"/>
                <w:sz w:val="18"/>
                <w:szCs w:val="18"/>
              </w:rPr>
              <w:t xml:space="preserve"> presentado en oficialía de partes del Instituto.</w:t>
            </w:r>
          </w:p>
        </w:tc>
      </w:tr>
      <w:tr w:rsidR="003E2214" w:rsidRPr="003E2214" w14:paraId="7F1E34CC" w14:textId="77777777" w:rsidTr="00973ABA">
        <w:trPr>
          <w:trHeight w:val="449"/>
          <w:jc w:val="center"/>
        </w:trPr>
        <w:tc>
          <w:tcPr>
            <w:tcW w:w="1494" w:type="dxa"/>
            <w:shd w:val="clear" w:color="auto" w:fill="auto"/>
            <w:tcMar>
              <w:top w:w="0" w:type="dxa"/>
              <w:left w:w="108" w:type="dxa"/>
              <w:bottom w:w="0" w:type="dxa"/>
              <w:right w:w="108" w:type="dxa"/>
            </w:tcMar>
            <w:vAlign w:val="center"/>
          </w:tcPr>
          <w:p w14:paraId="01877A94" w14:textId="77777777" w:rsidR="003E2214" w:rsidRPr="003E2214" w:rsidRDefault="003E2214" w:rsidP="00D50B18">
            <w:pPr>
              <w:spacing w:before="120" w:after="120" w:line="23" w:lineRule="atLeast"/>
              <w:jc w:val="both"/>
              <w:rPr>
                <w:rFonts w:ascii="Arial" w:hAnsi="Arial" w:cs="Arial"/>
                <w:sz w:val="18"/>
                <w:szCs w:val="18"/>
              </w:rPr>
            </w:pPr>
            <w:r w:rsidRPr="003E2214">
              <w:rPr>
                <w:rFonts w:ascii="Arial" w:hAnsi="Arial" w:cs="Arial"/>
                <w:sz w:val="18"/>
                <w:szCs w:val="18"/>
              </w:rPr>
              <w:t>Participante 3</w:t>
            </w:r>
          </w:p>
        </w:tc>
        <w:tc>
          <w:tcPr>
            <w:tcW w:w="2102" w:type="dxa"/>
            <w:shd w:val="clear" w:color="auto" w:fill="auto"/>
            <w:tcMar>
              <w:top w:w="0" w:type="dxa"/>
              <w:left w:w="108" w:type="dxa"/>
              <w:bottom w:w="0" w:type="dxa"/>
              <w:right w:w="108" w:type="dxa"/>
            </w:tcMar>
          </w:tcPr>
          <w:p w14:paraId="457637F6" w14:textId="2CEA2547" w:rsidR="003E2214" w:rsidRPr="003E2214" w:rsidRDefault="001F6B45" w:rsidP="00D50B18">
            <w:pPr>
              <w:spacing w:before="120" w:after="120" w:line="23" w:lineRule="atLeast"/>
              <w:jc w:val="center"/>
              <w:rPr>
                <w:rFonts w:ascii="Arial" w:hAnsi="Arial" w:cs="Arial"/>
                <w:b/>
                <w:sz w:val="18"/>
                <w:szCs w:val="18"/>
              </w:rPr>
            </w:pPr>
            <w:r>
              <w:rPr>
                <w:rFonts w:ascii="Arial" w:hAnsi="Arial" w:cs="Arial"/>
                <w:b/>
                <w:sz w:val="18"/>
                <w:szCs w:val="18"/>
              </w:rPr>
              <w:t>17</w:t>
            </w:r>
            <w:r w:rsidRPr="003E2214">
              <w:rPr>
                <w:rFonts w:ascii="Arial" w:hAnsi="Arial" w:cs="Arial"/>
                <w:b/>
                <w:sz w:val="18"/>
                <w:szCs w:val="18"/>
              </w:rPr>
              <w:t>/0</w:t>
            </w:r>
            <w:r>
              <w:rPr>
                <w:rFonts w:ascii="Arial" w:hAnsi="Arial" w:cs="Arial"/>
                <w:b/>
                <w:sz w:val="18"/>
                <w:szCs w:val="18"/>
              </w:rPr>
              <w:t>8</w:t>
            </w:r>
            <w:r w:rsidRPr="003E2214">
              <w:rPr>
                <w:rFonts w:ascii="Arial" w:hAnsi="Arial" w:cs="Arial"/>
                <w:b/>
                <w:sz w:val="18"/>
                <w:szCs w:val="18"/>
              </w:rPr>
              <w:t>/20</w:t>
            </w:r>
            <w:r>
              <w:rPr>
                <w:rFonts w:ascii="Arial" w:hAnsi="Arial" w:cs="Arial"/>
                <w:b/>
                <w:sz w:val="18"/>
                <w:szCs w:val="18"/>
              </w:rPr>
              <w:t>21</w:t>
            </w:r>
          </w:p>
        </w:tc>
        <w:tc>
          <w:tcPr>
            <w:tcW w:w="2102" w:type="dxa"/>
            <w:shd w:val="clear" w:color="auto" w:fill="auto"/>
            <w:tcMar>
              <w:top w:w="0" w:type="dxa"/>
              <w:left w:w="108" w:type="dxa"/>
              <w:bottom w:w="0" w:type="dxa"/>
              <w:right w:w="108" w:type="dxa"/>
            </w:tcMar>
          </w:tcPr>
          <w:p w14:paraId="634DBB0C" w14:textId="71506359" w:rsidR="003E2214" w:rsidRPr="003E2214" w:rsidRDefault="001F6B45" w:rsidP="00D50B18">
            <w:pPr>
              <w:spacing w:before="120" w:after="120" w:line="23" w:lineRule="atLeast"/>
              <w:jc w:val="center"/>
              <w:rPr>
                <w:rFonts w:ascii="Arial" w:hAnsi="Arial" w:cs="Arial"/>
                <w:b/>
                <w:sz w:val="18"/>
                <w:szCs w:val="18"/>
              </w:rPr>
            </w:pPr>
            <w:r>
              <w:rPr>
                <w:rFonts w:ascii="Arial" w:hAnsi="Arial" w:cs="Arial"/>
                <w:b/>
                <w:sz w:val="18"/>
                <w:szCs w:val="18"/>
              </w:rPr>
              <w:t>22</w:t>
            </w:r>
            <w:r w:rsidR="003E2214" w:rsidRPr="003E2214">
              <w:rPr>
                <w:rFonts w:ascii="Arial" w:hAnsi="Arial" w:cs="Arial"/>
                <w:b/>
                <w:sz w:val="18"/>
                <w:szCs w:val="18"/>
              </w:rPr>
              <w:t>:</w:t>
            </w:r>
            <w:r w:rsidR="001E4A78">
              <w:rPr>
                <w:rFonts w:ascii="Arial" w:hAnsi="Arial" w:cs="Arial"/>
                <w:b/>
                <w:sz w:val="18"/>
                <w:szCs w:val="18"/>
              </w:rPr>
              <w:t>01</w:t>
            </w:r>
          </w:p>
        </w:tc>
        <w:tc>
          <w:tcPr>
            <w:tcW w:w="3120" w:type="dxa"/>
            <w:shd w:val="clear" w:color="auto" w:fill="auto"/>
          </w:tcPr>
          <w:p w14:paraId="380DA921" w14:textId="260F36A4" w:rsidR="003E2214" w:rsidRPr="003E2214" w:rsidRDefault="003E2214" w:rsidP="00D50B18">
            <w:pPr>
              <w:spacing w:before="120" w:after="120" w:line="23" w:lineRule="atLeast"/>
              <w:jc w:val="center"/>
              <w:rPr>
                <w:rFonts w:ascii="Arial" w:hAnsi="Arial" w:cs="Arial"/>
                <w:sz w:val="18"/>
                <w:szCs w:val="18"/>
              </w:rPr>
            </w:pPr>
            <w:r w:rsidRPr="003E2214">
              <w:rPr>
                <w:rFonts w:ascii="Arial" w:hAnsi="Arial" w:cs="Arial"/>
                <w:sz w:val="18"/>
                <w:szCs w:val="18"/>
              </w:rPr>
              <w:t>Correo electrónico</w:t>
            </w:r>
            <w:r w:rsidR="008E69EE">
              <w:rPr>
                <w:rFonts w:ascii="Arial" w:hAnsi="Arial" w:cs="Arial"/>
                <w:sz w:val="18"/>
                <w:szCs w:val="18"/>
              </w:rPr>
              <w:t>.</w:t>
            </w:r>
          </w:p>
        </w:tc>
      </w:tr>
      <w:tr w:rsidR="003E2214" w:rsidRPr="003E2214" w14:paraId="3CBB0384" w14:textId="77777777" w:rsidTr="00973ABA">
        <w:trPr>
          <w:trHeight w:val="449"/>
          <w:jc w:val="center"/>
        </w:trPr>
        <w:tc>
          <w:tcPr>
            <w:tcW w:w="1494" w:type="dxa"/>
            <w:shd w:val="clear" w:color="auto" w:fill="auto"/>
            <w:tcMar>
              <w:top w:w="0" w:type="dxa"/>
              <w:left w:w="108" w:type="dxa"/>
              <w:bottom w:w="0" w:type="dxa"/>
              <w:right w:w="108" w:type="dxa"/>
            </w:tcMar>
            <w:vAlign w:val="center"/>
          </w:tcPr>
          <w:p w14:paraId="44DC5FD5" w14:textId="77777777" w:rsidR="003E2214" w:rsidRPr="008E69EE" w:rsidRDefault="003E2214" w:rsidP="00D50B18">
            <w:pPr>
              <w:spacing w:before="120" w:after="120" w:line="23" w:lineRule="atLeast"/>
              <w:jc w:val="both"/>
              <w:rPr>
                <w:rFonts w:ascii="Arial" w:hAnsi="Arial" w:cs="Arial"/>
                <w:sz w:val="18"/>
                <w:szCs w:val="18"/>
              </w:rPr>
            </w:pPr>
            <w:r w:rsidRPr="008E69EE">
              <w:rPr>
                <w:rFonts w:ascii="Arial" w:hAnsi="Arial" w:cs="Arial"/>
                <w:sz w:val="18"/>
                <w:szCs w:val="18"/>
              </w:rPr>
              <w:t>Participante 4</w:t>
            </w:r>
          </w:p>
        </w:tc>
        <w:tc>
          <w:tcPr>
            <w:tcW w:w="2102" w:type="dxa"/>
            <w:shd w:val="clear" w:color="auto" w:fill="auto"/>
            <w:tcMar>
              <w:top w:w="0" w:type="dxa"/>
              <w:left w:w="108" w:type="dxa"/>
              <w:bottom w:w="0" w:type="dxa"/>
              <w:right w:w="108" w:type="dxa"/>
            </w:tcMar>
          </w:tcPr>
          <w:p w14:paraId="5555539B" w14:textId="2A3B7BD8" w:rsidR="003E2214" w:rsidRPr="008E69EE" w:rsidRDefault="001F6B45" w:rsidP="00D50B18">
            <w:pPr>
              <w:spacing w:before="120" w:after="120" w:line="23" w:lineRule="atLeast"/>
              <w:jc w:val="center"/>
              <w:rPr>
                <w:rFonts w:ascii="Arial" w:hAnsi="Arial" w:cs="Arial"/>
                <w:b/>
                <w:sz w:val="18"/>
                <w:szCs w:val="18"/>
              </w:rPr>
            </w:pPr>
            <w:r w:rsidRPr="008E69EE">
              <w:rPr>
                <w:rFonts w:ascii="Arial" w:hAnsi="Arial" w:cs="Arial"/>
                <w:b/>
                <w:sz w:val="18"/>
                <w:szCs w:val="18"/>
              </w:rPr>
              <w:t>17/08/2021</w:t>
            </w:r>
          </w:p>
        </w:tc>
        <w:tc>
          <w:tcPr>
            <w:tcW w:w="2102" w:type="dxa"/>
            <w:shd w:val="clear" w:color="auto" w:fill="auto"/>
            <w:tcMar>
              <w:top w:w="0" w:type="dxa"/>
              <w:left w:w="108" w:type="dxa"/>
              <w:bottom w:w="0" w:type="dxa"/>
              <w:right w:w="108" w:type="dxa"/>
            </w:tcMar>
          </w:tcPr>
          <w:p w14:paraId="45754A5C" w14:textId="1AF4C2E8" w:rsidR="003E2214" w:rsidRPr="008E69EE" w:rsidRDefault="001E4A78" w:rsidP="00D50B18">
            <w:pPr>
              <w:spacing w:before="120" w:after="120" w:line="23" w:lineRule="atLeast"/>
              <w:jc w:val="center"/>
              <w:rPr>
                <w:rFonts w:ascii="Arial" w:hAnsi="Arial" w:cs="Arial"/>
                <w:b/>
                <w:sz w:val="18"/>
                <w:szCs w:val="18"/>
              </w:rPr>
            </w:pPr>
            <w:r>
              <w:rPr>
                <w:rFonts w:ascii="Arial" w:hAnsi="Arial" w:cs="Arial"/>
                <w:b/>
                <w:sz w:val="18"/>
                <w:szCs w:val="18"/>
              </w:rPr>
              <w:t>22</w:t>
            </w:r>
            <w:r w:rsidR="003E2214" w:rsidRPr="008E69EE">
              <w:rPr>
                <w:rFonts w:ascii="Arial" w:hAnsi="Arial" w:cs="Arial"/>
                <w:b/>
                <w:sz w:val="18"/>
                <w:szCs w:val="18"/>
              </w:rPr>
              <w:t>:</w:t>
            </w:r>
            <w:r>
              <w:rPr>
                <w:rFonts w:ascii="Arial" w:hAnsi="Arial" w:cs="Arial"/>
                <w:b/>
                <w:sz w:val="18"/>
                <w:szCs w:val="18"/>
              </w:rPr>
              <w:t>30</w:t>
            </w:r>
          </w:p>
        </w:tc>
        <w:tc>
          <w:tcPr>
            <w:tcW w:w="3120" w:type="dxa"/>
            <w:shd w:val="clear" w:color="auto" w:fill="auto"/>
          </w:tcPr>
          <w:p w14:paraId="3FB27839" w14:textId="5F77C4EB" w:rsidR="003E2214" w:rsidRPr="008E69EE" w:rsidRDefault="008E69EE" w:rsidP="00D50B18">
            <w:pPr>
              <w:spacing w:before="120" w:after="120" w:line="23" w:lineRule="atLeast"/>
              <w:jc w:val="center"/>
              <w:rPr>
                <w:rFonts w:ascii="Arial" w:hAnsi="Arial" w:cs="Arial"/>
                <w:sz w:val="18"/>
                <w:szCs w:val="18"/>
              </w:rPr>
            </w:pPr>
            <w:r w:rsidRPr="008E69EE">
              <w:rPr>
                <w:rFonts w:ascii="Arial" w:hAnsi="Arial" w:cs="Arial"/>
                <w:sz w:val="18"/>
                <w:szCs w:val="18"/>
              </w:rPr>
              <w:t>Correo electrónico.</w:t>
            </w:r>
          </w:p>
        </w:tc>
      </w:tr>
    </w:tbl>
    <w:p w14:paraId="2638DCA9" w14:textId="5C041A8A" w:rsidR="003E2214" w:rsidRPr="0076778C" w:rsidRDefault="00973ABA" w:rsidP="00D50B18">
      <w:pPr>
        <w:spacing w:before="120" w:after="120" w:line="23" w:lineRule="atLeast"/>
        <w:jc w:val="both"/>
        <w:rPr>
          <w:rFonts w:ascii="Arial" w:hAnsi="Arial" w:cs="Arial"/>
        </w:rPr>
      </w:pPr>
      <w:r w:rsidRPr="00973ABA">
        <w:rPr>
          <w:rFonts w:ascii="Arial" w:hAnsi="Arial" w:cs="Arial"/>
        </w:rPr>
        <w:t xml:space="preserve">Los comentarios presentados </w:t>
      </w:r>
      <w:r w:rsidR="0085320E" w:rsidRPr="0085320E">
        <w:rPr>
          <w:rFonts w:ascii="Arial" w:hAnsi="Arial" w:cs="Arial"/>
        </w:rPr>
        <w:t>se encuentran disponibles en</w:t>
      </w:r>
      <w:r w:rsidR="0076778C">
        <w:rPr>
          <w:rFonts w:ascii="Arial" w:hAnsi="Arial" w:cs="Arial"/>
        </w:rPr>
        <w:t xml:space="preserve"> </w:t>
      </w:r>
      <w:hyperlink r:id="rId11" w:history="1">
        <w:r w:rsidR="0076778C" w:rsidRPr="00483D9F">
          <w:rPr>
            <w:rStyle w:val="Hipervnculo"/>
            <w:rFonts w:ascii="Arial" w:hAnsi="Arial" w:cs="Arial"/>
          </w:rPr>
          <w:t>http://www.ift.org.mx/industria/consultas-publicas/guia-para-tramitar-el-procedimiento-seguido-en-forma-de-juicio-tramitado-por-la-comision-de</w:t>
        </w:r>
      </w:hyperlink>
      <w:r w:rsidR="003E2214" w:rsidRPr="003E2214">
        <w:rPr>
          <w:rFonts w:ascii="Arial" w:hAnsi="Arial" w:cs="Arial"/>
          <w:szCs w:val="14"/>
        </w:rPr>
        <w:t>.</w:t>
      </w:r>
      <w:r w:rsidR="00C272A8">
        <w:rPr>
          <w:rFonts w:ascii="Arial" w:hAnsi="Arial" w:cs="Arial"/>
          <w:szCs w:val="14"/>
        </w:rPr>
        <w:t xml:space="preserve"> </w:t>
      </w:r>
      <w:r>
        <w:rPr>
          <w:rFonts w:ascii="Arial" w:hAnsi="Arial" w:cs="Arial"/>
          <w:szCs w:val="14"/>
        </w:rPr>
        <w:t xml:space="preserve"> </w:t>
      </w:r>
    </w:p>
    <w:p w14:paraId="450A8D15" w14:textId="3FA61997" w:rsidR="003E2214" w:rsidRDefault="005F39CC" w:rsidP="00D50B18">
      <w:pPr>
        <w:pStyle w:val="Ttulo1"/>
        <w:spacing w:before="120" w:after="120" w:line="23" w:lineRule="atLeast"/>
        <w:jc w:val="both"/>
        <w:rPr>
          <w:rFonts w:ascii="Arial" w:hAnsi="Arial" w:cs="Arial"/>
          <w:b/>
          <w:color w:val="auto"/>
          <w:sz w:val="22"/>
          <w:szCs w:val="22"/>
        </w:rPr>
      </w:pPr>
      <w:r>
        <w:rPr>
          <w:rFonts w:ascii="Arial" w:hAnsi="Arial" w:cs="Arial"/>
          <w:b/>
          <w:color w:val="auto"/>
          <w:sz w:val="22"/>
          <w:szCs w:val="22"/>
        </w:rPr>
        <w:t>7</w:t>
      </w:r>
      <w:r w:rsidR="00393393">
        <w:rPr>
          <w:rFonts w:ascii="Arial" w:hAnsi="Arial" w:cs="Arial"/>
          <w:b/>
          <w:color w:val="auto"/>
          <w:sz w:val="22"/>
          <w:szCs w:val="22"/>
        </w:rPr>
        <w:t>.</w:t>
      </w:r>
      <w:r w:rsidR="003E2214" w:rsidRPr="003E2214">
        <w:rPr>
          <w:rFonts w:ascii="Arial" w:hAnsi="Arial" w:cs="Arial"/>
          <w:b/>
          <w:color w:val="auto"/>
          <w:sz w:val="22"/>
          <w:szCs w:val="22"/>
        </w:rPr>
        <w:t xml:space="preserve"> </w:t>
      </w:r>
      <w:r w:rsidR="00C320A9">
        <w:rPr>
          <w:rFonts w:ascii="Arial" w:hAnsi="Arial" w:cs="Arial"/>
          <w:b/>
          <w:color w:val="auto"/>
          <w:sz w:val="22"/>
          <w:szCs w:val="22"/>
        </w:rPr>
        <w:t xml:space="preserve">Respuestas o posicionamientos </w:t>
      </w:r>
      <w:r w:rsidR="00EA4331">
        <w:rPr>
          <w:rFonts w:ascii="Arial" w:hAnsi="Arial" w:cs="Arial"/>
          <w:b/>
          <w:color w:val="auto"/>
          <w:sz w:val="22"/>
          <w:szCs w:val="22"/>
        </w:rPr>
        <w:t xml:space="preserve">de la UCE </w:t>
      </w:r>
      <w:r w:rsidR="00C320A9">
        <w:rPr>
          <w:rFonts w:ascii="Arial" w:hAnsi="Arial" w:cs="Arial"/>
          <w:b/>
          <w:color w:val="auto"/>
          <w:sz w:val="22"/>
          <w:szCs w:val="22"/>
        </w:rPr>
        <w:t>que correspondan a los comentarios</w:t>
      </w:r>
      <w:r w:rsidR="00392DA2">
        <w:rPr>
          <w:rFonts w:ascii="Arial" w:hAnsi="Arial" w:cs="Arial"/>
          <w:b/>
          <w:color w:val="auto"/>
          <w:sz w:val="22"/>
          <w:szCs w:val="22"/>
        </w:rPr>
        <w:t xml:space="preserve">, opiniones y propuestas </w:t>
      </w:r>
      <w:r w:rsidR="00C320A9">
        <w:rPr>
          <w:rFonts w:ascii="Arial" w:hAnsi="Arial" w:cs="Arial"/>
          <w:b/>
          <w:color w:val="auto"/>
          <w:sz w:val="22"/>
          <w:szCs w:val="22"/>
        </w:rPr>
        <w:t>recibid</w:t>
      </w:r>
      <w:r w:rsidR="00392DA2">
        <w:rPr>
          <w:rFonts w:ascii="Arial" w:hAnsi="Arial" w:cs="Arial"/>
          <w:b/>
          <w:color w:val="auto"/>
          <w:sz w:val="22"/>
          <w:szCs w:val="22"/>
        </w:rPr>
        <w:t>as</w:t>
      </w:r>
      <w:r w:rsidR="00C320A9">
        <w:rPr>
          <w:rFonts w:ascii="Arial" w:hAnsi="Arial" w:cs="Arial"/>
          <w:b/>
          <w:color w:val="auto"/>
          <w:sz w:val="22"/>
          <w:szCs w:val="22"/>
        </w:rPr>
        <w:t>.</w:t>
      </w:r>
    </w:p>
    <w:p w14:paraId="33AEBD68" w14:textId="08D7866D" w:rsidR="008839E0" w:rsidRDefault="00BC2E02" w:rsidP="00D50B18">
      <w:pPr>
        <w:spacing w:before="120" w:after="120" w:line="23" w:lineRule="atLeast"/>
        <w:jc w:val="both"/>
        <w:rPr>
          <w:rFonts w:ascii="Arial" w:hAnsi="Arial" w:cs="Arial"/>
        </w:rPr>
      </w:pPr>
      <w:r w:rsidRPr="00BC2E02">
        <w:rPr>
          <w:rFonts w:ascii="Arial" w:hAnsi="Arial" w:cs="Arial"/>
        </w:rPr>
        <w:t xml:space="preserve">A continuación, se presenta </w:t>
      </w:r>
      <w:r w:rsidR="00EA4331">
        <w:rPr>
          <w:rFonts w:ascii="Arial" w:hAnsi="Arial" w:cs="Arial"/>
        </w:rPr>
        <w:t>una síntesis</w:t>
      </w:r>
      <w:r w:rsidRPr="00BC2E02">
        <w:rPr>
          <w:rFonts w:ascii="Arial" w:hAnsi="Arial" w:cs="Arial"/>
        </w:rPr>
        <w:t xml:space="preserve"> de los comentarios recibidos y se identifican los apartados específicos del Anteproyecto al que fueron dirigidos. En concreto</w:t>
      </w:r>
      <w:r>
        <w:rPr>
          <w:rFonts w:ascii="Arial" w:hAnsi="Arial" w:cs="Arial"/>
        </w:rPr>
        <w:t>, s</w:t>
      </w:r>
      <w:r w:rsidR="008839E0">
        <w:rPr>
          <w:rFonts w:ascii="Arial" w:hAnsi="Arial" w:cs="Arial"/>
        </w:rPr>
        <w:t xml:space="preserve">e recibieron comentarios sobre los apartados siguientes: </w:t>
      </w:r>
      <w:bookmarkStart w:id="0" w:name="_Hlk80809058"/>
      <w:r w:rsidR="008839E0">
        <w:rPr>
          <w:rFonts w:ascii="Arial" w:hAnsi="Arial" w:cs="Arial"/>
        </w:rPr>
        <w:t xml:space="preserve">1. Introducción, 2.1. Cuestión Previa al Procedimiento, 2.2. Emplazamiento, 2.5. Ofrecimiento, admisión y desahogo de Pruebas, 2.5.1. Documentales y </w:t>
      </w:r>
      <w:r w:rsidR="008839E0" w:rsidRPr="003E2214">
        <w:rPr>
          <w:rFonts w:ascii="Arial" w:hAnsi="Arial" w:cs="Arial"/>
        </w:rPr>
        <w:t>4</w:t>
      </w:r>
      <w:r w:rsidR="008839E0">
        <w:rPr>
          <w:rFonts w:ascii="Arial" w:hAnsi="Arial" w:cs="Arial"/>
        </w:rPr>
        <w:t>.1. Promociones</w:t>
      </w:r>
      <w:bookmarkEnd w:id="0"/>
      <w:r w:rsidR="008839E0">
        <w:rPr>
          <w:rFonts w:ascii="Arial" w:hAnsi="Arial" w:cs="Arial"/>
        </w:rPr>
        <w:t>.</w:t>
      </w:r>
      <w:r w:rsidR="00D519E4">
        <w:rPr>
          <w:rFonts w:ascii="Arial" w:hAnsi="Arial" w:cs="Arial"/>
        </w:rPr>
        <w:t xml:space="preserve"> </w:t>
      </w:r>
    </w:p>
    <w:p w14:paraId="791EE1C6" w14:textId="58AEF69F" w:rsidR="0023453B" w:rsidRPr="00BD5C05" w:rsidRDefault="0023453B" w:rsidP="00D50B18">
      <w:pPr>
        <w:spacing w:before="120" w:after="120" w:line="23" w:lineRule="atLeast"/>
        <w:jc w:val="both"/>
        <w:rPr>
          <w:rFonts w:ascii="Arial" w:hAnsi="Arial" w:cs="Arial"/>
        </w:rPr>
      </w:pPr>
      <w:r>
        <w:rPr>
          <w:rFonts w:ascii="Arial" w:hAnsi="Arial" w:cs="Arial"/>
        </w:rPr>
        <w:lastRenderedPageBreak/>
        <w:t xml:space="preserve">Sin prejuzgar sobre lo que determine el Pleno del Instituto al emitir </w:t>
      </w:r>
      <w:r w:rsidR="00F71B9B">
        <w:rPr>
          <w:rFonts w:ascii="Arial" w:hAnsi="Arial" w:cs="Arial"/>
        </w:rPr>
        <w:t xml:space="preserve">la </w:t>
      </w:r>
      <w:r>
        <w:rPr>
          <w:rFonts w:ascii="Arial" w:hAnsi="Arial" w:cs="Arial"/>
        </w:rPr>
        <w:t xml:space="preserve">Guía, a continuación, </w:t>
      </w:r>
      <w:r w:rsidR="00F71B9B">
        <w:rPr>
          <w:rFonts w:ascii="Arial" w:hAnsi="Arial" w:cs="Arial"/>
        </w:rPr>
        <w:t xml:space="preserve">la UCE </w:t>
      </w:r>
      <w:r>
        <w:rPr>
          <w:rFonts w:ascii="Arial" w:hAnsi="Arial" w:cs="Arial"/>
        </w:rPr>
        <w:t xml:space="preserve">analiza los comentarios recibidos </w:t>
      </w:r>
      <w:r w:rsidR="00CE0BB6">
        <w:rPr>
          <w:rFonts w:ascii="Arial" w:hAnsi="Arial" w:cs="Arial"/>
        </w:rPr>
        <w:t>en la Consulta Pública</w:t>
      </w:r>
      <w:r>
        <w:rPr>
          <w:rFonts w:ascii="Arial" w:hAnsi="Arial" w:cs="Arial"/>
        </w:rPr>
        <w:t xml:space="preserve">, los cuales han </w:t>
      </w:r>
      <w:r w:rsidRPr="00BD5C05">
        <w:rPr>
          <w:rFonts w:ascii="Arial" w:hAnsi="Arial" w:cs="Arial"/>
        </w:rPr>
        <w:t xml:space="preserve">sido ponderados y se presenta una </w:t>
      </w:r>
      <w:r w:rsidR="005E2937">
        <w:rPr>
          <w:rFonts w:ascii="Arial" w:hAnsi="Arial" w:cs="Arial"/>
        </w:rPr>
        <w:t xml:space="preserve">consideración, </w:t>
      </w:r>
      <w:r w:rsidRPr="00BD5C05">
        <w:rPr>
          <w:rFonts w:ascii="Arial" w:hAnsi="Arial" w:cs="Arial"/>
        </w:rPr>
        <w:t>respuesta o posicionamiento sobre ellos.</w:t>
      </w:r>
    </w:p>
    <w:p w14:paraId="400B620F" w14:textId="71E5150A" w:rsidR="00C200B9" w:rsidRDefault="005F39CC" w:rsidP="00D50B18">
      <w:pPr>
        <w:spacing w:before="120" w:after="120" w:line="23" w:lineRule="atLeast"/>
        <w:jc w:val="both"/>
        <w:rPr>
          <w:rFonts w:ascii="Arial" w:hAnsi="Arial" w:cs="Arial"/>
          <w:b/>
          <w:bCs/>
        </w:rPr>
      </w:pPr>
      <w:r>
        <w:rPr>
          <w:rFonts w:ascii="Arial" w:hAnsi="Arial" w:cs="Arial"/>
          <w:b/>
        </w:rPr>
        <w:t>8</w:t>
      </w:r>
      <w:r w:rsidR="004D24CF" w:rsidRPr="00BD5C05">
        <w:rPr>
          <w:rFonts w:ascii="Arial" w:hAnsi="Arial" w:cs="Arial"/>
          <w:b/>
        </w:rPr>
        <w:t>.</w:t>
      </w:r>
      <w:r>
        <w:rPr>
          <w:rFonts w:ascii="Arial" w:hAnsi="Arial" w:cs="Arial"/>
          <w:b/>
        </w:rPr>
        <w:t>1</w:t>
      </w:r>
      <w:r w:rsidR="003E2214" w:rsidRPr="00BD5C05">
        <w:rPr>
          <w:rFonts w:ascii="Arial" w:hAnsi="Arial" w:cs="Arial"/>
          <w:b/>
        </w:rPr>
        <w:t xml:space="preserve"> </w:t>
      </w:r>
      <w:r w:rsidR="000655AC" w:rsidRPr="00BD5C05">
        <w:rPr>
          <w:rFonts w:ascii="Arial" w:hAnsi="Arial" w:cs="Arial"/>
          <w:b/>
        </w:rPr>
        <w:t>A</w:t>
      </w:r>
      <w:r w:rsidR="005826FC" w:rsidRPr="00BD5C05">
        <w:rPr>
          <w:rFonts w:ascii="Arial" w:hAnsi="Arial" w:cs="Arial"/>
          <w:b/>
          <w:bCs/>
        </w:rPr>
        <w:t>partado 1. Introducción</w:t>
      </w:r>
    </w:p>
    <w:p w14:paraId="783AE338" w14:textId="4A6AF460" w:rsidR="004D24CF" w:rsidRDefault="005F39CC" w:rsidP="00D50B18">
      <w:pPr>
        <w:spacing w:before="120" w:after="120" w:line="23" w:lineRule="atLeast"/>
        <w:jc w:val="both"/>
        <w:rPr>
          <w:rFonts w:ascii="Arial" w:hAnsi="Arial" w:cs="Arial"/>
          <w:b/>
          <w:bCs/>
        </w:rPr>
      </w:pPr>
      <w:r>
        <w:rPr>
          <w:rFonts w:ascii="Arial" w:hAnsi="Arial" w:cs="Arial"/>
          <w:b/>
          <w:bCs/>
        </w:rPr>
        <w:t>8</w:t>
      </w:r>
      <w:r w:rsidR="00BD5C05">
        <w:rPr>
          <w:rFonts w:ascii="Arial" w:hAnsi="Arial" w:cs="Arial"/>
          <w:b/>
          <w:bCs/>
        </w:rPr>
        <w:t xml:space="preserve">.1.1. </w:t>
      </w:r>
      <w:r w:rsidR="00BD5C05" w:rsidRPr="00BD5C05">
        <w:rPr>
          <w:rFonts w:ascii="Arial" w:hAnsi="Arial" w:cs="Arial"/>
          <w:b/>
          <w:bCs/>
        </w:rPr>
        <w:t>Síntesis de los comentarios recibidos respecto de la propuesta del apartado</w:t>
      </w:r>
      <w:r w:rsidR="00BD5C05">
        <w:rPr>
          <w:rFonts w:ascii="Arial" w:hAnsi="Arial" w:cs="Arial"/>
          <w:b/>
          <w:bCs/>
        </w:rPr>
        <w:t xml:space="preserve"> </w:t>
      </w:r>
      <w:r w:rsidR="00BD5C05" w:rsidRPr="00BD5C05">
        <w:rPr>
          <w:rFonts w:ascii="Arial" w:hAnsi="Arial" w:cs="Arial"/>
          <w:b/>
          <w:bCs/>
        </w:rPr>
        <w:t>1. Introducción</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2845"/>
        <w:gridCol w:w="30"/>
        <w:gridCol w:w="2903"/>
        <w:gridCol w:w="3568"/>
      </w:tblGrid>
      <w:tr w:rsidR="00A265C3" w:rsidRPr="003E2214" w14:paraId="375458E2" w14:textId="0DAE96EF" w:rsidTr="00275B74">
        <w:trPr>
          <w:tblHeader/>
          <w:jc w:val="center"/>
        </w:trPr>
        <w:tc>
          <w:tcPr>
            <w:tcW w:w="2845" w:type="dxa"/>
            <w:shd w:val="clear" w:color="auto" w:fill="70AD47" w:themeFill="accent6"/>
          </w:tcPr>
          <w:p w14:paraId="11D238DB" w14:textId="5EACBB5B" w:rsidR="00A265C3" w:rsidRPr="00F45E04" w:rsidRDefault="00A265C3" w:rsidP="00D50B18">
            <w:pPr>
              <w:spacing w:before="120" w:after="120" w:line="23" w:lineRule="atLeast"/>
              <w:jc w:val="center"/>
              <w:rPr>
                <w:rFonts w:ascii="Arial" w:hAnsi="Arial" w:cs="Arial"/>
                <w:b/>
                <w:sz w:val="18"/>
                <w:szCs w:val="18"/>
              </w:rPr>
            </w:pPr>
            <w:r w:rsidRPr="00F45E04">
              <w:rPr>
                <w:rFonts w:ascii="Arial" w:hAnsi="Arial" w:cs="Arial"/>
                <w:b/>
                <w:sz w:val="18"/>
                <w:szCs w:val="18"/>
              </w:rPr>
              <w:t>Apartado del Anteproyecto</w:t>
            </w:r>
          </w:p>
        </w:tc>
        <w:tc>
          <w:tcPr>
            <w:tcW w:w="2933" w:type="dxa"/>
            <w:gridSpan w:val="2"/>
            <w:shd w:val="clear" w:color="auto" w:fill="70AD47" w:themeFill="accent6"/>
          </w:tcPr>
          <w:p w14:paraId="271A4EF8" w14:textId="146AE89A" w:rsidR="00A265C3" w:rsidRPr="00F45E04" w:rsidRDefault="00A265C3" w:rsidP="00D50B18">
            <w:pPr>
              <w:spacing w:before="120" w:after="120" w:line="23" w:lineRule="atLeast"/>
              <w:jc w:val="center"/>
              <w:rPr>
                <w:rFonts w:ascii="Arial" w:hAnsi="Arial" w:cs="Arial"/>
                <w:b/>
                <w:sz w:val="18"/>
                <w:szCs w:val="18"/>
              </w:rPr>
            </w:pPr>
            <w:r w:rsidRPr="00F45E04">
              <w:rPr>
                <w:rFonts w:ascii="Arial" w:hAnsi="Arial" w:cs="Arial"/>
                <w:b/>
                <w:sz w:val="18"/>
                <w:szCs w:val="18"/>
              </w:rPr>
              <w:t>Resumen de los comentarios recibidos</w:t>
            </w:r>
          </w:p>
        </w:tc>
        <w:tc>
          <w:tcPr>
            <w:tcW w:w="3568" w:type="dxa"/>
            <w:shd w:val="clear" w:color="auto" w:fill="70AD47" w:themeFill="accent6"/>
          </w:tcPr>
          <w:p w14:paraId="7DE10C90" w14:textId="5AD10A27" w:rsidR="00A265C3" w:rsidRPr="00F45E04" w:rsidRDefault="00A265C3" w:rsidP="00D50B18">
            <w:pPr>
              <w:spacing w:before="120" w:after="120" w:line="23" w:lineRule="atLeast"/>
              <w:jc w:val="center"/>
              <w:rPr>
                <w:rFonts w:ascii="Arial" w:hAnsi="Arial" w:cs="Arial"/>
                <w:b/>
                <w:sz w:val="18"/>
                <w:szCs w:val="18"/>
              </w:rPr>
            </w:pPr>
            <w:r>
              <w:rPr>
                <w:rFonts w:ascii="Arial" w:hAnsi="Arial" w:cs="Arial"/>
                <w:b/>
                <w:sz w:val="18"/>
                <w:szCs w:val="18"/>
              </w:rPr>
              <w:t>Consideración</w:t>
            </w:r>
          </w:p>
        </w:tc>
      </w:tr>
      <w:tr w:rsidR="00844861" w:rsidRPr="003E2214" w14:paraId="7A46DAA5" w14:textId="3DABE3ED" w:rsidTr="00275B74">
        <w:trPr>
          <w:jc w:val="center"/>
        </w:trPr>
        <w:tc>
          <w:tcPr>
            <w:tcW w:w="9346" w:type="dxa"/>
            <w:gridSpan w:val="4"/>
            <w:shd w:val="clear" w:color="auto" w:fill="C5E0B3" w:themeFill="accent6" w:themeFillTint="66"/>
          </w:tcPr>
          <w:p w14:paraId="0653DF6E" w14:textId="4D5AB7AE" w:rsidR="00844861" w:rsidRDefault="00844861" w:rsidP="00D50B18">
            <w:pPr>
              <w:spacing w:before="120" w:after="120" w:line="23" w:lineRule="atLeast"/>
              <w:jc w:val="center"/>
              <w:rPr>
                <w:rFonts w:ascii="Arial" w:hAnsi="Arial" w:cs="Arial"/>
                <w:b/>
                <w:sz w:val="18"/>
                <w:szCs w:val="18"/>
              </w:rPr>
            </w:pPr>
            <w:r>
              <w:rPr>
                <w:rFonts w:ascii="Arial" w:hAnsi="Arial" w:cs="Arial"/>
                <w:b/>
                <w:sz w:val="18"/>
                <w:szCs w:val="18"/>
              </w:rPr>
              <w:t>1. Introducción</w:t>
            </w:r>
          </w:p>
        </w:tc>
      </w:tr>
      <w:tr w:rsidR="007C7E70" w:rsidRPr="003E2214" w14:paraId="45F8B165" w14:textId="77777777" w:rsidTr="00275B74">
        <w:trPr>
          <w:jc w:val="center"/>
        </w:trPr>
        <w:tc>
          <w:tcPr>
            <w:tcW w:w="2875" w:type="dxa"/>
            <w:gridSpan w:val="2"/>
            <w:shd w:val="clear" w:color="auto" w:fill="auto"/>
          </w:tcPr>
          <w:p w14:paraId="50A904E8" w14:textId="5D966C51" w:rsidR="007C7E70" w:rsidRDefault="007C7E70" w:rsidP="007C7E70">
            <w:pPr>
              <w:spacing w:before="120" w:after="120" w:line="23" w:lineRule="atLeast"/>
              <w:rPr>
                <w:rFonts w:ascii="Arial" w:hAnsi="Arial" w:cs="Arial"/>
                <w:b/>
                <w:sz w:val="18"/>
                <w:szCs w:val="18"/>
              </w:rPr>
            </w:pPr>
            <w:r>
              <w:rPr>
                <w:rFonts w:ascii="Arial" w:hAnsi="Arial" w:cs="Arial"/>
                <w:b/>
                <w:sz w:val="18"/>
                <w:szCs w:val="18"/>
              </w:rPr>
              <w:t>---</w:t>
            </w:r>
          </w:p>
        </w:tc>
        <w:tc>
          <w:tcPr>
            <w:tcW w:w="2903" w:type="dxa"/>
            <w:shd w:val="clear" w:color="auto" w:fill="auto"/>
          </w:tcPr>
          <w:p w14:paraId="2396A6C5" w14:textId="758A9402" w:rsidR="007C7E70" w:rsidRPr="008003C4" w:rsidRDefault="007C7E70" w:rsidP="008003C4">
            <w:pPr>
              <w:spacing w:before="120" w:after="120" w:line="23" w:lineRule="atLeast"/>
              <w:jc w:val="both"/>
              <w:rPr>
                <w:rFonts w:ascii="Arial" w:hAnsi="Arial" w:cs="Arial"/>
                <w:bCs/>
                <w:sz w:val="18"/>
                <w:szCs w:val="18"/>
              </w:rPr>
            </w:pPr>
            <w:r w:rsidRPr="00BF4F5D">
              <w:rPr>
                <w:rFonts w:ascii="Arial" w:hAnsi="Arial" w:cs="Arial"/>
                <w:bCs/>
                <w:sz w:val="18"/>
                <w:szCs w:val="18"/>
              </w:rPr>
              <w:t>Sugiere incluir en este apartado una mención que aclare que el contenido de la Guía únicamente es aplicable al IFT</w:t>
            </w:r>
            <w:r>
              <w:rPr>
                <w:rFonts w:ascii="Arial" w:hAnsi="Arial" w:cs="Arial"/>
                <w:bCs/>
                <w:sz w:val="18"/>
                <w:szCs w:val="18"/>
              </w:rPr>
              <w:t>.</w:t>
            </w:r>
          </w:p>
        </w:tc>
        <w:tc>
          <w:tcPr>
            <w:tcW w:w="3568" w:type="dxa"/>
            <w:shd w:val="clear" w:color="auto" w:fill="auto"/>
          </w:tcPr>
          <w:p w14:paraId="6588A396" w14:textId="3490FFCF" w:rsidR="007C7E70" w:rsidRPr="008003C4" w:rsidRDefault="008A34AF" w:rsidP="00FF2D68">
            <w:pPr>
              <w:spacing w:before="120" w:after="120" w:line="23" w:lineRule="atLeast"/>
              <w:jc w:val="both"/>
              <w:rPr>
                <w:rFonts w:ascii="Arial" w:hAnsi="Arial" w:cs="Arial"/>
                <w:sz w:val="18"/>
                <w:szCs w:val="18"/>
              </w:rPr>
            </w:pPr>
            <w:r>
              <w:rPr>
                <w:rFonts w:ascii="Arial" w:hAnsi="Arial" w:cs="Arial"/>
                <w:sz w:val="18"/>
                <w:szCs w:val="18"/>
              </w:rPr>
              <w:t>Se considera improcedente</w:t>
            </w:r>
            <w:r w:rsidR="00C24811" w:rsidRPr="00844861">
              <w:rPr>
                <w:rFonts w:ascii="Arial" w:hAnsi="Arial" w:cs="Arial"/>
                <w:sz w:val="18"/>
                <w:szCs w:val="18"/>
              </w:rPr>
              <w:t xml:space="preserve"> </w:t>
            </w:r>
            <w:r>
              <w:rPr>
                <w:rFonts w:ascii="Arial" w:hAnsi="Arial" w:cs="Arial"/>
                <w:sz w:val="18"/>
                <w:szCs w:val="18"/>
              </w:rPr>
              <w:t xml:space="preserve">ya que </w:t>
            </w:r>
            <w:r w:rsidR="00C24811" w:rsidRPr="00844861">
              <w:rPr>
                <w:rFonts w:ascii="Arial" w:hAnsi="Arial" w:cs="Arial"/>
                <w:sz w:val="18"/>
                <w:szCs w:val="18"/>
              </w:rPr>
              <w:t xml:space="preserve">el título del Anteproyecto señala que la Guía es aplicable a los sectores de telecomunicaciones y radiodifusión. </w:t>
            </w:r>
          </w:p>
        </w:tc>
      </w:tr>
      <w:tr w:rsidR="007C7E70" w:rsidRPr="003E2214" w14:paraId="67680FD7" w14:textId="77777777" w:rsidTr="00275B74">
        <w:trPr>
          <w:jc w:val="center"/>
        </w:trPr>
        <w:tc>
          <w:tcPr>
            <w:tcW w:w="2875" w:type="dxa"/>
            <w:gridSpan w:val="2"/>
            <w:shd w:val="clear" w:color="auto" w:fill="auto"/>
          </w:tcPr>
          <w:p w14:paraId="5960C92F" w14:textId="77777777" w:rsidR="007C7E70" w:rsidRPr="00134E70" w:rsidRDefault="007C7E70" w:rsidP="007C7E70">
            <w:pPr>
              <w:spacing w:before="120" w:after="120" w:line="23" w:lineRule="atLeast"/>
              <w:jc w:val="both"/>
              <w:rPr>
                <w:rFonts w:ascii="Arial" w:hAnsi="Arial" w:cs="Arial"/>
                <w:sz w:val="18"/>
                <w:szCs w:val="18"/>
              </w:rPr>
            </w:pPr>
            <w:r w:rsidRPr="00BF4F5D">
              <w:rPr>
                <w:rFonts w:ascii="Arial" w:hAnsi="Arial" w:cs="Arial"/>
                <w:bCs/>
                <w:sz w:val="18"/>
                <w:szCs w:val="18"/>
                <w:lang w:val="es-ES"/>
              </w:rPr>
              <w:t xml:space="preserve">La división del procedimiento en dos etapas es consistente con la práctica internacional (ver Anexo) y tiene el objetivo principal de </w:t>
            </w:r>
            <w:r w:rsidRPr="00BF4F5D">
              <w:rPr>
                <w:rFonts w:ascii="Arial" w:hAnsi="Arial" w:cs="Arial"/>
                <w:sz w:val="18"/>
                <w:szCs w:val="18"/>
              </w:rPr>
              <w:t>garantizar la independencia entre el órgano de decisión y el equipo de investigación, así como evitar influencias, filtración de información o conflictos de interés al momento de emitir la resolución.</w:t>
            </w:r>
          </w:p>
          <w:p w14:paraId="5A7BF4CC" w14:textId="77777777" w:rsidR="007C7E70" w:rsidRDefault="007C7E70" w:rsidP="00D50B18">
            <w:pPr>
              <w:spacing w:before="120" w:after="120" w:line="23" w:lineRule="atLeast"/>
              <w:jc w:val="center"/>
              <w:rPr>
                <w:rFonts w:ascii="Arial" w:hAnsi="Arial" w:cs="Arial"/>
                <w:b/>
                <w:sz w:val="18"/>
                <w:szCs w:val="18"/>
              </w:rPr>
            </w:pPr>
          </w:p>
        </w:tc>
        <w:tc>
          <w:tcPr>
            <w:tcW w:w="2903" w:type="dxa"/>
            <w:shd w:val="clear" w:color="auto" w:fill="auto"/>
          </w:tcPr>
          <w:p w14:paraId="4093583C" w14:textId="65C768B3" w:rsidR="007C7E70" w:rsidRPr="0086791D" w:rsidRDefault="007C7E70" w:rsidP="007C7E70">
            <w:pPr>
              <w:spacing w:before="120" w:after="120" w:line="23" w:lineRule="atLeast"/>
              <w:jc w:val="both"/>
              <w:rPr>
                <w:rFonts w:ascii="Arial" w:hAnsi="Arial" w:cs="Arial"/>
                <w:sz w:val="18"/>
                <w:szCs w:val="18"/>
              </w:rPr>
            </w:pPr>
            <w:r w:rsidRPr="00BF4F5D">
              <w:rPr>
                <w:rFonts w:ascii="Arial" w:hAnsi="Arial" w:cs="Arial"/>
                <w:sz w:val="18"/>
                <w:szCs w:val="18"/>
              </w:rPr>
              <w:t>Considera necesario</w:t>
            </w:r>
            <w:r w:rsidRPr="00BF4F5D">
              <w:rPr>
                <w:rFonts w:ascii="Arial" w:hAnsi="Arial" w:cs="Arial"/>
                <w:spacing w:val="-5"/>
                <w:sz w:val="18"/>
                <w:szCs w:val="18"/>
              </w:rPr>
              <w:t xml:space="preserve"> </w:t>
            </w:r>
            <w:r w:rsidRPr="00BF4F5D">
              <w:rPr>
                <w:rFonts w:ascii="Arial" w:hAnsi="Arial" w:cs="Arial"/>
                <w:sz w:val="18"/>
                <w:szCs w:val="18"/>
              </w:rPr>
              <w:t>mencionar que la división del procedimiento en dos etapas es mantener la independencia entre quien investiga y quien resuelve, tal y como lo señala la Constitución, pues no necesariamente se puede interpretar que la razón de esa división radica en que no pueda existir ningún flujo de información entra la Autoridad Investigadora y quien resuelve</w:t>
            </w:r>
            <w:r w:rsidR="00A15925">
              <w:rPr>
                <w:rFonts w:ascii="Arial" w:hAnsi="Arial" w:cs="Arial"/>
                <w:sz w:val="18"/>
                <w:szCs w:val="18"/>
              </w:rPr>
              <w:t>.</w:t>
            </w:r>
          </w:p>
          <w:p w14:paraId="1725A970" w14:textId="1AF595AE" w:rsidR="007C7E70" w:rsidRDefault="007C7E70" w:rsidP="007C7E70">
            <w:pPr>
              <w:spacing w:before="120" w:after="120" w:line="23" w:lineRule="atLeast"/>
              <w:jc w:val="both"/>
              <w:rPr>
                <w:rFonts w:ascii="Arial" w:hAnsi="Arial" w:cs="Arial"/>
                <w:b/>
                <w:sz w:val="18"/>
                <w:szCs w:val="18"/>
              </w:rPr>
            </w:pPr>
          </w:p>
        </w:tc>
        <w:tc>
          <w:tcPr>
            <w:tcW w:w="3568" w:type="dxa"/>
            <w:shd w:val="clear" w:color="auto" w:fill="auto"/>
          </w:tcPr>
          <w:p w14:paraId="158F394A" w14:textId="19CC71CD" w:rsidR="00A15925" w:rsidRDefault="00A15925" w:rsidP="00A15925">
            <w:pPr>
              <w:spacing w:before="120" w:after="120" w:line="23" w:lineRule="atLeast"/>
              <w:jc w:val="both"/>
              <w:rPr>
                <w:rFonts w:ascii="Arial" w:hAnsi="Arial" w:cs="Arial"/>
                <w:sz w:val="18"/>
                <w:szCs w:val="18"/>
              </w:rPr>
            </w:pPr>
            <w:r w:rsidRPr="00D323B2">
              <w:rPr>
                <w:rFonts w:ascii="Arial" w:hAnsi="Arial" w:cs="Arial"/>
                <w:sz w:val="18"/>
                <w:szCs w:val="18"/>
              </w:rPr>
              <w:t>Se considera procedente</w:t>
            </w:r>
            <w:r w:rsidR="006314E1" w:rsidRPr="00D323B2">
              <w:rPr>
                <w:rFonts w:ascii="Arial" w:hAnsi="Arial" w:cs="Arial"/>
                <w:sz w:val="18"/>
                <w:szCs w:val="18"/>
              </w:rPr>
              <w:t xml:space="preserve"> y</w:t>
            </w:r>
            <w:r w:rsidRPr="00D323B2">
              <w:rPr>
                <w:rFonts w:ascii="Arial" w:hAnsi="Arial" w:cs="Arial"/>
                <w:sz w:val="18"/>
                <w:szCs w:val="18"/>
              </w:rPr>
              <w:t xml:space="preserve"> para evitar </w:t>
            </w:r>
            <w:r w:rsidR="006314E1" w:rsidRPr="00D323B2">
              <w:rPr>
                <w:rFonts w:ascii="Arial" w:hAnsi="Arial" w:cs="Arial"/>
                <w:sz w:val="18"/>
                <w:szCs w:val="18"/>
              </w:rPr>
              <w:t xml:space="preserve">alguna </w:t>
            </w:r>
            <w:r w:rsidRPr="00D323B2">
              <w:rPr>
                <w:rFonts w:ascii="Arial" w:hAnsi="Arial" w:cs="Arial"/>
                <w:sz w:val="18"/>
                <w:szCs w:val="18"/>
              </w:rPr>
              <w:t>confusión</w:t>
            </w:r>
            <w:r w:rsidR="006314E1" w:rsidRPr="00D323B2">
              <w:rPr>
                <w:rFonts w:ascii="Arial" w:hAnsi="Arial" w:cs="Arial"/>
                <w:sz w:val="18"/>
                <w:szCs w:val="18"/>
              </w:rPr>
              <w:t>, s</w:t>
            </w:r>
            <w:r w:rsidRPr="00D323B2">
              <w:rPr>
                <w:rFonts w:ascii="Arial" w:hAnsi="Arial" w:cs="Arial"/>
                <w:sz w:val="18"/>
                <w:szCs w:val="18"/>
              </w:rPr>
              <w:t xml:space="preserve">e </w:t>
            </w:r>
            <w:r w:rsidR="006314E1" w:rsidRPr="00D323B2">
              <w:rPr>
                <w:rFonts w:ascii="Arial" w:hAnsi="Arial" w:cs="Arial"/>
                <w:sz w:val="18"/>
                <w:szCs w:val="18"/>
              </w:rPr>
              <w:t>realiza la</w:t>
            </w:r>
            <w:r w:rsidRPr="00D323B2">
              <w:rPr>
                <w:rFonts w:ascii="Arial" w:hAnsi="Arial" w:cs="Arial"/>
                <w:sz w:val="18"/>
                <w:szCs w:val="18"/>
              </w:rPr>
              <w:t xml:space="preserve"> adaptación al párrafo comentado.</w:t>
            </w:r>
            <w:r>
              <w:rPr>
                <w:rFonts w:ascii="Arial" w:hAnsi="Arial" w:cs="Arial"/>
                <w:sz w:val="18"/>
                <w:szCs w:val="18"/>
              </w:rPr>
              <w:t xml:space="preserve"> </w:t>
            </w:r>
          </w:p>
          <w:p w14:paraId="2D01758F" w14:textId="780AE2CB" w:rsidR="00A15925" w:rsidRDefault="00077AFA" w:rsidP="00A15925">
            <w:pPr>
              <w:spacing w:before="120" w:after="120" w:line="23" w:lineRule="atLeast"/>
              <w:jc w:val="both"/>
              <w:rPr>
                <w:rFonts w:ascii="Arial" w:hAnsi="Arial" w:cs="Arial"/>
                <w:sz w:val="18"/>
                <w:szCs w:val="18"/>
              </w:rPr>
            </w:pPr>
            <w:r w:rsidRPr="00077AFA">
              <w:rPr>
                <w:rFonts w:ascii="Arial" w:hAnsi="Arial" w:cs="Arial"/>
                <w:sz w:val="18"/>
                <w:szCs w:val="18"/>
              </w:rPr>
              <w:t>Conforme a lo anterior, se modifica al Proyecto el siguiente párrafo:</w:t>
            </w:r>
          </w:p>
          <w:tbl>
            <w:tblPr>
              <w:tblStyle w:val="Tablaconcuadrcula"/>
              <w:tblW w:w="0" w:type="auto"/>
              <w:jc w:val="center"/>
              <w:tblLook w:val="04A0" w:firstRow="1" w:lastRow="0" w:firstColumn="1" w:lastColumn="0" w:noHBand="0" w:noVBand="1"/>
            </w:tblPr>
            <w:tblGrid>
              <w:gridCol w:w="3342"/>
            </w:tblGrid>
            <w:tr w:rsidR="00077AFA" w:rsidRPr="00730154" w14:paraId="774C1987" w14:textId="77777777" w:rsidTr="000E7DE4">
              <w:trPr>
                <w:trHeight w:val="311"/>
                <w:jc w:val="center"/>
              </w:trPr>
              <w:tc>
                <w:tcPr>
                  <w:tcW w:w="8799"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0D46FC5C" w14:textId="77777777" w:rsidR="00077AFA" w:rsidRPr="00730154" w:rsidRDefault="00077AFA" w:rsidP="00077AFA">
                  <w:pPr>
                    <w:spacing w:before="120" w:after="120" w:line="23" w:lineRule="atLeast"/>
                    <w:jc w:val="center"/>
                    <w:rPr>
                      <w:rFonts w:ascii="Arial" w:hAnsi="Arial" w:cs="Arial"/>
                      <w:b/>
                      <w:sz w:val="18"/>
                      <w:szCs w:val="18"/>
                    </w:rPr>
                  </w:pPr>
                  <w:r>
                    <w:rPr>
                      <w:rFonts w:ascii="Arial" w:hAnsi="Arial" w:cs="Arial"/>
                      <w:b/>
                      <w:sz w:val="18"/>
                      <w:szCs w:val="18"/>
                    </w:rPr>
                    <w:t>Modificación</w:t>
                  </w:r>
                  <w:r w:rsidRPr="00730154">
                    <w:rPr>
                      <w:rFonts w:ascii="Arial" w:hAnsi="Arial" w:cs="Arial"/>
                      <w:b/>
                      <w:sz w:val="18"/>
                      <w:szCs w:val="18"/>
                    </w:rPr>
                    <w:t xml:space="preserve"> al Proyecto </w:t>
                  </w:r>
                </w:p>
              </w:tc>
            </w:tr>
            <w:tr w:rsidR="00077AFA" w:rsidRPr="00730154" w14:paraId="65C32B2F" w14:textId="77777777" w:rsidTr="000E7DE4">
              <w:trPr>
                <w:jc w:val="center"/>
              </w:trPr>
              <w:tc>
                <w:tcPr>
                  <w:tcW w:w="8799" w:type="dxa"/>
                  <w:tcBorders>
                    <w:top w:val="single" w:sz="4" w:space="0" w:color="auto"/>
                    <w:left w:val="single" w:sz="4" w:space="0" w:color="auto"/>
                    <w:bottom w:val="single" w:sz="4" w:space="0" w:color="auto"/>
                    <w:right w:val="single" w:sz="4" w:space="0" w:color="auto"/>
                  </w:tcBorders>
                  <w:shd w:val="clear" w:color="auto" w:fill="FFFFFF" w:themeFill="background1"/>
                </w:tcPr>
                <w:p w14:paraId="3D7C5484" w14:textId="77777777" w:rsidR="00077AFA" w:rsidRPr="00730154" w:rsidRDefault="00077AFA" w:rsidP="00077AFA">
                  <w:pPr>
                    <w:pStyle w:val="Textoindependiente"/>
                    <w:spacing w:before="120" w:line="23" w:lineRule="atLeast"/>
                    <w:jc w:val="both"/>
                    <w:rPr>
                      <w:rFonts w:ascii="Arial" w:hAnsi="Arial" w:cs="Arial"/>
                      <w:sz w:val="18"/>
                      <w:szCs w:val="18"/>
                    </w:rPr>
                  </w:pPr>
                  <w:r w:rsidRPr="00A15925">
                    <w:rPr>
                      <w:rFonts w:ascii="Arial" w:hAnsi="Arial" w:cs="Arial"/>
                      <w:sz w:val="18"/>
                      <w:szCs w:val="18"/>
                    </w:rPr>
                    <w:t>La división del procedimiento en dos etapas es consistente con la práctica internacional (ver Anexo) y tiene el objetivo principal de garantizar la independencia entre el órgano de decisión y el equipo de investigación, así como evitar influencias</w:t>
                  </w:r>
                  <w:r w:rsidRPr="00A15925">
                    <w:rPr>
                      <w:rFonts w:ascii="Arial" w:hAnsi="Arial" w:cs="Arial"/>
                      <w:strike/>
                      <w:sz w:val="18"/>
                      <w:szCs w:val="18"/>
                    </w:rPr>
                    <w:t>, filtración de información</w:t>
                  </w:r>
                  <w:r w:rsidRPr="00A15925">
                    <w:rPr>
                      <w:rFonts w:ascii="Arial" w:hAnsi="Arial" w:cs="Arial"/>
                      <w:sz w:val="18"/>
                      <w:szCs w:val="18"/>
                    </w:rPr>
                    <w:t xml:space="preserve"> o conflictos de interés al momento de emitir la resolución</w:t>
                  </w:r>
                  <w:r w:rsidRPr="00730154">
                    <w:rPr>
                      <w:rFonts w:ascii="Arial" w:hAnsi="Arial" w:cs="Arial"/>
                      <w:sz w:val="18"/>
                      <w:szCs w:val="18"/>
                    </w:rPr>
                    <w:t>.</w:t>
                  </w:r>
                </w:p>
              </w:tc>
            </w:tr>
          </w:tbl>
          <w:p w14:paraId="1AE1E703" w14:textId="58704EAC" w:rsidR="007C7E70" w:rsidRPr="00844861" w:rsidRDefault="007C7E70" w:rsidP="00A15925">
            <w:pPr>
              <w:spacing w:before="120" w:after="120" w:line="23" w:lineRule="atLeast"/>
              <w:jc w:val="both"/>
              <w:rPr>
                <w:rFonts w:ascii="Arial" w:hAnsi="Arial" w:cs="Arial"/>
                <w:b/>
                <w:sz w:val="18"/>
                <w:szCs w:val="18"/>
              </w:rPr>
            </w:pPr>
          </w:p>
        </w:tc>
      </w:tr>
      <w:tr w:rsidR="007C7E70" w:rsidRPr="003E2214" w14:paraId="038A32D0" w14:textId="77777777" w:rsidTr="00275B74">
        <w:trPr>
          <w:jc w:val="center"/>
        </w:trPr>
        <w:tc>
          <w:tcPr>
            <w:tcW w:w="2875" w:type="dxa"/>
            <w:gridSpan w:val="2"/>
            <w:shd w:val="clear" w:color="auto" w:fill="auto"/>
          </w:tcPr>
          <w:p w14:paraId="3D762F20" w14:textId="77777777" w:rsidR="007C7E70" w:rsidRPr="00BF4F5D" w:rsidRDefault="007C7E70" w:rsidP="007C7E70">
            <w:pPr>
              <w:spacing w:before="120" w:after="120" w:line="23" w:lineRule="atLeast"/>
              <w:jc w:val="both"/>
              <w:rPr>
                <w:rFonts w:ascii="Arial" w:hAnsi="Arial" w:cs="Arial"/>
                <w:sz w:val="18"/>
                <w:szCs w:val="18"/>
                <w:lang w:val="es-ES"/>
              </w:rPr>
            </w:pPr>
            <w:r w:rsidRPr="00BF4F5D">
              <w:rPr>
                <w:rFonts w:ascii="Arial" w:hAnsi="Arial" w:cs="Arial"/>
                <w:sz w:val="18"/>
                <w:szCs w:val="18"/>
                <w:lang w:val="es-ES"/>
              </w:rPr>
              <w:t>La Guía no establece presunción de legalidad ni constituye un listado exhaustivo de aspectos a considerar en el trámite del procedimiento seguido en forma de juicio, por lo que el Instituto se reserva en todo momento la discrecionalidad técnica y normativa, a fin de interpretar, apreciar y decidir sobre la aplicación de circunstancias técnicas y fácticas, así como normas jurídicas que resulten aplicables a los asuntos de su competencia.</w:t>
            </w:r>
          </w:p>
          <w:p w14:paraId="6FCB0376" w14:textId="77777777" w:rsidR="007C7E70" w:rsidRPr="007C7E70" w:rsidRDefault="007C7E70" w:rsidP="00D50B18">
            <w:pPr>
              <w:spacing w:before="120" w:after="120" w:line="23" w:lineRule="atLeast"/>
              <w:jc w:val="center"/>
              <w:rPr>
                <w:rFonts w:ascii="Arial" w:hAnsi="Arial" w:cs="Arial"/>
                <w:b/>
                <w:sz w:val="18"/>
                <w:szCs w:val="18"/>
                <w:lang w:val="es-ES"/>
              </w:rPr>
            </w:pPr>
          </w:p>
        </w:tc>
        <w:tc>
          <w:tcPr>
            <w:tcW w:w="2903" w:type="dxa"/>
            <w:shd w:val="clear" w:color="auto" w:fill="auto"/>
          </w:tcPr>
          <w:p w14:paraId="41CDDB68" w14:textId="0A456F5E" w:rsidR="005A56BF" w:rsidRDefault="005A56BF" w:rsidP="007C7E70">
            <w:pPr>
              <w:spacing w:before="120" w:after="120" w:line="23" w:lineRule="atLeast"/>
              <w:jc w:val="both"/>
              <w:rPr>
                <w:rFonts w:ascii="Arial" w:hAnsi="Arial" w:cs="Arial"/>
                <w:bCs/>
                <w:sz w:val="18"/>
                <w:szCs w:val="18"/>
              </w:rPr>
            </w:pPr>
            <w:r>
              <w:rPr>
                <w:rFonts w:ascii="Arial" w:hAnsi="Arial" w:cs="Arial"/>
                <w:bCs/>
                <w:sz w:val="18"/>
                <w:szCs w:val="18"/>
                <w:lang w:val="es-ES"/>
              </w:rPr>
              <w:t>P</w:t>
            </w:r>
            <w:r w:rsidR="007C7E70" w:rsidRPr="00BF4F5D">
              <w:rPr>
                <w:rFonts w:ascii="Arial" w:hAnsi="Arial" w:cs="Arial"/>
                <w:bCs/>
                <w:sz w:val="18"/>
                <w:szCs w:val="18"/>
              </w:rPr>
              <w:t>ara garantizar los derechos a una adecuada defensa, así como los principios de legalidad y seguridad jurídica, consagrados en la norma suprema de la Nación, el IFT deberá de emitir Guías verdaderamente orientadoras para los gobernados que sean conformes a las normas vigentes. Respetuosamente se establece que la emisión de Guías que no representen una criterio verdaderamente exhaustivo y útil para los gobernados sería un ejercicio ocioso y carente de toda credibilidad para el Instituto.</w:t>
            </w:r>
          </w:p>
          <w:p w14:paraId="24CE1296" w14:textId="77777777" w:rsidR="00925F03" w:rsidRPr="00925F03" w:rsidRDefault="00925F03" w:rsidP="007C7E70">
            <w:pPr>
              <w:spacing w:before="120" w:after="120" w:line="23" w:lineRule="atLeast"/>
              <w:jc w:val="both"/>
              <w:rPr>
                <w:rFonts w:ascii="Arial" w:hAnsi="Arial" w:cs="Arial"/>
                <w:bCs/>
                <w:sz w:val="18"/>
                <w:szCs w:val="18"/>
              </w:rPr>
            </w:pPr>
          </w:p>
          <w:p w14:paraId="2951BE5F" w14:textId="2FD682F9" w:rsidR="007C7E70" w:rsidRPr="0064207A" w:rsidRDefault="005A56BF" w:rsidP="0064207A">
            <w:pPr>
              <w:spacing w:before="120" w:after="120" w:line="23" w:lineRule="atLeast"/>
              <w:jc w:val="both"/>
              <w:rPr>
                <w:rFonts w:ascii="Arial" w:hAnsi="Arial" w:cs="Arial"/>
                <w:bCs/>
                <w:sz w:val="18"/>
                <w:szCs w:val="18"/>
              </w:rPr>
            </w:pPr>
            <w:r>
              <w:rPr>
                <w:rFonts w:ascii="Arial" w:hAnsi="Arial" w:cs="Arial"/>
                <w:bCs/>
                <w:sz w:val="18"/>
                <w:szCs w:val="18"/>
              </w:rPr>
              <w:t>S</w:t>
            </w:r>
            <w:r w:rsidR="007C7E70" w:rsidRPr="00BF4F5D">
              <w:rPr>
                <w:rFonts w:ascii="Arial" w:hAnsi="Arial" w:cs="Arial"/>
                <w:bCs/>
                <w:sz w:val="18"/>
                <w:szCs w:val="18"/>
              </w:rPr>
              <w:t xml:space="preserve">i bien la autoridad sí cuenta en cierta medida con la potestad de discrecionalidad; al señalar que la </w:t>
            </w:r>
            <w:r w:rsidR="007C7E70" w:rsidRPr="00BF4F5D">
              <w:rPr>
                <w:rFonts w:ascii="Arial" w:hAnsi="Arial" w:cs="Arial"/>
                <w:bCs/>
                <w:sz w:val="18"/>
                <w:szCs w:val="18"/>
              </w:rPr>
              <w:lastRenderedPageBreak/>
              <w:t>autoridad se reserva en todo momento dicha potestad, se deja en un estado de inseguridad jurídica a los agentes económicos, quienes, por el contrario, deberían de tener certeza acerca de los criterios técnicos y normativos, que son empleados por la autoridad a fin de interpretar, apreciar y decidir sobre la aplicación de circunstancias técnicas, económicas y fácticas, así como normas jurídicas que resulten aplicables a los asuntos de su competencia, por lo que al establecer dicha reserva en un alcance tan amplio, se estaría violando el principio de legalidad consagrado en los artículos 14 y 16 constitucionales.</w:t>
            </w:r>
          </w:p>
        </w:tc>
        <w:tc>
          <w:tcPr>
            <w:tcW w:w="3568" w:type="dxa"/>
            <w:shd w:val="clear" w:color="auto" w:fill="auto"/>
          </w:tcPr>
          <w:p w14:paraId="7C7F7AB6" w14:textId="0AF2CB04" w:rsidR="00C24811" w:rsidRPr="00925F03" w:rsidRDefault="00925F03" w:rsidP="00C24811">
            <w:pPr>
              <w:spacing w:before="120" w:after="120" w:line="23" w:lineRule="atLeast"/>
              <w:jc w:val="both"/>
              <w:rPr>
                <w:rFonts w:ascii="Arial" w:hAnsi="Arial" w:cs="Arial"/>
                <w:sz w:val="18"/>
                <w:szCs w:val="18"/>
              </w:rPr>
            </w:pPr>
            <w:r>
              <w:rPr>
                <w:rFonts w:ascii="Arial" w:hAnsi="Arial" w:cs="Arial"/>
                <w:sz w:val="18"/>
                <w:szCs w:val="18"/>
              </w:rPr>
              <w:lastRenderedPageBreak/>
              <w:t>Se considera improcedente, ya que d</w:t>
            </w:r>
            <w:r w:rsidR="00C24811" w:rsidRPr="00844861">
              <w:rPr>
                <w:rFonts w:ascii="Arial" w:hAnsi="Arial" w:cs="Arial"/>
                <w:sz w:val="18"/>
                <w:szCs w:val="18"/>
              </w:rPr>
              <w:t xml:space="preserve">e conformidad con el numeral </w:t>
            </w:r>
            <w:r w:rsidR="007D6631" w:rsidRPr="00844861">
              <w:rPr>
                <w:rFonts w:ascii="Arial" w:hAnsi="Arial" w:cs="Arial"/>
                <w:sz w:val="18"/>
                <w:szCs w:val="18"/>
              </w:rPr>
              <w:t>el artículo 187 de las DRLFCE</w:t>
            </w:r>
            <w:r w:rsidR="00C24811" w:rsidRPr="00844861">
              <w:rPr>
                <w:rFonts w:ascii="Arial" w:hAnsi="Arial" w:cs="Arial"/>
                <w:sz w:val="18"/>
                <w:szCs w:val="18"/>
              </w:rPr>
              <w:t xml:space="preserve">, el Instituto se encuentra facultado para elaborar guías que orienten su actuación en el ejercicio de sus facultades. En ese sentido, la Guía de mérito se emite con la finalidad de dar mayor seguridad jurídica, explicando a los particulares y al público en general el PSFJ de manera más sencilla, por lo que, carece de carácter obligatorio o </w:t>
            </w:r>
            <w:r w:rsidR="00C24811" w:rsidRPr="00925F03">
              <w:rPr>
                <w:rFonts w:ascii="Arial" w:hAnsi="Arial" w:cs="Arial"/>
                <w:sz w:val="18"/>
                <w:szCs w:val="18"/>
              </w:rPr>
              <w:t>coercitivo y</w:t>
            </w:r>
            <w:r w:rsidR="00442F83" w:rsidRPr="00925F03">
              <w:rPr>
                <w:rFonts w:ascii="Arial" w:hAnsi="Arial" w:cs="Arial"/>
                <w:sz w:val="18"/>
                <w:szCs w:val="18"/>
              </w:rPr>
              <w:t xml:space="preserve"> únicamente</w:t>
            </w:r>
            <w:r w:rsidR="00C24811" w:rsidRPr="00925F03">
              <w:rPr>
                <w:rFonts w:ascii="Arial" w:hAnsi="Arial" w:cs="Arial"/>
                <w:sz w:val="18"/>
                <w:szCs w:val="18"/>
              </w:rPr>
              <w:t xml:space="preserve"> p</w:t>
            </w:r>
            <w:r w:rsidR="00442F83" w:rsidRPr="00925F03">
              <w:rPr>
                <w:rFonts w:ascii="Arial" w:hAnsi="Arial" w:cs="Arial"/>
                <w:sz w:val="18"/>
                <w:szCs w:val="18"/>
              </w:rPr>
              <w:t>retende</w:t>
            </w:r>
            <w:r w:rsidR="00C24811" w:rsidRPr="00925F03">
              <w:rPr>
                <w:rFonts w:ascii="Arial" w:hAnsi="Arial" w:cs="Arial"/>
                <w:sz w:val="18"/>
                <w:szCs w:val="18"/>
              </w:rPr>
              <w:t xml:space="preserve"> difundir la experiencia y la práctica operativa de esta autoridad. </w:t>
            </w:r>
          </w:p>
          <w:p w14:paraId="0602E3C9" w14:textId="77777777" w:rsidR="00925F03" w:rsidRPr="00925F03" w:rsidRDefault="00925F03" w:rsidP="00C24811">
            <w:pPr>
              <w:spacing w:before="120" w:after="120" w:line="23" w:lineRule="atLeast"/>
              <w:jc w:val="both"/>
              <w:rPr>
                <w:rFonts w:ascii="Arial" w:hAnsi="Arial" w:cs="Arial"/>
                <w:sz w:val="36"/>
                <w:szCs w:val="36"/>
              </w:rPr>
            </w:pPr>
          </w:p>
          <w:p w14:paraId="56F3CBC6" w14:textId="4E85CFBC" w:rsidR="00C24811" w:rsidRPr="00844861" w:rsidRDefault="006963B5" w:rsidP="00C24811">
            <w:pPr>
              <w:spacing w:before="120" w:after="120" w:line="23" w:lineRule="atLeast"/>
              <w:jc w:val="both"/>
              <w:rPr>
                <w:rFonts w:ascii="Arial" w:hAnsi="Arial" w:cs="Arial"/>
                <w:sz w:val="18"/>
                <w:szCs w:val="18"/>
              </w:rPr>
            </w:pPr>
            <w:r>
              <w:rPr>
                <w:rFonts w:ascii="Arial" w:hAnsi="Arial" w:cs="Arial"/>
                <w:sz w:val="18"/>
                <w:szCs w:val="18"/>
              </w:rPr>
              <w:t xml:space="preserve">Se considera improcedente. </w:t>
            </w:r>
            <w:r w:rsidR="00C24811" w:rsidRPr="00925F03">
              <w:rPr>
                <w:rFonts w:ascii="Arial" w:hAnsi="Arial" w:cs="Arial"/>
                <w:sz w:val="18"/>
                <w:szCs w:val="18"/>
              </w:rPr>
              <w:t>Si bien es cierto que</w:t>
            </w:r>
            <w:r>
              <w:rPr>
                <w:rFonts w:ascii="Arial" w:hAnsi="Arial" w:cs="Arial"/>
                <w:sz w:val="18"/>
                <w:szCs w:val="18"/>
              </w:rPr>
              <w:t xml:space="preserve"> el Anteproyecto</w:t>
            </w:r>
            <w:r w:rsidR="00C24811" w:rsidRPr="00925F03">
              <w:rPr>
                <w:rFonts w:ascii="Arial" w:hAnsi="Arial" w:cs="Arial"/>
                <w:sz w:val="18"/>
                <w:szCs w:val="18"/>
              </w:rPr>
              <w:t xml:space="preserve"> señaló que l</w:t>
            </w:r>
            <w:r w:rsidR="00C24811" w:rsidRPr="00925F03">
              <w:rPr>
                <w:rFonts w:ascii="Arial" w:eastAsia="Times New Roman" w:hAnsi="Arial" w:cs="Arial"/>
                <w:sz w:val="18"/>
                <w:szCs w:val="18"/>
              </w:rPr>
              <w:t>a Guía no establece presunción de legalidad ni constituye</w:t>
            </w:r>
            <w:r w:rsidR="00C24811" w:rsidRPr="00844861">
              <w:rPr>
                <w:rFonts w:ascii="Arial" w:eastAsia="Times New Roman" w:hAnsi="Arial" w:cs="Arial"/>
                <w:sz w:val="18"/>
                <w:szCs w:val="18"/>
              </w:rPr>
              <w:t xml:space="preserve"> un listado exhaustivo de aspectos a considerar en el trámite del </w:t>
            </w:r>
            <w:r w:rsidR="00C24811" w:rsidRPr="00844861">
              <w:rPr>
                <w:rFonts w:ascii="Arial" w:eastAsia="Times New Roman" w:hAnsi="Arial" w:cs="Arial"/>
                <w:sz w:val="18"/>
                <w:szCs w:val="18"/>
              </w:rPr>
              <w:lastRenderedPageBreak/>
              <w:t>PSFJ</w:t>
            </w:r>
            <w:r w:rsidR="00C24811" w:rsidRPr="00844861">
              <w:rPr>
                <w:rFonts w:ascii="Arial" w:hAnsi="Arial" w:cs="Arial"/>
                <w:sz w:val="18"/>
                <w:szCs w:val="18"/>
              </w:rPr>
              <w:t xml:space="preserve">, esto se refiere únicamente a que </w:t>
            </w:r>
            <w:r>
              <w:rPr>
                <w:rFonts w:ascii="Arial" w:hAnsi="Arial" w:cs="Arial"/>
                <w:sz w:val="18"/>
                <w:szCs w:val="18"/>
              </w:rPr>
              <w:t>este</w:t>
            </w:r>
            <w:r w:rsidR="00C24811" w:rsidRPr="00844861">
              <w:rPr>
                <w:rFonts w:ascii="Arial" w:hAnsi="Arial" w:cs="Arial"/>
                <w:sz w:val="18"/>
                <w:szCs w:val="18"/>
              </w:rPr>
              <w:t xml:space="preserve"> no tiene la naturaleza de un ordenamiento legal, por lo que no establece derechos ni obligaciones a los AE, así como tampoco describe los ámbitos de actuación del Instituto.</w:t>
            </w:r>
          </w:p>
          <w:p w14:paraId="61DD6091" w14:textId="1AD6105C" w:rsidR="00C24811" w:rsidRPr="00844861" w:rsidRDefault="00C24811" w:rsidP="00C24811">
            <w:pPr>
              <w:spacing w:before="120" w:after="120" w:line="23" w:lineRule="atLeast"/>
              <w:jc w:val="both"/>
              <w:rPr>
                <w:rFonts w:ascii="Arial" w:hAnsi="Arial" w:cs="Arial"/>
                <w:sz w:val="18"/>
                <w:szCs w:val="18"/>
              </w:rPr>
            </w:pPr>
            <w:r w:rsidRPr="00844861">
              <w:rPr>
                <w:rFonts w:ascii="Arial" w:hAnsi="Arial" w:cs="Arial"/>
                <w:sz w:val="18"/>
                <w:szCs w:val="18"/>
              </w:rPr>
              <w:t xml:space="preserve">En este </w:t>
            </w:r>
            <w:r w:rsidR="001A09A7">
              <w:rPr>
                <w:rFonts w:ascii="Arial" w:hAnsi="Arial" w:cs="Arial"/>
                <w:sz w:val="18"/>
                <w:szCs w:val="18"/>
              </w:rPr>
              <w:t>sentido</w:t>
            </w:r>
            <w:r w:rsidRPr="00844861">
              <w:rPr>
                <w:rFonts w:ascii="Arial" w:hAnsi="Arial" w:cs="Arial"/>
                <w:sz w:val="18"/>
                <w:szCs w:val="18"/>
              </w:rPr>
              <w:t>, es válido que el Instituto se reserve</w:t>
            </w:r>
            <w:r w:rsidR="006963B5">
              <w:rPr>
                <w:rFonts w:ascii="Arial" w:hAnsi="Arial" w:cs="Arial"/>
                <w:sz w:val="18"/>
                <w:szCs w:val="18"/>
              </w:rPr>
              <w:t xml:space="preserve"> </w:t>
            </w:r>
            <w:r w:rsidR="00BD3E15">
              <w:rPr>
                <w:rFonts w:ascii="Arial" w:hAnsi="Arial" w:cs="Arial"/>
                <w:sz w:val="18"/>
                <w:szCs w:val="18"/>
              </w:rPr>
              <w:t xml:space="preserve">dicha </w:t>
            </w:r>
            <w:r w:rsidR="00BD3E15" w:rsidRPr="00844861">
              <w:rPr>
                <w:rFonts w:ascii="Arial" w:hAnsi="Arial" w:cs="Arial"/>
                <w:sz w:val="18"/>
                <w:szCs w:val="18"/>
              </w:rPr>
              <w:t>discrecionalidad</w:t>
            </w:r>
            <w:r w:rsidRPr="00844861">
              <w:rPr>
                <w:rFonts w:ascii="Arial" w:hAnsi="Arial" w:cs="Arial"/>
                <w:sz w:val="18"/>
                <w:szCs w:val="18"/>
              </w:rPr>
              <w:t xml:space="preserve"> a la que hace referencia el </w:t>
            </w:r>
            <w:r w:rsidR="007759C2" w:rsidRPr="007759C2">
              <w:rPr>
                <w:rFonts w:ascii="Arial" w:hAnsi="Arial" w:cs="Arial"/>
                <w:sz w:val="18"/>
                <w:szCs w:val="18"/>
              </w:rPr>
              <w:t>participante</w:t>
            </w:r>
            <w:r w:rsidRPr="00844861">
              <w:rPr>
                <w:rFonts w:ascii="Arial" w:hAnsi="Arial" w:cs="Arial"/>
                <w:sz w:val="18"/>
                <w:szCs w:val="18"/>
              </w:rPr>
              <w:t xml:space="preserve">, ya que el Anteproyecto no tiene carácter regulatorio, ni impone cargas a los AE. </w:t>
            </w:r>
          </w:p>
          <w:p w14:paraId="40010E31" w14:textId="77777777" w:rsidR="007C7E70" w:rsidRPr="00844861" w:rsidRDefault="007C7E70" w:rsidP="00D50B18">
            <w:pPr>
              <w:spacing w:before="120" w:after="120" w:line="23" w:lineRule="atLeast"/>
              <w:jc w:val="center"/>
              <w:rPr>
                <w:rFonts w:ascii="Arial" w:hAnsi="Arial" w:cs="Arial"/>
                <w:b/>
                <w:sz w:val="18"/>
                <w:szCs w:val="18"/>
              </w:rPr>
            </w:pPr>
          </w:p>
        </w:tc>
      </w:tr>
      <w:tr w:rsidR="007C7E70" w:rsidRPr="003E2214" w14:paraId="0A726ADF" w14:textId="77777777" w:rsidTr="00275B74">
        <w:trPr>
          <w:jc w:val="center"/>
        </w:trPr>
        <w:tc>
          <w:tcPr>
            <w:tcW w:w="2875" w:type="dxa"/>
            <w:gridSpan w:val="2"/>
            <w:shd w:val="clear" w:color="auto" w:fill="auto"/>
          </w:tcPr>
          <w:p w14:paraId="462FB51E" w14:textId="542269C3" w:rsidR="007C7E70" w:rsidRPr="00ED2AB3" w:rsidRDefault="007C7E70" w:rsidP="00ED2AB3">
            <w:pPr>
              <w:spacing w:before="120" w:after="120" w:line="23" w:lineRule="atLeast"/>
              <w:jc w:val="both"/>
              <w:rPr>
                <w:rFonts w:ascii="Arial" w:hAnsi="Arial" w:cs="Arial"/>
                <w:bCs/>
                <w:sz w:val="18"/>
                <w:szCs w:val="18"/>
                <w:lang w:val="es-ES"/>
              </w:rPr>
            </w:pPr>
            <w:r w:rsidRPr="00BF4F5D">
              <w:rPr>
                <w:rFonts w:ascii="Arial" w:hAnsi="Arial" w:cs="Arial"/>
                <w:sz w:val="18"/>
                <w:szCs w:val="18"/>
                <w:lang w:val="es-ES"/>
              </w:rPr>
              <w:lastRenderedPageBreak/>
              <w:t>En ningún caso se tramitará un procedimiento seguido en forma de juicio basándose exclusivamente en esta Guía, sino que el trámite se realizará con fundamento en lo previsto en la LFCE y en las DRLFCE y se motivará con base en los hechos y constancias que integren el expediente en que se actúe, caso por caso.</w:t>
            </w:r>
          </w:p>
        </w:tc>
        <w:tc>
          <w:tcPr>
            <w:tcW w:w="2903" w:type="dxa"/>
            <w:shd w:val="clear" w:color="auto" w:fill="auto"/>
          </w:tcPr>
          <w:p w14:paraId="05F7DA90" w14:textId="11BF1087" w:rsidR="007C7E70" w:rsidRPr="00BF4F5D" w:rsidRDefault="00685822" w:rsidP="007C7E70">
            <w:pPr>
              <w:spacing w:before="120" w:after="120" w:line="23" w:lineRule="atLeast"/>
              <w:jc w:val="both"/>
              <w:rPr>
                <w:rFonts w:ascii="Arial" w:hAnsi="Arial" w:cs="Arial"/>
                <w:bCs/>
                <w:sz w:val="18"/>
                <w:szCs w:val="18"/>
              </w:rPr>
            </w:pPr>
            <w:r>
              <w:rPr>
                <w:rFonts w:ascii="Arial" w:hAnsi="Arial" w:cs="Arial"/>
                <w:bCs/>
                <w:sz w:val="18"/>
                <w:szCs w:val="18"/>
              </w:rPr>
              <w:t>R</w:t>
            </w:r>
            <w:r w:rsidR="007C7E70" w:rsidRPr="00BF4F5D">
              <w:rPr>
                <w:rFonts w:ascii="Arial" w:hAnsi="Arial" w:cs="Arial"/>
                <w:bCs/>
                <w:sz w:val="18"/>
                <w:szCs w:val="18"/>
              </w:rPr>
              <w:t>ealizando una interpretación a contrario sensu del texto de la Guía, al establecer ese Instituto, que los procedimientos seguidos en forma de juicio no se tramitarán exclusivamente basándose en la Guía, es válido interpretar que la Guía sí pretende ser de hecho un criterio orientador para el IFT.</w:t>
            </w:r>
          </w:p>
          <w:p w14:paraId="06562518" w14:textId="10887FF0" w:rsidR="007C7E70" w:rsidRDefault="007C7E70" w:rsidP="007C7E70">
            <w:pPr>
              <w:tabs>
                <w:tab w:val="left" w:pos="533"/>
              </w:tabs>
              <w:spacing w:before="120" w:after="120" w:line="23" w:lineRule="atLeast"/>
              <w:rPr>
                <w:rFonts w:ascii="Arial" w:hAnsi="Arial" w:cs="Arial"/>
                <w:b/>
                <w:sz w:val="18"/>
                <w:szCs w:val="18"/>
              </w:rPr>
            </w:pPr>
          </w:p>
        </w:tc>
        <w:tc>
          <w:tcPr>
            <w:tcW w:w="3568" w:type="dxa"/>
            <w:shd w:val="clear" w:color="auto" w:fill="auto"/>
          </w:tcPr>
          <w:p w14:paraId="7078A32F" w14:textId="77777777" w:rsidR="007C7E70" w:rsidRDefault="000066E0" w:rsidP="003A7B38">
            <w:pPr>
              <w:spacing w:before="120" w:after="120" w:line="23" w:lineRule="atLeast"/>
              <w:jc w:val="both"/>
              <w:rPr>
                <w:rFonts w:ascii="Arial" w:hAnsi="Arial" w:cs="Arial"/>
                <w:sz w:val="18"/>
                <w:szCs w:val="18"/>
              </w:rPr>
            </w:pPr>
            <w:bookmarkStart w:id="1" w:name="_Hlk80272806"/>
            <w:r>
              <w:rPr>
                <w:rFonts w:ascii="Arial" w:hAnsi="Arial" w:cs="Arial"/>
                <w:sz w:val="18"/>
                <w:szCs w:val="18"/>
              </w:rPr>
              <w:t>Se</w:t>
            </w:r>
            <w:r w:rsidR="00C24811" w:rsidRPr="00844861">
              <w:rPr>
                <w:rFonts w:ascii="Arial" w:hAnsi="Arial" w:cs="Arial"/>
                <w:sz w:val="18"/>
                <w:szCs w:val="18"/>
              </w:rPr>
              <w:t xml:space="preserve"> considera </w:t>
            </w:r>
            <w:r w:rsidR="003A7174">
              <w:rPr>
                <w:rFonts w:ascii="Arial" w:hAnsi="Arial" w:cs="Arial"/>
                <w:sz w:val="18"/>
                <w:szCs w:val="18"/>
              </w:rPr>
              <w:t>procedente</w:t>
            </w:r>
            <w:r w:rsidR="00AA7B67">
              <w:rPr>
                <w:rFonts w:ascii="Arial" w:hAnsi="Arial" w:cs="Arial"/>
                <w:sz w:val="18"/>
                <w:szCs w:val="18"/>
              </w:rPr>
              <w:t xml:space="preserve"> y</w:t>
            </w:r>
            <w:r w:rsidR="00C24811" w:rsidRPr="00844861">
              <w:rPr>
                <w:rFonts w:ascii="Arial" w:hAnsi="Arial" w:cs="Arial"/>
                <w:sz w:val="18"/>
                <w:szCs w:val="18"/>
              </w:rPr>
              <w:t xml:space="preserve"> apropiado modificar el párrafo para dar certeza sobre su aplicación, señalando que,</w:t>
            </w:r>
            <w:bookmarkEnd w:id="1"/>
            <w:r w:rsidR="00C24811" w:rsidRPr="00844861">
              <w:rPr>
                <w:rFonts w:ascii="Arial" w:hAnsi="Arial" w:cs="Arial"/>
                <w:sz w:val="18"/>
                <w:szCs w:val="18"/>
              </w:rPr>
              <w:t xml:space="preserve"> con independencia </w:t>
            </w:r>
            <w:r w:rsidR="00E347B5">
              <w:rPr>
                <w:rFonts w:ascii="Arial" w:hAnsi="Arial" w:cs="Arial"/>
                <w:sz w:val="18"/>
                <w:szCs w:val="18"/>
              </w:rPr>
              <w:t>de</w:t>
            </w:r>
            <w:r w:rsidR="00C24811" w:rsidRPr="00844861">
              <w:rPr>
                <w:rFonts w:ascii="Arial" w:hAnsi="Arial" w:cs="Arial"/>
                <w:sz w:val="18"/>
                <w:szCs w:val="18"/>
              </w:rPr>
              <w:t xml:space="preserve"> que el trámite del PSFJ se realice con fundamento en la LFCE y las DRLFCE, el Instituto podrá referirse a la Guía aun cuando ésta no constituye una norma jurídica.</w:t>
            </w:r>
            <w:r w:rsidR="00C24811" w:rsidRPr="00844861">
              <w:rPr>
                <w:rStyle w:val="Refdenotaalpie"/>
                <w:rFonts w:ascii="Arial" w:hAnsi="Arial" w:cs="Arial"/>
                <w:sz w:val="18"/>
                <w:szCs w:val="18"/>
              </w:rPr>
              <w:footnoteReference w:id="3"/>
            </w:r>
            <w:r w:rsidR="00C24811" w:rsidRPr="00844861">
              <w:rPr>
                <w:rFonts w:ascii="Arial" w:hAnsi="Arial" w:cs="Arial"/>
                <w:sz w:val="18"/>
                <w:szCs w:val="18"/>
              </w:rPr>
              <w:t xml:space="preserve"> </w:t>
            </w:r>
          </w:p>
          <w:p w14:paraId="56779902" w14:textId="4535D438" w:rsidR="00077AFA" w:rsidRDefault="00077AFA" w:rsidP="003A7B38">
            <w:pPr>
              <w:spacing w:before="120" w:after="120" w:line="23" w:lineRule="atLeast"/>
              <w:jc w:val="both"/>
              <w:rPr>
                <w:rFonts w:ascii="Arial" w:hAnsi="Arial" w:cs="Arial"/>
                <w:sz w:val="18"/>
                <w:szCs w:val="18"/>
              </w:rPr>
            </w:pPr>
            <w:r w:rsidRPr="00077AFA">
              <w:rPr>
                <w:rFonts w:ascii="Arial" w:hAnsi="Arial" w:cs="Arial"/>
                <w:sz w:val="18"/>
                <w:szCs w:val="18"/>
              </w:rPr>
              <w:t>Conforme a lo anterior, se modifica al Proyecto el siguiente párrafo</w:t>
            </w:r>
          </w:p>
          <w:tbl>
            <w:tblPr>
              <w:tblStyle w:val="Tablaconcuadrcula"/>
              <w:tblW w:w="0" w:type="auto"/>
              <w:jc w:val="center"/>
              <w:tblLook w:val="04A0" w:firstRow="1" w:lastRow="0" w:firstColumn="1" w:lastColumn="0" w:noHBand="0" w:noVBand="1"/>
            </w:tblPr>
            <w:tblGrid>
              <w:gridCol w:w="3342"/>
            </w:tblGrid>
            <w:tr w:rsidR="00077AFA" w:rsidRPr="00730154" w14:paraId="14DF8B01" w14:textId="77777777" w:rsidTr="000E7DE4">
              <w:trPr>
                <w:trHeight w:val="311"/>
                <w:jc w:val="center"/>
              </w:trPr>
              <w:tc>
                <w:tcPr>
                  <w:tcW w:w="8799"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42781C39" w14:textId="77777777" w:rsidR="00077AFA" w:rsidRPr="00730154" w:rsidRDefault="00077AFA" w:rsidP="00077AFA">
                  <w:pPr>
                    <w:spacing w:before="120" w:after="120" w:line="23" w:lineRule="atLeast"/>
                    <w:jc w:val="center"/>
                    <w:rPr>
                      <w:rFonts w:ascii="Arial" w:hAnsi="Arial" w:cs="Arial"/>
                      <w:b/>
                      <w:sz w:val="18"/>
                      <w:szCs w:val="18"/>
                    </w:rPr>
                  </w:pPr>
                  <w:r>
                    <w:rPr>
                      <w:rFonts w:ascii="Arial" w:hAnsi="Arial" w:cs="Arial"/>
                      <w:b/>
                      <w:sz w:val="18"/>
                      <w:szCs w:val="18"/>
                    </w:rPr>
                    <w:t>Modificación</w:t>
                  </w:r>
                  <w:r w:rsidRPr="00730154">
                    <w:rPr>
                      <w:rFonts w:ascii="Arial" w:hAnsi="Arial" w:cs="Arial"/>
                      <w:b/>
                      <w:sz w:val="18"/>
                      <w:szCs w:val="18"/>
                    </w:rPr>
                    <w:t xml:space="preserve"> al Proyecto </w:t>
                  </w:r>
                </w:p>
              </w:tc>
            </w:tr>
            <w:tr w:rsidR="00077AFA" w:rsidRPr="00730154" w14:paraId="7B2DCAE2" w14:textId="77777777" w:rsidTr="000E7DE4">
              <w:trPr>
                <w:jc w:val="center"/>
              </w:trPr>
              <w:tc>
                <w:tcPr>
                  <w:tcW w:w="8799" w:type="dxa"/>
                  <w:tcBorders>
                    <w:top w:val="single" w:sz="4" w:space="0" w:color="auto"/>
                    <w:left w:val="single" w:sz="4" w:space="0" w:color="auto"/>
                    <w:bottom w:val="single" w:sz="4" w:space="0" w:color="auto"/>
                    <w:right w:val="single" w:sz="4" w:space="0" w:color="auto"/>
                  </w:tcBorders>
                  <w:shd w:val="clear" w:color="auto" w:fill="FFFFFF" w:themeFill="background1"/>
                </w:tcPr>
                <w:p w14:paraId="5EE4661A" w14:textId="77777777" w:rsidR="00077AFA" w:rsidRPr="00730154" w:rsidRDefault="00077AFA" w:rsidP="00077AFA">
                  <w:pPr>
                    <w:pStyle w:val="Textoindependiente"/>
                    <w:spacing w:before="120" w:line="23" w:lineRule="atLeast"/>
                    <w:jc w:val="both"/>
                    <w:rPr>
                      <w:rFonts w:ascii="Arial" w:hAnsi="Arial" w:cs="Arial"/>
                      <w:sz w:val="18"/>
                      <w:szCs w:val="18"/>
                    </w:rPr>
                  </w:pPr>
                  <w:r w:rsidRPr="0081218E">
                    <w:rPr>
                      <w:rFonts w:ascii="Arial" w:hAnsi="Arial" w:cs="Arial"/>
                      <w:strike/>
                      <w:sz w:val="18"/>
                      <w:szCs w:val="18"/>
                    </w:rPr>
                    <w:t>En ningún caso se tramitará un</w:t>
                  </w:r>
                  <w:r w:rsidRPr="0081218E">
                    <w:rPr>
                      <w:rFonts w:ascii="Arial" w:hAnsi="Arial" w:cs="Arial"/>
                      <w:sz w:val="18"/>
                      <w:szCs w:val="18"/>
                    </w:rPr>
                    <w:t xml:space="preserve"> El procedimiento seguido en forma de juicio </w:t>
                  </w:r>
                  <w:r w:rsidRPr="0081218E">
                    <w:rPr>
                      <w:rFonts w:ascii="Arial" w:hAnsi="Arial" w:cs="Arial"/>
                      <w:strike/>
                      <w:sz w:val="18"/>
                      <w:szCs w:val="18"/>
                    </w:rPr>
                    <w:t>basándose exclusivamente en esta Guía, sino que el</w:t>
                  </w:r>
                  <w:r>
                    <w:rPr>
                      <w:rFonts w:ascii="Arial" w:hAnsi="Arial" w:cs="Arial"/>
                      <w:strike/>
                      <w:sz w:val="18"/>
                      <w:szCs w:val="18"/>
                    </w:rPr>
                    <w:t xml:space="preserve"> trámite </w:t>
                  </w:r>
                  <w:r w:rsidRPr="0081218E">
                    <w:rPr>
                      <w:rFonts w:ascii="Arial" w:hAnsi="Arial" w:cs="Arial"/>
                      <w:sz w:val="18"/>
                      <w:szCs w:val="18"/>
                    </w:rPr>
                    <w:t xml:space="preserve">se tramitará </w:t>
                  </w:r>
                  <w:r w:rsidRPr="0081218E">
                    <w:rPr>
                      <w:rFonts w:ascii="Arial" w:hAnsi="Arial" w:cs="Arial"/>
                      <w:strike/>
                      <w:sz w:val="18"/>
                      <w:szCs w:val="18"/>
                    </w:rPr>
                    <w:t>se realizará</w:t>
                  </w:r>
                  <w:r w:rsidRPr="0081218E">
                    <w:rPr>
                      <w:rFonts w:ascii="Arial" w:hAnsi="Arial" w:cs="Arial"/>
                      <w:sz w:val="18"/>
                      <w:szCs w:val="18"/>
                    </w:rPr>
                    <w:t xml:space="preserve"> con fundamento en lo previsto en la LFCE y en las DRLFCE, sin perjuicio de que la UCE pueda referirse a la presente Guía para su trámite, el cual </w:t>
                  </w:r>
                  <w:r w:rsidRPr="0081218E">
                    <w:rPr>
                      <w:rFonts w:ascii="Arial" w:hAnsi="Arial" w:cs="Arial"/>
                      <w:strike/>
                      <w:sz w:val="18"/>
                      <w:szCs w:val="18"/>
                    </w:rPr>
                    <w:t xml:space="preserve">y </w:t>
                  </w:r>
                  <w:r w:rsidRPr="0081218E">
                    <w:rPr>
                      <w:rFonts w:ascii="Arial" w:hAnsi="Arial" w:cs="Arial"/>
                      <w:sz w:val="18"/>
                      <w:szCs w:val="18"/>
                    </w:rPr>
                    <w:t>se motivará con base en los hechos y constancias que integren el expediente en que se actúe, caso por caso</w:t>
                  </w:r>
                  <w:r>
                    <w:rPr>
                      <w:rFonts w:ascii="Arial" w:hAnsi="Arial" w:cs="Arial"/>
                      <w:sz w:val="18"/>
                      <w:szCs w:val="18"/>
                    </w:rPr>
                    <w:t xml:space="preserve">. </w:t>
                  </w:r>
                </w:p>
              </w:tc>
            </w:tr>
          </w:tbl>
          <w:p w14:paraId="31D9C54A" w14:textId="23BE4C08" w:rsidR="00077AFA" w:rsidRPr="003A7B38" w:rsidRDefault="00077AFA" w:rsidP="003A7B38">
            <w:pPr>
              <w:spacing w:before="120" w:after="120" w:line="23" w:lineRule="atLeast"/>
              <w:jc w:val="both"/>
              <w:rPr>
                <w:rFonts w:ascii="Arial" w:hAnsi="Arial" w:cs="Arial"/>
                <w:sz w:val="18"/>
                <w:szCs w:val="18"/>
              </w:rPr>
            </w:pPr>
          </w:p>
        </w:tc>
      </w:tr>
    </w:tbl>
    <w:p w14:paraId="7703204C" w14:textId="7FD555CD" w:rsidR="004D24CF" w:rsidRDefault="005F39CC" w:rsidP="00275B74">
      <w:pPr>
        <w:keepNext/>
        <w:spacing w:before="120" w:after="120" w:line="23" w:lineRule="atLeast"/>
        <w:jc w:val="both"/>
        <w:rPr>
          <w:rFonts w:ascii="Arial" w:hAnsi="Arial" w:cs="Arial"/>
          <w:b/>
        </w:rPr>
      </w:pPr>
      <w:r>
        <w:rPr>
          <w:rFonts w:ascii="Arial" w:hAnsi="Arial" w:cs="Arial"/>
          <w:b/>
        </w:rPr>
        <w:lastRenderedPageBreak/>
        <w:t>8</w:t>
      </w:r>
      <w:r w:rsidR="003E2214" w:rsidRPr="003E2214">
        <w:rPr>
          <w:rFonts w:ascii="Arial" w:hAnsi="Arial" w:cs="Arial"/>
          <w:b/>
        </w:rPr>
        <w:t>.</w:t>
      </w:r>
      <w:r w:rsidR="00490991">
        <w:rPr>
          <w:rFonts w:ascii="Arial" w:hAnsi="Arial" w:cs="Arial"/>
          <w:b/>
        </w:rPr>
        <w:t>2</w:t>
      </w:r>
      <w:r w:rsidR="003E2214" w:rsidRPr="003E2214">
        <w:rPr>
          <w:rFonts w:ascii="Arial" w:hAnsi="Arial" w:cs="Arial"/>
          <w:b/>
        </w:rPr>
        <w:t xml:space="preserve">. </w:t>
      </w:r>
      <w:bookmarkStart w:id="2" w:name="_Hlk80809562"/>
      <w:r w:rsidR="000D36F5">
        <w:rPr>
          <w:rFonts w:ascii="Arial" w:hAnsi="Arial" w:cs="Arial"/>
          <w:b/>
        </w:rPr>
        <w:t>A</w:t>
      </w:r>
      <w:r w:rsidR="00413890">
        <w:rPr>
          <w:rFonts w:ascii="Arial" w:hAnsi="Arial" w:cs="Arial"/>
          <w:b/>
        </w:rPr>
        <w:t xml:space="preserve">partado </w:t>
      </w:r>
      <w:r w:rsidR="00995ECE" w:rsidRPr="000715DD">
        <w:rPr>
          <w:rFonts w:ascii="Arial" w:hAnsi="Arial" w:cs="Arial"/>
          <w:b/>
        </w:rPr>
        <w:t>2.1.</w:t>
      </w:r>
      <w:bookmarkStart w:id="3" w:name="_Hlk80225893"/>
      <w:r w:rsidR="00995ECE" w:rsidRPr="000715DD">
        <w:rPr>
          <w:rFonts w:ascii="Arial" w:hAnsi="Arial" w:cs="Arial"/>
          <w:b/>
        </w:rPr>
        <w:t xml:space="preserve"> Cuestión Previa al Procedimiento</w:t>
      </w:r>
      <w:bookmarkEnd w:id="2"/>
      <w:bookmarkEnd w:id="3"/>
    </w:p>
    <w:p w14:paraId="104BC037" w14:textId="50FA00FA" w:rsidR="00144DBB" w:rsidRPr="000715DD" w:rsidRDefault="005F39CC" w:rsidP="00275B74">
      <w:pPr>
        <w:keepNext/>
        <w:spacing w:before="120" w:after="120" w:line="23" w:lineRule="atLeast"/>
        <w:jc w:val="both"/>
        <w:rPr>
          <w:rFonts w:ascii="Arial" w:hAnsi="Arial" w:cs="Arial"/>
          <w:b/>
        </w:rPr>
      </w:pPr>
      <w:r>
        <w:rPr>
          <w:rFonts w:ascii="Arial" w:hAnsi="Arial" w:cs="Arial"/>
          <w:b/>
        </w:rPr>
        <w:t>8</w:t>
      </w:r>
      <w:r w:rsidR="00144DBB" w:rsidRPr="00730154">
        <w:rPr>
          <w:rFonts w:ascii="Arial" w:hAnsi="Arial" w:cs="Arial"/>
          <w:b/>
        </w:rPr>
        <w:t xml:space="preserve">.2.1. </w:t>
      </w:r>
      <w:r w:rsidR="00144DBB" w:rsidRPr="00730154">
        <w:rPr>
          <w:rFonts w:ascii="Arial" w:hAnsi="Arial" w:cs="Arial"/>
          <w:b/>
          <w:bCs/>
        </w:rPr>
        <w:t>Síntesis de</w:t>
      </w:r>
      <w:r w:rsidR="00144DBB" w:rsidRPr="00730154">
        <w:rPr>
          <w:rFonts w:ascii="Arial" w:hAnsi="Arial" w:cs="Arial"/>
          <w:b/>
        </w:rPr>
        <w:t xml:space="preserve"> los comentarios recibidos respecto de la propuesta del apartado</w:t>
      </w:r>
      <w:r w:rsidR="00144DBB">
        <w:rPr>
          <w:rFonts w:ascii="Arial" w:hAnsi="Arial" w:cs="Arial"/>
          <w:b/>
        </w:rPr>
        <w:t xml:space="preserve"> </w:t>
      </w:r>
      <w:r w:rsidR="00144DBB" w:rsidRPr="000715DD">
        <w:rPr>
          <w:rFonts w:ascii="Arial" w:hAnsi="Arial" w:cs="Arial"/>
          <w:b/>
        </w:rPr>
        <w:t>2.1. Cuestión Previa al Procedimiento</w:t>
      </w:r>
      <w:r w:rsidR="00144DBB">
        <w:rPr>
          <w:rFonts w:ascii="Arial" w:hAnsi="Arial" w:cs="Arial"/>
          <w:b/>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2846"/>
        <w:gridCol w:w="2846"/>
        <w:gridCol w:w="3512"/>
      </w:tblGrid>
      <w:tr w:rsidR="00C24811" w:rsidRPr="003E2214" w14:paraId="3329E496" w14:textId="6EF6633C" w:rsidTr="00275B74">
        <w:trPr>
          <w:tblHeader/>
          <w:jc w:val="center"/>
        </w:trPr>
        <w:tc>
          <w:tcPr>
            <w:tcW w:w="2846" w:type="dxa"/>
            <w:shd w:val="clear" w:color="auto" w:fill="70AD47" w:themeFill="accent6"/>
          </w:tcPr>
          <w:p w14:paraId="06528F9D" w14:textId="2839B7AD" w:rsidR="00C24811" w:rsidRPr="00BF4F5D" w:rsidRDefault="00C24811" w:rsidP="00D50B18">
            <w:pPr>
              <w:spacing w:before="120" w:after="120" w:line="23" w:lineRule="atLeast"/>
              <w:jc w:val="center"/>
              <w:rPr>
                <w:rFonts w:ascii="Arial" w:hAnsi="Arial" w:cs="Arial"/>
                <w:b/>
                <w:sz w:val="18"/>
                <w:szCs w:val="18"/>
              </w:rPr>
            </w:pPr>
            <w:r w:rsidRPr="00730154">
              <w:rPr>
                <w:rFonts w:ascii="Arial" w:hAnsi="Arial" w:cs="Arial"/>
                <w:b/>
                <w:sz w:val="18"/>
                <w:szCs w:val="18"/>
              </w:rPr>
              <w:t>Apartado del Anteproyecto</w:t>
            </w:r>
          </w:p>
        </w:tc>
        <w:tc>
          <w:tcPr>
            <w:tcW w:w="2846" w:type="dxa"/>
            <w:shd w:val="clear" w:color="auto" w:fill="70AD47" w:themeFill="accent6"/>
          </w:tcPr>
          <w:p w14:paraId="4DFB0CE1" w14:textId="494837DF" w:rsidR="00C24811" w:rsidRPr="00BF4F5D" w:rsidRDefault="00C24811" w:rsidP="00D50B18">
            <w:pPr>
              <w:spacing w:before="120" w:after="120" w:line="23" w:lineRule="atLeast"/>
              <w:jc w:val="center"/>
              <w:rPr>
                <w:rFonts w:ascii="Arial" w:hAnsi="Arial" w:cs="Arial"/>
                <w:b/>
                <w:sz w:val="18"/>
                <w:szCs w:val="18"/>
              </w:rPr>
            </w:pPr>
            <w:r w:rsidRPr="00730154">
              <w:rPr>
                <w:rFonts w:ascii="Arial" w:hAnsi="Arial" w:cs="Arial"/>
                <w:b/>
                <w:sz w:val="18"/>
                <w:szCs w:val="18"/>
              </w:rPr>
              <w:t>Resumen de los comentarios recibidos</w:t>
            </w:r>
          </w:p>
        </w:tc>
        <w:tc>
          <w:tcPr>
            <w:tcW w:w="3512" w:type="dxa"/>
            <w:shd w:val="clear" w:color="auto" w:fill="70AD47" w:themeFill="accent6"/>
          </w:tcPr>
          <w:p w14:paraId="7D49F7FE" w14:textId="6083BC2E" w:rsidR="00C24811" w:rsidRPr="00730154" w:rsidRDefault="00C24811" w:rsidP="00D50B18">
            <w:pPr>
              <w:spacing w:before="120" w:after="120" w:line="23" w:lineRule="atLeast"/>
              <w:jc w:val="center"/>
              <w:rPr>
                <w:rFonts w:ascii="Arial" w:hAnsi="Arial" w:cs="Arial"/>
                <w:b/>
                <w:sz w:val="18"/>
                <w:szCs w:val="18"/>
              </w:rPr>
            </w:pPr>
            <w:r>
              <w:rPr>
                <w:rFonts w:ascii="Arial" w:hAnsi="Arial" w:cs="Arial"/>
                <w:b/>
                <w:sz w:val="18"/>
                <w:szCs w:val="18"/>
              </w:rPr>
              <w:t>Consideración</w:t>
            </w:r>
          </w:p>
        </w:tc>
      </w:tr>
      <w:tr w:rsidR="00C24811" w:rsidRPr="003E2214" w14:paraId="121B67A8" w14:textId="19BBCD94" w:rsidTr="00275B74">
        <w:trPr>
          <w:jc w:val="center"/>
        </w:trPr>
        <w:tc>
          <w:tcPr>
            <w:tcW w:w="9204" w:type="dxa"/>
            <w:gridSpan w:val="3"/>
            <w:shd w:val="clear" w:color="auto" w:fill="C5E0B3" w:themeFill="accent6" w:themeFillTint="66"/>
          </w:tcPr>
          <w:p w14:paraId="54CA5572" w14:textId="785AC4B5" w:rsidR="00C24811" w:rsidRPr="00BF4F5D" w:rsidRDefault="00C24811" w:rsidP="00D50B18">
            <w:pPr>
              <w:spacing w:before="120" w:after="120" w:line="23" w:lineRule="atLeast"/>
              <w:jc w:val="center"/>
              <w:rPr>
                <w:rFonts w:ascii="Arial" w:hAnsi="Arial" w:cs="Arial"/>
                <w:b/>
                <w:bCs/>
                <w:sz w:val="18"/>
                <w:szCs w:val="18"/>
                <w:lang w:val="es-ES_tradnl"/>
              </w:rPr>
            </w:pPr>
            <w:r w:rsidRPr="00BF4F5D">
              <w:rPr>
                <w:rFonts w:ascii="Arial" w:hAnsi="Arial" w:cs="Arial"/>
                <w:b/>
                <w:bCs/>
                <w:sz w:val="18"/>
                <w:szCs w:val="18"/>
                <w:lang w:val="es-ES_tradnl"/>
              </w:rPr>
              <w:t>2.1. Cuestión previa al procedimiento</w:t>
            </w:r>
          </w:p>
        </w:tc>
      </w:tr>
      <w:tr w:rsidR="00C24811" w:rsidRPr="003E2214" w14:paraId="33A979A0" w14:textId="713CD678" w:rsidTr="00275B74">
        <w:trPr>
          <w:jc w:val="center"/>
        </w:trPr>
        <w:tc>
          <w:tcPr>
            <w:tcW w:w="2846" w:type="dxa"/>
            <w:shd w:val="clear" w:color="auto" w:fill="FFFFFF" w:themeFill="background1"/>
          </w:tcPr>
          <w:p w14:paraId="4CD0E729" w14:textId="2F84AB3F" w:rsidR="00C24811" w:rsidRPr="00BF4F5D" w:rsidRDefault="00C24811" w:rsidP="00C24811">
            <w:pPr>
              <w:spacing w:before="120" w:after="120" w:line="23" w:lineRule="atLeast"/>
              <w:jc w:val="both"/>
              <w:rPr>
                <w:rFonts w:ascii="Arial" w:hAnsi="Arial" w:cs="Arial"/>
                <w:b/>
                <w:bCs/>
                <w:sz w:val="18"/>
                <w:szCs w:val="18"/>
                <w:lang w:val="es-ES_tradnl"/>
              </w:rPr>
            </w:pPr>
            <w:r w:rsidRPr="00BF4F5D">
              <w:rPr>
                <w:rFonts w:ascii="Arial" w:hAnsi="Arial" w:cs="Arial"/>
                <w:sz w:val="18"/>
                <w:szCs w:val="18"/>
                <w:lang w:val="es-ES"/>
              </w:rPr>
              <w:t>Concluida la investigación y,</w:t>
            </w:r>
            <w:r w:rsidRPr="00BF4F5D">
              <w:rPr>
                <w:rFonts w:ascii="Arial" w:hAnsi="Arial" w:cs="Arial"/>
                <w:bCs/>
                <w:sz w:val="18"/>
                <w:szCs w:val="18"/>
                <w:lang w:val="es-ES"/>
              </w:rPr>
              <w:t xml:space="preserve"> en caso de que se emita un Dictamen de Probable Responsabilidad</w:t>
            </w:r>
            <w:r w:rsidRPr="00BF4F5D">
              <w:rPr>
                <w:rFonts w:ascii="Arial" w:hAnsi="Arial" w:cs="Arial"/>
                <w:sz w:val="18"/>
                <w:szCs w:val="18"/>
                <w:lang w:val="es-ES"/>
              </w:rPr>
              <w:t>, el Pleno ordenará al órgano encargado de la instrucción (la UCE) iniciar el procedimiento seguido en forma de juicio mediante el emplazamiento a los AE declarados como probables responsables. Esta orden se realizará dentro del plazo de 30 (treinta) días siguientes a la fecha en la que la Autoridad Investigadora haya presentado el dictamen de probable responsabilidad al Pleno.</w:t>
            </w:r>
          </w:p>
        </w:tc>
        <w:tc>
          <w:tcPr>
            <w:tcW w:w="2846" w:type="dxa"/>
            <w:shd w:val="clear" w:color="auto" w:fill="FFFFFF" w:themeFill="background1"/>
          </w:tcPr>
          <w:p w14:paraId="48794342" w14:textId="77777777" w:rsidR="00D077C0" w:rsidRDefault="00C24811" w:rsidP="00D50B18">
            <w:pPr>
              <w:spacing w:before="120" w:after="120" w:line="23" w:lineRule="atLeast"/>
              <w:jc w:val="both"/>
              <w:rPr>
                <w:rFonts w:ascii="Arial" w:hAnsi="Arial" w:cs="Arial"/>
                <w:sz w:val="18"/>
                <w:szCs w:val="18"/>
              </w:rPr>
            </w:pPr>
            <w:r w:rsidRPr="00A60AA4">
              <w:rPr>
                <w:rFonts w:ascii="Arial" w:hAnsi="Arial" w:cs="Arial"/>
                <w:sz w:val="18"/>
                <w:szCs w:val="18"/>
                <w:lang w:val="es-ES"/>
              </w:rPr>
              <w:t>Considera</w:t>
            </w:r>
            <w:r w:rsidRPr="00BF4F5D">
              <w:rPr>
                <w:rFonts w:ascii="Arial" w:hAnsi="Arial" w:cs="Arial"/>
                <w:sz w:val="18"/>
                <w:szCs w:val="18"/>
              </w:rPr>
              <w:t xml:space="preserve"> importante mencionar si los días serán hábiles o naturales respecto del plazo que se tiene para realizar la orden de iniciar el Procedimiento seguido en forma de juicio.</w:t>
            </w:r>
          </w:p>
          <w:p w14:paraId="3F8DAC0D" w14:textId="77777777" w:rsidR="00D077C0" w:rsidRDefault="00D077C0" w:rsidP="00D50B18">
            <w:pPr>
              <w:spacing w:before="120" w:after="120" w:line="23" w:lineRule="atLeast"/>
              <w:jc w:val="both"/>
              <w:rPr>
                <w:rFonts w:ascii="Arial" w:hAnsi="Arial" w:cs="Arial"/>
                <w:sz w:val="18"/>
                <w:szCs w:val="18"/>
              </w:rPr>
            </w:pPr>
          </w:p>
          <w:p w14:paraId="30CFA2E7" w14:textId="6F1624C6" w:rsidR="00C24811" w:rsidRPr="00BF4F5D" w:rsidRDefault="00C24811" w:rsidP="00D50B18">
            <w:pPr>
              <w:spacing w:before="120" w:after="120" w:line="23" w:lineRule="atLeast"/>
              <w:jc w:val="both"/>
              <w:rPr>
                <w:rFonts w:ascii="Arial" w:hAnsi="Arial" w:cs="Arial"/>
                <w:sz w:val="18"/>
                <w:szCs w:val="18"/>
              </w:rPr>
            </w:pPr>
            <w:r w:rsidRPr="00BF4F5D">
              <w:rPr>
                <w:rFonts w:ascii="Arial" w:hAnsi="Arial" w:cs="Arial"/>
                <w:sz w:val="18"/>
                <w:szCs w:val="18"/>
              </w:rPr>
              <w:t>Sugiere asegurar congruencia en este plazo y el establecido en el apartado 2.2. Emplazamiento</w:t>
            </w:r>
          </w:p>
          <w:p w14:paraId="69F9EA96" w14:textId="77777777" w:rsidR="00C24811" w:rsidRPr="00BF4F5D" w:rsidRDefault="00C24811" w:rsidP="00C24811">
            <w:pPr>
              <w:spacing w:before="120" w:after="120" w:line="23" w:lineRule="atLeast"/>
              <w:jc w:val="both"/>
              <w:rPr>
                <w:rFonts w:ascii="Arial" w:hAnsi="Arial" w:cs="Arial"/>
                <w:b/>
                <w:sz w:val="18"/>
                <w:szCs w:val="18"/>
              </w:rPr>
            </w:pPr>
          </w:p>
        </w:tc>
        <w:tc>
          <w:tcPr>
            <w:tcW w:w="3512" w:type="dxa"/>
            <w:shd w:val="clear" w:color="auto" w:fill="FFFFFF" w:themeFill="background1"/>
          </w:tcPr>
          <w:p w14:paraId="461AB60C" w14:textId="4ECB8D3F" w:rsidR="00077AFA" w:rsidRPr="00077AFA" w:rsidRDefault="001F1398" w:rsidP="00C24811">
            <w:pPr>
              <w:spacing w:before="120" w:after="120" w:line="23" w:lineRule="atLeast"/>
              <w:jc w:val="both"/>
              <w:rPr>
                <w:rFonts w:ascii="Arial" w:hAnsi="Arial" w:cs="Arial"/>
                <w:strike/>
                <w:sz w:val="18"/>
                <w:szCs w:val="18"/>
              </w:rPr>
            </w:pPr>
            <w:r>
              <w:rPr>
                <w:rFonts w:ascii="Arial" w:hAnsi="Arial" w:cs="Arial"/>
                <w:sz w:val="18"/>
                <w:szCs w:val="18"/>
              </w:rPr>
              <w:t>Es improcedente</w:t>
            </w:r>
            <w:r w:rsidR="00C24811" w:rsidRPr="00844861">
              <w:rPr>
                <w:rFonts w:ascii="Arial" w:hAnsi="Arial" w:cs="Arial"/>
                <w:sz w:val="18"/>
                <w:szCs w:val="18"/>
              </w:rPr>
              <w:t>, en virtud de que el apartado del Anteproyecto a que se refiere será eliminado.</w:t>
            </w:r>
          </w:p>
          <w:p w14:paraId="1C419348" w14:textId="77777777" w:rsidR="00F45E18" w:rsidRDefault="00F45E18" w:rsidP="00C24811">
            <w:pPr>
              <w:spacing w:before="120" w:after="120" w:line="23" w:lineRule="atLeast"/>
              <w:jc w:val="both"/>
              <w:rPr>
                <w:rFonts w:ascii="Arial" w:hAnsi="Arial" w:cs="Arial"/>
                <w:sz w:val="18"/>
                <w:szCs w:val="18"/>
              </w:rPr>
            </w:pPr>
          </w:p>
          <w:p w14:paraId="38ABA514" w14:textId="77777777" w:rsidR="00F45E18" w:rsidRDefault="00F45E18" w:rsidP="00F976AB">
            <w:pPr>
              <w:spacing w:before="120" w:after="120" w:line="23" w:lineRule="atLeast"/>
              <w:ind w:right="-349"/>
              <w:jc w:val="both"/>
              <w:rPr>
                <w:rFonts w:ascii="Arial" w:hAnsi="Arial" w:cs="Arial"/>
                <w:sz w:val="18"/>
                <w:szCs w:val="18"/>
              </w:rPr>
            </w:pPr>
          </w:p>
          <w:p w14:paraId="1DE8D09C" w14:textId="77777777" w:rsidR="00F45E18" w:rsidRDefault="00F45E18" w:rsidP="00C24811">
            <w:pPr>
              <w:spacing w:before="120" w:after="120" w:line="23" w:lineRule="atLeast"/>
              <w:jc w:val="both"/>
              <w:rPr>
                <w:rFonts w:ascii="Arial" w:hAnsi="Arial" w:cs="Arial"/>
                <w:sz w:val="18"/>
                <w:szCs w:val="18"/>
              </w:rPr>
            </w:pPr>
          </w:p>
          <w:p w14:paraId="642ACE39" w14:textId="7DEBB35F" w:rsidR="00F45E18" w:rsidRDefault="00F45E18" w:rsidP="00C24811">
            <w:pPr>
              <w:spacing w:before="120" w:after="120" w:line="23" w:lineRule="atLeast"/>
              <w:jc w:val="both"/>
              <w:rPr>
                <w:rFonts w:ascii="Arial" w:hAnsi="Arial" w:cs="Arial"/>
                <w:sz w:val="18"/>
                <w:szCs w:val="18"/>
              </w:rPr>
            </w:pPr>
            <w:r>
              <w:rPr>
                <w:rFonts w:ascii="Arial" w:hAnsi="Arial" w:cs="Arial"/>
                <w:sz w:val="18"/>
                <w:szCs w:val="18"/>
              </w:rPr>
              <w:t xml:space="preserve">Es procedente y se elimina parte del párrafo, para efectos de la </w:t>
            </w:r>
            <w:r w:rsidR="00C24811" w:rsidRPr="00844861">
              <w:rPr>
                <w:rFonts w:ascii="Arial" w:hAnsi="Arial" w:cs="Arial"/>
                <w:sz w:val="18"/>
                <w:szCs w:val="18"/>
              </w:rPr>
              <w:t xml:space="preserve">congruencia entre el plazo establecido en este apartado y el plazo establecido en el apartado </w:t>
            </w:r>
            <w:r w:rsidR="00C24811" w:rsidRPr="00844861">
              <w:rPr>
                <w:rFonts w:ascii="Arial" w:hAnsi="Arial" w:cs="Arial"/>
                <w:i/>
                <w:iCs/>
                <w:sz w:val="18"/>
                <w:szCs w:val="18"/>
              </w:rPr>
              <w:t>2.</w:t>
            </w:r>
            <w:proofErr w:type="gramStart"/>
            <w:r w:rsidR="00C24811" w:rsidRPr="00844861">
              <w:rPr>
                <w:rFonts w:ascii="Arial" w:hAnsi="Arial" w:cs="Arial"/>
                <w:i/>
                <w:iCs/>
                <w:sz w:val="18"/>
                <w:szCs w:val="18"/>
              </w:rPr>
              <w:t>2.Emplazamiento</w:t>
            </w:r>
            <w:proofErr w:type="gramEnd"/>
            <w:r w:rsidR="00C24811" w:rsidRPr="00844861">
              <w:rPr>
                <w:rFonts w:ascii="Arial" w:hAnsi="Arial" w:cs="Arial"/>
                <w:sz w:val="18"/>
                <w:szCs w:val="18"/>
              </w:rPr>
              <w:t>.</w:t>
            </w:r>
          </w:p>
          <w:p w14:paraId="1C4A442A" w14:textId="569474BA" w:rsidR="00C24811" w:rsidRPr="005A2251" w:rsidRDefault="00077AFA" w:rsidP="00D50B18">
            <w:pPr>
              <w:spacing w:before="120" w:after="120" w:line="23" w:lineRule="atLeast"/>
              <w:jc w:val="both"/>
              <w:rPr>
                <w:rFonts w:ascii="Arial" w:hAnsi="Arial" w:cs="Arial"/>
                <w:sz w:val="18"/>
                <w:szCs w:val="18"/>
              </w:rPr>
            </w:pPr>
            <w:r w:rsidRPr="005A2251">
              <w:rPr>
                <w:rFonts w:ascii="Arial" w:hAnsi="Arial" w:cs="Arial"/>
                <w:sz w:val="18"/>
                <w:szCs w:val="18"/>
              </w:rPr>
              <w:t>Conforme a lo anterior, se modifica al Proyecto el siguiente párrafo:</w:t>
            </w:r>
          </w:p>
          <w:tbl>
            <w:tblPr>
              <w:tblStyle w:val="Tablaconcuadrcula"/>
              <w:tblW w:w="0" w:type="auto"/>
              <w:jc w:val="center"/>
              <w:tblLook w:val="04A0" w:firstRow="1" w:lastRow="0" w:firstColumn="1" w:lastColumn="0" w:noHBand="0" w:noVBand="1"/>
            </w:tblPr>
            <w:tblGrid>
              <w:gridCol w:w="3286"/>
            </w:tblGrid>
            <w:tr w:rsidR="00077AFA" w:rsidRPr="00730154" w14:paraId="096366AE" w14:textId="77777777" w:rsidTr="000E7DE4">
              <w:trPr>
                <w:trHeight w:val="311"/>
                <w:jc w:val="center"/>
              </w:trPr>
              <w:tc>
                <w:tcPr>
                  <w:tcW w:w="8799"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6825B37B" w14:textId="77777777" w:rsidR="00077AFA" w:rsidRPr="00730154" w:rsidRDefault="00077AFA" w:rsidP="00077AFA">
                  <w:pPr>
                    <w:spacing w:before="120" w:after="120" w:line="23" w:lineRule="atLeast"/>
                    <w:jc w:val="center"/>
                    <w:rPr>
                      <w:rFonts w:ascii="Arial" w:hAnsi="Arial" w:cs="Arial"/>
                      <w:b/>
                      <w:sz w:val="18"/>
                      <w:szCs w:val="18"/>
                    </w:rPr>
                  </w:pPr>
                  <w:r>
                    <w:rPr>
                      <w:rFonts w:ascii="Arial" w:hAnsi="Arial" w:cs="Arial"/>
                      <w:b/>
                      <w:sz w:val="18"/>
                      <w:szCs w:val="18"/>
                    </w:rPr>
                    <w:t>Modificación</w:t>
                  </w:r>
                  <w:r w:rsidRPr="00730154">
                    <w:rPr>
                      <w:rFonts w:ascii="Arial" w:hAnsi="Arial" w:cs="Arial"/>
                      <w:b/>
                      <w:sz w:val="18"/>
                      <w:szCs w:val="18"/>
                    </w:rPr>
                    <w:t xml:space="preserve"> al Proyecto </w:t>
                  </w:r>
                </w:p>
              </w:tc>
            </w:tr>
            <w:tr w:rsidR="00077AFA" w:rsidRPr="00730154" w14:paraId="147BBB4D" w14:textId="77777777" w:rsidTr="000E7DE4">
              <w:trPr>
                <w:jc w:val="center"/>
              </w:trPr>
              <w:tc>
                <w:tcPr>
                  <w:tcW w:w="8799" w:type="dxa"/>
                  <w:tcBorders>
                    <w:top w:val="single" w:sz="4" w:space="0" w:color="auto"/>
                    <w:left w:val="single" w:sz="4" w:space="0" w:color="auto"/>
                    <w:bottom w:val="single" w:sz="4" w:space="0" w:color="auto"/>
                    <w:right w:val="single" w:sz="4" w:space="0" w:color="auto"/>
                  </w:tcBorders>
                  <w:shd w:val="clear" w:color="auto" w:fill="FFFFFF" w:themeFill="background1"/>
                </w:tcPr>
                <w:p w14:paraId="4566D164" w14:textId="77777777" w:rsidR="00077AFA" w:rsidRPr="00730154" w:rsidRDefault="00077AFA" w:rsidP="00077AFA">
                  <w:pPr>
                    <w:pStyle w:val="Textoindependiente"/>
                    <w:spacing w:before="120" w:line="23" w:lineRule="atLeast"/>
                    <w:jc w:val="both"/>
                    <w:rPr>
                      <w:rFonts w:ascii="Arial" w:hAnsi="Arial" w:cs="Arial"/>
                      <w:sz w:val="18"/>
                      <w:szCs w:val="18"/>
                    </w:rPr>
                  </w:pPr>
                  <w:r w:rsidRPr="00702726">
                    <w:rPr>
                      <w:rFonts w:ascii="Arial" w:hAnsi="Arial" w:cs="Arial"/>
                      <w:sz w:val="18"/>
                      <w:szCs w:val="18"/>
                    </w:rPr>
                    <w:t>Concluida la investigación y, en caso de que se emita un Dictamen de Probable Responsabilidad, el Pleno ordenará al órgano encargado de la instrucción (la UCE) iniciar el procedimiento seguido en forma de juicio mediante el emplazamiento a los AE declarados como probables responsables.</w:t>
                  </w:r>
                  <w:r>
                    <w:t xml:space="preserve"> </w:t>
                  </w:r>
                  <w:r w:rsidRPr="00702726">
                    <w:rPr>
                      <w:strike/>
                    </w:rPr>
                    <w:t>E</w:t>
                  </w:r>
                  <w:r w:rsidRPr="00702726">
                    <w:rPr>
                      <w:rFonts w:ascii="Arial" w:hAnsi="Arial" w:cs="Arial"/>
                      <w:strike/>
                      <w:sz w:val="18"/>
                      <w:szCs w:val="18"/>
                    </w:rPr>
                    <w:t>sta orden se realizará dentro del plazo de 30 (treinta) días siguientes a la fecha en la que la Autoridad Investigadora haya presentado el dictamen de probable responsabilidad al Pleno.</w:t>
                  </w:r>
                </w:p>
              </w:tc>
            </w:tr>
          </w:tbl>
          <w:p w14:paraId="45FCB48D" w14:textId="71F698A1" w:rsidR="00077AFA" w:rsidRPr="00170FDE" w:rsidRDefault="00077AFA" w:rsidP="00D50B18">
            <w:pPr>
              <w:spacing w:before="120" w:after="120" w:line="23" w:lineRule="atLeast"/>
              <w:jc w:val="both"/>
              <w:rPr>
                <w:rFonts w:ascii="Arial" w:hAnsi="Arial" w:cs="Arial"/>
                <w:color w:val="FF0000"/>
                <w:sz w:val="18"/>
                <w:szCs w:val="18"/>
              </w:rPr>
            </w:pPr>
          </w:p>
        </w:tc>
      </w:tr>
      <w:tr w:rsidR="00C24811" w:rsidRPr="003E2214" w14:paraId="20AB54A4" w14:textId="77777777" w:rsidTr="00275B74">
        <w:trPr>
          <w:jc w:val="center"/>
        </w:trPr>
        <w:tc>
          <w:tcPr>
            <w:tcW w:w="2846" w:type="dxa"/>
            <w:shd w:val="clear" w:color="auto" w:fill="FFFFFF" w:themeFill="background1"/>
          </w:tcPr>
          <w:p w14:paraId="191BCFFD" w14:textId="6A8DBDB3" w:rsidR="00C24811" w:rsidRPr="00BF4F5D" w:rsidRDefault="00C24811" w:rsidP="00D50B18">
            <w:pPr>
              <w:spacing w:before="120" w:after="120" w:line="23" w:lineRule="atLeast"/>
              <w:jc w:val="both"/>
              <w:rPr>
                <w:rFonts w:ascii="Arial" w:hAnsi="Arial" w:cs="Arial"/>
                <w:sz w:val="18"/>
                <w:szCs w:val="18"/>
                <w:lang w:val="es-ES"/>
              </w:rPr>
            </w:pPr>
            <w:r w:rsidRPr="00BF4F5D">
              <w:rPr>
                <w:rFonts w:ascii="Arial" w:hAnsi="Arial" w:cs="Arial"/>
                <w:sz w:val="18"/>
                <w:szCs w:val="18"/>
                <w:lang w:val="es-ES"/>
              </w:rPr>
              <w:t xml:space="preserve">En el procedimiento únicamente serán parte la Autoridad Investigadora y los AE señalados como probables responsables en el dictamen de probable responsabilidad. En caso de que la investigación haya derivado de una denuncia, quien haya presentado la denuncia solamente será coadyuvante de la Autoridad Investigadora. Durante el procedimiento seguido en forma de juicio, </w:t>
            </w:r>
            <w:r w:rsidRPr="00BF4F5D">
              <w:rPr>
                <w:rFonts w:ascii="Arial" w:hAnsi="Arial" w:cs="Arial"/>
                <w:sz w:val="18"/>
                <w:szCs w:val="18"/>
                <w:lang w:val="es-ES"/>
              </w:rPr>
              <w:lastRenderedPageBreak/>
              <w:t>únicamente los AE con interés jurídico podrán tener acceso al expediente, excepto a aquella información clasificada como confidencial.</w:t>
            </w:r>
          </w:p>
        </w:tc>
        <w:tc>
          <w:tcPr>
            <w:tcW w:w="2846" w:type="dxa"/>
            <w:shd w:val="clear" w:color="auto" w:fill="FFFFFF" w:themeFill="background1"/>
          </w:tcPr>
          <w:p w14:paraId="26FD6393" w14:textId="631D5354" w:rsidR="00C24811" w:rsidRPr="00BF4F5D" w:rsidRDefault="00C24811" w:rsidP="00C24811">
            <w:pPr>
              <w:spacing w:before="120" w:after="120" w:line="23" w:lineRule="atLeast"/>
              <w:jc w:val="both"/>
              <w:rPr>
                <w:rFonts w:ascii="Arial" w:hAnsi="Arial" w:cs="Arial"/>
                <w:b/>
                <w:sz w:val="18"/>
                <w:szCs w:val="18"/>
              </w:rPr>
            </w:pPr>
            <w:r w:rsidRPr="00BF4F5D">
              <w:rPr>
                <w:rFonts w:ascii="Arial" w:hAnsi="Arial" w:cs="Arial"/>
                <w:sz w:val="18"/>
                <w:szCs w:val="18"/>
              </w:rPr>
              <w:lastRenderedPageBreak/>
              <w:t>Sugiere desarrollar la figura de coadyuvante.</w:t>
            </w:r>
          </w:p>
          <w:p w14:paraId="38D9709C" w14:textId="77777777" w:rsidR="00C95404" w:rsidRDefault="00C95404" w:rsidP="00C24811">
            <w:pPr>
              <w:spacing w:before="120" w:after="120" w:line="23" w:lineRule="atLeast"/>
              <w:jc w:val="both"/>
              <w:rPr>
                <w:rFonts w:ascii="Arial" w:hAnsi="Arial" w:cs="Arial"/>
                <w:b/>
                <w:sz w:val="18"/>
                <w:szCs w:val="18"/>
              </w:rPr>
            </w:pPr>
          </w:p>
          <w:p w14:paraId="61E1C8E1" w14:textId="214D9853" w:rsidR="00C24811" w:rsidRPr="00BF4F5D" w:rsidRDefault="00C24811" w:rsidP="00C24811">
            <w:pPr>
              <w:spacing w:before="120" w:after="120" w:line="23" w:lineRule="atLeast"/>
              <w:jc w:val="both"/>
              <w:rPr>
                <w:rFonts w:ascii="Arial" w:hAnsi="Arial" w:cs="Arial"/>
                <w:sz w:val="18"/>
                <w:szCs w:val="18"/>
              </w:rPr>
            </w:pPr>
            <w:r w:rsidRPr="00BF4F5D">
              <w:rPr>
                <w:rFonts w:ascii="Arial" w:hAnsi="Arial" w:cs="Arial"/>
                <w:sz w:val="18"/>
                <w:szCs w:val="18"/>
              </w:rPr>
              <w:t>Sugiere detallar cómo el denunciante coadyuvará con la Autoridad Investigadora.</w:t>
            </w:r>
          </w:p>
          <w:p w14:paraId="5B06D81B" w14:textId="77777777" w:rsidR="00C24811" w:rsidRDefault="00C24811" w:rsidP="00D50B18">
            <w:pPr>
              <w:spacing w:before="120" w:after="120" w:line="23" w:lineRule="atLeast"/>
              <w:jc w:val="both"/>
              <w:rPr>
                <w:rFonts w:ascii="Arial" w:hAnsi="Arial" w:cs="Arial"/>
                <w:b/>
                <w:sz w:val="18"/>
                <w:szCs w:val="18"/>
              </w:rPr>
            </w:pPr>
          </w:p>
        </w:tc>
        <w:tc>
          <w:tcPr>
            <w:tcW w:w="3512" w:type="dxa"/>
            <w:shd w:val="clear" w:color="auto" w:fill="FFFFFF" w:themeFill="background1"/>
          </w:tcPr>
          <w:p w14:paraId="309D6152" w14:textId="6A5245C0" w:rsidR="00C24811" w:rsidRPr="00C95404" w:rsidRDefault="00055C5C" w:rsidP="00C95404">
            <w:pPr>
              <w:spacing w:before="120" w:after="120" w:line="23" w:lineRule="atLeast"/>
              <w:jc w:val="both"/>
              <w:rPr>
                <w:rFonts w:ascii="Arial" w:hAnsi="Arial" w:cs="Arial"/>
                <w:sz w:val="18"/>
                <w:szCs w:val="18"/>
                <w:lang w:val="es-ES_tradnl"/>
              </w:rPr>
            </w:pPr>
            <w:r>
              <w:rPr>
                <w:rFonts w:ascii="Arial" w:hAnsi="Arial" w:cs="Arial"/>
                <w:sz w:val="18"/>
                <w:szCs w:val="18"/>
                <w:lang w:val="es-ES_tradnl"/>
              </w:rPr>
              <w:t xml:space="preserve">Son </w:t>
            </w:r>
            <w:r w:rsidR="00C95404">
              <w:rPr>
                <w:rFonts w:ascii="Arial" w:hAnsi="Arial" w:cs="Arial"/>
                <w:sz w:val="18"/>
                <w:szCs w:val="18"/>
                <w:lang w:val="es-ES_tradnl"/>
              </w:rPr>
              <w:t>improcedente</w:t>
            </w:r>
            <w:r>
              <w:rPr>
                <w:rFonts w:ascii="Arial" w:hAnsi="Arial" w:cs="Arial"/>
                <w:sz w:val="18"/>
                <w:szCs w:val="18"/>
                <w:lang w:val="es-ES_tradnl"/>
              </w:rPr>
              <w:t>s</w:t>
            </w:r>
            <w:r w:rsidR="00C95404">
              <w:rPr>
                <w:rFonts w:ascii="Arial" w:hAnsi="Arial" w:cs="Arial"/>
                <w:sz w:val="18"/>
                <w:szCs w:val="18"/>
                <w:lang w:val="es-ES_tradnl"/>
              </w:rPr>
              <w:t xml:space="preserve"> </w:t>
            </w:r>
            <w:r w:rsidR="00BD3E15">
              <w:rPr>
                <w:rFonts w:ascii="Arial" w:hAnsi="Arial" w:cs="Arial"/>
                <w:sz w:val="18"/>
                <w:szCs w:val="18"/>
                <w:lang w:val="es-ES_tradnl"/>
              </w:rPr>
              <w:t xml:space="preserve">para efectos de la Guía </w:t>
            </w:r>
            <w:r w:rsidR="00C95404">
              <w:rPr>
                <w:rFonts w:ascii="Arial" w:hAnsi="Arial" w:cs="Arial"/>
                <w:sz w:val="18"/>
                <w:szCs w:val="18"/>
                <w:lang w:val="es-ES_tradnl"/>
              </w:rPr>
              <w:t xml:space="preserve">en virtud de </w:t>
            </w:r>
            <w:r w:rsidR="00BD3E15">
              <w:rPr>
                <w:rFonts w:ascii="Arial" w:hAnsi="Arial" w:cs="Arial"/>
                <w:sz w:val="18"/>
                <w:szCs w:val="18"/>
                <w:lang w:val="es-ES_tradnl"/>
              </w:rPr>
              <w:t xml:space="preserve">que el desarrollo de la figura del coadyuvante y los detalles de sus </w:t>
            </w:r>
            <w:r w:rsidR="00F2338E">
              <w:rPr>
                <w:rFonts w:ascii="Arial" w:hAnsi="Arial" w:cs="Arial"/>
                <w:sz w:val="18"/>
                <w:szCs w:val="18"/>
                <w:lang w:val="es-ES_tradnl"/>
              </w:rPr>
              <w:t>alcances</w:t>
            </w:r>
            <w:r w:rsidR="00BD3E15">
              <w:rPr>
                <w:rFonts w:ascii="Arial" w:hAnsi="Arial" w:cs="Arial"/>
                <w:sz w:val="18"/>
                <w:szCs w:val="18"/>
                <w:lang w:val="es-ES_tradnl"/>
              </w:rPr>
              <w:t xml:space="preserve"> </w:t>
            </w:r>
            <w:r w:rsidR="00F2338E">
              <w:rPr>
                <w:rFonts w:ascii="Arial" w:hAnsi="Arial" w:cs="Arial"/>
                <w:sz w:val="18"/>
                <w:szCs w:val="18"/>
                <w:lang w:val="es-ES_tradnl"/>
              </w:rPr>
              <w:t>corresponde determinarlos a la AI.</w:t>
            </w:r>
            <w:r w:rsidR="00BD3E15">
              <w:rPr>
                <w:rFonts w:ascii="Arial" w:hAnsi="Arial" w:cs="Arial"/>
                <w:sz w:val="18"/>
                <w:szCs w:val="18"/>
                <w:lang w:val="es-ES_tradnl"/>
              </w:rPr>
              <w:t xml:space="preserve"> </w:t>
            </w:r>
            <w:r w:rsidR="00C24811" w:rsidRPr="00844861">
              <w:rPr>
                <w:rFonts w:ascii="Arial" w:hAnsi="Arial" w:cs="Arial"/>
                <w:sz w:val="18"/>
                <w:szCs w:val="18"/>
                <w:lang w:val="es-ES_tradnl"/>
              </w:rPr>
              <w:t xml:space="preserve">Asimismo, la LFCE en su artículo 82, reconoce la coadyuvancia de la AI en el PSFJ conforme a </w:t>
            </w:r>
            <w:r w:rsidR="00F2338E">
              <w:rPr>
                <w:rFonts w:ascii="Arial" w:hAnsi="Arial" w:cs="Arial"/>
                <w:sz w:val="18"/>
                <w:szCs w:val="18"/>
                <w:lang w:val="es-ES_tradnl"/>
              </w:rPr>
              <w:t xml:space="preserve">lo que se determine en </w:t>
            </w:r>
            <w:r w:rsidR="00C24811" w:rsidRPr="00844861">
              <w:rPr>
                <w:rFonts w:ascii="Arial" w:hAnsi="Arial" w:cs="Arial"/>
                <w:sz w:val="18"/>
                <w:szCs w:val="18"/>
                <w:lang w:val="es-ES_tradnl"/>
              </w:rPr>
              <w:t>el Estatuto Orgánico</w:t>
            </w:r>
            <w:r w:rsidR="00170FDE">
              <w:rPr>
                <w:rFonts w:ascii="Arial" w:hAnsi="Arial" w:cs="Arial"/>
                <w:sz w:val="18"/>
                <w:szCs w:val="18"/>
                <w:lang w:val="es-ES_tradnl"/>
              </w:rPr>
              <w:t>, por lo que esta Guía no podría tener el alcance que se sugiere</w:t>
            </w:r>
            <w:r w:rsidR="00F2338E">
              <w:rPr>
                <w:rFonts w:ascii="Arial" w:hAnsi="Arial" w:cs="Arial"/>
                <w:sz w:val="18"/>
                <w:szCs w:val="18"/>
                <w:lang w:val="es-ES_tradnl"/>
              </w:rPr>
              <w:t>.</w:t>
            </w:r>
            <w:r w:rsidR="00C24811" w:rsidRPr="00844861">
              <w:rPr>
                <w:rStyle w:val="Refdenotaalpie"/>
                <w:rFonts w:ascii="Arial" w:hAnsi="Arial" w:cs="Arial"/>
                <w:sz w:val="18"/>
                <w:szCs w:val="18"/>
                <w:lang w:val="es-ES_tradnl"/>
              </w:rPr>
              <w:footnoteReference w:id="4"/>
            </w:r>
          </w:p>
        </w:tc>
      </w:tr>
    </w:tbl>
    <w:p w14:paraId="72F62C9C" w14:textId="694267FD" w:rsidR="00056983" w:rsidRPr="00302035" w:rsidRDefault="005F39CC" w:rsidP="00D50B18">
      <w:pPr>
        <w:spacing w:before="120" w:after="120" w:line="23" w:lineRule="atLeast"/>
        <w:jc w:val="both"/>
        <w:rPr>
          <w:rFonts w:ascii="Arial" w:hAnsi="Arial" w:cs="Arial"/>
          <w:lang w:val="es-ES_tradnl"/>
        </w:rPr>
      </w:pPr>
      <w:r>
        <w:rPr>
          <w:rFonts w:ascii="Arial" w:hAnsi="Arial" w:cs="Arial"/>
          <w:b/>
        </w:rPr>
        <w:t>8</w:t>
      </w:r>
      <w:r w:rsidR="007C1BEB" w:rsidRPr="003E2214">
        <w:rPr>
          <w:rFonts w:ascii="Arial" w:hAnsi="Arial" w:cs="Arial"/>
          <w:b/>
        </w:rPr>
        <w:t>.</w:t>
      </w:r>
      <w:r w:rsidR="007C1BEB">
        <w:rPr>
          <w:rFonts w:ascii="Arial" w:hAnsi="Arial" w:cs="Arial"/>
          <w:b/>
        </w:rPr>
        <w:t xml:space="preserve">3. </w:t>
      </w:r>
      <w:r w:rsidR="00056983">
        <w:rPr>
          <w:rFonts w:ascii="Arial" w:hAnsi="Arial" w:cs="Arial"/>
          <w:b/>
        </w:rPr>
        <w:t>A</w:t>
      </w:r>
      <w:r w:rsidR="00056983" w:rsidRPr="00302035">
        <w:rPr>
          <w:rFonts w:ascii="Arial" w:hAnsi="Arial" w:cs="Arial"/>
          <w:b/>
        </w:rPr>
        <w:t>partado 2.2. Emplazamiento</w:t>
      </w:r>
    </w:p>
    <w:p w14:paraId="54132BB0" w14:textId="212A96B2" w:rsidR="007C1BEB" w:rsidRPr="00302035" w:rsidRDefault="005F39CC" w:rsidP="00D50B18">
      <w:pPr>
        <w:spacing w:before="120" w:after="120" w:line="23" w:lineRule="atLeast"/>
        <w:jc w:val="both"/>
        <w:rPr>
          <w:rFonts w:ascii="Arial" w:hAnsi="Arial" w:cs="Arial"/>
          <w:lang w:val="es-ES_tradnl"/>
        </w:rPr>
      </w:pPr>
      <w:r>
        <w:rPr>
          <w:rFonts w:ascii="Arial" w:hAnsi="Arial" w:cs="Arial"/>
          <w:b/>
          <w:lang w:val="es-ES_tradnl"/>
        </w:rPr>
        <w:t>8</w:t>
      </w:r>
      <w:r w:rsidR="00056983">
        <w:rPr>
          <w:rFonts w:ascii="Arial" w:hAnsi="Arial" w:cs="Arial"/>
          <w:b/>
          <w:lang w:val="es-ES_tradnl"/>
        </w:rPr>
        <w:t xml:space="preserve">.3.1. Síntesis de los </w:t>
      </w:r>
      <w:r w:rsidR="00056983">
        <w:rPr>
          <w:rFonts w:ascii="Arial" w:hAnsi="Arial" w:cs="Arial"/>
          <w:b/>
        </w:rPr>
        <w:t>c</w:t>
      </w:r>
      <w:r w:rsidR="007C1BEB">
        <w:rPr>
          <w:rFonts w:ascii="Arial" w:hAnsi="Arial" w:cs="Arial"/>
          <w:b/>
        </w:rPr>
        <w:t xml:space="preserve">omentarios relacionados con el </w:t>
      </w:r>
      <w:r w:rsidR="007C1BEB" w:rsidRPr="00302035">
        <w:rPr>
          <w:rFonts w:ascii="Arial" w:hAnsi="Arial" w:cs="Arial"/>
          <w:b/>
        </w:rPr>
        <w:t>apartado 2.2. Emplazamiento</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Look w:val="04A0" w:firstRow="1" w:lastRow="0" w:firstColumn="1" w:lastColumn="0" w:noHBand="0" w:noVBand="1"/>
      </w:tblPr>
      <w:tblGrid>
        <w:gridCol w:w="2948"/>
        <w:gridCol w:w="2948"/>
        <w:gridCol w:w="3308"/>
      </w:tblGrid>
      <w:tr w:rsidR="00C24811" w:rsidRPr="00BF4F5D" w14:paraId="3D38AD5D" w14:textId="1E3EAA2F" w:rsidTr="00275B74">
        <w:trPr>
          <w:tblHeader/>
          <w:jc w:val="center"/>
        </w:trPr>
        <w:tc>
          <w:tcPr>
            <w:tcW w:w="2948" w:type="dxa"/>
            <w:shd w:val="clear" w:color="auto" w:fill="70AD47" w:themeFill="accent6"/>
          </w:tcPr>
          <w:p w14:paraId="6A09DEA1" w14:textId="11F0FF5B" w:rsidR="00C24811" w:rsidRPr="00BF4F5D" w:rsidRDefault="00C24811" w:rsidP="00D50B18">
            <w:pPr>
              <w:spacing w:before="120" w:after="120" w:line="23" w:lineRule="atLeast"/>
              <w:jc w:val="center"/>
              <w:rPr>
                <w:rFonts w:ascii="Arial" w:hAnsi="Arial" w:cs="Arial"/>
                <w:bCs/>
                <w:sz w:val="18"/>
                <w:szCs w:val="18"/>
              </w:rPr>
            </w:pPr>
            <w:r w:rsidRPr="00730154">
              <w:rPr>
                <w:rFonts w:ascii="Arial" w:hAnsi="Arial" w:cs="Arial"/>
                <w:b/>
                <w:sz w:val="18"/>
                <w:szCs w:val="18"/>
              </w:rPr>
              <w:t>Apartado del Anteproyecto</w:t>
            </w:r>
          </w:p>
        </w:tc>
        <w:tc>
          <w:tcPr>
            <w:tcW w:w="2948" w:type="dxa"/>
            <w:shd w:val="clear" w:color="auto" w:fill="70AD47" w:themeFill="accent6"/>
          </w:tcPr>
          <w:p w14:paraId="643AC231" w14:textId="6580F722" w:rsidR="00C24811" w:rsidRPr="00BF4F5D" w:rsidRDefault="00C24811" w:rsidP="00D50B18">
            <w:pPr>
              <w:spacing w:before="120" w:after="120" w:line="23" w:lineRule="atLeast"/>
              <w:jc w:val="center"/>
              <w:rPr>
                <w:rFonts w:ascii="Arial" w:hAnsi="Arial" w:cs="Arial"/>
                <w:bCs/>
                <w:sz w:val="18"/>
                <w:szCs w:val="18"/>
              </w:rPr>
            </w:pPr>
            <w:r w:rsidRPr="00730154">
              <w:rPr>
                <w:rFonts w:ascii="Arial" w:hAnsi="Arial" w:cs="Arial"/>
                <w:b/>
                <w:sz w:val="18"/>
                <w:szCs w:val="18"/>
              </w:rPr>
              <w:t>Resumen de los comentarios recibidos</w:t>
            </w:r>
          </w:p>
        </w:tc>
        <w:tc>
          <w:tcPr>
            <w:tcW w:w="3308" w:type="dxa"/>
            <w:shd w:val="clear" w:color="auto" w:fill="70AD47" w:themeFill="accent6"/>
          </w:tcPr>
          <w:p w14:paraId="65138A97" w14:textId="0E02D96F" w:rsidR="00C24811" w:rsidRPr="00730154" w:rsidRDefault="00C24811" w:rsidP="00D50B18">
            <w:pPr>
              <w:spacing w:before="120" w:after="120" w:line="23" w:lineRule="atLeast"/>
              <w:jc w:val="center"/>
              <w:rPr>
                <w:rFonts w:ascii="Arial" w:hAnsi="Arial" w:cs="Arial"/>
                <w:b/>
                <w:sz w:val="18"/>
                <w:szCs w:val="18"/>
              </w:rPr>
            </w:pPr>
            <w:r>
              <w:rPr>
                <w:rFonts w:ascii="Arial" w:hAnsi="Arial" w:cs="Arial"/>
                <w:b/>
                <w:sz w:val="18"/>
                <w:szCs w:val="18"/>
              </w:rPr>
              <w:t>Consideración</w:t>
            </w:r>
          </w:p>
        </w:tc>
      </w:tr>
      <w:tr w:rsidR="00C24811" w:rsidRPr="00BF4F5D" w14:paraId="55439CE3" w14:textId="39B8A191" w:rsidTr="00275B74">
        <w:trPr>
          <w:jc w:val="center"/>
        </w:trPr>
        <w:tc>
          <w:tcPr>
            <w:tcW w:w="9204" w:type="dxa"/>
            <w:gridSpan w:val="3"/>
            <w:shd w:val="clear" w:color="auto" w:fill="C5E0B3" w:themeFill="accent6" w:themeFillTint="66"/>
          </w:tcPr>
          <w:p w14:paraId="7B1B01ED" w14:textId="049E3535" w:rsidR="00C24811" w:rsidRPr="00BF4F5D" w:rsidRDefault="00C24811" w:rsidP="00D50B18">
            <w:pPr>
              <w:spacing w:before="120" w:after="120" w:line="23" w:lineRule="atLeast"/>
              <w:jc w:val="center"/>
              <w:rPr>
                <w:rFonts w:ascii="Arial" w:hAnsi="Arial" w:cs="Arial"/>
                <w:b/>
                <w:sz w:val="18"/>
                <w:szCs w:val="18"/>
                <w:lang w:val="es-ES_tradnl"/>
              </w:rPr>
            </w:pPr>
            <w:r w:rsidRPr="00BF4F5D">
              <w:rPr>
                <w:rFonts w:ascii="Arial" w:hAnsi="Arial" w:cs="Arial"/>
                <w:b/>
                <w:sz w:val="18"/>
                <w:szCs w:val="18"/>
                <w:lang w:val="es-ES_tradnl"/>
              </w:rPr>
              <w:t>2.2. Emplazamiento</w:t>
            </w:r>
          </w:p>
        </w:tc>
      </w:tr>
      <w:tr w:rsidR="00C24811" w:rsidRPr="00BF4F5D" w14:paraId="107EE2B1" w14:textId="5625E186" w:rsidTr="00275B74">
        <w:trPr>
          <w:jc w:val="center"/>
        </w:trPr>
        <w:tc>
          <w:tcPr>
            <w:tcW w:w="2948" w:type="dxa"/>
            <w:shd w:val="clear" w:color="auto" w:fill="FFFFFF" w:themeFill="background1"/>
          </w:tcPr>
          <w:p w14:paraId="69BAE81F" w14:textId="3B9658F0" w:rsidR="00C24811" w:rsidRPr="00721264" w:rsidRDefault="00C24811" w:rsidP="00D50B18">
            <w:pPr>
              <w:spacing w:before="120" w:after="120" w:line="23" w:lineRule="atLeast"/>
              <w:jc w:val="both"/>
              <w:rPr>
                <w:rFonts w:ascii="Arial" w:hAnsi="Arial" w:cs="Arial"/>
                <w:sz w:val="18"/>
                <w:szCs w:val="18"/>
                <w:lang w:val="es-ES"/>
              </w:rPr>
            </w:pPr>
            <w:r w:rsidRPr="00BF4F5D">
              <w:rPr>
                <w:rFonts w:ascii="Arial" w:hAnsi="Arial" w:cs="Arial"/>
                <w:sz w:val="18"/>
                <w:szCs w:val="18"/>
                <w:lang w:val="es-ES"/>
              </w:rPr>
              <w:t>El procedimiento seguido en forma de juicio inicia con el emplazamiento a los Agentes Económicos del dictamen de probable responsabilidad. La DGPC realizará dicha notificación dentro de los 15 (quince) días siguientes a aquél en el que el Pleno hubiese ordenado iniciar el procedimiento seguido en forma de juicio.</w:t>
            </w:r>
          </w:p>
        </w:tc>
        <w:tc>
          <w:tcPr>
            <w:tcW w:w="2948" w:type="dxa"/>
            <w:shd w:val="clear" w:color="auto" w:fill="FFFFFF" w:themeFill="background1"/>
          </w:tcPr>
          <w:p w14:paraId="30F66717" w14:textId="5EF90F98" w:rsidR="00C24811" w:rsidRPr="00BF4F5D" w:rsidRDefault="00C24811" w:rsidP="00D50B18">
            <w:pPr>
              <w:spacing w:before="120" w:after="120" w:line="23" w:lineRule="atLeast"/>
              <w:jc w:val="both"/>
              <w:rPr>
                <w:rFonts w:ascii="Arial" w:hAnsi="Arial" w:cs="Arial"/>
                <w:sz w:val="18"/>
                <w:szCs w:val="18"/>
              </w:rPr>
            </w:pPr>
            <w:r w:rsidRPr="00BF4F5D">
              <w:rPr>
                <w:rFonts w:ascii="Arial" w:hAnsi="Arial" w:cs="Arial"/>
                <w:sz w:val="18"/>
                <w:szCs w:val="18"/>
              </w:rPr>
              <w:t>Considera importante especificar si los días son hábiles o naturales.</w:t>
            </w:r>
          </w:p>
          <w:p w14:paraId="044283BC" w14:textId="176DEB4B" w:rsidR="005619D6" w:rsidRDefault="005619D6" w:rsidP="00D50B18">
            <w:pPr>
              <w:spacing w:before="120" w:after="120" w:line="23" w:lineRule="atLeast"/>
              <w:jc w:val="both"/>
              <w:rPr>
                <w:rFonts w:ascii="Arial" w:hAnsi="Arial" w:cs="Arial"/>
                <w:b/>
                <w:bCs/>
                <w:sz w:val="18"/>
                <w:szCs w:val="18"/>
              </w:rPr>
            </w:pPr>
          </w:p>
          <w:p w14:paraId="6EE84DB2" w14:textId="60F9A15E" w:rsidR="00E73777" w:rsidRDefault="00E73777" w:rsidP="00D50B18">
            <w:pPr>
              <w:spacing w:before="120" w:after="120" w:line="23" w:lineRule="atLeast"/>
              <w:jc w:val="both"/>
              <w:rPr>
                <w:rFonts w:ascii="Arial" w:hAnsi="Arial" w:cs="Arial"/>
                <w:b/>
                <w:bCs/>
                <w:sz w:val="18"/>
                <w:szCs w:val="18"/>
              </w:rPr>
            </w:pPr>
          </w:p>
          <w:p w14:paraId="63B08F27" w14:textId="0770BC9D" w:rsidR="00E73777" w:rsidRDefault="00E73777" w:rsidP="00D50B18">
            <w:pPr>
              <w:spacing w:before="120" w:after="120" w:line="23" w:lineRule="atLeast"/>
              <w:jc w:val="both"/>
              <w:rPr>
                <w:rFonts w:ascii="Arial" w:hAnsi="Arial" w:cs="Arial"/>
                <w:b/>
                <w:bCs/>
                <w:sz w:val="18"/>
                <w:szCs w:val="18"/>
              </w:rPr>
            </w:pPr>
          </w:p>
          <w:p w14:paraId="23D6B483" w14:textId="77777777" w:rsidR="00E73777" w:rsidRPr="00E73777" w:rsidRDefault="00E73777" w:rsidP="00D50B18">
            <w:pPr>
              <w:spacing w:before="120" w:after="120" w:line="23" w:lineRule="atLeast"/>
              <w:jc w:val="both"/>
              <w:rPr>
                <w:rFonts w:ascii="Arial" w:hAnsi="Arial" w:cs="Arial"/>
                <w:b/>
                <w:bCs/>
              </w:rPr>
            </w:pPr>
          </w:p>
          <w:p w14:paraId="007230AB" w14:textId="77777777" w:rsidR="00250158" w:rsidRDefault="00250158" w:rsidP="00D50B18">
            <w:pPr>
              <w:spacing w:before="120" w:after="120" w:line="23" w:lineRule="atLeast"/>
              <w:jc w:val="both"/>
              <w:rPr>
                <w:rFonts w:ascii="Arial" w:hAnsi="Arial" w:cs="Arial"/>
                <w:sz w:val="18"/>
                <w:szCs w:val="18"/>
              </w:rPr>
            </w:pPr>
          </w:p>
          <w:p w14:paraId="1E518394" w14:textId="77777777" w:rsidR="00250158" w:rsidRDefault="00250158" w:rsidP="00D50B18">
            <w:pPr>
              <w:spacing w:before="120" w:after="120" w:line="23" w:lineRule="atLeast"/>
              <w:jc w:val="both"/>
              <w:rPr>
                <w:rFonts w:ascii="Arial" w:hAnsi="Arial" w:cs="Arial"/>
                <w:sz w:val="18"/>
                <w:szCs w:val="18"/>
              </w:rPr>
            </w:pPr>
          </w:p>
          <w:p w14:paraId="5EE41CEA" w14:textId="77777777" w:rsidR="00250158" w:rsidRDefault="00250158" w:rsidP="00D50B18">
            <w:pPr>
              <w:spacing w:before="120" w:after="120" w:line="23" w:lineRule="atLeast"/>
              <w:jc w:val="both"/>
              <w:rPr>
                <w:rFonts w:ascii="Arial" w:hAnsi="Arial" w:cs="Arial"/>
                <w:sz w:val="18"/>
                <w:szCs w:val="18"/>
              </w:rPr>
            </w:pPr>
          </w:p>
          <w:p w14:paraId="69D7694F" w14:textId="77777777" w:rsidR="00250158" w:rsidRDefault="00250158" w:rsidP="00D50B18">
            <w:pPr>
              <w:spacing w:before="120" w:after="120" w:line="23" w:lineRule="atLeast"/>
              <w:jc w:val="both"/>
              <w:rPr>
                <w:rFonts w:ascii="Arial" w:hAnsi="Arial" w:cs="Arial"/>
                <w:sz w:val="18"/>
                <w:szCs w:val="18"/>
              </w:rPr>
            </w:pPr>
          </w:p>
          <w:p w14:paraId="1780D991" w14:textId="77777777" w:rsidR="00250158" w:rsidRDefault="00250158" w:rsidP="00D50B18">
            <w:pPr>
              <w:spacing w:before="120" w:after="120" w:line="23" w:lineRule="atLeast"/>
              <w:jc w:val="both"/>
              <w:rPr>
                <w:rFonts w:ascii="Arial" w:hAnsi="Arial" w:cs="Arial"/>
                <w:sz w:val="18"/>
                <w:szCs w:val="18"/>
              </w:rPr>
            </w:pPr>
          </w:p>
          <w:p w14:paraId="0E1FC2A7" w14:textId="77777777" w:rsidR="00250158" w:rsidRDefault="00250158" w:rsidP="00D50B18">
            <w:pPr>
              <w:spacing w:before="120" w:after="120" w:line="23" w:lineRule="atLeast"/>
              <w:jc w:val="both"/>
              <w:rPr>
                <w:rFonts w:ascii="Arial" w:hAnsi="Arial" w:cs="Arial"/>
                <w:sz w:val="18"/>
                <w:szCs w:val="18"/>
              </w:rPr>
            </w:pPr>
          </w:p>
          <w:p w14:paraId="5B60A086" w14:textId="77777777" w:rsidR="00250158" w:rsidRDefault="00250158" w:rsidP="00D50B18">
            <w:pPr>
              <w:spacing w:before="120" w:after="120" w:line="23" w:lineRule="atLeast"/>
              <w:jc w:val="both"/>
              <w:rPr>
                <w:rFonts w:ascii="Arial" w:hAnsi="Arial" w:cs="Arial"/>
                <w:sz w:val="18"/>
                <w:szCs w:val="18"/>
              </w:rPr>
            </w:pPr>
          </w:p>
          <w:p w14:paraId="4DF5DB29" w14:textId="77777777" w:rsidR="00250158" w:rsidRDefault="00250158" w:rsidP="00D50B18">
            <w:pPr>
              <w:spacing w:before="120" w:after="120" w:line="23" w:lineRule="atLeast"/>
              <w:jc w:val="both"/>
              <w:rPr>
                <w:rFonts w:ascii="Arial" w:hAnsi="Arial" w:cs="Arial"/>
                <w:sz w:val="18"/>
                <w:szCs w:val="18"/>
              </w:rPr>
            </w:pPr>
          </w:p>
          <w:p w14:paraId="621EE416" w14:textId="77777777" w:rsidR="00250158" w:rsidRDefault="00250158" w:rsidP="00D50B18">
            <w:pPr>
              <w:spacing w:before="120" w:after="120" w:line="23" w:lineRule="atLeast"/>
              <w:jc w:val="both"/>
              <w:rPr>
                <w:rFonts w:ascii="Arial" w:hAnsi="Arial" w:cs="Arial"/>
                <w:sz w:val="18"/>
                <w:szCs w:val="18"/>
              </w:rPr>
            </w:pPr>
          </w:p>
          <w:p w14:paraId="4BDD9DE0" w14:textId="77777777" w:rsidR="00250158" w:rsidRDefault="00250158" w:rsidP="00D50B18">
            <w:pPr>
              <w:spacing w:before="120" w:after="120" w:line="23" w:lineRule="atLeast"/>
              <w:jc w:val="both"/>
              <w:rPr>
                <w:rFonts w:ascii="Arial" w:hAnsi="Arial" w:cs="Arial"/>
                <w:sz w:val="18"/>
                <w:szCs w:val="18"/>
              </w:rPr>
            </w:pPr>
          </w:p>
          <w:p w14:paraId="77DDBBE9" w14:textId="1ECC69ED" w:rsidR="00C24811" w:rsidRPr="00BF4F5D" w:rsidRDefault="00C24811" w:rsidP="00D50B18">
            <w:pPr>
              <w:spacing w:before="120" w:after="120" w:line="23" w:lineRule="atLeast"/>
              <w:jc w:val="both"/>
              <w:rPr>
                <w:rFonts w:ascii="Arial" w:hAnsi="Arial" w:cs="Arial"/>
                <w:sz w:val="18"/>
                <w:szCs w:val="18"/>
              </w:rPr>
            </w:pPr>
          </w:p>
        </w:tc>
        <w:tc>
          <w:tcPr>
            <w:tcW w:w="3308" w:type="dxa"/>
            <w:shd w:val="clear" w:color="auto" w:fill="FFFFFF" w:themeFill="background1"/>
          </w:tcPr>
          <w:p w14:paraId="3CECB32E" w14:textId="49CA1B1C" w:rsidR="00C24811" w:rsidRDefault="008E364C" w:rsidP="00C24811">
            <w:pPr>
              <w:spacing w:before="120" w:after="120" w:line="23" w:lineRule="atLeast"/>
              <w:jc w:val="both"/>
              <w:rPr>
                <w:rFonts w:ascii="Arial" w:hAnsi="Arial" w:cs="Arial"/>
                <w:sz w:val="18"/>
                <w:szCs w:val="18"/>
              </w:rPr>
            </w:pPr>
            <w:r>
              <w:rPr>
                <w:rFonts w:ascii="Arial" w:hAnsi="Arial" w:cs="Arial"/>
                <w:sz w:val="18"/>
                <w:szCs w:val="18"/>
              </w:rPr>
              <w:t>Es procedente y</w:t>
            </w:r>
            <w:r w:rsidR="00C24811" w:rsidRPr="00844861">
              <w:rPr>
                <w:rFonts w:ascii="Arial" w:hAnsi="Arial" w:cs="Arial"/>
                <w:sz w:val="18"/>
                <w:szCs w:val="18"/>
              </w:rPr>
              <w:t xml:space="preserve"> se incluirá en la Guía, toda vez que, como bien se señala, la Guía debe facilitar la comprensión del PSFJ, y es </w:t>
            </w:r>
            <w:r w:rsidR="00BD3E15">
              <w:rPr>
                <w:rFonts w:ascii="Arial" w:hAnsi="Arial" w:cs="Arial"/>
                <w:sz w:val="18"/>
                <w:szCs w:val="18"/>
              </w:rPr>
              <w:t>útil</w:t>
            </w:r>
            <w:r w:rsidR="00C24811" w:rsidRPr="00844861">
              <w:rPr>
                <w:rFonts w:ascii="Arial" w:hAnsi="Arial" w:cs="Arial"/>
                <w:sz w:val="18"/>
                <w:szCs w:val="18"/>
              </w:rPr>
              <w:t xml:space="preserve"> </w:t>
            </w:r>
            <w:r w:rsidR="00BD3E15">
              <w:rPr>
                <w:rFonts w:ascii="Arial" w:hAnsi="Arial" w:cs="Arial"/>
                <w:sz w:val="18"/>
                <w:szCs w:val="18"/>
              </w:rPr>
              <w:t>precisar</w:t>
            </w:r>
            <w:r w:rsidR="00C24811" w:rsidRPr="00844861">
              <w:rPr>
                <w:rFonts w:ascii="Arial" w:hAnsi="Arial" w:cs="Arial"/>
                <w:sz w:val="18"/>
                <w:szCs w:val="18"/>
              </w:rPr>
              <w:t xml:space="preserve"> que se trata de días hábiles.</w:t>
            </w:r>
          </w:p>
          <w:p w14:paraId="697EEC78" w14:textId="267319C1" w:rsidR="00FC18DA" w:rsidRPr="004839BC" w:rsidRDefault="00FC18DA" w:rsidP="00C24811">
            <w:pPr>
              <w:spacing w:before="120" w:after="120" w:line="23" w:lineRule="atLeast"/>
              <w:jc w:val="both"/>
              <w:rPr>
                <w:rFonts w:ascii="Arial" w:hAnsi="Arial" w:cs="Arial"/>
                <w:sz w:val="18"/>
                <w:szCs w:val="18"/>
              </w:rPr>
            </w:pPr>
            <w:r w:rsidRPr="004839BC">
              <w:rPr>
                <w:rFonts w:ascii="Arial" w:hAnsi="Arial" w:cs="Arial"/>
                <w:sz w:val="18"/>
                <w:szCs w:val="18"/>
              </w:rPr>
              <w:t>Conforme a lo anterior, se modifica al Proyecto el siguiente párrafo:</w:t>
            </w:r>
          </w:p>
          <w:tbl>
            <w:tblPr>
              <w:tblStyle w:val="Tablaconcuadrcula"/>
              <w:tblW w:w="0" w:type="auto"/>
              <w:tblLayout w:type="fixed"/>
              <w:tblLook w:val="04A0" w:firstRow="1" w:lastRow="0" w:firstColumn="1" w:lastColumn="0" w:noHBand="0" w:noVBand="1"/>
            </w:tblPr>
            <w:tblGrid>
              <w:gridCol w:w="2715"/>
            </w:tblGrid>
            <w:tr w:rsidR="00077AFA" w:rsidRPr="00730154" w14:paraId="3F7B3467" w14:textId="77777777" w:rsidTr="00077AFA">
              <w:trPr>
                <w:trHeight w:val="311"/>
              </w:trPr>
              <w:tc>
                <w:tcPr>
                  <w:tcW w:w="2715"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5ACE82C2" w14:textId="77777777" w:rsidR="00077AFA" w:rsidRPr="00730154" w:rsidRDefault="00077AFA" w:rsidP="00077AFA">
                  <w:pPr>
                    <w:spacing w:before="120" w:after="120" w:line="23" w:lineRule="atLeast"/>
                    <w:jc w:val="center"/>
                    <w:rPr>
                      <w:rFonts w:ascii="Arial" w:hAnsi="Arial" w:cs="Arial"/>
                      <w:b/>
                      <w:sz w:val="18"/>
                      <w:szCs w:val="18"/>
                    </w:rPr>
                  </w:pPr>
                  <w:r>
                    <w:rPr>
                      <w:rFonts w:ascii="Arial" w:hAnsi="Arial" w:cs="Arial"/>
                      <w:b/>
                      <w:sz w:val="18"/>
                      <w:szCs w:val="18"/>
                    </w:rPr>
                    <w:t>Modificación</w:t>
                  </w:r>
                  <w:r w:rsidRPr="00730154">
                    <w:rPr>
                      <w:rFonts w:ascii="Arial" w:hAnsi="Arial" w:cs="Arial"/>
                      <w:b/>
                      <w:sz w:val="18"/>
                      <w:szCs w:val="18"/>
                    </w:rPr>
                    <w:t xml:space="preserve"> al Proyecto </w:t>
                  </w:r>
                </w:p>
              </w:tc>
            </w:tr>
            <w:tr w:rsidR="00077AFA" w:rsidRPr="00730154" w14:paraId="3FF432EB" w14:textId="77777777" w:rsidTr="00077AFA">
              <w:tc>
                <w:tcPr>
                  <w:tcW w:w="2715" w:type="dxa"/>
                  <w:tcBorders>
                    <w:top w:val="single" w:sz="4" w:space="0" w:color="auto"/>
                    <w:left w:val="single" w:sz="4" w:space="0" w:color="auto"/>
                    <w:bottom w:val="single" w:sz="4" w:space="0" w:color="auto"/>
                    <w:right w:val="single" w:sz="4" w:space="0" w:color="auto"/>
                  </w:tcBorders>
                  <w:shd w:val="clear" w:color="auto" w:fill="FFFFFF" w:themeFill="background1"/>
                </w:tcPr>
                <w:p w14:paraId="74962AC8" w14:textId="77777777" w:rsidR="00077AFA" w:rsidRPr="00730154" w:rsidRDefault="00077AFA" w:rsidP="00077AFA">
                  <w:pPr>
                    <w:pStyle w:val="Textoindependiente"/>
                    <w:spacing w:before="120" w:line="23" w:lineRule="atLeast"/>
                    <w:jc w:val="both"/>
                    <w:rPr>
                      <w:rFonts w:ascii="Arial" w:hAnsi="Arial" w:cs="Arial"/>
                      <w:sz w:val="18"/>
                      <w:szCs w:val="18"/>
                    </w:rPr>
                  </w:pPr>
                  <w:r w:rsidRPr="00D852E0">
                    <w:rPr>
                      <w:rFonts w:ascii="Arial" w:hAnsi="Arial" w:cs="Arial"/>
                      <w:sz w:val="18"/>
                      <w:szCs w:val="18"/>
                    </w:rPr>
                    <w:t>El procedimiento seguido en forma de juicio inicia con el emplazamiento a los Agentes Económicos del dictamen de probable responsabilidad. La DGPC realizará dicha notificación dentro de los 15 (quince) días hábiles siguientes a aquél en el que el Pleno hubiese ordenado iniciar el procedimiento seguido en forma de juicio.</w:t>
                  </w:r>
                </w:p>
              </w:tc>
            </w:tr>
          </w:tbl>
          <w:p w14:paraId="0649B869" w14:textId="44B4FB54" w:rsidR="00C24811" w:rsidRPr="00512B32" w:rsidRDefault="00C24811" w:rsidP="00D50B18">
            <w:pPr>
              <w:spacing w:before="120" w:after="120" w:line="23" w:lineRule="atLeast"/>
              <w:jc w:val="both"/>
              <w:rPr>
                <w:rFonts w:ascii="Arial" w:hAnsi="Arial" w:cs="Arial"/>
                <w:sz w:val="18"/>
                <w:szCs w:val="18"/>
              </w:rPr>
            </w:pPr>
          </w:p>
        </w:tc>
      </w:tr>
    </w:tbl>
    <w:p w14:paraId="104614E3" w14:textId="6784F2B8" w:rsidR="001956CC" w:rsidRDefault="001956CC" w:rsidP="00D50B18">
      <w:pPr>
        <w:spacing w:before="120" w:after="120" w:line="23" w:lineRule="atLeast"/>
        <w:jc w:val="both"/>
        <w:rPr>
          <w:rFonts w:ascii="Arial" w:hAnsi="Arial" w:cs="Arial"/>
          <w:b/>
        </w:rPr>
      </w:pPr>
      <w:r>
        <w:rPr>
          <w:rFonts w:ascii="Arial" w:hAnsi="Arial" w:cs="Arial"/>
          <w:b/>
        </w:rPr>
        <w:t>8.4. A</w:t>
      </w:r>
      <w:r w:rsidRPr="00BC1B99">
        <w:rPr>
          <w:rFonts w:ascii="Arial" w:hAnsi="Arial" w:cs="Arial"/>
          <w:b/>
        </w:rPr>
        <w:t>partado</w:t>
      </w:r>
      <w:r>
        <w:rPr>
          <w:rFonts w:ascii="Arial" w:hAnsi="Arial" w:cs="Arial"/>
          <w:b/>
        </w:rPr>
        <w:t xml:space="preserve"> 2.3. Constancias del Expediente</w:t>
      </w:r>
    </w:p>
    <w:p w14:paraId="72605A6D" w14:textId="7429574A" w:rsidR="001956CC" w:rsidRDefault="001956CC" w:rsidP="00D50B18">
      <w:pPr>
        <w:spacing w:before="120" w:after="120" w:line="23" w:lineRule="atLeast"/>
        <w:jc w:val="both"/>
        <w:rPr>
          <w:rFonts w:ascii="Arial" w:hAnsi="Arial" w:cs="Arial"/>
          <w:b/>
        </w:rPr>
      </w:pPr>
      <w:r>
        <w:rPr>
          <w:rFonts w:ascii="Arial" w:hAnsi="Arial" w:cs="Arial"/>
          <w:b/>
        </w:rPr>
        <w:t xml:space="preserve">8.4.1. </w:t>
      </w:r>
      <w:r w:rsidRPr="001956CC">
        <w:rPr>
          <w:rFonts w:ascii="Arial" w:hAnsi="Arial" w:cs="Arial"/>
          <w:b/>
        </w:rPr>
        <w:t>Síntesis de los comentarios relacionados con el apartado</w:t>
      </w:r>
      <w:r>
        <w:rPr>
          <w:rFonts w:ascii="Arial" w:hAnsi="Arial" w:cs="Arial"/>
          <w:b/>
        </w:rPr>
        <w:t xml:space="preserve"> </w:t>
      </w:r>
      <w:r w:rsidRPr="001956CC">
        <w:rPr>
          <w:rFonts w:ascii="Arial" w:hAnsi="Arial" w:cs="Arial"/>
          <w:b/>
        </w:rPr>
        <w:t>2.3. Constancias del Expediente</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2846"/>
        <w:gridCol w:w="2846"/>
        <w:gridCol w:w="3512"/>
      </w:tblGrid>
      <w:tr w:rsidR="00842124" w:rsidRPr="003E2214" w14:paraId="075D691C" w14:textId="77777777" w:rsidTr="00275B74">
        <w:trPr>
          <w:tblHeader/>
          <w:jc w:val="center"/>
        </w:trPr>
        <w:tc>
          <w:tcPr>
            <w:tcW w:w="2846" w:type="dxa"/>
            <w:shd w:val="clear" w:color="auto" w:fill="70AD47" w:themeFill="accent6"/>
          </w:tcPr>
          <w:p w14:paraId="1CCCFE45" w14:textId="77777777" w:rsidR="00842124" w:rsidRPr="00BF4F5D" w:rsidRDefault="00842124" w:rsidP="00E56A6C">
            <w:pPr>
              <w:spacing w:before="120" w:after="120" w:line="23" w:lineRule="atLeast"/>
              <w:jc w:val="center"/>
              <w:rPr>
                <w:rFonts w:ascii="Arial" w:hAnsi="Arial" w:cs="Arial"/>
                <w:b/>
                <w:sz w:val="18"/>
                <w:szCs w:val="18"/>
              </w:rPr>
            </w:pPr>
            <w:r w:rsidRPr="00730154">
              <w:rPr>
                <w:rFonts w:ascii="Arial" w:hAnsi="Arial" w:cs="Arial"/>
                <w:b/>
                <w:sz w:val="18"/>
                <w:szCs w:val="18"/>
              </w:rPr>
              <w:t>Apartado del Anteproyecto</w:t>
            </w:r>
          </w:p>
        </w:tc>
        <w:tc>
          <w:tcPr>
            <w:tcW w:w="2846" w:type="dxa"/>
            <w:shd w:val="clear" w:color="auto" w:fill="70AD47" w:themeFill="accent6"/>
          </w:tcPr>
          <w:p w14:paraId="7F436106" w14:textId="77777777" w:rsidR="00842124" w:rsidRPr="00BF4F5D" w:rsidRDefault="00842124" w:rsidP="00E56A6C">
            <w:pPr>
              <w:spacing w:before="120" w:after="120" w:line="23" w:lineRule="atLeast"/>
              <w:jc w:val="center"/>
              <w:rPr>
                <w:rFonts w:ascii="Arial" w:hAnsi="Arial" w:cs="Arial"/>
                <w:b/>
                <w:sz w:val="18"/>
                <w:szCs w:val="18"/>
              </w:rPr>
            </w:pPr>
            <w:r w:rsidRPr="00730154">
              <w:rPr>
                <w:rFonts w:ascii="Arial" w:hAnsi="Arial" w:cs="Arial"/>
                <w:b/>
                <w:sz w:val="18"/>
                <w:szCs w:val="18"/>
              </w:rPr>
              <w:t>Resumen de los comentarios recibidos</w:t>
            </w:r>
          </w:p>
        </w:tc>
        <w:tc>
          <w:tcPr>
            <w:tcW w:w="3512" w:type="dxa"/>
            <w:shd w:val="clear" w:color="auto" w:fill="70AD47" w:themeFill="accent6"/>
          </w:tcPr>
          <w:p w14:paraId="56EE19B7" w14:textId="77777777" w:rsidR="00842124" w:rsidRPr="00730154" w:rsidRDefault="00842124" w:rsidP="00E56A6C">
            <w:pPr>
              <w:spacing w:before="120" w:after="120" w:line="23" w:lineRule="atLeast"/>
              <w:jc w:val="center"/>
              <w:rPr>
                <w:rFonts w:ascii="Arial" w:hAnsi="Arial" w:cs="Arial"/>
                <w:b/>
                <w:sz w:val="18"/>
                <w:szCs w:val="18"/>
              </w:rPr>
            </w:pPr>
            <w:r>
              <w:rPr>
                <w:rFonts w:ascii="Arial" w:hAnsi="Arial" w:cs="Arial"/>
                <w:b/>
                <w:sz w:val="18"/>
                <w:szCs w:val="18"/>
              </w:rPr>
              <w:t>Consideración</w:t>
            </w:r>
          </w:p>
        </w:tc>
      </w:tr>
      <w:tr w:rsidR="00842124" w:rsidRPr="003E2214" w14:paraId="0956E624" w14:textId="77777777" w:rsidTr="00275B74">
        <w:trPr>
          <w:jc w:val="center"/>
        </w:trPr>
        <w:tc>
          <w:tcPr>
            <w:tcW w:w="9204" w:type="dxa"/>
            <w:gridSpan w:val="3"/>
            <w:shd w:val="clear" w:color="auto" w:fill="C5E0B3" w:themeFill="accent6" w:themeFillTint="66"/>
          </w:tcPr>
          <w:p w14:paraId="259612AB" w14:textId="3079BB76" w:rsidR="00842124" w:rsidRPr="00BF4F5D" w:rsidRDefault="00842124" w:rsidP="00E56A6C">
            <w:pPr>
              <w:spacing w:before="120" w:after="120" w:line="23" w:lineRule="atLeast"/>
              <w:jc w:val="center"/>
              <w:rPr>
                <w:rFonts w:ascii="Arial" w:hAnsi="Arial" w:cs="Arial"/>
                <w:b/>
                <w:bCs/>
                <w:sz w:val="18"/>
                <w:szCs w:val="18"/>
                <w:lang w:val="es-ES_tradnl"/>
              </w:rPr>
            </w:pPr>
            <w:r w:rsidRPr="00BF4F5D">
              <w:rPr>
                <w:rFonts w:ascii="Arial" w:hAnsi="Arial" w:cs="Arial"/>
                <w:b/>
                <w:bCs/>
                <w:sz w:val="18"/>
                <w:szCs w:val="18"/>
                <w:lang w:val="es-ES_tradnl"/>
              </w:rPr>
              <w:t>2.</w:t>
            </w:r>
            <w:r>
              <w:rPr>
                <w:rFonts w:ascii="Arial" w:hAnsi="Arial" w:cs="Arial"/>
                <w:b/>
                <w:bCs/>
                <w:sz w:val="18"/>
                <w:szCs w:val="18"/>
                <w:lang w:val="es-ES_tradnl"/>
              </w:rPr>
              <w:t>3</w:t>
            </w:r>
            <w:r w:rsidRPr="00BF4F5D">
              <w:rPr>
                <w:rFonts w:ascii="Arial" w:hAnsi="Arial" w:cs="Arial"/>
                <w:b/>
                <w:bCs/>
                <w:sz w:val="18"/>
                <w:szCs w:val="18"/>
                <w:lang w:val="es-ES_tradnl"/>
              </w:rPr>
              <w:t xml:space="preserve">. </w:t>
            </w:r>
            <w:r w:rsidRPr="00842124">
              <w:rPr>
                <w:rFonts w:ascii="Arial" w:hAnsi="Arial" w:cs="Arial"/>
                <w:b/>
                <w:bCs/>
                <w:sz w:val="18"/>
                <w:szCs w:val="18"/>
                <w:lang w:val="es-ES_tradnl"/>
              </w:rPr>
              <w:t>Constancias del Expediente</w:t>
            </w:r>
          </w:p>
        </w:tc>
      </w:tr>
      <w:tr w:rsidR="00842124" w:rsidRPr="003E2214" w14:paraId="3CEACDC6" w14:textId="77777777" w:rsidTr="00275B74">
        <w:trPr>
          <w:jc w:val="center"/>
        </w:trPr>
        <w:tc>
          <w:tcPr>
            <w:tcW w:w="2846" w:type="dxa"/>
            <w:shd w:val="clear" w:color="auto" w:fill="FFFFFF" w:themeFill="background1"/>
          </w:tcPr>
          <w:p w14:paraId="65C7B982" w14:textId="052E022D" w:rsidR="00842124" w:rsidRPr="00BF4F5D" w:rsidRDefault="00A176EA" w:rsidP="00E56A6C">
            <w:pPr>
              <w:spacing w:before="120" w:after="120" w:line="23" w:lineRule="atLeast"/>
              <w:jc w:val="both"/>
              <w:rPr>
                <w:rFonts w:ascii="Arial" w:hAnsi="Arial" w:cs="Arial"/>
                <w:b/>
                <w:bCs/>
                <w:sz w:val="18"/>
                <w:szCs w:val="18"/>
                <w:lang w:val="es-ES_tradnl"/>
              </w:rPr>
            </w:pPr>
            <w:r w:rsidRPr="00A176EA">
              <w:rPr>
                <w:rFonts w:ascii="Arial" w:hAnsi="Arial" w:cs="Arial"/>
                <w:sz w:val="18"/>
                <w:szCs w:val="18"/>
                <w:lang w:val="es-ES"/>
              </w:rPr>
              <w:t xml:space="preserve">Con el objeto de contribuir al desempeño eficiente de la UCE y agilizar la consulta de los expedientes, los probables responsables podrán solicitar el </w:t>
            </w:r>
            <w:r w:rsidRPr="00A176EA">
              <w:rPr>
                <w:rFonts w:ascii="Arial" w:hAnsi="Arial" w:cs="Arial"/>
                <w:sz w:val="18"/>
                <w:szCs w:val="18"/>
                <w:lang w:val="es-ES"/>
              </w:rPr>
              <w:lastRenderedPageBreak/>
              <w:t xml:space="preserve">acceso al expediente mediante la dirección de correo electrónico </w:t>
            </w:r>
            <w:hyperlink r:id="rId12" w:history="1">
              <w:r w:rsidRPr="00145CFF">
                <w:rPr>
                  <w:rStyle w:val="Hipervnculo"/>
                  <w:rFonts w:ascii="Arial" w:hAnsi="Arial" w:cs="Arial"/>
                  <w:sz w:val="18"/>
                  <w:szCs w:val="18"/>
                  <w:lang w:val="es-ES"/>
                </w:rPr>
                <w:t>oficialiacompetencia@ift.org.mx</w:t>
              </w:r>
            </w:hyperlink>
            <w:r>
              <w:rPr>
                <w:rFonts w:ascii="Arial" w:hAnsi="Arial" w:cs="Arial"/>
                <w:sz w:val="18"/>
                <w:szCs w:val="18"/>
                <w:lang w:val="es-ES"/>
              </w:rPr>
              <w:t xml:space="preserve">. </w:t>
            </w:r>
            <w:r w:rsidRPr="00A176EA">
              <w:rPr>
                <w:rFonts w:ascii="Arial" w:hAnsi="Arial" w:cs="Arial"/>
                <w:sz w:val="18"/>
                <w:szCs w:val="18"/>
                <w:lang w:val="es-ES"/>
              </w:rPr>
              <w:t>En el correo referido, deberán señalar el número de expediente, nombre completo de las personas que consultarán el expediente, así como la fecha y hora en la que pretenden acudir a las instalaciones del Instituto. Esta solicitud será confirmada por el mismo medio electrónico. La omisión de la solicitud no impide en ningún momento que los probables responsables puedan acceder al expediente en términos del párrafo anterior</w:t>
            </w:r>
            <w:r w:rsidR="00842124" w:rsidRPr="00BF4F5D">
              <w:rPr>
                <w:rFonts w:ascii="Arial" w:hAnsi="Arial" w:cs="Arial"/>
                <w:sz w:val="18"/>
                <w:szCs w:val="18"/>
                <w:lang w:val="es-ES"/>
              </w:rPr>
              <w:t>.</w:t>
            </w:r>
          </w:p>
        </w:tc>
        <w:tc>
          <w:tcPr>
            <w:tcW w:w="2846" w:type="dxa"/>
            <w:shd w:val="clear" w:color="auto" w:fill="FFFFFF" w:themeFill="background1"/>
          </w:tcPr>
          <w:p w14:paraId="020B42FD" w14:textId="68E3BB33" w:rsidR="00842124" w:rsidRPr="00952EDD" w:rsidRDefault="00952EDD" w:rsidP="000C1F69">
            <w:pPr>
              <w:spacing w:before="120" w:after="120" w:line="23" w:lineRule="atLeast"/>
              <w:jc w:val="both"/>
              <w:rPr>
                <w:rFonts w:ascii="Arial" w:hAnsi="Arial" w:cs="Arial"/>
                <w:sz w:val="18"/>
                <w:szCs w:val="18"/>
                <w:lang w:val="es-ES_tradnl"/>
              </w:rPr>
            </w:pPr>
            <w:r>
              <w:rPr>
                <w:rFonts w:ascii="Arial" w:hAnsi="Arial" w:cs="Arial"/>
                <w:sz w:val="18"/>
                <w:szCs w:val="18"/>
                <w:lang w:val="es-ES"/>
              </w:rPr>
              <w:lastRenderedPageBreak/>
              <w:t xml:space="preserve">Mediante el oficio </w:t>
            </w:r>
            <w:r w:rsidR="00A31725">
              <w:rPr>
                <w:rFonts w:ascii="Arial" w:hAnsi="Arial" w:cs="Arial"/>
                <w:sz w:val="18"/>
                <w:szCs w:val="18"/>
                <w:lang w:val="es-ES"/>
              </w:rPr>
              <w:t xml:space="preserve">número </w:t>
            </w:r>
            <w:r w:rsidRPr="005017D8">
              <w:rPr>
                <w:rFonts w:ascii="Arial" w:hAnsi="Arial" w:cs="Arial"/>
                <w:sz w:val="18"/>
                <w:szCs w:val="18"/>
                <w:lang w:val="es-ES"/>
              </w:rPr>
              <w:t>IFT/211/CGMR/145/2021</w:t>
            </w:r>
            <w:r>
              <w:rPr>
                <w:rFonts w:ascii="Arial" w:hAnsi="Arial" w:cs="Arial"/>
                <w:sz w:val="18"/>
                <w:szCs w:val="18"/>
                <w:lang w:val="es-ES"/>
              </w:rPr>
              <w:t>, l</w:t>
            </w:r>
            <w:r w:rsidR="00D15B23" w:rsidRPr="00D15B23">
              <w:rPr>
                <w:rFonts w:ascii="Arial" w:hAnsi="Arial" w:cs="Arial"/>
                <w:sz w:val="18"/>
                <w:szCs w:val="18"/>
                <w:lang w:val="es-ES"/>
              </w:rPr>
              <w:t>a Coordinación General de Mejora Regulatoria</w:t>
            </w:r>
            <w:r>
              <w:rPr>
                <w:rFonts w:ascii="Arial" w:hAnsi="Arial" w:cs="Arial"/>
                <w:sz w:val="18"/>
                <w:szCs w:val="18"/>
                <w:lang w:val="es-ES"/>
              </w:rPr>
              <w:t xml:space="preserve">, </w:t>
            </w:r>
            <w:r w:rsidR="00A31725">
              <w:rPr>
                <w:rFonts w:ascii="Arial" w:hAnsi="Arial" w:cs="Arial"/>
                <w:sz w:val="18"/>
                <w:szCs w:val="18"/>
                <w:lang w:val="es-ES"/>
              </w:rPr>
              <w:t>identificó</w:t>
            </w:r>
            <w:r w:rsidR="005017D8">
              <w:rPr>
                <w:rFonts w:ascii="Arial" w:hAnsi="Arial" w:cs="Arial"/>
                <w:sz w:val="18"/>
                <w:szCs w:val="18"/>
                <w:lang w:val="es-ES"/>
              </w:rPr>
              <w:t xml:space="preserve"> que</w:t>
            </w:r>
            <w:r w:rsidR="00192000">
              <w:rPr>
                <w:rFonts w:ascii="Arial" w:hAnsi="Arial" w:cs="Arial"/>
                <w:sz w:val="18"/>
                <w:szCs w:val="18"/>
                <w:lang w:val="es-ES"/>
              </w:rPr>
              <w:t xml:space="preserve"> el</w:t>
            </w:r>
            <w:r w:rsidR="005017D8">
              <w:rPr>
                <w:rFonts w:ascii="Arial" w:hAnsi="Arial" w:cs="Arial"/>
                <w:sz w:val="18"/>
                <w:szCs w:val="18"/>
                <w:lang w:val="es-ES"/>
              </w:rPr>
              <w:t xml:space="preserve"> numeral 2.3 del Anteproyecto,</w:t>
            </w:r>
            <w:r w:rsidR="008A1554">
              <w:rPr>
                <w:rFonts w:ascii="Arial" w:hAnsi="Arial" w:cs="Arial"/>
                <w:sz w:val="18"/>
                <w:szCs w:val="18"/>
                <w:lang w:val="es-ES"/>
              </w:rPr>
              <w:t xml:space="preserve"> </w:t>
            </w:r>
            <w:r w:rsidR="00D162DC">
              <w:rPr>
                <w:rFonts w:ascii="Arial" w:hAnsi="Arial" w:cs="Arial"/>
                <w:sz w:val="18"/>
                <w:szCs w:val="18"/>
                <w:lang w:val="es-ES"/>
              </w:rPr>
              <w:lastRenderedPageBreak/>
              <w:t>generaría costos de cumplimiento con su entrada en vigor</w:t>
            </w:r>
            <w:r w:rsidR="005017D8">
              <w:rPr>
                <w:rFonts w:ascii="Arial" w:hAnsi="Arial" w:cs="Arial"/>
                <w:sz w:val="18"/>
                <w:szCs w:val="18"/>
                <w:lang w:val="es-ES"/>
              </w:rPr>
              <w:t>.</w:t>
            </w:r>
          </w:p>
        </w:tc>
        <w:tc>
          <w:tcPr>
            <w:tcW w:w="3512" w:type="dxa"/>
            <w:shd w:val="clear" w:color="auto" w:fill="FFFFFF" w:themeFill="background1"/>
          </w:tcPr>
          <w:p w14:paraId="57624909" w14:textId="6FC687FB" w:rsidR="00521563" w:rsidRDefault="00842124" w:rsidP="00E56A6C">
            <w:pPr>
              <w:spacing w:before="120" w:after="120" w:line="23" w:lineRule="atLeast"/>
              <w:jc w:val="both"/>
              <w:rPr>
                <w:rFonts w:ascii="Arial" w:hAnsi="Arial" w:cs="Arial"/>
                <w:sz w:val="18"/>
                <w:szCs w:val="18"/>
              </w:rPr>
            </w:pPr>
            <w:r>
              <w:rPr>
                <w:rFonts w:ascii="Arial" w:hAnsi="Arial" w:cs="Arial"/>
                <w:sz w:val="18"/>
                <w:szCs w:val="18"/>
              </w:rPr>
              <w:lastRenderedPageBreak/>
              <w:t>Es procedente</w:t>
            </w:r>
            <w:r w:rsidR="00973C52">
              <w:rPr>
                <w:rFonts w:ascii="Arial" w:hAnsi="Arial" w:cs="Arial"/>
                <w:sz w:val="18"/>
                <w:szCs w:val="18"/>
              </w:rPr>
              <w:t xml:space="preserve"> </w:t>
            </w:r>
            <w:r>
              <w:rPr>
                <w:rFonts w:ascii="Arial" w:hAnsi="Arial" w:cs="Arial"/>
                <w:sz w:val="18"/>
                <w:szCs w:val="18"/>
              </w:rPr>
              <w:t>y se elimina</w:t>
            </w:r>
            <w:r w:rsidR="00973C52">
              <w:rPr>
                <w:rFonts w:ascii="Arial" w:hAnsi="Arial" w:cs="Arial"/>
                <w:sz w:val="18"/>
                <w:szCs w:val="18"/>
              </w:rPr>
              <w:t xml:space="preserve"> el </w:t>
            </w:r>
            <w:r>
              <w:rPr>
                <w:rFonts w:ascii="Arial" w:hAnsi="Arial" w:cs="Arial"/>
                <w:sz w:val="18"/>
                <w:szCs w:val="18"/>
              </w:rPr>
              <w:t xml:space="preserve">párrafo, para efectos de </w:t>
            </w:r>
            <w:r w:rsidR="00521563">
              <w:rPr>
                <w:rFonts w:ascii="Arial" w:hAnsi="Arial" w:cs="Arial"/>
                <w:sz w:val="18"/>
                <w:szCs w:val="18"/>
              </w:rPr>
              <w:t xml:space="preserve">evitar la creación </w:t>
            </w:r>
            <w:r w:rsidR="00D162DC">
              <w:rPr>
                <w:rFonts w:ascii="Arial" w:hAnsi="Arial" w:cs="Arial"/>
                <w:sz w:val="18"/>
                <w:szCs w:val="18"/>
              </w:rPr>
              <w:t>costos de cumplimiento</w:t>
            </w:r>
            <w:r w:rsidR="00521563">
              <w:rPr>
                <w:rFonts w:ascii="Arial" w:hAnsi="Arial" w:cs="Arial"/>
                <w:sz w:val="18"/>
                <w:szCs w:val="18"/>
              </w:rPr>
              <w:t xml:space="preserve">. </w:t>
            </w:r>
            <w:r w:rsidR="00D162DC">
              <w:rPr>
                <w:rFonts w:ascii="Arial" w:hAnsi="Arial" w:cs="Arial"/>
                <w:sz w:val="18"/>
                <w:szCs w:val="18"/>
              </w:rPr>
              <w:t xml:space="preserve">El proyecto no tiene por objeto crear costos de cumplimiento a los </w:t>
            </w:r>
            <w:r w:rsidR="00D162DC">
              <w:rPr>
                <w:rFonts w:ascii="Arial" w:hAnsi="Arial" w:cs="Arial"/>
                <w:sz w:val="18"/>
                <w:szCs w:val="18"/>
              </w:rPr>
              <w:lastRenderedPageBreak/>
              <w:t>particulares establecer trámites adicionales.</w:t>
            </w:r>
          </w:p>
          <w:p w14:paraId="33482AEC" w14:textId="0ED3D607" w:rsidR="00D162DC" w:rsidRDefault="00D162DC" w:rsidP="00E56A6C">
            <w:pPr>
              <w:spacing w:before="120" w:after="120" w:line="23" w:lineRule="atLeast"/>
              <w:jc w:val="both"/>
              <w:rPr>
                <w:rFonts w:ascii="Arial" w:hAnsi="Arial" w:cs="Arial"/>
                <w:sz w:val="18"/>
                <w:szCs w:val="18"/>
              </w:rPr>
            </w:pPr>
            <w:r>
              <w:rPr>
                <w:rFonts w:ascii="Arial" w:hAnsi="Arial" w:cs="Arial"/>
                <w:sz w:val="18"/>
                <w:szCs w:val="18"/>
              </w:rPr>
              <w:t>El proyecto sin ese párrafo no generaría costo de cumplimiento alguno, como lo expresó la CGMR en el oficio IFT/211/CGMR/157/2021.</w:t>
            </w:r>
          </w:p>
          <w:p w14:paraId="7491E418" w14:textId="28E5D7FD" w:rsidR="00842124" w:rsidRPr="005A2251" w:rsidRDefault="00842124" w:rsidP="00E56A6C">
            <w:pPr>
              <w:spacing w:before="120" w:after="120" w:line="23" w:lineRule="atLeast"/>
              <w:jc w:val="both"/>
              <w:rPr>
                <w:rFonts w:ascii="Arial" w:hAnsi="Arial" w:cs="Arial"/>
                <w:sz w:val="18"/>
                <w:szCs w:val="18"/>
              </w:rPr>
            </w:pPr>
            <w:r w:rsidRPr="005A2251">
              <w:rPr>
                <w:rFonts w:ascii="Arial" w:hAnsi="Arial" w:cs="Arial"/>
                <w:sz w:val="18"/>
                <w:szCs w:val="18"/>
              </w:rPr>
              <w:t xml:space="preserve">Conforme a lo anterior, se </w:t>
            </w:r>
            <w:r w:rsidR="00C22153">
              <w:rPr>
                <w:rFonts w:ascii="Arial" w:hAnsi="Arial" w:cs="Arial"/>
                <w:sz w:val="18"/>
                <w:szCs w:val="18"/>
              </w:rPr>
              <w:t>elimina</w:t>
            </w:r>
            <w:r w:rsidRPr="005A2251">
              <w:rPr>
                <w:rFonts w:ascii="Arial" w:hAnsi="Arial" w:cs="Arial"/>
                <w:sz w:val="18"/>
                <w:szCs w:val="18"/>
              </w:rPr>
              <w:t xml:space="preserve"> al Proyecto el siguiente párrafo:</w:t>
            </w:r>
            <w:r w:rsidR="009631F1">
              <w:rPr>
                <w:rFonts w:ascii="Arial" w:hAnsi="Arial" w:cs="Arial"/>
                <w:sz w:val="18"/>
                <w:szCs w:val="18"/>
              </w:rPr>
              <w:t xml:space="preserve"> </w:t>
            </w:r>
          </w:p>
          <w:tbl>
            <w:tblPr>
              <w:tblStyle w:val="Tablaconcuadrcula"/>
              <w:tblW w:w="0" w:type="auto"/>
              <w:jc w:val="center"/>
              <w:tblLook w:val="04A0" w:firstRow="1" w:lastRow="0" w:firstColumn="1" w:lastColumn="0" w:noHBand="0" w:noVBand="1"/>
            </w:tblPr>
            <w:tblGrid>
              <w:gridCol w:w="3286"/>
            </w:tblGrid>
            <w:tr w:rsidR="00842124" w:rsidRPr="00730154" w14:paraId="3BF2AAB9" w14:textId="77777777" w:rsidTr="00E56A6C">
              <w:trPr>
                <w:trHeight w:val="311"/>
                <w:jc w:val="center"/>
              </w:trPr>
              <w:tc>
                <w:tcPr>
                  <w:tcW w:w="8799"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1BE85ADE" w14:textId="77777777" w:rsidR="00842124" w:rsidRPr="00730154" w:rsidRDefault="00842124" w:rsidP="00E56A6C">
                  <w:pPr>
                    <w:spacing w:before="120" w:after="120" w:line="23" w:lineRule="atLeast"/>
                    <w:jc w:val="center"/>
                    <w:rPr>
                      <w:rFonts w:ascii="Arial" w:hAnsi="Arial" w:cs="Arial"/>
                      <w:b/>
                      <w:sz w:val="18"/>
                      <w:szCs w:val="18"/>
                    </w:rPr>
                  </w:pPr>
                  <w:r>
                    <w:rPr>
                      <w:rFonts w:ascii="Arial" w:hAnsi="Arial" w:cs="Arial"/>
                      <w:b/>
                      <w:sz w:val="18"/>
                      <w:szCs w:val="18"/>
                    </w:rPr>
                    <w:t>Modificación</w:t>
                  </w:r>
                  <w:r w:rsidRPr="00730154">
                    <w:rPr>
                      <w:rFonts w:ascii="Arial" w:hAnsi="Arial" w:cs="Arial"/>
                      <w:b/>
                      <w:sz w:val="18"/>
                      <w:szCs w:val="18"/>
                    </w:rPr>
                    <w:t xml:space="preserve"> al Proyecto </w:t>
                  </w:r>
                </w:p>
              </w:tc>
            </w:tr>
            <w:tr w:rsidR="00842124" w:rsidRPr="00730154" w14:paraId="0F090F21" w14:textId="77777777" w:rsidTr="00E56A6C">
              <w:trPr>
                <w:jc w:val="center"/>
              </w:trPr>
              <w:tc>
                <w:tcPr>
                  <w:tcW w:w="8799" w:type="dxa"/>
                  <w:tcBorders>
                    <w:top w:val="single" w:sz="4" w:space="0" w:color="auto"/>
                    <w:left w:val="single" w:sz="4" w:space="0" w:color="auto"/>
                    <w:bottom w:val="single" w:sz="4" w:space="0" w:color="auto"/>
                    <w:right w:val="single" w:sz="4" w:space="0" w:color="auto"/>
                  </w:tcBorders>
                  <w:shd w:val="clear" w:color="auto" w:fill="FFFFFF" w:themeFill="background1"/>
                </w:tcPr>
                <w:p w14:paraId="678C5E43" w14:textId="7846153C" w:rsidR="00842124" w:rsidRPr="00730154" w:rsidRDefault="00C22153" w:rsidP="00E56A6C">
                  <w:pPr>
                    <w:pStyle w:val="Textoindependiente"/>
                    <w:spacing w:before="120" w:line="23" w:lineRule="atLeast"/>
                    <w:jc w:val="both"/>
                    <w:rPr>
                      <w:rFonts w:ascii="Arial" w:hAnsi="Arial" w:cs="Arial"/>
                      <w:sz w:val="18"/>
                      <w:szCs w:val="18"/>
                    </w:rPr>
                  </w:pPr>
                  <w:r w:rsidRPr="00C22153">
                    <w:rPr>
                      <w:rFonts w:ascii="Arial" w:hAnsi="Arial" w:cs="Arial"/>
                      <w:strike/>
                      <w:sz w:val="18"/>
                      <w:szCs w:val="18"/>
                    </w:rPr>
                    <w:t>Con el objeto de contribuir al desempeño eficiente de la UCE y agilizar la consulta de los expedientes, los probables responsables podrán solicitar el acceso al expediente mediante la dirección de correo electrónico oficialiacompetencia@ift.org.mx. En el correo referido, deberán señalar el número de expediente, nombre completo de las personas que consultarán el expediente, así como la fecha y hora en la que pretenden acudir a las instalaciones del Instituto. Esta solicitud será confirmada por el mismo medio electrónico. La omisión de la solicitud no impide en ningún momento que los probables responsables puedan acceder al expediente en términos del párrafo anterior</w:t>
                  </w:r>
                  <w:r w:rsidR="00842124" w:rsidRPr="00702726">
                    <w:rPr>
                      <w:rFonts w:ascii="Arial" w:hAnsi="Arial" w:cs="Arial"/>
                      <w:strike/>
                      <w:sz w:val="18"/>
                      <w:szCs w:val="18"/>
                    </w:rPr>
                    <w:t>.</w:t>
                  </w:r>
                </w:p>
              </w:tc>
            </w:tr>
          </w:tbl>
          <w:p w14:paraId="69960FD8" w14:textId="77777777" w:rsidR="00842124" w:rsidRPr="00170FDE" w:rsidRDefault="00842124" w:rsidP="00E56A6C">
            <w:pPr>
              <w:spacing w:before="120" w:after="120" w:line="23" w:lineRule="atLeast"/>
              <w:jc w:val="both"/>
              <w:rPr>
                <w:rFonts w:ascii="Arial" w:hAnsi="Arial" w:cs="Arial"/>
                <w:color w:val="FF0000"/>
                <w:sz w:val="18"/>
                <w:szCs w:val="18"/>
              </w:rPr>
            </w:pPr>
          </w:p>
        </w:tc>
      </w:tr>
    </w:tbl>
    <w:p w14:paraId="1ED137E5" w14:textId="6A21C90C" w:rsidR="00106342" w:rsidRDefault="005F39CC" w:rsidP="00D50B18">
      <w:pPr>
        <w:spacing w:before="120" w:after="120" w:line="23" w:lineRule="atLeast"/>
        <w:jc w:val="both"/>
        <w:rPr>
          <w:rFonts w:ascii="Arial" w:hAnsi="Arial" w:cs="Arial"/>
          <w:b/>
        </w:rPr>
      </w:pPr>
      <w:r>
        <w:rPr>
          <w:rFonts w:ascii="Arial" w:hAnsi="Arial" w:cs="Arial"/>
          <w:b/>
        </w:rPr>
        <w:lastRenderedPageBreak/>
        <w:t>8</w:t>
      </w:r>
      <w:r w:rsidR="0023453B">
        <w:rPr>
          <w:rFonts w:ascii="Arial" w:hAnsi="Arial" w:cs="Arial"/>
          <w:b/>
        </w:rPr>
        <w:t>.</w:t>
      </w:r>
      <w:r w:rsidR="00C70638">
        <w:rPr>
          <w:rFonts w:ascii="Arial" w:hAnsi="Arial" w:cs="Arial"/>
          <w:b/>
        </w:rPr>
        <w:t>5</w:t>
      </w:r>
      <w:r w:rsidR="0023453B">
        <w:rPr>
          <w:rFonts w:ascii="Arial" w:hAnsi="Arial" w:cs="Arial"/>
          <w:b/>
        </w:rPr>
        <w:t xml:space="preserve">. </w:t>
      </w:r>
      <w:r w:rsidR="00106342">
        <w:rPr>
          <w:rFonts w:ascii="Arial" w:hAnsi="Arial" w:cs="Arial"/>
          <w:b/>
        </w:rPr>
        <w:t>A</w:t>
      </w:r>
      <w:r w:rsidR="00106342" w:rsidRPr="00BC1B99">
        <w:rPr>
          <w:rFonts w:ascii="Arial" w:hAnsi="Arial" w:cs="Arial"/>
          <w:b/>
        </w:rPr>
        <w:t>partado 2.5. Ofrecimiento, admisión y desahogo de Pruebas</w:t>
      </w:r>
    </w:p>
    <w:p w14:paraId="27A542D4" w14:textId="5A46E611" w:rsidR="0023453B" w:rsidRPr="00BC1B99" w:rsidRDefault="005F39CC" w:rsidP="00D50B18">
      <w:pPr>
        <w:spacing w:before="120" w:after="120" w:line="23" w:lineRule="atLeast"/>
        <w:jc w:val="both"/>
        <w:rPr>
          <w:rFonts w:ascii="Arial" w:hAnsi="Arial" w:cs="Arial"/>
          <w:b/>
        </w:rPr>
      </w:pPr>
      <w:r>
        <w:rPr>
          <w:rFonts w:ascii="Arial" w:hAnsi="Arial" w:cs="Arial"/>
          <w:b/>
        </w:rPr>
        <w:t>8</w:t>
      </w:r>
      <w:r w:rsidR="00106342">
        <w:rPr>
          <w:rFonts w:ascii="Arial" w:hAnsi="Arial" w:cs="Arial"/>
          <w:b/>
        </w:rPr>
        <w:t>.</w:t>
      </w:r>
      <w:r w:rsidR="00C70638">
        <w:rPr>
          <w:rFonts w:ascii="Arial" w:hAnsi="Arial" w:cs="Arial"/>
          <w:b/>
        </w:rPr>
        <w:t>5</w:t>
      </w:r>
      <w:r w:rsidR="00106342">
        <w:rPr>
          <w:rFonts w:ascii="Arial" w:hAnsi="Arial" w:cs="Arial"/>
          <w:b/>
        </w:rPr>
        <w:t>.1</w:t>
      </w:r>
      <w:r w:rsidR="00D10456">
        <w:rPr>
          <w:rFonts w:ascii="Arial" w:hAnsi="Arial" w:cs="Arial"/>
          <w:b/>
        </w:rPr>
        <w:t>.</w:t>
      </w:r>
      <w:r w:rsidR="00106342">
        <w:rPr>
          <w:rFonts w:ascii="Arial" w:hAnsi="Arial" w:cs="Arial"/>
          <w:b/>
        </w:rPr>
        <w:t xml:space="preserve"> Síntesis de los c</w:t>
      </w:r>
      <w:r w:rsidR="0023453B">
        <w:rPr>
          <w:rFonts w:ascii="Arial" w:hAnsi="Arial" w:cs="Arial"/>
          <w:b/>
        </w:rPr>
        <w:t xml:space="preserve">omentarios relacionados con el </w:t>
      </w:r>
      <w:r w:rsidR="0023453B" w:rsidRPr="00BC1B99">
        <w:rPr>
          <w:rFonts w:ascii="Arial" w:hAnsi="Arial" w:cs="Arial"/>
          <w:b/>
        </w:rPr>
        <w:t>apartado</w:t>
      </w:r>
      <w:r w:rsidR="00BC1B99" w:rsidRPr="00BC1B99">
        <w:rPr>
          <w:rFonts w:ascii="Arial" w:hAnsi="Arial" w:cs="Arial"/>
          <w:b/>
        </w:rPr>
        <w:t xml:space="preserve"> </w:t>
      </w:r>
      <w:r w:rsidR="001B47FE" w:rsidRPr="00BC1B99">
        <w:rPr>
          <w:rFonts w:ascii="Arial" w:hAnsi="Arial" w:cs="Arial"/>
          <w:b/>
        </w:rPr>
        <w:t>2.5. Ofrecimiento, admisión y desahogo de Pruebas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Look w:val="04A0" w:firstRow="1" w:lastRow="0" w:firstColumn="1" w:lastColumn="0" w:noHBand="0" w:noVBand="1"/>
      </w:tblPr>
      <w:tblGrid>
        <w:gridCol w:w="2948"/>
        <w:gridCol w:w="2948"/>
        <w:gridCol w:w="3308"/>
      </w:tblGrid>
      <w:tr w:rsidR="00C24811" w:rsidRPr="003E2214" w14:paraId="25385D92" w14:textId="34BFD06F" w:rsidTr="00275B74">
        <w:trPr>
          <w:tblHeader/>
          <w:jc w:val="center"/>
        </w:trPr>
        <w:tc>
          <w:tcPr>
            <w:tcW w:w="2948" w:type="dxa"/>
            <w:shd w:val="clear" w:color="auto" w:fill="70AD47" w:themeFill="accent6"/>
          </w:tcPr>
          <w:p w14:paraId="6D5899A1" w14:textId="7765AB8C" w:rsidR="00C24811" w:rsidRPr="00BF4F5D" w:rsidRDefault="00C24811" w:rsidP="00D50B18">
            <w:pPr>
              <w:spacing w:before="120" w:after="120" w:line="23" w:lineRule="atLeast"/>
              <w:jc w:val="center"/>
              <w:rPr>
                <w:rFonts w:ascii="Arial" w:hAnsi="Arial" w:cs="Arial"/>
                <w:b/>
                <w:bCs/>
                <w:sz w:val="18"/>
                <w:szCs w:val="18"/>
              </w:rPr>
            </w:pPr>
            <w:r w:rsidRPr="00730154">
              <w:rPr>
                <w:rFonts w:ascii="Arial" w:hAnsi="Arial" w:cs="Arial"/>
                <w:b/>
                <w:sz w:val="18"/>
                <w:szCs w:val="18"/>
              </w:rPr>
              <w:t>Apartado del Anteproyecto</w:t>
            </w:r>
          </w:p>
        </w:tc>
        <w:tc>
          <w:tcPr>
            <w:tcW w:w="2948" w:type="dxa"/>
            <w:shd w:val="clear" w:color="auto" w:fill="70AD47" w:themeFill="accent6"/>
          </w:tcPr>
          <w:p w14:paraId="5670173D" w14:textId="12731D36" w:rsidR="00C24811" w:rsidRPr="00BF4F5D" w:rsidRDefault="00C24811" w:rsidP="00D50B18">
            <w:pPr>
              <w:spacing w:before="120" w:after="120" w:line="23" w:lineRule="atLeast"/>
              <w:jc w:val="center"/>
              <w:rPr>
                <w:rFonts w:ascii="Arial" w:hAnsi="Arial" w:cs="Arial"/>
                <w:b/>
                <w:bCs/>
                <w:sz w:val="18"/>
                <w:szCs w:val="18"/>
              </w:rPr>
            </w:pPr>
            <w:r w:rsidRPr="00730154">
              <w:rPr>
                <w:rFonts w:ascii="Arial" w:hAnsi="Arial" w:cs="Arial"/>
                <w:b/>
                <w:sz w:val="18"/>
                <w:szCs w:val="18"/>
              </w:rPr>
              <w:t>Resumen de los comentarios recibidos</w:t>
            </w:r>
          </w:p>
        </w:tc>
        <w:tc>
          <w:tcPr>
            <w:tcW w:w="3308" w:type="dxa"/>
            <w:shd w:val="clear" w:color="auto" w:fill="70AD47" w:themeFill="accent6"/>
          </w:tcPr>
          <w:p w14:paraId="3DAC0A11" w14:textId="250059FC" w:rsidR="00C24811" w:rsidRPr="00730154" w:rsidRDefault="00C24811" w:rsidP="00D50B18">
            <w:pPr>
              <w:spacing w:before="120" w:after="120" w:line="23" w:lineRule="atLeast"/>
              <w:jc w:val="center"/>
              <w:rPr>
                <w:rFonts w:ascii="Arial" w:hAnsi="Arial" w:cs="Arial"/>
                <w:b/>
                <w:sz w:val="18"/>
                <w:szCs w:val="18"/>
              </w:rPr>
            </w:pPr>
            <w:r>
              <w:rPr>
                <w:rFonts w:ascii="Arial" w:hAnsi="Arial" w:cs="Arial"/>
                <w:b/>
                <w:sz w:val="18"/>
                <w:szCs w:val="18"/>
              </w:rPr>
              <w:t>Consideración</w:t>
            </w:r>
          </w:p>
        </w:tc>
      </w:tr>
      <w:tr w:rsidR="00C24811" w:rsidRPr="003E2214" w14:paraId="2D93C6D0" w14:textId="0C0AFC8E" w:rsidTr="00275B74">
        <w:trPr>
          <w:jc w:val="center"/>
        </w:trPr>
        <w:tc>
          <w:tcPr>
            <w:tcW w:w="9204" w:type="dxa"/>
            <w:gridSpan w:val="3"/>
            <w:shd w:val="clear" w:color="auto" w:fill="C5E0B3" w:themeFill="accent6" w:themeFillTint="66"/>
          </w:tcPr>
          <w:p w14:paraId="1C8786EA" w14:textId="6D043964" w:rsidR="00C24811" w:rsidRPr="00BF4F5D" w:rsidRDefault="00C24811" w:rsidP="00D50B18">
            <w:pPr>
              <w:spacing w:before="120" w:after="120" w:line="23" w:lineRule="atLeast"/>
              <w:jc w:val="center"/>
              <w:rPr>
                <w:rFonts w:ascii="Arial" w:hAnsi="Arial" w:cs="Arial"/>
                <w:b/>
                <w:sz w:val="18"/>
                <w:szCs w:val="18"/>
                <w:lang w:val="es-ES_tradnl"/>
              </w:rPr>
            </w:pPr>
            <w:r w:rsidRPr="00BF4F5D">
              <w:rPr>
                <w:rFonts w:ascii="Arial" w:hAnsi="Arial" w:cs="Arial"/>
                <w:b/>
                <w:sz w:val="18"/>
                <w:szCs w:val="18"/>
                <w:lang w:val="es-ES_tradnl"/>
              </w:rPr>
              <w:t>2.5. Ofrecimiento, admisión y desahogo de Pruebas</w:t>
            </w:r>
          </w:p>
        </w:tc>
      </w:tr>
      <w:tr w:rsidR="00C24811" w:rsidRPr="003E2214" w14:paraId="3B303260" w14:textId="164F82BF" w:rsidTr="00275B74">
        <w:trPr>
          <w:jc w:val="center"/>
        </w:trPr>
        <w:tc>
          <w:tcPr>
            <w:tcW w:w="2948" w:type="dxa"/>
            <w:shd w:val="clear" w:color="auto" w:fill="FFFFFF" w:themeFill="background1"/>
          </w:tcPr>
          <w:p w14:paraId="7EC685A6" w14:textId="369D28AF" w:rsidR="00C24811" w:rsidRDefault="00C24811" w:rsidP="00D50B18">
            <w:pPr>
              <w:spacing w:before="120" w:after="120" w:line="23" w:lineRule="atLeast"/>
              <w:jc w:val="both"/>
              <w:rPr>
                <w:rFonts w:ascii="Arial" w:hAnsi="Arial" w:cs="Arial"/>
                <w:bCs/>
                <w:sz w:val="18"/>
                <w:szCs w:val="18"/>
                <w:lang w:val="es-ES"/>
              </w:rPr>
            </w:pPr>
            <w:r w:rsidRPr="00BF4F5D">
              <w:rPr>
                <w:rFonts w:ascii="Arial" w:hAnsi="Arial" w:cs="Arial"/>
                <w:bCs/>
                <w:sz w:val="18"/>
                <w:szCs w:val="18"/>
                <w:lang w:val="es-ES"/>
              </w:rPr>
              <w:t xml:space="preserve">Los medios de prueba deben ofrecerse con el escrito de manifestaciones al dictamen de probable responsabilidad, expresando con claridad los hechos que se pretenden demostrar con cada uno de ellos. </w:t>
            </w:r>
          </w:p>
          <w:p w14:paraId="462E7FC4" w14:textId="4306C9B1" w:rsidR="00BB4D65" w:rsidRPr="00BF4F5D" w:rsidRDefault="00BB4D65" w:rsidP="00D50B18">
            <w:pPr>
              <w:spacing w:before="120" w:after="120" w:line="23" w:lineRule="atLeast"/>
              <w:jc w:val="both"/>
              <w:rPr>
                <w:rFonts w:ascii="Arial" w:hAnsi="Arial" w:cs="Arial"/>
                <w:bCs/>
                <w:sz w:val="18"/>
                <w:szCs w:val="18"/>
                <w:lang w:val="es-ES"/>
              </w:rPr>
            </w:pPr>
            <w:r>
              <w:rPr>
                <w:rFonts w:ascii="Arial" w:hAnsi="Arial" w:cs="Arial"/>
                <w:bCs/>
                <w:sz w:val="18"/>
                <w:szCs w:val="18"/>
                <w:lang w:val="es-ES"/>
              </w:rPr>
              <w:t>…</w:t>
            </w:r>
          </w:p>
          <w:p w14:paraId="2E2E2313" w14:textId="201CADBF" w:rsidR="00C24811" w:rsidRPr="006A364B" w:rsidRDefault="00C24811" w:rsidP="00D50B18">
            <w:pPr>
              <w:spacing w:before="120" w:after="120" w:line="23" w:lineRule="atLeast"/>
              <w:jc w:val="both"/>
              <w:rPr>
                <w:rFonts w:ascii="Arial" w:hAnsi="Arial" w:cs="Arial"/>
                <w:bCs/>
                <w:sz w:val="18"/>
                <w:szCs w:val="18"/>
                <w:lang w:val="es-ES"/>
              </w:rPr>
            </w:pPr>
          </w:p>
        </w:tc>
        <w:tc>
          <w:tcPr>
            <w:tcW w:w="2948" w:type="dxa"/>
            <w:shd w:val="clear" w:color="auto" w:fill="FFFFFF" w:themeFill="background1"/>
          </w:tcPr>
          <w:p w14:paraId="3D301C4D" w14:textId="6A863053" w:rsidR="00C24811" w:rsidRDefault="00C24811" w:rsidP="00D50B18">
            <w:pPr>
              <w:spacing w:before="120" w:after="120" w:line="23" w:lineRule="atLeast"/>
              <w:jc w:val="both"/>
              <w:rPr>
                <w:rFonts w:ascii="Arial" w:hAnsi="Arial" w:cs="Arial"/>
                <w:sz w:val="18"/>
                <w:szCs w:val="18"/>
              </w:rPr>
            </w:pPr>
            <w:r w:rsidRPr="00BF4F5D">
              <w:rPr>
                <w:rFonts w:ascii="Arial" w:hAnsi="Arial" w:cs="Arial"/>
                <w:sz w:val="18"/>
                <w:szCs w:val="18"/>
              </w:rPr>
              <w:t>Propone sustituir la expresión “expresando con claridad” por “debiendo relacionar con”</w:t>
            </w:r>
            <w:r>
              <w:rPr>
                <w:rFonts w:ascii="Arial" w:hAnsi="Arial" w:cs="Arial"/>
                <w:sz w:val="18"/>
                <w:szCs w:val="18"/>
              </w:rPr>
              <w:t>.</w:t>
            </w:r>
          </w:p>
          <w:p w14:paraId="69C94241" w14:textId="77777777" w:rsidR="00C24811" w:rsidRPr="00BF4F5D" w:rsidRDefault="00C24811" w:rsidP="00D50B18">
            <w:pPr>
              <w:spacing w:before="120" w:after="120" w:line="23" w:lineRule="atLeast"/>
              <w:jc w:val="both"/>
              <w:rPr>
                <w:rFonts w:ascii="Arial" w:hAnsi="Arial" w:cs="Arial"/>
                <w:sz w:val="18"/>
                <w:szCs w:val="18"/>
              </w:rPr>
            </w:pPr>
          </w:p>
          <w:p w14:paraId="44E3B4AE" w14:textId="38F8C5C2" w:rsidR="00C24811" w:rsidRDefault="00C24811" w:rsidP="00D50B18">
            <w:pPr>
              <w:spacing w:before="120" w:after="120" w:line="23" w:lineRule="atLeast"/>
              <w:jc w:val="both"/>
              <w:rPr>
                <w:rFonts w:ascii="Arial" w:hAnsi="Arial" w:cs="Arial"/>
                <w:b/>
                <w:bCs/>
                <w:sz w:val="18"/>
                <w:szCs w:val="18"/>
              </w:rPr>
            </w:pPr>
          </w:p>
          <w:p w14:paraId="3AC762A4" w14:textId="77777777" w:rsidR="00BB4D65" w:rsidRPr="00BF4F5D" w:rsidRDefault="00BB4D65" w:rsidP="00D50B18">
            <w:pPr>
              <w:spacing w:before="120" w:after="120" w:line="23" w:lineRule="atLeast"/>
              <w:jc w:val="both"/>
              <w:rPr>
                <w:rFonts w:ascii="Arial" w:hAnsi="Arial" w:cs="Arial"/>
                <w:b/>
                <w:bCs/>
                <w:sz w:val="18"/>
                <w:szCs w:val="18"/>
              </w:rPr>
            </w:pPr>
          </w:p>
          <w:p w14:paraId="6E973DF1" w14:textId="22F1A5BF" w:rsidR="00C24811" w:rsidRPr="00BF4F5D" w:rsidRDefault="00C24811" w:rsidP="00D50B18">
            <w:pPr>
              <w:spacing w:before="120" w:after="120" w:line="23" w:lineRule="atLeast"/>
              <w:jc w:val="both"/>
              <w:rPr>
                <w:rFonts w:ascii="Arial" w:hAnsi="Arial" w:cs="Arial"/>
                <w:sz w:val="18"/>
                <w:szCs w:val="18"/>
              </w:rPr>
            </w:pPr>
          </w:p>
        </w:tc>
        <w:tc>
          <w:tcPr>
            <w:tcW w:w="3308" w:type="dxa"/>
            <w:shd w:val="clear" w:color="auto" w:fill="FFFFFF" w:themeFill="background1"/>
          </w:tcPr>
          <w:p w14:paraId="035794A9" w14:textId="06F2E444" w:rsidR="00C24811" w:rsidRPr="00495729" w:rsidRDefault="00BB4D65" w:rsidP="00495729">
            <w:pPr>
              <w:spacing w:before="120" w:after="120" w:line="23" w:lineRule="atLeast"/>
              <w:jc w:val="both"/>
              <w:rPr>
                <w:rFonts w:ascii="Arial" w:hAnsi="Arial" w:cs="Arial"/>
                <w:sz w:val="18"/>
                <w:szCs w:val="18"/>
              </w:rPr>
            </w:pPr>
            <w:r>
              <w:rPr>
                <w:rFonts w:ascii="Arial" w:hAnsi="Arial" w:cs="Arial"/>
                <w:sz w:val="18"/>
                <w:szCs w:val="18"/>
              </w:rPr>
              <w:t>Es improcedente</w:t>
            </w:r>
            <w:r w:rsidR="008D6515">
              <w:rPr>
                <w:rFonts w:ascii="Arial" w:hAnsi="Arial" w:cs="Arial"/>
                <w:sz w:val="18"/>
                <w:szCs w:val="18"/>
              </w:rPr>
              <w:t xml:space="preserve">, ya que no </w:t>
            </w:r>
            <w:r w:rsidR="00C24811" w:rsidRPr="005D5DBC">
              <w:rPr>
                <w:rFonts w:ascii="Arial" w:hAnsi="Arial" w:cs="Arial"/>
                <w:sz w:val="18"/>
                <w:szCs w:val="18"/>
              </w:rPr>
              <w:t>se advierte que la sustitución solicitada cambie el sentido en el que se deben interpretar las DRLFCE.</w:t>
            </w:r>
            <w:r w:rsidR="00616A7D">
              <w:rPr>
                <w:rFonts w:ascii="Arial" w:hAnsi="Arial" w:cs="Arial"/>
                <w:sz w:val="18"/>
                <w:szCs w:val="18"/>
              </w:rPr>
              <w:t xml:space="preserve"> </w:t>
            </w:r>
            <w:r w:rsidR="00CB65E8">
              <w:rPr>
                <w:rFonts w:ascii="Arial" w:hAnsi="Arial" w:cs="Arial"/>
                <w:sz w:val="18"/>
                <w:szCs w:val="18"/>
              </w:rPr>
              <w:t>Asimismo</w:t>
            </w:r>
            <w:r w:rsidR="00C24811" w:rsidRPr="005D5DBC">
              <w:rPr>
                <w:rFonts w:ascii="Arial" w:hAnsi="Arial" w:cs="Arial"/>
                <w:sz w:val="18"/>
                <w:szCs w:val="18"/>
              </w:rPr>
              <w:t xml:space="preserve">, se hace hincapié que el participante no expresa algún argumento esencial que justifique la redacción propuesta, y del análisis realizado por este Instituto, tampoco se advierte que la misma, aporte a una descripción más clara y sencilla del PSFJ. </w:t>
            </w:r>
            <w:r w:rsidR="008D6515">
              <w:rPr>
                <w:rFonts w:ascii="Arial" w:hAnsi="Arial" w:cs="Arial"/>
                <w:sz w:val="18"/>
                <w:szCs w:val="18"/>
              </w:rPr>
              <w:t xml:space="preserve"> </w:t>
            </w:r>
          </w:p>
        </w:tc>
      </w:tr>
      <w:tr w:rsidR="00BB4D65" w:rsidRPr="003E2214" w14:paraId="7BACFB6C" w14:textId="77777777" w:rsidTr="00275B74">
        <w:trPr>
          <w:jc w:val="center"/>
        </w:trPr>
        <w:tc>
          <w:tcPr>
            <w:tcW w:w="2948" w:type="dxa"/>
            <w:shd w:val="clear" w:color="auto" w:fill="FFFFFF" w:themeFill="background1"/>
          </w:tcPr>
          <w:p w14:paraId="1391B578" w14:textId="76745986" w:rsidR="00BB4D65" w:rsidRPr="00BF4F5D" w:rsidRDefault="00BB4D65" w:rsidP="00D50B18">
            <w:pPr>
              <w:spacing w:before="120" w:after="120" w:line="23" w:lineRule="atLeast"/>
              <w:jc w:val="both"/>
              <w:rPr>
                <w:rFonts w:ascii="Arial" w:hAnsi="Arial" w:cs="Arial"/>
                <w:bCs/>
                <w:sz w:val="18"/>
                <w:szCs w:val="18"/>
                <w:lang w:val="es-ES"/>
              </w:rPr>
            </w:pPr>
            <w:r w:rsidRPr="00016BD7">
              <w:rPr>
                <w:rFonts w:ascii="Arial" w:hAnsi="Arial" w:cs="Arial"/>
                <w:bCs/>
                <w:sz w:val="18"/>
                <w:szCs w:val="18"/>
                <w:lang w:val="es-ES"/>
              </w:rPr>
              <w:lastRenderedPageBreak/>
              <w:t>En su caso, la UCE prevendrá al oferente de la prueba cuando omita lo siguiente: (i) presentar el nombre o el domicilio de los testigos o perito; (</w:t>
            </w:r>
            <w:proofErr w:type="spellStart"/>
            <w:r w:rsidRPr="00016BD7">
              <w:rPr>
                <w:rFonts w:ascii="Arial" w:hAnsi="Arial" w:cs="Arial"/>
                <w:bCs/>
                <w:sz w:val="18"/>
                <w:szCs w:val="18"/>
                <w:lang w:val="es-ES"/>
              </w:rPr>
              <w:t>ii</w:t>
            </w:r>
            <w:proofErr w:type="spellEnd"/>
            <w:r w:rsidRPr="00016BD7">
              <w:rPr>
                <w:rFonts w:ascii="Arial" w:hAnsi="Arial" w:cs="Arial"/>
                <w:bCs/>
                <w:sz w:val="18"/>
                <w:szCs w:val="18"/>
                <w:lang w:val="es-ES"/>
              </w:rPr>
              <w:t>) acompañar el pliego de posiciones, el interrogatorio o el pliego de preguntas; o (</w:t>
            </w:r>
            <w:proofErr w:type="spellStart"/>
            <w:r w:rsidRPr="00016BD7">
              <w:rPr>
                <w:rFonts w:ascii="Arial" w:hAnsi="Arial" w:cs="Arial"/>
                <w:bCs/>
                <w:sz w:val="18"/>
                <w:szCs w:val="18"/>
                <w:lang w:val="es-ES"/>
              </w:rPr>
              <w:t>iii</w:t>
            </w:r>
            <w:proofErr w:type="spellEnd"/>
            <w:r w:rsidRPr="00016BD7">
              <w:rPr>
                <w:rFonts w:ascii="Arial" w:hAnsi="Arial" w:cs="Arial"/>
                <w:bCs/>
                <w:sz w:val="18"/>
                <w:szCs w:val="18"/>
                <w:lang w:val="es-ES"/>
              </w:rPr>
              <w:t>) expresar con claridad cuál es el hecho o hechos que se trata de demostrar. Los interesados contarán con un plazo de 5 (cinco) días para desahogar las prevenciones y, en caso contrario, se desecharán los medios de prueba ofrecidos.</w:t>
            </w:r>
          </w:p>
        </w:tc>
        <w:tc>
          <w:tcPr>
            <w:tcW w:w="2948" w:type="dxa"/>
            <w:shd w:val="clear" w:color="auto" w:fill="FFFFFF" w:themeFill="background1"/>
          </w:tcPr>
          <w:p w14:paraId="57EB6A4D" w14:textId="7E3084DD" w:rsidR="00BB4D65" w:rsidRDefault="00BB4D65" w:rsidP="00D73C38">
            <w:pPr>
              <w:spacing w:before="120" w:after="120" w:line="23" w:lineRule="atLeast"/>
              <w:jc w:val="both"/>
              <w:rPr>
                <w:rFonts w:ascii="Arial" w:hAnsi="Arial" w:cs="Arial"/>
                <w:b/>
                <w:sz w:val="18"/>
                <w:szCs w:val="18"/>
              </w:rPr>
            </w:pPr>
            <w:r w:rsidRPr="00BF4F5D">
              <w:rPr>
                <w:rFonts w:ascii="Arial" w:hAnsi="Arial" w:cs="Arial"/>
                <w:sz w:val="18"/>
                <w:szCs w:val="18"/>
              </w:rPr>
              <w:t>Considera que se contraviene el principio de igualdad procesal, ya que no se puede otorgar un término de 5 días para que subsanen pruebas, sino que se deben desechar las mismas en el acuerdo admisorio.</w:t>
            </w:r>
          </w:p>
        </w:tc>
        <w:tc>
          <w:tcPr>
            <w:tcW w:w="3308" w:type="dxa"/>
            <w:shd w:val="clear" w:color="auto" w:fill="FFFFFF" w:themeFill="background1"/>
          </w:tcPr>
          <w:p w14:paraId="5854E61B" w14:textId="4C0C8AF3" w:rsidR="005E7E74" w:rsidRDefault="005E7E74" w:rsidP="005E7E74">
            <w:pPr>
              <w:spacing w:before="120" w:after="120" w:line="23" w:lineRule="atLeast"/>
              <w:jc w:val="both"/>
              <w:rPr>
                <w:rFonts w:ascii="Arial" w:hAnsi="Arial" w:cs="Arial"/>
                <w:sz w:val="18"/>
                <w:szCs w:val="18"/>
              </w:rPr>
            </w:pPr>
            <w:r>
              <w:rPr>
                <w:rFonts w:ascii="Arial" w:hAnsi="Arial" w:cs="Arial"/>
                <w:sz w:val="18"/>
                <w:szCs w:val="18"/>
              </w:rPr>
              <w:t>Se considera improcedente, ya que es</w:t>
            </w:r>
            <w:r w:rsidR="00BB4D65" w:rsidRPr="005D5DBC">
              <w:rPr>
                <w:rFonts w:ascii="Arial" w:hAnsi="Arial" w:cs="Arial"/>
                <w:sz w:val="18"/>
                <w:szCs w:val="18"/>
              </w:rPr>
              <w:t xml:space="preserve"> viable aclarar que la Guía no tiene como propósito modificar, ni regular el trámite del PSFJ. </w:t>
            </w:r>
          </w:p>
          <w:p w14:paraId="7D59DE2A" w14:textId="3B618C35" w:rsidR="00BB4D65" w:rsidRPr="005D5DBC" w:rsidRDefault="00BB4D65" w:rsidP="005E7E74">
            <w:pPr>
              <w:spacing w:before="120" w:after="120" w:line="23" w:lineRule="atLeast"/>
              <w:jc w:val="both"/>
              <w:rPr>
                <w:rFonts w:ascii="Arial" w:hAnsi="Arial" w:cs="Arial"/>
                <w:sz w:val="18"/>
                <w:szCs w:val="18"/>
              </w:rPr>
            </w:pPr>
            <w:r w:rsidRPr="005D5DBC">
              <w:rPr>
                <w:rFonts w:ascii="Arial" w:hAnsi="Arial" w:cs="Arial"/>
                <w:sz w:val="18"/>
                <w:szCs w:val="18"/>
              </w:rPr>
              <w:t>Aunado a lo anterior, no se debe soslayar que el artículo 95 de las DRLFCE, únicamente establecen 3 supuestos para la procedencia de la prevención, mismos que traen aparejada la intención de colocar a los AE en las mismas condiciones de ser escuchados en el PSFJ, lo que conlleva un equilibro entre las partes</w:t>
            </w:r>
            <w:r w:rsidR="005E7E74">
              <w:rPr>
                <w:rFonts w:ascii="Arial" w:hAnsi="Arial" w:cs="Arial"/>
                <w:sz w:val="18"/>
                <w:szCs w:val="18"/>
              </w:rPr>
              <w:t xml:space="preserve">. </w:t>
            </w:r>
          </w:p>
        </w:tc>
      </w:tr>
    </w:tbl>
    <w:p w14:paraId="01958D5E" w14:textId="0EAC1353" w:rsidR="009E7A32" w:rsidRPr="009A0811" w:rsidRDefault="005F39CC" w:rsidP="00D50B18">
      <w:pPr>
        <w:spacing w:before="120" w:after="120" w:line="23" w:lineRule="atLeast"/>
        <w:jc w:val="both"/>
        <w:rPr>
          <w:rFonts w:ascii="Arial" w:hAnsi="Arial" w:cs="Arial"/>
          <w:b/>
          <w:bCs/>
        </w:rPr>
      </w:pPr>
      <w:r>
        <w:rPr>
          <w:rFonts w:ascii="Arial" w:hAnsi="Arial" w:cs="Arial"/>
          <w:b/>
        </w:rPr>
        <w:t>8</w:t>
      </w:r>
      <w:r w:rsidR="009A0811">
        <w:rPr>
          <w:rFonts w:ascii="Arial" w:hAnsi="Arial" w:cs="Arial"/>
          <w:b/>
        </w:rPr>
        <w:t>.</w:t>
      </w:r>
      <w:r w:rsidR="00C70638">
        <w:rPr>
          <w:rFonts w:ascii="Arial" w:hAnsi="Arial" w:cs="Arial"/>
          <w:b/>
        </w:rPr>
        <w:t>6</w:t>
      </w:r>
      <w:r w:rsidR="009A0811">
        <w:rPr>
          <w:rFonts w:ascii="Arial" w:hAnsi="Arial" w:cs="Arial"/>
          <w:b/>
        </w:rPr>
        <w:t xml:space="preserve">. </w:t>
      </w:r>
      <w:r w:rsidR="009A0811" w:rsidRPr="009A0811">
        <w:rPr>
          <w:rFonts w:ascii="Arial" w:hAnsi="Arial" w:cs="Arial"/>
          <w:b/>
        </w:rPr>
        <w:t xml:space="preserve">Apartado </w:t>
      </w:r>
      <w:r w:rsidR="009E7A32" w:rsidRPr="009A0811">
        <w:rPr>
          <w:rFonts w:ascii="Arial" w:hAnsi="Arial" w:cs="Arial"/>
          <w:b/>
          <w:bCs/>
        </w:rPr>
        <w:t>2.5.1. Documentales</w:t>
      </w:r>
    </w:p>
    <w:p w14:paraId="46727BF9" w14:textId="69FF5B24" w:rsidR="009A0811" w:rsidRPr="009A0811" w:rsidRDefault="005F39CC" w:rsidP="00D50B18">
      <w:pPr>
        <w:spacing w:before="120" w:after="120" w:line="23" w:lineRule="atLeast"/>
        <w:jc w:val="both"/>
        <w:rPr>
          <w:rFonts w:ascii="Arial" w:hAnsi="Arial" w:cs="Arial"/>
          <w:b/>
          <w:bCs/>
        </w:rPr>
      </w:pPr>
      <w:r>
        <w:rPr>
          <w:rFonts w:ascii="Arial" w:hAnsi="Arial" w:cs="Arial"/>
          <w:b/>
        </w:rPr>
        <w:t>8</w:t>
      </w:r>
      <w:r w:rsidR="009A0811" w:rsidRPr="009A0811">
        <w:rPr>
          <w:rFonts w:ascii="Arial" w:hAnsi="Arial" w:cs="Arial"/>
          <w:b/>
        </w:rPr>
        <w:t>.</w:t>
      </w:r>
      <w:r w:rsidR="00C70638">
        <w:rPr>
          <w:rFonts w:ascii="Arial" w:hAnsi="Arial" w:cs="Arial"/>
          <w:b/>
        </w:rPr>
        <w:t>6</w:t>
      </w:r>
      <w:r w:rsidR="009A0811" w:rsidRPr="009A0811">
        <w:rPr>
          <w:rFonts w:ascii="Arial" w:hAnsi="Arial" w:cs="Arial"/>
          <w:b/>
        </w:rPr>
        <w:t xml:space="preserve">.1. Síntesis de los comentarios relacionados con el apartado </w:t>
      </w:r>
      <w:r w:rsidR="009A0811" w:rsidRPr="009A0811">
        <w:rPr>
          <w:rFonts w:ascii="Arial" w:hAnsi="Arial" w:cs="Arial"/>
          <w:b/>
          <w:bCs/>
        </w:rPr>
        <w:t>2.5.1. Documentales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Look w:val="04A0" w:firstRow="1" w:lastRow="0" w:firstColumn="1" w:lastColumn="0" w:noHBand="0" w:noVBand="1"/>
      </w:tblPr>
      <w:tblGrid>
        <w:gridCol w:w="2948"/>
        <w:gridCol w:w="2948"/>
        <w:gridCol w:w="3308"/>
      </w:tblGrid>
      <w:tr w:rsidR="00C24811" w:rsidRPr="003E2214" w14:paraId="6AE6DD63" w14:textId="6FD26A9D" w:rsidTr="00275B74">
        <w:trPr>
          <w:tblHeader/>
          <w:jc w:val="center"/>
        </w:trPr>
        <w:tc>
          <w:tcPr>
            <w:tcW w:w="2948" w:type="dxa"/>
            <w:shd w:val="clear" w:color="auto" w:fill="70AD47" w:themeFill="accent6"/>
          </w:tcPr>
          <w:p w14:paraId="09B8C598" w14:textId="29AE1F29" w:rsidR="00C24811" w:rsidRPr="00BF4F5D" w:rsidRDefault="00C24811" w:rsidP="00D50B18">
            <w:pPr>
              <w:spacing w:before="120" w:after="120" w:line="23" w:lineRule="atLeast"/>
              <w:jc w:val="center"/>
              <w:rPr>
                <w:rFonts w:ascii="Arial" w:hAnsi="Arial" w:cs="Arial"/>
                <w:sz w:val="18"/>
                <w:szCs w:val="18"/>
              </w:rPr>
            </w:pPr>
            <w:r w:rsidRPr="00730154">
              <w:rPr>
                <w:rFonts w:ascii="Arial" w:hAnsi="Arial" w:cs="Arial"/>
                <w:b/>
                <w:sz w:val="18"/>
                <w:szCs w:val="18"/>
              </w:rPr>
              <w:t>Apartado del Anteproyecto</w:t>
            </w:r>
          </w:p>
        </w:tc>
        <w:tc>
          <w:tcPr>
            <w:tcW w:w="2948" w:type="dxa"/>
            <w:shd w:val="clear" w:color="auto" w:fill="70AD47" w:themeFill="accent6"/>
          </w:tcPr>
          <w:p w14:paraId="1C830F18" w14:textId="17EE2078" w:rsidR="00C24811" w:rsidRPr="00BF4F5D" w:rsidRDefault="00C24811" w:rsidP="00D50B18">
            <w:pPr>
              <w:spacing w:before="120" w:after="120" w:line="23" w:lineRule="atLeast"/>
              <w:jc w:val="center"/>
              <w:rPr>
                <w:rFonts w:ascii="Arial" w:hAnsi="Arial" w:cs="Arial"/>
                <w:sz w:val="18"/>
                <w:szCs w:val="18"/>
              </w:rPr>
            </w:pPr>
            <w:r w:rsidRPr="00730154">
              <w:rPr>
                <w:rFonts w:ascii="Arial" w:hAnsi="Arial" w:cs="Arial"/>
                <w:b/>
                <w:sz w:val="18"/>
                <w:szCs w:val="18"/>
              </w:rPr>
              <w:t>Resumen de los comentarios recibidos</w:t>
            </w:r>
          </w:p>
        </w:tc>
        <w:tc>
          <w:tcPr>
            <w:tcW w:w="3308" w:type="dxa"/>
            <w:shd w:val="clear" w:color="auto" w:fill="70AD47" w:themeFill="accent6"/>
          </w:tcPr>
          <w:p w14:paraId="7650FB60" w14:textId="68836F2B" w:rsidR="00C24811" w:rsidRPr="00730154" w:rsidRDefault="00C24811" w:rsidP="00D50B18">
            <w:pPr>
              <w:spacing w:before="120" w:after="120" w:line="23" w:lineRule="atLeast"/>
              <w:jc w:val="center"/>
              <w:rPr>
                <w:rFonts w:ascii="Arial" w:hAnsi="Arial" w:cs="Arial"/>
                <w:b/>
                <w:sz w:val="18"/>
                <w:szCs w:val="18"/>
              </w:rPr>
            </w:pPr>
            <w:r>
              <w:rPr>
                <w:rFonts w:ascii="Arial" w:hAnsi="Arial" w:cs="Arial"/>
                <w:b/>
                <w:sz w:val="18"/>
                <w:szCs w:val="18"/>
              </w:rPr>
              <w:t>Consideración</w:t>
            </w:r>
          </w:p>
        </w:tc>
      </w:tr>
      <w:tr w:rsidR="00C24811" w:rsidRPr="003E2214" w14:paraId="6A635638" w14:textId="1BC889D6" w:rsidTr="00275B74">
        <w:trPr>
          <w:jc w:val="center"/>
        </w:trPr>
        <w:tc>
          <w:tcPr>
            <w:tcW w:w="9204" w:type="dxa"/>
            <w:gridSpan w:val="3"/>
            <w:shd w:val="clear" w:color="auto" w:fill="C5E0B3" w:themeFill="accent6" w:themeFillTint="66"/>
          </w:tcPr>
          <w:p w14:paraId="775CA93C" w14:textId="2BDC4C2C" w:rsidR="00C24811" w:rsidRPr="00BF4F5D" w:rsidRDefault="00C24811" w:rsidP="00D50B18">
            <w:pPr>
              <w:spacing w:before="120" w:after="120" w:line="23" w:lineRule="atLeast"/>
              <w:jc w:val="center"/>
              <w:rPr>
                <w:rFonts w:ascii="Arial" w:hAnsi="Arial" w:cs="Arial"/>
                <w:b/>
                <w:sz w:val="18"/>
                <w:szCs w:val="18"/>
                <w:lang w:val="es-ES_tradnl"/>
              </w:rPr>
            </w:pPr>
            <w:r w:rsidRPr="00BF4F5D">
              <w:rPr>
                <w:rFonts w:ascii="Arial" w:hAnsi="Arial" w:cs="Arial"/>
                <w:b/>
                <w:sz w:val="18"/>
                <w:szCs w:val="18"/>
                <w:lang w:val="es-ES_tradnl"/>
              </w:rPr>
              <w:t>2.5.1. Documentales</w:t>
            </w:r>
          </w:p>
        </w:tc>
      </w:tr>
      <w:tr w:rsidR="00C24811" w:rsidRPr="003E2214" w14:paraId="60F1C57F" w14:textId="38D5627A" w:rsidTr="00275B74">
        <w:trPr>
          <w:jc w:val="center"/>
        </w:trPr>
        <w:tc>
          <w:tcPr>
            <w:tcW w:w="2948" w:type="dxa"/>
            <w:shd w:val="clear" w:color="auto" w:fill="FFFFFF" w:themeFill="background1"/>
          </w:tcPr>
          <w:p w14:paraId="594F4725" w14:textId="77777777" w:rsidR="00C24811" w:rsidRPr="00BF4F5D" w:rsidRDefault="00C24811" w:rsidP="00D50B18">
            <w:pPr>
              <w:spacing w:before="120" w:after="120" w:line="23" w:lineRule="atLeast"/>
              <w:jc w:val="both"/>
              <w:rPr>
                <w:rFonts w:ascii="Arial" w:hAnsi="Arial" w:cs="Arial"/>
                <w:sz w:val="18"/>
                <w:szCs w:val="18"/>
                <w:lang w:val="es-ES"/>
              </w:rPr>
            </w:pPr>
            <w:r w:rsidRPr="00BF4F5D">
              <w:rPr>
                <w:rFonts w:ascii="Arial" w:hAnsi="Arial" w:cs="Arial"/>
                <w:bCs/>
                <w:sz w:val="18"/>
                <w:szCs w:val="18"/>
                <w:lang w:val="es-ES"/>
              </w:rPr>
              <w:t xml:space="preserve">Las pruebas documentales se desahogan por su propia y especial naturaleza. Es decir, no requieren de una de una diligencia especial para ser valoradas en el trámite del procedimiento seguido en forma de juicio. En ese sentido, los documentos no serán materia de la prueba </w:t>
            </w:r>
            <w:proofErr w:type="spellStart"/>
            <w:r w:rsidRPr="00BF4F5D">
              <w:rPr>
                <w:rFonts w:ascii="Arial" w:hAnsi="Arial" w:cs="Arial"/>
                <w:bCs/>
                <w:sz w:val="18"/>
                <w:szCs w:val="18"/>
                <w:lang w:val="es-ES"/>
              </w:rPr>
              <w:t>inspeccional</w:t>
            </w:r>
            <w:proofErr w:type="spellEnd"/>
            <w:r w:rsidRPr="00BF4F5D">
              <w:rPr>
                <w:rFonts w:ascii="Arial" w:hAnsi="Arial" w:cs="Arial"/>
                <w:bCs/>
                <w:sz w:val="18"/>
                <w:szCs w:val="18"/>
                <w:lang w:val="es-ES"/>
              </w:rPr>
              <w:t>.</w:t>
            </w:r>
          </w:p>
        </w:tc>
        <w:tc>
          <w:tcPr>
            <w:tcW w:w="2948" w:type="dxa"/>
            <w:shd w:val="clear" w:color="auto" w:fill="FFFFFF" w:themeFill="background1"/>
          </w:tcPr>
          <w:p w14:paraId="0CF9A9BF" w14:textId="488D6356" w:rsidR="00C24811" w:rsidRPr="00BF4F5D" w:rsidRDefault="00C24811" w:rsidP="00D50B18">
            <w:pPr>
              <w:spacing w:before="120" w:after="120" w:line="23" w:lineRule="atLeast"/>
              <w:jc w:val="both"/>
              <w:rPr>
                <w:rFonts w:ascii="Arial" w:hAnsi="Arial" w:cs="Arial"/>
                <w:sz w:val="18"/>
                <w:szCs w:val="18"/>
              </w:rPr>
            </w:pPr>
            <w:r w:rsidRPr="00BF4F5D">
              <w:rPr>
                <w:rFonts w:ascii="Arial" w:hAnsi="Arial" w:cs="Arial"/>
                <w:sz w:val="18"/>
                <w:szCs w:val="18"/>
              </w:rPr>
              <w:t>Derivado de la</w:t>
            </w:r>
            <w:r w:rsidR="00375A38">
              <w:rPr>
                <w:rFonts w:ascii="Arial" w:hAnsi="Arial" w:cs="Arial"/>
                <w:sz w:val="18"/>
                <w:szCs w:val="18"/>
              </w:rPr>
              <w:t xml:space="preserve"> </w:t>
            </w:r>
            <w:r w:rsidRPr="00BF4F5D">
              <w:rPr>
                <w:rFonts w:ascii="Arial" w:hAnsi="Arial" w:cs="Arial"/>
                <w:sz w:val="18"/>
                <w:szCs w:val="18"/>
              </w:rPr>
              <w:t>contingencia sanitaria,</w:t>
            </w:r>
            <w:r w:rsidRPr="00BF4F5D">
              <w:rPr>
                <w:rFonts w:ascii="Arial" w:hAnsi="Arial" w:cs="Arial"/>
                <w:b/>
                <w:sz w:val="18"/>
                <w:szCs w:val="18"/>
              </w:rPr>
              <w:t xml:space="preserve"> </w:t>
            </w:r>
            <w:r w:rsidRPr="00BF4F5D">
              <w:rPr>
                <w:rFonts w:ascii="Arial" w:hAnsi="Arial" w:cs="Arial"/>
                <w:sz w:val="18"/>
                <w:szCs w:val="18"/>
              </w:rPr>
              <w:t>sugiere implementar regulación de documentales electrónicas.</w:t>
            </w:r>
          </w:p>
        </w:tc>
        <w:tc>
          <w:tcPr>
            <w:tcW w:w="3308" w:type="dxa"/>
            <w:shd w:val="clear" w:color="auto" w:fill="FFFFFF" w:themeFill="background1"/>
          </w:tcPr>
          <w:p w14:paraId="625B1E35" w14:textId="77777777" w:rsidR="00D607B6" w:rsidRDefault="00484755" w:rsidP="00D50B18">
            <w:pPr>
              <w:spacing w:before="120" w:after="120" w:line="23" w:lineRule="atLeast"/>
              <w:jc w:val="both"/>
              <w:rPr>
                <w:rFonts w:ascii="Arial" w:eastAsia="Times New Roman" w:hAnsi="Arial" w:cs="Arial"/>
                <w:bCs/>
                <w:sz w:val="18"/>
                <w:szCs w:val="18"/>
              </w:rPr>
            </w:pPr>
            <w:r>
              <w:rPr>
                <w:rFonts w:ascii="Arial" w:eastAsia="Times New Roman" w:hAnsi="Arial" w:cs="Arial"/>
                <w:bCs/>
                <w:sz w:val="18"/>
                <w:szCs w:val="18"/>
              </w:rPr>
              <w:t>Es improcedente</w:t>
            </w:r>
            <w:r w:rsidR="00C743A6" w:rsidRPr="005D5DBC">
              <w:rPr>
                <w:rFonts w:ascii="Arial" w:eastAsia="Times New Roman" w:hAnsi="Arial" w:cs="Arial"/>
                <w:bCs/>
                <w:sz w:val="18"/>
                <w:szCs w:val="18"/>
              </w:rPr>
              <w:t xml:space="preserve">, </w:t>
            </w:r>
            <w:r>
              <w:rPr>
                <w:rFonts w:ascii="Arial" w:eastAsia="Times New Roman" w:hAnsi="Arial" w:cs="Arial"/>
                <w:bCs/>
                <w:sz w:val="18"/>
                <w:szCs w:val="18"/>
              </w:rPr>
              <w:t xml:space="preserve">en virtud de que </w:t>
            </w:r>
            <w:r w:rsidR="00C743A6" w:rsidRPr="005D5DBC">
              <w:rPr>
                <w:rFonts w:ascii="Arial" w:eastAsia="Times New Roman" w:hAnsi="Arial" w:cs="Arial"/>
                <w:bCs/>
                <w:sz w:val="18"/>
                <w:szCs w:val="18"/>
              </w:rPr>
              <w:t xml:space="preserve">el Anteproyecto tiene carácter orientativo, más no regulador, por lo que no interpreta ni sustituye el marco jurídico aplicable. </w:t>
            </w:r>
          </w:p>
          <w:p w14:paraId="6D2FA993" w14:textId="7CEB1A41" w:rsidR="00C24811" w:rsidRPr="00753DBB" w:rsidRDefault="00C743A6" w:rsidP="00D50B18">
            <w:pPr>
              <w:spacing w:before="120" w:after="120" w:line="23" w:lineRule="atLeast"/>
              <w:jc w:val="both"/>
              <w:rPr>
                <w:rFonts w:ascii="Arial" w:hAnsi="Arial" w:cs="Arial"/>
                <w:color w:val="FF0000"/>
                <w:sz w:val="18"/>
                <w:szCs w:val="18"/>
              </w:rPr>
            </w:pPr>
            <w:r w:rsidRPr="005D5DBC">
              <w:rPr>
                <w:rFonts w:ascii="Arial" w:eastAsia="Times New Roman" w:hAnsi="Arial" w:cs="Arial"/>
                <w:bCs/>
                <w:sz w:val="18"/>
                <w:szCs w:val="18"/>
              </w:rPr>
              <w:t xml:space="preserve">Por ello, se </w:t>
            </w:r>
            <w:r w:rsidRPr="005D5DBC">
              <w:rPr>
                <w:rFonts w:ascii="Arial" w:hAnsi="Arial" w:cs="Arial"/>
                <w:sz w:val="18"/>
                <w:szCs w:val="18"/>
              </w:rPr>
              <w:t>considera que la regulación de procedimientos, documentos o cualquier otra información relacionada con el desahogo del PSFJ a través de medios electrónicos, es materia de análisis diverso al presente.</w:t>
            </w:r>
          </w:p>
        </w:tc>
      </w:tr>
    </w:tbl>
    <w:p w14:paraId="781EBB1F" w14:textId="4F3B4DCB" w:rsidR="002507BD" w:rsidRDefault="005F39CC" w:rsidP="00D50B18">
      <w:pPr>
        <w:spacing w:before="120" w:after="120" w:line="23" w:lineRule="atLeast"/>
        <w:jc w:val="both"/>
        <w:rPr>
          <w:rFonts w:ascii="Arial" w:hAnsi="Arial" w:cs="Arial"/>
          <w:b/>
        </w:rPr>
      </w:pPr>
      <w:r>
        <w:rPr>
          <w:rFonts w:ascii="Arial" w:hAnsi="Arial" w:cs="Arial"/>
          <w:b/>
        </w:rPr>
        <w:t>8</w:t>
      </w:r>
      <w:r w:rsidR="002E206B" w:rsidRPr="002E206B">
        <w:rPr>
          <w:rFonts w:ascii="Arial" w:hAnsi="Arial" w:cs="Arial"/>
          <w:b/>
        </w:rPr>
        <w:t>.</w:t>
      </w:r>
      <w:r w:rsidR="00C70638">
        <w:rPr>
          <w:rFonts w:ascii="Arial" w:hAnsi="Arial" w:cs="Arial"/>
          <w:b/>
        </w:rPr>
        <w:t>7</w:t>
      </w:r>
      <w:r w:rsidR="002E206B" w:rsidRPr="00D020C8">
        <w:rPr>
          <w:rFonts w:ascii="Arial" w:hAnsi="Arial" w:cs="Arial"/>
          <w:b/>
        </w:rPr>
        <w:t xml:space="preserve">. </w:t>
      </w:r>
      <w:r w:rsidR="00D020C8" w:rsidRPr="00D020C8">
        <w:rPr>
          <w:rFonts w:ascii="Arial" w:hAnsi="Arial" w:cs="Arial"/>
          <w:b/>
        </w:rPr>
        <w:t xml:space="preserve">Apartado </w:t>
      </w:r>
      <w:r w:rsidR="002E206B" w:rsidRPr="00D020C8">
        <w:rPr>
          <w:rFonts w:ascii="Arial" w:hAnsi="Arial" w:cs="Arial"/>
          <w:b/>
        </w:rPr>
        <w:t>4.1. Promociones</w:t>
      </w:r>
    </w:p>
    <w:p w14:paraId="51FD01F2" w14:textId="0F10310F" w:rsidR="00D020C8" w:rsidRPr="002E206B" w:rsidRDefault="005F39CC" w:rsidP="00D50B18">
      <w:pPr>
        <w:spacing w:before="120" w:after="120" w:line="23" w:lineRule="atLeast"/>
        <w:jc w:val="both"/>
        <w:rPr>
          <w:rFonts w:ascii="Arial" w:hAnsi="Arial" w:cs="Arial"/>
          <w:b/>
        </w:rPr>
      </w:pPr>
      <w:r>
        <w:rPr>
          <w:rFonts w:ascii="Arial" w:hAnsi="Arial" w:cs="Arial"/>
          <w:b/>
        </w:rPr>
        <w:t>8</w:t>
      </w:r>
      <w:r w:rsidR="00D020C8" w:rsidRPr="009A0811">
        <w:rPr>
          <w:rFonts w:ascii="Arial" w:hAnsi="Arial" w:cs="Arial"/>
          <w:b/>
        </w:rPr>
        <w:t>.</w:t>
      </w:r>
      <w:r w:rsidR="00C70638">
        <w:rPr>
          <w:rFonts w:ascii="Arial" w:hAnsi="Arial" w:cs="Arial"/>
          <w:b/>
        </w:rPr>
        <w:t>7</w:t>
      </w:r>
      <w:r w:rsidR="00D020C8" w:rsidRPr="009A0811">
        <w:rPr>
          <w:rFonts w:ascii="Arial" w:hAnsi="Arial" w:cs="Arial"/>
          <w:b/>
        </w:rPr>
        <w:t xml:space="preserve">.1. Síntesis de los comentarios relacionados con el apartado </w:t>
      </w:r>
      <w:r w:rsidR="00D020C8" w:rsidRPr="00D020C8">
        <w:rPr>
          <w:rFonts w:ascii="Arial" w:hAnsi="Arial" w:cs="Arial"/>
          <w:b/>
        </w:rPr>
        <w:t>4.1. Promociones</w:t>
      </w:r>
      <w:r w:rsidR="0019499F">
        <w:rPr>
          <w:rFonts w:ascii="Arial" w:hAnsi="Arial" w:cs="Arial"/>
          <w:b/>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Look w:val="04A0" w:firstRow="1" w:lastRow="0" w:firstColumn="1" w:lastColumn="0" w:noHBand="0" w:noVBand="1"/>
      </w:tblPr>
      <w:tblGrid>
        <w:gridCol w:w="2948"/>
        <w:gridCol w:w="2948"/>
        <w:gridCol w:w="3308"/>
      </w:tblGrid>
      <w:tr w:rsidR="00C743A6" w:rsidRPr="003E2214" w14:paraId="1FC29E57" w14:textId="32D1A72E" w:rsidTr="00275B74">
        <w:trPr>
          <w:tblHeader/>
          <w:jc w:val="center"/>
        </w:trPr>
        <w:tc>
          <w:tcPr>
            <w:tcW w:w="2948" w:type="dxa"/>
            <w:shd w:val="clear" w:color="auto" w:fill="70AD47" w:themeFill="accent6"/>
          </w:tcPr>
          <w:p w14:paraId="6FE9F3A4" w14:textId="5AC1ED5D" w:rsidR="00C743A6" w:rsidRPr="002E35A6" w:rsidRDefault="00C743A6" w:rsidP="00D50B18">
            <w:pPr>
              <w:spacing w:before="120" w:after="120" w:line="23" w:lineRule="atLeast"/>
              <w:jc w:val="center"/>
              <w:rPr>
                <w:rFonts w:ascii="Arial" w:hAnsi="Arial" w:cs="Arial"/>
                <w:b/>
                <w:sz w:val="18"/>
                <w:szCs w:val="18"/>
                <w:lang w:val="es-ES_tradnl"/>
              </w:rPr>
            </w:pPr>
            <w:r w:rsidRPr="00730154">
              <w:rPr>
                <w:rFonts w:ascii="Arial" w:hAnsi="Arial" w:cs="Arial"/>
                <w:b/>
                <w:sz w:val="18"/>
                <w:szCs w:val="18"/>
              </w:rPr>
              <w:t>Apartado del Anteproyecto</w:t>
            </w:r>
          </w:p>
        </w:tc>
        <w:tc>
          <w:tcPr>
            <w:tcW w:w="2948" w:type="dxa"/>
            <w:shd w:val="clear" w:color="auto" w:fill="70AD47" w:themeFill="accent6"/>
          </w:tcPr>
          <w:p w14:paraId="11D1269A" w14:textId="5CBBFDD2" w:rsidR="00C743A6" w:rsidRPr="002E35A6" w:rsidRDefault="00C743A6" w:rsidP="00D50B18">
            <w:pPr>
              <w:spacing w:before="120" w:after="120" w:line="23" w:lineRule="atLeast"/>
              <w:jc w:val="center"/>
              <w:rPr>
                <w:rFonts w:ascii="Arial" w:hAnsi="Arial" w:cs="Arial"/>
                <w:b/>
                <w:sz w:val="18"/>
                <w:szCs w:val="18"/>
                <w:lang w:val="es-ES_tradnl"/>
              </w:rPr>
            </w:pPr>
            <w:r w:rsidRPr="00730154">
              <w:rPr>
                <w:rFonts w:ascii="Arial" w:hAnsi="Arial" w:cs="Arial"/>
                <w:b/>
                <w:sz w:val="18"/>
                <w:szCs w:val="18"/>
              </w:rPr>
              <w:t>Resumen de los comentarios recibidos</w:t>
            </w:r>
          </w:p>
        </w:tc>
        <w:tc>
          <w:tcPr>
            <w:tcW w:w="3308" w:type="dxa"/>
            <w:shd w:val="clear" w:color="auto" w:fill="70AD47" w:themeFill="accent6"/>
          </w:tcPr>
          <w:p w14:paraId="30075A0B" w14:textId="22D8CBCC" w:rsidR="00C743A6" w:rsidRPr="00730154" w:rsidRDefault="00C743A6" w:rsidP="00D50B18">
            <w:pPr>
              <w:spacing w:before="120" w:after="120" w:line="23" w:lineRule="atLeast"/>
              <w:jc w:val="center"/>
              <w:rPr>
                <w:rFonts w:ascii="Arial" w:hAnsi="Arial" w:cs="Arial"/>
                <w:b/>
                <w:sz w:val="18"/>
                <w:szCs w:val="18"/>
              </w:rPr>
            </w:pPr>
            <w:r>
              <w:rPr>
                <w:rFonts w:ascii="Arial" w:hAnsi="Arial" w:cs="Arial"/>
                <w:b/>
                <w:sz w:val="18"/>
                <w:szCs w:val="18"/>
              </w:rPr>
              <w:t>Consideración</w:t>
            </w:r>
          </w:p>
        </w:tc>
      </w:tr>
      <w:tr w:rsidR="008A34AF" w:rsidRPr="003E2214" w14:paraId="573F8370" w14:textId="251612AB" w:rsidTr="00275B74">
        <w:trPr>
          <w:jc w:val="center"/>
        </w:trPr>
        <w:tc>
          <w:tcPr>
            <w:tcW w:w="9204" w:type="dxa"/>
            <w:gridSpan w:val="3"/>
            <w:shd w:val="clear" w:color="auto" w:fill="C5E0B3" w:themeFill="accent6" w:themeFillTint="66"/>
          </w:tcPr>
          <w:p w14:paraId="5AD6E636" w14:textId="388135D6" w:rsidR="008A34AF" w:rsidRPr="00BF4F5D" w:rsidRDefault="008A34AF" w:rsidP="00D50B18">
            <w:pPr>
              <w:spacing w:before="120" w:after="120" w:line="23" w:lineRule="atLeast"/>
              <w:jc w:val="center"/>
              <w:rPr>
                <w:rFonts w:ascii="Arial" w:hAnsi="Arial" w:cs="Arial"/>
                <w:b/>
                <w:sz w:val="18"/>
                <w:szCs w:val="18"/>
                <w:lang w:val="es-ES_tradnl"/>
              </w:rPr>
            </w:pPr>
            <w:r w:rsidRPr="00BF4F5D">
              <w:rPr>
                <w:rFonts w:ascii="Arial" w:hAnsi="Arial" w:cs="Arial"/>
                <w:b/>
                <w:sz w:val="18"/>
                <w:szCs w:val="18"/>
                <w:lang w:val="es-ES_tradnl"/>
              </w:rPr>
              <w:t>4.1. Promociones</w:t>
            </w:r>
          </w:p>
        </w:tc>
      </w:tr>
      <w:tr w:rsidR="00C743A6" w:rsidRPr="003E2214" w14:paraId="386AC41E" w14:textId="014A9963" w:rsidTr="00275B74">
        <w:trPr>
          <w:jc w:val="center"/>
        </w:trPr>
        <w:tc>
          <w:tcPr>
            <w:tcW w:w="2948" w:type="dxa"/>
            <w:shd w:val="clear" w:color="auto" w:fill="FFFFFF" w:themeFill="background1"/>
          </w:tcPr>
          <w:p w14:paraId="5D7F192D" w14:textId="714AB42F" w:rsidR="00C743A6" w:rsidRPr="00170FDE" w:rsidRDefault="00C743A6" w:rsidP="00D50B18">
            <w:pPr>
              <w:spacing w:before="120" w:after="120" w:line="23" w:lineRule="atLeast"/>
              <w:jc w:val="both"/>
              <w:rPr>
                <w:rFonts w:ascii="Arial" w:hAnsi="Arial" w:cs="Arial"/>
                <w:bCs/>
                <w:sz w:val="18"/>
                <w:szCs w:val="18"/>
                <w:lang w:val="es-ES"/>
              </w:rPr>
            </w:pPr>
            <w:r w:rsidRPr="00BF4F5D">
              <w:rPr>
                <w:rFonts w:ascii="Arial" w:hAnsi="Arial" w:cs="Arial"/>
                <w:bCs/>
                <w:sz w:val="18"/>
                <w:szCs w:val="18"/>
                <w:lang w:val="es-ES"/>
              </w:rPr>
              <w:t xml:space="preserve">Todos los actos y las promociones deberán formularse por escrito, en forma respetuosa, presentarse en idioma español y estar firmadas por quienes intervienen en ellas. La firma de los servidores públicos del Instituto podrá ser autógrafa o electrónica. Cuando los promoventes o personas que intervengan en una actuación no </w:t>
            </w:r>
            <w:r w:rsidRPr="00BF4F5D">
              <w:rPr>
                <w:rFonts w:ascii="Arial" w:hAnsi="Arial" w:cs="Arial"/>
                <w:bCs/>
                <w:sz w:val="18"/>
                <w:szCs w:val="18"/>
                <w:lang w:val="es-ES"/>
              </w:rPr>
              <w:lastRenderedPageBreak/>
              <w:t>supieren o no pudieren firmar, pondrán su huella digital en presencia de 2 (dos) testigos, quienes deberán firmar dicha actuación o promoción. La falta de cumplimiento de estos requisitos dará lugar a que dichas actuaciones se tengan por no presentadas.</w:t>
            </w:r>
          </w:p>
        </w:tc>
        <w:tc>
          <w:tcPr>
            <w:tcW w:w="2948" w:type="dxa"/>
            <w:shd w:val="clear" w:color="auto" w:fill="FFFFFF" w:themeFill="background1"/>
          </w:tcPr>
          <w:p w14:paraId="2330D5FD" w14:textId="64FFA5EA" w:rsidR="00C743A6" w:rsidRPr="00BF4F5D" w:rsidRDefault="00C743A6" w:rsidP="00D50B18">
            <w:pPr>
              <w:spacing w:before="120" w:after="120" w:line="23" w:lineRule="atLeast"/>
              <w:jc w:val="both"/>
              <w:rPr>
                <w:rFonts w:ascii="Arial" w:hAnsi="Arial" w:cs="Arial"/>
                <w:sz w:val="18"/>
                <w:szCs w:val="18"/>
              </w:rPr>
            </w:pPr>
            <w:r w:rsidRPr="00BF4F5D">
              <w:rPr>
                <w:rFonts w:ascii="Arial" w:hAnsi="Arial" w:cs="Arial"/>
                <w:sz w:val="18"/>
                <w:szCs w:val="18"/>
              </w:rPr>
              <w:lastRenderedPageBreak/>
              <w:t xml:space="preserve">Considera que algunas manifestaciones en el presente apartado requerirían ser adecuadas a la interrelación que podría existir entre la presente guía y los “Lineamientos para la sustanciación de las investigaciones, procedimientos y trámites a cargo de la Autoridad Investigadora del Instituto Federal </w:t>
            </w:r>
            <w:r w:rsidRPr="00BF4F5D">
              <w:rPr>
                <w:rFonts w:ascii="Arial" w:hAnsi="Arial" w:cs="Arial"/>
                <w:sz w:val="18"/>
                <w:szCs w:val="18"/>
              </w:rPr>
              <w:lastRenderedPageBreak/>
              <w:t>de Telecomunicaciones, a través de medios electrónicos”.</w:t>
            </w:r>
          </w:p>
          <w:p w14:paraId="0892CF70" w14:textId="393B7ABE" w:rsidR="00C743A6" w:rsidRDefault="00C743A6" w:rsidP="00D50B18">
            <w:pPr>
              <w:spacing w:before="120" w:after="120" w:line="23" w:lineRule="atLeast"/>
              <w:jc w:val="both"/>
              <w:rPr>
                <w:rFonts w:ascii="Arial" w:hAnsi="Arial" w:cs="Arial"/>
                <w:sz w:val="18"/>
                <w:szCs w:val="18"/>
              </w:rPr>
            </w:pPr>
          </w:p>
          <w:p w14:paraId="39E0AAC8" w14:textId="3B10DBF0" w:rsidR="00C743A6" w:rsidRDefault="00C743A6" w:rsidP="00D50B18">
            <w:pPr>
              <w:spacing w:before="120" w:after="120" w:line="23" w:lineRule="atLeast"/>
              <w:jc w:val="both"/>
              <w:rPr>
                <w:rFonts w:ascii="Arial" w:hAnsi="Arial" w:cs="Arial"/>
                <w:sz w:val="18"/>
                <w:szCs w:val="18"/>
              </w:rPr>
            </w:pPr>
          </w:p>
          <w:p w14:paraId="465E7B6F" w14:textId="77777777" w:rsidR="005C1867" w:rsidRPr="00BF4F5D" w:rsidRDefault="005C1867" w:rsidP="00D50B18">
            <w:pPr>
              <w:spacing w:before="120" w:after="120" w:line="23" w:lineRule="atLeast"/>
              <w:jc w:val="both"/>
              <w:rPr>
                <w:rFonts w:ascii="Arial" w:hAnsi="Arial" w:cs="Arial"/>
                <w:sz w:val="18"/>
                <w:szCs w:val="18"/>
              </w:rPr>
            </w:pPr>
          </w:p>
          <w:p w14:paraId="0BCC51CC" w14:textId="1D853FA0" w:rsidR="00C743A6" w:rsidRPr="00BF4F5D" w:rsidRDefault="00C743A6" w:rsidP="00D50B18">
            <w:pPr>
              <w:spacing w:before="120" w:after="120" w:line="23" w:lineRule="atLeast"/>
              <w:jc w:val="both"/>
              <w:rPr>
                <w:rFonts w:ascii="Arial" w:hAnsi="Arial" w:cs="Arial"/>
                <w:sz w:val="18"/>
                <w:szCs w:val="18"/>
              </w:rPr>
            </w:pPr>
          </w:p>
        </w:tc>
        <w:tc>
          <w:tcPr>
            <w:tcW w:w="3308" w:type="dxa"/>
            <w:shd w:val="clear" w:color="auto" w:fill="FFFFFF" w:themeFill="background1"/>
          </w:tcPr>
          <w:p w14:paraId="5AC6197A" w14:textId="12B2727D" w:rsidR="00C743A6" w:rsidRPr="005D5DBC" w:rsidRDefault="00835EFD" w:rsidP="00C743A6">
            <w:pPr>
              <w:spacing w:before="120" w:after="120" w:line="23" w:lineRule="atLeast"/>
              <w:jc w:val="both"/>
              <w:rPr>
                <w:rFonts w:ascii="Arial" w:hAnsi="Arial" w:cs="Arial"/>
                <w:bCs/>
                <w:sz w:val="18"/>
                <w:szCs w:val="18"/>
              </w:rPr>
            </w:pPr>
            <w:r>
              <w:rPr>
                <w:rFonts w:ascii="Arial" w:hAnsi="Arial" w:cs="Arial"/>
                <w:bCs/>
                <w:sz w:val="18"/>
                <w:szCs w:val="18"/>
              </w:rPr>
              <w:lastRenderedPageBreak/>
              <w:t xml:space="preserve">Es improcedente en virtud de que </w:t>
            </w:r>
            <w:r w:rsidR="00C743A6" w:rsidRPr="005D5DBC">
              <w:rPr>
                <w:rFonts w:ascii="Arial" w:hAnsi="Arial" w:cs="Arial"/>
                <w:bCs/>
                <w:sz w:val="18"/>
                <w:szCs w:val="18"/>
              </w:rPr>
              <w:t>el objeto del Anteproyecto es orientar y describir de manera sencilla la tramitación del PSFJ,</w:t>
            </w:r>
            <w:r>
              <w:rPr>
                <w:rFonts w:ascii="Arial" w:hAnsi="Arial" w:cs="Arial"/>
                <w:bCs/>
                <w:sz w:val="18"/>
                <w:szCs w:val="18"/>
              </w:rPr>
              <w:t xml:space="preserve"> e</w:t>
            </w:r>
            <w:r w:rsidR="00C743A6" w:rsidRPr="005D5DBC">
              <w:rPr>
                <w:rFonts w:ascii="Arial" w:hAnsi="Arial" w:cs="Arial"/>
                <w:bCs/>
                <w:sz w:val="18"/>
                <w:szCs w:val="18"/>
              </w:rPr>
              <w:t xml:space="preserve">n consecuencia, no es posible interrelacionarlo con una disposición adjetiva como lo son los Lineamientos para la sustanciación de las investigaciones, procedimientos y </w:t>
            </w:r>
            <w:r w:rsidR="00C743A6" w:rsidRPr="005D5DBC">
              <w:rPr>
                <w:rFonts w:ascii="Arial" w:hAnsi="Arial" w:cs="Arial"/>
                <w:bCs/>
                <w:sz w:val="18"/>
                <w:szCs w:val="18"/>
              </w:rPr>
              <w:lastRenderedPageBreak/>
              <w:t>trámites a cargo de la Autoridad Investigadora del Instituto.</w:t>
            </w:r>
          </w:p>
          <w:p w14:paraId="25EB106E" w14:textId="1DEB70C9" w:rsidR="00C743A6" w:rsidRPr="00BF4F5D" w:rsidRDefault="00BD3E15" w:rsidP="00835EFD">
            <w:pPr>
              <w:spacing w:before="120" w:after="120" w:line="23" w:lineRule="atLeast"/>
              <w:jc w:val="both"/>
              <w:rPr>
                <w:rFonts w:ascii="Arial" w:hAnsi="Arial" w:cs="Arial"/>
                <w:b/>
                <w:sz w:val="18"/>
                <w:szCs w:val="18"/>
              </w:rPr>
            </w:pPr>
            <w:r>
              <w:rPr>
                <w:rFonts w:ascii="Arial" w:hAnsi="Arial" w:cs="Arial"/>
                <w:bCs/>
                <w:sz w:val="18"/>
                <w:szCs w:val="18"/>
              </w:rPr>
              <w:t>L</w:t>
            </w:r>
            <w:r w:rsidR="00C743A6" w:rsidRPr="005D5DBC">
              <w:rPr>
                <w:rFonts w:ascii="Arial" w:hAnsi="Arial" w:cs="Arial"/>
                <w:bCs/>
                <w:sz w:val="18"/>
                <w:szCs w:val="18"/>
              </w:rPr>
              <w:t>os procedimientos tramitados por la AI son independientes de aquellos que puedan ser tramitados por la UCE</w:t>
            </w:r>
            <w:r w:rsidR="00835EFD">
              <w:rPr>
                <w:rFonts w:ascii="Arial" w:hAnsi="Arial" w:cs="Arial"/>
                <w:bCs/>
                <w:sz w:val="18"/>
                <w:szCs w:val="18"/>
              </w:rPr>
              <w:t>.</w:t>
            </w:r>
          </w:p>
        </w:tc>
      </w:tr>
      <w:tr w:rsidR="005C1867" w:rsidRPr="003E2214" w14:paraId="13204E8B" w14:textId="77777777" w:rsidTr="00275B74">
        <w:trPr>
          <w:jc w:val="center"/>
        </w:trPr>
        <w:tc>
          <w:tcPr>
            <w:tcW w:w="2948" w:type="dxa"/>
            <w:shd w:val="clear" w:color="auto" w:fill="FFFFFF" w:themeFill="background1"/>
          </w:tcPr>
          <w:p w14:paraId="07B652C2" w14:textId="77777777" w:rsidR="005C1867" w:rsidRPr="00BF4F5D" w:rsidRDefault="005C1867" w:rsidP="005C1867">
            <w:pPr>
              <w:spacing w:before="120" w:after="120" w:line="23" w:lineRule="atLeast"/>
              <w:jc w:val="both"/>
              <w:rPr>
                <w:rFonts w:ascii="Arial" w:hAnsi="Arial" w:cs="Arial"/>
                <w:bCs/>
                <w:sz w:val="18"/>
                <w:szCs w:val="18"/>
                <w:lang w:val="es-ES"/>
              </w:rPr>
            </w:pPr>
            <w:r w:rsidRPr="00BF4F5D">
              <w:rPr>
                <w:rFonts w:ascii="Arial" w:hAnsi="Arial" w:cs="Arial"/>
                <w:bCs/>
                <w:sz w:val="18"/>
                <w:szCs w:val="18"/>
                <w:lang w:val="es-ES"/>
              </w:rPr>
              <w:lastRenderedPageBreak/>
              <w:t xml:space="preserve">En el caso de que el promovente presente junto a su promoción, documentos en idioma distinto al español, deberá acompañar la traducción realizada por un perito traductor de los aspectos que bajo su responsabilidad estime relevantes, sin perjuicio de que el Instituto podrá solicitar al promovente que se amplíe o se realice en su totalidad la traducción por perito traductor, cuando lo considere pertinente. Asimismo, deberá acompañar el documento con el cual el perito acredite su conocimiento técnico del idioma que se trate, sin perjuicio de que, en caso de estimarlo pertinente, el Instituto podrá requerir que se presente traducción por perito traductor reconocido por el Poder Judicial de las entidades federativas o de la Federación. El Instituto no considerará el texto de los documentos que estén en idioma distinto al español y no cuenten con traducción. </w:t>
            </w:r>
          </w:p>
          <w:p w14:paraId="5BDD7102" w14:textId="77777777" w:rsidR="005C1867" w:rsidRDefault="005C1867" w:rsidP="00D50B18">
            <w:pPr>
              <w:spacing w:before="120" w:after="120" w:line="23" w:lineRule="atLeast"/>
              <w:jc w:val="both"/>
              <w:rPr>
                <w:rFonts w:ascii="Arial" w:hAnsi="Arial" w:cs="Arial"/>
                <w:sz w:val="18"/>
                <w:szCs w:val="18"/>
                <w:lang w:val="es-ES"/>
              </w:rPr>
            </w:pPr>
          </w:p>
        </w:tc>
        <w:tc>
          <w:tcPr>
            <w:tcW w:w="2948" w:type="dxa"/>
            <w:shd w:val="clear" w:color="auto" w:fill="FFFFFF" w:themeFill="background1"/>
          </w:tcPr>
          <w:p w14:paraId="31B23129" w14:textId="468616C9" w:rsidR="005C1867" w:rsidRPr="00BF4F5D" w:rsidRDefault="005C1867" w:rsidP="005C1867">
            <w:pPr>
              <w:spacing w:before="120" w:after="120" w:line="23" w:lineRule="atLeast"/>
              <w:jc w:val="both"/>
              <w:rPr>
                <w:rFonts w:ascii="Arial" w:hAnsi="Arial" w:cs="Arial"/>
                <w:sz w:val="18"/>
                <w:szCs w:val="18"/>
              </w:rPr>
            </w:pPr>
            <w:r w:rsidRPr="00BF4F5D">
              <w:rPr>
                <w:rFonts w:ascii="Arial" w:hAnsi="Arial" w:cs="Arial"/>
                <w:sz w:val="18"/>
                <w:szCs w:val="18"/>
              </w:rPr>
              <w:t>Considera que todos los documentos distintos al idioma español deben ser acompañados por su traducción realizada por perito traductor reconocido en todos los casos y no sólo por un perito traductor sin reconocimiento de la autoridad competente.</w:t>
            </w:r>
          </w:p>
          <w:p w14:paraId="43F0320A" w14:textId="4A94B785" w:rsidR="0046791E" w:rsidRDefault="0046791E" w:rsidP="005C1867">
            <w:pPr>
              <w:spacing w:before="120" w:after="120" w:line="23" w:lineRule="atLeast"/>
              <w:jc w:val="both"/>
              <w:rPr>
                <w:rFonts w:ascii="Arial" w:hAnsi="Arial" w:cs="Arial"/>
                <w:b/>
                <w:bCs/>
                <w:sz w:val="18"/>
                <w:szCs w:val="18"/>
              </w:rPr>
            </w:pPr>
          </w:p>
          <w:p w14:paraId="46514C4C" w14:textId="37E8D76D" w:rsidR="009D422C" w:rsidRDefault="009D422C" w:rsidP="005C1867">
            <w:pPr>
              <w:spacing w:before="120" w:after="120" w:line="23" w:lineRule="atLeast"/>
              <w:jc w:val="both"/>
              <w:rPr>
                <w:rFonts w:ascii="Arial" w:hAnsi="Arial" w:cs="Arial"/>
                <w:b/>
                <w:bCs/>
                <w:sz w:val="18"/>
                <w:szCs w:val="18"/>
              </w:rPr>
            </w:pPr>
          </w:p>
          <w:p w14:paraId="7A9D45F0" w14:textId="7E91041E" w:rsidR="009D422C" w:rsidRDefault="009D422C" w:rsidP="005C1867">
            <w:pPr>
              <w:spacing w:before="120" w:after="120" w:line="23" w:lineRule="atLeast"/>
              <w:jc w:val="both"/>
              <w:rPr>
                <w:rFonts w:ascii="Arial" w:hAnsi="Arial" w:cs="Arial"/>
                <w:b/>
                <w:bCs/>
                <w:sz w:val="18"/>
                <w:szCs w:val="18"/>
              </w:rPr>
            </w:pPr>
          </w:p>
          <w:p w14:paraId="1C57DD86" w14:textId="71DA236F" w:rsidR="009D422C" w:rsidRDefault="009D422C" w:rsidP="005C1867">
            <w:pPr>
              <w:spacing w:before="120" w:after="120" w:line="23" w:lineRule="atLeast"/>
              <w:jc w:val="both"/>
              <w:rPr>
                <w:rFonts w:ascii="Arial" w:hAnsi="Arial" w:cs="Arial"/>
                <w:b/>
                <w:bCs/>
                <w:sz w:val="18"/>
                <w:szCs w:val="18"/>
              </w:rPr>
            </w:pPr>
          </w:p>
          <w:p w14:paraId="588E5DA5" w14:textId="68AB7AC0" w:rsidR="009D422C" w:rsidRDefault="009D422C" w:rsidP="005C1867">
            <w:pPr>
              <w:spacing w:before="120" w:after="120" w:line="23" w:lineRule="atLeast"/>
              <w:jc w:val="both"/>
              <w:rPr>
                <w:rFonts w:ascii="Arial" w:hAnsi="Arial" w:cs="Arial"/>
                <w:b/>
                <w:bCs/>
                <w:sz w:val="18"/>
                <w:szCs w:val="18"/>
              </w:rPr>
            </w:pPr>
          </w:p>
          <w:p w14:paraId="1591029A" w14:textId="771D822B" w:rsidR="009D422C" w:rsidRDefault="009D422C" w:rsidP="005C1867">
            <w:pPr>
              <w:spacing w:before="120" w:after="120" w:line="23" w:lineRule="atLeast"/>
              <w:jc w:val="both"/>
              <w:rPr>
                <w:rFonts w:ascii="Arial" w:hAnsi="Arial" w:cs="Arial"/>
                <w:b/>
                <w:bCs/>
                <w:sz w:val="18"/>
                <w:szCs w:val="18"/>
              </w:rPr>
            </w:pPr>
          </w:p>
          <w:p w14:paraId="42179C9D" w14:textId="1EE00994" w:rsidR="009D422C" w:rsidRDefault="009D422C" w:rsidP="005C1867">
            <w:pPr>
              <w:spacing w:before="120" w:after="120" w:line="23" w:lineRule="atLeast"/>
              <w:jc w:val="both"/>
              <w:rPr>
                <w:rFonts w:ascii="Arial" w:hAnsi="Arial" w:cs="Arial"/>
                <w:b/>
                <w:bCs/>
                <w:sz w:val="18"/>
                <w:szCs w:val="18"/>
              </w:rPr>
            </w:pPr>
          </w:p>
          <w:p w14:paraId="13DC44BD" w14:textId="0445D590" w:rsidR="009D422C" w:rsidRDefault="009D422C" w:rsidP="005C1867">
            <w:pPr>
              <w:spacing w:before="120" w:after="120" w:line="23" w:lineRule="atLeast"/>
              <w:jc w:val="both"/>
              <w:rPr>
                <w:rFonts w:ascii="Arial" w:hAnsi="Arial" w:cs="Arial"/>
                <w:b/>
                <w:bCs/>
                <w:sz w:val="18"/>
                <w:szCs w:val="18"/>
              </w:rPr>
            </w:pPr>
          </w:p>
          <w:p w14:paraId="061EB30F" w14:textId="62C7ED56" w:rsidR="009D422C" w:rsidRDefault="009D422C" w:rsidP="005C1867">
            <w:pPr>
              <w:spacing w:before="120" w:after="120" w:line="23" w:lineRule="atLeast"/>
              <w:jc w:val="both"/>
              <w:rPr>
                <w:rFonts w:ascii="Arial" w:hAnsi="Arial" w:cs="Arial"/>
                <w:b/>
                <w:bCs/>
                <w:sz w:val="18"/>
                <w:szCs w:val="18"/>
              </w:rPr>
            </w:pPr>
          </w:p>
          <w:p w14:paraId="2AE8E07F" w14:textId="42F94353" w:rsidR="009D422C" w:rsidRDefault="009D422C" w:rsidP="005C1867">
            <w:pPr>
              <w:spacing w:before="120" w:after="120" w:line="23" w:lineRule="atLeast"/>
              <w:jc w:val="both"/>
              <w:rPr>
                <w:rFonts w:ascii="Arial" w:hAnsi="Arial" w:cs="Arial"/>
                <w:b/>
                <w:bCs/>
                <w:sz w:val="18"/>
                <w:szCs w:val="18"/>
              </w:rPr>
            </w:pPr>
          </w:p>
          <w:p w14:paraId="35027935" w14:textId="77777777" w:rsidR="009D422C" w:rsidRDefault="009D422C" w:rsidP="005C1867">
            <w:pPr>
              <w:spacing w:before="120" w:after="120" w:line="23" w:lineRule="atLeast"/>
              <w:jc w:val="both"/>
              <w:rPr>
                <w:rFonts w:ascii="Arial" w:hAnsi="Arial" w:cs="Arial"/>
                <w:b/>
                <w:bCs/>
                <w:sz w:val="18"/>
                <w:szCs w:val="18"/>
              </w:rPr>
            </w:pPr>
          </w:p>
          <w:p w14:paraId="1C14B196" w14:textId="20A3B8AB" w:rsidR="005C1867" w:rsidRPr="00BF4F5D" w:rsidRDefault="005C1867" w:rsidP="005C1867">
            <w:pPr>
              <w:spacing w:before="120" w:after="120" w:line="23" w:lineRule="atLeast"/>
              <w:jc w:val="both"/>
              <w:rPr>
                <w:rFonts w:ascii="Arial" w:hAnsi="Arial" w:cs="Arial"/>
                <w:sz w:val="18"/>
                <w:szCs w:val="18"/>
              </w:rPr>
            </w:pPr>
            <w:r w:rsidRPr="00BF4F5D">
              <w:rPr>
                <w:rFonts w:ascii="Arial" w:hAnsi="Arial" w:cs="Arial"/>
                <w:sz w:val="18"/>
                <w:szCs w:val="18"/>
              </w:rPr>
              <w:t>Propone que se aclare que no es necesario que el perito traductor esté reconocido por el Poder Judicial de las entidades federativas o de la Federación, sino que, incluso el personal del agente económico o sus autorizados pueden ostentarse como peritos traductores si cuentan con la documentación que acredite su dominio en la lengua en que se trate.</w:t>
            </w:r>
          </w:p>
          <w:p w14:paraId="59453EA7" w14:textId="77777777" w:rsidR="005C1867" w:rsidRPr="00BF4F5D" w:rsidRDefault="005C1867" w:rsidP="00D50B18">
            <w:pPr>
              <w:spacing w:before="120" w:after="120" w:line="23" w:lineRule="atLeast"/>
              <w:jc w:val="center"/>
              <w:rPr>
                <w:rFonts w:ascii="Arial" w:hAnsi="Arial" w:cs="Arial"/>
                <w:b/>
                <w:sz w:val="18"/>
                <w:szCs w:val="18"/>
              </w:rPr>
            </w:pPr>
          </w:p>
        </w:tc>
        <w:tc>
          <w:tcPr>
            <w:tcW w:w="3308" w:type="dxa"/>
            <w:shd w:val="clear" w:color="auto" w:fill="FFFFFF" w:themeFill="background1"/>
          </w:tcPr>
          <w:p w14:paraId="092DF7CE" w14:textId="3A59DFD2" w:rsidR="005C1867" w:rsidRPr="005D5DBC" w:rsidRDefault="0044171B" w:rsidP="005C1867">
            <w:pPr>
              <w:spacing w:before="120" w:after="120" w:line="23" w:lineRule="atLeast"/>
              <w:jc w:val="both"/>
              <w:rPr>
                <w:rFonts w:ascii="Arial" w:hAnsi="Arial" w:cs="Arial"/>
                <w:bCs/>
                <w:sz w:val="18"/>
                <w:szCs w:val="18"/>
              </w:rPr>
            </w:pPr>
            <w:r>
              <w:rPr>
                <w:rFonts w:ascii="Arial" w:hAnsi="Arial" w:cs="Arial"/>
                <w:bCs/>
                <w:sz w:val="18"/>
                <w:szCs w:val="18"/>
              </w:rPr>
              <w:t>Se considera improcedente</w:t>
            </w:r>
            <w:r w:rsidR="005C1867" w:rsidRPr="005D5DBC">
              <w:rPr>
                <w:rFonts w:ascii="Arial" w:hAnsi="Arial" w:cs="Arial"/>
                <w:bCs/>
                <w:sz w:val="18"/>
                <w:szCs w:val="18"/>
              </w:rPr>
              <w:t>, en virtud de que pretende modificar lo establecido en la LFCE y las DRLFCE.</w:t>
            </w:r>
          </w:p>
          <w:p w14:paraId="43885DCC" w14:textId="77777777" w:rsidR="005C1867" w:rsidRPr="00A2799A" w:rsidRDefault="005C1867" w:rsidP="005C1867">
            <w:pPr>
              <w:spacing w:before="120" w:after="120" w:line="23" w:lineRule="atLeast"/>
              <w:jc w:val="both"/>
              <w:rPr>
                <w:rFonts w:ascii="Arial" w:hAnsi="Arial" w:cs="Arial"/>
                <w:bCs/>
                <w:sz w:val="18"/>
                <w:szCs w:val="18"/>
              </w:rPr>
            </w:pPr>
            <w:r w:rsidRPr="005D5DBC">
              <w:rPr>
                <w:rFonts w:ascii="Arial" w:hAnsi="Arial" w:cs="Arial"/>
                <w:bCs/>
                <w:sz w:val="18"/>
                <w:szCs w:val="18"/>
              </w:rPr>
              <w:t xml:space="preserve">La razón por la cual no es obligatorio que todos los documentos deban ser traducidos por perito reconocido es porque en la mayoría de los casos, los documentos pueden traducirse por cualquier persona que acredite tener un conocimiento del idioma extranjero. </w:t>
            </w:r>
            <w:r w:rsidRPr="00A2799A">
              <w:rPr>
                <w:rFonts w:ascii="Arial" w:hAnsi="Arial" w:cs="Arial"/>
                <w:bCs/>
                <w:sz w:val="18"/>
                <w:szCs w:val="18"/>
              </w:rPr>
              <w:t>Sin embargo, habrá supuestos en los que el documento requiera no sólo el conocimiento del idioma extranjero, sino además el conocimiento de alguna otra materia que pueda implicar la traducción de tecnicismos, y quedará a consideración del Instituto requerir una traducción oficial.</w:t>
            </w:r>
          </w:p>
          <w:p w14:paraId="5DC11B89" w14:textId="77777777" w:rsidR="00366EFC" w:rsidRPr="005D5DBC" w:rsidRDefault="00366EFC" w:rsidP="00366EFC">
            <w:pPr>
              <w:spacing w:before="120" w:after="120" w:line="23" w:lineRule="atLeast"/>
              <w:jc w:val="both"/>
              <w:rPr>
                <w:rFonts w:ascii="Arial" w:hAnsi="Arial" w:cs="Arial"/>
                <w:bCs/>
                <w:sz w:val="18"/>
                <w:szCs w:val="18"/>
              </w:rPr>
            </w:pPr>
            <w:r>
              <w:rPr>
                <w:rFonts w:ascii="Arial" w:hAnsi="Arial" w:cs="Arial"/>
                <w:bCs/>
                <w:sz w:val="18"/>
                <w:szCs w:val="18"/>
              </w:rPr>
              <w:t>Se considera improcedente</w:t>
            </w:r>
            <w:r w:rsidRPr="005D5DBC">
              <w:rPr>
                <w:rFonts w:ascii="Arial" w:hAnsi="Arial" w:cs="Arial"/>
                <w:bCs/>
                <w:sz w:val="18"/>
                <w:szCs w:val="18"/>
              </w:rPr>
              <w:t>, en virtud de que pretende modificar lo establecido en la LFCE y las DRLFCE.</w:t>
            </w:r>
          </w:p>
          <w:p w14:paraId="35837E14" w14:textId="544A4D61" w:rsidR="005C1867" w:rsidRPr="005D5DBC" w:rsidRDefault="009D422C" w:rsidP="005C1867">
            <w:pPr>
              <w:spacing w:before="120" w:after="120" w:line="23" w:lineRule="atLeast"/>
              <w:jc w:val="both"/>
              <w:rPr>
                <w:rFonts w:ascii="Arial" w:hAnsi="Arial" w:cs="Arial"/>
                <w:sz w:val="18"/>
                <w:szCs w:val="18"/>
              </w:rPr>
            </w:pPr>
            <w:r>
              <w:rPr>
                <w:rFonts w:ascii="Arial" w:hAnsi="Arial" w:cs="Arial"/>
                <w:sz w:val="18"/>
                <w:szCs w:val="18"/>
              </w:rPr>
              <w:t xml:space="preserve">De conformidad con el </w:t>
            </w:r>
            <w:r w:rsidRPr="005D5DBC">
              <w:rPr>
                <w:rFonts w:ascii="Arial" w:hAnsi="Arial" w:cs="Arial"/>
                <w:bCs/>
                <w:sz w:val="18"/>
                <w:szCs w:val="18"/>
              </w:rPr>
              <w:t>artículo 43 de las DRLFCE</w:t>
            </w:r>
            <w:r w:rsidR="005C1867" w:rsidRPr="005D5DBC">
              <w:rPr>
                <w:rFonts w:ascii="Arial" w:hAnsi="Arial" w:cs="Arial"/>
                <w:sz w:val="18"/>
                <w:szCs w:val="18"/>
              </w:rPr>
              <w:t>,</w:t>
            </w:r>
            <w:r>
              <w:rPr>
                <w:rFonts w:ascii="Arial" w:hAnsi="Arial" w:cs="Arial"/>
                <w:sz w:val="18"/>
                <w:szCs w:val="18"/>
              </w:rPr>
              <w:t xml:space="preserve"> </w:t>
            </w:r>
            <w:r w:rsidR="005C1867" w:rsidRPr="005D5DBC">
              <w:rPr>
                <w:rFonts w:ascii="Arial" w:hAnsi="Arial" w:cs="Arial"/>
                <w:sz w:val="18"/>
                <w:szCs w:val="18"/>
              </w:rPr>
              <w:t>basta con que el perito acredite su conocimiento técnico con documento idóneo del idioma de que se trate.</w:t>
            </w:r>
          </w:p>
          <w:p w14:paraId="50818035" w14:textId="6C0F59D5" w:rsidR="005C1867" w:rsidRPr="00366EFC" w:rsidRDefault="009D422C" w:rsidP="00366EFC">
            <w:pPr>
              <w:spacing w:before="120" w:after="120" w:line="23" w:lineRule="atLeast"/>
              <w:jc w:val="both"/>
              <w:rPr>
                <w:rFonts w:ascii="Arial" w:hAnsi="Arial" w:cs="Arial"/>
                <w:color w:val="FF0000"/>
                <w:sz w:val="18"/>
                <w:szCs w:val="18"/>
              </w:rPr>
            </w:pPr>
            <w:r w:rsidRPr="00A2799A">
              <w:rPr>
                <w:rFonts w:ascii="Arial" w:hAnsi="Arial" w:cs="Arial"/>
                <w:sz w:val="18"/>
                <w:szCs w:val="18"/>
              </w:rPr>
              <w:t xml:space="preserve">Sin embargo, </w:t>
            </w:r>
            <w:r w:rsidR="005C1867" w:rsidRPr="00A2799A">
              <w:rPr>
                <w:rFonts w:ascii="Arial" w:hAnsi="Arial" w:cs="Arial"/>
                <w:sz w:val="18"/>
                <w:szCs w:val="18"/>
              </w:rPr>
              <w:t xml:space="preserve">pueden existir documentos cuya complejidad técnica requiera un conocimiento adicional al lenguaje extranjero, ya sea por tratarse de una ciencia, o bien, por implicar conceptos especializados. Es por esta razón que el Instituto determinará caso por caso, cuándo será necesario que el perito traductor </w:t>
            </w:r>
            <w:r w:rsidR="00A2799A" w:rsidRPr="00A2799A">
              <w:rPr>
                <w:rFonts w:ascii="Arial" w:hAnsi="Arial" w:cs="Arial"/>
                <w:sz w:val="18"/>
                <w:szCs w:val="18"/>
              </w:rPr>
              <w:t>esté reconocido</w:t>
            </w:r>
            <w:r w:rsidR="005C1867" w:rsidRPr="00A2799A">
              <w:rPr>
                <w:rFonts w:ascii="Arial" w:hAnsi="Arial" w:cs="Arial"/>
                <w:sz w:val="18"/>
                <w:szCs w:val="18"/>
              </w:rPr>
              <w:t xml:space="preserve"> por autoridad competente. </w:t>
            </w:r>
            <w:r w:rsidRPr="00A2799A">
              <w:rPr>
                <w:rFonts w:ascii="Arial" w:hAnsi="Arial" w:cs="Arial"/>
                <w:sz w:val="18"/>
                <w:szCs w:val="18"/>
              </w:rPr>
              <w:t xml:space="preserve"> </w:t>
            </w:r>
            <w:r w:rsidR="005C1867" w:rsidRPr="00A2799A">
              <w:rPr>
                <w:rFonts w:ascii="Arial" w:hAnsi="Arial" w:cs="Arial"/>
                <w:sz w:val="18"/>
                <w:szCs w:val="18"/>
              </w:rPr>
              <w:t xml:space="preserve"> </w:t>
            </w:r>
            <w:r w:rsidR="00B61C89" w:rsidRPr="00A2799A">
              <w:rPr>
                <w:rFonts w:ascii="Arial" w:hAnsi="Arial" w:cs="Arial"/>
                <w:sz w:val="18"/>
                <w:szCs w:val="18"/>
              </w:rPr>
              <w:t xml:space="preserve"> </w:t>
            </w:r>
          </w:p>
        </w:tc>
      </w:tr>
      <w:tr w:rsidR="005C1867" w:rsidRPr="003E2214" w14:paraId="62CC4F2A" w14:textId="77777777" w:rsidTr="00275B74">
        <w:trPr>
          <w:jc w:val="center"/>
        </w:trPr>
        <w:tc>
          <w:tcPr>
            <w:tcW w:w="2948" w:type="dxa"/>
            <w:shd w:val="clear" w:color="auto" w:fill="FFFFFF" w:themeFill="background1"/>
          </w:tcPr>
          <w:p w14:paraId="1BCEF845" w14:textId="4DA6DEF1" w:rsidR="005C1867" w:rsidRDefault="005C1867" w:rsidP="00D50B18">
            <w:pPr>
              <w:spacing w:before="120" w:after="120" w:line="23" w:lineRule="atLeast"/>
              <w:jc w:val="both"/>
              <w:rPr>
                <w:rFonts w:ascii="Arial" w:hAnsi="Arial" w:cs="Arial"/>
                <w:sz w:val="18"/>
                <w:szCs w:val="18"/>
                <w:lang w:val="es-ES"/>
              </w:rPr>
            </w:pPr>
            <w:r w:rsidRPr="00BF4F5D">
              <w:rPr>
                <w:rFonts w:ascii="Arial" w:hAnsi="Arial" w:cs="Arial"/>
                <w:bCs/>
                <w:sz w:val="18"/>
                <w:szCs w:val="18"/>
                <w:lang w:val="es-ES"/>
              </w:rPr>
              <w:t xml:space="preserve">Asimismo, se podrán presentar promociones el día del vencimiento de su plazo, después de concluido el horario en que la oficialía de partes puede recibir documentos, por transmisión electrónica a la dirección de correo </w:t>
            </w:r>
            <w:hyperlink r:id="rId13" w:history="1">
              <w:r w:rsidRPr="00BF4F5D">
                <w:rPr>
                  <w:rStyle w:val="Hipervnculo"/>
                  <w:rFonts w:ascii="Arial" w:hAnsi="Arial" w:cs="Arial"/>
                  <w:bCs/>
                  <w:sz w:val="18"/>
                  <w:szCs w:val="18"/>
                  <w:lang w:val="es-ES"/>
                </w:rPr>
                <w:t>oficialiacompetencia@ift.org.mx</w:t>
              </w:r>
            </w:hyperlink>
            <w:r w:rsidRPr="00BF4F5D">
              <w:rPr>
                <w:rFonts w:ascii="Arial" w:hAnsi="Arial" w:cs="Arial"/>
                <w:bCs/>
                <w:sz w:val="18"/>
                <w:szCs w:val="18"/>
                <w:lang w:val="es-ES"/>
              </w:rPr>
              <w:t xml:space="preserve">. </w:t>
            </w:r>
            <w:r w:rsidRPr="00BF4F5D">
              <w:rPr>
                <w:rFonts w:ascii="Arial" w:hAnsi="Arial" w:cs="Arial"/>
                <w:bCs/>
                <w:sz w:val="18"/>
                <w:szCs w:val="18"/>
                <w:lang w:val="es-ES"/>
              </w:rPr>
              <w:lastRenderedPageBreak/>
              <w:t>Una vez recibido, el sistema generará automáticamente un acuse de recibo que será enviado a la dirección de correo electrónico desde la que se originó el envío.</w:t>
            </w:r>
          </w:p>
        </w:tc>
        <w:tc>
          <w:tcPr>
            <w:tcW w:w="2948" w:type="dxa"/>
            <w:shd w:val="clear" w:color="auto" w:fill="FFFFFF" w:themeFill="background1"/>
          </w:tcPr>
          <w:p w14:paraId="6E172B6B" w14:textId="6275BE20" w:rsidR="005C1867" w:rsidRPr="00BF4F5D" w:rsidRDefault="005C1867" w:rsidP="005C1867">
            <w:pPr>
              <w:spacing w:before="120" w:after="120" w:line="23" w:lineRule="atLeast"/>
              <w:jc w:val="both"/>
              <w:rPr>
                <w:rFonts w:ascii="Arial" w:hAnsi="Arial" w:cs="Arial"/>
                <w:b/>
                <w:sz w:val="18"/>
                <w:szCs w:val="18"/>
              </w:rPr>
            </w:pPr>
            <w:r w:rsidRPr="00BF4F5D">
              <w:rPr>
                <w:rFonts w:ascii="Arial" w:hAnsi="Arial" w:cs="Arial"/>
                <w:sz w:val="18"/>
                <w:szCs w:val="18"/>
              </w:rPr>
              <w:lastRenderedPageBreak/>
              <w:t xml:space="preserve">Sugiere aclarar si la posibilidad mencionada en la Guía respecto de si podrán presentarse promociones el día del vencimiento del plazo, por transmisión electrónica a la dirección </w:t>
            </w:r>
            <w:hyperlink r:id="rId14" w:history="1">
              <w:r w:rsidRPr="00BF4F5D">
                <w:rPr>
                  <w:rStyle w:val="Hipervnculo"/>
                  <w:rFonts w:ascii="Arial" w:hAnsi="Arial" w:cs="Arial"/>
                  <w:sz w:val="18"/>
                  <w:szCs w:val="18"/>
                </w:rPr>
                <w:t>oficialiacompetencia@ift.org.mx</w:t>
              </w:r>
            </w:hyperlink>
            <w:r w:rsidRPr="00BF4F5D">
              <w:rPr>
                <w:rFonts w:ascii="Arial" w:hAnsi="Arial" w:cs="Arial"/>
                <w:sz w:val="18"/>
                <w:szCs w:val="18"/>
              </w:rPr>
              <w:t xml:space="preserve">, </w:t>
            </w:r>
            <w:r w:rsidRPr="00BF4F5D">
              <w:rPr>
                <w:rFonts w:ascii="Arial" w:hAnsi="Arial" w:cs="Arial"/>
                <w:sz w:val="18"/>
                <w:szCs w:val="18"/>
              </w:rPr>
              <w:lastRenderedPageBreak/>
              <w:t>es aplicable también a los procedimientos tramitados por medios electrónicos o no.</w:t>
            </w:r>
          </w:p>
        </w:tc>
        <w:tc>
          <w:tcPr>
            <w:tcW w:w="3308" w:type="dxa"/>
            <w:shd w:val="clear" w:color="auto" w:fill="FFFFFF" w:themeFill="background1"/>
          </w:tcPr>
          <w:p w14:paraId="09E9A0D9" w14:textId="384365B9" w:rsidR="005C1867" w:rsidRPr="007F25D5" w:rsidRDefault="00DD53CB" w:rsidP="007F25D5">
            <w:pPr>
              <w:spacing w:before="120" w:after="120" w:line="23" w:lineRule="atLeast"/>
              <w:jc w:val="both"/>
              <w:rPr>
                <w:rFonts w:ascii="Arial" w:hAnsi="Arial" w:cs="Arial"/>
                <w:sz w:val="18"/>
                <w:szCs w:val="18"/>
              </w:rPr>
            </w:pPr>
            <w:r>
              <w:rPr>
                <w:rFonts w:ascii="Arial" w:hAnsi="Arial" w:cs="Arial"/>
                <w:sz w:val="18"/>
                <w:szCs w:val="18"/>
              </w:rPr>
              <w:lastRenderedPageBreak/>
              <w:t>Se considera improcedente</w:t>
            </w:r>
            <w:r w:rsidR="005C1867" w:rsidRPr="005D5DBC">
              <w:rPr>
                <w:rFonts w:ascii="Arial" w:hAnsi="Arial" w:cs="Arial"/>
                <w:sz w:val="18"/>
                <w:szCs w:val="18"/>
              </w:rPr>
              <w:t>,</w:t>
            </w:r>
            <w:r w:rsidR="004D015D">
              <w:rPr>
                <w:rFonts w:ascii="Arial" w:hAnsi="Arial" w:cs="Arial"/>
                <w:sz w:val="18"/>
                <w:szCs w:val="18"/>
              </w:rPr>
              <w:t xml:space="preserve"> en virtud de</w:t>
            </w:r>
            <w:r>
              <w:rPr>
                <w:rFonts w:ascii="Arial" w:hAnsi="Arial" w:cs="Arial"/>
                <w:sz w:val="18"/>
                <w:szCs w:val="18"/>
              </w:rPr>
              <w:t xml:space="preserve"> que </w:t>
            </w:r>
            <w:r w:rsidR="005C1867" w:rsidRPr="005D5DBC">
              <w:rPr>
                <w:rFonts w:ascii="Arial" w:hAnsi="Arial" w:cs="Arial"/>
                <w:sz w:val="18"/>
                <w:szCs w:val="18"/>
              </w:rPr>
              <w:t>no es posible liga</w:t>
            </w:r>
            <w:r w:rsidR="004D015D">
              <w:rPr>
                <w:rFonts w:ascii="Arial" w:hAnsi="Arial" w:cs="Arial"/>
                <w:sz w:val="18"/>
                <w:szCs w:val="18"/>
              </w:rPr>
              <w:t>r el Anteproyecto</w:t>
            </w:r>
            <w:r w:rsidR="007F25D5">
              <w:rPr>
                <w:rFonts w:ascii="Arial" w:hAnsi="Arial" w:cs="Arial"/>
                <w:sz w:val="18"/>
                <w:szCs w:val="18"/>
              </w:rPr>
              <w:t>,</w:t>
            </w:r>
            <w:r w:rsidR="004D015D">
              <w:rPr>
                <w:rFonts w:ascii="Arial" w:hAnsi="Arial" w:cs="Arial"/>
                <w:sz w:val="18"/>
                <w:szCs w:val="18"/>
              </w:rPr>
              <w:t xml:space="preserve"> con</w:t>
            </w:r>
            <w:r w:rsidR="005C1867" w:rsidRPr="005D5DBC">
              <w:rPr>
                <w:rFonts w:ascii="Arial" w:hAnsi="Arial" w:cs="Arial"/>
                <w:sz w:val="18"/>
                <w:szCs w:val="18"/>
              </w:rPr>
              <w:t xml:space="preserve"> aquellos procedimientos tramitados por medios electrónicos a los que refiere el </w:t>
            </w:r>
            <w:r>
              <w:rPr>
                <w:rFonts w:ascii="Arial" w:hAnsi="Arial" w:cs="Arial"/>
                <w:sz w:val="18"/>
                <w:szCs w:val="18"/>
              </w:rPr>
              <w:t>p</w:t>
            </w:r>
            <w:r w:rsidR="005C1867" w:rsidRPr="00DD53CB">
              <w:rPr>
                <w:rFonts w:ascii="Arial" w:hAnsi="Arial" w:cs="Arial"/>
                <w:sz w:val="18"/>
                <w:szCs w:val="18"/>
              </w:rPr>
              <w:t>articipante</w:t>
            </w:r>
            <w:r w:rsidR="005C1867" w:rsidRPr="005D5DBC">
              <w:rPr>
                <w:rFonts w:ascii="Arial" w:hAnsi="Arial" w:cs="Arial"/>
                <w:sz w:val="18"/>
                <w:szCs w:val="18"/>
              </w:rPr>
              <w:t>.</w:t>
            </w:r>
            <w:r w:rsidR="007F25D5">
              <w:rPr>
                <w:rFonts w:ascii="Arial" w:hAnsi="Arial" w:cs="Arial"/>
                <w:sz w:val="18"/>
                <w:szCs w:val="18"/>
              </w:rPr>
              <w:t xml:space="preserve"> </w:t>
            </w:r>
            <w:r w:rsidR="005C1867" w:rsidRPr="005D5DBC">
              <w:rPr>
                <w:rFonts w:ascii="Arial" w:hAnsi="Arial" w:cs="Arial"/>
                <w:sz w:val="18"/>
                <w:szCs w:val="18"/>
              </w:rPr>
              <w:t xml:space="preserve">Sin que esta situación sea un impedimento para que los ordenamientos normativos que regulan </w:t>
            </w:r>
            <w:r w:rsidR="005C1867" w:rsidRPr="005D5DBC">
              <w:rPr>
                <w:rFonts w:ascii="Arial" w:hAnsi="Arial" w:cs="Arial"/>
                <w:sz w:val="18"/>
                <w:szCs w:val="18"/>
              </w:rPr>
              <w:lastRenderedPageBreak/>
              <w:t xml:space="preserve">los procedimientos tramitados de manera electrónica puedan prever </w:t>
            </w:r>
            <w:r w:rsidR="004D015D">
              <w:rPr>
                <w:rFonts w:ascii="Arial" w:hAnsi="Arial" w:cs="Arial"/>
                <w:sz w:val="18"/>
                <w:szCs w:val="18"/>
              </w:rPr>
              <w:t>algún supuesto diverso</w:t>
            </w:r>
            <w:r w:rsidR="005C1867" w:rsidRPr="005D5DBC">
              <w:rPr>
                <w:rFonts w:ascii="Arial" w:hAnsi="Arial" w:cs="Arial"/>
                <w:sz w:val="18"/>
                <w:szCs w:val="18"/>
              </w:rPr>
              <w:t>.</w:t>
            </w:r>
          </w:p>
        </w:tc>
      </w:tr>
    </w:tbl>
    <w:p w14:paraId="04311CEE" w14:textId="359AC291" w:rsidR="00F52EDB" w:rsidRDefault="00F2338E" w:rsidP="00D50B18">
      <w:pPr>
        <w:spacing w:before="120" w:after="120" w:line="23" w:lineRule="atLeast"/>
        <w:jc w:val="both"/>
        <w:rPr>
          <w:rFonts w:ascii="Arial" w:hAnsi="Arial" w:cs="Arial"/>
          <w:b/>
        </w:rPr>
      </w:pPr>
      <w:r>
        <w:rPr>
          <w:rFonts w:ascii="Arial" w:hAnsi="Arial" w:cs="Arial"/>
          <w:b/>
        </w:rPr>
        <w:lastRenderedPageBreak/>
        <w:tab/>
      </w:r>
    </w:p>
    <w:sectPr w:rsidR="00F52EDB" w:rsidSect="00DE6F93">
      <w:footerReference w:type="default" r:id="rId15"/>
      <w:pgSz w:w="12240" w:h="15840"/>
      <w:pgMar w:top="1418" w:right="1418" w:bottom="1418" w:left="1418"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15C2B" w14:textId="77777777" w:rsidR="008623C8" w:rsidRDefault="008623C8" w:rsidP="005C5B1C">
      <w:pPr>
        <w:spacing w:after="0" w:line="240" w:lineRule="auto"/>
      </w:pPr>
      <w:r>
        <w:separator/>
      </w:r>
    </w:p>
  </w:endnote>
  <w:endnote w:type="continuationSeparator" w:id="0">
    <w:p w14:paraId="39E9B331" w14:textId="77777777" w:rsidR="008623C8" w:rsidRDefault="008623C8" w:rsidP="005C5B1C">
      <w:pPr>
        <w:spacing w:after="0" w:line="240" w:lineRule="auto"/>
      </w:pPr>
      <w:r>
        <w:continuationSeparator/>
      </w:r>
    </w:p>
  </w:endnote>
  <w:endnote w:type="continuationNotice" w:id="1">
    <w:p w14:paraId="7F79DC57" w14:textId="77777777" w:rsidR="008623C8" w:rsidRDefault="008623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6412521"/>
      <w:docPartObj>
        <w:docPartGallery w:val="Page Numbers (Bottom of Page)"/>
        <w:docPartUnique/>
      </w:docPartObj>
    </w:sdtPr>
    <w:sdtEndPr/>
    <w:sdtContent>
      <w:sdt>
        <w:sdtPr>
          <w:id w:val="-1769616900"/>
          <w:docPartObj>
            <w:docPartGallery w:val="Page Numbers (Top of Page)"/>
            <w:docPartUnique/>
          </w:docPartObj>
        </w:sdtPr>
        <w:sdtEndPr/>
        <w:sdtContent>
          <w:p w14:paraId="4EE68677" w14:textId="23A0303E" w:rsidR="009B7FD9" w:rsidRDefault="009B7FD9">
            <w:pPr>
              <w:pStyle w:val="Piedepgina"/>
              <w:jc w:val="right"/>
            </w:pPr>
            <w:r w:rsidRPr="00275B74">
              <w:rPr>
                <w:rFonts w:ascii="Arial" w:hAnsi="Arial" w:cs="Arial"/>
                <w:sz w:val="18"/>
                <w:szCs w:val="18"/>
                <w:lang w:val="es-ES"/>
              </w:rPr>
              <w:t xml:space="preserve">Página </w:t>
            </w:r>
            <w:r w:rsidRPr="00275B74">
              <w:rPr>
                <w:rFonts w:ascii="Arial" w:hAnsi="Arial" w:cs="Arial"/>
                <w:b/>
                <w:bCs/>
                <w:sz w:val="18"/>
                <w:szCs w:val="18"/>
              </w:rPr>
              <w:fldChar w:fldCharType="begin"/>
            </w:r>
            <w:r w:rsidRPr="00275B74">
              <w:rPr>
                <w:rFonts w:ascii="Arial" w:hAnsi="Arial" w:cs="Arial"/>
                <w:b/>
                <w:bCs/>
                <w:sz w:val="18"/>
                <w:szCs w:val="18"/>
              </w:rPr>
              <w:instrText>PAGE</w:instrText>
            </w:r>
            <w:r w:rsidRPr="00275B74">
              <w:rPr>
                <w:rFonts w:ascii="Arial" w:hAnsi="Arial" w:cs="Arial"/>
                <w:b/>
                <w:bCs/>
                <w:sz w:val="18"/>
                <w:szCs w:val="18"/>
              </w:rPr>
              <w:fldChar w:fldCharType="separate"/>
            </w:r>
            <w:r w:rsidRPr="00275B74">
              <w:rPr>
                <w:rFonts w:ascii="Arial" w:hAnsi="Arial" w:cs="Arial"/>
                <w:b/>
                <w:bCs/>
                <w:sz w:val="18"/>
                <w:szCs w:val="18"/>
                <w:lang w:val="es-ES"/>
              </w:rPr>
              <w:t>2</w:t>
            </w:r>
            <w:r w:rsidRPr="00275B74">
              <w:rPr>
                <w:rFonts w:ascii="Arial" w:hAnsi="Arial" w:cs="Arial"/>
                <w:b/>
                <w:bCs/>
                <w:sz w:val="18"/>
                <w:szCs w:val="18"/>
              </w:rPr>
              <w:fldChar w:fldCharType="end"/>
            </w:r>
            <w:r w:rsidRPr="00275B74">
              <w:rPr>
                <w:rFonts w:ascii="Arial" w:hAnsi="Arial" w:cs="Arial"/>
                <w:sz w:val="18"/>
                <w:szCs w:val="18"/>
                <w:lang w:val="es-ES"/>
              </w:rPr>
              <w:t xml:space="preserve"> de </w:t>
            </w:r>
            <w:r w:rsidRPr="00275B74">
              <w:rPr>
                <w:rFonts w:ascii="Arial" w:hAnsi="Arial" w:cs="Arial"/>
                <w:b/>
                <w:bCs/>
                <w:sz w:val="18"/>
                <w:szCs w:val="18"/>
              </w:rPr>
              <w:fldChar w:fldCharType="begin"/>
            </w:r>
            <w:r w:rsidRPr="00275B74">
              <w:rPr>
                <w:rFonts w:ascii="Arial" w:hAnsi="Arial" w:cs="Arial"/>
                <w:b/>
                <w:bCs/>
                <w:sz w:val="18"/>
                <w:szCs w:val="18"/>
              </w:rPr>
              <w:instrText>NUMPAGES</w:instrText>
            </w:r>
            <w:r w:rsidRPr="00275B74">
              <w:rPr>
                <w:rFonts w:ascii="Arial" w:hAnsi="Arial" w:cs="Arial"/>
                <w:b/>
                <w:bCs/>
                <w:sz w:val="18"/>
                <w:szCs w:val="18"/>
              </w:rPr>
              <w:fldChar w:fldCharType="separate"/>
            </w:r>
            <w:r w:rsidRPr="00275B74">
              <w:rPr>
                <w:rFonts w:ascii="Arial" w:hAnsi="Arial" w:cs="Arial"/>
                <w:b/>
                <w:bCs/>
                <w:sz w:val="18"/>
                <w:szCs w:val="18"/>
                <w:lang w:val="es-ES"/>
              </w:rPr>
              <w:t>2</w:t>
            </w:r>
            <w:r w:rsidRPr="00275B74">
              <w:rPr>
                <w:rFonts w:ascii="Arial" w:hAnsi="Arial" w:cs="Arial"/>
                <w:b/>
                <w:bCs/>
                <w:sz w:val="18"/>
                <w:szCs w:val="18"/>
              </w:rPr>
              <w:fldChar w:fldCharType="end"/>
            </w:r>
          </w:p>
        </w:sdtContent>
      </w:sdt>
    </w:sdtContent>
  </w:sdt>
  <w:p w14:paraId="5C39AAA1" w14:textId="77777777" w:rsidR="009B7FD9" w:rsidRDefault="009B7F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70EC1" w14:textId="77777777" w:rsidR="008623C8" w:rsidRDefault="008623C8" w:rsidP="005C5B1C">
      <w:pPr>
        <w:spacing w:after="0" w:line="240" w:lineRule="auto"/>
      </w:pPr>
      <w:r>
        <w:separator/>
      </w:r>
    </w:p>
  </w:footnote>
  <w:footnote w:type="continuationSeparator" w:id="0">
    <w:p w14:paraId="2FB53D11" w14:textId="77777777" w:rsidR="008623C8" w:rsidRDefault="008623C8" w:rsidP="005C5B1C">
      <w:pPr>
        <w:spacing w:after="0" w:line="240" w:lineRule="auto"/>
      </w:pPr>
      <w:r>
        <w:continuationSeparator/>
      </w:r>
    </w:p>
  </w:footnote>
  <w:footnote w:type="continuationNotice" w:id="1">
    <w:p w14:paraId="7CC3B948" w14:textId="77777777" w:rsidR="008623C8" w:rsidRDefault="008623C8">
      <w:pPr>
        <w:spacing w:after="0" w:line="240" w:lineRule="auto"/>
      </w:pPr>
    </w:p>
  </w:footnote>
  <w:footnote w:id="2">
    <w:p w14:paraId="4D57FEAB" w14:textId="77777777" w:rsidR="009B7FD9" w:rsidRPr="00A43C75" w:rsidRDefault="009B7FD9" w:rsidP="003142E8">
      <w:pPr>
        <w:spacing w:after="0" w:line="240" w:lineRule="auto"/>
        <w:jc w:val="both"/>
        <w:rPr>
          <w:rFonts w:ascii="Arial" w:hAnsi="Arial" w:cs="Arial"/>
          <w:i/>
          <w:iCs/>
          <w:sz w:val="14"/>
          <w:szCs w:val="14"/>
        </w:rPr>
      </w:pPr>
      <w:r w:rsidRPr="00A43C75">
        <w:rPr>
          <w:rStyle w:val="Refdenotaalpie"/>
          <w:rFonts w:ascii="Arial" w:hAnsi="Arial" w:cs="Arial"/>
          <w:sz w:val="14"/>
          <w:szCs w:val="14"/>
        </w:rPr>
        <w:footnoteRef/>
      </w:r>
      <w:r w:rsidRPr="00A43C75">
        <w:rPr>
          <w:rFonts w:ascii="Arial" w:hAnsi="Arial" w:cs="Arial"/>
          <w:sz w:val="14"/>
          <w:szCs w:val="14"/>
        </w:rPr>
        <w:t xml:space="preserve"> “</w:t>
      </w:r>
      <w:proofErr w:type="gramStart"/>
      <w:r w:rsidRPr="00A43C75">
        <w:rPr>
          <w:rFonts w:ascii="Arial" w:hAnsi="Arial" w:cs="Arial"/>
          <w:b/>
          <w:bCs/>
          <w:i/>
          <w:iCs/>
          <w:sz w:val="14"/>
          <w:szCs w:val="14"/>
        </w:rPr>
        <w:t>Noveno.-</w:t>
      </w:r>
      <w:proofErr w:type="gramEnd"/>
      <w:r w:rsidRPr="00A43C75">
        <w:rPr>
          <w:rFonts w:ascii="Arial" w:hAnsi="Arial" w:cs="Arial"/>
          <w:b/>
          <w:bCs/>
          <w:i/>
          <w:iCs/>
          <w:sz w:val="14"/>
          <w:szCs w:val="14"/>
        </w:rPr>
        <w:t xml:space="preserve"> </w:t>
      </w:r>
      <w:r w:rsidRPr="00A43C75">
        <w:rPr>
          <w:rFonts w:ascii="Arial" w:hAnsi="Arial" w:cs="Arial"/>
          <w:i/>
          <w:iCs/>
          <w:sz w:val="14"/>
          <w:szCs w:val="14"/>
        </w:rPr>
        <w:t>La información, comentarios, opiniones, aportaciones u otros elementos de análisis que los participantes presenten al Instituto, en los procesos de consulta pública que realice, no tendrán carácter vinculante. No obstante, siempre y cuando se hayan recibido en tiempo y forma, las Unidades y/o Coordinaciones Generales correspondientes deberán analizarlos, ponderarlos y presentar una respuesta o posicionamiento sobre ellos a través de un Informe de Consideraciones, que contenga, cuando menos, la siguiente información:</w:t>
      </w:r>
    </w:p>
    <w:p w14:paraId="43D1BBD7" w14:textId="77777777" w:rsidR="009B7FD9" w:rsidRPr="00A43C75" w:rsidRDefault="009B7FD9" w:rsidP="003142E8">
      <w:pPr>
        <w:spacing w:after="0" w:line="240" w:lineRule="auto"/>
        <w:jc w:val="both"/>
        <w:rPr>
          <w:rFonts w:ascii="Arial" w:hAnsi="Arial" w:cs="Arial"/>
          <w:i/>
          <w:iCs/>
          <w:sz w:val="14"/>
          <w:szCs w:val="14"/>
        </w:rPr>
      </w:pPr>
      <w:r w:rsidRPr="00A43C75">
        <w:rPr>
          <w:rFonts w:ascii="Arial" w:hAnsi="Arial" w:cs="Arial"/>
          <w:i/>
          <w:iCs/>
          <w:sz w:val="14"/>
          <w:szCs w:val="14"/>
        </w:rPr>
        <w:t>I.     Fecha de elaboración;</w:t>
      </w:r>
    </w:p>
    <w:p w14:paraId="601FF926" w14:textId="77777777" w:rsidR="009B7FD9" w:rsidRPr="00A43C75" w:rsidRDefault="009B7FD9" w:rsidP="003142E8">
      <w:pPr>
        <w:spacing w:after="0" w:line="240" w:lineRule="auto"/>
        <w:jc w:val="both"/>
        <w:rPr>
          <w:rFonts w:ascii="Arial" w:hAnsi="Arial" w:cs="Arial"/>
          <w:i/>
          <w:iCs/>
          <w:sz w:val="14"/>
          <w:szCs w:val="14"/>
        </w:rPr>
      </w:pPr>
      <w:r w:rsidRPr="00A43C75">
        <w:rPr>
          <w:rFonts w:ascii="Arial" w:hAnsi="Arial" w:cs="Arial"/>
          <w:i/>
          <w:iCs/>
          <w:sz w:val="14"/>
          <w:szCs w:val="14"/>
        </w:rPr>
        <w:t>II.    Título o denominación de la consulta pública;</w:t>
      </w:r>
    </w:p>
    <w:p w14:paraId="45A62309" w14:textId="77777777" w:rsidR="009B7FD9" w:rsidRPr="00A43C75" w:rsidRDefault="009B7FD9" w:rsidP="003142E8">
      <w:pPr>
        <w:spacing w:after="0" w:line="240" w:lineRule="auto"/>
        <w:jc w:val="both"/>
        <w:rPr>
          <w:rFonts w:ascii="Arial" w:hAnsi="Arial" w:cs="Arial"/>
          <w:i/>
          <w:iCs/>
          <w:sz w:val="14"/>
          <w:szCs w:val="14"/>
        </w:rPr>
      </w:pPr>
      <w:r w:rsidRPr="00A43C75">
        <w:rPr>
          <w:rFonts w:ascii="Arial" w:hAnsi="Arial" w:cs="Arial"/>
          <w:i/>
          <w:iCs/>
          <w:sz w:val="14"/>
          <w:szCs w:val="14"/>
        </w:rPr>
        <w:t>III.    Descripción de la consulta pública;</w:t>
      </w:r>
    </w:p>
    <w:p w14:paraId="119AF041" w14:textId="77777777" w:rsidR="009B7FD9" w:rsidRPr="00A43C75" w:rsidRDefault="009B7FD9" w:rsidP="003142E8">
      <w:pPr>
        <w:spacing w:after="0" w:line="240" w:lineRule="auto"/>
        <w:jc w:val="both"/>
        <w:rPr>
          <w:rFonts w:ascii="Arial" w:hAnsi="Arial" w:cs="Arial"/>
          <w:i/>
          <w:iCs/>
          <w:sz w:val="14"/>
          <w:szCs w:val="14"/>
        </w:rPr>
      </w:pPr>
      <w:r w:rsidRPr="00A43C75">
        <w:rPr>
          <w:rFonts w:ascii="Arial" w:hAnsi="Arial" w:cs="Arial"/>
          <w:i/>
          <w:iCs/>
          <w:sz w:val="14"/>
          <w:szCs w:val="14"/>
        </w:rPr>
        <w:t>IV.   Objetivos de la consulta pública;</w:t>
      </w:r>
    </w:p>
    <w:p w14:paraId="7FFFBB3C" w14:textId="77777777" w:rsidR="009B7FD9" w:rsidRPr="00A43C75" w:rsidRDefault="009B7FD9" w:rsidP="003142E8">
      <w:pPr>
        <w:spacing w:after="0" w:line="240" w:lineRule="auto"/>
        <w:jc w:val="both"/>
        <w:rPr>
          <w:rFonts w:ascii="Arial" w:hAnsi="Arial" w:cs="Arial"/>
          <w:i/>
          <w:iCs/>
          <w:sz w:val="14"/>
          <w:szCs w:val="14"/>
        </w:rPr>
      </w:pPr>
      <w:r w:rsidRPr="00A43C75">
        <w:rPr>
          <w:rFonts w:ascii="Arial" w:hAnsi="Arial" w:cs="Arial"/>
          <w:i/>
          <w:iCs/>
          <w:sz w:val="14"/>
          <w:szCs w:val="14"/>
        </w:rPr>
        <w:t>V.    Unidades y/o Coordinaciones Generales responsables de la consulta pública;</w:t>
      </w:r>
    </w:p>
    <w:p w14:paraId="10BEF3E5" w14:textId="77777777" w:rsidR="009B7FD9" w:rsidRPr="00A43C75" w:rsidRDefault="009B7FD9" w:rsidP="003142E8">
      <w:pPr>
        <w:spacing w:after="0" w:line="240" w:lineRule="auto"/>
        <w:jc w:val="both"/>
        <w:rPr>
          <w:rFonts w:ascii="Arial" w:hAnsi="Arial" w:cs="Arial"/>
          <w:i/>
          <w:iCs/>
          <w:sz w:val="14"/>
          <w:szCs w:val="14"/>
        </w:rPr>
      </w:pPr>
      <w:r w:rsidRPr="00A43C75">
        <w:rPr>
          <w:rFonts w:ascii="Arial" w:hAnsi="Arial" w:cs="Arial"/>
          <w:i/>
          <w:iCs/>
          <w:sz w:val="14"/>
          <w:szCs w:val="14"/>
        </w:rPr>
        <w:t>VI.   Descripción de los participantes en la consulta pública, y</w:t>
      </w:r>
    </w:p>
    <w:p w14:paraId="089F5EDA" w14:textId="77777777" w:rsidR="009B7FD9" w:rsidRPr="00A43C75" w:rsidRDefault="009B7FD9" w:rsidP="003142E8">
      <w:pPr>
        <w:spacing w:after="0" w:line="240" w:lineRule="auto"/>
        <w:jc w:val="both"/>
        <w:rPr>
          <w:rFonts w:ascii="Arial" w:hAnsi="Arial" w:cs="Arial"/>
          <w:i/>
          <w:iCs/>
          <w:sz w:val="14"/>
          <w:szCs w:val="14"/>
        </w:rPr>
      </w:pPr>
      <w:r w:rsidRPr="00A43C75">
        <w:rPr>
          <w:rFonts w:ascii="Arial" w:hAnsi="Arial" w:cs="Arial"/>
          <w:i/>
          <w:iCs/>
          <w:sz w:val="14"/>
          <w:szCs w:val="14"/>
        </w:rPr>
        <w:t>VII.  Las respuestas o posicionamientos que correspondan por parte del Instituto.</w:t>
      </w:r>
    </w:p>
    <w:p w14:paraId="65068FAF" w14:textId="77777777" w:rsidR="009B7FD9" w:rsidRPr="00A43C75" w:rsidRDefault="009B7FD9" w:rsidP="003142E8">
      <w:pPr>
        <w:spacing w:after="0" w:line="240" w:lineRule="auto"/>
        <w:jc w:val="both"/>
        <w:rPr>
          <w:rFonts w:ascii="Arial" w:hAnsi="Arial" w:cs="Arial"/>
          <w:i/>
          <w:iCs/>
          <w:sz w:val="14"/>
          <w:szCs w:val="14"/>
        </w:rPr>
      </w:pPr>
      <w:r w:rsidRPr="00A43C75">
        <w:rPr>
          <w:rFonts w:ascii="Arial" w:hAnsi="Arial" w:cs="Arial"/>
          <w:i/>
          <w:iCs/>
          <w:sz w:val="14"/>
          <w:szCs w:val="14"/>
        </w:rPr>
        <w:t>De así considerarlo, las Unidades y/o Coordinaciones Generales podrán presentar una respuesta o posicionamiento de manera agrupada acerca de la información, comentarios, opiniones, aportaciones u otros elementos de análisis que los participantes hayan aportado al Instituto.</w:t>
      </w:r>
    </w:p>
    <w:p w14:paraId="3A9F4E3C" w14:textId="55D385A1" w:rsidR="009B7FD9" w:rsidRPr="00B53CE1" w:rsidRDefault="009B7FD9" w:rsidP="00B53CE1">
      <w:pPr>
        <w:spacing w:after="0" w:line="240" w:lineRule="auto"/>
        <w:jc w:val="both"/>
        <w:rPr>
          <w:rFonts w:ascii="Arial" w:hAnsi="Arial" w:cs="Arial"/>
          <w:i/>
          <w:iCs/>
          <w:sz w:val="14"/>
          <w:szCs w:val="14"/>
        </w:rPr>
      </w:pPr>
      <w:r w:rsidRPr="00A43C75">
        <w:rPr>
          <w:rFonts w:ascii="Arial" w:hAnsi="Arial" w:cs="Arial"/>
          <w:i/>
          <w:iCs/>
          <w:sz w:val="14"/>
          <w:szCs w:val="14"/>
        </w:rPr>
        <w:t xml:space="preserve">En el caso de que el Instituto determine la integración de algún grupo de enfoque, conforme a lo señalado en el Lineamiento Sexto, segundo párrafo, deberán referir en el Informe de Consideraciones los resultados </w:t>
      </w:r>
      <w:proofErr w:type="gramStart"/>
      <w:r w:rsidRPr="00A43C75">
        <w:rPr>
          <w:rFonts w:ascii="Arial" w:hAnsi="Arial" w:cs="Arial"/>
          <w:i/>
          <w:iCs/>
          <w:sz w:val="14"/>
          <w:szCs w:val="14"/>
        </w:rPr>
        <w:t>del mismo</w:t>
      </w:r>
      <w:proofErr w:type="gramEnd"/>
      <w:r w:rsidRPr="00A43C75">
        <w:rPr>
          <w:rFonts w:ascii="Arial" w:hAnsi="Arial" w:cs="Arial"/>
          <w:i/>
          <w:iCs/>
          <w:sz w:val="14"/>
          <w:szCs w:val="14"/>
        </w:rPr>
        <w:t>, preservando la confidencialidad o reserva de la información que se haya determinado con ese carácter”.</w:t>
      </w:r>
    </w:p>
  </w:footnote>
  <w:footnote w:id="3">
    <w:p w14:paraId="2AD74F93" w14:textId="77777777" w:rsidR="00C24811" w:rsidRPr="00A43C75" w:rsidRDefault="00C24811" w:rsidP="00C24811">
      <w:pPr>
        <w:pStyle w:val="Textonotapie"/>
        <w:jc w:val="both"/>
        <w:rPr>
          <w:rFonts w:ascii="Arial" w:hAnsi="Arial" w:cs="Arial"/>
          <w:sz w:val="14"/>
          <w:szCs w:val="14"/>
        </w:rPr>
      </w:pPr>
      <w:r w:rsidRPr="00A43C75">
        <w:rPr>
          <w:rStyle w:val="Refdenotaalpie"/>
          <w:rFonts w:ascii="Arial" w:hAnsi="Arial" w:cs="Arial"/>
          <w:sz w:val="14"/>
          <w:szCs w:val="14"/>
        </w:rPr>
        <w:footnoteRef/>
      </w:r>
      <w:r w:rsidRPr="00A43C75">
        <w:rPr>
          <w:rFonts w:ascii="Arial" w:hAnsi="Arial" w:cs="Arial"/>
          <w:sz w:val="14"/>
          <w:szCs w:val="14"/>
        </w:rPr>
        <w:t xml:space="preserve"> Sirve como criterio orientador la siguiente tesis: </w:t>
      </w:r>
      <w:r w:rsidRPr="00A43C75">
        <w:rPr>
          <w:rFonts w:ascii="Arial" w:hAnsi="Arial" w:cs="Arial"/>
          <w:b/>
          <w:bCs/>
          <w:i/>
          <w:iCs/>
          <w:sz w:val="14"/>
          <w:szCs w:val="14"/>
        </w:rPr>
        <w:t>GUÍA PARA LA NOTIFICACIÓN DE CONCENTRACIONES EXPEDIDA POR LA EXTINTA COMISIÓN FEDERAL DE COMPETENCIA. AUN CUANDO NO ES UNA NORMA JURÍDICA, LA AUTORIDAD PUEDE REFERIRSE A ÉSTA EN SUS RESOLUCIONES.</w:t>
      </w:r>
      <w:r w:rsidRPr="00A43C75">
        <w:rPr>
          <w:rFonts w:ascii="Arial" w:hAnsi="Arial" w:cs="Arial"/>
          <w:sz w:val="14"/>
          <w:szCs w:val="14"/>
        </w:rPr>
        <w:t xml:space="preserve"> Registro digital: 2018665.</w:t>
      </w:r>
    </w:p>
  </w:footnote>
  <w:footnote w:id="4">
    <w:p w14:paraId="571A46BB" w14:textId="77777777" w:rsidR="00C24811" w:rsidRPr="00A43C75" w:rsidRDefault="00C24811" w:rsidP="00C24811">
      <w:pPr>
        <w:pStyle w:val="Textonotapie"/>
        <w:jc w:val="both"/>
        <w:rPr>
          <w:rFonts w:ascii="Arial" w:hAnsi="Arial" w:cs="Arial"/>
          <w:sz w:val="14"/>
          <w:szCs w:val="14"/>
        </w:rPr>
      </w:pPr>
      <w:r w:rsidRPr="00A43C75">
        <w:rPr>
          <w:rStyle w:val="Refdenotaalpie"/>
          <w:rFonts w:ascii="Arial" w:hAnsi="Arial" w:cs="Arial"/>
          <w:sz w:val="14"/>
          <w:szCs w:val="14"/>
        </w:rPr>
        <w:footnoteRef/>
      </w:r>
      <w:r w:rsidRPr="00A43C75">
        <w:rPr>
          <w:rFonts w:ascii="Arial" w:hAnsi="Arial" w:cs="Arial"/>
          <w:sz w:val="14"/>
          <w:szCs w:val="14"/>
        </w:rPr>
        <w:t xml:space="preserve"> </w:t>
      </w:r>
      <w:r w:rsidRPr="00A43C75">
        <w:rPr>
          <w:rFonts w:ascii="Arial" w:hAnsi="Arial" w:cs="Arial"/>
          <w:b/>
          <w:bCs/>
          <w:sz w:val="14"/>
          <w:szCs w:val="14"/>
        </w:rPr>
        <w:t xml:space="preserve">Artículo 62. </w:t>
      </w:r>
      <w:r w:rsidRPr="00A43C75">
        <w:rPr>
          <w:rFonts w:ascii="Arial" w:hAnsi="Arial" w:cs="Arial"/>
          <w:sz w:val="14"/>
          <w:szCs w:val="14"/>
        </w:rPr>
        <w:t>Para el despacho de los asuntos de su competencia, la Autoridad Investigadora tendrá… las siguientes atribuciones:</w:t>
      </w:r>
    </w:p>
    <w:p w14:paraId="26186215" w14:textId="77777777" w:rsidR="00C24811" w:rsidRPr="00A43C75" w:rsidRDefault="00C24811" w:rsidP="00C24811">
      <w:pPr>
        <w:pStyle w:val="Textonotapie"/>
        <w:jc w:val="both"/>
        <w:rPr>
          <w:rFonts w:ascii="Arial" w:hAnsi="Arial" w:cs="Arial"/>
          <w:sz w:val="14"/>
          <w:szCs w:val="14"/>
        </w:rPr>
      </w:pPr>
      <w:r w:rsidRPr="00A43C75">
        <w:rPr>
          <w:rFonts w:ascii="Arial" w:hAnsi="Arial" w:cs="Arial"/>
          <w:sz w:val="14"/>
          <w:szCs w:val="14"/>
        </w:rPr>
        <w:t>…</w:t>
      </w:r>
    </w:p>
    <w:p w14:paraId="1077738F" w14:textId="77777777" w:rsidR="00C24811" w:rsidRPr="00A43C75" w:rsidRDefault="00C24811" w:rsidP="00C24811">
      <w:pPr>
        <w:pStyle w:val="Textonotapie"/>
        <w:jc w:val="both"/>
        <w:rPr>
          <w:rFonts w:ascii="Arial" w:hAnsi="Arial" w:cs="Arial"/>
          <w:sz w:val="14"/>
          <w:szCs w:val="14"/>
          <w:lang w:val="es-ES_tradnl"/>
        </w:rPr>
      </w:pPr>
      <w:r w:rsidRPr="00A43C75">
        <w:rPr>
          <w:rFonts w:ascii="Arial" w:hAnsi="Arial" w:cs="Arial"/>
          <w:sz w:val="14"/>
          <w:szCs w:val="14"/>
        </w:rPr>
        <w:t xml:space="preserve">XXXVI. Procurar y propiciar la coadyuvancia del denunciante en el procedimiento seguido en forma de juicio (…)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42D15"/>
    <w:multiLevelType w:val="hybridMultilevel"/>
    <w:tmpl w:val="5D284214"/>
    <w:lvl w:ilvl="0" w:tplc="63D2E794">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07160D51"/>
    <w:multiLevelType w:val="multilevel"/>
    <w:tmpl w:val="DD4405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8345FE1"/>
    <w:multiLevelType w:val="hybridMultilevel"/>
    <w:tmpl w:val="00F4FDCA"/>
    <w:lvl w:ilvl="0" w:tplc="CC38065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1D68AF"/>
    <w:multiLevelType w:val="hybridMultilevel"/>
    <w:tmpl w:val="B0A89A02"/>
    <w:lvl w:ilvl="0" w:tplc="855A74B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2B2DE0"/>
    <w:multiLevelType w:val="hybridMultilevel"/>
    <w:tmpl w:val="1C5C3B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202F78"/>
    <w:multiLevelType w:val="hybridMultilevel"/>
    <w:tmpl w:val="5EDA4734"/>
    <w:lvl w:ilvl="0" w:tplc="D5801E6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350F7"/>
    <w:multiLevelType w:val="hybridMultilevel"/>
    <w:tmpl w:val="92AE8B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9D30A3"/>
    <w:multiLevelType w:val="hybridMultilevel"/>
    <w:tmpl w:val="0BFC3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7827B6C"/>
    <w:multiLevelType w:val="hybridMultilevel"/>
    <w:tmpl w:val="B1A8265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D945D82"/>
    <w:multiLevelType w:val="hybridMultilevel"/>
    <w:tmpl w:val="BE66C1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C5547E"/>
    <w:multiLevelType w:val="hybridMultilevel"/>
    <w:tmpl w:val="D93A2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9E23D1"/>
    <w:multiLevelType w:val="hybridMultilevel"/>
    <w:tmpl w:val="D93A2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A3259F"/>
    <w:multiLevelType w:val="hybridMultilevel"/>
    <w:tmpl w:val="DBC6DF94"/>
    <w:lvl w:ilvl="0" w:tplc="29E465A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28837354"/>
    <w:multiLevelType w:val="hybridMultilevel"/>
    <w:tmpl w:val="7C3C67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276825"/>
    <w:multiLevelType w:val="hybridMultilevel"/>
    <w:tmpl w:val="74CAF998"/>
    <w:lvl w:ilvl="0" w:tplc="F84042F2">
      <w:start w:val="1"/>
      <w:numFmt w:val="decimal"/>
      <w:lvlText w:val="%1."/>
      <w:lvlJc w:val="left"/>
      <w:pPr>
        <w:ind w:left="720" w:hanging="360"/>
      </w:pPr>
      <w:rPr>
        <w:rFonts w:ascii="ITC Avant Garde" w:hAnsi="ITC Avant Garde"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105EEF"/>
    <w:multiLevelType w:val="hybridMultilevel"/>
    <w:tmpl w:val="92C03D5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33E52821"/>
    <w:multiLevelType w:val="hybridMultilevel"/>
    <w:tmpl w:val="8814D038"/>
    <w:lvl w:ilvl="0" w:tplc="3DE86126">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348E60DF"/>
    <w:multiLevelType w:val="hybridMultilevel"/>
    <w:tmpl w:val="A2EE0B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678552F"/>
    <w:multiLevelType w:val="hybridMultilevel"/>
    <w:tmpl w:val="F1F61B18"/>
    <w:lvl w:ilvl="0" w:tplc="C0864CC0">
      <w:start w:val="1"/>
      <w:numFmt w:val="upperRoman"/>
      <w:lvlText w:val="%1."/>
      <w:lvlJc w:val="left"/>
      <w:pPr>
        <w:ind w:left="1004" w:hanging="720"/>
      </w:pPr>
      <w:rPr>
        <w:rFonts w:hint="default"/>
        <w:b/>
        <w:sz w:val="18"/>
        <w:szCs w:val="18"/>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9" w15:restartNumberingAfterBreak="0">
    <w:nsid w:val="37AE4AA7"/>
    <w:multiLevelType w:val="hybridMultilevel"/>
    <w:tmpl w:val="D8027E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A5089A"/>
    <w:multiLevelType w:val="hybridMultilevel"/>
    <w:tmpl w:val="8E0E496C"/>
    <w:lvl w:ilvl="0" w:tplc="29E465A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AB73347"/>
    <w:multiLevelType w:val="hybridMultilevel"/>
    <w:tmpl w:val="74CAF998"/>
    <w:lvl w:ilvl="0" w:tplc="F84042F2">
      <w:start w:val="1"/>
      <w:numFmt w:val="decimal"/>
      <w:lvlText w:val="%1."/>
      <w:lvlJc w:val="left"/>
      <w:pPr>
        <w:ind w:left="720" w:hanging="360"/>
      </w:pPr>
      <w:rPr>
        <w:rFonts w:ascii="ITC Avant Garde" w:hAnsi="ITC Avant Garde"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B6372F8"/>
    <w:multiLevelType w:val="hybridMultilevel"/>
    <w:tmpl w:val="D93A2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5E1B60"/>
    <w:multiLevelType w:val="hybridMultilevel"/>
    <w:tmpl w:val="DBC6DF94"/>
    <w:lvl w:ilvl="0" w:tplc="29E465A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400C56C4"/>
    <w:multiLevelType w:val="hybridMultilevel"/>
    <w:tmpl w:val="D93A2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631029B"/>
    <w:multiLevelType w:val="hybridMultilevel"/>
    <w:tmpl w:val="8AD6CD32"/>
    <w:lvl w:ilvl="0" w:tplc="805A6D3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83F4D38"/>
    <w:multiLevelType w:val="hybridMultilevel"/>
    <w:tmpl w:val="D5C2F4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AA6D18"/>
    <w:multiLevelType w:val="hybridMultilevel"/>
    <w:tmpl w:val="643CE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E26D3E"/>
    <w:multiLevelType w:val="hybridMultilevel"/>
    <w:tmpl w:val="7E92306A"/>
    <w:lvl w:ilvl="0" w:tplc="0A0CCA9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BAA5434"/>
    <w:multiLevelType w:val="hybridMultilevel"/>
    <w:tmpl w:val="28128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C446C82"/>
    <w:multiLevelType w:val="hybridMultilevel"/>
    <w:tmpl w:val="D93A2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734543"/>
    <w:multiLevelType w:val="hybridMultilevel"/>
    <w:tmpl w:val="F5E047A8"/>
    <w:lvl w:ilvl="0" w:tplc="7B92144A">
      <w:start w:val="1"/>
      <w:numFmt w:val="decimal"/>
      <w:lvlText w:val="%1."/>
      <w:lvlJc w:val="left"/>
      <w:pPr>
        <w:ind w:left="643" w:hanging="360"/>
      </w:pPr>
      <w:rPr>
        <w:rFonts w:hint="default"/>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32" w15:restartNumberingAfterBreak="0">
    <w:nsid w:val="669C3317"/>
    <w:multiLevelType w:val="hybridMultilevel"/>
    <w:tmpl w:val="7F94D3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C0D01F4"/>
    <w:multiLevelType w:val="hybridMultilevel"/>
    <w:tmpl w:val="D93A2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EDC2C7D"/>
    <w:multiLevelType w:val="hybridMultilevel"/>
    <w:tmpl w:val="BE66C1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2D35397"/>
    <w:multiLevelType w:val="hybridMultilevel"/>
    <w:tmpl w:val="0A3C03BA"/>
    <w:lvl w:ilvl="0" w:tplc="29E465A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AB82833"/>
    <w:multiLevelType w:val="hybridMultilevel"/>
    <w:tmpl w:val="543A87EE"/>
    <w:lvl w:ilvl="0" w:tplc="290E852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11"/>
  </w:num>
  <w:num w:numId="5">
    <w:abstractNumId w:val="27"/>
  </w:num>
  <w:num w:numId="6">
    <w:abstractNumId w:val="20"/>
  </w:num>
  <w:num w:numId="7">
    <w:abstractNumId w:val="10"/>
  </w:num>
  <w:num w:numId="8">
    <w:abstractNumId w:val="8"/>
  </w:num>
  <w:num w:numId="9">
    <w:abstractNumId w:val="23"/>
  </w:num>
  <w:num w:numId="10">
    <w:abstractNumId w:val="12"/>
  </w:num>
  <w:num w:numId="11">
    <w:abstractNumId w:val="4"/>
  </w:num>
  <w:num w:numId="12">
    <w:abstractNumId w:val="22"/>
  </w:num>
  <w:num w:numId="13">
    <w:abstractNumId w:val="33"/>
  </w:num>
  <w:num w:numId="14">
    <w:abstractNumId w:val="34"/>
  </w:num>
  <w:num w:numId="15">
    <w:abstractNumId w:val="30"/>
  </w:num>
  <w:num w:numId="16">
    <w:abstractNumId w:val="9"/>
  </w:num>
  <w:num w:numId="17">
    <w:abstractNumId w:val="24"/>
  </w:num>
  <w:num w:numId="18">
    <w:abstractNumId w:val="19"/>
  </w:num>
  <w:num w:numId="19">
    <w:abstractNumId w:val="35"/>
  </w:num>
  <w:num w:numId="20">
    <w:abstractNumId w:val="29"/>
  </w:num>
  <w:num w:numId="21">
    <w:abstractNumId w:val="32"/>
  </w:num>
  <w:num w:numId="22">
    <w:abstractNumId w:val="36"/>
  </w:num>
  <w:num w:numId="23">
    <w:abstractNumId w:val="26"/>
  </w:num>
  <w:num w:numId="24">
    <w:abstractNumId w:val="0"/>
  </w:num>
  <w:num w:numId="25">
    <w:abstractNumId w:val="18"/>
  </w:num>
  <w:num w:numId="26">
    <w:abstractNumId w:val="2"/>
  </w:num>
  <w:num w:numId="27">
    <w:abstractNumId w:val="17"/>
  </w:num>
  <w:num w:numId="28">
    <w:abstractNumId w:val="31"/>
  </w:num>
  <w:num w:numId="29">
    <w:abstractNumId w:val="21"/>
  </w:num>
  <w:num w:numId="30">
    <w:abstractNumId w:val="16"/>
  </w:num>
  <w:num w:numId="31">
    <w:abstractNumId w:val="14"/>
  </w:num>
  <w:num w:numId="32">
    <w:abstractNumId w:val="3"/>
  </w:num>
  <w:num w:numId="33">
    <w:abstractNumId w:val="25"/>
  </w:num>
  <w:num w:numId="34">
    <w:abstractNumId w:val="13"/>
  </w:num>
  <w:num w:numId="35">
    <w:abstractNumId w:val="28"/>
  </w:num>
  <w:num w:numId="36">
    <w:abstractNumId w:val="15"/>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27A"/>
    <w:rsid w:val="00004E20"/>
    <w:rsid w:val="00006624"/>
    <w:rsid w:val="000066E0"/>
    <w:rsid w:val="00010D0C"/>
    <w:rsid w:val="00010DCB"/>
    <w:rsid w:val="00011521"/>
    <w:rsid w:val="000115FD"/>
    <w:rsid w:val="00012AF5"/>
    <w:rsid w:val="000134ED"/>
    <w:rsid w:val="00014617"/>
    <w:rsid w:val="0001601C"/>
    <w:rsid w:val="0001649C"/>
    <w:rsid w:val="000166F1"/>
    <w:rsid w:val="00016BD7"/>
    <w:rsid w:val="0002118A"/>
    <w:rsid w:val="00023D55"/>
    <w:rsid w:val="000244FB"/>
    <w:rsid w:val="00032A99"/>
    <w:rsid w:val="00035B1B"/>
    <w:rsid w:val="000403FA"/>
    <w:rsid w:val="000416C8"/>
    <w:rsid w:val="00044E20"/>
    <w:rsid w:val="00045ACC"/>
    <w:rsid w:val="000460F3"/>
    <w:rsid w:val="0004653A"/>
    <w:rsid w:val="0005040A"/>
    <w:rsid w:val="00055C5C"/>
    <w:rsid w:val="00055C92"/>
    <w:rsid w:val="00055D15"/>
    <w:rsid w:val="00056983"/>
    <w:rsid w:val="00060002"/>
    <w:rsid w:val="000617FD"/>
    <w:rsid w:val="00063DE3"/>
    <w:rsid w:val="000655AC"/>
    <w:rsid w:val="000715DD"/>
    <w:rsid w:val="000746F9"/>
    <w:rsid w:val="00074E92"/>
    <w:rsid w:val="000758B7"/>
    <w:rsid w:val="00076141"/>
    <w:rsid w:val="000765A6"/>
    <w:rsid w:val="00076CF6"/>
    <w:rsid w:val="00077345"/>
    <w:rsid w:val="00077AFA"/>
    <w:rsid w:val="00077F26"/>
    <w:rsid w:val="000820DE"/>
    <w:rsid w:val="000844D3"/>
    <w:rsid w:val="0009119E"/>
    <w:rsid w:val="00091F8A"/>
    <w:rsid w:val="000943F0"/>
    <w:rsid w:val="00096F5A"/>
    <w:rsid w:val="00097ACC"/>
    <w:rsid w:val="000A5428"/>
    <w:rsid w:val="000A5C4A"/>
    <w:rsid w:val="000A655F"/>
    <w:rsid w:val="000B10A2"/>
    <w:rsid w:val="000B57D7"/>
    <w:rsid w:val="000B699E"/>
    <w:rsid w:val="000C1F69"/>
    <w:rsid w:val="000C2949"/>
    <w:rsid w:val="000C3148"/>
    <w:rsid w:val="000C7C3A"/>
    <w:rsid w:val="000D255B"/>
    <w:rsid w:val="000D36F5"/>
    <w:rsid w:val="000D434B"/>
    <w:rsid w:val="000D6019"/>
    <w:rsid w:val="000D63F9"/>
    <w:rsid w:val="000D72D3"/>
    <w:rsid w:val="000D7DC9"/>
    <w:rsid w:val="000E0F47"/>
    <w:rsid w:val="000E21CC"/>
    <w:rsid w:val="000E3059"/>
    <w:rsid w:val="000E4AC5"/>
    <w:rsid w:val="000E53CE"/>
    <w:rsid w:val="000E7114"/>
    <w:rsid w:val="000F489D"/>
    <w:rsid w:val="000F4BE6"/>
    <w:rsid w:val="000F57FE"/>
    <w:rsid w:val="000F76E9"/>
    <w:rsid w:val="00101BB8"/>
    <w:rsid w:val="00106342"/>
    <w:rsid w:val="00116014"/>
    <w:rsid w:val="001173FF"/>
    <w:rsid w:val="00117C6E"/>
    <w:rsid w:val="00117DB0"/>
    <w:rsid w:val="001207EA"/>
    <w:rsid w:val="00121A19"/>
    <w:rsid w:val="00123F09"/>
    <w:rsid w:val="00125B76"/>
    <w:rsid w:val="001262FF"/>
    <w:rsid w:val="00130226"/>
    <w:rsid w:val="00134034"/>
    <w:rsid w:val="00134E70"/>
    <w:rsid w:val="00135776"/>
    <w:rsid w:val="00135E83"/>
    <w:rsid w:val="001436B1"/>
    <w:rsid w:val="001440F6"/>
    <w:rsid w:val="00144DBB"/>
    <w:rsid w:val="00145329"/>
    <w:rsid w:val="00151E9C"/>
    <w:rsid w:val="00152AAA"/>
    <w:rsid w:val="00152D38"/>
    <w:rsid w:val="00162932"/>
    <w:rsid w:val="00165EC0"/>
    <w:rsid w:val="00166365"/>
    <w:rsid w:val="00166CC6"/>
    <w:rsid w:val="00170807"/>
    <w:rsid w:val="00170FDE"/>
    <w:rsid w:val="00172438"/>
    <w:rsid w:val="001724CA"/>
    <w:rsid w:val="001745F0"/>
    <w:rsid w:val="00174E90"/>
    <w:rsid w:val="001755AE"/>
    <w:rsid w:val="001828DA"/>
    <w:rsid w:val="00185AF0"/>
    <w:rsid w:val="00186130"/>
    <w:rsid w:val="00192000"/>
    <w:rsid w:val="00192796"/>
    <w:rsid w:val="0019499F"/>
    <w:rsid w:val="001956CC"/>
    <w:rsid w:val="0019663C"/>
    <w:rsid w:val="00197F08"/>
    <w:rsid w:val="001A09A7"/>
    <w:rsid w:val="001A4045"/>
    <w:rsid w:val="001A768E"/>
    <w:rsid w:val="001A7FBB"/>
    <w:rsid w:val="001B254F"/>
    <w:rsid w:val="001B3AB0"/>
    <w:rsid w:val="001B47B9"/>
    <w:rsid w:val="001B47FE"/>
    <w:rsid w:val="001B7F50"/>
    <w:rsid w:val="001C1BC4"/>
    <w:rsid w:val="001C27F6"/>
    <w:rsid w:val="001D089F"/>
    <w:rsid w:val="001D0E4D"/>
    <w:rsid w:val="001D10CF"/>
    <w:rsid w:val="001D267B"/>
    <w:rsid w:val="001D5458"/>
    <w:rsid w:val="001D72F3"/>
    <w:rsid w:val="001E127B"/>
    <w:rsid w:val="001E19E3"/>
    <w:rsid w:val="001E2B35"/>
    <w:rsid w:val="001E3817"/>
    <w:rsid w:val="001E4A78"/>
    <w:rsid w:val="001E5789"/>
    <w:rsid w:val="001E6040"/>
    <w:rsid w:val="001F1398"/>
    <w:rsid w:val="001F4740"/>
    <w:rsid w:val="001F532C"/>
    <w:rsid w:val="001F60BD"/>
    <w:rsid w:val="001F68FE"/>
    <w:rsid w:val="001F6A82"/>
    <w:rsid w:val="001F6B45"/>
    <w:rsid w:val="001F6C81"/>
    <w:rsid w:val="002009B6"/>
    <w:rsid w:val="00200F3D"/>
    <w:rsid w:val="002020EB"/>
    <w:rsid w:val="00202C11"/>
    <w:rsid w:val="00206B66"/>
    <w:rsid w:val="002111E9"/>
    <w:rsid w:val="00211B44"/>
    <w:rsid w:val="00211C29"/>
    <w:rsid w:val="00212658"/>
    <w:rsid w:val="00213538"/>
    <w:rsid w:val="0021442B"/>
    <w:rsid w:val="00216851"/>
    <w:rsid w:val="00216B29"/>
    <w:rsid w:val="002176DE"/>
    <w:rsid w:val="00217C5C"/>
    <w:rsid w:val="00220658"/>
    <w:rsid w:val="00220C84"/>
    <w:rsid w:val="00226B60"/>
    <w:rsid w:val="00231E89"/>
    <w:rsid w:val="0023221B"/>
    <w:rsid w:val="0023377D"/>
    <w:rsid w:val="0023453B"/>
    <w:rsid w:val="002364EE"/>
    <w:rsid w:val="0024108C"/>
    <w:rsid w:val="00242985"/>
    <w:rsid w:val="00244AA9"/>
    <w:rsid w:val="00244CF8"/>
    <w:rsid w:val="00250158"/>
    <w:rsid w:val="002507BD"/>
    <w:rsid w:val="00251814"/>
    <w:rsid w:val="00253B96"/>
    <w:rsid w:val="00254DB2"/>
    <w:rsid w:val="002605CE"/>
    <w:rsid w:val="00261109"/>
    <w:rsid w:val="00263847"/>
    <w:rsid w:val="00264092"/>
    <w:rsid w:val="0026513B"/>
    <w:rsid w:val="00265627"/>
    <w:rsid w:val="00266261"/>
    <w:rsid w:val="0027071B"/>
    <w:rsid w:val="00273754"/>
    <w:rsid w:val="00275B74"/>
    <w:rsid w:val="002804D1"/>
    <w:rsid w:val="002813CD"/>
    <w:rsid w:val="0028351F"/>
    <w:rsid w:val="00284EBA"/>
    <w:rsid w:val="00292899"/>
    <w:rsid w:val="00296A16"/>
    <w:rsid w:val="00297B8E"/>
    <w:rsid w:val="002A3917"/>
    <w:rsid w:val="002A3CB0"/>
    <w:rsid w:val="002A3EE9"/>
    <w:rsid w:val="002A7849"/>
    <w:rsid w:val="002B47D3"/>
    <w:rsid w:val="002B523B"/>
    <w:rsid w:val="002C1B6B"/>
    <w:rsid w:val="002C451F"/>
    <w:rsid w:val="002C6C2A"/>
    <w:rsid w:val="002D0230"/>
    <w:rsid w:val="002D08D5"/>
    <w:rsid w:val="002D1FAA"/>
    <w:rsid w:val="002D5D4A"/>
    <w:rsid w:val="002E0A12"/>
    <w:rsid w:val="002E206B"/>
    <w:rsid w:val="002E27E9"/>
    <w:rsid w:val="002E35A6"/>
    <w:rsid w:val="002E6229"/>
    <w:rsid w:val="002E7781"/>
    <w:rsid w:val="002F0CB8"/>
    <w:rsid w:val="002F407D"/>
    <w:rsid w:val="002F40B3"/>
    <w:rsid w:val="002F6684"/>
    <w:rsid w:val="00302035"/>
    <w:rsid w:val="00302DF0"/>
    <w:rsid w:val="00303E7F"/>
    <w:rsid w:val="00305AEB"/>
    <w:rsid w:val="003066FD"/>
    <w:rsid w:val="00311827"/>
    <w:rsid w:val="003142E8"/>
    <w:rsid w:val="003143D2"/>
    <w:rsid w:val="00331D5E"/>
    <w:rsid w:val="00332198"/>
    <w:rsid w:val="00332853"/>
    <w:rsid w:val="0033341F"/>
    <w:rsid w:val="00335FA8"/>
    <w:rsid w:val="0033698F"/>
    <w:rsid w:val="00340515"/>
    <w:rsid w:val="00341911"/>
    <w:rsid w:val="00342EB7"/>
    <w:rsid w:val="00344D76"/>
    <w:rsid w:val="00344EAF"/>
    <w:rsid w:val="00345DFA"/>
    <w:rsid w:val="003513DE"/>
    <w:rsid w:val="00351AE7"/>
    <w:rsid w:val="00351BE8"/>
    <w:rsid w:val="00352206"/>
    <w:rsid w:val="00353906"/>
    <w:rsid w:val="00355EBF"/>
    <w:rsid w:val="00357891"/>
    <w:rsid w:val="00360CD0"/>
    <w:rsid w:val="00361A71"/>
    <w:rsid w:val="00363050"/>
    <w:rsid w:val="00363D58"/>
    <w:rsid w:val="0036451A"/>
    <w:rsid w:val="00364746"/>
    <w:rsid w:val="00366EFC"/>
    <w:rsid w:val="0036704F"/>
    <w:rsid w:val="0037196C"/>
    <w:rsid w:val="00373BAD"/>
    <w:rsid w:val="00373E42"/>
    <w:rsid w:val="00375202"/>
    <w:rsid w:val="003752B7"/>
    <w:rsid w:val="00375A38"/>
    <w:rsid w:val="003814DC"/>
    <w:rsid w:val="00381F81"/>
    <w:rsid w:val="00383FC5"/>
    <w:rsid w:val="0038566C"/>
    <w:rsid w:val="00385767"/>
    <w:rsid w:val="00386A18"/>
    <w:rsid w:val="00387709"/>
    <w:rsid w:val="00391881"/>
    <w:rsid w:val="00392DA2"/>
    <w:rsid w:val="00392E56"/>
    <w:rsid w:val="00393393"/>
    <w:rsid w:val="003952E4"/>
    <w:rsid w:val="00395501"/>
    <w:rsid w:val="00395D35"/>
    <w:rsid w:val="00395E27"/>
    <w:rsid w:val="003977FF"/>
    <w:rsid w:val="003A246E"/>
    <w:rsid w:val="003A2E6F"/>
    <w:rsid w:val="003A40BC"/>
    <w:rsid w:val="003A7174"/>
    <w:rsid w:val="003A7B38"/>
    <w:rsid w:val="003B201D"/>
    <w:rsid w:val="003B4BA7"/>
    <w:rsid w:val="003B4E20"/>
    <w:rsid w:val="003B5812"/>
    <w:rsid w:val="003B5C21"/>
    <w:rsid w:val="003B61B1"/>
    <w:rsid w:val="003C2892"/>
    <w:rsid w:val="003C5326"/>
    <w:rsid w:val="003C591D"/>
    <w:rsid w:val="003C7860"/>
    <w:rsid w:val="003D2318"/>
    <w:rsid w:val="003D5A50"/>
    <w:rsid w:val="003D6873"/>
    <w:rsid w:val="003D7CF9"/>
    <w:rsid w:val="003E0812"/>
    <w:rsid w:val="003E2214"/>
    <w:rsid w:val="003E412B"/>
    <w:rsid w:val="003E467D"/>
    <w:rsid w:val="003E492E"/>
    <w:rsid w:val="003F506C"/>
    <w:rsid w:val="003F749B"/>
    <w:rsid w:val="003F74A6"/>
    <w:rsid w:val="00401ED8"/>
    <w:rsid w:val="00402C08"/>
    <w:rsid w:val="00405484"/>
    <w:rsid w:val="004060A7"/>
    <w:rsid w:val="00406479"/>
    <w:rsid w:val="004119AB"/>
    <w:rsid w:val="004121DC"/>
    <w:rsid w:val="00413890"/>
    <w:rsid w:val="00413DEE"/>
    <w:rsid w:val="004173FB"/>
    <w:rsid w:val="00417EBC"/>
    <w:rsid w:val="004239CA"/>
    <w:rsid w:val="00424FF8"/>
    <w:rsid w:val="00425702"/>
    <w:rsid w:val="00430151"/>
    <w:rsid w:val="0043398C"/>
    <w:rsid w:val="00440CA8"/>
    <w:rsid w:val="0044171B"/>
    <w:rsid w:val="00442797"/>
    <w:rsid w:val="00442A86"/>
    <w:rsid w:val="00442F05"/>
    <w:rsid w:val="00442F76"/>
    <w:rsid w:val="00442F83"/>
    <w:rsid w:val="004465D9"/>
    <w:rsid w:val="0044714D"/>
    <w:rsid w:val="00447AA8"/>
    <w:rsid w:val="0045599E"/>
    <w:rsid w:val="00455F29"/>
    <w:rsid w:val="00461F1A"/>
    <w:rsid w:val="00462185"/>
    <w:rsid w:val="0046389B"/>
    <w:rsid w:val="0046791E"/>
    <w:rsid w:val="00470D93"/>
    <w:rsid w:val="0047180C"/>
    <w:rsid w:val="00472720"/>
    <w:rsid w:val="00472EAC"/>
    <w:rsid w:val="00481272"/>
    <w:rsid w:val="00481890"/>
    <w:rsid w:val="00482420"/>
    <w:rsid w:val="004827A1"/>
    <w:rsid w:val="00482E1C"/>
    <w:rsid w:val="004839BC"/>
    <w:rsid w:val="00484755"/>
    <w:rsid w:val="00490991"/>
    <w:rsid w:val="004914CD"/>
    <w:rsid w:val="00491E09"/>
    <w:rsid w:val="00495729"/>
    <w:rsid w:val="00496FB4"/>
    <w:rsid w:val="004A2A5D"/>
    <w:rsid w:val="004A2B27"/>
    <w:rsid w:val="004A2CE1"/>
    <w:rsid w:val="004A34B0"/>
    <w:rsid w:val="004A4245"/>
    <w:rsid w:val="004A46C1"/>
    <w:rsid w:val="004A4B96"/>
    <w:rsid w:val="004B185F"/>
    <w:rsid w:val="004B3B1F"/>
    <w:rsid w:val="004B3E17"/>
    <w:rsid w:val="004B5B44"/>
    <w:rsid w:val="004B62FC"/>
    <w:rsid w:val="004C2B28"/>
    <w:rsid w:val="004C3A10"/>
    <w:rsid w:val="004C48C2"/>
    <w:rsid w:val="004C580C"/>
    <w:rsid w:val="004C5A7B"/>
    <w:rsid w:val="004D015D"/>
    <w:rsid w:val="004D24CF"/>
    <w:rsid w:val="004D4B31"/>
    <w:rsid w:val="004D5139"/>
    <w:rsid w:val="004D55FA"/>
    <w:rsid w:val="004D5B53"/>
    <w:rsid w:val="004D6BDA"/>
    <w:rsid w:val="004D7125"/>
    <w:rsid w:val="004D78E6"/>
    <w:rsid w:val="004E02BE"/>
    <w:rsid w:val="004E1B5C"/>
    <w:rsid w:val="004E44E2"/>
    <w:rsid w:val="004E5601"/>
    <w:rsid w:val="004F0C84"/>
    <w:rsid w:val="004F309C"/>
    <w:rsid w:val="004F37E4"/>
    <w:rsid w:val="004F38AF"/>
    <w:rsid w:val="004F6B3D"/>
    <w:rsid w:val="005017D8"/>
    <w:rsid w:val="005019B4"/>
    <w:rsid w:val="00503FF5"/>
    <w:rsid w:val="00506681"/>
    <w:rsid w:val="005109FA"/>
    <w:rsid w:val="00512B32"/>
    <w:rsid w:val="005139C9"/>
    <w:rsid w:val="00514714"/>
    <w:rsid w:val="00516339"/>
    <w:rsid w:val="00516A4F"/>
    <w:rsid w:val="00520F7B"/>
    <w:rsid w:val="00521563"/>
    <w:rsid w:val="00522CD5"/>
    <w:rsid w:val="00524BC7"/>
    <w:rsid w:val="005255D1"/>
    <w:rsid w:val="00525996"/>
    <w:rsid w:val="00527EA3"/>
    <w:rsid w:val="005346BE"/>
    <w:rsid w:val="00535F77"/>
    <w:rsid w:val="00536C6F"/>
    <w:rsid w:val="00537249"/>
    <w:rsid w:val="00542AF1"/>
    <w:rsid w:val="00543E6D"/>
    <w:rsid w:val="00543EC4"/>
    <w:rsid w:val="00550103"/>
    <w:rsid w:val="00552B97"/>
    <w:rsid w:val="00553332"/>
    <w:rsid w:val="00554135"/>
    <w:rsid w:val="00554E16"/>
    <w:rsid w:val="005602F1"/>
    <w:rsid w:val="005619D6"/>
    <w:rsid w:val="00562452"/>
    <w:rsid w:val="00571FF3"/>
    <w:rsid w:val="005729BD"/>
    <w:rsid w:val="0057596A"/>
    <w:rsid w:val="0058256D"/>
    <w:rsid w:val="005826FC"/>
    <w:rsid w:val="00583D21"/>
    <w:rsid w:val="00586598"/>
    <w:rsid w:val="0059029D"/>
    <w:rsid w:val="005924D3"/>
    <w:rsid w:val="00593730"/>
    <w:rsid w:val="005945EA"/>
    <w:rsid w:val="00595F59"/>
    <w:rsid w:val="005A2251"/>
    <w:rsid w:val="005A270A"/>
    <w:rsid w:val="005A28AB"/>
    <w:rsid w:val="005A558A"/>
    <w:rsid w:val="005A56BF"/>
    <w:rsid w:val="005A63B9"/>
    <w:rsid w:val="005B0004"/>
    <w:rsid w:val="005B4841"/>
    <w:rsid w:val="005B4F52"/>
    <w:rsid w:val="005B7B53"/>
    <w:rsid w:val="005B7C38"/>
    <w:rsid w:val="005C0C95"/>
    <w:rsid w:val="005C1867"/>
    <w:rsid w:val="005C1F5D"/>
    <w:rsid w:val="005C4147"/>
    <w:rsid w:val="005C4451"/>
    <w:rsid w:val="005C4C22"/>
    <w:rsid w:val="005C5B16"/>
    <w:rsid w:val="005C5B1C"/>
    <w:rsid w:val="005C6AB8"/>
    <w:rsid w:val="005D5DBC"/>
    <w:rsid w:val="005D7417"/>
    <w:rsid w:val="005D77F9"/>
    <w:rsid w:val="005E11F9"/>
    <w:rsid w:val="005E2937"/>
    <w:rsid w:val="005E2AC8"/>
    <w:rsid w:val="005E5A82"/>
    <w:rsid w:val="005E6AB4"/>
    <w:rsid w:val="005E7E74"/>
    <w:rsid w:val="005F0386"/>
    <w:rsid w:val="005F2C5E"/>
    <w:rsid w:val="005F36A6"/>
    <w:rsid w:val="005F39CC"/>
    <w:rsid w:val="005F6EA1"/>
    <w:rsid w:val="005F7C27"/>
    <w:rsid w:val="00600897"/>
    <w:rsid w:val="00600C81"/>
    <w:rsid w:val="006017DA"/>
    <w:rsid w:val="006052D6"/>
    <w:rsid w:val="006128C9"/>
    <w:rsid w:val="00616A7D"/>
    <w:rsid w:val="00616B71"/>
    <w:rsid w:val="00617CFF"/>
    <w:rsid w:val="0062242C"/>
    <w:rsid w:val="00626529"/>
    <w:rsid w:val="006265D9"/>
    <w:rsid w:val="006314E1"/>
    <w:rsid w:val="006329D7"/>
    <w:rsid w:val="0063303B"/>
    <w:rsid w:val="00635852"/>
    <w:rsid w:val="0063797D"/>
    <w:rsid w:val="00641B5D"/>
    <w:rsid w:val="0064207A"/>
    <w:rsid w:val="00643756"/>
    <w:rsid w:val="006445B0"/>
    <w:rsid w:val="00646188"/>
    <w:rsid w:val="00646511"/>
    <w:rsid w:val="006477AA"/>
    <w:rsid w:val="00647ACE"/>
    <w:rsid w:val="00652243"/>
    <w:rsid w:val="006524BA"/>
    <w:rsid w:val="00653B3B"/>
    <w:rsid w:val="006577B2"/>
    <w:rsid w:val="00657D61"/>
    <w:rsid w:val="00660E58"/>
    <w:rsid w:val="00661BDD"/>
    <w:rsid w:val="00662F40"/>
    <w:rsid w:val="006646BA"/>
    <w:rsid w:val="00666D78"/>
    <w:rsid w:val="00671A5F"/>
    <w:rsid w:val="006762A4"/>
    <w:rsid w:val="00681169"/>
    <w:rsid w:val="00681A5F"/>
    <w:rsid w:val="0068284C"/>
    <w:rsid w:val="006837A2"/>
    <w:rsid w:val="00685822"/>
    <w:rsid w:val="00686FED"/>
    <w:rsid w:val="0069131E"/>
    <w:rsid w:val="00692E81"/>
    <w:rsid w:val="00694066"/>
    <w:rsid w:val="006953C3"/>
    <w:rsid w:val="006963B5"/>
    <w:rsid w:val="006A05D7"/>
    <w:rsid w:val="006A16D1"/>
    <w:rsid w:val="006A1F8C"/>
    <w:rsid w:val="006A364B"/>
    <w:rsid w:val="006A3656"/>
    <w:rsid w:val="006A366D"/>
    <w:rsid w:val="006A437F"/>
    <w:rsid w:val="006A560C"/>
    <w:rsid w:val="006A74F0"/>
    <w:rsid w:val="006A7D30"/>
    <w:rsid w:val="006B1889"/>
    <w:rsid w:val="006B602B"/>
    <w:rsid w:val="006B671B"/>
    <w:rsid w:val="006B7394"/>
    <w:rsid w:val="006C00A0"/>
    <w:rsid w:val="006C30DD"/>
    <w:rsid w:val="006C68A4"/>
    <w:rsid w:val="006C7D9F"/>
    <w:rsid w:val="006D3C47"/>
    <w:rsid w:val="006D4A95"/>
    <w:rsid w:val="006D6A9B"/>
    <w:rsid w:val="006D7EE8"/>
    <w:rsid w:val="006E0715"/>
    <w:rsid w:val="006E3E70"/>
    <w:rsid w:val="006E52CA"/>
    <w:rsid w:val="006E5348"/>
    <w:rsid w:val="006F24A2"/>
    <w:rsid w:val="006F428D"/>
    <w:rsid w:val="006F614B"/>
    <w:rsid w:val="006F7079"/>
    <w:rsid w:val="006F7F1C"/>
    <w:rsid w:val="00700556"/>
    <w:rsid w:val="00702726"/>
    <w:rsid w:val="007039D8"/>
    <w:rsid w:val="00705494"/>
    <w:rsid w:val="00705B02"/>
    <w:rsid w:val="007125B8"/>
    <w:rsid w:val="00713A97"/>
    <w:rsid w:val="00714F3D"/>
    <w:rsid w:val="007154B5"/>
    <w:rsid w:val="00715874"/>
    <w:rsid w:val="007175DF"/>
    <w:rsid w:val="00721264"/>
    <w:rsid w:val="007270EE"/>
    <w:rsid w:val="0073606C"/>
    <w:rsid w:val="00736A66"/>
    <w:rsid w:val="00740007"/>
    <w:rsid w:val="0074301B"/>
    <w:rsid w:val="00745A4E"/>
    <w:rsid w:val="00747249"/>
    <w:rsid w:val="0074754D"/>
    <w:rsid w:val="007475E9"/>
    <w:rsid w:val="00751875"/>
    <w:rsid w:val="00753BA2"/>
    <w:rsid w:val="00753DBB"/>
    <w:rsid w:val="00754377"/>
    <w:rsid w:val="0075452A"/>
    <w:rsid w:val="0075631F"/>
    <w:rsid w:val="007602C2"/>
    <w:rsid w:val="0076086E"/>
    <w:rsid w:val="00763738"/>
    <w:rsid w:val="00764650"/>
    <w:rsid w:val="00765B3B"/>
    <w:rsid w:val="0076778C"/>
    <w:rsid w:val="00770EE6"/>
    <w:rsid w:val="007729A7"/>
    <w:rsid w:val="00773B4A"/>
    <w:rsid w:val="007759C2"/>
    <w:rsid w:val="00775B97"/>
    <w:rsid w:val="00776616"/>
    <w:rsid w:val="00780CCC"/>
    <w:rsid w:val="0078220E"/>
    <w:rsid w:val="00794355"/>
    <w:rsid w:val="00795CB6"/>
    <w:rsid w:val="0079645B"/>
    <w:rsid w:val="007979CD"/>
    <w:rsid w:val="007A176A"/>
    <w:rsid w:val="007A1DE0"/>
    <w:rsid w:val="007A2BCE"/>
    <w:rsid w:val="007A2BFF"/>
    <w:rsid w:val="007A353C"/>
    <w:rsid w:val="007B154D"/>
    <w:rsid w:val="007B5019"/>
    <w:rsid w:val="007B5242"/>
    <w:rsid w:val="007B6E26"/>
    <w:rsid w:val="007C0715"/>
    <w:rsid w:val="007C1BEB"/>
    <w:rsid w:val="007C1D00"/>
    <w:rsid w:val="007C32D9"/>
    <w:rsid w:val="007C7DEE"/>
    <w:rsid w:val="007C7E70"/>
    <w:rsid w:val="007D1938"/>
    <w:rsid w:val="007D44B4"/>
    <w:rsid w:val="007D499A"/>
    <w:rsid w:val="007D6631"/>
    <w:rsid w:val="007D7C60"/>
    <w:rsid w:val="007E42D0"/>
    <w:rsid w:val="007E46AA"/>
    <w:rsid w:val="007E6A0E"/>
    <w:rsid w:val="007E7216"/>
    <w:rsid w:val="007F0EEE"/>
    <w:rsid w:val="007F25D5"/>
    <w:rsid w:val="007F3C33"/>
    <w:rsid w:val="007F420A"/>
    <w:rsid w:val="007F4955"/>
    <w:rsid w:val="007F5858"/>
    <w:rsid w:val="007F6983"/>
    <w:rsid w:val="007F6A8F"/>
    <w:rsid w:val="007F7D0D"/>
    <w:rsid w:val="008003C4"/>
    <w:rsid w:val="0080074E"/>
    <w:rsid w:val="008051BC"/>
    <w:rsid w:val="00810FF3"/>
    <w:rsid w:val="008116F2"/>
    <w:rsid w:val="00811C4A"/>
    <w:rsid w:val="0081218E"/>
    <w:rsid w:val="008154BB"/>
    <w:rsid w:val="00817F45"/>
    <w:rsid w:val="0082028B"/>
    <w:rsid w:val="00820C78"/>
    <w:rsid w:val="00820F27"/>
    <w:rsid w:val="00822569"/>
    <w:rsid w:val="008240CB"/>
    <w:rsid w:val="0082549D"/>
    <w:rsid w:val="00827ED5"/>
    <w:rsid w:val="008302DD"/>
    <w:rsid w:val="008317F5"/>
    <w:rsid w:val="0083352F"/>
    <w:rsid w:val="0083421F"/>
    <w:rsid w:val="00835EFD"/>
    <w:rsid w:val="0083604B"/>
    <w:rsid w:val="00840CEC"/>
    <w:rsid w:val="0084204A"/>
    <w:rsid w:val="00842124"/>
    <w:rsid w:val="00842E43"/>
    <w:rsid w:val="00842E5A"/>
    <w:rsid w:val="00843C24"/>
    <w:rsid w:val="00844861"/>
    <w:rsid w:val="008450FE"/>
    <w:rsid w:val="0084539D"/>
    <w:rsid w:val="00846622"/>
    <w:rsid w:val="00847C9A"/>
    <w:rsid w:val="008513E2"/>
    <w:rsid w:val="00851A8D"/>
    <w:rsid w:val="00852F99"/>
    <w:rsid w:val="0085320E"/>
    <w:rsid w:val="008537F3"/>
    <w:rsid w:val="00853CA0"/>
    <w:rsid w:val="0085461F"/>
    <w:rsid w:val="0085469B"/>
    <w:rsid w:val="00861691"/>
    <w:rsid w:val="00861DB7"/>
    <w:rsid w:val="0086229E"/>
    <w:rsid w:val="008623C8"/>
    <w:rsid w:val="008626E8"/>
    <w:rsid w:val="00862ACA"/>
    <w:rsid w:val="00862C32"/>
    <w:rsid w:val="00864A6B"/>
    <w:rsid w:val="00865321"/>
    <w:rsid w:val="0086535B"/>
    <w:rsid w:val="0086711F"/>
    <w:rsid w:val="008677D3"/>
    <w:rsid w:val="0086791D"/>
    <w:rsid w:val="00871F42"/>
    <w:rsid w:val="008722C1"/>
    <w:rsid w:val="008757E2"/>
    <w:rsid w:val="008767E2"/>
    <w:rsid w:val="00881B8C"/>
    <w:rsid w:val="00881BE3"/>
    <w:rsid w:val="00882881"/>
    <w:rsid w:val="008839E0"/>
    <w:rsid w:val="00884A5D"/>
    <w:rsid w:val="00884F0A"/>
    <w:rsid w:val="0088630D"/>
    <w:rsid w:val="0088636C"/>
    <w:rsid w:val="0088653C"/>
    <w:rsid w:val="00886F2A"/>
    <w:rsid w:val="008906A7"/>
    <w:rsid w:val="00890886"/>
    <w:rsid w:val="00890AEF"/>
    <w:rsid w:val="008966F8"/>
    <w:rsid w:val="008A03E6"/>
    <w:rsid w:val="008A102F"/>
    <w:rsid w:val="008A1554"/>
    <w:rsid w:val="008A2D10"/>
    <w:rsid w:val="008A34AF"/>
    <w:rsid w:val="008A3C17"/>
    <w:rsid w:val="008A4D6A"/>
    <w:rsid w:val="008A52C6"/>
    <w:rsid w:val="008A5754"/>
    <w:rsid w:val="008A582D"/>
    <w:rsid w:val="008A6237"/>
    <w:rsid w:val="008A7A14"/>
    <w:rsid w:val="008B186E"/>
    <w:rsid w:val="008B30E3"/>
    <w:rsid w:val="008B5F82"/>
    <w:rsid w:val="008C0937"/>
    <w:rsid w:val="008C27E2"/>
    <w:rsid w:val="008D0DC4"/>
    <w:rsid w:val="008D1654"/>
    <w:rsid w:val="008D204B"/>
    <w:rsid w:val="008D4BCC"/>
    <w:rsid w:val="008D51A0"/>
    <w:rsid w:val="008D5332"/>
    <w:rsid w:val="008D6515"/>
    <w:rsid w:val="008D68B2"/>
    <w:rsid w:val="008D6F75"/>
    <w:rsid w:val="008D7CEF"/>
    <w:rsid w:val="008E1F1F"/>
    <w:rsid w:val="008E2FB9"/>
    <w:rsid w:val="008E364C"/>
    <w:rsid w:val="008E36D0"/>
    <w:rsid w:val="008E3C2F"/>
    <w:rsid w:val="008E54C7"/>
    <w:rsid w:val="008E69EE"/>
    <w:rsid w:val="008F0610"/>
    <w:rsid w:val="008F080A"/>
    <w:rsid w:val="008F0A7D"/>
    <w:rsid w:val="008F3A86"/>
    <w:rsid w:val="008F5C21"/>
    <w:rsid w:val="009012DA"/>
    <w:rsid w:val="00901398"/>
    <w:rsid w:val="00901992"/>
    <w:rsid w:val="00902F7A"/>
    <w:rsid w:val="00903609"/>
    <w:rsid w:val="009045FE"/>
    <w:rsid w:val="00904B8F"/>
    <w:rsid w:val="0090581F"/>
    <w:rsid w:val="00905C08"/>
    <w:rsid w:val="009079C8"/>
    <w:rsid w:val="00921A40"/>
    <w:rsid w:val="00921AC7"/>
    <w:rsid w:val="0092342B"/>
    <w:rsid w:val="00925F03"/>
    <w:rsid w:val="00940DF9"/>
    <w:rsid w:val="009414F2"/>
    <w:rsid w:val="00942010"/>
    <w:rsid w:val="00944194"/>
    <w:rsid w:val="00945738"/>
    <w:rsid w:val="00952EDD"/>
    <w:rsid w:val="009539E7"/>
    <w:rsid w:val="0095458B"/>
    <w:rsid w:val="00957B22"/>
    <w:rsid w:val="00957D40"/>
    <w:rsid w:val="0096124E"/>
    <w:rsid w:val="0096132E"/>
    <w:rsid w:val="009628FA"/>
    <w:rsid w:val="009631F1"/>
    <w:rsid w:val="0096407F"/>
    <w:rsid w:val="00964B56"/>
    <w:rsid w:val="009654E5"/>
    <w:rsid w:val="0097072A"/>
    <w:rsid w:val="00973ABA"/>
    <w:rsid w:val="00973C52"/>
    <w:rsid w:val="00973E96"/>
    <w:rsid w:val="00976546"/>
    <w:rsid w:val="0097748B"/>
    <w:rsid w:val="00981316"/>
    <w:rsid w:val="00983BA8"/>
    <w:rsid w:val="00986AF7"/>
    <w:rsid w:val="00992307"/>
    <w:rsid w:val="00995ECE"/>
    <w:rsid w:val="00995EE6"/>
    <w:rsid w:val="00996299"/>
    <w:rsid w:val="00996816"/>
    <w:rsid w:val="009A0811"/>
    <w:rsid w:val="009A41D4"/>
    <w:rsid w:val="009A4794"/>
    <w:rsid w:val="009A500D"/>
    <w:rsid w:val="009A5E2C"/>
    <w:rsid w:val="009A7404"/>
    <w:rsid w:val="009A7F7A"/>
    <w:rsid w:val="009B2DD3"/>
    <w:rsid w:val="009B2FB0"/>
    <w:rsid w:val="009B5532"/>
    <w:rsid w:val="009B7FD9"/>
    <w:rsid w:val="009C0C80"/>
    <w:rsid w:val="009C0E1B"/>
    <w:rsid w:val="009C195B"/>
    <w:rsid w:val="009C2746"/>
    <w:rsid w:val="009C3B88"/>
    <w:rsid w:val="009C589A"/>
    <w:rsid w:val="009D0821"/>
    <w:rsid w:val="009D422C"/>
    <w:rsid w:val="009D7CAF"/>
    <w:rsid w:val="009E0038"/>
    <w:rsid w:val="009E0A3D"/>
    <w:rsid w:val="009E22B5"/>
    <w:rsid w:val="009E24E1"/>
    <w:rsid w:val="009E2A23"/>
    <w:rsid w:val="009E3B99"/>
    <w:rsid w:val="009E7A32"/>
    <w:rsid w:val="009E7AC5"/>
    <w:rsid w:val="009F0E6A"/>
    <w:rsid w:val="009F1A8A"/>
    <w:rsid w:val="009F1AB7"/>
    <w:rsid w:val="009F47E4"/>
    <w:rsid w:val="009F6C1E"/>
    <w:rsid w:val="00A008CE"/>
    <w:rsid w:val="00A00FA1"/>
    <w:rsid w:val="00A01A48"/>
    <w:rsid w:val="00A03B00"/>
    <w:rsid w:val="00A0482D"/>
    <w:rsid w:val="00A04D2E"/>
    <w:rsid w:val="00A05251"/>
    <w:rsid w:val="00A053D0"/>
    <w:rsid w:val="00A05720"/>
    <w:rsid w:val="00A066DE"/>
    <w:rsid w:val="00A105BE"/>
    <w:rsid w:val="00A13123"/>
    <w:rsid w:val="00A1576A"/>
    <w:rsid w:val="00A15925"/>
    <w:rsid w:val="00A1659F"/>
    <w:rsid w:val="00A176EA"/>
    <w:rsid w:val="00A204A7"/>
    <w:rsid w:val="00A22EA9"/>
    <w:rsid w:val="00A2641D"/>
    <w:rsid w:val="00A265C3"/>
    <w:rsid w:val="00A2799A"/>
    <w:rsid w:val="00A30171"/>
    <w:rsid w:val="00A30E28"/>
    <w:rsid w:val="00A31725"/>
    <w:rsid w:val="00A3216F"/>
    <w:rsid w:val="00A35028"/>
    <w:rsid w:val="00A354C9"/>
    <w:rsid w:val="00A42739"/>
    <w:rsid w:val="00A43C75"/>
    <w:rsid w:val="00A457E8"/>
    <w:rsid w:val="00A4705A"/>
    <w:rsid w:val="00A47C03"/>
    <w:rsid w:val="00A5059F"/>
    <w:rsid w:val="00A518C1"/>
    <w:rsid w:val="00A51DA7"/>
    <w:rsid w:val="00A52885"/>
    <w:rsid w:val="00A52D13"/>
    <w:rsid w:val="00A60AA4"/>
    <w:rsid w:val="00A6673A"/>
    <w:rsid w:val="00A70876"/>
    <w:rsid w:val="00A70A5E"/>
    <w:rsid w:val="00A719D4"/>
    <w:rsid w:val="00A743DC"/>
    <w:rsid w:val="00A76128"/>
    <w:rsid w:val="00A77771"/>
    <w:rsid w:val="00A80689"/>
    <w:rsid w:val="00A85675"/>
    <w:rsid w:val="00A904C2"/>
    <w:rsid w:val="00A90F86"/>
    <w:rsid w:val="00A92571"/>
    <w:rsid w:val="00A94E1A"/>
    <w:rsid w:val="00A96781"/>
    <w:rsid w:val="00AA0B75"/>
    <w:rsid w:val="00AA1412"/>
    <w:rsid w:val="00AA14A8"/>
    <w:rsid w:val="00AA15D4"/>
    <w:rsid w:val="00AA226B"/>
    <w:rsid w:val="00AA22E3"/>
    <w:rsid w:val="00AA392D"/>
    <w:rsid w:val="00AA49F8"/>
    <w:rsid w:val="00AA7B67"/>
    <w:rsid w:val="00AB0828"/>
    <w:rsid w:val="00AB2DDB"/>
    <w:rsid w:val="00AB3536"/>
    <w:rsid w:val="00AB5742"/>
    <w:rsid w:val="00AB7752"/>
    <w:rsid w:val="00AC1D27"/>
    <w:rsid w:val="00AD0D7D"/>
    <w:rsid w:val="00AD212E"/>
    <w:rsid w:val="00AD267A"/>
    <w:rsid w:val="00AE0F59"/>
    <w:rsid w:val="00AE16F1"/>
    <w:rsid w:val="00AE1CB0"/>
    <w:rsid w:val="00AE1CCD"/>
    <w:rsid w:val="00AE3653"/>
    <w:rsid w:val="00AE3DFC"/>
    <w:rsid w:val="00AE575A"/>
    <w:rsid w:val="00AF1CBA"/>
    <w:rsid w:val="00AF2906"/>
    <w:rsid w:val="00AF68A6"/>
    <w:rsid w:val="00B0040C"/>
    <w:rsid w:val="00B031A5"/>
    <w:rsid w:val="00B10A5F"/>
    <w:rsid w:val="00B161C3"/>
    <w:rsid w:val="00B21266"/>
    <w:rsid w:val="00B21329"/>
    <w:rsid w:val="00B21BCD"/>
    <w:rsid w:val="00B24004"/>
    <w:rsid w:val="00B24FAD"/>
    <w:rsid w:val="00B262DD"/>
    <w:rsid w:val="00B26C7A"/>
    <w:rsid w:val="00B31779"/>
    <w:rsid w:val="00B3430D"/>
    <w:rsid w:val="00B35046"/>
    <w:rsid w:val="00B420A1"/>
    <w:rsid w:val="00B420F2"/>
    <w:rsid w:val="00B424D0"/>
    <w:rsid w:val="00B42C51"/>
    <w:rsid w:val="00B46518"/>
    <w:rsid w:val="00B46B7A"/>
    <w:rsid w:val="00B50012"/>
    <w:rsid w:val="00B53CE1"/>
    <w:rsid w:val="00B556ED"/>
    <w:rsid w:val="00B55732"/>
    <w:rsid w:val="00B558D0"/>
    <w:rsid w:val="00B61C89"/>
    <w:rsid w:val="00B620A3"/>
    <w:rsid w:val="00B63C19"/>
    <w:rsid w:val="00B63D7D"/>
    <w:rsid w:val="00B715FE"/>
    <w:rsid w:val="00B73257"/>
    <w:rsid w:val="00B76E9D"/>
    <w:rsid w:val="00B770E5"/>
    <w:rsid w:val="00B77B08"/>
    <w:rsid w:val="00B80646"/>
    <w:rsid w:val="00B84766"/>
    <w:rsid w:val="00B86455"/>
    <w:rsid w:val="00B87A69"/>
    <w:rsid w:val="00B87E65"/>
    <w:rsid w:val="00B90774"/>
    <w:rsid w:val="00B9227A"/>
    <w:rsid w:val="00B9306B"/>
    <w:rsid w:val="00B9412C"/>
    <w:rsid w:val="00B951D6"/>
    <w:rsid w:val="00B9523E"/>
    <w:rsid w:val="00B97779"/>
    <w:rsid w:val="00BA053B"/>
    <w:rsid w:val="00BA0D6E"/>
    <w:rsid w:val="00BA22A0"/>
    <w:rsid w:val="00BA547C"/>
    <w:rsid w:val="00BA55C5"/>
    <w:rsid w:val="00BA56FB"/>
    <w:rsid w:val="00BA5E90"/>
    <w:rsid w:val="00BA69B1"/>
    <w:rsid w:val="00BB136D"/>
    <w:rsid w:val="00BB1D60"/>
    <w:rsid w:val="00BB2054"/>
    <w:rsid w:val="00BB4D65"/>
    <w:rsid w:val="00BC084E"/>
    <w:rsid w:val="00BC15A5"/>
    <w:rsid w:val="00BC1B99"/>
    <w:rsid w:val="00BC2A54"/>
    <w:rsid w:val="00BC2E02"/>
    <w:rsid w:val="00BC3F9C"/>
    <w:rsid w:val="00BC6EE8"/>
    <w:rsid w:val="00BC79E1"/>
    <w:rsid w:val="00BD0207"/>
    <w:rsid w:val="00BD1758"/>
    <w:rsid w:val="00BD2CDD"/>
    <w:rsid w:val="00BD36AE"/>
    <w:rsid w:val="00BD3E15"/>
    <w:rsid w:val="00BD5AEB"/>
    <w:rsid w:val="00BD5C05"/>
    <w:rsid w:val="00BE0E5D"/>
    <w:rsid w:val="00BE13A8"/>
    <w:rsid w:val="00BE224F"/>
    <w:rsid w:val="00BE2E47"/>
    <w:rsid w:val="00BE654F"/>
    <w:rsid w:val="00BF06F0"/>
    <w:rsid w:val="00BF0D8D"/>
    <w:rsid w:val="00BF1480"/>
    <w:rsid w:val="00BF22FE"/>
    <w:rsid w:val="00BF4F5D"/>
    <w:rsid w:val="00BF5699"/>
    <w:rsid w:val="00BF5B00"/>
    <w:rsid w:val="00BF7202"/>
    <w:rsid w:val="00C110A6"/>
    <w:rsid w:val="00C143C5"/>
    <w:rsid w:val="00C1519B"/>
    <w:rsid w:val="00C161A2"/>
    <w:rsid w:val="00C16BA5"/>
    <w:rsid w:val="00C171CA"/>
    <w:rsid w:val="00C200B9"/>
    <w:rsid w:val="00C22153"/>
    <w:rsid w:val="00C23CB9"/>
    <w:rsid w:val="00C2439E"/>
    <w:rsid w:val="00C24811"/>
    <w:rsid w:val="00C25138"/>
    <w:rsid w:val="00C25D93"/>
    <w:rsid w:val="00C272A8"/>
    <w:rsid w:val="00C30788"/>
    <w:rsid w:val="00C320A9"/>
    <w:rsid w:val="00C32F2B"/>
    <w:rsid w:val="00C35F7D"/>
    <w:rsid w:val="00C36C64"/>
    <w:rsid w:val="00C376E5"/>
    <w:rsid w:val="00C378BA"/>
    <w:rsid w:val="00C378E7"/>
    <w:rsid w:val="00C40D02"/>
    <w:rsid w:val="00C427D9"/>
    <w:rsid w:val="00C429A6"/>
    <w:rsid w:val="00C44483"/>
    <w:rsid w:val="00C4602B"/>
    <w:rsid w:val="00C4747B"/>
    <w:rsid w:val="00C519A6"/>
    <w:rsid w:val="00C52FAD"/>
    <w:rsid w:val="00C53334"/>
    <w:rsid w:val="00C53CAF"/>
    <w:rsid w:val="00C544D6"/>
    <w:rsid w:val="00C62D06"/>
    <w:rsid w:val="00C637ED"/>
    <w:rsid w:val="00C65325"/>
    <w:rsid w:val="00C65CEC"/>
    <w:rsid w:val="00C70638"/>
    <w:rsid w:val="00C7080B"/>
    <w:rsid w:val="00C7151E"/>
    <w:rsid w:val="00C73CEB"/>
    <w:rsid w:val="00C743A6"/>
    <w:rsid w:val="00C76008"/>
    <w:rsid w:val="00C76A30"/>
    <w:rsid w:val="00C80258"/>
    <w:rsid w:val="00C827C1"/>
    <w:rsid w:val="00C90E8B"/>
    <w:rsid w:val="00C93BC5"/>
    <w:rsid w:val="00C9419E"/>
    <w:rsid w:val="00C95404"/>
    <w:rsid w:val="00C9737B"/>
    <w:rsid w:val="00C976EB"/>
    <w:rsid w:val="00CA3EE4"/>
    <w:rsid w:val="00CA4419"/>
    <w:rsid w:val="00CA57C7"/>
    <w:rsid w:val="00CA617F"/>
    <w:rsid w:val="00CA62CA"/>
    <w:rsid w:val="00CA70FD"/>
    <w:rsid w:val="00CB0679"/>
    <w:rsid w:val="00CB0750"/>
    <w:rsid w:val="00CB16F0"/>
    <w:rsid w:val="00CB17B6"/>
    <w:rsid w:val="00CB300E"/>
    <w:rsid w:val="00CB5A6E"/>
    <w:rsid w:val="00CB65E8"/>
    <w:rsid w:val="00CC0FD8"/>
    <w:rsid w:val="00CC55B2"/>
    <w:rsid w:val="00CD618A"/>
    <w:rsid w:val="00CD72D0"/>
    <w:rsid w:val="00CD7306"/>
    <w:rsid w:val="00CD77C4"/>
    <w:rsid w:val="00CE0A8C"/>
    <w:rsid w:val="00CE0BB6"/>
    <w:rsid w:val="00CE4E69"/>
    <w:rsid w:val="00CE5237"/>
    <w:rsid w:val="00CE7397"/>
    <w:rsid w:val="00CE73ED"/>
    <w:rsid w:val="00CF0E0D"/>
    <w:rsid w:val="00CF482A"/>
    <w:rsid w:val="00CF7797"/>
    <w:rsid w:val="00CF78A7"/>
    <w:rsid w:val="00D00D4D"/>
    <w:rsid w:val="00D011C6"/>
    <w:rsid w:val="00D01BF3"/>
    <w:rsid w:val="00D020C8"/>
    <w:rsid w:val="00D05F20"/>
    <w:rsid w:val="00D06B49"/>
    <w:rsid w:val="00D077C0"/>
    <w:rsid w:val="00D10456"/>
    <w:rsid w:val="00D12D2F"/>
    <w:rsid w:val="00D14E56"/>
    <w:rsid w:val="00D15B23"/>
    <w:rsid w:val="00D162DC"/>
    <w:rsid w:val="00D176B7"/>
    <w:rsid w:val="00D2060A"/>
    <w:rsid w:val="00D21484"/>
    <w:rsid w:val="00D236DF"/>
    <w:rsid w:val="00D302F2"/>
    <w:rsid w:val="00D323B2"/>
    <w:rsid w:val="00D32584"/>
    <w:rsid w:val="00D40A19"/>
    <w:rsid w:val="00D469D4"/>
    <w:rsid w:val="00D50B18"/>
    <w:rsid w:val="00D519E4"/>
    <w:rsid w:val="00D53FD1"/>
    <w:rsid w:val="00D542B6"/>
    <w:rsid w:val="00D5600A"/>
    <w:rsid w:val="00D607B6"/>
    <w:rsid w:val="00D617EF"/>
    <w:rsid w:val="00D6181F"/>
    <w:rsid w:val="00D61941"/>
    <w:rsid w:val="00D63939"/>
    <w:rsid w:val="00D64E40"/>
    <w:rsid w:val="00D703E0"/>
    <w:rsid w:val="00D70DAE"/>
    <w:rsid w:val="00D73C38"/>
    <w:rsid w:val="00D74193"/>
    <w:rsid w:val="00D74A52"/>
    <w:rsid w:val="00D75F18"/>
    <w:rsid w:val="00D75FC5"/>
    <w:rsid w:val="00D7622D"/>
    <w:rsid w:val="00D80BBD"/>
    <w:rsid w:val="00D82389"/>
    <w:rsid w:val="00D826AD"/>
    <w:rsid w:val="00D83808"/>
    <w:rsid w:val="00D83C3C"/>
    <w:rsid w:val="00D84817"/>
    <w:rsid w:val="00D852E0"/>
    <w:rsid w:val="00D856E1"/>
    <w:rsid w:val="00D85C3F"/>
    <w:rsid w:val="00D87D57"/>
    <w:rsid w:val="00D90B7D"/>
    <w:rsid w:val="00D94360"/>
    <w:rsid w:val="00D972F0"/>
    <w:rsid w:val="00D97E11"/>
    <w:rsid w:val="00DA07BC"/>
    <w:rsid w:val="00DA23FC"/>
    <w:rsid w:val="00DA3B0C"/>
    <w:rsid w:val="00DA527A"/>
    <w:rsid w:val="00DA5707"/>
    <w:rsid w:val="00DA6A68"/>
    <w:rsid w:val="00DB00CA"/>
    <w:rsid w:val="00DB0182"/>
    <w:rsid w:val="00DB1806"/>
    <w:rsid w:val="00DB1CC4"/>
    <w:rsid w:val="00DB71F2"/>
    <w:rsid w:val="00DC0837"/>
    <w:rsid w:val="00DC2148"/>
    <w:rsid w:val="00DC4877"/>
    <w:rsid w:val="00DC7A2C"/>
    <w:rsid w:val="00DD0098"/>
    <w:rsid w:val="00DD1015"/>
    <w:rsid w:val="00DD16B7"/>
    <w:rsid w:val="00DD240C"/>
    <w:rsid w:val="00DD2E12"/>
    <w:rsid w:val="00DD53CB"/>
    <w:rsid w:val="00DD61F7"/>
    <w:rsid w:val="00DD6B95"/>
    <w:rsid w:val="00DE129B"/>
    <w:rsid w:val="00DE6B1E"/>
    <w:rsid w:val="00DE6F93"/>
    <w:rsid w:val="00DE770C"/>
    <w:rsid w:val="00DE7950"/>
    <w:rsid w:val="00DF0322"/>
    <w:rsid w:val="00DF0DC0"/>
    <w:rsid w:val="00DF1BD3"/>
    <w:rsid w:val="00DF1FF1"/>
    <w:rsid w:val="00DF2F70"/>
    <w:rsid w:val="00DF3C59"/>
    <w:rsid w:val="00E1250A"/>
    <w:rsid w:val="00E13035"/>
    <w:rsid w:val="00E1311E"/>
    <w:rsid w:val="00E16400"/>
    <w:rsid w:val="00E21279"/>
    <w:rsid w:val="00E237BD"/>
    <w:rsid w:val="00E252CE"/>
    <w:rsid w:val="00E26055"/>
    <w:rsid w:val="00E30F9B"/>
    <w:rsid w:val="00E32FB7"/>
    <w:rsid w:val="00E347B5"/>
    <w:rsid w:val="00E36450"/>
    <w:rsid w:val="00E3711D"/>
    <w:rsid w:val="00E43073"/>
    <w:rsid w:val="00E445F0"/>
    <w:rsid w:val="00E505DE"/>
    <w:rsid w:val="00E506AF"/>
    <w:rsid w:val="00E51898"/>
    <w:rsid w:val="00E55056"/>
    <w:rsid w:val="00E56929"/>
    <w:rsid w:val="00E578EE"/>
    <w:rsid w:val="00E60E00"/>
    <w:rsid w:val="00E61964"/>
    <w:rsid w:val="00E62693"/>
    <w:rsid w:val="00E656F1"/>
    <w:rsid w:val="00E706D3"/>
    <w:rsid w:val="00E70A14"/>
    <w:rsid w:val="00E73777"/>
    <w:rsid w:val="00E7747E"/>
    <w:rsid w:val="00E77A28"/>
    <w:rsid w:val="00E81177"/>
    <w:rsid w:val="00E85583"/>
    <w:rsid w:val="00E87D77"/>
    <w:rsid w:val="00E92065"/>
    <w:rsid w:val="00E94051"/>
    <w:rsid w:val="00E961E4"/>
    <w:rsid w:val="00EA04DA"/>
    <w:rsid w:val="00EA2F2C"/>
    <w:rsid w:val="00EA4331"/>
    <w:rsid w:val="00EA5F83"/>
    <w:rsid w:val="00EA7590"/>
    <w:rsid w:val="00EB1177"/>
    <w:rsid w:val="00EB31E0"/>
    <w:rsid w:val="00EB433C"/>
    <w:rsid w:val="00EC041F"/>
    <w:rsid w:val="00EC11E6"/>
    <w:rsid w:val="00EC203D"/>
    <w:rsid w:val="00EC2F91"/>
    <w:rsid w:val="00EC41F1"/>
    <w:rsid w:val="00ED1719"/>
    <w:rsid w:val="00ED2AB3"/>
    <w:rsid w:val="00ED3768"/>
    <w:rsid w:val="00ED4278"/>
    <w:rsid w:val="00ED5274"/>
    <w:rsid w:val="00ED5EB7"/>
    <w:rsid w:val="00ED6944"/>
    <w:rsid w:val="00EE0B5B"/>
    <w:rsid w:val="00EE1667"/>
    <w:rsid w:val="00EE2572"/>
    <w:rsid w:val="00EE4315"/>
    <w:rsid w:val="00EE4D14"/>
    <w:rsid w:val="00EE74FC"/>
    <w:rsid w:val="00EE7B42"/>
    <w:rsid w:val="00EF155B"/>
    <w:rsid w:val="00EF54C8"/>
    <w:rsid w:val="00EF54D0"/>
    <w:rsid w:val="00EF7B80"/>
    <w:rsid w:val="00F00F62"/>
    <w:rsid w:val="00F01E0B"/>
    <w:rsid w:val="00F03781"/>
    <w:rsid w:val="00F03A51"/>
    <w:rsid w:val="00F1120C"/>
    <w:rsid w:val="00F15C21"/>
    <w:rsid w:val="00F2069C"/>
    <w:rsid w:val="00F20D2B"/>
    <w:rsid w:val="00F2126B"/>
    <w:rsid w:val="00F2338E"/>
    <w:rsid w:val="00F241B4"/>
    <w:rsid w:val="00F350E2"/>
    <w:rsid w:val="00F36622"/>
    <w:rsid w:val="00F40EA1"/>
    <w:rsid w:val="00F43731"/>
    <w:rsid w:val="00F43C40"/>
    <w:rsid w:val="00F43DAE"/>
    <w:rsid w:val="00F44BB7"/>
    <w:rsid w:val="00F453FF"/>
    <w:rsid w:val="00F45E04"/>
    <w:rsid w:val="00F45E18"/>
    <w:rsid w:val="00F46322"/>
    <w:rsid w:val="00F4656C"/>
    <w:rsid w:val="00F503FC"/>
    <w:rsid w:val="00F50D0B"/>
    <w:rsid w:val="00F52101"/>
    <w:rsid w:val="00F525DA"/>
    <w:rsid w:val="00F52EDB"/>
    <w:rsid w:val="00F52F23"/>
    <w:rsid w:val="00F54DD4"/>
    <w:rsid w:val="00F56027"/>
    <w:rsid w:val="00F62011"/>
    <w:rsid w:val="00F64340"/>
    <w:rsid w:val="00F67619"/>
    <w:rsid w:val="00F71B9B"/>
    <w:rsid w:val="00F722C7"/>
    <w:rsid w:val="00F72EB0"/>
    <w:rsid w:val="00F7446D"/>
    <w:rsid w:val="00F828A2"/>
    <w:rsid w:val="00F82F7A"/>
    <w:rsid w:val="00F90FD4"/>
    <w:rsid w:val="00F91E29"/>
    <w:rsid w:val="00F94DA5"/>
    <w:rsid w:val="00F967E6"/>
    <w:rsid w:val="00F976AB"/>
    <w:rsid w:val="00F97AC4"/>
    <w:rsid w:val="00F97AEB"/>
    <w:rsid w:val="00FA0AA8"/>
    <w:rsid w:val="00FA2706"/>
    <w:rsid w:val="00FA2B08"/>
    <w:rsid w:val="00FA3B13"/>
    <w:rsid w:val="00FA6CE8"/>
    <w:rsid w:val="00FB04F0"/>
    <w:rsid w:val="00FB2363"/>
    <w:rsid w:val="00FB50A9"/>
    <w:rsid w:val="00FB57C6"/>
    <w:rsid w:val="00FB5E92"/>
    <w:rsid w:val="00FC18DA"/>
    <w:rsid w:val="00FC3E67"/>
    <w:rsid w:val="00FC50CA"/>
    <w:rsid w:val="00FC5424"/>
    <w:rsid w:val="00FC5606"/>
    <w:rsid w:val="00FC5C3F"/>
    <w:rsid w:val="00FC6EBC"/>
    <w:rsid w:val="00FD1373"/>
    <w:rsid w:val="00FD235C"/>
    <w:rsid w:val="00FD28EB"/>
    <w:rsid w:val="00FD641D"/>
    <w:rsid w:val="00FE2AA4"/>
    <w:rsid w:val="00FE5991"/>
    <w:rsid w:val="00FE656C"/>
    <w:rsid w:val="00FF03A8"/>
    <w:rsid w:val="00FF2D68"/>
    <w:rsid w:val="00FF76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E2925"/>
  <w15:chartTrackingRefBased/>
  <w15:docId w15:val="{85F4A58C-C9AC-49C8-AA67-E757A96E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E2214"/>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E2214"/>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3E2214"/>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2214"/>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3E2214"/>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3E2214"/>
    <w:rPr>
      <w:rFonts w:asciiTheme="majorHAnsi" w:eastAsiaTheme="majorEastAsia" w:hAnsiTheme="majorHAnsi" w:cstheme="majorBidi"/>
      <w:color w:val="1F3763" w:themeColor="accent1" w:themeShade="7F"/>
      <w:sz w:val="24"/>
      <w:szCs w:val="24"/>
    </w:rPr>
  </w:style>
  <w:style w:type="paragraph" w:styleId="Prrafodelista">
    <w:name w:val="List Paragraph"/>
    <w:aliases w:val="Llista Nivell1,Lista de nivel 1,Numeración 1,Cuadrícula media 1 - Énfasis 21,prueba1,List Paragraph"/>
    <w:basedOn w:val="Normal"/>
    <w:link w:val="PrrafodelistaCar"/>
    <w:uiPriority w:val="34"/>
    <w:qFormat/>
    <w:rsid w:val="00B9227A"/>
    <w:pPr>
      <w:ind w:left="720"/>
      <w:contextualSpacing/>
    </w:pPr>
  </w:style>
  <w:style w:type="character" w:customStyle="1" w:styleId="PrrafodelistaCar">
    <w:name w:val="Párrafo de lista Car"/>
    <w:aliases w:val="Llista Nivell1 Car,Lista de nivel 1 Car,Numeración 1 Car,Cuadrícula media 1 - Énfasis 21 Car,prueba1 Car,List Paragraph Car"/>
    <w:link w:val="Prrafodelista"/>
    <w:uiPriority w:val="34"/>
    <w:qFormat/>
    <w:rsid w:val="003E2214"/>
  </w:style>
  <w:style w:type="paragraph" w:styleId="Textonotapie">
    <w:name w:val="footnote text"/>
    <w:aliases w:val="Car Car,fn,footnote text,Footnotes,Footnote ak,Footnote Text Char2,Footnote Text Char1 Char1,Footnote Text Char Char Char,Footnote Text Char1 Char Char Char,Footnote Text Char Char Char Char Char,Footnote Text Char,ft,Footnote reference,C"/>
    <w:basedOn w:val="Normal"/>
    <w:link w:val="TextonotapieCar"/>
    <w:uiPriority w:val="99"/>
    <w:unhideWhenUsed/>
    <w:qFormat/>
    <w:rsid w:val="005C5B1C"/>
    <w:pPr>
      <w:spacing w:after="0" w:line="240" w:lineRule="auto"/>
    </w:pPr>
    <w:rPr>
      <w:sz w:val="20"/>
      <w:szCs w:val="20"/>
    </w:rPr>
  </w:style>
  <w:style w:type="character" w:customStyle="1" w:styleId="TextonotapieCar">
    <w:name w:val="Texto nota pie Car"/>
    <w:aliases w:val="Car Car Car,fn Car,footnote text Car,Footnotes Car,Footnote ak Car,Footnote Text Char2 Car,Footnote Text Char1 Char1 Car,Footnote Text Char Char Char Car,Footnote Text Char1 Char Char Char Car,Footnote Text Char Car,ft Car,C Car"/>
    <w:basedOn w:val="Fuentedeprrafopredeter"/>
    <w:link w:val="Textonotapie"/>
    <w:uiPriority w:val="99"/>
    <w:rsid w:val="005C5B1C"/>
    <w:rPr>
      <w:sz w:val="20"/>
      <w:szCs w:val="20"/>
    </w:rPr>
  </w:style>
  <w:style w:type="character" w:styleId="Refdenotaalpie">
    <w:name w:val="footnote reference"/>
    <w:aliases w:val="Ref,de nota al pie,Ref. de nota al pie 2,Footnotes refss,Texto de nota al pie,Appel note de bas de page,(NECG) Footnote Reference,o,fr,Style 3,Appel note de bas de p,Style 12,Style 124,Style 13,FR,Style 17,Style 6,Footnote Reference/"/>
    <w:uiPriority w:val="99"/>
    <w:unhideWhenUsed/>
    <w:qFormat/>
    <w:rsid w:val="005C5B1C"/>
    <w:rPr>
      <w:vertAlign w:val="superscript"/>
    </w:rPr>
  </w:style>
  <w:style w:type="paragraph" w:styleId="Encabezado">
    <w:name w:val="header"/>
    <w:basedOn w:val="Normal"/>
    <w:link w:val="EncabezadoCar"/>
    <w:uiPriority w:val="99"/>
    <w:unhideWhenUsed/>
    <w:rsid w:val="003E2214"/>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3E2214"/>
    <w:rPr>
      <w:rFonts w:ascii="Calibri" w:eastAsia="Calibri" w:hAnsi="Calibri" w:cs="Times New Roman"/>
    </w:rPr>
  </w:style>
  <w:style w:type="paragraph" w:styleId="Piedepgina">
    <w:name w:val="footer"/>
    <w:basedOn w:val="Normal"/>
    <w:link w:val="PiedepginaCar"/>
    <w:uiPriority w:val="99"/>
    <w:unhideWhenUsed/>
    <w:rsid w:val="003E2214"/>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3E2214"/>
    <w:rPr>
      <w:rFonts w:ascii="Calibri" w:eastAsia="Calibri" w:hAnsi="Calibri" w:cs="Times New Roman"/>
    </w:rPr>
  </w:style>
  <w:style w:type="paragraph" w:customStyle="1" w:styleId="estilo30">
    <w:name w:val="estilo30"/>
    <w:basedOn w:val="Normal"/>
    <w:rsid w:val="003E221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3E221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3E2214"/>
    <w:pPr>
      <w:autoSpaceDE w:val="0"/>
      <w:autoSpaceDN w:val="0"/>
      <w:adjustRightInd w:val="0"/>
      <w:spacing w:after="0" w:line="240" w:lineRule="auto"/>
    </w:pPr>
    <w:rPr>
      <w:rFonts w:ascii="Tahoma" w:eastAsia="Calibri" w:hAnsi="Tahoma" w:cs="Tahoma"/>
      <w:color w:val="000000"/>
      <w:sz w:val="24"/>
      <w:szCs w:val="24"/>
      <w:lang w:eastAsia="es-MX"/>
    </w:rPr>
  </w:style>
  <w:style w:type="character" w:styleId="Hipervnculo">
    <w:name w:val="Hyperlink"/>
    <w:uiPriority w:val="99"/>
    <w:unhideWhenUsed/>
    <w:rsid w:val="003E2214"/>
    <w:rPr>
      <w:color w:val="0563C1"/>
      <w:u w:val="single"/>
    </w:rPr>
  </w:style>
  <w:style w:type="table" w:styleId="Tablaconcuadrcula">
    <w:name w:val="Table Grid"/>
    <w:basedOn w:val="Tablanormal"/>
    <w:uiPriority w:val="39"/>
    <w:rsid w:val="003E22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E2214"/>
    <w:pPr>
      <w:spacing w:after="0" w:line="240" w:lineRule="auto"/>
    </w:pPr>
    <w:rPr>
      <w:rFonts w:ascii="Calibri" w:eastAsia="Calibri" w:hAnsi="Calibri" w:cs="Times New Roman"/>
    </w:rPr>
  </w:style>
  <w:style w:type="paragraph" w:styleId="Textocomentario">
    <w:name w:val="annotation text"/>
    <w:basedOn w:val="Normal"/>
    <w:link w:val="TextocomentarioCar"/>
    <w:uiPriority w:val="99"/>
    <w:unhideWhenUsed/>
    <w:rsid w:val="003E2214"/>
    <w:pPr>
      <w:spacing w:after="200" w:line="276" w:lineRule="auto"/>
    </w:pPr>
    <w:rPr>
      <w:rFonts w:ascii="Calibri" w:eastAsia="Calibri" w:hAnsi="Calibri" w:cs="Times New Roman"/>
      <w:sz w:val="20"/>
      <w:szCs w:val="20"/>
      <w:lang w:val="x-none"/>
    </w:rPr>
  </w:style>
  <w:style w:type="character" w:customStyle="1" w:styleId="TextocomentarioCar">
    <w:name w:val="Texto comentario Car"/>
    <w:basedOn w:val="Fuentedeprrafopredeter"/>
    <w:link w:val="Textocomentario"/>
    <w:uiPriority w:val="99"/>
    <w:rsid w:val="003E2214"/>
    <w:rPr>
      <w:rFonts w:ascii="Calibri" w:eastAsia="Calibri" w:hAnsi="Calibri" w:cs="Times New Roman"/>
      <w:sz w:val="20"/>
      <w:szCs w:val="20"/>
      <w:lang w:val="x-none"/>
    </w:rPr>
  </w:style>
  <w:style w:type="character" w:customStyle="1" w:styleId="TextodegloboCar">
    <w:name w:val="Texto de globo Car"/>
    <w:basedOn w:val="Fuentedeprrafopredeter"/>
    <w:link w:val="Textodeglobo"/>
    <w:uiPriority w:val="99"/>
    <w:semiHidden/>
    <w:rsid w:val="003E2214"/>
    <w:rPr>
      <w:rFonts w:ascii="Tahoma" w:eastAsia="Calibri" w:hAnsi="Tahoma" w:cs="Times New Roman"/>
      <w:sz w:val="16"/>
      <w:szCs w:val="16"/>
      <w:lang w:val="x-none"/>
    </w:rPr>
  </w:style>
  <w:style w:type="paragraph" w:styleId="Textodeglobo">
    <w:name w:val="Balloon Text"/>
    <w:basedOn w:val="Normal"/>
    <w:link w:val="TextodegloboCar"/>
    <w:uiPriority w:val="99"/>
    <w:semiHidden/>
    <w:unhideWhenUsed/>
    <w:rsid w:val="003E2214"/>
    <w:pPr>
      <w:spacing w:after="0" w:line="240" w:lineRule="auto"/>
    </w:pPr>
    <w:rPr>
      <w:rFonts w:ascii="Tahoma" w:eastAsia="Calibri" w:hAnsi="Tahoma" w:cs="Times New Roman"/>
      <w:sz w:val="16"/>
      <w:szCs w:val="16"/>
      <w:lang w:val="x-none"/>
    </w:rPr>
  </w:style>
  <w:style w:type="character" w:customStyle="1" w:styleId="apple-converted-space">
    <w:name w:val="apple-converted-space"/>
    <w:basedOn w:val="Fuentedeprrafopredeter"/>
    <w:rsid w:val="003E2214"/>
  </w:style>
  <w:style w:type="character" w:customStyle="1" w:styleId="AsuntodelcomentarioCar">
    <w:name w:val="Asunto del comentario Car"/>
    <w:basedOn w:val="TextocomentarioCar"/>
    <w:link w:val="Asuntodelcomentario"/>
    <w:uiPriority w:val="99"/>
    <w:semiHidden/>
    <w:rsid w:val="003E2214"/>
    <w:rPr>
      <w:rFonts w:ascii="Calibri" w:eastAsia="Calibri" w:hAnsi="Calibri" w:cs="Times New Roman"/>
      <w:b/>
      <w:bCs/>
      <w:sz w:val="20"/>
      <w:szCs w:val="20"/>
      <w:lang w:val="x-none"/>
    </w:rPr>
  </w:style>
  <w:style w:type="paragraph" w:styleId="Asuntodelcomentario">
    <w:name w:val="annotation subject"/>
    <w:basedOn w:val="Textocomentario"/>
    <w:next w:val="Textocomentario"/>
    <w:link w:val="AsuntodelcomentarioCar"/>
    <w:uiPriority w:val="99"/>
    <w:semiHidden/>
    <w:unhideWhenUsed/>
    <w:rsid w:val="003E2214"/>
    <w:pPr>
      <w:spacing w:line="240" w:lineRule="auto"/>
    </w:pPr>
    <w:rPr>
      <w:b/>
      <w:bCs/>
      <w:lang w:val="es-MX"/>
    </w:rPr>
  </w:style>
  <w:style w:type="character" w:styleId="Textoennegrita">
    <w:name w:val="Strong"/>
    <w:basedOn w:val="Fuentedeprrafopredeter"/>
    <w:uiPriority w:val="22"/>
    <w:qFormat/>
    <w:rsid w:val="003E2214"/>
    <w:rPr>
      <w:b/>
      <w:bCs/>
    </w:rPr>
  </w:style>
  <w:style w:type="paragraph" w:customStyle="1" w:styleId="Seccin">
    <w:name w:val="Sección"/>
    <w:basedOn w:val="Normal"/>
    <w:qFormat/>
    <w:rsid w:val="003E2214"/>
    <w:pPr>
      <w:spacing w:before="360" w:after="0"/>
      <w:jc w:val="both"/>
    </w:pPr>
    <w:rPr>
      <w:rFonts w:ascii="ITC Avant Garde" w:eastAsiaTheme="minorEastAsia" w:hAnsi="ITC Avant Garde"/>
      <w:b/>
      <w:smallCaps/>
      <w:sz w:val="20"/>
      <w:szCs w:val="24"/>
      <w:lang w:eastAsia="ja-JP"/>
    </w:rPr>
  </w:style>
  <w:style w:type="paragraph" w:customStyle="1" w:styleId="ROMANOS">
    <w:name w:val="ROMANOS"/>
    <w:basedOn w:val="Normal"/>
    <w:link w:val="ROMANOSCar"/>
    <w:rsid w:val="003E2214"/>
    <w:pPr>
      <w:tabs>
        <w:tab w:val="left" w:pos="720"/>
      </w:tabs>
      <w:spacing w:after="101" w:line="216" w:lineRule="exact"/>
      <w:ind w:left="720" w:hanging="432"/>
      <w:jc w:val="both"/>
    </w:pPr>
    <w:rPr>
      <w:rFonts w:ascii="Arial" w:eastAsia="Times New Roman" w:hAnsi="Arial" w:cs="Arial"/>
      <w:sz w:val="18"/>
      <w:szCs w:val="18"/>
      <w:lang w:val="es-ES_tradnl" w:eastAsia="es-ES"/>
    </w:rPr>
  </w:style>
  <w:style w:type="character" w:customStyle="1" w:styleId="ROMANOSCar">
    <w:name w:val="ROMANOS Car"/>
    <w:link w:val="ROMANOS"/>
    <w:locked/>
    <w:rsid w:val="003E2214"/>
    <w:rPr>
      <w:rFonts w:ascii="Arial" w:eastAsia="Times New Roman" w:hAnsi="Arial" w:cs="Arial"/>
      <w:sz w:val="18"/>
      <w:szCs w:val="18"/>
      <w:lang w:val="es-ES_tradnl" w:eastAsia="es-ES"/>
    </w:rPr>
  </w:style>
  <w:style w:type="paragraph" w:styleId="Subttulo">
    <w:name w:val="Subtitle"/>
    <w:basedOn w:val="Normal"/>
    <w:next w:val="Normal"/>
    <w:link w:val="SubttuloCar"/>
    <w:uiPriority w:val="11"/>
    <w:qFormat/>
    <w:rsid w:val="003E2214"/>
    <w:pPr>
      <w:numPr>
        <w:ilvl w:val="1"/>
      </w:numPr>
      <w:spacing w:line="276" w:lineRule="auto"/>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3E2214"/>
    <w:rPr>
      <w:rFonts w:eastAsiaTheme="minorEastAsia"/>
      <w:color w:val="5A5A5A" w:themeColor="text1" w:themeTint="A5"/>
      <w:spacing w:val="15"/>
    </w:rPr>
  </w:style>
  <w:style w:type="character" w:customStyle="1" w:styleId="Textoindependiente2Car">
    <w:name w:val="Texto independiente 2 Car"/>
    <w:basedOn w:val="Fuentedeprrafopredeter"/>
    <w:link w:val="Textoindependiente2"/>
    <w:uiPriority w:val="99"/>
    <w:semiHidden/>
    <w:rsid w:val="003E2214"/>
    <w:rPr>
      <w:rFonts w:ascii="Calibri" w:eastAsia="Calibri" w:hAnsi="Calibri" w:cs="Times New Roman"/>
    </w:rPr>
  </w:style>
  <w:style w:type="paragraph" w:styleId="Textoindependiente2">
    <w:name w:val="Body Text 2"/>
    <w:basedOn w:val="Normal"/>
    <w:link w:val="Textoindependiente2Car"/>
    <w:uiPriority w:val="99"/>
    <w:semiHidden/>
    <w:unhideWhenUsed/>
    <w:rsid w:val="003E2214"/>
    <w:pPr>
      <w:spacing w:after="120" w:line="480" w:lineRule="auto"/>
    </w:pPr>
    <w:rPr>
      <w:rFonts w:ascii="Calibri" w:eastAsia="Calibri" w:hAnsi="Calibri" w:cs="Times New Roman"/>
    </w:rPr>
  </w:style>
  <w:style w:type="paragraph" w:styleId="Textoindependiente">
    <w:name w:val="Body Text"/>
    <w:basedOn w:val="Normal"/>
    <w:link w:val="TextoindependienteCar"/>
    <w:uiPriority w:val="99"/>
    <w:unhideWhenUsed/>
    <w:rsid w:val="003E2214"/>
    <w:pPr>
      <w:spacing w:after="120"/>
    </w:pPr>
  </w:style>
  <w:style w:type="character" w:customStyle="1" w:styleId="TextoindependienteCar">
    <w:name w:val="Texto independiente Car"/>
    <w:basedOn w:val="Fuentedeprrafopredeter"/>
    <w:link w:val="Textoindependiente"/>
    <w:uiPriority w:val="99"/>
    <w:rsid w:val="003E2214"/>
  </w:style>
  <w:style w:type="character" w:styleId="nfasisintenso">
    <w:name w:val="Intense Emphasis"/>
    <w:basedOn w:val="Fuentedeprrafopredeter"/>
    <w:uiPriority w:val="21"/>
    <w:qFormat/>
    <w:rsid w:val="003E2214"/>
    <w:rPr>
      <w:i/>
      <w:iCs/>
      <w:color w:val="4472C4" w:themeColor="accent1"/>
    </w:rPr>
  </w:style>
  <w:style w:type="paragraph" w:customStyle="1" w:styleId="PreguntaInciso">
    <w:name w:val="Pregunta Inciso"/>
    <w:link w:val="PreguntaIncisoCar"/>
    <w:qFormat/>
    <w:rsid w:val="003E2214"/>
    <w:pPr>
      <w:spacing w:after="120" w:line="240" w:lineRule="auto"/>
      <w:ind w:left="720" w:hanging="360"/>
      <w:jc w:val="both"/>
    </w:pPr>
    <w:rPr>
      <w:rFonts w:ascii="ITC Avant Garde" w:eastAsia="Calibri" w:hAnsi="ITC Avant Garde" w:cs="Times New Roman"/>
      <w:color w:val="000000"/>
      <w:lang w:val="es-ES"/>
    </w:rPr>
  </w:style>
  <w:style w:type="character" w:customStyle="1" w:styleId="PreguntaIncisoCar">
    <w:name w:val="Pregunta Inciso Car"/>
    <w:basedOn w:val="Fuentedeprrafopredeter"/>
    <w:link w:val="PreguntaInciso"/>
    <w:rsid w:val="003E2214"/>
    <w:rPr>
      <w:rFonts w:ascii="ITC Avant Garde" w:eastAsia="Calibri" w:hAnsi="ITC Avant Garde" w:cs="Times New Roman"/>
      <w:color w:val="000000"/>
      <w:lang w:val="es-ES"/>
    </w:rPr>
  </w:style>
  <w:style w:type="table" w:customStyle="1" w:styleId="Tablaconcuadrcula3">
    <w:name w:val="Tabla con cuadrícula3"/>
    <w:basedOn w:val="Tablanormal"/>
    <w:next w:val="Tablaconcuadrcula"/>
    <w:uiPriority w:val="39"/>
    <w:rsid w:val="003E22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alfinalCar">
    <w:name w:val="Texto nota al final Car"/>
    <w:basedOn w:val="Fuentedeprrafopredeter"/>
    <w:link w:val="Textonotaalfinal"/>
    <w:uiPriority w:val="99"/>
    <w:semiHidden/>
    <w:rsid w:val="003E2214"/>
    <w:rPr>
      <w:rFonts w:ascii="Calibri" w:eastAsia="Calibri" w:hAnsi="Calibri" w:cs="Times New Roman"/>
      <w:sz w:val="20"/>
      <w:szCs w:val="20"/>
    </w:rPr>
  </w:style>
  <w:style w:type="paragraph" w:styleId="Textonotaalfinal">
    <w:name w:val="endnote text"/>
    <w:basedOn w:val="Normal"/>
    <w:link w:val="TextonotaalfinalCar"/>
    <w:uiPriority w:val="99"/>
    <w:semiHidden/>
    <w:unhideWhenUsed/>
    <w:rsid w:val="003E2214"/>
    <w:pPr>
      <w:spacing w:after="0" w:line="240" w:lineRule="auto"/>
    </w:pPr>
    <w:rPr>
      <w:rFonts w:ascii="Calibri" w:eastAsia="Calibri" w:hAnsi="Calibri" w:cs="Times New Roman"/>
      <w:sz w:val="20"/>
      <w:szCs w:val="20"/>
    </w:rPr>
  </w:style>
  <w:style w:type="character" w:customStyle="1" w:styleId="TextoCar">
    <w:name w:val="Texto Car"/>
    <w:link w:val="Texto"/>
    <w:locked/>
    <w:rsid w:val="003E2214"/>
    <w:rPr>
      <w:rFonts w:ascii="Arial" w:hAnsi="Arial" w:cs="Arial"/>
      <w:sz w:val="18"/>
      <w:lang w:val="es-ES" w:eastAsia="es-ES"/>
    </w:rPr>
  </w:style>
  <w:style w:type="paragraph" w:customStyle="1" w:styleId="Texto">
    <w:name w:val="Texto"/>
    <w:basedOn w:val="Normal"/>
    <w:link w:val="TextoCar"/>
    <w:rsid w:val="003E2214"/>
    <w:pPr>
      <w:spacing w:after="101" w:line="216" w:lineRule="exact"/>
      <w:ind w:firstLine="288"/>
      <w:jc w:val="both"/>
    </w:pPr>
    <w:rPr>
      <w:rFonts w:ascii="Arial" w:hAnsi="Arial" w:cs="Arial"/>
      <w:sz w:val="18"/>
      <w:lang w:val="es-ES" w:eastAsia="es-ES"/>
    </w:rPr>
  </w:style>
  <w:style w:type="paragraph" w:styleId="Cita">
    <w:name w:val="Quote"/>
    <w:link w:val="CitaCar"/>
    <w:uiPriority w:val="73"/>
    <w:rsid w:val="003E2214"/>
    <w:pPr>
      <w:spacing w:before="120" w:after="120" w:line="240" w:lineRule="auto"/>
      <w:ind w:left="862" w:right="862"/>
      <w:jc w:val="both"/>
    </w:pPr>
    <w:rPr>
      <w:rFonts w:ascii="Arial" w:eastAsia="Times New Roman" w:hAnsi="Arial" w:cs="Times New Roman"/>
      <w:i/>
      <w:iCs/>
      <w:sz w:val="20"/>
      <w:lang w:eastAsia="es-MX"/>
    </w:rPr>
  </w:style>
  <w:style w:type="character" w:customStyle="1" w:styleId="CitaCar">
    <w:name w:val="Cita Car"/>
    <w:basedOn w:val="Fuentedeprrafopredeter"/>
    <w:link w:val="Cita"/>
    <w:uiPriority w:val="73"/>
    <w:rsid w:val="003E2214"/>
    <w:rPr>
      <w:rFonts w:ascii="Arial" w:eastAsia="Times New Roman" w:hAnsi="Arial" w:cs="Times New Roman"/>
      <w:i/>
      <w:iCs/>
      <w:sz w:val="20"/>
      <w:lang w:eastAsia="es-MX"/>
    </w:rPr>
  </w:style>
  <w:style w:type="character" w:customStyle="1" w:styleId="CitaN">
    <w:name w:val="Cita N"/>
    <w:uiPriority w:val="1"/>
    <w:qFormat/>
    <w:rsid w:val="003E2214"/>
    <w:rPr>
      <w:rFonts w:ascii="Arial" w:hAnsi="Arial"/>
      <w:b/>
      <w:i w:val="0"/>
      <w:sz w:val="20"/>
    </w:rPr>
  </w:style>
  <w:style w:type="paragraph" w:customStyle="1" w:styleId="Listavistosa-nfasis11">
    <w:name w:val="Lista vistosa - Énfasis 11"/>
    <w:basedOn w:val="Normal"/>
    <w:uiPriority w:val="34"/>
    <w:qFormat/>
    <w:rsid w:val="003E2214"/>
    <w:pPr>
      <w:ind w:left="720"/>
      <w:contextualSpacing/>
    </w:pPr>
    <w:rPr>
      <w:rFonts w:ascii="Calibri" w:eastAsia="Calibri" w:hAnsi="Calibri" w:cs="Times New Roman"/>
    </w:rPr>
  </w:style>
  <w:style w:type="paragraph" w:styleId="Revisin">
    <w:name w:val="Revision"/>
    <w:hidden/>
    <w:uiPriority w:val="99"/>
    <w:semiHidden/>
    <w:rsid w:val="00B42C51"/>
    <w:pPr>
      <w:spacing w:after="0" w:line="240" w:lineRule="auto"/>
    </w:pPr>
  </w:style>
  <w:style w:type="table" w:styleId="Tablaconcuadrcula5oscura-nfasis6">
    <w:name w:val="Grid Table 5 Dark Accent 6"/>
    <w:basedOn w:val="Tablanormal"/>
    <w:uiPriority w:val="50"/>
    <w:rsid w:val="003C289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Mencinsinresolver">
    <w:name w:val="Unresolved Mention"/>
    <w:basedOn w:val="Fuentedeprrafopredeter"/>
    <w:uiPriority w:val="99"/>
    <w:semiHidden/>
    <w:unhideWhenUsed/>
    <w:rsid w:val="0033341F"/>
    <w:rPr>
      <w:color w:val="605E5C"/>
      <w:shd w:val="clear" w:color="auto" w:fill="E1DFDD"/>
    </w:rPr>
  </w:style>
  <w:style w:type="character" w:styleId="Refdecomentario">
    <w:name w:val="annotation reference"/>
    <w:basedOn w:val="Fuentedeprrafopredeter"/>
    <w:uiPriority w:val="99"/>
    <w:semiHidden/>
    <w:unhideWhenUsed/>
    <w:rsid w:val="00FF764E"/>
    <w:rPr>
      <w:sz w:val="16"/>
      <w:szCs w:val="16"/>
    </w:rPr>
  </w:style>
  <w:style w:type="character" w:styleId="Hipervnculovisitado">
    <w:name w:val="FollowedHyperlink"/>
    <w:basedOn w:val="Fuentedeprrafopredeter"/>
    <w:uiPriority w:val="99"/>
    <w:semiHidden/>
    <w:unhideWhenUsed/>
    <w:rsid w:val="007677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227766">
      <w:bodyDiv w:val="1"/>
      <w:marLeft w:val="0"/>
      <w:marRight w:val="0"/>
      <w:marTop w:val="0"/>
      <w:marBottom w:val="0"/>
      <w:divBdr>
        <w:top w:val="none" w:sz="0" w:space="0" w:color="auto"/>
        <w:left w:val="none" w:sz="0" w:space="0" w:color="auto"/>
        <w:bottom w:val="none" w:sz="0" w:space="0" w:color="auto"/>
        <w:right w:val="none" w:sz="0" w:space="0" w:color="auto"/>
      </w:divBdr>
    </w:div>
    <w:div w:id="808280124">
      <w:bodyDiv w:val="1"/>
      <w:marLeft w:val="0"/>
      <w:marRight w:val="0"/>
      <w:marTop w:val="0"/>
      <w:marBottom w:val="0"/>
      <w:divBdr>
        <w:top w:val="none" w:sz="0" w:space="0" w:color="auto"/>
        <w:left w:val="none" w:sz="0" w:space="0" w:color="auto"/>
        <w:bottom w:val="none" w:sz="0" w:space="0" w:color="auto"/>
        <w:right w:val="none" w:sz="0" w:space="0" w:color="auto"/>
      </w:divBdr>
    </w:div>
    <w:div w:id="1046493742">
      <w:bodyDiv w:val="1"/>
      <w:marLeft w:val="0"/>
      <w:marRight w:val="0"/>
      <w:marTop w:val="0"/>
      <w:marBottom w:val="0"/>
      <w:divBdr>
        <w:top w:val="none" w:sz="0" w:space="0" w:color="auto"/>
        <w:left w:val="none" w:sz="0" w:space="0" w:color="auto"/>
        <w:bottom w:val="none" w:sz="0" w:space="0" w:color="auto"/>
        <w:right w:val="none" w:sz="0" w:space="0" w:color="auto"/>
      </w:divBdr>
    </w:div>
    <w:div w:id="1195998261">
      <w:bodyDiv w:val="1"/>
      <w:marLeft w:val="0"/>
      <w:marRight w:val="0"/>
      <w:marTop w:val="0"/>
      <w:marBottom w:val="0"/>
      <w:divBdr>
        <w:top w:val="none" w:sz="0" w:space="0" w:color="auto"/>
        <w:left w:val="none" w:sz="0" w:space="0" w:color="auto"/>
        <w:bottom w:val="none" w:sz="0" w:space="0" w:color="auto"/>
        <w:right w:val="none" w:sz="0" w:space="0" w:color="auto"/>
      </w:divBdr>
    </w:div>
    <w:div w:id="1238319737">
      <w:bodyDiv w:val="1"/>
      <w:marLeft w:val="0"/>
      <w:marRight w:val="0"/>
      <w:marTop w:val="0"/>
      <w:marBottom w:val="0"/>
      <w:divBdr>
        <w:top w:val="none" w:sz="0" w:space="0" w:color="auto"/>
        <w:left w:val="none" w:sz="0" w:space="0" w:color="auto"/>
        <w:bottom w:val="none" w:sz="0" w:space="0" w:color="auto"/>
        <w:right w:val="none" w:sz="0" w:space="0" w:color="auto"/>
      </w:divBdr>
    </w:div>
    <w:div w:id="1395543490">
      <w:bodyDiv w:val="1"/>
      <w:marLeft w:val="0"/>
      <w:marRight w:val="0"/>
      <w:marTop w:val="0"/>
      <w:marBottom w:val="0"/>
      <w:divBdr>
        <w:top w:val="none" w:sz="0" w:space="0" w:color="auto"/>
        <w:left w:val="none" w:sz="0" w:space="0" w:color="auto"/>
        <w:bottom w:val="none" w:sz="0" w:space="0" w:color="auto"/>
        <w:right w:val="none" w:sz="0" w:space="0" w:color="auto"/>
      </w:divBdr>
    </w:div>
    <w:div w:id="1538934582">
      <w:bodyDiv w:val="1"/>
      <w:marLeft w:val="0"/>
      <w:marRight w:val="0"/>
      <w:marTop w:val="0"/>
      <w:marBottom w:val="0"/>
      <w:divBdr>
        <w:top w:val="none" w:sz="0" w:space="0" w:color="auto"/>
        <w:left w:val="none" w:sz="0" w:space="0" w:color="auto"/>
        <w:bottom w:val="none" w:sz="0" w:space="0" w:color="auto"/>
        <w:right w:val="none" w:sz="0" w:space="0" w:color="auto"/>
      </w:divBdr>
    </w:div>
    <w:div w:id="1826042019">
      <w:bodyDiv w:val="1"/>
      <w:marLeft w:val="0"/>
      <w:marRight w:val="0"/>
      <w:marTop w:val="0"/>
      <w:marBottom w:val="0"/>
      <w:divBdr>
        <w:top w:val="none" w:sz="0" w:space="0" w:color="auto"/>
        <w:left w:val="none" w:sz="0" w:space="0" w:color="auto"/>
        <w:bottom w:val="none" w:sz="0" w:space="0" w:color="auto"/>
        <w:right w:val="none" w:sz="0" w:space="0" w:color="auto"/>
      </w:divBdr>
    </w:div>
    <w:div w:id="1932274839">
      <w:bodyDiv w:val="1"/>
      <w:marLeft w:val="0"/>
      <w:marRight w:val="0"/>
      <w:marTop w:val="0"/>
      <w:marBottom w:val="0"/>
      <w:divBdr>
        <w:top w:val="none" w:sz="0" w:space="0" w:color="auto"/>
        <w:left w:val="none" w:sz="0" w:space="0" w:color="auto"/>
        <w:bottom w:val="none" w:sz="0" w:space="0" w:color="auto"/>
        <w:right w:val="none" w:sz="0" w:space="0" w:color="auto"/>
      </w:divBdr>
    </w:div>
    <w:div w:id="1970865689">
      <w:bodyDiv w:val="1"/>
      <w:marLeft w:val="0"/>
      <w:marRight w:val="0"/>
      <w:marTop w:val="0"/>
      <w:marBottom w:val="0"/>
      <w:divBdr>
        <w:top w:val="none" w:sz="0" w:space="0" w:color="auto"/>
        <w:left w:val="none" w:sz="0" w:space="0" w:color="auto"/>
        <w:bottom w:val="none" w:sz="0" w:space="0" w:color="auto"/>
        <w:right w:val="none" w:sz="0" w:space="0" w:color="auto"/>
      </w:divBdr>
      <w:divsChild>
        <w:div w:id="1689520131">
          <w:marLeft w:val="0"/>
          <w:marRight w:val="0"/>
          <w:marTop w:val="0"/>
          <w:marBottom w:val="101"/>
          <w:divBdr>
            <w:top w:val="none" w:sz="0" w:space="0" w:color="auto"/>
            <w:left w:val="none" w:sz="0" w:space="0" w:color="auto"/>
            <w:bottom w:val="none" w:sz="0" w:space="0" w:color="auto"/>
            <w:right w:val="none" w:sz="0" w:space="0" w:color="auto"/>
          </w:divBdr>
        </w:div>
        <w:div w:id="1835341195">
          <w:marLeft w:val="0"/>
          <w:marRight w:val="0"/>
          <w:marTop w:val="0"/>
          <w:marBottom w:val="101"/>
          <w:divBdr>
            <w:top w:val="none" w:sz="0" w:space="0" w:color="auto"/>
            <w:left w:val="none" w:sz="0" w:space="0" w:color="auto"/>
            <w:bottom w:val="none" w:sz="0" w:space="0" w:color="auto"/>
            <w:right w:val="none" w:sz="0" w:space="0" w:color="auto"/>
          </w:divBdr>
        </w:div>
        <w:div w:id="2129619361">
          <w:marLeft w:val="0"/>
          <w:marRight w:val="0"/>
          <w:marTop w:val="0"/>
          <w:marBottom w:val="101"/>
          <w:divBdr>
            <w:top w:val="none" w:sz="0" w:space="0" w:color="auto"/>
            <w:left w:val="none" w:sz="0" w:space="0" w:color="auto"/>
            <w:bottom w:val="none" w:sz="0" w:space="0" w:color="auto"/>
            <w:right w:val="none" w:sz="0" w:space="0" w:color="auto"/>
          </w:divBdr>
        </w:div>
        <w:div w:id="2016876801">
          <w:marLeft w:val="0"/>
          <w:marRight w:val="0"/>
          <w:marTop w:val="0"/>
          <w:marBottom w:val="101"/>
          <w:divBdr>
            <w:top w:val="none" w:sz="0" w:space="0" w:color="auto"/>
            <w:left w:val="none" w:sz="0" w:space="0" w:color="auto"/>
            <w:bottom w:val="none" w:sz="0" w:space="0" w:color="auto"/>
            <w:right w:val="none" w:sz="0" w:space="0" w:color="auto"/>
          </w:divBdr>
        </w:div>
        <w:div w:id="1486319260">
          <w:marLeft w:val="0"/>
          <w:marRight w:val="0"/>
          <w:marTop w:val="0"/>
          <w:marBottom w:val="101"/>
          <w:divBdr>
            <w:top w:val="none" w:sz="0" w:space="0" w:color="auto"/>
            <w:left w:val="none" w:sz="0" w:space="0" w:color="auto"/>
            <w:bottom w:val="none" w:sz="0" w:space="0" w:color="auto"/>
            <w:right w:val="none" w:sz="0" w:space="0" w:color="auto"/>
          </w:divBdr>
        </w:div>
        <w:div w:id="141629147">
          <w:marLeft w:val="0"/>
          <w:marRight w:val="0"/>
          <w:marTop w:val="0"/>
          <w:marBottom w:val="101"/>
          <w:divBdr>
            <w:top w:val="none" w:sz="0" w:space="0" w:color="auto"/>
            <w:left w:val="none" w:sz="0" w:space="0" w:color="auto"/>
            <w:bottom w:val="none" w:sz="0" w:space="0" w:color="auto"/>
            <w:right w:val="none" w:sz="0" w:space="0" w:color="auto"/>
          </w:divBdr>
        </w:div>
        <w:div w:id="1351491216">
          <w:marLeft w:val="0"/>
          <w:marRight w:val="0"/>
          <w:marTop w:val="0"/>
          <w:marBottom w:val="101"/>
          <w:divBdr>
            <w:top w:val="none" w:sz="0" w:space="0" w:color="auto"/>
            <w:left w:val="none" w:sz="0" w:space="0" w:color="auto"/>
            <w:bottom w:val="none" w:sz="0" w:space="0" w:color="auto"/>
            <w:right w:val="none" w:sz="0" w:space="0" w:color="auto"/>
          </w:divBdr>
        </w:div>
        <w:div w:id="294263629">
          <w:marLeft w:val="0"/>
          <w:marRight w:val="0"/>
          <w:marTop w:val="0"/>
          <w:marBottom w:val="101"/>
          <w:divBdr>
            <w:top w:val="none" w:sz="0" w:space="0" w:color="auto"/>
            <w:left w:val="none" w:sz="0" w:space="0" w:color="auto"/>
            <w:bottom w:val="none" w:sz="0" w:space="0" w:color="auto"/>
            <w:right w:val="none" w:sz="0" w:space="0" w:color="auto"/>
          </w:divBdr>
        </w:div>
        <w:div w:id="150720851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icialiacompetencia@ift.org.m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icialiacompetencia@ift.org.m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industria/consultas-publicas/guia-para-tramitar-el-procedimiento-seguido-en-forma-de-juicio-tramitado-por-la-comision-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icialiacompetencia@ift.or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B2354397B809F4CBF4334E6EFDD8AC5" ma:contentTypeVersion="0" ma:contentTypeDescription="Crear nuevo documento." ma:contentTypeScope="" ma:versionID="ea22442a63b5a4bf7f67d908393333d9">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A161F9-6DDB-43F8-8AB8-612D750AE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6BDC38F-85AA-41AB-9FC2-6813C7093822}">
  <ds:schemaRefs>
    <ds:schemaRef ds:uri="http://schemas.openxmlformats.org/officeDocument/2006/bibliography"/>
  </ds:schemaRefs>
</ds:datastoreItem>
</file>

<file path=customXml/itemProps3.xml><?xml version="1.0" encoding="utf-8"?>
<ds:datastoreItem xmlns:ds="http://schemas.openxmlformats.org/officeDocument/2006/customXml" ds:itemID="{22F60E28-7F48-433B-9958-CD610C2AA8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C10537-6E16-4BB2-97B5-54F1EE412D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4296</Words>
  <Characters>23630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27871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Ulises Lopez Bautista</dc:creator>
  <cp:keywords/>
  <dc:description/>
  <cp:lastModifiedBy>Daniel Guevara Rivera</cp:lastModifiedBy>
  <cp:revision>2</cp:revision>
  <dcterms:created xsi:type="dcterms:W3CDTF">2021-09-28T18:51:00Z</dcterms:created>
  <dcterms:modified xsi:type="dcterms:W3CDTF">2021-09-28T18:51:00Z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0x0101008B2354397B809F4CBF4334E6EFDD8AC5</vt:lpwstr>
  </property>
</Properties>
</file>