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rsidTr="00D23BD5">
        <w:trPr>
          <w:trHeight w:val="816"/>
        </w:trPr>
        <w:tc>
          <w:tcPr>
            <w:tcW w:w="2689" w:type="dxa"/>
            <w:shd w:val="clear" w:color="auto" w:fill="DBDBDB" w:themeFill="accent3" w:themeFillTint="66"/>
          </w:tcPr>
          <w:p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rsidR="0068307E" w:rsidRDefault="0068307E" w:rsidP="00501ADF">
            <w:pPr>
              <w:jc w:val="both"/>
              <w:rPr>
                <w:rFonts w:ascii="ITC Avant Garde" w:hAnsi="ITC Avant Garde"/>
                <w:sz w:val="18"/>
                <w:szCs w:val="18"/>
              </w:rPr>
            </w:pPr>
          </w:p>
          <w:p w:rsidR="008634FA" w:rsidRPr="00451B7D" w:rsidRDefault="008634FA" w:rsidP="00501ADF">
            <w:pPr>
              <w:jc w:val="both"/>
              <w:rPr>
                <w:rFonts w:ascii="ITC Avant Garde" w:hAnsi="ITC Avant Garde"/>
                <w:sz w:val="18"/>
                <w:szCs w:val="18"/>
              </w:rPr>
            </w:pPr>
            <w:r>
              <w:rPr>
                <w:rFonts w:ascii="ITC Avant Garde" w:hAnsi="ITC Avant Garde"/>
                <w:sz w:val="18"/>
                <w:szCs w:val="18"/>
              </w:rPr>
              <w:t>Unidad de Competencia Económica</w:t>
            </w:r>
          </w:p>
          <w:p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rsidR="0068307E" w:rsidRPr="00451B7D" w:rsidRDefault="0068307E" w:rsidP="00501ADF">
            <w:pPr>
              <w:jc w:val="both"/>
              <w:rPr>
                <w:rFonts w:ascii="ITC Avant Garde" w:hAnsi="ITC Avant Garde"/>
                <w:b/>
                <w:sz w:val="18"/>
                <w:szCs w:val="18"/>
              </w:rPr>
            </w:pPr>
          </w:p>
          <w:p w:rsidR="0068307E" w:rsidRPr="00451B7D" w:rsidRDefault="007719FF" w:rsidP="00501ADF">
            <w:pPr>
              <w:jc w:val="both"/>
              <w:rPr>
                <w:rFonts w:ascii="ITC Avant Garde" w:hAnsi="ITC Avant Garde"/>
                <w:sz w:val="18"/>
                <w:szCs w:val="18"/>
              </w:rPr>
            </w:pPr>
            <w:r>
              <w:rPr>
                <w:rFonts w:ascii="ITC Avant Garde" w:hAnsi="ITC Avant Garde"/>
                <w:sz w:val="18"/>
                <w:szCs w:val="18"/>
              </w:rPr>
              <w:t>“</w:t>
            </w:r>
            <w:r w:rsidR="008634FA">
              <w:rPr>
                <w:rFonts w:ascii="ITC Avant Garde" w:hAnsi="ITC Avant Garde"/>
                <w:sz w:val="18"/>
                <w:szCs w:val="18"/>
              </w:rPr>
              <w:t>GUÍA PARA TRAMITAR EL PROCEDIMIENTO SEGUIDO EN FORMA DE JUICIO POR LA COMISIÓN DE PRÁCTICAS MONOPÓLICAS O CONCENTRACIONES ILÍCITAS</w:t>
            </w:r>
            <w:r>
              <w:rPr>
                <w:rFonts w:ascii="ITC Avant Garde" w:hAnsi="ITC Avant Garde"/>
                <w:sz w:val="18"/>
                <w:szCs w:val="18"/>
              </w:rPr>
              <w:t xml:space="preserve"> EN LOS SECTORES DE TELECOMUNICACIONES Y RADIODIFUSIÓN</w:t>
            </w:r>
            <w:r w:rsidR="008634FA">
              <w:rPr>
                <w:rFonts w:ascii="ITC Avant Garde" w:hAnsi="ITC Avant Garde"/>
                <w:sz w:val="18"/>
                <w:szCs w:val="18"/>
              </w:rPr>
              <w:t>”.</w:t>
            </w:r>
          </w:p>
        </w:tc>
      </w:tr>
      <w:tr w:rsidR="0068307E" w:rsidRPr="00451B7D" w:rsidTr="00D23BD5">
        <w:trPr>
          <w:trHeight w:val="889"/>
        </w:trPr>
        <w:tc>
          <w:tcPr>
            <w:tcW w:w="2689" w:type="dxa"/>
            <w:vMerge w:val="restart"/>
            <w:shd w:val="clear" w:color="auto" w:fill="DBDBDB" w:themeFill="accent3" w:themeFillTint="66"/>
          </w:tcPr>
          <w:p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rsidR="0068307E" w:rsidRPr="00451B7D" w:rsidRDefault="0068307E" w:rsidP="00501ADF">
            <w:pPr>
              <w:jc w:val="both"/>
              <w:rPr>
                <w:rFonts w:ascii="ITC Avant Garde" w:hAnsi="ITC Avant Garde"/>
                <w:b/>
                <w:sz w:val="18"/>
                <w:szCs w:val="18"/>
              </w:rPr>
            </w:pPr>
          </w:p>
          <w:p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CD7E90">
              <w:rPr>
                <w:rFonts w:ascii="ITC Avant Garde" w:hAnsi="ITC Avant Garde"/>
                <w:sz w:val="18"/>
                <w:szCs w:val="18"/>
              </w:rPr>
              <w:t>Rafael López De Valle</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CD7E90">
              <w:rPr>
                <w:rFonts w:ascii="ITC Avant Garde" w:hAnsi="ITC Avant Garde"/>
                <w:sz w:val="18"/>
                <w:szCs w:val="18"/>
              </w:rPr>
              <w:t>5550154384</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8634FA">
              <w:rPr>
                <w:rFonts w:ascii="ITC Avant Garde" w:hAnsi="ITC Avant Garde"/>
                <w:sz w:val="18"/>
                <w:szCs w:val="18"/>
              </w:rPr>
              <w:t xml:space="preserve"> </w:t>
            </w:r>
            <w:r w:rsidR="00D6424D" w:rsidRPr="00D6424D">
              <w:rPr>
                <w:rFonts w:ascii="ITC Avant Garde" w:hAnsi="ITC Avant Garde"/>
                <w:sz w:val="18"/>
                <w:szCs w:val="18"/>
              </w:rPr>
              <w:t>rafael.lopez@ift.org.mx</w:t>
            </w:r>
          </w:p>
          <w:p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rsidR="0068307E" w:rsidRPr="00451B7D" w:rsidRDefault="00CD7E90" w:rsidP="008634FA">
            <w:pPr>
              <w:jc w:val="center"/>
              <w:rPr>
                <w:rFonts w:ascii="ITC Avant Garde" w:hAnsi="ITC Avant Garde"/>
                <w:sz w:val="18"/>
                <w:szCs w:val="18"/>
              </w:rPr>
            </w:pPr>
            <w:r>
              <w:rPr>
                <w:rFonts w:ascii="ITC Avant Garde" w:hAnsi="ITC Avant Garde"/>
                <w:sz w:val="18"/>
                <w:szCs w:val="18"/>
              </w:rPr>
              <w:t>04/05</w:t>
            </w:r>
            <w:r w:rsidR="0068307E" w:rsidRPr="00451B7D">
              <w:rPr>
                <w:rFonts w:ascii="ITC Avant Garde" w:hAnsi="ITC Avant Garde"/>
                <w:sz w:val="18"/>
                <w:szCs w:val="18"/>
              </w:rPr>
              <w:t>/</w:t>
            </w:r>
            <w:r w:rsidR="008634FA">
              <w:rPr>
                <w:rFonts w:ascii="ITC Avant Garde" w:hAnsi="ITC Avant Garde"/>
                <w:sz w:val="18"/>
                <w:szCs w:val="18"/>
              </w:rPr>
              <w:t>2021</w:t>
            </w:r>
          </w:p>
        </w:tc>
      </w:tr>
      <w:tr w:rsidR="0068307E" w:rsidRPr="00451B7D" w:rsidTr="00D23BD5">
        <w:trPr>
          <w:trHeight w:val="390"/>
        </w:trPr>
        <w:tc>
          <w:tcPr>
            <w:tcW w:w="2689" w:type="dxa"/>
            <w:vMerge/>
            <w:shd w:val="clear" w:color="auto" w:fill="DBDBDB" w:themeFill="accent3" w:themeFillTint="66"/>
          </w:tcPr>
          <w:p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451B7D" w:rsidRDefault="00940622" w:rsidP="00940622">
            <w:pPr>
              <w:jc w:val="center"/>
              <w:rPr>
                <w:rFonts w:ascii="ITC Avant Garde" w:hAnsi="ITC Avant Garde"/>
                <w:sz w:val="18"/>
                <w:szCs w:val="18"/>
              </w:rPr>
            </w:pPr>
            <w:r w:rsidRPr="00940622">
              <w:rPr>
                <w:rFonts w:ascii="ITC Avant Garde" w:hAnsi="ITC Avant Garde"/>
                <w:sz w:val="18"/>
                <w:szCs w:val="18"/>
              </w:rPr>
              <w:t>23/06/2021 a 17/08/2021</w:t>
            </w:r>
          </w:p>
        </w:tc>
      </w:tr>
    </w:tbl>
    <w:p w:rsidR="00501ADF" w:rsidRPr="00451B7D" w:rsidRDefault="00501ADF" w:rsidP="00501ADF">
      <w:pPr>
        <w:jc w:val="both"/>
        <w:rPr>
          <w:rFonts w:ascii="ITC Avant Garde" w:hAnsi="ITC Avant Garde"/>
          <w:sz w:val="18"/>
          <w:szCs w:val="18"/>
        </w:rPr>
      </w:pPr>
    </w:p>
    <w:p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rsidTr="008A48B0">
        <w:tc>
          <w:tcPr>
            <w:tcW w:w="8828" w:type="dxa"/>
            <w:shd w:val="clear" w:color="auto" w:fill="FFFFFF" w:themeFill="background1"/>
          </w:tcPr>
          <w:p w:rsidR="001932FC" w:rsidRDefault="001932FC" w:rsidP="008A48B0">
            <w:pPr>
              <w:shd w:val="clear" w:color="auto" w:fill="FFFFFF" w:themeFill="background1"/>
              <w:jc w:val="both"/>
              <w:rPr>
                <w:rFonts w:ascii="ITC Avant Garde" w:hAnsi="ITC Avant Garde"/>
                <w:b/>
                <w:sz w:val="18"/>
                <w:szCs w:val="18"/>
              </w:rPr>
            </w:pPr>
            <w:r w:rsidRPr="00935E92">
              <w:rPr>
                <w:rFonts w:ascii="ITC Avant Garde" w:hAnsi="ITC Avant Garde"/>
                <w:b/>
                <w:sz w:val="18"/>
                <w:szCs w:val="18"/>
              </w:rPr>
              <w:t>1.</w:t>
            </w:r>
            <w:r w:rsidR="00E6080B" w:rsidRPr="00935E92">
              <w:rPr>
                <w:rFonts w:ascii="ITC Avant Garde" w:hAnsi="ITC Avant Garde"/>
                <w:b/>
                <w:sz w:val="18"/>
                <w:szCs w:val="18"/>
              </w:rPr>
              <w:t>-</w:t>
            </w:r>
            <w:r w:rsidRPr="00935E92">
              <w:rPr>
                <w:rFonts w:ascii="ITC Avant Garde" w:hAnsi="ITC Avant Garde"/>
                <w:b/>
                <w:sz w:val="18"/>
                <w:szCs w:val="18"/>
              </w:rPr>
              <w:t xml:space="preserve"> </w:t>
            </w:r>
            <w:r w:rsidR="00D221B5" w:rsidRPr="00935E92">
              <w:rPr>
                <w:rFonts w:ascii="ITC Avant Garde" w:hAnsi="ITC Avant Garde"/>
                <w:b/>
                <w:sz w:val="18"/>
                <w:szCs w:val="18"/>
              </w:rPr>
              <w:t xml:space="preserve">Explique brevemente </w:t>
            </w:r>
            <w:r w:rsidR="00BE7D1C" w:rsidRPr="00935E92">
              <w:rPr>
                <w:rFonts w:ascii="ITC Avant Garde" w:hAnsi="ITC Avant Garde"/>
                <w:b/>
                <w:sz w:val="18"/>
                <w:szCs w:val="18"/>
              </w:rPr>
              <w:t xml:space="preserve">la problemática que pretende prevenir o resolver la propuesta de regulación, así como </w:t>
            </w:r>
            <w:r w:rsidR="00D221B5" w:rsidRPr="00935E92">
              <w:rPr>
                <w:rFonts w:ascii="ITC Avant Garde" w:hAnsi="ITC Avant Garde"/>
                <w:b/>
                <w:sz w:val="18"/>
                <w:szCs w:val="18"/>
              </w:rPr>
              <w:t xml:space="preserve">en qué consiste </w:t>
            </w:r>
            <w:r w:rsidR="005319D5" w:rsidRPr="00935E92">
              <w:rPr>
                <w:rFonts w:ascii="ITC Avant Garde" w:hAnsi="ITC Avant Garde"/>
                <w:b/>
                <w:sz w:val="18"/>
                <w:szCs w:val="18"/>
              </w:rPr>
              <w:t xml:space="preserve">ésta </w:t>
            </w:r>
            <w:r w:rsidR="00BE7D1C" w:rsidRPr="00935E92">
              <w:rPr>
                <w:rFonts w:ascii="ITC Avant Garde" w:hAnsi="ITC Avant Garde"/>
                <w:b/>
                <w:sz w:val="18"/>
                <w:szCs w:val="18"/>
              </w:rPr>
              <w:t>y</w:t>
            </w:r>
            <w:r w:rsidR="00D221B5" w:rsidRPr="00935E92">
              <w:rPr>
                <w:rFonts w:ascii="ITC Avant Garde" w:hAnsi="ITC Avant Garde"/>
                <w:b/>
                <w:sz w:val="18"/>
                <w:szCs w:val="18"/>
              </w:rPr>
              <w:t xml:space="preserve"> sus objetivos generales</w:t>
            </w:r>
            <w:r w:rsidRPr="00935E92">
              <w:rPr>
                <w:rFonts w:ascii="ITC Avant Garde" w:hAnsi="ITC Avant Garde"/>
                <w:b/>
                <w:sz w:val="18"/>
                <w:szCs w:val="18"/>
              </w:rPr>
              <w:t>:</w:t>
            </w:r>
          </w:p>
          <w:p w:rsidR="00911F4B" w:rsidRDefault="00911F4B" w:rsidP="008A48B0">
            <w:pPr>
              <w:shd w:val="clear" w:color="auto" w:fill="FFFFFF" w:themeFill="background1"/>
              <w:jc w:val="both"/>
              <w:rPr>
                <w:rFonts w:ascii="ITC Avant Garde" w:hAnsi="ITC Avant Garde"/>
                <w:b/>
                <w:sz w:val="18"/>
                <w:szCs w:val="18"/>
              </w:rPr>
            </w:pPr>
          </w:p>
          <w:p w:rsidR="00911F4B" w:rsidRDefault="00911F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procedimiento seguido en forma de juicio se encuentra previsto en la Ley Federal de Competencia Económica (LFCE). Asimismo, diversas disposiciones para su trámite se encuentran previstas en las Disposiciones Regulatorias de la Ley Federal de Competencia Económica para los sectores de Telecomunicaciones y Radiodifusión (DRLFCE). En ese sentido, actualmente existen dos ordenamientos que establecen derechos y obligaciones para los agentes económicos sujetos a un procedimiento por la comisión de prácticas monopólicas o concentraciones ilícitas. </w:t>
            </w:r>
          </w:p>
          <w:p w:rsidR="00911F4B" w:rsidRDefault="00911F4B" w:rsidP="008A48B0">
            <w:pPr>
              <w:shd w:val="clear" w:color="auto" w:fill="FFFFFF" w:themeFill="background1"/>
              <w:jc w:val="both"/>
              <w:rPr>
                <w:rFonts w:ascii="ITC Avant Garde" w:hAnsi="ITC Avant Garde"/>
                <w:sz w:val="18"/>
                <w:szCs w:val="18"/>
              </w:rPr>
            </w:pPr>
          </w:p>
          <w:p w:rsidR="00911F4B" w:rsidRDefault="00911F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Además del procedimiento seguido en forma de juicio, la LFCE y las DRLFCE contienen diversos procedimientos especiales e incidentales mediante los cuales el Instituto ejerce sus atribuciones como autoridad de competencia económica en los sectores de telecomunicaciones y radiodifusión. En ese sentido, </w:t>
            </w:r>
            <w:r w:rsidR="00C330D9">
              <w:rPr>
                <w:rFonts w:ascii="ITC Avant Garde" w:hAnsi="ITC Avant Garde"/>
                <w:sz w:val="18"/>
                <w:szCs w:val="18"/>
              </w:rPr>
              <w:t xml:space="preserve">el trámite particular para el procedimiento seguido </w:t>
            </w:r>
            <w:r w:rsidR="003A530C">
              <w:rPr>
                <w:rFonts w:ascii="ITC Avant Garde" w:hAnsi="ITC Avant Garde"/>
                <w:sz w:val="18"/>
                <w:szCs w:val="18"/>
              </w:rPr>
              <w:t>en forma de juicio ha generado</w:t>
            </w:r>
            <w:r w:rsidR="00C330D9">
              <w:rPr>
                <w:rFonts w:ascii="ITC Avant Garde" w:hAnsi="ITC Avant Garde"/>
                <w:sz w:val="18"/>
                <w:szCs w:val="18"/>
              </w:rPr>
              <w:t xml:space="preserve"> confusión, ya que existen múltiples disposiciones que, </w:t>
            </w:r>
            <w:r w:rsidR="003A530C">
              <w:rPr>
                <w:rFonts w:ascii="ITC Avant Garde" w:hAnsi="ITC Avant Garde"/>
                <w:sz w:val="18"/>
                <w:szCs w:val="18"/>
              </w:rPr>
              <w:t>su interpretación puede ser amplia y puede que algunos supuestos no se surtan en todos los casos.</w:t>
            </w:r>
          </w:p>
          <w:p w:rsidR="00C330D9" w:rsidRDefault="00C330D9" w:rsidP="008A48B0">
            <w:pPr>
              <w:shd w:val="clear" w:color="auto" w:fill="FFFFFF" w:themeFill="background1"/>
              <w:jc w:val="both"/>
              <w:rPr>
                <w:rFonts w:ascii="ITC Avant Garde" w:hAnsi="ITC Avant Garde"/>
                <w:sz w:val="18"/>
                <w:szCs w:val="18"/>
              </w:rPr>
            </w:pPr>
          </w:p>
          <w:p w:rsidR="00C330D9"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Al tener dos ordenamientos que rigen un mismo procedimiento, es posible que se incremente el riesgo sobre la interpretación, aplicación o descripción del procedimiento seguido en forma de juicio. En ese sentido, con la emisión de una Guía específica para tramitar el procedimiento seguido en forma de juicio, se pretende prevenir y resolver cualquier ambigüedad, oscuridad o inseguridad jurídica que pudiese surgir por parte de los regulados el trámite y aplicación de la LFCE y las DRLFCE al perseguir la comisión de prácticas monopólicas y concentraciones ilícitas.</w:t>
            </w:r>
          </w:p>
          <w:p w:rsidR="00C330D9" w:rsidRDefault="00C330D9" w:rsidP="008A48B0">
            <w:pPr>
              <w:shd w:val="clear" w:color="auto" w:fill="FFFFFF" w:themeFill="background1"/>
              <w:jc w:val="both"/>
              <w:rPr>
                <w:rFonts w:ascii="ITC Avant Garde" w:hAnsi="ITC Avant Garde"/>
                <w:sz w:val="18"/>
                <w:szCs w:val="18"/>
              </w:rPr>
            </w:pPr>
          </w:p>
          <w:p w:rsidR="00935E92"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Guía </w:t>
            </w:r>
            <w:r w:rsidR="003A530C">
              <w:rPr>
                <w:rFonts w:ascii="ITC Avant Garde" w:hAnsi="ITC Avant Garde"/>
                <w:sz w:val="18"/>
                <w:szCs w:val="18"/>
              </w:rPr>
              <w:t>busca</w:t>
            </w:r>
            <w:r>
              <w:rPr>
                <w:rFonts w:ascii="ITC Avant Garde" w:hAnsi="ITC Avant Garde"/>
                <w:sz w:val="18"/>
                <w:szCs w:val="18"/>
              </w:rPr>
              <w:t xml:space="preserve"> identificar todas las etapas procesales, plazos y actuaciones que realiza el Instituto a través de la Unidad de Competencia Económica en su calidad de autoridad encargada de la instrucción en los procedimientos seguidos en forma de juicio tramitados por la comisión de prácticas monopólicas y concentraciones ilícitas o demás restricciones al funcionamiento eficiente de los mercados competencia del Instituto. </w:t>
            </w:r>
          </w:p>
          <w:p w:rsidR="00935E92" w:rsidRDefault="00935E92" w:rsidP="008A48B0">
            <w:pPr>
              <w:shd w:val="clear" w:color="auto" w:fill="FFFFFF" w:themeFill="background1"/>
              <w:jc w:val="both"/>
              <w:rPr>
                <w:rFonts w:ascii="ITC Avant Garde" w:hAnsi="ITC Avant Garde"/>
                <w:sz w:val="18"/>
                <w:szCs w:val="18"/>
              </w:rPr>
            </w:pPr>
          </w:p>
          <w:p w:rsidR="00C330D9" w:rsidRDefault="00C330D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Con </w:t>
            </w:r>
            <w:r w:rsidR="00935E92">
              <w:rPr>
                <w:rFonts w:ascii="ITC Avant Garde" w:hAnsi="ITC Avant Garde"/>
                <w:sz w:val="18"/>
                <w:szCs w:val="18"/>
              </w:rPr>
              <w:t xml:space="preserve">la Guía </w:t>
            </w:r>
            <w:r>
              <w:rPr>
                <w:rFonts w:ascii="ITC Avant Garde" w:hAnsi="ITC Avant Garde"/>
                <w:sz w:val="18"/>
                <w:szCs w:val="18"/>
              </w:rPr>
              <w:t>se contribuye a brindar legalidad de los actos y resoluciones que el Pleno del Instituto emita.</w:t>
            </w:r>
            <w:r w:rsidR="00935E92">
              <w:rPr>
                <w:rFonts w:ascii="ITC Avant Garde" w:hAnsi="ITC Avant Garde"/>
                <w:sz w:val="18"/>
                <w:szCs w:val="18"/>
              </w:rPr>
              <w:t xml:space="preserve"> Asimismo, l</w:t>
            </w:r>
            <w:r w:rsidR="00935E92" w:rsidRPr="00935E92">
              <w:rPr>
                <w:rFonts w:ascii="ITC Avant Garde" w:hAnsi="ITC Avant Garde"/>
                <w:sz w:val="18"/>
                <w:szCs w:val="18"/>
              </w:rPr>
              <w:t>as guías que emite el Instituto, en su carácter orientativo, no vinculante, buscan proveer certeza, así como desarrollar las acciones de promoción y abogacía de la competencia económica y libre concurrencia en los sectores de telecomunicaciones y radiodifusión.</w:t>
            </w:r>
          </w:p>
          <w:p w:rsidR="00C330D9" w:rsidRDefault="00C330D9" w:rsidP="008A48B0">
            <w:pPr>
              <w:shd w:val="clear" w:color="auto" w:fill="FFFFFF" w:themeFill="background1"/>
              <w:jc w:val="both"/>
              <w:rPr>
                <w:rFonts w:ascii="ITC Avant Garde" w:hAnsi="ITC Avant Garde"/>
                <w:sz w:val="18"/>
                <w:szCs w:val="18"/>
              </w:rPr>
            </w:pPr>
          </w:p>
          <w:p w:rsidR="00C330D9" w:rsidRPr="00935E92" w:rsidRDefault="00B20C85" w:rsidP="00B20C85">
            <w:pPr>
              <w:rPr>
                <w:rFonts w:ascii="ITC Avant Garde" w:hAnsi="ITC Avant Garde"/>
                <w:sz w:val="18"/>
                <w:szCs w:val="18"/>
              </w:rPr>
            </w:pPr>
            <w:r>
              <w:rPr>
                <w:rFonts w:ascii="ITC Avant Garde" w:hAnsi="ITC Avant Garde"/>
                <w:sz w:val="18"/>
                <w:szCs w:val="18"/>
              </w:rPr>
              <w:t xml:space="preserve">En conclusión, la Guía tiene como propósito </w:t>
            </w:r>
            <w:r w:rsidRPr="00B20C85">
              <w:rPr>
                <w:rFonts w:ascii="ITC Avant Garde" w:hAnsi="ITC Avant Garde"/>
                <w:sz w:val="18"/>
                <w:szCs w:val="18"/>
              </w:rPr>
              <w:t>i) orientar a los AE, a los interesados y a la sociedad en general, respecto a la finalidad y desahogo de cada una de las etapas del procedimiento seguido en forma de juicio, ii) describir de manera sencilla y transparente la tramitación del procedimiento seguido en forma de juicio, iii) explicar las etapas procesales, plazos y actuaciones que realiza el Instituto a través de la UCE en su calidad de órgano encargado de la instrucción, y iv) divulgar algunos de los criterios judiciales más relevantes que aplican a las etapas procesales del procedimien</w:t>
            </w:r>
            <w:r>
              <w:rPr>
                <w:rFonts w:ascii="ITC Avant Garde" w:hAnsi="ITC Avant Garde"/>
                <w:sz w:val="18"/>
                <w:szCs w:val="18"/>
              </w:rPr>
              <w:t xml:space="preserve">to seguido en forma de juicio. </w:t>
            </w:r>
          </w:p>
          <w:p w:rsidR="00974F75" w:rsidRPr="00451B7D" w:rsidRDefault="00974F75" w:rsidP="00935E92">
            <w:pPr>
              <w:jc w:val="both"/>
              <w:rPr>
                <w:rFonts w:ascii="ITC Avant Garde" w:hAnsi="ITC Avant Garde"/>
                <w:sz w:val="18"/>
                <w:szCs w:val="18"/>
              </w:rPr>
            </w:pPr>
          </w:p>
        </w:tc>
        <w:bookmarkStart w:id="0" w:name="_GoBack"/>
        <w:bookmarkEnd w:id="0"/>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rsidTr="00B41497">
        <w:tc>
          <w:tcPr>
            <w:tcW w:w="8828" w:type="dxa"/>
          </w:tcPr>
          <w:p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rsidTr="00B41497">
              <w:tc>
                <w:tcPr>
                  <w:tcW w:w="1462" w:type="dxa"/>
                  <w:shd w:val="clear" w:color="auto" w:fill="A8D08D" w:themeFill="accent6" w:themeFillTint="99"/>
                </w:tcPr>
                <w:p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rsidTr="00B41497">
              <w:tc>
                <w:tcPr>
                  <w:tcW w:w="1462" w:type="dxa"/>
                </w:tcPr>
                <w:p w:rsidR="00B41497" w:rsidRPr="00451B7D" w:rsidRDefault="00B41497" w:rsidP="001B197A">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1B197A">
                    <w:rPr>
                      <w:rFonts w:ascii="ITC Avant Garde" w:hAnsi="ITC Avant Garde"/>
                      <w:sz w:val="18"/>
                      <w:szCs w:val="18"/>
                    </w:rPr>
                    <w:t xml:space="preserve"> </w:t>
                  </w:r>
                  <w:r w:rsidR="001B197A" w:rsidRPr="001B197A">
                    <w:rPr>
                      <w:rFonts w:ascii="ITC Avant Garde" w:hAnsi="ITC Avant Garde"/>
                      <w:b/>
                      <w:sz w:val="18"/>
                      <w:szCs w:val="18"/>
                    </w:rPr>
                    <w:t>X</w:t>
                  </w:r>
                  <w:r w:rsidR="001B197A">
                    <w:rPr>
                      <w:rFonts w:ascii="ITC Avant Garde" w:hAnsi="ITC Avant Garde"/>
                      <w:sz w:val="18"/>
                      <w:szCs w:val="18"/>
                    </w:rPr>
                    <w:t xml:space="preserve"> </w:t>
                  </w:r>
                  <w:r w:rsidRPr="00451B7D">
                    <w:rPr>
                      <w:rFonts w:ascii="ITC Avant Garde" w:hAnsi="ITC Avant Garde"/>
                      <w:sz w:val="18"/>
                      <w:szCs w:val="18"/>
                    </w:rPr>
                    <w:t>)</w:t>
                  </w:r>
                </w:p>
              </w:tc>
            </w:tr>
          </w:tbl>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0C16BC" w:rsidRDefault="000C16BC" w:rsidP="00B41497">
            <w:pPr>
              <w:jc w:val="both"/>
              <w:rPr>
                <w:rFonts w:ascii="ITC Avant Garde" w:hAnsi="ITC Avant Garde"/>
                <w:b/>
                <w:sz w:val="18"/>
                <w:szCs w:val="18"/>
              </w:rPr>
            </w:pPr>
          </w:p>
          <w:p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rsidTr="00596FDE">
              <w:tc>
                <w:tcPr>
                  <w:tcW w:w="8602" w:type="dxa"/>
                </w:tcPr>
                <w:p w:rsidR="00596FDE" w:rsidRPr="00451B7D" w:rsidRDefault="00596FDE" w:rsidP="00940622">
                  <w:pPr>
                    <w:framePr w:hSpace="141" w:wrap="around" w:vAnchor="text" w:hAnchor="margin" w:y="356"/>
                    <w:jc w:val="both"/>
                    <w:rPr>
                      <w:rFonts w:ascii="ITC Avant Garde" w:hAnsi="ITC Avant Garde"/>
                      <w:sz w:val="18"/>
                      <w:szCs w:val="18"/>
                    </w:rPr>
                  </w:pPr>
                </w:p>
                <w:p w:rsidR="00596FDE" w:rsidRDefault="00596FDE" w:rsidP="00940622">
                  <w:pPr>
                    <w:framePr w:hSpace="141" w:wrap="around" w:vAnchor="text" w:hAnchor="margin" w:y="356"/>
                    <w:jc w:val="both"/>
                    <w:rPr>
                      <w:rFonts w:ascii="ITC Avant Garde" w:hAnsi="ITC Avant Garde"/>
                      <w:sz w:val="18"/>
                      <w:szCs w:val="18"/>
                    </w:rPr>
                  </w:pPr>
                </w:p>
                <w:p w:rsidR="000C16BC" w:rsidRPr="00451B7D" w:rsidRDefault="000C16BC" w:rsidP="00940622">
                  <w:pPr>
                    <w:framePr w:hSpace="141" w:wrap="around" w:vAnchor="text" w:hAnchor="margin" w:y="356"/>
                    <w:jc w:val="both"/>
                    <w:rPr>
                      <w:rFonts w:ascii="ITC Avant Garde" w:hAnsi="ITC Avant Garde"/>
                      <w:sz w:val="18"/>
                      <w:szCs w:val="18"/>
                    </w:rPr>
                  </w:pPr>
                </w:p>
              </w:tc>
            </w:tr>
          </w:tbl>
          <w:p w:rsidR="00596FDE" w:rsidRPr="00451B7D" w:rsidRDefault="00596FDE" w:rsidP="00B41497">
            <w:pPr>
              <w:jc w:val="both"/>
              <w:rPr>
                <w:rFonts w:ascii="ITC Avant Garde" w:hAnsi="ITC Avant Garde"/>
                <w:sz w:val="18"/>
                <w:szCs w:val="18"/>
              </w:rPr>
            </w:pPr>
          </w:p>
          <w:p w:rsidR="009656B1" w:rsidRPr="00451B7D" w:rsidRDefault="009656B1" w:rsidP="00B41497">
            <w:pPr>
              <w:jc w:val="both"/>
              <w:rPr>
                <w:rFonts w:ascii="ITC Avant Garde" w:hAnsi="ITC Avant Garde"/>
                <w:sz w:val="18"/>
                <w:szCs w:val="18"/>
              </w:rPr>
            </w:pPr>
          </w:p>
        </w:tc>
      </w:tr>
    </w:tbl>
    <w:p w:rsidR="001932FC" w:rsidRPr="00451B7D" w:rsidRDefault="001932FC" w:rsidP="001932FC">
      <w:pPr>
        <w:jc w:val="both"/>
        <w:rPr>
          <w:rFonts w:ascii="ITC Avant Garde" w:hAnsi="ITC Avant Garde"/>
          <w:sz w:val="18"/>
          <w:szCs w:val="18"/>
        </w:rPr>
      </w:pPr>
    </w:p>
    <w:p w:rsidR="00B41497" w:rsidRPr="00451B7D" w:rsidRDefault="00B41497" w:rsidP="001932FC">
      <w:pPr>
        <w:jc w:val="both"/>
        <w:rPr>
          <w:rFonts w:ascii="ITC Avant Garde" w:hAnsi="ITC Avant Garde"/>
          <w:sz w:val="18"/>
          <w:szCs w:val="18"/>
        </w:rPr>
      </w:pPr>
    </w:p>
    <w:p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rsidTr="003F600A">
        <w:tc>
          <w:tcPr>
            <w:tcW w:w="8828" w:type="dxa"/>
          </w:tcPr>
          <w:p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rsidTr="003F600A">
              <w:tc>
                <w:tcPr>
                  <w:tcW w:w="1876" w:type="dxa"/>
                  <w:tcBorders>
                    <w:bottom w:val="single" w:sz="12" w:space="0" w:color="auto"/>
                  </w:tcBorders>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6F25B0"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rsidR="00BE7D1C" w:rsidRPr="00451B7D" w:rsidRDefault="00E37C02" w:rsidP="00E37C02">
                  <w:pPr>
                    <w:jc w:val="both"/>
                    <w:rPr>
                      <w:rFonts w:ascii="ITC Avant Garde" w:hAnsi="ITC Avant Garde"/>
                      <w:sz w:val="18"/>
                      <w:szCs w:val="18"/>
                    </w:rPr>
                  </w:pPr>
                  <w:r>
                    <w:rPr>
                      <w:rFonts w:ascii="ITC Avant Garde" w:hAnsi="ITC Avant Garde"/>
                      <w:sz w:val="18"/>
                      <w:szCs w:val="18"/>
                    </w:rPr>
                    <w:t>Modificar las Disposiciones Regulatorias de la Ley Federal de Competencia Económica para los sectores de Telecomunicaciones y Radiodifusión.</w:t>
                  </w:r>
                </w:p>
              </w:tc>
              <w:tc>
                <w:tcPr>
                  <w:tcW w:w="3969" w:type="dxa"/>
                </w:tcPr>
                <w:p w:rsidR="00BE7D1C" w:rsidRPr="00451B7D" w:rsidRDefault="00E37C02" w:rsidP="00E37C02">
                  <w:pPr>
                    <w:jc w:val="both"/>
                    <w:rPr>
                      <w:rFonts w:ascii="ITC Avant Garde" w:hAnsi="ITC Avant Garde"/>
                      <w:sz w:val="18"/>
                      <w:szCs w:val="18"/>
                    </w:rPr>
                  </w:pPr>
                  <w:r>
                    <w:rPr>
                      <w:rFonts w:ascii="ITC Avant Garde" w:hAnsi="ITC Avant Garde"/>
                      <w:sz w:val="18"/>
                      <w:szCs w:val="18"/>
                    </w:rPr>
                    <w:t>Modificar las Disposiciones Regulatorias podría conllevar nuevos costos a los agentes económicos para su cumplimiento, tales como crear nuevas obligaciones o hacer más estrictas las existentes. Sin embargo, el objeto de la Guía es orientar sobre su trámite con base en la regulación existente, pero no implica aumentar costos para los agentes económicos sujetos al procedimiento seguido en forma de juicio. La Guía es el instrumento idóneo que no vincula al Instituto, más que su carácter orientativo.</w:t>
                  </w:r>
                  <w:r w:rsidR="00497878" w:rsidRPr="00451B7D">
                    <w:rPr>
                      <w:rFonts w:ascii="ITC Avant Garde" w:hAnsi="ITC Avant Garde"/>
                      <w:sz w:val="18"/>
                      <w:szCs w:val="18"/>
                    </w:rPr>
                    <w:t xml:space="preserve"> </w:t>
                  </w:r>
                </w:p>
              </w:tc>
            </w:tr>
            <w:tr w:rsidR="00BE7D1C" w:rsidRPr="00451B7D"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6F25B0"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rsidR="00BE7D1C" w:rsidRPr="00451B7D" w:rsidRDefault="006F25B0" w:rsidP="00E37C02">
                  <w:pPr>
                    <w:jc w:val="both"/>
                    <w:rPr>
                      <w:rFonts w:ascii="ITC Avant Garde" w:hAnsi="ITC Avant Garde"/>
                      <w:sz w:val="18"/>
                      <w:szCs w:val="18"/>
                    </w:rPr>
                  </w:pPr>
                  <w:r>
                    <w:rPr>
                      <w:rFonts w:ascii="ITC Avant Garde" w:hAnsi="ITC Avant Garde"/>
                      <w:sz w:val="18"/>
                      <w:szCs w:val="18"/>
                    </w:rPr>
                    <w:t>No emitir la Guía</w:t>
                  </w:r>
                  <w:r w:rsidR="00E37C02">
                    <w:rPr>
                      <w:rFonts w:ascii="ITC Avant Garde" w:hAnsi="ITC Avant Garde"/>
                      <w:sz w:val="18"/>
                      <w:szCs w:val="18"/>
                    </w:rPr>
                    <w:t xml:space="preserve"> y solamente mantener la descripción del procedimiento seguido en forma de juicio con base en la normatividad aplicable (LFCE y DRLFCE para sectores de telecomunicaciones y radiodifusión.</w:t>
                  </w:r>
                </w:p>
              </w:tc>
              <w:tc>
                <w:tcPr>
                  <w:tcW w:w="3969" w:type="dxa"/>
                </w:tcPr>
                <w:p w:rsidR="00BE7D1C" w:rsidRPr="00451B7D" w:rsidRDefault="00A723A9" w:rsidP="003A530C">
                  <w:pPr>
                    <w:jc w:val="both"/>
                    <w:rPr>
                      <w:rFonts w:ascii="ITC Avant Garde" w:hAnsi="ITC Avant Garde"/>
                      <w:sz w:val="18"/>
                      <w:szCs w:val="18"/>
                    </w:rPr>
                  </w:pPr>
                  <w:r>
                    <w:rPr>
                      <w:rFonts w:ascii="ITC Avant Garde" w:hAnsi="ITC Avant Garde"/>
                      <w:sz w:val="18"/>
                      <w:szCs w:val="18"/>
                    </w:rPr>
                    <w:t>Con la omisión se evita la aportación de transparencia y seguridad jurídica en la toma de decisiones del Instituto. Asimismo, los regulados o particulares desconocerían de manera sencilla y en un solo documento, la tramitación del procedimiento seguido en forma de juicio.</w:t>
                  </w:r>
                </w:p>
              </w:tc>
            </w:tr>
          </w:tbl>
          <w:p w:rsidR="00BE7D1C" w:rsidRPr="00451B7D" w:rsidRDefault="00BE7D1C" w:rsidP="003F600A">
            <w:pPr>
              <w:jc w:val="both"/>
              <w:rPr>
                <w:rFonts w:ascii="ITC Avant Garde" w:hAnsi="ITC Avant Garde"/>
                <w:sz w:val="18"/>
                <w:szCs w:val="18"/>
              </w:rPr>
            </w:pPr>
          </w:p>
        </w:tc>
      </w:tr>
    </w:tbl>
    <w:p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rsidTr="003F600A">
        <w:tc>
          <w:tcPr>
            <w:tcW w:w="8828" w:type="dxa"/>
          </w:tcPr>
          <w:p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rsidR="00603B81" w:rsidRDefault="00603B81" w:rsidP="003F600A">
            <w:pPr>
              <w:jc w:val="both"/>
              <w:rPr>
                <w:rFonts w:ascii="ITC Avant Garde" w:hAnsi="ITC Avant Garde"/>
                <w:b/>
                <w:sz w:val="18"/>
                <w:szCs w:val="18"/>
              </w:rPr>
            </w:pPr>
          </w:p>
          <w:p w:rsidR="00603B81" w:rsidRDefault="00603B81" w:rsidP="003F600A">
            <w:pPr>
              <w:jc w:val="both"/>
              <w:rPr>
                <w:rFonts w:ascii="ITC Avant Garde" w:hAnsi="ITC Avant Garde"/>
                <w:b/>
                <w:sz w:val="18"/>
                <w:szCs w:val="18"/>
              </w:rPr>
            </w:pPr>
            <w:r>
              <w:rPr>
                <w:rFonts w:ascii="ITC Avant Garde" w:hAnsi="ITC Avant Garde"/>
                <w:sz w:val="18"/>
                <w:szCs w:val="18"/>
              </w:rPr>
              <w:t>L</w:t>
            </w:r>
            <w:r w:rsidRPr="00603B81">
              <w:rPr>
                <w:rFonts w:ascii="ITC Avant Garde" w:hAnsi="ITC Avant Garde"/>
                <w:sz w:val="18"/>
                <w:szCs w:val="18"/>
              </w:rPr>
              <w:t xml:space="preserve">a Guía </w:t>
            </w:r>
            <w:r>
              <w:rPr>
                <w:rFonts w:ascii="ITC Avant Garde" w:hAnsi="ITC Avant Garde"/>
                <w:sz w:val="18"/>
                <w:szCs w:val="18"/>
              </w:rPr>
              <w:t xml:space="preserve">solamente </w:t>
            </w:r>
            <w:r w:rsidRPr="00603B81">
              <w:rPr>
                <w:rFonts w:ascii="ITC Avant Garde" w:hAnsi="ITC Avant Garde"/>
                <w:sz w:val="18"/>
                <w:szCs w:val="18"/>
              </w:rPr>
              <w:t xml:space="preserve">tiene los propósitos de i) orientar a los </w:t>
            </w:r>
            <w:r>
              <w:rPr>
                <w:rFonts w:ascii="ITC Avant Garde" w:hAnsi="ITC Avant Garde"/>
                <w:sz w:val="18"/>
                <w:szCs w:val="18"/>
              </w:rPr>
              <w:t>agentes económicos</w:t>
            </w:r>
            <w:r w:rsidRPr="00603B81">
              <w:rPr>
                <w:rFonts w:ascii="ITC Avant Garde" w:hAnsi="ITC Avant Garde"/>
                <w:sz w:val="18"/>
                <w:szCs w:val="18"/>
              </w:rPr>
              <w:t xml:space="preserve">, a los interesados y a la sociedad en general, respecto a la finalidad y desahogo de cada una de las etapas del procedimiento seguido en forma de juicio, ii) describir de manera sencilla y transparente la tramitación del procedimiento seguido en forma de juicio, iii) explicar las etapas procesales, plazos y actuaciones que realiza el Instituto a través de la </w:t>
            </w:r>
            <w:r>
              <w:rPr>
                <w:rFonts w:ascii="ITC Avant Garde" w:hAnsi="ITC Avant Garde"/>
                <w:sz w:val="18"/>
                <w:szCs w:val="18"/>
              </w:rPr>
              <w:t>Unidad de Competencia Económica</w:t>
            </w:r>
            <w:r w:rsidRPr="00603B81">
              <w:rPr>
                <w:rFonts w:ascii="ITC Avant Garde" w:hAnsi="ITC Avant Garde"/>
                <w:sz w:val="18"/>
                <w:szCs w:val="18"/>
              </w:rPr>
              <w:t xml:space="preserve"> en su calidad de órgano encargado de la instrucción, y iv) divulgar algunos de los criterios judiciales más relevantes que aplican a las etapas procesales del procedimiento seguido en forma de juicio</w:t>
            </w:r>
            <w:r w:rsidRPr="00603B81">
              <w:rPr>
                <w:rFonts w:ascii="ITC Avant Garde" w:hAnsi="ITC Avant Garde"/>
                <w:b/>
                <w:sz w:val="18"/>
                <w:szCs w:val="18"/>
              </w:rPr>
              <w:t>.</w:t>
            </w:r>
          </w:p>
          <w:p w:rsidR="00D008D0" w:rsidRPr="00D008D0" w:rsidRDefault="00D008D0" w:rsidP="003F600A">
            <w:pPr>
              <w:jc w:val="both"/>
              <w:rPr>
                <w:rFonts w:ascii="ITC Avant Garde" w:hAnsi="ITC Avant Garde"/>
                <w:sz w:val="18"/>
                <w:szCs w:val="18"/>
              </w:rPr>
            </w:pPr>
          </w:p>
          <w:p w:rsidR="007F2145" w:rsidRDefault="00603B81" w:rsidP="009C153F">
            <w:pPr>
              <w:jc w:val="both"/>
              <w:rPr>
                <w:rFonts w:ascii="ITC Avant Garde" w:hAnsi="ITC Avant Garde"/>
                <w:sz w:val="18"/>
                <w:szCs w:val="18"/>
              </w:rPr>
            </w:pPr>
            <w:r>
              <w:rPr>
                <w:rFonts w:ascii="ITC Avant Garde" w:hAnsi="ITC Avant Garde"/>
                <w:sz w:val="18"/>
                <w:szCs w:val="18"/>
              </w:rPr>
              <w:t>La orientación, descripción y explicación contenido en la Gu</w:t>
            </w:r>
            <w:r w:rsidR="00E55DCB">
              <w:rPr>
                <w:rFonts w:ascii="ITC Avant Garde" w:hAnsi="ITC Avant Garde"/>
                <w:sz w:val="18"/>
                <w:szCs w:val="18"/>
              </w:rPr>
              <w:t>ía, tiene como base lo dispuesto en</w:t>
            </w:r>
            <w:r>
              <w:rPr>
                <w:rFonts w:ascii="ITC Avant Garde" w:hAnsi="ITC Avant Garde"/>
                <w:sz w:val="18"/>
                <w:szCs w:val="18"/>
              </w:rPr>
              <w:t xml:space="preserve"> Ley Federal de Competencia Económica y sus Disposiciones Regulatorias para los sectores de telecomunicaciones y radiodifusión. </w:t>
            </w:r>
            <w:r w:rsidR="00E55DCB">
              <w:rPr>
                <w:rFonts w:ascii="ITC Avant Garde" w:hAnsi="ITC Avant Garde"/>
                <w:sz w:val="18"/>
                <w:szCs w:val="18"/>
              </w:rPr>
              <w:t xml:space="preserve">Únicamente la modificación de estos ordenamientos generaría costos de cumplimiento a los agentes económicos, ya que contienen, por ejemplo, obligaciones, sanciones, definiciones o metodologías en materia de competencia económica. Sin embargo, la guía no pretende crear o modificar ninguna cuestión relacionada con el trámite del procedimiento. </w:t>
            </w:r>
          </w:p>
          <w:p w:rsidR="003A530C" w:rsidRDefault="003A530C" w:rsidP="009C153F">
            <w:pPr>
              <w:jc w:val="both"/>
              <w:rPr>
                <w:rFonts w:ascii="ITC Avant Garde" w:hAnsi="ITC Avant Garde"/>
                <w:sz w:val="18"/>
                <w:szCs w:val="18"/>
              </w:rPr>
            </w:pPr>
          </w:p>
          <w:p w:rsidR="00B70876" w:rsidRPr="00D008D0" w:rsidRDefault="003A530C" w:rsidP="009C153F">
            <w:pPr>
              <w:jc w:val="both"/>
              <w:rPr>
                <w:rFonts w:ascii="ITC Avant Garde" w:hAnsi="ITC Avant Garde"/>
                <w:sz w:val="18"/>
                <w:szCs w:val="18"/>
              </w:rPr>
            </w:pPr>
            <w:r>
              <w:rPr>
                <w:rFonts w:ascii="ITC Avant Garde" w:hAnsi="ITC Avant Garde"/>
                <w:sz w:val="18"/>
                <w:szCs w:val="18"/>
              </w:rPr>
              <w:t xml:space="preserve">Por tal motivo, </w:t>
            </w:r>
            <w:r w:rsidRPr="003A530C">
              <w:rPr>
                <w:rFonts w:ascii="ITC Avant Garde" w:hAnsi="ITC Avant Garde"/>
                <w:sz w:val="18"/>
                <w:szCs w:val="18"/>
              </w:rPr>
              <w:t>el Anteproyecto tampoco puede entenderse como un trámite según lo establecido por el artículo 3, fracción XXI de la Ley General de Mejora Regulatoria, ya que no crea obligaciones ni establece una resolución que no se encuentre ya prevista en la LFCE o las DRLFCE.</w:t>
            </w:r>
          </w:p>
        </w:tc>
      </w:tr>
    </w:tbl>
    <w:p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rsidTr="003949C0">
        <w:tc>
          <w:tcPr>
            <w:tcW w:w="1696" w:type="dxa"/>
            <w:vMerge w:val="restart"/>
          </w:tcPr>
          <w:p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rsidTr="003949C0">
        <w:tc>
          <w:tcPr>
            <w:tcW w:w="1696" w:type="dxa"/>
            <w:vMerge/>
          </w:tcPr>
          <w:p w:rsidR="00804F49" w:rsidRPr="00451B7D" w:rsidRDefault="00804F49" w:rsidP="00E21B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rsidR="00E21B49" w:rsidRPr="00451B7D" w:rsidRDefault="00E21B49" w:rsidP="00E21B49">
      <w:pPr>
        <w:jc w:val="both"/>
        <w:rPr>
          <w:rFonts w:ascii="ITC Avant Garde" w:hAnsi="ITC Avant Garde"/>
          <w:sz w:val="18"/>
          <w:szCs w:val="18"/>
        </w:rPr>
      </w:pPr>
    </w:p>
    <w:p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73AD8" w:rsidRPr="00451B7D" w:rsidTr="00F57EB2">
        <w:tc>
          <w:tcPr>
            <w:tcW w:w="8828" w:type="dxa"/>
          </w:tcPr>
          <w:p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rsidR="001B197A" w:rsidRPr="006D3C93" w:rsidRDefault="001B197A" w:rsidP="006D3C93">
            <w:pPr>
              <w:jc w:val="both"/>
              <w:rPr>
                <w:rFonts w:ascii="ITC Avant Garde" w:hAnsi="ITC Avant Garde"/>
                <w:sz w:val="18"/>
                <w:szCs w:val="18"/>
              </w:rPr>
            </w:pPr>
          </w:p>
          <w:p w:rsidR="00870931"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Ley Federal de Competencia Económica.</w:t>
            </w:r>
            <w:r w:rsidR="00B70876">
              <w:rPr>
                <w:rFonts w:ascii="ITC Avant Garde" w:hAnsi="ITC Avant Garde"/>
                <w:sz w:val="18"/>
                <w:szCs w:val="18"/>
              </w:rPr>
              <w:t xml:space="preserve"> Disponible en: </w:t>
            </w:r>
            <w:hyperlink r:id="rId11" w:history="1">
              <w:r w:rsidR="00B70876" w:rsidRPr="00CD7E55">
                <w:rPr>
                  <w:rStyle w:val="Hipervnculo"/>
                  <w:rFonts w:ascii="ITC Avant Garde" w:hAnsi="ITC Avant Garde"/>
                  <w:sz w:val="18"/>
                  <w:szCs w:val="18"/>
                </w:rPr>
                <w:t>http://www.diputados.gob.mx/LeyesBiblio/ref/lfce.htm</w:t>
              </w:r>
            </w:hyperlink>
          </w:p>
          <w:p w:rsidR="00B70876" w:rsidRDefault="00B70876" w:rsidP="00B70876">
            <w:pPr>
              <w:pStyle w:val="Prrafodelista"/>
              <w:jc w:val="both"/>
              <w:rPr>
                <w:rFonts w:ascii="ITC Avant Garde" w:hAnsi="ITC Avant Garde"/>
                <w:sz w:val="18"/>
                <w:szCs w:val="18"/>
              </w:rPr>
            </w:pPr>
          </w:p>
          <w:p w:rsidR="001B197A"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Disposiciones regulatorias de la Ley Federal de Competencia Económica para los sectores de telecomunicaciones y radiodifusión.</w:t>
            </w:r>
            <w:r w:rsidR="00B70876">
              <w:rPr>
                <w:rFonts w:ascii="ITC Avant Garde" w:hAnsi="ITC Avant Garde"/>
                <w:sz w:val="18"/>
                <w:szCs w:val="18"/>
              </w:rPr>
              <w:t xml:space="preserve"> Disponible en </w:t>
            </w:r>
            <w:hyperlink r:id="rId12" w:history="1">
              <w:r w:rsidR="00B70876" w:rsidRPr="00CD7E55">
                <w:rPr>
                  <w:rStyle w:val="Hipervnculo"/>
                  <w:rFonts w:ascii="ITC Avant Garde" w:hAnsi="ITC Avant Garde"/>
                  <w:sz w:val="18"/>
                  <w:szCs w:val="18"/>
                </w:rPr>
                <w:t>http://www.ift.org.mx/industria/autoridad-investigadora/documentos-materia-economica#</w:t>
              </w:r>
            </w:hyperlink>
            <w:r w:rsidR="00B70876">
              <w:rPr>
                <w:rFonts w:ascii="ITC Avant Garde" w:hAnsi="ITC Avant Garde"/>
                <w:sz w:val="18"/>
                <w:szCs w:val="18"/>
              </w:rPr>
              <w:t xml:space="preserve"> </w:t>
            </w:r>
          </w:p>
          <w:p w:rsidR="005820F0" w:rsidRPr="005820F0" w:rsidRDefault="005820F0" w:rsidP="005820F0">
            <w:pPr>
              <w:pStyle w:val="Prrafodelista"/>
              <w:rPr>
                <w:rFonts w:ascii="ITC Avant Garde" w:hAnsi="ITC Avant Garde"/>
                <w:sz w:val="18"/>
                <w:szCs w:val="18"/>
              </w:rPr>
            </w:pPr>
          </w:p>
          <w:p w:rsidR="005820F0" w:rsidRDefault="005820F0"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Semanario Judicial de la Federación. Disponible en: </w:t>
            </w:r>
            <w:hyperlink r:id="rId13" w:history="1">
              <w:r w:rsidRPr="00F74550">
                <w:rPr>
                  <w:rStyle w:val="Hipervnculo"/>
                  <w:rFonts w:ascii="ITC Avant Garde" w:hAnsi="ITC Avant Garde"/>
                  <w:sz w:val="18"/>
                  <w:szCs w:val="18"/>
                </w:rPr>
                <w:t>https://sjf2.scjn.gob.mx/busqueda-principal-tesis</w:t>
              </w:r>
            </w:hyperlink>
            <w:r>
              <w:rPr>
                <w:rFonts w:ascii="ITC Avant Garde" w:hAnsi="ITC Avant Garde"/>
                <w:sz w:val="18"/>
                <w:szCs w:val="18"/>
              </w:rPr>
              <w:t xml:space="preserve"> </w:t>
            </w:r>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4" w:history="1">
              <w:r w:rsidR="002A3FA1" w:rsidRPr="002A3FA1">
                <w:rPr>
                  <w:rStyle w:val="Hipervnculo"/>
                  <w:rFonts w:ascii="ITC Avant Garde" w:hAnsi="ITC Avant Garde" w:cs="Arial"/>
                  <w:sz w:val="18"/>
                  <w:szCs w:val="18"/>
                </w:rPr>
                <w:t>https://www.justice.gov/sites/default/files/atr/legacy/2007/07/17/10170.pdf</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5" w:history="1">
              <w:r w:rsidR="002A3FA1" w:rsidRPr="002A3FA1">
                <w:rPr>
                  <w:rStyle w:val="Hipervnculo"/>
                  <w:rFonts w:ascii="ITC Avant Garde" w:hAnsi="ITC Avant Garde" w:cs="Arial"/>
                  <w:sz w:val="18"/>
                  <w:szCs w:val="18"/>
                </w:rPr>
                <w:t>https://www.ftc.gov/sites/default/files/documents/statutes/federal-trade-commission-act/ftc_act_incorporatingus_safe_web_act.pdf</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6" w:history="1">
              <w:r w:rsidR="002A3FA1" w:rsidRPr="002A3FA1">
                <w:rPr>
                  <w:rStyle w:val="Hipervnculo"/>
                  <w:rFonts w:ascii="ITC Avant Garde" w:hAnsi="ITC Avant Garde" w:cs="Arial"/>
                  <w:sz w:val="18"/>
                  <w:szCs w:val="18"/>
                </w:rPr>
                <w:t>https://www.justice.gov/atr/file/761141/download</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7" w:history="1">
              <w:r w:rsidR="002A3FA1" w:rsidRPr="002A3FA1">
                <w:rPr>
                  <w:rStyle w:val="Hipervnculo"/>
                  <w:rFonts w:ascii="ITC Avant Garde" w:hAnsi="ITC Avant Garde" w:cs="Arial"/>
                  <w:sz w:val="18"/>
                  <w:szCs w:val="18"/>
                </w:rPr>
                <w:t>http://en.cade.gov.br/topics/legislation/laws/law-no-12529-2011-english-version-from-18-05-2012.pdf/view</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8" w:anchor="issuing-the-cmas-provisional-findings--the-statement-of-objections-and-draft-penalty-statement" w:history="1">
              <w:r w:rsidR="002A3FA1" w:rsidRPr="002A3FA1">
                <w:rPr>
                  <w:rStyle w:val="Hipervnculo"/>
                  <w:rFonts w:ascii="ITC Avant Garde" w:hAnsi="ITC Avant Garde" w:cs="Arial"/>
                  <w:sz w:val="18"/>
                  <w:szCs w:val="18"/>
                </w:rPr>
                <w:t>https://www.gov.uk/government/publications/guidance-on-the-cmas-investigation-procedures-in-competition-act-1998-cases/guidance-on-the-cmas-investigation-procedures-in-competition-act-1998-cases#issuing-the-cmas-provisional-findings--the-statement-of-objections-and-draft-penalty-statement</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Style w:val="Hipervnculo"/>
                <w:rFonts w:ascii="ITC Avant Garde" w:hAnsi="ITC Avant Garde"/>
                <w:color w:val="auto"/>
                <w:sz w:val="18"/>
                <w:szCs w:val="18"/>
                <w:u w:val="none"/>
              </w:rPr>
            </w:pPr>
            <w:hyperlink r:id="rId19" w:history="1">
              <w:r w:rsidR="002A3FA1" w:rsidRPr="002A3FA1">
                <w:rPr>
                  <w:rStyle w:val="Hipervnculo"/>
                  <w:rFonts w:ascii="ITC Avant Garde" w:hAnsi="ITC Avant Garde" w:cs="Arial"/>
                  <w:sz w:val="18"/>
                  <w:szCs w:val="18"/>
                </w:rPr>
                <w:t>https://www.ofcom.org.uk/__data/assets/pdf_file/0014/102515/Enforcement-guidelines-for-Competition-Act-investigations.pdf</w:t>
              </w:r>
            </w:hyperlink>
          </w:p>
          <w:p w:rsidR="002A3FA1" w:rsidRPr="002A3FA1" w:rsidRDefault="002A3FA1" w:rsidP="002A3FA1">
            <w:pPr>
              <w:pStyle w:val="Prrafodelista"/>
              <w:rPr>
                <w:rFonts w:ascii="ITC Avant Garde" w:hAnsi="ITC Avant Garde"/>
                <w:sz w:val="18"/>
                <w:szCs w:val="18"/>
              </w:rPr>
            </w:pPr>
          </w:p>
          <w:p w:rsidR="002A3FA1" w:rsidRPr="002A3FA1" w:rsidRDefault="006717EF" w:rsidP="005820F0">
            <w:pPr>
              <w:pStyle w:val="Prrafodelista"/>
              <w:numPr>
                <w:ilvl w:val="0"/>
                <w:numId w:val="3"/>
              </w:numPr>
              <w:jc w:val="both"/>
              <w:rPr>
                <w:rFonts w:ascii="ITC Avant Garde" w:hAnsi="ITC Avant Garde"/>
                <w:sz w:val="18"/>
                <w:szCs w:val="18"/>
              </w:rPr>
            </w:pPr>
            <w:hyperlink r:id="rId20" w:history="1">
              <w:r w:rsidR="002A3FA1" w:rsidRPr="002A3FA1">
                <w:rPr>
                  <w:rStyle w:val="Hipervnculo"/>
                  <w:rFonts w:ascii="ITC Avant Garde" w:hAnsi="ITC Avant Garde" w:cs="Arial"/>
                  <w:sz w:val="18"/>
                  <w:szCs w:val="18"/>
                </w:rPr>
                <w:t>https://www.ofcom.org.uk/__data/assets/pdf_file/0021/83523/cma_and_ofcom_mou_on_use_of_concurrent_consumer_powers_webversion.pdf</w:t>
              </w:r>
            </w:hyperlink>
          </w:p>
          <w:p w:rsidR="001B197A" w:rsidRPr="00451B7D" w:rsidRDefault="001B197A" w:rsidP="00995CBD">
            <w:pPr>
              <w:pStyle w:val="Prrafodelista"/>
              <w:jc w:val="both"/>
              <w:rPr>
                <w:rFonts w:ascii="ITC Avant Garde" w:hAnsi="ITC Avant Garde"/>
                <w:sz w:val="18"/>
                <w:szCs w:val="18"/>
              </w:rPr>
            </w:pPr>
          </w:p>
        </w:tc>
      </w:tr>
    </w:tbl>
    <w:p w:rsidR="0086684A" w:rsidRPr="00451B7D" w:rsidRDefault="0086684A" w:rsidP="0086684A">
      <w:pPr>
        <w:jc w:val="both"/>
        <w:rPr>
          <w:rFonts w:ascii="ITC Avant Garde" w:hAnsi="ITC Avant Garde"/>
          <w:sz w:val="18"/>
          <w:szCs w:val="18"/>
        </w:rPr>
      </w:pPr>
    </w:p>
    <w:sectPr w:rsidR="0086684A" w:rsidRPr="00451B7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EF" w:rsidRDefault="006717EF" w:rsidP="00501ADF">
      <w:pPr>
        <w:spacing w:after="0" w:line="240" w:lineRule="auto"/>
      </w:pPr>
      <w:r>
        <w:separator/>
      </w:r>
    </w:p>
  </w:endnote>
  <w:endnote w:type="continuationSeparator" w:id="0">
    <w:p w:rsidR="006717EF" w:rsidRDefault="006717E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940622">
              <w:rPr>
                <w:b/>
                <w:bCs/>
                <w:noProof/>
                <w:sz w:val="20"/>
              </w:rPr>
              <w:t>1</w:t>
            </w:r>
            <w:r w:rsidRPr="0006478F">
              <w:rPr>
                <w:b/>
                <w:bCs/>
                <w:szCs w:val="24"/>
              </w:rPr>
              <w:fldChar w:fldCharType="end"/>
            </w:r>
          </w:p>
        </w:sdtContent>
      </w:sdt>
    </w:sdtContent>
  </w:sdt>
  <w:p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EF" w:rsidRDefault="006717EF" w:rsidP="00501ADF">
      <w:pPr>
        <w:spacing w:after="0" w:line="240" w:lineRule="auto"/>
      </w:pPr>
      <w:r>
        <w:separator/>
      </w:r>
    </w:p>
  </w:footnote>
  <w:footnote w:type="continuationSeparator" w:id="0">
    <w:p w:rsidR="006717EF" w:rsidRDefault="006717EF" w:rsidP="00501ADF">
      <w:pPr>
        <w:spacing w:after="0" w:line="240" w:lineRule="auto"/>
      </w:pPr>
      <w:r>
        <w:continuationSeparator/>
      </w:r>
    </w:p>
  </w:footnote>
  <w:footnote w:id="1">
    <w:p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1BC97230" wp14:editId="1A2E501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7DC4369B" wp14:editId="6B6FE2D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4369B"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3E5E997D" wp14:editId="4E33379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93D9EFA"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B08"/>
    <w:multiLevelType w:val="hybridMultilevel"/>
    <w:tmpl w:val="C5725D36"/>
    <w:lvl w:ilvl="0" w:tplc="B33471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289B"/>
    <w:rsid w:val="00056AE8"/>
    <w:rsid w:val="0006478F"/>
    <w:rsid w:val="00076902"/>
    <w:rsid w:val="000902B6"/>
    <w:rsid w:val="000C16BC"/>
    <w:rsid w:val="000D401B"/>
    <w:rsid w:val="000D7248"/>
    <w:rsid w:val="000E6A13"/>
    <w:rsid w:val="000F669B"/>
    <w:rsid w:val="00177F7B"/>
    <w:rsid w:val="00181A32"/>
    <w:rsid w:val="001932FC"/>
    <w:rsid w:val="001B197A"/>
    <w:rsid w:val="001B4A51"/>
    <w:rsid w:val="001E26FE"/>
    <w:rsid w:val="00206C6C"/>
    <w:rsid w:val="00211C96"/>
    <w:rsid w:val="00247B33"/>
    <w:rsid w:val="002526B9"/>
    <w:rsid w:val="00286496"/>
    <w:rsid w:val="00295E97"/>
    <w:rsid w:val="002A3FA1"/>
    <w:rsid w:val="002A60F9"/>
    <w:rsid w:val="002D0911"/>
    <w:rsid w:val="002D28C7"/>
    <w:rsid w:val="002E224D"/>
    <w:rsid w:val="0030055F"/>
    <w:rsid w:val="003039BF"/>
    <w:rsid w:val="00304A8B"/>
    <w:rsid w:val="00323167"/>
    <w:rsid w:val="00333B41"/>
    <w:rsid w:val="00372BF7"/>
    <w:rsid w:val="0039169A"/>
    <w:rsid w:val="003949C0"/>
    <w:rsid w:val="003A530C"/>
    <w:rsid w:val="003A72BC"/>
    <w:rsid w:val="003B48A5"/>
    <w:rsid w:val="003E1D84"/>
    <w:rsid w:val="003F05E7"/>
    <w:rsid w:val="004154A8"/>
    <w:rsid w:val="004226AE"/>
    <w:rsid w:val="00427A15"/>
    <w:rsid w:val="0044221E"/>
    <w:rsid w:val="004431E4"/>
    <w:rsid w:val="00451B7D"/>
    <w:rsid w:val="004603F7"/>
    <w:rsid w:val="0049127C"/>
    <w:rsid w:val="00497878"/>
    <w:rsid w:val="004A7C30"/>
    <w:rsid w:val="004B14C7"/>
    <w:rsid w:val="004B6836"/>
    <w:rsid w:val="004C381D"/>
    <w:rsid w:val="004E0AA9"/>
    <w:rsid w:val="004E0DA9"/>
    <w:rsid w:val="00501ADF"/>
    <w:rsid w:val="00525271"/>
    <w:rsid w:val="005319D5"/>
    <w:rsid w:val="00536C2E"/>
    <w:rsid w:val="00544AE5"/>
    <w:rsid w:val="00562A53"/>
    <w:rsid w:val="005820F0"/>
    <w:rsid w:val="00594C83"/>
    <w:rsid w:val="00596FDE"/>
    <w:rsid w:val="005A06B2"/>
    <w:rsid w:val="005A40FB"/>
    <w:rsid w:val="005A48A4"/>
    <w:rsid w:val="005B2C92"/>
    <w:rsid w:val="005C44A8"/>
    <w:rsid w:val="00603B81"/>
    <w:rsid w:val="006133B1"/>
    <w:rsid w:val="006220C6"/>
    <w:rsid w:val="00623EB8"/>
    <w:rsid w:val="00634DE8"/>
    <w:rsid w:val="00641D09"/>
    <w:rsid w:val="00647FB6"/>
    <w:rsid w:val="006717D5"/>
    <w:rsid w:val="006717EF"/>
    <w:rsid w:val="0068307E"/>
    <w:rsid w:val="006A3A0E"/>
    <w:rsid w:val="006D3C93"/>
    <w:rsid w:val="006D7556"/>
    <w:rsid w:val="006D7A08"/>
    <w:rsid w:val="006F25B0"/>
    <w:rsid w:val="007018A1"/>
    <w:rsid w:val="00712636"/>
    <w:rsid w:val="00714252"/>
    <w:rsid w:val="0074323F"/>
    <w:rsid w:val="007561C2"/>
    <w:rsid w:val="0076488A"/>
    <w:rsid w:val="007719FF"/>
    <w:rsid w:val="007906D0"/>
    <w:rsid w:val="007A37D6"/>
    <w:rsid w:val="007C425A"/>
    <w:rsid w:val="007D4E5B"/>
    <w:rsid w:val="007D668A"/>
    <w:rsid w:val="007F2145"/>
    <w:rsid w:val="007F37BF"/>
    <w:rsid w:val="00800C70"/>
    <w:rsid w:val="00801FED"/>
    <w:rsid w:val="00803D7B"/>
    <w:rsid w:val="00804F49"/>
    <w:rsid w:val="008135FB"/>
    <w:rsid w:val="00814A48"/>
    <w:rsid w:val="00824E9F"/>
    <w:rsid w:val="00827470"/>
    <w:rsid w:val="0084560D"/>
    <w:rsid w:val="008634FA"/>
    <w:rsid w:val="0086684A"/>
    <w:rsid w:val="00870931"/>
    <w:rsid w:val="0087265C"/>
    <w:rsid w:val="00876D05"/>
    <w:rsid w:val="008A1704"/>
    <w:rsid w:val="008A48B0"/>
    <w:rsid w:val="008C76AF"/>
    <w:rsid w:val="008E1AD3"/>
    <w:rsid w:val="008E3011"/>
    <w:rsid w:val="009058DB"/>
    <w:rsid w:val="00911216"/>
    <w:rsid w:val="00911F4B"/>
    <w:rsid w:val="009134DB"/>
    <w:rsid w:val="00922239"/>
    <w:rsid w:val="00922985"/>
    <w:rsid w:val="00935E92"/>
    <w:rsid w:val="00940622"/>
    <w:rsid w:val="009442FD"/>
    <w:rsid w:val="0095547D"/>
    <w:rsid w:val="009641A1"/>
    <w:rsid w:val="009656B1"/>
    <w:rsid w:val="009726EB"/>
    <w:rsid w:val="00974F75"/>
    <w:rsid w:val="009806B7"/>
    <w:rsid w:val="00986E23"/>
    <w:rsid w:val="00995CBD"/>
    <w:rsid w:val="009A4AA7"/>
    <w:rsid w:val="009C153F"/>
    <w:rsid w:val="009C20C9"/>
    <w:rsid w:val="009D10E1"/>
    <w:rsid w:val="009D5C70"/>
    <w:rsid w:val="009D73E5"/>
    <w:rsid w:val="009E2F03"/>
    <w:rsid w:val="009F237F"/>
    <w:rsid w:val="00A011CF"/>
    <w:rsid w:val="00A1622C"/>
    <w:rsid w:val="00A7211D"/>
    <w:rsid w:val="00A723A9"/>
    <w:rsid w:val="00A73AD8"/>
    <w:rsid w:val="00A81C3A"/>
    <w:rsid w:val="00A855B0"/>
    <w:rsid w:val="00AA4CB3"/>
    <w:rsid w:val="00AE6E77"/>
    <w:rsid w:val="00B007F9"/>
    <w:rsid w:val="00B20C85"/>
    <w:rsid w:val="00B2360F"/>
    <w:rsid w:val="00B24AB5"/>
    <w:rsid w:val="00B32137"/>
    <w:rsid w:val="00B3249B"/>
    <w:rsid w:val="00B32DDD"/>
    <w:rsid w:val="00B41497"/>
    <w:rsid w:val="00B43D57"/>
    <w:rsid w:val="00B6461E"/>
    <w:rsid w:val="00B70876"/>
    <w:rsid w:val="00B74C55"/>
    <w:rsid w:val="00B74F10"/>
    <w:rsid w:val="00B77B4B"/>
    <w:rsid w:val="00BA0F10"/>
    <w:rsid w:val="00BA4E93"/>
    <w:rsid w:val="00BB4386"/>
    <w:rsid w:val="00BB73BA"/>
    <w:rsid w:val="00BC2FF7"/>
    <w:rsid w:val="00BE7D1C"/>
    <w:rsid w:val="00C330D9"/>
    <w:rsid w:val="00C37872"/>
    <w:rsid w:val="00C53388"/>
    <w:rsid w:val="00C5470D"/>
    <w:rsid w:val="00C8077F"/>
    <w:rsid w:val="00C917FC"/>
    <w:rsid w:val="00C9553C"/>
    <w:rsid w:val="00CA7CDC"/>
    <w:rsid w:val="00CB3B9E"/>
    <w:rsid w:val="00CD2954"/>
    <w:rsid w:val="00CD7E90"/>
    <w:rsid w:val="00CE0B62"/>
    <w:rsid w:val="00CE2EA1"/>
    <w:rsid w:val="00CF40FC"/>
    <w:rsid w:val="00D008D0"/>
    <w:rsid w:val="00D02DA9"/>
    <w:rsid w:val="00D0386B"/>
    <w:rsid w:val="00D221B5"/>
    <w:rsid w:val="00D23BD5"/>
    <w:rsid w:val="00D31AE9"/>
    <w:rsid w:val="00D55CA7"/>
    <w:rsid w:val="00D6424D"/>
    <w:rsid w:val="00DB01FA"/>
    <w:rsid w:val="00DC24AA"/>
    <w:rsid w:val="00DE6F24"/>
    <w:rsid w:val="00E046F4"/>
    <w:rsid w:val="00E16506"/>
    <w:rsid w:val="00E21B49"/>
    <w:rsid w:val="00E27972"/>
    <w:rsid w:val="00E37C02"/>
    <w:rsid w:val="00E55DCB"/>
    <w:rsid w:val="00E57979"/>
    <w:rsid w:val="00E6080B"/>
    <w:rsid w:val="00E768BA"/>
    <w:rsid w:val="00E8340B"/>
    <w:rsid w:val="00EE6FE8"/>
    <w:rsid w:val="00EF5AF4"/>
    <w:rsid w:val="00F03289"/>
    <w:rsid w:val="00F31821"/>
    <w:rsid w:val="00F342A4"/>
    <w:rsid w:val="00F57EB2"/>
    <w:rsid w:val="00F61B6C"/>
    <w:rsid w:val="00F75427"/>
    <w:rsid w:val="00F75C80"/>
    <w:rsid w:val="00F81940"/>
    <w:rsid w:val="00F85D32"/>
    <w:rsid w:val="00F9299E"/>
    <w:rsid w:val="00F94A28"/>
    <w:rsid w:val="00FB158A"/>
    <w:rsid w:val="00FB4FEA"/>
    <w:rsid w:val="00FB58BA"/>
    <w:rsid w:val="00FD121A"/>
    <w:rsid w:val="00FE174F"/>
    <w:rsid w:val="00FF4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7F65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2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1Car">
    <w:name w:val="Título 1 Car"/>
    <w:basedOn w:val="Fuentedeprrafopredeter"/>
    <w:link w:val="Ttulo1"/>
    <w:uiPriority w:val="9"/>
    <w:rsid w:val="00B324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07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jf2.scjn.gob.mx/busqueda-principal-tesis" TargetMode="External"/><Relationship Id="rId18" Type="http://schemas.openxmlformats.org/officeDocument/2006/relationships/hyperlink" Target="https://www.gov.uk/government/publications/guidance-on-the-cmas-investigation-procedures-in-competition-act-1998-cases/guidance-on-the-cmas-investigation-procedures-in-competition-act-1998-cas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autoridad-investigadora/documentos-materia-economica" TargetMode="External"/><Relationship Id="rId17" Type="http://schemas.openxmlformats.org/officeDocument/2006/relationships/hyperlink" Target="http://en.cade.gov.br/topics/legislation/laws/law-no-12529-2011-english-version-from-18-05-2012.pdf/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ustice.gov/atr/file/761141/download" TargetMode="External"/><Relationship Id="rId20" Type="http://schemas.openxmlformats.org/officeDocument/2006/relationships/hyperlink" Target="https://www.ofcom.org.uk/__data/assets/pdf_file/0021/83523/cma_and_ofcom_mou_on_use_of_concurrent_consumer_powers_webver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ref/lfce.ht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tc.gov/sites/default/files/documents/statutes/federal-trade-commission-act/ftc_act_incorporatingus_safe_web_ac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fcom.org.uk/__data/assets/pdf_file/0014/102515/Enforcement-guidelines-for-Competition-Act-investig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gov/sites/default/files/atr/legacy/2007/07/17/10170.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33E76"/>
    <w:rsid w:val="00055F24"/>
    <w:rsid w:val="000970D1"/>
    <w:rsid w:val="00156B10"/>
    <w:rsid w:val="00162398"/>
    <w:rsid w:val="002D1216"/>
    <w:rsid w:val="00361AF2"/>
    <w:rsid w:val="00460718"/>
    <w:rsid w:val="00504DE3"/>
    <w:rsid w:val="0051743B"/>
    <w:rsid w:val="00540EA6"/>
    <w:rsid w:val="0058081F"/>
    <w:rsid w:val="006020B4"/>
    <w:rsid w:val="00622624"/>
    <w:rsid w:val="0067131A"/>
    <w:rsid w:val="00687D37"/>
    <w:rsid w:val="006F1AE1"/>
    <w:rsid w:val="007118CA"/>
    <w:rsid w:val="00760FAD"/>
    <w:rsid w:val="00895355"/>
    <w:rsid w:val="008E4E94"/>
    <w:rsid w:val="00963F51"/>
    <w:rsid w:val="00981D52"/>
    <w:rsid w:val="00A80CA9"/>
    <w:rsid w:val="00B05362"/>
    <w:rsid w:val="00B234BA"/>
    <w:rsid w:val="00B53C30"/>
    <w:rsid w:val="00B748CE"/>
    <w:rsid w:val="00BD02AE"/>
    <w:rsid w:val="00BD59E5"/>
    <w:rsid w:val="00C843BF"/>
    <w:rsid w:val="00CF1BA4"/>
    <w:rsid w:val="00DB3940"/>
    <w:rsid w:val="00E75A8C"/>
    <w:rsid w:val="00EB2284"/>
    <w:rsid w:val="00EC0667"/>
    <w:rsid w:val="00ED076C"/>
    <w:rsid w:val="00F04DDA"/>
    <w:rsid w:val="00F91FF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7203DA0-DAF0-4FB0-93F5-563807BF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2021-06-22T15:40:00Z</dcterms:created>
  <dcterms:modified xsi:type="dcterms:W3CDTF">2021-06-22T15:40:00Z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