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946F" w14:textId="665445D4" w:rsidR="00AE7499" w:rsidRDefault="00AE7499" w:rsidP="007531A8">
      <w:pPr>
        <w:spacing w:after="0" w:line="276" w:lineRule="auto"/>
        <w:rPr>
          <w:rFonts w:ascii="ITC Avant Garde" w:eastAsia="Times New Roman" w:hAnsi="ITC Avant Garde"/>
          <w:b/>
          <w:i/>
          <w:sz w:val="24"/>
          <w:szCs w:val="24"/>
        </w:rPr>
      </w:pPr>
      <w:bookmarkStart w:id="0" w:name="_GoBack"/>
      <w:bookmarkEnd w:id="0"/>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sidR="00433FB8">
        <w:rPr>
          <w:rFonts w:ascii="ITC Avant Garde" w:eastAsia="Times New Roman" w:hAnsi="ITC Avant Garde"/>
          <w:b/>
          <w:i/>
          <w:sz w:val="24"/>
          <w:szCs w:val="24"/>
        </w:rPr>
        <w:t xml:space="preserve">ICACIONES APLICABLES AL AÑO </w:t>
      </w:r>
      <w:r w:rsidR="00280C78">
        <w:rPr>
          <w:rFonts w:ascii="ITC Avant Garde" w:eastAsia="Times New Roman" w:hAnsi="ITC Avant Garde"/>
          <w:b/>
          <w:i/>
          <w:sz w:val="24"/>
          <w:szCs w:val="24"/>
        </w:rPr>
        <w:t>2022</w:t>
      </w:r>
      <w:r w:rsidRPr="0053503B">
        <w:rPr>
          <w:rFonts w:ascii="ITC Avant Garde" w:eastAsia="Times New Roman" w:hAnsi="ITC Avant Garde"/>
          <w:b/>
          <w:i/>
          <w:sz w:val="24"/>
          <w:szCs w:val="24"/>
        </w:rPr>
        <w:t>”.</w:t>
      </w:r>
    </w:p>
    <w:p w14:paraId="0140C4CF" w14:textId="77777777" w:rsidR="00E53C1B" w:rsidRPr="0053503B" w:rsidRDefault="00E53C1B" w:rsidP="007531A8">
      <w:pPr>
        <w:spacing w:after="0" w:line="276" w:lineRule="auto"/>
        <w:rPr>
          <w:rFonts w:ascii="ITC Avant Garde" w:eastAsia="Times New Roman" w:hAnsi="ITC Avant Garde"/>
          <w:b/>
          <w:i/>
          <w:sz w:val="24"/>
          <w:szCs w:val="24"/>
        </w:rPr>
      </w:pPr>
    </w:p>
    <w:p w14:paraId="35DE78F8" w14:textId="1FBC1021" w:rsidR="00C41FE0" w:rsidRPr="00E668D0" w:rsidRDefault="00C41FE0" w:rsidP="007531A8">
      <w:pPr>
        <w:spacing w:after="0" w:line="276" w:lineRule="auto"/>
        <w:ind w:left="-6" w:hanging="11"/>
        <w:rPr>
          <w:rFonts w:ascii="ITC Avant Garde" w:hAnsi="ITC Avant Garde" w:cs="ITC Avant Garde"/>
          <w:b/>
          <w:color w:val="000000"/>
        </w:rPr>
      </w:pPr>
      <w:r w:rsidRPr="00C07B29">
        <w:rPr>
          <w:rFonts w:ascii="ITC Avant Garde" w:hAnsi="ITC Avant Garde" w:cs="ITC Avant Garde"/>
          <w:b/>
          <w:color w:val="000000"/>
        </w:rPr>
        <w:t xml:space="preserve">Fecha de Elaboración del Informe de Consideraciones sobre los comentarios, opiniones y </w:t>
      </w:r>
      <w:r w:rsidR="00E92CFC" w:rsidRPr="00C07B29">
        <w:rPr>
          <w:rFonts w:ascii="ITC Avant Garde" w:hAnsi="ITC Avant Garde" w:cs="ITC Avant Garde"/>
          <w:b/>
          <w:color w:val="000000"/>
        </w:rPr>
        <w:t xml:space="preserve">aportaciones recibidos en relación a la presente Consulta Pública: </w:t>
      </w:r>
      <w:r w:rsidR="00C07B29">
        <w:rPr>
          <w:rFonts w:ascii="ITC Avant Garde" w:hAnsi="ITC Avant Garde" w:cs="ITC Avant Garde"/>
          <w:b/>
          <w:color w:val="000000"/>
        </w:rPr>
        <w:t>01 de noviembre de 2021</w:t>
      </w:r>
      <w:r w:rsidR="00E92CFC" w:rsidRPr="00C07B29">
        <w:rPr>
          <w:rFonts w:ascii="ITC Avant Garde" w:hAnsi="ITC Avant Garde" w:cs="ITC Avant Garde"/>
          <w:b/>
          <w:color w:val="000000"/>
        </w:rPr>
        <w:t>.</w:t>
      </w:r>
    </w:p>
    <w:p w14:paraId="0003393B" w14:textId="77777777" w:rsidR="00E53C1B" w:rsidRPr="00E92CFC" w:rsidRDefault="00E53C1B" w:rsidP="007531A8">
      <w:pPr>
        <w:spacing w:after="0" w:line="276" w:lineRule="auto"/>
        <w:ind w:left="-6" w:hanging="11"/>
        <w:rPr>
          <w:rFonts w:ascii="ITC Avant Garde" w:hAnsi="ITC Avant Garde" w:cs="ITC Avant Garde"/>
          <w:color w:val="000000"/>
        </w:rPr>
      </w:pPr>
    </w:p>
    <w:p w14:paraId="0BF0C212" w14:textId="32D3859B" w:rsidR="0093058C" w:rsidRDefault="0093058C" w:rsidP="007531A8">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7193D11" w14:textId="7AFD7A2A" w:rsidR="00AE7499" w:rsidRDefault="007A5D7A" w:rsidP="007531A8">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Propuestas de Convenio Marco de Interconexión presentado por el Agente Económico Preponderante en el Sector de las Telecomun</w:t>
      </w:r>
      <w:r w:rsidR="001A7275">
        <w:rPr>
          <w:rFonts w:ascii="ITC Avant Garde" w:hAnsi="ITC Avant Garde" w:cs="ITC Avant Garde"/>
          <w:b/>
          <w:bCs/>
          <w:i/>
          <w:color w:val="000000"/>
        </w:rPr>
        <w:t xml:space="preserve">icaciones Aplicables al Año </w:t>
      </w:r>
      <w:r w:rsidR="007A4E05">
        <w:rPr>
          <w:rFonts w:ascii="ITC Avant Garde" w:hAnsi="ITC Avant Garde" w:cs="ITC Avant Garde"/>
          <w:b/>
          <w:bCs/>
          <w:i/>
          <w:color w:val="000000"/>
        </w:rPr>
        <w:t>2022</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93783">
        <w:rPr>
          <w:rFonts w:ascii="ITC Avant Garde" w:hAnsi="ITC Avant Garde" w:cs="ITC Avant Garde"/>
          <w:bCs/>
          <w:color w:val="000000"/>
        </w:rPr>
        <w:t>la</w:t>
      </w:r>
      <w:r w:rsidR="00F633CD">
        <w:rPr>
          <w:rFonts w:ascii="ITC Avant Garde" w:hAnsi="ITC Avant Garde" w:cs="ITC Avant Garde"/>
          <w:bCs/>
          <w:color w:val="000000"/>
        </w:rPr>
        <w:t xml:space="preserve"> </w:t>
      </w:r>
      <w:r w:rsidR="00F633CD" w:rsidRPr="00A93783">
        <w:rPr>
          <w:rFonts w:ascii="ITC Avant Garde" w:hAnsi="ITC Avant Garde" w:cs="ITC Avant Garde"/>
          <w:bCs/>
          <w:color w:val="000000"/>
        </w:rPr>
        <w:t>“</w:t>
      </w:r>
      <w:r w:rsidR="00A93783" w:rsidRPr="00A93783">
        <w:rPr>
          <w:rFonts w:ascii="ITC Avant Garde" w:eastAsia="Avant Garde" w:hAnsi="ITC Avant Garde" w:cs="Avant Garde"/>
          <w:color w:val="000000"/>
          <w:lang w:eastAsia="es-MX"/>
        </w:rPr>
        <w:t>Propuesta de CMI</w:t>
      </w:r>
      <w:r w:rsidR="00AE7499" w:rsidRPr="00A93783">
        <w:rPr>
          <w:rFonts w:ascii="ITC Avant Garde" w:hAnsi="ITC Avant Garde" w:cs="ITC Avant Garde"/>
          <w:bCs/>
          <w:color w:val="000000"/>
        </w:rPr>
        <w:t>”</w:t>
      </w:r>
      <w:r w:rsidR="00AE7499" w:rsidRPr="0053503B">
        <w:rPr>
          <w:rFonts w:ascii="ITC Avant Garde" w:hAnsi="ITC Avant Garde" w:cs="ITC Avant Garde"/>
          <w:bCs/>
          <w:color w:val="000000"/>
        </w:rPr>
        <w:t xml:space="preserve">) </w:t>
      </w:r>
      <w:r w:rsidR="00AE7499" w:rsidRPr="0053503B">
        <w:rPr>
          <w:rFonts w:ascii="ITC Avant Garde" w:hAnsi="ITC Avant Garde" w:cs="ITC Avant Garde"/>
          <w:color w:val="000000"/>
        </w:rPr>
        <w:t xml:space="preserve">presentada por </w:t>
      </w:r>
      <w:r w:rsidR="007A4E05">
        <w:rPr>
          <w:rFonts w:ascii="ITC Avant Garde" w:hAnsi="ITC Avant Garde" w:cs="ITC Avant Garde"/>
          <w:color w:val="000000"/>
        </w:rPr>
        <w:t>Teléfonos de México</w:t>
      </w:r>
      <w:r w:rsidR="00AE7499" w:rsidRPr="0053503B">
        <w:rPr>
          <w:rFonts w:ascii="ITC Avant Garde" w:hAnsi="ITC Avant Garde" w:cs="ITC Avant Garde"/>
          <w:color w:val="000000"/>
        </w:rPr>
        <w:t>, S.A.</w:t>
      </w:r>
      <w:r w:rsidR="007A4E05">
        <w:rPr>
          <w:rFonts w:ascii="ITC Avant Garde" w:hAnsi="ITC Avant Garde" w:cs="ITC Avant Garde"/>
          <w:color w:val="000000"/>
        </w:rPr>
        <w:t>B.</w:t>
      </w:r>
      <w:r w:rsidR="00AE7499" w:rsidRPr="0053503B">
        <w:rPr>
          <w:rFonts w:ascii="ITC Avant Garde" w:hAnsi="ITC Avant Garde" w:cs="ITC Avant Garde"/>
          <w:color w:val="000000"/>
        </w:rPr>
        <w:t xml:space="preserve"> de C.V.</w:t>
      </w:r>
      <w:r w:rsidR="007A4E05">
        <w:rPr>
          <w:rFonts w:ascii="ITC Avant Garde" w:hAnsi="ITC Avant Garde" w:cs="ITC Avant Garde"/>
          <w:color w:val="000000"/>
        </w:rPr>
        <w:t xml:space="preserve"> y Teléfonos del Noroeste, S.A. de C.V.</w:t>
      </w:r>
      <w:r w:rsidR="00AE7499" w:rsidRPr="0053503B">
        <w:rPr>
          <w:rFonts w:ascii="ITC Avant Garde" w:hAnsi="ITC Avant Garde" w:cs="ITC Avant Garde"/>
          <w:color w:val="000000"/>
        </w:rPr>
        <w:t xml:space="preserve"> (en </w:t>
      </w:r>
      <w:r w:rsidR="007A4E05">
        <w:rPr>
          <w:rFonts w:ascii="ITC Avant Garde" w:hAnsi="ITC Avant Garde" w:cs="ITC Avant Garde"/>
          <w:color w:val="000000"/>
        </w:rPr>
        <w:t>lo sucesivo</w:t>
      </w:r>
      <w:r w:rsidR="00AE7499" w:rsidRPr="0053503B">
        <w:rPr>
          <w:rFonts w:ascii="ITC Avant Garde" w:hAnsi="ITC Avant Garde" w:cs="ITC Avant Garde"/>
          <w:color w:val="000000"/>
        </w:rPr>
        <w:t>,</w:t>
      </w:r>
      <w:r w:rsidR="007A4E05">
        <w:rPr>
          <w:rFonts w:ascii="ITC Avant Garde" w:hAnsi="ITC Avant Garde" w:cs="ITC Avant Garde"/>
          <w:color w:val="000000"/>
        </w:rPr>
        <w:t xml:space="preserve"> conjuntamente</w:t>
      </w:r>
      <w:r w:rsidR="00AE7499" w:rsidRPr="0053503B">
        <w:rPr>
          <w:rFonts w:ascii="ITC Avant Garde" w:hAnsi="ITC Avant Garde" w:cs="ITC Avant Garde"/>
          <w:color w:val="000000"/>
        </w:rPr>
        <w:t xml:space="preserve"> “Tel</w:t>
      </w:r>
      <w:r w:rsidR="007A4E05">
        <w:rPr>
          <w:rFonts w:ascii="ITC Avant Garde" w:hAnsi="ITC Avant Garde" w:cs="ITC Avant Garde"/>
          <w:color w:val="000000"/>
        </w:rPr>
        <w:t>mex/Telnor</w:t>
      </w:r>
      <w:r w:rsidR="00AE7499" w:rsidRPr="0053503B">
        <w:rPr>
          <w:rFonts w:ascii="ITC Avant Garde" w:hAnsi="ITC Avant Garde" w:cs="ITC Avant Garde"/>
          <w:color w:val="000000"/>
        </w:rPr>
        <w:t xml:space="preserve">”) materia de la consulta pública de mérito, recibidas durante el periodo </w:t>
      </w:r>
      <w:r w:rsidR="00E514A3">
        <w:rPr>
          <w:rFonts w:ascii="ITC Avant Garde" w:hAnsi="ITC Avant Garde" w:cs="ITC Avant Garde"/>
          <w:color w:val="000000"/>
        </w:rPr>
        <w:t xml:space="preserve">comprendido del </w:t>
      </w:r>
      <w:r w:rsidR="007A4E05">
        <w:rPr>
          <w:rFonts w:ascii="ITC Avant Garde" w:hAnsi="ITC Avant Garde" w:cs="ITC Avant Garde"/>
          <w:color w:val="000000"/>
        </w:rPr>
        <w:t>17</w:t>
      </w:r>
      <w:r w:rsidR="001A7275" w:rsidRPr="001A7275">
        <w:rPr>
          <w:rFonts w:ascii="ITC Avant Garde" w:hAnsi="ITC Avant Garde" w:cs="ITC Avant Garde"/>
          <w:color w:val="000000"/>
        </w:rPr>
        <w:t xml:space="preserve"> de </w:t>
      </w:r>
      <w:r w:rsidR="00C07B29">
        <w:rPr>
          <w:rFonts w:ascii="ITC Avant Garde" w:hAnsi="ITC Avant Garde" w:cs="ITC Avant Garde"/>
          <w:color w:val="000000"/>
        </w:rPr>
        <w:t>m</w:t>
      </w:r>
      <w:r w:rsidR="007A4E05">
        <w:rPr>
          <w:rFonts w:ascii="ITC Avant Garde" w:hAnsi="ITC Avant Garde" w:cs="ITC Avant Garde"/>
          <w:color w:val="000000"/>
        </w:rPr>
        <w:t>ayo</w:t>
      </w:r>
      <w:r w:rsidR="001A7275" w:rsidRPr="001A7275">
        <w:rPr>
          <w:rFonts w:ascii="ITC Avant Garde" w:hAnsi="ITC Avant Garde" w:cs="ITC Avant Garde"/>
          <w:color w:val="000000"/>
        </w:rPr>
        <w:t xml:space="preserve"> </w:t>
      </w:r>
      <w:r w:rsidR="00E514A3">
        <w:rPr>
          <w:rFonts w:ascii="ITC Avant Garde" w:hAnsi="ITC Avant Garde" w:cs="ITC Avant Garde"/>
          <w:color w:val="000000"/>
        </w:rPr>
        <w:t xml:space="preserve">al </w:t>
      </w:r>
      <w:r w:rsidR="007A4E05">
        <w:rPr>
          <w:rFonts w:ascii="ITC Avant Garde" w:hAnsi="ITC Avant Garde" w:cs="ITC Avant Garde"/>
          <w:color w:val="000000"/>
        </w:rPr>
        <w:t>15</w:t>
      </w:r>
      <w:r w:rsidR="001A7275" w:rsidRPr="001A7275">
        <w:rPr>
          <w:rFonts w:ascii="ITC Avant Garde" w:hAnsi="ITC Avant Garde" w:cs="ITC Avant Garde"/>
          <w:color w:val="000000"/>
        </w:rPr>
        <w:t xml:space="preserve"> de </w:t>
      </w:r>
      <w:r w:rsidR="00C07B29">
        <w:rPr>
          <w:rFonts w:ascii="ITC Avant Garde" w:hAnsi="ITC Avant Garde" w:cs="ITC Avant Garde"/>
          <w:color w:val="000000"/>
        </w:rPr>
        <w:t>j</w:t>
      </w:r>
      <w:r w:rsidR="007A4E05">
        <w:rPr>
          <w:rFonts w:ascii="ITC Avant Garde" w:hAnsi="ITC Avant Garde" w:cs="ITC Avant Garde"/>
          <w:color w:val="000000"/>
        </w:rPr>
        <w:t>unio</w:t>
      </w:r>
      <w:r w:rsidR="001A7275">
        <w:rPr>
          <w:rFonts w:ascii="Helvetica" w:hAnsi="Helvetica"/>
          <w:color w:val="000000"/>
          <w:sz w:val="21"/>
          <w:szCs w:val="21"/>
          <w:shd w:val="clear" w:color="auto" w:fill="FFFFFF"/>
        </w:rPr>
        <w:t xml:space="preserve"> </w:t>
      </w:r>
      <w:r w:rsidR="001A7275">
        <w:rPr>
          <w:rFonts w:ascii="ITC Avant Garde" w:hAnsi="ITC Avant Garde" w:cs="ITC Avant Garde"/>
          <w:color w:val="000000"/>
        </w:rPr>
        <w:t xml:space="preserve">de </w:t>
      </w:r>
      <w:r w:rsidR="007A4E05">
        <w:rPr>
          <w:rFonts w:ascii="ITC Avant Garde" w:hAnsi="ITC Avant Garde" w:cs="ITC Avant Garde"/>
          <w:color w:val="000000"/>
        </w:rPr>
        <w:t>2021</w:t>
      </w:r>
      <w:r w:rsidR="00124FE9">
        <w:rPr>
          <w:rFonts w:ascii="ITC Avant Garde" w:hAnsi="ITC Avant Garde" w:cs="ITC Avant Garde"/>
          <w:color w:val="000000"/>
        </w:rPr>
        <w:t xml:space="preserve">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A8247B">
        <w:rPr>
          <w:rFonts w:ascii="ITC Avant Garde" w:hAnsi="ITC Avant Garde" w:cs="ITC Avant Garde"/>
          <w:color w:val="000000"/>
        </w:rPr>
        <w:t xml:space="preserve"> </w:t>
      </w:r>
      <w:r w:rsidR="00124FE9" w:rsidRPr="007A5D7A">
        <w:rPr>
          <w:rFonts w:ascii="ITC Avant Garde" w:hAnsi="ITC Avant Garde" w:cs="ITC Avant Garde"/>
          <w:color w:val="000000"/>
        </w:rPr>
        <w:t>o bien, mediante escrito presentado en la Oficialía de Partes Común del Instituto ubicada en Insurgentes Sur 1143</w:t>
      </w:r>
      <w:r w:rsidR="005506E0">
        <w:rPr>
          <w:rFonts w:ascii="ITC Avant Garde" w:hAnsi="ITC Avant Garde" w:cs="ITC Avant Garde"/>
          <w:color w:val="000000"/>
        </w:rPr>
        <w:t>, colonia Nochebuena, Demarcación</w:t>
      </w:r>
      <w:r w:rsidR="00124FE9" w:rsidRPr="007A5D7A">
        <w:rPr>
          <w:rFonts w:ascii="ITC Avant Garde" w:hAnsi="ITC Avant Garde" w:cs="ITC Avant Garde"/>
          <w:color w:val="000000"/>
        </w:rPr>
        <w:t xml:space="preserve"> Benito Juárez, C.P. 03720, Ciudad de Méxic</w:t>
      </w:r>
      <w:r w:rsidR="00E53C1B">
        <w:rPr>
          <w:rFonts w:ascii="ITC Avant Garde" w:hAnsi="ITC Avant Garde" w:cs="ITC Avant Garde"/>
          <w:color w:val="000000"/>
        </w:rPr>
        <w:t>o.</w:t>
      </w:r>
    </w:p>
    <w:p w14:paraId="7FD1AAA6" w14:textId="77777777" w:rsidR="00E53C1B" w:rsidRDefault="00E53C1B" w:rsidP="007531A8">
      <w:pPr>
        <w:spacing w:after="0" w:line="276" w:lineRule="auto"/>
        <w:ind w:left="-6" w:hanging="11"/>
        <w:rPr>
          <w:rFonts w:ascii="ITC Avant Garde" w:hAnsi="ITC Avant Garde" w:cs="ITC Avant Garde"/>
          <w:color w:val="000000"/>
        </w:rPr>
      </w:pPr>
    </w:p>
    <w:p w14:paraId="573BAA7E" w14:textId="621CCE43" w:rsidR="003B63F4" w:rsidRDefault="003B63F4" w:rsidP="007531A8">
      <w:pPr>
        <w:spacing w:after="0"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2B057A9" w14:textId="5F417E4D" w:rsidR="003B63F4" w:rsidRDefault="003B63F4" w:rsidP="007531A8">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sidR="00557FC6">
        <w:rPr>
          <w:rFonts w:ascii="ITC Avant Garde" w:hAnsi="ITC Avant Garde" w:cs="ITC Avant Garde"/>
          <w:color w:val="000000"/>
        </w:rPr>
        <w:t>s</w:t>
      </w:r>
      <w:r>
        <w:rPr>
          <w:rFonts w:ascii="ITC Avant Garde" w:hAnsi="ITC Avant Garde" w:cs="ITC Avant Garde"/>
          <w:color w:val="000000"/>
        </w:rPr>
        <w:t xml:space="preserve"> </w:t>
      </w:r>
      <w:r w:rsidR="006F7ACA" w:rsidRPr="0053503B">
        <w:rPr>
          <w:rFonts w:ascii="ITC Avant Garde" w:hAnsi="ITC Avant Garde" w:cs="ITC Avant Garde"/>
          <w:bCs/>
          <w:color w:val="000000"/>
        </w:rPr>
        <w:t>Propuesta</w:t>
      </w:r>
      <w:r w:rsidR="001951DF">
        <w:rPr>
          <w:rFonts w:ascii="ITC Avant Garde" w:hAnsi="ITC Avant Garde" w:cs="ITC Avant Garde"/>
          <w:bCs/>
          <w:color w:val="000000"/>
        </w:rPr>
        <w:t>s</w:t>
      </w:r>
      <w:r w:rsidR="006F7ACA" w:rsidRPr="0053503B">
        <w:rPr>
          <w:rFonts w:ascii="ITC Avant Garde" w:hAnsi="ITC Avant Garde" w:cs="ITC Avant Garde"/>
          <w:bCs/>
          <w:color w:val="000000"/>
        </w:rPr>
        <w:t xml:space="preserve">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propuestas se </w:t>
      </w:r>
      <w:r w:rsidR="00320377">
        <w:rPr>
          <w:rFonts w:ascii="ITC Avant Garde" w:hAnsi="ITC Avant Garde" w:cs="ITC Avant Garde"/>
          <w:color w:val="000000"/>
        </w:rPr>
        <w:t>sometieron</w:t>
      </w:r>
      <w:r w:rsidRPr="003B63F4">
        <w:rPr>
          <w:rFonts w:ascii="ITC Avant Garde" w:hAnsi="ITC Avant Garde" w:cs="ITC Avant Garde"/>
          <w:color w:val="000000"/>
        </w:rPr>
        <w:t xml:space="preserve"> a consulta pública con base en lo establecido en</w:t>
      </w:r>
      <w:r w:rsidR="001A4EA4">
        <w:rPr>
          <w:rFonts w:ascii="ITC Avant Garde" w:hAnsi="ITC Avant Garde" w:cs="ITC Avant Garde"/>
          <w:color w:val="000000"/>
        </w:rPr>
        <w:t xml:space="preserve"> </w:t>
      </w:r>
      <w:r w:rsidR="001A4EA4" w:rsidRPr="001A4EA4">
        <w:rPr>
          <w:rFonts w:ascii="ITC Avant Garde" w:hAnsi="ITC Avant Garde" w:cs="ITC Avant Garde"/>
          <w:color w:val="000000"/>
        </w:rPr>
        <w:t>los artículos 1, 2, 7, 15, fracciones XL y LXIII, 51, 267, fracción I y 268 de la Ley Federal de Telecomunicac</w:t>
      </w:r>
      <w:r w:rsidR="001A4EA4">
        <w:rPr>
          <w:rFonts w:ascii="ITC Avant Garde" w:hAnsi="ITC Avant Garde" w:cs="ITC Avant Garde"/>
          <w:color w:val="000000"/>
        </w:rPr>
        <w:t>iones y Radiodifusión (en lo sucesivo, la “LFTR”); así como</w:t>
      </w:r>
      <w:r w:rsidR="001A4EA4" w:rsidRPr="001A4EA4">
        <w:rPr>
          <w:rFonts w:ascii="ITC Avant Garde" w:hAnsi="ITC Avant Garde" w:cs="ITC Avant Garde"/>
          <w:color w:val="000000"/>
        </w:rPr>
        <w:t> 1, 4, fracción I, 6, fracción XXXVIII y 25, fracción XI del Estatuto Orgánico del Instituto Federal de Telecomunicaciones</w:t>
      </w:r>
      <w:r w:rsidR="001A4EA4">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5D110C">
        <w:rPr>
          <w:rFonts w:ascii="ITC Avant Garde" w:hAnsi="ITC Avant Garde" w:cs="ITC Avant Garde"/>
          <w:i/>
          <w:color w:val="000000"/>
        </w:rPr>
        <w:t>Radiomóvil</w:t>
      </w:r>
      <w:proofErr w:type="spellEnd"/>
      <w:r w:rsidRPr="005D110C">
        <w:rPr>
          <w:rFonts w:ascii="ITC Avant Garde" w:hAnsi="ITC Avant Garde" w:cs="ITC Avant Garde"/>
          <w:i/>
          <w:color w:val="000000"/>
        </w:rPr>
        <w:t xml:space="preserve"> Dipsa, S.A.B. de C. V., Grupo Carso, S.A.B. de C.V., y Grupo Financiero Inbursa, S.A.B. de C.V., como Agente Económico Preponderante en el sector de telecomunicaciones y le impone las medidas necesarias para evitar que se afecte la competencia y la </w:t>
      </w:r>
      <w:r w:rsidRPr="005D110C">
        <w:rPr>
          <w:rFonts w:ascii="ITC Avant Garde" w:hAnsi="ITC Avant Garde" w:cs="ITC Avant Garde"/>
          <w:i/>
          <w:color w:val="000000"/>
        </w:rPr>
        <w:lastRenderedPageBreak/>
        <w:t>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establecido en la </w:t>
      </w:r>
      <w:r w:rsidRPr="005D110C">
        <w:rPr>
          <w:rFonts w:ascii="ITC Avant Garde" w:hAnsi="ITC Avant Garde" w:cs="ITC Avant Garde"/>
          <w:i/>
          <w:color w:val="000000"/>
        </w:rPr>
        <w:t>“</w:t>
      </w:r>
      <w:r w:rsidR="003F45BE" w:rsidRPr="003F45BE">
        <w:rPr>
          <w:rFonts w:ascii="ITC Avant Garde" w:hAnsi="ITC Avant Garde" w:cs="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5D110C">
        <w:rPr>
          <w:rFonts w:ascii="ITC Avant Garde" w:hAnsi="ITC Avant Garde" w:cs="ITC Avant Garde"/>
          <w:i/>
          <w:color w:val="000000"/>
        </w:rPr>
        <w:t>”</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w:t>
      </w:r>
      <w:r w:rsidR="000E4FAB">
        <w:rPr>
          <w:rFonts w:ascii="ITC Avant Garde" w:hAnsi="ITC Avant Garde" w:cs="ITC Avant Garde"/>
          <w:color w:val="000000"/>
        </w:rPr>
        <w:t xml:space="preserve">te acuerdo </w:t>
      </w:r>
      <w:r w:rsidR="003F45BE" w:rsidRPr="003F45BE">
        <w:rPr>
          <w:rFonts w:ascii="ITC Avant Garde" w:hAnsi="ITC Avant Garde" w:cs="ITC Avant Garde"/>
          <w:color w:val="000000"/>
        </w:rPr>
        <w:t>P/IFT/021220/488</w:t>
      </w:r>
      <w:r w:rsidR="000E4FAB">
        <w:rPr>
          <w:rFonts w:ascii="ITC Avant Garde" w:hAnsi="ITC Avant Garde" w:cs="ITC Avant Garde"/>
          <w:color w:val="000000"/>
        </w:rPr>
        <w:t>.</w:t>
      </w:r>
    </w:p>
    <w:p w14:paraId="13FDFE7F" w14:textId="77777777" w:rsidR="00E53C1B" w:rsidRDefault="00E53C1B" w:rsidP="007531A8">
      <w:pPr>
        <w:spacing w:after="0" w:line="276" w:lineRule="auto"/>
        <w:ind w:left="-6" w:hanging="11"/>
        <w:rPr>
          <w:rFonts w:ascii="ITC Avant Garde" w:hAnsi="ITC Avant Garde" w:cs="ITC Avant Garde"/>
          <w:color w:val="000000"/>
        </w:rPr>
      </w:pPr>
    </w:p>
    <w:p w14:paraId="4B4A11B6" w14:textId="53D39C3A" w:rsidR="002173A0" w:rsidRDefault="00C27606" w:rsidP="007531A8">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En virtud de lo anterior, la consulta pública tiene el objetivo de contar con mayores elementos que le permitan al Instituto determinar las condiciones bajo las cuales se deberán aprobar los Convenios Marco de Interconexión del Agente Económico Preponderant</w:t>
      </w:r>
      <w:r w:rsidR="009A615A">
        <w:rPr>
          <w:rFonts w:ascii="ITC Avant Garde" w:hAnsi="ITC Avant Garde" w:cs="ITC Avant Garde"/>
          <w:color w:val="000000"/>
        </w:rPr>
        <w:t xml:space="preserve">e aplicables durante el año </w:t>
      </w:r>
      <w:r w:rsidR="00162601">
        <w:rPr>
          <w:rFonts w:ascii="ITC Avant Garde" w:hAnsi="ITC Avant Garde" w:cs="ITC Avant Garde"/>
          <w:color w:val="000000"/>
        </w:rPr>
        <w:t>2022</w:t>
      </w:r>
      <w:r w:rsidRPr="003B63F4">
        <w:rPr>
          <w:rFonts w:ascii="ITC Avant Garde" w:hAnsi="ITC Avant Garde" w:cs="ITC Avant Garde"/>
          <w:color w:val="000000"/>
        </w:rPr>
        <w:t>,</w:t>
      </w:r>
      <w:r w:rsidR="002173A0">
        <w:rPr>
          <w:rFonts w:ascii="ITC Avant Garde" w:hAnsi="ITC Avant Garde" w:cs="ITC Avant Garde"/>
          <w:color w:val="000000"/>
        </w:rPr>
        <w:t xml:space="preserve"> así como</w:t>
      </w:r>
      <w:r w:rsidRPr="003B63F4">
        <w:rPr>
          <w:rFonts w:ascii="ITC Avant Garde" w:hAnsi="ITC Avant Garde" w:cs="ITC Avant Garde"/>
          <w:color w:val="000000"/>
        </w:rPr>
        <w:t xml:space="preserve"> </w:t>
      </w:r>
      <w:r w:rsidR="002173A0" w:rsidRPr="002173A0">
        <w:rPr>
          <w:rFonts w:ascii="ITC Avant Garde" w:hAnsi="ITC Avant Garde" w:cs="ITC Avant Garde"/>
          <w:color w:val="000000"/>
        </w:rPr>
        <w:t>favorecer la transparencia y participación ciudadana con el fin de recibir los comentarios y opiniones de regulados, cámaras, usuarios y audiencias sobre los</w:t>
      </w:r>
      <w:r w:rsidR="002173A0">
        <w:rPr>
          <w:rFonts w:ascii="ITC Avant Garde" w:hAnsi="ITC Avant Garde" w:cs="ITC Avant Garde"/>
          <w:color w:val="000000"/>
        </w:rPr>
        <w:t xml:space="preserve"> Convenios de Interconexión; y </w:t>
      </w:r>
      <w:r w:rsidR="002173A0" w:rsidRPr="002173A0">
        <w:rPr>
          <w:rFonts w:ascii="ITC Avant Garde" w:hAnsi="ITC Avant Garde" w:cs="ITC Avant Garde"/>
          <w:color w:val="000000"/>
        </w:rPr>
        <w:t>establecer las bases para aprobar o modificar los mismos.</w:t>
      </w:r>
    </w:p>
    <w:p w14:paraId="64685551" w14:textId="77777777" w:rsidR="00E53C1B" w:rsidRDefault="00E53C1B" w:rsidP="007531A8">
      <w:pPr>
        <w:spacing w:after="0" w:line="276" w:lineRule="auto"/>
        <w:ind w:left="-6" w:hanging="11"/>
        <w:rPr>
          <w:rFonts w:ascii="ITC Avant Garde" w:hAnsi="ITC Avant Garde" w:cs="ITC Avant Garde"/>
          <w:color w:val="000000"/>
        </w:rPr>
      </w:pPr>
    </w:p>
    <w:p w14:paraId="48712C73" w14:textId="2B426BA4" w:rsidR="00024950" w:rsidRDefault="00024950" w:rsidP="007531A8">
      <w:pPr>
        <w:spacing w:after="0" w:line="276" w:lineRule="auto"/>
        <w:ind w:left="-5" w:hanging="10"/>
        <w:rPr>
          <w:rFonts w:ascii="ITC Avant Garde" w:hAnsi="ITC Avant Garde" w:cs="ITC Avant Garde"/>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2E284B72" w14:textId="77777777" w:rsidR="005506E0" w:rsidRDefault="005506E0" w:rsidP="007531A8">
      <w:pPr>
        <w:spacing w:after="0" w:line="276" w:lineRule="auto"/>
        <w:ind w:left="-5" w:hanging="10"/>
        <w:rPr>
          <w:rFonts w:ascii="ITC Avant Garde" w:hAnsi="ITC Avant Garde" w:cs="ITC Avant Garde"/>
          <w:b/>
          <w:color w:val="000000"/>
        </w:rPr>
      </w:pPr>
    </w:p>
    <w:p w14:paraId="4F12B402" w14:textId="119DF7D2" w:rsidR="003B63F4" w:rsidRDefault="007A7B89" w:rsidP="007531A8">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Participantes de la Consulta Pública:</w:t>
      </w:r>
    </w:p>
    <w:p w14:paraId="6BE93492" w14:textId="3926186C" w:rsidR="00AE7499" w:rsidRDefault="00AE7499" w:rsidP="007531A8">
      <w:pPr>
        <w:spacing w:after="0"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 xml:space="preserve">blica de mérito, se recibieron </w:t>
      </w:r>
      <w:r w:rsidR="005D4ABB">
        <w:rPr>
          <w:rFonts w:ascii="ITC Avant Garde" w:hAnsi="ITC Avant Garde" w:cs="ITC Avant Garde"/>
          <w:color w:val="000000"/>
        </w:rPr>
        <w:t>5</w:t>
      </w:r>
      <w:r w:rsidRPr="00E514A3">
        <w:rPr>
          <w:rFonts w:ascii="ITC Avant Garde" w:hAnsi="ITC Avant Garde" w:cs="ITC Avant Garde"/>
          <w:color w:val="000000"/>
        </w:rPr>
        <w:t xml:space="preserve"> participaciones</w:t>
      </w:r>
      <w:r w:rsidRPr="0053503B">
        <w:rPr>
          <w:rFonts w:ascii="ITC Avant Garde" w:hAnsi="ITC Avant Garde" w:cs="ITC Avant Garde"/>
          <w:color w:val="000000"/>
        </w:rPr>
        <w:t>, por parte de las siguientes personas morales:</w:t>
      </w:r>
    </w:p>
    <w:p w14:paraId="4A9A8839" w14:textId="77777777" w:rsidR="00E53C1B" w:rsidRPr="0053503B" w:rsidRDefault="00E53C1B" w:rsidP="007531A8">
      <w:pPr>
        <w:spacing w:after="0" w:line="276" w:lineRule="auto"/>
        <w:ind w:left="-5" w:hanging="10"/>
        <w:rPr>
          <w:rFonts w:ascii="ITC Avant Garde" w:hAnsi="ITC Avant Garde" w:cs="ITC Avant Garde"/>
          <w:color w:val="000000"/>
        </w:rPr>
      </w:pPr>
    </w:p>
    <w:p w14:paraId="51222142" w14:textId="3D059C3B" w:rsidR="00AE7499" w:rsidRPr="0079620F" w:rsidRDefault="00215955" w:rsidP="007531A8">
      <w:pPr>
        <w:pStyle w:val="ListBulletCompact"/>
        <w:numPr>
          <w:ilvl w:val="0"/>
          <w:numId w:val="12"/>
        </w:numPr>
        <w:spacing w:line="276" w:lineRule="auto"/>
        <w:rPr>
          <w:rFonts w:ascii="ITC Avant Garde" w:hAnsi="ITC Avant Garde"/>
          <w:lang w:val="es-ES"/>
        </w:rPr>
      </w:pPr>
      <w:r w:rsidRPr="0079620F">
        <w:rPr>
          <w:rFonts w:ascii="ITC Avant Garde" w:hAnsi="ITC Avant Garde" w:cs="ITC Avant Garde"/>
        </w:rPr>
        <w:t xml:space="preserve">AT&amp;T Comunicaciones Digitales, S. de R.L. de C.V., Grupo AT&amp;T </w:t>
      </w:r>
      <w:proofErr w:type="spellStart"/>
      <w:r w:rsidRPr="0079620F">
        <w:rPr>
          <w:rFonts w:ascii="ITC Avant Garde" w:hAnsi="ITC Avant Garde" w:cs="ITC Avant Garde"/>
        </w:rPr>
        <w:t>Celullar</w:t>
      </w:r>
      <w:proofErr w:type="spellEnd"/>
      <w:r w:rsidRPr="0079620F">
        <w:rPr>
          <w:rFonts w:ascii="ITC Avant Garde" w:hAnsi="ITC Avant Garde" w:cs="ITC Avant Garde"/>
        </w:rPr>
        <w:t>, S. de R.L. de C.V., AT&amp;T Norte, S. de R.L. de C.V., AT&amp;T Comercialización Móvil, S. de R.L. de C.V. y AT&amp;T Desarrollo en Comunicaciones de México, S. de R.L. de C.V. (en lo sucesivo conjuntamente, “AT&amp;T”)</w:t>
      </w:r>
    </w:p>
    <w:p w14:paraId="2562C874" w14:textId="45513B65" w:rsidR="00AE7499" w:rsidRPr="0079620F" w:rsidRDefault="00215955" w:rsidP="007531A8">
      <w:pPr>
        <w:pStyle w:val="Listaconvietas"/>
        <w:numPr>
          <w:ilvl w:val="0"/>
          <w:numId w:val="12"/>
        </w:numPr>
        <w:spacing w:after="0" w:line="276" w:lineRule="auto"/>
        <w:contextualSpacing w:val="0"/>
        <w:rPr>
          <w:rFonts w:ascii="ITC Avant Garde" w:hAnsi="ITC Avant Garde" w:cs="Times New Roman"/>
          <w:lang w:val="es-ES"/>
        </w:rPr>
      </w:pPr>
      <w:r w:rsidRPr="0079620F">
        <w:rPr>
          <w:rFonts w:ascii="ITC Avant Garde" w:hAnsi="ITC Avant Garde" w:cs="ITC Avant Garde"/>
        </w:rPr>
        <w:t xml:space="preserve">Cablevisión, S.A. de C.V., </w:t>
      </w:r>
      <w:proofErr w:type="spellStart"/>
      <w:r w:rsidRPr="0079620F">
        <w:rPr>
          <w:rFonts w:ascii="ITC Avant Garde" w:hAnsi="ITC Avant Garde" w:cs="ITC Avant Garde"/>
        </w:rPr>
        <w:t>Operbes</w:t>
      </w:r>
      <w:proofErr w:type="spellEnd"/>
      <w:r w:rsidRPr="0079620F">
        <w:rPr>
          <w:rFonts w:ascii="ITC Avant Garde" w:hAnsi="ITC Avant Garde" w:cs="ITC Avant Garde"/>
        </w:rPr>
        <w:t>, S.A. de C.V., Cablemás Telecomunicaciones, S.A. de C.V., México Red de Telecomunicaciones, S. de R.L. de C.V., Televisión Internacional, S.A. de C.V., Cablevisión Red, S.A. de C.V., y TV Cable de Oriente, S.A. de C.V. (en lo sucesivo, “</w:t>
      </w:r>
      <w:r w:rsidR="00D64353" w:rsidRPr="0079620F">
        <w:rPr>
          <w:rFonts w:ascii="ITC Avant Garde" w:hAnsi="ITC Avant Garde" w:cs="ITC Avant Garde"/>
        </w:rPr>
        <w:t xml:space="preserve">Grupo </w:t>
      </w:r>
      <w:r w:rsidRPr="0079620F">
        <w:rPr>
          <w:rFonts w:ascii="ITC Avant Garde" w:hAnsi="ITC Avant Garde" w:cs="ITC Avant Garde"/>
        </w:rPr>
        <w:t>Televisa”)</w:t>
      </w:r>
    </w:p>
    <w:p w14:paraId="59B0DE0F" w14:textId="0CF3043B" w:rsidR="00AE7499" w:rsidRPr="0079620F" w:rsidRDefault="00215955" w:rsidP="007531A8">
      <w:pPr>
        <w:pStyle w:val="Listaconvietas"/>
        <w:numPr>
          <w:ilvl w:val="0"/>
          <w:numId w:val="12"/>
        </w:numPr>
        <w:autoSpaceDE w:val="0"/>
        <w:autoSpaceDN w:val="0"/>
        <w:adjustRightInd w:val="0"/>
        <w:spacing w:after="0" w:line="276" w:lineRule="auto"/>
        <w:contextualSpacing w:val="0"/>
        <w:rPr>
          <w:rFonts w:ascii="ITC Avant Garde" w:hAnsi="ITC Avant Garde" w:cs="ITC Avant Garde"/>
        </w:rPr>
      </w:pPr>
      <w:r w:rsidRPr="0079620F">
        <w:rPr>
          <w:rFonts w:ascii="ITC Avant Garde" w:hAnsi="ITC Avant Garde" w:cs="Times New Roman"/>
          <w:lang w:val="es-ES"/>
        </w:rPr>
        <w:t>Cámara Nacional de la Industria Electrónica, de Telecomunicaciones y Tecnologías de la Información (en lo sucesivo, “CANIETI”)</w:t>
      </w:r>
    </w:p>
    <w:p w14:paraId="51922E96" w14:textId="149F5102" w:rsidR="00AE7499" w:rsidRPr="0079620F" w:rsidRDefault="00215955" w:rsidP="007531A8">
      <w:pPr>
        <w:pStyle w:val="Listaconvietas"/>
        <w:numPr>
          <w:ilvl w:val="0"/>
          <w:numId w:val="12"/>
        </w:numPr>
        <w:autoSpaceDE w:val="0"/>
        <w:autoSpaceDN w:val="0"/>
        <w:adjustRightInd w:val="0"/>
        <w:spacing w:after="0" w:line="276" w:lineRule="auto"/>
        <w:contextualSpacing w:val="0"/>
        <w:rPr>
          <w:rFonts w:ascii="ITC Avant Garde" w:hAnsi="ITC Avant Garde" w:cs="ITC Avant Garde"/>
        </w:rPr>
      </w:pPr>
      <w:r w:rsidRPr="0079620F">
        <w:rPr>
          <w:rFonts w:ascii="ITC Avant Garde" w:hAnsi="ITC Avant Garde"/>
          <w:lang w:val="es-ES"/>
        </w:rPr>
        <w:t>Mega Cable, S.A. de C.V. (en lo sucesivo, “Megacable”)</w:t>
      </w:r>
    </w:p>
    <w:p w14:paraId="01D0C414" w14:textId="77777777" w:rsidR="00215955" w:rsidRPr="0079620F" w:rsidRDefault="00215955" w:rsidP="007531A8">
      <w:pPr>
        <w:pStyle w:val="Listaconvietas"/>
        <w:numPr>
          <w:ilvl w:val="0"/>
          <w:numId w:val="12"/>
        </w:numPr>
        <w:autoSpaceDE w:val="0"/>
        <w:autoSpaceDN w:val="0"/>
        <w:adjustRightInd w:val="0"/>
        <w:spacing w:after="0" w:line="276" w:lineRule="auto"/>
        <w:contextualSpacing w:val="0"/>
        <w:rPr>
          <w:rFonts w:ascii="ITC Avant Garde" w:hAnsi="ITC Avant Garde"/>
        </w:rPr>
      </w:pPr>
      <w:r w:rsidRPr="0079620F">
        <w:rPr>
          <w:rFonts w:ascii="ITC Avant Garde" w:hAnsi="ITC Avant Garde"/>
        </w:rPr>
        <w:t>Pegaso PCS, S.A. de C.V. (en lo sucesivo, “Telefónica”)</w:t>
      </w:r>
    </w:p>
    <w:p w14:paraId="7EBBB534" w14:textId="50451699" w:rsidR="00AE7499" w:rsidRPr="0053503B" w:rsidRDefault="00AE7499" w:rsidP="007531A8">
      <w:pPr>
        <w:autoSpaceDE w:val="0"/>
        <w:autoSpaceDN w:val="0"/>
        <w:adjustRightInd w:val="0"/>
        <w:spacing w:after="0" w:line="276" w:lineRule="auto"/>
        <w:ind w:left="360"/>
        <w:rPr>
          <w:rFonts w:ascii="ITC Avant Garde" w:hAnsi="ITC Avant Garde" w:cs="ITC Avant Garde"/>
        </w:rPr>
      </w:pPr>
    </w:p>
    <w:p w14:paraId="260490B2" w14:textId="2C13363C" w:rsidR="00502BF7" w:rsidRPr="0053503B" w:rsidRDefault="00502BF7" w:rsidP="007531A8">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27F34FC7" w14:textId="69382ECD" w:rsidR="00AE7499" w:rsidRPr="0053503B" w:rsidRDefault="00AE7499" w:rsidP="007531A8">
      <w:pPr>
        <w:spacing w:after="0" w:line="276" w:lineRule="auto"/>
        <w:rPr>
          <w:rFonts w:ascii="ITC Avant Garde" w:hAnsi="ITC Avant Garde" w:cs="ITC Avant Garde"/>
        </w:rPr>
      </w:pPr>
      <w:r w:rsidRPr="0053503B">
        <w:rPr>
          <w:rFonts w:ascii="ITC Avant Garde" w:hAnsi="ITC Avant Garde" w:cs="ITC Avant Garde"/>
        </w:rPr>
        <w:t>Se señala que las presentes Respuestas Generales atiende</w:t>
      </w:r>
      <w:r w:rsidR="008B5C23">
        <w:rPr>
          <w:rFonts w:ascii="ITC Avant Garde" w:hAnsi="ITC Avant Garde" w:cs="ITC Avant Garde"/>
        </w:rPr>
        <w:t>n</w:t>
      </w:r>
      <w:r w:rsidRPr="0053503B">
        <w:rPr>
          <w:rFonts w:ascii="ITC Avant Garde" w:hAnsi="ITC Avant Garde" w:cs="ITC Avant Garde"/>
        </w:rPr>
        <w:t xml:space="preserve"> únicamente lo relacionado con las observaciones realizadas</w:t>
      </w:r>
      <w:r w:rsidR="004E29BF">
        <w:rPr>
          <w:rFonts w:ascii="ITC Avant Garde" w:hAnsi="ITC Avant Garde" w:cs="ITC Avant Garde"/>
        </w:rPr>
        <w:t xml:space="preserve"> por los concesionarios en la consulta p</w:t>
      </w:r>
      <w:r w:rsidRPr="0053503B">
        <w:rPr>
          <w:rFonts w:ascii="ITC Avant Garde" w:hAnsi="ITC Avant Garde" w:cs="ITC Avant Garde"/>
        </w:rPr>
        <w:t xml:space="preserve">ública referente a los asuntos relacionados con la Propuesta de Convenio Marco de Interconexión presentada por </w:t>
      </w:r>
      <w:r w:rsidR="00D64353">
        <w:rPr>
          <w:rFonts w:ascii="ITC Avant Garde" w:hAnsi="ITC Avant Garde" w:cs="ITC Avant Garde"/>
        </w:rPr>
        <w:t xml:space="preserve">el Agente Económico Preponderante en el </w:t>
      </w:r>
      <w:r w:rsidR="00292B53">
        <w:rPr>
          <w:rFonts w:ascii="ITC Avant Garde" w:hAnsi="ITC Avant Garde" w:cs="ITC Avant Garde"/>
        </w:rPr>
        <w:t>Sector</w:t>
      </w:r>
      <w:r w:rsidR="00D64353">
        <w:rPr>
          <w:rFonts w:ascii="ITC Avant Garde" w:hAnsi="ITC Avant Garde" w:cs="ITC Avant Garde"/>
        </w:rPr>
        <w:t xml:space="preserve"> de las Telecomunicaciones Fijas (en lo sucesivo, el “AEP”)</w:t>
      </w:r>
      <w:r w:rsidRPr="0053503B">
        <w:rPr>
          <w:rFonts w:ascii="ITC Avant Garde" w:hAnsi="ITC Avant Garde" w:cs="ITC Avant Garde"/>
        </w:rPr>
        <w:t>.</w:t>
      </w:r>
    </w:p>
    <w:p w14:paraId="3C485B77" w14:textId="77777777" w:rsidR="00AE7499" w:rsidRPr="0053503B" w:rsidRDefault="00AE7499" w:rsidP="007531A8">
      <w:pPr>
        <w:spacing w:after="0" w:line="276" w:lineRule="auto"/>
        <w:ind w:left="10"/>
        <w:rPr>
          <w:rFonts w:ascii="ITC Avant Garde" w:hAnsi="ITC Avant Garde"/>
        </w:rPr>
      </w:pPr>
    </w:p>
    <w:p w14:paraId="3EE9AA5D" w14:textId="1CEB9206" w:rsidR="00AE7499" w:rsidRDefault="00AE7499" w:rsidP="007531A8">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 xml:space="preserve">Por lo anterior, el Instituto emite las siguientes respuestas y consideraciones para cada una de las participaciones recibidas:  </w:t>
      </w:r>
    </w:p>
    <w:p w14:paraId="1A071634" w14:textId="77777777" w:rsidR="00962266" w:rsidRDefault="00962266" w:rsidP="007531A8">
      <w:pPr>
        <w:spacing w:after="0" w:line="276" w:lineRule="auto"/>
        <w:ind w:left="-5"/>
        <w:rPr>
          <w:rFonts w:ascii="ITC Avant Garde" w:eastAsia="Avant Garde" w:hAnsi="ITC Avant Garde" w:cs="Avant Garde"/>
          <w:color w:val="000000"/>
          <w:lang w:eastAsia="es-MX"/>
        </w:rPr>
      </w:pPr>
    </w:p>
    <w:p w14:paraId="0CFF8637" w14:textId="0C5307A9" w:rsidR="00962266" w:rsidRPr="005409CB" w:rsidRDefault="005409CB" w:rsidP="007531A8">
      <w:pPr>
        <w:spacing w:after="0" w:line="276" w:lineRule="auto"/>
        <w:rPr>
          <w:rFonts w:ascii="ITC Avant Garde" w:hAnsi="ITC Avant Garde"/>
          <w:b/>
        </w:rPr>
      </w:pPr>
      <w:r w:rsidRPr="005409CB">
        <w:rPr>
          <w:rFonts w:ascii="ITC Avant Garde" w:hAnsi="ITC Avant Garde"/>
          <w:b/>
        </w:rPr>
        <w:t>CONVENIO MARCO DE INTERCONEXIÓN</w:t>
      </w:r>
    </w:p>
    <w:p w14:paraId="7114FB44" w14:textId="77777777" w:rsidR="005409CB" w:rsidRDefault="005409CB" w:rsidP="007531A8">
      <w:pPr>
        <w:spacing w:after="0" w:line="276" w:lineRule="auto"/>
        <w:rPr>
          <w:rFonts w:ascii="ITC Avant Garde" w:hAnsi="ITC Avant Garde"/>
          <w:b/>
          <w:u w:val="single"/>
        </w:rPr>
      </w:pPr>
    </w:p>
    <w:p w14:paraId="43428009" w14:textId="6936A997" w:rsidR="005409CB" w:rsidRDefault="005409CB" w:rsidP="007531A8">
      <w:pPr>
        <w:spacing w:after="0" w:line="276" w:lineRule="auto"/>
        <w:rPr>
          <w:rFonts w:ascii="ITC Avant Garde" w:hAnsi="ITC Avant Garde"/>
          <w:b/>
          <w:u w:val="single"/>
        </w:rPr>
      </w:pPr>
      <w:r w:rsidRPr="005409CB">
        <w:rPr>
          <w:rFonts w:ascii="ITC Avant Garde" w:hAnsi="ITC Avant Garde"/>
          <w:b/>
          <w:u w:val="single"/>
        </w:rPr>
        <w:t>CLÁUSULA PRIMERA DEFINICIONES</w:t>
      </w:r>
    </w:p>
    <w:p w14:paraId="601DCF61" w14:textId="1AD0470D" w:rsidR="00AE7499" w:rsidRPr="005409CB" w:rsidRDefault="005409CB" w:rsidP="007531A8">
      <w:pPr>
        <w:spacing w:after="0" w:line="276" w:lineRule="auto"/>
        <w:rPr>
          <w:rFonts w:ascii="ITC Avant Garde" w:hAnsi="ITC Avant Garde"/>
          <w:b/>
          <w:u w:val="single"/>
        </w:rPr>
      </w:pPr>
      <w:r w:rsidRPr="005409CB">
        <w:rPr>
          <w:rFonts w:ascii="ITC Avant Garde" w:hAnsi="ITC Avant Garde"/>
          <w:b/>
          <w:u w:val="single"/>
        </w:rPr>
        <w:t xml:space="preserve"> </w:t>
      </w:r>
    </w:p>
    <w:p w14:paraId="44ECDC91" w14:textId="146460EB" w:rsidR="00D64353" w:rsidRPr="005409CB" w:rsidRDefault="00D64353" w:rsidP="007531A8">
      <w:pPr>
        <w:spacing w:after="0" w:line="276" w:lineRule="auto"/>
        <w:rPr>
          <w:rFonts w:ascii="ITC Avant Garde" w:hAnsi="ITC Avant Garde"/>
          <w:b/>
        </w:rPr>
      </w:pPr>
      <w:r w:rsidRPr="005409CB">
        <w:rPr>
          <w:rFonts w:ascii="ITC Avant Garde" w:hAnsi="ITC Avant Garde"/>
          <w:b/>
        </w:rPr>
        <w:t xml:space="preserve">CANIETI, </w:t>
      </w:r>
      <w:r w:rsidR="0018725C" w:rsidRPr="005409CB">
        <w:rPr>
          <w:rFonts w:ascii="ITC Avant Garde" w:hAnsi="ITC Avant Garde"/>
          <w:b/>
        </w:rPr>
        <w:t xml:space="preserve">Grupo Televisa y Telefónica </w:t>
      </w:r>
    </w:p>
    <w:p w14:paraId="3621BB40" w14:textId="77777777" w:rsidR="00D64353" w:rsidRDefault="00D64353" w:rsidP="007531A8">
      <w:pPr>
        <w:spacing w:after="0" w:line="276" w:lineRule="auto"/>
        <w:rPr>
          <w:rFonts w:ascii="ITC Avant Garde" w:hAnsi="ITC Avant Garde"/>
        </w:rPr>
      </w:pPr>
      <w:r w:rsidRPr="00570E9E">
        <w:rPr>
          <w:rFonts w:ascii="ITC Avant Garde" w:hAnsi="ITC Avant Garde"/>
        </w:rPr>
        <w:t xml:space="preserve">Solicitan adicionar </w:t>
      </w:r>
      <w:r>
        <w:rPr>
          <w:rFonts w:ascii="ITC Avant Garde" w:hAnsi="ITC Avant Garde"/>
        </w:rPr>
        <w:t>dentro de la definición de “Servicios de Interconexión”</w:t>
      </w:r>
      <w:r w:rsidRPr="00570E9E">
        <w:rPr>
          <w:rFonts w:ascii="ITC Avant Garde" w:hAnsi="ITC Avant Garde"/>
        </w:rPr>
        <w:t>, el siguiente párrafo con el fin de armonizar con</w:t>
      </w:r>
      <w:r>
        <w:rPr>
          <w:rFonts w:ascii="ITC Avant Garde" w:hAnsi="ITC Avant Garde"/>
        </w:rPr>
        <w:t>forme al artículo 133 de la LFT</w:t>
      </w:r>
      <w:r w:rsidRPr="00570E9E">
        <w:rPr>
          <w:rFonts w:ascii="ITC Avant Garde" w:hAnsi="ITC Avant Garde"/>
        </w:rPr>
        <w:t>R:</w:t>
      </w:r>
    </w:p>
    <w:p w14:paraId="47195CF1" w14:textId="77777777" w:rsidR="00D64353" w:rsidRPr="00570E9E" w:rsidRDefault="00D64353" w:rsidP="007531A8">
      <w:pPr>
        <w:spacing w:after="0" w:line="276" w:lineRule="auto"/>
        <w:rPr>
          <w:rFonts w:ascii="ITC Avant Garde" w:hAnsi="ITC Avant Garde"/>
        </w:rPr>
      </w:pPr>
    </w:p>
    <w:p w14:paraId="330F6976" w14:textId="77777777" w:rsidR="00D64353" w:rsidRDefault="00D64353" w:rsidP="007531A8">
      <w:pPr>
        <w:spacing w:after="0" w:line="276" w:lineRule="auto"/>
        <w:ind w:left="629" w:right="556" w:hanging="11"/>
        <w:rPr>
          <w:rFonts w:ascii="ITC Avant Garde" w:hAnsi="ITC Avant Garde"/>
          <w:i/>
          <w:sz w:val="18"/>
          <w:szCs w:val="18"/>
        </w:rPr>
      </w:pPr>
      <w:r w:rsidRPr="001401CB">
        <w:rPr>
          <w:rFonts w:ascii="ITC Avant Garde" w:hAnsi="ITC Avant Garde"/>
          <w:i/>
          <w:sz w:val="18"/>
          <w:szCs w:val="18"/>
        </w:rPr>
        <w:t>“Todos los servicios de interconexión serán obligatorios para el agente económico preponderante, mientras que sólo los servicios de conducción de tráfico, enlaces de transmisión, puertos de acceso y señalización, serán obligatorios para el resto de los concesionarios”</w:t>
      </w:r>
    </w:p>
    <w:p w14:paraId="6A10F6D5" w14:textId="78C99992" w:rsidR="003651AD" w:rsidRDefault="003651AD" w:rsidP="007531A8">
      <w:pPr>
        <w:spacing w:after="0" w:line="276" w:lineRule="auto"/>
        <w:ind w:right="49"/>
        <w:rPr>
          <w:rFonts w:ascii="ITC Avant Garde" w:hAnsi="ITC Avant Garde" w:cs="Arial"/>
          <w:lang w:eastAsia="es-MX"/>
        </w:rPr>
      </w:pPr>
    </w:p>
    <w:p w14:paraId="7FBA8B12" w14:textId="77777777" w:rsidR="00B345CC" w:rsidRDefault="00B345CC" w:rsidP="007531A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 Cable y Telefónica</w:t>
      </w:r>
    </w:p>
    <w:p w14:paraId="7AAFBFBB" w14:textId="77777777" w:rsidR="00B345CC" w:rsidRDefault="00B345CC" w:rsidP="007531A8">
      <w:pPr>
        <w:spacing w:after="0" w:line="276" w:lineRule="auto"/>
        <w:rPr>
          <w:rFonts w:ascii="ITC Avant Garde" w:hAnsi="ITC Avant Garde"/>
        </w:rPr>
      </w:pPr>
      <w:r w:rsidRPr="00C84042">
        <w:rPr>
          <w:rFonts w:ascii="ITC Avant Garde" w:hAnsi="ITC Avant Garde"/>
        </w:rPr>
        <w:t>Sugiere</w:t>
      </w:r>
      <w:r>
        <w:rPr>
          <w:rFonts w:ascii="ITC Avant Garde" w:hAnsi="ITC Avant Garde"/>
        </w:rPr>
        <w:t>n mantener las definiciones de “Interconexión” y “Punto de Interconexión”</w:t>
      </w:r>
      <w:r w:rsidRPr="00C84042">
        <w:rPr>
          <w:rFonts w:ascii="ITC Avant Garde" w:hAnsi="ITC Avant Garde"/>
        </w:rPr>
        <w:t xml:space="preserve"> del CMI vigente </w:t>
      </w:r>
      <w:r>
        <w:rPr>
          <w:rFonts w:ascii="ITC Avant Garde" w:hAnsi="ITC Avant Garde"/>
        </w:rPr>
        <w:t>y</w:t>
      </w:r>
      <w:r w:rsidRPr="00C84042">
        <w:rPr>
          <w:rFonts w:ascii="ITC Avant Garde" w:hAnsi="ITC Avant Garde"/>
        </w:rPr>
        <w:t xml:space="preserve"> </w:t>
      </w:r>
      <w:r>
        <w:rPr>
          <w:rFonts w:ascii="ITC Avant Garde" w:hAnsi="ITC Avant Garde"/>
        </w:rPr>
        <w:t>acorde a las definiciones previstas en la LFTR, manteniendo el término “virtual”.</w:t>
      </w:r>
    </w:p>
    <w:p w14:paraId="435B6577" w14:textId="77777777" w:rsidR="00B345CC" w:rsidRDefault="00B345CC" w:rsidP="007531A8">
      <w:pPr>
        <w:spacing w:after="0" w:line="276" w:lineRule="auto"/>
        <w:rPr>
          <w:rFonts w:ascii="ITC Avant Garde" w:hAnsi="ITC Avant Garde"/>
          <w:b/>
        </w:rPr>
      </w:pPr>
    </w:p>
    <w:p w14:paraId="21E6013A" w14:textId="77777777" w:rsidR="004D336F" w:rsidRDefault="004D336F" w:rsidP="007531A8">
      <w:pPr>
        <w:spacing w:after="0" w:line="276" w:lineRule="auto"/>
        <w:rPr>
          <w:rFonts w:ascii="ITC Avant Garde" w:hAnsi="ITC Avant Garde"/>
          <w:b/>
          <w:bCs/>
        </w:rPr>
      </w:pPr>
      <w:r>
        <w:rPr>
          <w:rFonts w:ascii="ITC Avant Garde" w:hAnsi="ITC Avant Garde"/>
          <w:b/>
          <w:bCs/>
        </w:rPr>
        <w:t>Mega Cable</w:t>
      </w:r>
    </w:p>
    <w:p w14:paraId="4DBEDF3E" w14:textId="6EF249D1" w:rsidR="004D336F" w:rsidRDefault="004D336F" w:rsidP="007531A8">
      <w:pPr>
        <w:spacing w:after="0" w:line="276" w:lineRule="auto"/>
        <w:rPr>
          <w:rFonts w:ascii="ITC Avant Garde" w:hAnsi="ITC Avant Garde"/>
        </w:rPr>
      </w:pPr>
      <w:r>
        <w:rPr>
          <w:rFonts w:ascii="ITC Avant Garde" w:hAnsi="ITC Avant Garde"/>
        </w:rPr>
        <w:t>Señala que la r</w:t>
      </w:r>
      <w:r w:rsidRPr="00745D55">
        <w:rPr>
          <w:rFonts w:ascii="ITC Avant Garde" w:hAnsi="ITC Avant Garde"/>
        </w:rPr>
        <w:t xml:space="preserve">edacción de la definición de </w:t>
      </w:r>
      <w:r>
        <w:rPr>
          <w:rFonts w:ascii="ITC Avant Garde" w:hAnsi="ITC Avant Garde"/>
        </w:rPr>
        <w:t>“</w:t>
      </w:r>
      <w:r w:rsidRPr="00745D55">
        <w:rPr>
          <w:rFonts w:ascii="ITC Avant Garde" w:hAnsi="ITC Avant Garde"/>
        </w:rPr>
        <w:t>Servicios de Interconexión</w:t>
      </w:r>
      <w:r>
        <w:rPr>
          <w:rFonts w:ascii="ITC Avant Garde" w:hAnsi="ITC Avant Garde"/>
        </w:rPr>
        <w:t>”</w:t>
      </w:r>
      <w:r w:rsidRPr="00745D55">
        <w:rPr>
          <w:rFonts w:ascii="ITC Avant Garde" w:hAnsi="ITC Avant Garde"/>
        </w:rPr>
        <w:t xml:space="preserve"> está en forma de párrafo, generando confusión sobre los servicios de interconexión que el AEP está obligado a prestar conforme a la Ley.</w:t>
      </w:r>
      <w:r>
        <w:rPr>
          <w:rFonts w:ascii="ITC Avant Garde" w:hAnsi="ITC Avant Garde"/>
        </w:rPr>
        <w:t xml:space="preserve"> </w:t>
      </w:r>
      <w:r w:rsidRPr="00745D55">
        <w:rPr>
          <w:rFonts w:ascii="ITC Avant Garde" w:hAnsi="ITC Avant Garde"/>
        </w:rPr>
        <w:t>Sugiere que se utilice una redacción en forma de listado como está previsto en el artículo 127 de la Ley y el Plan de Interconexión</w:t>
      </w:r>
      <w:r w:rsidR="00233859">
        <w:rPr>
          <w:rFonts w:ascii="ITC Avant Garde" w:hAnsi="ITC Avant Garde"/>
        </w:rPr>
        <w:t>.</w:t>
      </w:r>
    </w:p>
    <w:p w14:paraId="1131D5A4" w14:textId="77777777" w:rsidR="004D336F" w:rsidRPr="00745D55" w:rsidRDefault="004D336F" w:rsidP="007531A8">
      <w:pPr>
        <w:spacing w:after="0" w:line="276" w:lineRule="auto"/>
        <w:rPr>
          <w:rFonts w:ascii="ITC Avant Garde" w:hAnsi="ITC Avant Garde"/>
        </w:rPr>
      </w:pPr>
    </w:p>
    <w:p w14:paraId="290C5192" w14:textId="77777777" w:rsidR="005E369D" w:rsidRPr="005E369D" w:rsidRDefault="005E369D" w:rsidP="007531A8">
      <w:pPr>
        <w:spacing w:after="0" w:line="276" w:lineRule="auto"/>
        <w:rPr>
          <w:rFonts w:ascii="ITC Avant Garde" w:hAnsi="ITC Avant Garde"/>
          <w:b/>
        </w:rPr>
      </w:pPr>
      <w:r w:rsidRPr="005E369D">
        <w:rPr>
          <w:rFonts w:ascii="ITC Avant Garde" w:hAnsi="ITC Avant Garde"/>
          <w:b/>
        </w:rPr>
        <w:t xml:space="preserve">Consideraciones del Instituto </w:t>
      </w:r>
    </w:p>
    <w:p w14:paraId="370AD007" w14:textId="30BA716F" w:rsidR="000906EE" w:rsidRPr="000906EE" w:rsidRDefault="00B345CC" w:rsidP="007531A8">
      <w:pPr>
        <w:spacing w:after="0" w:line="276" w:lineRule="auto"/>
        <w:ind w:right="49" w:hanging="11"/>
        <w:rPr>
          <w:rFonts w:ascii="ITC Avant Garde" w:hAnsi="ITC Avant Garde"/>
          <w:sz w:val="18"/>
          <w:szCs w:val="18"/>
        </w:rPr>
      </w:pPr>
      <w:r>
        <w:rPr>
          <w:rFonts w:ascii="ITC Avant Garde" w:hAnsi="ITC Avant Garde"/>
        </w:rPr>
        <w:t>Las</w:t>
      </w:r>
      <w:r w:rsidR="00292B53">
        <w:rPr>
          <w:rFonts w:ascii="ITC Avant Garde" w:hAnsi="ITC Avant Garde"/>
        </w:rPr>
        <w:t xml:space="preserve"> definici</w:t>
      </w:r>
      <w:r>
        <w:rPr>
          <w:rFonts w:ascii="ITC Avant Garde" w:hAnsi="ITC Avant Garde"/>
        </w:rPr>
        <w:t>ones</w:t>
      </w:r>
      <w:r w:rsidR="00292B53">
        <w:rPr>
          <w:rFonts w:ascii="ITC Avant Garde" w:hAnsi="ITC Avant Garde"/>
        </w:rPr>
        <w:t xml:space="preserve"> de </w:t>
      </w:r>
      <w:r>
        <w:rPr>
          <w:rFonts w:ascii="ITC Avant Garde" w:hAnsi="ITC Avant Garde"/>
        </w:rPr>
        <w:t>“Interconexión”, “Punto de Interconexión” y “Servicios de Interconexión” son</w:t>
      </w:r>
      <w:r w:rsidR="00292B53">
        <w:rPr>
          <w:rFonts w:ascii="ITC Avant Garde" w:hAnsi="ITC Avant Garde"/>
        </w:rPr>
        <w:t xml:space="preserve"> consistente</w:t>
      </w:r>
      <w:r>
        <w:rPr>
          <w:rFonts w:ascii="ITC Avant Garde" w:hAnsi="ITC Avant Garde"/>
        </w:rPr>
        <w:t>s</w:t>
      </w:r>
      <w:r w:rsidR="00292B53">
        <w:rPr>
          <w:rFonts w:ascii="ITC Avant Garde" w:hAnsi="ITC Avant Garde"/>
        </w:rPr>
        <w:t xml:space="preserve"> con el marco regulatorio vigente y las obligaciones del Agente Económico Preponderante están establecidas en la Ley Federal de Telecomunicaciones y Radiodifusión (LFTR) y las Medidas correspondientes</w:t>
      </w:r>
      <w:r>
        <w:rPr>
          <w:rFonts w:ascii="ITC Avant Garde" w:hAnsi="ITC Avant Garde"/>
        </w:rPr>
        <w:t>, por lo que</w:t>
      </w:r>
      <w:r w:rsidR="00292B53">
        <w:rPr>
          <w:rFonts w:ascii="ITC Avant Garde" w:hAnsi="ITC Avant Garde"/>
        </w:rPr>
        <w:t xml:space="preserve"> no se considera necesario realizar la</w:t>
      </w:r>
      <w:r>
        <w:rPr>
          <w:rFonts w:ascii="ITC Avant Garde" w:hAnsi="ITC Avant Garde"/>
        </w:rPr>
        <w:t xml:space="preserve">s presiones </w:t>
      </w:r>
      <w:r w:rsidR="00292B53">
        <w:rPr>
          <w:rFonts w:ascii="ITC Avant Garde" w:hAnsi="ITC Avant Garde"/>
        </w:rPr>
        <w:t>solicitada</w:t>
      </w:r>
      <w:r>
        <w:rPr>
          <w:rFonts w:ascii="ITC Avant Garde" w:hAnsi="ITC Avant Garde"/>
        </w:rPr>
        <w:t>s</w:t>
      </w:r>
      <w:r w:rsidR="00292B53">
        <w:rPr>
          <w:rFonts w:ascii="ITC Avant Garde" w:hAnsi="ITC Avant Garde"/>
        </w:rPr>
        <w:t>.</w:t>
      </w:r>
    </w:p>
    <w:p w14:paraId="09BD4797" w14:textId="2B6868AF" w:rsidR="00292B53" w:rsidRDefault="00292B53" w:rsidP="007531A8">
      <w:pPr>
        <w:spacing w:after="0" w:line="276" w:lineRule="auto"/>
        <w:rPr>
          <w:rFonts w:ascii="ITC Avant Garde" w:eastAsia="Avant Garde" w:hAnsi="ITC Avant Garde" w:cs="Avant Garde"/>
          <w:b/>
          <w:color w:val="000000"/>
          <w:lang w:eastAsia="es-MX"/>
        </w:rPr>
      </w:pPr>
    </w:p>
    <w:p w14:paraId="5E13141A" w14:textId="16EA6B65" w:rsidR="00745D55" w:rsidRDefault="0018725C" w:rsidP="007531A8">
      <w:pPr>
        <w:spacing w:after="0" w:line="276" w:lineRule="auto"/>
        <w:rPr>
          <w:rFonts w:ascii="ITC Avant Garde" w:hAnsi="ITC Avant Garde"/>
          <w:b/>
          <w:bCs/>
        </w:rPr>
      </w:pPr>
      <w:r>
        <w:rPr>
          <w:rFonts w:ascii="ITC Avant Garde" w:hAnsi="ITC Avant Garde"/>
          <w:b/>
          <w:bCs/>
        </w:rPr>
        <w:t>Mega Cable</w:t>
      </w:r>
    </w:p>
    <w:p w14:paraId="59200DDE" w14:textId="584F99A3" w:rsidR="00745D55" w:rsidRPr="00745D55" w:rsidRDefault="00745D55" w:rsidP="007531A8">
      <w:pPr>
        <w:spacing w:after="0" w:line="276" w:lineRule="auto"/>
        <w:ind w:right="49"/>
        <w:rPr>
          <w:rFonts w:ascii="ITC Avant Garde" w:eastAsia="Avant Garde" w:hAnsi="ITC Avant Garde" w:cs="Avant Garde"/>
          <w:color w:val="000000"/>
          <w:lang w:eastAsia="es-MX"/>
        </w:rPr>
      </w:pPr>
      <w:r w:rsidRPr="00745D55">
        <w:rPr>
          <w:rFonts w:ascii="ITC Avant Garde" w:eastAsia="Avant Garde" w:hAnsi="ITC Avant Garde" w:cs="Avant Garde"/>
          <w:color w:val="000000"/>
          <w:lang w:eastAsia="es-MX"/>
        </w:rPr>
        <w:t xml:space="preserve">Señala que se deben de eliminar definiciones que no tienen una referencia u otro uso en el CMI propuesto, tal es el caso de las definiciones de: </w:t>
      </w:r>
      <w:proofErr w:type="spellStart"/>
      <w:r w:rsidR="00E84D47">
        <w:rPr>
          <w:rFonts w:ascii="ITC Avant Garde" w:eastAsia="Avant Garde" w:hAnsi="ITC Avant Garde" w:cs="Avant Garde"/>
          <w:color w:val="000000"/>
          <w:lang w:eastAsia="es-MX"/>
        </w:rPr>
        <w:t>o</w:t>
      </w:r>
      <w:r w:rsidRPr="00745D55">
        <w:rPr>
          <w:rFonts w:ascii="ITC Avant Garde" w:eastAsia="Avant Garde" w:hAnsi="ITC Avant Garde" w:cs="Avant Garde"/>
          <w:color w:val="000000"/>
          <w:lang w:eastAsia="es-MX"/>
        </w:rPr>
        <w:t>riginación</w:t>
      </w:r>
      <w:proofErr w:type="spellEnd"/>
      <w:r w:rsidRPr="00745D55">
        <w:rPr>
          <w:rFonts w:ascii="ITC Avant Garde" w:eastAsia="Avant Garde" w:hAnsi="ITC Avant Garde" w:cs="Avant Garde"/>
          <w:color w:val="000000"/>
          <w:lang w:eastAsia="es-MX"/>
        </w:rPr>
        <w:t xml:space="preserve"> de Tráfico, Plan de Numeración, Plan de Separación Funcional, Plan de Señalización. Plan de Interconexión, Servicio de Facturación y Cobranza y Usuario Final, las cuales están previstas en la Ley y otra normativa aplicabl</w:t>
      </w:r>
      <w:r w:rsidR="004D336F">
        <w:rPr>
          <w:rFonts w:ascii="ITC Avant Garde" w:eastAsia="Avant Garde" w:hAnsi="ITC Avant Garde" w:cs="Avant Garde"/>
          <w:color w:val="000000"/>
          <w:lang w:eastAsia="es-MX"/>
        </w:rPr>
        <w:t xml:space="preserve">e. Asimismo, sugiere se incorporen las </w:t>
      </w:r>
      <w:r w:rsidRPr="00745D55">
        <w:rPr>
          <w:rFonts w:ascii="ITC Avant Garde" w:eastAsia="Avant Garde" w:hAnsi="ITC Avant Garde" w:cs="Avant Garde"/>
          <w:color w:val="000000"/>
          <w:lang w:eastAsia="es-MX"/>
        </w:rPr>
        <w:lastRenderedPageBreak/>
        <w:t>definiciones</w:t>
      </w:r>
      <w:r w:rsidR="004D336F">
        <w:rPr>
          <w:rFonts w:ascii="ITC Avant Garde" w:eastAsia="Avant Garde" w:hAnsi="ITC Avant Garde" w:cs="Avant Garde"/>
          <w:color w:val="000000"/>
          <w:lang w:eastAsia="es-MX"/>
        </w:rPr>
        <w:t xml:space="preserve"> </w:t>
      </w:r>
      <w:r w:rsidR="004D336F" w:rsidRPr="004D336F">
        <w:rPr>
          <w:rFonts w:ascii="ITC Avant Garde" w:eastAsia="Avant Garde" w:hAnsi="ITC Avant Garde" w:cs="Avant Garde"/>
          <w:color w:val="000000"/>
          <w:lang w:eastAsia="es-MX"/>
        </w:rPr>
        <w:t>Sistema Electrónico de Gestión y sistema Electrónico de Solicitudes de Interconexión</w:t>
      </w:r>
      <w:r w:rsidR="004D336F">
        <w:rPr>
          <w:rFonts w:ascii="ITC Avant Garde" w:eastAsia="Avant Garde" w:hAnsi="ITC Avant Garde" w:cs="Avant Garde"/>
          <w:color w:val="000000"/>
          <w:lang w:eastAsia="es-MX"/>
        </w:rPr>
        <w:t>.</w:t>
      </w:r>
    </w:p>
    <w:p w14:paraId="4AE4CA16" w14:textId="46298ECD" w:rsidR="00745D55" w:rsidRDefault="00745D55" w:rsidP="007531A8">
      <w:pPr>
        <w:spacing w:after="0" w:line="276" w:lineRule="auto"/>
        <w:ind w:left="567" w:right="616"/>
        <w:rPr>
          <w:rFonts w:ascii="ITC Avant Garde" w:eastAsia="Avant Garde" w:hAnsi="ITC Avant Garde" w:cs="Avant Garde"/>
          <w:i/>
          <w:iCs/>
          <w:color w:val="000000"/>
          <w:sz w:val="18"/>
          <w:szCs w:val="18"/>
          <w:lang w:eastAsia="es-MX"/>
        </w:rPr>
      </w:pPr>
    </w:p>
    <w:p w14:paraId="2637EBF2" w14:textId="77777777" w:rsidR="00745D55" w:rsidRPr="00C84042" w:rsidRDefault="00745D55" w:rsidP="007531A8">
      <w:pPr>
        <w:spacing w:after="0" w:line="276" w:lineRule="auto"/>
        <w:rPr>
          <w:rFonts w:ascii="ITC Avant Garde" w:hAnsi="ITC Avant Garde"/>
          <w:b/>
        </w:rPr>
      </w:pPr>
      <w:r w:rsidRPr="00E16359">
        <w:rPr>
          <w:rFonts w:ascii="ITC Avant Garde" w:hAnsi="ITC Avant Garde"/>
          <w:b/>
        </w:rPr>
        <w:t xml:space="preserve">Consideraciones del Instituto </w:t>
      </w:r>
    </w:p>
    <w:p w14:paraId="43581C06" w14:textId="1D40CF31" w:rsidR="00745D55" w:rsidRDefault="004D336F" w:rsidP="007531A8">
      <w:pPr>
        <w:spacing w:after="0" w:line="276" w:lineRule="auto"/>
        <w:ind w:right="49"/>
        <w:rPr>
          <w:rFonts w:ascii="ITC Avant Garde" w:hAnsi="ITC Avant Garde"/>
        </w:rPr>
      </w:pPr>
      <w:r>
        <w:rPr>
          <w:rFonts w:ascii="ITC Avant Garde" w:hAnsi="ITC Avant Garde"/>
        </w:rPr>
        <w:t>Las d</w:t>
      </w:r>
      <w:r w:rsidR="00745D55" w:rsidRPr="00745D55">
        <w:rPr>
          <w:rFonts w:ascii="ITC Avant Garde" w:hAnsi="ITC Avant Garde"/>
        </w:rPr>
        <w:t xml:space="preserve">efiniciones que se </w:t>
      </w:r>
      <w:r w:rsidR="001C524D">
        <w:rPr>
          <w:rFonts w:ascii="ITC Avant Garde" w:hAnsi="ITC Avant Garde"/>
        </w:rPr>
        <w:t>solicitan</w:t>
      </w:r>
      <w:r w:rsidR="00745D55" w:rsidRPr="00745D55">
        <w:rPr>
          <w:rFonts w:ascii="ITC Avant Garde" w:hAnsi="ITC Avant Garde"/>
        </w:rPr>
        <w:t xml:space="preserve"> eliminar permiten tener un mejor entendimiento del contenido del CMI, </w:t>
      </w:r>
      <w:r>
        <w:rPr>
          <w:rFonts w:ascii="ITC Avant Garde" w:hAnsi="ITC Avant Garde"/>
        </w:rPr>
        <w:t xml:space="preserve">por lo que se </w:t>
      </w:r>
      <w:r w:rsidR="00745D55" w:rsidRPr="00745D55">
        <w:rPr>
          <w:rFonts w:ascii="ITC Avant Garde" w:hAnsi="ITC Avant Garde"/>
        </w:rPr>
        <w:t xml:space="preserve">mantienen en los términos del CMI </w:t>
      </w:r>
      <w:r w:rsidR="001C524D">
        <w:rPr>
          <w:rFonts w:ascii="ITC Avant Garde" w:hAnsi="ITC Avant Garde"/>
        </w:rPr>
        <w:t>propuesto. R</w:t>
      </w:r>
      <w:r w:rsidR="00745D55" w:rsidRPr="00745D55">
        <w:rPr>
          <w:rFonts w:ascii="ITC Avant Garde" w:hAnsi="ITC Avant Garde"/>
        </w:rPr>
        <w:t xml:space="preserve">especto a la incorporación de las definiciones de </w:t>
      </w:r>
      <w:r w:rsidR="001C524D" w:rsidRPr="004D336F">
        <w:rPr>
          <w:rFonts w:ascii="ITC Avant Garde" w:eastAsia="Avant Garde" w:hAnsi="ITC Avant Garde" w:cs="Avant Garde"/>
          <w:color w:val="000000"/>
          <w:lang w:eastAsia="es-MX"/>
        </w:rPr>
        <w:t>Sistema Electrónico de Gestión y sistema Electrónico de Solicitudes de Interconexión</w:t>
      </w:r>
      <w:r w:rsidR="001C524D" w:rsidRPr="00745D55">
        <w:rPr>
          <w:rFonts w:ascii="ITC Avant Garde" w:hAnsi="ITC Avant Garde"/>
        </w:rPr>
        <w:t xml:space="preserve"> </w:t>
      </w:r>
      <w:r w:rsidR="00745D55" w:rsidRPr="00745D55">
        <w:rPr>
          <w:rFonts w:ascii="ITC Avant Garde" w:hAnsi="ITC Avant Garde"/>
        </w:rPr>
        <w:t xml:space="preserve">no se </w:t>
      </w:r>
      <w:r w:rsidR="00745D55">
        <w:rPr>
          <w:rFonts w:ascii="ITC Avant Garde" w:hAnsi="ITC Avant Garde"/>
        </w:rPr>
        <w:t>e</w:t>
      </w:r>
      <w:r w:rsidR="00745D55" w:rsidRPr="00745D55">
        <w:rPr>
          <w:rFonts w:ascii="ITC Avant Garde" w:hAnsi="ITC Avant Garde"/>
        </w:rPr>
        <w:t xml:space="preserve">stiman necesarios pues </w:t>
      </w:r>
      <w:r w:rsidR="00A66CE5">
        <w:rPr>
          <w:rFonts w:ascii="ITC Avant Garde" w:hAnsi="ITC Avant Garde"/>
        </w:rPr>
        <w:t xml:space="preserve">tales conceptos </w:t>
      </w:r>
      <w:r w:rsidR="00745D55" w:rsidRPr="00745D55">
        <w:rPr>
          <w:rFonts w:ascii="ITC Avant Garde" w:hAnsi="ITC Avant Garde"/>
        </w:rPr>
        <w:t>se definen en las secciones correspondientes.</w:t>
      </w:r>
    </w:p>
    <w:p w14:paraId="226ED064" w14:textId="103D4667" w:rsidR="00745D55" w:rsidRDefault="00745D55" w:rsidP="007531A8">
      <w:pPr>
        <w:spacing w:after="0" w:line="276" w:lineRule="auto"/>
        <w:ind w:right="49"/>
        <w:rPr>
          <w:rFonts w:ascii="ITC Avant Garde" w:hAnsi="ITC Avant Garde"/>
        </w:rPr>
      </w:pPr>
    </w:p>
    <w:p w14:paraId="19C28821" w14:textId="0AD5A806" w:rsidR="00745D55" w:rsidRDefault="005409CB" w:rsidP="007531A8">
      <w:pPr>
        <w:autoSpaceDE w:val="0"/>
        <w:autoSpaceDN w:val="0"/>
        <w:adjustRightInd w:val="0"/>
        <w:spacing w:after="0" w:line="276" w:lineRule="auto"/>
        <w:rPr>
          <w:rFonts w:ascii="ITC Avant Garde" w:hAnsi="ITC Avant Garde"/>
          <w:b/>
          <w:u w:val="single"/>
        </w:rPr>
      </w:pPr>
      <w:r>
        <w:rPr>
          <w:rFonts w:ascii="ITC Avant Garde" w:hAnsi="ITC Avant Garde"/>
          <w:b/>
          <w:u w:val="single"/>
        </w:rPr>
        <w:t>CLÁUSULA SEGUNDA</w:t>
      </w:r>
    </w:p>
    <w:p w14:paraId="0593D493" w14:textId="420674FB" w:rsidR="001610C4" w:rsidRDefault="001610C4" w:rsidP="007531A8">
      <w:pPr>
        <w:autoSpaceDE w:val="0"/>
        <w:autoSpaceDN w:val="0"/>
        <w:adjustRightInd w:val="0"/>
        <w:spacing w:after="0" w:line="276" w:lineRule="auto"/>
        <w:rPr>
          <w:rFonts w:ascii="ITC Avant Garde" w:hAnsi="ITC Avant Garde"/>
          <w:b/>
          <w:u w:val="single"/>
        </w:rPr>
      </w:pPr>
    </w:p>
    <w:p w14:paraId="0CC2928F" w14:textId="38598BCE" w:rsidR="003F5C67" w:rsidRPr="005409CB" w:rsidRDefault="003F5C67" w:rsidP="007531A8">
      <w:pPr>
        <w:autoSpaceDE w:val="0"/>
        <w:autoSpaceDN w:val="0"/>
        <w:adjustRightInd w:val="0"/>
        <w:spacing w:after="0" w:line="276" w:lineRule="auto"/>
        <w:rPr>
          <w:rFonts w:ascii="ITC Avant Garde" w:hAnsi="ITC Avant Garde"/>
          <w:b/>
          <w:u w:val="single"/>
        </w:rPr>
      </w:pPr>
      <w:r w:rsidRPr="005409CB">
        <w:rPr>
          <w:rFonts w:ascii="ITC Avant Garde" w:hAnsi="ITC Avant Garde"/>
          <w:b/>
          <w:u w:val="single"/>
        </w:rPr>
        <w:t>2.1 OBJETOS Y GENERALIDADES DEL CONVENIO</w:t>
      </w:r>
    </w:p>
    <w:p w14:paraId="5E5537E6" w14:textId="77777777" w:rsidR="003F5C67" w:rsidRDefault="003F5C67" w:rsidP="007531A8">
      <w:pPr>
        <w:autoSpaceDE w:val="0"/>
        <w:autoSpaceDN w:val="0"/>
        <w:adjustRightInd w:val="0"/>
        <w:spacing w:after="0" w:line="276" w:lineRule="auto"/>
        <w:rPr>
          <w:rFonts w:ascii="ITC Avant Garde" w:hAnsi="ITC Avant Garde"/>
          <w:b/>
          <w:u w:val="single"/>
        </w:rPr>
      </w:pPr>
    </w:p>
    <w:p w14:paraId="0EFAEFA9" w14:textId="50D497AD" w:rsidR="001610C4" w:rsidRDefault="0018725C" w:rsidP="007531A8">
      <w:pPr>
        <w:spacing w:after="0" w:line="276" w:lineRule="auto"/>
        <w:rPr>
          <w:rFonts w:ascii="ITC Avant Garde" w:hAnsi="ITC Avant Garde"/>
          <w:b/>
          <w:bCs/>
        </w:rPr>
      </w:pPr>
      <w:r>
        <w:rPr>
          <w:rFonts w:ascii="ITC Avant Garde" w:hAnsi="ITC Avant Garde"/>
          <w:b/>
          <w:bCs/>
        </w:rPr>
        <w:t>Mega Cable</w:t>
      </w:r>
    </w:p>
    <w:p w14:paraId="0D589D09" w14:textId="65B730D4" w:rsidR="001610C4" w:rsidRPr="001610C4" w:rsidRDefault="001610C4" w:rsidP="007531A8">
      <w:pPr>
        <w:autoSpaceDE w:val="0"/>
        <w:autoSpaceDN w:val="0"/>
        <w:adjustRightInd w:val="0"/>
        <w:spacing w:after="0" w:line="276" w:lineRule="auto"/>
        <w:rPr>
          <w:rFonts w:ascii="ITC Avant Garde" w:eastAsia="Avant Garde" w:hAnsi="ITC Avant Garde" w:cs="Avant Garde"/>
          <w:color w:val="000000"/>
          <w:lang w:eastAsia="es-MX"/>
        </w:rPr>
      </w:pPr>
      <w:r w:rsidRPr="001610C4">
        <w:rPr>
          <w:rFonts w:ascii="ITC Avant Garde" w:eastAsia="Avant Garde" w:hAnsi="ITC Avant Garde" w:cs="Avant Garde"/>
          <w:color w:val="000000"/>
          <w:lang w:eastAsia="es-MX"/>
        </w:rPr>
        <w:t xml:space="preserve">Indica que para </w:t>
      </w:r>
      <w:r w:rsidR="001D5BEE">
        <w:rPr>
          <w:rFonts w:ascii="ITC Avant Garde" w:eastAsia="Avant Garde" w:hAnsi="ITC Avant Garde" w:cs="Avant Garde"/>
          <w:color w:val="000000"/>
          <w:lang w:eastAsia="es-MX"/>
        </w:rPr>
        <w:t xml:space="preserve">brindar </w:t>
      </w:r>
      <w:r w:rsidRPr="001610C4">
        <w:rPr>
          <w:rFonts w:ascii="ITC Avant Garde" w:eastAsia="Avant Garde" w:hAnsi="ITC Avant Garde" w:cs="Avant Garde"/>
          <w:color w:val="000000"/>
          <w:lang w:eastAsia="es-MX"/>
        </w:rPr>
        <w:t>claridad del procedimiento a seguir con Telmex y Telnor en la celebración del CMI se incorpor</w:t>
      </w:r>
      <w:r w:rsidR="001D5BEE">
        <w:rPr>
          <w:rFonts w:ascii="ITC Avant Garde" w:eastAsia="Avant Garde" w:hAnsi="ITC Avant Garde" w:cs="Avant Garde"/>
          <w:color w:val="000000"/>
          <w:lang w:eastAsia="es-MX"/>
        </w:rPr>
        <w:t>e</w:t>
      </w:r>
      <w:r w:rsidRPr="001610C4">
        <w:rPr>
          <w:rFonts w:ascii="ITC Avant Garde" w:eastAsia="Avant Garde" w:hAnsi="ITC Avant Garde" w:cs="Avant Garde"/>
          <w:color w:val="000000"/>
          <w:lang w:eastAsia="es-MX"/>
        </w:rPr>
        <w:t xml:space="preserve"> </w:t>
      </w:r>
      <w:r w:rsidR="001D5BEE">
        <w:rPr>
          <w:rFonts w:ascii="ITC Avant Garde" w:eastAsia="Avant Garde" w:hAnsi="ITC Avant Garde" w:cs="Avant Garde"/>
          <w:color w:val="000000"/>
          <w:lang w:eastAsia="es-MX"/>
        </w:rPr>
        <w:t>la redacción siguiente</w:t>
      </w:r>
      <w:r w:rsidRPr="001610C4">
        <w:rPr>
          <w:rFonts w:ascii="ITC Avant Garde" w:eastAsia="Avant Garde" w:hAnsi="ITC Avant Garde" w:cs="Avant Garde"/>
          <w:color w:val="000000"/>
          <w:lang w:eastAsia="es-MX"/>
        </w:rPr>
        <w:t>:</w:t>
      </w:r>
    </w:p>
    <w:p w14:paraId="1B8D1D77" w14:textId="77777777" w:rsidR="001610C4" w:rsidRPr="001610C4" w:rsidRDefault="001610C4" w:rsidP="007531A8">
      <w:pPr>
        <w:autoSpaceDE w:val="0"/>
        <w:autoSpaceDN w:val="0"/>
        <w:adjustRightInd w:val="0"/>
        <w:spacing w:after="0" w:line="276" w:lineRule="auto"/>
        <w:rPr>
          <w:rFonts w:ascii="ITC Avant Garde" w:eastAsia="Avant Garde" w:hAnsi="ITC Avant Garde" w:cs="Avant Garde"/>
          <w:color w:val="000000"/>
          <w:lang w:eastAsia="es-MX"/>
        </w:rPr>
      </w:pPr>
    </w:p>
    <w:p w14:paraId="0FB024BE" w14:textId="063D3216" w:rsidR="001610C4" w:rsidRPr="001610C4" w:rsidRDefault="001610C4" w:rsidP="007531A8">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r>
        <w:rPr>
          <w:rFonts w:ascii="ITC Avant Garde" w:eastAsia="Avant Garde" w:hAnsi="ITC Avant Garde" w:cs="Avant Garde"/>
          <w:i/>
          <w:iCs/>
          <w:color w:val="000000"/>
          <w:sz w:val="18"/>
          <w:szCs w:val="18"/>
          <w:lang w:eastAsia="es-MX"/>
        </w:rPr>
        <w:t>“</w:t>
      </w:r>
      <w:r w:rsidRPr="001610C4">
        <w:rPr>
          <w:rFonts w:ascii="ITC Avant Garde" w:eastAsia="Avant Garde" w:hAnsi="ITC Avant Garde" w:cs="Avant Garde"/>
          <w:i/>
          <w:iCs/>
          <w:color w:val="000000"/>
          <w:sz w:val="18"/>
          <w:szCs w:val="18"/>
          <w:lang w:eastAsia="es-MX"/>
        </w:rPr>
        <w:t xml:space="preserve">Si el Concesionario Solicitante solicita la firma del presente Convenio Marco de Interconexión en los términos publicados por Telmex; acepta las tarifas publicadas por el Instituto con base en el artículo 137 de la Ley Federal de Telecomunicaciones y Radiodifusión, y no solicita una condición adicional a Telmex que sea materia de un diferendo, Telmex deberá suscribir el CMI dentro de un plazo de 10 días hábiles contados a partir de la fecha de solicitud del Concesionario Solicitante a través del </w:t>
      </w:r>
      <w:r w:rsidRPr="001610C4">
        <w:rPr>
          <w:rFonts w:ascii="ITC Avant Garde" w:eastAsia="Avant Garde" w:hAnsi="ITC Avant Garde" w:cs="Avant Garde"/>
          <w:i/>
          <w:iCs/>
          <w:color w:val="000000"/>
          <w:sz w:val="18"/>
          <w:szCs w:val="18"/>
          <w:u w:val="single"/>
          <w:lang w:eastAsia="es-MX"/>
        </w:rPr>
        <w:t>sistema electrónico de solicitudes de interconexión (SESI)</w:t>
      </w:r>
      <w:r w:rsidRPr="001610C4">
        <w:rPr>
          <w:rFonts w:ascii="ITC Avant Garde" w:eastAsia="Avant Garde" w:hAnsi="ITC Avant Garde" w:cs="Avant Garde"/>
          <w:i/>
          <w:iCs/>
          <w:color w:val="000000"/>
          <w:sz w:val="18"/>
          <w:szCs w:val="18"/>
          <w:lang w:eastAsia="es-MX"/>
        </w:rPr>
        <w:t xml:space="preserve"> al que se refiere el artículo 129 de la referida ley, </w:t>
      </w:r>
      <w:r w:rsidRPr="001D5BEE">
        <w:rPr>
          <w:rFonts w:ascii="ITC Avant Garde" w:eastAsia="Avant Garde" w:hAnsi="ITC Avant Garde" w:cs="Avant Garde"/>
          <w:i/>
          <w:iCs/>
          <w:color w:val="000000"/>
          <w:sz w:val="18"/>
          <w:szCs w:val="18"/>
          <w:u w:val="single"/>
          <w:lang w:eastAsia="es-MX"/>
        </w:rPr>
        <w:t>establecido por el IFT</w:t>
      </w:r>
      <w:r w:rsidRPr="001610C4">
        <w:rPr>
          <w:rFonts w:ascii="ITC Avant Garde" w:eastAsia="Avant Garde" w:hAnsi="ITC Avant Garde" w:cs="Avant Garde"/>
          <w:i/>
          <w:iCs/>
          <w:color w:val="000000"/>
          <w:sz w:val="18"/>
          <w:szCs w:val="18"/>
          <w:lang w:eastAsia="es-MX"/>
        </w:rPr>
        <w:t>.</w:t>
      </w:r>
      <w:r w:rsidR="001D5BEE">
        <w:rPr>
          <w:rFonts w:ascii="ITC Avant Garde" w:eastAsia="Avant Garde" w:hAnsi="ITC Avant Garde" w:cs="Avant Garde"/>
          <w:i/>
          <w:iCs/>
          <w:color w:val="000000"/>
          <w:sz w:val="18"/>
          <w:szCs w:val="18"/>
          <w:lang w:eastAsia="es-MX"/>
        </w:rPr>
        <w:t>”</w:t>
      </w:r>
    </w:p>
    <w:p w14:paraId="737E3D93" w14:textId="77777777" w:rsidR="001610C4" w:rsidRPr="001610C4" w:rsidRDefault="001610C4" w:rsidP="007531A8">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p>
    <w:p w14:paraId="028A72D2" w14:textId="2463A08F" w:rsidR="001610C4" w:rsidRPr="001D5BEE" w:rsidRDefault="00E84D47" w:rsidP="007531A8">
      <w:pPr>
        <w:autoSpaceDE w:val="0"/>
        <w:autoSpaceDN w:val="0"/>
        <w:adjustRightInd w:val="0"/>
        <w:spacing w:after="0" w:line="276" w:lineRule="auto"/>
        <w:rPr>
          <w:rFonts w:ascii="ITC Avant Garde" w:eastAsia="Avant Garde" w:hAnsi="ITC Avant Garde" w:cs="Avant Garde"/>
          <w:color w:val="000000"/>
          <w:lang w:eastAsia="es-MX"/>
        </w:rPr>
      </w:pPr>
      <w:r w:rsidRPr="001D5BEE">
        <w:rPr>
          <w:rFonts w:ascii="ITC Avant Garde" w:eastAsia="Avant Garde" w:hAnsi="ITC Avant Garde" w:cs="Avant Garde"/>
          <w:color w:val="000000"/>
          <w:lang w:eastAsia="es-MX"/>
        </w:rPr>
        <w:t>Además,</w:t>
      </w:r>
      <w:r w:rsidR="001D5BEE" w:rsidRPr="001D5BEE">
        <w:rPr>
          <w:rFonts w:ascii="ITC Avant Garde" w:eastAsia="Avant Garde" w:hAnsi="ITC Avant Garde" w:cs="Avant Garde"/>
          <w:color w:val="000000"/>
          <w:lang w:eastAsia="es-MX"/>
        </w:rPr>
        <w:t xml:space="preserve"> señala que en caso de d</w:t>
      </w:r>
      <w:r w:rsidR="001610C4" w:rsidRPr="001D5BEE">
        <w:rPr>
          <w:rFonts w:ascii="ITC Avant Garde" w:eastAsia="Avant Garde" w:hAnsi="ITC Avant Garde" w:cs="Avant Garde"/>
          <w:color w:val="000000"/>
          <w:lang w:eastAsia="es-MX"/>
        </w:rPr>
        <w:t xml:space="preserve">esbordes u otras anomalías en la Interconexión Directa, es mucho más viable que durante las contingencias </w:t>
      </w:r>
      <w:r w:rsidR="001D5BEE">
        <w:rPr>
          <w:rFonts w:ascii="ITC Avant Garde" w:eastAsia="Avant Garde" w:hAnsi="ITC Avant Garde" w:cs="Avant Garde"/>
          <w:color w:val="000000"/>
          <w:lang w:eastAsia="es-MX"/>
        </w:rPr>
        <w:t>se</w:t>
      </w:r>
      <w:r w:rsidR="001610C4" w:rsidRPr="001D5BEE">
        <w:rPr>
          <w:rFonts w:ascii="ITC Avant Garde" w:eastAsia="Avant Garde" w:hAnsi="ITC Avant Garde" w:cs="Avant Garde"/>
          <w:color w:val="000000"/>
          <w:lang w:eastAsia="es-MX"/>
        </w:rPr>
        <w:t xml:space="preserve"> subsanen usando la ruta no afectada, convirtiéndola en bidireccional durante lo que dure la contingencia</w:t>
      </w:r>
      <w:r w:rsidR="001D5BEE">
        <w:rPr>
          <w:rFonts w:ascii="ITC Avant Garde" w:eastAsia="Avant Garde" w:hAnsi="ITC Avant Garde" w:cs="Avant Garde"/>
          <w:color w:val="000000"/>
          <w:lang w:eastAsia="es-MX"/>
        </w:rPr>
        <w:t>.</w:t>
      </w:r>
    </w:p>
    <w:p w14:paraId="2B80692E" w14:textId="784FD5FC" w:rsidR="001610C4" w:rsidRDefault="001610C4" w:rsidP="007531A8">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p>
    <w:p w14:paraId="69BBAC4C" w14:textId="77777777" w:rsidR="001610C4" w:rsidRPr="00C84042" w:rsidRDefault="001610C4" w:rsidP="007531A8">
      <w:pPr>
        <w:spacing w:after="0" w:line="276" w:lineRule="auto"/>
        <w:rPr>
          <w:rFonts w:ascii="ITC Avant Garde" w:hAnsi="ITC Avant Garde"/>
          <w:b/>
        </w:rPr>
      </w:pPr>
      <w:r w:rsidRPr="00E16359">
        <w:rPr>
          <w:rFonts w:ascii="ITC Avant Garde" w:hAnsi="ITC Avant Garde"/>
          <w:b/>
        </w:rPr>
        <w:t xml:space="preserve">Consideraciones del Instituto </w:t>
      </w:r>
    </w:p>
    <w:p w14:paraId="2B4CCF89" w14:textId="6006C944" w:rsidR="001610C4" w:rsidRPr="001610C4" w:rsidRDefault="001D5BEE" w:rsidP="007531A8">
      <w:pPr>
        <w:autoSpaceDE w:val="0"/>
        <w:autoSpaceDN w:val="0"/>
        <w:adjustRightInd w:val="0"/>
        <w:spacing w:after="0" w:line="276" w:lineRule="auto"/>
        <w:ind w:right="49"/>
        <w:rPr>
          <w:rFonts w:ascii="ITC Avant Garde" w:hAnsi="ITC Avant Garde"/>
        </w:rPr>
      </w:pPr>
      <w:r>
        <w:rPr>
          <w:rFonts w:ascii="ITC Avant Garde" w:hAnsi="ITC Avant Garde"/>
        </w:rPr>
        <w:t>La</w:t>
      </w:r>
      <w:r w:rsidR="001610C4" w:rsidRPr="001610C4">
        <w:rPr>
          <w:rFonts w:ascii="ITC Avant Garde" w:hAnsi="ITC Avant Garde"/>
        </w:rPr>
        <w:t xml:space="preserve"> redacción actual </w:t>
      </w:r>
      <w:r w:rsidR="00233859">
        <w:rPr>
          <w:rFonts w:ascii="ITC Avant Garde" w:hAnsi="ITC Avant Garde"/>
        </w:rPr>
        <w:t>permite identificar</w:t>
      </w:r>
      <w:r w:rsidR="00233859" w:rsidRPr="001610C4">
        <w:rPr>
          <w:rFonts w:ascii="ITC Avant Garde" w:hAnsi="ITC Avant Garde"/>
        </w:rPr>
        <w:t xml:space="preserve"> </w:t>
      </w:r>
      <w:r w:rsidR="001610C4" w:rsidRPr="001610C4">
        <w:rPr>
          <w:rFonts w:ascii="ITC Avant Garde" w:hAnsi="ITC Avant Garde"/>
        </w:rPr>
        <w:t>claramente el sistema electrónico al que se refiere el procedimiento señalado en el párrafo</w:t>
      </w:r>
      <w:r w:rsidR="001610C4">
        <w:rPr>
          <w:rFonts w:ascii="ITC Avant Garde" w:hAnsi="ITC Avant Garde"/>
        </w:rPr>
        <w:t>,</w:t>
      </w:r>
      <w:r w:rsidR="001610C4" w:rsidRPr="001610C4">
        <w:rPr>
          <w:rFonts w:ascii="ITC Avant Garde" w:hAnsi="ITC Avant Garde"/>
        </w:rPr>
        <w:t xml:space="preserve"> </w:t>
      </w:r>
      <w:r>
        <w:rPr>
          <w:rFonts w:ascii="ITC Avant Garde" w:hAnsi="ITC Avant Garde"/>
        </w:rPr>
        <w:t xml:space="preserve">por lo que </w:t>
      </w:r>
      <w:r w:rsidR="001610C4" w:rsidRPr="001610C4">
        <w:rPr>
          <w:rFonts w:ascii="ITC Avant Garde" w:hAnsi="ITC Avant Garde"/>
        </w:rPr>
        <w:t>no se estima necesario adicionar las precisiones</w:t>
      </w:r>
      <w:r w:rsidR="001610C4">
        <w:rPr>
          <w:rFonts w:ascii="ITC Avant Garde" w:hAnsi="ITC Avant Garde"/>
        </w:rPr>
        <w:t>.</w:t>
      </w:r>
    </w:p>
    <w:p w14:paraId="3CC27C8F" w14:textId="77777777" w:rsidR="001610C4" w:rsidRPr="001610C4" w:rsidRDefault="001610C4" w:rsidP="007531A8">
      <w:pPr>
        <w:autoSpaceDE w:val="0"/>
        <w:autoSpaceDN w:val="0"/>
        <w:adjustRightInd w:val="0"/>
        <w:spacing w:after="0" w:line="276" w:lineRule="auto"/>
        <w:ind w:right="49"/>
        <w:rPr>
          <w:rFonts w:ascii="ITC Avant Garde" w:hAnsi="ITC Avant Garde"/>
        </w:rPr>
      </w:pPr>
    </w:p>
    <w:p w14:paraId="29D1214E" w14:textId="018A4380" w:rsidR="001610C4" w:rsidRDefault="001610C4" w:rsidP="007531A8">
      <w:pPr>
        <w:autoSpaceDE w:val="0"/>
        <w:autoSpaceDN w:val="0"/>
        <w:adjustRightInd w:val="0"/>
        <w:spacing w:after="0" w:line="276" w:lineRule="auto"/>
        <w:ind w:right="49"/>
        <w:rPr>
          <w:rFonts w:ascii="ITC Avant Garde" w:hAnsi="ITC Avant Garde"/>
        </w:rPr>
      </w:pPr>
      <w:r w:rsidRPr="001610C4">
        <w:rPr>
          <w:rFonts w:ascii="ITC Avant Garde" w:hAnsi="ITC Avant Garde"/>
        </w:rPr>
        <w:t>Sobre la propuesta de alternativa en casos de fallas, el CMI establece</w:t>
      </w:r>
      <w:r w:rsidR="00317BED">
        <w:rPr>
          <w:rFonts w:ascii="ITC Avant Garde" w:hAnsi="ITC Avant Garde"/>
        </w:rPr>
        <w:t xml:space="preserve"> en su Cláusula 2.4 Solicitudes de Servicio, la obligación de </w:t>
      </w:r>
      <w:r w:rsidRPr="001610C4">
        <w:rPr>
          <w:rFonts w:ascii="ITC Avant Garde" w:hAnsi="ITC Avant Garde"/>
        </w:rPr>
        <w:t xml:space="preserve">implementar enlaces en al menos </w:t>
      </w:r>
      <w:r w:rsidR="00317BED">
        <w:rPr>
          <w:rFonts w:ascii="ITC Avant Garde" w:hAnsi="ITC Avant Garde"/>
        </w:rPr>
        <w:t xml:space="preserve">dos </w:t>
      </w:r>
      <w:proofErr w:type="spellStart"/>
      <w:r w:rsidRPr="001610C4">
        <w:rPr>
          <w:rFonts w:ascii="ITC Avant Garde" w:hAnsi="ITC Avant Garde"/>
        </w:rPr>
        <w:t>PDICs</w:t>
      </w:r>
      <w:proofErr w:type="spellEnd"/>
      <w:r w:rsidRPr="001610C4">
        <w:rPr>
          <w:rFonts w:ascii="ITC Avant Garde" w:hAnsi="ITC Avant Garde"/>
        </w:rPr>
        <w:t xml:space="preserve"> por cada Parte, para efectos de redundancia. Utilizar sólo un enlace para el envío y recepción de tráfico podría no ser viable para todos los caso</w:t>
      </w:r>
      <w:r>
        <w:rPr>
          <w:rFonts w:ascii="ITC Avant Garde" w:hAnsi="ITC Avant Garde"/>
        </w:rPr>
        <w:t>s</w:t>
      </w:r>
      <w:r w:rsidRPr="001610C4">
        <w:rPr>
          <w:rFonts w:ascii="ITC Avant Garde" w:hAnsi="ITC Avant Garde"/>
        </w:rPr>
        <w:t xml:space="preserve"> y pondría en riesgo la prestación del servicio.</w:t>
      </w:r>
    </w:p>
    <w:p w14:paraId="6336A048" w14:textId="41AFDA53" w:rsidR="001610C4" w:rsidRDefault="001610C4" w:rsidP="007531A8">
      <w:pPr>
        <w:autoSpaceDE w:val="0"/>
        <w:autoSpaceDN w:val="0"/>
        <w:adjustRightInd w:val="0"/>
        <w:spacing w:after="0" w:line="276" w:lineRule="auto"/>
        <w:ind w:right="49"/>
        <w:rPr>
          <w:rFonts w:ascii="ITC Avant Garde" w:hAnsi="ITC Avant Garde"/>
        </w:rPr>
      </w:pPr>
    </w:p>
    <w:p w14:paraId="69F4D8C1" w14:textId="06BE3A62" w:rsidR="003F5C67" w:rsidRPr="005409CB" w:rsidRDefault="003F5C67" w:rsidP="007531A8">
      <w:pPr>
        <w:autoSpaceDE w:val="0"/>
        <w:autoSpaceDN w:val="0"/>
        <w:adjustRightInd w:val="0"/>
        <w:spacing w:after="0" w:line="276" w:lineRule="auto"/>
        <w:rPr>
          <w:rFonts w:ascii="ITC Avant Garde" w:hAnsi="ITC Avant Garde"/>
          <w:b/>
          <w:u w:val="single"/>
        </w:rPr>
      </w:pPr>
      <w:r w:rsidRPr="005409CB">
        <w:rPr>
          <w:rFonts w:ascii="ITC Avant Garde" w:hAnsi="ITC Avant Garde"/>
          <w:b/>
          <w:u w:val="single"/>
        </w:rPr>
        <w:lastRenderedPageBreak/>
        <w:t>2.3 SERVICIOS DE INTERCONEXIÓN</w:t>
      </w:r>
    </w:p>
    <w:p w14:paraId="41CBC9B8" w14:textId="77777777" w:rsidR="003F5C67" w:rsidRDefault="003F5C67" w:rsidP="007531A8">
      <w:pPr>
        <w:autoSpaceDE w:val="0"/>
        <w:autoSpaceDN w:val="0"/>
        <w:adjustRightInd w:val="0"/>
        <w:spacing w:after="0" w:line="276" w:lineRule="auto"/>
        <w:ind w:right="49"/>
        <w:rPr>
          <w:rFonts w:ascii="ITC Avant Garde" w:hAnsi="ITC Avant Garde"/>
          <w:b/>
          <w:bCs/>
        </w:rPr>
      </w:pPr>
    </w:p>
    <w:p w14:paraId="125778C6" w14:textId="527B097A" w:rsidR="001610C4" w:rsidRDefault="0018725C"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Grupo Televisa</w:t>
      </w:r>
    </w:p>
    <w:p w14:paraId="5EC0CBD8" w14:textId="19B1399F" w:rsidR="001610C4" w:rsidRDefault="003F5C67" w:rsidP="007531A8">
      <w:pPr>
        <w:autoSpaceDE w:val="0"/>
        <w:autoSpaceDN w:val="0"/>
        <w:adjustRightInd w:val="0"/>
        <w:spacing w:after="0" w:line="276" w:lineRule="auto"/>
        <w:ind w:right="49"/>
        <w:rPr>
          <w:rFonts w:ascii="ITC Avant Garde" w:hAnsi="ITC Avant Garde"/>
        </w:rPr>
      </w:pPr>
      <w:r w:rsidRPr="003F5C67">
        <w:rPr>
          <w:rFonts w:ascii="ITC Avant Garde" w:hAnsi="ITC Avant Garde"/>
        </w:rPr>
        <w:t xml:space="preserve">Señala </w:t>
      </w:r>
      <w:r>
        <w:rPr>
          <w:rFonts w:ascii="ITC Avant Garde" w:hAnsi="ITC Avant Garde"/>
        </w:rPr>
        <w:t xml:space="preserve">que la redacción del numeral 2.3 </w:t>
      </w:r>
      <w:r w:rsidRPr="003F5C67">
        <w:rPr>
          <w:rFonts w:ascii="ITC Avant Garde" w:hAnsi="ITC Avant Garde"/>
        </w:rPr>
        <w:t>SERVICIOS DE INTERCONEXIÓN</w:t>
      </w:r>
      <w:r>
        <w:rPr>
          <w:rFonts w:ascii="ITC Avant Garde" w:hAnsi="ITC Avant Garde"/>
        </w:rPr>
        <w:t xml:space="preserve"> debe mantenerse como se encuentra en el CMI aplicable a 2021.</w:t>
      </w:r>
    </w:p>
    <w:p w14:paraId="3EFC3FAF" w14:textId="6E23FBE1" w:rsidR="003F5C67" w:rsidRDefault="003F5C67" w:rsidP="007531A8">
      <w:pPr>
        <w:autoSpaceDE w:val="0"/>
        <w:autoSpaceDN w:val="0"/>
        <w:adjustRightInd w:val="0"/>
        <w:spacing w:after="0" w:line="276" w:lineRule="auto"/>
        <w:ind w:right="49"/>
        <w:rPr>
          <w:rFonts w:ascii="ITC Avant Garde" w:hAnsi="ITC Avant Garde"/>
        </w:rPr>
      </w:pPr>
    </w:p>
    <w:p w14:paraId="3A277A32" w14:textId="77777777" w:rsidR="003F5C67" w:rsidRPr="00C84042" w:rsidRDefault="003F5C67" w:rsidP="007531A8">
      <w:pPr>
        <w:spacing w:after="0" w:line="276" w:lineRule="auto"/>
        <w:rPr>
          <w:rFonts w:ascii="ITC Avant Garde" w:hAnsi="ITC Avant Garde"/>
          <w:b/>
        </w:rPr>
      </w:pPr>
      <w:r w:rsidRPr="00E16359">
        <w:rPr>
          <w:rFonts w:ascii="ITC Avant Garde" w:hAnsi="ITC Avant Garde"/>
          <w:b/>
        </w:rPr>
        <w:t xml:space="preserve">Consideraciones del Instituto </w:t>
      </w:r>
    </w:p>
    <w:p w14:paraId="17879A6C" w14:textId="77777777" w:rsidR="003F5C67" w:rsidRPr="003F5C67" w:rsidRDefault="003F5C67" w:rsidP="007531A8">
      <w:pPr>
        <w:spacing w:after="0" w:line="276" w:lineRule="auto"/>
        <w:rPr>
          <w:rFonts w:ascii="ITC Avant Garde" w:hAnsi="ITC Avant Garde"/>
        </w:rPr>
      </w:pPr>
    </w:p>
    <w:p w14:paraId="7582E8BC" w14:textId="4E87621D" w:rsidR="003F5C67" w:rsidRDefault="003F5C67" w:rsidP="007531A8">
      <w:pPr>
        <w:autoSpaceDE w:val="0"/>
        <w:autoSpaceDN w:val="0"/>
        <w:adjustRightInd w:val="0"/>
        <w:spacing w:after="0" w:line="276" w:lineRule="auto"/>
        <w:ind w:right="49"/>
        <w:rPr>
          <w:rFonts w:ascii="ITC Avant Garde" w:hAnsi="ITC Avant Garde"/>
        </w:rPr>
      </w:pPr>
      <w:r w:rsidRPr="003F5C67">
        <w:rPr>
          <w:rFonts w:ascii="ITC Avant Garde" w:hAnsi="ITC Avant Garde"/>
        </w:rPr>
        <w:t>Se modific</w:t>
      </w:r>
      <w:r w:rsidR="00E84D47">
        <w:rPr>
          <w:rFonts w:ascii="ITC Avant Garde" w:hAnsi="ITC Avant Garde"/>
        </w:rPr>
        <w:t>ó</w:t>
      </w:r>
      <w:r w:rsidRPr="003F5C67">
        <w:rPr>
          <w:rFonts w:ascii="ITC Avant Garde" w:hAnsi="ITC Avant Garde"/>
        </w:rPr>
        <w:t xml:space="preserve"> el CMI </w:t>
      </w:r>
      <w:r w:rsidR="005A6222">
        <w:rPr>
          <w:rFonts w:ascii="ITC Avant Garde" w:hAnsi="ITC Avant Garde"/>
        </w:rPr>
        <w:t>para enlistar los servicios de interconexión conforme al marco regulatorio vigente</w:t>
      </w:r>
      <w:r>
        <w:rPr>
          <w:rFonts w:ascii="ITC Avant Garde" w:hAnsi="ITC Avant Garde"/>
        </w:rPr>
        <w:t>.</w:t>
      </w:r>
    </w:p>
    <w:p w14:paraId="5266246E" w14:textId="33906BE6" w:rsidR="003F5C67" w:rsidRDefault="003F5C67" w:rsidP="007531A8">
      <w:pPr>
        <w:autoSpaceDE w:val="0"/>
        <w:autoSpaceDN w:val="0"/>
        <w:adjustRightInd w:val="0"/>
        <w:spacing w:after="0" w:line="276" w:lineRule="auto"/>
        <w:ind w:right="49"/>
        <w:rPr>
          <w:rFonts w:ascii="ITC Avant Garde" w:hAnsi="ITC Avant Garde"/>
        </w:rPr>
      </w:pPr>
    </w:p>
    <w:p w14:paraId="46882B86" w14:textId="01D8E565" w:rsidR="003F5C67" w:rsidRPr="005409CB" w:rsidRDefault="008D3AE3" w:rsidP="007531A8">
      <w:pPr>
        <w:autoSpaceDE w:val="0"/>
        <w:autoSpaceDN w:val="0"/>
        <w:adjustRightInd w:val="0"/>
        <w:spacing w:after="0" w:line="276" w:lineRule="auto"/>
        <w:ind w:right="49"/>
        <w:rPr>
          <w:rFonts w:ascii="ITC Avant Garde" w:hAnsi="ITC Avant Garde"/>
          <w:b/>
          <w:bCs/>
          <w:u w:val="single"/>
        </w:rPr>
      </w:pPr>
      <w:r w:rsidRPr="005409CB">
        <w:rPr>
          <w:rFonts w:ascii="ITC Avant Garde" w:hAnsi="ITC Avant Garde"/>
          <w:b/>
          <w:bCs/>
          <w:u w:val="single"/>
        </w:rPr>
        <w:t>2.4. SOLICITUDES DE SERVICIO</w:t>
      </w:r>
    </w:p>
    <w:p w14:paraId="78E4F9FA" w14:textId="0356E510" w:rsidR="008D3AE3" w:rsidRDefault="008D3AE3" w:rsidP="007531A8">
      <w:pPr>
        <w:autoSpaceDE w:val="0"/>
        <w:autoSpaceDN w:val="0"/>
        <w:adjustRightInd w:val="0"/>
        <w:spacing w:after="0" w:line="276" w:lineRule="auto"/>
        <w:ind w:right="49"/>
        <w:rPr>
          <w:rFonts w:ascii="ITC Avant Garde" w:hAnsi="ITC Avant Garde"/>
          <w:b/>
          <w:bCs/>
        </w:rPr>
      </w:pPr>
    </w:p>
    <w:p w14:paraId="6AB1A5B9" w14:textId="20EAA8AA" w:rsidR="008D3AE3" w:rsidRDefault="0018725C" w:rsidP="007531A8">
      <w:pPr>
        <w:spacing w:after="0" w:line="276" w:lineRule="auto"/>
        <w:rPr>
          <w:rFonts w:ascii="ITC Avant Garde" w:hAnsi="ITC Avant Garde"/>
          <w:b/>
          <w:bCs/>
        </w:rPr>
      </w:pPr>
      <w:r>
        <w:rPr>
          <w:rFonts w:ascii="ITC Avant Garde" w:hAnsi="ITC Avant Garde"/>
          <w:b/>
          <w:bCs/>
        </w:rPr>
        <w:t>Mega Cable</w:t>
      </w:r>
    </w:p>
    <w:p w14:paraId="0AB8EF9F" w14:textId="682A18BF" w:rsidR="008D3AE3" w:rsidRPr="008D3AE3" w:rsidRDefault="008D3AE3" w:rsidP="007531A8">
      <w:pPr>
        <w:autoSpaceDE w:val="0"/>
        <w:autoSpaceDN w:val="0"/>
        <w:adjustRightInd w:val="0"/>
        <w:spacing w:after="0" w:line="276" w:lineRule="auto"/>
        <w:ind w:right="49"/>
        <w:rPr>
          <w:rFonts w:ascii="ITC Avant Garde" w:eastAsia="Avant Garde" w:hAnsi="ITC Avant Garde" w:cs="Avant Garde"/>
          <w:color w:val="000000"/>
          <w:lang w:eastAsia="es-MX"/>
        </w:rPr>
      </w:pPr>
      <w:r w:rsidRPr="008D3AE3">
        <w:rPr>
          <w:rFonts w:ascii="ITC Avant Garde" w:eastAsia="Avant Garde" w:hAnsi="ITC Avant Garde" w:cs="Avant Garde"/>
          <w:color w:val="000000"/>
          <w:lang w:eastAsia="es-MX"/>
        </w:rPr>
        <w:t xml:space="preserve">Señala </w:t>
      </w:r>
      <w:r w:rsidR="00B31ACE" w:rsidRPr="008D3AE3">
        <w:rPr>
          <w:rFonts w:ascii="ITC Avant Garde" w:eastAsia="Avant Garde" w:hAnsi="ITC Avant Garde" w:cs="Avant Garde"/>
          <w:color w:val="000000"/>
          <w:lang w:eastAsia="es-MX"/>
        </w:rPr>
        <w:t>que,</w:t>
      </w:r>
      <w:r w:rsidR="00B31ACE">
        <w:rPr>
          <w:rFonts w:ascii="ITC Avant Garde" w:eastAsia="Avant Garde" w:hAnsi="ITC Avant Garde" w:cs="Avant Garde"/>
          <w:color w:val="000000"/>
          <w:lang w:eastAsia="es-MX"/>
        </w:rPr>
        <w:t xml:space="preserve"> ante la falta de </w:t>
      </w:r>
      <w:r w:rsidRPr="008D3AE3">
        <w:rPr>
          <w:rFonts w:ascii="ITC Avant Garde" w:eastAsia="Avant Garde" w:hAnsi="ITC Avant Garde" w:cs="Avant Garde"/>
          <w:color w:val="000000"/>
          <w:lang w:eastAsia="es-MX"/>
        </w:rPr>
        <w:t>falta de capacidad</w:t>
      </w:r>
      <w:r w:rsidR="00B31ACE">
        <w:rPr>
          <w:rFonts w:ascii="ITC Avant Garde" w:eastAsia="Avant Garde" w:hAnsi="ITC Avant Garde" w:cs="Avant Garde"/>
          <w:color w:val="000000"/>
          <w:lang w:eastAsia="es-MX"/>
        </w:rPr>
        <w:t xml:space="preserve"> en solicitudes de servicios,</w:t>
      </w:r>
      <w:r w:rsidRPr="008D3AE3">
        <w:rPr>
          <w:rFonts w:ascii="ITC Avant Garde" w:eastAsia="Avant Garde" w:hAnsi="ITC Avant Garde" w:cs="Avant Garde"/>
          <w:color w:val="000000"/>
          <w:lang w:eastAsia="es-MX"/>
        </w:rPr>
        <w:t xml:space="preserve"> que Telmex-Telnor </w:t>
      </w:r>
      <w:r w:rsidR="00B31ACE">
        <w:rPr>
          <w:rFonts w:ascii="ITC Avant Garde" w:eastAsia="Avant Garde" w:hAnsi="ITC Avant Garde" w:cs="Avant Garde"/>
          <w:color w:val="000000"/>
          <w:lang w:eastAsia="es-MX"/>
        </w:rPr>
        <w:t>se</w:t>
      </w:r>
      <w:r w:rsidRPr="008D3AE3">
        <w:rPr>
          <w:rFonts w:ascii="ITC Avant Garde" w:eastAsia="Avant Garde" w:hAnsi="ITC Avant Garde" w:cs="Avant Garde"/>
          <w:color w:val="000000"/>
          <w:lang w:eastAsia="es-MX"/>
        </w:rPr>
        <w:t xml:space="preserve"> lleve</w:t>
      </w:r>
      <w:r w:rsidR="00B31ACE">
        <w:rPr>
          <w:rFonts w:ascii="ITC Avant Garde" w:eastAsia="Avant Garde" w:hAnsi="ITC Avant Garde" w:cs="Avant Garde"/>
          <w:color w:val="000000"/>
          <w:lang w:eastAsia="es-MX"/>
        </w:rPr>
        <w:t xml:space="preserve"> el tráfico</w:t>
      </w:r>
      <w:r w:rsidRPr="008D3AE3">
        <w:rPr>
          <w:rFonts w:ascii="ITC Avant Garde" w:eastAsia="Avant Garde" w:hAnsi="ITC Avant Garde" w:cs="Avant Garde"/>
          <w:color w:val="000000"/>
          <w:lang w:eastAsia="es-MX"/>
        </w:rPr>
        <w:t xml:space="preserve"> por sus medios hasta </w:t>
      </w:r>
      <w:r w:rsidR="00B31ACE">
        <w:rPr>
          <w:rFonts w:ascii="ITC Avant Garde" w:eastAsia="Avant Garde" w:hAnsi="ITC Avant Garde" w:cs="Avant Garde"/>
          <w:color w:val="000000"/>
          <w:lang w:eastAsia="es-MX"/>
        </w:rPr>
        <w:t xml:space="preserve">las instalaciones </w:t>
      </w:r>
      <w:r w:rsidRPr="008D3AE3">
        <w:rPr>
          <w:rFonts w:ascii="ITC Avant Garde" w:eastAsia="Avant Garde" w:hAnsi="ITC Avant Garde" w:cs="Avant Garde"/>
          <w:color w:val="000000"/>
          <w:lang w:eastAsia="es-MX"/>
        </w:rPr>
        <w:t>donde cuent</w:t>
      </w:r>
      <w:r w:rsidR="00B31ACE">
        <w:rPr>
          <w:rFonts w:ascii="ITC Avant Garde" w:eastAsia="Avant Garde" w:hAnsi="ITC Avant Garde" w:cs="Avant Garde"/>
          <w:color w:val="000000"/>
          <w:lang w:eastAsia="es-MX"/>
        </w:rPr>
        <w:t>e</w:t>
      </w:r>
      <w:r w:rsidRPr="008D3AE3">
        <w:rPr>
          <w:rFonts w:ascii="ITC Avant Garde" w:eastAsia="Avant Garde" w:hAnsi="ITC Avant Garde" w:cs="Avant Garde"/>
          <w:color w:val="000000"/>
          <w:lang w:eastAsia="es-MX"/>
        </w:rPr>
        <w:t xml:space="preserve"> con facilidades. Por otra parte, indican que otra solución es que Telmex-Telnor, o las empresas filiales mayoristas que tengan la responsabilidad de proveer los enlaces, permitan la entrega del tráfico vía Internet</w:t>
      </w:r>
      <w:r w:rsidR="00B31ACE">
        <w:rPr>
          <w:rFonts w:ascii="ITC Avant Garde" w:eastAsia="Avant Garde" w:hAnsi="ITC Avant Garde" w:cs="Avant Garde"/>
          <w:color w:val="000000"/>
          <w:lang w:eastAsia="es-MX"/>
        </w:rPr>
        <w:t>.</w:t>
      </w:r>
    </w:p>
    <w:p w14:paraId="73CD6C5E" w14:textId="77777777" w:rsidR="008D3AE3" w:rsidRPr="008D3AE3" w:rsidRDefault="008D3AE3" w:rsidP="007531A8">
      <w:pPr>
        <w:autoSpaceDE w:val="0"/>
        <w:autoSpaceDN w:val="0"/>
        <w:adjustRightInd w:val="0"/>
        <w:spacing w:after="0" w:line="276" w:lineRule="auto"/>
        <w:ind w:right="49"/>
        <w:rPr>
          <w:rFonts w:ascii="ITC Avant Garde" w:eastAsia="Avant Garde" w:hAnsi="ITC Avant Garde" w:cs="Avant Garde"/>
          <w:color w:val="000000"/>
          <w:lang w:eastAsia="es-MX"/>
        </w:rPr>
      </w:pPr>
    </w:p>
    <w:p w14:paraId="2AC34889" w14:textId="766F3804" w:rsidR="008D3AE3" w:rsidRPr="008D3AE3" w:rsidRDefault="008D3AE3" w:rsidP="007531A8">
      <w:pPr>
        <w:autoSpaceDE w:val="0"/>
        <w:autoSpaceDN w:val="0"/>
        <w:adjustRightInd w:val="0"/>
        <w:spacing w:after="0" w:line="276" w:lineRule="auto"/>
        <w:ind w:right="49"/>
        <w:rPr>
          <w:rFonts w:ascii="ITC Avant Garde" w:eastAsia="Avant Garde" w:hAnsi="ITC Avant Garde" w:cs="Avant Garde"/>
          <w:color w:val="000000"/>
          <w:lang w:eastAsia="es-MX"/>
        </w:rPr>
      </w:pPr>
      <w:r w:rsidRPr="008D3AE3">
        <w:rPr>
          <w:rFonts w:ascii="ITC Avant Garde" w:eastAsia="Avant Garde" w:hAnsi="ITC Avant Garde" w:cs="Avant Garde"/>
          <w:color w:val="000000"/>
          <w:lang w:eastAsia="es-MX"/>
        </w:rPr>
        <w:t>Asimismo, sugiere eliminar de</w:t>
      </w:r>
      <w:r w:rsidR="00B31ACE">
        <w:rPr>
          <w:rFonts w:ascii="ITC Avant Garde" w:eastAsia="Avant Garde" w:hAnsi="ITC Avant Garde" w:cs="Avant Garde"/>
          <w:color w:val="000000"/>
          <w:lang w:eastAsia="es-MX"/>
        </w:rPr>
        <w:t xml:space="preserve"> </w:t>
      </w:r>
      <w:r w:rsidRPr="008D3AE3">
        <w:rPr>
          <w:rFonts w:ascii="ITC Avant Garde" w:eastAsia="Avant Garde" w:hAnsi="ITC Avant Garde" w:cs="Avant Garde"/>
          <w:color w:val="000000"/>
          <w:lang w:eastAsia="es-MX"/>
        </w:rPr>
        <w:t>l</w:t>
      </w:r>
      <w:r w:rsidR="00B31ACE">
        <w:rPr>
          <w:rFonts w:ascii="ITC Avant Garde" w:eastAsia="Avant Garde" w:hAnsi="ITC Avant Garde" w:cs="Avant Garde"/>
          <w:color w:val="000000"/>
          <w:lang w:eastAsia="es-MX"/>
        </w:rPr>
        <w:t>a Cláusula 2.4 del</w:t>
      </w:r>
      <w:r w:rsidRPr="008D3AE3">
        <w:rPr>
          <w:rFonts w:ascii="ITC Avant Garde" w:eastAsia="Avant Garde" w:hAnsi="ITC Avant Garde" w:cs="Avant Garde"/>
          <w:color w:val="000000"/>
          <w:lang w:eastAsia="es-MX"/>
        </w:rPr>
        <w:t xml:space="preserve"> Convenio, los párrafos </w:t>
      </w:r>
      <w:r w:rsidR="00B31ACE">
        <w:rPr>
          <w:rFonts w:ascii="ITC Avant Garde" w:eastAsia="Avant Garde" w:hAnsi="ITC Avant Garde" w:cs="Avant Garde"/>
          <w:color w:val="000000"/>
          <w:lang w:eastAsia="es-MX"/>
        </w:rPr>
        <w:t>referentes a la entrega de pronósticos</w:t>
      </w:r>
      <w:r w:rsidRPr="008D3AE3">
        <w:rPr>
          <w:rFonts w:ascii="ITC Avant Garde" w:eastAsia="Avant Garde" w:hAnsi="ITC Avant Garde" w:cs="Avant Garde"/>
          <w:color w:val="000000"/>
          <w:lang w:eastAsia="es-MX"/>
        </w:rPr>
        <w:t xml:space="preserve">, ya que el tráfico a nivel nacional ya está dimensionado y no sufre incrementos ni decrementos bruscos, sino que se torna </w:t>
      </w:r>
      <w:r w:rsidR="00B31ACE">
        <w:rPr>
          <w:rFonts w:ascii="ITC Avant Garde" w:eastAsia="Avant Garde" w:hAnsi="ITC Avant Garde" w:cs="Avant Garde"/>
          <w:color w:val="000000"/>
          <w:lang w:eastAsia="es-MX"/>
        </w:rPr>
        <w:t xml:space="preserve">en </w:t>
      </w:r>
      <w:r w:rsidRPr="008D3AE3">
        <w:rPr>
          <w:rFonts w:ascii="ITC Avant Garde" w:eastAsia="Avant Garde" w:hAnsi="ITC Avant Garde" w:cs="Avant Garde"/>
          <w:color w:val="000000"/>
          <w:lang w:eastAsia="es-MX"/>
        </w:rPr>
        <w:t>una traba burocrática por parte del AEP.</w:t>
      </w:r>
    </w:p>
    <w:p w14:paraId="1AEE2FA4" w14:textId="3EA65E07" w:rsidR="008D3AE3" w:rsidRDefault="008D3AE3" w:rsidP="007531A8">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p>
    <w:p w14:paraId="21F38413" w14:textId="77777777" w:rsidR="008D3AE3" w:rsidRPr="00C84042" w:rsidRDefault="008D3AE3" w:rsidP="007531A8">
      <w:pPr>
        <w:spacing w:after="0" w:line="276" w:lineRule="auto"/>
        <w:rPr>
          <w:rFonts w:ascii="ITC Avant Garde" w:hAnsi="ITC Avant Garde"/>
          <w:b/>
        </w:rPr>
      </w:pPr>
      <w:r w:rsidRPr="00E16359">
        <w:rPr>
          <w:rFonts w:ascii="ITC Avant Garde" w:hAnsi="ITC Avant Garde"/>
          <w:b/>
        </w:rPr>
        <w:t xml:space="preserve">Consideraciones del Instituto </w:t>
      </w:r>
    </w:p>
    <w:p w14:paraId="40C5D4E1" w14:textId="3AA5AA66" w:rsidR="008D3AE3" w:rsidRPr="008D3AE3" w:rsidRDefault="008D3AE3" w:rsidP="007531A8">
      <w:pPr>
        <w:autoSpaceDE w:val="0"/>
        <w:autoSpaceDN w:val="0"/>
        <w:adjustRightInd w:val="0"/>
        <w:spacing w:after="0" w:line="276" w:lineRule="auto"/>
        <w:ind w:right="49"/>
        <w:rPr>
          <w:rFonts w:ascii="ITC Avant Garde" w:hAnsi="ITC Avant Garde"/>
        </w:rPr>
      </w:pPr>
      <w:r w:rsidRPr="008D3AE3">
        <w:rPr>
          <w:rFonts w:ascii="ITC Avant Garde" w:hAnsi="ITC Avant Garde"/>
        </w:rPr>
        <w:t xml:space="preserve">La propuesta de entrega de tráfico de interconexión por "vía internet" no es acorde a lo establecido en </w:t>
      </w:r>
      <w:r w:rsidR="00E84D47">
        <w:rPr>
          <w:rFonts w:ascii="ITC Avant Garde" w:hAnsi="ITC Avant Garde"/>
        </w:rPr>
        <w:t xml:space="preserve">el Acuerdo de </w:t>
      </w:r>
      <w:r w:rsidRPr="008D3AE3">
        <w:rPr>
          <w:rFonts w:ascii="ITC Avant Garde" w:hAnsi="ITC Avant Garde"/>
        </w:rPr>
        <w:t>Condiciones Técnicas Mínimas</w:t>
      </w:r>
      <w:r w:rsidR="00E84D47">
        <w:rPr>
          <w:rStyle w:val="Refdenotaalpie"/>
          <w:rFonts w:eastAsia="Avant Garde" w:cs="Avant Garde"/>
          <w:color w:val="000000"/>
          <w:lang w:eastAsia="es-MX"/>
        </w:rPr>
        <w:footnoteReference w:id="1"/>
      </w:r>
      <w:r w:rsidRPr="008D3AE3">
        <w:rPr>
          <w:rFonts w:ascii="ITC Avant Garde" w:hAnsi="ITC Avant Garde"/>
        </w:rPr>
        <w:t>, además de que el CMI ya considera el procedimiento a seguir en caso de que no se cuente con capacidad en el punto de interconexión.</w:t>
      </w:r>
    </w:p>
    <w:p w14:paraId="655D7E12" w14:textId="4EBA57C6" w:rsidR="008D3AE3" w:rsidRDefault="008D3AE3" w:rsidP="007531A8">
      <w:pPr>
        <w:autoSpaceDE w:val="0"/>
        <w:autoSpaceDN w:val="0"/>
        <w:adjustRightInd w:val="0"/>
        <w:spacing w:after="0" w:line="276" w:lineRule="auto"/>
        <w:ind w:right="49"/>
        <w:rPr>
          <w:rFonts w:ascii="ITC Avant Garde" w:hAnsi="ITC Avant Garde"/>
        </w:rPr>
      </w:pPr>
    </w:p>
    <w:p w14:paraId="5DC61B99" w14:textId="13624C2B" w:rsidR="008D3AE3" w:rsidRPr="00311FAA" w:rsidRDefault="008D3AE3" w:rsidP="007531A8">
      <w:pPr>
        <w:autoSpaceDE w:val="0"/>
        <w:autoSpaceDN w:val="0"/>
        <w:adjustRightInd w:val="0"/>
        <w:spacing w:after="0" w:line="276" w:lineRule="auto"/>
        <w:ind w:right="49"/>
        <w:rPr>
          <w:rFonts w:ascii="ITC Avant Garde" w:hAnsi="ITC Avant Garde"/>
          <w:b/>
          <w:bCs/>
          <w:u w:val="single"/>
        </w:rPr>
      </w:pPr>
      <w:r w:rsidRPr="00311FAA">
        <w:rPr>
          <w:rFonts w:ascii="ITC Avant Garde" w:hAnsi="ITC Avant Garde"/>
          <w:b/>
          <w:bCs/>
          <w:u w:val="single"/>
        </w:rPr>
        <w:t>Redundancia y balanceo de tráfico</w:t>
      </w:r>
    </w:p>
    <w:p w14:paraId="3D10CEE2" w14:textId="48DD95F5" w:rsidR="008D3AE3" w:rsidRDefault="008D3AE3" w:rsidP="007531A8">
      <w:pPr>
        <w:autoSpaceDE w:val="0"/>
        <w:autoSpaceDN w:val="0"/>
        <w:adjustRightInd w:val="0"/>
        <w:spacing w:after="0" w:line="276" w:lineRule="auto"/>
        <w:ind w:right="49"/>
        <w:rPr>
          <w:rFonts w:ascii="ITC Avant Garde" w:hAnsi="ITC Avant Garde"/>
          <w:b/>
          <w:bCs/>
        </w:rPr>
      </w:pPr>
    </w:p>
    <w:p w14:paraId="77CEBA62" w14:textId="3457561D" w:rsidR="008D3AE3" w:rsidRDefault="004C5602" w:rsidP="007531A8">
      <w:pPr>
        <w:autoSpaceDE w:val="0"/>
        <w:autoSpaceDN w:val="0"/>
        <w:adjustRightInd w:val="0"/>
        <w:spacing w:after="0" w:line="276" w:lineRule="auto"/>
        <w:ind w:right="49"/>
        <w:rPr>
          <w:rFonts w:ascii="ITC Avant Garde" w:hAnsi="ITC Avant Garde"/>
          <w:b/>
          <w:bCs/>
        </w:rPr>
      </w:pPr>
      <w:r w:rsidRPr="004C5602">
        <w:rPr>
          <w:rFonts w:ascii="ITC Avant Garde" w:hAnsi="ITC Avant Garde"/>
          <w:b/>
          <w:bCs/>
        </w:rPr>
        <w:t>AT&amp;T</w:t>
      </w:r>
    </w:p>
    <w:p w14:paraId="698BB247" w14:textId="523CEBBF" w:rsidR="004C5602" w:rsidRPr="004C5602" w:rsidRDefault="008115BC" w:rsidP="007531A8">
      <w:pPr>
        <w:autoSpaceDE w:val="0"/>
        <w:autoSpaceDN w:val="0"/>
        <w:adjustRightInd w:val="0"/>
        <w:spacing w:after="0" w:line="276" w:lineRule="auto"/>
        <w:ind w:right="49"/>
        <w:rPr>
          <w:rFonts w:ascii="ITC Avant Garde" w:hAnsi="ITC Avant Garde"/>
        </w:rPr>
      </w:pPr>
      <w:r>
        <w:rPr>
          <w:rFonts w:ascii="ITC Avant Garde" w:hAnsi="ITC Avant Garde"/>
        </w:rPr>
        <w:t xml:space="preserve">Señala que cuando </w:t>
      </w:r>
      <w:r w:rsidR="004C5602" w:rsidRPr="004C5602">
        <w:rPr>
          <w:rFonts w:ascii="ITC Avant Garde" w:hAnsi="ITC Avant Garde"/>
        </w:rPr>
        <w:t xml:space="preserve">existe redundancia, la capacidad máxima </w:t>
      </w:r>
      <w:r>
        <w:rPr>
          <w:rFonts w:ascii="ITC Avant Garde" w:hAnsi="ITC Avant Garde"/>
        </w:rPr>
        <w:t xml:space="preserve">de los enlaces </w:t>
      </w:r>
      <w:r w:rsidR="004C5602" w:rsidRPr="004C5602">
        <w:rPr>
          <w:rFonts w:ascii="ITC Avant Garde" w:hAnsi="ITC Avant Garde"/>
        </w:rPr>
        <w:t>no debe rebasar del 40%, de modo que si existe una afectación el enlace redundante pueda absorber el tráfico de ambos, por lo que sugiere la siguiente redacción:</w:t>
      </w:r>
    </w:p>
    <w:p w14:paraId="2F4341C9" w14:textId="77777777" w:rsidR="004C5602" w:rsidRPr="004C5602" w:rsidRDefault="004C5602" w:rsidP="007531A8">
      <w:pPr>
        <w:autoSpaceDE w:val="0"/>
        <w:autoSpaceDN w:val="0"/>
        <w:adjustRightInd w:val="0"/>
        <w:spacing w:after="0" w:line="276" w:lineRule="auto"/>
        <w:ind w:right="49"/>
        <w:rPr>
          <w:rFonts w:ascii="ITC Avant Garde" w:hAnsi="ITC Avant Garde"/>
        </w:rPr>
      </w:pPr>
    </w:p>
    <w:p w14:paraId="423F7664" w14:textId="7388D731" w:rsidR="004C5602" w:rsidRPr="008115BC" w:rsidRDefault="008115BC" w:rsidP="007531A8">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r w:rsidRPr="008115BC">
        <w:rPr>
          <w:rFonts w:ascii="ITC Avant Garde" w:eastAsia="Avant Garde" w:hAnsi="ITC Avant Garde" w:cs="Avant Garde"/>
          <w:i/>
          <w:iCs/>
          <w:color w:val="000000"/>
          <w:sz w:val="18"/>
          <w:szCs w:val="18"/>
          <w:lang w:eastAsia="es-MX"/>
        </w:rPr>
        <w:t>“</w:t>
      </w:r>
      <w:r w:rsidR="004C5602" w:rsidRPr="008115BC">
        <w:rPr>
          <w:rFonts w:ascii="ITC Avant Garde" w:eastAsia="Avant Garde" w:hAnsi="ITC Avant Garde" w:cs="Avant Garde"/>
          <w:i/>
          <w:iCs/>
          <w:color w:val="000000"/>
          <w:sz w:val="18"/>
          <w:szCs w:val="18"/>
          <w:lang w:eastAsia="es-MX"/>
        </w:rPr>
        <w:t>Los enlaces por sitio deberán estar dimensionados para soportar en la hora pico un máximo de 85% (ochenta y cinco por ciento) de carga cuando se trate de un solo enlace sin redundancia; cuando exista redundancia (más de un enlace) todos deben operar al 40% (cuarenta por ciento) de ocupación, siendo éste el parámetro determinante para realizar el crecimiento de los servicios. Con lo anterior, en caso de falla de uno de los sitios, el tráfico se enrutará al o los enlaces que no estuvieran afectados, previniendo la afectación del servicio.</w:t>
      </w:r>
      <w:r w:rsidRPr="008115BC">
        <w:rPr>
          <w:rFonts w:ascii="ITC Avant Garde" w:eastAsia="Avant Garde" w:hAnsi="ITC Avant Garde" w:cs="Avant Garde"/>
          <w:i/>
          <w:iCs/>
          <w:color w:val="000000"/>
          <w:sz w:val="18"/>
          <w:szCs w:val="18"/>
          <w:lang w:eastAsia="es-MX"/>
        </w:rPr>
        <w:t>”</w:t>
      </w:r>
    </w:p>
    <w:p w14:paraId="17ADA0EA" w14:textId="77777777" w:rsidR="004C5602" w:rsidRPr="004C5602" w:rsidRDefault="004C5602" w:rsidP="007531A8">
      <w:pPr>
        <w:autoSpaceDE w:val="0"/>
        <w:autoSpaceDN w:val="0"/>
        <w:adjustRightInd w:val="0"/>
        <w:spacing w:after="0" w:line="276" w:lineRule="auto"/>
        <w:ind w:right="49"/>
        <w:rPr>
          <w:rFonts w:ascii="ITC Avant Garde" w:hAnsi="ITC Avant Garde"/>
        </w:rPr>
      </w:pPr>
    </w:p>
    <w:p w14:paraId="3E522AAC" w14:textId="5D105FEB" w:rsidR="004C5602" w:rsidRDefault="004C5602" w:rsidP="007531A8">
      <w:pPr>
        <w:autoSpaceDE w:val="0"/>
        <w:autoSpaceDN w:val="0"/>
        <w:adjustRightInd w:val="0"/>
        <w:spacing w:after="0" w:line="276" w:lineRule="auto"/>
        <w:ind w:right="49"/>
        <w:rPr>
          <w:rFonts w:ascii="ITC Avant Garde" w:hAnsi="ITC Avant Garde"/>
        </w:rPr>
      </w:pPr>
      <w:r w:rsidRPr="004C5602">
        <w:rPr>
          <w:rFonts w:ascii="ITC Avant Garde" w:hAnsi="ITC Avant Garde"/>
        </w:rPr>
        <w:t>Lo anterior, dado que pretender que todos los enlaces operen al 85% deja sin efecto el propósito de tener redundancia.</w:t>
      </w:r>
    </w:p>
    <w:p w14:paraId="583CB122" w14:textId="2B643B5F" w:rsidR="005409CB" w:rsidRDefault="005409CB" w:rsidP="007531A8">
      <w:pPr>
        <w:autoSpaceDE w:val="0"/>
        <w:autoSpaceDN w:val="0"/>
        <w:adjustRightInd w:val="0"/>
        <w:spacing w:after="0" w:line="276" w:lineRule="auto"/>
        <w:ind w:right="49"/>
        <w:rPr>
          <w:rFonts w:ascii="ITC Avant Garde" w:hAnsi="ITC Avant Garde"/>
        </w:rPr>
      </w:pPr>
    </w:p>
    <w:p w14:paraId="094483A2" w14:textId="2C5C190A" w:rsidR="005409CB" w:rsidRPr="005409CB" w:rsidRDefault="0018725C" w:rsidP="007531A8">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Telefónica</w:t>
      </w:r>
    </w:p>
    <w:p w14:paraId="3FC335D0" w14:textId="0086CD38" w:rsidR="005769FC" w:rsidRDefault="008115BC" w:rsidP="007531A8">
      <w:pPr>
        <w:autoSpaceDE w:val="0"/>
        <w:autoSpaceDN w:val="0"/>
        <w:adjustRightInd w:val="0"/>
        <w:spacing w:after="0" w:line="276" w:lineRule="auto"/>
        <w:ind w:right="49"/>
        <w:rPr>
          <w:rFonts w:ascii="ITC Avant Garde" w:hAnsi="ITC Avant Garde"/>
        </w:rPr>
      </w:pPr>
      <w:r w:rsidRPr="008115BC">
        <w:rPr>
          <w:rFonts w:ascii="ITC Avant Garde" w:hAnsi="ITC Avant Garde"/>
        </w:rPr>
        <w:t xml:space="preserve">Señala que los enlaces por </w:t>
      </w:r>
      <w:r w:rsidR="00233859" w:rsidRPr="008115BC">
        <w:rPr>
          <w:rFonts w:ascii="ITC Avant Garde" w:hAnsi="ITC Avant Garde"/>
        </w:rPr>
        <w:t>sitio</w:t>
      </w:r>
      <w:r w:rsidRPr="008115BC">
        <w:rPr>
          <w:rFonts w:ascii="ITC Avant Garde" w:hAnsi="ITC Avant Garde"/>
        </w:rPr>
        <w:t xml:space="preserve"> </w:t>
      </w:r>
      <w:r w:rsidR="005769FC">
        <w:rPr>
          <w:rFonts w:ascii="ITC Avant Garde" w:hAnsi="ITC Avant Garde"/>
        </w:rPr>
        <w:t>d</w:t>
      </w:r>
      <w:r w:rsidRPr="008115BC">
        <w:rPr>
          <w:rFonts w:ascii="ITC Avant Garde" w:hAnsi="ITC Avant Garde"/>
        </w:rPr>
        <w:t>eberán estar dimensionados para soportar en hora pico un máximo de 50% de carga, siendo éste el parámetro determinante para realizar el crecimiento de los servicios, por lo que, en caso de falla de uno de los sitios, el tráfico se enrutará al enlace en servicio, previniendo afectaciones</w:t>
      </w:r>
      <w:r w:rsidR="005769FC">
        <w:rPr>
          <w:rFonts w:ascii="ITC Avant Garde" w:hAnsi="ITC Avant Garde"/>
        </w:rPr>
        <w:t xml:space="preserve"> al servicio. </w:t>
      </w:r>
    </w:p>
    <w:p w14:paraId="7ECC3D4B" w14:textId="672E1236" w:rsidR="005769FC" w:rsidRPr="004C5602" w:rsidRDefault="005769FC" w:rsidP="007531A8">
      <w:pPr>
        <w:autoSpaceDE w:val="0"/>
        <w:autoSpaceDN w:val="0"/>
        <w:adjustRightInd w:val="0"/>
        <w:spacing w:after="0" w:line="276" w:lineRule="auto"/>
        <w:ind w:right="49"/>
        <w:rPr>
          <w:rFonts w:ascii="ITC Avant Garde" w:hAnsi="ITC Avant Garde"/>
          <w:b/>
          <w:bCs/>
        </w:rPr>
      </w:pPr>
    </w:p>
    <w:p w14:paraId="0ED3A733" w14:textId="6D7D8C3D" w:rsidR="004C5602" w:rsidRPr="004C5602" w:rsidRDefault="005769FC"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C</w:t>
      </w:r>
      <w:r w:rsidR="004C5602" w:rsidRPr="004C5602">
        <w:rPr>
          <w:rFonts w:ascii="ITC Avant Garde" w:hAnsi="ITC Avant Garde"/>
          <w:b/>
          <w:bCs/>
        </w:rPr>
        <w:t xml:space="preserve">onsideraciones del Instituto </w:t>
      </w:r>
    </w:p>
    <w:p w14:paraId="44FDA980" w14:textId="78C07B4E" w:rsidR="004C5602" w:rsidRDefault="004C5602" w:rsidP="007531A8">
      <w:pPr>
        <w:autoSpaceDE w:val="0"/>
        <w:autoSpaceDN w:val="0"/>
        <w:adjustRightInd w:val="0"/>
        <w:spacing w:after="0" w:line="276" w:lineRule="auto"/>
        <w:ind w:right="49"/>
        <w:rPr>
          <w:rFonts w:ascii="ITC Avant Garde" w:hAnsi="ITC Avant Garde"/>
        </w:rPr>
      </w:pPr>
      <w:r w:rsidRPr="004C5602">
        <w:rPr>
          <w:rFonts w:ascii="ITC Avant Garde" w:hAnsi="ITC Avant Garde"/>
        </w:rPr>
        <w:t>Se considera que el parámetro para disparar el crecimiento de los servicios debe ser la ocupación del 85% en hora pico de la capacidad de los enlaces por sitio, toda vez que en caso de falla dicho umbral de capacidad permitirá que se curse la totalidad del tráfico durante la hora de mayor demanda y un margen del 15% de capacidad disponible, con la que se podrá cursar 15% más de tráfico. Lo anterior, dado el carácter temporal y aleatorio de una falla, pues de mantener los enlaces con redundancia al 40% o 50% de su capacidad redunda en capacidad que no se utilizará la mayor parte del tiempo, solo en caso de presentarse una falla.</w:t>
      </w:r>
    </w:p>
    <w:p w14:paraId="0B4764A3" w14:textId="629E255D" w:rsidR="004C5602" w:rsidRDefault="004C5602" w:rsidP="007531A8">
      <w:pPr>
        <w:autoSpaceDE w:val="0"/>
        <w:autoSpaceDN w:val="0"/>
        <w:adjustRightInd w:val="0"/>
        <w:spacing w:after="0" w:line="276" w:lineRule="auto"/>
        <w:ind w:right="49"/>
        <w:rPr>
          <w:rFonts w:ascii="ITC Avant Garde" w:hAnsi="ITC Avant Garde"/>
        </w:rPr>
      </w:pPr>
    </w:p>
    <w:p w14:paraId="33323677" w14:textId="5BF50FEC" w:rsidR="005409CB" w:rsidRPr="005409CB" w:rsidRDefault="005409CB" w:rsidP="007531A8">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AT&amp;T</w:t>
      </w:r>
    </w:p>
    <w:p w14:paraId="7B50FBF9" w14:textId="05DC4D3F" w:rsidR="005409CB" w:rsidRDefault="00E53F6C" w:rsidP="007531A8">
      <w:pPr>
        <w:autoSpaceDE w:val="0"/>
        <w:autoSpaceDN w:val="0"/>
        <w:adjustRightInd w:val="0"/>
        <w:spacing w:after="0" w:line="276" w:lineRule="auto"/>
        <w:ind w:right="49"/>
        <w:rPr>
          <w:rFonts w:ascii="ITC Avant Garde" w:hAnsi="ITC Avant Garde"/>
        </w:rPr>
      </w:pPr>
      <w:r>
        <w:rPr>
          <w:rFonts w:ascii="ITC Avant Garde" w:hAnsi="ITC Avant Garde"/>
        </w:rPr>
        <w:t xml:space="preserve">Sugiere </w:t>
      </w:r>
      <w:r w:rsidRPr="00E53F6C">
        <w:rPr>
          <w:rFonts w:ascii="ITC Avant Garde" w:hAnsi="ITC Avant Garde"/>
        </w:rPr>
        <w:t xml:space="preserve">eliminar la obligación de entrega de pronósticos en la interconexión </w:t>
      </w:r>
      <w:r>
        <w:rPr>
          <w:rFonts w:ascii="ITC Avant Garde" w:hAnsi="ITC Avant Garde"/>
        </w:rPr>
        <w:t>puesto</w:t>
      </w:r>
      <w:r w:rsidRPr="00E53F6C">
        <w:rPr>
          <w:rFonts w:ascii="ITC Avant Garde" w:hAnsi="ITC Avant Garde"/>
        </w:rPr>
        <w:t xml:space="preserve"> que existe un mecanismo establecido para definir cuándo se debe incrementar la capacidad. </w:t>
      </w:r>
      <w:r>
        <w:rPr>
          <w:rFonts w:ascii="ITC Avant Garde" w:hAnsi="ITC Avant Garde"/>
        </w:rPr>
        <w:t>Asimismo, señala que</w:t>
      </w:r>
      <w:r w:rsidRPr="00E53F6C">
        <w:rPr>
          <w:rFonts w:ascii="ITC Avant Garde" w:hAnsi="ITC Avant Garde"/>
        </w:rPr>
        <w:t xml:space="preserve"> </w:t>
      </w:r>
      <w:r>
        <w:rPr>
          <w:rFonts w:ascii="ITC Avant Garde" w:hAnsi="ITC Avant Garde"/>
        </w:rPr>
        <w:t>n</w:t>
      </w:r>
      <w:r w:rsidRPr="00E53F6C">
        <w:rPr>
          <w:rFonts w:ascii="ITC Avant Garde" w:hAnsi="ITC Avant Garde"/>
        </w:rPr>
        <w:t>ingún concesionario solicita estimaciones de tráfico en las interconexiones y nunca ha</w:t>
      </w:r>
      <w:r>
        <w:rPr>
          <w:rFonts w:ascii="ITC Avant Garde" w:hAnsi="ITC Avant Garde"/>
        </w:rPr>
        <w:t>n existido problemáticas relacionadas con las mismas</w:t>
      </w:r>
      <w:r w:rsidRPr="00E53F6C">
        <w:rPr>
          <w:rFonts w:ascii="ITC Avant Garde" w:hAnsi="ITC Avant Garde"/>
        </w:rPr>
        <w:t>.</w:t>
      </w:r>
    </w:p>
    <w:p w14:paraId="2D957B6A" w14:textId="77777777" w:rsidR="00E53F6C" w:rsidRDefault="00E53F6C" w:rsidP="007531A8">
      <w:pPr>
        <w:autoSpaceDE w:val="0"/>
        <w:autoSpaceDN w:val="0"/>
        <w:adjustRightInd w:val="0"/>
        <w:spacing w:after="0" w:line="276" w:lineRule="auto"/>
        <w:ind w:right="49"/>
        <w:rPr>
          <w:rFonts w:ascii="ITC Avant Garde" w:hAnsi="ITC Avant Garde"/>
        </w:rPr>
      </w:pPr>
    </w:p>
    <w:p w14:paraId="0BCBEB95" w14:textId="65FD7E67" w:rsidR="00E84D47" w:rsidRDefault="00E84D47"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Mega Cable</w:t>
      </w:r>
    </w:p>
    <w:p w14:paraId="659CCD7D" w14:textId="1F89AA8E" w:rsidR="00E84D47" w:rsidRPr="008D3AE3" w:rsidRDefault="00E84D47" w:rsidP="00E84D47">
      <w:pPr>
        <w:autoSpaceDE w:val="0"/>
        <w:autoSpaceDN w:val="0"/>
        <w:adjustRightInd w:val="0"/>
        <w:spacing w:after="0" w:line="276" w:lineRule="auto"/>
        <w:ind w:right="49"/>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Sugiere</w:t>
      </w:r>
      <w:r w:rsidRPr="008D3AE3">
        <w:rPr>
          <w:rFonts w:ascii="ITC Avant Garde" w:eastAsia="Avant Garde" w:hAnsi="ITC Avant Garde" w:cs="Avant Garde"/>
          <w:color w:val="000000"/>
          <w:lang w:eastAsia="es-MX"/>
        </w:rPr>
        <w:t xml:space="preserve"> elimina</w:t>
      </w:r>
      <w:r>
        <w:rPr>
          <w:rFonts w:ascii="ITC Avant Garde" w:eastAsia="Avant Garde" w:hAnsi="ITC Avant Garde" w:cs="Avant Garde"/>
          <w:color w:val="000000"/>
          <w:lang w:eastAsia="es-MX"/>
        </w:rPr>
        <w:t>r</w:t>
      </w:r>
      <w:r w:rsidRPr="008D3AE3">
        <w:rPr>
          <w:rFonts w:ascii="ITC Avant Garde" w:eastAsia="Avant Garde" w:hAnsi="ITC Avant Garde" w:cs="Avant Garde"/>
          <w:color w:val="000000"/>
          <w:lang w:eastAsia="es-MX"/>
        </w:rPr>
        <w:t xml:space="preserve"> los párrafos </w:t>
      </w:r>
      <w:r>
        <w:rPr>
          <w:rFonts w:ascii="ITC Avant Garde" w:eastAsia="Avant Garde" w:hAnsi="ITC Avant Garde" w:cs="Avant Garde"/>
          <w:color w:val="000000"/>
          <w:lang w:eastAsia="es-MX"/>
        </w:rPr>
        <w:t>referentes a la entrega de pronósticos</w:t>
      </w:r>
      <w:r w:rsidRPr="008D3AE3">
        <w:rPr>
          <w:rFonts w:ascii="ITC Avant Garde" w:eastAsia="Avant Garde" w:hAnsi="ITC Avant Garde" w:cs="Avant Garde"/>
          <w:color w:val="000000"/>
          <w:lang w:eastAsia="es-MX"/>
        </w:rPr>
        <w:t xml:space="preserve">, ya que el tráfico a nivel nacional ya está dimensionado y no sufre incrementos ni decrementos bruscos, sino que se torna </w:t>
      </w:r>
      <w:r>
        <w:rPr>
          <w:rFonts w:ascii="ITC Avant Garde" w:eastAsia="Avant Garde" w:hAnsi="ITC Avant Garde" w:cs="Avant Garde"/>
          <w:color w:val="000000"/>
          <w:lang w:eastAsia="es-MX"/>
        </w:rPr>
        <w:t xml:space="preserve">en </w:t>
      </w:r>
      <w:r w:rsidRPr="008D3AE3">
        <w:rPr>
          <w:rFonts w:ascii="ITC Avant Garde" w:eastAsia="Avant Garde" w:hAnsi="ITC Avant Garde" w:cs="Avant Garde"/>
          <w:color w:val="000000"/>
          <w:lang w:eastAsia="es-MX"/>
        </w:rPr>
        <w:t>una traba burocrática por parte del AEP.</w:t>
      </w:r>
    </w:p>
    <w:p w14:paraId="48E71EFE" w14:textId="77777777" w:rsidR="00E84D47" w:rsidRDefault="00E84D47" w:rsidP="007531A8">
      <w:pPr>
        <w:autoSpaceDE w:val="0"/>
        <w:autoSpaceDN w:val="0"/>
        <w:adjustRightInd w:val="0"/>
        <w:spacing w:after="0" w:line="276" w:lineRule="auto"/>
        <w:ind w:right="49"/>
        <w:rPr>
          <w:rFonts w:ascii="ITC Avant Garde" w:hAnsi="ITC Avant Garde"/>
          <w:b/>
          <w:bCs/>
        </w:rPr>
      </w:pPr>
    </w:p>
    <w:p w14:paraId="543EEF42" w14:textId="3F24CAC2" w:rsidR="005409CB" w:rsidRDefault="005409CB" w:rsidP="007531A8">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 xml:space="preserve">Consideraciones del Instituto </w:t>
      </w:r>
    </w:p>
    <w:p w14:paraId="250FCEB9" w14:textId="6F575101" w:rsidR="00E84D47" w:rsidRDefault="00E84D47" w:rsidP="00E84D47">
      <w:pPr>
        <w:autoSpaceDE w:val="0"/>
        <w:autoSpaceDN w:val="0"/>
        <w:adjustRightInd w:val="0"/>
        <w:spacing w:after="0" w:line="276" w:lineRule="auto"/>
        <w:ind w:right="49"/>
        <w:rPr>
          <w:rFonts w:ascii="ITC Avant Garde" w:hAnsi="ITC Avant Garde"/>
        </w:rPr>
      </w:pPr>
      <w:r>
        <w:rPr>
          <w:rFonts w:ascii="ITC Avant Garde" w:hAnsi="ITC Avant Garde"/>
        </w:rPr>
        <w:lastRenderedPageBreak/>
        <w:t xml:space="preserve">No </w:t>
      </w:r>
      <w:r w:rsidRPr="008D3AE3">
        <w:rPr>
          <w:rFonts w:ascii="ITC Avant Garde" w:hAnsi="ITC Avant Garde"/>
        </w:rPr>
        <w:t>se considera la propuesta de eliminación de</w:t>
      </w:r>
      <w:r>
        <w:rPr>
          <w:rFonts w:ascii="ITC Avant Garde" w:hAnsi="ITC Avant Garde"/>
        </w:rPr>
        <w:t xml:space="preserve"> las referencias al</w:t>
      </w:r>
      <w:r w:rsidRPr="008D3AE3">
        <w:rPr>
          <w:rFonts w:ascii="ITC Avant Garde" w:hAnsi="ITC Avant Garde"/>
        </w:rPr>
        <w:t xml:space="preserve"> intercambio de pronósticos</w:t>
      </w:r>
      <w:r>
        <w:rPr>
          <w:rFonts w:ascii="ITC Avant Garde" w:hAnsi="ITC Avant Garde"/>
        </w:rPr>
        <w:t xml:space="preserve"> dado que l</w:t>
      </w:r>
      <w:r w:rsidRPr="008D3AE3">
        <w:rPr>
          <w:rFonts w:ascii="ITC Avant Garde" w:hAnsi="ITC Avant Garde"/>
        </w:rPr>
        <w:t>os requerimientos de capacidad y la proyección de</w:t>
      </w:r>
      <w:r>
        <w:rPr>
          <w:rFonts w:ascii="ITC Avant Garde" w:hAnsi="ITC Avant Garde"/>
        </w:rPr>
        <w:t xml:space="preserve"> </w:t>
      </w:r>
      <w:r w:rsidRPr="008D3AE3">
        <w:rPr>
          <w:rFonts w:ascii="ITC Avant Garde" w:hAnsi="ITC Avant Garde"/>
        </w:rPr>
        <w:t>demanda de capacidad se encuentran considerados dentro de las condiciones técnicas del CMI conforme a la fracción I, inciso d) de la medida Duodécima de las Medidas Fijas.</w:t>
      </w:r>
    </w:p>
    <w:p w14:paraId="551796D4" w14:textId="0502385B" w:rsidR="005409CB" w:rsidRDefault="005409CB" w:rsidP="007531A8">
      <w:pPr>
        <w:autoSpaceDE w:val="0"/>
        <w:autoSpaceDN w:val="0"/>
        <w:adjustRightInd w:val="0"/>
        <w:spacing w:after="0" w:line="276" w:lineRule="auto"/>
        <w:ind w:right="49"/>
        <w:rPr>
          <w:rFonts w:ascii="ITC Avant Garde" w:hAnsi="ITC Avant Garde"/>
        </w:rPr>
      </w:pPr>
    </w:p>
    <w:p w14:paraId="085E2A55" w14:textId="3AB63F90" w:rsidR="005409CB" w:rsidRPr="005409CB" w:rsidRDefault="005409CB" w:rsidP="007531A8">
      <w:pPr>
        <w:autoSpaceDE w:val="0"/>
        <w:autoSpaceDN w:val="0"/>
        <w:adjustRightInd w:val="0"/>
        <w:spacing w:after="0" w:line="276" w:lineRule="auto"/>
        <w:ind w:right="49"/>
        <w:rPr>
          <w:rFonts w:ascii="ITC Avant Garde" w:hAnsi="ITC Avant Garde"/>
          <w:b/>
          <w:bCs/>
          <w:u w:val="single"/>
        </w:rPr>
      </w:pPr>
      <w:r w:rsidRPr="005409CB">
        <w:rPr>
          <w:rFonts w:ascii="ITC Avant Garde" w:hAnsi="ITC Avant Garde"/>
          <w:b/>
          <w:bCs/>
          <w:u w:val="single"/>
        </w:rPr>
        <w:t>CLÁUSULA CUARTA.  CONTRAPRESTACIONES</w:t>
      </w:r>
    </w:p>
    <w:p w14:paraId="7CB14CBA" w14:textId="77777777" w:rsidR="005409CB" w:rsidRPr="005409CB" w:rsidRDefault="005409CB" w:rsidP="007531A8">
      <w:pPr>
        <w:autoSpaceDE w:val="0"/>
        <w:autoSpaceDN w:val="0"/>
        <w:adjustRightInd w:val="0"/>
        <w:spacing w:after="0" w:line="276" w:lineRule="auto"/>
        <w:ind w:right="49"/>
        <w:rPr>
          <w:rFonts w:ascii="ITC Avant Garde" w:hAnsi="ITC Avant Garde"/>
          <w:b/>
          <w:bCs/>
        </w:rPr>
      </w:pPr>
    </w:p>
    <w:p w14:paraId="1F8AAFBC" w14:textId="3B61F8BE" w:rsidR="005409CB" w:rsidRPr="005409CB" w:rsidRDefault="005409CB" w:rsidP="007531A8">
      <w:pPr>
        <w:autoSpaceDE w:val="0"/>
        <w:autoSpaceDN w:val="0"/>
        <w:adjustRightInd w:val="0"/>
        <w:spacing w:after="0" w:line="276" w:lineRule="auto"/>
        <w:ind w:right="49"/>
        <w:rPr>
          <w:rFonts w:ascii="ITC Avant Garde" w:hAnsi="ITC Avant Garde"/>
          <w:b/>
          <w:bCs/>
          <w:u w:val="single"/>
        </w:rPr>
      </w:pPr>
      <w:r w:rsidRPr="005409CB">
        <w:rPr>
          <w:rFonts w:ascii="ITC Avant Garde" w:hAnsi="ITC Avant Garde"/>
          <w:b/>
          <w:bCs/>
          <w:u w:val="single"/>
        </w:rPr>
        <w:t>4.1 TARIFAS Y FORMAS DE PAGO</w:t>
      </w:r>
    </w:p>
    <w:p w14:paraId="26848342" w14:textId="77777777" w:rsidR="005409CB" w:rsidRPr="005409CB" w:rsidRDefault="005409CB" w:rsidP="007531A8">
      <w:pPr>
        <w:autoSpaceDE w:val="0"/>
        <w:autoSpaceDN w:val="0"/>
        <w:adjustRightInd w:val="0"/>
        <w:spacing w:after="0" w:line="276" w:lineRule="auto"/>
        <w:ind w:right="49"/>
        <w:rPr>
          <w:rFonts w:ascii="ITC Avant Garde" w:hAnsi="ITC Avant Garde"/>
          <w:b/>
          <w:bCs/>
        </w:rPr>
      </w:pPr>
    </w:p>
    <w:p w14:paraId="44AC4B26" w14:textId="2865D0DF" w:rsidR="005409CB" w:rsidRPr="005409CB" w:rsidRDefault="0018725C" w:rsidP="007531A8">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 xml:space="preserve">Telefónica </w:t>
      </w:r>
    </w:p>
    <w:p w14:paraId="4138BFC5" w14:textId="47351613" w:rsidR="005409CB" w:rsidRDefault="005409CB" w:rsidP="007531A8">
      <w:pPr>
        <w:autoSpaceDE w:val="0"/>
        <w:autoSpaceDN w:val="0"/>
        <w:adjustRightInd w:val="0"/>
        <w:spacing w:after="0" w:line="276" w:lineRule="auto"/>
        <w:ind w:right="49"/>
        <w:rPr>
          <w:rFonts w:ascii="ITC Avant Garde" w:hAnsi="ITC Avant Garde"/>
        </w:rPr>
      </w:pPr>
      <w:r w:rsidRPr="005409CB">
        <w:rPr>
          <w:rFonts w:ascii="ITC Avant Garde" w:hAnsi="ITC Avant Garde"/>
        </w:rPr>
        <w:t>Solicita eliminar el numeral 4.1, ya que, la determinación de las tarifas es facultad del Instituto por lo que se considera que, en un convenio no es necesario que las partes pacten principios referentes a las mismas en el entendido de que estos surgen de disposiciones legales.</w:t>
      </w:r>
    </w:p>
    <w:p w14:paraId="567FA0F9" w14:textId="6629D3C2" w:rsidR="004C5602" w:rsidRDefault="004C5602" w:rsidP="007531A8">
      <w:pPr>
        <w:autoSpaceDE w:val="0"/>
        <w:autoSpaceDN w:val="0"/>
        <w:adjustRightInd w:val="0"/>
        <w:spacing w:after="0" w:line="276" w:lineRule="auto"/>
        <w:ind w:right="49"/>
        <w:rPr>
          <w:rFonts w:ascii="ITC Avant Garde" w:hAnsi="ITC Avant Garde"/>
        </w:rPr>
      </w:pPr>
    </w:p>
    <w:p w14:paraId="475DF0F1" w14:textId="363B8736" w:rsidR="007508FC" w:rsidRDefault="007508FC" w:rsidP="007531A8">
      <w:pPr>
        <w:autoSpaceDE w:val="0"/>
        <w:autoSpaceDN w:val="0"/>
        <w:adjustRightInd w:val="0"/>
        <w:spacing w:after="0" w:line="276" w:lineRule="auto"/>
        <w:ind w:right="49"/>
        <w:rPr>
          <w:rFonts w:ascii="ITC Avant Garde" w:hAnsi="ITC Avant Garde"/>
          <w:b/>
          <w:bCs/>
        </w:rPr>
      </w:pPr>
      <w:r w:rsidRPr="007508FC">
        <w:rPr>
          <w:rFonts w:ascii="ITC Avant Garde" w:hAnsi="ITC Avant Garde"/>
          <w:b/>
          <w:bCs/>
        </w:rPr>
        <w:t xml:space="preserve">Consideraciones del Instituto </w:t>
      </w:r>
    </w:p>
    <w:p w14:paraId="6DADB9C0" w14:textId="4A295B7C" w:rsidR="007508FC" w:rsidRDefault="007508FC" w:rsidP="007531A8">
      <w:pPr>
        <w:autoSpaceDE w:val="0"/>
        <w:autoSpaceDN w:val="0"/>
        <w:adjustRightInd w:val="0"/>
        <w:spacing w:after="0" w:line="276" w:lineRule="auto"/>
        <w:ind w:right="49"/>
        <w:rPr>
          <w:rFonts w:ascii="ITC Avant Garde" w:hAnsi="ITC Avant Garde"/>
        </w:rPr>
      </w:pPr>
      <w:r w:rsidRPr="007508FC">
        <w:rPr>
          <w:rFonts w:ascii="ITC Avant Garde" w:hAnsi="ITC Avant Garde"/>
        </w:rPr>
        <w:t xml:space="preserve">Al respecto se señala que el contenido de dicha cláusula es acorde con la regulación vigente, ya que de conformidad con la metodología de costos emitida por el Instituto las tarifas deben sujetarse a los principios establecidos en dicho numeral, por lo anterior no se consideran principios establecidos por el </w:t>
      </w:r>
      <w:proofErr w:type="gramStart"/>
      <w:r w:rsidRPr="007508FC">
        <w:rPr>
          <w:rFonts w:ascii="ITC Avant Garde" w:hAnsi="ITC Avant Garde"/>
        </w:rPr>
        <w:t>AEP</w:t>
      </w:r>
      <w:proofErr w:type="gramEnd"/>
      <w:r w:rsidRPr="007508FC">
        <w:rPr>
          <w:rFonts w:ascii="ITC Avant Garde" w:hAnsi="ITC Avant Garde"/>
        </w:rPr>
        <w:t xml:space="preserve"> sino que en dicho numeral únicamente se citan los principios aplicables en la determinación de tarifas.</w:t>
      </w:r>
    </w:p>
    <w:p w14:paraId="2FA78A66" w14:textId="4975498A" w:rsidR="007508FC" w:rsidRDefault="007508FC" w:rsidP="007531A8">
      <w:pPr>
        <w:autoSpaceDE w:val="0"/>
        <w:autoSpaceDN w:val="0"/>
        <w:adjustRightInd w:val="0"/>
        <w:spacing w:after="0" w:line="276" w:lineRule="auto"/>
        <w:ind w:right="49"/>
        <w:rPr>
          <w:rFonts w:ascii="ITC Avant Garde" w:hAnsi="ITC Avant Garde"/>
        </w:rPr>
      </w:pPr>
    </w:p>
    <w:p w14:paraId="5959BB12" w14:textId="65D698E6" w:rsidR="007508FC" w:rsidRDefault="007508FC" w:rsidP="007531A8">
      <w:pPr>
        <w:autoSpaceDE w:val="0"/>
        <w:autoSpaceDN w:val="0"/>
        <w:adjustRightInd w:val="0"/>
        <w:spacing w:after="0" w:line="276" w:lineRule="auto"/>
        <w:ind w:right="49"/>
        <w:rPr>
          <w:rFonts w:ascii="ITC Avant Garde" w:hAnsi="ITC Avant Garde"/>
          <w:b/>
          <w:bCs/>
          <w:u w:val="single"/>
        </w:rPr>
      </w:pPr>
      <w:r w:rsidRPr="007508FC">
        <w:rPr>
          <w:rFonts w:ascii="ITC Avant Garde" w:hAnsi="ITC Avant Garde"/>
          <w:b/>
          <w:bCs/>
          <w:u w:val="single"/>
        </w:rPr>
        <w:t>4.1.2 VIGENCIA</w:t>
      </w:r>
    </w:p>
    <w:p w14:paraId="74B492FB" w14:textId="77777777" w:rsidR="007508FC" w:rsidRPr="007508FC" w:rsidRDefault="007508FC" w:rsidP="007531A8">
      <w:pPr>
        <w:autoSpaceDE w:val="0"/>
        <w:autoSpaceDN w:val="0"/>
        <w:adjustRightInd w:val="0"/>
        <w:spacing w:after="0" w:line="276" w:lineRule="auto"/>
        <w:ind w:right="49"/>
        <w:rPr>
          <w:rFonts w:ascii="ITC Avant Garde" w:hAnsi="ITC Avant Garde"/>
          <w:b/>
          <w:bCs/>
          <w:u w:val="single"/>
        </w:rPr>
      </w:pPr>
    </w:p>
    <w:p w14:paraId="626A75FB" w14:textId="3A27BD8F" w:rsidR="007508FC" w:rsidRDefault="0018725C" w:rsidP="007531A8">
      <w:pPr>
        <w:autoSpaceDE w:val="0"/>
        <w:autoSpaceDN w:val="0"/>
        <w:adjustRightInd w:val="0"/>
        <w:spacing w:after="0" w:line="276" w:lineRule="auto"/>
        <w:ind w:right="49"/>
        <w:rPr>
          <w:rFonts w:ascii="ITC Avant Garde" w:hAnsi="ITC Avant Garde"/>
          <w:b/>
          <w:bCs/>
        </w:rPr>
      </w:pPr>
      <w:r w:rsidRPr="007508FC">
        <w:rPr>
          <w:rFonts w:ascii="ITC Avant Garde" w:hAnsi="ITC Avant Garde"/>
          <w:b/>
          <w:bCs/>
        </w:rPr>
        <w:t>Tel</w:t>
      </w:r>
      <w:r w:rsidR="000D6621">
        <w:rPr>
          <w:rFonts w:ascii="ITC Avant Garde" w:hAnsi="ITC Avant Garde"/>
          <w:b/>
          <w:bCs/>
        </w:rPr>
        <w:t>e</w:t>
      </w:r>
      <w:r w:rsidRPr="007508FC">
        <w:rPr>
          <w:rFonts w:ascii="ITC Avant Garde" w:hAnsi="ITC Avant Garde"/>
          <w:b/>
          <w:bCs/>
        </w:rPr>
        <w:t>f</w:t>
      </w:r>
      <w:r w:rsidR="000D6621">
        <w:rPr>
          <w:rFonts w:ascii="ITC Avant Garde" w:hAnsi="ITC Avant Garde"/>
          <w:b/>
          <w:bCs/>
        </w:rPr>
        <w:t>ó</w:t>
      </w:r>
      <w:r w:rsidRPr="007508FC">
        <w:rPr>
          <w:rFonts w:ascii="ITC Avant Garde" w:hAnsi="ITC Avant Garde"/>
          <w:b/>
          <w:bCs/>
        </w:rPr>
        <w:t>nica</w:t>
      </w:r>
    </w:p>
    <w:p w14:paraId="293D1339" w14:textId="4977AC45" w:rsidR="007508FC" w:rsidRDefault="007508FC" w:rsidP="007531A8">
      <w:pPr>
        <w:autoSpaceDE w:val="0"/>
        <w:autoSpaceDN w:val="0"/>
        <w:adjustRightInd w:val="0"/>
        <w:spacing w:after="0" w:line="276" w:lineRule="auto"/>
        <w:ind w:right="49"/>
        <w:rPr>
          <w:rFonts w:ascii="ITC Avant Garde" w:hAnsi="ITC Avant Garde"/>
        </w:rPr>
      </w:pPr>
      <w:r w:rsidRPr="007508FC">
        <w:rPr>
          <w:rFonts w:ascii="ITC Avant Garde" w:hAnsi="ITC Avant Garde"/>
        </w:rPr>
        <w:t xml:space="preserve">Solicitan eliminar el párrafo que indica que una vez que se determinen las nuevas prestaciones surtirán efecto a partir de la conclusión de las anteriores, debido a que establece el principio de retroactividad de las tarifas de interconexión hasta en la fecha en que perdieron vigencia las anteriormente pactadas. </w:t>
      </w:r>
    </w:p>
    <w:p w14:paraId="0F18A02C" w14:textId="77777777" w:rsidR="007508FC" w:rsidRPr="007508FC" w:rsidRDefault="007508FC" w:rsidP="007531A8">
      <w:pPr>
        <w:autoSpaceDE w:val="0"/>
        <w:autoSpaceDN w:val="0"/>
        <w:adjustRightInd w:val="0"/>
        <w:spacing w:after="0" w:line="276" w:lineRule="auto"/>
        <w:ind w:right="49"/>
        <w:rPr>
          <w:rFonts w:ascii="ITC Avant Garde" w:hAnsi="ITC Avant Garde"/>
        </w:rPr>
      </w:pPr>
    </w:p>
    <w:p w14:paraId="271740E8" w14:textId="3EC567F0" w:rsidR="007508FC" w:rsidRDefault="007508FC" w:rsidP="007531A8">
      <w:pPr>
        <w:autoSpaceDE w:val="0"/>
        <w:autoSpaceDN w:val="0"/>
        <w:adjustRightInd w:val="0"/>
        <w:spacing w:after="0" w:line="276" w:lineRule="auto"/>
        <w:ind w:right="49"/>
        <w:rPr>
          <w:rFonts w:ascii="ITC Avant Garde" w:hAnsi="ITC Avant Garde"/>
        </w:rPr>
      </w:pPr>
      <w:r w:rsidRPr="007508FC">
        <w:rPr>
          <w:rFonts w:ascii="ITC Avant Garde" w:hAnsi="ITC Avant Garde"/>
        </w:rPr>
        <w:t>Lo anterior, dado que las tarifas de interconexión podrían surtir efectos ya sea, (i) a partir de la fecha que pacten las partes o (</w:t>
      </w:r>
      <w:proofErr w:type="spellStart"/>
      <w:r w:rsidRPr="007508FC">
        <w:rPr>
          <w:rFonts w:ascii="ITC Avant Garde" w:hAnsi="ITC Avant Garde"/>
        </w:rPr>
        <w:t>ii</w:t>
      </w:r>
      <w:proofErr w:type="spellEnd"/>
      <w:r w:rsidRPr="007508FC">
        <w:rPr>
          <w:rFonts w:ascii="ITC Avant Garde" w:hAnsi="ITC Avant Garde"/>
        </w:rPr>
        <w:t>) a partir de la fecha específica que se determine en la resolución administrativa (Instituto) o judicial (en caso de impugnación) según corresponda.</w:t>
      </w:r>
    </w:p>
    <w:p w14:paraId="3631459E" w14:textId="77777777" w:rsidR="007508FC" w:rsidRPr="007508FC" w:rsidRDefault="007508FC" w:rsidP="007531A8">
      <w:pPr>
        <w:autoSpaceDE w:val="0"/>
        <w:autoSpaceDN w:val="0"/>
        <w:adjustRightInd w:val="0"/>
        <w:spacing w:after="0" w:line="276" w:lineRule="auto"/>
        <w:ind w:right="49"/>
        <w:rPr>
          <w:rFonts w:ascii="ITC Avant Garde" w:hAnsi="ITC Avant Garde"/>
        </w:rPr>
      </w:pPr>
    </w:p>
    <w:p w14:paraId="4221DDE5" w14:textId="1B4899AA" w:rsidR="007508FC" w:rsidRDefault="007508FC" w:rsidP="007531A8">
      <w:pPr>
        <w:autoSpaceDE w:val="0"/>
        <w:autoSpaceDN w:val="0"/>
        <w:adjustRightInd w:val="0"/>
        <w:spacing w:after="0" w:line="276" w:lineRule="auto"/>
        <w:ind w:right="49"/>
        <w:rPr>
          <w:rFonts w:ascii="ITC Avant Garde" w:hAnsi="ITC Avant Garde"/>
          <w:b/>
          <w:bCs/>
        </w:rPr>
      </w:pPr>
      <w:r w:rsidRPr="007508FC">
        <w:rPr>
          <w:rFonts w:ascii="ITC Avant Garde" w:hAnsi="ITC Avant Garde"/>
          <w:b/>
          <w:bCs/>
        </w:rPr>
        <w:t xml:space="preserve">Consideraciones del Instituto </w:t>
      </w:r>
    </w:p>
    <w:p w14:paraId="33930ED9" w14:textId="08EED8D1" w:rsidR="007508FC" w:rsidRDefault="007508FC" w:rsidP="007531A8">
      <w:pPr>
        <w:autoSpaceDE w:val="0"/>
        <w:autoSpaceDN w:val="0"/>
        <w:adjustRightInd w:val="0"/>
        <w:spacing w:after="0" w:line="276" w:lineRule="auto"/>
        <w:ind w:right="49"/>
        <w:rPr>
          <w:rFonts w:ascii="ITC Avant Garde" w:hAnsi="ITC Avant Garde"/>
        </w:rPr>
      </w:pPr>
      <w:r w:rsidRPr="007508FC">
        <w:rPr>
          <w:rFonts w:ascii="ITC Avant Garde" w:hAnsi="ITC Avant Garde"/>
        </w:rPr>
        <w:t>Al respecto, el numeral 4.1.2 del CMI ya considera la vigencia de las contraprestaciones por acuerdo entre las partes o por resolución administrativa, por lo que no se considera necesario reiterarlo.</w:t>
      </w:r>
    </w:p>
    <w:p w14:paraId="4E008891" w14:textId="0583F6D3" w:rsidR="00DC0683" w:rsidRDefault="00DC0683" w:rsidP="007531A8">
      <w:pPr>
        <w:autoSpaceDE w:val="0"/>
        <w:autoSpaceDN w:val="0"/>
        <w:adjustRightInd w:val="0"/>
        <w:spacing w:after="0" w:line="276" w:lineRule="auto"/>
        <w:ind w:right="49"/>
        <w:rPr>
          <w:rFonts w:ascii="ITC Avant Garde" w:hAnsi="ITC Avant Garde"/>
        </w:rPr>
      </w:pPr>
    </w:p>
    <w:p w14:paraId="47425035" w14:textId="127D533A" w:rsidR="00DC0683" w:rsidRDefault="00DC0683" w:rsidP="007531A8">
      <w:pPr>
        <w:autoSpaceDE w:val="0"/>
        <w:autoSpaceDN w:val="0"/>
        <w:adjustRightInd w:val="0"/>
        <w:spacing w:after="0" w:line="276" w:lineRule="auto"/>
        <w:ind w:right="49"/>
        <w:rPr>
          <w:rFonts w:ascii="ITC Avant Garde" w:hAnsi="ITC Avant Garde"/>
          <w:b/>
          <w:bCs/>
          <w:u w:val="single"/>
        </w:rPr>
      </w:pPr>
      <w:r w:rsidRPr="00DC0683">
        <w:rPr>
          <w:rFonts w:ascii="ITC Avant Garde" w:hAnsi="ITC Avant Garde"/>
          <w:b/>
          <w:bCs/>
          <w:u w:val="single"/>
        </w:rPr>
        <w:t xml:space="preserve">4.4.1 FACTURAS, 4.4.2 ÉPOCA Y FORMA DE PAGO, 4.4.3 FACTURAS OBJETADAS Y 4.4.5 REFACTURACIÓN Y AJUSTES </w:t>
      </w:r>
    </w:p>
    <w:p w14:paraId="6CEEA2FF" w14:textId="77777777" w:rsidR="00DC0683" w:rsidRPr="00DC0683" w:rsidRDefault="00DC0683" w:rsidP="007531A8">
      <w:pPr>
        <w:autoSpaceDE w:val="0"/>
        <w:autoSpaceDN w:val="0"/>
        <w:adjustRightInd w:val="0"/>
        <w:spacing w:after="0" w:line="276" w:lineRule="auto"/>
        <w:ind w:right="49"/>
        <w:rPr>
          <w:rFonts w:ascii="ITC Avant Garde" w:hAnsi="ITC Avant Garde"/>
          <w:b/>
          <w:bCs/>
          <w:u w:val="single"/>
        </w:rPr>
      </w:pPr>
    </w:p>
    <w:p w14:paraId="560BDB9E" w14:textId="0D3B5560" w:rsidR="00DC0683" w:rsidRDefault="0018725C" w:rsidP="007531A8">
      <w:pPr>
        <w:autoSpaceDE w:val="0"/>
        <w:autoSpaceDN w:val="0"/>
        <w:adjustRightInd w:val="0"/>
        <w:spacing w:after="0" w:line="276" w:lineRule="auto"/>
        <w:ind w:right="49"/>
        <w:rPr>
          <w:rFonts w:ascii="ITC Avant Garde" w:hAnsi="ITC Avant Garde"/>
          <w:b/>
          <w:bCs/>
        </w:rPr>
      </w:pPr>
      <w:r w:rsidRPr="00DC0683">
        <w:rPr>
          <w:rFonts w:ascii="ITC Avant Garde" w:hAnsi="ITC Avant Garde"/>
          <w:b/>
          <w:bCs/>
        </w:rPr>
        <w:t>Grupo Televisa</w:t>
      </w:r>
    </w:p>
    <w:p w14:paraId="1FF5187D" w14:textId="77777777" w:rsidR="00DC0683" w:rsidRPr="00DC0683" w:rsidRDefault="00DC0683" w:rsidP="007531A8">
      <w:pPr>
        <w:autoSpaceDE w:val="0"/>
        <w:autoSpaceDN w:val="0"/>
        <w:adjustRightInd w:val="0"/>
        <w:spacing w:after="0" w:line="276" w:lineRule="auto"/>
        <w:ind w:right="49"/>
        <w:rPr>
          <w:rFonts w:ascii="ITC Avant Garde" w:hAnsi="ITC Avant Garde"/>
        </w:rPr>
      </w:pPr>
      <w:r w:rsidRPr="00DC0683">
        <w:rPr>
          <w:rFonts w:ascii="ITC Avant Garde" w:hAnsi="ITC Avant Garde"/>
        </w:rPr>
        <w:t>Solicita ampliar el plazo de 18 a 30 días naturales para el pago de las facturas correspondientes y, en su caso para la objeción de facturas y que se reduzca el plazo de 120 días a 90 días naturales, para la presentación de facturas complementarias en los numerales referidos.</w:t>
      </w:r>
    </w:p>
    <w:p w14:paraId="69A74C61" w14:textId="77777777" w:rsidR="00DC0683" w:rsidRDefault="00DC0683" w:rsidP="007531A8">
      <w:pPr>
        <w:autoSpaceDE w:val="0"/>
        <w:autoSpaceDN w:val="0"/>
        <w:adjustRightInd w:val="0"/>
        <w:spacing w:after="0" w:line="276" w:lineRule="auto"/>
        <w:ind w:right="49"/>
        <w:rPr>
          <w:rFonts w:ascii="ITC Avant Garde" w:hAnsi="ITC Avant Garde"/>
        </w:rPr>
      </w:pPr>
    </w:p>
    <w:p w14:paraId="18B92FF4" w14:textId="522A139B" w:rsidR="00DC0683" w:rsidRDefault="00DC0683" w:rsidP="007531A8">
      <w:pPr>
        <w:autoSpaceDE w:val="0"/>
        <w:autoSpaceDN w:val="0"/>
        <w:adjustRightInd w:val="0"/>
        <w:spacing w:after="0" w:line="276" w:lineRule="auto"/>
        <w:ind w:right="49"/>
        <w:rPr>
          <w:rFonts w:ascii="ITC Avant Garde" w:hAnsi="ITC Avant Garde"/>
          <w:b/>
          <w:bCs/>
        </w:rPr>
      </w:pPr>
      <w:r w:rsidRPr="00DC0683">
        <w:rPr>
          <w:rFonts w:ascii="ITC Avant Garde" w:hAnsi="ITC Avant Garde"/>
          <w:b/>
          <w:bCs/>
        </w:rPr>
        <w:t xml:space="preserve">Consideraciones del Instituto </w:t>
      </w:r>
    </w:p>
    <w:p w14:paraId="32A0AF74" w14:textId="0E2EA777" w:rsidR="00DC0683" w:rsidRDefault="00233859" w:rsidP="007531A8">
      <w:pPr>
        <w:autoSpaceDE w:val="0"/>
        <w:autoSpaceDN w:val="0"/>
        <w:adjustRightInd w:val="0"/>
        <w:spacing w:after="0" w:line="276" w:lineRule="auto"/>
        <w:ind w:right="49"/>
        <w:rPr>
          <w:rFonts w:ascii="ITC Avant Garde" w:hAnsi="ITC Avant Garde"/>
        </w:rPr>
      </w:pPr>
      <w:r>
        <w:rPr>
          <w:rFonts w:ascii="ITC Avant Garde" w:hAnsi="ITC Avant Garde"/>
        </w:rPr>
        <w:t>L</w:t>
      </w:r>
      <w:r w:rsidR="00DC0683" w:rsidRPr="00DC0683">
        <w:rPr>
          <w:rFonts w:ascii="ITC Avant Garde" w:hAnsi="ITC Avant Garde"/>
        </w:rPr>
        <w:t>a finalidad de la cláusula es agilizar el procedimiento de objeción de facturas y el pago de los servicios prestados para ambas partes; asimismo, de una revisión de los convenios de interconexión que obran en el Registro Público de Concesiones, se observa que el plazo de 18 (dieciocho) días naturales para la objeción de facturas es una práctica común en la industria, por lo cual no se considera procedente la modificación del numeral en comento.</w:t>
      </w:r>
    </w:p>
    <w:p w14:paraId="51E17726" w14:textId="51A4D328" w:rsidR="00DC0683" w:rsidRDefault="00DC0683" w:rsidP="007531A8">
      <w:pPr>
        <w:autoSpaceDE w:val="0"/>
        <w:autoSpaceDN w:val="0"/>
        <w:adjustRightInd w:val="0"/>
        <w:spacing w:after="0" w:line="276" w:lineRule="auto"/>
        <w:ind w:right="49"/>
        <w:rPr>
          <w:rFonts w:ascii="ITC Avant Garde" w:hAnsi="ITC Avant Garde"/>
        </w:rPr>
      </w:pPr>
    </w:p>
    <w:p w14:paraId="3B458404" w14:textId="465D56AF" w:rsidR="00DC0683" w:rsidRDefault="00DC0683" w:rsidP="007531A8">
      <w:pPr>
        <w:autoSpaceDE w:val="0"/>
        <w:autoSpaceDN w:val="0"/>
        <w:adjustRightInd w:val="0"/>
        <w:spacing w:after="0" w:line="276" w:lineRule="auto"/>
        <w:ind w:right="49"/>
        <w:rPr>
          <w:rFonts w:ascii="ITC Avant Garde" w:hAnsi="ITC Avant Garde"/>
          <w:b/>
          <w:bCs/>
          <w:u w:val="single"/>
        </w:rPr>
      </w:pPr>
      <w:r w:rsidRPr="00DC0683">
        <w:rPr>
          <w:rFonts w:ascii="ITC Avant Garde" w:hAnsi="ITC Avant Garde"/>
          <w:b/>
          <w:bCs/>
          <w:u w:val="single"/>
        </w:rPr>
        <w:t>4.4.3 FACTURAS OBJETADAS</w:t>
      </w:r>
    </w:p>
    <w:p w14:paraId="05D35D1B" w14:textId="18A78D02" w:rsidR="00DC0683" w:rsidRDefault="00DC0683" w:rsidP="007531A8">
      <w:pPr>
        <w:autoSpaceDE w:val="0"/>
        <w:autoSpaceDN w:val="0"/>
        <w:adjustRightInd w:val="0"/>
        <w:spacing w:after="0" w:line="276" w:lineRule="auto"/>
        <w:ind w:right="49"/>
        <w:rPr>
          <w:rFonts w:ascii="ITC Avant Garde" w:hAnsi="ITC Avant Garde"/>
          <w:b/>
          <w:bCs/>
          <w:u w:val="single"/>
        </w:rPr>
      </w:pPr>
    </w:p>
    <w:p w14:paraId="336A2721" w14:textId="3184AF0C" w:rsidR="00DC0683" w:rsidRPr="00DC0683" w:rsidRDefault="00E84D47" w:rsidP="007531A8">
      <w:pPr>
        <w:autoSpaceDE w:val="0"/>
        <w:autoSpaceDN w:val="0"/>
        <w:adjustRightInd w:val="0"/>
        <w:spacing w:after="0" w:line="276" w:lineRule="auto"/>
        <w:ind w:right="49"/>
        <w:rPr>
          <w:rFonts w:ascii="ITC Avant Garde" w:hAnsi="ITC Avant Garde"/>
          <w:b/>
          <w:bCs/>
        </w:rPr>
      </w:pPr>
      <w:r w:rsidRPr="00DC0683">
        <w:rPr>
          <w:rFonts w:ascii="ITC Avant Garde" w:hAnsi="ITC Avant Garde"/>
          <w:b/>
          <w:bCs/>
        </w:rPr>
        <w:t>Telefónica</w:t>
      </w:r>
      <w:r w:rsidR="0018725C" w:rsidRPr="00DC0683">
        <w:rPr>
          <w:rFonts w:ascii="ITC Avant Garde" w:hAnsi="ITC Avant Garde"/>
          <w:b/>
          <w:bCs/>
        </w:rPr>
        <w:t xml:space="preserve"> </w:t>
      </w:r>
    </w:p>
    <w:p w14:paraId="0A6BD902" w14:textId="3ACBA57A" w:rsidR="00DC0683" w:rsidRPr="00DC0683" w:rsidRDefault="00DC0683" w:rsidP="007531A8">
      <w:pPr>
        <w:autoSpaceDE w:val="0"/>
        <w:autoSpaceDN w:val="0"/>
        <w:adjustRightInd w:val="0"/>
        <w:spacing w:after="0" w:line="276" w:lineRule="auto"/>
        <w:ind w:right="49"/>
        <w:rPr>
          <w:rFonts w:ascii="ITC Avant Garde" w:hAnsi="ITC Avant Garde"/>
        </w:rPr>
      </w:pPr>
      <w:r w:rsidRPr="00DC0683">
        <w:rPr>
          <w:rFonts w:ascii="ITC Avant Garde" w:hAnsi="ITC Avant Garde"/>
        </w:rPr>
        <w:t xml:space="preserve">Solicitan que en la sección de Facturas Objetadas se agregue un interés base y un interés alternativo con el fin de tener un tiempo de respuesta para la resolución de objeción. </w:t>
      </w:r>
    </w:p>
    <w:p w14:paraId="55AF2281" w14:textId="77777777" w:rsidR="00DC0683" w:rsidRDefault="00DC0683" w:rsidP="007531A8">
      <w:pPr>
        <w:autoSpaceDE w:val="0"/>
        <w:autoSpaceDN w:val="0"/>
        <w:adjustRightInd w:val="0"/>
        <w:spacing w:after="0" w:line="276" w:lineRule="auto"/>
        <w:ind w:right="49"/>
        <w:rPr>
          <w:rFonts w:ascii="ITC Avant Garde" w:hAnsi="ITC Avant Garde"/>
        </w:rPr>
      </w:pPr>
    </w:p>
    <w:p w14:paraId="6670E828" w14:textId="693948EA" w:rsidR="00DC0683" w:rsidRPr="00DC0683" w:rsidRDefault="00DC0683" w:rsidP="007531A8">
      <w:pPr>
        <w:autoSpaceDE w:val="0"/>
        <w:autoSpaceDN w:val="0"/>
        <w:adjustRightInd w:val="0"/>
        <w:spacing w:after="0" w:line="276" w:lineRule="auto"/>
        <w:ind w:right="49"/>
        <w:rPr>
          <w:rFonts w:ascii="ITC Avant Garde" w:hAnsi="ITC Avant Garde"/>
          <w:b/>
          <w:bCs/>
        </w:rPr>
      </w:pPr>
      <w:r w:rsidRPr="00DC0683">
        <w:rPr>
          <w:rFonts w:ascii="ITC Avant Garde" w:hAnsi="ITC Avant Garde"/>
          <w:b/>
          <w:bCs/>
        </w:rPr>
        <w:t>Consideraciones del Instituto</w:t>
      </w:r>
    </w:p>
    <w:p w14:paraId="14873CD9" w14:textId="38421D72" w:rsidR="00DC0683" w:rsidRDefault="001600F5" w:rsidP="007531A8">
      <w:pPr>
        <w:autoSpaceDE w:val="0"/>
        <w:autoSpaceDN w:val="0"/>
        <w:adjustRightInd w:val="0"/>
        <w:spacing w:after="0" w:line="276" w:lineRule="auto"/>
        <w:ind w:right="49"/>
        <w:rPr>
          <w:rFonts w:ascii="ITC Avant Garde" w:hAnsi="ITC Avant Garde"/>
        </w:rPr>
      </w:pPr>
      <w:r>
        <w:rPr>
          <w:rFonts w:ascii="ITC Avant Garde" w:hAnsi="ITC Avant Garde"/>
        </w:rPr>
        <w:t>E</w:t>
      </w:r>
      <w:r w:rsidR="00F04AF3">
        <w:rPr>
          <w:rFonts w:ascii="ITC Avant Garde" w:hAnsi="ITC Avant Garde"/>
        </w:rPr>
        <w:t>n e</w:t>
      </w:r>
      <w:r w:rsidR="00DC0683" w:rsidRPr="00DC0683">
        <w:rPr>
          <w:rFonts w:ascii="ITC Avant Garde" w:hAnsi="ITC Avant Garde"/>
        </w:rPr>
        <w:t>l CMI vigente no existe el pago por facturas objetadas en el que se agregue el interés base e interés alternativo, ya que en dicho procedimiento no se considera aplicable el pago de intereses generados, dada la naturaleza recíproca de los servicios de interconexión y en virtud de que el procedimiento por facturas objetadas no deriva de la falta o negativa de pago por la prestación de los servicios, sino de la inconformidad en los consumos que se registraron en la facturación correspondiente.</w:t>
      </w:r>
    </w:p>
    <w:p w14:paraId="7BEA0FB7" w14:textId="77777777" w:rsidR="00DC0683" w:rsidRPr="00DC0683" w:rsidRDefault="00DC0683" w:rsidP="007531A8">
      <w:pPr>
        <w:autoSpaceDE w:val="0"/>
        <w:autoSpaceDN w:val="0"/>
        <w:adjustRightInd w:val="0"/>
        <w:spacing w:after="0" w:line="276" w:lineRule="auto"/>
        <w:ind w:right="49"/>
        <w:rPr>
          <w:rFonts w:ascii="ITC Avant Garde" w:hAnsi="ITC Avant Garde"/>
        </w:rPr>
      </w:pPr>
    </w:p>
    <w:p w14:paraId="6ED9420B" w14:textId="2335FD0B" w:rsidR="00DC0683" w:rsidRDefault="00DC0683" w:rsidP="007531A8">
      <w:pPr>
        <w:autoSpaceDE w:val="0"/>
        <w:autoSpaceDN w:val="0"/>
        <w:adjustRightInd w:val="0"/>
        <w:spacing w:after="0" w:line="276" w:lineRule="auto"/>
        <w:ind w:right="49"/>
        <w:rPr>
          <w:rFonts w:ascii="ITC Avant Garde" w:hAnsi="ITC Avant Garde"/>
        </w:rPr>
      </w:pPr>
      <w:r w:rsidRPr="00DC0683">
        <w:rPr>
          <w:rFonts w:ascii="ITC Avant Garde" w:hAnsi="ITC Avant Garde"/>
        </w:rPr>
        <w:t>Es así que el CMI prevé, que la falta de pago de aquellas Facturas Objetadas en proceso de resolución no será considerada como incumplimiento a la obligación del pago de las contraprestaciones correspondientes, hasta en tanto se agote el procedimiento de conciliación de facturas establecido en el CMI, por tal motivo no resulta procedente establecer el pago de Interés base e interés alternativo al caso de facturas objetadas.</w:t>
      </w:r>
    </w:p>
    <w:p w14:paraId="551C89B9" w14:textId="233974F8" w:rsidR="00DC0683" w:rsidRDefault="00DC0683" w:rsidP="007531A8">
      <w:pPr>
        <w:autoSpaceDE w:val="0"/>
        <w:autoSpaceDN w:val="0"/>
        <w:adjustRightInd w:val="0"/>
        <w:spacing w:after="0" w:line="276" w:lineRule="auto"/>
        <w:ind w:right="49"/>
        <w:rPr>
          <w:rFonts w:ascii="ITC Avant Garde" w:hAnsi="ITC Avant Garde"/>
        </w:rPr>
      </w:pPr>
    </w:p>
    <w:p w14:paraId="6893B387" w14:textId="5D99CD2D" w:rsidR="00A74253" w:rsidRPr="00A74253" w:rsidRDefault="0018725C"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lastRenderedPageBreak/>
        <w:t>Tel</w:t>
      </w:r>
      <w:r w:rsidR="000D6621">
        <w:rPr>
          <w:rFonts w:ascii="ITC Avant Garde" w:hAnsi="ITC Avant Garde"/>
          <w:b/>
          <w:bCs/>
        </w:rPr>
        <w:t>e</w:t>
      </w:r>
      <w:r w:rsidRPr="00A74253">
        <w:rPr>
          <w:rFonts w:ascii="ITC Avant Garde" w:hAnsi="ITC Avant Garde"/>
          <w:b/>
          <w:bCs/>
        </w:rPr>
        <w:t>f</w:t>
      </w:r>
      <w:r w:rsidR="000D6621">
        <w:rPr>
          <w:rFonts w:ascii="ITC Avant Garde" w:hAnsi="ITC Avant Garde"/>
          <w:b/>
          <w:bCs/>
        </w:rPr>
        <w:t>ó</w:t>
      </w:r>
      <w:r w:rsidRPr="00A74253">
        <w:rPr>
          <w:rFonts w:ascii="ITC Avant Garde" w:hAnsi="ITC Avant Garde"/>
          <w:b/>
          <w:bCs/>
        </w:rPr>
        <w:t>nica</w:t>
      </w:r>
    </w:p>
    <w:p w14:paraId="055B2B65" w14:textId="51197870" w:rsidR="00A74253" w:rsidRPr="00A74253" w:rsidRDefault="00A74253" w:rsidP="007531A8">
      <w:pPr>
        <w:autoSpaceDE w:val="0"/>
        <w:autoSpaceDN w:val="0"/>
        <w:adjustRightInd w:val="0"/>
        <w:spacing w:after="0" w:line="276" w:lineRule="auto"/>
        <w:ind w:right="49"/>
        <w:rPr>
          <w:rFonts w:ascii="ITC Avant Garde" w:hAnsi="ITC Avant Garde"/>
        </w:rPr>
      </w:pPr>
      <w:r w:rsidRPr="00A74253">
        <w:rPr>
          <w:rFonts w:ascii="ITC Avant Garde" w:hAnsi="ITC Avant Garde"/>
        </w:rPr>
        <w:t xml:space="preserve">Solicita la eliminación del párrafo donde se establece que transcurridos los 60 días naturales sin que exista respuesta de la parte receptora, se entenderán como aceptados los términos de la objeción presentada pues, en la mayoría de las ocasiones debido al volumen de la información se requiere un mayor tiempo de análisis. </w:t>
      </w:r>
    </w:p>
    <w:p w14:paraId="5291C14A" w14:textId="77777777" w:rsidR="00A74253" w:rsidRDefault="00A74253" w:rsidP="007531A8">
      <w:pPr>
        <w:autoSpaceDE w:val="0"/>
        <w:autoSpaceDN w:val="0"/>
        <w:adjustRightInd w:val="0"/>
        <w:spacing w:after="0" w:line="276" w:lineRule="auto"/>
        <w:ind w:right="49"/>
        <w:rPr>
          <w:rFonts w:ascii="ITC Avant Garde" w:hAnsi="ITC Avant Garde"/>
        </w:rPr>
      </w:pPr>
    </w:p>
    <w:p w14:paraId="159C8402" w14:textId="1B7AD6DE" w:rsidR="00A74253" w:rsidRPr="00A74253" w:rsidRDefault="00A74253"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6E490CE2" w14:textId="33379AB7" w:rsidR="00A74253" w:rsidRDefault="00A74253" w:rsidP="007531A8">
      <w:pPr>
        <w:autoSpaceDE w:val="0"/>
        <w:autoSpaceDN w:val="0"/>
        <w:adjustRightInd w:val="0"/>
        <w:spacing w:after="0" w:line="276" w:lineRule="auto"/>
        <w:ind w:right="49"/>
        <w:rPr>
          <w:rFonts w:ascii="ITC Avant Garde" w:hAnsi="ITC Avant Garde"/>
        </w:rPr>
      </w:pPr>
      <w:r w:rsidRPr="00A74253">
        <w:rPr>
          <w:rFonts w:ascii="ITC Avant Garde" w:hAnsi="ITC Avant Garde"/>
        </w:rPr>
        <w:t xml:space="preserve">Dicho párrafo se establece como un incentivo para cumplir con los plazos de revisión de facturas objetadas, de no contar con dicho incentivo para el cumplimiento de los plazos, el procedimiento de revisión de facturas objetadas se </w:t>
      </w:r>
      <w:r w:rsidR="00233859">
        <w:rPr>
          <w:rFonts w:ascii="ITC Avant Garde" w:hAnsi="ITC Avant Garde"/>
        </w:rPr>
        <w:t>extendería</w:t>
      </w:r>
      <w:r w:rsidRPr="00A74253">
        <w:rPr>
          <w:rFonts w:ascii="ITC Avant Garde" w:hAnsi="ITC Avant Garde"/>
        </w:rPr>
        <w:t xml:space="preserve"> inde</w:t>
      </w:r>
      <w:r w:rsidR="00233859">
        <w:rPr>
          <w:rFonts w:ascii="ITC Avant Garde" w:hAnsi="ITC Avant Garde"/>
        </w:rPr>
        <w:t>finidamente</w:t>
      </w:r>
      <w:r w:rsidRPr="00A74253">
        <w:rPr>
          <w:rFonts w:ascii="ITC Avant Garde" w:hAnsi="ITC Avant Garde"/>
        </w:rPr>
        <w:t xml:space="preserve"> generando incertidumbre al concesionario que objetó la factura. </w:t>
      </w:r>
    </w:p>
    <w:p w14:paraId="5CF333CE" w14:textId="791749DD" w:rsidR="00A74253" w:rsidRDefault="00A74253" w:rsidP="007531A8">
      <w:pPr>
        <w:autoSpaceDE w:val="0"/>
        <w:autoSpaceDN w:val="0"/>
        <w:adjustRightInd w:val="0"/>
        <w:spacing w:after="0" w:line="276" w:lineRule="auto"/>
        <w:ind w:right="49"/>
        <w:rPr>
          <w:rFonts w:ascii="ITC Avant Garde" w:hAnsi="ITC Avant Garde"/>
        </w:rPr>
      </w:pPr>
    </w:p>
    <w:p w14:paraId="1EB5ED5D" w14:textId="524FC0DD" w:rsidR="00AD1A08" w:rsidRPr="00AD1A08" w:rsidRDefault="00AD1A08" w:rsidP="007531A8">
      <w:pPr>
        <w:spacing w:after="0" w:line="276" w:lineRule="auto"/>
        <w:rPr>
          <w:rFonts w:ascii="ITC Avant Garde" w:hAnsi="ITC Avant Garde"/>
          <w:b/>
          <w:bCs/>
          <w:u w:val="single"/>
        </w:rPr>
      </w:pPr>
      <w:r w:rsidRPr="00AD1A08">
        <w:rPr>
          <w:rFonts w:ascii="ITC Avant Garde" w:hAnsi="ITC Avant Garde"/>
          <w:b/>
          <w:bCs/>
          <w:u w:val="single"/>
        </w:rPr>
        <w:t>CLÁUSULA QUINTA. ASPECTOS TÉCNICOS.</w:t>
      </w:r>
    </w:p>
    <w:p w14:paraId="29AED207" w14:textId="58A6C1B7" w:rsidR="00AD1A08" w:rsidRDefault="00AD1A08" w:rsidP="007531A8">
      <w:pPr>
        <w:spacing w:after="0" w:line="276" w:lineRule="auto"/>
        <w:rPr>
          <w:rFonts w:ascii="ITC Avant Garde" w:hAnsi="ITC Avant Garde"/>
          <w:b/>
          <w:bCs/>
        </w:rPr>
      </w:pPr>
    </w:p>
    <w:p w14:paraId="106264BF" w14:textId="31F5ED4C" w:rsidR="00AD1A08" w:rsidRPr="00AD1A08" w:rsidRDefault="00AD1A08" w:rsidP="007531A8">
      <w:pPr>
        <w:spacing w:after="0" w:line="276" w:lineRule="auto"/>
        <w:rPr>
          <w:rFonts w:ascii="ITC Avant Garde" w:hAnsi="ITC Avant Garde"/>
          <w:b/>
          <w:bCs/>
          <w:u w:val="single"/>
        </w:rPr>
      </w:pPr>
      <w:r w:rsidRPr="00AD1A08">
        <w:rPr>
          <w:rFonts w:ascii="ITC Avant Garde" w:hAnsi="ITC Avant Garde"/>
          <w:b/>
          <w:bCs/>
          <w:u w:val="single"/>
        </w:rPr>
        <w:t>5.2 PDIC Y COUBICACIONES</w:t>
      </w:r>
    </w:p>
    <w:p w14:paraId="39CFEE2E" w14:textId="77777777" w:rsidR="00AD1A08" w:rsidRDefault="00AD1A08" w:rsidP="007531A8">
      <w:pPr>
        <w:spacing w:after="0" w:line="276" w:lineRule="auto"/>
        <w:rPr>
          <w:rFonts w:ascii="ITC Avant Garde" w:hAnsi="ITC Avant Garde"/>
          <w:b/>
          <w:bCs/>
        </w:rPr>
      </w:pPr>
    </w:p>
    <w:p w14:paraId="7F46AEF2" w14:textId="40C5ECE0" w:rsidR="00AD1A08" w:rsidRDefault="0018725C" w:rsidP="007531A8">
      <w:pPr>
        <w:spacing w:after="0" w:line="276" w:lineRule="auto"/>
        <w:rPr>
          <w:rFonts w:ascii="ITC Avant Garde" w:hAnsi="ITC Avant Garde"/>
          <w:b/>
          <w:bCs/>
        </w:rPr>
      </w:pPr>
      <w:r>
        <w:rPr>
          <w:rFonts w:ascii="ITC Avant Garde" w:hAnsi="ITC Avant Garde"/>
          <w:b/>
          <w:bCs/>
        </w:rPr>
        <w:t>Mega Cable</w:t>
      </w:r>
    </w:p>
    <w:p w14:paraId="597E3CF5" w14:textId="1373680F" w:rsidR="00AD1A08" w:rsidRPr="00AD1A08" w:rsidRDefault="00AD1A08" w:rsidP="007531A8">
      <w:pPr>
        <w:autoSpaceDE w:val="0"/>
        <w:autoSpaceDN w:val="0"/>
        <w:adjustRightInd w:val="0"/>
        <w:spacing w:after="0" w:line="276" w:lineRule="auto"/>
        <w:ind w:right="49"/>
        <w:rPr>
          <w:rFonts w:ascii="ITC Avant Garde" w:eastAsia="Avant Garde" w:hAnsi="ITC Avant Garde" w:cs="Avant Garde"/>
          <w:color w:val="000000"/>
          <w:lang w:eastAsia="es-MX"/>
        </w:rPr>
      </w:pPr>
      <w:r w:rsidRPr="00AD1A08">
        <w:rPr>
          <w:rFonts w:ascii="ITC Avant Garde" w:eastAsia="Avant Garde" w:hAnsi="ITC Avant Garde" w:cs="Avant Garde"/>
          <w:color w:val="000000"/>
          <w:lang w:eastAsia="es-MX"/>
        </w:rPr>
        <w:t xml:space="preserve">Menciona </w:t>
      </w:r>
      <w:r w:rsidR="00BA7425" w:rsidRPr="00AD1A08">
        <w:rPr>
          <w:rFonts w:ascii="ITC Avant Garde" w:eastAsia="Avant Garde" w:hAnsi="ITC Avant Garde" w:cs="Avant Garde"/>
          <w:color w:val="000000"/>
          <w:lang w:eastAsia="es-MX"/>
        </w:rPr>
        <w:t>que,</w:t>
      </w:r>
      <w:r w:rsidRPr="00AD1A08">
        <w:rPr>
          <w:rFonts w:ascii="ITC Avant Garde" w:eastAsia="Avant Garde" w:hAnsi="ITC Avant Garde" w:cs="Avant Garde"/>
          <w:color w:val="000000"/>
          <w:lang w:eastAsia="es-MX"/>
        </w:rPr>
        <w:t xml:space="preserve"> Conforme a las Condiciones Técnicas Mínimas para la interconexión a partir de marzo de 2022, toda la interconexión entre operadores será SIP por lo que se sugiere eliminar del Convenio lo siguiente:</w:t>
      </w:r>
    </w:p>
    <w:p w14:paraId="5AF57904" w14:textId="77777777" w:rsidR="00AD1A08" w:rsidRPr="00AD1A08" w:rsidRDefault="00AD1A08" w:rsidP="007531A8">
      <w:pPr>
        <w:autoSpaceDE w:val="0"/>
        <w:autoSpaceDN w:val="0"/>
        <w:adjustRightInd w:val="0"/>
        <w:spacing w:after="0" w:line="276" w:lineRule="auto"/>
        <w:ind w:right="49"/>
        <w:rPr>
          <w:rFonts w:ascii="ITC Avant Garde" w:eastAsia="Avant Garde" w:hAnsi="ITC Avant Garde" w:cs="Avant Garde"/>
          <w:color w:val="000000"/>
          <w:lang w:eastAsia="es-MX"/>
        </w:rPr>
      </w:pPr>
    </w:p>
    <w:p w14:paraId="16306B84" w14:textId="77777777" w:rsidR="00AD1A08" w:rsidRPr="00AD1A08" w:rsidRDefault="00AD1A08" w:rsidP="007531A8">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r w:rsidRPr="00AD1A08">
        <w:rPr>
          <w:rFonts w:ascii="ITC Avant Garde" w:eastAsia="Avant Garde" w:hAnsi="ITC Avant Garde" w:cs="Avant Garde"/>
          <w:i/>
          <w:iCs/>
          <w:color w:val="000000"/>
          <w:sz w:val="18"/>
          <w:szCs w:val="18"/>
          <w:lang w:eastAsia="es-MX"/>
        </w:rPr>
        <w:t>“En el caso de interconexión TDM (Multiplexación por División de Tiempo):</w:t>
      </w:r>
    </w:p>
    <w:p w14:paraId="5A99715B" w14:textId="64A4FC59" w:rsidR="00AD1A08" w:rsidRPr="00AD1A08" w:rsidRDefault="00AD1A08" w:rsidP="007531A8">
      <w:pPr>
        <w:pStyle w:val="Prrafodelista"/>
        <w:numPr>
          <w:ilvl w:val="0"/>
          <w:numId w:val="9"/>
        </w:numPr>
        <w:autoSpaceDE w:val="0"/>
        <w:autoSpaceDN w:val="0"/>
        <w:adjustRightInd w:val="0"/>
        <w:spacing w:after="0" w:line="276" w:lineRule="auto"/>
        <w:ind w:left="851" w:right="616" w:hanging="284"/>
        <w:contextualSpacing w:val="0"/>
        <w:rPr>
          <w:rFonts w:ascii="ITC Avant Garde" w:hAnsi="ITC Avant Garde"/>
          <w:i/>
          <w:iCs/>
          <w:sz w:val="18"/>
          <w:szCs w:val="18"/>
        </w:rPr>
      </w:pPr>
      <w:r w:rsidRPr="00AD1A08">
        <w:rPr>
          <w:rFonts w:ascii="ITC Avant Garde" w:hAnsi="ITC Avant Garde"/>
          <w:i/>
          <w:iCs/>
          <w:sz w:val="18"/>
          <w:szCs w:val="18"/>
        </w:rPr>
        <w:t>Nombre y código de identificación de los puntos de interconexión.</w:t>
      </w:r>
    </w:p>
    <w:p w14:paraId="4B9E980F" w14:textId="1232B121" w:rsidR="00AD1A08" w:rsidRPr="00AD1A08" w:rsidRDefault="00AD1A08" w:rsidP="007531A8">
      <w:pPr>
        <w:pStyle w:val="Prrafodelista"/>
        <w:numPr>
          <w:ilvl w:val="0"/>
          <w:numId w:val="9"/>
        </w:numPr>
        <w:autoSpaceDE w:val="0"/>
        <w:autoSpaceDN w:val="0"/>
        <w:adjustRightInd w:val="0"/>
        <w:spacing w:after="0" w:line="276" w:lineRule="auto"/>
        <w:ind w:left="851" w:right="616" w:hanging="284"/>
        <w:contextualSpacing w:val="0"/>
        <w:rPr>
          <w:rFonts w:ascii="ITC Avant Garde" w:hAnsi="ITC Avant Garde"/>
          <w:i/>
          <w:iCs/>
          <w:sz w:val="18"/>
          <w:szCs w:val="18"/>
        </w:rPr>
      </w:pPr>
      <w:r w:rsidRPr="00AD1A08">
        <w:rPr>
          <w:rFonts w:ascii="ITC Avant Garde" w:hAnsi="ITC Avant Garde"/>
          <w:i/>
          <w:iCs/>
          <w:sz w:val="18"/>
          <w:szCs w:val="18"/>
        </w:rPr>
        <w:t>Dirección y coordenadas geográficas de los puntos de interconexión.</w:t>
      </w:r>
    </w:p>
    <w:p w14:paraId="1E3C55C9" w14:textId="598BA2B4" w:rsidR="00AD1A08" w:rsidRPr="00AD1A08" w:rsidRDefault="00AD1A08" w:rsidP="007531A8">
      <w:pPr>
        <w:pStyle w:val="Prrafodelista"/>
        <w:numPr>
          <w:ilvl w:val="0"/>
          <w:numId w:val="9"/>
        </w:numPr>
        <w:autoSpaceDE w:val="0"/>
        <w:autoSpaceDN w:val="0"/>
        <w:adjustRightInd w:val="0"/>
        <w:spacing w:after="0" w:line="276" w:lineRule="auto"/>
        <w:ind w:left="851" w:right="616" w:hanging="284"/>
        <w:contextualSpacing w:val="0"/>
        <w:rPr>
          <w:rFonts w:ascii="ITC Avant Garde" w:hAnsi="ITC Avant Garde"/>
          <w:i/>
          <w:iCs/>
          <w:sz w:val="18"/>
          <w:szCs w:val="18"/>
        </w:rPr>
      </w:pPr>
      <w:r w:rsidRPr="00AD1A08">
        <w:rPr>
          <w:rFonts w:ascii="ITC Avant Garde" w:hAnsi="ITC Avant Garde"/>
          <w:i/>
          <w:iCs/>
          <w:sz w:val="18"/>
          <w:szCs w:val="18"/>
        </w:rPr>
        <w:t>Ubicación de los binodos de Puntos de Transferencia de Señalización.</w:t>
      </w:r>
    </w:p>
    <w:p w14:paraId="0BB3CDCC" w14:textId="142A176C" w:rsidR="00AD1A08" w:rsidRPr="00AD1A08" w:rsidRDefault="00AD1A08" w:rsidP="007531A8">
      <w:pPr>
        <w:pStyle w:val="Prrafodelista"/>
        <w:numPr>
          <w:ilvl w:val="0"/>
          <w:numId w:val="9"/>
        </w:numPr>
        <w:autoSpaceDE w:val="0"/>
        <w:autoSpaceDN w:val="0"/>
        <w:adjustRightInd w:val="0"/>
        <w:spacing w:after="0" w:line="276" w:lineRule="auto"/>
        <w:ind w:left="851" w:right="616" w:hanging="284"/>
        <w:contextualSpacing w:val="0"/>
        <w:rPr>
          <w:rFonts w:ascii="ITC Avant Garde" w:hAnsi="ITC Avant Garde"/>
          <w:i/>
          <w:iCs/>
          <w:sz w:val="18"/>
          <w:szCs w:val="18"/>
        </w:rPr>
      </w:pPr>
      <w:r w:rsidRPr="00AD1A08">
        <w:rPr>
          <w:rFonts w:ascii="ITC Avant Garde" w:hAnsi="ITC Avant Garde"/>
          <w:i/>
          <w:iCs/>
          <w:sz w:val="18"/>
          <w:szCs w:val="18"/>
        </w:rPr>
        <w:t>Puntos de Transferencia de Señalización a los que está interconectado cada punto de interconexión en caso de señalización número 7 (SS7).</w:t>
      </w:r>
    </w:p>
    <w:p w14:paraId="1CAE7911" w14:textId="7DF6353E" w:rsidR="00DC0683" w:rsidRPr="00AD1A08" w:rsidRDefault="00AD1A08" w:rsidP="007531A8">
      <w:pPr>
        <w:pStyle w:val="Prrafodelista"/>
        <w:numPr>
          <w:ilvl w:val="0"/>
          <w:numId w:val="9"/>
        </w:numPr>
        <w:autoSpaceDE w:val="0"/>
        <w:autoSpaceDN w:val="0"/>
        <w:adjustRightInd w:val="0"/>
        <w:spacing w:after="0" w:line="276" w:lineRule="auto"/>
        <w:ind w:left="851" w:right="616" w:hanging="284"/>
        <w:contextualSpacing w:val="0"/>
        <w:rPr>
          <w:rFonts w:ascii="ITC Avant Garde" w:hAnsi="ITC Avant Garde"/>
          <w:i/>
          <w:iCs/>
          <w:sz w:val="18"/>
          <w:szCs w:val="18"/>
        </w:rPr>
      </w:pPr>
      <w:r w:rsidRPr="00AD1A08">
        <w:rPr>
          <w:rFonts w:ascii="ITC Avant Garde" w:hAnsi="ITC Avant Garde"/>
          <w:i/>
          <w:iCs/>
          <w:sz w:val="18"/>
          <w:szCs w:val="18"/>
        </w:rPr>
        <w:t>Códigos de puntos de señalización de origen y destino.”</w:t>
      </w:r>
    </w:p>
    <w:p w14:paraId="69658488" w14:textId="43ED8475" w:rsidR="00AD1A08" w:rsidRDefault="00AD1A08" w:rsidP="007531A8">
      <w:pPr>
        <w:autoSpaceDE w:val="0"/>
        <w:autoSpaceDN w:val="0"/>
        <w:adjustRightInd w:val="0"/>
        <w:spacing w:after="0" w:line="276" w:lineRule="auto"/>
        <w:ind w:right="616"/>
        <w:rPr>
          <w:rFonts w:ascii="ITC Avant Garde" w:hAnsi="ITC Avant Garde"/>
          <w:sz w:val="18"/>
          <w:szCs w:val="18"/>
        </w:rPr>
      </w:pPr>
    </w:p>
    <w:p w14:paraId="25272E0E" w14:textId="77777777" w:rsidR="00AD1A08" w:rsidRPr="00A74253" w:rsidRDefault="00AD1A08"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1EA94FF7" w14:textId="51DD69A9" w:rsidR="00CF112A" w:rsidRDefault="00CF112A" w:rsidP="007531A8">
      <w:pPr>
        <w:autoSpaceDE w:val="0"/>
        <w:autoSpaceDN w:val="0"/>
        <w:adjustRightInd w:val="0"/>
        <w:spacing w:after="0" w:line="276" w:lineRule="auto"/>
        <w:ind w:right="49"/>
        <w:rPr>
          <w:rFonts w:ascii="ITC Avant Garde" w:hAnsi="ITC Avant Garde"/>
        </w:rPr>
      </w:pPr>
      <w:r>
        <w:rPr>
          <w:rFonts w:ascii="ITC Avant Garde" w:hAnsi="ITC Avant Garde"/>
        </w:rPr>
        <w:t xml:space="preserve">Conforme a lo establecido en el Acuerdo de Condiciones Técnicas Mínimas de Interconexión, los </w:t>
      </w:r>
      <w:r w:rsidRPr="00CF112A">
        <w:rPr>
          <w:rFonts w:ascii="ITC Avant Garde" w:hAnsi="ITC Avant Garde"/>
        </w:rPr>
        <w:t xml:space="preserve">concesionarios de redes públicas de telecomunicaciones </w:t>
      </w:r>
      <w:r>
        <w:rPr>
          <w:rFonts w:ascii="ITC Avant Garde" w:hAnsi="ITC Avant Garde"/>
        </w:rPr>
        <w:t>pueden</w:t>
      </w:r>
      <w:r w:rsidRPr="00CF112A">
        <w:rPr>
          <w:rFonts w:ascii="ITC Avant Garde" w:hAnsi="ITC Avant Garde"/>
        </w:rPr>
        <w:t xml:space="preserve"> continuar intercambiando tráfico en los puntos de interconexión con tecnología TDM (Multiplexación por División de Tiempo) hasta el 31 de enero de 2022 en los puntos de interconexión que tengan convenidos</w:t>
      </w:r>
      <w:r>
        <w:rPr>
          <w:rFonts w:ascii="ITC Avant Garde" w:hAnsi="ITC Avant Garde"/>
        </w:rPr>
        <w:t>, por lo que a</w:t>
      </w:r>
      <w:r w:rsidR="00AD1A08" w:rsidRPr="00AD1A08">
        <w:rPr>
          <w:rFonts w:ascii="ITC Avant Garde" w:hAnsi="ITC Avant Garde"/>
        </w:rPr>
        <w:t xml:space="preserve"> efecto de dar certidumbre a los </w:t>
      </w:r>
      <w:r>
        <w:rPr>
          <w:rFonts w:ascii="ITC Avant Garde" w:hAnsi="ITC Avant Garde"/>
        </w:rPr>
        <w:t xml:space="preserve">concesionarios se </w:t>
      </w:r>
      <w:r w:rsidRPr="00AD1A08">
        <w:rPr>
          <w:rFonts w:ascii="ITC Avant Garde" w:hAnsi="ITC Avant Garde"/>
        </w:rPr>
        <w:t>considera que</w:t>
      </w:r>
      <w:r>
        <w:rPr>
          <w:rFonts w:ascii="ITC Avant Garde" w:hAnsi="ITC Avant Garde"/>
        </w:rPr>
        <w:t xml:space="preserve"> dicha </w:t>
      </w:r>
      <w:r w:rsidRPr="00AD1A08">
        <w:rPr>
          <w:rFonts w:ascii="ITC Avant Garde" w:hAnsi="ITC Avant Garde"/>
        </w:rPr>
        <w:t xml:space="preserve">información </w:t>
      </w:r>
      <w:r>
        <w:rPr>
          <w:rFonts w:ascii="ITC Avant Garde" w:hAnsi="ITC Avant Garde"/>
        </w:rPr>
        <w:t>es necesaria en el CMI en tanto el intercambio de tráfico TDM se encuentre permitido.</w:t>
      </w:r>
    </w:p>
    <w:p w14:paraId="06E6B96B" w14:textId="77777777" w:rsidR="00CF112A" w:rsidRDefault="00CF112A" w:rsidP="007531A8">
      <w:pPr>
        <w:autoSpaceDE w:val="0"/>
        <w:autoSpaceDN w:val="0"/>
        <w:adjustRightInd w:val="0"/>
        <w:spacing w:after="0" w:line="276" w:lineRule="auto"/>
        <w:ind w:right="49"/>
        <w:rPr>
          <w:rFonts w:ascii="ITC Avant Garde" w:hAnsi="ITC Avant Garde"/>
        </w:rPr>
      </w:pPr>
    </w:p>
    <w:p w14:paraId="19EB922C" w14:textId="2BD677D7" w:rsidR="00AD1A08" w:rsidRPr="00AD1A08" w:rsidRDefault="00AD1A08" w:rsidP="007531A8">
      <w:pPr>
        <w:spacing w:after="0" w:line="276" w:lineRule="auto"/>
        <w:rPr>
          <w:rFonts w:ascii="ITC Avant Garde" w:hAnsi="ITC Avant Garde"/>
          <w:b/>
          <w:bCs/>
          <w:u w:val="single"/>
        </w:rPr>
      </w:pPr>
      <w:r w:rsidRPr="00AD1A08">
        <w:rPr>
          <w:rFonts w:ascii="ITC Avant Garde" w:hAnsi="ITC Avant Garde"/>
          <w:b/>
          <w:bCs/>
          <w:u w:val="single"/>
        </w:rPr>
        <w:t>5.</w:t>
      </w:r>
      <w:r>
        <w:rPr>
          <w:rFonts w:ascii="ITC Avant Garde" w:hAnsi="ITC Avant Garde"/>
          <w:b/>
          <w:bCs/>
          <w:u w:val="single"/>
        </w:rPr>
        <w:t>3</w:t>
      </w:r>
      <w:r w:rsidRPr="00AD1A08">
        <w:rPr>
          <w:rFonts w:ascii="ITC Avant Garde" w:hAnsi="ITC Avant Garde"/>
          <w:b/>
          <w:bCs/>
          <w:u w:val="single"/>
        </w:rPr>
        <w:t xml:space="preserve"> </w:t>
      </w:r>
      <w:r>
        <w:rPr>
          <w:rFonts w:ascii="ITC Avant Garde" w:hAnsi="ITC Avant Garde"/>
          <w:b/>
          <w:bCs/>
          <w:u w:val="single"/>
        </w:rPr>
        <w:t>INTERCONEXIÓN ENTRE OTROS CONCESIONARIOS</w:t>
      </w:r>
    </w:p>
    <w:p w14:paraId="7D5360FF" w14:textId="77777777" w:rsidR="00AD1A08" w:rsidRDefault="00AD1A08" w:rsidP="007531A8">
      <w:pPr>
        <w:spacing w:after="0" w:line="276" w:lineRule="auto"/>
        <w:rPr>
          <w:rFonts w:ascii="ITC Avant Garde" w:hAnsi="ITC Avant Garde"/>
          <w:b/>
          <w:bCs/>
        </w:rPr>
      </w:pPr>
    </w:p>
    <w:p w14:paraId="02BD0DA0" w14:textId="6A9D7914" w:rsidR="00AD1A08" w:rsidRDefault="0018725C" w:rsidP="007531A8">
      <w:pPr>
        <w:spacing w:after="0" w:line="276" w:lineRule="auto"/>
        <w:rPr>
          <w:rFonts w:ascii="ITC Avant Garde" w:hAnsi="ITC Avant Garde"/>
          <w:b/>
          <w:bCs/>
        </w:rPr>
      </w:pPr>
      <w:r>
        <w:rPr>
          <w:rFonts w:ascii="ITC Avant Garde" w:hAnsi="ITC Avant Garde"/>
          <w:b/>
          <w:bCs/>
        </w:rPr>
        <w:t>Mega Cable</w:t>
      </w:r>
    </w:p>
    <w:p w14:paraId="1E0409E6" w14:textId="7CFB9C0A" w:rsidR="00AD1A08" w:rsidRPr="00AD1A08" w:rsidRDefault="003A3673" w:rsidP="007531A8">
      <w:pPr>
        <w:autoSpaceDE w:val="0"/>
        <w:autoSpaceDN w:val="0"/>
        <w:adjustRightInd w:val="0"/>
        <w:spacing w:after="0" w:line="276" w:lineRule="auto"/>
        <w:ind w:right="49"/>
        <w:rPr>
          <w:rFonts w:ascii="ITC Avant Garde" w:hAnsi="ITC Avant Garde"/>
          <w:sz w:val="20"/>
          <w:szCs w:val="20"/>
        </w:rPr>
      </w:pPr>
      <w:r w:rsidRPr="00AD1A08">
        <w:rPr>
          <w:rFonts w:ascii="ITC Avant Garde" w:hAnsi="ITC Avant Garde"/>
          <w:sz w:val="20"/>
          <w:szCs w:val="20"/>
        </w:rPr>
        <w:lastRenderedPageBreak/>
        <w:t xml:space="preserve">Propone </w:t>
      </w:r>
      <w:r w:rsidR="00AD1A08" w:rsidRPr="00AD1A08">
        <w:rPr>
          <w:rFonts w:ascii="ITC Avant Garde" w:hAnsi="ITC Avant Garde"/>
          <w:sz w:val="20"/>
          <w:szCs w:val="20"/>
        </w:rPr>
        <w:t>que se adicione un apartado bajo los siguientes términos.</w:t>
      </w:r>
    </w:p>
    <w:p w14:paraId="1BFC902D" w14:textId="77777777" w:rsidR="00AD1A08" w:rsidRPr="00AD1A08" w:rsidRDefault="00AD1A08" w:rsidP="007531A8">
      <w:pPr>
        <w:autoSpaceDE w:val="0"/>
        <w:autoSpaceDN w:val="0"/>
        <w:adjustRightInd w:val="0"/>
        <w:spacing w:after="0" w:line="276" w:lineRule="auto"/>
        <w:ind w:right="49"/>
        <w:rPr>
          <w:rFonts w:ascii="ITC Avant Garde" w:hAnsi="ITC Avant Garde"/>
          <w:sz w:val="20"/>
          <w:szCs w:val="20"/>
        </w:rPr>
      </w:pPr>
    </w:p>
    <w:p w14:paraId="32DC4E0A" w14:textId="03B41B98" w:rsidR="00AD1A08" w:rsidRDefault="00AD1A08" w:rsidP="007531A8">
      <w:pPr>
        <w:autoSpaceDE w:val="0"/>
        <w:autoSpaceDN w:val="0"/>
        <w:adjustRightInd w:val="0"/>
        <w:spacing w:after="0" w:line="276" w:lineRule="auto"/>
        <w:ind w:left="567" w:right="616"/>
        <w:rPr>
          <w:rFonts w:ascii="ITC Avant Garde" w:hAnsi="ITC Avant Garde"/>
          <w:i/>
          <w:iCs/>
          <w:sz w:val="16"/>
          <w:szCs w:val="16"/>
        </w:rPr>
      </w:pPr>
      <w:r w:rsidRPr="00AD1A08">
        <w:rPr>
          <w:rFonts w:ascii="ITC Avant Garde" w:hAnsi="ITC Avant Garde"/>
          <w:i/>
          <w:iCs/>
          <w:sz w:val="16"/>
          <w:szCs w:val="16"/>
        </w:rPr>
        <w:t>“Para la prestación de los servicios proporcionados por Red Nacional Última Milla, S.A.P.I. de C.V. y/o Red Última Milla del Noroeste, S.A.P.I. de C.V.; Telmex y Telnor se obligan solidariamente por cualquier incumplimiento y/o falla que se pedirá suscitar por la prestación de los servicios contratados y que sea en perjuicio del concesionario solicitante.”</w:t>
      </w:r>
    </w:p>
    <w:p w14:paraId="6116AAD2" w14:textId="0EB3AB13" w:rsidR="00AD1A08" w:rsidRDefault="00AD1A08" w:rsidP="007531A8">
      <w:pPr>
        <w:autoSpaceDE w:val="0"/>
        <w:autoSpaceDN w:val="0"/>
        <w:adjustRightInd w:val="0"/>
        <w:spacing w:after="0" w:line="276" w:lineRule="auto"/>
        <w:ind w:right="49"/>
        <w:rPr>
          <w:rFonts w:ascii="ITC Avant Garde" w:hAnsi="ITC Avant Garde"/>
          <w:sz w:val="20"/>
          <w:szCs w:val="20"/>
        </w:rPr>
      </w:pPr>
    </w:p>
    <w:p w14:paraId="133FD2B7" w14:textId="77777777" w:rsidR="00194294" w:rsidRPr="00A74253" w:rsidRDefault="00194294"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1DB6AA68" w14:textId="2E48A715" w:rsidR="00194294" w:rsidRDefault="00233859" w:rsidP="007531A8">
      <w:pPr>
        <w:autoSpaceDE w:val="0"/>
        <w:autoSpaceDN w:val="0"/>
        <w:adjustRightInd w:val="0"/>
        <w:spacing w:after="0" w:line="276" w:lineRule="auto"/>
        <w:ind w:right="49"/>
        <w:rPr>
          <w:rFonts w:ascii="ITC Avant Garde" w:hAnsi="ITC Avant Garde"/>
        </w:rPr>
      </w:pPr>
      <w:r>
        <w:rPr>
          <w:rFonts w:ascii="ITC Avant Garde" w:hAnsi="ITC Avant Garde"/>
        </w:rPr>
        <w:t>e</w:t>
      </w:r>
      <w:r w:rsidR="00194294" w:rsidRPr="00194294">
        <w:rPr>
          <w:rFonts w:ascii="ITC Avant Garde" w:hAnsi="ITC Avant Garde"/>
        </w:rPr>
        <w:t>n</w:t>
      </w:r>
      <w:r w:rsidR="00A67FC4">
        <w:rPr>
          <w:rFonts w:ascii="ITC Avant Garde" w:hAnsi="ITC Avant Garde"/>
        </w:rPr>
        <w:t xml:space="preserve"> el</w:t>
      </w:r>
      <w:r w:rsidR="00194294" w:rsidRPr="00194294">
        <w:rPr>
          <w:rFonts w:ascii="ITC Avant Garde" w:hAnsi="ITC Avant Garde"/>
        </w:rPr>
        <w:t xml:space="preserve"> </w:t>
      </w:r>
      <w:r w:rsidR="00A67FC4" w:rsidRPr="00357A82">
        <w:rPr>
          <w:rFonts w:ascii="ITC Avant Garde" w:eastAsia="Calibri" w:hAnsi="ITC Avant Garde"/>
        </w:rPr>
        <w:t>Plan de Separación Funcional</w:t>
      </w:r>
      <w:r w:rsidR="00A67FC4" w:rsidRPr="00D6374D">
        <w:rPr>
          <w:rStyle w:val="Refdenotaalpie"/>
          <w:rFonts w:ascii="ITC Avant Garde" w:eastAsia="Calibri" w:hAnsi="ITC Avant Garde"/>
        </w:rPr>
        <w:footnoteReference w:id="2"/>
      </w:r>
      <w:r w:rsidR="00194294" w:rsidRPr="00194294">
        <w:rPr>
          <w:rFonts w:ascii="ITC Avant Garde" w:hAnsi="ITC Avant Garde"/>
        </w:rPr>
        <w:t xml:space="preserve"> se definieron las ventanillas de acceso y responsabilidades para la provisión de servicios que requieran la interrelación de la Empresa Mayorista y la División Mayorista</w:t>
      </w:r>
      <w:r w:rsidR="00A67FC4">
        <w:rPr>
          <w:rFonts w:ascii="ITC Avant Garde" w:hAnsi="ITC Avant Garde"/>
        </w:rPr>
        <w:t>, por lo que mediante dicho Plan se definen las obligaciones que tanto Empresas Mayoristas como Divisiones Mayoristas tienen respecto a la prestación de los servicios.</w:t>
      </w:r>
    </w:p>
    <w:p w14:paraId="12EE65A4" w14:textId="77777777" w:rsidR="00764993" w:rsidRDefault="00764993" w:rsidP="007531A8">
      <w:pPr>
        <w:autoSpaceDE w:val="0"/>
        <w:autoSpaceDN w:val="0"/>
        <w:adjustRightInd w:val="0"/>
        <w:spacing w:after="0" w:line="276" w:lineRule="auto"/>
        <w:ind w:right="49"/>
        <w:rPr>
          <w:rFonts w:ascii="ITC Avant Garde" w:hAnsi="ITC Avant Garde"/>
        </w:rPr>
      </w:pPr>
    </w:p>
    <w:p w14:paraId="211D6B7B" w14:textId="54E93DA2" w:rsidR="00764993" w:rsidRPr="00311FAA" w:rsidRDefault="00764993" w:rsidP="007531A8">
      <w:pPr>
        <w:autoSpaceDE w:val="0"/>
        <w:autoSpaceDN w:val="0"/>
        <w:adjustRightInd w:val="0"/>
        <w:spacing w:after="0" w:line="276" w:lineRule="auto"/>
        <w:ind w:right="49"/>
        <w:rPr>
          <w:rFonts w:ascii="ITC Avant Garde" w:hAnsi="ITC Avant Garde"/>
          <w:b/>
          <w:bCs/>
          <w:u w:val="single"/>
        </w:rPr>
      </w:pPr>
      <w:r w:rsidRPr="00311FAA">
        <w:rPr>
          <w:rFonts w:ascii="ITC Avant Garde" w:hAnsi="ITC Avant Garde"/>
          <w:b/>
          <w:bCs/>
          <w:u w:val="single"/>
        </w:rPr>
        <w:t>Numeral 5.4 Puertos de Acceso</w:t>
      </w:r>
    </w:p>
    <w:p w14:paraId="3BFB5F10" w14:textId="77777777" w:rsidR="00764993" w:rsidRDefault="00764993" w:rsidP="007531A8">
      <w:pPr>
        <w:autoSpaceDE w:val="0"/>
        <w:autoSpaceDN w:val="0"/>
        <w:adjustRightInd w:val="0"/>
        <w:spacing w:after="0" w:line="276" w:lineRule="auto"/>
        <w:ind w:right="49"/>
        <w:rPr>
          <w:rFonts w:ascii="ITC Avant Garde" w:hAnsi="ITC Avant Garde"/>
        </w:rPr>
      </w:pPr>
    </w:p>
    <w:p w14:paraId="00B1080F" w14:textId="65C1C33B" w:rsidR="00764993" w:rsidRPr="00764993" w:rsidRDefault="0018725C" w:rsidP="007531A8">
      <w:pPr>
        <w:autoSpaceDE w:val="0"/>
        <w:autoSpaceDN w:val="0"/>
        <w:adjustRightInd w:val="0"/>
        <w:spacing w:after="0" w:line="276" w:lineRule="auto"/>
        <w:ind w:right="49"/>
        <w:rPr>
          <w:rFonts w:ascii="ITC Avant Garde" w:hAnsi="ITC Avant Garde"/>
          <w:b/>
          <w:bCs/>
        </w:rPr>
      </w:pPr>
      <w:r w:rsidRPr="00764993">
        <w:rPr>
          <w:rFonts w:ascii="ITC Avant Garde" w:hAnsi="ITC Avant Garde"/>
          <w:b/>
          <w:bCs/>
        </w:rPr>
        <w:t>Tel</w:t>
      </w:r>
      <w:r w:rsidR="000D6621">
        <w:rPr>
          <w:rFonts w:ascii="ITC Avant Garde" w:hAnsi="ITC Avant Garde"/>
          <w:b/>
          <w:bCs/>
        </w:rPr>
        <w:t>e</w:t>
      </w:r>
      <w:r w:rsidRPr="00764993">
        <w:rPr>
          <w:rFonts w:ascii="ITC Avant Garde" w:hAnsi="ITC Avant Garde"/>
          <w:b/>
          <w:bCs/>
        </w:rPr>
        <w:t>f</w:t>
      </w:r>
      <w:r w:rsidR="000D6621">
        <w:rPr>
          <w:rFonts w:ascii="ITC Avant Garde" w:hAnsi="ITC Avant Garde"/>
          <w:b/>
          <w:bCs/>
        </w:rPr>
        <w:t>ó</w:t>
      </w:r>
      <w:r w:rsidRPr="00764993">
        <w:rPr>
          <w:rFonts w:ascii="ITC Avant Garde" w:hAnsi="ITC Avant Garde"/>
          <w:b/>
          <w:bCs/>
        </w:rPr>
        <w:t>nica</w:t>
      </w:r>
    </w:p>
    <w:p w14:paraId="228EC7AC" w14:textId="70F84754" w:rsidR="00764993" w:rsidRDefault="00764993" w:rsidP="007531A8">
      <w:pPr>
        <w:autoSpaceDE w:val="0"/>
        <w:autoSpaceDN w:val="0"/>
        <w:adjustRightInd w:val="0"/>
        <w:spacing w:after="0" w:line="276" w:lineRule="auto"/>
        <w:ind w:right="49"/>
        <w:rPr>
          <w:rFonts w:ascii="ITC Avant Garde" w:hAnsi="ITC Avant Garde"/>
        </w:rPr>
      </w:pPr>
      <w:r w:rsidRPr="00764993">
        <w:rPr>
          <w:rFonts w:ascii="ITC Avant Garde" w:hAnsi="ITC Avant Garde"/>
        </w:rPr>
        <w:t>Solicita que el primer párrafo del numeral 5.4 se modifique, ya que no es claro. Por lo cual propone la siguiente redacción</w:t>
      </w:r>
      <w:r>
        <w:rPr>
          <w:rFonts w:ascii="ITC Avant Garde" w:hAnsi="ITC Avant Garde"/>
        </w:rPr>
        <w:t>:</w:t>
      </w:r>
    </w:p>
    <w:p w14:paraId="4B290425" w14:textId="77777777" w:rsidR="00764993" w:rsidRPr="00764993" w:rsidRDefault="00764993" w:rsidP="007531A8">
      <w:pPr>
        <w:autoSpaceDE w:val="0"/>
        <w:autoSpaceDN w:val="0"/>
        <w:adjustRightInd w:val="0"/>
        <w:spacing w:after="0" w:line="276" w:lineRule="auto"/>
        <w:ind w:right="49"/>
        <w:rPr>
          <w:rFonts w:ascii="ITC Avant Garde" w:hAnsi="ITC Avant Garde"/>
        </w:rPr>
      </w:pPr>
    </w:p>
    <w:p w14:paraId="5A8EC902" w14:textId="323FBEE3" w:rsidR="00764993" w:rsidRPr="00764993" w:rsidRDefault="00764993" w:rsidP="007531A8">
      <w:pPr>
        <w:autoSpaceDE w:val="0"/>
        <w:autoSpaceDN w:val="0"/>
        <w:adjustRightInd w:val="0"/>
        <w:spacing w:after="0" w:line="276" w:lineRule="auto"/>
        <w:ind w:left="567" w:right="616"/>
        <w:rPr>
          <w:rFonts w:ascii="ITC Avant Garde" w:hAnsi="ITC Avant Garde"/>
          <w:i/>
          <w:iCs/>
          <w:sz w:val="18"/>
          <w:szCs w:val="18"/>
        </w:rPr>
      </w:pPr>
      <w:r w:rsidRPr="00764993">
        <w:rPr>
          <w:rFonts w:ascii="ITC Avant Garde" w:hAnsi="ITC Avant Garde"/>
          <w:i/>
          <w:iCs/>
          <w:sz w:val="18"/>
          <w:szCs w:val="18"/>
        </w:rPr>
        <w:t xml:space="preserve">“…Los Puertos de Acceso que debe proporcionar </w:t>
      </w:r>
      <w:r w:rsidR="006725E0">
        <w:rPr>
          <w:rFonts w:ascii="ITC Avant Garde" w:hAnsi="ITC Avant Garde"/>
          <w:i/>
          <w:iCs/>
          <w:sz w:val="18"/>
          <w:szCs w:val="18"/>
        </w:rPr>
        <w:t>Telmex/</w:t>
      </w:r>
      <w:r w:rsidRPr="00764993">
        <w:rPr>
          <w:rFonts w:ascii="ITC Avant Garde" w:hAnsi="ITC Avant Garde"/>
          <w:i/>
          <w:iCs/>
          <w:sz w:val="18"/>
          <w:szCs w:val="18"/>
        </w:rPr>
        <w:t xml:space="preserve">Telnor deberán permitir la entrega de Tráfico de cualquier origen, de cualquier tipo (nacional, tránsito, móvil y fijo) y con terminación en cualquier destino nacional, incluyendo el tráfico que termine </w:t>
      </w:r>
      <w:r w:rsidRPr="006725E0">
        <w:rPr>
          <w:rFonts w:ascii="ITC Avant Garde" w:hAnsi="ITC Avant Garde"/>
          <w:i/>
          <w:iCs/>
          <w:sz w:val="18"/>
          <w:szCs w:val="18"/>
          <w:u w:val="single"/>
        </w:rPr>
        <w:t>y/o el Servicio de Tránsito con destino</w:t>
      </w:r>
      <w:r w:rsidRPr="00764993">
        <w:rPr>
          <w:rFonts w:ascii="ITC Avant Garde" w:hAnsi="ITC Avant Garde"/>
          <w:i/>
          <w:iCs/>
          <w:sz w:val="18"/>
          <w:szCs w:val="18"/>
        </w:rPr>
        <w:t xml:space="preserve"> en la red de Teléfonos del Noroeste, S.A. de C.V. Para clientes diferentes de Telnor la entrega se realizará mediante el Servicio de Tránsito para redes fijas y móviles…” </w:t>
      </w:r>
    </w:p>
    <w:p w14:paraId="363B36CD" w14:textId="77777777" w:rsidR="00764993" w:rsidRPr="00764993" w:rsidRDefault="00764993" w:rsidP="007531A8">
      <w:pPr>
        <w:autoSpaceDE w:val="0"/>
        <w:autoSpaceDN w:val="0"/>
        <w:adjustRightInd w:val="0"/>
        <w:spacing w:after="0" w:line="276" w:lineRule="auto"/>
        <w:ind w:right="49"/>
        <w:rPr>
          <w:rFonts w:ascii="ITC Avant Garde" w:hAnsi="ITC Avant Garde"/>
        </w:rPr>
      </w:pPr>
    </w:p>
    <w:p w14:paraId="32C2278F" w14:textId="77777777" w:rsidR="00764993" w:rsidRPr="00764993" w:rsidRDefault="00764993" w:rsidP="007531A8">
      <w:pPr>
        <w:autoSpaceDE w:val="0"/>
        <w:autoSpaceDN w:val="0"/>
        <w:adjustRightInd w:val="0"/>
        <w:spacing w:after="0" w:line="276" w:lineRule="auto"/>
        <w:ind w:right="49"/>
        <w:rPr>
          <w:rFonts w:ascii="ITC Avant Garde" w:hAnsi="ITC Avant Garde"/>
          <w:b/>
          <w:bCs/>
        </w:rPr>
      </w:pPr>
      <w:r w:rsidRPr="00764993">
        <w:rPr>
          <w:rFonts w:ascii="ITC Avant Garde" w:hAnsi="ITC Avant Garde"/>
          <w:b/>
          <w:bCs/>
        </w:rPr>
        <w:t>Consideraciones del Instituto</w:t>
      </w:r>
    </w:p>
    <w:p w14:paraId="05BDCCB5" w14:textId="77777777" w:rsidR="00764993" w:rsidRDefault="00764993" w:rsidP="007531A8">
      <w:pPr>
        <w:autoSpaceDE w:val="0"/>
        <w:autoSpaceDN w:val="0"/>
        <w:adjustRightInd w:val="0"/>
        <w:spacing w:after="0" w:line="276" w:lineRule="auto"/>
        <w:ind w:right="49"/>
        <w:rPr>
          <w:rFonts w:ascii="ITC Avant Garde" w:hAnsi="ITC Avant Garde"/>
        </w:rPr>
      </w:pPr>
    </w:p>
    <w:p w14:paraId="29571CCF" w14:textId="261BAEAE" w:rsidR="003A3673" w:rsidRDefault="00764993" w:rsidP="007531A8">
      <w:pPr>
        <w:autoSpaceDE w:val="0"/>
        <w:autoSpaceDN w:val="0"/>
        <w:adjustRightInd w:val="0"/>
        <w:spacing w:after="0" w:line="276" w:lineRule="auto"/>
        <w:ind w:right="49"/>
        <w:rPr>
          <w:rFonts w:ascii="ITC Avant Garde" w:hAnsi="ITC Avant Garde"/>
        </w:rPr>
      </w:pPr>
      <w:r w:rsidRPr="00764993">
        <w:rPr>
          <w:rFonts w:ascii="ITC Avant Garde" w:hAnsi="ITC Avant Garde"/>
        </w:rPr>
        <w:t xml:space="preserve">Telmex y Telnor, como integrantes del AEP, se encuentran obligados a prestar el servicio de tránsito a los concesionarios que así lo soliciten. Sin </w:t>
      </w:r>
      <w:r w:rsidR="006725E0" w:rsidRPr="00764993">
        <w:rPr>
          <w:rFonts w:ascii="ITC Avant Garde" w:hAnsi="ITC Avant Garde"/>
        </w:rPr>
        <w:t>embargo,</w:t>
      </w:r>
      <w:r w:rsidRPr="00764993">
        <w:rPr>
          <w:rFonts w:ascii="ITC Avant Garde" w:hAnsi="ITC Avant Garde"/>
        </w:rPr>
        <w:t xml:space="preserve"> no se entiende la pretensión de Telefónica con la precisión propuesta pues Telmex/Telnor debe prestar el servicio de tránsito para la terminación de tráfico en la red de Telnor, tal como se encuentra señalado en el numeral en comento.</w:t>
      </w:r>
    </w:p>
    <w:p w14:paraId="6D3D528F" w14:textId="77777777" w:rsidR="00764993" w:rsidRDefault="00764993" w:rsidP="007531A8">
      <w:pPr>
        <w:autoSpaceDE w:val="0"/>
        <w:autoSpaceDN w:val="0"/>
        <w:adjustRightInd w:val="0"/>
        <w:spacing w:after="0" w:line="276" w:lineRule="auto"/>
        <w:ind w:right="49"/>
        <w:rPr>
          <w:rFonts w:ascii="ITC Avant Garde" w:hAnsi="ITC Avant Garde"/>
        </w:rPr>
      </w:pPr>
    </w:p>
    <w:p w14:paraId="7AE1A9E9" w14:textId="25D46002" w:rsidR="003A3673" w:rsidRDefault="003A3673" w:rsidP="007531A8">
      <w:pPr>
        <w:spacing w:after="0" w:line="276" w:lineRule="auto"/>
        <w:rPr>
          <w:rFonts w:ascii="ITC Avant Garde" w:hAnsi="ITC Avant Garde"/>
          <w:b/>
          <w:bCs/>
        </w:rPr>
      </w:pPr>
      <w:r w:rsidRPr="00AD1A08">
        <w:rPr>
          <w:rFonts w:ascii="ITC Avant Garde" w:hAnsi="ITC Avant Garde"/>
          <w:b/>
          <w:bCs/>
          <w:u w:val="single"/>
        </w:rPr>
        <w:t>5.</w:t>
      </w:r>
      <w:r>
        <w:rPr>
          <w:rFonts w:ascii="ITC Avant Garde" w:hAnsi="ITC Avant Garde"/>
          <w:b/>
          <w:bCs/>
          <w:u w:val="single"/>
        </w:rPr>
        <w:t>7.3</w:t>
      </w:r>
      <w:r w:rsidRPr="00AD1A08">
        <w:rPr>
          <w:rFonts w:ascii="ITC Avant Garde" w:hAnsi="ITC Avant Garde"/>
          <w:b/>
          <w:bCs/>
          <w:u w:val="single"/>
        </w:rPr>
        <w:t xml:space="preserve"> </w:t>
      </w:r>
      <w:r>
        <w:rPr>
          <w:rFonts w:ascii="ITC Avant Garde" w:hAnsi="ITC Avant Garde"/>
          <w:b/>
          <w:bCs/>
          <w:u w:val="single"/>
        </w:rPr>
        <w:t>Especificaciones Técnicas de los Enlaces Dedicados de Interconexión</w:t>
      </w:r>
    </w:p>
    <w:p w14:paraId="4247408B" w14:textId="77777777" w:rsidR="003A3673" w:rsidRDefault="003A3673" w:rsidP="007531A8">
      <w:pPr>
        <w:spacing w:after="0" w:line="276" w:lineRule="auto"/>
        <w:rPr>
          <w:rFonts w:ascii="ITC Avant Garde" w:hAnsi="ITC Avant Garde"/>
          <w:b/>
          <w:bCs/>
        </w:rPr>
      </w:pPr>
    </w:p>
    <w:p w14:paraId="4DB94BB3" w14:textId="04B0CC00" w:rsidR="003A3673" w:rsidRDefault="0018725C" w:rsidP="007531A8">
      <w:pPr>
        <w:spacing w:after="0" w:line="276" w:lineRule="auto"/>
        <w:rPr>
          <w:rFonts w:ascii="ITC Avant Garde" w:hAnsi="ITC Avant Garde"/>
          <w:b/>
          <w:bCs/>
        </w:rPr>
      </w:pPr>
      <w:r>
        <w:rPr>
          <w:rFonts w:ascii="ITC Avant Garde" w:hAnsi="ITC Avant Garde"/>
          <w:b/>
          <w:bCs/>
        </w:rPr>
        <w:t>Mega Cable</w:t>
      </w:r>
    </w:p>
    <w:p w14:paraId="243DC66C" w14:textId="4C37C45A" w:rsidR="003A3673" w:rsidRDefault="003A3673" w:rsidP="003239EA">
      <w:pPr>
        <w:autoSpaceDE w:val="0"/>
        <w:autoSpaceDN w:val="0"/>
        <w:adjustRightInd w:val="0"/>
        <w:spacing w:after="0" w:line="276" w:lineRule="auto"/>
        <w:ind w:right="49"/>
        <w:rPr>
          <w:rFonts w:ascii="ITC Avant Garde" w:hAnsi="ITC Avant Garde"/>
          <w:sz w:val="16"/>
          <w:szCs w:val="16"/>
        </w:rPr>
      </w:pPr>
      <w:r w:rsidRPr="003239EA">
        <w:rPr>
          <w:rFonts w:ascii="ITC Avant Garde" w:hAnsi="ITC Avant Garde"/>
        </w:rPr>
        <w:lastRenderedPageBreak/>
        <w:t>Menciona que, en la actualidad la mayoría de la interconexión entre concesionarios es señalización SIP y la firma de los nuevos Convenios es bajo esta tecnología, se sugiere que se eliminen del CMI, cualquier referencia a la señalización SS7</w:t>
      </w:r>
      <w:r w:rsidR="00233859">
        <w:rPr>
          <w:rFonts w:ascii="ITC Avant Garde" w:hAnsi="ITC Avant Garde"/>
        </w:rPr>
        <w:t>.</w:t>
      </w:r>
    </w:p>
    <w:p w14:paraId="6B284A5C" w14:textId="03B9AB07" w:rsidR="003A3673" w:rsidRPr="003A3673" w:rsidRDefault="003A3673" w:rsidP="007531A8">
      <w:pPr>
        <w:autoSpaceDE w:val="0"/>
        <w:autoSpaceDN w:val="0"/>
        <w:adjustRightInd w:val="0"/>
        <w:spacing w:after="0" w:line="276" w:lineRule="auto"/>
        <w:ind w:right="49"/>
        <w:rPr>
          <w:rFonts w:ascii="ITC Avant Garde" w:hAnsi="ITC Avant Garde"/>
          <w:sz w:val="20"/>
          <w:szCs w:val="20"/>
        </w:rPr>
      </w:pPr>
    </w:p>
    <w:p w14:paraId="4CCE03C8" w14:textId="77777777" w:rsidR="003A3673" w:rsidRPr="00A74253" w:rsidRDefault="003A3673"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20026309" w14:textId="77777777" w:rsidR="006725E0" w:rsidRDefault="006725E0" w:rsidP="007531A8">
      <w:pPr>
        <w:autoSpaceDE w:val="0"/>
        <w:autoSpaceDN w:val="0"/>
        <w:adjustRightInd w:val="0"/>
        <w:spacing w:after="0" w:line="276" w:lineRule="auto"/>
        <w:ind w:right="49"/>
        <w:rPr>
          <w:rFonts w:ascii="ITC Avant Garde" w:hAnsi="ITC Avant Garde"/>
        </w:rPr>
      </w:pPr>
      <w:r>
        <w:rPr>
          <w:rFonts w:ascii="ITC Avant Garde" w:hAnsi="ITC Avant Garde"/>
        </w:rPr>
        <w:t xml:space="preserve">Conforme a lo establecido en el Acuerdo de Condiciones Técnicas Mínimas de Interconexión, los </w:t>
      </w:r>
      <w:r w:rsidRPr="00CF112A">
        <w:rPr>
          <w:rFonts w:ascii="ITC Avant Garde" w:hAnsi="ITC Avant Garde"/>
        </w:rPr>
        <w:t xml:space="preserve">concesionarios de redes públicas de telecomunicaciones </w:t>
      </w:r>
      <w:r>
        <w:rPr>
          <w:rFonts w:ascii="ITC Avant Garde" w:hAnsi="ITC Avant Garde"/>
        </w:rPr>
        <w:t>pueden</w:t>
      </w:r>
      <w:r w:rsidRPr="00CF112A">
        <w:rPr>
          <w:rFonts w:ascii="ITC Avant Garde" w:hAnsi="ITC Avant Garde"/>
        </w:rPr>
        <w:t xml:space="preserve"> continuar intercambiando tráfico en los puntos de interconexión con tecnología TDM (Multiplexación por División de Tiempo) hasta el 31 de enero de 2022 en los puntos de interconexión que tengan convenidos</w:t>
      </w:r>
      <w:r>
        <w:rPr>
          <w:rFonts w:ascii="ITC Avant Garde" w:hAnsi="ITC Avant Garde"/>
        </w:rPr>
        <w:t>, por lo que a</w:t>
      </w:r>
      <w:r w:rsidRPr="00AD1A08">
        <w:rPr>
          <w:rFonts w:ascii="ITC Avant Garde" w:hAnsi="ITC Avant Garde"/>
        </w:rPr>
        <w:t xml:space="preserve"> efecto de dar certidumbre a los </w:t>
      </w:r>
      <w:r>
        <w:rPr>
          <w:rFonts w:ascii="ITC Avant Garde" w:hAnsi="ITC Avant Garde"/>
        </w:rPr>
        <w:t xml:space="preserve">concesionarios se </w:t>
      </w:r>
      <w:r w:rsidRPr="00AD1A08">
        <w:rPr>
          <w:rFonts w:ascii="ITC Avant Garde" w:hAnsi="ITC Avant Garde"/>
        </w:rPr>
        <w:t>considera que</w:t>
      </w:r>
      <w:r>
        <w:rPr>
          <w:rFonts w:ascii="ITC Avant Garde" w:hAnsi="ITC Avant Garde"/>
        </w:rPr>
        <w:t xml:space="preserve"> dicha </w:t>
      </w:r>
      <w:r w:rsidRPr="00AD1A08">
        <w:rPr>
          <w:rFonts w:ascii="ITC Avant Garde" w:hAnsi="ITC Avant Garde"/>
        </w:rPr>
        <w:t xml:space="preserve">información </w:t>
      </w:r>
      <w:r>
        <w:rPr>
          <w:rFonts w:ascii="ITC Avant Garde" w:hAnsi="ITC Avant Garde"/>
        </w:rPr>
        <w:t>es necesaria en el CMI en tanto el intercambio de tráfico TDM se encuentre permitido.</w:t>
      </w:r>
    </w:p>
    <w:p w14:paraId="04E2EBE9" w14:textId="3ADB877C" w:rsidR="003A3673" w:rsidRDefault="003A3673" w:rsidP="007531A8">
      <w:pPr>
        <w:autoSpaceDE w:val="0"/>
        <w:autoSpaceDN w:val="0"/>
        <w:adjustRightInd w:val="0"/>
        <w:spacing w:after="0" w:line="276" w:lineRule="auto"/>
        <w:ind w:right="49"/>
        <w:rPr>
          <w:rFonts w:ascii="ITC Avant Garde" w:hAnsi="ITC Avant Garde"/>
          <w:sz w:val="20"/>
          <w:szCs w:val="20"/>
        </w:rPr>
      </w:pPr>
    </w:p>
    <w:p w14:paraId="2650F6D1" w14:textId="59752D73" w:rsidR="00764993" w:rsidRPr="00AD1A08" w:rsidRDefault="00764993" w:rsidP="007531A8">
      <w:pPr>
        <w:spacing w:after="0" w:line="276" w:lineRule="auto"/>
        <w:rPr>
          <w:rFonts w:ascii="ITC Avant Garde" w:hAnsi="ITC Avant Garde"/>
          <w:b/>
          <w:bCs/>
          <w:u w:val="single"/>
        </w:rPr>
      </w:pPr>
      <w:r w:rsidRPr="00AD1A08">
        <w:rPr>
          <w:rFonts w:ascii="ITC Avant Garde" w:hAnsi="ITC Avant Garde"/>
          <w:b/>
          <w:bCs/>
          <w:u w:val="single"/>
        </w:rPr>
        <w:t xml:space="preserve">CLÁUSULA </w:t>
      </w:r>
      <w:r>
        <w:rPr>
          <w:rFonts w:ascii="ITC Avant Garde" w:hAnsi="ITC Avant Garde"/>
          <w:b/>
          <w:bCs/>
          <w:u w:val="single"/>
        </w:rPr>
        <w:t>SEXTA</w:t>
      </w:r>
      <w:r w:rsidRPr="00AD1A08">
        <w:rPr>
          <w:rFonts w:ascii="ITC Avant Garde" w:hAnsi="ITC Avant Garde"/>
          <w:b/>
          <w:bCs/>
          <w:u w:val="single"/>
        </w:rPr>
        <w:t xml:space="preserve">. </w:t>
      </w:r>
      <w:r>
        <w:rPr>
          <w:rFonts w:ascii="ITC Avant Garde" w:hAnsi="ITC Avant Garde"/>
          <w:b/>
          <w:bCs/>
          <w:u w:val="single"/>
        </w:rPr>
        <w:t>RESPONSABILIDADES</w:t>
      </w:r>
      <w:r w:rsidRPr="00AD1A08">
        <w:rPr>
          <w:rFonts w:ascii="ITC Avant Garde" w:hAnsi="ITC Avant Garde"/>
          <w:b/>
          <w:bCs/>
          <w:u w:val="single"/>
        </w:rPr>
        <w:t>.</w:t>
      </w:r>
    </w:p>
    <w:p w14:paraId="0B197CBB" w14:textId="77777777" w:rsidR="00764993" w:rsidRDefault="00764993" w:rsidP="007531A8">
      <w:pPr>
        <w:spacing w:after="0" w:line="276" w:lineRule="auto"/>
        <w:rPr>
          <w:rFonts w:ascii="ITC Avant Garde" w:hAnsi="ITC Avant Garde"/>
          <w:b/>
          <w:bCs/>
        </w:rPr>
      </w:pPr>
    </w:p>
    <w:p w14:paraId="6BD2CC60" w14:textId="1634FEB8" w:rsidR="00764993" w:rsidRPr="00AD1A08" w:rsidRDefault="00764993" w:rsidP="007531A8">
      <w:pPr>
        <w:spacing w:after="0" w:line="276" w:lineRule="auto"/>
        <w:rPr>
          <w:rFonts w:ascii="ITC Avant Garde" w:hAnsi="ITC Avant Garde"/>
          <w:b/>
          <w:bCs/>
          <w:u w:val="single"/>
        </w:rPr>
      </w:pPr>
      <w:r>
        <w:rPr>
          <w:rFonts w:ascii="ITC Avant Garde" w:hAnsi="ITC Avant Garde"/>
          <w:b/>
          <w:bCs/>
          <w:u w:val="single"/>
        </w:rPr>
        <w:t>6</w:t>
      </w:r>
      <w:r w:rsidRPr="00AD1A08">
        <w:rPr>
          <w:rFonts w:ascii="ITC Avant Garde" w:hAnsi="ITC Avant Garde"/>
          <w:b/>
          <w:bCs/>
          <w:u w:val="single"/>
        </w:rPr>
        <w:t xml:space="preserve">.2 </w:t>
      </w:r>
      <w:r w:rsidR="001F41C1">
        <w:rPr>
          <w:rFonts w:ascii="ITC Avant Garde" w:hAnsi="ITC Avant Garde"/>
          <w:b/>
          <w:bCs/>
          <w:u w:val="single"/>
        </w:rPr>
        <w:t>CALIDAD DE LOS SERVICIOS DE INTERCONEXIÓN</w:t>
      </w:r>
    </w:p>
    <w:p w14:paraId="2D476095" w14:textId="0A1C8BCC" w:rsidR="00764993" w:rsidRDefault="00764993" w:rsidP="007531A8">
      <w:pPr>
        <w:autoSpaceDE w:val="0"/>
        <w:autoSpaceDN w:val="0"/>
        <w:adjustRightInd w:val="0"/>
        <w:spacing w:after="0" w:line="276" w:lineRule="auto"/>
        <w:ind w:right="49"/>
        <w:rPr>
          <w:rFonts w:ascii="ITC Avant Garde" w:hAnsi="ITC Avant Garde"/>
          <w:sz w:val="20"/>
          <w:szCs w:val="20"/>
        </w:rPr>
      </w:pPr>
    </w:p>
    <w:p w14:paraId="67C64092" w14:textId="5BBBC79E" w:rsidR="001F41C1" w:rsidRPr="00764993" w:rsidRDefault="0018725C" w:rsidP="007531A8">
      <w:pPr>
        <w:autoSpaceDE w:val="0"/>
        <w:autoSpaceDN w:val="0"/>
        <w:adjustRightInd w:val="0"/>
        <w:spacing w:after="0" w:line="276" w:lineRule="auto"/>
        <w:ind w:right="49"/>
        <w:rPr>
          <w:rFonts w:ascii="ITC Avant Garde" w:hAnsi="ITC Avant Garde"/>
          <w:b/>
          <w:bCs/>
        </w:rPr>
      </w:pPr>
      <w:r w:rsidRPr="00764993">
        <w:rPr>
          <w:rFonts w:ascii="ITC Avant Garde" w:hAnsi="ITC Avant Garde"/>
          <w:b/>
          <w:bCs/>
        </w:rPr>
        <w:t>Tel</w:t>
      </w:r>
      <w:r w:rsidR="000D6621">
        <w:rPr>
          <w:rFonts w:ascii="ITC Avant Garde" w:hAnsi="ITC Avant Garde"/>
          <w:b/>
          <w:bCs/>
        </w:rPr>
        <w:t>e</w:t>
      </w:r>
      <w:r w:rsidRPr="00764993">
        <w:rPr>
          <w:rFonts w:ascii="ITC Avant Garde" w:hAnsi="ITC Avant Garde"/>
          <w:b/>
          <w:bCs/>
        </w:rPr>
        <w:t>f</w:t>
      </w:r>
      <w:r w:rsidR="000D6621">
        <w:rPr>
          <w:rFonts w:ascii="ITC Avant Garde" w:hAnsi="ITC Avant Garde"/>
          <w:b/>
          <w:bCs/>
        </w:rPr>
        <w:t>ó</w:t>
      </w:r>
      <w:r w:rsidRPr="00764993">
        <w:rPr>
          <w:rFonts w:ascii="ITC Avant Garde" w:hAnsi="ITC Avant Garde"/>
          <w:b/>
          <w:bCs/>
        </w:rPr>
        <w:t>nica</w:t>
      </w:r>
    </w:p>
    <w:p w14:paraId="042BD85F" w14:textId="715962BD" w:rsidR="001F41C1" w:rsidRDefault="001F41C1" w:rsidP="007531A8">
      <w:pPr>
        <w:autoSpaceDE w:val="0"/>
        <w:autoSpaceDN w:val="0"/>
        <w:adjustRightInd w:val="0"/>
        <w:spacing w:after="0" w:line="276" w:lineRule="auto"/>
        <w:ind w:right="49"/>
        <w:rPr>
          <w:rFonts w:ascii="ITC Avant Garde" w:hAnsi="ITC Avant Garde"/>
        </w:rPr>
      </w:pPr>
      <w:r w:rsidRPr="001F41C1">
        <w:rPr>
          <w:rFonts w:ascii="ITC Avant Garde" w:hAnsi="ITC Avant Garde"/>
        </w:rPr>
        <w:t>Solicita modificar la redacción del numeral para establecer la obligación de Telmex/Telnor de incrementar la capacidad requerida por el servicio interconexión una vez que alcance el 50% de ocupación en hora pico, ya que ha sucedido que cuando hay una falla en un enlace y se requiere re enrutar el tráfico, no existe la capacidad suficiente en los enlaces para hacerlo.</w:t>
      </w:r>
    </w:p>
    <w:p w14:paraId="0D2DD1D1" w14:textId="31D6FACB" w:rsidR="001F41C1" w:rsidRDefault="001F41C1" w:rsidP="007531A8">
      <w:pPr>
        <w:autoSpaceDE w:val="0"/>
        <w:autoSpaceDN w:val="0"/>
        <w:adjustRightInd w:val="0"/>
        <w:spacing w:after="0" w:line="276" w:lineRule="auto"/>
        <w:ind w:right="49"/>
        <w:rPr>
          <w:rFonts w:ascii="ITC Avant Garde" w:hAnsi="ITC Avant Garde"/>
        </w:rPr>
      </w:pPr>
    </w:p>
    <w:p w14:paraId="0B5B759B" w14:textId="77777777" w:rsidR="001F41C1" w:rsidRPr="00A74253" w:rsidRDefault="001F41C1"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1F601C9C" w14:textId="2191F296" w:rsidR="001F41C1" w:rsidRDefault="001F41C1" w:rsidP="007531A8">
      <w:pPr>
        <w:autoSpaceDE w:val="0"/>
        <w:autoSpaceDN w:val="0"/>
        <w:adjustRightInd w:val="0"/>
        <w:spacing w:after="0" w:line="276" w:lineRule="auto"/>
        <w:ind w:right="49"/>
        <w:rPr>
          <w:rFonts w:ascii="ITC Avant Garde" w:hAnsi="ITC Avant Garde"/>
        </w:rPr>
      </w:pPr>
      <w:r w:rsidRPr="004C5602">
        <w:rPr>
          <w:rFonts w:ascii="ITC Avant Garde" w:hAnsi="ITC Avant Garde"/>
        </w:rPr>
        <w:t>Se considera que el parámetro para disparar el crecimiento de los servicios debe ser la ocupación del 85% en hora pico de la capacidad de los enlaces por sitio, toda vez que en caso de falla dicho umbral de capacidad permitirá que se curse la totalidad del tráfico durante la hora de mayor demanda y un margen del 15% de capacidad disponible, con la que se podrá cursar 15% más de tráfico. Lo anterior, dado el carácter temporal y aleatorio de una falla, pues de mantener los enlaces con redundancia al 40% o 50% de su capacidad redunda en capacidad que no se utilizará la mayor parte del tiempo, solo en caso de presentarse una falla.</w:t>
      </w:r>
    </w:p>
    <w:p w14:paraId="77142B5F" w14:textId="5BD0D545" w:rsidR="001F41C1" w:rsidRDefault="001F41C1" w:rsidP="007531A8">
      <w:pPr>
        <w:autoSpaceDE w:val="0"/>
        <w:autoSpaceDN w:val="0"/>
        <w:adjustRightInd w:val="0"/>
        <w:spacing w:after="0" w:line="276" w:lineRule="auto"/>
        <w:ind w:right="49"/>
        <w:rPr>
          <w:rFonts w:ascii="ITC Avant Garde" w:hAnsi="ITC Avant Garde"/>
        </w:rPr>
      </w:pPr>
    </w:p>
    <w:p w14:paraId="75929859" w14:textId="43FC1B64" w:rsidR="001F41C1" w:rsidRDefault="00AB09EB" w:rsidP="007531A8">
      <w:pPr>
        <w:autoSpaceDE w:val="0"/>
        <w:autoSpaceDN w:val="0"/>
        <w:adjustRightInd w:val="0"/>
        <w:spacing w:after="0" w:line="276" w:lineRule="auto"/>
        <w:ind w:right="49"/>
        <w:rPr>
          <w:rFonts w:ascii="ITC Avant Garde" w:hAnsi="ITC Avant Garde"/>
          <w:b/>
          <w:bCs/>
          <w:u w:val="single"/>
        </w:rPr>
      </w:pPr>
      <w:r w:rsidRPr="00AD1A08">
        <w:rPr>
          <w:rFonts w:ascii="ITC Avant Garde" w:hAnsi="ITC Avant Garde"/>
          <w:b/>
          <w:bCs/>
          <w:u w:val="single"/>
        </w:rPr>
        <w:t xml:space="preserve">CLÁUSULA </w:t>
      </w:r>
      <w:r>
        <w:rPr>
          <w:rFonts w:ascii="ITC Avant Garde" w:hAnsi="ITC Avant Garde"/>
          <w:b/>
          <w:bCs/>
          <w:u w:val="single"/>
        </w:rPr>
        <w:t>SÉPTIMA</w:t>
      </w:r>
      <w:r w:rsidRPr="00AD1A08">
        <w:rPr>
          <w:rFonts w:ascii="ITC Avant Garde" w:hAnsi="ITC Avant Garde"/>
          <w:b/>
          <w:bCs/>
          <w:u w:val="single"/>
        </w:rPr>
        <w:t>.</w:t>
      </w:r>
    </w:p>
    <w:p w14:paraId="39B39429" w14:textId="3947B1A7" w:rsidR="00AB09EB" w:rsidRDefault="00AB09EB" w:rsidP="007531A8">
      <w:pPr>
        <w:autoSpaceDE w:val="0"/>
        <w:autoSpaceDN w:val="0"/>
        <w:adjustRightInd w:val="0"/>
        <w:spacing w:after="0" w:line="276" w:lineRule="auto"/>
        <w:ind w:right="49"/>
        <w:rPr>
          <w:rFonts w:ascii="ITC Avant Garde" w:hAnsi="ITC Avant Garde"/>
          <w:u w:val="single"/>
        </w:rPr>
      </w:pPr>
    </w:p>
    <w:p w14:paraId="3481B662" w14:textId="77777777" w:rsidR="00AB09EB" w:rsidRPr="00AB09EB" w:rsidRDefault="00AB09EB" w:rsidP="007531A8">
      <w:pPr>
        <w:autoSpaceDE w:val="0"/>
        <w:autoSpaceDN w:val="0"/>
        <w:adjustRightInd w:val="0"/>
        <w:spacing w:after="0" w:line="276" w:lineRule="auto"/>
        <w:ind w:right="49"/>
        <w:rPr>
          <w:rFonts w:ascii="ITC Avant Garde" w:hAnsi="ITC Avant Garde"/>
          <w:b/>
          <w:bCs/>
          <w:u w:val="single"/>
        </w:rPr>
      </w:pPr>
      <w:r w:rsidRPr="00AB09EB">
        <w:rPr>
          <w:rFonts w:ascii="ITC Avant Garde" w:hAnsi="ITC Avant Garde"/>
          <w:b/>
          <w:bCs/>
          <w:u w:val="single"/>
        </w:rPr>
        <w:t>7.2 CONTINUIDAD DE LOS SERVICIOS DE INTERCONEXIÓN EN VENTANAS DE</w:t>
      </w:r>
    </w:p>
    <w:p w14:paraId="0E771575" w14:textId="451A32C1" w:rsidR="00AB09EB" w:rsidRDefault="00AB09EB" w:rsidP="007531A8">
      <w:pPr>
        <w:autoSpaceDE w:val="0"/>
        <w:autoSpaceDN w:val="0"/>
        <w:adjustRightInd w:val="0"/>
        <w:spacing w:after="0" w:line="276" w:lineRule="auto"/>
        <w:ind w:right="49"/>
        <w:rPr>
          <w:rFonts w:ascii="ITC Avant Garde" w:hAnsi="ITC Avant Garde"/>
          <w:b/>
          <w:bCs/>
          <w:u w:val="single"/>
        </w:rPr>
      </w:pPr>
      <w:r w:rsidRPr="00AB09EB">
        <w:rPr>
          <w:rFonts w:ascii="ITC Avant Garde" w:hAnsi="ITC Avant Garde"/>
          <w:b/>
          <w:bCs/>
          <w:u w:val="single"/>
        </w:rPr>
        <w:t>MANTENIMIENTO</w:t>
      </w:r>
    </w:p>
    <w:p w14:paraId="1919EE15" w14:textId="12CF588C" w:rsidR="00AB09EB" w:rsidRDefault="00AB09EB" w:rsidP="007531A8">
      <w:pPr>
        <w:autoSpaceDE w:val="0"/>
        <w:autoSpaceDN w:val="0"/>
        <w:adjustRightInd w:val="0"/>
        <w:spacing w:after="0" w:line="276" w:lineRule="auto"/>
        <w:ind w:right="49"/>
        <w:rPr>
          <w:rFonts w:ascii="ITC Avant Garde" w:hAnsi="ITC Avant Garde"/>
          <w:b/>
          <w:bCs/>
          <w:u w:val="single"/>
        </w:rPr>
      </w:pPr>
    </w:p>
    <w:p w14:paraId="3784C030" w14:textId="166C4E12" w:rsidR="00AB09EB" w:rsidRDefault="0018725C"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Mega Cable</w:t>
      </w:r>
    </w:p>
    <w:p w14:paraId="111BF130" w14:textId="63E78950" w:rsidR="00AB09EB" w:rsidRDefault="00AB09EB" w:rsidP="007531A8">
      <w:pPr>
        <w:autoSpaceDE w:val="0"/>
        <w:autoSpaceDN w:val="0"/>
        <w:adjustRightInd w:val="0"/>
        <w:spacing w:after="0" w:line="276" w:lineRule="auto"/>
        <w:ind w:right="49"/>
        <w:rPr>
          <w:rFonts w:ascii="ITC Avant Garde" w:hAnsi="ITC Avant Garde"/>
        </w:rPr>
      </w:pPr>
      <w:r w:rsidRPr="00AB09EB">
        <w:rPr>
          <w:rFonts w:ascii="ITC Avant Garde" w:hAnsi="ITC Avant Garde"/>
        </w:rPr>
        <w:lastRenderedPageBreak/>
        <w:t>Señala que el CMI propuesto establece en su tercer párrafo de esta Cláusula que: “</w:t>
      </w:r>
      <w:r w:rsidRPr="00AB09EB">
        <w:rPr>
          <w:rFonts w:ascii="ITC Avant Garde" w:hAnsi="ITC Avant Garde"/>
          <w:i/>
          <w:iCs/>
        </w:rPr>
        <w:t>En el caso de ser necesario para evitar la interrupción de los servicios de interconexión y siempre y cuando exista viabilidad de rutas alternas, Telmex proveerá a [ __________] rutas alternas que permitan mantener la continuidad de los Servicios de Interconexión afectados</w:t>
      </w:r>
      <w:r w:rsidRPr="00AB09EB">
        <w:rPr>
          <w:rFonts w:ascii="ITC Avant Garde" w:hAnsi="ITC Avant Garde"/>
        </w:rPr>
        <w:t xml:space="preserve">”. Por lo que, con la finalidad de no perder tiempos de servicios, se sugiere hacer obligatorio que el AEP </w:t>
      </w:r>
      <w:r w:rsidR="00831DBE">
        <w:rPr>
          <w:rFonts w:ascii="ITC Avant Garde" w:hAnsi="ITC Avant Garde"/>
        </w:rPr>
        <w:t xml:space="preserve">provea </w:t>
      </w:r>
      <w:r w:rsidRPr="00AB09EB">
        <w:rPr>
          <w:rFonts w:ascii="ITC Avant Garde" w:hAnsi="ITC Avant Garde"/>
        </w:rPr>
        <w:t>enlaces de interconexión bidireccionales, situación que está excluida del SEG y permite al AEP realizar cobros adicionales.</w:t>
      </w:r>
    </w:p>
    <w:p w14:paraId="366D7EB8" w14:textId="21A339BA" w:rsidR="00AB09EB" w:rsidRDefault="00AB09EB" w:rsidP="007531A8">
      <w:pPr>
        <w:autoSpaceDE w:val="0"/>
        <w:autoSpaceDN w:val="0"/>
        <w:adjustRightInd w:val="0"/>
        <w:spacing w:after="0" w:line="276" w:lineRule="auto"/>
        <w:ind w:right="49"/>
        <w:rPr>
          <w:rFonts w:ascii="ITC Avant Garde" w:hAnsi="ITC Avant Garde"/>
        </w:rPr>
      </w:pPr>
    </w:p>
    <w:p w14:paraId="74CE6CFF" w14:textId="77777777" w:rsidR="00AB09EB" w:rsidRPr="00A74253" w:rsidRDefault="00AB09EB"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2E386414" w14:textId="77777777" w:rsidR="00AB09EB" w:rsidRDefault="00AB09EB" w:rsidP="007531A8">
      <w:pPr>
        <w:autoSpaceDE w:val="0"/>
        <w:autoSpaceDN w:val="0"/>
        <w:adjustRightInd w:val="0"/>
        <w:spacing w:after="0" w:line="276" w:lineRule="auto"/>
        <w:ind w:right="49"/>
        <w:rPr>
          <w:rFonts w:ascii="ITC Avant Garde" w:hAnsi="ITC Avant Garde"/>
        </w:rPr>
      </w:pPr>
    </w:p>
    <w:p w14:paraId="19AB6536" w14:textId="22EE71FD" w:rsidR="00A264B4" w:rsidRDefault="00AB09EB" w:rsidP="007531A8">
      <w:pPr>
        <w:autoSpaceDE w:val="0"/>
        <w:autoSpaceDN w:val="0"/>
        <w:adjustRightInd w:val="0"/>
        <w:spacing w:after="0" w:line="276" w:lineRule="auto"/>
        <w:ind w:right="49"/>
        <w:rPr>
          <w:rFonts w:ascii="ITC Avant Garde" w:hAnsi="ITC Avant Garde"/>
        </w:rPr>
      </w:pPr>
      <w:r>
        <w:rPr>
          <w:rFonts w:ascii="ITC Avant Garde" w:hAnsi="ITC Avant Garde"/>
        </w:rPr>
        <w:t xml:space="preserve">Se señala que </w:t>
      </w:r>
      <w:r w:rsidRPr="00AB09EB">
        <w:rPr>
          <w:rFonts w:ascii="ITC Avant Garde" w:hAnsi="ITC Avant Garde"/>
        </w:rPr>
        <w:t xml:space="preserve">el CMI ya contempla esquemas de redundancia para desborde de tráfico en caso de </w:t>
      </w:r>
      <w:r w:rsidR="00A264B4" w:rsidRPr="00AB09EB">
        <w:rPr>
          <w:rFonts w:ascii="ITC Avant Garde" w:hAnsi="ITC Avant Garde"/>
        </w:rPr>
        <w:t>contingencia</w:t>
      </w:r>
      <w:r w:rsidRPr="00AB09EB">
        <w:rPr>
          <w:rFonts w:ascii="ITC Avant Garde" w:hAnsi="ITC Avant Garde"/>
        </w:rPr>
        <w:t xml:space="preserve">. </w:t>
      </w:r>
      <w:r w:rsidR="007A1A0A">
        <w:rPr>
          <w:rFonts w:ascii="ITC Avant Garde" w:hAnsi="ITC Avant Garde"/>
        </w:rPr>
        <w:t>Asim</w:t>
      </w:r>
      <w:r w:rsidR="00A970D0">
        <w:rPr>
          <w:rFonts w:ascii="ITC Avant Garde" w:hAnsi="ITC Avant Garde"/>
        </w:rPr>
        <w:t>ismo</w:t>
      </w:r>
      <w:r w:rsidR="007A1A0A">
        <w:rPr>
          <w:rFonts w:ascii="ITC Avant Garde" w:hAnsi="ITC Avant Garde"/>
        </w:rPr>
        <w:t>, u</w:t>
      </w:r>
      <w:r w:rsidR="00A264B4" w:rsidRPr="001610C4">
        <w:rPr>
          <w:rFonts w:ascii="ITC Avant Garde" w:hAnsi="ITC Avant Garde"/>
        </w:rPr>
        <w:t>tilizar sólo un enlace para el envío y recepción de tráfico podría no ser viable para todos los caso</w:t>
      </w:r>
      <w:r w:rsidR="00A264B4">
        <w:rPr>
          <w:rFonts w:ascii="ITC Avant Garde" w:hAnsi="ITC Avant Garde"/>
        </w:rPr>
        <w:t>s</w:t>
      </w:r>
      <w:r w:rsidR="00A264B4" w:rsidRPr="001610C4">
        <w:rPr>
          <w:rFonts w:ascii="ITC Avant Garde" w:hAnsi="ITC Avant Garde"/>
        </w:rPr>
        <w:t xml:space="preserve"> y pondría en riesgo la prestación del servicio.</w:t>
      </w:r>
    </w:p>
    <w:p w14:paraId="08A5136B" w14:textId="2B4D6B3B" w:rsidR="00AB09EB" w:rsidRDefault="00AB09EB" w:rsidP="007531A8">
      <w:pPr>
        <w:autoSpaceDE w:val="0"/>
        <w:autoSpaceDN w:val="0"/>
        <w:adjustRightInd w:val="0"/>
        <w:spacing w:after="0" w:line="276" w:lineRule="auto"/>
        <w:ind w:right="49"/>
        <w:rPr>
          <w:rFonts w:ascii="ITC Avant Garde" w:hAnsi="ITC Avant Garde"/>
        </w:rPr>
      </w:pPr>
    </w:p>
    <w:p w14:paraId="474FE094" w14:textId="76640C4F" w:rsidR="001F43E3" w:rsidRDefault="001F43E3" w:rsidP="007531A8">
      <w:pPr>
        <w:spacing w:after="0" w:line="276" w:lineRule="auto"/>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DÉCIMOPRIMERA. CONDUCTAS FRAUDULENTAS</w:t>
      </w:r>
    </w:p>
    <w:p w14:paraId="5E677A2F" w14:textId="77777777" w:rsidR="001F43E3" w:rsidRDefault="001F43E3" w:rsidP="007531A8">
      <w:pPr>
        <w:autoSpaceDE w:val="0"/>
        <w:autoSpaceDN w:val="0"/>
        <w:adjustRightInd w:val="0"/>
        <w:spacing w:after="0" w:line="276" w:lineRule="auto"/>
        <w:ind w:right="49"/>
        <w:rPr>
          <w:rFonts w:ascii="ITC Avant Garde" w:hAnsi="ITC Avant Garde"/>
        </w:rPr>
      </w:pPr>
    </w:p>
    <w:p w14:paraId="42C756E8" w14:textId="70E381C6" w:rsidR="001F43E3" w:rsidRDefault="0018725C"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Mega Cable</w:t>
      </w:r>
      <w:r w:rsidRPr="00137421">
        <w:rPr>
          <w:rFonts w:ascii="ITC Avant Garde" w:hAnsi="ITC Avant Garde"/>
          <w:b/>
          <w:bCs/>
          <w:lang w:val="es-ES"/>
        </w:rPr>
        <w:t xml:space="preserve"> </w:t>
      </w:r>
    </w:p>
    <w:p w14:paraId="75909924" w14:textId="56D91F82" w:rsidR="001F43E3" w:rsidRDefault="00831DBE" w:rsidP="007531A8">
      <w:pPr>
        <w:autoSpaceDE w:val="0"/>
        <w:autoSpaceDN w:val="0"/>
        <w:adjustRightInd w:val="0"/>
        <w:spacing w:after="0" w:line="276" w:lineRule="auto"/>
        <w:ind w:right="49"/>
        <w:rPr>
          <w:rFonts w:ascii="ITC Avant Garde" w:hAnsi="ITC Avant Garde"/>
          <w:lang w:val="es-ES"/>
        </w:rPr>
      </w:pPr>
      <w:r>
        <w:rPr>
          <w:rFonts w:ascii="ITC Avant Garde" w:hAnsi="ITC Avant Garde"/>
          <w:lang w:val="es-ES"/>
        </w:rPr>
        <w:t>Sugiere</w:t>
      </w:r>
      <w:r w:rsidR="006B450B" w:rsidRPr="006B450B">
        <w:rPr>
          <w:rFonts w:ascii="ITC Avant Garde" w:hAnsi="ITC Avant Garde"/>
          <w:lang w:val="es-ES"/>
        </w:rPr>
        <w:t xml:space="preserve"> eliminar esta Cláusula en su totalidad, </w:t>
      </w:r>
      <w:r>
        <w:rPr>
          <w:rFonts w:ascii="ITC Avant Garde" w:hAnsi="ITC Avant Garde"/>
          <w:lang w:val="es-ES"/>
        </w:rPr>
        <w:t>dad</w:t>
      </w:r>
      <w:r w:rsidRPr="00831DBE">
        <w:rPr>
          <w:rFonts w:ascii="ITC Avant Garde" w:hAnsi="ITC Avant Garde"/>
          <w:lang w:val="es-ES"/>
        </w:rPr>
        <w:t>o</w:t>
      </w:r>
      <w:r>
        <w:rPr>
          <w:rFonts w:ascii="ITC Avant Garde" w:hAnsi="ITC Avant Garde"/>
          <w:lang w:val="es-ES"/>
        </w:rPr>
        <w:t xml:space="preserve"> que a los</w:t>
      </w:r>
      <w:r w:rsidRPr="00831DBE">
        <w:rPr>
          <w:rFonts w:ascii="ITC Avant Garde" w:hAnsi="ITC Avant Garde"/>
          <w:lang w:val="es-ES"/>
        </w:rPr>
        <w:t xml:space="preserve"> operadores no se les deben dar facultades de autoridad ni vigilantes del uso de la red por parte de los usuarios finales</w:t>
      </w:r>
      <w:r>
        <w:rPr>
          <w:rFonts w:ascii="ITC Avant Garde" w:hAnsi="ITC Avant Garde"/>
          <w:lang w:val="es-ES"/>
        </w:rPr>
        <w:t xml:space="preserve">. </w:t>
      </w:r>
      <w:r w:rsidR="00435B80">
        <w:rPr>
          <w:rFonts w:ascii="ITC Avant Garde" w:hAnsi="ITC Avant Garde"/>
          <w:lang w:val="es-ES"/>
        </w:rPr>
        <w:t>Señala</w:t>
      </w:r>
      <w:r w:rsidR="006B450B">
        <w:rPr>
          <w:rFonts w:ascii="ITC Avant Garde" w:hAnsi="ITC Avant Garde"/>
          <w:lang w:val="es-ES"/>
        </w:rPr>
        <w:t xml:space="preserve"> que</w:t>
      </w:r>
      <w:r w:rsidR="00435B80">
        <w:rPr>
          <w:rFonts w:ascii="ITC Avant Garde" w:hAnsi="ITC Avant Garde"/>
          <w:lang w:val="es-ES"/>
        </w:rPr>
        <w:t>,</w:t>
      </w:r>
      <w:r w:rsidR="006B450B">
        <w:rPr>
          <w:rFonts w:ascii="ITC Avant Garde" w:hAnsi="ITC Avant Garde"/>
          <w:lang w:val="es-ES"/>
        </w:rPr>
        <w:t xml:space="preserve"> e</w:t>
      </w:r>
      <w:r w:rsidR="006B450B" w:rsidRPr="006B450B">
        <w:rPr>
          <w:rFonts w:ascii="ITC Avant Garde" w:hAnsi="ITC Avant Garde"/>
          <w:lang w:val="es-ES"/>
        </w:rPr>
        <w:t>n todo caso corresponde al IFT ejercer las facultades de supervisión y vigilancia, por lo que esta cláusula es contraria a las prácticas de una adecuada interconexión y debe eliminarse.</w:t>
      </w:r>
    </w:p>
    <w:p w14:paraId="4EE887A8" w14:textId="49A91FF5" w:rsidR="006B450B" w:rsidRDefault="006B450B" w:rsidP="007531A8">
      <w:pPr>
        <w:autoSpaceDE w:val="0"/>
        <w:autoSpaceDN w:val="0"/>
        <w:adjustRightInd w:val="0"/>
        <w:spacing w:after="0" w:line="276" w:lineRule="auto"/>
        <w:ind w:right="49"/>
        <w:rPr>
          <w:rFonts w:ascii="ITC Avant Garde" w:hAnsi="ITC Avant Garde"/>
          <w:lang w:val="es-ES"/>
        </w:rPr>
      </w:pPr>
    </w:p>
    <w:p w14:paraId="783BD15E" w14:textId="464825BA" w:rsidR="006B450B" w:rsidRDefault="006B450B"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Consideraciones del Instituto</w:t>
      </w:r>
    </w:p>
    <w:p w14:paraId="4BEF05EE" w14:textId="6CADFBE5" w:rsidR="006B450B" w:rsidRDefault="006B450B" w:rsidP="007531A8">
      <w:pPr>
        <w:autoSpaceDE w:val="0"/>
        <w:autoSpaceDN w:val="0"/>
        <w:adjustRightInd w:val="0"/>
        <w:spacing w:after="0" w:line="276" w:lineRule="auto"/>
        <w:ind w:right="49"/>
        <w:rPr>
          <w:rFonts w:ascii="ITC Avant Garde" w:hAnsi="ITC Avant Garde"/>
          <w:lang w:val="es-ES"/>
        </w:rPr>
      </w:pPr>
      <w:r>
        <w:rPr>
          <w:rFonts w:ascii="ITC Avant Garde" w:hAnsi="ITC Avant Garde"/>
          <w:lang w:val="es-ES"/>
        </w:rPr>
        <w:t>L</w:t>
      </w:r>
      <w:r w:rsidRPr="006B450B">
        <w:rPr>
          <w:rFonts w:ascii="ITC Avant Garde" w:hAnsi="ITC Avant Garde"/>
          <w:lang w:val="es-ES"/>
        </w:rPr>
        <w:t>a cláusula establece mecanismos de prevención entre las partes para evitar prácticas fraudulentas y reconoce explícitamente la facultad del Instituto como la autoridad para realizar acciones de inspección, verificación y monitoreo de conductas que pudieran implicar el uso fraudulento de las redes</w:t>
      </w:r>
      <w:r>
        <w:rPr>
          <w:rFonts w:ascii="ITC Avant Garde" w:hAnsi="ITC Avant Garde"/>
          <w:lang w:val="es-ES"/>
        </w:rPr>
        <w:t>, por lo que no se considera procedente lo solicitado.</w:t>
      </w:r>
    </w:p>
    <w:p w14:paraId="69A56857" w14:textId="09A0BE08" w:rsidR="00435B80" w:rsidRDefault="00435B80" w:rsidP="007531A8">
      <w:pPr>
        <w:autoSpaceDE w:val="0"/>
        <w:autoSpaceDN w:val="0"/>
        <w:adjustRightInd w:val="0"/>
        <w:spacing w:after="0" w:line="276" w:lineRule="auto"/>
        <w:ind w:right="49"/>
        <w:rPr>
          <w:rFonts w:ascii="ITC Avant Garde" w:hAnsi="ITC Avant Garde"/>
          <w:lang w:val="es-ES"/>
        </w:rPr>
      </w:pPr>
    </w:p>
    <w:p w14:paraId="7BD2E843" w14:textId="2228E409" w:rsidR="00435B80" w:rsidRDefault="00435B80" w:rsidP="007531A8">
      <w:pPr>
        <w:spacing w:after="0" w:line="276" w:lineRule="auto"/>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DÉCIMOTERCERA.</w:t>
      </w:r>
    </w:p>
    <w:p w14:paraId="15C0EB03" w14:textId="25049F58" w:rsidR="00435B80" w:rsidRDefault="00435B80" w:rsidP="007531A8">
      <w:pPr>
        <w:spacing w:after="0" w:line="276" w:lineRule="auto"/>
        <w:rPr>
          <w:rFonts w:ascii="ITC Avant Garde" w:hAnsi="ITC Avant Garde"/>
          <w:b/>
          <w:u w:val="single"/>
        </w:rPr>
      </w:pPr>
    </w:p>
    <w:p w14:paraId="3D61B0DC" w14:textId="126C58BB" w:rsidR="00435B80" w:rsidRPr="00435B80" w:rsidRDefault="00435B80" w:rsidP="007531A8">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13.2 USO COMPARTIDO DE INFRAESTRUCTURA</w:t>
      </w:r>
    </w:p>
    <w:p w14:paraId="65255730" w14:textId="77777777" w:rsidR="00435B80" w:rsidRDefault="00435B80" w:rsidP="007531A8">
      <w:pPr>
        <w:autoSpaceDE w:val="0"/>
        <w:autoSpaceDN w:val="0"/>
        <w:adjustRightInd w:val="0"/>
        <w:spacing w:after="0" w:line="276" w:lineRule="auto"/>
        <w:ind w:right="49"/>
        <w:rPr>
          <w:rFonts w:ascii="ITC Avant Garde" w:hAnsi="ITC Avant Garde"/>
        </w:rPr>
      </w:pPr>
    </w:p>
    <w:p w14:paraId="648EA839" w14:textId="25345027" w:rsidR="00435B80" w:rsidRDefault="0018725C"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Mega Cable</w:t>
      </w:r>
      <w:r w:rsidRPr="00137421">
        <w:rPr>
          <w:rFonts w:ascii="ITC Avant Garde" w:hAnsi="ITC Avant Garde"/>
          <w:b/>
          <w:bCs/>
          <w:lang w:val="es-ES"/>
        </w:rPr>
        <w:t xml:space="preserve"> </w:t>
      </w:r>
    </w:p>
    <w:p w14:paraId="287F161E" w14:textId="0AEBD7C2" w:rsidR="006B450B" w:rsidRDefault="00442795" w:rsidP="007531A8">
      <w:pPr>
        <w:autoSpaceDE w:val="0"/>
        <w:autoSpaceDN w:val="0"/>
        <w:adjustRightInd w:val="0"/>
        <w:spacing w:after="0" w:line="276" w:lineRule="auto"/>
        <w:ind w:right="49"/>
        <w:rPr>
          <w:rFonts w:ascii="ITC Avant Garde" w:hAnsi="ITC Avant Garde"/>
          <w:lang w:val="es-ES"/>
        </w:rPr>
      </w:pPr>
      <w:r w:rsidRPr="00442795">
        <w:rPr>
          <w:rFonts w:ascii="ITC Avant Garde" w:hAnsi="ITC Avant Garde"/>
          <w:lang w:val="es-ES"/>
        </w:rPr>
        <w:t xml:space="preserve">Sugiere que esta Cláusula se homologue </w:t>
      </w:r>
      <w:r w:rsidR="00831DBE">
        <w:rPr>
          <w:rFonts w:ascii="ITC Avant Garde" w:hAnsi="ITC Avant Garde"/>
          <w:lang w:val="es-ES"/>
        </w:rPr>
        <w:t>con</w:t>
      </w:r>
      <w:r w:rsidRPr="00442795">
        <w:rPr>
          <w:rFonts w:ascii="ITC Avant Garde" w:hAnsi="ITC Avant Garde"/>
          <w:lang w:val="es-ES"/>
        </w:rPr>
        <w:t xml:space="preserve"> </w:t>
      </w:r>
      <w:r w:rsidR="00831DBE">
        <w:rPr>
          <w:rFonts w:ascii="ITC Avant Garde" w:hAnsi="ITC Avant Garde"/>
          <w:lang w:val="es-ES"/>
        </w:rPr>
        <w:t xml:space="preserve">el </w:t>
      </w:r>
      <w:r w:rsidRPr="00442795">
        <w:rPr>
          <w:rFonts w:ascii="ITC Avant Garde" w:hAnsi="ITC Avant Garde"/>
          <w:lang w:val="es-ES"/>
        </w:rPr>
        <w:t xml:space="preserve">contenido de la Cláusula 5.3.1. Espacios de </w:t>
      </w:r>
      <w:proofErr w:type="spellStart"/>
      <w:r w:rsidRPr="00442795">
        <w:rPr>
          <w:rFonts w:ascii="ITC Avant Garde" w:hAnsi="ITC Avant Garde"/>
          <w:lang w:val="es-ES"/>
        </w:rPr>
        <w:t>Coubicación</w:t>
      </w:r>
      <w:proofErr w:type="spellEnd"/>
      <w:r w:rsidRPr="00442795">
        <w:rPr>
          <w:rFonts w:ascii="ITC Avant Garde" w:hAnsi="ITC Avant Garde"/>
          <w:lang w:val="es-ES"/>
        </w:rPr>
        <w:t xml:space="preserve">, dado que es importante que se precise que la Parte contratante del servicio pueda instalar los equipos que requiera para los Servicios. Es decir, el AEP no debe acotar el uso compartido de la infraestructura y sea el </w:t>
      </w:r>
      <w:r w:rsidRPr="00442795">
        <w:rPr>
          <w:rFonts w:ascii="ITC Avant Garde" w:hAnsi="ITC Avant Garde"/>
          <w:lang w:val="es-ES"/>
        </w:rPr>
        <w:lastRenderedPageBreak/>
        <w:t>concesionario quien decida si además de que sean para fines de interconexión, sirvan para atender los servicios de sus clientes o usuarios que pudieran estar relacionados con servicios de interconexión.</w:t>
      </w:r>
    </w:p>
    <w:p w14:paraId="0C2B6D85" w14:textId="0D978884" w:rsidR="00442795" w:rsidRDefault="00442795" w:rsidP="007531A8">
      <w:pPr>
        <w:autoSpaceDE w:val="0"/>
        <w:autoSpaceDN w:val="0"/>
        <w:adjustRightInd w:val="0"/>
        <w:spacing w:after="0" w:line="276" w:lineRule="auto"/>
        <w:ind w:right="49"/>
        <w:rPr>
          <w:rFonts w:ascii="ITC Avant Garde" w:hAnsi="ITC Avant Garde"/>
          <w:lang w:val="es-ES"/>
        </w:rPr>
      </w:pPr>
    </w:p>
    <w:p w14:paraId="095CDD83" w14:textId="7AF0A9E9" w:rsidR="00442795" w:rsidRDefault="00442795"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 xml:space="preserve">Consideraciones del </w:t>
      </w:r>
      <w:r w:rsidRPr="00442795">
        <w:rPr>
          <w:rFonts w:ascii="ITC Avant Garde" w:hAnsi="ITC Avant Garde"/>
          <w:b/>
          <w:bCs/>
          <w:lang w:val="es-ES"/>
        </w:rPr>
        <w:t>Instituto</w:t>
      </w:r>
    </w:p>
    <w:p w14:paraId="04ABE832" w14:textId="05D985F2" w:rsidR="00442795" w:rsidRPr="00442795" w:rsidRDefault="00442795" w:rsidP="007531A8">
      <w:pPr>
        <w:autoSpaceDE w:val="0"/>
        <w:autoSpaceDN w:val="0"/>
        <w:adjustRightInd w:val="0"/>
        <w:spacing w:after="0" w:line="276" w:lineRule="auto"/>
        <w:ind w:right="49"/>
        <w:rPr>
          <w:rFonts w:ascii="ITC Avant Garde" w:hAnsi="ITC Avant Garde"/>
          <w:lang w:val="es-ES"/>
        </w:rPr>
      </w:pPr>
      <w:r>
        <w:rPr>
          <w:rFonts w:ascii="ITC Avant Garde" w:hAnsi="ITC Avant Garde"/>
          <w:lang w:val="es-ES"/>
        </w:rPr>
        <w:t>E</w:t>
      </w:r>
      <w:r w:rsidRPr="00442795">
        <w:rPr>
          <w:rFonts w:ascii="ITC Avant Garde" w:hAnsi="ITC Avant Garde"/>
          <w:lang w:val="es-ES"/>
        </w:rPr>
        <w:t>l concepto de compartición de infraestructura ya se encuentra definido en el CMI como el derecho de utilizar en forma conjunta y simultánea con otro concesionario, la infraestructura que le haya provisto Telmex/Telnor, para fines de interconexión</w:t>
      </w:r>
      <w:r>
        <w:rPr>
          <w:rFonts w:ascii="ITC Avant Garde" w:hAnsi="ITC Avant Garde"/>
          <w:lang w:val="es-ES"/>
        </w:rPr>
        <w:t>, por lo que no se considera lo solicitado.</w:t>
      </w:r>
    </w:p>
    <w:p w14:paraId="3F99E29D" w14:textId="56DFDC4D" w:rsidR="00442795" w:rsidRDefault="00442795" w:rsidP="007531A8">
      <w:pPr>
        <w:autoSpaceDE w:val="0"/>
        <w:autoSpaceDN w:val="0"/>
        <w:adjustRightInd w:val="0"/>
        <w:spacing w:after="0" w:line="276" w:lineRule="auto"/>
        <w:ind w:right="49"/>
        <w:rPr>
          <w:rFonts w:ascii="ITC Avant Garde" w:hAnsi="ITC Avant Garde"/>
        </w:rPr>
      </w:pPr>
    </w:p>
    <w:p w14:paraId="06DA2491" w14:textId="0B5EC678" w:rsidR="00442795" w:rsidRDefault="00442795" w:rsidP="007531A8">
      <w:pPr>
        <w:spacing w:after="0" w:line="276" w:lineRule="auto"/>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DÉCIMOCUARTA. CAUSALES DE RESCISIÓN.</w:t>
      </w:r>
    </w:p>
    <w:p w14:paraId="79B97449" w14:textId="77777777" w:rsidR="00442795" w:rsidRDefault="00442795" w:rsidP="007531A8">
      <w:pPr>
        <w:spacing w:after="0" w:line="276" w:lineRule="auto"/>
        <w:rPr>
          <w:rFonts w:ascii="ITC Avant Garde" w:hAnsi="ITC Avant Garde"/>
          <w:b/>
          <w:u w:val="single"/>
        </w:rPr>
      </w:pPr>
    </w:p>
    <w:p w14:paraId="5AAF1BC4" w14:textId="7E7B4F85" w:rsidR="00442795" w:rsidRPr="00435B80" w:rsidRDefault="00442795" w:rsidP="007531A8">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14.3 CONDUCTAS FRAUDULENTAS</w:t>
      </w:r>
    </w:p>
    <w:p w14:paraId="0AC902CD" w14:textId="77777777" w:rsidR="00442795" w:rsidRDefault="00442795" w:rsidP="007531A8">
      <w:pPr>
        <w:autoSpaceDE w:val="0"/>
        <w:autoSpaceDN w:val="0"/>
        <w:adjustRightInd w:val="0"/>
        <w:spacing w:after="0" w:line="276" w:lineRule="auto"/>
        <w:ind w:right="49"/>
        <w:rPr>
          <w:rFonts w:ascii="ITC Avant Garde" w:hAnsi="ITC Avant Garde"/>
        </w:rPr>
      </w:pPr>
    </w:p>
    <w:p w14:paraId="5C7D28B8" w14:textId="7CF37C11" w:rsidR="00442795" w:rsidRDefault="0018725C"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Mega Cable</w:t>
      </w:r>
      <w:r w:rsidRPr="00137421">
        <w:rPr>
          <w:rFonts w:ascii="ITC Avant Garde" w:hAnsi="ITC Avant Garde"/>
          <w:b/>
          <w:bCs/>
          <w:lang w:val="es-ES"/>
        </w:rPr>
        <w:t xml:space="preserve"> </w:t>
      </w:r>
    </w:p>
    <w:p w14:paraId="3D58CC89" w14:textId="378AF38D" w:rsidR="00442795" w:rsidRPr="00442795" w:rsidRDefault="00442795" w:rsidP="007531A8">
      <w:pPr>
        <w:autoSpaceDE w:val="0"/>
        <w:autoSpaceDN w:val="0"/>
        <w:adjustRightInd w:val="0"/>
        <w:spacing w:after="0" w:line="276" w:lineRule="auto"/>
        <w:ind w:right="49"/>
        <w:rPr>
          <w:rFonts w:ascii="ITC Avant Garde" w:hAnsi="ITC Avant Garde"/>
          <w:lang w:val="es-ES"/>
        </w:rPr>
      </w:pPr>
      <w:r w:rsidRPr="00442795">
        <w:rPr>
          <w:rFonts w:ascii="ITC Avant Garde" w:hAnsi="ITC Avant Garde"/>
          <w:lang w:val="es-ES"/>
        </w:rPr>
        <w:t xml:space="preserve">Señala que no se puede asumir en un CMI, que una de las partes se asuma como si se le otorgaran facultades de autoridad. </w:t>
      </w:r>
      <w:r>
        <w:rPr>
          <w:rFonts w:ascii="ITC Avant Garde" w:hAnsi="ITC Avant Garde"/>
          <w:lang w:val="es-ES"/>
        </w:rPr>
        <w:t>Indica que l</w:t>
      </w:r>
      <w:r w:rsidRPr="00442795">
        <w:rPr>
          <w:rFonts w:ascii="ITC Avant Garde" w:hAnsi="ITC Avant Garde"/>
          <w:lang w:val="es-ES"/>
        </w:rPr>
        <w:t>a Ley impide suspender el servicio a un usuario final si no es por falta de pago</w:t>
      </w:r>
      <w:r w:rsidR="00A06738">
        <w:rPr>
          <w:rFonts w:ascii="ITC Avant Garde" w:hAnsi="ITC Avant Garde"/>
          <w:lang w:val="es-ES"/>
        </w:rPr>
        <w:t xml:space="preserve"> u</w:t>
      </w:r>
      <w:r w:rsidRPr="00442795">
        <w:rPr>
          <w:rFonts w:ascii="ITC Avant Garde" w:hAnsi="ITC Avant Garde"/>
          <w:lang w:val="es-ES"/>
        </w:rPr>
        <w:t xml:space="preserve"> orden de autoridad competente. </w:t>
      </w:r>
      <w:r w:rsidR="00A06738">
        <w:rPr>
          <w:rFonts w:ascii="ITC Avant Garde" w:hAnsi="ITC Avant Garde"/>
          <w:lang w:val="es-ES"/>
        </w:rPr>
        <w:t>Señala que el hecho de qu</w:t>
      </w:r>
      <w:r w:rsidRPr="00442795">
        <w:rPr>
          <w:rFonts w:ascii="ITC Avant Garde" w:hAnsi="ITC Avant Garde"/>
          <w:lang w:val="es-ES"/>
        </w:rPr>
        <w:t xml:space="preserve">e permanezcan estas cláusulas es otorgar un poder de autoridad a uno de los operadores, por lo que se debe de eliminar </w:t>
      </w:r>
      <w:r w:rsidR="00831DBE">
        <w:rPr>
          <w:rFonts w:ascii="ITC Avant Garde" w:hAnsi="ITC Avant Garde"/>
          <w:lang w:val="es-ES"/>
        </w:rPr>
        <w:t>la s</w:t>
      </w:r>
      <w:r w:rsidR="00C22027">
        <w:rPr>
          <w:rFonts w:ascii="ITC Avant Garde" w:hAnsi="ITC Avant Garde"/>
          <w:lang w:val="es-ES"/>
        </w:rPr>
        <w:t>ig</w:t>
      </w:r>
      <w:r w:rsidR="00831DBE">
        <w:rPr>
          <w:rFonts w:ascii="ITC Avant Garde" w:hAnsi="ITC Avant Garde"/>
          <w:lang w:val="es-ES"/>
        </w:rPr>
        <w:t>uiente</w:t>
      </w:r>
      <w:r w:rsidRPr="00442795">
        <w:rPr>
          <w:rFonts w:ascii="ITC Avant Garde" w:hAnsi="ITC Avant Garde"/>
          <w:lang w:val="es-ES"/>
        </w:rPr>
        <w:t xml:space="preserve"> cláusula:</w:t>
      </w:r>
    </w:p>
    <w:p w14:paraId="12AB89FA" w14:textId="77777777" w:rsidR="00442795" w:rsidRPr="00442795" w:rsidRDefault="00442795" w:rsidP="007531A8">
      <w:pPr>
        <w:autoSpaceDE w:val="0"/>
        <w:autoSpaceDN w:val="0"/>
        <w:adjustRightInd w:val="0"/>
        <w:spacing w:after="0" w:line="276" w:lineRule="auto"/>
        <w:ind w:right="49"/>
        <w:rPr>
          <w:rFonts w:ascii="ITC Avant Garde" w:hAnsi="ITC Avant Garde"/>
          <w:lang w:val="es-ES"/>
        </w:rPr>
      </w:pPr>
    </w:p>
    <w:p w14:paraId="1C1FB11B" w14:textId="70FC9851" w:rsidR="00442795" w:rsidRPr="00A06738" w:rsidRDefault="00442795" w:rsidP="007531A8">
      <w:pPr>
        <w:autoSpaceDE w:val="0"/>
        <w:autoSpaceDN w:val="0"/>
        <w:adjustRightInd w:val="0"/>
        <w:spacing w:after="0" w:line="276" w:lineRule="auto"/>
        <w:ind w:left="567" w:right="616"/>
        <w:rPr>
          <w:rFonts w:ascii="ITC Avant Garde" w:hAnsi="ITC Avant Garde"/>
          <w:i/>
          <w:iCs/>
          <w:sz w:val="18"/>
          <w:szCs w:val="18"/>
          <w:lang w:val="es-ES"/>
        </w:rPr>
      </w:pPr>
      <w:r w:rsidRPr="00A06738">
        <w:rPr>
          <w:rFonts w:ascii="ITC Avant Garde" w:hAnsi="ITC Avant Garde"/>
          <w:i/>
          <w:iCs/>
          <w:sz w:val="18"/>
          <w:szCs w:val="18"/>
          <w:lang w:val="es-ES"/>
        </w:rPr>
        <w:t>“14.3 CONDUCTAS FRAUDULENTAS. Si alguna de las Partes incurre en alguna práctica a las que hace referencia la Cláusula Décima Primera -Conductas Fraudulentas- del presente Convenio.”</w:t>
      </w:r>
    </w:p>
    <w:p w14:paraId="256C411B" w14:textId="450A6F04" w:rsidR="00442795" w:rsidRDefault="00442795" w:rsidP="007531A8">
      <w:pPr>
        <w:autoSpaceDE w:val="0"/>
        <w:autoSpaceDN w:val="0"/>
        <w:adjustRightInd w:val="0"/>
        <w:spacing w:after="0" w:line="276" w:lineRule="auto"/>
        <w:ind w:right="49"/>
        <w:rPr>
          <w:rFonts w:ascii="ITC Avant Garde" w:hAnsi="ITC Avant Garde"/>
          <w:lang w:val="es-ES"/>
        </w:rPr>
      </w:pPr>
    </w:p>
    <w:p w14:paraId="53226DBF" w14:textId="77777777" w:rsidR="00A06738" w:rsidRDefault="00A06738"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Consideraciones del Instituto</w:t>
      </w:r>
    </w:p>
    <w:p w14:paraId="3C51CDDC" w14:textId="009DFF8D" w:rsidR="00442795" w:rsidRPr="00A06738" w:rsidRDefault="00A06738" w:rsidP="007531A8">
      <w:pPr>
        <w:autoSpaceDE w:val="0"/>
        <w:autoSpaceDN w:val="0"/>
        <w:adjustRightInd w:val="0"/>
        <w:spacing w:after="0" w:line="276" w:lineRule="auto"/>
        <w:ind w:right="49"/>
        <w:rPr>
          <w:rFonts w:ascii="ITC Avant Garde" w:hAnsi="ITC Avant Garde"/>
        </w:rPr>
      </w:pPr>
      <w:r>
        <w:rPr>
          <w:rFonts w:ascii="ITC Avant Garde" w:hAnsi="ITC Avant Garde"/>
        </w:rPr>
        <w:t>E</w:t>
      </w:r>
      <w:r w:rsidRPr="00A06738">
        <w:rPr>
          <w:rFonts w:ascii="ITC Avant Garde" w:hAnsi="ITC Avant Garde"/>
        </w:rPr>
        <w:t>s práctica común la inclusión de</w:t>
      </w:r>
      <w:r>
        <w:rPr>
          <w:rFonts w:ascii="ITC Avant Garde" w:hAnsi="ITC Avant Garde"/>
        </w:rPr>
        <w:t xml:space="preserve"> cláusulas de</w:t>
      </w:r>
      <w:r w:rsidRPr="00A06738">
        <w:rPr>
          <w:rFonts w:ascii="ITC Avant Garde" w:hAnsi="ITC Avant Garde"/>
        </w:rPr>
        <w:t xml:space="preserve"> rescisión por conductas fraudulentas.  Además, en la Cláusula Decimoprimera se contemplan las acciones de prevención y a realizar entre los concesionarios en caso de detección de </w:t>
      </w:r>
      <w:r w:rsidR="00B425BA" w:rsidRPr="00A06738">
        <w:rPr>
          <w:rFonts w:ascii="ITC Avant Garde" w:hAnsi="ITC Avant Garde"/>
        </w:rPr>
        <w:t>prácticas</w:t>
      </w:r>
      <w:r w:rsidRPr="00A06738">
        <w:rPr>
          <w:rFonts w:ascii="ITC Avant Garde" w:hAnsi="ITC Avant Garde"/>
        </w:rPr>
        <w:t xml:space="preserve"> fraudulentas. </w:t>
      </w:r>
      <w:r>
        <w:rPr>
          <w:rFonts w:ascii="ITC Avant Garde" w:hAnsi="ITC Avant Garde"/>
        </w:rPr>
        <w:t>Por lo anterior no se considera procedente lo solicitado.</w:t>
      </w:r>
    </w:p>
    <w:p w14:paraId="4B66B590" w14:textId="77777777" w:rsidR="00A06738" w:rsidRDefault="00A06738" w:rsidP="007531A8">
      <w:pPr>
        <w:autoSpaceDE w:val="0"/>
        <w:autoSpaceDN w:val="0"/>
        <w:adjustRightInd w:val="0"/>
        <w:spacing w:after="0" w:line="276" w:lineRule="auto"/>
        <w:ind w:right="49"/>
        <w:rPr>
          <w:rFonts w:ascii="ITC Avant Garde" w:hAnsi="ITC Avant Garde"/>
        </w:rPr>
      </w:pPr>
    </w:p>
    <w:p w14:paraId="19629B63" w14:textId="773939F1" w:rsidR="001570E0" w:rsidRDefault="001570E0" w:rsidP="007531A8">
      <w:pPr>
        <w:spacing w:after="0" w:line="276" w:lineRule="auto"/>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DÉCIMONOVENA. CONDICIONES RESOLUTORIAS</w:t>
      </w:r>
    </w:p>
    <w:p w14:paraId="0FA7CCE7" w14:textId="2D2678C1" w:rsidR="00AB09EB" w:rsidRDefault="00AB09EB" w:rsidP="007531A8">
      <w:pPr>
        <w:autoSpaceDE w:val="0"/>
        <w:autoSpaceDN w:val="0"/>
        <w:adjustRightInd w:val="0"/>
        <w:spacing w:after="0" w:line="276" w:lineRule="auto"/>
        <w:ind w:right="49"/>
        <w:rPr>
          <w:rFonts w:ascii="ITC Avant Garde" w:hAnsi="ITC Avant Garde"/>
        </w:rPr>
      </w:pPr>
    </w:p>
    <w:p w14:paraId="38612AD2" w14:textId="1D238F0D" w:rsidR="00137421" w:rsidRDefault="0018725C" w:rsidP="007531A8">
      <w:pPr>
        <w:autoSpaceDE w:val="0"/>
        <w:autoSpaceDN w:val="0"/>
        <w:adjustRightInd w:val="0"/>
        <w:spacing w:after="0" w:line="276" w:lineRule="auto"/>
        <w:ind w:right="49"/>
        <w:rPr>
          <w:rFonts w:ascii="ITC Avant Garde" w:hAnsi="ITC Avant Garde"/>
          <w:b/>
          <w:bCs/>
          <w:lang w:val="es-ES"/>
        </w:rPr>
      </w:pPr>
      <w:r w:rsidRPr="00137421">
        <w:rPr>
          <w:rFonts w:ascii="ITC Avant Garde" w:hAnsi="ITC Avant Garde"/>
          <w:b/>
          <w:bCs/>
          <w:lang w:val="es-ES"/>
        </w:rPr>
        <w:t>Tel</w:t>
      </w:r>
      <w:r w:rsidR="000D6621">
        <w:rPr>
          <w:rFonts w:ascii="ITC Avant Garde" w:hAnsi="ITC Avant Garde"/>
          <w:b/>
          <w:bCs/>
          <w:lang w:val="es-ES"/>
        </w:rPr>
        <w:t>e</w:t>
      </w:r>
      <w:r w:rsidRPr="00137421">
        <w:rPr>
          <w:rFonts w:ascii="ITC Avant Garde" w:hAnsi="ITC Avant Garde"/>
          <w:b/>
          <w:bCs/>
          <w:lang w:val="es-ES"/>
        </w:rPr>
        <w:t>f</w:t>
      </w:r>
      <w:r w:rsidR="000D6621">
        <w:rPr>
          <w:rFonts w:ascii="ITC Avant Garde" w:hAnsi="ITC Avant Garde"/>
          <w:b/>
          <w:bCs/>
          <w:lang w:val="es-ES"/>
        </w:rPr>
        <w:t>ó</w:t>
      </w:r>
      <w:r w:rsidRPr="00137421">
        <w:rPr>
          <w:rFonts w:ascii="ITC Avant Garde" w:hAnsi="ITC Avant Garde"/>
          <w:b/>
          <w:bCs/>
          <w:lang w:val="es-ES"/>
        </w:rPr>
        <w:t xml:space="preserve">nica </w:t>
      </w:r>
    </w:p>
    <w:p w14:paraId="0578DD54" w14:textId="77777777" w:rsidR="00137421" w:rsidRPr="00137421" w:rsidRDefault="00137421" w:rsidP="007531A8">
      <w:pPr>
        <w:autoSpaceDE w:val="0"/>
        <w:autoSpaceDN w:val="0"/>
        <w:adjustRightInd w:val="0"/>
        <w:spacing w:after="0" w:line="276" w:lineRule="auto"/>
        <w:ind w:right="49"/>
        <w:rPr>
          <w:rFonts w:ascii="ITC Avant Garde" w:hAnsi="ITC Avant Garde"/>
          <w:b/>
          <w:bCs/>
          <w:lang w:val="es-ES"/>
        </w:rPr>
      </w:pPr>
    </w:p>
    <w:p w14:paraId="02B498A1" w14:textId="003A678A" w:rsidR="00137421" w:rsidRPr="00137421" w:rsidRDefault="00137421" w:rsidP="007531A8">
      <w:pPr>
        <w:autoSpaceDE w:val="0"/>
        <w:autoSpaceDN w:val="0"/>
        <w:adjustRightInd w:val="0"/>
        <w:spacing w:after="0" w:line="276" w:lineRule="auto"/>
        <w:ind w:right="49"/>
        <w:rPr>
          <w:rFonts w:ascii="ITC Avant Garde" w:hAnsi="ITC Avant Garde"/>
          <w:lang w:val="es-ES"/>
        </w:rPr>
      </w:pPr>
      <w:r w:rsidRPr="00137421">
        <w:rPr>
          <w:rFonts w:ascii="ITC Avant Garde" w:hAnsi="ITC Avant Garde"/>
          <w:lang w:val="es-ES"/>
        </w:rPr>
        <w:t xml:space="preserve">Solicita la eliminación de </w:t>
      </w:r>
      <w:r w:rsidR="00333994">
        <w:rPr>
          <w:rFonts w:ascii="ITC Avant Garde" w:hAnsi="ITC Avant Garde"/>
          <w:lang w:val="es-ES"/>
        </w:rPr>
        <w:t>la C</w:t>
      </w:r>
      <w:r w:rsidRPr="00137421">
        <w:rPr>
          <w:rFonts w:ascii="ITC Avant Garde" w:hAnsi="ITC Avant Garde"/>
          <w:lang w:val="es-ES"/>
        </w:rPr>
        <w:t xml:space="preserve">láusula </w:t>
      </w:r>
      <w:r w:rsidR="00333994">
        <w:rPr>
          <w:rFonts w:ascii="ITC Avant Garde" w:hAnsi="ITC Avant Garde"/>
          <w:lang w:val="es-ES"/>
        </w:rPr>
        <w:t xml:space="preserve">Decimonovena </w:t>
      </w:r>
      <w:r w:rsidRPr="00137421">
        <w:rPr>
          <w:rFonts w:ascii="ITC Avant Garde" w:hAnsi="ITC Avant Garde"/>
          <w:lang w:val="es-ES"/>
        </w:rPr>
        <w:t xml:space="preserve">por las siguientes razones: i) establecen que las Partes están de acuerdo con el CMI mientras el AEP tenga tal carácter, sin embargo, la misma pretende hacer caer en el error a los concesionarios para aceptar reservas de derechos que en nada se relacionan con ellos; </w:t>
      </w:r>
      <w:proofErr w:type="spellStart"/>
      <w:r w:rsidRPr="00137421">
        <w:rPr>
          <w:rFonts w:ascii="ITC Avant Garde" w:hAnsi="ITC Avant Garde"/>
          <w:lang w:val="es-ES"/>
        </w:rPr>
        <w:t>ii</w:t>
      </w:r>
      <w:proofErr w:type="spellEnd"/>
      <w:r w:rsidRPr="00137421">
        <w:rPr>
          <w:rFonts w:ascii="ITC Avant Garde" w:hAnsi="ITC Avant Garde"/>
          <w:lang w:val="es-ES"/>
        </w:rPr>
        <w:t xml:space="preserve">) pretenden vincular a los concesionarios simulando un acuerdo de </w:t>
      </w:r>
      <w:r w:rsidRPr="00137421">
        <w:rPr>
          <w:rFonts w:ascii="ITC Avant Garde" w:hAnsi="ITC Avant Garde"/>
          <w:lang w:val="es-ES"/>
        </w:rPr>
        <w:lastRenderedPageBreak/>
        <w:t>voluntades, por lo que no debe establecerse como cláusula sino como apartado de declaraciones de Telmex/Tenor.</w:t>
      </w:r>
    </w:p>
    <w:p w14:paraId="654FFFE6" w14:textId="77777777" w:rsidR="00137421" w:rsidRPr="00137421" w:rsidRDefault="00137421" w:rsidP="007531A8">
      <w:pPr>
        <w:autoSpaceDE w:val="0"/>
        <w:autoSpaceDN w:val="0"/>
        <w:adjustRightInd w:val="0"/>
        <w:spacing w:after="0" w:line="276" w:lineRule="auto"/>
        <w:ind w:right="49"/>
        <w:rPr>
          <w:rFonts w:ascii="ITC Avant Garde" w:hAnsi="ITC Avant Garde"/>
          <w:lang w:val="es-ES"/>
        </w:rPr>
      </w:pPr>
    </w:p>
    <w:p w14:paraId="4919093A" w14:textId="5BA2B3F0" w:rsidR="00137421" w:rsidRPr="00137421" w:rsidRDefault="00137421"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 xml:space="preserve">CANIETI, </w:t>
      </w:r>
      <w:r w:rsidR="0018725C" w:rsidRPr="00137421">
        <w:rPr>
          <w:rFonts w:ascii="ITC Avant Garde" w:hAnsi="ITC Avant Garde"/>
          <w:b/>
          <w:bCs/>
          <w:lang w:val="es-ES"/>
        </w:rPr>
        <w:t>Grupo Televisa</w:t>
      </w:r>
    </w:p>
    <w:p w14:paraId="6083CB69" w14:textId="25DF623F" w:rsidR="00137421" w:rsidRDefault="00137421" w:rsidP="007531A8">
      <w:pPr>
        <w:autoSpaceDE w:val="0"/>
        <w:autoSpaceDN w:val="0"/>
        <w:adjustRightInd w:val="0"/>
        <w:spacing w:after="0" w:line="276" w:lineRule="auto"/>
        <w:ind w:right="49"/>
        <w:rPr>
          <w:rFonts w:ascii="ITC Avant Garde" w:hAnsi="ITC Avant Garde"/>
          <w:lang w:val="es-ES"/>
        </w:rPr>
      </w:pPr>
      <w:r w:rsidRPr="00137421">
        <w:rPr>
          <w:rFonts w:ascii="ITC Avant Garde" w:hAnsi="ITC Avant Garde"/>
          <w:lang w:val="es-ES"/>
        </w:rPr>
        <w:t>Solicit</w:t>
      </w:r>
      <w:r>
        <w:rPr>
          <w:rFonts w:ascii="ITC Avant Garde" w:hAnsi="ITC Avant Garde"/>
          <w:lang w:val="es-ES"/>
        </w:rPr>
        <w:t>aron</w:t>
      </w:r>
      <w:r w:rsidRPr="00137421">
        <w:rPr>
          <w:rFonts w:ascii="ITC Avant Garde" w:hAnsi="ITC Avant Garde"/>
          <w:lang w:val="es-ES"/>
        </w:rPr>
        <w:t xml:space="preserve"> eliminar la Cláusula Decimonovena y toda referencia dentro del texto en el Convenio donde se mencione que, en caso de que el AEP dejará de serlo, el Instituto impondrá un plan de transición, con sus correspondientes características técnicas y comerciales, en el que se garantice que se tienen en cuenta las inversiones realizadas y su plazo de recuperación, la existencia de alternativas a la infraestructura del AEP, y la continuidad en la prestación de los servicios a los usuarios finales.</w:t>
      </w:r>
    </w:p>
    <w:p w14:paraId="05C8C27D" w14:textId="77777777" w:rsidR="00137421" w:rsidRPr="00137421" w:rsidRDefault="00137421" w:rsidP="007531A8">
      <w:pPr>
        <w:autoSpaceDE w:val="0"/>
        <w:autoSpaceDN w:val="0"/>
        <w:adjustRightInd w:val="0"/>
        <w:spacing w:after="0" w:line="276" w:lineRule="auto"/>
        <w:ind w:right="49"/>
        <w:rPr>
          <w:rFonts w:ascii="ITC Avant Garde" w:hAnsi="ITC Avant Garde"/>
          <w:lang w:val="es-ES"/>
        </w:rPr>
      </w:pPr>
    </w:p>
    <w:p w14:paraId="3B1F7714" w14:textId="77777777" w:rsidR="00137421" w:rsidRPr="00137421" w:rsidRDefault="00137421" w:rsidP="007531A8">
      <w:pPr>
        <w:autoSpaceDE w:val="0"/>
        <w:autoSpaceDN w:val="0"/>
        <w:adjustRightInd w:val="0"/>
        <w:spacing w:after="0" w:line="276" w:lineRule="auto"/>
        <w:ind w:right="49"/>
        <w:rPr>
          <w:rFonts w:ascii="ITC Avant Garde" w:hAnsi="ITC Avant Garde"/>
          <w:b/>
          <w:bCs/>
          <w:lang w:val="es-ES"/>
        </w:rPr>
      </w:pPr>
      <w:r w:rsidRPr="00137421">
        <w:rPr>
          <w:rFonts w:ascii="ITC Avant Garde" w:hAnsi="ITC Avant Garde"/>
          <w:b/>
          <w:bCs/>
          <w:lang w:val="es-ES"/>
        </w:rPr>
        <w:t>Consideraciones del Instituto</w:t>
      </w:r>
    </w:p>
    <w:p w14:paraId="05F2F43E" w14:textId="11A9C72C" w:rsidR="006574E7" w:rsidRPr="006574E7" w:rsidRDefault="006574E7" w:rsidP="007531A8">
      <w:pPr>
        <w:spacing w:after="0" w:line="276" w:lineRule="auto"/>
        <w:rPr>
          <w:rFonts w:ascii="ITC Avant Garde" w:hAnsi="ITC Avant Garde"/>
          <w:lang w:val="es-ES_tradnl"/>
        </w:rPr>
      </w:pPr>
      <w:r>
        <w:rPr>
          <w:rFonts w:ascii="ITC Avant Garde" w:hAnsi="ITC Avant Garde"/>
          <w:lang w:val="es-ES_tradnl"/>
        </w:rPr>
        <w:t>L</w:t>
      </w:r>
      <w:r w:rsidRPr="0018613B">
        <w:rPr>
          <w:rFonts w:ascii="ITC Avant Garde" w:hAnsi="ITC Avant Garde"/>
          <w:lang w:val="es-ES_tradnl"/>
        </w:rPr>
        <w:t>a Cláusula Décimo Novena</w:t>
      </w:r>
      <w:r>
        <w:rPr>
          <w:rFonts w:ascii="ITC Avant Garde" w:hAnsi="ITC Avant Garde"/>
          <w:lang w:val="es-ES_tradnl"/>
        </w:rPr>
        <w:t xml:space="preserve"> establece que</w:t>
      </w:r>
      <w:r w:rsidRPr="0018613B">
        <w:rPr>
          <w:rFonts w:ascii="ITC Avant Garde" w:hAnsi="ITC Avant Garde"/>
          <w:lang w:val="es-ES_tradnl"/>
        </w:rPr>
        <w:t xml:space="preserve"> </w:t>
      </w:r>
      <w:r w:rsidRPr="00DA4556">
        <w:rPr>
          <w:rFonts w:ascii="ITC Avant Garde" w:hAnsi="ITC Avant Garde"/>
          <w:lang w:val="es-ES_tradnl"/>
        </w:rPr>
        <w:t xml:space="preserve">las partes negociarán las nuevas condiciones, términos y tarifas de conformidad con lo dispuesto en el artículo 129 de la </w:t>
      </w:r>
      <w:r>
        <w:rPr>
          <w:rFonts w:ascii="ITC Avant Garde" w:hAnsi="ITC Avant Garde"/>
          <w:lang w:val="es-ES_tradnl"/>
        </w:rPr>
        <w:t xml:space="preserve">LFTR, y a su vez </w:t>
      </w:r>
      <w:r w:rsidRPr="00DA4556">
        <w:rPr>
          <w:rFonts w:ascii="ITC Avant Garde" w:hAnsi="ITC Avant Garde"/>
          <w:lang w:val="es-ES_tradnl"/>
        </w:rPr>
        <w:t>las partes se obligan a negociar los términos, condiciones y tarifas que modificarán</w:t>
      </w:r>
      <w:r w:rsidRPr="00DA4556" w:rsidDel="00AD30E2">
        <w:rPr>
          <w:rFonts w:ascii="ITC Avant Garde" w:hAnsi="ITC Avant Garde"/>
          <w:lang w:val="es-ES_tradnl"/>
        </w:rPr>
        <w:t xml:space="preserve"> </w:t>
      </w:r>
      <w:r w:rsidRPr="00DA4556">
        <w:rPr>
          <w:rFonts w:ascii="ITC Avant Garde" w:hAnsi="ITC Avant Garde"/>
          <w:lang w:val="es-ES_tradnl"/>
        </w:rPr>
        <w:t xml:space="preserve">el presente Convenio en todo lo que sea necesario, dentro de los 120 (ciento veinte) días naturales siguientes a la notificación de </w:t>
      </w:r>
      <w:r>
        <w:rPr>
          <w:rFonts w:ascii="ITC Avant Garde" w:hAnsi="ITC Avant Garde"/>
          <w:lang w:val="es-ES_tradnl"/>
        </w:rPr>
        <w:t>que el AEP deje tener dicho carácter</w:t>
      </w:r>
      <w:r w:rsidRPr="00DA4556">
        <w:rPr>
          <w:rFonts w:ascii="ITC Avant Garde" w:hAnsi="ITC Avant Garde"/>
          <w:lang w:val="es-ES_tradnl"/>
        </w:rPr>
        <w:t>, obligándose a aplicar, las últimas tarifas, términos y demás condiciones suscritos entre las Partes</w:t>
      </w:r>
      <w:r>
        <w:rPr>
          <w:rFonts w:ascii="ITC Avant Garde" w:hAnsi="ITC Avant Garde"/>
          <w:lang w:val="es-ES_tradnl"/>
        </w:rPr>
        <w:t>, por lo que el esquema de transición ya se encuentra definido y se garantiza la continuidad en la prestación de los servicios a los usuarios finales.</w:t>
      </w:r>
    </w:p>
    <w:p w14:paraId="2E8228AA" w14:textId="525EC80A" w:rsidR="001F43E3" w:rsidRPr="006574E7" w:rsidRDefault="001F43E3" w:rsidP="007531A8">
      <w:pPr>
        <w:autoSpaceDE w:val="0"/>
        <w:autoSpaceDN w:val="0"/>
        <w:adjustRightInd w:val="0"/>
        <w:spacing w:after="0" w:line="276" w:lineRule="auto"/>
        <w:ind w:right="49"/>
        <w:rPr>
          <w:rFonts w:ascii="ITC Avant Garde" w:hAnsi="ITC Avant Garde"/>
        </w:rPr>
      </w:pPr>
    </w:p>
    <w:p w14:paraId="490F68D2" w14:textId="31C226BB" w:rsidR="00B71E59" w:rsidRDefault="00B71E59" w:rsidP="007531A8">
      <w:pPr>
        <w:spacing w:after="0" w:line="276" w:lineRule="auto"/>
        <w:rPr>
          <w:rFonts w:ascii="ITC Avant Garde" w:hAnsi="ITC Avant Garde"/>
          <w:b/>
          <w:u w:val="single"/>
        </w:rPr>
      </w:pPr>
      <w:r>
        <w:rPr>
          <w:rFonts w:ascii="ITC Avant Garde" w:hAnsi="ITC Avant Garde"/>
          <w:b/>
          <w:u w:val="single"/>
        </w:rPr>
        <w:t>ANEXO A. ACUERDO TÉCNICOS.</w:t>
      </w:r>
    </w:p>
    <w:p w14:paraId="6F3524FD" w14:textId="77777777" w:rsidR="00B71E59" w:rsidRDefault="00B71E59" w:rsidP="007531A8">
      <w:pPr>
        <w:spacing w:after="0" w:line="276" w:lineRule="auto"/>
        <w:rPr>
          <w:rFonts w:ascii="ITC Avant Garde" w:hAnsi="ITC Avant Garde"/>
          <w:b/>
          <w:u w:val="single"/>
        </w:rPr>
      </w:pPr>
    </w:p>
    <w:p w14:paraId="64D902E8" w14:textId="196231FD" w:rsidR="00B71E59" w:rsidRPr="00435B80" w:rsidRDefault="00B71E59" w:rsidP="007531A8">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 xml:space="preserve">A.1 ACUERDO </w:t>
      </w:r>
      <w:r w:rsidR="00E86A8F">
        <w:rPr>
          <w:rFonts w:ascii="ITC Avant Garde" w:hAnsi="ITC Avant Garde"/>
          <w:b/>
          <w:bCs/>
          <w:u w:val="single"/>
        </w:rPr>
        <w:t>TÉCNICOS DE INTERCONEXIÓN PARA SEÑALIZACIÓN PAUSI-MX.</w:t>
      </w:r>
    </w:p>
    <w:p w14:paraId="74516801" w14:textId="77777777" w:rsidR="00B71E59" w:rsidRDefault="00B71E59" w:rsidP="007531A8">
      <w:pPr>
        <w:autoSpaceDE w:val="0"/>
        <w:autoSpaceDN w:val="0"/>
        <w:adjustRightInd w:val="0"/>
        <w:spacing w:after="0" w:line="276" w:lineRule="auto"/>
        <w:ind w:right="49"/>
        <w:rPr>
          <w:rFonts w:ascii="ITC Avant Garde" w:hAnsi="ITC Avant Garde"/>
        </w:rPr>
      </w:pPr>
    </w:p>
    <w:p w14:paraId="720FD384" w14:textId="03E26263" w:rsidR="00B71E59" w:rsidRDefault="0018725C" w:rsidP="007531A8">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Mega Cable</w:t>
      </w:r>
      <w:r w:rsidRPr="00137421">
        <w:rPr>
          <w:rFonts w:ascii="ITC Avant Garde" w:hAnsi="ITC Avant Garde"/>
          <w:b/>
          <w:bCs/>
          <w:lang w:val="es-ES"/>
        </w:rPr>
        <w:t xml:space="preserve"> </w:t>
      </w:r>
    </w:p>
    <w:p w14:paraId="192D1003" w14:textId="6AD74CCF" w:rsidR="001F43E3" w:rsidRDefault="00E86A8F" w:rsidP="007531A8">
      <w:pPr>
        <w:autoSpaceDE w:val="0"/>
        <w:autoSpaceDN w:val="0"/>
        <w:adjustRightInd w:val="0"/>
        <w:spacing w:after="0" w:line="276" w:lineRule="auto"/>
        <w:ind w:right="49"/>
        <w:rPr>
          <w:rFonts w:ascii="ITC Avant Garde" w:hAnsi="ITC Avant Garde"/>
          <w:lang w:val="es-ES"/>
        </w:rPr>
      </w:pPr>
      <w:r w:rsidRPr="00E86A8F">
        <w:rPr>
          <w:rFonts w:ascii="ITC Avant Garde" w:hAnsi="ITC Avant Garde"/>
          <w:lang w:val="es-ES"/>
        </w:rPr>
        <w:t>Indica que respecto a la forma de realizar la interconexión se sugiere eliminar todo lo referente al A.1. ACUERDOS TÉCNICOS DE INTERCONEXIÓN PARA LA SEÑALIZACIÓN PAUSI MX y conservar los relativo a A.2. ACUERDOS TÉCNICOS DE INTERCONEXIÓN PARA SEÑALIZACIÓN SIP.</w:t>
      </w:r>
    </w:p>
    <w:p w14:paraId="60AA9BB5" w14:textId="0C2447FF" w:rsidR="00E86A8F" w:rsidRDefault="00E86A8F" w:rsidP="007531A8">
      <w:pPr>
        <w:autoSpaceDE w:val="0"/>
        <w:autoSpaceDN w:val="0"/>
        <w:adjustRightInd w:val="0"/>
        <w:spacing w:after="0" w:line="276" w:lineRule="auto"/>
        <w:ind w:right="49"/>
        <w:rPr>
          <w:rFonts w:ascii="ITC Avant Garde" w:hAnsi="ITC Avant Garde"/>
          <w:lang w:val="es-ES"/>
        </w:rPr>
      </w:pPr>
    </w:p>
    <w:p w14:paraId="54AB9DDA" w14:textId="77777777" w:rsidR="00E86A8F" w:rsidRPr="00137421" w:rsidRDefault="00E86A8F" w:rsidP="007531A8">
      <w:pPr>
        <w:autoSpaceDE w:val="0"/>
        <w:autoSpaceDN w:val="0"/>
        <w:adjustRightInd w:val="0"/>
        <w:spacing w:after="0" w:line="276" w:lineRule="auto"/>
        <w:ind w:right="49"/>
        <w:rPr>
          <w:rFonts w:ascii="ITC Avant Garde" w:hAnsi="ITC Avant Garde"/>
          <w:b/>
          <w:bCs/>
          <w:lang w:val="es-ES"/>
        </w:rPr>
      </w:pPr>
      <w:r w:rsidRPr="00137421">
        <w:rPr>
          <w:rFonts w:ascii="ITC Avant Garde" w:hAnsi="ITC Avant Garde"/>
          <w:b/>
          <w:bCs/>
          <w:lang w:val="es-ES"/>
        </w:rPr>
        <w:t>Consideraciones del Instituto</w:t>
      </w:r>
    </w:p>
    <w:p w14:paraId="56D3A290" w14:textId="77777777" w:rsidR="00E86A8F" w:rsidRDefault="00E86A8F" w:rsidP="007531A8">
      <w:pPr>
        <w:autoSpaceDE w:val="0"/>
        <w:autoSpaceDN w:val="0"/>
        <w:adjustRightInd w:val="0"/>
        <w:spacing w:after="0" w:line="276" w:lineRule="auto"/>
        <w:ind w:right="49"/>
        <w:rPr>
          <w:rFonts w:ascii="ITC Avant Garde" w:hAnsi="ITC Avant Garde"/>
          <w:lang w:val="es-ES"/>
        </w:rPr>
      </w:pPr>
    </w:p>
    <w:p w14:paraId="20789E6A" w14:textId="1B38A3DA" w:rsidR="00C22027" w:rsidRDefault="00C60075" w:rsidP="007531A8">
      <w:pPr>
        <w:autoSpaceDE w:val="0"/>
        <w:autoSpaceDN w:val="0"/>
        <w:adjustRightInd w:val="0"/>
        <w:spacing w:after="0" w:line="276" w:lineRule="auto"/>
        <w:ind w:right="49"/>
        <w:rPr>
          <w:rFonts w:ascii="ITC Avant Garde" w:hAnsi="ITC Avant Garde"/>
        </w:rPr>
      </w:pPr>
      <w:r>
        <w:rPr>
          <w:rFonts w:ascii="ITC Avant Garde" w:hAnsi="ITC Avant Garde"/>
          <w:lang w:val="es-ES"/>
        </w:rPr>
        <w:t>E</w:t>
      </w:r>
      <w:r w:rsidRPr="00E86A8F">
        <w:rPr>
          <w:rFonts w:ascii="ITC Avant Garde" w:hAnsi="ITC Avant Garde"/>
          <w:lang w:val="es-ES"/>
        </w:rPr>
        <w:t xml:space="preserve">l intercambio de tráfico mediante </w:t>
      </w:r>
      <w:r>
        <w:rPr>
          <w:rFonts w:ascii="ITC Avant Garde" w:hAnsi="ITC Avant Garde"/>
          <w:lang w:val="es-ES"/>
        </w:rPr>
        <w:t>tecnología</w:t>
      </w:r>
      <w:r w:rsidRPr="00E86A8F">
        <w:rPr>
          <w:rFonts w:ascii="ITC Avant Garde" w:hAnsi="ITC Avant Garde"/>
          <w:lang w:val="es-ES"/>
        </w:rPr>
        <w:t xml:space="preserve"> </w:t>
      </w:r>
      <w:r>
        <w:rPr>
          <w:rFonts w:ascii="ITC Avant Garde" w:hAnsi="ITC Avant Garde"/>
          <w:lang w:val="es-ES"/>
        </w:rPr>
        <w:t xml:space="preserve">TDM </w:t>
      </w:r>
      <w:r w:rsidRPr="00E86A8F">
        <w:rPr>
          <w:rFonts w:ascii="ITC Avant Garde" w:hAnsi="ITC Avant Garde"/>
          <w:lang w:val="es-ES"/>
        </w:rPr>
        <w:t xml:space="preserve">se </w:t>
      </w:r>
      <w:r w:rsidR="00233859">
        <w:rPr>
          <w:rFonts w:ascii="ITC Avant Garde" w:hAnsi="ITC Avant Garde"/>
          <w:lang w:val="es-ES"/>
        </w:rPr>
        <w:t>podrá realizar</w:t>
      </w:r>
      <w:r w:rsidRPr="00E86A8F">
        <w:rPr>
          <w:rFonts w:ascii="ITC Avant Garde" w:hAnsi="ITC Avant Garde"/>
          <w:lang w:val="es-ES"/>
        </w:rPr>
        <w:t xml:space="preserve"> hasta el 31 de enero de 2021</w:t>
      </w:r>
      <w:r>
        <w:rPr>
          <w:rFonts w:ascii="ITC Avant Garde" w:hAnsi="ITC Avant Garde"/>
          <w:lang w:val="es-ES"/>
        </w:rPr>
        <w:t xml:space="preserve"> de conformidad con </w:t>
      </w:r>
      <w:r>
        <w:rPr>
          <w:rFonts w:ascii="ITC Avant Garde" w:hAnsi="ITC Avant Garde"/>
        </w:rPr>
        <w:t>lo establecido en el Acuerdo de Condiciones Técnicas Mínimas de Interconexión, por lo que se</w:t>
      </w:r>
      <w:r w:rsidR="00E86A8F" w:rsidRPr="00E86A8F">
        <w:rPr>
          <w:rFonts w:ascii="ITC Avant Garde" w:hAnsi="ITC Avant Garde"/>
          <w:lang w:val="es-ES"/>
        </w:rPr>
        <w:t xml:space="preserve"> considera que la información es necesaria a efecto de dar certidumbre a los </w:t>
      </w:r>
      <w:r w:rsidR="00C22027">
        <w:rPr>
          <w:rFonts w:ascii="ITC Avant Garde" w:hAnsi="ITC Avant Garde"/>
          <w:lang w:val="es-ES"/>
        </w:rPr>
        <w:t xml:space="preserve">concesionarios respecto </w:t>
      </w:r>
      <w:r>
        <w:rPr>
          <w:rFonts w:ascii="ITC Avant Garde" w:hAnsi="ITC Avant Garde"/>
          <w:lang w:val="es-ES"/>
        </w:rPr>
        <w:t>de</w:t>
      </w:r>
      <w:r w:rsidR="00C22027">
        <w:rPr>
          <w:rFonts w:ascii="ITC Avant Garde" w:hAnsi="ITC Avant Garde"/>
          <w:lang w:val="es-ES"/>
        </w:rPr>
        <w:t xml:space="preserve"> las condiciones mediante las cuales se regirán </w:t>
      </w:r>
      <w:r>
        <w:rPr>
          <w:rFonts w:ascii="ITC Avant Garde" w:hAnsi="ITC Avant Garde"/>
          <w:lang w:val="es-ES"/>
        </w:rPr>
        <w:t xml:space="preserve">tales </w:t>
      </w:r>
      <w:r w:rsidR="00C22027">
        <w:rPr>
          <w:rFonts w:ascii="ITC Avant Garde" w:hAnsi="ITC Avant Garde"/>
          <w:lang w:val="es-ES"/>
        </w:rPr>
        <w:t>interconexiones</w:t>
      </w:r>
      <w:r>
        <w:rPr>
          <w:rFonts w:ascii="ITC Avant Garde" w:hAnsi="ITC Avant Garde"/>
          <w:lang w:val="es-ES"/>
        </w:rPr>
        <w:t>.</w:t>
      </w:r>
    </w:p>
    <w:p w14:paraId="17F60CAC" w14:textId="01CD7B1B" w:rsidR="00E86A8F" w:rsidRDefault="00E86A8F" w:rsidP="007531A8">
      <w:pPr>
        <w:autoSpaceDE w:val="0"/>
        <w:autoSpaceDN w:val="0"/>
        <w:adjustRightInd w:val="0"/>
        <w:spacing w:after="0" w:line="276" w:lineRule="auto"/>
        <w:ind w:right="49"/>
        <w:rPr>
          <w:rFonts w:ascii="ITC Avant Garde" w:hAnsi="ITC Avant Garde"/>
          <w:lang w:val="es-ES"/>
        </w:rPr>
      </w:pPr>
    </w:p>
    <w:p w14:paraId="505CE038" w14:textId="41C14504" w:rsidR="00E86A8F" w:rsidRPr="00202A99" w:rsidRDefault="00202A99" w:rsidP="007531A8">
      <w:pPr>
        <w:autoSpaceDE w:val="0"/>
        <w:autoSpaceDN w:val="0"/>
        <w:adjustRightInd w:val="0"/>
        <w:spacing w:after="0" w:line="276" w:lineRule="auto"/>
        <w:ind w:right="49"/>
        <w:rPr>
          <w:rFonts w:ascii="ITC Avant Garde" w:hAnsi="ITC Avant Garde"/>
          <w:b/>
          <w:bCs/>
          <w:u w:val="single"/>
        </w:rPr>
      </w:pPr>
      <w:r w:rsidRPr="00202A99">
        <w:rPr>
          <w:rFonts w:ascii="ITC Avant Garde" w:hAnsi="ITC Avant Garde"/>
          <w:b/>
          <w:bCs/>
          <w:u w:val="single"/>
        </w:rPr>
        <w:lastRenderedPageBreak/>
        <w:t>ANEXO B. PRECIOS Y TARIFAS.</w:t>
      </w:r>
    </w:p>
    <w:p w14:paraId="662841C4" w14:textId="2E81772E" w:rsidR="00E86A8F" w:rsidRDefault="00E86A8F" w:rsidP="007531A8">
      <w:pPr>
        <w:autoSpaceDE w:val="0"/>
        <w:autoSpaceDN w:val="0"/>
        <w:adjustRightInd w:val="0"/>
        <w:spacing w:after="0" w:line="276" w:lineRule="auto"/>
        <w:ind w:right="49"/>
        <w:rPr>
          <w:rFonts w:ascii="ITC Avant Garde" w:hAnsi="ITC Avant Garde"/>
        </w:rPr>
      </w:pPr>
    </w:p>
    <w:p w14:paraId="37C5F98D" w14:textId="7899A89A" w:rsidR="00202A99" w:rsidRDefault="00202A99" w:rsidP="007531A8">
      <w:pPr>
        <w:autoSpaceDE w:val="0"/>
        <w:autoSpaceDN w:val="0"/>
        <w:adjustRightInd w:val="0"/>
        <w:spacing w:after="0" w:line="276" w:lineRule="auto"/>
        <w:ind w:right="49"/>
        <w:rPr>
          <w:rFonts w:ascii="ITC Avant Garde" w:hAnsi="ITC Avant Garde"/>
          <w:b/>
          <w:bCs/>
          <w:u w:val="single"/>
        </w:rPr>
      </w:pPr>
      <w:r w:rsidRPr="00202A99">
        <w:rPr>
          <w:rFonts w:ascii="ITC Avant Garde" w:hAnsi="ITC Avant Garde"/>
          <w:b/>
          <w:bCs/>
          <w:u w:val="single"/>
        </w:rPr>
        <w:t>Servicios Conmutados de Interconexión</w:t>
      </w:r>
    </w:p>
    <w:p w14:paraId="39E60405" w14:textId="48351932" w:rsidR="00202A99" w:rsidRDefault="00202A99" w:rsidP="007531A8">
      <w:pPr>
        <w:autoSpaceDE w:val="0"/>
        <w:autoSpaceDN w:val="0"/>
        <w:adjustRightInd w:val="0"/>
        <w:spacing w:after="0" w:line="276" w:lineRule="auto"/>
        <w:ind w:right="49"/>
        <w:rPr>
          <w:rFonts w:ascii="ITC Avant Garde" w:hAnsi="ITC Avant Garde"/>
          <w:u w:val="single"/>
        </w:rPr>
      </w:pPr>
    </w:p>
    <w:p w14:paraId="381463CA" w14:textId="4F7D731B" w:rsidR="00202A99" w:rsidRDefault="0018725C" w:rsidP="007531A8">
      <w:pPr>
        <w:autoSpaceDE w:val="0"/>
        <w:autoSpaceDN w:val="0"/>
        <w:adjustRightInd w:val="0"/>
        <w:spacing w:after="0" w:line="276" w:lineRule="auto"/>
        <w:ind w:right="49"/>
        <w:rPr>
          <w:rFonts w:ascii="ITC Avant Garde" w:hAnsi="ITC Avant Garde"/>
        </w:rPr>
      </w:pPr>
      <w:r>
        <w:rPr>
          <w:rFonts w:ascii="ITC Avant Garde" w:hAnsi="ITC Avant Garde"/>
          <w:b/>
          <w:bCs/>
        </w:rPr>
        <w:t>Telefónica</w:t>
      </w:r>
    </w:p>
    <w:p w14:paraId="4D1DAF0E" w14:textId="00A71CBE" w:rsidR="00202A99" w:rsidRDefault="004914F5" w:rsidP="007531A8">
      <w:pPr>
        <w:autoSpaceDE w:val="0"/>
        <w:autoSpaceDN w:val="0"/>
        <w:adjustRightInd w:val="0"/>
        <w:spacing w:after="0" w:line="276" w:lineRule="auto"/>
        <w:ind w:right="49"/>
        <w:rPr>
          <w:rFonts w:ascii="ITC Avant Garde" w:hAnsi="ITC Avant Garde"/>
        </w:rPr>
      </w:pPr>
      <w:r>
        <w:rPr>
          <w:rFonts w:ascii="ITC Avant Garde" w:hAnsi="ITC Avant Garde"/>
        </w:rPr>
        <w:t>Señala</w:t>
      </w:r>
      <w:r w:rsidR="00202A99" w:rsidRPr="00202A99">
        <w:rPr>
          <w:rFonts w:ascii="ITC Avant Garde" w:hAnsi="ITC Avant Garde"/>
        </w:rPr>
        <w:t xml:space="preserve"> que se debe de separar el monto que corresponde como pago de Telmex/Telnor hacia el concesionario solicitante por concepto de servicios de terminación/</w:t>
      </w:r>
      <w:proofErr w:type="spellStart"/>
      <w:r w:rsidR="00202A99" w:rsidRPr="00202A99">
        <w:rPr>
          <w:rFonts w:ascii="ITC Avant Garde" w:hAnsi="ITC Avant Garde"/>
        </w:rPr>
        <w:t>originación</w:t>
      </w:r>
      <w:proofErr w:type="spellEnd"/>
      <w:r w:rsidR="00202A99" w:rsidRPr="00202A99">
        <w:rPr>
          <w:rFonts w:ascii="ITC Avant Garde" w:hAnsi="ITC Avant Garde"/>
        </w:rPr>
        <w:t xml:space="preserve"> del servicio local en usuarios fijos del concepto de servicios de terminación del servicio local en usuarios móviles, dado que aplican distintas tarifas para fijos y móviles. </w:t>
      </w:r>
    </w:p>
    <w:p w14:paraId="718D6FD1" w14:textId="5A078C67" w:rsidR="00202A99" w:rsidRDefault="00202A99" w:rsidP="007531A8">
      <w:pPr>
        <w:autoSpaceDE w:val="0"/>
        <w:autoSpaceDN w:val="0"/>
        <w:adjustRightInd w:val="0"/>
        <w:spacing w:after="0" w:line="276" w:lineRule="auto"/>
        <w:ind w:right="49"/>
        <w:rPr>
          <w:rFonts w:ascii="ITC Avant Garde" w:hAnsi="ITC Avant Garde"/>
        </w:rPr>
      </w:pPr>
    </w:p>
    <w:p w14:paraId="6EA21F69" w14:textId="23376D33" w:rsidR="00202A99" w:rsidRDefault="00202A99"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Consideraciones del Instituto</w:t>
      </w:r>
    </w:p>
    <w:p w14:paraId="792EE7F3" w14:textId="0E196836" w:rsidR="00202A99" w:rsidRDefault="00202A99" w:rsidP="007531A8">
      <w:pPr>
        <w:autoSpaceDE w:val="0"/>
        <w:autoSpaceDN w:val="0"/>
        <w:adjustRightInd w:val="0"/>
        <w:spacing w:after="0" w:line="276" w:lineRule="auto"/>
        <w:ind w:right="49"/>
        <w:rPr>
          <w:rFonts w:ascii="ITC Avant Garde" w:hAnsi="ITC Avant Garde"/>
        </w:rPr>
      </w:pPr>
      <w:r>
        <w:rPr>
          <w:rFonts w:ascii="ITC Avant Garde" w:hAnsi="ITC Avant Garde"/>
        </w:rPr>
        <w:t xml:space="preserve">La propuesta se observa como un cambio de formato en la manera en que se presentan las tarifas en la sección señalada. En este sentido, se señala </w:t>
      </w:r>
      <w:proofErr w:type="gramStart"/>
      <w:r>
        <w:rPr>
          <w:rFonts w:ascii="ITC Avant Garde" w:hAnsi="ITC Avant Garde"/>
        </w:rPr>
        <w:t>que</w:t>
      </w:r>
      <w:proofErr w:type="gramEnd"/>
      <w:r>
        <w:rPr>
          <w:rFonts w:ascii="ITC Avant Garde" w:hAnsi="ITC Avant Garde"/>
        </w:rPr>
        <w:t xml:space="preserve"> al momento de la suscripción del convenio, las partes editan los campos correspondientes </w:t>
      </w:r>
      <w:r w:rsidR="006574E7">
        <w:rPr>
          <w:rFonts w:ascii="ITC Avant Garde" w:hAnsi="ITC Avant Garde"/>
        </w:rPr>
        <w:t xml:space="preserve">a las tarifas </w:t>
      </w:r>
      <w:r>
        <w:rPr>
          <w:rFonts w:ascii="ITC Avant Garde" w:hAnsi="ITC Avant Garde"/>
        </w:rPr>
        <w:t>de acuerdo a lo</w:t>
      </w:r>
      <w:r w:rsidR="006574E7">
        <w:rPr>
          <w:rFonts w:ascii="ITC Avant Garde" w:hAnsi="ITC Avant Garde"/>
        </w:rPr>
        <w:t>s</w:t>
      </w:r>
      <w:r>
        <w:rPr>
          <w:rFonts w:ascii="ITC Avant Garde" w:hAnsi="ITC Avant Garde"/>
        </w:rPr>
        <w:t xml:space="preserve"> </w:t>
      </w:r>
      <w:r w:rsidR="006574E7">
        <w:rPr>
          <w:rFonts w:ascii="ITC Avant Garde" w:hAnsi="ITC Avant Garde"/>
        </w:rPr>
        <w:t xml:space="preserve">servicios </w:t>
      </w:r>
      <w:r>
        <w:rPr>
          <w:rFonts w:ascii="ITC Avant Garde" w:hAnsi="ITC Avant Garde"/>
        </w:rPr>
        <w:t>c</w:t>
      </w:r>
      <w:r w:rsidR="006574E7">
        <w:rPr>
          <w:rFonts w:ascii="ITC Avant Garde" w:hAnsi="ITC Avant Garde"/>
        </w:rPr>
        <w:t>onvenidos</w:t>
      </w:r>
      <w:r>
        <w:rPr>
          <w:rFonts w:ascii="ITC Avant Garde" w:hAnsi="ITC Avant Garde"/>
        </w:rPr>
        <w:t>, por lo que no se considera procedente lo solicitado.</w:t>
      </w:r>
    </w:p>
    <w:p w14:paraId="7329E514" w14:textId="29462C33" w:rsidR="00202A99" w:rsidRDefault="00202A99" w:rsidP="007531A8">
      <w:pPr>
        <w:autoSpaceDE w:val="0"/>
        <w:autoSpaceDN w:val="0"/>
        <w:adjustRightInd w:val="0"/>
        <w:spacing w:after="0" w:line="276" w:lineRule="auto"/>
        <w:ind w:right="49"/>
        <w:rPr>
          <w:rFonts w:ascii="ITC Avant Garde" w:hAnsi="ITC Avant Garde"/>
        </w:rPr>
      </w:pPr>
    </w:p>
    <w:p w14:paraId="5978592E" w14:textId="65EBC73A" w:rsidR="003D0820" w:rsidRDefault="00F932E5" w:rsidP="007531A8">
      <w:pPr>
        <w:spacing w:after="0" w:line="276" w:lineRule="auto"/>
        <w:rPr>
          <w:rFonts w:ascii="ITC Avant Garde" w:hAnsi="ITC Avant Garde"/>
          <w:b/>
          <w:u w:val="single"/>
        </w:rPr>
      </w:pPr>
      <w:r w:rsidRPr="00F932E5">
        <w:rPr>
          <w:rFonts w:ascii="ITC Avant Garde" w:hAnsi="ITC Avant Garde"/>
          <w:b/>
          <w:u w:val="single"/>
        </w:rPr>
        <w:t>Numeral 8</w:t>
      </w:r>
    </w:p>
    <w:p w14:paraId="26E92714" w14:textId="3190FA97" w:rsidR="00F932E5" w:rsidRPr="00F932E5" w:rsidRDefault="0018725C"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Telefónica</w:t>
      </w:r>
    </w:p>
    <w:p w14:paraId="115E5E3B" w14:textId="360A557B" w:rsidR="00F932E5" w:rsidRDefault="00F932E5" w:rsidP="007531A8">
      <w:pPr>
        <w:autoSpaceDE w:val="0"/>
        <w:autoSpaceDN w:val="0"/>
        <w:adjustRightInd w:val="0"/>
        <w:spacing w:after="0" w:line="276" w:lineRule="auto"/>
        <w:ind w:right="49"/>
        <w:rPr>
          <w:rFonts w:ascii="ITC Avant Garde" w:hAnsi="ITC Avant Garde"/>
        </w:rPr>
      </w:pPr>
      <w:r w:rsidRPr="00F932E5">
        <w:rPr>
          <w:rFonts w:ascii="ITC Avant Garde" w:hAnsi="ITC Avant Garde"/>
        </w:rPr>
        <w:t xml:space="preserve">Sugiere que se encuentre establecido todo lo necesario para poder operar los equipos de telecomunicaciones o bien, se especifique qué tipo de capacidades se considerarán como adicional y cuál será su forma de cobro, en caso contrario, se abre la puerta a interpretaciones a discreción del AEP, dado que el presente numeral solamente contempla tarifas para capacidades adicionales de Corriente Directa, Corriente Alterna o Clima en la </w:t>
      </w:r>
      <w:proofErr w:type="spellStart"/>
      <w:r w:rsidRPr="00F932E5">
        <w:rPr>
          <w:rFonts w:ascii="ITC Avant Garde" w:hAnsi="ITC Avant Garde"/>
        </w:rPr>
        <w:t>Coubicación</w:t>
      </w:r>
      <w:proofErr w:type="spellEnd"/>
      <w:r w:rsidRPr="00F932E5">
        <w:rPr>
          <w:rFonts w:ascii="ITC Avant Garde" w:hAnsi="ITC Avant Garde"/>
        </w:rPr>
        <w:t>. No obstante, no establece qué tipos de servicios, capacidades, voltajes, entre otros, serán contemplados en las capacidades que no sean adicionales.</w:t>
      </w:r>
    </w:p>
    <w:p w14:paraId="457E26AD" w14:textId="139E9045" w:rsidR="00F932E5" w:rsidRDefault="00F932E5" w:rsidP="007531A8">
      <w:pPr>
        <w:autoSpaceDE w:val="0"/>
        <w:autoSpaceDN w:val="0"/>
        <w:adjustRightInd w:val="0"/>
        <w:spacing w:after="0" w:line="276" w:lineRule="auto"/>
        <w:ind w:right="49"/>
        <w:rPr>
          <w:rFonts w:ascii="ITC Avant Garde" w:hAnsi="ITC Avant Garde"/>
        </w:rPr>
      </w:pPr>
    </w:p>
    <w:p w14:paraId="3C1C274B" w14:textId="77777777" w:rsidR="00F932E5" w:rsidRDefault="00F932E5" w:rsidP="007531A8">
      <w:pPr>
        <w:spacing w:after="0" w:line="276" w:lineRule="auto"/>
        <w:rPr>
          <w:rFonts w:ascii="ITC Avant Garde" w:hAnsi="ITC Avant Garde"/>
          <w:b/>
        </w:rPr>
      </w:pPr>
      <w:r>
        <w:rPr>
          <w:rFonts w:ascii="ITC Avant Garde" w:hAnsi="ITC Avant Garde"/>
          <w:b/>
        </w:rPr>
        <w:t>Consideraciones del Instituto</w:t>
      </w:r>
    </w:p>
    <w:p w14:paraId="1F1C2FBB" w14:textId="6ACEFF41" w:rsidR="00F932E5" w:rsidRDefault="00F932E5" w:rsidP="007531A8">
      <w:pPr>
        <w:spacing w:after="0" w:line="276" w:lineRule="auto"/>
        <w:rPr>
          <w:rFonts w:ascii="ITC Avant Garde" w:hAnsi="ITC Avant Garde"/>
        </w:rPr>
      </w:pPr>
      <w:r w:rsidRPr="002E6085">
        <w:rPr>
          <w:rFonts w:ascii="ITC Avant Garde" w:hAnsi="ITC Avant Garde"/>
        </w:rPr>
        <w:t>Los servicios considerados dentro del servicio de interconexión se establecen en el Anexo A Tema 6 “</w:t>
      </w:r>
      <w:proofErr w:type="spellStart"/>
      <w:r w:rsidRPr="002E6085">
        <w:rPr>
          <w:rFonts w:ascii="ITC Avant Garde" w:hAnsi="ITC Avant Garde"/>
        </w:rPr>
        <w:t>Coubicaciones</w:t>
      </w:r>
      <w:proofErr w:type="spellEnd"/>
      <w:r w:rsidRPr="002E6085">
        <w:rPr>
          <w:rFonts w:ascii="ITC Avant Garde" w:hAnsi="ITC Avant Garde"/>
        </w:rPr>
        <w:t xml:space="preserve">” en los cuales se mencionan las especificaciones con las que deben de contar cada espacio de </w:t>
      </w:r>
      <w:proofErr w:type="spellStart"/>
      <w:r w:rsidRPr="002E6085">
        <w:rPr>
          <w:rFonts w:ascii="ITC Avant Garde" w:hAnsi="ITC Avant Garde"/>
        </w:rPr>
        <w:t>Coubicación</w:t>
      </w:r>
      <w:proofErr w:type="spellEnd"/>
      <w:r w:rsidRPr="002E6085">
        <w:rPr>
          <w:rFonts w:ascii="ITC Avant Garde" w:hAnsi="ITC Avant Garde"/>
        </w:rPr>
        <w:t xml:space="preserve"> del AEP.</w:t>
      </w:r>
      <w:r>
        <w:rPr>
          <w:rFonts w:ascii="ITC Avant Garde" w:hAnsi="ITC Avant Garde"/>
        </w:rPr>
        <w:t xml:space="preserve"> </w:t>
      </w:r>
    </w:p>
    <w:p w14:paraId="2223434C" w14:textId="77777777" w:rsidR="00F932E5" w:rsidRDefault="00F932E5" w:rsidP="007531A8">
      <w:pPr>
        <w:spacing w:after="0" w:line="276" w:lineRule="auto"/>
        <w:rPr>
          <w:rFonts w:ascii="ITC Avant Garde" w:hAnsi="ITC Avant Garde"/>
        </w:rPr>
      </w:pPr>
    </w:p>
    <w:p w14:paraId="175FD75A" w14:textId="77777777" w:rsidR="00F932E5" w:rsidRPr="001F75AC" w:rsidRDefault="00F932E5" w:rsidP="007531A8">
      <w:pPr>
        <w:spacing w:after="0" w:line="276" w:lineRule="auto"/>
        <w:rPr>
          <w:rFonts w:ascii="ITC Avant Garde" w:hAnsi="ITC Avant Garde"/>
        </w:rPr>
      </w:pPr>
      <w:r>
        <w:rPr>
          <w:rFonts w:ascii="ITC Avant Garde" w:hAnsi="ITC Avant Garde"/>
        </w:rPr>
        <w:t>Cabe señalar, que las tarifas de capacidades adicionales podrán ser acordadas libremente por las partes de conformidad con lo establecido en la LFTR, y en caso de existir desacuerdo se podrá solicitar al Instituto se resuelvan las tarifas no acordadas.</w:t>
      </w:r>
    </w:p>
    <w:p w14:paraId="45115D3D" w14:textId="47733D03" w:rsidR="00F932E5" w:rsidRDefault="00F932E5" w:rsidP="007531A8">
      <w:pPr>
        <w:autoSpaceDE w:val="0"/>
        <w:autoSpaceDN w:val="0"/>
        <w:adjustRightInd w:val="0"/>
        <w:spacing w:after="0" w:line="276" w:lineRule="auto"/>
        <w:ind w:right="49"/>
        <w:rPr>
          <w:rFonts w:ascii="ITC Avant Garde" w:hAnsi="ITC Avant Garde"/>
        </w:rPr>
      </w:pPr>
    </w:p>
    <w:p w14:paraId="2AF872B5" w14:textId="3DF6AD60" w:rsidR="00F932E5" w:rsidRDefault="00F932E5" w:rsidP="007531A8">
      <w:pPr>
        <w:autoSpaceDE w:val="0"/>
        <w:autoSpaceDN w:val="0"/>
        <w:adjustRightInd w:val="0"/>
        <w:spacing w:after="0" w:line="276" w:lineRule="auto"/>
        <w:ind w:right="49"/>
        <w:rPr>
          <w:rFonts w:ascii="ITC Avant Garde" w:hAnsi="ITC Avant Garde"/>
          <w:b/>
          <w:bCs/>
          <w:u w:val="single"/>
        </w:rPr>
      </w:pPr>
      <w:r w:rsidRPr="00F932E5">
        <w:rPr>
          <w:rFonts w:ascii="ITC Avant Garde" w:hAnsi="ITC Avant Garde"/>
          <w:b/>
          <w:bCs/>
          <w:u w:val="single"/>
        </w:rPr>
        <w:t>ANEXO E. CALIDAD.</w:t>
      </w:r>
    </w:p>
    <w:p w14:paraId="3B660335" w14:textId="5395DF18" w:rsidR="00F932E5" w:rsidRDefault="00F932E5" w:rsidP="007531A8">
      <w:pPr>
        <w:autoSpaceDE w:val="0"/>
        <w:autoSpaceDN w:val="0"/>
        <w:adjustRightInd w:val="0"/>
        <w:spacing w:after="0" w:line="276" w:lineRule="auto"/>
        <w:ind w:right="49"/>
        <w:rPr>
          <w:rFonts w:ascii="ITC Avant Garde" w:hAnsi="ITC Avant Garde"/>
          <w:b/>
          <w:bCs/>
          <w:u w:val="single"/>
        </w:rPr>
      </w:pPr>
    </w:p>
    <w:p w14:paraId="379C8991" w14:textId="2B156B52" w:rsidR="00F932E5" w:rsidRDefault="0018725C"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lastRenderedPageBreak/>
        <w:t>Mega Cable</w:t>
      </w:r>
    </w:p>
    <w:p w14:paraId="69819AAE" w14:textId="004A2795" w:rsidR="00F932E5" w:rsidRDefault="00F932E5" w:rsidP="007531A8">
      <w:pPr>
        <w:autoSpaceDE w:val="0"/>
        <w:autoSpaceDN w:val="0"/>
        <w:adjustRightInd w:val="0"/>
        <w:spacing w:after="0" w:line="276" w:lineRule="auto"/>
        <w:ind w:right="49"/>
        <w:rPr>
          <w:rFonts w:ascii="ITC Avant Garde" w:hAnsi="ITC Avant Garde"/>
        </w:rPr>
      </w:pPr>
      <w:r w:rsidRPr="00F932E5">
        <w:rPr>
          <w:rFonts w:ascii="ITC Avant Garde" w:hAnsi="ITC Avant Garde"/>
        </w:rPr>
        <w:t>Menciona que acorde a lo que se ha manifestado en los comentarios, hay referencias a la interconexión TDM por lo que se sugiere revisar y eliminar cualquier referencia conservando lo relativo a la interconexión SIP.</w:t>
      </w:r>
    </w:p>
    <w:p w14:paraId="37DD3467" w14:textId="3C3032E1" w:rsidR="00F932E5" w:rsidRDefault="00F932E5" w:rsidP="007531A8">
      <w:pPr>
        <w:autoSpaceDE w:val="0"/>
        <w:autoSpaceDN w:val="0"/>
        <w:adjustRightInd w:val="0"/>
        <w:spacing w:after="0" w:line="276" w:lineRule="auto"/>
        <w:ind w:right="49"/>
        <w:rPr>
          <w:rFonts w:ascii="ITC Avant Garde" w:hAnsi="ITC Avant Garde"/>
        </w:rPr>
      </w:pPr>
    </w:p>
    <w:p w14:paraId="052526EA" w14:textId="77777777" w:rsidR="00B04477" w:rsidRPr="00A74253" w:rsidRDefault="00B04477" w:rsidP="007531A8">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76E6C1E4" w14:textId="037E27BA" w:rsidR="00D62A44" w:rsidRDefault="00D62A44" w:rsidP="007531A8">
      <w:pPr>
        <w:autoSpaceDE w:val="0"/>
        <w:autoSpaceDN w:val="0"/>
        <w:adjustRightInd w:val="0"/>
        <w:spacing w:after="0" w:line="276" w:lineRule="auto"/>
        <w:ind w:right="49"/>
        <w:rPr>
          <w:rFonts w:ascii="ITC Avant Garde" w:hAnsi="ITC Avant Garde"/>
        </w:rPr>
      </w:pPr>
      <w:r>
        <w:rPr>
          <w:rFonts w:ascii="ITC Avant Garde" w:hAnsi="ITC Avant Garde"/>
          <w:lang w:val="es-ES"/>
        </w:rPr>
        <w:t>Se reitera que e</w:t>
      </w:r>
      <w:r w:rsidRPr="00E86A8F">
        <w:rPr>
          <w:rFonts w:ascii="ITC Avant Garde" w:hAnsi="ITC Avant Garde"/>
          <w:lang w:val="es-ES"/>
        </w:rPr>
        <w:t xml:space="preserve">l intercambio de tráfico mediante </w:t>
      </w:r>
      <w:r>
        <w:rPr>
          <w:rFonts w:ascii="ITC Avant Garde" w:hAnsi="ITC Avant Garde"/>
          <w:lang w:val="es-ES"/>
        </w:rPr>
        <w:t>tecnología</w:t>
      </w:r>
      <w:r w:rsidRPr="00E86A8F">
        <w:rPr>
          <w:rFonts w:ascii="ITC Avant Garde" w:hAnsi="ITC Avant Garde"/>
          <w:lang w:val="es-ES"/>
        </w:rPr>
        <w:t xml:space="preserve"> </w:t>
      </w:r>
      <w:r>
        <w:rPr>
          <w:rFonts w:ascii="ITC Avant Garde" w:hAnsi="ITC Avant Garde"/>
          <w:lang w:val="es-ES"/>
        </w:rPr>
        <w:t xml:space="preserve">TDM </w:t>
      </w:r>
      <w:r w:rsidRPr="00E86A8F">
        <w:rPr>
          <w:rFonts w:ascii="ITC Avant Garde" w:hAnsi="ITC Avant Garde"/>
          <w:lang w:val="es-ES"/>
        </w:rPr>
        <w:t>se encuentra permitido hasta el 31 de enero de 2021</w:t>
      </w:r>
      <w:r>
        <w:rPr>
          <w:rFonts w:ascii="ITC Avant Garde" w:hAnsi="ITC Avant Garde"/>
          <w:lang w:val="es-ES"/>
        </w:rPr>
        <w:t xml:space="preserve"> de conformidad con </w:t>
      </w:r>
      <w:r>
        <w:rPr>
          <w:rFonts w:ascii="ITC Avant Garde" w:hAnsi="ITC Avant Garde"/>
        </w:rPr>
        <w:t>lo establecido en el Acuerdo de Condiciones Técnicas Mínimas de Interconexión, por lo que se</w:t>
      </w:r>
      <w:r w:rsidRPr="00E86A8F">
        <w:rPr>
          <w:rFonts w:ascii="ITC Avant Garde" w:hAnsi="ITC Avant Garde"/>
          <w:lang w:val="es-ES"/>
        </w:rPr>
        <w:t xml:space="preserve"> considera que la información es necesaria a efecto de dar certidumbre a los </w:t>
      </w:r>
      <w:r>
        <w:rPr>
          <w:rFonts w:ascii="ITC Avant Garde" w:hAnsi="ITC Avant Garde"/>
          <w:lang w:val="es-ES"/>
        </w:rPr>
        <w:t>concesionarios respecto de las condiciones mediante las cuales se regirán tales interconexiones.</w:t>
      </w:r>
    </w:p>
    <w:p w14:paraId="5D42798D" w14:textId="77777777" w:rsidR="00B04477" w:rsidRDefault="00B04477" w:rsidP="007531A8">
      <w:pPr>
        <w:autoSpaceDE w:val="0"/>
        <w:autoSpaceDN w:val="0"/>
        <w:adjustRightInd w:val="0"/>
        <w:spacing w:after="0" w:line="276" w:lineRule="auto"/>
        <w:ind w:right="49"/>
        <w:rPr>
          <w:rFonts w:ascii="ITC Avant Garde" w:hAnsi="ITC Avant Garde"/>
        </w:rPr>
      </w:pPr>
    </w:p>
    <w:p w14:paraId="663FF465" w14:textId="66F2948C" w:rsidR="00B04477" w:rsidRDefault="00B04477" w:rsidP="007531A8">
      <w:pPr>
        <w:autoSpaceDE w:val="0"/>
        <w:autoSpaceDN w:val="0"/>
        <w:adjustRightInd w:val="0"/>
        <w:spacing w:after="0" w:line="276" w:lineRule="auto"/>
        <w:ind w:right="49"/>
        <w:rPr>
          <w:rFonts w:ascii="ITC Avant Garde" w:hAnsi="ITC Avant Garde"/>
          <w:b/>
          <w:bCs/>
          <w:u w:val="single"/>
        </w:rPr>
      </w:pPr>
      <w:r w:rsidRPr="00B04477">
        <w:rPr>
          <w:rFonts w:ascii="ITC Avant Garde" w:hAnsi="ITC Avant Garde"/>
          <w:b/>
          <w:bCs/>
          <w:u w:val="single"/>
        </w:rPr>
        <w:t>1. Suministro de servicio</w:t>
      </w:r>
      <w:r>
        <w:rPr>
          <w:rFonts w:ascii="ITC Avant Garde" w:hAnsi="ITC Avant Garde"/>
          <w:b/>
          <w:bCs/>
          <w:u w:val="single"/>
        </w:rPr>
        <w:t>s</w:t>
      </w:r>
      <w:r w:rsidR="00233859">
        <w:rPr>
          <w:rFonts w:ascii="ITC Avant Garde" w:hAnsi="ITC Avant Garde"/>
          <w:b/>
          <w:bCs/>
          <w:u w:val="single"/>
        </w:rPr>
        <w:t>.</w:t>
      </w:r>
    </w:p>
    <w:p w14:paraId="51C6F23D" w14:textId="5847DE68" w:rsidR="00B04477" w:rsidRDefault="00B04477" w:rsidP="007531A8">
      <w:pPr>
        <w:autoSpaceDE w:val="0"/>
        <w:autoSpaceDN w:val="0"/>
        <w:adjustRightInd w:val="0"/>
        <w:spacing w:after="0" w:line="276" w:lineRule="auto"/>
        <w:ind w:right="49"/>
        <w:rPr>
          <w:rFonts w:ascii="ITC Avant Garde" w:hAnsi="ITC Avant Garde"/>
          <w:b/>
          <w:bCs/>
          <w:u w:val="single"/>
        </w:rPr>
      </w:pPr>
    </w:p>
    <w:p w14:paraId="34F89C7A" w14:textId="125E413C" w:rsidR="00B04477" w:rsidRDefault="00B04477" w:rsidP="007531A8">
      <w:pPr>
        <w:spacing w:after="0" w:line="276" w:lineRule="auto"/>
        <w:rPr>
          <w:rFonts w:ascii="ITC Avant Garde" w:hAnsi="ITC Avant Garde"/>
          <w:b/>
        </w:rPr>
      </w:pPr>
      <w:r>
        <w:rPr>
          <w:rFonts w:ascii="ITC Avant Garde" w:hAnsi="ITC Avant Garde"/>
          <w:b/>
        </w:rPr>
        <w:t>AT&amp;T</w:t>
      </w:r>
    </w:p>
    <w:p w14:paraId="570201A6" w14:textId="77777777" w:rsidR="005D6AF6" w:rsidRPr="005D6AF6" w:rsidRDefault="005D6AF6" w:rsidP="007531A8">
      <w:pPr>
        <w:spacing w:after="0" w:line="276" w:lineRule="auto"/>
        <w:rPr>
          <w:rFonts w:ascii="ITC Avant Garde" w:hAnsi="ITC Avant Garde"/>
        </w:rPr>
      </w:pPr>
      <w:r w:rsidRPr="005D6AF6">
        <w:rPr>
          <w:rFonts w:ascii="ITC Avant Garde" w:hAnsi="ITC Avant Garde"/>
        </w:rPr>
        <w:t>Sugiere eliminar el texto siguiente relacionado con pronósticos:</w:t>
      </w:r>
    </w:p>
    <w:p w14:paraId="030620BD" w14:textId="77777777" w:rsidR="005D6AF6" w:rsidRPr="005D6AF6" w:rsidRDefault="005D6AF6" w:rsidP="007531A8">
      <w:pPr>
        <w:spacing w:after="0" w:line="276" w:lineRule="auto"/>
        <w:rPr>
          <w:rFonts w:ascii="ITC Avant Garde" w:hAnsi="ITC Avant Garde"/>
        </w:rPr>
      </w:pPr>
    </w:p>
    <w:p w14:paraId="44C6CC7B" w14:textId="6270F630" w:rsidR="00B04477" w:rsidRDefault="005D6AF6" w:rsidP="007531A8">
      <w:pPr>
        <w:spacing w:after="0" w:line="276" w:lineRule="auto"/>
        <w:ind w:left="567" w:right="616"/>
        <w:rPr>
          <w:rFonts w:ascii="ITC Avant Garde" w:hAnsi="ITC Avant Garde"/>
          <w:i/>
          <w:iCs/>
          <w:sz w:val="18"/>
          <w:szCs w:val="18"/>
        </w:rPr>
      </w:pPr>
      <w:r w:rsidRPr="005D6AF6">
        <w:rPr>
          <w:rFonts w:ascii="ITC Avant Garde" w:hAnsi="ITC Avant Garde"/>
          <w:i/>
          <w:iCs/>
          <w:sz w:val="18"/>
          <w:szCs w:val="18"/>
        </w:rPr>
        <w:t xml:space="preserve">“Telmex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w:t>
      </w:r>
      <w:r w:rsidRPr="005D6AF6">
        <w:rPr>
          <w:rFonts w:ascii="ITC Avant Garde" w:hAnsi="ITC Avant Garde"/>
          <w:i/>
          <w:iCs/>
          <w:strike/>
          <w:sz w:val="18"/>
          <w:szCs w:val="18"/>
        </w:rPr>
        <w:t xml:space="preserve">con excepción de las peticiones de [ __________] con fecha </w:t>
      </w:r>
      <w:proofErr w:type="spellStart"/>
      <w:r w:rsidRPr="005D6AF6">
        <w:rPr>
          <w:rFonts w:ascii="ITC Avant Garde" w:hAnsi="ITC Avant Garde"/>
          <w:i/>
          <w:iCs/>
          <w:strike/>
          <w:sz w:val="18"/>
          <w:szCs w:val="18"/>
        </w:rPr>
        <w:t>Due</w:t>
      </w:r>
      <w:proofErr w:type="spellEnd"/>
      <w:r w:rsidRPr="005D6AF6">
        <w:rPr>
          <w:rFonts w:ascii="ITC Avant Garde" w:hAnsi="ITC Avant Garde"/>
          <w:i/>
          <w:iCs/>
          <w:strike/>
          <w:sz w:val="18"/>
          <w:szCs w:val="18"/>
        </w:rPr>
        <w:t xml:space="preserve"> Date posterior al tiempo límite de entrega o solicitudes fuera de pronóstico.</w:t>
      </w:r>
      <w:r w:rsidRPr="005D6AF6">
        <w:rPr>
          <w:rFonts w:ascii="ITC Avant Garde" w:hAnsi="ITC Avant Garde"/>
          <w:i/>
          <w:iCs/>
          <w:sz w:val="18"/>
          <w:szCs w:val="18"/>
        </w:rPr>
        <w:t>”</w:t>
      </w:r>
    </w:p>
    <w:p w14:paraId="423AED7B" w14:textId="77777777" w:rsidR="005D6AF6" w:rsidRPr="005D6AF6" w:rsidRDefault="005D6AF6" w:rsidP="007531A8">
      <w:pPr>
        <w:spacing w:after="0" w:line="276" w:lineRule="auto"/>
        <w:ind w:left="567" w:right="616"/>
        <w:rPr>
          <w:rFonts w:ascii="ITC Avant Garde" w:hAnsi="ITC Avant Garde"/>
          <w:b/>
          <w:i/>
          <w:iCs/>
          <w:sz w:val="18"/>
          <w:szCs w:val="18"/>
        </w:rPr>
      </w:pPr>
    </w:p>
    <w:p w14:paraId="1890C64E" w14:textId="4B5631F1" w:rsidR="00B04477" w:rsidRPr="0019228E" w:rsidRDefault="00B04477" w:rsidP="007531A8">
      <w:pPr>
        <w:spacing w:after="0" w:line="276" w:lineRule="auto"/>
        <w:rPr>
          <w:rFonts w:ascii="ITC Avant Garde" w:hAnsi="ITC Avant Garde"/>
          <w:b/>
        </w:rPr>
      </w:pPr>
      <w:r w:rsidRPr="0019228E">
        <w:rPr>
          <w:rFonts w:ascii="ITC Avant Garde" w:hAnsi="ITC Avant Garde"/>
          <w:b/>
        </w:rPr>
        <w:t>Consideraciones del Instituto</w:t>
      </w:r>
    </w:p>
    <w:p w14:paraId="471BA958" w14:textId="1923D4EC" w:rsidR="00AA2699" w:rsidRDefault="005D6AF6" w:rsidP="007531A8">
      <w:pPr>
        <w:autoSpaceDE w:val="0"/>
        <w:autoSpaceDN w:val="0"/>
        <w:adjustRightInd w:val="0"/>
        <w:spacing w:after="0" w:line="276" w:lineRule="auto"/>
        <w:ind w:right="49"/>
        <w:rPr>
          <w:rFonts w:ascii="ITC Avant Garde" w:hAnsi="ITC Avant Garde"/>
        </w:rPr>
      </w:pPr>
      <w:r w:rsidRPr="005D6AF6">
        <w:rPr>
          <w:rFonts w:ascii="ITC Avant Garde" w:hAnsi="ITC Avant Garde"/>
        </w:rPr>
        <w:t>El texto se considera necesario para precisar lo relacionado con aquellas solicitudes de enlaces fuera de pronóstico.</w:t>
      </w:r>
      <w:r>
        <w:rPr>
          <w:rFonts w:ascii="ITC Avant Garde" w:hAnsi="ITC Avant Garde"/>
        </w:rPr>
        <w:t xml:space="preserve"> </w:t>
      </w:r>
    </w:p>
    <w:p w14:paraId="4CAF6E23" w14:textId="01210D22" w:rsidR="005D6AF6" w:rsidRDefault="005D6AF6" w:rsidP="007531A8">
      <w:pPr>
        <w:autoSpaceDE w:val="0"/>
        <w:autoSpaceDN w:val="0"/>
        <w:adjustRightInd w:val="0"/>
        <w:spacing w:after="0" w:line="276" w:lineRule="auto"/>
        <w:ind w:right="49"/>
        <w:rPr>
          <w:rFonts w:ascii="ITC Avant Garde" w:hAnsi="ITC Avant Garde"/>
        </w:rPr>
      </w:pPr>
    </w:p>
    <w:p w14:paraId="6F71DB11" w14:textId="5319CE26" w:rsidR="006734DE" w:rsidRDefault="006734DE"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Grupo Televisa</w:t>
      </w:r>
    </w:p>
    <w:p w14:paraId="20065E0D" w14:textId="2F52CED2" w:rsidR="006734DE" w:rsidRDefault="006734DE" w:rsidP="007531A8">
      <w:pPr>
        <w:autoSpaceDE w:val="0"/>
        <w:autoSpaceDN w:val="0"/>
        <w:adjustRightInd w:val="0"/>
        <w:spacing w:after="0" w:line="276" w:lineRule="auto"/>
        <w:ind w:right="49"/>
        <w:rPr>
          <w:rFonts w:ascii="ITC Avant Garde" w:hAnsi="ITC Avant Garde"/>
          <w:b/>
          <w:bCs/>
        </w:rPr>
      </w:pPr>
    </w:p>
    <w:p w14:paraId="16D52DAD" w14:textId="24CF3565" w:rsidR="006734DE" w:rsidRDefault="006734DE" w:rsidP="007531A8">
      <w:pPr>
        <w:autoSpaceDE w:val="0"/>
        <w:autoSpaceDN w:val="0"/>
        <w:adjustRightInd w:val="0"/>
        <w:spacing w:after="0" w:line="276" w:lineRule="auto"/>
        <w:ind w:right="49"/>
        <w:rPr>
          <w:rFonts w:ascii="ITC Avant Garde" w:hAnsi="ITC Avant Garde"/>
        </w:rPr>
      </w:pPr>
      <w:r w:rsidRPr="006734DE">
        <w:rPr>
          <w:rFonts w:ascii="ITC Avant Garde" w:hAnsi="ITC Avant Garde"/>
        </w:rPr>
        <w:t>Señalan que Telmex</w:t>
      </w:r>
      <w:r w:rsidR="00383F5B">
        <w:rPr>
          <w:rFonts w:ascii="ITC Avant Garde" w:hAnsi="ITC Avant Garde"/>
        </w:rPr>
        <w:t>/</w:t>
      </w:r>
      <w:r w:rsidRPr="006734DE">
        <w:rPr>
          <w:rFonts w:ascii="ITC Avant Garde" w:hAnsi="ITC Avant Garde"/>
        </w:rPr>
        <w:t>Telnor proponen incrementar los plazos para entrega de servicios de interconexión eliminando con ello la posibilidad de que se entreguen servicios que excedan un 20% o más de los pronosticados, por lo que quedaría a discreción de Telmex</w:t>
      </w:r>
      <w:r w:rsidR="00383F5B">
        <w:rPr>
          <w:rFonts w:ascii="ITC Avant Garde" w:hAnsi="ITC Avant Garde"/>
        </w:rPr>
        <w:t>/</w:t>
      </w:r>
      <w:r w:rsidRPr="006734DE">
        <w:rPr>
          <w:rFonts w:ascii="ITC Avant Garde" w:hAnsi="ITC Avant Garde"/>
        </w:rPr>
        <w:t>Telnor las fechas de entrega de los servicios. Lo anterior, sería inconsistente con las Medidas de Preponderancia.</w:t>
      </w:r>
    </w:p>
    <w:p w14:paraId="50634EE6" w14:textId="0CD6A36D" w:rsidR="006734DE" w:rsidRDefault="006734DE" w:rsidP="007531A8">
      <w:pPr>
        <w:autoSpaceDE w:val="0"/>
        <w:autoSpaceDN w:val="0"/>
        <w:adjustRightInd w:val="0"/>
        <w:spacing w:after="0" w:line="276" w:lineRule="auto"/>
        <w:ind w:right="49"/>
        <w:rPr>
          <w:rFonts w:ascii="ITC Avant Garde" w:hAnsi="ITC Avant Garde"/>
        </w:rPr>
      </w:pPr>
    </w:p>
    <w:p w14:paraId="21484638" w14:textId="3E6FB0C7" w:rsidR="006734DE" w:rsidRDefault="006734DE"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Consideraciones del Instituto</w:t>
      </w:r>
    </w:p>
    <w:p w14:paraId="1F2445B6" w14:textId="47E5FF86" w:rsidR="006734DE" w:rsidRDefault="006734DE" w:rsidP="007531A8">
      <w:pPr>
        <w:autoSpaceDE w:val="0"/>
        <w:autoSpaceDN w:val="0"/>
        <w:adjustRightInd w:val="0"/>
        <w:spacing w:after="0" w:line="276" w:lineRule="auto"/>
        <w:ind w:right="49"/>
        <w:rPr>
          <w:rFonts w:ascii="ITC Avant Garde" w:hAnsi="ITC Avant Garde"/>
        </w:rPr>
      </w:pPr>
      <w:r w:rsidRPr="006734DE">
        <w:rPr>
          <w:rFonts w:ascii="ITC Avant Garde" w:hAnsi="ITC Avant Garde"/>
        </w:rPr>
        <w:lastRenderedPageBreak/>
        <w:t xml:space="preserve">Se </w:t>
      </w:r>
      <w:r w:rsidR="00383F5B">
        <w:rPr>
          <w:rFonts w:ascii="ITC Avant Garde" w:hAnsi="ITC Avant Garde"/>
        </w:rPr>
        <w:t>modifica el</w:t>
      </w:r>
      <w:r w:rsidRPr="006734DE">
        <w:rPr>
          <w:rFonts w:ascii="ITC Avant Garde" w:hAnsi="ITC Avant Garde"/>
        </w:rPr>
        <w:t xml:space="preserve"> CMI </w:t>
      </w:r>
      <w:r w:rsidR="00CE6CC5">
        <w:rPr>
          <w:rFonts w:ascii="ITC Avant Garde" w:hAnsi="ITC Avant Garde"/>
        </w:rPr>
        <w:t xml:space="preserve">precisando que </w:t>
      </w:r>
      <w:r w:rsidRPr="006734DE">
        <w:rPr>
          <w:rFonts w:ascii="ITC Avant Garde" w:hAnsi="ITC Avant Garde"/>
        </w:rPr>
        <w:t xml:space="preserve">las solicitudes que excedan en un 20% o más los </w:t>
      </w:r>
      <w:r w:rsidR="00CE6CC5" w:rsidRPr="006734DE">
        <w:rPr>
          <w:rFonts w:ascii="ITC Avant Garde" w:hAnsi="ITC Avant Garde"/>
        </w:rPr>
        <w:t>pronóstic</w:t>
      </w:r>
      <w:r w:rsidR="00CE6CC5">
        <w:rPr>
          <w:rFonts w:ascii="ITC Avant Garde" w:hAnsi="ITC Avant Garde"/>
        </w:rPr>
        <w:t>os</w:t>
      </w:r>
      <w:r w:rsidRPr="006734DE">
        <w:rPr>
          <w:rFonts w:ascii="ITC Avant Garde" w:hAnsi="ITC Avant Garde"/>
        </w:rPr>
        <w:t>, serán instalados en un plazo definido por mutuo acuerd</w:t>
      </w:r>
      <w:r w:rsidR="00383F5B">
        <w:rPr>
          <w:rFonts w:ascii="ITC Avant Garde" w:hAnsi="ITC Avant Garde"/>
        </w:rPr>
        <w:t>o, en los términos siguientes:</w:t>
      </w:r>
    </w:p>
    <w:p w14:paraId="7AA9A8C8" w14:textId="59BCEBA7" w:rsidR="00383F5B" w:rsidRDefault="00383F5B" w:rsidP="007531A8">
      <w:pPr>
        <w:autoSpaceDE w:val="0"/>
        <w:autoSpaceDN w:val="0"/>
        <w:adjustRightInd w:val="0"/>
        <w:spacing w:after="0" w:line="276" w:lineRule="auto"/>
        <w:ind w:right="49"/>
        <w:rPr>
          <w:rFonts w:ascii="ITC Avant Garde" w:hAnsi="ITC Avant Garde"/>
        </w:rPr>
      </w:pPr>
    </w:p>
    <w:p w14:paraId="3FA94E31" w14:textId="23B980B6" w:rsidR="00383F5B" w:rsidRPr="00383F5B" w:rsidRDefault="00383F5B" w:rsidP="007531A8">
      <w:pPr>
        <w:spacing w:after="0" w:line="276" w:lineRule="auto"/>
        <w:ind w:left="567" w:right="616"/>
        <w:rPr>
          <w:rFonts w:ascii="ITC Avant Garde" w:hAnsi="ITC Avant Garde"/>
          <w:i/>
          <w:iCs/>
          <w:sz w:val="18"/>
          <w:szCs w:val="18"/>
        </w:rPr>
      </w:pPr>
      <w:r>
        <w:rPr>
          <w:rFonts w:ascii="ITC Avant Garde" w:hAnsi="ITC Avant Garde"/>
          <w:i/>
          <w:iCs/>
          <w:sz w:val="18"/>
          <w:szCs w:val="18"/>
        </w:rPr>
        <w:t>“</w:t>
      </w:r>
      <w:r w:rsidRPr="00383F5B">
        <w:rPr>
          <w:rFonts w:ascii="ITC Avant Garde" w:hAnsi="ITC Avant Garde"/>
          <w:i/>
          <w:iCs/>
          <w:sz w:val="18"/>
          <w:szCs w:val="18"/>
        </w:rPr>
        <w:t>En caso de que los servicios solicitados excedan un 20% o más de los pronosticados, los servicios excedentes serán instalados en un plazo definido por mutuo acuerdo bajo esquema de fecha compromiso (</w:t>
      </w:r>
      <w:proofErr w:type="spellStart"/>
      <w:r w:rsidRPr="00383F5B">
        <w:rPr>
          <w:rFonts w:ascii="ITC Avant Garde" w:hAnsi="ITC Avant Garde"/>
          <w:i/>
          <w:iCs/>
          <w:sz w:val="18"/>
          <w:szCs w:val="18"/>
        </w:rPr>
        <w:t>Due</w:t>
      </w:r>
      <w:proofErr w:type="spellEnd"/>
      <w:r w:rsidRPr="00383F5B">
        <w:rPr>
          <w:rFonts w:ascii="ITC Avant Garde" w:hAnsi="ITC Avant Garde"/>
          <w:i/>
          <w:iCs/>
          <w:sz w:val="18"/>
          <w:szCs w:val="18"/>
        </w:rPr>
        <w:t xml:space="preserve"> Date). Situación que será informada al Instituto, junto con las nuevas fechas de entrega.</w:t>
      </w:r>
      <w:r>
        <w:rPr>
          <w:rFonts w:ascii="ITC Avant Garde" w:hAnsi="ITC Avant Garde"/>
          <w:i/>
          <w:iCs/>
          <w:sz w:val="18"/>
          <w:szCs w:val="18"/>
        </w:rPr>
        <w:t>”</w:t>
      </w:r>
    </w:p>
    <w:p w14:paraId="39BBC0DE" w14:textId="72E2D92A" w:rsidR="006734DE" w:rsidRDefault="006734DE" w:rsidP="007531A8">
      <w:pPr>
        <w:autoSpaceDE w:val="0"/>
        <w:autoSpaceDN w:val="0"/>
        <w:adjustRightInd w:val="0"/>
        <w:spacing w:after="0" w:line="276" w:lineRule="auto"/>
        <w:ind w:right="49"/>
        <w:rPr>
          <w:rFonts w:ascii="ITC Avant Garde" w:hAnsi="ITC Avant Garde"/>
        </w:rPr>
      </w:pPr>
    </w:p>
    <w:p w14:paraId="03B21C45" w14:textId="3ECD20F4" w:rsidR="006734DE" w:rsidRDefault="00087C65" w:rsidP="007531A8">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3. Fallas, mantenimiento y reparaciones.</w:t>
      </w:r>
    </w:p>
    <w:p w14:paraId="5E75FE7D" w14:textId="6FB0F70C" w:rsidR="00087C65" w:rsidRDefault="00087C65" w:rsidP="007531A8">
      <w:pPr>
        <w:autoSpaceDE w:val="0"/>
        <w:autoSpaceDN w:val="0"/>
        <w:adjustRightInd w:val="0"/>
        <w:spacing w:after="0" w:line="276" w:lineRule="auto"/>
        <w:ind w:right="49"/>
        <w:rPr>
          <w:rFonts w:ascii="ITC Avant Garde" w:hAnsi="ITC Avant Garde"/>
          <w:b/>
          <w:bCs/>
          <w:u w:val="single"/>
        </w:rPr>
      </w:pPr>
    </w:p>
    <w:p w14:paraId="730267F0" w14:textId="5DD0387F" w:rsidR="00087C65" w:rsidRDefault="00087C65" w:rsidP="007531A8">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3.2 Plazos máximos para la solución de fallas</w:t>
      </w:r>
    </w:p>
    <w:p w14:paraId="181445D1" w14:textId="5CC7290F" w:rsidR="00087C65" w:rsidRDefault="00087C65" w:rsidP="007531A8">
      <w:pPr>
        <w:autoSpaceDE w:val="0"/>
        <w:autoSpaceDN w:val="0"/>
        <w:adjustRightInd w:val="0"/>
        <w:spacing w:after="0" w:line="276" w:lineRule="auto"/>
        <w:ind w:right="49"/>
        <w:rPr>
          <w:rFonts w:ascii="ITC Avant Garde" w:hAnsi="ITC Avant Garde"/>
        </w:rPr>
      </w:pPr>
    </w:p>
    <w:p w14:paraId="5F7EFEE3" w14:textId="58977DEA" w:rsidR="00087C65" w:rsidRDefault="00087C65"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 xml:space="preserve">AT&amp;T, CANIETI, </w:t>
      </w:r>
      <w:r w:rsidR="0018725C">
        <w:rPr>
          <w:rFonts w:ascii="ITC Avant Garde" w:hAnsi="ITC Avant Garde"/>
          <w:b/>
          <w:bCs/>
        </w:rPr>
        <w:t>Grupo Televisa, Telefónica, Mega Cable</w:t>
      </w:r>
    </w:p>
    <w:p w14:paraId="1FF5E7C4" w14:textId="0EAC2C97" w:rsidR="00087C65" w:rsidRDefault="00616347" w:rsidP="007531A8">
      <w:pPr>
        <w:autoSpaceDE w:val="0"/>
        <w:autoSpaceDN w:val="0"/>
        <w:adjustRightInd w:val="0"/>
        <w:spacing w:after="0" w:line="276" w:lineRule="auto"/>
        <w:ind w:right="49"/>
        <w:rPr>
          <w:rFonts w:ascii="ITC Avant Garde" w:hAnsi="ITC Avant Garde"/>
        </w:rPr>
      </w:pPr>
      <w:r>
        <w:rPr>
          <w:rFonts w:ascii="ITC Avant Garde" w:hAnsi="ITC Avant Garde"/>
        </w:rPr>
        <w:t>Solicitan q</w:t>
      </w:r>
      <w:r w:rsidR="00087C65" w:rsidRPr="00087C65">
        <w:rPr>
          <w:rFonts w:ascii="ITC Avant Garde" w:hAnsi="ITC Avant Garde"/>
        </w:rPr>
        <w:t xml:space="preserve">ue </w:t>
      </w:r>
      <w:r>
        <w:rPr>
          <w:rFonts w:ascii="ITC Avant Garde" w:hAnsi="ITC Avant Garde"/>
        </w:rPr>
        <w:t xml:space="preserve">los plazos máximos para la atención de fallas </w:t>
      </w:r>
      <w:r w:rsidR="00087C65" w:rsidRPr="00087C65">
        <w:rPr>
          <w:rFonts w:ascii="ITC Avant Garde" w:hAnsi="ITC Avant Garde"/>
        </w:rPr>
        <w:t>se mantenga</w:t>
      </w:r>
      <w:r>
        <w:rPr>
          <w:rFonts w:ascii="ITC Avant Garde" w:hAnsi="ITC Avant Garde"/>
        </w:rPr>
        <w:t>n</w:t>
      </w:r>
      <w:r w:rsidR="00087C65" w:rsidRPr="00087C65">
        <w:rPr>
          <w:rFonts w:ascii="ITC Avant Garde" w:hAnsi="ITC Avant Garde"/>
        </w:rPr>
        <w:t xml:space="preserve"> conforme a</w:t>
      </w:r>
      <w:r>
        <w:rPr>
          <w:rFonts w:ascii="ITC Avant Garde" w:hAnsi="ITC Avant Garde"/>
        </w:rPr>
        <w:t xml:space="preserve"> </w:t>
      </w:r>
      <w:r w:rsidR="00087C65" w:rsidRPr="00087C65">
        <w:rPr>
          <w:rFonts w:ascii="ITC Avant Garde" w:hAnsi="ITC Avant Garde"/>
        </w:rPr>
        <w:t>l</w:t>
      </w:r>
      <w:r>
        <w:rPr>
          <w:rFonts w:ascii="ITC Avant Garde" w:hAnsi="ITC Avant Garde"/>
        </w:rPr>
        <w:t>o</w:t>
      </w:r>
      <w:r w:rsidR="00087C65" w:rsidRPr="00087C65">
        <w:rPr>
          <w:rFonts w:ascii="ITC Avant Garde" w:hAnsi="ITC Avant Garde"/>
        </w:rPr>
        <w:t xml:space="preserve"> </w:t>
      </w:r>
      <w:r>
        <w:rPr>
          <w:rFonts w:ascii="ITC Avant Garde" w:hAnsi="ITC Avant Garde"/>
        </w:rPr>
        <w:t>establecido en el CMI 202</w:t>
      </w:r>
      <w:r w:rsidR="00087C65" w:rsidRPr="00087C65">
        <w:rPr>
          <w:rFonts w:ascii="ITC Avant Garde" w:hAnsi="ITC Avant Garde"/>
        </w:rPr>
        <w:t>1</w:t>
      </w:r>
      <w:r>
        <w:rPr>
          <w:rFonts w:ascii="ITC Avant Garde" w:hAnsi="ITC Avant Garde"/>
        </w:rPr>
        <w:t>.</w:t>
      </w:r>
      <w:r w:rsidR="009755E4" w:rsidRPr="009755E4">
        <w:t xml:space="preserve"> </w:t>
      </w:r>
      <w:r w:rsidR="009755E4" w:rsidRPr="009755E4">
        <w:rPr>
          <w:rFonts w:ascii="ITC Avant Garde" w:hAnsi="ITC Avant Garde"/>
        </w:rPr>
        <w:t xml:space="preserve">Por su parte la CANIETI y Grupo Televisa indica que los plazos de solución de </w:t>
      </w:r>
      <w:r w:rsidR="00AA2699" w:rsidRPr="009755E4">
        <w:rPr>
          <w:rFonts w:ascii="ITC Avant Garde" w:hAnsi="ITC Avant Garde"/>
        </w:rPr>
        <w:t>fallas</w:t>
      </w:r>
      <w:r w:rsidR="009755E4" w:rsidRPr="009755E4">
        <w:rPr>
          <w:rFonts w:ascii="ITC Avant Garde" w:hAnsi="ITC Avant Garde"/>
        </w:rPr>
        <w:t xml:space="preserve"> no </w:t>
      </w:r>
      <w:r w:rsidR="009755E4">
        <w:rPr>
          <w:rFonts w:ascii="ITC Avant Garde" w:hAnsi="ITC Avant Garde"/>
        </w:rPr>
        <w:t>son</w:t>
      </w:r>
      <w:r w:rsidR="009755E4" w:rsidRPr="009755E4">
        <w:rPr>
          <w:rFonts w:ascii="ITC Avant Garde" w:hAnsi="ITC Avant Garde"/>
        </w:rPr>
        <w:t xml:space="preserve"> acorde</w:t>
      </w:r>
      <w:r w:rsidR="009755E4">
        <w:rPr>
          <w:rFonts w:ascii="ITC Avant Garde" w:hAnsi="ITC Avant Garde"/>
        </w:rPr>
        <w:t>s</w:t>
      </w:r>
      <w:r w:rsidR="009755E4" w:rsidRPr="009755E4">
        <w:rPr>
          <w:rFonts w:ascii="ITC Avant Garde" w:hAnsi="ITC Avant Garde"/>
        </w:rPr>
        <w:t xml:space="preserve"> con las Medidas de Preponderancia y con el CMI vigent</w:t>
      </w:r>
      <w:r w:rsidR="009755E4">
        <w:rPr>
          <w:rFonts w:ascii="ITC Avant Garde" w:hAnsi="ITC Avant Garde"/>
        </w:rPr>
        <w:t>e.</w:t>
      </w:r>
    </w:p>
    <w:p w14:paraId="10884D3C" w14:textId="77777777" w:rsidR="00616347" w:rsidRDefault="00616347" w:rsidP="007531A8">
      <w:pPr>
        <w:autoSpaceDE w:val="0"/>
        <w:autoSpaceDN w:val="0"/>
        <w:adjustRightInd w:val="0"/>
        <w:spacing w:after="0" w:line="276" w:lineRule="auto"/>
        <w:ind w:right="49"/>
        <w:rPr>
          <w:rFonts w:ascii="ITC Avant Garde" w:hAnsi="ITC Avant Garde"/>
          <w:b/>
          <w:bCs/>
        </w:rPr>
      </w:pPr>
    </w:p>
    <w:p w14:paraId="34C44D5E" w14:textId="2F345AA5" w:rsidR="00087C65" w:rsidRDefault="00087C65"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Consideraciones del Instituto</w:t>
      </w:r>
    </w:p>
    <w:p w14:paraId="068637FF" w14:textId="661EF31F" w:rsidR="00616347" w:rsidRDefault="00616347" w:rsidP="007531A8">
      <w:pPr>
        <w:autoSpaceDE w:val="0"/>
        <w:autoSpaceDN w:val="0"/>
        <w:adjustRightInd w:val="0"/>
        <w:spacing w:after="0" w:line="276" w:lineRule="auto"/>
        <w:ind w:right="49"/>
        <w:rPr>
          <w:rFonts w:ascii="ITC Avant Garde" w:hAnsi="ITC Avant Garde"/>
          <w:b/>
          <w:bCs/>
        </w:rPr>
      </w:pPr>
    </w:p>
    <w:p w14:paraId="0B842250" w14:textId="68E996FA" w:rsidR="00616347" w:rsidRDefault="00616347" w:rsidP="007531A8">
      <w:pPr>
        <w:spacing w:after="0" w:line="276" w:lineRule="auto"/>
        <w:ind w:right="567"/>
        <w:rPr>
          <w:rFonts w:ascii="ITC Avant Garde" w:hAnsi="ITC Avant Garde"/>
        </w:rPr>
      </w:pPr>
      <w:r>
        <w:rPr>
          <w:rFonts w:ascii="ITC Avant Garde" w:hAnsi="ITC Avant Garde"/>
        </w:rPr>
        <w:t>Se modific</w:t>
      </w:r>
      <w:r w:rsidR="00AA2699">
        <w:rPr>
          <w:rFonts w:ascii="ITC Avant Garde" w:hAnsi="ITC Avant Garde"/>
        </w:rPr>
        <w:t>ó</w:t>
      </w:r>
      <w:r>
        <w:rPr>
          <w:rFonts w:ascii="ITC Avant Garde" w:hAnsi="ITC Avant Garde"/>
        </w:rPr>
        <w:t xml:space="preserve"> el CMI en los términos siguientes:</w:t>
      </w:r>
    </w:p>
    <w:p w14:paraId="4F17DFA6" w14:textId="1D240FF0" w:rsidR="00616347" w:rsidRDefault="00616347" w:rsidP="007531A8">
      <w:pPr>
        <w:spacing w:after="0" w:line="276" w:lineRule="auto"/>
        <w:ind w:right="567"/>
        <w:rPr>
          <w:rFonts w:ascii="ITC Avant Garde" w:hAnsi="ITC Avant Garde"/>
        </w:rPr>
      </w:pPr>
      <w:r>
        <w:rPr>
          <w:rFonts w:ascii="ITC Avant Garde" w:hAnsi="ITC Avant Garde"/>
        </w:rPr>
        <w:t xml:space="preserve"> </w:t>
      </w:r>
    </w:p>
    <w:p w14:paraId="0CAE2949" w14:textId="50A46DDF" w:rsidR="00616347" w:rsidRPr="00973310" w:rsidRDefault="00616347" w:rsidP="007531A8">
      <w:pPr>
        <w:spacing w:after="0" w:line="276" w:lineRule="auto"/>
        <w:ind w:left="567" w:right="567"/>
        <w:rPr>
          <w:rFonts w:ascii="Arial" w:hAnsi="Arial" w:cs="Arial"/>
          <w:i/>
          <w:sz w:val="18"/>
          <w:szCs w:val="18"/>
        </w:rPr>
      </w:pPr>
      <w:r w:rsidRPr="00973310">
        <w:rPr>
          <w:rFonts w:ascii="Arial" w:hAnsi="Arial" w:cs="Arial"/>
          <w:i/>
          <w:sz w:val="18"/>
          <w:szCs w:val="18"/>
        </w:rPr>
        <w:t xml:space="preserve">“3.2 Plazos máximos para la solución de fallas. </w:t>
      </w:r>
    </w:p>
    <w:p w14:paraId="10729151" w14:textId="77777777" w:rsidR="00616347" w:rsidRPr="00973310" w:rsidRDefault="00616347" w:rsidP="007531A8">
      <w:pPr>
        <w:spacing w:after="0" w:line="276" w:lineRule="auto"/>
        <w:ind w:left="709" w:right="567"/>
        <w:rPr>
          <w:rFonts w:ascii="Arial" w:hAnsi="Arial" w:cs="Arial"/>
          <w:i/>
          <w:sz w:val="18"/>
          <w:szCs w:val="18"/>
        </w:rPr>
      </w:pPr>
    </w:p>
    <w:p w14:paraId="163D81F5" w14:textId="77777777" w:rsidR="00616347" w:rsidRPr="00973310" w:rsidRDefault="00616347" w:rsidP="007531A8">
      <w:pPr>
        <w:spacing w:after="0" w:line="276" w:lineRule="auto"/>
        <w:ind w:left="567" w:right="567"/>
        <w:rPr>
          <w:rFonts w:ascii="Arial" w:hAnsi="Arial" w:cs="Arial"/>
          <w:i/>
          <w:sz w:val="18"/>
          <w:szCs w:val="18"/>
        </w:rPr>
      </w:pPr>
      <w:r w:rsidRPr="00973310">
        <w:rPr>
          <w:rFonts w:ascii="Arial" w:hAnsi="Arial" w:cs="Arial"/>
          <w:i/>
          <w:sz w:val="18"/>
          <w:szCs w:val="18"/>
        </w:rPr>
        <w:t>Telmex debe solucionar las fallas reportadas en los plazos máximos de reparación siguientes:</w:t>
      </w:r>
    </w:p>
    <w:p w14:paraId="50AF49F4" w14:textId="77777777" w:rsidR="00616347" w:rsidRPr="00BD3F4B" w:rsidRDefault="00616347" w:rsidP="007531A8">
      <w:pPr>
        <w:spacing w:after="0" w:line="276" w:lineRule="auto"/>
        <w:ind w:left="709" w:right="567"/>
        <w:rPr>
          <w:rFonts w:ascii="Arial" w:hAnsi="Arial" w:cs="Arial"/>
          <w:i/>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980"/>
        <w:gridCol w:w="1890"/>
        <w:gridCol w:w="1228"/>
      </w:tblGrid>
      <w:tr w:rsidR="00616347" w:rsidRPr="00616347" w14:paraId="4A74E9B8" w14:textId="77777777" w:rsidTr="00A6656E">
        <w:tc>
          <w:tcPr>
            <w:tcW w:w="1620" w:type="dxa"/>
          </w:tcPr>
          <w:p w14:paraId="6FB4E716" w14:textId="77777777" w:rsidR="00616347" w:rsidRPr="00616347" w:rsidRDefault="00616347" w:rsidP="007531A8">
            <w:pPr>
              <w:pStyle w:val="Textoindependiente3"/>
              <w:spacing w:after="0" w:line="276" w:lineRule="auto"/>
              <w:rPr>
                <w:rStyle w:val="Textoennegrita"/>
                <w:rFonts w:ascii="Arial" w:eastAsia="Calibri" w:hAnsi="Arial" w:cs="Arial"/>
                <w:b w:val="0"/>
                <w:bCs w:val="0"/>
                <w:i/>
                <w:sz w:val="18"/>
                <w:szCs w:val="18"/>
              </w:rPr>
            </w:pPr>
            <w:r w:rsidRPr="00616347">
              <w:rPr>
                <w:rStyle w:val="Textoennegrita"/>
                <w:rFonts w:ascii="Arial" w:hAnsi="Arial" w:cs="Arial"/>
                <w:b w:val="0"/>
                <w:bCs w:val="0"/>
                <w:i/>
                <w:sz w:val="18"/>
                <w:szCs w:val="18"/>
              </w:rPr>
              <w:t>Tipo de Servicio</w:t>
            </w:r>
          </w:p>
        </w:tc>
        <w:tc>
          <w:tcPr>
            <w:tcW w:w="1980" w:type="dxa"/>
          </w:tcPr>
          <w:p w14:paraId="0A1221D8"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z w:val="18"/>
                <w:szCs w:val="18"/>
              </w:rPr>
              <w:t>Prioridad 1</w:t>
            </w:r>
            <w:r w:rsidRPr="00616347">
              <w:rPr>
                <w:rStyle w:val="Textoennegrita"/>
                <w:rFonts w:ascii="Arial" w:hAnsi="Arial" w:cs="Arial"/>
                <w:b w:val="0"/>
                <w:bCs w:val="0"/>
                <w:i/>
                <w:sz w:val="18"/>
                <w:szCs w:val="18"/>
              </w:rPr>
              <w:br/>
              <w:t>(Servicio Totalmente Afectado)</w:t>
            </w:r>
          </w:p>
        </w:tc>
        <w:tc>
          <w:tcPr>
            <w:tcW w:w="1890" w:type="dxa"/>
          </w:tcPr>
          <w:p w14:paraId="74A90FD7"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z w:val="18"/>
                <w:szCs w:val="18"/>
              </w:rPr>
              <w:t>Prioridad 2 (Afectación Parcial)</w:t>
            </w:r>
          </w:p>
        </w:tc>
        <w:tc>
          <w:tcPr>
            <w:tcW w:w="1228" w:type="dxa"/>
          </w:tcPr>
          <w:p w14:paraId="14D1AA09"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z w:val="18"/>
                <w:szCs w:val="18"/>
              </w:rPr>
              <w:t>Prioridad 3</w:t>
            </w:r>
          </w:p>
        </w:tc>
      </w:tr>
      <w:tr w:rsidR="00616347" w:rsidRPr="00616347" w14:paraId="6B662E71" w14:textId="77777777" w:rsidTr="00A6656E">
        <w:tc>
          <w:tcPr>
            <w:tcW w:w="1620" w:type="dxa"/>
          </w:tcPr>
          <w:p w14:paraId="02371881"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z w:val="18"/>
                <w:szCs w:val="18"/>
              </w:rPr>
              <w:t>Interconexión</w:t>
            </w:r>
          </w:p>
        </w:tc>
        <w:tc>
          <w:tcPr>
            <w:tcW w:w="1980" w:type="dxa"/>
          </w:tcPr>
          <w:p w14:paraId="16B3CC7B"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z w:val="18"/>
                <w:szCs w:val="18"/>
              </w:rPr>
              <w:t xml:space="preserve"> </w:t>
            </w:r>
            <w:r w:rsidRPr="00616347">
              <w:rPr>
                <w:rStyle w:val="Textoennegrita"/>
                <w:rFonts w:ascii="Arial" w:hAnsi="Arial" w:cs="Arial"/>
                <w:b w:val="0"/>
                <w:bCs w:val="0"/>
                <w:i/>
                <w:strike/>
                <w:sz w:val="18"/>
                <w:szCs w:val="18"/>
              </w:rPr>
              <w:t>3</w:t>
            </w:r>
            <w:r w:rsidRPr="00616347">
              <w:rPr>
                <w:rStyle w:val="Textoennegrita"/>
                <w:rFonts w:ascii="Arial" w:hAnsi="Arial" w:cs="Arial"/>
                <w:b w:val="0"/>
                <w:bCs w:val="0"/>
                <w:i/>
                <w:sz w:val="18"/>
                <w:szCs w:val="18"/>
              </w:rPr>
              <w:t xml:space="preserve"> </w:t>
            </w:r>
            <w:r w:rsidRPr="00616347">
              <w:rPr>
                <w:rStyle w:val="Textoennegrita"/>
                <w:rFonts w:ascii="Arial" w:hAnsi="Arial" w:cs="Arial"/>
                <w:b w:val="0"/>
                <w:bCs w:val="0"/>
                <w:i/>
                <w:sz w:val="18"/>
                <w:szCs w:val="18"/>
                <w:u w:val="single"/>
              </w:rPr>
              <w:t>1</w:t>
            </w:r>
            <w:r w:rsidRPr="00616347">
              <w:rPr>
                <w:rStyle w:val="Textoennegrita"/>
                <w:rFonts w:ascii="Arial" w:hAnsi="Arial" w:cs="Arial"/>
                <w:b w:val="0"/>
                <w:bCs w:val="0"/>
                <w:i/>
                <w:sz w:val="18"/>
                <w:szCs w:val="18"/>
              </w:rPr>
              <w:t xml:space="preserve"> </w:t>
            </w:r>
            <w:proofErr w:type="spellStart"/>
            <w:r w:rsidRPr="00616347">
              <w:rPr>
                <w:rStyle w:val="Textoennegrita"/>
                <w:rFonts w:ascii="Arial" w:hAnsi="Arial" w:cs="Arial"/>
                <w:b w:val="0"/>
                <w:bCs w:val="0"/>
                <w:i/>
                <w:sz w:val="18"/>
                <w:szCs w:val="18"/>
              </w:rPr>
              <w:t>Hr</w:t>
            </w:r>
            <w:proofErr w:type="spellEnd"/>
          </w:p>
        </w:tc>
        <w:tc>
          <w:tcPr>
            <w:tcW w:w="1890" w:type="dxa"/>
          </w:tcPr>
          <w:p w14:paraId="0AB84655"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trike/>
                <w:sz w:val="18"/>
                <w:szCs w:val="18"/>
              </w:rPr>
              <w:t xml:space="preserve"> 4 </w:t>
            </w:r>
            <w:r w:rsidRPr="00616347">
              <w:rPr>
                <w:rStyle w:val="Textoennegrita"/>
                <w:rFonts w:ascii="Arial" w:hAnsi="Arial" w:cs="Arial"/>
                <w:b w:val="0"/>
                <w:bCs w:val="0"/>
                <w:i/>
                <w:sz w:val="18"/>
                <w:szCs w:val="18"/>
                <w:u w:val="single"/>
              </w:rPr>
              <w:t>2</w:t>
            </w:r>
            <w:r w:rsidRPr="00616347">
              <w:rPr>
                <w:rStyle w:val="Textoennegrita"/>
                <w:rFonts w:ascii="Arial" w:hAnsi="Arial" w:cs="Arial"/>
                <w:b w:val="0"/>
                <w:bCs w:val="0"/>
                <w:i/>
                <w:sz w:val="18"/>
                <w:szCs w:val="18"/>
              </w:rPr>
              <w:t xml:space="preserve"> </w:t>
            </w:r>
            <w:proofErr w:type="spellStart"/>
            <w:r w:rsidRPr="00616347">
              <w:rPr>
                <w:rStyle w:val="Textoennegrita"/>
                <w:rFonts w:ascii="Arial" w:hAnsi="Arial" w:cs="Arial"/>
                <w:b w:val="0"/>
                <w:bCs w:val="0"/>
                <w:i/>
                <w:sz w:val="18"/>
                <w:szCs w:val="18"/>
              </w:rPr>
              <w:t>Hrs</w:t>
            </w:r>
            <w:proofErr w:type="spellEnd"/>
            <w:r w:rsidRPr="00616347">
              <w:rPr>
                <w:rStyle w:val="Textoennegrita"/>
                <w:rFonts w:ascii="Arial" w:hAnsi="Arial" w:cs="Arial"/>
                <w:b w:val="0"/>
                <w:bCs w:val="0"/>
                <w:i/>
                <w:sz w:val="18"/>
                <w:szCs w:val="18"/>
              </w:rPr>
              <w:t xml:space="preserve"> </w:t>
            </w:r>
          </w:p>
        </w:tc>
        <w:tc>
          <w:tcPr>
            <w:tcW w:w="1228" w:type="dxa"/>
          </w:tcPr>
          <w:p w14:paraId="5A6EE579" w14:textId="77777777" w:rsidR="00616347" w:rsidRPr="00616347" w:rsidRDefault="00616347" w:rsidP="007531A8">
            <w:pPr>
              <w:pStyle w:val="Textoindependiente3"/>
              <w:spacing w:after="0" w:line="276" w:lineRule="auto"/>
              <w:rPr>
                <w:rStyle w:val="Textoennegrita"/>
                <w:rFonts w:ascii="Arial" w:hAnsi="Arial" w:cs="Arial"/>
                <w:b w:val="0"/>
                <w:bCs w:val="0"/>
                <w:i/>
                <w:sz w:val="18"/>
                <w:szCs w:val="18"/>
              </w:rPr>
            </w:pPr>
            <w:r w:rsidRPr="00616347">
              <w:rPr>
                <w:rStyle w:val="Textoennegrita"/>
                <w:rFonts w:ascii="Arial" w:hAnsi="Arial" w:cs="Arial"/>
                <w:b w:val="0"/>
                <w:bCs w:val="0"/>
                <w:i/>
                <w:strike/>
                <w:sz w:val="18"/>
                <w:szCs w:val="18"/>
              </w:rPr>
              <w:t>6</w:t>
            </w:r>
            <w:r w:rsidRPr="00616347">
              <w:rPr>
                <w:rStyle w:val="Textoennegrita"/>
                <w:rFonts w:ascii="Arial" w:hAnsi="Arial" w:cs="Arial"/>
                <w:b w:val="0"/>
                <w:bCs w:val="0"/>
                <w:i/>
                <w:sz w:val="18"/>
                <w:szCs w:val="18"/>
              </w:rPr>
              <w:t xml:space="preserve"> </w:t>
            </w:r>
            <w:r w:rsidRPr="00616347">
              <w:rPr>
                <w:rStyle w:val="Textoennegrita"/>
                <w:rFonts w:ascii="Arial" w:hAnsi="Arial" w:cs="Arial"/>
                <w:b w:val="0"/>
                <w:bCs w:val="0"/>
                <w:i/>
                <w:sz w:val="18"/>
                <w:szCs w:val="18"/>
                <w:u w:val="single"/>
              </w:rPr>
              <w:t>5</w:t>
            </w:r>
            <w:r w:rsidRPr="00616347">
              <w:rPr>
                <w:rStyle w:val="Textoennegrita"/>
                <w:rFonts w:ascii="Arial" w:hAnsi="Arial" w:cs="Arial"/>
                <w:b w:val="0"/>
                <w:bCs w:val="0"/>
                <w:i/>
                <w:sz w:val="18"/>
                <w:szCs w:val="18"/>
              </w:rPr>
              <w:t xml:space="preserve"> </w:t>
            </w:r>
            <w:proofErr w:type="spellStart"/>
            <w:r w:rsidRPr="00616347">
              <w:rPr>
                <w:rStyle w:val="Textoennegrita"/>
                <w:rFonts w:ascii="Arial" w:hAnsi="Arial" w:cs="Arial"/>
                <w:b w:val="0"/>
                <w:bCs w:val="0"/>
                <w:i/>
                <w:sz w:val="18"/>
                <w:szCs w:val="18"/>
              </w:rPr>
              <w:t>Hrs</w:t>
            </w:r>
            <w:proofErr w:type="spellEnd"/>
          </w:p>
        </w:tc>
      </w:tr>
    </w:tbl>
    <w:p w14:paraId="4A109CF0" w14:textId="77777777" w:rsidR="00616347" w:rsidRPr="00616347" w:rsidRDefault="00616347" w:rsidP="007531A8">
      <w:pPr>
        <w:spacing w:after="0" w:line="276" w:lineRule="auto"/>
        <w:ind w:left="709" w:right="567"/>
        <w:rPr>
          <w:rFonts w:ascii="Arial" w:hAnsi="Arial" w:cs="Arial"/>
          <w:i/>
          <w:sz w:val="18"/>
          <w:szCs w:val="18"/>
        </w:rPr>
      </w:pPr>
    </w:p>
    <w:p w14:paraId="7A616EA3" w14:textId="77777777" w:rsidR="00616347" w:rsidRPr="00BD3F4B" w:rsidRDefault="00616347" w:rsidP="007531A8">
      <w:pPr>
        <w:spacing w:after="0" w:line="276" w:lineRule="auto"/>
        <w:ind w:left="567" w:right="707"/>
        <w:rPr>
          <w:rFonts w:ascii="Arial" w:hAnsi="Arial" w:cs="Arial"/>
          <w:i/>
          <w:sz w:val="18"/>
          <w:szCs w:val="18"/>
        </w:rPr>
      </w:pPr>
      <w:r w:rsidRPr="00BD3F4B">
        <w:rPr>
          <w:rFonts w:ascii="Arial" w:hAnsi="Arial" w:cs="Arial"/>
          <w:i/>
          <w:sz w:val="18"/>
          <w:szCs w:val="18"/>
        </w:rPr>
        <w:t>(…)”</w:t>
      </w:r>
    </w:p>
    <w:p w14:paraId="06DE600D" w14:textId="77777777" w:rsidR="00616347" w:rsidRPr="001B4EBB" w:rsidRDefault="00616347" w:rsidP="007531A8">
      <w:pPr>
        <w:pStyle w:val="IFT1"/>
        <w:spacing w:after="0"/>
        <w:ind w:right="567"/>
        <w:jc w:val="right"/>
        <w:rPr>
          <w:rFonts w:ascii="Arial" w:hAnsi="Arial" w:cs="Arial"/>
          <w:iCs w:val="0"/>
          <w:sz w:val="18"/>
          <w:szCs w:val="18"/>
        </w:rPr>
      </w:pPr>
      <w:r w:rsidRPr="001B4EBB">
        <w:rPr>
          <w:rFonts w:ascii="Arial" w:hAnsi="Arial" w:cs="Arial"/>
          <w:iCs w:val="0"/>
          <w:sz w:val="18"/>
          <w:szCs w:val="18"/>
        </w:rPr>
        <w:t>(Énfasis añadido)</w:t>
      </w:r>
    </w:p>
    <w:p w14:paraId="2333585A" w14:textId="03D13B95" w:rsidR="00311FAA" w:rsidRDefault="00311FAA" w:rsidP="007531A8">
      <w:pPr>
        <w:autoSpaceDE w:val="0"/>
        <w:autoSpaceDN w:val="0"/>
        <w:adjustRightInd w:val="0"/>
        <w:spacing w:after="0" w:line="276" w:lineRule="auto"/>
        <w:ind w:right="49"/>
        <w:rPr>
          <w:rFonts w:ascii="ITC Avant Garde" w:hAnsi="ITC Avant Garde"/>
        </w:rPr>
      </w:pPr>
    </w:p>
    <w:p w14:paraId="0CE7702A" w14:textId="528CCDEF" w:rsidR="00311FAA" w:rsidRDefault="00311FAA" w:rsidP="007531A8">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ANEXO F. FORMATO DE PRONÓSTICOS DE PUERTOS Y COUBICACIONES.</w:t>
      </w:r>
    </w:p>
    <w:p w14:paraId="7EC522B0" w14:textId="6BD0A41C" w:rsidR="00311FAA" w:rsidRDefault="00311FAA" w:rsidP="007531A8">
      <w:pPr>
        <w:autoSpaceDE w:val="0"/>
        <w:autoSpaceDN w:val="0"/>
        <w:adjustRightInd w:val="0"/>
        <w:spacing w:after="0" w:line="276" w:lineRule="auto"/>
        <w:ind w:right="49"/>
        <w:rPr>
          <w:rFonts w:ascii="ITC Avant Garde" w:hAnsi="ITC Avant Garde"/>
          <w:b/>
          <w:bCs/>
          <w:u w:val="single"/>
        </w:rPr>
      </w:pPr>
    </w:p>
    <w:p w14:paraId="3E34AED9" w14:textId="569510BC" w:rsidR="00311FAA" w:rsidRDefault="00311FAA"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t xml:space="preserve">AT&amp;T, </w:t>
      </w:r>
      <w:r w:rsidR="0018725C">
        <w:rPr>
          <w:rFonts w:ascii="ITC Avant Garde" w:hAnsi="ITC Avant Garde"/>
          <w:b/>
          <w:bCs/>
        </w:rPr>
        <w:t>Mega Cable</w:t>
      </w:r>
    </w:p>
    <w:p w14:paraId="38C48F4E" w14:textId="67BA6EC9" w:rsidR="00311FAA" w:rsidRDefault="00311FAA" w:rsidP="007531A8">
      <w:pPr>
        <w:autoSpaceDE w:val="0"/>
        <w:autoSpaceDN w:val="0"/>
        <w:adjustRightInd w:val="0"/>
        <w:spacing w:after="0" w:line="276" w:lineRule="auto"/>
        <w:ind w:right="49"/>
        <w:rPr>
          <w:rFonts w:ascii="ITC Avant Garde" w:hAnsi="ITC Avant Garde"/>
          <w:b/>
          <w:bCs/>
        </w:rPr>
      </w:pPr>
    </w:p>
    <w:p w14:paraId="763911D9" w14:textId="61C6F082" w:rsidR="00311FAA" w:rsidRDefault="00311FAA" w:rsidP="007531A8">
      <w:pPr>
        <w:autoSpaceDE w:val="0"/>
        <w:autoSpaceDN w:val="0"/>
        <w:adjustRightInd w:val="0"/>
        <w:spacing w:after="0" w:line="276" w:lineRule="auto"/>
        <w:ind w:right="49"/>
        <w:rPr>
          <w:rFonts w:ascii="ITC Avant Garde" w:hAnsi="ITC Avant Garde"/>
        </w:rPr>
      </w:pPr>
      <w:r w:rsidRPr="00311FAA">
        <w:rPr>
          <w:rFonts w:ascii="ITC Avant Garde" w:hAnsi="ITC Avant Garde"/>
        </w:rPr>
        <w:t xml:space="preserve">AT&amp;T </w:t>
      </w:r>
      <w:r w:rsidR="00C42846">
        <w:rPr>
          <w:rFonts w:ascii="ITC Avant Garde" w:hAnsi="ITC Avant Garde"/>
        </w:rPr>
        <w:t>sugiere la</w:t>
      </w:r>
      <w:r w:rsidRPr="00311FAA">
        <w:rPr>
          <w:rFonts w:ascii="ITC Avant Garde" w:hAnsi="ITC Avant Garde"/>
        </w:rPr>
        <w:t xml:space="preserve"> eliminación del Anexo F Formato de pronósticos de puertos y </w:t>
      </w:r>
      <w:proofErr w:type="spellStart"/>
      <w:r w:rsidRPr="00311FAA">
        <w:rPr>
          <w:rFonts w:ascii="ITC Avant Garde" w:hAnsi="ITC Avant Garde"/>
        </w:rPr>
        <w:t>coubicaciones</w:t>
      </w:r>
      <w:proofErr w:type="spellEnd"/>
      <w:r w:rsidRPr="00311FAA">
        <w:rPr>
          <w:rFonts w:ascii="ITC Avant Garde" w:hAnsi="ITC Avant Garde"/>
        </w:rPr>
        <w:t xml:space="preserve">. Por su parte </w:t>
      </w:r>
      <w:r>
        <w:rPr>
          <w:rFonts w:ascii="ITC Avant Garde" w:hAnsi="ITC Avant Garde"/>
        </w:rPr>
        <w:t>Mega Cable</w:t>
      </w:r>
      <w:r w:rsidRPr="00311FAA">
        <w:rPr>
          <w:rFonts w:ascii="ITC Avant Garde" w:hAnsi="ITC Avant Garde"/>
        </w:rPr>
        <w:t xml:space="preserve"> indica que en la práctica es un formato que no se utiliza y que ningún concesionario manda ni recibe de Telmex</w:t>
      </w:r>
      <w:r w:rsidR="00C42846">
        <w:rPr>
          <w:rFonts w:ascii="ITC Avant Garde" w:hAnsi="ITC Avant Garde"/>
        </w:rPr>
        <w:t>/</w:t>
      </w:r>
      <w:r w:rsidRPr="00311FAA">
        <w:rPr>
          <w:rFonts w:ascii="ITC Avant Garde" w:hAnsi="ITC Avant Garde"/>
        </w:rPr>
        <w:t>Telnor</w:t>
      </w:r>
      <w:r w:rsidR="00C42846">
        <w:rPr>
          <w:rFonts w:ascii="ITC Avant Garde" w:hAnsi="ITC Avant Garde"/>
        </w:rPr>
        <w:t xml:space="preserve"> los</w:t>
      </w:r>
      <w:r w:rsidRPr="00311FAA">
        <w:rPr>
          <w:rFonts w:ascii="ITC Avant Garde" w:hAnsi="ITC Avant Garde"/>
        </w:rPr>
        <w:t xml:space="preserve"> pronóstico</w:t>
      </w:r>
      <w:r w:rsidR="00C42846">
        <w:rPr>
          <w:rFonts w:ascii="ITC Avant Garde" w:hAnsi="ITC Avant Garde"/>
        </w:rPr>
        <w:t>s</w:t>
      </w:r>
      <w:r w:rsidRPr="00311FAA">
        <w:rPr>
          <w:rFonts w:ascii="ITC Avant Garde" w:hAnsi="ITC Avant Garde"/>
        </w:rPr>
        <w:t xml:space="preserve"> de tráfico</w:t>
      </w:r>
      <w:r w:rsidR="00C42846">
        <w:rPr>
          <w:rFonts w:ascii="ITC Avant Garde" w:hAnsi="ITC Avant Garde"/>
        </w:rPr>
        <w:t xml:space="preserve"> a intercambiar entre redes.</w:t>
      </w:r>
    </w:p>
    <w:p w14:paraId="6F3C7B61" w14:textId="7E561F43" w:rsidR="00311FAA" w:rsidRDefault="00311FAA" w:rsidP="007531A8">
      <w:pPr>
        <w:autoSpaceDE w:val="0"/>
        <w:autoSpaceDN w:val="0"/>
        <w:adjustRightInd w:val="0"/>
        <w:spacing w:after="0" w:line="276" w:lineRule="auto"/>
        <w:ind w:right="49"/>
        <w:rPr>
          <w:rFonts w:ascii="ITC Avant Garde" w:hAnsi="ITC Avant Garde"/>
        </w:rPr>
      </w:pPr>
    </w:p>
    <w:p w14:paraId="48FA4440" w14:textId="1786AAC6" w:rsidR="00311FAA" w:rsidRDefault="00311FAA" w:rsidP="007531A8">
      <w:pPr>
        <w:autoSpaceDE w:val="0"/>
        <w:autoSpaceDN w:val="0"/>
        <w:adjustRightInd w:val="0"/>
        <w:spacing w:after="0" w:line="276" w:lineRule="auto"/>
        <w:ind w:right="49"/>
        <w:rPr>
          <w:rFonts w:ascii="ITC Avant Garde" w:hAnsi="ITC Avant Garde"/>
          <w:b/>
          <w:bCs/>
        </w:rPr>
      </w:pPr>
      <w:r>
        <w:rPr>
          <w:rFonts w:ascii="ITC Avant Garde" w:hAnsi="ITC Avant Garde"/>
          <w:b/>
          <w:bCs/>
        </w:rPr>
        <w:lastRenderedPageBreak/>
        <w:t>Consideraciones del Instituto</w:t>
      </w:r>
    </w:p>
    <w:p w14:paraId="6215511C" w14:textId="3F05E483" w:rsidR="004B0E56" w:rsidRDefault="00311FAA" w:rsidP="007531A8">
      <w:pPr>
        <w:autoSpaceDE w:val="0"/>
        <w:autoSpaceDN w:val="0"/>
        <w:adjustRightInd w:val="0"/>
        <w:spacing w:after="0" w:line="276" w:lineRule="auto"/>
        <w:ind w:right="49"/>
        <w:rPr>
          <w:rFonts w:ascii="ITC Avant Garde" w:hAnsi="ITC Avant Garde"/>
        </w:rPr>
      </w:pPr>
      <w:r>
        <w:rPr>
          <w:rFonts w:ascii="ITC Avant Garde" w:hAnsi="ITC Avant Garde"/>
        </w:rPr>
        <w:t>Para realizar el correcto dimensionamiento de las redes a efecto de soportar el tráfico cursado es necesario contar con los pronósticos de los servicios. Por lo anterior no se considera procedente lo solicitado.</w:t>
      </w:r>
      <w:r w:rsidR="004B0E56">
        <w:rPr>
          <w:rFonts w:ascii="ITC Avant Garde" w:hAnsi="ITC Avant Garde"/>
        </w:rPr>
        <w:t xml:space="preserve"> Asimismo, l</w:t>
      </w:r>
      <w:r w:rsidR="004B0E56" w:rsidRPr="008D3AE3">
        <w:rPr>
          <w:rFonts w:ascii="ITC Avant Garde" w:hAnsi="ITC Avant Garde"/>
        </w:rPr>
        <w:t>os requerimientos de capacidad y la proyección de</w:t>
      </w:r>
      <w:r w:rsidR="004B0E56">
        <w:rPr>
          <w:rFonts w:ascii="ITC Avant Garde" w:hAnsi="ITC Avant Garde"/>
        </w:rPr>
        <w:t xml:space="preserve"> </w:t>
      </w:r>
      <w:r w:rsidR="004B0E56" w:rsidRPr="008D3AE3">
        <w:rPr>
          <w:rFonts w:ascii="ITC Avant Garde" w:hAnsi="ITC Avant Garde"/>
        </w:rPr>
        <w:t>demanda de capacidad se encuentran considerados dentro de las condiciones técnicas del CMI conforme a la fracción I, inciso d) de la medida Duodécima de las Medidas Fijas.</w:t>
      </w:r>
    </w:p>
    <w:p w14:paraId="19CE369C" w14:textId="66D57A6F" w:rsidR="00311FAA" w:rsidRDefault="00311FAA" w:rsidP="007531A8">
      <w:pPr>
        <w:spacing w:after="0" w:line="276" w:lineRule="auto"/>
        <w:rPr>
          <w:rFonts w:ascii="ITC Avant Garde" w:hAnsi="ITC Avant Garde"/>
        </w:rPr>
      </w:pPr>
    </w:p>
    <w:p w14:paraId="0305419E" w14:textId="2EFC7341" w:rsidR="00311FAA" w:rsidRDefault="00311FAA" w:rsidP="007531A8">
      <w:pPr>
        <w:spacing w:after="0" w:line="276" w:lineRule="auto"/>
        <w:rPr>
          <w:rFonts w:ascii="ITC Avant Garde" w:hAnsi="ITC Avant Garde"/>
          <w:b/>
          <w:bCs/>
          <w:u w:val="single"/>
        </w:rPr>
      </w:pPr>
      <w:r>
        <w:rPr>
          <w:rFonts w:ascii="ITC Avant Garde" w:hAnsi="ITC Avant Garde"/>
          <w:b/>
          <w:bCs/>
          <w:u w:val="single"/>
        </w:rPr>
        <w:t>Formatos de facturación</w:t>
      </w:r>
    </w:p>
    <w:p w14:paraId="25DE5683" w14:textId="5DA9A785" w:rsidR="00311FAA" w:rsidRDefault="00311FAA" w:rsidP="007531A8">
      <w:pPr>
        <w:spacing w:after="0" w:line="276" w:lineRule="auto"/>
        <w:rPr>
          <w:rFonts w:ascii="ITC Avant Garde" w:hAnsi="ITC Avant Garde"/>
          <w:b/>
          <w:bCs/>
          <w:u w:val="single"/>
        </w:rPr>
      </w:pPr>
    </w:p>
    <w:p w14:paraId="508C818A" w14:textId="14C0A8ED" w:rsidR="00311FAA" w:rsidRDefault="00311FAA" w:rsidP="007531A8">
      <w:pPr>
        <w:spacing w:after="0" w:line="276" w:lineRule="auto"/>
        <w:rPr>
          <w:rFonts w:ascii="ITC Avant Garde" w:hAnsi="ITC Avant Garde"/>
          <w:b/>
          <w:bCs/>
        </w:rPr>
      </w:pPr>
      <w:r>
        <w:rPr>
          <w:rFonts w:ascii="ITC Avant Garde" w:hAnsi="ITC Avant Garde"/>
          <w:b/>
          <w:bCs/>
        </w:rPr>
        <w:t>AT&amp;T</w:t>
      </w:r>
    </w:p>
    <w:p w14:paraId="15D03F6D" w14:textId="4597A402" w:rsidR="00311FAA" w:rsidRDefault="00311FAA" w:rsidP="007531A8">
      <w:pPr>
        <w:spacing w:after="0" w:line="276" w:lineRule="auto"/>
        <w:rPr>
          <w:rFonts w:ascii="ITC Avant Garde" w:hAnsi="ITC Avant Garde"/>
        </w:rPr>
      </w:pPr>
      <w:r w:rsidRPr="00311FAA">
        <w:rPr>
          <w:rFonts w:ascii="ITC Avant Garde" w:hAnsi="ITC Avant Garde"/>
        </w:rPr>
        <w:t>Menciona que</w:t>
      </w:r>
      <w:r w:rsidR="007A6FF2">
        <w:rPr>
          <w:rFonts w:ascii="ITC Avant Garde" w:hAnsi="ITC Avant Garde"/>
        </w:rPr>
        <w:t xml:space="preserve"> el CMI propuesto por Telmex/Telnor</w:t>
      </w:r>
      <w:r w:rsidRPr="00311FAA">
        <w:rPr>
          <w:rFonts w:ascii="ITC Avant Garde" w:hAnsi="ITC Avant Garde"/>
        </w:rPr>
        <w:t xml:space="preserve"> realiza </w:t>
      </w:r>
      <w:r w:rsidR="0090564F">
        <w:rPr>
          <w:rFonts w:ascii="ITC Avant Garde" w:hAnsi="ITC Avant Garde"/>
        </w:rPr>
        <w:t xml:space="preserve">múltiples </w:t>
      </w:r>
      <w:r w:rsidRPr="00311FAA">
        <w:rPr>
          <w:rFonts w:ascii="ITC Avant Garde" w:hAnsi="ITC Avant Garde"/>
        </w:rPr>
        <w:t>cambio</w:t>
      </w:r>
      <w:r w:rsidR="0090564F">
        <w:rPr>
          <w:rFonts w:ascii="ITC Avant Garde" w:hAnsi="ITC Avant Garde"/>
        </w:rPr>
        <w:t>s</w:t>
      </w:r>
      <w:r w:rsidRPr="00311FAA">
        <w:rPr>
          <w:rFonts w:ascii="ITC Avant Garde" w:hAnsi="ITC Avant Garde"/>
        </w:rPr>
        <w:t xml:space="preserve"> en los formatos de facturación, en </w:t>
      </w:r>
      <w:r w:rsidR="0090564F">
        <w:rPr>
          <w:rFonts w:ascii="ITC Avant Garde" w:hAnsi="ITC Avant Garde"/>
        </w:rPr>
        <w:t>los</w:t>
      </w:r>
      <w:r w:rsidRPr="00311FAA">
        <w:rPr>
          <w:rFonts w:ascii="ITC Avant Garde" w:hAnsi="ITC Avant Garde"/>
        </w:rPr>
        <w:t xml:space="preserve"> cual</w:t>
      </w:r>
      <w:r w:rsidR="0090564F">
        <w:rPr>
          <w:rFonts w:ascii="ITC Avant Garde" w:hAnsi="ITC Avant Garde"/>
        </w:rPr>
        <w:t>es</w:t>
      </w:r>
      <w:r w:rsidRPr="00311FAA">
        <w:rPr>
          <w:rFonts w:ascii="ITC Avant Garde" w:hAnsi="ITC Avant Garde"/>
        </w:rPr>
        <w:t xml:space="preserve"> propone sustituir el NIR/ASL por el identificador de zona, lo cual no es conveniente puesto que tiene un gran impacto en los sistemas</w:t>
      </w:r>
      <w:r w:rsidR="0090564F">
        <w:rPr>
          <w:rFonts w:ascii="ITC Avant Garde" w:hAnsi="ITC Avant Garde"/>
        </w:rPr>
        <w:t xml:space="preserve"> de facturación</w:t>
      </w:r>
      <w:r w:rsidRPr="00311FAA">
        <w:rPr>
          <w:rFonts w:ascii="ITC Avant Garde" w:hAnsi="ITC Avant Garde"/>
        </w:rPr>
        <w:t xml:space="preserve">, además de que el </w:t>
      </w:r>
      <w:r w:rsidR="007A6FF2">
        <w:rPr>
          <w:rFonts w:ascii="ITC Avant Garde" w:hAnsi="ITC Avant Garde"/>
        </w:rPr>
        <w:t>Instituto</w:t>
      </w:r>
      <w:r w:rsidRPr="00311FAA">
        <w:rPr>
          <w:rFonts w:ascii="ITC Avant Garde" w:hAnsi="ITC Avant Garde"/>
        </w:rPr>
        <w:t xml:space="preserve"> ha propuesto postergar este cambio </w:t>
      </w:r>
      <w:r w:rsidR="007A6FF2">
        <w:rPr>
          <w:rFonts w:ascii="ITC Avant Garde" w:hAnsi="ITC Avant Garde"/>
        </w:rPr>
        <w:t>hasta</w:t>
      </w:r>
      <w:r w:rsidRPr="00311FAA">
        <w:rPr>
          <w:rFonts w:ascii="ITC Avant Garde" w:hAnsi="ITC Avant Garde"/>
        </w:rPr>
        <w:t xml:space="preserve"> el 2023</w:t>
      </w:r>
      <w:r w:rsidR="007A6FF2">
        <w:rPr>
          <w:rFonts w:ascii="ITC Avant Garde" w:hAnsi="ITC Avant Garde"/>
        </w:rPr>
        <w:t>.</w:t>
      </w:r>
    </w:p>
    <w:p w14:paraId="1C0F08E6" w14:textId="07D52C96" w:rsidR="00311FAA" w:rsidRDefault="00311FAA" w:rsidP="007531A8">
      <w:pPr>
        <w:spacing w:after="0" w:line="276" w:lineRule="auto"/>
        <w:rPr>
          <w:rFonts w:ascii="ITC Avant Garde" w:hAnsi="ITC Avant Garde"/>
        </w:rPr>
      </w:pPr>
    </w:p>
    <w:p w14:paraId="181C1F7B" w14:textId="1E67657D" w:rsidR="00311FAA" w:rsidRDefault="00311FAA" w:rsidP="007531A8">
      <w:pPr>
        <w:spacing w:after="0" w:line="276" w:lineRule="auto"/>
        <w:rPr>
          <w:rFonts w:ascii="ITC Avant Garde" w:hAnsi="ITC Avant Garde"/>
          <w:b/>
          <w:bCs/>
        </w:rPr>
      </w:pPr>
      <w:r>
        <w:rPr>
          <w:rFonts w:ascii="ITC Avant Garde" w:hAnsi="ITC Avant Garde"/>
          <w:b/>
          <w:bCs/>
        </w:rPr>
        <w:t>Consideraciones del Instituto</w:t>
      </w:r>
    </w:p>
    <w:p w14:paraId="3DEF59F2" w14:textId="488BD819" w:rsidR="00311FAA" w:rsidRPr="0090564F" w:rsidRDefault="00A97890" w:rsidP="007531A8">
      <w:pPr>
        <w:autoSpaceDE w:val="0"/>
        <w:autoSpaceDN w:val="0"/>
        <w:adjustRightInd w:val="0"/>
        <w:spacing w:after="0" w:line="276" w:lineRule="auto"/>
        <w:ind w:right="49"/>
        <w:rPr>
          <w:rFonts w:ascii="ITC Avant Garde" w:hAnsi="ITC Avant Garde"/>
        </w:rPr>
      </w:pPr>
      <w:r>
        <w:rPr>
          <w:rFonts w:ascii="ITC Avant Garde" w:hAnsi="ITC Avant Garde"/>
        </w:rPr>
        <w:t>Se modifican los formatos de facturación del CMI para mantener el uso de</w:t>
      </w:r>
      <w:r w:rsidRPr="00A97890">
        <w:rPr>
          <w:rFonts w:ascii="ITC Avant Garde" w:hAnsi="ITC Avant Garde"/>
        </w:rPr>
        <w:t xml:space="preserve"> </w:t>
      </w:r>
      <w:r w:rsidRPr="0090564F">
        <w:rPr>
          <w:rFonts w:ascii="ITC Avant Garde" w:hAnsi="ITC Avant Garde"/>
        </w:rPr>
        <w:t>números identificadores de región (NIR)</w:t>
      </w:r>
      <w:r>
        <w:rPr>
          <w:rFonts w:ascii="ITC Avant Garde" w:hAnsi="ITC Avant Garde"/>
        </w:rPr>
        <w:t xml:space="preserve"> y á</w:t>
      </w:r>
      <w:r w:rsidRPr="00A97890">
        <w:rPr>
          <w:rFonts w:ascii="ITC Avant Garde" w:hAnsi="ITC Avant Garde"/>
        </w:rPr>
        <w:t>reas de servicio local (ASL)</w:t>
      </w:r>
      <w:r w:rsidRPr="0090564F">
        <w:rPr>
          <w:rFonts w:ascii="ITC Avant Garde" w:hAnsi="ITC Avant Garde"/>
        </w:rPr>
        <w:t xml:space="preserve"> </w:t>
      </w:r>
      <w:r>
        <w:rPr>
          <w:rFonts w:ascii="ITC Avant Garde" w:hAnsi="ITC Avant Garde"/>
        </w:rPr>
        <w:t>conforme a lo determinado en el Plan Técnico Fundamental de Numeración y Señalización</w:t>
      </w:r>
      <w:r w:rsidR="0069665D" w:rsidRPr="00215E55">
        <w:rPr>
          <w:rFonts w:ascii="ITC Avant Garde" w:eastAsia="Avant Garde" w:hAnsi="ITC Avant Garde" w:cs="Avant Garde"/>
          <w:color w:val="000000"/>
          <w:vertAlign w:val="superscript"/>
          <w:lang w:eastAsia="es-MX"/>
        </w:rPr>
        <w:footnoteReference w:id="3"/>
      </w:r>
      <w:r>
        <w:rPr>
          <w:rFonts w:ascii="ITC Avant Garde" w:hAnsi="ITC Avant Garde"/>
        </w:rPr>
        <w:t xml:space="preserve"> vigente, el cual establece su utilización</w:t>
      </w:r>
      <w:r w:rsidR="007A6FF2" w:rsidRPr="0090564F">
        <w:rPr>
          <w:rFonts w:ascii="ITC Avant Garde" w:hAnsi="ITC Avant Garde"/>
        </w:rPr>
        <w:t xml:space="preserve"> hasta el 30 de noviembre de 2023, además de establecer que la administración, utilización y asignación de numeración con base en Zonas entrará en operación a partir del 1 de diciembre de 2023</w:t>
      </w:r>
      <w:r>
        <w:rPr>
          <w:rFonts w:ascii="ITC Avant Garde" w:hAnsi="ITC Avant Garde"/>
        </w:rPr>
        <w:t>.</w:t>
      </w:r>
    </w:p>
    <w:sectPr w:rsidR="00311FAA" w:rsidRPr="009056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E4109" w14:textId="77777777" w:rsidR="00DA7D80" w:rsidRDefault="00DA7D80" w:rsidP="004F6497">
      <w:pPr>
        <w:spacing w:after="0" w:line="240" w:lineRule="auto"/>
      </w:pPr>
      <w:r>
        <w:separator/>
      </w:r>
    </w:p>
  </w:endnote>
  <w:endnote w:type="continuationSeparator" w:id="0">
    <w:p w14:paraId="045EA14C" w14:textId="77777777" w:rsidR="00DA7D80" w:rsidRDefault="00DA7D80"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52C36" w14:textId="77777777" w:rsidR="00DA7D80" w:rsidRDefault="00DA7D80" w:rsidP="004F6497">
      <w:pPr>
        <w:spacing w:after="0" w:line="240" w:lineRule="auto"/>
      </w:pPr>
      <w:r>
        <w:separator/>
      </w:r>
    </w:p>
  </w:footnote>
  <w:footnote w:type="continuationSeparator" w:id="0">
    <w:p w14:paraId="0B87947A" w14:textId="77777777" w:rsidR="00DA7D80" w:rsidRDefault="00DA7D80" w:rsidP="004F6497">
      <w:pPr>
        <w:spacing w:after="0" w:line="240" w:lineRule="auto"/>
      </w:pPr>
      <w:r>
        <w:continuationSeparator/>
      </w:r>
    </w:p>
  </w:footnote>
  <w:footnote w:id="1">
    <w:p w14:paraId="31B7D6A6" w14:textId="77777777" w:rsidR="00E84D47" w:rsidRPr="00216676" w:rsidRDefault="00E84D47" w:rsidP="00E84D47">
      <w:pPr>
        <w:pStyle w:val="Textonotapie"/>
        <w:rPr>
          <w:rFonts w:ascii="ITC Avant Garde" w:hAnsi="ITC Avant Garde"/>
          <w:sz w:val="18"/>
          <w:szCs w:val="18"/>
        </w:rPr>
      </w:pPr>
      <w:r>
        <w:rPr>
          <w:rStyle w:val="Refdenotaalpie"/>
        </w:rPr>
        <w:footnoteRef/>
      </w:r>
      <w:r>
        <w:t xml:space="preserve"> “</w:t>
      </w:r>
      <w:r w:rsidRPr="00B310B2">
        <w:rPr>
          <w:rFonts w:ascii="ITC Avant Garde" w:hAnsi="ITC Avant Garde" w:cs="Arial"/>
          <w:i/>
          <w:iCs/>
          <w:sz w:val="18"/>
          <w:szCs w:val="18"/>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2022</w:t>
      </w:r>
      <w:r>
        <w:rPr>
          <w:rFonts w:ascii="ITC Avant Garde" w:hAnsi="ITC Avant Garde" w:cs="Arial"/>
          <w:i/>
          <w:iCs/>
          <w:sz w:val="18"/>
          <w:szCs w:val="18"/>
        </w:rPr>
        <w:t xml:space="preserve">”, </w:t>
      </w:r>
      <w:r w:rsidRPr="00216676">
        <w:rPr>
          <w:rFonts w:ascii="ITC Avant Garde" w:hAnsi="ITC Avant Garde" w:cs="Arial"/>
          <w:sz w:val="18"/>
          <w:szCs w:val="18"/>
        </w:rPr>
        <w:t>publicado en el DOF el 5 de noviembre de 2021.</w:t>
      </w:r>
    </w:p>
  </w:footnote>
  <w:footnote w:id="2">
    <w:p w14:paraId="2AD156F6" w14:textId="77777777" w:rsidR="008115BC" w:rsidRPr="009C397C" w:rsidRDefault="008115BC" w:rsidP="00A67FC4">
      <w:pPr>
        <w:pStyle w:val="Textonotapie"/>
        <w:rPr>
          <w:rFonts w:ascii="ITC Avant Garde" w:hAnsi="ITC Avant Garde"/>
          <w:sz w:val="16"/>
          <w:szCs w:val="16"/>
        </w:rPr>
      </w:pPr>
      <w:r w:rsidRPr="009C397C">
        <w:rPr>
          <w:rStyle w:val="Refdenotaalpie"/>
          <w:rFonts w:ascii="ITC Avant Garde" w:hAnsi="ITC Avant Garde"/>
          <w:sz w:val="16"/>
          <w:szCs w:val="16"/>
        </w:rPr>
        <w:footnoteRef/>
      </w:r>
      <w:r w:rsidRPr="009C397C">
        <w:rPr>
          <w:rFonts w:ascii="ITC Avant Garde" w:hAnsi="ITC Avant Garde"/>
          <w:sz w:val="16"/>
          <w:szCs w:val="16"/>
        </w:rPr>
        <w:t xml:space="preserve"> </w:t>
      </w:r>
      <w:r>
        <w:rPr>
          <w:rFonts w:ascii="ITC Avant Garde" w:hAnsi="ITC Avant Garde"/>
          <w:sz w:val="16"/>
          <w:szCs w:val="16"/>
        </w:rPr>
        <w:t xml:space="preserve">“Acuerdo mediante el cual el Pleno del Instituto Federal de Telecomunicaciones resuelve </w:t>
      </w:r>
      <w:r w:rsidRPr="004C077E">
        <w:rPr>
          <w:rFonts w:ascii="ITC Avant Garde" w:hAnsi="ITC Avant Garde"/>
          <w:sz w:val="16"/>
          <w:szCs w:val="16"/>
        </w:rPr>
        <w:t>sobre el plan final de</w:t>
      </w:r>
      <w:r>
        <w:rPr>
          <w:rFonts w:ascii="ITC Avant Garde" w:hAnsi="ITC Avant Garde"/>
          <w:sz w:val="16"/>
          <w:szCs w:val="16"/>
        </w:rPr>
        <w:t xml:space="preserve"> </w:t>
      </w:r>
      <w:r w:rsidRPr="004C077E">
        <w:rPr>
          <w:rFonts w:ascii="ITC Avant Garde" w:hAnsi="ITC Avant Garde"/>
          <w:sz w:val="16"/>
          <w:szCs w:val="16"/>
        </w:rPr>
        <w:t>implementación de separación funcional y otros</w:t>
      </w:r>
      <w:r>
        <w:rPr>
          <w:rFonts w:ascii="ITC Avant Garde" w:hAnsi="ITC Avant Garde"/>
          <w:sz w:val="16"/>
          <w:szCs w:val="16"/>
        </w:rPr>
        <w:t xml:space="preserve"> </w:t>
      </w:r>
      <w:r w:rsidRPr="004C077E">
        <w:rPr>
          <w:rFonts w:ascii="ITC Avant Garde" w:hAnsi="ITC Avant Garde"/>
          <w:sz w:val="16"/>
          <w:szCs w:val="16"/>
        </w:rPr>
        <w:t>planteamientos presentados por América Móvil, S.A.B. de C.V.,</w:t>
      </w:r>
      <w:r>
        <w:rPr>
          <w:rFonts w:ascii="ITC Avant Garde" w:hAnsi="ITC Avant Garde"/>
          <w:sz w:val="16"/>
          <w:szCs w:val="16"/>
        </w:rPr>
        <w:t xml:space="preserve"> </w:t>
      </w:r>
      <w:r w:rsidRPr="004C077E">
        <w:rPr>
          <w:rFonts w:ascii="ITC Avant Garde" w:hAnsi="ITC Avant Garde"/>
          <w:sz w:val="16"/>
          <w:szCs w:val="16"/>
        </w:rPr>
        <w:t>Teléfonos de México, S.A.B. de C.V., y Teléfonos del Noroeste, S.A.</w:t>
      </w:r>
      <w:r>
        <w:rPr>
          <w:rFonts w:ascii="ITC Avant Garde" w:hAnsi="ITC Avant Garde"/>
          <w:sz w:val="16"/>
          <w:szCs w:val="16"/>
        </w:rPr>
        <w:t xml:space="preserve"> </w:t>
      </w:r>
      <w:r w:rsidRPr="004C077E">
        <w:rPr>
          <w:rFonts w:ascii="ITC Avant Garde" w:hAnsi="ITC Avant Garde"/>
          <w:sz w:val="16"/>
          <w:szCs w:val="16"/>
        </w:rPr>
        <w:t>de C.V., en términos de las medidas Sexagésima Quinta y Segunda</w:t>
      </w:r>
      <w:r>
        <w:rPr>
          <w:rFonts w:ascii="ITC Avant Garde" w:hAnsi="ITC Avant Garde"/>
          <w:sz w:val="16"/>
          <w:szCs w:val="16"/>
        </w:rPr>
        <w:t xml:space="preserve"> </w:t>
      </w:r>
      <w:r w:rsidRPr="004C077E">
        <w:rPr>
          <w:rFonts w:ascii="ITC Avant Garde" w:hAnsi="ITC Avant Garde"/>
          <w:sz w:val="16"/>
          <w:szCs w:val="16"/>
        </w:rPr>
        <w:t>transitoria del Anexo 2 y Cuadragésima Séptima y Segunda</w:t>
      </w:r>
      <w:r>
        <w:rPr>
          <w:rFonts w:ascii="ITC Avant Garde" w:hAnsi="ITC Avant Garde"/>
          <w:sz w:val="16"/>
          <w:szCs w:val="16"/>
        </w:rPr>
        <w:t xml:space="preserve"> </w:t>
      </w:r>
      <w:r w:rsidRPr="004C077E">
        <w:rPr>
          <w:rFonts w:ascii="ITC Avant Garde" w:hAnsi="ITC Avant Garde"/>
          <w:sz w:val="16"/>
          <w:szCs w:val="16"/>
        </w:rPr>
        <w:t>transitoria del Anexo 3 establecidas mediante acuerdo</w:t>
      </w:r>
      <w:r>
        <w:rPr>
          <w:rFonts w:ascii="ITC Avant Garde" w:hAnsi="ITC Avant Garde"/>
          <w:sz w:val="16"/>
          <w:szCs w:val="16"/>
        </w:rPr>
        <w:t xml:space="preserve"> </w:t>
      </w:r>
      <w:r w:rsidRPr="004C077E">
        <w:rPr>
          <w:rFonts w:ascii="ITC Avant Garde" w:hAnsi="ITC Avant Garde"/>
          <w:sz w:val="16"/>
          <w:szCs w:val="16"/>
        </w:rPr>
        <w:t>P/IFT/EXT/270217/119.”</w:t>
      </w:r>
      <w:r>
        <w:rPr>
          <w:rFonts w:ascii="ITC Avant Garde" w:hAnsi="ITC Avant Garde"/>
          <w:sz w:val="16"/>
          <w:szCs w:val="16"/>
        </w:rPr>
        <w:t xml:space="preserve"> </w:t>
      </w:r>
      <w:hyperlink r:id="rId1" w:history="1">
        <w:r w:rsidRPr="009C397C">
          <w:rPr>
            <w:rStyle w:val="Hipervnculo"/>
            <w:rFonts w:ascii="ITC Avant Garde" w:hAnsi="ITC Avant Garde"/>
            <w:sz w:val="16"/>
            <w:szCs w:val="16"/>
          </w:rPr>
          <w:t>http://www.ift.org.mx/sites/default/files/conocenos/pleno/sesiones/acuerdoliga/vppift270218130.pdf</w:t>
        </w:r>
      </w:hyperlink>
      <w:r w:rsidRPr="009C397C">
        <w:rPr>
          <w:rFonts w:ascii="ITC Avant Garde" w:hAnsi="ITC Avant Garde"/>
          <w:sz w:val="16"/>
          <w:szCs w:val="16"/>
        </w:rPr>
        <w:t xml:space="preserve"> </w:t>
      </w:r>
    </w:p>
  </w:footnote>
  <w:footnote w:id="3">
    <w:p w14:paraId="37EE0994" w14:textId="2240C462" w:rsidR="0069665D" w:rsidRPr="00E96678" w:rsidRDefault="0069665D" w:rsidP="0069665D">
      <w:pPr>
        <w:pStyle w:val="Textonotapie"/>
        <w:rPr>
          <w:rFonts w:ascii="ITC Avant Garde" w:hAnsi="ITC Avant Garde"/>
          <w:sz w:val="18"/>
          <w:szCs w:val="18"/>
        </w:rPr>
      </w:pPr>
      <w:r w:rsidRPr="00E96678">
        <w:rPr>
          <w:rStyle w:val="Refdenotaalpie"/>
          <w:rFonts w:ascii="ITC Avant Garde" w:hAnsi="ITC Avant Garde"/>
          <w:sz w:val="18"/>
          <w:szCs w:val="18"/>
        </w:rPr>
        <w:footnoteRef/>
      </w:r>
      <w:r w:rsidRPr="00E96678">
        <w:rPr>
          <w:rFonts w:ascii="ITC Avant Garde" w:hAnsi="ITC Avant Garde"/>
          <w:sz w:val="18"/>
          <w:szCs w:val="18"/>
        </w:rPr>
        <w:t xml:space="preserve"> </w:t>
      </w:r>
      <w:r>
        <w:rPr>
          <w:rFonts w:ascii="ITC Avant Garde" w:hAnsi="ITC Avant Garde"/>
          <w:sz w:val="18"/>
          <w:szCs w:val="18"/>
        </w:rPr>
        <w:t>“</w:t>
      </w:r>
      <w:r w:rsidRPr="0069665D">
        <w:rPr>
          <w:rFonts w:ascii="ITC Avant Garde" w:hAnsi="ITC Avant Garde" w:cs="Arial"/>
          <w:i/>
          <w:iCs/>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hAnsi="ITC Avant Garde" w:cs="Arial"/>
          <w:sz w:val="18"/>
          <w:szCs w:val="18"/>
        </w:rPr>
        <w:t>”, publicado en el Diario Oficial de la Federación el 11 de mayo de 2018</w:t>
      </w:r>
      <w:r w:rsidRPr="00E96678">
        <w:rPr>
          <w:rFonts w:ascii="ITC Avant Garde" w:hAnsi="ITC Avant Garde"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13179"/>
    <w:multiLevelType w:val="hybridMultilevel"/>
    <w:tmpl w:val="D53AC158"/>
    <w:lvl w:ilvl="0" w:tplc="EE62DF94">
      <w:start w:val="1"/>
      <w:numFmt w:val="decimal"/>
      <w:lvlText w:val="%1."/>
      <w:lvlJc w:val="left"/>
      <w:pPr>
        <w:ind w:left="1417" w:hanging="85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C3C2286"/>
    <w:multiLevelType w:val="hybridMultilevel"/>
    <w:tmpl w:val="7FFEA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DF403E"/>
    <w:multiLevelType w:val="hybridMultilevel"/>
    <w:tmpl w:val="ABB4B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9124C12"/>
    <w:multiLevelType w:val="hybridMultilevel"/>
    <w:tmpl w:val="F9222D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53E58B5"/>
    <w:multiLevelType w:val="hybridMultilevel"/>
    <w:tmpl w:val="B4D28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9"/>
    <w:rsid w:val="00003891"/>
    <w:rsid w:val="00007436"/>
    <w:rsid w:val="00007B1B"/>
    <w:rsid w:val="000109AC"/>
    <w:rsid w:val="00010B41"/>
    <w:rsid w:val="00011E52"/>
    <w:rsid w:val="00011FF8"/>
    <w:rsid w:val="000121AD"/>
    <w:rsid w:val="00016AFE"/>
    <w:rsid w:val="0002123D"/>
    <w:rsid w:val="00024950"/>
    <w:rsid w:val="00025974"/>
    <w:rsid w:val="00027E9F"/>
    <w:rsid w:val="00030226"/>
    <w:rsid w:val="00031C76"/>
    <w:rsid w:val="00033305"/>
    <w:rsid w:val="000371C6"/>
    <w:rsid w:val="000405EE"/>
    <w:rsid w:val="00040E16"/>
    <w:rsid w:val="0004334E"/>
    <w:rsid w:val="00044380"/>
    <w:rsid w:val="00046359"/>
    <w:rsid w:val="00050AA4"/>
    <w:rsid w:val="00054DA1"/>
    <w:rsid w:val="00055608"/>
    <w:rsid w:val="000632C6"/>
    <w:rsid w:val="000666CC"/>
    <w:rsid w:val="00070FCB"/>
    <w:rsid w:val="00072762"/>
    <w:rsid w:val="000734C4"/>
    <w:rsid w:val="00073E55"/>
    <w:rsid w:val="000755FD"/>
    <w:rsid w:val="00077D8A"/>
    <w:rsid w:val="00085622"/>
    <w:rsid w:val="00087A87"/>
    <w:rsid w:val="00087C65"/>
    <w:rsid w:val="00087E37"/>
    <w:rsid w:val="000906EE"/>
    <w:rsid w:val="00095A2C"/>
    <w:rsid w:val="00095A53"/>
    <w:rsid w:val="00096169"/>
    <w:rsid w:val="000A0428"/>
    <w:rsid w:val="000A1D96"/>
    <w:rsid w:val="000A4698"/>
    <w:rsid w:val="000A693B"/>
    <w:rsid w:val="000B17A2"/>
    <w:rsid w:val="000B226B"/>
    <w:rsid w:val="000B27A3"/>
    <w:rsid w:val="000B4D25"/>
    <w:rsid w:val="000B4E10"/>
    <w:rsid w:val="000B557A"/>
    <w:rsid w:val="000B59EC"/>
    <w:rsid w:val="000B6DC4"/>
    <w:rsid w:val="000C06F8"/>
    <w:rsid w:val="000C2042"/>
    <w:rsid w:val="000C25F5"/>
    <w:rsid w:val="000C373D"/>
    <w:rsid w:val="000C6BA1"/>
    <w:rsid w:val="000D002F"/>
    <w:rsid w:val="000D07DD"/>
    <w:rsid w:val="000D08AC"/>
    <w:rsid w:val="000D240B"/>
    <w:rsid w:val="000D5474"/>
    <w:rsid w:val="000D6621"/>
    <w:rsid w:val="000E1588"/>
    <w:rsid w:val="000E19E5"/>
    <w:rsid w:val="000E4FAB"/>
    <w:rsid w:val="000E741B"/>
    <w:rsid w:val="000F063E"/>
    <w:rsid w:val="000F2110"/>
    <w:rsid w:val="000F73E4"/>
    <w:rsid w:val="00104AEE"/>
    <w:rsid w:val="00106D55"/>
    <w:rsid w:val="00110696"/>
    <w:rsid w:val="00111259"/>
    <w:rsid w:val="0011236E"/>
    <w:rsid w:val="0011727C"/>
    <w:rsid w:val="00120B97"/>
    <w:rsid w:val="00122273"/>
    <w:rsid w:val="0012361B"/>
    <w:rsid w:val="001243E7"/>
    <w:rsid w:val="00124FE9"/>
    <w:rsid w:val="00130D66"/>
    <w:rsid w:val="00131122"/>
    <w:rsid w:val="00137421"/>
    <w:rsid w:val="00137A46"/>
    <w:rsid w:val="001422A0"/>
    <w:rsid w:val="0014683C"/>
    <w:rsid w:val="00150B62"/>
    <w:rsid w:val="0015131A"/>
    <w:rsid w:val="00155359"/>
    <w:rsid w:val="001570E0"/>
    <w:rsid w:val="001600F5"/>
    <w:rsid w:val="00160642"/>
    <w:rsid w:val="00160D5F"/>
    <w:rsid w:val="001610C4"/>
    <w:rsid w:val="00162601"/>
    <w:rsid w:val="00162715"/>
    <w:rsid w:val="00165E48"/>
    <w:rsid w:val="00167ED9"/>
    <w:rsid w:val="00173DF5"/>
    <w:rsid w:val="001750FB"/>
    <w:rsid w:val="00175648"/>
    <w:rsid w:val="0017788E"/>
    <w:rsid w:val="0018327F"/>
    <w:rsid w:val="001852DD"/>
    <w:rsid w:val="0018725C"/>
    <w:rsid w:val="001907D9"/>
    <w:rsid w:val="00190825"/>
    <w:rsid w:val="001920F7"/>
    <w:rsid w:val="00192CF2"/>
    <w:rsid w:val="00194294"/>
    <w:rsid w:val="001951DF"/>
    <w:rsid w:val="001A1F48"/>
    <w:rsid w:val="001A2A6B"/>
    <w:rsid w:val="001A3B0C"/>
    <w:rsid w:val="001A451B"/>
    <w:rsid w:val="001A4DE5"/>
    <w:rsid w:val="001A4EA4"/>
    <w:rsid w:val="001A6F48"/>
    <w:rsid w:val="001A7275"/>
    <w:rsid w:val="001B0C1E"/>
    <w:rsid w:val="001B68D8"/>
    <w:rsid w:val="001C1DBC"/>
    <w:rsid w:val="001C524D"/>
    <w:rsid w:val="001D046B"/>
    <w:rsid w:val="001D0AA1"/>
    <w:rsid w:val="001D5251"/>
    <w:rsid w:val="001D5BEE"/>
    <w:rsid w:val="001D685A"/>
    <w:rsid w:val="001D7B77"/>
    <w:rsid w:val="001E15F4"/>
    <w:rsid w:val="001E52EC"/>
    <w:rsid w:val="001F0252"/>
    <w:rsid w:val="001F131C"/>
    <w:rsid w:val="001F269F"/>
    <w:rsid w:val="001F41C1"/>
    <w:rsid w:val="001F43E3"/>
    <w:rsid w:val="002008DD"/>
    <w:rsid w:val="00200D3A"/>
    <w:rsid w:val="00202A99"/>
    <w:rsid w:val="00203837"/>
    <w:rsid w:val="00204FBA"/>
    <w:rsid w:val="00212AF0"/>
    <w:rsid w:val="002150D7"/>
    <w:rsid w:val="00215955"/>
    <w:rsid w:val="002173A0"/>
    <w:rsid w:val="0022157B"/>
    <w:rsid w:val="00223DD0"/>
    <w:rsid w:val="002241D2"/>
    <w:rsid w:val="002244A8"/>
    <w:rsid w:val="0022620D"/>
    <w:rsid w:val="00227CEE"/>
    <w:rsid w:val="00233859"/>
    <w:rsid w:val="00234B57"/>
    <w:rsid w:val="002359B0"/>
    <w:rsid w:val="002419CB"/>
    <w:rsid w:val="002425B5"/>
    <w:rsid w:val="002427FE"/>
    <w:rsid w:val="00242F91"/>
    <w:rsid w:val="0024324F"/>
    <w:rsid w:val="002453BA"/>
    <w:rsid w:val="00246C05"/>
    <w:rsid w:val="00250EFA"/>
    <w:rsid w:val="002532EE"/>
    <w:rsid w:val="0025641D"/>
    <w:rsid w:val="00260020"/>
    <w:rsid w:val="00261D61"/>
    <w:rsid w:val="0026209F"/>
    <w:rsid w:val="00262696"/>
    <w:rsid w:val="002676C9"/>
    <w:rsid w:val="0027212B"/>
    <w:rsid w:val="00273245"/>
    <w:rsid w:val="00274978"/>
    <w:rsid w:val="0027548E"/>
    <w:rsid w:val="002754BE"/>
    <w:rsid w:val="00277CBB"/>
    <w:rsid w:val="00277E97"/>
    <w:rsid w:val="00280C78"/>
    <w:rsid w:val="002814F6"/>
    <w:rsid w:val="002870CC"/>
    <w:rsid w:val="00291A08"/>
    <w:rsid w:val="00292B53"/>
    <w:rsid w:val="0029455B"/>
    <w:rsid w:val="002A0A4E"/>
    <w:rsid w:val="002A0B24"/>
    <w:rsid w:val="002A1E28"/>
    <w:rsid w:val="002A5B47"/>
    <w:rsid w:val="002A74E1"/>
    <w:rsid w:val="002A7B20"/>
    <w:rsid w:val="002B0C6B"/>
    <w:rsid w:val="002B0E57"/>
    <w:rsid w:val="002B1A2A"/>
    <w:rsid w:val="002B339C"/>
    <w:rsid w:val="002B47E7"/>
    <w:rsid w:val="002C4823"/>
    <w:rsid w:val="002C5C6A"/>
    <w:rsid w:val="002D4ECF"/>
    <w:rsid w:val="002D60DA"/>
    <w:rsid w:val="002D726A"/>
    <w:rsid w:val="002D7D99"/>
    <w:rsid w:val="002E01B9"/>
    <w:rsid w:val="002E33F5"/>
    <w:rsid w:val="002E403D"/>
    <w:rsid w:val="002F0022"/>
    <w:rsid w:val="002F0919"/>
    <w:rsid w:val="002F100B"/>
    <w:rsid w:val="002F10E1"/>
    <w:rsid w:val="002F2A6B"/>
    <w:rsid w:val="002F4AEC"/>
    <w:rsid w:val="00300EA5"/>
    <w:rsid w:val="0030107D"/>
    <w:rsid w:val="0030185B"/>
    <w:rsid w:val="003039C2"/>
    <w:rsid w:val="003045C3"/>
    <w:rsid w:val="00306C97"/>
    <w:rsid w:val="00307331"/>
    <w:rsid w:val="00307B57"/>
    <w:rsid w:val="00311FAA"/>
    <w:rsid w:val="0031246C"/>
    <w:rsid w:val="00312724"/>
    <w:rsid w:val="00317BED"/>
    <w:rsid w:val="00317E53"/>
    <w:rsid w:val="00320377"/>
    <w:rsid w:val="0032397E"/>
    <w:rsid w:val="003239EA"/>
    <w:rsid w:val="00324B6C"/>
    <w:rsid w:val="003275DB"/>
    <w:rsid w:val="00327D97"/>
    <w:rsid w:val="00330547"/>
    <w:rsid w:val="00331E75"/>
    <w:rsid w:val="00332E2F"/>
    <w:rsid w:val="00333994"/>
    <w:rsid w:val="00334332"/>
    <w:rsid w:val="00335EE9"/>
    <w:rsid w:val="00336B92"/>
    <w:rsid w:val="00336F2A"/>
    <w:rsid w:val="003442C3"/>
    <w:rsid w:val="00345258"/>
    <w:rsid w:val="00352500"/>
    <w:rsid w:val="003533ED"/>
    <w:rsid w:val="00353893"/>
    <w:rsid w:val="00355535"/>
    <w:rsid w:val="00356052"/>
    <w:rsid w:val="00361118"/>
    <w:rsid w:val="003624AA"/>
    <w:rsid w:val="00362954"/>
    <w:rsid w:val="003651AD"/>
    <w:rsid w:val="003676A8"/>
    <w:rsid w:val="003700E4"/>
    <w:rsid w:val="00370BFE"/>
    <w:rsid w:val="00376D51"/>
    <w:rsid w:val="00377423"/>
    <w:rsid w:val="00380EB0"/>
    <w:rsid w:val="003823F2"/>
    <w:rsid w:val="00383F5B"/>
    <w:rsid w:val="00386757"/>
    <w:rsid w:val="00387BE6"/>
    <w:rsid w:val="0039106D"/>
    <w:rsid w:val="003915A7"/>
    <w:rsid w:val="00391D58"/>
    <w:rsid w:val="00393686"/>
    <w:rsid w:val="00394184"/>
    <w:rsid w:val="0039640D"/>
    <w:rsid w:val="00396778"/>
    <w:rsid w:val="00396D41"/>
    <w:rsid w:val="003A189F"/>
    <w:rsid w:val="003A22A4"/>
    <w:rsid w:val="003A3673"/>
    <w:rsid w:val="003A409F"/>
    <w:rsid w:val="003A578D"/>
    <w:rsid w:val="003A7DE5"/>
    <w:rsid w:val="003B2CE9"/>
    <w:rsid w:val="003B4052"/>
    <w:rsid w:val="003B432B"/>
    <w:rsid w:val="003B4475"/>
    <w:rsid w:val="003B63F4"/>
    <w:rsid w:val="003C0740"/>
    <w:rsid w:val="003C509C"/>
    <w:rsid w:val="003C6124"/>
    <w:rsid w:val="003C714B"/>
    <w:rsid w:val="003D0820"/>
    <w:rsid w:val="003D1F93"/>
    <w:rsid w:val="003D2201"/>
    <w:rsid w:val="003D79A2"/>
    <w:rsid w:val="003E5658"/>
    <w:rsid w:val="003E7CF3"/>
    <w:rsid w:val="003F1CA8"/>
    <w:rsid w:val="003F1D8E"/>
    <w:rsid w:val="003F45BE"/>
    <w:rsid w:val="003F5286"/>
    <w:rsid w:val="003F5C67"/>
    <w:rsid w:val="003F6C78"/>
    <w:rsid w:val="003F6F03"/>
    <w:rsid w:val="00401423"/>
    <w:rsid w:val="0040266D"/>
    <w:rsid w:val="00405ABC"/>
    <w:rsid w:val="00405F7D"/>
    <w:rsid w:val="0040611D"/>
    <w:rsid w:val="00407A97"/>
    <w:rsid w:val="004113BE"/>
    <w:rsid w:val="004119C4"/>
    <w:rsid w:val="004153A4"/>
    <w:rsid w:val="00415701"/>
    <w:rsid w:val="004163C6"/>
    <w:rsid w:val="0042027C"/>
    <w:rsid w:val="00421913"/>
    <w:rsid w:val="00422C1F"/>
    <w:rsid w:val="00423B4E"/>
    <w:rsid w:val="00425316"/>
    <w:rsid w:val="00426C3A"/>
    <w:rsid w:val="00426FCE"/>
    <w:rsid w:val="004309F6"/>
    <w:rsid w:val="00432012"/>
    <w:rsid w:val="0043354B"/>
    <w:rsid w:val="00433ECC"/>
    <w:rsid w:val="00433FB8"/>
    <w:rsid w:val="00435B80"/>
    <w:rsid w:val="00437D53"/>
    <w:rsid w:val="00440F2E"/>
    <w:rsid w:val="00442795"/>
    <w:rsid w:val="00443AA7"/>
    <w:rsid w:val="004465F9"/>
    <w:rsid w:val="00447810"/>
    <w:rsid w:val="00447841"/>
    <w:rsid w:val="004508DB"/>
    <w:rsid w:val="00451571"/>
    <w:rsid w:val="00454382"/>
    <w:rsid w:val="00456F6D"/>
    <w:rsid w:val="00464891"/>
    <w:rsid w:val="00465297"/>
    <w:rsid w:val="00466EF1"/>
    <w:rsid w:val="00472935"/>
    <w:rsid w:val="00477220"/>
    <w:rsid w:val="00483DC4"/>
    <w:rsid w:val="00487A99"/>
    <w:rsid w:val="00487D98"/>
    <w:rsid w:val="004900DF"/>
    <w:rsid w:val="004913A6"/>
    <w:rsid w:val="004914F5"/>
    <w:rsid w:val="00491A43"/>
    <w:rsid w:val="0049237C"/>
    <w:rsid w:val="004926DD"/>
    <w:rsid w:val="004944EF"/>
    <w:rsid w:val="0049506A"/>
    <w:rsid w:val="004957E8"/>
    <w:rsid w:val="004957F8"/>
    <w:rsid w:val="004A4636"/>
    <w:rsid w:val="004A4642"/>
    <w:rsid w:val="004A499D"/>
    <w:rsid w:val="004A65F1"/>
    <w:rsid w:val="004A6A7F"/>
    <w:rsid w:val="004B0E56"/>
    <w:rsid w:val="004C5602"/>
    <w:rsid w:val="004C5EBC"/>
    <w:rsid w:val="004C6B89"/>
    <w:rsid w:val="004D146E"/>
    <w:rsid w:val="004D25BC"/>
    <w:rsid w:val="004D336F"/>
    <w:rsid w:val="004E2909"/>
    <w:rsid w:val="004E29BF"/>
    <w:rsid w:val="004E2EFA"/>
    <w:rsid w:val="004E3F38"/>
    <w:rsid w:val="004E5397"/>
    <w:rsid w:val="004E718C"/>
    <w:rsid w:val="004E7717"/>
    <w:rsid w:val="004F08F9"/>
    <w:rsid w:val="004F2448"/>
    <w:rsid w:val="004F2702"/>
    <w:rsid w:val="004F3303"/>
    <w:rsid w:val="004F3406"/>
    <w:rsid w:val="004F5419"/>
    <w:rsid w:val="004F6497"/>
    <w:rsid w:val="004F664E"/>
    <w:rsid w:val="0050121C"/>
    <w:rsid w:val="00502BF7"/>
    <w:rsid w:val="00503423"/>
    <w:rsid w:val="00505DB9"/>
    <w:rsid w:val="005074BA"/>
    <w:rsid w:val="005132D3"/>
    <w:rsid w:val="00515D35"/>
    <w:rsid w:val="00522E26"/>
    <w:rsid w:val="005268FA"/>
    <w:rsid w:val="00532517"/>
    <w:rsid w:val="005335F5"/>
    <w:rsid w:val="0053503B"/>
    <w:rsid w:val="00535927"/>
    <w:rsid w:val="005400AE"/>
    <w:rsid w:val="005409CB"/>
    <w:rsid w:val="00541217"/>
    <w:rsid w:val="00546C27"/>
    <w:rsid w:val="005506E0"/>
    <w:rsid w:val="00552301"/>
    <w:rsid w:val="005533CB"/>
    <w:rsid w:val="0055341C"/>
    <w:rsid w:val="00555754"/>
    <w:rsid w:val="00557E73"/>
    <w:rsid w:val="00557FC6"/>
    <w:rsid w:val="0056395C"/>
    <w:rsid w:val="00565C1B"/>
    <w:rsid w:val="00565FEB"/>
    <w:rsid w:val="00573DE8"/>
    <w:rsid w:val="005769FC"/>
    <w:rsid w:val="00576A45"/>
    <w:rsid w:val="00577A3C"/>
    <w:rsid w:val="00577F91"/>
    <w:rsid w:val="00580940"/>
    <w:rsid w:val="005814E4"/>
    <w:rsid w:val="00581B65"/>
    <w:rsid w:val="0058274E"/>
    <w:rsid w:val="00582F2C"/>
    <w:rsid w:val="0058502C"/>
    <w:rsid w:val="00591A9D"/>
    <w:rsid w:val="0059211A"/>
    <w:rsid w:val="005945DF"/>
    <w:rsid w:val="005948BC"/>
    <w:rsid w:val="005A1644"/>
    <w:rsid w:val="005A6222"/>
    <w:rsid w:val="005A6DCA"/>
    <w:rsid w:val="005A79C7"/>
    <w:rsid w:val="005B09AB"/>
    <w:rsid w:val="005B0A2C"/>
    <w:rsid w:val="005B258B"/>
    <w:rsid w:val="005C300E"/>
    <w:rsid w:val="005C31CD"/>
    <w:rsid w:val="005C5CF6"/>
    <w:rsid w:val="005C73EB"/>
    <w:rsid w:val="005D110C"/>
    <w:rsid w:val="005D3784"/>
    <w:rsid w:val="005D4956"/>
    <w:rsid w:val="005D4ABB"/>
    <w:rsid w:val="005D5169"/>
    <w:rsid w:val="005D5C6E"/>
    <w:rsid w:val="005D60D9"/>
    <w:rsid w:val="005D6AF6"/>
    <w:rsid w:val="005E116B"/>
    <w:rsid w:val="005E369D"/>
    <w:rsid w:val="005E4869"/>
    <w:rsid w:val="005E4ACB"/>
    <w:rsid w:val="005F2936"/>
    <w:rsid w:val="005F45D7"/>
    <w:rsid w:val="005F673E"/>
    <w:rsid w:val="005F7730"/>
    <w:rsid w:val="00600E35"/>
    <w:rsid w:val="00603247"/>
    <w:rsid w:val="00603EC6"/>
    <w:rsid w:val="006043AC"/>
    <w:rsid w:val="00604670"/>
    <w:rsid w:val="006072B0"/>
    <w:rsid w:val="0061171E"/>
    <w:rsid w:val="006145A3"/>
    <w:rsid w:val="00614DE2"/>
    <w:rsid w:val="00616347"/>
    <w:rsid w:val="00616867"/>
    <w:rsid w:val="00617D0B"/>
    <w:rsid w:val="0062326C"/>
    <w:rsid w:val="00625706"/>
    <w:rsid w:val="00630315"/>
    <w:rsid w:val="0063056D"/>
    <w:rsid w:val="006336A1"/>
    <w:rsid w:val="00634CDC"/>
    <w:rsid w:val="006358DC"/>
    <w:rsid w:val="006409B8"/>
    <w:rsid w:val="00641E07"/>
    <w:rsid w:val="006449A4"/>
    <w:rsid w:val="00646561"/>
    <w:rsid w:val="00646B29"/>
    <w:rsid w:val="00647F02"/>
    <w:rsid w:val="0065225B"/>
    <w:rsid w:val="00656513"/>
    <w:rsid w:val="00656A07"/>
    <w:rsid w:val="006574E7"/>
    <w:rsid w:val="00657A45"/>
    <w:rsid w:val="006625BD"/>
    <w:rsid w:val="00662C1E"/>
    <w:rsid w:val="0066742D"/>
    <w:rsid w:val="006725E0"/>
    <w:rsid w:val="0067320F"/>
    <w:rsid w:val="006734DE"/>
    <w:rsid w:val="00676E75"/>
    <w:rsid w:val="006771B5"/>
    <w:rsid w:val="0068188E"/>
    <w:rsid w:val="00682597"/>
    <w:rsid w:val="006826E9"/>
    <w:rsid w:val="00684C5B"/>
    <w:rsid w:val="00685002"/>
    <w:rsid w:val="00686BA6"/>
    <w:rsid w:val="00687A94"/>
    <w:rsid w:val="006905ED"/>
    <w:rsid w:val="00695BC6"/>
    <w:rsid w:val="0069665D"/>
    <w:rsid w:val="006A05B6"/>
    <w:rsid w:val="006A1322"/>
    <w:rsid w:val="006A1A4C"/>
    <w:rsid w:val="006A3325"/>
    <w:rsid w:val="006A5A73"/>
    <w:rsid w:val="006B0F20"/>
    <w:rsid w:val="006B1ABF"/>
    <w:rsid w:val="006B3F04"/>
    <w:rsid w:val="006B450B"/>
    <w:rsid w:val="006B458F"/>
    <w:rsid w:val="006B6402"/>
    <w:rsid w:val="006C06D0"/>
    <w:rsid w:val="006C111F"/>
    <w:rsid w:val="006C2DA4"/>
    <w:rsid w:val="006C382F"/>
    <w:rsid w:val="006C734D"/>
    <w:rsid w:val="006D3782"/>
    <w:rsid w:val="006D4671"/>
    <w:rsid w:val="006D6308"/>
    <w:rsid w:val="006E4D22"/>
    <w:rsid w:val="006E70D3"/>
    <w:rsid w:val="006F127B"/>
    <w:rsid w:val="006F2414"/>
    <w:rsid w:val="006F380C"/>
    <w:rsid w:val="006F4E46"/>
    <w:rsid w:val="006F7ACA"/>
    <w:rsid w:val="00700BAA"/>
    <w:rsid w:val="00701F55"/>
    <w:rsid w:val="00703170"/>
    <w:rsid w:val="00705071"/>
    <w:rsid w:val="007054C4"/>
    <w:rsid w:val="007074FA"/>
    <w:rsid w:val="007125BB"/>
    <w:rsid w:val="00713520"/>
    <w:rsid w:val="00713742"/>
    <w:rsid w:val="007137CF"/>
    <w:rsid w:val="007218D7"/>
    <w:rsid w:val="00723865"/>
    <w:rsid w:val="007248EC"/>
    <w:rsid w:val="00726258"/>
    <w:rsid w:val="00727C3D"/>
    <w:rsid w:val="007329BA"/>
    <w:rsid w:val="0073352B"/>
    <w:rsid w:val="00733E69"/>
    <w:rsid w:val="00743756"/>
    <w:rsid w:val="007457C7"/>
    <w:rsid w:val="00745D55"/>
    <w:rsid w:val="0075079E"/>
    <w:rsid w:val="007508FC"/>
    <w:rsid w:val="0075148C"/>
    <w:rsid w:val="00751D4B"/>
    <w:rsid w:val="007531A8"/>
    <w:rsid w:val="00754A91"/>
    <w:rsid w:val="00756E4D"/>
    <w:rsid w:val="00764993"/>
    <w:rsid w:val="00764A17"/>
    <w:rsid w:val="007676CD"/>
    <w:rsid w:val="00771E04"/>
    <w:rsid w:val="007727C0"/>
    <w:rsid w:val="007732A8"/>
    <w:rsid w:val="00773F6C"/>
    <w:rsid w:val="00773F90"/>
    <w:rsid w:val="00774BC4"/>
    <w:rsid w:val="007779D6"/>
    <w:rsid w:val="00780D99"/>
    <w:rsid w:val="00781603"/>
    <w:rsid w:val="00782C23"/>
    <w:rsid w:val="00783A73"/>
    <w:rsid w:val="00787A6B"/>
    <w:rsid w:val="007906BC"/>
    <w:rsid w:val="00791D4F"/>
    <w:rsid w:val="00793D7D"/>
    <w:rsid w:val="0079620F"/>
    <w:rsid w:val="00797929"/>
    <w:rsid w:val="007A1A0A"/>
    <w:rsid w:val="007A4E05"/>
    <w:rsid w:val="007A5D7A"/>
    <w:rsid w:val="007A6FF2"/>
    <w:rsid w:val="007A7B89"/>
    <w:rsid w:val="007B09EC"/>
    <w:rsid w:val="007B182F"/>
    <w:rsid w:val="007B3130"/>
    <w:rsid w:val="007B3745"/>
    <w:rsid w:val="007B51ED"/>
    <w:rsid w:val="007B75AC"/>
    <w:rsid w:val="007C5CC4"/>
    <w:rsid w:val="007C78FF"/>
    <w:rsid w:val="007D45D3"/>
    <w:rsid w:val="007D74AA"/>
    <w:rsid w:val="007E1512"/>
    <w:rsid w:val="007F0647"/>
    <w:rsid w:val="007F0687"/>
    <w:rsid w:val="007F080D"/>
    <w:rsid w:val="007F263D"/>
    <w:rsid w:val="007F34F3"/>
    <w:rsid w:val="007F4F8C"/>
    <w:rsid w:val="007F6AC1"/>
    <w:rsid w:val="007F7286"/>
    <w:rsid w:val="008024CD"/>
    <w:rsid w:val="0080309E"/>
    <w:rsid w:val="008036E2"/>
    <w:rsid w:val="0080473F"/>
    <w:rsid w:val="00807A1E"/>
    <w:rsid w:val="008100D6"/>
    <w:rsid w:val="008115BC"/>
    <w:rsid w:val="008127CD"/>
    <w:rsid w:val="008166E7"/>
    <w:rsid w:val="008170FE"/>
    <w:rsid w:val="00823B3D"/>
    <w:rsid w:val="0082552B"/>
    <w:rsid w:val="00827074"/>
    <w:rsid w:val="00831DBE"/>
    <w:rsid w:val="00831F0F"/>
    <w:rsid w:val="00831FA1"/>
    <w:rsid w:val="00832DA7"/>
    <w:rsid w:val="00834729"/>
    <w:rsid w:val="00834CCD"/>
    <w:rsid w:val="0084221C"/>
    <w:rsid w:val="00845140"/>
    <w:rsid w:val="00845D36"/>
    <w:rsid w:val="00851191"/>
    <w:rsid w:val="00852E37"/>
    <w:rsid w:val="00855633"/>
    <w:rsid w:val="0085708C"/>
    <w:rsid w:val="00864BA0"/>
    <w:rsid w:val="00865207"/>
    <w:rsid w:val="00865F24"/>
    <w:rsid w:val="008665D4"/>
    <w:rsid w:val="00870512"/>
    <w:rsid w:val="00874AB5"/>
    <w:rsid w:val="00877C7D"/>
    <w:rsid w:val="00882654"/>
    <w:rsid w:val="00884C52"/>
    <w:rsid w:val="008853E7"/>
    <w:rsid w:val="00886ABB"/>
    <w:rsid w:val="00890112"/>
    <w:rsid w:val="00894565"/>
    <w:rsid w:val="008946C3"/>
    <w:rsid w:val="008A3101"/>
    <w:rsid w:val="008A3F7E"/>
    <w:rsid w:val="008B1090"/>
    <w:rsid w:val="008B5C23"/>
    <w:rsid w:val="008B77AC"/>
    <w:rsid w:val="008C0A8B"/>
    <w:rsid w:val="008C1D52"/>
    <w:rsid w:val="008C556D"/>
    <w:rsid w:val="008C6898"/>
    <w:rsid w:val="008C68A4"/>
    <w:rsid w:val="008D1F37"/>
    <w:rsid w:val="008D2026"/>
    <w:rsid w:val="008D239B"/>
    <w:rsid w:val="008D28BF"/>
    <w:rsid w:val="008D2961"/>
    <w:rsid w:val="008D3AE3"/>
    <w:rsid w:val="008D3FAB"/>
    <w:rsid w:val="008D4646"/>
    <w:rsid w:val="008D49DA"/>
    <w:rsid w:val="008D5733"/>
    <w:rsid w:val="008E2160"/>
    <w:rsid w:val="008E5709"/>
    <w:rsid w:val="008E585E"/>
    <w:rsid w:val="008E79F4"/>
    <w:rsid w:val="008F0AB8"/>
    <w:rsid w:val="008F1D18"/>
    <w:rsid w:val="008F5EC1"/>
    <w:rsid w:val="008F629C"/>
    <w:rsid w:val="008F721A"/>
    <w:rsid w:val="008F7721"/>
    <w:rsid w:val="008F7C2F"/>
    <w:rsid w:val="00903030"/>
    <w:rsid w:val="0090333B"/>
    <w:rsid w:val="0090564F"/>
    <w:rsid w:val="00905A7D"/>
    <w:rsid w:val="0090643C"/>
    <w:rsid w:val="009108A2"/>
    <w:rsid w:val="009116EA"/>
    <w:rsid w:val="009214ED"/>
    <w:rsid w:val="0092175B"/>
    <w:rsid w:val="00922F16"/>
    <w:rsid w:val="00923118"/>
    <w:rsid w:val="009236B3"/>
    <w:rsid w:val="0092442D"/>
    <w:rsid w:val="0092758F"/>
    <w:rsid w:val="00927A93"/>
    <w:rsid w:val="0093058C"/>
    <w:rsid w:val="00930D74"/>
    <w:rsid w:val="00930E53"/>
    <w:rsid w:val="009319E6"/>
    <w:rsid w:val="00931A4C"/>
    <w:rsid w:val="00933E15"/>
    <w:rsid w:val="00935B3E"/>
    <w:rsid w:val="00941743"/>
    <w:rsid w:val="00942805"/>
    <w:rsid w:val="00943E42"/>
    <w:rsid w:val="00950AA4"/>
    <w:rsid w:val="00952963"/>
    <w:rsid w:val="00957EED"/>
    <w:rsid w:val="00962266"/>
    <w:rsid w:val="009627BF"/>
    <w:rsid w:val="00964C5E"/>
    <w:rsid w:val="00964E1E"/>
    <w:rsid w:val="00966915"/>
    <w:rsid w:val="00966F8C"/>
    <w:rsid w:val="00971BCB"/>
    <w:rsid w:val="00971CC6"/>
    <w:rsid w:val="00971CDC"/>
    <w:rsid w:val="009755E4"/>
    <w:rsid w:val="00976085"/>
    <w:rsid w:val="00980805"/>
    <w:rsid w:val="00980B27"/>
    <w:rsid w:val="0098139D"/>
    <w:rsid w:val="00981B43"/>
    <w:rsid w:val="00983AD1"/>
    <w:rsid w:val="0099191C"/>
    <w:rsid w:val="009938C7"/>
    <w:rsid w:val="00994A8E"/>
    <w:rsid w:val="009A3D2D"/>
    <w:rsid w:val="009A615A"/>
    <w:rsid w:val="009B2DD6"/>
    <w:rsid w:val="009B31F3"/>
    <w:rsid w:val="009B7708"/>
    <w:rsid w:val="009C02EB"/>
    <w:rsid w:val="009C03D2"/>
    <w:rsid w:val="009C09B3"/>
    <w:rsid w:val="009C3200"/>
    <w:rsid w:val="009C448C"/>
    <w:rsid w:val="009C58C5"/>
    <w:rsid w:val="009D27B2"/>
    <w:rsid w:val="009D2889"/>
    <w:rsid w:val="009D590E"/>
    <w:rsid w:val="009D6202"/>
    <w:rsid w:val="009D7564"/>
    <w:rsid w:val="009E393F"/>
    <w:rsid w:val="009E3A1F"/>
    <w:rsid w:val="009E759F"/>
    <w:rsid w:val="009F04BE"/>
    <w:rsid w:val="009F202C"/>
    <w:rsid w:val="009F297B"/>
    <w:rsid w:val="009F2A4E"/>
    <w:rsid w:val="009F44D6"/>
    <w:rsid w:val="009F791E"/>
    <w:rsid w:val="00A02281"/>
    <w:rsid w:val="00A02B7E"/>
    <w:rsid w:val="00A066E5"/>
    <w:rsid w:val="00A06738"/>
    <w:rsid w:val="00A122DF"/>
    <w:rsid w:val="00A12766"/>
    <w:rsid w:val="00A1382B"/>
    <w:rsid w:val="00A16000"/>
    <w:rsid w:val="00A17788"/>
    <w:rsid w:val="00A17C83"/>
    <w:rsid w:val="00A21805"/>
    <w:rsid w:val="00A21AD2"/>
    <w:rsid w:val="00A220A6"/>
    <w:rsid w:val="00A23C23"/>
    <w:rsid w:val="00A24BA4"/>
    <w:rsid w:val="00A264B4"/>
    <w:rsid w:val="00A2728A"/>
    <w:rsid w:val="00A27572"/>
    <w:rsid w:val="00A27C22"/>
    <w:rsid w:val="00A27F4B"/>
    <w:rsid w:val="00A31522"/>
    <w:rsid w:val="00A3791A"/>
    <w:rsid w:val="00A4234C"/>
    <w:rsid w:val="00A46D85"/>
    <w:rsid w:val="00A46E4E"/>
    <w:rsid w:val="00A509F9"/>
    <w:rsid w:val="00A54607"/>
    <w:rsid w:val="00A557FD"/>
    <w:rsid w:val="00A60DE2"/>
    <w:rsid w:val="00A62D26"/>
    <w:rsid w:val="00A63B73"/>
    <w:rsid w:val="00A6454C"/>
    <w:rsid w:val="00A65AF2"/>
    <w:rsid w:val="00A66CE5"/>
    <w:rsid w:val="00A67FC4"/>
    <w:rsid w:val="00A7004B"/>
    <w:rsid w:val="00A71361"/>
    <w:rsid w:val="00A716D1"/>
    <w:rsid w:val="00A74253"/>
    <w:rsid w:val="00A77B05"/>
    <w:rsid w:val="00A8164F"/>
    <w:rsid w:val="00A8247B"/>
    <w:rsid w:val="00A833C9"/>
    <w:rsid w:val="00A83FC3"/>
    <w:rsid w:val="00A8459B"/>
    <w:rsid w:val="00A91D4F"/>
    <w:rsid w:val="00A93783"/>
    <w:rsid w:val="00A939C2"/>
    <w:rsid w:val="00A949FF"/>
    <w:rsid w:val="00A970D0"/>
    <w:rsid w:val="00A97890"/>
    <w:rsid w:val="00AA2699"/>
    <w:rsid w:val="00AA498F"/>
    <w:rsid w:val="00AA5B7B"/>
    <w:rsid w:val="00AA789B"/>
    <w:rsid w:val="00AB09EB"/>
    <w:rsid w:val="00AB0A60"/>
    <w:rsid w:val="00AB2B0B"/>
    <w:rsid w:val="00AB525F"/>
    <w:rsid w:val="00AC567A"/>
    <w:rsid w:val="00AC65E7"/>
    <w:rsid w:val="00AC6DE3"/>
    <w:rsid w:val="00AC718D"/>
    <w:rsid w:val="00AC72E8"/>
    <w:rsid w:val="00AD177A"/>
    <w:rsid w:val="00AD1A08"/>
    <w:rsid w:val="00AE18DA"/>
    <w:rsid w:val="00AE2022"/>
    <w:rsid w:val="00AE5B9E"/>
    <w:rsid w:val="00AE65A0"/>
    <w:rsid w:val="00AE7499"/>
    <w:rsid w:val="00AF0F57"/>
    <w:rsid w:val="00AF3E32"/>
    <w:rsid w:val="00AF502C"/>
    <w:rsid w:val="00AF59DD"/>
    <w:rsid w:val="00AF6168"/>
    <w:rsid w:val="00AF6963"/>
    <w:rsid w:val="00AF6B06"/>
    <w:rsid w:val="00AF6EA8"/>
    <w:rsid w:val="00AF71F3"/>
    <w:rsid w:val="00AF7AB5"/>
    <w:rsid w:val="00B00CDD"/>
    <w:rsid w:val="00B01AC7"/>
    <w:rsid w:val="00B0375C"/>
    <w:rsid w:val="00B04477"/>
    <w:rsid w:val="00B04C8B"/>
    <w:rsid w:val="00B04FBA"/>
    <w:rsid w:val="00B121FE"/>
    <w:rsid w:val="00B149B1"/>
    <w:rsid w:val="00B15739"/>
    <w:rsid w:val="00B206C5"/>
    <w:rsid w:val="00B22686"/>
    <w:rsid w:val="00B24158"/>
    <w:rsid w:val="00B31ACE"/>
    <w:rsid w:val="00B345CC"/>
    <w:rsid w:val="00B35D48"/>
    <w:rsid w:val="00B360FF"/>
    <w:rsid w:val="00B3717C"/>
    <w:rsid w:val="00B425BA"/>
    <w:rsid w:val="00B42C85"/>
    <w:rsid w:val="00B450E4"/>
    <w:rsid w:val="00B4572B"/>
    <w:rsid w:val="00B45C89"/>
    <w:rsid w:val="00B52BF0"/>
    <w:rsid w:val="00B573EE"/>
    <w:rsid w:val="00B6039C"/>
    <w:rsid w:val="00B61682"/>
    <w:rsid w:val="00B639ED"/>
    <w:rsid w:val="00B63C02"/>
    <w:rsid w:val="00B63C87"/>
    <w:rsid w:val="00B67FF5"/>
    <w:rsid w:val="00B71E59"/>
    <w:rsid w:val="00B73794"/>
    <w:rsid w:val="00B7616F"/>
    <w:rsid w:val="00B81036"/>
    <w:rsid w:val="00B82A3B"/>
    <w:rsid w:val="00B82F9D"/>
    <w:rsid w:val="00B83084"/>
    <w:rsid w:val="00B8370D"/>
    <w:rsid w:val="00B848C1"/>
    <w:rsid w:val="00B84989"/>
    <w:rsid w:val="00B85208"/>
    <w:rsid w:val="00B90511"/>
    <w:rsid w:val="00B90609"/>
    <w:rsid w:val="00B92497"/>
    <w:rsid w:val="00B92B35"/>
    <w:rsid w:val="00B945CA"/>
    <w:rsid w:val="00B94D46"/>
    <w:rsid w:val="00B96527"/>
    <w:rsid w:val="00BA0DD3"/>
    <w:rsid w:val="00BA0DFB"/>
    <w:rsid w:val="00BA2E04"/>
    <w:rsid w:val="00BA3055"/>
    <w:rsid w:val="00BA47FC"/>
    <w:rsid w:val="00BA59CA"/>
    <w:rsid w:val="00BA70FC"/>
    <w:rsid w:val="00BA7425"/>
    <w:rsid w:val="00BB15A9"/>
    <w:rsid w:val="00BB50C6"/>
    <w:rsid w:val="00BB5477"/>
    <w:rsid w:val="00BC2284"/>
    <w:rsid w:val="00BC3DF2"/>
    <w:rsid w:val="00BC4854"/>
    <w:rsid w:val="00BC524D"/>
    <w:rsid w:val="00BC7410"/>
    <w:rsid w:val="00BC77A2"/>
    <w:rsid w:val="00BD25AB"/>
    <w:rsid w:val="00BD2E6D"/>
    <w:rsid w:val="00BD3F2A"/>
    <w:rsid w:val="00BD6B27"/>
    <w:rsid w:val="00BD7AC1"/>
    <w:rsid w:val="00BE03ED"/>
    <w:rsid w:val="00BE0632"/>
    <w:rsid w:val="00BE06C4"/>
    <w:rsid w:val="00BE08CC"/>
    <w:rsid w:val="00BE2CED"/>
    <w:rsid w:val="00BE323A"/>
    <w:rsid w:val="00BE5F6A"/>
    <w:rsid w:val="00BE640A"/>
    <w:rsid w:val="00BE65A3"/>
    <w:rsid w:val="00BE668C"/>
    <w:rsid w:val="00BF0B80"/>
    <w:rsid w:val="00BF12AF"/>
    <w:rsid w:val="00BF40B3"/>
    <w:rsid w:val="00BF55C1"/>
    <w:rsid w:val="00BF5EA4"/>
    <w:rsid w:val="00C00276"/>
    <w:rsid w:val="00C039CA"/>
    <w:rsid w:val="00C041E4"/>
    <w:rsid w:val="00C05E21"/>
    <w:rsid w:val="00C076AD"/>
    <w:rsid w:val="00C07B29"/>
    <w:rsid w:val="00C07D03"/>
    <w:rsid w:val="00C12078"/>
    <w:rsid w:val="00C13F5B"/>
    <w:rsid w:val="00C14EC0"/>
    <w:rsid w:val="00C17CAC"/>
    <w:rsid w:val="00C21CFB"/>
    <w:rsid w:val="00C22027"/>
    <w:rsid w:val="00C23D0D"/>
    <w:rsid w:val="00C27350"/>
    <w:rsid w:val="00C27606"/>
    <w:rsid w:val="00C3232A"/>
    <w:rsid w:val="00C3591D"/>
    <w:rsid w:val="00C361D8"/>
    <w:rsid w:val="00C36A6A"/>
    <w:rsid w:val="00C37C78"/>
    <w:rsid w:val="00C416F6"/>
    <w:rsid w:val="00C41FE0"/>
    <w:rsid w:val="00C42846"/>
    <w:rsid w:val="00C459BD"/>
    <w:rsid w:val="00C52382"/>
    <w:rsid w:val="00C52CCB"/>
    <w:rsid w:val="00C54CC0"/>
    <w:rsid w:val="00C562B1"/>
    <w:rsid w:val="00C5672E"/>
    <w:rsid w:val="00C57316"/>
    <w:rsid w:val="00C60075"/>
    <w:rsid w:val="00C60D37"/>
    <w:rsid w:val="00C61C93"/>
    <w:rsid w:val="00C6286C"/>
    <w:rsid w:val="00C70403"/>
    <w:rsid w:val="00C714B4"/>
    <w:rsid w:val="00C723A6"/>
    <w:rsid w:val="00C7390C"/>
    <w:rsid w:val="00C73C06"/>
    <w:rsid w:val="00C7610C"/>
    <w:rsid w:val="00C766A7"/>
    <w:rsid w:val="00C768BE"/>
    <w:rsid w:val="00C76D3D"/>
    <w:rsid w:val="00C80AB5"/>
    <w:rsid w:val="00C82D43"/>
    <w:rsid w:val="00C841B0"/>
    <w:rsid w:val="00C84EAD"/>
    <w:rsid w:val="00C8574B"/>
    <w:rsid w:val="00C8595F"/>
    <w:rsid w:val="00C90970"/>
    <w:rsid w:val="00C95FC4"/>
    <w:rsid w:val="00C96A65"/>
    <w:rsid w:val="00C96D22"/>
    <w:rsid w:val="00CA2F88"/>
    <w:rsid w:val="00CA3F32"/>
    <w:rsid w:val="00CA451B"/>
    <w:rsid w:val="00CA6D48"/>
    <w:rsid w:val="00CB4DDE"/>
    <w:rsid w:val="00CB5E06"/>
    <w:rsid w:val="00CC0C9A"/>
    <w:rsid w:val="00CC63E4"/>
    <w:rsid w:val="00CC754A"/>
    <w:rsid w:val="00CC7808"/>
    <w:rsid w:val="00CD1AD8"/>
    <w:rsid w:val="00CD24C4"/>
    <w:rsid w:val="00CD2651"/>
    <w:rsid w:val="00CD34FC"/>
    <w:rsid w:val="00CD6401"/>
    <w:rsid w:val="00CD7C3F"/>
    <w:rsid w:val="00CE105C"/>
    <w:rsid w:val="00CE18E0"/>
    <w:rsid w:val="00CE5AAE"/>
    <w:rsid w:val="00CE6CC5"/>
    <w:rsid w:val="00CE70F1"/>
    <w:rsid w:val="00CF0D8B"/>
    <w:rsid w:val="00CF112A"/>
    <w:rsid w:val="00CF1BD7"/>
    <w:rsid w:val="00CF233D"/>
    <w:rsid w:val="00CF2709"/>
    <w:rsid w:val="00CF5EA4"/>
    <w:rsid w:val="00D00E83"/>
    <w:rsid w:val="00D00EF1"/>
    <w:rsid w:val="00D0164F"/>
    <w:rsid w:val="00D0382F"/>
    <w:rsid w:val="00D07B04"/>
    <w:rsid w:val="00D11114"/>
    <w:rsid w:val="00D154C2"/>
    <w:rsid w:val="00D17A27"/>
    <w:rsid w:val="00D20A26"/>
    <w:rsid w:val="00D2332B"/>
    <w:rsid w:val="00D25D70"/>
    <w:rsid w:val="00D25F2B"/>
    <w:rsid w:val="00D300A8"/>
    <w:rsid w:val="00D320E4"/>
    <w:rsid w:val="00D35D87"/>
    <w:rsid w:val="00D37183"/>
    <w:rsid w:val="00D46E89"/>
    <w:rsid w:val="00D50088"/>
    <w:rsid w:val="00D51A96"/>
    <w:rsid w:val="00D51C26"/>
    <w:rsid w:val="00D537BD"/>
    <w:rsid w:val="00D54A2C"/>
    <w:rsid w:val="00D54A46"/>
    <w:rsid w:val="00D56A53"/>
    <w:rsid w:val="00D6143D"/>
    <w:rsid w:val="00D62A44"/>
    <w:rsid w:val="00D64353"/>
    <w:rsid w:val="00D64A3F"/>
    <w:rsid w:val="00D6542C"/>
    <w:rsid w:val="00D66FF8"/>
    <w:rsid w:val="00D67CB6"/>
    <w:rsid w:val="00D7536B"/>
    <w:rsid w:val="00D75D6F"/>
    <w:rsid w:val="00D800C1"/>
    <w:rsid w:val="00D847FD"/>
    <w:rsid w:val="00D851E6"/>
    <w:rsid w:val="00D85E11"/>
    <w:rsid w:val="00D874E8"/>
    <w:rsid w:val="00D9173E"/>
    <w:rsid w:val="00D91F0D"/>
    <w:rsid w:val="00D92FD9"/>
    <w:rsid w:val="00D930CF"/>
    <w:rsid w:val="00D9502D"/>
    <w:rsid w:val="00D974C9"/>
    <w:rsid w:val="00D97E61"/>
    <w:rsid w:val="00DA1426"/>
    <w:rsid w:val="00DA23F1"/>
    <w:rsid w:val="00DA7D80"/>
    <w:rsid w:val="00DB0950"/>
    <w:rsid w:val="00DB2A5E"/>
    <w:rsid w:val="00DB30D2"/>
    <w:rsid w:val="00DB3495"/>
    <w:rsid w:val="00DB440E"/>
    <w:rsid w:val="00DB4E0D"/>
    <w:rsid w:val="00DB5AB6"/>
    <w:rsid w:val="00DB6638"/>
    <w:rsid w:val="00DB7A54"/>
    <w:rsid w:val="00DC0683"/>
    <w:rsid w:val="00DC0E6A"/>
    <w:rsid w:val="00DC28FD"/>
    <w:rsid w:val="00DC55F8"/>
    <w:rsid w:val="00DC7851"/>
    <w:rsid w:val="00DD4897"/>
    <w:rsid w:val="00DD4E97"/>
    <w:rsid w:val="00DD7D8F"/>
    <w:rsid w:val="00DE32C2"/>
    <w:rsid w:val="00DF2D63"/>
    <w:rsid w:val="00DF39CC"/>
    <w:rsid w:val="00DF63FC"/>
    <w:rsid w:val="00DF699D"/>
    <w:rsid w:val="00DF78A2"/>
    <w:rsid w:val="00E02891"/>
    <w:rsid w:val="00E05EA9"/>
    <w:rsid w:val="00E11E32"/>
    <w:rsid w:val="00E12108"/>
    <w:rsid w:val="00E1341A"/>
    <w:rsid w:val="00E15044"/>
    <w:rsid w:val="00E16C7A"/>
    <w:rsid w:val="00E200AF"/>
    <w:rsid w:val="00E214BE"/>
    <w:rsid w:val="00E22134"/>
    <w:rsid w:val="00E23D9E"/>
    <w:rsid w:val="00E25FDE"/>
    <w:rsid w:val="00E30AE3"/>
    <w:rsid w:val="00E33E82"/>
    <w:rsid w:val="00E35758"/>
    <w:rsid w:val="00E37271"/>
    <w:rsid w:val="00E37612"/>
    <w:rsid w:val="00E4520D"/>
    <w:rsid w:val="00E45336"/>
    <w:rsid w:val="00E458F1"/>
    <w:rsid w:val="00E45E13"/>
    <w:rsid w:val="00E47CC6"/>
    <w:rsid w:val="00E514A3"/>
    <w:rsid w:val="00E5194E"/>
    <w:rsid w:val="00E51E65"/>
    <w:rsid w:val="00E52AC1"/>
    <w:rsid w:val="00E53C1B"/>
    <w:rsid w:val="00E53F6C"/>
    <w:rsid w:val="00E5512D"/>
    <w:rsid w:val="00E55205"/>
    <w:rsid w:val="00E60E45"/>
    <w:rsid w:val="00E62F63"/>
    <w:rsid w:val="00E664B6"/>
    <w:rsid w:val="00E66533"/>
    <w:rsid w:val="00E668D0"/>
    <w:rsid w:val="00E702EB"/>
    <w:rsid w:val="00E7055F"/>
    <w:rsid w:val="00E72F7E"/>
    <w:rsid w:val="00E80CCF"/>
    <w:rsid w:val="00E8153B"/>
    <w:rsid w:val="00E82292"/>
    <w:rsid w:val="00E84BD4"/>
    <w:rsid w:val="00E84D47"/>
    <w:rsid w:val="00E86A8F"/>
    <w:rsid w:val="00E92CFC"/>
    <w:rsid w:val="00E93EFF"/>
    <w:rsid w:val="00E9423B"/>
    <w:rsid w:val="00E9525A"/>
    <w:rsid w:val="00EA0E7B"/>
    <w:rsid w:val="00EB7AE5"/>
    <w:rsid w:val="00EB7E13"/>
    <w:rsid w:val="00EC0686"/>
    <w:rsid w:val="00EC1E1B"/>
    <w:rsid w:val="00EC31E4"/>
    <w:rsid w:val="00EC4A6F"/>
    <w:rsid w:val="00EC4F1F"/>
    <w:rsid w:val="00EC62D0"/>
    <w:rsid w:val="00EC66A5"/>
    <w:rsid w:val="00EC6720"/>
    <w:rsid w:val="00ED131F"/>
    <w:rsid w:val="00ED22A2"/>
    <w:rsid w:val="00ED280A"/>
    <w:rsid w:val="00ED5E68"/>
    <w:rsid w:val="00ED74CF"/>
    <w:rsid w:val="00EE2A0A"/>
    <w:rsid w:val="00EE31D8"/>
    <w:rsid w:val="00EE38FE"/>
    <w:rsid w:val="00EE4D9F"/>
    <w:rsid w:val="00EE7065"/>
    <w:rsid w:val="00EF2264"/>
    <w:rsid w:val="00EF2C9C"/>
    <w:rsid w:val="00EF41DA"/>
    <w:rsid w:val="00F02C64"/>
    <w:rsid w:val="00F031F1"/>
    <w:rsid w:val="00F04AF3"/>
    <w:rsid w:val="00F05241"/>
    <w:rsid w:val="00F07DB1"/>
    <w:rsid w:val="00F1102E"/>
    <w:rsid w:val="00F11174"/>
    <w:rsid w:val="00F11262"/>
    <w:rsid w:val="00F135F0"/>
    <w:rsid w:val="00F15071"/>
    <w:rsid w:val="00F15980"/>
    <w:rsid w:val="00F1678D"/>
    <w:rsid w:val="00F21AA0"/>
    <w:rsid w:val="00F271F8"/>
    <w:rsid w:val="00F27573"/>
    <w:rsid w:val="00F3002D"/>
    <w:rsid w:val="00F301C2"/>
    <w:rsid w:val="00F333DA"/>
    <w:rsid w:val="00F413E3"/>
    <w:rsid w:val="00F50066"/>
    <w:rsid w:val="00F50A1A"/>
    <w:rsid w:val="00F566CF"/>
    <w:rsid w:val="00F577D5"/>
    <w:rsid w:val="00F633CD"/>
    <w:rsid w:val="00F7338C"/>
    <w:rsid w:val="00F74C0B"/>
    <w:rsid w:val="00F754E1"/>
    <w:rsid w:val="00F76405"/>
    <w:rsid w:val="00F8207A"/>
    <w:rsid w:val="00F825D3"/>
    <w:rsid w:val="00F85C7B"/>
    <w:rsid w:val="00F85F1E"/>
    <w:rsid w:val="00F86034"/>
    <w:rsid w:val="00F86FE0"/>
    <w:rsid w:val="00F932E5"/>
    <w:rsid w:val="00FA2A7E"/>
    <w:rsid w:val="00FA3032"/>
    <w:rsid w:val="00FA4B34"/>
    <w:rsid w:val="00FA7771"/>
    <w:rsid w:val="00FB15AF"/>
    <w:rsid w:val="00FB2E7E"/>
    <w:rsid w:val="00FB476F"/>
    <w:rsid w:val="00FB748E"/>
    <w:rsid w:val="00FB7BAA"/>
    <w:rsid w:val="00FB7E95"/>
    <w:rsid w:val="00FC004F"/>
    <w:rsid w:val="00FC205B"/>
    <w:rsid w:val="00FC2AF3"/>
    <w:rsid w:val="00FC2B31"/>
    <w:rsid w:val="00FC51A2"/>
    <w:rsid w:val="00FC7674"/>
    <w:rsid w:val="00FD4462"/>
    <w:rsid w:val="00FD4511"/>
    <w:rsid w:val="00FD4E42"/>
    <w:rsid w:val="00FD67FB"/>
    <w:rsid w:val="00FE086E"/>
    <w:rsid w:val="00FE2CD0"/>
    <w:rsid w:val="00FE37D2"/>
    <w:rsid w:val="00FE6D47"/>
    <w:rsid w:val="00FE7775"/>
    <w:rsid w:val="00FE7D6B"/>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99"/>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4F649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Texto de nota al pie,Footnotes refss,Appel note de bas de page,BVI fnr,f"/>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character" w:styleId="Hipervnculovisitado">
    <w:name w:val="FollowedHyperlink"/>
    <w:basedOn w:val="Fuentedeprrafopredeter"/>
    <w:uiPriority w:val="99"/>
    <w:semiHidden/>
    <w:unhideWhenUsed/>
    <w:rsid w:val="00A67FC4"/>
    <w:rPr>
      <w:color w:val="954F72" w:themeColor="followedHyperlink"/>
      <w:u w:val="single"/>
    </w:rPr>
  </w:style>
  <w:style w:type="character" w:styleId="nfasis">
    <w:name w:val="Emphasis"/>
    <w:basedOn w:val="Fuentedeprrafopredeter"/>
    <w:uiPriority w:val="20"/>
    <w:qFormat/>
    <w:rsid w:val="003F45BE"/>
    <w:rPr>
      <w:i/>
      <w:iCs/>
    </w:rPr>
  </w:style>
  <w:style w:type="table" w:styleId="Tablaconcuadrcula">
    <w:name w:val="Table Grid"/>
    <w:basedOn w:val="Tablanormal"/>
    <w:uiPriority w:val="39"/>
    <w:rsid w:val="0061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61634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16347"/>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ocenos/pleno/sesiones/acuerdoliga/vppift27021813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16B3-ECDA-4B9F-9C7C-C9998102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5674</Words>
  <Characters>31211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Josue Teoyotl Calderon</cp:lastModifiedBy>
  <cp:revision>2</cp:revision>
  <dcterms:created xsi:type="dcterms:W3CDTF">2023-01-11T23:28:00Z</dcterms:created>
  <dcterms:modified xsi:type="dcterms:W3CDTF">2023-01-11T23:28:00Z</dcterms:modified>
</cp:coreProperties>
</file>