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AE009" w14:textId="7FCE9482" w:rsidR="00752AB6" w:rsidRPr="00092958" w:rsidRDefault="008D4794" w:rsidP="00D838AF">
      <w:pPr>
        <w:spacing w:after="0"/>
        <w:contextualSpacing/>
        <w:jc w:val="both"/>
        <w:rPr>
          <w:rFonts w:ascii="ITC Avant Garde" w:hAnsi="ITC Avant Garde" w:cs="Arial"/>
          <w:b/>
        </w:rPr>
      </w:pPr>
      <w:r w:rsidRPr="00092958">
        <w:rPr>
          <w:rFonts w:ascii="ITC Avant Garde" w:hAnsi="ITC Avant Garde" w:cs="Arial"/>
          <w:b/>
        </w:rPr>
        <w:t>INFORME DE CONSIDERACIONES RESPECTO DE LA CONSULTA PÚBLICA DEL “</w:t>
      </w:r>
      <w:r w:rsidR="001A7568" w:rsidRPr="00092958">
        <w:rPr>
          <w:rFonts w:ascii="ITC Avant Garde" w:hAnsi="ITC Avant Garde" w:cs="Arial"/>
          <w:b/>
        </w:rPr>
        <w:t xml:space="preserve">ANTEPROYECTO DE </w:t>
      </w:r>
      <w:r w:rsidRPr="00092958">
        <w:rPr>
          <w:rFonts w:ascii="ITC Avant Garde" w:eastAsia="Arial Unicode MS" w:hAnsi="ITC Avant Garde" w:cs="Arial"/>
          <w:b/>
          <w:bdr w:val="nil"/>
        </w:rPr>
        <w:t xml:space="preserve">ACUERDO MEDIANTE EL CUAL EL PLENO DEL INSTITUTO FEDERAL DE TELECOMUNICACIONES EMITE LOS </w:t>
      </w:r>
      <w:r w:rsidRPr="00092958">
        <w:rPr>
          <w:rFonts w:ascii="ITC Avant Garde" w:hAnsi="ITC Avant Garde" w:cs="Arial"/>
          <w:b/>
          <w:kern w:val="1"/>
          <w:lang w:eastAsia="ar-SA"/>
        </w:rPr>
        <w:t>LINEAMIENTOS PARA EL REGISTRO Y CONTROL DE FRECUENCIAS CLASIFICADAS COMO ESPECTRO PROTEGIDO EN EL SEGMENTO 129.900-132.025 MHZ PARA CONTROL OPERACIONAL AERONÁUTICO</w:t>
      </w:r>
      <w:r w:rsidRPr="00092958">
        <w:rPr>
          <w:rFonts w:ascii="ITC Avant Garde" w:eastAsia="Arial Unicode MS" w:hAnsi="ITC Avant Garde" w:cs="Arial"/>
          <w:b/>
          <w:bdr w:val="nil"/>
        </w:rPr>
        <w:t xml:space="preserve"> Y SU APÉNDICE ÚNICO: GUÍA DE INFORMACIÓN PARA LA INSCRIPCIÓN DE FRECUENCIAS, Y LA MODIFICACIÓN, RENOVACIÓN Y CANCELACIÓN DE INSCRIPCIONES EN EL REGISTRO AOC</w:t>
      </w:r>
      <w:r w:rsidRPr="00092958">
        <w:rPr>
          <w:rFonts w:ascii="ITC Avant Garde" w:hAnsi="ITC Avant Garde" w:cs="Arial"/>
          <w:b/>
        </w:rPr>
        <w:t>”</w:t>
      </w:r>
    </w:p>
    <w:p w14:paraId="71709E4F" w14:textId="08762FB8" w:rsidR="008766FE" w:rsidRPr="00092958" w:rsidRDefault="008766FE" w:rsidP="00D838AF">
      <w:pPr>
        <w:spacing w:after="0"/>
        <w:rPr>
          <w:rFonts w:ascii="ITC Avant Garde" w:hAnsi="ITC Avant Garde" w:cs="Arial"/>
          <w:b/>
          <w:color w:val="000000" w:themeColor="text1"/>
        </w:rPr>
      </w:pPr>
    </w:p>
    <w:p w14:paraId="14A188C6" w14:textId="6F9F2705" w:rsidR="001E08F0" w:rsidRPr="00092958" w:rsidRDefault="00752AB6" w:rsidP="00D838AF">
      <w:pPr>
        <w:spacing w:after="0"/>
        <w:contextualSpacing/>
        <w:jc w:val="both"/>
        <w:rPr>
          <w:rFonts w:ascii="ITC Avant Garde" w:hAnsi="ITC Avant Garde" w:cs="Arial"/>
        </w:rPr>
      </w:pPr>
      <w:r w:rsidRPr="00092958">
        <w:rPr>
          <w:rFonts w:ascii="ITC Avant Garde" w:hAnsi="ITC Avant Garde" w:cs="Arial"/>
        </w:rPr>
        <w:t>En la Ciudad de México a los</w:t>
      </w:r>
      <w:r w:rsidR="00195932">
        <w:rPr>
          <w:rFonts w:ascii="ITC Avant Garde" w:hAnsi="ITC Avant Garde" w:cs="Arial"/>
        </w:rPr>
        <w:t xml:space="preserve"> 9</w:t>
      </w:r>
      <w:r w:rsidRPr="00092958">
        <w:rPr>
          <w:rFonts w:ascii="ITC Avant Garde" w:hAnsi="ITC Avant Garde" w:cs="Arial"/>
        </w:rPr>
        <w:t xml:space="preserve"> días de </w:t>
      </w:r>
      <w:r w:rsidR="000E0B31">
        <w:rPr>
          <w:rFonts w:ascii="ITC Avant Garde" w:hAnsi="ITC Avant Garde" w:cs="Arial"/>
        </w:rPr>
        <w:t>diciembre</w:t>
      </w:r>
      <w:r w:rsidR="000E0B31" w:rsidRPr="00092958">
        <w:rPr>
          <w:rFonts w:ascii="ITC Avant Garde" w:hAnsi="ITC Avant Garde" w:cs="Arial"/>
        </w:rPr>
        <w:t xml:space="preserve"> </w:t>
      </w:r>
      <w:r w:rsidRPr="00092958">
        <w:rPr>
          <w:rFonts w:ascii="ITC Avant Garde" w:hAnsi="ITC Avant Garde" w:cs="Arial"/>
        </w:rPr>
        <w:t xml:space="preserve">de </w:t>
      </w:r>
      <w:r w:rsidR="00B066AE" w:rsidRPr="00092958">
        <w:rPr>
          <w:rFonts w:ascii="ITC Avant Garde" w:hAnsi="ITC Avant Garde" w:cs="Arial"/>
        </w:rPr>
        <w:t>202</w:t>
      </w:r>
      <w:r w:rsidR="000E0B31">
        <w:rPr>
          <w:rFonts w:ascii="ITC Avant Garde" w:hAnsi="ITC Avant Garde" w:cs="Arial"/>
        </w:rPr>
        <w:t>2</w:t>
      </w:r>
      <w:r w:rsidRPr="00092958">
        <w:rPr>
          <w:rFonts w:ascii="ITC Avant Garde" w:hAnsi="ITC Avant Garde" w:cs="Arial"/>
        </w:rPr>
        <w:t>, la Unidad de Espectro Radioeléctrico del Instituto Federal de Telecomunicaciones</w:t>
      </w:r>
      <w:r w:rsidR="00725B4C" w:rsidRPr="00092958">
        <w:rPr>
          <w:rFonts w:ascii="ITC Avant Garde" w:hAnsi="ITC Avant Garde" w:cs="Arial"/>
        </w:rPr>
        <w:t xml:space="preserve"> (Instituto)</w:t>
      </w:r>
      <w:r w:rsidRPr="00092958">
        <w:rPr>
          <w:rFonts w:ascii="ITC Avant Garde" w:hAnsi="ITC Avant Garde" w:cs="Arial"/>
        </w:rPr>
        <w:t>, por conducto de la Dirección General de</w:t>
      </w:r>
      <w:r w:rsidR="00566C8A" w:rsidRPr="00092958">
        <w:rPr>
          <w:rFonts w:ascii="ITC Avant Garde" w:hAnsi="ITC Avant Garde" w:cs="Arial"/>
        </w:rPr>
        <w:t xml:space="preserve"> Regulación del Espectro y Recursos Orbitales</w:t>
      </w:r>
      <w:r w:rsidR="00927C77" w:rsidRPr="00092958">
        <w:rPr>
          <w:rFonts w:ascii="ITC Avant Garde" w:hAnsi="ITC Avant Garde" w:cs="Arial"/>
        </w:rPr>
        <w:t>,</w:t>
      </w:r>
      <w:r w:rsidRPr="00092958">
        <w:rPr>
          <w:rFonts w:ascii="ITC Avant Garde" w:hAnsi="ITC Avant Garde" w:cs="Arial"/>
        </w:rPr>
        <w:t xml:space="preserve"> presenta el informe de consideraciones que contiene un resumen de la información, comentarios</w:t>
      </w:r>
      <w:r w:rsidR="00BC1A91">
        <w:rPr>
          <w:rFonts w:ascii="ITC Avant Garde" w:hAnsi="ITC Avant Garde" w:cs="Arial"/>
        </w:rPr>
        <w:t>,</w:t>
      </w:r>
      <w:r w:rsidRPr="00092958">
        <w:rPr>
          <w:rFonts w:ascii="ITC Avant Garde" w:hAnsi="ITC Avant Garde" w:cs="Arial"/>
        </w:rPr>
        <w:t xml:space="preserve"> opiniones</w:t>
      </w:r>
      <w:r w:rsidR="001A7568" w:rsidRPr="00092958">
        <w:rPr>
          <w:rFonts w:ascii="ITC Avant Garde" w:hAnsi="ITC Avant Garde" w:cs="Arial"/>
        </w:rPr>
        <w:t xml:space="preserve"> </w:t>
      </w:r>
      <w:r w:rsidR="00BC1A91">
        <w:rPr>
          <w:rFonts w:ascii="ITC Avant Garde" w:hAnsi="ITC Avant Garde" w:cs="Arial"/>
        </w:rPr>
        <w:t xml:space="preserve">y otros elementos de análisis </w:t>
      </w:r>
      <w:r w:rsidRPr="00092958">
        <w:rPr>
          <w:rFonts w:ascii="ITC Avant Garde" w:hAnsi="ITC Avant Garde" w:cs="Arial"/>
        </w:rPr>
        <w:t xml:space="preserve">recibidos durante la consulta pública del </w:t>
      </w:r>
      <w:r w:rsidRPr="00092958">
        <w:rPr>
          <w:rFonts w:ascii="ITC Avant Garde" w:hAnsi="ITC Avant Garde" w:cs="Arial"/>
          <w:i/>
          <w:iCs/>
        </w:rPr>
        <w:t>“</w:t>
      </w:r>
      <w:r w:rsidR="00BC1A91">
        <w:rPr>
          <w:rFonts w:ascii="ITC Avant Garde" w:hAnsi="ITC Avant Garde" w:cs="Arial"/>
          <w:i/>
          <w:iCs/>
        </w:rPr>
        <w:t xml:space="preserve">Anteproyecto de </w:t>
      </w:r>
      <w:r w:rsidR="00566C8A" w:rsidRPr="00092958">
        <w:rPr>
          <w:rFonts w:ascii="ITC Avant Garde" w:eastAsia="Arial Unicode MS" w:hAnsi="ITC Avant Garde" w:cs="Arial"/>
          <w:bCs/>
          <w:i/>
          <w:iCs/>
          <w:bdr w:val="nil"/>
        </w:rPr>
        <w:t xml:space="preserve">Acuerdo mediante el cual el Pleno del Instituto Federal de Telecomunicaciones emite los </w:t>
      </w:r>
      <w:r w:rsidR="00566C8A" w:rsidRPr="00092958">
        <w:rPr>
          <w:rFonts w:ascii="ITC Avant Garde" w:hAnsi="ITC Avant Garde" w:cs="Arial"/>
          <w:bCs/>
          <w:i/>
          <w:iCs/>
          <w:kern w:val="1"/>
          <w:lang w:eastAsia="ar-SA"/>
        </w:rPr>
        <w:t>Lineamientos para el registro y control de frecuencias clasificadas como espectro protegido en el segmento 129.900-132.025 MHz para control operacional aeronáutico</w:t>
      </w:r>
      <w:r w:rsidR="00566C8A" w:rsidRPr="00092958">
        <w:rPr>
          <w:rFonts w:ascii="ITC Avant Garde" w:eastAsia="Arial Unicode MS" w:hAnsi="ITC Avant Garde" w:cs="Arial"/>
          <w:bCs/>
          <w:i/>
          <w:iCs/>
          <w:bdr w:val="nil"/>
        </w:rPr>
        <w:t xml:space="preserve"> y su Apéndice Único: Guía de información para la inscripción de frecuencias, y la modificación, renovación y cancelación de inscripciones en el Registro AOC</w:t>
      </w:r>
      <w:r w:rsidRPr="00092958">
        <w:rPr>
          <w:rFonts w:ascii="ITC Avant Garde" w:hAnsi="ITC Avant Garde" w:cs="Arial"/>
          <w:i/>
          <w:iCs/>
        </w:rPr>
        <w:t>”</w:t>
      </w:r>
      <w:r w:rsidRPr="00092958">
        <w:rPr>
          <w:rFonts w:ascii="ITC Avant Garde" w:hAnsi="ITC Avant Garde" w:cs="Arial"/>
        </w:rPr>
        <w:t xml:space="preserve"> (Anteproyecto), así como su respuesta o posicionamiento, que se emite de conformidad con lo dispuesto en </w:t>
      </w:r>
      <w:r w:rsidR="001A7568" w:rsidRPr="00092958">
        <w:rPr>
          <w:rFonts w:ascii="ITC Avant Garde" w:hAnsi="ITC Avant Garde" w:cs="Arial"/>
        </w:rPr>
        <w:t>e</w:t>
      </w:r>
      <w:r w:rsidRPr="00092958">
        <w:rPr>
          <w:rFonts w:ascii="ITC Avant Garde" w:hAnsi="ITC Avant Garde" w:cs="Arial"/>
        </w:rPr>
        <w:t xml:space="preserve">l artículo </w:t>
      </w:r>
      <w:r w:rsidR="00092C6A" w:rsidRPr="00092958">
        <w:rPr>
          <w:rFonts w:ascii="ITC Avant Garde" w:hAnsi="ITC Avant Garde" w:cs="Arial"/>
        </w:rPr>
        <w:t>51 párrafo tercero de la Ley Federal de Telecomunicaciones y Radiodifusión (Ley)</w:t>
      </w:r>
      <w:r w:rsidR="005B0745" w:rsidRPr="00092958">
        <w:rPr>
          <w:rFonts w:ascii="ITC Avant Garde" w:hAnsi="ITC Avant Garde" w:cs="Arial"/>
        </w:rPr>
        <w:t xml:space="preserve"> y </w:t>
      </w:r>
      <w:r w:rsidR="00D204C8" w:rsidRPr="00092958">
        <w:rPr>
          <w:rFonts w:ascii="ITC Avant Garde" w:hAnsi="ITC Avant Garde" w:cs="Arial"/>
        </w:rPr>
        <w:t>el</w:t>
      </w:r>
      <w:r w:rsidRPr="00092958">
        <w:rPr>
          <w:rFonts w:ascii="ITC Avant Garde" w:hAnsi="ITC Avant Garde" w:cs="Arial"/>
        </w:rPr>
        <w:t xml:space="preserve"> </w:t>
      </w:r>
      <w:r w:rsidR="00BC1A91">
        <w:rPr>
          <w:rFonts w:ascii="ITC Avant Garde" w:hAnsi="ITC Avant Garde" w:cs="Arial"/>
        </w:rPr>
        <w:t>numeral</w:t>
      </w:r>
      <w:r w:rsidRPr="00092958">
        <w:rPr>
          <w:rFonts w:ascii="ITC Avant Garde" w:hAnsi="ITC Avant Garde" w:cs="Arial"/>
        </w:rPr>
        <w:t xml:space="preserve"> Noveno de los Lineamientos de Consulta Pública y Análisis de Impacto Regulatorio del Instituto Federal de Telecomunicaciones</w:t>
      </w:r>
      <w:r w:rsidR="005B0745" w:rsidRPr="00092958">
        <w:rPr>
          <w:rFonts w:ascii="ITC Avant Garde" w:hAnsi="ITC Avant Garde" w:cs="Arial"/>
        </w:rPr>
        <w:t xml:space="preserve"> (Lineamientos)</w:t>
      </w:r>
      <w:r w:rsidR="00D204C8" w:rsidRPr="00092958">
        <w:rPr>
          <w:rFonts w:ascii="ITC Avant Garde" w:hAnsi="ITC Avant Garde" w:cs="Arial"/>
        </w:rPr>
        <w:t>.</w:t>
      </w:r>
      <w:r w:rsidRPr="00092958">
        <w:rPr>
          <w:rFonts w:ascii="ITC Avant Garde" w:hAnsi="ITC Avant Garde" w:cs="Arial"/>
        </w:rPr>
        <w:t xml:space="preserve"> </w:t>
      </w:r>
    </w:p>
    <w:p w14:paraId="301E8F39" w14:textId="77777777" w:rsidR="001E08F0" w:rsidRPr="00092958" w:rsidRDefault="001E08F0" w:rsidP="00D838AF">
      <w:pPr>
        <w:spacing w:after="0"/>
        <w:contextualSpacing/>
        <w:jc w:val="both"/>
        <w:rPr>
          <w:rFonts w:ascii="ITC Avant Garde" w:hAnsi="ITC Avant Garde" w:cs="Arial"/>
        </w:rPr>
      </w:pPr>
    </w:p>
    <w:p w14:paraId="558E73A7" w14:textId="61B2A3E2" w:rsidR="0054590E" w:rsidRPr="00DB7D9B" w:rsidRDefault="008766FE" w:rsidP="00DB7D9B">
      <w:pPr>
        <w:pStyle w:val="Prrafodelista"/>
        <w:spacing w:after="0" w:line="360" w:lineRule="auto"/>
        <w:ind w:left="0"/>
        <w:jc w:val="both"/>
        <w:rPr>
          <w:rFonts w:ascii="ITC Avant Garde" w:hAnsi="ITC Avant Garde" w:cs="Arial"/>
          <w:color w:val="000000" w:themeColor="text1"/>
          <w:kern w:val="1"/>
          <w:lang w:eastAsia="ar-SA"/>
        </w:rPr>
      </w:pPr>
      <w:r w:rsidRPr="00DB7D9B">
        <w:rPr>
          <w:rFonts w:ascii="ITC Avant Garde" w:hAnsi="ITC Avant Garde" w:cs="Arial"/>
          <w:b/>
          <w:color w:val="000000" w:themeColor="text1"/>
        </w:rPr>
        <w:t>Descripción de la Consulta Pública</w:t>
      </w:r>
    </w:p>
    <w:p w14:paraId="5E9978F2" w14:textId="2FA44648" w:rsidR="001E08F0" w:rsidRPr="00092958" w:rsidRDefault="001E08F0" w:rsidP="00D838AF">
      <w:pPr>
        <w:pStyle w:val="Ttulo3"/>
        <w:numPr>
          <w:ilvl w:val="0"/>
          <w:numId w:val="0"/>
        </w:numPr>
        <w:spacing w:before="0"/>
        <w:jc w:val="both"/>
        <w:rPr>
          <w:rFonts w:ascii="ITC Avant Garde" w:hAnsi="ITC Avant Garde" w:cs="Arial"/>
          <w:color w:val="000000"/>
          <w:sz w:val="22"/>
          <w:szCs w:val="22"/>
        </w:rPr>
      </w:pPr>
      <w:r w:rsidRPr="00092958">
        <w:rPr>
          <w:rFonts w:ascii="ITC Avant Garde" w:hAnsi="ITC Avant Garde" w:cs="Arial"/>
          <w:color w:val="000000"/>
          <w:sz w:val="22"/>
          <w:szCs w:val="22"/>
        </w:rPr>
        <w:t>El Instituto convencido de la importancia y relevancia de transparentar su proceso de elaboración de nuevas regulaciones llevó a cabo la consulta pública del Anteproyecto</w:t>
      </w:r>
      <w:r w:rsidRPr="00092958">
        <w:rPr>
          <w:rFonts w:ascii="ITC Avant Garde" w:hAnsi="ITC Avant Garde" w:cs="Arial"/>
          <w:bCs/>
          <w:color w:val="000000" w:themeColor="text1"/>
          <w:kern w:val="2"/>
          <w:sz w:val="22"/>
          <w:szCs w:val="22"/>
          <w:lang w:val="es-ES_tradnl" w:eastAsia="ar-SA"/>
        </w:rPr>
        <w:t xml:space="preserve">, misma que fue aprobada </w:t>
      </w:r>
      <w:r w:rsidRPr="00092958">
        <w:rPr>
          <w:rFonts w:ascii="ITC Avant Garde" w:hAnsi="ITC Avant Garde" w:cs="Arial"/>
          <w:color w:val="000000" w:themeColor="text1"/>
          <w:kern w:val="1"/>
          <w:sz w:val="22"/>
          <w:szCs w:val="22"/>
          <w:lang w:eastAsia="ar-SA"/>
        </w:rPr>
        <w:t xml:space="preserve">por el Pleno del Instituto mediante Acuerdo P/IFT/260521/209 en su X Sesión Ordinaria celebrada el 26 de mayo de 2021, </w:t>
      </w:r>
      <w:r w:rsidRPr="00092958">
        <w:rPr>
          <w:rFonts w:ascii="ITC Avant Garde" w:hAnsi="ITC Avant Garde" w:cs="Arial"/>
          <w:color w:val="000000"/>
          <w:sz w:val="22"/>
          <w:szCs w:val="22"/>
        </w:rPr>
        <w:t xml:space="preserve">con base en lo establecido en los artículos 1, 2, 7, 15 fracciones I, XL y LVI y 51 de la Ley; 1, 4 fracción I, 6, fracciones I y XXXVIII, 27 y 28 fracción I del Estatuto Orgánico del Instituto Federal de Telecomunicaciones, así como en los </w:t>
      </w:r>
      <w:r w:rsidR="00F54459">
        <w:rPr>
          <w:rFonts w:ascii="ITC Avant Garde" w:hAnsi="ITC Avant Garde" w:cs="Arial"/>
          <w:color w:val="000000"/>
          <w:sz w:val="22"/>
          <w:szCs w:val="22"/>
        </w:rPr>
        <w:t>numerales</w:t>
      </w:r>
      <w:r w:rsidRPr="00092958">
        <w:rPr>
          <w:rFonts w:ascii="ITC Avant Garde" w:hAnsi="ITC Avant Garde" w:cs="Arial"/>
          <w:color w:val="000000"/>
          <w:sz w:val="22"/>
          <w:szCs w:val="22"/>
        </w:rPr>
        <w:t xml:space="preserve"> Primero, Tercero fracción II, Cuarto, Séptimo, Octavo, Noveno, Décimo Primero y Vigésimo Primero de los Lineamientos.</w:t>
      </w:r>
    </w:p>
    <w:p w14:paraId="68E02EA2" w14:textId="77777777" w:rsidR="00BC1A91" w:rsidRDefault="00BC1A91" w:rsidP="00D838AF">
      <w:pPr>
        <w:pStyle w:val="Ttulo3"/>
        <w:numPr>
          <w:ilvl w:val="0"/>
          <w:numId w:val="0"/>
        </w:numPr>
        <w:spacing w:before="0"/>
        <w:jc w:val="both"/>
        <w:rPr>
          <w:rFonts w:ascii="ITC Avant Garde" w:hAnsi="ITC Avant Garde" w:cs="Arial"/>
          <w:color w:val="000000" w:themeColor="text1"/>
          <w:kern w:val="1"/>
          <w:sz w:val="22"/>
          <w:szCs w:val="22"/>
          <w:lang w:eastAsia="ar-SA"/>
        </w:rPr>
      </w:pPr>
    </w:p>
    <w:p w14:paraId="21C54A2F" w14:textId="3A1BCFA6" w:rsidR="00752AB6" w:rsidRPr="00092958" w:rsidRDefault="00752AB6" w:rsidP="00D838AF">
      <w:pPr>
        <w:pStyle w:val="Ttulo3"/>
        <w:numPr>
          <w:ilvl w:val="0"/>
          <w:numId w:val="0"/>
        </w:numPr>
        <w:spacing w:before="0"/>
        <w:jc w:val="both"/>
        <w:rPr>
          <w:rFonts w:ascii="ITC Avant Garde" w:hAnsi="ITC Avant Garde" w:cs="Arial"/>
          <w:color w:val="000000" w:themeColor="text1"/>
          <w:kern w:val="1"/>
          <w:sz w:val="22"/>
          <w:szCs w:val="22"/>
          <w:lang w:eastAsia="ar-SA"/>
        </w:rPr>
      </w:pPr>
      <w:r w:rsidRPr="00092958">
        <w:rPr>
          <w:rFonts w:ascii="ITC Avant Garde" w:hAnsi="ITC Avant Garde" w:cs="Arial"/>
          <w:color w:val="000000" w:themeColor="text1"/>
          <w:kern w:val="1"/>
          <w:sz w:val="22"/>
          <w:szCs w:val="22"/>
          <w:lang w:eastAsia="ar-SA"/>
        </w:rPr>
        <w:t>D</w:t>
      </w:r>
      <w:r w:rsidR="007C5E4F" w:rsidRPr="00092958">
        <w:rPr>
          <w:rFonts w:ascii="ITC Avant Garde" w:hAnsi="ITC Avant Garde" w:cs="Arial"/>
          <w:color w:val="000000" w:themeColor="text1"/>
          <w:kern w:val="1"/>
          <w:sz w:val="22"/>
          <w:szCs w:val="22"/>
          <w:lang w:eastAsia="ar-SA"/>
        </w:rPr>
        <w:t>icho proceso consultivo se llevó a cabo</w:t>
      </w:r>
      <w:r w:rsidR="003D7FF5" w:rsidRPr="00092958">
        <w:rPr>
          <w:rFonts w:ascii="ITC Avant Garde" w:hAnsi="ITC Avant Garde" w:cs="Arial"/>
          <w:color w:val="000000" w:themeColor="text1"/>
          <w:kern w:val="1"/>
          <w:sz w:val="22"/>
          <w:szCs w:val="22"/>
          <w:lang w:eastAsia="ar-SA"/>
        </w:rPr>
        <w:t xml:space="preserve"> por un período de 20 (veinte) días hábiles, del </w:t>
      </w:r>
      <w:r w:rsidRPr="00092958">
        <w:rPr>
          <w:rFonts w:ascii="ITC Avant Garde" w:hAnsi="ITC Avant Garde" w:cs="Arial"/>
          <w:color w:val="000000" w:themeColor="text1"/>
          <w:kern w:val="1"/>
          <w:sz w:val="22"/>
          <w:szCs w:val="22"/>
          <w:lang w:eastAsia="ar-SA"/>
        </w:rPr>
        <w:t xml:space="preserve">1 al </w:t>
      </w:r>
      <w:r w:rsidR="000513E3" w:rsidRPr="00092958">
        <w:rPr>
          <w:rFonts w:ascii="ITC Avant Garde" w:hAnsi="ITC Avant Garde" w:cs="Arial"/>
          <w:color w:val="000000" w:themeColor="text1"/>
          <w:kern w:val="1"/>
          <w:sz w:val="22"/>
          <w:szCs w:val="22"/>
          <w:lang w:eastAsia="ar-SA"/>
        </w:rPr>
        <w:t>28 de junio</w:t>
      </w:r>
      <w:r w:rsidRPr="00092958">
        <w:rPr>
          <w:rFonts w:ascii="ITC Avant Garde" w:hAnsi="ITC Avant Garde" w:cs="Arial"/>
          <w:color w:val="000000" w:themeColor="text1"/>
          <w:kern w:val="1"/>
          <w:sz w:val="22"/>
          <w:szCs w:val="22"/>
          <w:lang w:eastAsia="ar-SA"/>
        </w:rPr>
        <w:t xml:space="preserve"> de 202</w:t>
      </w:r>
      <w:r w:rsidR="000513E3" w:rsidRPr="00092958">
        <w:rPr>
          <w:rFonts w:ascii="ITC Avant Garde" w:hAnsi="ITC Avant Garde" w:cs="Arial"/>
          <w:color w:val="000000" w:themeColor="text1"/>
          <w:kern w:val="1"/>
          <w:sz w:val="22"/>
          <w:szCs w:val="22"/>
          <w:lang w:eastAsia="ar-SA"/>
        </w:rPr>
        <w:t>1</w:t>
      </w:r>
      <w:r w:rsidRPr="00092958">
        <w:rPr>
          <w:rFonts w:ascii="ITC Avant Garde" w:hAnsi="ITC Avant Garde" w:cs="Arial"/>
          <w:color w:val="000000" w:themeColor="text1"/>
          <w:kern w:val="1"/>
          <w:sz w:val="22"/>
          <w:szCs w:val="22"/>
          <w:lang w:eastAsia="ar-SA"/>
        </w:rPr>
        <w:t>,</w:t>
      </w:r>
      <w:r w:rsidRPr="00092958">
        <w:rPr>
          <w:rFonts w:ascii="ITC Avant Garde" w:hAnsi="ITC Avant Garde" w:cs="Arial"/>
          <w:color w:val="000000" w:themeColor="text1"/>
          <w:sz w:val="22"/>
          <w:szCs w:val="22"/>
        </w:rPr>
        <w:t xml:space="preserve"> </w:t>
      </w:r>
      <w:r w:rsidRPr="00092958">
        <w:rPr>
          <w:rFonts w:ascii="ITC Avant Garde" w:hAnsi="ITC Avant Garde" w:cs="Arial"/>
          <w:color w:val="000000" w:themeColor="text1"/>
          <w:kern w:val="1"/>
          <w:sz w:val="22"/>
          <w:szCs w:val="22"/>
          <w:lang w:eastAsia="ar-SA"/>
        </w:rPr>
        <w:t xml:space="preserve">con el objeto </w:t>
      </w:r>
      <w:r w:rsidR="003D7FF5" w:rsidRPr="00092958">
        <w:rPr>
          <w:rFonts w:ascii="ITC Avant Garde" w:hAnsi="ITC Avant Garde" w:cs="Arial"/>
          <w:color w:val="000000" w:themeColor="text1"/>
          <w:kern w:val="1"/>
          <w:sz w:val="22"/>
          <w:szCs w:val="22"/>
          <w:lang w:eastAsia="ar-SA"/>
        </w:rPr>
        <w:t xml:space="preserve">de </w:t>
      </w:r>
      <w:r w:rsidRPr="00092958">
        <w:rPr>
          <w:rFonts w:ascii="ITC Avant Garde" w:hAnsi="ITC Avant Garde" w:cs="Arial"/>
          <w:color w:val="000000" w:themeColor="text1"/>
          <w:kern w:val="1"/>
          <w:sz w:val="22"/>
          <w:szCs w:val="22"/>
          <w:lang w:eastAsia="ar-SA"/>
        </w:rPr>
        <w:t>dar a conocer la propuesta regulatoria del Institut</w:t>
      </w:r>
      <w:r w:rsidR="007C5E4F" w:rsidRPr="00092958">
        <w:rPr>
          <w:rFonts w:ascii="ITC Avant Garde" w:hAnsi="ITC Avant Garde" w:cs="Arial"/>
          <w:color w:val="000000" w:themeColor="text1"/>
          <w:kern w:val="1"/>
          <w:sz w:val="22"/>
          <w:szCs w:val="22"/>
          <w:lang w:eastAsia="ar-SA"/>
        </w:rPr>
        <w:t xml:space="preserve">o; derivado de lo anterior </w:t>
      </w:r>
      <w:r w:rsidR="00BD4031" w:rsidRPr="00092958">
        <w:rPr>
          <w:rFonts w:ascii="ITC Avant Garde" w:hAnsi="ITC Avant Garde" w:cs="Arial"/>
          <w:color w:val="000000" w:themeColor="text1"/>
          <w:kern w:val="1"/>
          <w:sz w:val="22"/>
          <w:szCs w:val="22"/>
          <w:lang w:eastAsia="ar-SA"/>
        </w:rPr>
        <w:t>fueron recibidas</w:t>
      </w:r>
      <w:r w:rsidRPr="00092958">
        <w:rPr>
          <w:rFonts w:ascii="ITC Avant Garde" w:hAnsi="ITC Avant Garde" w:cs="Arial"/>
          <w:color w:val="000000" w:themeColor="text1"/>
          <w:kern w:val="1"/>
          <w:sz w:val="22"/>
          <w:szCs w:val="22"/>
          <w:lang w:eastAsia="ar-SA"/>
        </w:rPr>
        <w:t xml:space="preserve"> </w:t>
      </w:r>
      <w:r w:rsidR="00663CA5" w:rsidRPr="00092958">
        <w:rPr>
          <w:rFonts w:ascii="ITC Avant Garde" w:hAnsi="ITC Avant Garde" w:cs="Arial"/>
          <w:color w:val="000000" w:themeColor="text1"/>
          <w:kern w:val="1"/>
          <w:sz w:val="22"/>
          <w:szCs w:val="22"/>
          <w:lang w:eastAsia="ar-SA"/>
        </w:rPr>
        <w:t>3</w:t>
      </w:r>
      <w:r w:rsidRPr="00092958">
        <w:rPr>
          <w:rFonts w:ascii="ITC Avant Garde" w:hAnsi="ITC Avant Garde" w:cs="Arial"/>
          <w:color w:val="000000" w:themeColor="text1"/>
          <w:kern w:val="1"/>
          <w:sz w:val="22"/>
          <w:szCs w:val="22"/>
          <w:lang w:eastAsia="ar-SA"/>
        </w:rPr>
        <w:t xml:space="preserve"> </w:t>
      </w:r>
      <w:r w:rsidR="00BD4031" w:rsidRPr="00092958">
        <w:rPr>
          <w:rFonts w:ascii="ITC Avant Garde" w:hAnsi="ITC Avant Garde" w:cs="Arial"/>
          <w:color w:val="000000" w:themeColor="text1"/>
          <w:kern w:val="1"/>
          <w:sz w:val="22"/>
          <w:szCs w:val="22"/>
          <w:lang w:eastAsia="ar-SA"/>
        </w:rPr>
        <w:t>(</w:t>
      </w:r>
      <w:r w:rsidR="00663CA5" w:rsidRPr="00092958">
        <w:rPr>
          <w:rFonts w:ascii="ITC Avant Garde" w:hAnsi="ITC Avant Garde" w:cs="Arial"/>
          <w:color w:val="000000" w:themeColor="text1"/>
          <w:kern w:val="1"/>
          <w:sz w:val="22"/>
          <w:szCs w:val="22"/>
          <w:lang w:eastAsia="ar-SA"/>
        </w:rPr>
        <w:t>tres</w:t>
      </w:r>
      <w:r w:rsidR="00BD4031" w:rsidRPr="00092958">
        <w:rPr>
          <w:rFonts w:ascii="ITC Avant Garde" w:hAnsi="ITC Avant Garde" w:cs="Arial"/>
          <w:color w:val="000000" w:themeColor="text1"/>
          <w:kern w:val="1"/>
          <w:sz w:val="22"/>
          <w:szCs w:val="22"/>
          <w:lang w:eastAsia="ar-SA"/>
        </w:rPr>
        <w:t>) participaciones</w:t>
      </w:r>
      <w:r w:rsidR="005A0FC0" w:rsidRPr="00092958">
        <w:rPr>
          <w:rFonts w:ascii="ITC Avant Garde" w:hAnsi="ITC Avant Garde" w:cs="Arial"/>
          <w:color w:val="000000" w:themeColor="text1"/>
          <w:kern w:val="1"/>
          <w:sz w:val="22"/>
          <w:szCs w:val="22"/>
          <w:lang w:eastAsia="ar-SA"/>
        </w:rPr>
        <w:t xml:space="preserve">, las cuales </w:t>
      </w:r>
      <w:r w:rsidRPr="00092958">
        <w:rPr>
          <w:rFonts w:ascii="ITC Avant Garde" w:hAnsi="ITC Avant Garde" w:cs="Arial"/>
          <w:color w:val="000000" w:themeColor="text1"/>
          <w:kern w:val="1"/>
          <w:sz w:val="22"/>
          <w:szCs w:val="22"/>
          <w:lang w:eastAsia="ar-SA"/>
        </w:rPr>
        <w:t>fueron analizad</w:t>
      </w:r>
      <w:r w:rsidR="007C5E4F" w:rsidRPr="00092958">
        <w:rPr>
          <w:rFonts w:ascii="ITC Avant Garde" w:hAnsi="ITC Avant Garde" w:cs="Arial"/>
          <w:color w:val="000000" w:themeColor="text1"/>
          <w:kern w:val="1"/>
          <w:sz w:val="22"/>
          <w:szCs w:val="22"/>
          <w:lang w:eastAsia="ar-SA"/>
        </w:rPr>
        <w:t>a</w:t>
      </w:r>
      <w:r w:rsidRPr="00092958">
        <w:rPr>
          <w:rFonts w:ascii="ITC Avant Garde" w:hAnsi="ITC Avant Garde" w:cs="Arial"/>
          <w:color w:val="000000" w:themeColor="text1"/>
          <w:kern w:val="1"/>
          <w:sz w:val="22"/>
          <w:szCs w:val="22"/>
          <w:lang w:eastAsia="ar-SA"/>
        </w:rPr>
        <w:t>s y tomad</w:t>
      </w:r>
      <w:r w:rsidR="007C5E4F" w:rsidRPr="00092958">
        <w:rPr>
          <w:rFonts w:ascii="ITC Avant Garde" w:hAnsi="ITC Avant Garde" w:cs="Arial"/>
          <w:color w:val="000000" w:themeColor="text1"/>
          <w:kern w:val="1"/>
          <w:sz w:val="22"/>
          <w:szCs w:val="22"/>
          <w:lang w:eastAsia="ar-SA"/>
        </w:rPr>
        <w:t>a</w:t>
      </w:r>
      <w:r w:rsidRPr="00092958">
        <w:rPr>
          <w:rFonts w:ascii="ITC Avant Garde" w:hAnsi="ITC Avant Garde" w:cs="Arial"/>
          <w:color w:val="000000" w:themeColor="text1"/>
          <w:kern w:val="1"/>
          <w:sz w:val="22"/>
          <w:szCs w:val="22"/>
          <w:lang w:eastAsia="ar-SA"/>
        </w:rPr>
        <w:t>s en consideración</w:t>
      </w:r>
      <w:r w:rsidR="00163408" w:rsidRPr="00092958">
        <w:rPr>
          <w:rFonts w:ascii="ITC Avant Garde" w:hAnsi="ITC Avant Garde" w:cs="Arial"/>
          <w:color w:val="000000" w:themeColor="text1"/>
          <w:kern w:val="1"/>
          <w:sz w:val="22"/>
          <w:szCs w:val="22"/>
          <w:lang w:eastAsia="ar-SA"/>
        </w:rPr>
        <w:t xml:space="preserve"> en la elaboración del presente informe de consideraciones</w:t>
      </w:r>
      <w:r w:rsidR="005A0FC0" w:rsidRPr="00092958">
        <w:rPr>
          <w:rFonts w:ascii="ITC Avant Garde" w:hAnsi="ITC Avant Garde" w:cs="Arial"/>
          <w:color w:val="000000" w:themeColor="text1"/>
          <w:kern w:val="1"/>
          <w:sz w:val="22"/>
          <w:szCs w:val="22"/>
          <w:lang w:eastAsia="ar-SA"/>
        </w:rPr>
        <w:t xml:space="preserve"> </w:t>
      </w:r>
      <w:r w:rsidR="00163408" w:rsidRPr="00092958">
        <w:rPr>
          <w:rFonts w:ascii="ITC Avant Garde" w:hAnsi="ITC Avant Garde" w:cs="Arial"/>
          <w:color w:val="000000" w:themeColor="text1"/>
          <w:kern w:val="1"/>
          <w:sz w:val="22"/>
          <w:szCs w:val="22"/>
          <w:lang w:eastAsia="ar-SA"/>
        </w:rPr>
        <w:t xml:space="preserve">en virtud de que </w:t>
      </w:r>
      <w:r w:rsidR="005A0FC0" w:rsidRPr="00092958">
        <w:rPr>
          <w:rFonts w:ascii="ITC Avant Garde" w:hAnsi="ITC Avant Garde" w:cs="Arial"/>
          <w:color w:val="000000" w:themeColor="text1"/>
          <w:kern w:val="1"/>
          <w:sz w:val="22"/>
          <w:szCs w:val="22"/>
          <w:lang w:eastAsia="ar-SA"/>
        </w:rPr>
        <w:t>su contenido se encuentra relacionado con el Anteproyecto</w:t>
      </w:r>
      <w:r w:rsidRPr="00092958">
        <w:rPr>
          <w:rFonts w:ascii="ITC Avant Garde" w:hAnsi="ITC Avant Garde" w:cs="Arial"/>
          <w:color w:val="000000" w:themeColor="text1"/>
          <w:kern w:val="1"/>
          <w:sz w:val="22"/>
          <w:szCs w:val="22"/>
          <w:lang w:eastAsia="ar-SA"/>
        </w:rPr>
        <w:t>.</w:t>
      </w:r>
    </w:p>
    <w:p w14:paraId="28BBC305" w14:textId="77777777" w:rsidR="00752AB6" w:rsidRPr="00092958" w:rsidRDefault="00752AB6" w:rsidP="00D838AF">
      <w:pPr>
        <w:suppressAutoHyphens/>
        <w:spacing w:after="0"/>
        <w:ind w:left="993" w:hanging="567"/>
        <w:jc w:val="both"/>
        <w:rPr>
          <w:rFonts w:ascii="ITC Avant Garde" w:hAnsi="ITC Avant Garde" w:cs="Arial"/>
          <w:color w:val="000000" w:themeColor="text1"/>
          <w:lang w:eastAsia="ar-SA"/>
        </w:rPr>
      </w:pPr>
    </w:p>
    <w:p w14:paraId="46355768" w14:textId="6C7AA85E" w:rsidR="00752AB6" w:rsidRPr="00092958" w:rsidRDefault="00752AB6" w:rsidP="00D838AF">
      <w:pPr>
        <w:pStyle w:val="Ttulo3"/>
        <w:numPr>
          <w:ilvl w:val="0"/>
          <w:numId w:val="21"/>
        </w:numPr>
        <w:spacing w:before="0"/>
        <w:jc w:val="both"/>
        <w:rPr>
          <w:rFonts w:ascii="ITC Avant Garde" w:hAnsi="ITC Avant Garde" w:cs="Arial"/>
          <w:b/>
          <w:color w:val="000000" w:themeColor="text1"/>
          <w:sz w:val="22"/>
          <w:szCs w:val="22"/>
        </w:rPr>
      </w:pPr>
      <w:r w:rsidRPr="00092958">
        <w:rPr>
          <w:rFonts w:ascii="ITC Avant Garde" w:hAnsi="ITC Avant Garde" w:cs="Arial"/>
          <w:b/>
          <w:color w:val="000000" w:themeColor="text1"/>
          <w:sz w:val="22"/>
          <w:szCs w:val="22"/>
        </w:rPr>
        <w:lastRenderedPageBreak/>
        <w:t>Objeto</w:t>
      </w:r>
      <w:r w:rsidR="00725B4C" w:rsidRPr="00092958">
        <w:rPr>
          <w:rFonts w:ascii="ITC Avant Garde" w:hAnsi="ITC Avant Garde" w:cs="Arial"/>
          <w:b/>
          <w:color w:val="000000" w:themeColor="text1"/>
          <w:sz w:val="22"/>
          <w:szCs w:val="22"/>
        </w:rPr>
        <w:t xml:space="preserve"> de la c</w:t>
      </w:r>
      <w:r w:rsidRPr="00092958">
        <w:rPr>
          <w:rFonts w:ascii="ITC Avant Garde" w:hAnsi="ITC Avant Garde" w:cs="Arial"/>
          <w:b/>
          <w:color w:val="000000" w:themeColor="text1"/>
          <w:sz w:val="22"/>
          <w:szCs w:val="22"/>
        </w:rPr>
        <w:t xml:space="preserve">onsulta </w:t>
      </w:r>
      <w:r w:rsidR="00725B4C" w:rsidRPr="00092958">
        <w:rPr>
          <w:rFonts w:ascii="ITC Avant Garde" w:hAnsi="ITC Avant Garde" w:cs="Arial"/>
          <w:b/>
          <w:color w:val="000000" w:themeColor="text1"/>
          <w:sz w:val="22"/>
          <w:szCs w:val="22"/>
        </w:rPr>
        <w:t>p</w:t>
      </w:r>
      <w:r w:rsidRPr="00092958">
        <w:rPr>
          <w:rFonts w:ascii="ITC Avant Garde" w:hAnsi="ITC Avant Garde" w:cs="Arial"/>
          <w:b/>
          <w:color w:val="000000" w:themeColor="text1"/>
          <w:sz w:val="22"/>
          <w:szCs w:val="22"/>
        </w:rPr>
        <w:t>ública</w:t>
      </w:r>
    </w:p>
    <w:p w14:paraId="3F6B88C1" w14:textId="77777777" w:rsidR="00AE1134" w:rsidRPr="00092958" w:rsidRDefault="00AE1134" w:rsidP="00D838AF">
      <w:pPr>
        <w:pStyle w:val="NormalWeb"/>
        <w:shd w:val="clear" w:color="auto" w:fill="FFFFFF"/>
        <w:spacing w:before="0" w:beforeAutospacing="0" w:after="0" w:afterAutospacing="0" w:line="276" w:lineRule="auto"/>
        <w:jc w:val="both"/>
        <w:rPr>
          <w:rFonts w:ascii="ITC Avant Garde" w:hAnsi="ITC Avant Garde" w:cs="Arial"/>
          <w:color w:val="000000"/>
          <w:sz w:val="22"/>
          <w:szCs w:val="22"/>
        </w:rPr>
      </w:pPr>
    </w:p>
    <w:p w14:paraId="304CEC84" w14:textId="01387F95" w:rsidR="00F54459" w:rsidRPr="00092958" w:rsidRDefault="00F54459" w:rsidP="00F54459">
      <w:pPr>
        <w:pStyle w:val="NormalWeb"/>
        <w:shd w:val="clear" w:color="auto" w:fill="FFFFFF"/>
        <w:spacing w:before="0" w:beforeAutospacing="0" w:after="0" w:afterAutospacing="0" w:line="276" w:lineRule="auto"/>
        <w:jc w:val="both"/>
        <w:rPr>
          <w:rFonts w:ascii="ITC Avant Garde" w:hAnsi="ITC Avant Garde" w:cs="Arial"/>
          <w:color w:val="000000"/>
          <w:sz w:val="22"/>
          <w:szCs w:val="22"/>
        </w:rPr>
      </w:pPr>
      <w:r>
        <w:rPr>
          <w:rFonts w:ascii="ITC Avant Garde" w:hAnsi="ITC Avant Garde" w:cs="Arial"/>
          <w:color w:val="000000"/>
          <w:sz w:val="22"/>
          <w:szCs w:val="22"/>
        </w:rPr>
        <w:t>L</w:t>
      </w:r>
      <w:r w:rsidRPr="00092958">
        <w:rPr>
          <w:rFonts w:ascii="ITC Avant Garde" w:hAnsi="ITC Avant Garde" w:cs="Arial"/>
          <w:color w:val="000000"/>
          <w:sz w:val="22"/>
          <w:szCs w:val="22"/>
        </w:rPr>
        <w:t xml:space="preserve">a consulta pública tuvo por objeto transparentar y dar a conocer la propuesta de regulación y su análisis de impacto regulatorio, así como un </w:t>
      </w:r>
      <w:r>
        <w:rPr>
          <w:rFonts w:ascii="ITC Avant Garde" w:hAnsi="ITC Avant Garde" w:cs="Arial"/>
          <w:color w:val="000000"/>
          <w:sz w:val="22"/>
          <w:szCs w:val="22"/>
        </w:rPr>
        <w:t>D</w:t>
      </w:r>
      <w:r w:rsidRPr="00092958">
        <w:rPr>
          <w:rFonts w:ascii="ITC Avant Garde" w:hAnsi="ITC Avant Garde" w:cs="Arial"/>
          <w:color w:val="000000"/>
          <w:sz w:val="22"/>
          <w:szCs w:val="22"/>
          <w:shd w:val="clear" w:color="auto" w:fill="FFFFFF"/>
        </w:rPr>
        <w:t>ocumento de referencia y sus respectivos anexos que se proporcionaron con el único fin de que los interesados pudieran tener un mejor entendimiento de las medidas que son propuestas por el Instituto</w:t>
      </w:r>
      <w:r w:rsidRPr="00092958">
        <w:rPr>
          <w:rFonts w:ascii="ITC Avant Garde" w:hAnsi="ITC Avant Garde" w:cs="Arial"/>
          <w:color w:val="000000"/>
          <w:sz w:val="22"/>
          <w:szCs w:val="22"/>
        </w:rPr>
        <w:t xml:space="preserve"> y, a partir de ello, formular a este órgano regulador sus comentarios, opiniones o aportaciones que permitieran fortalecer dicha propuesta normativa, así como para afinar con mayor precisión los posibles impactos que se desprendan a razón de su posible entrada en vigor.</w:t>
      </w:r>
    </w:p>
    <w:p w14:paraId="637D6662" w14:textId="77777777" w:rsidR="00F54459" w:rsidRDefault="00F54459" w:rsidP="00F54459">
      <w:pPr>
        <w:pStyle w:val="NormalWeb"/>
        <w:shd w:val="clear" w:color="auto" w:fill="FFFFFF"/>
        <w:spacing w:before="0" w:beforeAutospacing="0" w:after="0" w:afterAutospacing="0" w:line="276" w:lineRule="auto"/>
        <w:jc w:val="both"/>
        <w:rPr>
          <w:rFonts w:ascii="ITC Avant Garde" w:hAnsi="ITC Avant Garde" w:cs="Arial"/>
          <w:color w:val="000000"/>
          <w:sz w:val="22"/>
          <w:szCs w:val="22"/>
        </w:rPr>
      </w:pPr>
    </w:p>
    <w:p w14:paraId="2137016F" w14:textId="6383680F" w:rsidR="008148D5" w:rsidRPr="00092958" w:rsidRDefault="00CB209E" w:rsidP="00F54459">
      <w:pPr>
        <w:pStyle w:val="NormalWeb"/>
        <w:shd w:val="clear" w:color="auto" w:fill="FFFFFF"/>
        <w:spacing w:before="0" w:beforeAutospacing="0" w:after="0" w:afterAutospacing="0" w:line="276" w:lineRule="auto"/>
        <w:jc w:val="both"/>
        <w:rPr>
          <w:rFonts w:ascii="ITC Avant Garde" w:hAnsi="ITC Avant Garde" w:cs="Arial"/>
          <w:color w:val="000000"/>
          <w:sz w:val="22"/>
          <w:szCs w:val="22"/>
          <w:shd w:val="clear" w:color="auto" w:fill="FFFFFF"/>
        </w:rPr>
      </w:pPr>
      <w:r w:rsidRPr="00092958">
        <w:rPr>
          <w:rFonts w:ascii="ITC Avant Garde" w:hAnsi="ITC Avant Garde" w:cs="Arial"/>
          <w:color w:val="000000"/>
          <w:sz w:val="22"/>
          <w:szCs w:val="22"/>
        </w:rPr>
        <w:t xml:space="preserve">El </w:t>
      </w:r>
      <w:r w:rsidR="00752AB6" w:rsidRPr="00092958">
        <w:rPr>
          <w:rFonts w:ascii="ITC Avant Garde" w:hAnsi="ITC Avant Garde" w:cs="Arial"/>
          <w:color w:val="000000"/>
          <w:sz w:val="22"/>
          <w:szCs w:val="22"/>
        </w:rPr>
        <w:t>Anteproyecto</w:t>
      </w:r>
      <w:r w:rsidRPr="00092958">
        <w:rPr>
          <w:rFonts w:ascii="ITC Avant Garde" w:hAnsi="ITC Avant Garde" w:cs="Arial"/>
          <w:color w:val="000000"/>
          <w:sz w:val="22"/>
          <w:szCs w:val="22"/>
        </w:rPr>
        <w:t xml:space="preserve"> propone</w:t>
      </w:r>
      <w:r w:rsidR="00752AB6" w:rsidRPr="00092958">
        <w:rPr>
          <w:rFonts w:ascii="ITC Avant Garde" w:hAnsi="ITC Avant Garde" w:cs="Arial"/>
          <w:color w:val="000000"/>
          <w:sz w:val="22"/>
          <w:szCs w:val="22"/>
        </w:rPr>
        <w:t>: </w:t>
      </w:r>
      <w:r w:rsidR="00752AB6" w:rsidRPr="00092958">
        <w:rPr>
          <w:rStyle w:val="Textoennegrita"/>
          <w:rFonts w:ascii="ITC Avant Garde" w:hAnsi="ITC Avant Garde" w:cs="Arial"/>
          <w:b w:val="0"/>
          <w:bCs w:val="0"/>
          <w:color w:val="000000"/>
          <w:sz w:val="22"/>
          <w:szCs w:val="22"/>
        </w:rPr>
        <w:t>i)</w:t>
      </w:r>
      <w:r w:rsidR="00752AB6" w:rsidRPr="00092958">
        <w:rPr>
          <w:rFonts w:ascii="ITC Avant Garde" w:hAnsi="ITC Avant Garde" w:cs="Arial"/>
          <w:color w:val="000000"/>
          <w:sz w:val="22"/>
          <w:szCs w:val="22"/>
        </w:rPr>
        <w:t> </w:t>
      </w:r>
      <w:r w:rsidR="008148D5" w:rsidRPr="00092958">
        <w:rPr>
          <w:rFonts w:ascii="ITC Avant Garde" w:hAnsi="ITC Avant Garde" w:cs="Arial"/>
          <w:color w:val="000000"/>
          <w:sz w:val="22"/>
          <w:szCs w:val="22"/>
          <w:shd w:val="clear" w:color="auto" w:fill="FFFFFF"/>
        </w:rPr>
        <w:t>establecer los términos y condiciones mediante los cuales el Instituto llevará el control del registro para la inscripción de frecuencias, y la modificación, renovación o cancelación de inscripciones dentro del segmento 129.900-132.025 MHz empleadas para control operacional aeronáutico;</w:t>
      </w:r>
      <w:r w:rsidR="008148D5" w:rsidRPr="00092958">
        <w:rPr>
          <w:rFonts w:ascii="ITC Avant Garde" w:hAnsi="ITC Avant Garde" w:cs="Arial"/>
          <w:b/>
          <w:bCs/>
          <w:color w:val="000000"/>
          <w:sz w:val="22"/>
          <w:szCs w:val="22"/>
          <w:shd w:val="clear" w:color="auto" w:fill="FFFFFF"/>
        </w:rPr>
        <w:t> </w:t>
      </w:r>
      <w:proofErr w:type="spellStart"/>
      <w:r w:rsidR="008148D5" w:rsidRPr="00092958">
        <w:rPr>
          <w:rStyle w:val="Textoennegrita"/>
          <w:rFonts w:ascii="ITC Avant Garde" w:hAnsi="ITC Avant Garde" w:cs="Arial"/>
          <w:b w:val="0"/>
          <w:bCs w:val="0"/>
          <w:color w:val="000000"/>
          <w:sz w:val="22"/>
          <w:szCs w:val="22"/>
          <w:shd w:val="clear" w:color="auto" w:fill="FFFFFF"/>
        </w:rPr>
        <w:t>ii</w:t>
      </w:r>
      <w:proofErr w:type="spellEnd"/>
      <w:r w:rsidR="008148D5" w:rsidRPr="00092958">
        <w:rPr>
          <w:rStyle w:val="Textoennegrita"/>
          <w:rFonts w:ascii="ITC Avant Garde" w:hAnsi="ITC Avant Garde" w:cs="Arial"/>
          <w:b w:val="0"/>
          <w:bCs w:val="0"/>
          <w:color w:val="000000"/>
          <w:sz w:val="22"/>
          <w:szCs w:val="22"/>
          <w:shd w:val="clear" w:color="auto" w:fill="FFFFFF"/>
        </w:rPr>
        <w:t>)</w:t>
      </w:r>
      <w:r w:rsidR="008148D5" w:rsidRPr="00092958">
        <w:rPr>
          <w:rFonts w:ascii="ITC Avant Garde" w:hAnsi="ITC Avant Garde" w:cs="Arial"/>
          <w:color w:val="000000"/>
          <w:sz w:val="22"/>
          <w:szCs w:val="22"/>
          <w:shd w:val="clear" w:color="auto" w:fill="FFFFFF"/>
        </w:rPr>
        <w:t> informar sobre el proceso de coordinación entre el Instituto y las instituciones involucradas en la inscripción de frecuencias, y la modificación, renovación o cancelación de inscripciones dentro del segmento 129.900-132.025;</w:t>
      </w:r>
      <w:r w:rsidR="008148D5" w:rsidRPr="00092958">
        <w:rPr>
          <w:rStyle w:val="Textoennegrita"/>
          <w:rFonts w:ascii="ITC Avant Garde" w:hAnsi="ITC Avant Garde" w:cs="Arial"/>
          <w:color w:val="000000"/>
          <w:sz w:val="22"/>
          <w:szCs w:val="22"/>
          <w:shd w:val="clear" w:color="auto" w:fill="FFFFFF"/>
        </w:rPr>
        <w:t> </w:t>
      </w:r>
      <w:proofErr w:type="spellStart"/>
      <w:r w:rsidR="008148D5" w:rsidRPr="00092958">
        <w:rPr>
          <w:rStyle w:val="Textoennegrita"/>
          <w:rFonts w:ascii="ITC Avant Garde" w:hAnsi="ITC Avant Garde" w:cs="Arial"/>
          <w:b w:val="0"/>
          <w:bCs w:val="0"/>
          <w:color w:val="000000"/>
          <w:sz w:val="22"/>
          <w:szCs w:val="22"/>
          <w:shd w:val="clear" w:color="auto" w:fill="FFFFFF"/>
        </w:rPr>
        <w:t>iii</w:t>
      </w:r>
      <w:proofErr w:type="spellEnd"/>
      <w:r w:rsidR="008148D5" w:rsidRPr="00092958">
        <w:rPr>
          <w:rStyle w:val="Textoennegrita"/>
          <w:rFonts w:ascii="ITC Avant Garde" w:hAnsi="ITC Avant Garde" w:cs="Arial"/>
          <w:b w:val="0"/>
          <w:bCs w:val="0"/>
          <w:color w:val="000000"/>
          <w:sz w:val="22"/>
          <w:szCs w:val="22"/>
          <w:shd w:val="clear" w:color="auto" w:fill="FFFFFF"/>
        </w:rPr>
        <w:t>)</w:t>
      </w:r>
      <w:r w:rsidR="008148D5" w:rsidRPr="00092958">
        <w:rPr>
          <w:rFonts w:ascii="ITC Avant Garde" w:hAnsi="ITC Avant Garde" w:cs="Arial"/>
          <w:color w:val="000000"/>
          <w:sz w:val="22"/>
          <w:szCs w:val="22"/>
          <w:shd w:val="clear" w:color="auto" w:fill="FFFFFF"/>
        </w:rPr>
        <w:t> implementar una cédula de registro como el instrumento jurídico en el que se haga constar la habilitación para el uso de las frecuencias del segmento de mérito, a través de su inscripción en el Registro Público de Concesiones</w:t>
      </w:r>
      <w:r w:rsidR="00AE11E8">
        <w:rPr>
          <w:rFonts w:ascii="ITC Avant Garde" w:hAnsi="ITC Avant Garde" w:cs="Arial"/>
          <w:color w:val="000000"/>
          <w:sz w:val="22"/>
          <w:szCs w:val="22"/>
          <w:shd w:val="clear" w:color="auto" w:fill="FFFFFF"/>
        </w:rPr>
        <w:t xml:space="preserve"> y</w:t>
      </w:r>
      <w:r w:rsidR="008148D5" w:rsidRPr="00092958">
        <w:rPr>
          <w:rFonts w:ascii="ITC Avant Garde" w:hAnsi="ITC Avant Garde" w:cs="Arial"/>
          <w:color w:val="000000"/>
          <w:sz w:val="22"/>
          <w:szCs w:val="22"/>
          <w:shd w:val="clear" w:color="auto" w:fill="FFFFFF"/>
        </w:rPr>
        <w:t> </w:t>
      </w:r>
      <w:proofErr w:type="spellStart"/>
      <w:r w:rsidR="008148D5" w:rsidRPr="00092958">
        <w:rPr>
          <w:rStyle w:val="Textoennegrita"/>
          <w:rFonts w:ascii="ITC Avant Garde" w:hAnsi="ITC Avant Garde" w:cs="Arial"/>
          <w:b w:val="0"/>
          <w:bCs w:val="0"/>
          <w:color w:val="000000"/>
          <w:sz w:val="22"/>
          <w:szCs w:val="22"/>
          <w:shd w:val="clear" w:color="auto" w:fill="FFFFFF"/>
        </w:rPr>
        <w:t>iv</w:t>
      </w:r>
      <w:proofErr w:type="spellEnd"/>
      <w:r w:rsidR="008148D5" w:rsidRPr="00092958">
        <w:rPr>
          <w:rStyle w:val="Textoennegrita"/>
          <w:rFonts w:ascii="ITC Avant Garde" w:hAnsi="ITC Avant Garde" w:cs="Arial"/>
          <w:b w:val="0"/>
          <w:bCs w:val="0"/>
          <w:color w:val="000000"/>
          <w:sz w:val="22"/>
          <w:szCs w:val="22"/>
          <w:shd w:val="clear" w:color="auto" w:fill="FFFFFF"/>
        </w:rPr>
        <w:t>)</w:t>
      </w:r>
      <w:r w:rsidR="008148D5" w:rsidRPr="00092958">
        <w:rPr>
          <w:rStyle w:val="Textoennegrita"/>
          <w:rFonts w:ascii="ITC Avant Garde" w:hAnsi="ITC Avant Garde" w:cs="Arial"/>
          <w:color w:val="000000"/>
          <w:sz w:val="22"/>
          <w:szCs w:val="22"/>
          <w:shd w:val="clear" w:color="auto" w:fill="FFFFFF"/>
        </w:rPr>
        <w:t> </w:t>
      </w:r>
      <w:r w:rsidR="008148D5" w:rsidRPr="00092958">
        <w:rPr>
          <w:rFonts w:ascii="ITC Avant Garde" w:hAnsi="ITC Avant Garde" w:cs="Arial"/>
          <w:color w:val="000000"/>
          <w:sz w:val="22"/>
          <w:szCs w:val="22"/>
          <w:shd w:val="clear" w:color="auto" w:fill="FFFFFF"/>
        </w:rPr>
        <w:t>crear un registro a cargo del Instituto que cuente con información técnico administrativa para el control de las frecuencias del segmento 129.900-132.025 MHz.</w:t>
      </w:r>
    </w:p>
    <w:p w14:paraId="0F7479F3" w14:textId="77777777" w:rsidR="00742579" w:rsidRPr="00092958" w:rsidRDefault="00742579" w:rsidP="00D838AF">
      <w:pPr>
        <w:pStyle w:val="NormalWeb"/>
        <w:shd w:val="clear" w:color="auto" w:fill="FFFFFF"/>
        <w:spacing w:before="0" w:beforeAutospacing="0" w:after="0" w:afterAutospacing="0" w:line="276" w:lineRule="auto"/>
        <w:jc w:val="both"/>
        <w:rPr>
          <w:rFonts w:ascii="ITC Avant Garde" w:hAnsi="ITC Avant Garde" w:cs="Arial"/>
          <w:color w:val="000000"/>
          <w:sz w:val="22"/>
          <w:szCs w:val="22"/>
          <w:lang w:val="x-none"/>
        </w:rPr>
      </w:pPr>
    </w:p>
    <w:p w14:paraId="6B20669E" w14:textId="30DD5C49" w:rsidR="00D65497" w:rsidRPr="00092958" w:rsidRDefault="00D65497" w:rsidP="00D838AF">
      <w:pPr>
        <w:pStyle w:val="NormalWeb"/>
        <w:numPr>
          <w:ilvl w:val="0"/>
          <w:numId w:val="21"/>
        </w:numPr>
        <w:shd w:val="clear" w:color="auto" w:fill="FFFFFF"/>
        <w:spacing w:before="0" w:beforeAutospacing="0" w:after="0" w:afterAutospacing="0" w:line="276" w:lineRule="auto"/>
        <w:jc w:val="both"/>
        <w:rPr>
          <w:rFonts w:ascii="ITC Avant Garde" w:hAnsi="ITC Avant Garde" w:cs="Arial"/>
          <w:color w:val="000000"/>
          <w:sz w:val="22"/>
          <w:szCs w:val="22"/>
        </w:rPr>
      </w:pPr>
      <w:r w:rsidRPr="00092958">
        <w:rPr>
          <w:rFonts w:ascii="ITC Avant Garde" w:hAnsi="ITC Avant Garde" w:cs="Arial"/>
          <w:b/>
          <w:sz w:val="22"/>
          <w:szCs w:val="22"/>
        </w:rPr>
        <w:t xml:space="preserve">Unidad Administrativa responsable de la Consulta Pública </w:t>
      </w:r>
    </w:p>
    <w:p w14:paraId="550DB7DA" w14:textId="77777777" w:rsidR="00D65497" w:rsidRPr="00092958" w:rsidRDefault="00D65497" w:rsidP="00D838AF">
      <w:pPr>
        <w:pStyle w:val="Prrafodelista"/>
        <w:tabs>
          <w:tab w:val="left" w:pos="426"/>
        </w:tabs>
        <w:spacing w:after="0"/>
        <w:ind w:left="0"/>
        <w:rPr>
          <w:rFonts w:ascii="ITC Avant Garde" w:hAnsi="ITC Avant Garde" w:cs="Arial"/>
          <w:b/>
        </w:rPr>
      </w:pPr>
    </w:p>
    <w:p w14:paraId="0A531B29" w14:textId="77777777" w:rsidR="00D65497" w:rsidRPr="00092958" w:rsidRDefault="00D65497" w:rsidP="00D838AF">
      <w:pPr>
        <w:pStyle w:val="Prrafodelista"/>
        <w:tabs>
          <w:tab w:val="left" w:pos="426"/>
        </w:tabs>
        <w:spacing w:after="0"/>
        <w:ind w:left="0"/>
        <w:rPr>
          <w:rFonts w:ascii="ITC Avant Garde" w:hAnsi="ITC Avant Garde" w:cs="Arial"/>
          <w:b/>
        </w:rPr>
      </w:pPr>
      <w:r w:rsidRPr="00092958">
        <w:rPr>
          <w:rFonts w:ascii="ITC Avant Garde" w:hAnsi="ITC Avant Garde" w:cs="Arial"/>
        </w:rPr>
        <w:t>Unidad de Espectro Radioeléctrico del Instituto (UER).</w:t>
      </w:r>
    </w:p>
    <w:p w14:paraId="3145BC20" w14:textId="3C6A0900" w:rsidR="00D65497" w:rsidRPr="00092958" w:rsidRDefault="00D65497" w:rsidP="00D838AF">
      <w:pPr>
        <w:tabs>
          <w:tab w:val="left" w:pos="426"/>
        </w:tabs>
        <w:spacing w:after="0"/>
        <w:rPr>
          <w:rFonts w:ascii="ITC Avant Garde" w:hAnsi="ITC Avant Garde" w:cs="Arial"/>
        </w:rPr>
      </w:pPr>
    </w:p>
    <w:p w14:paraId="5B4EF55C" w14:textId="6F28D471" w:rsidR="00D65497" w:rsidRPr="00092958" w:rsidRDefault="00D65497" w:rsidP="00D838AF">
      <w:pPr>
        <w:pStyle w:val="Prrafodelista"/>
        <w:numPr>
          <w:ilvl w:val="0"/>
          <w:numId w:val="21"/>
        </w:numPr>
        <w:tabs>
          <w:tab w:val="left" w:pos="426"/>
        </w:tabs>
        <w:spacing w:after="0"/>
        <w:ind w:right="2"/>
        <w:jc w:val="both"/>
        <w:rPr>
          <w:rFonts w:ascii="ITC Avant Garde" w:hAnsi="ITC Avant Garde" w:cs="Arial"/>
        </w:rPr>
      </w:pPr>
      <w:r w:rsidRPr="00092958">
        <w:rPr>
          <w:rFonts w:ascii="ITC Avant Garde" w:hAnsi="ITC Avant Garde" w:cs="Arial"/>
          <w:b/>
        </w:rPr>
        <w:t>Participantes de la Consulta Pública</w:t>
      </w:r>
    </w:p>
    <w:p w14:paraId="7F27AD2D" w14:textId="77777777" w:rsidR="00D65497" w:rsidRPr="00092958" w:rsidRDefault="00D65497" w:rsidP="00D838AF">
      <w:pPr>
        <w:tabs>
          <w:tab w:val="left" w:pos="426"/>
        </w:tabs>
        <w:spacing w:after="0"/>
        <w:rPr>
          <w:rFonts w:ascii="ITC Avant Garde" w:hAnsi="ITC Avant Garde" w:cs="Arial"/>
        </w:rPr>
      </w:pPr>
    </w:p>
    <w:p w14:paraId="0A258294" w14:textId="2C2221AA" w:rsidR="00752AB6" w:rsidRDefault="00D65497" w:rsidP="00D838AF">
      <w:pPr>
        <w:spacing w:after="0"/>
        <w:jc w:val="both"/>
        <w:rPr>
          <w:rFonts w:ascii="ITC Avant Garde" w:hAnsi="ITC Avant Garde" w:cs="Arial"/>
        </w:rPr>
      </w:pPr>
      <w:r w:rsidRPr="00092958">
        <w:rPr>
          <w:rFonts w:ascii="ITC Avant Garde" w:hAnsi="ITC Avant Garde" w:cs="Arial"/>
        </w:rPr>
        <w:t>Durante el período de la Consulta Pública se recibieron 3 (tres) participaciones de las personas físicas y morales siguientes:</w:t>
      </w:r>
    </w:p>
    <w:p w14:paraId="34724EE0" w14:textId="77777777" w:rsidR="00AE11E8" w:rsidRPr="00092958" w:rsidRDefault="00AE11E8" w:rsidP="00D838AF">
      <w:pPr>
        <w:spacing w:after="0"/>
        <w:jc w:val="both"/>
        <w:rPr>
          <w:rFonts w:ascii="ITC Avant Garde" w:hAnsi="ITC Avant Garde" w:cs="Arial"/>
        </w:rPr>
      </w:pPr>
    </w:p>
    <w:p w14:paraId="0DAEDD1A" w14:textId="32C0186A" w:rsidR="00D65497" w:rsidRPr="00092958" w:rsidRDefault="00D65497" w:rsidP="00D838AF">
      <w:pPr>
        <w:spacing w:after="0"/>
        <w:jc w:val="both"/>
        <w:rPr>
          <w:rFonts w:ascii="ITC Avant Garde" w:hAnsi="ITC Avant Garde" w:cs="Arial"/>
          <w:b/>
        </w:rPr>
      </w:pPr>
    </w:p>
    <w:tbl>
      <w:tblPr>
        <w:tblW w:w="10173" w:type="dxa"/>
        <w:tblCellMar>
          <w:left w:w="70" w:type="dxa"/>
          <w:right w:w="70" w:type="dxa"/>
        </w:tblCellMar>
        <w:tblLook w:val="04A0" w:firstRow="1" w:lastRow="0" w:firstColumn="1" w:lastColumn="0" w:noHBand="0" w:noVBand="1"/>
      </w:tblPr>
      <w:tblGrid>
        <w:gridCol w:w="1451"/>
        <w:gridCol w:w="2595"/>
        <w:gridCol w:w="2117"/>
        <w:gridCol w:w="2308"/>
        <w:gridCol w:w="1702"/>
      </w:tblGrid>
      <w:tr w:rsidR="009909B9" w:rsidRPr="00092958" w14:paraId="20B371A4" w14:textId="77777777" w:rsidTr="009909B9">
        <w:trPr>
          <w:trHeight w:val="600"/>
        </w:trPr>
        <w:tc>
          <w:tcPr>
            <w:tcW w:w="1339" w:type="dxa"/>
            <w:tcBorders>
              <w:top w:val="single" w:sz="8" w:space="0" w:color="70AD47"/>
              <w:left w:val="nil"/>
              <w:bottom w:val="single" w:sz="8" w:space="0" w:color="70AD47"/>
              <w:right w:val="nil"/>
            </w:tcBorders>
            <w:shd w:val="clear" w:color="000000" w:fill="70AD47"/>
            <w:vAlign w:val="center"/>
            <w:hideMark/>
          </w:tcPr>
          <w:p w14:paraId="426CBB4F" w14:textId="77777777" w:rsidR="009909B9" w:rsidRPr="00092958" w:rsidRDefault="009909B9" w:rsidP="00D838AF">
            <w:pPr>
              <w:spacing w:after="0"/>
              <w:jc w:val="center"/>
              <w:rPr>
                <w:rFonts w:ascii="ITC Avant Garde" w:eastAsia="Times New Roman" w:hAnsi="ITC Avant Garde" w:cs="Arial"/>
                <w:b/>
                <w:bCs/>
                <w:color w:val="FFFFFF"/>
                <w:lang w:eastAsia="es-MX"/>
              </w:rPr>
            </w:pPr>
            <w:r w:rsidRPr="00092958">
              <w:rPr>
                <w:rFonts w:ascii="ITC Avant Garde" w:eastAsia="Times New Roman" w:hAnsi="ITC Avant Garde" w:cs="Arial"/>
                <w:b/>
                <w:bCs/>
                <w:color w:val="FFFFFF"/>
                <w:lang w:eastAsia="es-MX"/>
              </w:rPr>
              <w:t>No. consecutivo</w:t>
            </w:r>
          </w:p>
        </w:tc>
        <w:tc>
          <w:tcPr>
            <w:tcW w:w="2630" w:type="dxa"/>
            <w:tcBorders>
              <w:top w:val="single" w:sz="8" w:space="0" w:color="70AD47"/>
              <w:left w:val="nil"/>
              <w:bottom w:val="single" w:sz="8" w:space="0" w:color="70AD47"/>
              <w:right w:val="nil"/>
            </w:tcBorders>
            <w:shd w:val="clear" w:color="000000" w:fill="70AD47"/>
            <w:vAlign w:val="center"/>
            <w:hideMark/>
          </w:tcPr>
          <w:p w14:paraId="605A939F" w14:textId="77777777" w:rsidR="009909B9" w:rsidRPr="00092958" w:rsidRDefault="009909B9" w:rsidP="00D838AF">
            <w:pPr>
              <w:spacing w:after="0"/>
              <w:jc w:val="center"/>
              <w:rPr>
                <w:rFonts w:ascii="ITC Avant Garde" w:eastAsia="Times New Roman" w:hAnsi="ITC Avant Garde" w:cs="Arial"/>
                <w:b/>
                <w:bCs/>
                <w:color w:val="FFFFFF"/>
                <w:lang w:eastAsia="es-MX"/>
              </w:rPr>
            </w:pPr>
            <w:r w:rsidRPr="00092958">
              <w:rPr>
                <w:rFonts w:ascii="ITC Avant Garde" w:eastAsia="Times New Roman" w:hAnsi="ITC Avant Garde" w:cs="Arial"/>
                <w:b/>
                <w:bCs/>
                <w:color w:val="FFFFFF"/>
                <w:lang w:eastAsia="es-MX"/>
              </w:rPr>
              <w:t>Nombre de la persona que remite el comentario</w:t>
            </w:r>
          </w:p>
        </w:tc>
        <w:tc>
          <w:tcPr>
            <w:tcW w:w="2136" w:type="dxa"/>
            <w:tcBorders>
              <w:top w:val="single" w:sz="8" w:space="0" w:color="70AD47"/>
              <w:left w:val="nil"/>
              <w:bottom w:val="single" w:sz="8" w:space="0" w:color="70AD47"/>
              <w:right w:val="nil"/>
            </w:tcBorders>
            <w:shd w:val="clear" w:color="000000" w:fill="70AD47"/>
            <w:vAlign w:val="center"/>
          </w:tcPr>
          <w:p w14:paraId="0DDE375F" w14:textId="1E71A84E" w:rsidR="009909B9" w:rsidRPr="00092958" w:rsidRDefault="009909B9" w:rsidP="00D838AF">
            <w:pPr>
              <w:spacing w:after="0"/>
              <w:jc w:val="center"/>
              <w:rPr>
                <w:rFonts w:ascii="ITC Avant Garde" w:eastAsia="Times New Roman" w:hAnsi="ITC Avant Garde" w:cs="Arial"/>
                <w:b/>
                <w:bCs/>
                <w:color w:val="FFFFFF"/>
                <w:lang w:eastAsia="es-MX"/>
              </w:rPr>
            </w:pPr>
            <w:r w:rsidRPr="00092958">
              <w:rPr>
                <w:rFonts w:ascii="ITC Avant Garde" w:eastAsia="Times New Roman" w:hAnsi="ITC Avant Garde" w:cs="Arial"/>
                <w:b/>
                <w:bCs/>
                <w:color w:val="FFFFFF"/>
                <w:lang w:eastAsia="es-MX"/>
              </w:rPr>
              <w:t>Apoderado o representante legal</w:t>
            </w:r>
          </w:p>
        </w:tc>
        <w:tc>
          <w:tcPr>
            <w:tcW w:w="2347" w:type="dxa"/>
            <w:tcBorders>
              <w:top w:val="single" w:sz="8" w:space="0" w:color="70AD47"/>
              <w:left w:val="nil"/>
              <w:bottom w:val="single" w:sz="8" w:space="0" w:color="70AD47"/>
              <w:right w:val="nil"/>
            </w:tcBorders>
            <w:shd w:val="clear" w:color="000000" w:fill="70AD47"/>
            <w:vAlign w:val="center"/>
            <w:hideMark/>
          </w:tcPr>
          <w:p w14:paraId="20FEED9D" w14:textId="77777777" w:rsidR="009909B9" w:rsidRPr="00092958" w:rsidRDefault="009909B9" w:rsidP="00D838AF">
            <w:pPr>
              <w:spacing w:after="0"/>
              <w:jc w:val="center"/>
              <w:rPr>
                <w:rFonts w:ascii="ITC Avant Garde" w:eastAsia="Times New Roman" w:hAnsi="ITC Avant Garde" w:cs="Arial"/>
                <w:b/>
                <w:bCs/>
                <w:color w:val="FFFFFF"/>
                <w:lang w:eastAsia="es-MX"/>
              </w:rPr>
            </w:pPr>
            <w:r w:rsidRPr="00092958">
              <w:rPr>
                <w:rFonts w:ascii="ITC Avant Garde" w:eastAsia="Times New Roman" w:hAnsi="ITC Avant Garde" w:cs="Arial"/>
                <w:b/>
                <w:bCs/>
                <w:color w:val="FFFFFF"/>
                <w:lang w:eastAsia="es-MX"/>
              </w:rPr>
              <w:t>Medio de recepción</w:t>
            </w:r>
          </w:p>
        </w:tc>
        <w:tc>
          <w:tcPr>
            <w:tcW w:w="1721" w:type="dxa"/>
            <w:tcBorders>
              <w:top w:val="single" w:sz="8" w:space="0" w:color="70AD47"/>
              <w:left w:val="nil"/>
              <w:bottom w:val="single" w:sz="8" w:space="0" w:color="70AD47"/>
              <w:right w:val="nil"/>
            </w:tcBorders>
            <w:shd w:val="clear" w:color="000000" w:fill="70AD47"/>
            <w:vAlign w:val="center"/>
            <w:hideMark/>
          </w:tcPr>
          <w:p w14:paraId="6EEE590E" w14:textId="77777777" w:rsidR="009909B9" w:rsidRPr="00092958" w:rsidRDefault="009909B9" w:rsidP="00D838AF">
            <w:pPr>
              <w:spacing w:after="0"/>
              <w:jc w:val="center"/>
              <w:rPr>
                <w:rFonts w:ascii="ITC Avant Garde" w:eastAsia="Times New Roman" w:hAnsi="ITC Avant Garde" w:cs="Arial"/>
                <w:b/>
                <w:bCs/>
                <w:color w:val="FFFFFF"/>
                <w:lang w:eastAsia="es-MX"/>
              </w:rPr>
            </w:pPr>
            <w:r w:rsidRPr="00092958">
              <w:rPr>
                <w:rFonts w:ascii="ITC Avant Garde" w:eastAsia="Times New Roman" w:hAnsi="ITC Avant Garde" w:cs="Arial"/>
                <w:b/>
                <w:bCs/>
                <w:color w:val="FFFFFF"/>
                <w:lang w:eastAsia="es-MX"/>
              </w:rPr>
              <w:t>Fecha de recepción</w:t>
            </w:r>
          </w:p>
        </w:tc>
      </w:tr>
      <w:tr w:rsidR="009909B9" w:rsidRPr="00092958" w14:paraId="1B7D0CAF" w14:textId="77777777" w:rsidTr="009909B9">
        <w:trPr>
          <w:trHeight w:val="690"/>
        </w:trPr>
        <w:tc>
          <w:tcPr>
            <w:tcW w:w="1339" w:type="dxa"/>
            <w:tcBorders>
              <w:top w:val="nil"/>
              <w:left w:val="nil"/>
              <w:bottom w:val="single" w:sz="8" w:space="0" w:color="A8D08D"/>
              <w:right w:val="single" w:sz="8" w:space="0" w:color="A8D08D"/>
            </w:tcBorders>
            <w:shd w:val="clear" w:color="000000" w:fill="E2EFD9"/>
            <w:vAlign w:val="center"/>
            <w:hideMark/>
          </w:tcPr>
          <w:p w14:paraId="1F1B642A"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1</w:t>
            </w:r>
          </w:p>
        </w:tc>
        <w:tc>
          <w:tcPr>
            <w:tcW w:w="2630" w:type="dxa"/>
            <w:tcBorders>
              <w:top w:val="nil"/>
              <w:left w:val="nil"/>
              <w:bottom w:val="single" w:sz="8" w:space="0" w:color="A8D08D"/>
              <w:right w:val="single" w:sz="8" w:space="0" w:color="A8D08D"/>
            </w:tcBorders>
            <w:shd w:val="clear" w:color="000000" w:fill="E2EFD9"/>
            <w:vAlign w:val="center"/>
            <w:hideMark/>
          </w:tcPr>
          <w:p w14:paraId="78DE72F3"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Edgar Uriel Montesinos Torres</w:t>
            </w:r>
          </w:p>
        </w:tc>
        <w:tc>
          <w:tcPr>
            <w:tcW w:w="2136" w:type="dxa"/>
            <w:tcBorders>
              <w:top w:val="nil"/>
              <w:left w:val="nil"/>
              <w:bottom w:val="single" w:sz="8" w:space="0" w:color="A8D08D"/>
              <w:right w:val="single" w:sz="8" w:space="0" w:color="A8D08D"/>
            </w:tcBorders>
            <w:shd w:val="clear" w:color="000000" w:fill="E2EFD9"/>
            <w:vAlign w:val="center"/>
            <w:hideMark/>
          </w:tcPr>
          <w:p w14:paraId="08ECD05D" w14:textId="3C2D3373" w:rsidR="009909B9" w:rsidRPr="00092958" w:rsidRDefault="009909B9" w:rsidP="00F54459">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N</w:t>
            </w:r>
            <w:r w:rsidR="00F54459">
              <w:rPr>
                <w:rFonts w:ascii="ITC Avant Garde" w:eastAsia="Times New Roman" w:hAnsi="ITC Avant Garde" w:cs="Arial"/>
                <w:color w:val="000000"/>
                <w:lang w:eastAsia="es-MX"/>
              </w:rPr>
              <w:t>o aplica</w:t>
            </w:r>
          </w:p>
        </w:tc>
        <w:tc>
          <w:tcPr>
            <w:tcW w:w="2347" w:type="dxa"/>
            <w:tcBorders>
              <w:top w:val="nil"/>
              <w:left w:val="nil"/>
              <w:bottom w:val="single" w:sz="8" w:space="0" w:color="A8D08D"/>
              <w:right w:val="single" w:sz="8" w:space="0" w:color="A8D08D"/>
            </w:tcBorders>
            <w:shd w:val="clear" w:color="000000" w:fill="E2EFD9"/>
            <w:vAlign w:val="center"/>
            <w:hideMark/>
          </w:tcPr>
          <w:p w14:paraId="00022B79"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Correo electrónico</w:t>
            </w:r>
          </w:p>
        </w:tc>
        <w:tc>
          <w:tcPr>
            <w:tcW w:w="1721" w:type="dxa"/>
            <w:tcBorders>
              <w:top w:val="nil"/>
              <w:left w:val="nil"/>
              <w:bottom w:val="single" w:sz="8" w:space="0" w:color="A8D08D"/>
              <w:right w:val="single" w:sz="8" w:space="0" w:color="A8D08D"/>
            </w:tcBorders>
            <w:shd w:val="clear" w:color="000000" w:fill="E2EFD9"/>
            <w:vAlign w:val="center"/>
            <w:hideMark/>
          </w:tcPr>
          <w:p w14:paraId="6E4A7076"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10 de junio de 2021</w:t>
            </w:r>
          </w:p>
        </w:tc>
      </w:tr>
      <w:tr w:rsidR="009909B9" w:rsidRPr="00092958" w14:paraId="1A72B874" w14:textId="77777777" w:rsidTr="009909B9">
        <w:trPr>
          <w:trHeight w:val="630"/>
        </w:trPr>
        <w:tc>
          <w:tcPr>
            <w:tcW w:w="1339" w:type="dxa"/>
            <w:tcBorders>
              <w:top w:val="nil"/>
              <w:left w:val="nil"/>
              <w:bottom w:val="single" w:sz="8" w:space="0" w:color="A8D08D"/>
              <w:right w:val="single" w:sz="8" w:space="0" w:color="A8D08D"/>
            </w:tcBorders>
            <w:shd w:val="clear" w:color="000000" w:fill="E2EFD9"/>
            <w:vAlign w:val="center"/>
            <w:hideMark/>
          </w:tcPr>
          <w:p w14:paraId="275C6719"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lastRenderedPageBreak/>
              <w:t>2</w:t>
            </w:r>
          </w:p>
        </w:tc>
        <w:tc>
          <w:tcPr>
            <w:tcW w:w="2630" w:type="dxa"/>
            <w:tcBorders>
              <w:top w:val="nil"/>
              <w:left w:val="nil"/>
              <w:bottom w:val="single" w:sz="8" w:space="0" w:color="A8D08D"/>
              <w:right w:val="single" w:sz="8" w:space="0" w:color="70AD47"/>
            </w:tcBorders>
            <w:shd w:val="clear" w:color="000000" w:fill="E2EFD9"/>
            <w:vAlign w:val="center"/>
            <w:hideMark/>
          </w:tcPr>
          <w:p w14:paraId="1EEBF58A" w14:textId="77777777" w:rsidR="009909B9" w:rsidRPr="00092958" w:rsidRDefault="009909B9" w:rsidP="00D838AF">
            <w:pPr>
              <w:spacing w:after="0"/>
              <w:jc w:val="center"/>
              <w:rPr>
                <w:rFonts w:ascii="ITC Avant Garde" w:eastAsia="Times New Roman" w:hAnsi="ITC Avant Garde" w:cs="Arial"/>
                <w:color w:val="000000"/>
                <w:lang w:eastAsia="es-MX"/>
              </w:rPr>
            </w:pPr>
            <w:proofErr w:type="spellStart"/>
            <w:r w:rsidRPr="00092958">
              <w:rPr>
                <w:rFonts w:ascii="ITC Avant Garde" w:eastAsia="Times New Roman" w:hAnsi="ITC Avant Garde" w:cs="Arial"/>
                <w:color w:val="000000"/>
                <w:lang w:eastAsia="es-MX"/>
              </w:rPr>
              <w:t>Advance</w:t>
            </w:r>
            <w:proofErr w:type="spellEnd"/>
            <w:r w:rsidRPr="00092958">
              <w:rPr>
                <w:rFonts w:ascii="ITC Avant Garde" w:eastAsia="Times New Roman" w:hAnsi="ITC Avant Garde" w:cs="Arial"/>
                <w:color w:val="000000"/>
                <w:lang w:eastAsia="es-MX"/>
              </w:rPr>
              <w:t xml:space="preserve"> </w:t>
            </w:r>
            <w:proofErr w:type="spellStart"/>
            <w:r w:rsidRPr="00092958">
              <w:rPr>
                <w:rFonts w:ascii="ITC Avant Garde" w:eastAsia="Times New Roman" w:hAnsi="ITC Avant Garde" w:cs="Arial"/>
                <w:color w:val="000000"/>
                <w:lang w:eastAsia="es-MX"/>
              </w:rPr>
              <w:t>W&amp;W</w:t>
            </w:r>
            <w:proofErr w:type="spellEnd"/>
            <w:r w:rsidRPr="00092958">
              <w:rPr>
                <w:rFonts w:ascii="ITC Avant Garde" w:eastAsia="Times New Roman" w:hAnsi="ITC Avant Garde" w:cs="Arial"/>
                <w:color w:val="000000"/>
                <w:lang w:eastAsia="es-MX"/>
              </w:rPr>
              <w:t xml:space="preserve"> Laboratorios, S.C.</w:t>
            </w:r>
          </w:p>
        </w:tc>
        <w:tc>
          <w:tcPr>
            <w:tcW w:w="2136" w:type="dxa"/>
            <w:tcBorders>
              <w:top w:val="nil"/>
              <w:left w:val="nil"/>
              <w:bottom w:val="single" w:sz="8" w:space="0" w:color="A8D08D"/>
              <w:right w:val="single" w:sz="8" w:space="0" w:color="A8D08D"/>
            </w:tcBorders>
            <w:shd w:val="clear" w:color="000000" w:fill="E2EFD9"/>
            <w:vAlign w:val="center"/>
            <w:hideMark/>
          </w:tcPr>
          <w:p w14:paraId="5D375F3C" w14:textId="6EB54A6D"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José Zavala Chávez</w:t>
            </w:r>
          </w:p>
        </w:tc>
        <w:tc>
          <w:tcPr>
            <w:tcW w:w="2347" w:type="dxa"/>
            <w:tcBorders>
              <w:top w:val="nil"/>
              <w:left w:val="nil"/>
              <w:bottom w:val="single" w:sz="8" w:space="0" w:color="A8D08D"/>
              <w:right w:val="single" w:sz="8" w:space="0" w:color="A8D08D"/>
            </w:tcBorders>
            <w:shd w:val="clear" w:color="000000" w:fill="E2EFD9"/>
            <w:vAlign w:val="center"/>
            <w:hideMark/>
          </w:tcPr>
          <w:p w14:paraId="304D722A"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Correo electrónico</w:t>
            </w:r>
          </w:p>
        </w:tc>
        <w:tc>
          <w:tcPr>
            <w:tcW w:w="1721" w:type="dxa"/>
            <w:tcBorders>
              <w:top w:val="nil"/>
              <w:left w:val="nil"/>
              <w:bottom w:val="single" w:sz="8" w:space="0" w:color="A8D08D"/>
              <w:right w:val="single" w:sz="8" w:space="0" w:color="A8D08D"/>
            </w:tcBorders>
            <w:shd w:val="clear" w:color="000000" w:fill="E2EFD9"/>
            <w:vAlign w:val="center"/>
            <w:hideMark/>
          </w:tcPr>
          <w:p w14:paraId="26218848"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27 de junio de 2021</w:t>
            </w:r>
          </w:p>
        </w:tc>
      </w:tr>
      <w:tr w:rsidR="009909B9" w:rsidRPr="00092958" w14:paraId="7A52DCED" w14:textId="77777777" w:rsidTr="009909B9">
        <w:trPr>
          <w:trHeight w:val="720"/>
        </w:trPr>
        <w:tc>
          <w:tcPr>
            <w:tcW w:w="1339" w:type="dxa"/>
            <w:tcBorders>
              <w:top w:val="nil"/>
              <w:left w:val="nil"/>
              <w:bottom w:val="single" w:sz="8" w:space="0" w:color="A8D08D"/>
              <w:right w:val="single" w:sz="8" w:space="0" w:color="A8D08D"/>
            </w:tcBorders>
            <w:shd w:val="clear" w:color="000000" w:fill="E2EFD9"/>
            <w:vAlign w:val="center"/>
            <w:hideMark/>
          </w:tcPr>
          <w:p w14:paraId="3E1B0CC9"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3</w:t>
            </w:r>
          </w:p>
        </w:tc>
        <w:tc>
          <w:tcPr>
            <w:tcW w:w="2630" w:type="dxa"/>
            <w:tcBorders>
              <w:top w:val="nil"/>
              <w:left w:val="nil"/>
              <w:bottom w:val="single" w:sz="8" w:space="0" w:color="A8D08D"/>
              <w:right w:val="single" w:sz="8" w:space="0" w:color="70AD47"/>
            </w:tcBorders>
            <w:shd w:val="clear" w:color="000000" w:fill="E2EFD9"/>
            <w:vAlign w:val="center"/>
            <w:hideMark/>
          </w:tcPr>
          <w:p w14:paraId="2EC66246"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Mantenimiento y Equipo de Baja California, S.A. de C.V.</w:t>
            </w:r>
          </w:p>
        </w:tc>
        <w:tc>
          <w:tcPr>
            <w:tcW w:w="2136" w:type="dxa"/>
            <w:tcBorders>
              <w:top w:val="nil"/>
              <w:left w:val="nil"/>
              <w:bottom w:val="single" w:sz="8" w:space="0" w:color="A8D08D"/>
              <w:right w:val="single" w:sz="8" w:space="0" w:color="A8D08D"/>
            </w:tcBorders>
            <w:shd w:val="clear" w:color="000000" w:fill="E2EFD9"/>
            <w:vAlign w:val="center"/>
            <w:hideMark/>
          </w:tcPr>
          <w:p w14:paraId="0BB4D673" w14:textId="20669876"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Guadalupe Beatriz Zenteno Hernández</w:t>
            </w:r>
          </w:p>
        </w:tc>
        <w:tc>
          <w:tcPr>
            <w:tcW w:w="2347" w:type="dxa"/>
            <w:tcBorders>
              <w:top w:val="nil"/>
              <w:left w:val="nil"/>
              <w:bottom w:val="single" w:sz="8" w:space="0" w:color="A8D08D"/>
              <w:right w:val="single" w:sz="8" w:space="0" w:color="A8D08D"/>
            </w:tcBorders>
            <w:shd w:val="clear" w:color="000000" w:fill="E2EFD9"/>
            <w:vAlign w:val="center"/>
            <w:hideMark/>
          </w:tcPr>
          <w:p w14:paraId="3393A40A"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Correo electrónico</w:t>
            </w:r>
          </w:p>
        </w:tc>
        <w:tc>
          <w:tcPr>
            <w:tcW w:w="1721" w:type="dxa"/>
            <w:tcBorders>
              <w:top w:val="nil"/>
              <w:left w:val="nil"/>
              <w:bottom w:val="single" w:sz="8" w:space="0" w:color="A8D08D"/>
              <w:right w:val="single" w:sz="8" w:space="0" w:color="A8D08D"/>
            </w:tcBorders>
            <w:shd w:val="clear" w:color="000000" w:fill="E2EFD9"/>
            <w:vAlign w:val="center"/>
            <w:hideMark/>
          </w:tcPr>
          <w:p w14:paraId="4208D831" w14:textId="77777777" w:rsidR="009909B9" w:rsidRPr="00092958" w:rsidRDefault="009909B9" w:rsidP="00D838AF">
            <w:pPr>
              <w:spacing w:after="0"/>
              <w:jc w:val="center"/>
              <w:rPr>
                <w:rFonts w:ascii="ITC Avant Garde" w:eastAsia="Times New Roman" w:hAnsi="ITC Avant Garde" w:cs="Arial"/>
                <w:color w:val="000000"/>
                <w:lang w:eastAsia="es-MX"/>
              </w:rPr>
            </w:pPr>
            <w:r w:rsidRPr="00092958">
              <w:rPr>
                <w:rFonts w:ascii="ITC Avant Garde" w:eastAsia="Times New Roman" w:hAnsi="ITC Avant Garde" w:cs="Arial"/>
                <w:color w:val="000000"/>
                <w:lang w:eastAsia="es-MX"/>
              </w:rPr>
              <w:t>27 de junio de 2021</w:t>
            </w:r>
          </w:p>
        </w:tc>
      </w:tr>
    </w:tbl>
    <w:p w14:paraId="219AC824" w14:textId="49FCD190" w:rsidR="00D65497" w:rsidRPr="00092958" w:rsidRDefault="00D65497" w:rsidP="00D838AF">
      <w:pPr>
        <w:spacing w:after="0"/>
        <w:jc w:val="both"/>
        <w:rPr>
          <w:rFonts w:ascii="ITC Avant Garde" w:hAnsi="ITC Avant Garde" w:cs="Arial"/>
          <w:b/>
        </w:rPr>
      </w:pPr>
    </w:p>
    <w:p w14:paraId="19EC6914" w14:textId="459E27BC" w:rsidR="00612FB0" w:rsidRPr="00092958" w:rsidRDefault="00612FB0" w:rsidP="00D838AF">
      <w:pPr>
        <w:pStyle w:val="Prrafodelista"/>
        <w:numPr>
          <w:ilvl w:val="0"/>
          <w:numId w:val="21"/>
        </w:numPr>
        <w:spacing w:after="0"/>
        <w:jc w:val="both"/>
        <w:rPr>
          <w:rFonts w:ascii="ITC Avant Garde" w:hAnsi="ITC Avant Garde" w:cs="Arial"/>
          <w:b/>
        </w:rPr>
      </w:pPr>
      <w:r w:rsidRPr="00092958">
        <w:rPr>
          <w:rFonts w:ascii="ITC Avant Garde" w:hAnsi="ITC Avant Garde" w:cs="Arial"/>
          <w:b/>
        </w:rPr>
        <w:t xml:space="preserve">Posicionamiento </w:t>
      </w:r>
      <w:r w:rsidR="003327CC" w:rsidRPr="00092958">
        <w:rPr>
          <w:rFonts w:ascii="ITC Avant Garde" w:hAnsi="ITC Avant Garde" w:cs="Arial"/>
          <w:b/>
          <w:lang w:val="es-MX"/>
        </w:rPr>
        <w:t>del Instituto</w:t>
      </w:r>
    </w:p>
    <w:p w14:paraId="5A4AF11D" w14:textId="2B1415C9" w:rsidR="00612FB0" w:rsidRPr="00092958" w:rsidRDefault="00612FB0" w:rsidP="00D838AF">
      <w:pPr>
        <w:spacing w:after="0"/>
        <w:jc w:val="both"/>
        <w:rPr>
          <w:rFonts w:ascii="ITC Avant Garde" w:hAnsi="ITC Avant Garde" w:cs="Arial"/>
          <w:b/>
        </w:rPr>
      </w:pPr>
    </w:p>
    <w:p w14:paraId="2725350B" w14:textId="66D99931" w:rsidR="00896819" w:rsidRPr="00092958" w:rsidRDefault="00896819" w:rsidP="00D838AF">
      <w:pPr>
        <w:spacing w:after="0"/>
        <w:jc w:val="both"/>
        <w:rPr>
          <w:rFonts w:ascii="ITC Avant Garde" w:hAnsi="ITC Avant Garde" w:cs="Arial"/>
        </w:rPr>
      </w:pPr>
      <w:r w:rsidRPr="00092958">
        <w:rPr>
          <w:rFonts w:ascii="ITC Avant Garde" w:hAnsi="ITC Avant Garde" w:cs="Arial"/>
        </w:rPr>
        <w:t xml:space="preserve">Respecto de los comentarios, se toma nota de los mismos y se manifiesta que el Instituto tiene a su cargo la regulación, promoción y supervisión del uso, aprovechamiento y explotación del espectro radioeléctrico, conforme a lo dispuesto en el artículo 28, párrafo décimo quinto de la Constitución Política de los Estados Unidos Mexicanos </w:t>
      </w:r>
      <w:r w:rsidR="009B76A2" w:rsidRPr="00092958">
        <w:rPr>
          <w:rFonts w:ascii="ITC Avant Garde" w:hAnsi="ITC Avant Garde" w:cs="Arial"/>
        </w:rPr>
        <w:t>(Constitución)</w:t>
      </w:r>
      <w:r w:rsidR="00D968C7" w:rsidRPr="00092958">
        <w:rPr>
          <w:rFonts w:ascii="ITC Avant Garde" w:hAnsi="ITC Avant Garde" w:cs="Arial"/>
        </w:rPr>
        <w:t xml:space="preserve"> </w:t>
      </w:r>
      <w:r w:rsidRPr="00092958">
        <w:rPr>
          <w:rFonts w:ascii="ITC Avant Garde" w:hAnsi="ITC Avant Garde" w:cs="Arial"/>
        </w:rPr>
        <w:t>y 7 de la Ley.</w:t>
      </w:r>
    </w:p>
    <w:p w14:paraId="5970A2A3" w14:textId="77777777" w:rsidR="00896819" w:rsidRPr="00092958" w:rsidRDefault="00896819" w:rsidP="00D838AF">
      <w:pPr>
        <w:spacing w:after="0"/>
        <w:jc w:val="both"/>
        <w:rPr>
          <w:rFonts w:ascii="ITC Avant Garde" w:hAnsi="ITC Avant Garde" w:cs="Arial"/>
        </w:rPr>
      </w:pPr>
    </w:p>
    <w:p w14:paraId="3C947A50" w14:textId="4DA11E0F" w:rsidR="00896819" w:rsidRPr="00092958" w:rsidRDefault="00896819" w:rsidP="00D838AF">
      <w:pPr>
        <w:spacing w:after="0"/>
        <w:jc w:val="both"/>
        <w:rPr>
          <w:rFonts w:ascii="ITC Avant Garde" w:hAnsi="ITC Avant Garde"/>
        </w:rPr>
      </w:pPr>
      <w:r w:rsidRPr="00092958">
        <w:rPr>
          <w:rFonts w:ascii="ITC Avant Garde" w:hAnsi="ITC Avant Garde" w:cs="Arial"/>
        </w:rPr>
        <w:t xml:space="preserve">Asimismo, </w:t>
      </w:r>
      <w:r w:rsidR="009B76A2" w:rsidRPr="00092958">
        <w:rPr>
          <w:rFonts w:ascii="ITC Avant Garde" w:hAnsi="ITC Avant Garde"/>
        </w:rPr>
        <w:t>de conformidad con los artículos 28</w:t>
      </w:r>
      <w:r w:rsidR="0052352F">
        <w:rPr>
          <w:rFonts w:ascii="ITC Avant Garde" w:hAnsi="ITC Avant Garde"/>
        </w:rPr>
        <w:t>,</w:t>
      </w:r>
      <w:r w:rsidR="009B76A2" w:rsidRPr="00092958">
        <w:rPr>
          <w:rFonts w:ascii="ITC Avant Garde" w:hAnsi="ITC Avant Garde"/>
        </w:rPr>
        <w:t xml:space="preserve"> párrafo vigésimo</w:t>
      </w:r>
      <w:r w:rsidR="0052352F">
        <w:rPr>
          <w:rFonts w:ascii="ITC Avant Garde" w:hAnsi="ITC Avant Garde"/>
        </w:rPr>
        <w:t>,</w:t>
      </w:r>
      <w:r w:rsidR="009B76A2" w:rsidRPr="00092958">
        <w:rPr>
          <w:rFonts w:ascii="ITC Avant Garde" w:hAnsi="ITC Avant Garde"/>
        </w:rPr>
        <w:t xml:space="preserve"> fracción IV de la Constitución</w:t>
      </w:r>
      <w:r w:rsidR="009D1727" w:rsidRPr="00092958">
        <w:rPr>
          <w:rFonts w:ascii="ITC Avant Garde" w:hAnsi="ITC Avant Garde"/>
        </w:rPr>
        <w:t xml:space="preserve"> y</w:t>
      </w:r>
      <w:r w:rsidR="009B76A2" w:rsidRPr="00092958">
        <w:rPr>
          <w:rFonts w:ascii="ITC Avant Garde" w:hAnsi="ITC Avant Garde"/>
        </w:rPr>
        <w:t xml:space="preserve"> 15</w:t>
      </w:r>
      <w:r w:rsidR="0052352F">
        <w:rPr>
          <w:rFonts w:ascii="ITC Avant Garde" w:hAnsi="ITC Avant Garde"/>
        </w:rPr>
        <w:t>,</w:t>
      </w:r>
      <w:r w:rsidR="009B76A2" w:rsidRPr="00092958">
        <w:rPr>
          <w:rFonts w:ascii="ITC Avant Garde" w:hAnsi="ITC Avant Garde"/>
        </w:rPr>
        <w:t xml:space="preserve"> fracciones I y LVI y 17</w:t>
      </w:r>
      <w:r w:rsidR="0052352F">
        <w:rPr>
          <w:rFonts w:ascii="ITC Avant Garde" w:hAnsi="ITC Avant Garde"/>
        </w:rPr>
        <w:t>,</w:t>
      </w:r>
      <w:r w:rsidR="009B76A2" w:rsidRPr="00092958">
        <w:rPr>
          <w:rFonts w:ascii="ITC Avant Garde" w:hAnsi="ITC Avant Garde"/>
        </w:rPr>
        <w:t xml:space="preserve"> fracción I de la Ley, el Pleno del Instituto tiene la facultad de emitir disposiciones administrativas de carácter general para el cumplimiento de sus funciones de regulación en el sector de su competencia</w:t>
      </w:r>
      <w:r w:rsidR="009D1727" w:rsidRPr="00092958">
        <w:rPr>
          <w:rFonts w:ascii="ITC Avant Garde" w:hAnsi="ITC Avant Garde"/>
        </w:rPr>
        <w:t>.</w:t>
      </w:r>
    </w:p>
    <w:p w14:paraId="061748EE" w14:textId="46558AF5" w:rsidR="009D1727" w:rsidRPr="00092958" w:rsidRDefault="009D1727" w:rsidP="00D838AF">
      <w:pPr>
        <w:spacing w:after="0"/>
        <w:jc w:val="both"/>
        <w:rPr>
          <w:rFonts w:ascii="ITC Avant Garde" w:hAnsi="ITC Avant Garde"/>
        </w:rPr>
      </w:pPr>
    </w:p>
    <w:p w14:paraId="5C89269A" w14:textId="073FE233" w:rsidR="00056B8C" w:rsidRPr="00092958" w:rsidRDefault="009D1727" w:rsidP="00D838AF">
      <w:pPr>
        <w:autoSpaceDE w:val="0"/>
        <w:autoSpaceDN w:val="0"/>
        <w:jc w:val="both"/>
        <w:rPr>
          <w:rFonts w:ascii="ITC Avant Garde" w:hAnsi="ITC Avant Garde"/>
        </w:rPr>
      </w:pPr>
      <w:r w:rsidRPr="00092958">
        <w:rPr>
          <w:rFonts w:ascii="ITC Avant Garde" w:hAnsi="ITC Avant Garde"/>
        </w:rPr>
        <w:t xml:space="preserve">Es así que, a efecto de </w:t>
      </w:r>
      <w:r w:rsidR="00056B8C" w:rsidRPr="00092958">
        <w:rPr>
          <w:rFonts w:ascii="ITC Avant Garde" w:hAnsi="ITC Avant Garde"/>
        </w:rPr>
        <w:t>dar cumplimiento con el mandato constitucional el Instituto llevó a cabo la consulta pública del Anteproyecto</w:t>
      </w:r>
      <w:r w:rsidR="00092958">
        <w:rPr>
          <w:rFonts w:ascii="ITC Avant Garde" w:hAnsi="ITC Avant Garde"/>
        </w:rPr>
        <w:t>,</w:t>
      </w:r>
      <w:r w:rsidR="00056B8C" w:rsidRPr="00092958">
        <w:rPr>
          <w:rFonts w:ascii="ITC Avant Garde" w:hAnsi="ITC Avant Garde"/>
        </w:rPr>
        <w:t xml:space="preserve"> el cual propone el procedimiento mediante el cual los prestadores del servicio de despacho de vuelos, de despacho de vuelos y control operacional, o bien, de despacho de vuelos y control operacional centralizado podrán hacer uso y aprovechamiento de los diferentes canales de frecuencias empleados en las comunicaciones de control de operacional aeronáutico (AOC, por sus siglas en inglés) dentro del segmento de espectro radioeléctrico que va de 129.900 a 132.025 MHz</w:t>
      </w:r>
      <w:r w:rsidR="004E412F" w:rsidRPr="00092958">
        <w:rPr>
          <w:rFonts w:ascii="ITC Avant Garde" w:hAnsi="ITC Avant Garde"/>
        </w:rPr>
        <w:t>, clasificado como espectro protegido de conformidad con el artículo 55 fracción III de la Ley. Lo anterior</w:t>
      </w:r>
      <w:r w:rsidR="00304422" w:rsidRPr="0052352F">
        <w:rPr>
          <w:rFonts w:ascii="ITC Avant Garde" w:hAnsi="ITC Avant Garde" w:cs="Arial"/>
        </w:rPr>
        <w:t>,</w:t>
      </w:r>
      <w:r w:rsidR="00304422" w:rsidRPr="00092958">
        <w:rPr>
          <w:rFonts w:ascii="Arial" w:hAnsi="Arial" w:cs="Arial"/>
        </w:rPr>
        <w:t xml:space="preserve"> </w:t>
      </w:r>
      <w:r w:rsidR="00304422" w:rsidRPr="00092958">
        <w:rPr>
          <w:rFonts w:ascii="ITC Avant Garde" w:hAnsi="ITC Avant Garde"/>
        </w:rPr>
        <w:t xml:space="preserve">en virtud de que </w:t>
      </w:r>
      <w:r w:rsidR="004E412F" w:rsidRPr="00092958">
        <w:rPr>
          <w:rFonts w:ascii="ITC Avant Garde" w:hAnsi="ITC Avant Garde"/>
        </w:rPr>
        <w:t>los</w:t>
      </w:r>
      <w:r w:rsidR="00E3223D" w:rsidRPr="00092958">
        <w:rPr>
          <w:rFonts w:ascii="ITC Avant Garde" w:hAnsi="ITC Avant Garde"/>
        </w:rPr>
        <w:t xml:space="preserve"> servicios </w:t>
      </w:r>
      <w:r w:rsidR="004E412F" w:rsidRPr="00092958">
        <w:rPr>
          <w:rFonts w:ascii="ITC Avant Garde" w:hAnsi="ITC Avant Garde"/>
        </w:rPr>
        <w:t xml:space="preserve">referidos </w:t>
      </w:r>
      <w:r w:rsidR="00E3223D" w:rsidRPr="00092958">
        <w:rPr>
          <w:rFonts w:ascii="ITC Avant Garde" w:hAnsi="ITC Avant Garde"/>
        </w:rPr>
        <w:t xml:space="preserve">son empleados para proporcionar información aeronáutica, reportes y pronósticos meteorológicos, para brindar asistencia en la elaboración del plan de vuelo, plan operacional de vuelo, informe meteorológico, manifiesto de peso, carga y balance de la aeronave y </w:t>
      </w:r>
      <w:r w:rsidR="0052352F">
        <w:rPr>
          <w:rFonts w:ascii="ITC Avant Garde" w:hAnsi="ITC Avant Garde"/>
        </w:rPr>
        <w:t>mantener</w:t>
      </w:r>
      <w:r w:rsidR="00E3223D" w:rsidRPr="00092958">
        <w:rPr>
          <w:rFonts w:ascii="ITC Avant Garde" w:hAnsi="ITC Avant Garde"/>
        </w:rPr>
        <w:t xml:space="preserve"> en óptimas condiciones la vigilancia y el seguimiento del vuelo durante toda su ruta, garantizando de esta forma la seguridad del mismo</w:t>
      </w:r>
      <w:r w:rsidR="00304422" w:rsidRPr="00092958">
        <w:rPr>
          <w:rFonts w:ascii="ITC Avant Garde" w:hAnsi="ITC Avant Garde"/>
        </w:rPr>
        <w:t>.</w:t>
      </w:r>
    </w:p>
    <w:p w14:paraId="1CD90FF6" w14:textId="5834ED3D" w:rsidR="002C51DD" w:rsidRPr="00AE11E8" w:rsidRDefault="00BC660B" w:rsidP="00D838AF">
      <w:pPr>
        <w:pStyle w:val="Prrafodelista"/>
        <w:pBdr>
          <w:top w:val="nil"/>
          <w:left w:val="nil"/>
          <w:bottom w:val="nil"/>
          <w:right w:val="nil"/>
          <w:between w:val="nil"/>
          <w:bar w:val="nil"/>
        </w:pBdr>
        <w:spacing w:after="0"/>
        <w:ind w:left="0" w:right="48"/>
        <w:contextualSpacing w:val="0"/>
        <w:jc w:val="both"/>
        <w:rPr>
          <w:rFonts w:ascii="ITC Avant Garde" w:hAnsi="ITC Avant Garde" w:cs="Arial"/>
          <w:lang w:val="es-ES"/>
        </w:rPr>
      </w:pPr>
      <w:r w:rsidRPr="00AE11E8">
        <w:rPr>
          <w:rFonts w:ascii="ITC Avant Garde" w:hAnsi="ITC Avant Garde"/>
          <w:lang w:val="es-MX"/>
        </w:rPr>
        <w:t xml:space="preserve">Por otra parte, el mecanismo establecido en </w:t>
      </w:r>
      <w:r w:rsidR="0052352F" w:rsidRPr="00AE11E8">
        <w:rPr>
          <w:rFonts w:ascii="ITC Avant Garde" w:hAnsi="ITC Avant Garde"/>
          <w:lang w:val="es-MX"/>
        </w:rPr>
        <w:t xml:space="preserve">el </w:t>
      </w:r>
      <w:r w:rsidRPr="00AE11E8">
        <w:rPr>
          <w:rFonts w:ascii="ITC Avant Garde" w:hAnsi="ITC Avant Garde"/>
          <w:lang w:val="es-MX"/>
        </w:rPr>
        <w:t xml:space="preserve">Anteproyecto prevé los procedimientos de coordinación entre </w:t>
      </w:r>
      <w:r w:rsidR="0052352F" w:rsidRPr="00AE11E8">
        <w:rPr>
          <w:rFonts w:ascii="ITC Avant Garde" w:hAnsi="ITC Avant Garde"/>
          <w:lang w:val="es-MX"/>
        </w:rPr>
        <w:t>el Instituto</w:t>
      </w:r>
      <w:r w:rsidR="00AE11E8" w:rsidRPr="00AE11E8">
        <w:rPr>
          <w:rFonts w:ascii="ITC Avant Garde" w:hAnsi="ITC Avant Garde"/>
          <w:lang w:val="es-MX"/>
        </w:rPr>
        <w:t>,</w:t>
      </w:r>
      <w:r w:rsidR="0052352F" w:rsidRPr="00AE11E8">
        <w:rPr>
          <w:rFonts w:ascii="ITC Avant Garde" w:hAnsi="ITC Avant Garde"/>
          <w:lang w:val="es-MX"/>
        </w:rPr>
        <w:t xml:space="preserve"> </w:t>
      </w:r>
      <w:r w:rsidR="00AE11E8" w:rsidRPr="00AE11E8">
        <w:rPr>
          <w:rFonts w:ascii="ITC Avant Garde" w:hAnsi="ITC Avant Garde" w:cs="Arial"/>
        </w:rPr>
        <w:t>la autoridad aeronáutica</w:t>
      </w:r>
      <w:r w:rsidR="00A73202">
        <w:rPr>
          <w:rFonts w:ascii="ITC Avant Garde" w:hAnsi="ITC Avant Garde" w:cs="Arial"/>
          <w:lang w:val="es-MX"/>
        </w:rPr>
        <w:t>,</w:t>
      </w:r>
      <w:r w:rsidR="00AE11E8" w:rsidRPr="00AE11E8">
        <w:rPr>
          <w:rFonts w:ascii="ITC Avant Garde" w:hAnsi="ITC Avant Garde" w:cs="Arial"/>
          <w:lang w:val="es-MX"/>
        </w:rPr>
        <w:t xml:space="preserve"> </w:t>
      </w:r>
      <w:r w:rsidR="00DA3E9A" w:rsidRPr="00AE11E8">
        <w:rPr>
          <w:rFonts w:ascii="ITC Avant Garde" w:hAnsi="ITC Avant Garde"/>
          <w:lang w:val="es-MX"/>
        </w:rPr>
        <w:t xml:space="preserve">la </w:t>
      </w:r>
      <w:r w:rsidRPr="00AE11E8">
        <w:rPr>
          <w:rFonts w:ascii="ITC Avant Garde" w:hAnsi="ITC Avant Garde"/>
          <w:lang w:val="es-MX"/>
        </w:rPr>
        <w:t>A</w:t>
      </w:r>
      <w:r w:rsidR="00DA3E9A" w:rsidRPr="00AE11E8">
        <w:rPr>
          <w:rFonts w:ascii="ITC Avant Garde" w:hAnsi="ITC Avant Garde"/>
          <w:lang w:val="es-MX"/>
        </w:rPr>
        <w:t xml:space="preserve">gencia </w:t>
      </w:r>
      <w:r w:rsidRPr="00AE11E8">
        <w:rPr>
          <w:rFonts w:ascii="ITC Avant Garde" w:hAnsi="ITC Avant Garde"/>
          <w:lang w:val="es-MX"/>
        </w:rPr>
        <w:t>F</w:t>
      </w:r>
      <w:r w:rsidR="00DA3E9A" w:rsidRPr="00AE11E8">
        <w:rPr>
          <w:rFonts w:ascii="ITC Avant Garde" w:hAnsi="ITC Avant Garde"/>
          <w:lang w:val="es-MX"/>
        </w:rPr>
        <w:t xml:space="preserve">ederal de </w:t>
      </w:r>
      <w:r w:rsidRPr="00AE11E8">
        <w:rPr>
          <w:rFonts w:ascii="ITC Avant Garde" w:hAnsi="ITC Avant Garde"/>
          <w:lang w:val="es-MX"/>
        </w:rPr>
        <w:t>A</w:t>
      </w:r>
      <w:r w:rsidR="00DA3E9A" w:rsidRPr="00AE11E8">
        <w:rPr>
          <w:rFonts w:ascii="ITC Avant Garde" w:hAnsi="ITC Avant Garde"/>
          <w:lang w:val="es-MX"/>
        </w:rPr>
        <w:t xml:space="preserve">viación </w:t>
      </w:r>
      <w:r w:rsidRPr="00AE11E8">
        <w:rPr>
          <w:rFonts w:ascii="ITC Avant Garde" w:hAnsi="ITC Avant Garde"/>
          <w:lang w:val="es-MX"/>
        </w:rPr>
        <w:t>C</w:t>
      </w:r>
      <w:r w:rsidR="00DA3E9A" w:rsidRPr="00AE11E8">
        <w:rPr>
          <w:rFonts w:ascii="ITC Avant Garde" w:hAnsi="ITC Avant Garde"/>
          <w:lang w:val="es-MX"/>
        </w:rPr>
        <w:t>ivil</w:t>
      </w:r>
      <w:r w:rsidRPr="00AE11E8">
        <w:rPr>
          <w:rFonts w:ascii="ITC Avant Garde" w:hAnsi="ITC Avant Garde"/>
          <w:lang w:val="es-MX"/>
        </w:rPr>
        <w:t xml:space="preserve"> </w:t>
      </w:r>
      <w:r w:rsidR="004926F3" w:rsidRPr="00AE11E8">
        <w:rPr>
          <w:rFonts w:ascii="ITC Avant Garde" w:hAnsi="ITC Avant Garde"/>
          <w:lang w:val="es-MX"/>
        </w:rPr>
        <w:t>(</w:t>
      </w:r>
      <w:proofErr w:type="spellStart"/>
      <w:r w:rsidR="004926F3" w:rsidRPr="00AE11E8">
        <w:rPr>
          <w:rFonts w:ascii="ITC Avant Garde" w:hAnsi="ITC Avant Garde"/>
          <w:lang w:val="es-MX"/>
        </w:rPr>
        <w:t>AFAC</w:t>
      </w:r>
      <w:proofErr w:type="spellEnd"/>
      <w:r w:rsidR="004926F3" w:rsidRPr="00AE11E8">
        <w:rPr>
          <w:rFonts w:ascii="ITC Avant Garde" w:hAnsi="ITC Avant Garde"/>
          <w:lang w:val="es-MX"/>
        </w:rPr>
        <w:t xml:space="preserve">) </w:t>
      </w:r>
      <w:r w:rsidRPr="00AE11E8">
        <w:rPr>
          <w:rFonts w:ascii="ITC Avant Garde" w:hAnsi="ITC Avant Garde"/>
          <w:lang w:val="es-MX"/>
        </w:rPr>
        <w:t xml:space="preserve">y </w:t>
      </w:r>
      <w:r w:rsidR="00AE11E8" w:rsidRPr="00AE11E8">
        <w:rPr>
          <w:rFonts w:ascii="ITC Avant Garde" w:hAnsi="ITC Avant Garde" w:cs="Arial"/>
        </w:rPr>
        <w:t xml:space="preserve">el proveedor de servicios de navegación aérea, es decir, </w:t>
      </w:r>
      <w:r w:rsidRPr="00AE11E8">
        <w:rPr>
          <w:rFonts w:ascii="ITC Avant Garde" w:hAnsi="ITC Avant Garde"/>
          <w:lang w:val="es-MX"/>
        </w:rPr>
        <w:t>Servicios a la Navegación en el Espacio Aéreo Mexicano</w:t>
      </w:r>
      <w:r w:rsidR="004926F3" w:rsidRPr="00AE11E8">
        <w:rPr>
          <w:rFonts w:ascii="ITC Avant Garde" w:hAnsi="ITC Avant Garde"/>
          <w:lang w:val="es-MX"/>
        </w:rPr>
        <w:t xml:space="preserve"> (</w:t>
      </w:r>
      <w:proofErr w:type="spellStart"/>
      <w:r w:rsidR="004926F3" w:rsidRPr="00AE11E8">
        <w:rPr>
          <w:rFonts w:ascii="ITC Avant Garde" w:hAnsi="ITC Avant Garde"/>
          <w:lang w:val="es-MX"/>
        </w:rPr>
        <w:t>SENEAM</w:t>
      </w:r>
      <w:proofErr w:type="spellEnd"/>
      <w:r w:rsidR="004926F3" w:rsidRPr="00AE11E8">
        <w:rPr>
          <w:rFonts w:ascii="ITC Avant Garde" w:hAnsi="ITC Avant Garde"/>
          <w:lang w:val="es-MX"/>
        </w:rPr>
        <w:t>)</w:t>
      </w:r>
      <w:r w:rsidR="004E412F" w:rsidRPr="00AE11E8">
        <w:rPr>
          <w:rFonts w:ascii="ITC Avant Garde" w:hAnsi="ITC Avant Garde"/>
          <w:lang w:val="es-MX"/>
        </w:rPr>
        <w:t xml:space="preserve">, </w:t>
      </w:r>
      <w:r w:rsidR="00EC659A" w:rsidRPr="00AE11E8">
        <w:rPr>
          <w:rFonts w:ascii="ITC Avant Garde" w:hAnsi="ITC Avant Garde"/>
          <w:lang w:val="es-MX"/>
        </w:rPr>
        <w:t xml:space="preserve">toda vez que la </w:t>
      </w:r>
      <w:proofErr w:type="spellStart"/>
      <w:r w:rsidRPr="00AE11E8">
        <w:rPr>
          <w:rFonts w:ascii="ITC Avant Garde" w:hAnsi="ITC Avant Garde"/>
          <w:lang w:val="es-MX"/>
        </w:rPr>
        <w:t>AFAC</w:t>
      </w:r>
      <w:proofErr w:type="spellEnd"/>
      <w:r w:rsidRPr="00AE11E8">
        <w:rPr>
          <w:rFonts w:ascii="ITC Avant Garde" w:hAnsi="ITC Avant Garde"/>
          <w:lang w:val="es-MX"/>
        </w:rPr>
        <w:t xml:space="preserve"> es </w:t>
      </w:r>
      <w:r w:rsidR="00EC659A" w:rsidRPr="00AE11E8">
        <w:rPr>
          <w:rFonts w:ascii="ITC Avant Garde" w:hAnsi="ITC Avant Garde"/>
          <w:lang w:val="es-MX"/>
        </w:rPr>
        <w:t>la autoridad ante la que s</w:t>
      </w:r>
      <w:r w:rsidRPr="00AE11E8">
        <w:rPr>
          <w:rFonts w:ascii="ITC Avant Garde" w:hAnsi="ITC Avant Garde"/>
          <w:lang w:val="es-MX"/>
        </w:rPr>
        <w:t xml:space="preserve">e presentan las solicitudes de </w:t>
      </w:r>
      <w:r w:rsidR="00EC659A" w:rsidRPr="00AE11E8">
        <w:rPr>
          <w:rFonts w:ascii="ITC Avant Garde" w:hAnsi="ITC Avant Garde"/>
          <w:lang w:val="es-MX"/>
        </w:rPr>
        <w:t>a</w:t>
      </w:r>
      <w:r w:rsidRPr="00AE11E8">
        <w:rPr>
          <w:rFonts w:ascii="ITC Avant Garde" w:hAnsi="ITC Avant Garde"/>
          <w:lang w:val="es-MX"/>
        </w:rPr>
        <w:t>utorización</w:t>
      </w:r>
      <w:r w:rsidR="00EC659A" w:rsidRPr="00AE11E8">
        <w:rPr>
          <w:rFonts w:ascii="ITC Avant Garde" w:hAnsi="ITC Avant Garde"/>
          <w:lang w:val="es-MX"/>
        </w:rPr>
        <w:t xml:space="preserve"> de oficinas de despacho</w:t>
      </w:r>
      <w:r w:rsidRPr="00AE11E8">
        <w:rPr>
          <w:rFonts w:ascii="ITC Avant Garde" w:hAnsi="ITC Avant Garde"/>
          <w:lang w:val="es-MX"/>
        </w:rPr>
        <w:t xml:space="preserve">, en tanto que </w:t>
      </w:r>
      <w:proofErr w:type="spellStart"/>
      <w:r w:rsidRPr="00AE11E8">
        <w:rPr>
          <w:rFonts w:ascii="ITC Avant Garde" w:hAnsi="ITC Avant Garde"/>
          <w:lang w:val="es-MX"/>
        </w:rPr>
        <w:t>SENEAM</w:t>
      </w:r>
      <w:proofErr w:type="spellEnd"/>
      <w:r w:rsidRPr="00AE11E8">
        <w:rPr>
          <w:rFonts w:ascii="ITC Avant Garde" w:hAnsi="ITC Avant Garde"/>
          <w:lang w:val="es-MX"/>
        </w:rPr>
        <w:t xml:space="preserve"> </w:t>
      </w:r>
      <w:r w:rsidR="00EC659A" w:rsidRPr="00AE11E8">
        <w:rPr>
          <w:rFonts w:ascii="ITC Avant Garde" w:hAnsi="ITC Avant Garde"/>
          <w:lang w:val="es-MX"/>
        </w:rPr>
        <w:t xml:space="preserve">es </w:t>
      </w:r>
      <w:r w:rsidR="00A73202">
        <w:rPr>
          <w:rFonts w:ascii="ITC Avant Garde" w:hAnsi="ITC Avant Garde"/>
          <w:lang w:val="es-MX"/>
        </w:rPr>
        <w:t>quien se</w:t>
      </w:r>
      <w:r w:rsidRPr="00AE11E8">
        <w:rPr>
          <w:rFonts w:ascii="ITC Avant Garde" w:hAnsi="ITC Avant Garde"/>
          <w:lang w:val="es-MX"/>
        </w:rPr>
        <w:t xml:space="preserve"> encarga de garantizar el transporte seguro y eficiente de personas y bienes en el espacio aéreo mexicano.</w:t>
      </w:r>
      <w:r w:rsidR="004E412F" w:rsidRPr="00AE11E8">
        <w:rPr>
          <w:rFonts w:ascii="ITC Avant Garde" w:hAnsi="ITC Avant Garde"/>
          <w:lang w:val="es-MX"/>
        </w:rPr>
        <w:t xml:space="preserve"> De esta manera, el Instituto junto con la </w:t>
      </w:r>
      <w:proofErr w:type="spellStart"/>
      <w:r w:rsidR="004E412F" w:rsidRPr="00AE11E8">
        <w:rPr>
          <w:rFonts w:ascii="ITC Avant Garde" w:hAnsi="ITC Avant Garde"/>
          <w:lang w:val="es-MX"/>
        </w:rPr>
        <w:t>AFAC</w:t>
      </w:r>
      <w:proofErr w:type="spellEnd"/>
      <w:r w:rsidR="004E412F" w:rsidRPr="00AE11E8">
        <w:rPr>
          <w:rFonts w:ascii="ITC Avant Garde" w:hAnsi="ITC Avant Garde"/>
          <w:lang w:val="es-MX"/>
        </w:rPr>
        <w:t xml:space="preserve"> y </w:t>
      </w:r>
      <w:proofErr w:type="spellStart"/>
      <w:r w:rsidR="004E412F" w:rsidRPr="00AE11E8">
        <w:rPr>
          <w:rFonts w:ascii="ITC Avant Garde" w:hAnsi="ITC Avant Garde"/>
          <w:lang w:val="es-MX"/>
        </w:rPr>
        <w:t>SENEAM</w:t>
      </w:r>
      <w:proofErr w:type="spellEnd"/>
      <w:r w:rsidR="004E412F" w:rsidRPr="00AE11E8">
        <w:rPr>
          <w:rFonts w:ascii="ITC Avant Garde" w:hAnsi="ITC Avant Garde"/>
          <w:lang w:val="es-MX"/>
        </w:rPr>
        <w:t xml:space="preserve">, mediante la implementación </w:t>
      </w:r>
      <w:r w:rsidR="0052352F" w:rsidRPr="00AE11E8">
        <w:rPr>
          <w:rFonts w:ascii="ITC Avant Garde" w:hAnsi="ITC Avant Garde"/>
          <w:lang w:val="es-MX"/>
        </w:rPr>
        <w:t>d</w:t>
      </w:r>
      <w:r w:rsidR="004E412F" w:rsidRPr="00AE11E8">
        <w:rPr>
          <w:rFonts w:ascii="ITC Avant Garde" w:hAnsi="ITC Avant Garde"/>
          <w:lang w:val="es-MX"/>
        </w:rPr>
        <w:t xml:space="preserve">el mecanismo indicado en el Anteproyecto, brindarán certeza a las operaciones de las oficinas de despacho que requieren del uso del espectro radioeléctrico, </w:t>
      </w:r>
      <w:r w:rsidR="0052352F" w:rsidRPr="00AE11E8">
        <w:rPr>
          <w:rFonts w:ascii="ITC Avant Garde" w:hAnsi="ITC Avant Garde"/>
          <w:lang w:val="es-MX"/>
        </w:rPr>
        <w:t>y</w:t>
      </w:r>
      <w:r w:rsidR="004E412F" w:rsidRPr="00AE11E8">
        <w:rPr>
          <w:rFonts w:ascii="ITC Avant Garde" w:hAnsi="ITC Avant Garde"/>
          <w:lang w:val="es-MX"/>
        </w:rPr>
        <w:t xml:space="preserve"> garantizar</w:t>
      </w:r>
      <w:r w:rsidR="0052352F" w:rsidRPr="00AE11E8">
        <w:rPr>
          <w:rFonts w:ascii="ITC Avant Garde" w:hAnsi="ITC Avant Garde"/>
          <w:lang w:val="es-MX"/>
        </w:rPr>
        <w:t>án,</w:t>
      </w:r>
      <w:r w:rsidR="004E412F" w:rsidRPr="00AE11E8">
        <w:rPr>
          <w:rFonts w:ascii="ITC Avant Garde" w:hAnsi="ITC Avant Garde"/>
          <w:lang w:val="es-MX"/>
        </w:rPr>
        <w:t xml:space="preserve"> de forma conjunta</w:t>
      </w:r>
      <w:r w:rsidR="0052352F" w:rsidRPr="00AE11E8">
        <w:rPr>
          <w:rFonts w:ascii="ITC Avant Garde" w:hAnsi="ITC Avant Garde"/>
          <w:lang w:val="es-MX"/>
        </w:rPr>
        <w:t>,</w:t>
      </w:r>
      <w:r w:rsidR="004E412F" w:rsidRPr="00AE11E8">
        <w:rPr>
          <w:rFonts w:ascii="ITC Avant Garde" w:hAnsi="ITC Avant Garde"/>
          <w:lang w:val="es-MX"/>
        </w:rPr>
        <w:t xml:space="preserve"> la operación de las bandas de frecuencias utilizadas en la aviación civil en condiciones de seguridad y libre de interferencias perjudiciales.</w:t>
      </w:r>
    </w:p>
    <w:p w14:paraId="685FC073" w14:textId="3C66E580" w:rsidR="004E412F" w:rsidRPr="00092958" w:rsidRDefault="004E412F" w:rsidP="00D838AF">
      <w:pPr>
        <w:spacing w:after="0"/>
        <w:jc w:val="both"/>
        <w:rPr>
          <w:rFonts w:ascii="ITC Avant Garde" w:hAnsi="ITC Avant Garde" w:cs="Arial"/>
          <w:lang w:val="es-ES"/>
        </w:rPr>
      </w:pPr>
    </w:p>
    <w:p w14:paraId="77799CBF" w14:textId="11E4B297" w:rsidR="004E412F" w:rsidRPr="00092958" w:rsidRDefault="001E08F0" w:rsidP="00D838AF">
      <w:pPr>
        <w:pStyle w:val="Ttulo3"/>
        <w:numPr>
          <w:ilvl w:val="0"/>
          <w:numId w:val="21"/>
        </w:numPr>
        <w:spacing w:before="0"/>
        <w:contextualSpacing/>
        <w:jc w:val="both"/>
        <w:rPr>
          <w:rFonts w:ascii="ITC Avant Garde" w:hAnsi="ITC Avant Garde" w:cs="Arial"/>
          <w:b/>
          <w:color w:val="000000" w:themeColor="text1"/>
          <w:sz w:val="22"/>
          <w:szCs w:val="22"/>
        </w:rPr>
      </w:pPr>
      <w:r w:rsidRPr="00092958">
        <w:rPr>
          <w:rFonts w:ascii="ITC Avant Garde" w:hAnsi="ITC Avant Garde" w:cs="Arial"/>
          <w:b/>
          <w:color w:val="000000" w:themeColor="text1"/>
          <w:sz w:val="22"/>
          <w:szCs w:val="22"/>
        </w:rPr>
        <w:t>Respuestas a los c</w:t>
      </w:r>
      <w:r w:rsidR="004E412F" w:rsidRPr="00092958">
        <w:rPr>
          <w:rFonts w:ascii="ITC Avant Garde" w:hAnsi="ITC Avant Garde" w:cs="Arial"/>
          <w:b/>
          <w:color w:val="000000" w:themeColor="text1"/>
          <w:sz w:val="22"/>
          <w:szCs w:val="22"/>
        </w:rPr>
        <w:t xml:space="preserve">omentarios </w:t>
      </w:r>
      <w:r w:rsidRPr="00092958">
        <w:rPr>
          <w:rFonts w:ascii="ITC Avant Garde" w:hAnsi="ITC Avant Garde" w:cs="Arial"/>
          <w:b/>
          <w:color w:val="000000" w:themeColor="text1"/>
          <w:sz w:val="22"/>
          <w:szCs w:val="22"/>
        </w:rPr>
        <w:t>del Anteproyecto</w:t>
      </w:r>
    </w:p>
    <w:p w14:paraId="0F7F42AD" w14:textId="77777777" w:rsidR="004E412F" w:rsidRPr="00092958" w:rsidRDefault="004E412F" w:rsidP="00D838AF">
      <w:pPr>
        <w:spacing w:after="0"/>
        <w:rPr>
          <w:rFonts w:ascii="ITC Avant Garde" w:hAnsi="ITC Avant Garde" w:cs="Arial"/>
        </w:rPr>
      </w:pPr>
    </w:p>
    <w:tbl>
      <w:tblPr>
        <w:tblStyle w:val="Tablaconcuadrcula4-nfasis6"/>
        <w:tblW w:w="0" w:type="auto"/>
        <w:tblLook w:val="04A0" w:firstRow="1" w:lastRow="0" w:firstColumn="1" w:lastColumn="0" w:noHBand="0" w:noVBand="1"/>
      </w:tblPr>
      <w:tblGrid>
        <w:gridCol w:w="1980"/>
        <w:gridCol w:w="3402"/>
        <w:gridCol w:w="4688"/>
      </w:tblGrid>
      <w:tr w:rsidR="004E412F" w:rsidRPr="00092958" w14:paraId="5046A910" w14:textId="77777777" w:rsidTr="006033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02DA0EB" w14:textId="77777777" w:rsidR="004E412F" w:rsidRPr="00092958" w:rsidRDefault="004E412F" w:rsidP="00D838AF">
            <w:pPr>
              <w:spacing w:after="0"/>
              <w:jc w:val="center"/>
              <w:rPr>
                <w:rFonts w:ascii="ITC Avant Garde" w:hAnsi="ITC Avant Garde" w:cs="Arial"/>
                <w:sz w:val="22"/>
                <w:szCs w:val="22"/>
              </w:rPr>
            </w:pPr>
            <w:r w:rsidRPr="00092958">
              <w:rPr>
                <w:rFonts w:ascii="ITC Avant Garde" w:hAnsi="ITC Avant Garde" w:cs="Arial"/>
                <w:sz w:val="22"/>
                <w:szCs w:val="22"/>
              </w:rPr>
              <w:t>Participante</w:t>
            </w:r>
          </w:p>
        </w:tc>
        <w:tc>
          <w:tcPr>
            <w:tcW w:w="3402" w:type="dxa"/>
            <w:vAlign w:val="center"/>
          </w:tcPr>
          <w:p w14:paraId="11832872" w14:textId="77777777" w:rsidR="004E412F" w:rsidRPr="00092958" w:rsidRDefault="004E412F" w:rsidP="00D838A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2"/>
                <w:szCs w:val="22"/>
              </w:rPr>
            </w:pPr>
            <w:r w:rsidRPr="00092958">
              <w:rPr>
                <w:rFonts w:ascii="ITC Avant Garde" w:hAnsi="ITC Avant Garde" w:cs="Arial"/>
                <w:sz w:val="22"/>
                <w:szCs w:val="22"/>
              </w:rPr>
              <w:t>Información, comentario, opinión u otro elemento de análisis</w:t>
            </w:r>
          </w:p>
        </w:tc>
        <w:tc>
          <w:tcPr>
            <w:tcW w:w="4688" w:type="dxa"/>
            <w:vAlign w:val="center"/>
          </w:tcPr>
          <w:p w14:paraId="6FB3656B" w14:textId="77777777" w:rsidR="004E412F" w:rsidRPr="00092958" w:rsidRDefault="004E412F" w:rsidP="00D838AF">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2"/>
                <w:szCs w:val="22"/>
              </w:rPr>
            </w:pPr>
            <w:r w:rsidRPr="00092958">
              <w:rPr>
                <w:rFonts w:ascii="ITC Avant Garde" w:hAnsi="ITC Avant Garde" w:cs="Arial"/>
                <w:sz w:val="22"/>
                <w:szCs w:val="22"/>
              </w:rPr>
              <w:t>Respuesta</w:t>
            </w:r>
          </w:p>
        </w:tc>
      </w:tr>
      <w:tr w:rsidR="004E412F" w:rsidRPr="00092958" w14:paraId="5230E486" w14:textId="77777777" w:rsidTr="006033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1D0B9EE" w14:textId="77777777" w:rsidR="004E412F" w:rsidRPr="00092958" w:rsidRDefault="004E412F" w:rsidP="00D838AF">
            <w:pPr>
              <w:spacing w:after="0"/>
              <w:jc w:val="center"/>
              <w:rPr>
                <w:rFonts w:ascii="ITC Avant Garde" w:hAnsi="ITC Avant Garde" w:cs="Arial"/>
                <w:b w:val="0"/>
                <w:sz w:val="22"/>
                <w:szCs w:val="22"/>
              </w:rPr>
            </w:pPr>
            <w:r w:rsidRPr="00092958">
              <w:rPr>
                <w:rFonts w:ascii="ITC Avant Garde" w:eastAsia="Times New Roman" w:hAnsi="ITC Avant Garde" w:cs="Arial"/>
                <w:color w:val="000000"/>
                <w:sz w:val="22"/>
                <w:szCs w:val="22"/>
              </w:rPr>
              <w:t>Edgar Uriel Montesinos Torres</w:t>
            </w:r>
          </w:p>
        </w:tc>
        <w:tc>
          <w:tcPr>
            <w:tcW w:w="3402" w:type="dxa"/>
          </w:tcPr>
          <w:p w14:paraId="7F79C79C" w14:textId="6A744EEE" w:rsidR="004E412F" w:rsidRPr="00540723" w:rsidRDefault="00540723" w:rsidP="00D838A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22"/>
                <w:szCs w:val="22"/>
              </w:rPr>
            </w:pPr>
            <w:r>
              <w:rPr>
                <w:rFonts w:ascii="ITC Avant Garde" w:hAnsi="ITC Avant Garde" w:cs="Arial"/>
                <w:i/>
                <w:sz w:val="22"/>
                <w:szCs w:val="22"/>
              </w:rPr>
              <w:t>“</w:t>
            </w:r>
            <w:r w:rsidRPr="00540723">
              <w:rPr>
                <w:rFonts w:ascii="ITC Avant Garde" w:hAnsi="ITC Avant Garde" w:cs="Arial"/>
                <w:i/>
                <w:sz w:val="22"/>
                <w:szCs w:val="22"/>
              </w:rPr>
              <w:t xml:space="preserve">Excelente propuesta para poner orden y control al tema de las frecuencias, solo </w:t>
            </w:r>
            <w:r w:rsidR="00A41EEE" w:rsidRPr="00540723">
              <w:rPr>
                <w:rFonts w:ascii="ITC Avant Garde" w:hAnsi="ITC Avant Garde" w:cs="Arial"/>
                <w:i/>
                <w:sz w:val="22"/>
                <w:szCs w:val="22"/>
              </w:rPr>
              <w:t xml:space="preserve">no me </w:t>
            </w:r>
            <w:r w:rsidR="00A41EEE" w:rsidRPr="00540723">
              <w:rPr>
                <w:rFonts w:ascii="ITC Avant Garde" w:hAnsi="ITC Avant Garde"/>
                <w:i/>
                <w:sz w:val="22"/>
                <w:szCs w:val="22"/>
              </w:rPr>
              <w:t>queda muy claro cómo será el proceso para las solicitudes de la frecuencia y cuánto tiempo será la vigencia de poder utilizar la frecuencia</w:t>
            </w:r>
            <w:r w:rsidR="0074234F" w:rsidRPr="00540723">
              <w:rPr>
                <w:rFonts w:ascii="ITC Avant Garde" w:hAnsi="ITC Avant Garde"/>
                <w:i/>
                <w:sz w:val="22"/>
                <w:szCs w:val="22"/>
              </w:rPr>
              <w:t>,</w:t>
            </w:r>
            <w:r w:rsidR="00A41EEE" w:rsidRPr="00540723">
              <w:rPr>
                <w:rFonts w:ascii="ITC Avant Garde" w:hAnsi="ITC Avant Garde"/>
                <w:i/>
                <w:sz w:val="22"/>
                <w:szCs w:val="22"/>
              </w:rPr>
              <w:t xml:space="preserve"> no me qued</w:t>
            </w:r>
            <w:r w:rsidR="0074234F" w:rsidRPr="00540723">
              <w:rPr>
                <w:rFonts w:ascii="ITC Avant Garde" w:hAnsi="ITC Avant Garde"/>
                <w:i/>
                <w:sz w:val="22"/>
                <w:szCs w:val="22"/>
              </w:rPr>
              <w:t>ó</w:t>
            </w:r>
            <w:r w:rsidR="00A41EEE" w:rsidRPr="00540723">
              <w:rPr>
                <w:rFonts w:ascii="ITC Avant Garde" w:hAnsi="ITC Avant Garde"/>
                <w:i/>
                <w:sz w:val="22"/>
                <w:szCs w:val="22"/>
              </w:rPr>
              <w:t xml:space="preserve"> muy claro si es durante el tiempo que dura el permiso en el caso de una oficina de despacho o se tendría que renovar anualmente</w:t>
            </w:r>
            <w:r w:rsidR="004E412F" w:rsidRPr="00540723">
              <w:rPr>
                <w:rFonts w:ascii="ITC Avant Garde" w:hAnsi="ITC Avant Garde" w:cs="Arial"/>
                <w:i/>
                <w:sz w:val="22"/>
                <w:szCs w:val="22"/>
              </w:rPr>
              <w:t>.</w:t>
            </w:r>
            <w:r>
              <w:rPr>
                <w:rFonts w:ascii="ITC Avant Garde" w:hAnsi="ITC Avant Garde" w:cs="Arial"/>
                <w:i/>
                <w:sz w:val="22"/>
                <w:szCs w:val="22"/>
              </w:rPr>
              <w:t>”</w:t>
            </w:r>
          </w:p>
        </w:tc>
        <w:tc>
          <w:tcPr>
            <w:tcW w:w="4688" w:type="dxa"/>
          </w:tcPr>
          <w:p w14:paraId="20603842" w14:textId="500B748E" w:rsidR="00E01DDD" w:rsidRPr="00A73202" w:rsidRDefault="00E01DDD" w:rsidP="00892F9E">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r w:rsidRPr="00A73202">
              <w:rPr>
                <w:rFonts w:ascii="ITC Avant Garde" w:hAnsi="ITC Avant Garde" w:cs="Arial"/>
                <w:sz w:val="22"/>
                <w:szCs w:val="22"/>
              </w:rPr>
              <w:t xml:space="preserve">Por cuanto a </w:t>
            </w:r>
            <w:r w:rsidRPr="00A73202">
              <w:rPr>
                <w:rFonts w:ascii="ITC Avant Garde" w:hAnsi="ITC Avant Garde" w:cs="Arial"/>
                <w:i/>
                <w:sz w:val="22"/>
                <w:szCs w:val="22"/>
              </w:rPr>
              <w:t>“cómo será e</w:t>
            </w:r>
            <w:r w:rsidR="00252420" w:rsidRPr="00A73202">
              <w:rPr>
                <w:rFonts w:ascii="ITC Avant Garde" w:hAnsi="ITC Avant Garde" w:cs="Arial"/>
                <w:i/>
                <w:sz w:val="22"/>
                <w:szCs w:val="22"/>
              </w:rPr>
              <w:t>l proceso para las solicitudes de la frecuencia</w:t>
            </w:r>
            <w:r w:rsidRPr="00A73202">
              <w:rPr>
                <w:rFonts w:ascii="ITC Avant Garde" w:hAnsi="ITC Avant Garde" w:cs="Arial"/>
                <w:i/>
                <w:sz w:val="22"/>
                <w:szCs w:val="22"/>
              </w:rPr>
              <w:t>”</w:t>
            </w:r>
            <w:r w:rsidRPr="00A73202">
              <w:rPr>
                <w:rFonts w:ascii="ITC Avant Garde" w:hAnsi="ITC Avant Garde" w:cs="Arial"/>
                <w:sz w:val="22"/>
                <w:szCs w:val="22"/>
              </w:rPr>
              <w:t>,</w:t>
            </w:r>
            <w:r w:rsidR="00252420" w:rsidRPr="00A73202">
              <w:rPr>
                <w:rFonts w:ascii="ITC Avant Garde" w:hAnsi="ITC Avant Garde" w:cs="Arial"/>
                <w:i/>
                <w:sz w:val="22"/>
                <w:szCs w:val="22"/>
              </w:rPr>
              <w:t xml:space="preserve"> </w:t>
            </w:r>
            <w:r w:rsidR="00C86540" w:rsidRPr="00A73202">
              <w:rPr>
                <w:rFonts w:ascii="ITC Avant Garde" w:hAnsi="ITC Avant Garde" w:cs="Arial"/>
                <w:sz w:val="22"/>
                <w:szCs w:val="22"/>
              </w:rPr>
              <w:t>e</w:t>
            </w:r>
            <w:r w:rsidR="0001685B" w:rsidRPr="00A73202">
              <w:rPr>
                <w:rFonts w:ascii="ITC Avant Garde" w:hAnsi="ITC Avant Garde" w:cs="Arial"/>
                <w:sz w:val="22"/>
                <w:szCs w:val="22"/>
              </w:rPr>
              <w:t xml:space="preserve">l </w:t>
            </w:r>
            <w:r w:rsidRPr="00A73202">
              <w:rPr>
                <w:rFonts w:ascii="ITC Avant Garde" w:hAnsi="ITC Avant Garde" w:cs="Arial"/>
                <w:sz w:val="22"/>
                <w:szCs w:val="22"/>
              </w:rPr>
              <w:t xml:space="preserve">Anteproyecto señala, en sus artículos </w:t>
            </w:r>
            <w:r w:rsidRPr="00C4429D">
              <w:rPr>
                <w:rFonts w:ascii="ITC Avant Garde" w:hAnsi="ITC Avant Garde" w:cs="Arial"/>
                <w:sz w:val="22"/>
                <w:szCs w:val="22"/>
              </w:rPr>
              <w:t>4 y 5</w:t>
            </w:r>
            <w:r w:rsidRPr="00A73202">
              <w:rPr>
                <w:rFonts w:ascii="ITC Avant Garde" w:hAnsi="ITC Avant Garde" w:cs="Arial"/>
                <w:sz w:val="22"/>
                <w:szCs w:val="22"/>
              </w:rPr>
              <w:t xml:space="preserve"> que</w:t>
            </w:r>
            <w:r w:rsidR="001642B9">
              <w:rPr>
                <w:rFonts w:ascii="ITC Avant Garde" w:hAnsi="ITC Avant Garde" w:cs="Arial"/>
                <w:sz w:val="22"/>
                <w:szCs w:val="22"/>
              </w:rPr>
              <w:t>,</w:t>
            </w:r>
            <w:r w:rsidRPr="00A73202">
              <w:rPr>
                <w:rFonts w:ascii="ITC Avant Garde" w:hAnsi="ITC Avant Garde" w:cs="Arial"/>
                <w:sz w:val="22"/>
                <w:szCs w:val="22"/>
              </w:rPr>
              <w:t xml:space="preserve"> para la inscripción de frecuencias, y la modificación, renovación o cancelación de inscripciones en el Registro AOC </w:t>
            </w:r>
            <w:r w:rsidR="00A85ECB" w:rsidRPr="00A73202">
              <w:rPr>
                <w:rFonts w:ascii="ITC Avant Garde" w:hAnsi="ITC Avant Garde" w:cs="Arial"/>
                <w:sz w:val="22"/>
                <w:szCs w:val="22"/>
              </w:rPr>
              <w:t xml:space="preserve">la Persona </w:t>
            </w:r>
            <w:r w:rsidRPr="00A73202">
              <w:rPr>
                <w:rFonts w:ascii="ITC Avant Garde" w:hAnsi="ITC Avant Garde" w:cs="Arial"/>
                <w:sz w:val="22"/>
                <w:szCs w:val="22"/>
              </w:rPr>
              <w:t>Interesad</w:t>
            </w:r>
            <w:r w:rsidR="00A85ECB" w:rsidRPr="00A73202">
              <w:rPr>
                <w:rFonts w:ascii="ITC Avant Garde" w:hAnsi="ITC Avant Garde" w:cs="Arial"/>
                <w:sz w:val="22"/>
                <w:szCs w:val="22"/>
              </w:rPr>
              <w:t>a</w:t>
            </w:r>
            <w:r w:rsidRPr="00A73202">
              <w:rPr>
                <w:rFonts w:ascii="ITC Avant Garde" w:hAnsi="ITC Avant Garde" w:cs="Arial"/>
                <w:sz w:val="22"/>
                <w:szCs w:val="22"/>
              </w:rPr>
              <w:t xml:space="preserve"> deberá presentar toda la información </w:t>
            </w:r>
            <w:r w:rsidR="00A73202" w:rsidRPr="00A73202">
              <w:rPr>
                <w:rFonts w:ascii="ITC Avant Garde" w:hAnsi="ITC Avant Garde"/>
                <w:sz w:val="22"/>
                <w:szCs w:val="22"/>
              </w:rPr>
              <w:t xml:space="preserve">requerida por </w:t>
            </w:r>
            <w:proofErr w:type="spellStart"/>
            <w:r w:rsidR="00A73202" w:rsidRPr="00A73202">
              <w:rPr>
                <w:rFonts w:ascii="ITC Avant Garde" w:hAnsi="ITC Avant Garde"/>
                <w:sz w:val="22"/>
                <w:szCs w:val="22"/>
              </w:rPr>
              <w:t>AFAC</w:t>
            </w:r>
            <w:proofErr w:type="spellEnd"/>
            <w:r w:rsidR="00A73202" w:rsidRPr="00A73202">
              <w:rPr>
                <w:rFonts w:ascii="ITC Avant Garde" w:hAnsi="ITC Avant Garde"/>
                <w:sz w:val="22"/>
                <w:szCs w:val="22"/>
              </w:rPr>
              <w:t xml:space="preserve"> para el trámite de Autorización de Oficina de Despacho, </w:t>
            </w:r>
            <w:r w:rsidRPr="00A73202">
              <w:rPr>
                <w:rFonts w:ascii="ITC Avant Garde" w:hAnsi="ITC Avant Garde" w:cs="Arial"/>
                <w:sz w:val="22"/>
                <w:szCs w:val="22"/>
              </w:rPr>
              <w:t>en los términos que indique el Manual de</w:t>
            </w:r>
            <w:r w:rsidR="00A85ECB" w:rsidRPr="00A73202">
              <w:rPr>
                <w:rFonts w:ascii="ITC Avant Garde" w:hAnsi="ITC Avant Garde" w:cs="Arial"/>
                <w:sz w:val="22"/>
                <w:szCs w:val="22"/>
              </w:rPr>
              <w:t>l Inspector Verificador de</w:t>
            </w:r>
            <w:r w:rsidRPr="00A73202">
              <w:rPr>
                <w:rFonts w:ascii="ITC Avant Garde" w:hAnsi="ITC Avant Garde" w:cs="Arial"/>
                <w:sz w:val="22"/>
                <w:szCs w:val="22"/>
              </w:rPr>
              <w:t xml:space="preserve"> Navegación Aérea.</w:t>
            </w:r>
          </w:p>
          <w:p w14:paraId="379D1AF8" w14:textId="212067B3" w:rsidR="00892F9E" w:rsidRPr="00A73202" w:rsidRDefault="00892F9E" w:rsidP="00892F9E">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p>
          <w:p w14:paraId="7336FC11" w14:textId="7596E44B" w:rsidR="00892F9E" w:rsidRPr="00A73202" w:rsidRDefault="00892F9E" w:rsidP="00892F9E">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r w:rsidRPr="00A73202">
              <w:rPr>
                <w:rFonts w:ascii="ITC Avant Garde" w:hAnsi="ITC Avant Garde" w:cs="Arial"/>
                <w:sz w:val="22"/>
                <w:szCs w:val="22"/>
              </w:rPr>
              <w:t xml:space="preserve">A su vez, para la atención de la solicitud, la </w:t>
            </w:r>
            <w:proofErr w:type="spellStart"/>
            <w:r w:rsidRPr="00A73202">
              <w:rPr>
                <w:rFonts w:ascii="ITC Avant Garde" w:hAnsi="ITC Avant Garde" w:cs="Arial"/>
                <w:sz w:val="22"/>
                <w:szCs w:val="22"/>
              </w:rPr>
              <w:t>AFAC</w:t>
            </w:r>
            <w:proofErr w:type="spellEnd"/>
            <w:r w:rsidRPr="00A73202">
              <w:rPr>
                <w:rFonts w:ascii="ITC Avant Garde" w:hAnsi="ITC Avant Garde" w:cs="Arial"/>
                <w:sz w:val="22"/>
                <w:szCs w:val="22"/>
              </w:rPr>
              <w:t xml:space="preserve"> se coordinará con </w:t>
            </w:r>
            <w:proofErr w:type="spellStart"/>
            <w:r w:rsidRPr="00A73202">
              <w:rPr>
                <w:rFonts w:ascii="ITC Avant Garde" w:hAnsi="ITC Avant Garde" w:cs="Arial"/>
                <w:sz w:val="22"/>
                <w:szCs w:val="22"/>
              </w:rPr>
              <w:t>SENEAM</w:t>
            </w:r>
            <w:proofErr w:type="spellEnd"/>
            <w:r w:rsidRPr="00A73202">
              <w:rPr>
                <w:rFonts w:ascii="ITC Avant Garde" w:hAnsi="ITC Avant Garde" w:cs="Arial"/>
                <w:sz w:val="22"/>
                <w:szCs w:val="22"/>
              </w:rPr>
              <w:t xml:space="preserve"> </w:t>
            </w:r>
            <w:r w:rsidR="00A85ECB" w:rsidRPr="00A73202">
              <w:rPr>
                <w:rFonts w:ascii="ITC Avant Garde" w:hAnsi="ITC Avant Garde" w:cs="Arial"/>
                <w:sz w:val="22"/>
                <w:szCs w:val="22"/>
              </w:rPr>
              <w:t>y con el visto bueno de este,</w:t>
            </w:r>
            <w:r w:rsidRPr="00A73202">
              <w:rPr>
                <w:rFonts w:ascii="ITC Avant Garde" w:hAnsi="ITC Avant Garde" w:cs="Arial"/>
                <w:sz w:val="22"/>
                <w:szCs w:val="22"/>
              </w:rPr>
              <w:t xml:space="preserve"> realizará las solicitudes de inscripción de frecuencias, y de modificación, renovación o cancelación de inscripciones ante el Instituto, como se indica en el artículo </w:t>
            </w:r>
            <w:r w:rsidRPr="000303A6">
              <w:rPr>
                <w:rFonts w:ascii="ITC Avant Garde" w:hAnsi="ITC Avant Garde" w:cs="Arial"/>
                <w:sz w:val="22"/>
                <w:szCs w:val="22"/>
              </w:rPr>
              <w:t>7</w:t>
            </w:r>
            <w:r w:rsidRPr="00A73202">
              <w:rPr>
                <w:rFonts w:ascii="ITC Avant Garde" w:hAnsi="ITC Avant Garde" w:cs="Arial"/>
                <w:sz w:val="22"/>
                <w:szCs w:val="22"/>
              </w:rPr>
              <w:t xml:space="preserve"> del Anteproyecto.</w:t>
            </w:r>
          </w:p>
          <w:p w14:paraId="0A387719" w14:textId="333DA0AC" w:rsidR="00892F9E" w:rsidRPr="00A73202" w:rsidRDefault="00892F9E" w:rsidP="00892F9E">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p>
          <w:p w14:paraId="6C6D92FC" w14:textId="4D95AE1C" w:rsidR="00892F9E" w:rsidRPr="00A73202" w:rsidRDefault="00892F9E" w:rsidP="00892F9E">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r w:rsidRPr="00A73202">
              <w:rPr>
                <w:rFonts w:ascii="ITC Avant Garde" w:hAnsi="ITC Avant Garde" w:cs="Arial"/>
                <w:sz w:val="22"/>
                <w:szCs w:val="22"/>
              </w:rPr>
              <w:t xml:space="preserve">Por su parte, los </w:t>
            </w:r>
            <w:r w:rsidRPr="00FC5503">
              <w:rPr>
                <w:rFonts w:ascii="ITC Avant Garde" w:hAnsi="ITC Avant Garde" w:cs="Arial"/>
                <w:sz w:val="22"/>
                <w:szCs w:val="22"/>
              </w:rPr>
              <w:t>artículos</w:t>
            </w:r>
            <w:r w:rsidR="008D0588" w:rsidRPr="00FC5503">
              <w:rPr>
                <w:rFonts w:ascii="ITC Avant Garde" w:hAnsi="ITC Avant Garde" w:cs="Arial"/>
                <w:sz w:val="22"/>
                <w:szCs w:val="22"/>
              </w:rPr>
              <w:t xml:space="preserve"> 7 </w:t>
            </w:r>
            <w:r w:rsidRPr="00FC5503">
              <w:rPr>
                <w:rFonts w:ascii="ITC Avant Garde" w:hAnsi="ITC Avant Garde" w:cs="Arial"/>
                <w:sz w:val="22"/>
                <w:szCs w:val="22"/>
              </w:rPr>
              <w:t xml:space="preserve">y </w:t>
            </w:r>
            <w:r w:rsidR="00706AD8">
              <w:rPr>
                <w:rFonts w:ascii="ITC Avant Garde" w:hAnsi="ITC Avant Garde" w:cs="Arial"/>
                <w:sz w:val="22"/>
                <w:szCs w:val="22"/>
              </w:rPr>
              <w:t>8</w:t>
            </w:r>
            <w:r w:rsidR="008D0588" w:rsidRPr="00A73202">
              <w:rPr>
                <w:rFonts w:ascii="ITC Avant Garde" w:hAnsi="ITC Avant Garde" w:cs="Arial"/>
                <w:sz w:val="22"/>
                <w:szCs w:val="22"/>
              </w:rPr>
              <w:t xml:space="preserve"> </w:t>
            </w:r>
            <w:r w:rsidRPr="00A73202">
              <w:rPr>
                <w:rFonts w:ascii="ITC Avant Garde" w:hAnsi="ITC Avant Garde" w:cs="Arial"/>
                <w:sz w:val="22"/>
                <w:szCs w:val="22"/>
              </w:rPr>
              <w:t xml:space="preserve">establecen que el Instituto, a través del SIAER, </w:t>
            </w:r>
            <w:r w:rsidR="00A85ECB" w:rsidRPr="00A73202">
              <w:rPr>
                <w:rFonts w:ascii="ITC Avant Garde" w:hAnsi="ITC Avant Garde" w:cs="Arial"/>
                <w:sz w:val="22"/>
                <w:szCs w:val="22"/>
              </w:rPr>
              <w:t xml:space="preserve">revisará, a instancia de </w:t>
            </w:r>
            <w:proofErr w:type="spellStart"/>
            <w:r w:rsidR="00A85ECB" w:rsidRPr="00A73202">
              <w:rPr>
                <w:rFonts w:ascii="ITC Avant Garde" w:hAnsi="ITC Avant Garde" w:cs="Arial"/>
                <w:sz w:val="22"/>
                <w:szCs w:val="22"/>
              </w:rPr>
              <w:t>AFAC</w:t>
            </w:r>
            <w:proofErr w:type="spellEnd"/>
            <w:r w:rsidRPr="00A73202">
              <w:rPr>
                <w:rFonts w:ascii="ITC Avant Garde" w:hAnsi="ITC Avant Garde" w:cs="Arial"/>
                <w:sz w:val="22"/>
                <w:szCs w:val="22"/>
              </w:rPr>
              <w:t xml:space="preserve"> que exista disponibilidad espectral y sea viable la inscripción, o la modificación o renovación de la inscripción, </w:t>
            </w:r>
            <w:r w:rsidR="00A85ECB" w:rsidRPr="00A73202">
              <w:rPr>
                <w:rFonts w:ascii="ITC Avant Garde" w:hAnsi="ITC Avant Garde" w:cs="Arial"/>
                <w:sz w:val="22"/>
                <w:szCs w:val="22"/>
              </w:rPr>
              <w:t xml:space="preserve">y </w:t>
            </w:r>
            <w:r w:rsidRPr="00A73202">
              <w:rPr>
                <w:rFonts w:ascii="ITC Avant Garde" w:hAnsi="ITC Avant Garde" w:cs="Arial"/>
                <w:sz w:val="22"/>
                <w:szCs w:val="22"/>
              </w:rPr>
              <w:t>asignará en seguida, un Folio de Registro AOC</w:t>
            </w:r>
            <w:r w:rsidR="00706AD8">
              <w:rPr>
                <w:rFonts w:ascii="ITC Avant Garde" w:hAnsi="ITC Avant Garde" w:cs="Arial"/>
                <w:sz w:val="22"/>
                <w:szCs w:val="22"/>
              </w:rPr>
              <w:t xml:space="preserve">, </w:t>
            </w:r>
            <w:r w:rsidRPr="00A73202">
              <w:rPr>
                <w:rFonts w:ascii="ITC Avant Garde" w:hAnsi="ITC Avant Garde" w:cs="Arial"/>
                <w:sz w:val="22"/>
                <w:szCs w:val="22"/>
              </w:rPr>
              <w:t xml:space="preserve">que hará del conocimiento de la </w:t>
            </w:r>
            <w:proofErr w:type="spellStart"/>
            <w:r w:rsidRPr="00A73202">
              <w:rPr>
                <w:rFonts w:ascii="ITC Avant Garde" w:hAnsi="ITC Avant Garde" w:cs="Arial"/>
                <w:sz w:val="22"/>
                <w:szCs w:val="22"/>
              </w:rPr>
              <w:t>AFAC</w:t>
            </w:r>
            <w:proofErr w:type="spellEnd"/>
            <w:r w:rsidRPr="00A73202">
              <w:rPr>
                <w:rFonts w:ascii="ITC Avant Garde" w:hAnsi="ITC Avant Garde" w:cs="Arial"/>
                <w:sz w:val="22"/>
                <w:szCs w:val="22"/>
              </w:rPr>
              <w:t xml:space="preserve">, de </w:t>
            </w:r>
            <w:proofErr w:type="spellStart"/>
            <w:r w:rsidRPr="00A73202">
              <w:rPr>
                <w:rFonts w:ascii="ITC Avant Garde" w:hAnsi="ITC Avant Garde" w:cs="Arial"/>
                <w:sz w:val="22"/>
                <w:szCs w:val="22"/>
              </w:rPr>
              <w:t>SENEAM</w:t>
            </w:r>
            <w:proofErr w:type="spellEnd"/>
            <w:r w:rsidRPr="00A73202">
              <w:rPr>
                <w:rFonts w:ascii="ITC Avant Garde" w:hAnsi="ITC Avant Garde" w:cs="Arial"/>
                <w:sz w:val="22"/>
                <w:szCs w:val="22"/>
              </w:rPr>
              <w:t xml:space="preserve"> y de</w:t>
            </w:r>
            <w:r w:rsidR="00A85ECB" w:rsidRPr="00A73202">
              <w:rPr>
                <w:rFonts w:ascii="ITC Avant Garde" w:hAnsi="ITC Avant Garde" w:cs="Arial"/>
                <w:sz w:val="22"/>
                <w:szCs w:val="22"/>
              </w:rPr>
              <w:t xml:space="preserve"> </w:t>
            </w:r>
            <w:r w:rsidRPr="00A73202">
              <w:rPr>
                <w:rFonts w:ascii="ITC Avant Garde" w:hAnsi="ITC Avant Garde" w:cs="Arial"/>
                <w:sz w:val="22"/>
                <w:szCs w:val="22"/>
              </w:rPr>
              <w:t>l</w:t>
            </w:r>
            <w:r w:rsidR="00A85ECB" w:rsidRPr="00A73202">
              <w:rPr>
                <w:rFonts w:ascii="ITC Avant Garde" w:hAnsi="ITC Avant Garde" w:cs="Arial"/>
                <w:sz w:val="22"/>
                <w:szCs w:val="22"/>
              </w:rPr>
              <w:t>a Persona</w:t>
            </w:r>
            <w:r w:rsidRPr="00A73202">
              <w:rPr>
                <w:rFonts w:ascii="ITC Avant Garde" w:hAnsi="ITC Avant Garde" w:cs="Arial"/>
                <w:sz w:val="22"/>
                <w:szCs w:val="22"/>
              </w:rPr>
              <w:t xml:space="preserve"> Interesad</w:t>
            </w:r>
            <w:r w:rsidR="00A85ECB" w:rsidRPr="00A73202">
              <w:rPr>
                <w:rFonts w:ascii="ITC Avant Garde" w:hAnsi="ITC Avant Garde" w:cs="Arial"/>
                <w:sz w:val="22"/>
                <w:szCs w:val="22"/>
              </w:rPr>
              <w:t>a</w:t>
            </w:r>
            <w:r w:rsidRPr="00A73202">
              <w:rPr>
                <w:rFonts w:ascii="ITC Avant Garde" w:hAnsi="ITC Avant Garde" w:cs="Arial"/>
                <w:sz w:val="22"/>
                <w:szCs w:val="22"/>
              </w:rPr>
              <w:t xml:space="preserve">, vía correo electrónico por medio del SIAER. En caso de que se determine que no existe disponibilidad espectral en el Segmento AOC respecto de las frecuencias de interés, el Instituto, a través del SIAER, lo hará del conocimiento de </w:t>
            </w:r>
            <w:r w:rsidR="00A85ECB" w:rsidRPr="00A73202">
              <w:rPr>
                <w:rFonts w:ascii="ITC Avant Garde" w:hAnsi="ITC Avant Garde" w:cs="Arial"/>
                <w:sz w:val="22"/>
                <w:szCs w:val="22"/>
              </w:rPr>
              <w:t xml:space="preserve">la </w:t>
            </w:r>
            <w:proofErr w:type="spellStart"/>
            <w:r w:rsidR="00A85ECB" w:rsidRPr="00A73202">
              <w:rPr>
                <w:rFonts w:ascii="ITC Avant Garde" w:hAnsi="ITC Avant Garde" w:cs="Arial"/>
                <w:sz w:val="22"/>
                <w:szCs w:val="22"/>
              </w:rPr>
              <w:t>AFAC</w:t>
            </w:r>
            <w:proofErr w:type="spellEnd"/>
            <w:r w:rsidR="00A85ECB" w:rsidRPr="00A73202">
              <w:rPr>
                <w:rFonts w:ascii="ITC Avant Garde" w:hAnsi="ITC Avant Garde" w:cs="Arial"/>
                <w:sz w:val="22"/>
                <w:szCs w:val="22"/>
              </w:rPr>
              <w:t xml:space="preserve"> y </w:t>
            </w:r>
            <w:proofErr w:type="spellStart"/>
            <w:r w:rsidR="00A85ECB" w:rsidRPr="00A73202">
              <w:rPr>
                <w:rFonts w:ascii="ITC Avant Garde" w:hAnsi="ITC Avant Garde" w:cs="Arial"/>
                <w:sz w:val="22"/>
                <w:szCs w:val="22"/>
              </w:rPr>
              <w:t>SENEAM</w:t>
            </w:r>
            <w:proofErr w:type="spellEnd"/>
            <w:r w:rsidRPr="00A73202">
              <w:rPr>
                <w:rFonts w:ascii="ITC Avant Garde" w:hAnsi="ITC Avant Garde" w:cs="Arial"/>
                <w:sz w:val="22"/>
                <w:szCs w:val="22"/>
              </w:rPr>
              <w:t>, de inmediato, por medio de correo electrónico.</w:t>
            </w:r>
          </w:p>
          <w:p w14:paraId="3AAA19C3" w14:textId="77777777" w:rsidR="00892F9E" w:rsidRPr="00A73202" w:rsidRDefault="00892F9E" w:rsidP="00892F9E">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p>
          <w:p w14:paraId="6A29E073" w14:textId="1F35CB8C" w:rsidR="00892F9E" w:rsidRPr="00A73202" w:rsidRDefault="00892F9E" w:rsidP="00DD614B">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r w:rsidRPr="00A73202">
              <w:rPr>
                <w:rFonts w:ascii="ITC Avant Garde" w:hAnsi="ITC Avant Garde"/>
                <w:sz w:val="22"/>
                <w:szCs w:val="22"/>
              </w:rPr>
              <w:t xml:space="preserve">Finalmente, conforme a lo establecido en los </w:t>
            </w:r>
            <w:r w:rsidRPr="000A19C3">
              <w:rPr>
                <w:rFonts w:ascii="ITC Avant Garde" w:hAnsi="ITC Avant Garde"/>
                <w:sz w:val="22"/>
                <w:szCs w:val="22"/>
              </w:rPr>
              <w:t xml:space="preserve">artículos </w:t>
            </w:r>
            <w:r w:rsidR="000A19C3" w:rsidRPr="000A19C3">
              <w:rPr>
                <w:rFonts w:ascii="ITC Avant Garde" w:hAnsi="ITC Avant Garde"/>
                <w:sz w:val="22"/>
                <w:szCs w:val="22"/>
              </w:rPr>
              <w:t>9</w:t>
            </w:r>
            <w:r w:rsidR="00782174">
              <w:rPr>
                <w:rFonts w:ascii="ITC Avant Garde" w:hAnsi="ITC Avant Garde"/>
                <w:sz w:val="22"/>
                <w:szCs w:val="22"/>
              </w:rPr>
              <w:t>, 10</w:t>
            </w:r>
            <w:r w:rsidR="000A19C3" w:rsidRPr="000A19C3">
              <w:rPr>
                <w:rFonts w:ascii="ITC Avant Garde" w:hAnsi="ITC Avant Garde"/>
                <w:sz w:val="22"/>
                <w:szCs w:val="22"/>
              </w:rPr>
              <w:t xml:space="preserve"> </w:t>
            </w:r>
            <w:r w:rsidRPr="000A19C3">
              <w:rPr>
                <w:rFonts w:ascii="ITC Avant Garde" w:hAnsi="ITC Avant Garde"/>
                <w:sz w:val="22"/>
                <w:szCs w:val="22"/>
              </w:rPr>
              <w:t>y 1</w:t>
            </w:r>
            <w:r w:rsidR="00782174">
              <w:rPr>
                <w:rFonts w:ascii="ITC Avant Garde" w:hAnsi="ITC Avant Garde"/>
                <w:sz w:val="22"/>
                <w:szCs w:val="22"/>
              </w:rPr>
              <w:t>1</w:t>
            </w:r>
            <w:bookmarkStart w:id="0" w:name="_GoBack"/>
            <w:bookmarkEnd w:id="0"/>
            <w:r w:rsidRPr="00A73202">
              <w:rPr>
                <w:rFonts w:ascii="ITC Avant Garde" w:hAnsi="ITC Avant Garde"/>
                <w:sz w:val="22"/>
                <w:szCs w:val="22"/>
              </w:rPr>
              <w:t xml:space="preserve"> del Anteproyecto, </w:t>
            </w:r>
            <w:r w:rsidR="00766DD3">
              <w:rPr>
                <w:rFonts w:ascii="ITC Avant Garde" w:hAnsi="ITC Avant Garde"/>
                <w:sz w:val="22"/>
                <w:szCs w:val="22"/>
              </w:rPr>
              <w:t>d</w:t>
            </w:r>
            <w:r w:rsidRPr="00A73202">
              <w:rPr>
                <w:rFonts w:ascii="ITC Avant Garde" w:hAnsi="ITC Avant Garde"/>
                <w:sz w:val="22"/>
                <w:szCs w:val="22"/>
              </w:rPr>
              <w:t>urante la vigencia de 6 meses del Folio de Registro AOC se contin</w:t>
            </w:r>
            <w:r w:rsidR="004A0C45" w:rsidRPr="00A73202">
              <w:rPr>
                <w:rFonts w:ascii="ITC Avant Garde" w:hAnsi="ITC Avant Garde"/>
                <w:sz w:val="22"/>
                <w:szCs w:val="22"/>
              </w:rPr>
              <w:t>uará</w:t>
            </w:r>
            <w:r w:rsidRPr="00A73202">
              <w:rPr>
                <w:rFonts w:ascii="ITC Avant Garde" w:hAnsi="ITC Avant Garde"/>
                <w:sz w:val="22"/>
                <w:szCs w:val="22"/>
              </w:rPr>
              <w:t xml:space="preserve"> con el trámite para el otorgamiento de la Autorización de Oficina de Despacho. En el supuesto que la </w:t>
            </w:r>
            <w:proofErr w:type="spellStart"/>
            <w:r w:rsidRPr="00A73202">
              <w:rPr>
                <w:rFonts w:ascii="ITC Avant Garde" w:hAnsi="ITC Avant Garde"/>
                <w:sz w:val="22"/>
                <w:szCs w:val="22"/>
              </w:rPr>
              <w:t>AFAC</w:t>
            </w:r>
            <w:proofErr w:type="spellEnd"/>
            <w:r w:rsidRPr="00A73202">
              <w:rPr>
                <w:rFonts w:ascii="ITC Avant Garde" w:hAnsi="ITC Avant Garde"/>
                <w:sz w:val="22"/>
                <w:szCs w:val="22"/>
              </w:rPr>
              <w:t xml:space="preserve"> otorgue, modifique o renueve la Autorización de Oficina de Despacho, </w:t>
            </w:r>
            <w:r w:rsidR="004A0C45" w:rsidRPr="00A73202">
              <w:rPr>
                <w:rFonts w:ascii="ITC Avant Garde" w:hAnsi="ITC Avant Garde"/>
                <w:sz w:val="22"/>
                <w:szCs w:val="22"/>
              </w:rPr>
              <w:t>lo hará</w:t>
            </w:r>
            <w:r w:rsidRPr="00A73202">
              <w:rPr>
                <w:rFonts w:ascii="ITC Avant Garde" w:hAnsi="ITC Avant Garde"/>
                <w:sz w:val="22"/>
                <w:szCs w:val="22"/>
              </w:rPr>
              <w:t xml:space="preserve"> del conocimiento del Instituto, previamente al término del periodo de 6 meses, mediante la carga en el SIAER del documento que acredite dicha autorización, así como la información relacionada con el otorgamiento, modificación o renovación de la misma.</w:t>
            </w:r>
            <w:r w:rsidR="004A0C45" w:rsidRPr="00A73202">
              <w:rPr>
                <w:rFonts w:ascii="ITC Avant Garde" w:hAnsi="ITC Avant Garde"/>
                <w:sz w:val="22"/>
                <w:szCs w:val="22"/>
              </w:rPr>
              <w:t xml:space="preserve"> </w:t>
            </w:r>
            <w:r w:rsidRPr="00A73202">
              <w:rPr>
                <w:rFonts w:ascii="ITC Avant Garde" w:hAnsi="ITC Avant Garde"/>
                <w:sz w:val="22"/>
                <w:szCs w:val="22"/>
              </w:rPr>
              <w:t>Realizada la carga, el Instituto expedirá la Cédula de Registro AOC correspondiente y, por correo electrónico a través del SIAER, la hará del conocimiento de</w:t>
            </w:r>
            <w:r w:rsidR="00A85ECB" w:rsidRPr="00A73202">
              <w:rPr>
                <w:rFonts w:ascii="ITC Avant Garde" w:hAnsi="ITC Avant Garde"/>
                <w:sz w:val="22"/>
                <w:szCs w:val="22"/>
              </w:rPr>
              <w:t xml:space="preserve"> </w:t>
            </w:r>
            <w:r w:rsidRPr="00A73202">
              <w:rPr>
                <w:rFonts w:ascii="ITC Avant Garde" w:hAnsi="ITC Avant Garde"/>
                <w:sz w:val="22"/>
                <w:szCs w:val="22"/>
              </w:rPr>
              <w:t>l</w:t>
            </w:r>
            <w:r w:rsidR="00A85ECB" w:rsidRPr="00A73202">
              <w:rPr>
                <w:rFonts w:ascii="ITC Avant Garde" w:hAnsi="ITC Avant Garde"/>
                <w:sz w:val="22"/>
                <w:szCs w:val="22"/>
              </w:rPr>
              <w:t>a Persona</w:t>
            </w:r>
            <w:r w:rsidRPr="00A73202">
              <w:rPr>
                <w:rFonts w:ascii="ITC Avant Garde" w:hAnsi="ITC Avant Garde"/>
                <w:sz w:val="22"/>
                <w:szCs w:val="22"/>
              </w:rPr>
              <w:t xml:space="preserve"> Interesad</w:t>
            </w:r>
            <w:r w:rsidR="00A85ECB" w:rsidRPr="00A73202">
              <w:rPr>
                <w:rFonts w:ascii="ITC Avant Garde" w:hAnsi="ITC Avant Garde"/>
                <w:sz w:val="22"/>
                <w:szCs w:val="22"/>
              </w:rPr>
              <w:t>a</w:t>
            </w:r>
            <w:r w:rsidRPr="00A73202">
              <w:rPr>
                <w:rFonts w:ascii="ITC Avant Garde" w:hAnsi="ITC Avant Garde"/>
                <w:sz w:val="22"/>
                <w:szCs w:val="22"/>
              </w:rPr>
              <w:t xml:space="preserve">, de la </w:t>
            </w:r>
            <w:proofErr w:type="spellStart"/>
            <w:r w:rsidRPr="00A73202">
              <w:rPr>
                <w:rFonts w:ascii="ITC Avant Garde" w:hAnsi="ITC Avant Garde"/>
                <w:sz w:val="22"/>
                <w:szCs w:val="22"/>
              </w:rPr>
              <w:t>AFAC</w:t>
            </w:r>
            <w:proofErr w:type="spellEnd"/>
            <w:r w:rsidRPr="00A73202">
              <w:rPr>
                <w:rFonts w:ascii="ITC Avant Garde" w:hAnsi="ITC Avant Garde"/>
                <w:sz w:val="22"/>
                <w:szCs w:val="22"/>
              </w:rPr>
              <w:t xml:space="preserve"> y de </w:t>
            </w:r>
            <w:proofErr w:type="spellStart"/>
            <w:r w:rsidRPr="00A73202">
              <w:rPr>
                <w:rFonts w:ascii="ITC Avant Garde" w:hAnsi="ITC Avant Garde"/>
                <w:sz w:val="22"/>
                <w:szCs w:val="22"/>
              </w:rPr>
              <w:t>SENEAM</w:t>
            </w:r>
            <w:proofErr w:type="spellEnd"/>
            <w:r w:rsidR="004A0C45" w:rsidRPr="00A73202">
              <w:rPr>
                <w:rFonts w:ascii="ITC Avant Garde" w:hAnsi="ITC Avant Garde"/>
                <w:sz w:val="22"/>
                <w:szCs w:val="22"/>
              </w:rPr>
              <w:t>.</w:t>
            </w:r>
          </w:p>
          <w:p w14:paraId="0844CE2B" w14:textId="77777777" w:rsidR="00DD614B" w:rsidRPr="00A73202" w:rsidRDefault="00DD614B" w:rsidP="00DD614B">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p>
          <w:p w14:paraId="1E9EFCC4" w14:textId="7960751A" w:rsidR="00BA272C" w:rsidRPr="00A73202" w:rsidRDefault="004A0C45" w:rsidP="00D838A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i/>
                <w:sz w:val="22"/>
                <w:szCs w:val="22"/>
              </w:rPr>
            </w:pPr>
            <w:r w:rsidRPr="00A73202">
              <w:rPr>
                <w:rFonts w:ascii="ITC Avant Garde" w:hAnsi="ITC Avant Garde" w:cs="Arial"/>
                <w:sz w:val="22"/>
                <w:szCs w:val="22"/>
              </w:rPr>
              <w:t>En lo que se refiere a</w:t>
            </w:r>
            <w:r w:rsidRPr="00A73202">
              <w:rPr>
                <w:rFonts w:ascii="ITC Avant Garde" w:hAnsi="ITC Avant Garde" w:cs="Arial"/>
                <w:i/>
                <w:sz w:val="22"/>
                <w:szCs w:val="22"/>
              </w:rPr>
              <w:t xml:space="preserve"> “c</w:t>
            </w:r>
            <w:r w:rsidR="00252420" w:rsidRPr="00A73202">
              <w:rPr>
                <w:rFonts w:ascii="ITC Avant Garde" w:hAnsi="ITC Avant Garde" w:cs="Arial"/>
                <w:i/>
                <w:sz w:val="22"/>
                <w:szCs w:val="22"/>
              </w:rPr>
              <w:t>uánto tiempo será la vigencia de poder utilizar la frecuencia</w:t>
            </w:r>
            <w:r w:rsidRPr="00A73202">
              <w:rPr>
                <w:rFonts w:ascii="ITC Avant Garde" w:hAnsi="ITC Avant Garde" w:cs="Arial"/>
                <w:i/>
                <w:sz w:val="22"/>
                <w:szCs w:val="22"/>
              </w:rPr>
              <w:t xml:space="preserve">”, </w:t>
            </w:r>
            <w:r w:rsidR="00BA272C" w:rsidRPr="00A73202">
              <w:rPr>
                <w:rFonts w:ascii="ITC Avant Garde" w:hAnsi="ITC Avant Garde" w:cs="Arial"/>
                <w:sz w:val="22"/>
                <w:szCs w:val="22"/>
              </w:rPr>
              <w:t xml:space="preserve">el artículo </w:t>
            </w:r>
            <w:r w:rsidR="00BA272C" w:rsidRPr="00B87C3D">
              <w:rPr>
                <w:rFonts w:ascii="ITC Avant Garde" w:hAnsi="ITC Avant Garde" w:cs="Arial"/>
                <w:sz w:val="22"/>
                <w:szCs w:val="22"/>
              </w:rPr>
              <w:t>2 fracción IV</w:t>
            </w:r>
            <w:r w:rsidR="00BA272C" w:rsidRPr="00A73202">
              <w:rPr>
                <w:rFonts w:ascii="ITC Avant Garde" w:hAnsi="ITC Avant Garde" w:cs="Arial"/>
                <w:sz w:val="22"/>
                <w:szCs w:val="22"/>
              </w:rPr>
              <w:t xml:space="preserve"> del Anteproyecto prevé que</w:t>
            </w:r>
            <w:r w:rsidR="00940F51" w:rsidRPr="00A73202">
              <w:rPr>
                <w:rFonts w:ascii="ITC Avant Garde" w:hAnsi="ITC Avant Garde" w:cs="Arial"/>
                <w:sz w:val="22"/>
                <w:szCs w:val="22"/>
              </w:rPr>
              <w:t xml:space="preserve"> mediante </w:t>
            </w:r>
            <w:r w:rsidR="00BA272C" w:rsidRPr="00A73202">
              <w:rPr>
                <w:rFonts w:ascii="ITC Avant Garde" w:hAnsi="ITC Avant Garde" w:cs="Arial"/>
                <w:sz w:val="22"/>
                <w:szCs w:val="22"/>
              </w:rPr>
              <w:t>la Cédula de Registro AOC</w:t>
            </w:r>
            <w:r w:rsidR="006972F6" w:rsidRPr="00A73202">
              <w:rPr>
                <w:rFonts w:ascii="ITC Avant Garde" w:hAnsi="ITC Avant Garde" w:cs="Arial"/>
                <w:sz w:val="22"/>
                <w:szCs w:val="22"/>
              </w:rPr>
              <w:t xml:space="preserve"> </w:t>
            </w:r>
            <w:r w:rsidR="00BA272C" w:rsidRPr="00A73202">
              <w:rPr>
                <w:rFonts w:ascii="ITC Avant Garde" w:hAnsi="ITC Avant Garde" w:cs="Arial"/>
                <w:sz w:val="22"/>
                <w:szCs w:val="22"/>
              </w:rPr>
              <w:t xml:space="preserve">el Instituto habilitará el uso de una o varias frecuencias en el </w:t>
            </w:r>
            <w:r w:rsidR="00C86540" w:rsidRPr="00A73202">
              <w:rPr>
                <w:rFonts w:ascii="ITC Avant Garde" w:hAnsi="ITC Avant Garde" w:cs="Arial"/>
                <w:sz w:val="22"/>
                <w:szCs w:val="22"/>
              </w:rPr>
              <w:t>Segmento AOC</w:t>
            </w:r>
            <w:r w:rsidR="006972F6" w:rsidRPr="00A73202">
              <w:rPr>
                <w:rFonts w:ascii="ITC Avant Garde" w:hAnsi="ITC Avant Garde" w:cs="Arial"/>
                <w:sz w:val="22"/>
                <w:szCs w:val="22"/>
              </w:rPr>
              <w:t xml:space="preserve"> </w:t>
            </w:r>
            <w:r w:rsidR="00BA272C" w:rsidRPr="00A73202">
              <w:rPr>
                <w:rFonts w:ascii="ITC Avant Garde" w:hAnsi="ITC Avant Garde" w:cs="Arial"/>
                <w:sz w:val="22"/>
                <w:szCs w:val="22"/>
              </w:rPr>
              <w:t xml:space="preserve">durante el periodo de vigencia de la </w:t>
            </w:r>
            <w:r w:rsidR="00A85ECB" w:rsidRPr="00A73202">
              <w:rPr>
                <w:rFonts w:ascii="ITC Avant Garde" w:hAnsi="ITC Avant Garde" w:cs="Arial"/>
                <w:sz w:val="22"/>
                <w:szCs w:val="22"/>
              </w:rPr>
              <w:t>A</w:t>
            </w:r>
            <w:r w:rsidR="00940F51" w:rsidRPr="00A73202">
              <w:rPr>
                <w:rFonts w:ascii="ITC Avant Garde" w:hAnsi="ITC Avant Garde" w:cs="Arial"/>
                <w:sz w:val="22"/>
                <w:szCs w:val="22"/>
              </w:rPr>
              <w:t xml:space="preserve">utorización de </w:t>
            </w:r>
            <w:r w:rsidR="00A85ECB" w:rsidRPr="00A73202">
              <w:rPr>
                <w:rFonts w:ascii="ITC Avant Garde" w:hAnsi="ITC Avant Garde" w:cs="Arial"/>
                <w:sz w:val="22"/>
                <w:szCs w:val="22"/>
              </w:rPr>
              <w:t>O</w:t>
            </w:r>
            <w:r w:rsidR="00940F51" w:rsidRPr="00A73202">
              <w:rPr>
                <w:rFonts w:ascii="ITC Avant Garde" w:hAnsi="ITC Avant Garde" w:cs="Arial"/>
                <w:sz w:val="22"/>
                <w:szCs w:val="22"/>
              </w:rPr>
              <w:t xml:space="preserve">ficina de </w:t>
            </w:r>
            <w:r w:rsidR="00A85ECB" w:rsidRPr="00A73202">
              <w:rPr>
                <w:rFonts w:ascii="ITC Avant Garde" w:hAnsi="ITC Avant Garde" w:cs="Arial"/>
                <w:sz w:val="22"/>
                <w:szCs w:val="22"/>
              </w:rPr>
              <w:t>D</w:t>
            </w:r>
            <w:r w:rsidR="00940F51" w:rsidRPr="00A73202">
              <w:rPr>
                <w:rFonts w:ascii="ITC Avant Garde" w:hAnsi="ITC Avant Garde" w:cs="Arial"/>
                <w:sz w:val="22"/>
                <w:szCs w:val="22"/>
              </w:rPr>
              <w:t>espacho.</w:t>
            </w:r>
          </w:p>
          <w:p w14:paraId="289EF801" w14:textId="595C20E9" w:rsidR="001205EF" w:rsidRPr="00A73202" w:rsidRDefault="001205EF" w:rsidP="00D838AF">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2"/>
                <w:szCs w:val="22"/>
              </w:rPr>
            </w:pPr>
          </w:p>
          <w:p w14:paraId="3BDFEB7B" w14:textId="474447EE" w:rsidR="001205EF" w:rsidRPr="00A73202" w:rsidRDefault="004A0C45" w:rsidP="004A0C45">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r w:rsidRPr="00A73202">
              <w:rPr>
                <w:rFonts w:ascii="ITC Avant Garde" w:hAnsi="ITC Avant Garde"/>
                <w:sz w:val="22"/>
                <w:szCs w:val="22"/>
              </w:rPr>
              <w:t xml:space="preserve">De igual forma, el artículo </w:t>
            </w:r>
            <w:r w:rsidRPr="001D2F7F">
              <w:rPr>
                <w:rFonts w:ascii="ITC Avant Garde" w:hAnsi="ITC Avant Garde"/>
                <w:sz w:val="22"/>
                <w:szCs w:val="22"/>
              </w:rPr>
              <w:t>1</w:t>
            </w:r>
            <w:r w:rsidR="000B2A34" w:rsidRPr="001D2F7F">
              <w:rPr>
                <w:rFonts w:ascii="ITC Avant Garde" w:hAnsi="ITC Avant Garde"/>
                <w:sz w:val="22"/>
                <w:szCs w:val="22"/>
              </w:rPr>
              <w:t>1</w:t>
            </w:r>
            <w:r w:rsidRPr="00A73202">
              <w:rPr>
                <w:rFonts w:ascii="ITC Avant Garde" w:hAnsi="ITC Avant Garde"/>
                <w:sz w:val="22"/>
                <w:szCs w:val="22"/>
              </w:rPr>
              <w:t xml:space="preserve"> del Anteproyecto, señala que el Instituto establecerá como vigencia de la Cédula de Registro AOC la indicada en la Autorización de Oficina de Despacho.</w:t>
            </w:r>
          </w:p>
          <w:p w14:paraId="43E10151" w14:textId="77777777" w:rsidR="004A0C45" w:rsidRPr="00A73202" w:rsidRDefault="004A0C45" w:rsidP="004A0C45">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p>
          <w:p w14:paraId="7DEB97F1" w14:textId="05FAE747" w:rsidR="004A0C45" w:rsidRPr="00A73202" w:rsidRDefault="004A0C45" w:rsidP="008C0A9F">
            <w:pPr>
              <w:pStyle w:val="Texto"/>
              <w:spacing w:after="0" w:line="276" w:lineRule="auto"/>
              <w:ind w:firstLine="0"/>
              <w:cnfStyle w:val="000000100000" w:firstRow="0" w:lastRow="0" w:firstColumn="0" w:lastColumn="0" w:oddVBand="0" w:evenVBand="0" w:oddHBand="1" w:evenHBand="0" w:firstRowFirstColumn="0" w:firstRowLastColumn="0" w:lastRowFirstColumn="0" w:lastRowLastColumn="0"/>
              <w:rPr>
                <w:rFonts w:ascii="ITC Avant Garde" w:hAnsi="ITC Avant Garde"/>
                <w:sz w:val="22"/>
                <w:szCs w:val="22"/>
              </w:rPr>
            </w:pPr>
            <w:r w:rsidRPr="00A73202">
              <w:rPr>
                <w:rFonts w:ascii="ITC Avant Garde" w:hAnsi="ITC Avant Garde"/>
                <w:sz w:val="22"/>
                <w:szCs w:val="22"/>
              </w:rPr>
              <w:t>En lo tocante a “</w:t>
            </w:r>
            <w:r w:rsidRPr="00A73202">
              <w:rPr>
                <w:rFonts w:ascii="ITC Avant Garde" w:hAnsi="ITC Avant Garde"/>
                <w:i/>
                <w:sz w:val="22"/>
                <w:szCs w:val="22"/>
              </w:rPr>
              <w:t xml:space="preserve">no me quedó muy claro si </w:t>
            </w:r>
            <w:r w:rsidR="008C0A9F" w:rsidRPr="00A73202">
              <w:rPr>
                <w:rFonts w:ascii="ITC Avant Garde" w:hAnsi="ITC Avant Garde"/>
                <w:i/>
                <w:sz w:val="22"/>
                <w:szCs w:val="22"/>
              </w:rPr>
              <w:t>…</w:t>
            </w:r>
            <w:r w:rsidRPr="00A73202">
              <w:rPr>
                <w:rFonts w:ascii="ITC Avant Garde" w:hAnsi="ITC Avant Garde"/>
                <w:i/>
                <w:sz w:val="22"/>
                <w:szCs w:val="22"/>
              </w:rPr>
              <w:t xml:space="preserve"> se tendría que renovar anualmente</w:t>
            </w:r>
            <w:r w:rsidR="008C0A9F" w:rsidRPr="00A73202">
              <w:rPr>
                <w:rFonts w:ascii="ITC Avant Garde" w:hAnsi="ITC Avant Garde"/>
                <w:i/>
                <w:sz w:val="22"/>
                <w:szCs w:val="22"/>
              </w:rPr>
              <w:t xml:space="preserve">” </w:t>
            </w:r>
            <w:r w:rsidR="008C0A9F" w:rsidRPr="00A73202">
              <w:rPr>
                <w:rFonts w:ascii="ITC Avant Garde" w:hAnsi="ITC Avant Garde"/>
                <w:sz w:val="22"/>
                <w:szCs w:val="22"/>
              </w:rPr>
              <w:t xml:space="preserve">en los </w:t>
            </w:r>
            <w:r w:rsidR="008C0A9F" w:rsidRPr="001D2F7F">
              <w:rPr>
                <w:rFonts w:ascii="ITC Avant Garde" w:hAnsi="ITC Avant Garde"/>
                <w:sz w:val="22"/>
                <w:szCs w:val="22"/>
              </w:rPr>
              <w:t>artículos</w:t>
            </w:r>
            <w:r w:rsidRPr="001D2F7F">
              <w:rPr>
                <w:rFonts w:ascii="ITC Avant Garde" w:hAnsi="ITC Avant Garde"/>
                <w:sz w:val="22"/>
                <w:szCs w:val="22"/>
              </w:rPr>
              <w:t xml:space="preserve"> 1</w:t>
            </w:r>
            <w:r w:rsidR="003669B0" w:rsidRPr="001D2F7F">
              <w:rPr>
                <w:rFonts w:ascii="ITC Avant Garde" w:hAnsi="ITC Avant Garde"/>
                <w:sz w:val="22"/>
                <w:szCs w:val="22"/>
              </w:rPr>
              <w:t>0</w:t>
            </w:r>
            <w:r w:rsidRPr="001D2F7F">
              <w:rPr>
                <w:rFonts w:ascii="ITC Avant Garde" w:hAnsi="ITC Avant Garde"/>
                <w:sz w:val="22"/>
                <w:szCs w:val="22"/>
              </w:rPr>
              <w:t xml:space="preserve"> y 1</w:t>
            </w:r>
            <w:r w:rsidR="003669B0" w:rsidRPr="001D2F7F">
              <w:rPr>
                <w:rFonts w:ascii="ITC Avant Garde" w:hAnsi="ITC Avant Garde"/>
                <w:sz w:val="22"/>
                <w:szCs w:val="22"/>
              </w:rPr>
              <w:t>1</w:t>
            </w:r>
            <w:r w:rsidR="008C0A9F" w:rsidRPr="001D2F7F">
              <w:rPr>
                <w:rFonts w:ascii="ITC Avant Garde" w:hAnsi="ITC Avant Garde"/>
                <w:sz w:val="22"/>
                <w:szCs w:val="22"/>
              </w:rPr>
              <w:t xml:space="preserve"> se</w:t>
            </w:r>
            <w:r w:rsidR="008C0A9F" w:rsidRPr="00A73202">
              <w:rPr>
                <w:rFonts w:ascii="ITC Avant Garde" w:hAnsi="ITC Avant Garde"/>
                <w:sz w:val="22"/>
                <w:szCs w:val="22"/>
              </w:rPr>
              <w:t xml:space="preserve"> señala que e</w:t>
            </w:r>
            <w:r w:rsidRPr="00A73202">
              <w:rPr>
                <w:rFonts w:ascii="ITC Avant Garde" w:hAnsi="ITC Avant Garde"/>
                <w:sz w:val="22"/>
                <w:szCs w:val="22"/>
              </w:rPr>
              <w:t xml:space="preserve">n el supuesto que la </w:t>
            </w:r>
            <w:proofErr w:type="spellStart"/>
            <w:r w:rsidRPr="00A73202">
              <w:rPr>
                <w:rFonts w:ascii="ITC Avant Garde" w:hAnsi="ITC Avant Garde"/>
                <w:sz w:val="22"/>
                <w:szCs w:val="22"/>
              </w:rPr>
              <w:t>AFAC</w:t>
            </w:r>
            <w:proofErr w:type="spellEnd"/>
            <w:r w:rsidRPr="00A73202">
              <w:rPr>
                <w:rFonts w:ascii="ITC Avant Garde" w:hAnsi="ITC Avant Garde"/>
                <w:sz w:val="22"/>
                <w:szCs w:val="22"/>
              </w:rPr>
              <w:t xml:space="preserve"> otorgue, modifique o renueve la Autorización de Oficina de Despacho, deberá hacer</w:t>
            </w:r>
            <w:r w:rsidR="008C0A9F" w:rsidRPr="00A73202">
              <w:rPr>
                <w:rFonts w:ascii="ITC Avant Garde" w:hAnsi="ITC Avant Garde"/>
                <w:sz w:val="22"/>
                <w:szCs w:val="22"/>
              </w:rPr>
              <w:t>lo</w:t>
            </w:r>
            <w:r w:rsidRPr="00A73202">
              <w:rPr>
                <w:rFonts w:ascii="ITC Avant Garde" w:hAnsi="ITC Avant Garde"/>
                <w:sz w:val="22"/>
                <w:szCs w:val="22"/>
              </w:rPr>
              <w:t xml:space="preserve"> del conocimiento del Instituto, mediante la carga en el SIAER del documento que acredite dicha autorización, así como la información relacionada con el otorgamiento, modificación o renovación de la misma</w:t>
            </w:r>
            <w:r w:rsidR="008C0A9F" w:rsidRPr="00A73202">
              <w:rPr>
                <w:rFonts w:ascii="ITC Avant Garde" w:hAnsi="ITC Avant Garde"/>
                <w:sz w:val="22"/>
                <w:szCs w:val="22"/>
              </w:rPr>
              <w:t>, hecho lo cual</w:t>
            </w:r>
            <w:r w:rsidRPr="00A73202">
              <w:rPr>
                <w:rFonts w:ascii="ITC Avant Garde" w:hAnsi="ITC Avant Garde"/>
                <w:sz w:val="22"/>
                <w:szCs w:val="22"/>
              </w:rPr>
              <w:t>, el Instituto expedirá la Cédula de Registro AOC correspondiente y, por correo electrónico a través del SIAER, la hará del conocimiento de</w:t>
            </w:r>
            <w:r w:rsidR="00A85ECB" w:rsidRPr="00A73202">
              <w:rPr>
                <w:rFonts w:ascii="ITC Avant Garde" w:hAnsi="ITC Avant Garde"/>
                <w:sz w:val="22"/>
                <w:szCs w:val="22"/>
              </w:rPr>
              <w:t xml:space="preserve"> </w:t>
            </w:r>
            <w:r w:rsidRPr="00A73202">
              <w:rPr>
                <w:rFonts w:ascii="ITC Avant Garde" w:hAnsi="ITC Avant Garde"/>
                <w:sz w:val="22"/>
                <w:szCs w:val="22"/>
              </w:rPr>
              <w:t>l</w:t>
            </w:r>
            <w:r w:rsidR="00A85ECB" w:rsidRPr="00A73202">
              <w:rPr>
                <w:rFonts w:ascii="ITC Avant Garde" w:hAnsi="ITC Avant Garde"/>
                <w:sz w:val="22"/>
                <w:szCs w:val="22"/>
              </w:rPr>
              <w:t>a Persona</w:t>
            </w:r>
            <w:r w:rsidRPr="00A73202">
              <w:rPr>
                <w:rFonts w:ascii="ITC Avant Garde" w:hAnsi="ITC Avant Garde"/>
                <w:sz w:val="22"/>
                <w:szCs w:val="22"/>
              </w:rPr>
              <w:t xml:space="preserve"> Interesad</w:t>
            </w:r>
            <w:r w:rsidR="00A85ECB" w:rsidRPr="00A73202">
              <w:rPr>
                <w:rFonts w:ascii="ITC Avant Garde" w:hAnsi="ITC Avant Garde"/>
                <w:sz w:val="22"/>
                <w:szCs w:val="22"/>
              </w:rPr>
              <w:t>a</w:t>
            </w:r>
            <w:r w:rsidRPr="00A73202">
              <w:rPr>
                <w:rFonts w:ascii="ITC Avant Garde" w:hAnsi="ITC Avant Garde"/>
                <w:sz w:val="22"/>
                <w:szCs w:val="22"/>
              </w:rPr>
              <w:t xml:space="preserve">, de la </w:t>
            </w:r>
            <w:proofErr w:type="spellStart"/>
            <w:r w:rsidRPr="00A73202">
              <w:rPr>
                <w:rFonts w:ascii="ITC Avant Garde" w:hAnsi="ITC Avant Garde"/>
                <w:sz w:val="22"/>
                <w:szCs w:val="22"/>
              </w:rPr>
              <w:t>AFAC</w:t>
            </w:r>
            <w:proofErr w:type="spellEnd"/>
            <w:r w:rsidRPr="00A73202">
              <w:rPr>
                <w:rFonts w:ascii="ITC Avant Garde" w:hAnsi="ITC Avant Garde"/>
                <w:sz w:val="22"/>
                <w:szCs w:val="22"/>
              </w:rPr>
              <w:t xml:space="preserve"> y de </w:t>
            </w:r>
            <w:proofErr w:type="spellStart"/>
            <w:r w:rsidRPr="00A73202">
              <w:rPr>
                <w:rFonts w:ascii="ITC Avant Garde" w:hAnsi="ITC Avant Garde"/>
                <w:sz w:val="22"/>
                <w:szCs w:val="22"/>
              </w:rPr>
              <w:t>SENEAM</w:t>
            </w:r>
            <w:proofErr w:type="spellEnd"/>
            <w:r w:rsidRPr="00A73202">
              <w:rPr>
                <w:rFonts w:ascii="ITC Avant Garde" w:hAnsi="ITC Avant Garde"/>
                <w:sz w:val="22"/>
                <w:szCs w:val="22"/>
              </w:rPr>
              <w:t>, estableciendo como vigencia de la misma la indicada en la Autorización de Oficina de Despacho.</w:t>
            </w:r>
          </w:p>
        </w:tc>
      </w:tr>
      <w:tr w:rsidR="004E412F" w:rsidRPr="00092958" w14:paraId="027C8BB4" w14:textId="77777777" w:rsidTr="0012697C">
        <w:trPr>
          <w:trHeight w:val="1260"/>
        </w:trPr>
        <w:tc>
          <w:tcPr>
            <w:cnfStyle w:val="001000000000" w:firstRow="0" w:lastRow="0" w:firstColumn="1" w:lastColumn="0" w:oddVBand="0" w:evenVBand="0" w:oddHBand="0" w:evenHBand="0" w:firstRowFirstColumn="0" w:firstRowLastColumn="0" w:lastRowFirstColumn="0" w:lastRowLastColumn="0"/>
            <w:tcW w:w="1980" w:type="dxa"/>
          </w:tcPr>
          <w:p w14:paraId="38BBB8C7" w14:textId="77777777" w:rsidR="004E412F" w:rsidRPr="00092958" w:rsidRDefault="004E412F" w:rsidP="00D838AF">
            <w:pPr>
              <w:tabs>
                <w:tab w:val="left" w:pos="1883"/>
              </w:tabs>
              <w:spacing w:after="0"/>
              <w:jc w:val="center"/>
              <w:rPr>
                <w:rFonts w:ascii="ITC Avant Garde" w:hAnsi="ITC Avant Garde" w:cs="Arial"/>
                <w:b w:val="0"/>
                <w:sz w:val="22"/>
                <w:szCs w:val="22"/>
              </w:rPr>
            </w:pPr>
            <w:proofErr w:type="spellStart"/>
            <w:r w:rsidRPr="00092958">
              <w:rPr>
                <w:rFonts w:ascii="ITC Avant Garde" w:eastAsia="Times New Roman" w:hAnsi="ITC Avant Garde" w:cs="Arial"/>
                <w:color w:val="000000"/>
                <w:sz w:val="22"/>
                <w:szCs w:val="22"/>
              </w:rPr>
              <w:t>Advance</w:t>
            </w:r>
            <w:proofErr w:type="spellEnd"/>
            <w:r w:rsidRPr="00092958">
              <w:rPr>
                <w:rFonts w:ascii="ITC Avant Garde" w:eastAsia="Times New Roman" w:hAnsi="ITC Avant Garde" w:cs="Arial"/>
                <w:color w:val="000000"/>
                <w:sz w:val="22"/>
                <w:szCs w:val="22"/>
              </w:rPr>
              <w:t xml:space="preserve"> </w:t>
            </w:r>
            <w:proofErr w:type="spellStart"/>
            <w:r w:rsidRPr="00092958">
              <w:rPr>
                <w:rFonts w:ascii="ITC Avant Garde" w:eastAsia="Times New Roman" w:hAnsi="ITC Avant Garde" w:cs="Arial"/>
                <w:color w:val="000000"/>
                <w:sz w:val="22"/>
                <w:szCs w:val="22"/>
              </w:rPr>
              <w:t>W&amp;W</w:t>
            </w:r>
            <w:proofErr w:type="spellEnd"/>
            <w:r w:rsidRPr="00092958">
              <w:rPr>
                <w:rFonts w:ascii="ITC Avant Garde" w:eastAsia="Times New Roman" w:hAnsi="ITC Avant Garde" w:cs="Arial"/>
                <w:color w:val="000000"/>
                <w:sz w:val="22"/>
                <w:szCs w:val="22"/>
              </w:rPr>
              <w:t xml:space="preserve"> Laboratorios, S.C.</w:t>
            </w:r>
          </w:p>
        </w:tc>
        <w:tc>
          <w:tcPr>
            <w:tcW w:w="3402" w:type="dxa"/>
          </w:tcPr>
          <w:tbl>
            <w:tblPr>
              <w:tblW w:w="0" w:type="auto"/>
              <w:tblBorders>
                <w:top w:val="nil"/>
                <w:left w:val="nil"/>
                <w:bottom w:val="nil"/>
                <w:right w:val="nil"/>
              </w:tblBorders>
              <w:tblLook w:val="0000" w:firstRow="0" w:lastRow="0" w:firstColumn="0" w:lastColumn="0" w:noHBand="0" w:noVBand="0"/>
            </w:tblPr>
            <w:tblGrid>
              <w:gridCol w:w="1593"/>
              <w:gridCol w:w="1593"/>
            </w:tblGrid>
            <w:tr w:rsidR="002639EF" w:rsidRPr="00092958" w14:paraId="657B6EAB" w14:textId="77777777">
              <w:trPr>
                <w:trHeight w:val="949"/>
              </w:trPr>
              <w:tc>
                <w:tcPr>
                  <w:tcW w:w="0" w:type="auto"/>
                  <w:gridSpan w:val="2"/>
                </w:tcPr>
                <w:p w14:paraId="0B23B2DE" w14:textId="77777777" w:rsidR="00A47016" w:rsidRPr="00092958" w:rsidRDefault="00D838AF" w:rsidP="0078711A">
                  <w:pPr>
                    <w:pStyle w:val="Default"/>
                    <w:numPr>
                      <w:ilvl w:val="0"/>
                      <w:numId w:val="24"/>
                    </w:numPr>
                    <w:spacing w:line="276" w:lineRule="auto"/>
                    <w:ind w:left="72" w:right="-70" w:hanging="142"/>
                    <w:jc w:val="both"/>
                    <w:rPr>
                      <w:sz w:val="22"/>
                      <w:szCs w:val="22"/>
                    </w:rPr>
                  </w:pPr>
                  <w:r w:rsidRPr="00092958">
                    <w:rPr>
                      <w:sz w:val="22"/>
                      <w:szCs w:val="22"/>
                    </w:rPr>
                    <w:t>Comentario al artículo 7:</w:t>
                  </w:r>
                </w:p>
                <w:p w14:paraId="61E2A7A3" w14:textId="67C52FFF" w:rsidR="00A41EEE" w:rsidRPr="00540723" w:rsidRDefault="00540723" w:rsidP="00D838AF">
                  <w:pPr>
                    <w:pStyle w:val="Default"/>
                    <w:spacing w:line="276" w:lineRule="auto"/>
                    <w:ind w:left="-70" w:right="-70"/>
                    <w:jc w:val="both"/>
                    <w:rPr>
                      <w:i/>
                      <w:sz w:val="22"/>
                      <w:szCs w:val="22"/>
                    </w:rPr>
                  </w:pPr>
                  <w:r>
                    <w:rPr>
                      <w:i/>
                      <w:sz w:val="22"/>
                      <w:szCs w:val="22"/>
                    </w:rPr>
                    <w:t>“</w:t>
                  </w:r>
                  <w:r w:rsidR="002639EF" w:rsidRPr="00540723">
                    <w:rPr>
                      <w:i/>
                      <w:sz w:val="22"/>
                      <w:szCs w:val="22"/>
                    </w:rPr>
                    <w:t xml:space="preserve">En términos generales, el documento de </w:t>
                  </w:r>
                  <w:r w:rsidR="00A41EEE" w:rsidRPr="00540723">
                    <w:rPr>
                      <w:i/>
                      <w:sz w:val="22"/>
                      <w:szCs w:val="22"/>
                    </w:rPr>
                    <w:t>l</w:t>
                  </w:r>
                  <w:r w:rsidR="002639EF" w:rsidRPr="00540723">
                    <w:rPr>
                      <w:i/>
                      <w:sz w:val="22"/>
                      <w:szCs w:val="22"/>
                    </w:rPr>
                    <w:t xml:space="preserve">ineamientos no especifica tiempos de respuesta, por lo que se sugiere agregar en los artículos específicos, los tiempos de respuesta, dado lo importante de los registros y designaciones respecto de la seguridad aérea, se puede </w:t>
                  </w:r>
                  <w:r w:rsidR="00A41EEE" w:rsidRPr="00540723">
                    <w:rPr>
                      <w:i/>
                      <w:sz w:val="22"/>
                      <w:szCs w:val="22"/>
                    </w:rPr>
                    <w:t>agregar,</w:t>
                  </w:r>
                  <w:r w:rsidR="002639EF" w:rsidRPr="00540723">
                    <w:rPr>
                      <w:i/>
                      <w:sz w:val="22"/>
                      <w:szCs w:val="22"/>
                    </w:rPr>
                    <w:t xml:space="preserve"> por ejemplo: “</w:t>
                  </w:r>
                  <w:r w:rsidR="00A41EEE" w:rsidRPr="00540723">
                    <w:rPr>
                      <w:i/>
                      <w:sz w:val="22"/>
                      <w:szCs w:val="22"/>
                    </w:rPr>
                    <w:t>e</w:t>
                  </w:r>
                  <w:r w:rsidR="002639EF" w:rsidRPr="00540723">
                    <w:rPr>
                      <w:i/>
                      <w:sz w:val="22"/>
                      <w:szCs w:val="22"/>
                    </w:rPr>
                    <w:t>l Instituto debe responder a la solicitud del SIAER en un tiempo que no debe exceder los 3 días”</w:t>
                  </w:r>
                  <w:r w:rsidR="00A41EEE" w:rsidRPr="00540723">
                    <w:rPr>
                      <w:i/>
                      <w:sz w:val="22"/>
                      <w:szCs w:val="22"/>
                    </w:rPr>
                    <w:t>.</w:t>
                  </w:r>
                  <w:r>
                    <w:rPr>
                      <w:i/>
                      <w:sz w:val="22"/>
                      <w:szCs w:val="22"/>
                    </w:rPr>
                    <w:t>”</w:t>
                  </w:r>
                </w:p>
                <w:p w14:paraId="15226960" w14:textId="456A0164" w:rsidR="00D838AF" w:rsidRPr="00092958" w:rsidRDefault="00D838AF" w:rsidP="00D838AF">
                  <w:pPr>
                    <w:pStyle w:val="Default"/>
                    <w:spacing w:line="276" w:lineRule="auto"/>
                    <w:ind w:left="-70" w:right="-70"/>
                    <w:jc w:val="both"/>
                    <w:rPr>
                      <w:sz w:val="22"/>
                      <w:szCs w:val="22"/>
                    </w:rPr>
                  </w:pPr>
                </w:p>
                <w:p w14:paraId="34F6068C" w14:textId="1A398B95" w:rsidR="00603388" w:rsidRDefault="00D838AF" w:rsidP="00603388">
                  <w:pPr>
                    <w:pStyle w:val="Default"/>
                    <w:spacing w:line="276" w:lineRule="auto"/>
                    <w:ind w:left="-70" w:right="-70"/>
                    <w:jc w:val="both"/>
                    <w:rPr>
                      <w:sz w:val="22"/>
                      <w:szCs w:val="22"/>
                    </w:rPr>
                  </w:pPr>
                  <w:r w:rsidRPr="00092958">
                    <w:rPr>
                      <w:sz w:val="22"/>
                      <w:szCs w:val="22"/>
                    </w:rPr>
                    <w:t xml:space="preserve">• </w:t>
                  </w:r>
                  <w:r w:rsidR="00540723">
                    <w:rPr>
                      <w:sz w:val="22"/>
                      <w:szCs w:val="22"/>
                    </w:rPr>
                    <w:t>Comentario a otros</w:t>
                  </w:r>
                  <w:r w:rsidRPr="00092958">
                    <w:rPr>
                      <w:sz w:val="22"/>
                      <w:szCs w:val="22"/>
                    </w:rPr>
                    <w:t xml:space="preserve"> artículos:  </w:t>
                  </w:r>
                </w:p>
                <w:p w14:paraId="3C5D61BD" w14:textId="650B229E" w:rsidR="00A41EEE" w:rsidRPr="00540723" w:rsidRDefault="00540723" w:rsidP="00603388">
                  <w:pPr>
                    <w:pStyle w:val="Default"/>
                    <w:spacing w:line="276" w:lineRule="auto"/>
                    <w:ind w:left="-70" w:right="-70"/>
                    <w:jc w:val="both"/>
                    <w:rPr>
                      <w:i/>
                      <w:sz w:val="22"/>
                      <w:szCs w:val="22"/>
                    </w:rPr>
                  </w:pPr>
                  <w:r>
                    <w:rPr>
                      <w:i/>
                      <w:sz w:val="22"/>
                      <w:szCs w:val="22"/>
                    </w:rPr>
                    <w:t>“</w:t>
                  </w:r>
                  <w:r w:rsidR="00A41EEE" w:rsidRPr="00540723">
                    <w:rPr>
                      <w:i/>
                      <w:sz w:val="22"/>
                      <w:szCs w:val="22"/>
                    </w:rPr>
                    <w:t>La misma propuesta, del punto anterior, aplica para las instancias implicadas en los diferentes procesos.</w:t>
                  </w:r>
                  <w:r>
                    <w:rPr>
                      <w:i/>
                      <w:sz w:val="22"/>
                      <w:szCs w:val="22"/>
                    </w:rPr>
                    <w:t>”</w:t>
                  </w:r>
                </w:p>
              </w:tc>
            </w:tr>
            <w:tr w:rsidR="002639EF" w:rsidRPr="00092958" w14:paraId="1413E918" w14:textId="77777777" w:rsidTr="0012697C">
              <w:trPr>
                <w:trHeight w:val="68"/>
              </w:trPr>
              <w:tc>
                <w:tcPr>
                  <w:tcW w:w="0" w:type="auto"/>
                </w:tcPr>
                <w:p w14:paraId="4B517C3F" w14:textId="4AFEBBB2" w:rsidR="002639EF" w:rsidRPr="00092958" w:rsidRDefault="002639EF" w:rsidP="00D838AF">
                  <w:pPr>
                    <w:pStyle w:val="Default"/>
                    <w:spacing w:line="276" w:lineRule="auto"/>
                    <w:rPr>
                      <w:sz w:val="22"/>
                      <w:szCs w:val="22"/>
                    </w:rPr>
                  </w:pPr>
                </w:p>
              </w:tc>
              <w:tc>
                <w:tcPr>
                  <w:tcW w:w="0" w:type="auto"/>
                </w:tcPr>
                <w:p w14:paraId="10186CD5" w14:textId="7412AA31" w:rsidR="002639EF" w:rsidRPr="00092958" w:rsidRDefault="002639EF" w:rsidP="00D838AF">
                  <w:pPr>
                    <w:pStyle w:val="Default"/>
                    <w:spacing w:line="276" w:lineRule="auto"/>
                    <w:rPr>
                      <w:sz w:val="22"/>
                      <w:szCs w:val="22"/>
                    </w:rPr>
                  </w:pPr>
                </w:p>
              </w:tc>
            </w:tr>
          </w:tbl>
          <w:p w14:paraId="726ADBB4" w14:textId="5DB32348" w:rsidR="004E412F" w:rsidRPr="00092958" w:rsidRDefault="004E412F" w:rsidP="00D838AF">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2"/>
                <w:szCs w:val="22"/>
              </w:rPr>
            </w:pPr>
          </w:p>
        </w:tc>
        <w:tc>
          <w:tcPr>
            <w:tcW w:w="4688" w:type="dxa"/>
          </w:tcPr>
          <w:p w14:paraId="4FC0883F" w14:textId="202BBA75" w:rsidR="009C215C" w:rsidRPr="007414E4" w:rsidRDefault="00A65C33" w:rsidP="007414E4">
            <w:pPr>
              <w:pStyle w:val="Texto"/>
              <w:spacing w:after="0" w:line="276" w:lineRule="auto"/>
              <w:ind w:firstLine="0"/>
              <w:cnfStyle w:val="000000000000" w:firstRow="0" w:lastRow="0" w:firstColumn="0" w:lastColumn="0" w:oddVBand="0" w:evenVBand="0" w:oddHBand="0" w:evenHBand="0" w:firstRowFirstColumn="0" w:firstRowLastColumn="0" w:lastRowFirstColumn="0" w:lastRowLastColumn="0"/>
              <w:rPr>
                <w:rFonts w:ascii="ITC Avant Garde" w:eastAsiaTheme="minorHAnsi" w:hAnsi="ITC Avant Garde"/>
                <w:sz w:val="22"/>
                <w:szCs w:val="22"/>
                <w:lang w:eastAsia="en-US"/>
              </w:rPr>
            </w:pPr>
            <w:r w:rsidRPr="007414E4">
              <w:rPr>
                <w:rFonts w:ascii="ITC Avant Garde" w:hAnsi="ITC Avant Garde"/>
                <w:sz w:val="22"/>
                <w:szCs w:val="22"/>
              </w:rPr>
              <w:t xml:space="preserve">En lo referente a </w:t>
            </w:r>
            <w:r w:rsidRPr="007414E4">
              <w:rPr>
                <w:rFonts w:ascii="ITC Avant Garde" w:hAnsi="ITC Avant Garde"/>
                <w:i/>
                <w:sz w:val="22"/>
                <w:szCs w:val="22"/>
              </w:rPr>
              <w:t>“</w:t>
            </w:r>
            <w:r w:rsidR="006C1D9A" w:rsidRPr="007414E4">
              <w:rPr>
                <w:rFonts w:ascii="ITC Avant Garde" w:hAnsi="ITC Avant Garde"/>
                <w:i/>
                <w:sz w:val="22"/>
                <w:szCs w:val="22"/>
              </w:rPr>
              <w:t>s</w:t>
            </w:r>
            <w:r w:rsidR="003079E0" w:rsidRPr="007414E4">
              <w:rPr>
                <w:rFonts w:ascii="ITC Avant Garde" w:hAnsi="ITC Avant Garde"/>
                <w:i/>
                <w:sz w:val="22"/>
                <w:szCs w:val="22"/>
              </w:rPr>
              <w:t>e sugiere agregar en los artículos específicos, los tiempos de respuesta</w:t>
            </w:r>
            <w:r w:rsidRPr="007414E4">
              <w:rPr>
                <w:rFonts w:ascii="ITC Avant Garde" w:hAnsi="ITC Avant Garde"/>
                <w:i/>
                <w:sz w:val="22"/>
                <w:szCs w:val="22"/>
              </w:rPr>
              <w:t>”, s</w:t>
            </w:r>
            <w:r w:rsidR="009C215C" w:rsidRPr="007414E4">
              <w:rPr>
                <w:rFonts w:ascii="ITC Avant Garde" w:eastAsiaTheme="minorHAnsi" w:hAnsi="ITC Avant Garde"/>
                <w:sz w:val="22"/>
                <w:szCs w:val="22"/>
                <w:lang w:eastAsia="en-US"/>
              </w:rPr>
              <w:t xml:space="preserve">e atiende el comentario respecto de los plazos </w:t>
            </w:r>
            <w:r w:rsidR="006C1D9A" w:rsidRPr="007414E4">
              <w:rPr>
                <w:rFonts w:ascii="ITC Avant Garde" w:eastAsiaTheme="minorHAnsi" w:hAnsi="ITC Avant Garde"/>
                <w:sz w:val="22"/>
                <w:szCs w:val="22"/>
                <w:lang w:eastAsia="en-US"/>
              </w:rPr>
              <w:t>correspondientes</w:t>
            </w:r>
            <w:r w:rsidR="009C215C" w:rsidRPr="007414E4">
              <w:rPr>
                <w:rFonts w:ascii="ITC Avant Garde" w:eastAsiaTheme="minorHAnsi" w:hAnsi="ITC Avant Garde"/>
                <w:sz w:val="22"/>
                <w:szCs w:val="22"/>
                <w:lang w:eastAsia="en-US"/>
              </w:rPr>
              <w:t xml:space="preserve"> a las actividades que realiza el Instituto, mismas que se indican en los artículos</w:t>
            </w:r>
            <w:r w:rsidR="007B7CF4" w:rsidRPr="007414E4">
              <w:rPr>
                <w:rFonts w:ascii="ITC Avant Garde" w:eastAsiaTheme="minorHAnsi" w:hAnsi="ITC Avant Garde"/>
                <w:sz w:val="22"/>
                <w:szCs w:val="22"/>
                <w:lang w:eastAsia="en-US"/>
              </w:rPr>
              <w:t xml:space="preserve"> </w:t>
            </w:r>
          </w:p>
          <w:p w14:paraId="6FFB8BB6" w14:textId="77777777" w:rsidR="007414E4" w:rsidRPr="007414E4" w:rsidRDefault="007414E4" w:rsidP="007414E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Segoe UI"/>
                <w:sz w:val="22"/>
                <w:szCs w:val="22"/>
              </w:rPr>
            </w:pPr>
            <w:r w:rsidRPr="007414E4">
              <w:rPr>
                <w:rFonts w:ascii="ITC Avant Garde" w:eastAsia="Times New Roman" w:hAnsi="ITC Avant Garde" w:cs="Segoe UI"/>
                <w:sz w:val="22"/>
                <w:szCs w:val="22"/>
              </w:rPr>
              <w:t>7, 8, 11, 13, 14, 16 y 23.</w:t>
            </w:r>
          </w:p>
          <w:p w14:paraId="5D4CC6BB" w14:textId="2CD4E972" w:rsidR="001721E5" w:rsidRPr="007414E4" w:rsidRDefault="001721E5" w:rsidP="007414E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2"/>
                <w:szCs w:val="22"/>
              </w:rPr>
            </w:pPr>
          </w:p>
          <w:p w14:paraId="087B6FCC" w14:textId="6C6CCAD1" w:rsidR="004E412F" w:rsidRPr="007414E4" w:rsidRDefault="006C1D9A" w:rsidP="007414E4">
            <w:pPr>
              <w:spacing w:after="0"/>
              <w:jc w:val="both"/>
              <w:cnfStyle w:val="000000000000" w:firstRow="0" w:lastRow="0" w:firstColumn="0" w:lastColumn="0" w:oddVBand="0" w:evenVBand="0" w:oddHBand="0" w:evenHBand="0" w:firstRowFirstColumn="0" w:firstRowLastColumn="0" w:lastRowFirstColumn="0" w:lastRowLastColumn="0"/>
              <w:rPr>
                <w:rFonts w:ascii="ITC Avant Garde" w:hAnsi="ITC Avant Garde"/>
                <w:sz w:val="22"/>
                <w:szCs w:val="22"/>
              </w:rPr>
            </w:pPr>
            <w:r w:rsidRPr="007414E4">
              <w:rPr>
                <w:rFonts w:ascii="ITC Avant Garde" w:hAnsi="ITC Avant Garde"/>
                <w:sz w:val="22"/>
                <w:szCs w:val="22"/>
              </w:rPr>
              <w:t xml:space="preserve">Por cuanto a </w:t>
            </w:r>
            <w:r w:rsidRPr="007414E4">
              <w:rPr>
                <w:rFonts w:ascii="ITC Avant Garde" w:hAnsi="ITC Avant Garde"/>
                <w:i/>
                <w:sz w:val="22"/>
                <w:szCs w:val="22"/>
              </w:rPr>
              <w:t>“</w:t>
            </w:r>
            <w:r w:rsidR="003079E0" w:rsidRPr="007414E4">
              <w:rPr>
                <w:rFonts w:ascii="ITC Avant Garde" w:hAnsi="ITC Avant Garde"/>
                <w:i/>
                <w:sz w:val="22"/>
                <w:szCs w:val="22"/>
              </w:rPr>
              <w:t>La misma propuesta, del punto anterior, aplica para las instancias implicadas en los diferentes procesos</w:t>
            </w:r>
            <w:r w:rsidRPr="007414E4">
              <w:rPr>
                <w:rFonts w:ascii="ITC Avant Garde" w:hAnsi="ITC Avant Garde"/>
                <w:i/>
                <w:sz w:val="22"/>
                <w:szCs w:val="22"/>
              </w:rPr>
              <w:t>”</w:t>
            </w:r>
            <w:r w:rsidR="009C215C" w:rsidRPr="007414E4">
              <w:rPr>
                <w:rFonts w:ascii="ITC Avant Garde" w:hAnsi="ITC Avant Garde"/>
                <w:sz w:val="22"/>
                <w:szCs w:val="22"/>
              </w:rPr>
              <w:t xml:space="preserve">, es importante señalar que </w:t>
            </w:r>
            <w:r w:rsidR="001721E5" w:rsidRPr="007414E4">
              <w:rPr>
                <w:rFonts w:ascii="ITC Avant Garde" w:hAnsi="ITC Avant Garde"/>
                <w:sz w:val="22"/>
                <w:szCs w:val="22"/>
              </w:rPr>
              <w:t xml:space="preserve">el Anteproyecto prevé </w:t>
            </w:r>
            <w:r w:rsidR="009C215C" w:rsidRPr="007414E4">
              <w:rPr>
                <w:rFonts w:ascii="ITC Avant Garde" w:hAnsi="ITC Avant Garde"/>
                <w:sz w:val="22"/>
                <w:szCs w:val="22"/>
              </w:rPr>
              <w:t>el procedimiento</w:t>
            </w:r>
            <w:r w:rsidR="001721E5" w:rsidRPr="007414E4">
              <w:rPr>
                <w:rFonts w:ascii="ITC Avant Garde" w:hAnsi="ITC Avant Garde"/>
                <w:sz w:val="22"/>
                <w:szCs w:val="22"/>
              </w:rPr>
              <w:t xml:space="preserve"> </w:t>
            </w:r>
            <w:r w:rsidR="009C215C" w:rsidRPr="007414E4">
              <w:rPr>
                <w:rFonts w:ascii="ITC Avant Garde" w:hAnsi="ITC Avant Garde"/>
                <w:sz w:val="22"/>
                <w:szCs w:val="22"/>
              </w:rPr>
              <w:t>mediante el cual las oficinas de despacho podrán hacer uso y aprovechamiento d</w:t>
            </w:r>
            <w:r w:rsidR="009C215C" w:rsidRPr="007414E4">
              <w:rPr>
                <w:rFonts w:ascii="ITC Avant Garde" w:hAnsi="ITC Avant Garde" w:cs="Arial"/>
                <w:sz w:val="22"/>
                <w:szCs w:val="22"/>
              </w:rPr>
              <w:t xml:space="preserve">e una frecuencia dentro del Segmento AOC, </w:t>
            </w:r>
            <w:r w:rsidR="008445AF" w:rsidRPr="007414E4">
              <w:rPr>
                <w:rFonts w:ascii="ITC Avant Garde" w:hAnsi="ITC Avant Garde" w:cs="Arial"/>
                <w:sz w:val="22"/>
                <w:szCs w:val="22"/>
              </w:rPr>
              <w:t xml:space="preserve">así como </w:t>
            </w:r>
            <w:r w:rsidR="006E573C" w:rsidRPr="007414E4">
              <w:rPr>
                <w:rFonts w:ascii="ITC Avant Garde" w:eastAsiaTheme="minorHAnsi" w:hAnsi="ITC Avant Garde" w:cs="Arial"/>
                <w:sz w:val="22"/>
                <w:szCs w:val="22"/>
                <w:lang w:eastAsia="en-US"/>
              </w:rPr>
              <w:t xml:space="preserve">el mecanismo de coordinación </w:t>
            </w:r>
            <w:r w:rsidR="006E573C" w:rsidRPr="007414E4">
              <w:rPr>
                <w:rFonts w:ascii="ITC Avant Garde" w:hAnsi="ITC Avant Garde" w:cs="Arial"/>
                <w:sz w:val="22"/>
                <w:szCs w:val="22"/>
              </w:rPr>
              <w:t xml:space="preserve">entre </w:t>
            </w:r>
            <w:r w:rsidRPr="007414E4">
              <w:rPr>
                <w:rFonts w:ascii="ITC Avant Garde" w:hAnsi="ITC Avant Garde" w:cs="Arial"/>
                <w:sz w:val="22"/>
                <w:szCs w:val="22"/>
              </w:rPr>
              <w:t xml:space="preserve">la </w:t>
            </w:r>
            <w:proofErr w:type="spellStart"/>
            <w:r w:rsidR="006E573C" w:rsidRPr="007414E4">
              <w:rPr>
                <w:rFonts w:ascii="ITC Avant Garde" w:hAnsi="ITC Avant Garde" w:cs="Arial"/>
                <w:sz w:val="22"/>
                <w:szCs w:val="22"/>
              </w:rPr>
              <w:t>AFAC</w:t>
            </w:r>
            <w:proofErr w:type="spellEnd"/>
            <w:r w:rsidR="0091694C" w:rsidRPr="007414E4">
              <w:rPr>
                <w:rFonts w:ascii="ITC Avant Garde" w:hAnsi="ITC Avant Garde" w:cs="Arial"/>
                <w:sz w:val="22"/>
                <w:szCs w:val="22"/>
              </w:rPr>
              <w:t xml:space="preserve">, </w:t>
            </w:r>
            <w:proofErr w:type="spellStart"/>
            <w:r w:rsidR="006E573C" w:rsidRPr="007414E4">
              <w:rPr>
                <w:rFonts w:ascii="ITC Avant Garde" w:hAnsi="ITC Avant Garde" w:cs="Arial"/>
                <w:sz w:val="22"/>
                <w:szCs w:val="22"/>
              </w:rPr>
              <w:t>SENEAM</w:t>
            </w:r>
            <w:proofErr w:type="spellEnd"/>
            <w:r w:rsidR="006E573C" w:rsidRPr="007414E4">
              <w:rPr>
                <w:rFonts w:ascii="ITC Avant Garde" w:hAnsi="ITC Avant Garde" w:cs="Arial"/>
                <w:sz w:val="22"/>
                <w:szCs w:val="22"/>
              </w:rPr>
              <w:t xml:space="preserve"> y el Instituto</w:t>
            </w:r>
            <w:r w:rsidR="004019EA" w:rsidRPr="007414E4">
              <w:rPr>
                <w:rFonts w:ascii="ITC Avant Garde" w:hAnsi="ITC Avant Garde" w:cs="Arial"/>
                <w:sz w:val="22"/>
                <w:szCs w:val="22"/>
              </w:rPr>
              <w:t xml:space="preserve"> para ello</w:t>
            </w:r>
            <w:r w:rsidR="008445AF" w:rsidRPr="007414E4">
              <w:rPr>
                <w:rFonts w:ascii="ITC Avant Garde" w:hAnsi="ITC Avant Garde" w:cs="Arial"/>
                <w:sz w:val="22"/>
                <w:szCs w:val="22"/>
              </w:rPr>
              <w:t xml:space="preserve">, </w:t>
            </w:r>
            <w:r w:rsidR="004019EA" w:rsidRPr="007414E4">
              <w:rPr>
                <w:rFonts w:ascii="ITC Avant Garde" w:hAnsi="ITC Avant Garde" w:cs="Arial"/>
                <w:sz w:val="22"/>
                <w:szCs w:val="22"/>
              </w:rPr>
              <w:t xml:space="preserve">sin embargo, el Instituto no cuenta con atribuciones para establecer los plazos correspondientes a las actividades que realicen la </w:t>
            </w:r>
            <w:proofErr w:type="spellStart"/>
            <w:r w:rsidR="004019EA" w:rsidRPr="007414E4">
              <w:rPr>
                <w:rFonts w:ascii="ITC Avant Garde" w:hAnsi="ITC Avant Garde" w:cs="Arial"/>
                <w:sz w:val="22"/>
                <w:szCs w:val="22"/>
              </w:rPr>
              <w:t>AFAC</w:t>
            </w:r>
            <w:proofErr w:type="spellEnd"/>
            <w:r w:rsidR="004019EA" w:rsidRPr="007414E4">
              <w:rPr>
                <w:rFonts w:ascii="ITC Avant Garde" w:hAnsi="ITC Avant Garde" w:cs="Arial"/>
                <w:sz w:val="22"/>
                <w:szCs w:val="22"/>
              </w:rPr>
              <w:t xml:space="preserve"> y </w:t>
            </w:r>
            <w:proofErr w:type="spellStart"/>
            <w:r w:rsidR="004019EA" w:rsidRPr="007414E4">
              <w:rPr>
                <w:rFonts w:ascii="ITC Avant Garde" w:hAnsi="ITC Avant Garde" w:cs="Arial"/>
                <w:sz w:val="22"/>
                <w:szCs w:val="22"/>
              </w:rPr>
              <w:t>SENEAM</w:t>
            </w:r>
            <w:proofErr w:type="spellEnd"/>
            <w:r w:rsidR="004019EA" w:rsidRPr="007414E4">
              <w:rPr>
                <w:rFonts w:ascii="ITC Avant Garde" w:hAnsi="ITC Avant Garde" w:cs="Arial"/>
                <w:sz w:val="22"/>
                <w:szCs w:val="22"/>
              </w:rPr>
              <w:t xml:space="preserve"> en el tramo de sus respectivas competencias, por lo que no a lugar a atender la propuesta de mérito</w:t>
            </w:r>
            <w:r w:rsidR="005B2DBC" w:rsidRPr="007414E4">
              <w:rPr>
                <w:rFonts w:ascii="ITC Avant Garde" w:hAnsi="ITC Avant Garde"/>
                <w:sz w:val="22"/>
                <w:szCs w:val="22"/>
              </w:rPr>
              <w:t>.</w:t>
            </w:r>
          </w:p>
        </w:tc>
      </w:tr>
      <w:tr w:rsidR="0012697C" w:rsidRPr="00092958" w14:paraId="235DF4E1" w14:textId="77777777" w:rsidTr="0012697C">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1980" w:type="dxa"/>
          </w:tcPr>
          <w:p w14:paraId="6994128B" w14:textId="173FFB7C" w:rsidR="0012697C" w:rsidRPr="00092958" w:rsidRDefault="0012697C" w:rsidP="00D838AF">
            <w:pPr>
              <w:tabs>
                <w:tab w:val="left" w:pos="1883"/>
              </w:tabs>
              <w:spacing w:after="0"/>
              <w:jc w:val="center"/>
              <w:rPr>
                <w:rFonts w:ascii="ITC Avant Garde" w:eastAsia="Times New Roman" w:hAnsi="ITC Avant Garde" w:cs="Arial"/>
                <w:color w:val="000000"/>
              </w:rPr>
            </w:pPr>
            <w:r w:rsidRPr="003079E0">
              <w:rPr>
                <w:rFonts w:ascii="ITC Avant Garde" w:eastAsia="Times New Roman" w:hAnsi="ITC Avant Garde" w:cs="Arial"/>
                <w:color w:val="000000"/>
                <w:sz w:val="22"/>
              </w:rPr>
              <w:t>Mantenimiento y Equipo de Baja California, S.A. de C.V.</w:t>
            </w:r>
          </w:p>
        </w:tc>
        <w:tc>
          <w:tcPr>
            <w:tcW w:w="3402" w:type="dxa"/>
          </w:tcPr>
          <w:p w14:paraId="70984C90" w14:textId="729A3E5A" w:rsidR="0012697C" w:rsidRPr="00540723" w:rsidRDefault="00540723" w:rsidP="0012697C">
            <w:pPr>
              <w:pStyle w:val="Default"/>
              <w:spacing w:line="276" w:lineRule="auto"/>
              <w:ind w:left="72" w:right="-70"/>
              <w:jc w:val="both"/>
              <w:cnfStyle w:val="000000100000" w:firstRow="0" w:lastRow="0" w:firstColumn="0" w:lastColumn="0" w:oddVBand="0" w:evenVBand="0" w:oddHBand="1" w:evenHBand="0" w:firstRowFirstColumn="0" w:firstRowLastColumn="0" w:lastRowFirstColumn="0" w:lastRowLastColumn="0"/>
              <w:rPr>
                <w:i/>
                <w:sz w:val="22"/>
                <w:szCs w:val="22"/>
              </w:rPr>
            </w:pPr>
            <w:r>
              <w:rPr>
                <w:sz w:val="22"/>
                <w:szCs w:val="22"/>
              </w:rPr>
              <w:t>“</w:t>
            </w:r>
            <w:r w:rsidRPr="00540723">
              <w:rPr>
                <w:i/>
                <w:sz w:val="22"/>
                <w:szCs w:val="22"/>
              </w:rPr>
              <w:t>NINGUNO</w:t>
            </w:r>
            <w:r>
              <w:rPr>
                <w:i/>
                <w:sz w:val="22"/>
                <w:szCs w:val="22"/>
              </w:rPr>
              <w:t>”</w:t>
            </w:r>
          </w:p>
        </w:tc>
        <w:tc>
          <w:tcPr>
            <w:tcW w:w="4688" w:type="dxa"/>
          </w:tcPr>
          <w:p w14:paraId="1DBE2A00" w14:textId="49902F56" w:rsidR="0012697C" w:rsidRPr="00092958" w:rsidRDefault="0052352F" w:rsidP="009C215C">
            <w:pPr>
              <w:spacing w:after="0"/>
              <w:jc w:val="both"/>
              <w:cnfStyle w:val="000000100000" w:firstRow="0" w:lastRow="0" w:firstColumn="0" w:lastColumn="0" w:oddVBand="0" w:evenVBand="0" w:oddHBand="1" w:evenHBand="0" w:firstRowFirstColumn="0" w:firstRowLastColumn="0" w:lastRowFirstColumn="0" w:lastRowLastColumn="0"/>
              <w:rPr>
                <w:rFonts w:ascii="ITC Avant Garde" w:hAnsi="ITC Avant Garde" w:cs="Arial"/>
                <w:highlight w:val="yellow"/>
              </w:rPr>
            </w:pPr>
            <w:r w:rsidRPr="0052352F">
              <w:rPr>
                <w:rFonts w:ascii="ITC Avant Garde" w:hAnsi="ITC Avant Garde" w:cs="Arial"/>
                <w:sz w:val="22"/>
                <w:szCs w:val="22"/>
              </w:rPr>
              <w:t>No a lugar a pronunciamiento alguno respecto del comentario en cuestión.</w:t>
            </w:r>
          </w:p>
        </w:tc>
      </w:tr>
    </w:tbl>
    <w:p w14:paraId="7F081A68" w14:textId="77777777" w:rsidR="004E412F" w:rsidRPr="00092958" w:rsidRDefault="004E412F" w:rsidP="00D838AF">
      <w:pPr>
        <w:spacing w:after="0"/>
        <w:rPr>
          <w:rFonts w:ascii="ITC Avant Garde" w:hAnsi="ITC Avant Garde" w:cs="Arial"/>
        </w:rPr>
      </w:pPr>
    </w:p>
    <w:p w14:paraId="527F44A7" w14:textId="77777777" w:rsidR="004E412F" w:rsidRPr="00092958" w:rsidRDefault="004E412F" w:rsidP="00D838AF">
      <w:pPr>
        <w:spacing w:after="0"/>
        <w:jc w:val="both"/>
        <w:rPr>
          <w:rFonts w:ascii="ITC Avant Garde" w:hAnsi="ITC Avant Garde" w:cs="Arial"/>
          <w:b/>
        </w:rPr>
      </w:pPr>
    </w:p>
    <w:sectPr w:rsidR="004E412F" w:rsidRPr="00092958" w:rsidSect="00332101">
      <w:headerReference w:type="even" r:id="rId11"/>
      <w:footerReference w:type="default" r:id="rId12"/>
      <w:headerReference w:type="first" r:id="rId13"/>
      <w:pgSz w:w="12240" w:h="15840"/>
      <w:pgMar w:top="2410" w:right="1080" w:bottom="1135" w:left="1080"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02359" w14:textId="77777777" w:rsidR="004C62A7" w:rsidRDefault="004C62A7">
      <w:pPr>
        <w:spacing w:after="0" w:line="240" w:lineRule="auto"/>
      </w:pPr>
      <w:r>
        <w:separator/>
      </w:r>
    </w:p>
  </w:endnote>
  <w:endnote w:type="continuationSeparator" w:id="0">
    <w:p w14:paraId="75869A24" w14:textId="77777777" w:rsidR="004C62A7" w:rsidRDefault="004C62A7">
      <w:pPr>
        <w:spacing w:after="0" w:line="240" w:lineRule="auto"/>
      </w:pPr>
      <w:r>
        <w:continuationSeparator/>
      </w:r>
    </w:p>
  </w:endnote>
  <w:endnote w:type="continuationNotice" w:id="1">
    <w:p w14:paraId="37F4592D" w14:textId="77777777" w:rsidR="004C62A7" w:rsidRDefault="004C62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742528"/>
      <w:docPartObj>
        <w:docPartGallery w:val="Page Numbers (Bottom of Page)"/>
        <w:docPartUnique/>
      </w:docPartObj>
    </w:sdtPr>
    <w:sdtEndPr/>
    <w:sdtContent>
      <w:sdt>
        <w:sdtPr>
          <w:id w:val="-168554810"/>
          <w:docPartObj>
            <w:docPartGallery w:val="Page Numbers (Top of Page)"/>
            <w:docPartUnique/>
          </w:docPartObj>
        </w:sdtPr>
        <w:sdtEndPr/>
        <w:sdtContent>
          <w:p w14:paraId="0579BB09" w14:textId="380BD11E" w:rsidR="008148D5" w:rsidRPr="008D5606" w:rsidRDefault="008148D5" w:rsidP="00332101">
            <w:pPr>
              <w:pStyle w:val="Piedepgina"/>
              <w:jc w:val="right"/>
              <w:rPr>
                <w:rFonts w:ascii="ITC Avant Garde" w:hAnsi="ITC Avant Garde"/>
                <w:b/>
                <w:bCs/>
                <w:szCs w:val="24"/>
              </w:rPr>
            </w:pPr>
            <w:r w:rsidRPr="008D5606">
              <w:rPr>
                <w:rFonts w:ascii="ITC Avant Garde" w:hAnsi="ITC Avant Garde"/>
                <w:b/>
                <w:bCs/>
                <w:szCs w:val="24"/>
              </w:rPr>
              <w:fldChar w:fldCharType="begin"/>
            </w:r>
            <w:r w:rsidRPr="008D5606">
              <w:rPr>
                <w:rFonts w:ascii="ITC Avant Garde" w:hAnsi="ITC Avant Garde"/>
                <w:b/>
                <w:bCs/>
                <w:sz w:val="20"/>
              </w:rPr>
              <w:instrText>PAGE</w:instrText>
            </w:r>
            <w:r w:rsidRPr="008D5606">
              <w:rPr>
                <w:rFonts w:ascii="ITC Avant Garde" w:hAnsi="ITC Avant Garde"/>
                <w:b/>
                <w:bCs/>
                <w:szCs w:val="24"/>
              </w:rPr>
              <w:fldChar w:fldCharType="separate"/>
            </w:r>
            <w:r w:rsidR="003079E0">
              <w:rPr>
                <w:rFonts w:ascii="ITC Avant Garde" w:hAnsi="ITC Avant Garde"/>
                <w:b/>
                <w:bCs/>
                <w:noProof/>
                <w:sz w:val="20"/>
              </w:rPr>
              <w:t>5</w:t>
            </w:r>
            <w:r w:rsidRPr="008D5606">
              <w:rPr>
                <w:rFonts w:ascii="ITC Avant Garde" w:hAnsi="ITC Avant Garde"/>
                <w:b/>
                <w:bCs/>
                <w:szCs w:val="24"/>
              </w:rPr>
              <w:fldChar w:fldCharType="end"/>
            </w:r>
          </w:p>
          <w:p w14:paraId="2A08FC1F" w14:textId="77777777" w:rsidR="008148D5" w:rsidRDefault="008148D5">
            <w:pPr>
              <w:pStyle w:val="Piedepgina"/>
              <w:jc w:val="right"/>
              <w:rPr>
                <w:b/>
                <w:bCs/>
                <w:sz w:val="24"/>
                <w:szCs w:val="24"/>
              </w:rPr>
            </w:pPr>
          </w:p>
          <w:p w14:paraId="35BCFF6A" w14:textId="77777777" w:rsidR="008148D5" w:rsidRDefault="00782174">
            <w:pPr>
              <w:pStyle w:val="Piedepgina"/>
              <w:jc w:val="right"/>
            </w:pPr>
          </w:p>
        </w:sdtContent>
      </w:sdt>
    </w:sdtContent>
  </w:sdt>
  <w:p w14:paraId="2E9F4A4B" w14:textId="77777777" w:rsidR="008148D5" w:rsidRDefault="008148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2FC2B7" w14:textId="77777777" w:rsidR="004C62A7" w:rsidRDefault="004C62A7">
      <w:pPr>
        <w:spacing w:after="0" w:line="240" w:lineRule="auto"/>
      </w:pPr>
      <w:r>
        <w:separator/>
      </w:r>
    </w:p>
  </w:footnote>
  <w:footnote w:type="continuationSeparator" w:id="0">
    <w:p w14:paraId="21F3C09F" w14:textId="77777777" w:rsidR="004C62A7" w:rsidRDefault="004C62A7">
      <w:pPr>
        <w:spacing w:after="0" w:line="240" w:lineRule="auto"/>
      </w:pPr>
      <w:r>
        <w:continuationSeparator/>
      </w:r>
    </w:p>
  </w:footnote>
  <w:footnote w:type="continuationNotice" w:id="1">
    <w:p w14:paraId="412A9976" w14:textId="77777777" w:rsidR="004C62A7" w:rsidRDefault="004C62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81ACD" w14:textId="77777777" w:rsidR="008148D5" w:rsidRDefault="00782174">
    <w:pPr>
      <w:pStyle w:val="Encabezado"/>
    </w:pPr>
    <w:r>
      <w:rPr>
        <w:noProof/>
        <w:lang w:eastAsia="es-MX"/>
      </w:rPr>
      <w:pict w14:anchorId="002E0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7E379" w14:textId="77777777" w:rsidR="008148D5" w:rsidRDefault="00782174">
    <w:pPr>
      <w:pStyle w:val="Encabezado"/>
    </w:pPr>
    <w:r>
      <w:rPr>
        <w:noProof/>
        <w:lang w:eastAsia="es-MX"/>
      </w:rPr>
      <w:pict w14:anchorId="00982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787A"/>
    <w:multiLevelType w:val="hybridMultilevel"/>
    <w:tmpl w:val="47389F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C1C48"/>
    <w:multiLevelType w:val="hybridMultilevel"/>
    <w:tmpl w:val="F2461E72"/>
    <w:lvl w:ilvl="0" w:tplc="BC5E0822">
      <w:start w:val="1"/>
      <w:numFmt w:val="lowerLetter"/>
      <w:lvlText w:val="%1)"/>
      <w:lvlJc w:val="left"/>
      <w:pPr>
        <w:ind w:left="720" w:hanging="360"/>
      </w:pPr>
      <w:rPr>
        <w:rFonts w:hint="default"/>
        <w:b/>
      </w:rPr>
    </w:lvl>
    <w:lvl w:ilvl="1" w:tplc="BC5E082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060D66"/>
    <w:multiLevelType w:val="multilevel"/>
    <w:tmpl w:val="57F6F2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015D27"/>
    <w:multiLevelType w:val="hybridMultilevel"/>
    <w:tmpl w:val="186426A2"/>
    <w:lvl w:ilvl="0" w:tplc="080A0017">
      <w:start w:val="1"/>
      <w:numFmt w:val="lowerLetter"/>
      <w:lvlText w:val="%1)"/>
      <w:lvlJc w:val="left"/>
      <w:pPr>
        <w:ind w:left="720" w:hanging="360"/>
      </w:pPr>
    </w:lvl>
    <w:lvl w:ilvl="1" w:tplc="585C50FE">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A9861B4C"/>
    <w:lvl w:ilvl="0" w:tplc="BC5E0822">
      <w:start w:val="1"/>
      <w:numFmt w:val="lowerLetter"/>
      <w:lvlText w:val="%1)"/>
      <w:lvlJc w:val="left"/>
      <w:pPr>
        <w:ind w:left="720" w:hanging="360"/>
      </w:pPr>
      <w:rPr>
        <w:rFonts w:hint="default"/>
        <w:b/>
      </w:rPr>
    </w:lvl>
    <w:lvl w:ilvl="1" w:tplc="746EFFB0">
      <w:start w:val="1"/>
      <w:numFmt w:val="lowerLetter"/>
      <w:lvlText w:val="%2)"/>
      <w:lvlJc w:val="left"/>
      <w:pPr>
        <w:ind w:left="1440" w:hanging="360"/>
      </w:pPr>
      <w:rPr>
        <w:rFonts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D4B5B2A"/>
    <w:multiLevelType w:val="hybridMultilevel"/>
    <w:tmpl w:val="F1CA6D92"/>
    <w:lvl w:ilvl="0" w:tplc="6A3CEFBE">
      <w:start w:val="1"/>
      <w:numFmt w:val="ordinalText"/>
      <w:pStyle w:val="Ttulo3"/>
      <w:lvlText w:val="%1.-"/>
      <w:lvlJc w:val="left"/>
      <w:pPr>
        <w:ind w:left="720" w:hanging="360"/>
      </w:pPr>
      <w:rPr>
        <w:rFonts w:ascii="Arial" w:hAnsi="Arial" w:cs="Arial" w:hint="default"/>
        <w:b/>
        <w:i w:val="0"/>
        <w:cap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CE6611"/>
    <w:multiLevelType w:val="hybridMultilevel"/>
    <w:tmpl w:val="B43E34A4"/>
    <w:lvl w:ilvl="0" w:tplc="1190210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B3F0F1F"/>
    <w:multiLevelType w:val="hybridMultilevel"/>
    <w:tmpl w:val="4B661B8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44598A"/>
    <w:multiLevelType w:val="multilevel"/>
    <w:tmpl w:val="72409770"/>
    <w:lvl w:ilvl="0">
      <w:start w:val="1"/>
      <w:numFmt w:val="upperRoman"/>
      <w:lvlText w:val="%1."/>
      <w:lvlJc w:val="right"/>
      <w:pPr>
        <w:ind w:left="1068" w:hanging="360"/>
      </w:pPr>
      <w:rPr>
        <w:rFonts w:hint="default"/>
        <w:b/>
        <w:i w:val="0"/>
        <w:caps w:val="0"/>
        <w:color w:val="auto"/>
        <w:sz w:val="22"/>
        <w:szCs w:val="22"/>
      </w:rPr>
    </w:lvl>
    <w:lvl w:ilvl="1">
      <w:start w:val="1"/>
      <w:numFmt w:val="decimal"/>
      <w:isLgl/>
      <w:lvlText w:val="%1.%2."/>
      <w:lvlJc w:val="left"/>
      <w:pPr>
        <w:ind w:left="1782" w:hanging="72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
      <w:isLgl/>
      <w:suff w:val="space"/>
      <w:lvlText w:val="%1.%3."/>
      <w:lvlJc w:val="left"/>
      <w:pPr>
        <w:ind w:left="2136" w:hanging="720"/>
      </w:pPr>
      <w:rPr>
        <w:rFonts w:hint="default"/>
      </w:rPr>
    </w:lvl>
    <w:lvl w:ilvl="3">
      <w:start w:val="1"/>
      <w:numFmt w:val="decimal"/>
      <w:isLgl/>
      <w:lvlText w:val="%1.%2.%3.%4."/>
      <w:lvlJc w:val="left"/>
      <w:pPr>
        <w:ind w:left="2850" w:hanging="1080"/>
      </w:pPr>
      <w:rPr>
        <w:rFonts w:hint="default"/>
      </w:rPr>
    </w:lvl>
    <w:lvl w:ilvl="4">
      <w:start w:val="1"/>
      <w:numFmt w:val="decimal"/>
      <w:isLgl/>
      <w:lvlText w:val="%1.%2.%3.%4.%5."/>
      <w:lvlJc w:val="left"/>
      <w:pPr>
        <w:ind w:left="3204" w:hanging="1080"/>
      </w:pPr>
      <w:rPr>
        <w:rFonts w:hint="default"/>
      </w:rPr>
    </w:lvl>
    <w:lvl w:ilvl="5">
      <w:start w:val="1"/>
      <w:numFmt w:val="decimal"/>
      <w:isLgl/>
      <w:lvlText w:val="%1.%2.%3.%4.%5.%6."/>
      <w:lvlJc w:val="left"/>
      <w:pPr>
        <w:ind w:left="3918" w:hanging="1440"/>
      </w:pPr>
      <w:rPr>
        <w:rFonts w:hint="default"/>
      </w:rPr>
    </w:lvl>
    <w:lvl w:ilvl="6">
      <w:start w:val="1"/>
      <w:numFmt w:val="decimal"/>
      <w:isLgl/>
      <w:lvlText w:val="%1.%2.%3.%4.%5.%6.%7."/>
      <w:lvlJc w:val="left"/>
      <w:pPr>
        <w:ind w:left="4272" w:hanging="1440"/>
      </w:pPr>
      <w:rPr>
        <w:rFonts w:hint="default"/>
      </w:rPr>
    </w:lvl>
    <w:lvl w:ilvl="7">
      <w:start w:val="1"/>
      <w:numFmt w:val="decimal"/>
      <w:isLgl/>
      <w:lvlText w:val="%1.%2.%3.%4.%5.%6.%7.%8."/>
      <w:lvlJc w:val="left"/>
      <w:pPr>
        <w:ind w:left="4986" w:hanging="1800"/>
      </w:pPr>
      <w:rPr>
        <w:rFonts w:hint="default"/>
      </w:rPr>
    </w:lvl>
    <w:lvl w:ilvl="8">
      <w:start w:val="1"/>
      <w:numFmt w:val="decimal"/>
      <w:isLgl/>
      <w:lvlText w:val="%1.%2.%3.%4.%5.%6.%7.%8.%9."/>
      <w:lvlJc w:val="left"/>
      <w:pPr>
        <w:ind w:left="5340" w:hanging="1800"/>
      </w:pPr>
      <w:rPr>
        <w:rFonts w:hint="default"/>
      </w:rPr>
    </w:lvl>
  </w:abstractNum>
  <w:abstractNum w:abstractNumId="9" w15:restartNumberingAfterBreak="0">
    <w:nsid w:val="429051B4"/>
    <w:multiLevelType w:val="multilevel"/>
    <w:tmpl w:val="57F6F2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B95E04"/>
    <w:multiLevelType w:val="hybridMultilevel"/>
    <w:tmpl w:val="5280559E"/>
    <w:lvl w:ilvl="0" w:tplc="F5F41E6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172B"/>
    <w:multiLevelType w:val="hybridMultilevel"/>
    <w:tmpl w:val="1A1867E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903A1E"/>
    <w:multiLevelType w:val="hybridMultilevel"/>
    <w:tmpl w:val="BD7490FA"/>
    <w:lvl w:ilvl="0" w:tplc="BC5E08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115D5A"/>
    <w:multiLevelType w:val="hybridMultilevel"/>
    <w:tmpl w:val="FD5EC1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C166009"/>
    <w:multiLevelType w:val="hybridMultilevel"/>
    <w:tmpl w:val="F362822E"/>
    <w:lvl w:ilvl="0" w:tplc="A2F05CDE">
      <w:start w:val="3"/>
      <w:numFmt w:val="decimal"/>
      <w:lvlText w:val="Artículo %1."/>
      <w:lvlJc w:val="left"/>
      <w:pPr>
        <w:ind w:left="785" w:hanging="360"/>
      </w:pPr>
      <w:rPr>
        <w:rFonts w:hint="default"/>
        <w:b/>
        <w:sz w:val="22"/>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5" w15:restartNumberingAfterBreak="0">
    <w:nsid w:val="6F8A4BAF"/>
    <w:multiLevelType w:val="hybridMultilevel"/>
    <w:tmpl w:val="CA025F3C"/>
    <w:lvl w:ilvl="0" w:tplc="3B3490A0">
      <w:start w:val="1"/>
      <w:numFmt w:val="upperRoman"/>
      <w:lvlText w:val="%1."/>
      <w:lvlJc w:val="left"/>
      <w:pPr>
        <w:ind w:left="703" w:hanging="720"/>
      </w:pPr>
      <w:rPr>
        <w:rFonts w:hint="default"/>
        <w:b/>
      </w:rPr>
    </w:lvl>
    <w:lvl w:ilvl="1" w:tplc="080A0019" w:tentative="1">
      <w:start w:val="1"/>
      <w:numFmt w:val="lowerLetter"/>
      <w:lvlText w:val="%2."/>
      <w:lvlJc w:val="left"/>
      <w:pPr>
        <w:ind w:left="1063" w:hanging="360"/>
      </w:pPr>
    </w:lvl>
    <w:lvl w:ilvl="2" w:tplc="080A001B" w:tentative="1">
      <w:start w:val="1"/>
      <w:numFmt w:val="lowerRoman"/>
      <w:lvlText w:val="%3."/>
      <w:lvlJc w:val="right"/>
      <w:pPr>
        <w:ind w:left="1783" w:hanging="180"/>
      </w:pPr>
    </w:lvl>
    <w:lvl w:ilvl="3" w:tplc="080A000F" w:tentative="1">
      <w:start w:val="1"/>
      <w:numFmt w:val="decimal"/>
      <w:lvlText w:val="%4."/>
      <w:lvlJc w:val="left"/>
      <w:pPr>
        <w:ind w:left="2503" w:hanging="360"/>
      </w:pPr>
    </w:lvl>
    <w:lvl w:ilvl="4" w:tplc="080A0019" w:tentative="1">
      <w:start w:val="1"/>
      <w:numFmt w:val="lowerLetter"/>
      <w:lvlText w:val="%5."/>
      <w:lvlJc w:val="left"/>
      <w:pPr>
        <w:ind w:left="3223" w:hanging="360"/>
      </w:pPr>
    </w:lvl>
    <w:lvl w:ilvl="5" w:tplc="080A001B" w:tentative="1">
      <w:start w:val="1"/>
      <w:numFmt w:val="lowerRoman"/>
      <w:lvlText w:val="%6."/>
      <w:lvlJc w:val="right"/>
      <w:pPr>
        <w:ind w:left="3943" w:hanging="180"/>
      </w:pPr>
    </w:lvl>
    <w:lvl w:ilvl="6" w:tplc="080A000F" w:tentative="1">
      <w:start w:val="1"/>
      <w:numFmt w:val="decimal"/>
      <w:lvlText w:val="%7."/>
      <w:lvlJc w:val="left"/>
      <w:pPr>
        <w:ind w:left="4663" w:hanging="360"/>
      </w:pPr>
    </w:lvl>
    <w:lvl w:ilvl="7" w:tplc="080A0019" w:tentative="1">
      <w:start w:val="1"/>
      <w:numFmt w:val="lowerLetter"/>
      <w:lvlText w:val="%8."/>
      <w:lvlJc w:val="left"/>
      <w:pPr>
        <w:ind w:left="5383" w:hanging="360"/>
      </w:pPr>
    </w:lvl>
    <w:lvl w:ilvl="8" w:tplc="080A001B" w:tentative="1">
      <w:start w:val="1"/>
      <w:numFmt w:val="lowerRoman"/>
      <w:lvlText w:val="%9."/>
      <w:lvlJc w:val="right"/>
      <w:pPr>
        <w:ind w:left="6103" w:hanging="180"/>
      </w:pPr>
    </w:lvl>
  </w:abstractNum>
  <w:abstractNum w:abstractNumId="16" w15:restartNumberingAfterBreak="0">
    <w:nsid w:val="6FEA383E"/>
    <w:multiLevelType w:val="hybridMultilevel"/>
    <w:tmpl w:val="3372E934"/>
    <w:lvl w:ilvl="0" w:tplc="1BE46CF0">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73903358"/>
    <w:multiLevelType w:val="hybridMultilevel"/>
    <w:tmpl w:val="E1F28674"/>
    <w:lvl w:ilvl="0" w:tplc="080A0001">
      <w:start w:val="1"/>
      <w:numFmt w:val="bullet"/>
      <w:lvlText w:val=""/>
      <w:lvlJc w:val="left"/>
      <w:pPr>
        <w:ind w:left="650" w:hanging="360"/>
      </w:pPr>
      <w:rPr>
        <w:rFonts w:ascii="Symbol" w:hAnsi="Symbol" w:hint="default"/>
      </w:rPr>
    </w:lvl>
    <w:lvl w:ilvl="1" w:tplc="080A0003" w:tentative="1">
      <w:start w:val="1"/>
      <w:numFmt w:val="bullet"/>
      <w:lvlText w:val="o"/>
      <w:lvlJc w:val="left"/>
      <w:pPr>
        <w:ind w:left="1370" w:hanging="360"/>
      </w:pPr>
      <w:rPr>
        <w:rFonts w:ascii="Courier New" w:hAnsi="Courier New" w:cs="Courier New" w:hint="default"/>
      </w:rPr>
    </w:lvl>
    <w:lvl w:ilvl="2" w:tplc="080A0005" w:tentative="1">
      <w:start w:val="1"/>
      <w:numFmt w:val="bullet"/>
      <w:lvlText w:val=""/>
      <w:lvlJc w:val="left"/>
      <w:pPr>
        <w:ind w:left="2090" w:hanging="360"/>
      </w:pPr>
      <w:rPr>
        <w:rFonts w:ascii="Wingdings" w:hAnsi="Wingdings" w:hint="default"/>
      </w:rPr>
    </w:lvl>
    <w:lvl w:ilvl="3" w:tplc="080A0001" w:tentative="1">
      <w:start w:val="1"/>
      <w:numFmt w:val="bullet"/>
      <w:lvlText w:val=""/>
      <w:lvlJc w:val="left"/>
      <w:pPr>
        <w:ind w:left="2810" w:hanging="360"/>
      </w:pPr>
      <w:rPr>
        <w:rFonts w:ascii="Symbol" w:hAnsi="Symbol" w:hint="default"/>
      </w:rPr>
    </w:lvl>
    <w:lvl w:ilvl="4" w:tplc="080A0003" w:tentative="1">
      <w:start w:val="1"/>
      <w:numFmt w:val="bullet"/>
      <w:lvlText w:val="o"/>
      <w:lvlJc w:val="left"/>
      <w:pPr>
        <w:ind w:left="3530" w:hanging="360"/>
      </w:pPr>
      <w:rPr>
        <w:rFonts w:ascii="Courier New" w:hAnsi="Courier New" w:cs="Courier New" w:hint="default"/>
      </w:rPr>
    </w:lvl>
    <w:lvl w:ilvl="5" w:tplc="080A0005" w:tentative="1">
      <w:start w:val="1"/>
      <w:numFmt w:val="bullet"/>
      <w:lvlText w:val=""/>
      <w:lvlJc w:val="left"/>
      <w:pPr>
        <w:ind w:left="4250" w:hanging="360"/>
      </w:pPr>
      <w:rPr>
        <w:rFonts w:ascii="Wingdings" w:hAnsi="Wingdings" w:hint="default"/>
      </w:rPr>
    </w:lvl>
    <w:lvl w:ilvl="6" w:tplc="080A0001" w:tentative="1">
      <w:start w:val="1"/>
      <w:numFmt w:val="bullet"/>
      <w:lvlText w:val=""/>
      <w:lvlJc w:val="left"/>
      <w:pPr>
        <w:ind w:left="4970" w:hanging="360"/>
      </w:pPr>
      <w:rPr>
        <w:rFonts w:ascii="Symbol" w:hAnsi="Symbol" w:hint="default"/>
      </w:rPr>
    </w:lvl>
    <w:lvl w:ilvl="7" w:tplc="080A0003" w:tentative="1">
      <w:start w:val="1"/>
      <w:numFmt w:val="bullet"/>
      <w:lvlText w:val="o"/>
      <w:lvlJc w:val="left"/>
      <w:pPr>
        <w:ind w:left="5690" w:hanging="360"/>
      </w:pPr>
      <w:rPr>
        <w:rFonts w:ascii="Courier New" w:hAnsi="Courier New" w:cs="Courier New" w:hint="default"/>
      </w:rPr>
    </w:lvl>
    <w:lvl w:ilvl="8" w:tplc="080A0005" w:tentative="1">
      <w:start w:val="1"/>
      <w:numFmt w:val="bullet"/>
      <w:lvlText w:val=""/>
      <w:lvlJc w:val="left"/>
      <w:pPr>
        <w:ind w:left="6410" w:hanging="360"/>
      </w:pPr>
      <w:rPr>
        <w:rFonts w:ascii="Wingdings" w:hAnsi="Wingdings" w:hint="default"/>
      </w:rPr>
    </w:lvl>
  </w:abstractNum>
  <w:abstractNum w:abstractNumId="18" w15:restartNumberingAfterBreak="0">
    <w:nsid w:val="7548150A"/>
    <w:multiLevelType w:val="hybridMultilevel"/>
    <w:tmpl w:val="859AD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72D5665"/>
    <w:multiLevelType w:val="hybridMultilevel"/>
    <w:tmpl w:val="4C70C3FA"/>
    <w:lvl w:ilvl="0" w:tplc="BC5E082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872B7C"/>
    <w:multiLevelType w:val="hybridMultilevel"/>
    <w:tmpl w:val="CE201E2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8A77315"/>
    <w:multiLevelType w:val="hybridMultilevel"/>
    <w:tmpl w:val="1A962C7C"/>
    <w:lvl w:ilvl="0" w:tplc="940E56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472708"/>
    <w:multiLevelType w:val="hybridMultilevel"/>
    <w:tmpl w:val="24D43440"/>
    <w:lvl w:ilvl="0" w:tplc="0A76B344">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ED503C1"/>
    <w:multiLevelType w:val="hybridMultilevel"/>
    <w:tmpl w:val="8A4AB6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18"/>
  </w:num>
  <w:num w:numId="6">
    <w:abstractNumId w:val="3"/>
  </w:num>
  <w:num w:numId="7">
    <w:abstractNumId w:val="20"/>
  </w:num>
  <w:num w:numId="8">
    <w:abstractNumId w:val="16"/>
  </w:num>
  <w:num w:numId="9">
    <w:abstractNumId w:val="0"/>
  </w:num>
  <w:num w:numId="10">
    <w:abstractNumId w:val="10"/>
  </w:num>
  <w:num w:numId="11">
    <w:abstractNumId w:val="9"/>
  </w:num>
  <w:num w:numId="12">
    <w:abstractNumId w:val="13"/>
  </w:num>
  <w:num w:numId="13">
    <w:abstractNumId w:val="23"/>
  </w:num>
  <w:num w:numId="14">
    <w:abstractNumId w:val="19"/>
  </w:num>
  <w:num w:numId="15">
    <w:abstractNumId w:val="1"/>
  </w:num>
  <w:num w:numId="16">
    <w:abstractNumId w:val="12"/>
  </w:num>
  <w:num w:numId="17">
    <w:abstractNumId w:val="7"/>
  </w:num>
  <w:num w:numId="18">
    <w:abstractNumId w:val="11"/>
  </w:num>
  <w:num w:numId="19">
    <w:abstractNumId w:val="6"/>
  </w:num>
  <w:num w:numId="20">
    <w:abstractNumId w:val="15"/>
  </w:num>
  <w:num w:numId="21">
    <w:abstractNumId w:val="22"/>
  </w:num>
  <w:num w:numId="22">
    <w:abstractNumId w:val="21"/>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B6"/>
    <w:rsid w:val="0001288B"/>
    <w:rsid w:val="0001685B"/>
    <w:rsid w:val="000303A6"/>
    <w:rsid w:val="00032FD0"/>
    <w:rsid w:val="000462D1"/>
    <w:rsid w:val="00046778"/>
    <w:rsid w:val="000513E3"/>
    <w:rsid w:val="00056B8C"/>
    <w:rsid w:val="00057AF1"/>
    <w:rsid w:val="000671FA"/>
    <w:rsid w:val="00074956"/>
    <w:rsid w:val="00087F7A"/>
    <w:rsid w:val="00092958"/>
    <w:rsid w:val="00092C6A"/>
    <w:rsid w:val="000A19C3"/>
    <w:rsid w:val="000A727A"/>
    <w:rsid w:val="000B2881"/>
    <w:rsid w:val="000B2A34"/>
    <w:rsid w:val="000C5AB0"/>
    <w:rsid w:val="000C7163"/>
    <w:rsid w:val="000D7F32"/>
    <w:rsid w:val="000E0B31"/>
    <w:rsid w:val="000F4399"/>
    <w:rsid w:val="000F4BC6"/>
    <w:rsid w:val="000F7523"/>
    <w:rsid w:val="001205EF"/>
    <w:rsid w:val="0012697C"/>
    <w:rsid w:val="001326B4"/>
    <w:rsid w:val="001360F9"/>
    <w:rsid w:val="00137A95"/>
    <w:rsid w:val="00141198"/>
    <w:rsid w:val="001526D2"/>
    <w:rsid w:val="001543B7"/>
    <w:rsid w:val="00163408"/>
    <w:rsid w:val="001642B9"/>
    <w:rsid w:val="00164DC7"/>
    <w:rsid w:val="00166A9A"/>
    <w:rsid w:val="001721E5"/>
    <w:rsid w:val="00176B47"/>
    <w:rsid w:val="0018539B"/>
    <w:rsid w:val="0019273D"/>
    <w:rsid w:val="001931FD"/>
    <w:rsid w:val="00195932"/>
    <w:rsid w:val="001A7568"/>
    <w:rsid w:val="001B594C"/>
    <w:rsid w:val="001D2F7F"/>
    <w:rsid w:val="001D5389"/>
    <w:rsid w:val="001D5820"/>
    <w:rsid w:val="001D69DE"/>
    <w:rsid w:val="001E08F0"/>
    <w:rsid w:val="001E4616"/>
    <w:rsid w:val="001F1D88"/>
    <w:rsid w:val="00210792"/>
    <w:rsid w:val="00230912"/>
    <w:rsid w:val="00240F48"/>
    <w:rsid w:val="00252420"/>
    <w:rsid w:val="002607D7"/>
    <w:rsid w:val="002613D6"/>
    <w:rsid w:val="002639EF"/>
    <w:rsid w:val="002671A3"/>
    <w:rsid w:val="0027122B"/>
    <w:rsid w:val="002771C6"/>
    <w:rsid w:val="002947A5"/>
    <w:rsid w:val="002B29DD"/>
    <w:rsid w:val="002C3E9B"/>
    <w:rsid w:val="002C4A01"/>
    <w:rsid w:val="002C51DD"/>
    <w:rsid w:val="002D7A65"/>
    <w:rsid w:val="002E089D"/>
    <w:rsid w:val="002E1860"/>
    <w:rsid w:val="002E3389"/>
    <w:rsid w:val="002F468C"/>
    <w:rsid w:val="003000BC"/>
    <w:rsid w:val="00304059"/>
    <w:rsid w:val="00304422"/>
    <w:rsid w:val="003079E0"/>
    <w:rsid w:val="00332101"/>
    <w:rsid w:val="003327CC"/>
    <w:rsid w:val="0036126A"/>
    <w:rsid w:val="003669B0"/>
    <w:rsid w:val="00370FB7"/>
    <w:rsid w:val="00371ADA"/>
    <w:rsid w:val="003A4C64"/>
    <w:rsid w:val="003D3416"/>
    <w:rsid w:val="003D50FC"/>
    <w:rsid w:val="003D7FF5"/>
    <w:rsid w:val="003F02C5"/>
    <w:rsid w:val="004019EA"/>
    <w:rsid w:val="00412B55"/>
    <w:rsid w:val="0042053A"/>
    <w:rsid w:val="00432EFB"/>
    <w:rsid w:val="0044195D"/>
    <w:rsid w:val="00442295"/>
    <w:rsid w:val="0045097D"/>
    <w:rsid w:val="00450F37"/>
    <w:rsid w:val="00464556"/>
    <w:rsid w:val="0049257D"/>
    <w:rsid w:val="004926F3"/>
    <w:rsid w:val="004943D3"/>
    <w:rsid w:val="004A0C45"/>
    <w:rsid w:val="004C62A7"/>
    <w:rsid w:val="004E412F"/>
    <w:rsid w:val="00516954"/>
    <w:rsid w:val="005213DA"/>
    <w:rsid w:val="0052352F"/>
    <w:rsid w:val="005404E5"/>
    <w:rsid w:val="0054063D"/>
    <w:rsid w:val="00540723"/>
    <w:rsid w:val="0054590E"/>
    <w:rsid w:val="005476DB"/>
    <w:rsid w:val="005511AA"/>
    <w:rsid w:val="0056029C"/>
    <w:rsid w:val="0056466A"/>
    <w:rsid w:val="00566C8A"/>
    <w:rsid w:val="00574326"/>
    <w:rsid w:val="00583970"/>
    <w:rsid w:val="005A040A"/>
    <w:rsid w:val="005A0FC0"/>
    <w:rsid w:val="005B0745"/>
    <w:rsid w:val="005B2DBC"/>
    <w:rsid w:val="005C4646"/>
    <w:rsid w:val="005D5B75"/>
    <w:rsid w:val="005E027A"/>
    <w:rsid w:val="00601B08"/>
    <w:rsid w:val="00603388"/>
    <w:rsid w:val="00612FB0"/>
    <w:rsid w:val="0063351A"/>
    <w:rsid w:val="00640978"/>
    <w:rsid w:val="00654469"/>
    <w:rsid w:val="00663CA5"/>
    <w:rsid w:val="00672D2F"/>
    <w:rsid w:val="0067315B"/>
    <w:rsid w:val="00675351"/>
    <w:rsid w:val="006838FD"/>
    <w:rsid w:val="006972F6"/>
    <w:rsid w:val="006B10A0"/>
    <w:rsid w:val="006B3B0B"/>
    <w:rsid w:val="006C1D9A"/>
    <w:rsid w:val="006E02FA"/>
    <w:rsid w:val="006E573C"/>
    <w:rsid w:val="006E738D"/>
    <w:rsid w:val="006E78F2"/>
    <w:rsid w:val="006F6443"/>
    <w:rsid w:val="006F65A0"/>
    <w:rsid w:val="00706AD8"/>
    <w:rsid w:val="00725B4C"/>
    <w:rsid w:val="00740B20"/>
    <w:rsid w:val="007414E4"/>
    <w:rsid w:val="0074234F"/>
    <w:rsid w:val="00742579"/>
    <w:rsid w:val="00752AB6"/>
    <w:rsid w:val="00755916"/>
    <w:rsid w:val="00757DD7"/>
    <w:rsid w:val="00766DD3"/>
    <w:rsid w:val="00767365"/>
    <w:rsid w:val="0077582F"/>
    <w:rsid w:val="00782174"/>
    <w:rsid w:val="0078711A"/>
    <w:rsid w:val="007B1492"/>
    <w:rsid w:val="007B7CF4"/>
    <w:rsid w:val="007C4A6B"/>
    <w:rsid w:val="007C5E4F"/>
    <w:rsid w:val="007D25CE"/>
    <w:rsid w:val="007D3DE1"/>
    <w:rsid w:val="007E5CAD"/>
    <w:rsid w:val="007F065B"/>
    <w:rsid w:val="007F3A36"/>
    <w:rsid w:val="007F697A"/>
    <w:rsid w:val="00800D88"/>
    <w:rsid w:val="00813091"/>
    <w:rsid w:val="0081400B"/>
    <w:rsid w:val="008148D5"/>
    <w:rsid w:val="00814A09"/>
    <w:rsid w:val="00816257"/>
    <w:rsid w:val="008413DC"/>
    <w:rsid w:val="008445AF"/>
    <w:rsid w:val="00845662"/>
    <w:rsid w:val="0084728D"/>
    <w:rsid w:val="008507E6"/>
    <w:rsid w:val="00855061"/>
    <w:rsid w:val="00855862"/>
    <w:rsid w:val="00872331"/>
    <w:rsid w:val="008733A9"/>
    <w:rsid w:val="008766FE"/>
    <w:rsid w:val="00892F9E"/>
    <w:rsid w:val="00896819"/>
    <w:rsid w:val="0089797F"/>
    <w:rsid w:val="008A2D3D"/>
    <w:rsid w:val="008A6CD5"/>
    <w:rsid w:val="008B3930"/>
    <w:rsid w:val="008C0A9F"/>
    <w:rsid w:val="008D0588"/>
    <w:rsid w:val="008D4794"/>
    <w:rsid w:val="008D5CFC"/>
    <w:rsid w:val="008E0639"/>
    <w:rsid w:val="008F21BE"/>
    <w:rsid w:val="00914456"/>
    <w:rsid w:val="0091694C"/>
    <w:rsid w:val="00927C77"/>
    <w:rsid w:val="009408D9"/>
    <w:rsid w:val="00940F51"/>
    <w:rsid w:val="0095067E"/>
    <w:rsid w:val="00965D4C"/>
    <w:rsid w:val="00970245"/>
    <w:rsid w:val="00977859"/>
    <w:rsid w:val="009848AA"/>
    <w:rsid w:val="009909B9"/>
    <w:rsid w:val="009951A8"/>
    <w:rsid w:val="009973AC"/>
    <w:rsid w:val="009A0AFE"/>
    <w:rsid w:val="009A1CE0"/>
    <w:rsid w:val="009A6FC6"/>
    <w:rsid w:val="009B76A2"/>
    <w:rsid w:val="009C215C"/>
    <w:rsid w:val="009C39DA"/>
    <w:rsid w:val="009D1727"/>
    <w:rsid w:val="009E5EEA"/>
    <w:rsid w:val="009E6A38"/>
    <w:rsid w:val="009F2C19"/>
    <w:rsid w:val="00A05B19"/>
    <w:rsid w:val="00A22B68"/>
    <w:rsid w:val="00A41EEE"/>
    <w:rsid w:val="00A41F94"/>
    <w:rsid w:val="00A47016"/>
    <w:rsid w:val="00A5031E"/>
    <w:rsid w:val="00A65C33"/>
    <w:rsid w:val="00A73202"/>
    <w:rsid w:val="00A77ED8"/>
    <w:rsid w:val="00A822A1"/>
    <w:rsid w:val="00A8355E"/>
    <w:rsid w:val="00A85ECB"/>
    <w:rsid w:val="00A951CF"/>
    <w:rsid w:val="00A96799"/>
    <w:rsid w:val="00AA1813"/>
    <w:rsid w:val="00AA4245"/>
    <w:rsid w:val="00AB7419"/>
    <w:rsid w:val="00AC51ED"/>
    <w:rsid w:val="00AC5905"/>
    <w:rsid w:val="00AC6BEB"/>
    <w:rsid w:val="00AC6F8C"/>
    <w:rsid w:val="00AE1134"/>
    <w:rsid w:val="00AE11E8"/>
    <w:rsid w:val="00AE68C3"/>
    <w:rsid w:val="00AF1EE3"/>
    <w:rsid w:val="00AF4FBA"/>
    <w:rsid w:val="00B06519"/>
    <w:rsid w:val="00B066AE"/>
    <w:rsid w:val="00B10187"/>
    <w:rsid w:val="00B27927"/>
    <w:rsid w:val="00B34A30"/>
    <w:rsid w:val="00B35760"/>
    <w:rsid w:val="00B43894"/>
    <w:rsid w:val="00B565B3"/>
    <w:rsid w:val="00B70537"/>
    <w:rsid w:val="00B84383"/>
    <w:rsid w:val="00B87C3D"/>
    <w:rsid w:val="00B952E7"/>
    <w:rsid w:val="00BA272C"/>
    <w:rsid w:val="00BA42A0"/>
    <w:rsid w:val="00BC1A91"/>
    <w:rsid w:val="00BC660B"/>
    <w:rsid w:val="00BD4031"/>
    <w:rsid w:val="00BD7B09"/>
    <w:rsid w:val="00C150F5"/>
    <w:rsid w:val="00C2440B"/>
    <w:rsid w:val="00C431BE"/>
    <w:rsid w:val="00C4429D"/>
    <w:rsid w:val="00C46B5B"/>
    <w:rsid w:val="00C50492"/>
    <w:rsid w:val="00C86540"/>
    <w:rsid w:val="00CA150E"/>
    <w:rsid w:val="00CA2FEF"/>
    <w:rsid w:val="00CA75A7"/>
    <w:rsid w:val="00CB209E"/>
    <w:rsid w:val="00CD7771"/>
    <w:rsid w:val="00CF1C0F"/>
    <w:rsid w:val="00CF7E4D"/>
    <w:rsid w:val="00D12353"/>
    <w:rsid w:val="00D204C8"/>
    <w:rsid w:val="00D23963"/>
    <w:rsid w:val="00D3078C"/>
    <w:rsid w:val="00D36543"/>
    <w:rsid w:val="00D457EA"/>
    <w:rsid w:val="00D531B7"/>
    <w:rsid w:val="00D5427E"/>
    <w:rsid w:val="00D60542"/>
    <w:rsid w:val="00D65497"/>
    <w:rsid w:val="00D838AF"/>
    <w:rsid w:val="00D968C7"/>
    <w:rsid w:val="00DA3E9A"/>
    <w:rsid w:val="00DB7D9B"/>
    <w:rsid w:val="00DC3558"/>
    <w:rsid w:val="00DC3F2E"/>
    <w:rsid w:val="00DC4B8C"/>
    <w:rsid w:val="00DC685C"/>
    <w:rsid w:val="00DD1AA4"/>
    <w:rsid w:val="00DD614B"/>
    <w:rsid w:val="00DF1087"/>
    <w:rsid w:val="00E01DDD"/>
    <w:rsid w:val="00E226D0"/>
    <w:rsid w:val="00E3223D"/>
    <w:rsid w:val="00E54259"/>
    <w:rsid w:val="00E54A8D"/>
    <w:rsid w:val="00E57E72"/>
    <w:rsid w:val="00E710D9"/>
    <w:rsid w:val="00E8195A"/>
    <w:rsid w:val="00E8776C"/>
    <w:rsid w:val="00EA18E5"/>
    <w:rsid w:val="00EB0FF7"/>
    <w:rsid w:val="00EC2B2C"/>
    <w:rsid w:val="00EC659A"/>
    <w:rsid w:val="00ED4E9D"/>
    <w:rsid w:val="00EE6BE0"/>
    <w:rsid w:val="00EE72F2"/>
    <w:rsid w:val="00EF03D8"/>
    <w:rsid w:val="00EF3A4A"/>
    <w:rsid w:val="00F023F7"/>
    <w:rsid w:val="00F12D35"/>
    <w:rsid w:val="00F26EAA"/>
    <w:rsid w:val="00F32B1E"/>
    <w:rsid w:val="00F40A61"/>
    <w:rsid w:val="00F46FA9"/>
    <w:rsid w:val="00F54459"/>
    <w:rsid w:val="00F60A7A"/>
    <w:rsid w:val="00F7548F"/>
    <w:rsid w:val="00F90F1C"/>
    <w:rsid w:val="00FC5503"/>
    <w:rsid w:val="00FD198B"/>
    <w:rsid w:val="00FE075E"/>
    <w:rsid w:val="00FE515A"/>
    <w:rsid w:val="00FE6D81"/>
    <w:rsid w:val="00FE7A77"/>
    <w:rsid w:val="00FF0C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ADF4FBB"/>
  <w15:chartTrackingRefBased/>
  <w15:docId w15:val="{AEC0DE9F-8E17-4DD0-A110-2B250A74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AB6"/>
    <w:pPr>
      <w:spacing w:after="200" w:line="276" w:lineRule="auto"/>
    </w:pPr>
    <w:rPr>
      <w:rFonts w:ascii="Calibri" w:eastAsia="Calibri" w:hAnsi="Calibri" w:cs="Times New Roman"/>
    </w:rPr>
  </w:style>
  <w:style w:type="paragraph" w:styleId="Ttulo3">
    <w:name w:val="heading 3"/>
    <w:basedOn w:val="Normal"/>
    <w:next w:val="Normal"/>
    <w:link w:val="Ttulo3Car"/>
    <w:uiPriority w:val="9"/>
    <w:unhideWhenUsed/>
    <w:qFormat/>
    <w:rsid w:val="00752AB6"/>
    <w:pPr>
      <w:keepNext/>
      <w:keepLines/>
      <w:numPr>
        <w:numId w:val="2"/>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752AB6"/>
    <w:rPr>
      <w:rFonts w:asciiTheme="majorHAnsi" w:eastAsiaTheme="majorEastAsia" w:hAnsiTheme="majorHAnsi" w:cstheme="majorBidi"/>
      <w:color w:val="1F4D78" w:themeColor="accent1" w:themeShade="7F"/>
      <w:sz w:val="24"/>
      <w:szCs w:val="24"/>
    </w:rPr>
  </w:style>
  <w:style w:type="paragraph" w:styleId="Encabezado">
    <w:name w:val="header"/>
    <w:basedOn w:val="Normal"/>
    <w:link w:val="EncabezadoCar"/>
    <w:uiPriority w:val="99"/>
    <w:unhideWhenUsed/>
    <w:rsid w:val="00752A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2AB6"/>
    <w:rPr>
      <w:rFonts w:ascii="Calibri" w:eastAsia="Calibri" w:hAnsi="Calibri" w:cs="Times New Roman"/>
    </w:rPr>
  </w:style>
  <w:style w:type="paragraph" w:styleId="Piedepgina">
    <w:name w:val="footer"/>
    <w:basedOn w:val="Normal"/>
    <w:link w:val="PiedepginaCar"/>
    <w:uiPriority w:val="99"/>
    <w:unhideWhenUsed/>
    <w:rsid w:val="00752A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AB6"/>
    <w:rPr>
      <w:rFonts w:ascii="Calibri" w:eastAsia="Calibri" w:hAnsi="Calibri" w:cs="Times New Roman"/>
    </w:rPr>
  </w:style>
  <w:style w:type="paragraph" w:styleId="NormalWeb">
    <w:name w:val="Normal (Web)"/>
    <w:basedOn w:val="Normal"/>
    <w:uiPriority w:val="99"/>
    <w:unhideWhenUsed/>
    <w:rsid w:val="00752AB6"/>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Llista Nivell1,Lista de nivel 1,4 Viñ 1nivel,Numeración 1,Cuadrícula media 1 - Énfasis 21,Bullet List,FooterText,numbered,List Paragraph1,Paragraphe de liste1,Bulletr List Paragraph,列出段落,列出段落1,Cuadros,Lista general,Listas,lp1,Dot pt"/>
    <w:basedOn w:val="Normal"/>
    <w:link w:val="PrrafodelistaCar"/>
    <w:uiPriority w:val="34"/>
    <w:qFormat/>
    <w:rsid w:val="00752AB6"/>
    <w:pPr>
      <w:ind w:left="720"/>
      <w:contextualSpacing/>
    </w:pPr>
    <w:rPr>
      <w:lang w:val="x-none"/>
    </w:rPr>
  </w:style>
  <w:style w:type="character" w:customStyle="1" w:styleId="PrrafodelistaCar">
    <w:name w:val="Párrafo de lista Car"/>
    <w:aliases w:val="Llista Nivell1 Car,Lista de nivel 1 Car,4 Viñ 1nivel Car,Numeración 1 Car,Cuadrícula media 1 - Énfasis 21 Car,Bullet List Car,FooterText Car,numbered Car,List Paragraph1 Car,Paragraphe de liste1 Car,Bulletr List Paragraph Car"/>
    <w:link w:val="Prrafodelista"/>
    <w:uiPriority w:val="34"/>
    <w:qFormat/>
    <w:rsid w:val="00752AB6"/>
    <w:rPr>
      <w:rFonts w:ascii="Calibri" w:eastAsia="Calibri" w:hAnsi="Calibri" w:cs="Times New Roman"/>
      <w:lang w:val="x-none"/>
    </w:rPr>
  </w:style>
  <w:style w:type="character" w:styleId="Textoennegrita">
    <w:name w:val="Strong"/>
    <w:basedOn w:val="Fuentedeprrafopredeter"/>
    <w:uiPriority w:val="22"/>
    <w:qFormat/>
    <w:rsid w:val="00752AB6"/>
    <w:rPr>
      <w:b/>
      <w:bCs/>
    </w:rPr>
  </w:style>
  <w:style w:type="table" w:styleId="Tablaconcuadrcula4-nfasis6">
    <w:name w:val="Grid Table 4 Accent 6"/>
    <w:basedOn w:val="Tablanormal"/>
    <w:uiPriority w:val="49"/>
    <w:rsid w:val="00752AB6"/>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unhideWhenUsed/>
    <w:qFormat/>
    <w:rsid w:val="00BD4031"/>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BD4031"/>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basedOn w:val="Fuentedeprrafopredeter"/>
    <w:uiPriority w:val="99"/>
    <w:unhideWhenUsed/>
    <w:qFormat/>
    <w:rsid w:val="00BD4031"/>
    <w:rPr>
      <w:vertAlign w:val="superscript"/>
    </w:rPr>
  </w:style>
  <w:style w:type="character" w:styleId="Refdecomentario">
    <w:name w:val="annotation reference"/>
    <w:basedOn w:val="Fuentedeprrafopredeter"/>
    <w:uiPriority w:val="99"/>
    <w:unhideWhenUsed/>
    <w:rsid w:val="00516954"/>
    <w:rPr>
      <w:sz w:val="16"/>
      <w:szCs w:val="16"/>
    </w:rPr>
  </w:style>
  <w:style w:type="paragraph" w:styleId="Textocomentario">
    <w:name w:val="annotation text"/>
    <w:basedOn w:val="Normal"/>
    <w:link w:val="TextocomentarioCar"/>
    <w:uiPriority w:val="99"/>
    <w:unhideWhenUsed/>
    <w:rsid w:val="00516954"/>
    <w:pPr>
      <w:spacing w:line="240" w:lineRule="auto"/>
    </w:pPr>
    <w:rPr>
      <w:sz w:val="20"/>
      <w:szCs w:val="20"/>
    </w:rPr>
  </w:style>
  <w:style w:type="character" w:customStyle="1" w:styleId="TextocomentarioCar">
    <w:name w:val="Texto comentario Car"/>
    <w:basedOn w:val="Fuentedeprrafopredeter"/>
    <w:link w:val="Textocomentario"/>
    <w:uiPriority w:val="99"/>
    <w:rsid w:val="00516954"/>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516954"/>
    <w:rPr>
      <w:b/>
      <w:bCs/>
    </w:rPr>
  </w:style>
  <w:style w:type="character" w:customStyle="1" w:styleId="AsuntodelcomentarioCar">
    <w:name w:val="Asunto del comentario Car"/>
    <w:basedOn w:val="TextocomentarioCar"/>
    <w:link w:val="Asuntodelcomentario"/>
    <w:uiPriority w:val="99"/>
    <w:semiHidden/>
    <w:rsid w:val="00516954"/>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5169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6954"/>
    <w:rPr>
      <w:rFonts w:ascii="Segoe UI" w:eastAsia="Calibri" w:hAnsi="Segoe UI" w:cs="Segoe UI"/>
      <w:sz w:val="18"/>
      <w:szCs w:val="18"/>
    </w:rPr>
  </w:style>
  <w:style w:type="paragraph" w:customStyle="1" w:styleId="Texto">
    <w:name w:val="Texto"/>
    <w:basedOn w:val="Normal"/>
    <w:link w:val="TextoCar"/>
    <w:rsid w:val="00450F3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50F37"/>
    <w:rPr>
      <w:rFonts w:ascii="Arial" w:eastAsia="Times New Roman" w:hAnsi="Arial" w:cs="Arial"/>
      <w:sz w:val="18"/>
      <w:szCs w:val="20"/>
      <w:lang w:eastAsia="es-ES"/>
    </w:rPr>
  </w:style>
  <w:style w:type="table" w:styleId="Tablaconcuadrcula">
    <w:name w:val="Table Grid"/>
    <w:basedOn w:val="Tablanormal"/>
    <w:uiPriority w:val="39"/>
    <w:rsid w:val="00814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148D5"/>
    <w:rPr>
      <w:color w:val="0000FF"/>
      <w:u w:val="single"/>
    </w:rPr>
  </w:style>
  <w:style w:type="paragraph" w:customStyle="1" w:styleId="Default">
    <w:name w:val="Default"/>
    <w:rsid w:val="002639EF"/>
    <w:pPr>
      <w:autoSpaceDE w:val="0"/>
      <w:autoSpaceDN w:val="0"/>
      <w:adjustRightInd w:val="0"/>
      <w:spacing w:after="0" w:line="240" w:lineRule="auto"/>
    </w:pPr>
    <w:rPr>
      <w:rFonts w:ascii="ITC Avant Garde" w:hAnsi="ITC Avant Garde" w:cs="ITC Avant Gar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468905">
      <w:bodyDiv w:val="1"/>
      <w:marLeft w:val="0"/>
      <w:marRight w:val="0"/>
      <w:marTop w:val="0"/>
      <w:marBottom w:val="0"/>
      <w:divBdr>
        <w:top w:val="none" w:sz="0" w:space="0" w:color="auto"/>
        <w:left w:val="none" w:sz="0" w:space="0" w:color="auto"/>
        <w:bottom w:val="none" w:sz="0" w:space="0" w:color="auto"/>
        <w:right w:val="none" w:sz="0" w:space="0" w:color="auto"/>
      </w:divBdr>
    </w:div>
    <w:div w:id="1239634412">
      <w:bodyDiv w:val="1"/>
      <w:marLeft w:val="0"/>
      <w:marRight w:val="0"/>
      <w:marTop w:val="0"/>
      <w:marBottom w:val="0"/>
      <w:divBdr>
        <w:top w:val="none" w:sz="0" w:space="0" w:color="auto"/>
        <w:left w:val="none" w:sz="0" w:space="0" w:color="auto"/>
        <w:bottom w:val="none" w:sz="0" w:space="0" w:color="auto"/>
        <w:right w:val="none" w:sz="0" w:space="0" w:color="auto"/>
      </w:divBdr>
    </w:div>
    <w:div w:id="1495367618">
      <w:bodyDiv w:val="1"/>
      <w:marLeft w:val="0"/>
      <w:marRight w:val="0"/>
      <w:marTop w:val="0"/>
      <w:marBottom w:val="0"/>
      <w:divBdr>
        <w:top w:val="none" w:sz="0" w:space="0" w:color="auto"/>
        <w:left w:val="none" w:sz="0" w:space="0" w:color="auto"/>
        <w:bottom w:val="none" w:sz="0" w:space="0" w:color="auto"/>
        <w:right w:val="none" w:sz="0" w:space="0" w:color="auto"/>
      </w:divBdr>
    </w:div>
    <w:div w:id="1763069439">
      <w:bodyDiv w:val="1"/>
      <w:marLeft w:val="0"/>
      <w:marRight w:val="0"/>
      <w:marTop w:val="0"/>
      <w:marBottom w:val="0"/>
      <w:divBdr>
        <w:top w:val="none" w:sz="0" w:space="0" w:color="auto"/>
        <w:left w:val="none" w:sz="0" w:space="0" w:color="auto"/>
        <w:bottom w:val="none" w:sz="0" w:space="0" w:color="auto"/>
        <w:right w:val="none" w:sz="0" w:space="0" w:color="auto"/>
      </w:divBdr>
    </w:div>
    <w:div w:id="1868640818">
      <w:bodyDiv w:val="1"/>
      <w:marLeft w:val="0"/>
      <w:marRight w:val="0"/>
      <w:marTop w:val="0"/>
      <w:marBottom w:val="0"/>
      <w:divBdr>
        <w:top w:val="none" w:sz="0" w:space="0" w:color="auto"/>
        <w:left w:val="none" w:sz="0" w:space="0" w:color="auto"/>
        <w:bottom w:val="none" w:sz="0" w:space="0" w:color="auto"/>
        <w:right w:val="none" w:sz="0" w:space="0" w:color="auto"/>
      </w:divBdr>
      <w:divsChild>
        <w:div w:id="1707020455">
          <w:marLeft w:val="1166"/>
          <w:marRight w:val="0"/>
          <w:marTop w:val="0"/>
          <w:marBottom w:val="0"/>
          <w:divBdr>
            <w:top w:val="none" w:sz="0" w:space="0" w:color="auto"/>
            <w:left w:val="none" w:sz="0" w:space="0" w:color="auto"/>
            <w:bottom w:val="none" w:sz="0" w:space="0" w:color="auto"/>
            <w:right w:val="none" w:sz="0" w:space="0" w:color="auto"/>
          </w:divBdr>
        </w:div>
        <w:div w:id="2137289501">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4660-CEB2-49E2-B454-B1A481DC2932}">
  <ds:schemaRefs>
    <ds:schemaRef ds:uri="http://schemas.microsoft.com/sharepoint/v3/contenttype/forms"/>
  </ds:schemaRefs>
</ds:datastoreItem>
</file>

<file path=customXml/itemProps2.xml><?xml version="1.0" encoding="utf-8"?>
<ds:datastoreItem xmlns:ds="http://schemas.openxmlformats.org/officeDocument/2006/customXml" ds:itemID="{A0EA351D-E8C1-4654-80D8-A61D8E27BBBD}">
  <ds:schemaRefs>
    <ds:schemaRef ds:uri="5b84ea7b-5334-4931-9489-1d79ae7d4671"/>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8403ECC-5E58-454D-A2F6-1C7171EDB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09AED6-A1D4-4BDE-9BDD-8E2D2381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2104</Words>
  <Characters>11576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Rodolfo Lopez Rodriguez</dc:creator>
  <cp:keywords/>
  <dc:description/>
  <cp:lastModifiedBy>Karla Vanessa Garcia Huerta</cp:lastModifiedBy>
  <cp:revision>12</cp:revision>
  <dcterms:created xsi:type="dcterms:W3CDTF">2022-12-09T23:03:00Z</dcterms:created>
  <dcterms:modified xsi:type="dcterms:W3CDTF">2022-12-13T04:27:00Z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