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76F8" w14:textId="7332C23B" w:rsidR="00156C3A" w:rsidRPr="00D909BC" w:rsidRDefault="00852170" w:rsidP="001B163B">
      <w:pPr>
        <w:keepNext/>
        <w:keepLines/>
        <w:spacing w:after="0"/>
        <w:jc w:val="both"/>
        <w:outlineLvl w:val="0"/>
        <w:rPr>
          <w:rFonts w:ascii="Arial" w:eastAsia="Times New Roman" w:hAnsi="Arial" w:cs="Arial"/>
          <w:b/>
          <w:sz w:val="26"/>
          <w:szCs w:val="26"/>
        </w:rPr>
      </w:pPr>
      <w:r w:rsidRPr="00B62DFE">
        <w:rPr>
          <w:rFonts w:ascii="Arial" w:hAnsi="Arial" w:cs="Arial"/>
          <w:b/>
          <w:sz w:val="26"/>
          <w:szCs w:val="26"/>
        </w:rPr>
        <w:t>Acuerdo mediante el cual el Pleno del Instituto Federal de Telecomu</w:t>
      </w:r>
      <w:r w:rsidR="00837DA3">
        <w:rPr>
          <w:rFonts w:ascii="Arial" w:hAnsi="Arial" w:cs="Arial"/>
          <w:b/>
          <w:sz w:val="26"/>
          <w:szCs w:val="26"/>
        </w:rPr>
        <w:t>nicaciones determina someter a Consulta P</w:t>
      </w:r>
      <w:r w:rsidRPr="00B62DFE">
        <w:rPr>
          <w:rFonts w:ascii="Arial" w:hAnsi="Arial" w:cs="Arial"/>
          <w:b/>
          <w:sz w:val="26"/>
          <w:szCs w:val="26"/>
        </w:rPr>
        <w:t>ública los criterios y umbrales de los parámetros para determinar la libertad tarifaria, de conformidad con lo establecido en la Medida TRIGÉSIMA NOVENA del Anexo tres de la “</w:t>
      </w:r>
      <w:r w:rsidRPr="00B62DFE">
        <w:rPr>
          <w:rFonts w:ascii="Arial" w:hAnsi="Arial" w:cs="Arial"/>
          <w:b/>
          <w:i/>
          <w:sz w:val="26"/>
          <w:szCs w:val="26"/>
        </w:rPr>
        <w:t>Resolución mediante la cual el Pleno del Instituto Federal de Telecomunicaciones suprime, modifica y adiciona las medidas impuestas al agente económico preponderante en el sector de telecomunicaciones mediante Acuerdos P/IFT/EXT/060314/76 y P/IFT/EXT/270217/119.</w:t>
      </w:r>
      <w:r w:rsidRPr="00B62DFE">
        <w:rPr>
          <w:rFonts w:ascii="Arial" w:eastAsia="Times New Roman" w:hAnsi="Arial" w:cs="Arial"/>
          <w:b/>
          <w:i/>
          <w:sz w:val="26"/>
          <w:szCs w:val="26"/>
        </w:rPr>
        <w:t>”</w:t>
      </w:r>
      <w:r>
        <w:rPr>
          <w:rFonts w:ascii="Arial" w:eastAsia="Times New Roman" w:hAnsi="Arial" w:cs="Arial"/>
          <w:b/>
          <w:sz w:val="26"/>
          <w:szCs w:val="26"/>
        </w:rPr>
        <w:t>.</w:t>
      </w:r>
    </w:p>
    <w:p w14:paraId="681C3DE9" w14:textId="77777777" w:rsidR="001B163B" w:rsidRPr="001B163B" w:rsidRDefault="001B163B" w:rsidP="001B163B">
      <w:pPr>
        <w:spacing w:after="0"/>
        <w:jc w:val="center"/>
        <w:rPr>
          <w:rFonts w:ascii="Arial" w:hAnsi="Arial" w:cs="Arial"/>
          <w:b/>
          <w:bCs/>
          <w:color w:val="000000"/>
          <w:lang w:eastAsia="es-MX"/>
        </w:rPr>
      </w:pPr>
    </w:p>
    <w:p w14:paraId="1E7FF31B" w14:textId="77777777" w:rsidR="001B163B" w:rsidRPr="001B163B" w:rsidRDefault="001B163B" w:rsidP="001B163B">
      <w:pPr>
        <w:spacing w:after="0"/>
        <w:jc w:val="center"/>
        <w:rPr>
          <w:rFonts w:ascii="Arial" w:hAnsi="Arial" w:cs="Arial"/>
          <w:b/>
          <w:bCs/>
          <w:color w:val="000000"/>
          <w:lang w:eastAsia="es-MX"/>
        </w:rPr>
      </w:pPr>
    </w:p>
    <w:p w14:paraId="2D9E1605" w14:textId="77777777" w:rsidR="001B163B" w:rsidRPr="001B163B" w:rsidRDefault="001B163B" w:rsidP="001B163B">
      <w:pPr>
        <w:spacing w:after="0"/>
        <w:jc w:val="center"/>
        <w:rPr>
          <w:rFonts w:ascii="Arial" w:hAnsi="Arial" w:cs="Arial"/>
          <w:b/>
          <w:bCs/>
          <w:color w:val="000000"/>
          <w:sz w:val="26"/>
          <w:szCs w:val="26"/>
          <w:lang w:eastAsia="es-MX"/>
        </w:rPr>
      </w:pPr>
      <w:r w:rsidRPr="001B163B">
        <w:rPr>
          <w:rFonts w:ascii="Arial" w:hAnsi="Arial" w:cs="Arial"/>
          <w:b/>
          <w:bCs/>
          <w:color w:val="000000"/>
          <w:sz w:val="26"/>
          <w:szCs w:val="26"/>
          <w:lang w:eastAsia="es-MX"/>
        </w:rPr>
        <w:t>Antecedentes</w:t>
      </w:r>
    </w:p>
    <w:p w14:paraId="24BF9509" w14:textId="77777777" w:rsidR="001B163B" w:rsidRPr="001B163B" w:rsidRDefault="001B163B" w:rsidP="001B163B">
      <w:pPr>
        <w:spacing w:after="0"/>
        <w:jc w:val="center"/>
        <w:rPr>
          <w:rFonts w:ascii="Arial" w:hAnsi="Arial" w:cs="Arial"/>
          <w:b/>
        </w:rPr>
      </w:pPr>
    </w:p>
    <w:p w14:paraId="64C53E3A" w14:textId="77777777" w:rsidR="001B163B" w:rsidRPr="001B163B" w:rsidRDefault="001B163B" w:rsidP="001B163B">
      <w:pPr>
        <w:spacing w:after="0"/>
        <w:jc w:val="center"/>
        <w:rPr>
          <w:rFonts w:ascii="Arial" w:hAnsi="Arial" w:cs="Arial"/>
          <w:b/>
        </w:rPr>
      </w:pPr>
    </w:p>
    <w:p w14:paraId="7DF12D9A" w14:textId="37AE744A" w:rsidR="001B163B" w:rsidRPr="001B163B" w:rsidRDefault="001B163B" w:rsidP="001B163B">
      <w:pPr>
        <w:spacing w:after="0"/>
        <w:jc w:val="both"/>
        <w:rPr>
          <w:rFonts w:ascii="Arial" w:hAnsi="Arial" w:cs="Arial"/>
          <w:b/>
        </w:rPr>
      </w:pPr>
      <w:r w:rsidRPr="001B163B">
        <w:rPr>
          <w:rFonts w:ascii="Arial" w:hAnsi="Arial" w:cs="Arial"/>
          <w:b/>
        </w:rPr>
        <w:t xml:space="preserve">Primero.- </w:t>
      </w:r>
      <w:r w:rsidR="00852170" w:rsidRPr="00B62DFE">
        <w:rPr>
          <w:rFonts w:ascii="Arial" w:eastAsia="Times New Roman" w:hAnsi="Arial" w:cs="Arial"/>
          <w:b/>
        </w:rPr>
        <w:t xml:space="preserve">Decreto de Reforma Constitucional. </w:t>
      </w:r>
      <w:r w:rsidR="00852170" w:rsidRPr="00B62DFE">
        <w:rPr>
          <w:rFonts w:ascii="Arial" w:eastAsia="Times New Roman" w:hAnsi="Arial" w:cs="Arial"/>
        </w:rPr>
        <w:t>El 11 de junio de 2013 se publicó en el Diario Oficial de la Federación (en lo sucesivo, “DOF”) el “DECRETO por el que se reforman y adicionan diversas disposiciones de los artículos 6o., 7o., 27, 28, 73, 78, 94 y 105 de la Constitución Política de los Estados Unidos Mexicanos, en materia de telecomunicaciones” (en lo sucesivo, “Decreto”), por medio del cual se creó al Instituto Federal de Telecomunicaciones (en lo sucesivo, “Instituto”), como un órgano autónomo con personalidad jurídica y patrimonio propio, cuyo objeto es el desarrollo eficiente de la radiodifusión y las telecomunicaciones conforme a lo dispuesto en la propia Constitución Política de los Estados Unidos Mexicanos (en lo sucesivo,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286F7AC9" w14:textId="77777777" w:rsidR="001B163B" w:rsidRPr="001B163B" w:rsidRDefault="001B163B" w:rsidP="001B163B">
      <w:pPr>
        <w:spacing w:after="0"/>
        <w:jc w:val="both"/>
        <w:rPr>
          <w:rFonts w:ascii="Arial" w:eastAsia="Times New Roman" w:hAnsi="Arial" w:cs="Arial"/>
          <w:b/>
          <w:bCs/>
          <w:color w:val="000000"/>
          <w:lang w:eastAsia="es-MX"/>
        </w:rPr>
      </w:pPr>
    </w:p>
    <w:p w14:paraId="42C72356" w14:textId="77777777" w:rsidR="00852170" w:rsidRPr="00B62DFE" w:rsidRDefault="001B163B" w:rsidP="00852170">
      <w:pPr>
        <w:widowControl w:val="0"/>
        <w:contextualSpacing/>
        <w:jc w:val="both"/>
        <w:rPr>
          <w:rFonts w:ascii="Arial" w:eastAsia="Times New Roman" w:hAnsi="Arial" w:cs="Arial"/>
        </w:rPr>
      </w:pPr>
      <w:r w:rsidRPr="001B163B">
        <w:rPr>
          <w:rFonts w:ascii="Arial" w:hAnsi="Arial" w:cs="Arial"/>
          <w:b/>
        </w:rPr>
        <w:t xml:space="preserve">Segundo.- </w:t>
      </w:r>
      <w:r w:rsidR="00852170" w:rsidRPr="00B62DFE">
        <w:rPr>
          <w:rFonts w:ascii="Arial" w:eastAsia="Times New Roman" w:hAnsi="Arial" w:cs="Arial"/>
          <w:b/>
        </w:rPr>
        <w:t>Determinación del Agente Económico Preponderante.</w:t>
      </w:r>
      <w:r w:rsidR="00852170" w:rsidRPr="00B62DFE">
        <w:rPr>
          <w:rFonts w:ascii="Arial" w:eastAsia="Times New Roman" w:hAnsi="Arial" w:cs="Arial"/>
        </w:rPr>
        <w:t xml:space="preserve"> El 6 de marzo de 2014 el Pleno del Instituto en su V Sesión Extraordinaria aprobó mediante Acuerdo P/IFT/EXT/060314/76 la </w:t>
      </w:r>
      <w:r w:rsidR="00852170" w:rsidRPr="00B62DFE">
        <w:rPr>
          <w:rFonts w:ascii="Arial" w:eastAsia="Times New Roman" w:hAnsi="Arial" w:cs="Arial"/>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00852170" w:rsidRPr="00B62DFE">
        <w:rPr>
          <w:rFonts w:ascii="Arial" w:eastAsia="Times New Roman" w:hAnsi="Arial" w:cs="Arial"/>
        </w:rPr>
        <w:t xml:space="preserve"> (en lo sucesivo, “Resolución AEP”, así como “AEP” para denominar conjuntamente a los integrantes que conforman dicho grupo de interés económico).</w:t>
      </w:r>
    </w:p>
    <w:p w14:paraId="6CA3629F" w14:textId="77777777" w:rsidR="00852170" w:rsidRPr="00B62DFE" w:rsidRDefault="00852170" w:rsidP="00852170">
      <w:pPr>
        <w:widowControl w:val="0"/>
        <w:contextualSpacing/>
        <w:jc w:val="both"/>
        <w:rPr>
          <w:rFonts w:ascii="Arial" w:eastAsia="Times New Roman" w:hAnsi="Arial" w:cs="Arial"/>
        </w:rPr>
      </w:pPr>
    </w:p>
    <w:p w14:paraId="57C64503" w14:textId="2FF63BA0" w:rsidR="001B163B" w:rsidRPr="001B163B" w:rsidRDefault="00852170" w:rsidP="00852170">
      <w:pPr>
        <w:spacing w:after="0"/>
        <w:jc w:val="both"/>
        <w:rPr>
          <w:rFonts w:ascii="Arial" w:hAnsi="Arial" w:cs="Arial"/>
          <w:b/>
        </w:rPr>
      </w:pPr>
      <w:r w:rsidRPr="00B62DFE">
        <w:rPr>
          <w:rFonts w:ascii="Arial" w:eastAsia="Times New Roman" w:hAnsi="Arial" w:cs="Arial"/>
        </w:rPr>
        <w:t xml:space="preserve">La Resolución AEP contiene, entre otros, el Anexo 3 denominado </w:t>
      </w:r>
      <w:r w:rsidRPr="00B62DFE">
        <w:rPr>
          <w:rFonts w:ascii="Arial" w:eastAsia="Times New Roman" w:hAnsi="Arial" w:cs="Arial"/>
          <w:i/>
        </w:rPr>
        <w:t xml:space="preserve">“MEDIDAS QUE PERMITEN LA DESAGREGACIÓN EFECTIVA DE LA RED LOCAL DEL AGENTE ECONÓMICO </w:t>
      </w:r>
      <w:r w:rsidRPr="00B62DFE">
        <w:rPr>
          <w:rFonts w:ascii="Arial" w:eastAsia="Times New Roman" w:hAnsi="Arial" w:cs="Arial"/>
          <w:i/>
        </w:rPr>
        <w:lastRenderedPageBreak/>
        <w:t>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 AGENTE.”</w:t>
      </w:r>
      <w:r w:rsidR="007129EC">
        <w:rPr>
          <w:rFonts w:ascii="Arial" w:eastAsia="Times New Roman" w:hAnsi="Arial" w:cs="Arial"/>
          <w:i/>
        </w:rPr>
        <w:t xml:space="preserve"> </w:t>
      </w:r>
      <w:r w:rsidR="007129EC" w:rsidRPr="007129EC">
        <w:rPr>
          <w:rFonts w:ascii="Arial" w:eastAsia="Times New Roman" w:hAnsi="Arial" w:cs="Arial"/>
        </w:rPr>
        <w:t xml:space="preserve">(en lo sucesivo, </w:t>
      </w:r>
      <w:r w:rsidR="007129EC">
        <w:rPr>
          <w:rFonts w:ascii="Arial" w:eastAsia="Times New Roman" w:hAnsi="Arial" w:cs="Arial"/>
        </w:rPr>
        <w:t>“</w:t>
      </w:r>
      <w:r w:rsidR="007129EC" w:rsidRPr="007129EC">
        <w:rPr>
          <w:rFonts w:ascii="Arial" w:eastAsia="Times New Roman" w:hAnsi="Arial" w:cs="Arial"/>
        </w:rPr>
        <w:t>Anexo 3</w:t>
      </w:r>
      <w:r w:rsidR="007129EC">
        <w:rPr>
          <w:rFonts w:ascii="Arial" w:eastAsia="Times New Roman" w:hAnsi="Arial" w:cs="Arial"/>
        </w:rPr>
        <w:t>”</w:t>
      </w:r>
      <w:r w:rsidR="007129EC" w:rsidRPr="007129EC">
        <w:rPr>
          <w:rFonts w:ascii="Arial" w:eastAsia="Times New Roman" w:hAnsi="Arial" w:cs="Arial"/>
        </w:rPr>
        <w:t>)</w:t>
      </w:r>
      <w:r w:rsidRPr="00B62DFE">
        <w:rPr>
          <w:rFonts w:ascii="Arial" w:eastAsia="Times New Roman" w:hAnsi="Arial" w:cs="Arial"/>
          <w:i/>
        </w:rPr>
        <w:t>.</w:t>
      </w:r>
    </w:p>
    <w:p w14:paraId="6C5275AE" w14:textId="77777777" w:rsidR="001B163B" w:rsidRPr="001B163B" w:rsidRDefault="001B163B" w:rsidP="001B163B">
      <w:pPr>
        <w:spacing w:after="0"/>
        <w:jc w:val="both"/>
        <w:rPr>
          <w:rFonts w:ascii="Arial" w:hAnsi="Arial" w:cs="Arial"/>
        </w:rPr>
      </w:pPr>
    </w:p>
    <w:p w14:paraId="32797C23" w14:textId="7450B41E" w:rsidR="001B163B" w:rsidRDefault="001B163B" w:rsidP="001B163B">
      <w:pPr>
        <w:spacing w:after="0"/>
        <w:jc w:val="both"/>
        <w:rPr>
          <w:rFonts w:ascii="Arial" w:eastAsia="Times New Roman" w:hAnsi="Arial" w:cs="Arial"/>
        </w:rPr>
      </w:pPr>
      <w:r w:rsidRPr="001B163B">
        <w:rPr>
          <w:rFonts w:ascii="Arial" w:hAnsi="Arial" w:cs="Arial"/>
          <w:b/>
        </w:rPr>
        <w:t xml:space="preserve">Tercero.- </w:t>
      </w:r>
      <w:r w:rsidR="00852170" w:rsidRPr="00B62DFE">
        <w:rPr>
          <w:rFonts w:ascii="Arial" w:eastAsia="Times New Roman" w:hAnsi="Arial" w:cs="Arial"/>
          <w:b/>
        </w:rPr>
        <w:t xml:space="preserve">Ley Federal de Telecomunicaciones y Radiodifusión. </w:t>
      </w:r>
      <w:r w:rsidR="00852170" w:rsidRPr="00B62DFE">
        <w:rPr>
          <w:rFonts w:ascii="Arial" w:eastAsia="Times New Roman" w:hAnsi="Arial" w:cs="Arial"/>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(en lo sucesivo, “LFTR”) el 13 de agosto del 2014, cuya última reforma fue publicada en el DOF el 24 de enero de 2020.</w:t>
      </w:r>
    </w:p>
    <w:p w14:paraId="3A0F3283" w14:textId="24F60262" w:rsidR="00852170" w:rsidRDefault="00852170" w:rsidP="001B163B">
      <w:pPr>
        <w:spacing w:after="0"/>
        <w:jc w:val="both"/>
        <w:rPr>
          <w:rFonts w:ascii="Arial" w:eastAsia="Times New Roman" w:hAnsi="Arial" w:cs="Arial"/>
        </w:rPr>
      </w:pPr>
    </w:p>
    <w:p w14:paraId="0CC63D00" w14:textId="099707BC" w:rsidR="00852170" w:rsidRDefault="00852170" w:rsidP="001B163B">
      <w:pPr>
        <w:spacing w:after="0"/>
        <w:jc w:val="both"/>
        <w:rPr>
          <w:rFonts w:ascii="Arial" w:hAnsi="Arial" w:cs="Arial"/>
          <w:lang w:eastAsia="es-ES"/>
        </w:rPr>
      </w:pPr>
      <w:r w:rsidRPr="00B62DFE">
        <w:rPr>
          <w:rFonts w:ascii="Arial" w:hAnsi="Arial" w:cs="Arial"/>
          <w:b/>
          <w:lang w:eastAsia="es-ES"/>
        </w:rPr>
        <w:t>Cuarto.- Estatuto Orgánico del Instituto Federal de Telecomunicaciones.</w:t>
      </w:r>
      <w:r w:rsidRPr="00B62DFE">
        <w:rPr>
          <w:rFonts w:ascii="Arial" w:hAnsi="Arial" w:cs="Arial"/>
          <w:lang w:eastAsia="es-ES"/>
        </w:rPr>
        <w:t xml:space="preserve"> El 4 de septiembre de 2014 se publicó en el DOF el “ESTATUTO Orgánico del Instituto Federal de Telecomunicaciones”, mismo que entró en vigor el 26 de septiembre de 2014, cuya última modifi</w:t>
      </w:r>
      <w:r w:rsidR="00AB649A">
        <w:rPr>
          <w:rFonts w:ascii="Arial" w:hAnsi="Arial" w:cs="Arial"/>
          <w:lang w:eastAsia="es-ES"/>
        </w:rPr>
        <w:t xml:space="preserve">cación fue publicada en el DOF </w:t>
      </w:r>
      <w:r w:rsidRPr="00B62DFE">
        <w:rPr>
          <w:rFonts w:ascii="Arial" w:hAnsi="Arial" w:cs="Arial"/>
          <w:lang w:eastAsia="es-ES"/>
        </w:rPr>
        <w:t>2 de octubre de 2020.</w:t>
      </w:r>
    </w:p>
    <w:p w14:paraId="0CC37D93" w14:textId="2D1FFE5F" w:rsidR="00852170" w:rsidRDefault="00852170" w:rsidP="001B163B">
      <w:pPr>
        <w:spacing w:after="0"/>
        <w:jc w:val="both"/>
        <w:rPr>
          <w:rFonts w:ascii="Arial" w:hAnsi="Arial" w:cs="Arial"/>
          <w:lang w:eastAsia="es-ES"/>
        </w:rPr>
      </w:pPr>
    </w:p>
    <w:p w14:paraId="4F38E8C4" w14:textId="77777777" w:rsidR="00852170" w:rsidRPr="00440D36" w:rsidRDefault="00852170" w:rsidP="00852170">
      <w:pPr>
        <w:widowControl w:val="0"/>
        <w:contextualSpacing/>
        <w:jc w:val="both"/>
        <w:rPr>
          <w:rFonts w:ascii="Arial" w:eastAsia="Times New Roman" w:hAnsi="Arial" w:cs="Arial"/>
        </w:rPr>
      </w:pPr>
      <w:r w:rsidRPr="00B62DFE">
        <w:rPr>
          <w:rFonts w:ascii="Arial" w:eastAsia="Times New Roman" w:hAnsi="Arial" w:cs="Arial"/>
          <w:b/>
        </w:rPr>
        <w:t>Quinto.- Primer Resolución Bienal.</w:t>
      </w:r>
      <w:r w:rsidRPr="00B62DFE">
        <w:rPr>
          <w:rFonts w:ascii="Arial" w:eastAsia="Times New Roman" w:hAnsi="Arial" w:cs="Arial"/>
        </w:rPr>
        <w:t xml:space="preserve"> El 27 de febrero de 2017 el Pleno del Instituto en su IV Sesión Extraordinaria aprobó mediante Acuerdo P/IFT/EXT/270217/119 la </w:t>
      </w:r>
      <w:r w:rsidRPr="00B62DFE">
        <w:rPr>
          <w:rFonts w:ascii="Arial" w:eastAsia="Times New Roman" w:hAnsi="Arial" w:cs="Arial"/>
          <w:i/>
        </w:rPr>
        <w:t>“RESOLUCIÓN MEDIANTE LA CUAL EL PLENO DEL INSTITUTO FEDERAL DE TELECOMUNICACIONES SUPRIME, MODIFICA Y ADICIONA LAS MEDIDAS IMPUESTAS AL AGENTE ECONÓMICO PREPONDERANTE EN EL SECTOR DE TELECOMUNICACIONES MEDIANTE RESOLUCIÓN D</w:t>
      </w:r>
      <w:r w:rsidRPr="00440D36">
        <w:rPr>
          <w:rFonts w:ascii="Arial" w:eastAsia="Times New Roman" w:hAnsi="Arial" w:cs="Arial"/>
          <w:i/>
        </w:rPr>
        <w:t xml:space="preserve">E FECHA 6 DE MARZO DE 2014, APROBADA MEDIANTE ACUERDO P /IFT/EXT /060314/76.” </w:t>
      </w:r>
      <w:r w:rsidRPr="00BC12B4">
        <w:rPr>
          <w:rFonts w:ascii="Arial" w:eastAsia="Times New Roman" w:hAnsi="Arial" w:cs="Arial"/>
        </w:rPr>
        <w:t>(en lo sucesivo, “Primer Resolución Bienal”)</w:t>
      </w:r>
      <w:r w:rsidRPr="00440D36">
        <w:rPr>
          <w:rFonts w:ascii="Arial" w:eastAsia="Times New Roman" w:hAnsi="Arial" w:cs="Arial"/>
          <w:i/>
        </w:rPr>
        <w:t>.</w:t>
      </w:r>
    </w:p>
    <w:p w14:paraId="55468889" w14:textId="77777777" w:rsidR="00852170" w:rsidRPr="00440D36" w:rsidRDefault="00852170" w:rsidP="00852170">
      <w:pPr>
        <w:widowControl w:val="0"/>
        <w:contextualSpacing/>
        <w:jc w:val="both"/>
        <w:rPr>
          <w:rFonts w:ascii="Arial" w:eastAsia="Times New Roman" w:hAnsi="Arial" w:cs="Arial"/>
        </w:rPr>
      </w:pPr>
    </w:p>
    <w:p w14:paraId="3F6E6079" w14:textId="318B3DDB" w:rsidR="00852170" w:rsidRDefault="00852170" w:rsidP="00852170">
      <w:pPr>
        <w:spacing w:after="0"/>
        <w:jc w:val="both"/>
        <w:rPr>
          <w:rFonts w:ascii="Arial" w:eastAsia="Times New Roman" w:hAnsi="Arial" w:cs="Arial"/>
        </w:rPr>
      </w:pPr>
      <w:r w:rsidRPr="00440D36">
        <w:rPr>
          <w:rFonts w:ascii="Arial" w:eastAsia="Times New Roman" w:hAnsi="Arial" w:cs="Arial"/>
        </w:rPr>
        <w:t xml:space="preserve">La Resolución Bienal contiene, entre otros, el Anexo 3 en el que se </w:t>
      </w:r>
      <w:r w:rsidRPr="00440D36">
        <w:rPr>
          <w:rFonts w:ascii="Arial" w:eastAsia="Times New Roman" w:hAnsi="Arial" w:cs="Arial"/>
          <w:b/>
        </w:rPr>
        <w:t>MODIFICAN</w:t>
      </w:r>
      <w:r w:rsidRPr="00440D36">
        <w:rPr>
          <w:rFonts w:ascii="Arial" w:eastAsia="Times New Roman" w:hAnsi="Arial" w:cs="Arial"/>
        </w:rPr>
        <w:t xml:space="preserve"> las medidas SEGUNDA, TERCERA, primer párrafo, incisos 4), 14), 15) y último párrafo, CUARTA, QUINTA, UNDÉCIMA, DECIMOSEXTA, DECIMOCTAVA, VIGÉSIMA, VIGÉSIMA QUINTA, VIGÉSIMA SEXTA, VIGÉSIMA SÉPTIMA, PRIMER PÁRRAFO, VIGÉSIMA NOVENA, TRIGÉSIMA, TRIGÉSIMA PRIMERA, TRIGÉSIMA TERCERA, TRIGÉSIMA CUARTA, TRIGÉSIMA SEXTA, SEGUNDO PÁRRAFO, TRIGÉSIMA NOVENA Y CUADRAGÉSIMA PRIMERA; se </w:t>
      </w:r>
      <w:r w:rsidRPr="00440D36">
        <w:rPr>
          <w:rFonts w:ascii="Arial" w:eastAsia="Times New Roman" w:hAnsi="Arial" w:cs="Arial"/>
          <w:b/>
        </w:rPr>
        <w:t>ADICIONAN</w:t>
      </w:r>
      <w:r w:rsidRPr="00440D36">
        <w:rPr>
          <w:rFonts w:ascii="Arial" w:eastAsia="Times New Roman" w:hAnsi="Arial" w:cs="Arial"/>
        </w:rPr>
        <w:t xml:space="preserve"> la medida TERCERA, incisos 1.1), 2.1), 3.1), 4.1), 5.1), 6.1), 7.1), 7.2), 7.3),14.1) y 15.1) y CUADRAGÉSIMA SEXTA a QUINCUAGÉSIMA PRIMERA, y se </w:t>
      </w:r>
      <w:r w:rsidRPr="00440D36">
        <w:rPr>
          <w:rFonts w:ascii="Arial" w:eastAsia="Times New Roman" w:hAnsi="Arial" w:cs="Arial"/>
          <w:b/>
        </w:rPr>
        <w:t>SUPRIMEN</w:t>
      </w:r>
      <w:r w:rsidRPr="00440D36">
        <w:rPr>
          <w:rFonts w:ascii="Arial" w:eastAsia="Times New Roman" w:hAnsi="Arial" w:cs="Arial"/>
        </w:rPr>
        <w:t xml:space="preserve"> la medida TERCERA, incisos 6), 7) y 17), todas ellas del Anexo 3 de la Resolución AEP.</w:t>
      </w:r>
    </w:p>
    <w:p w14:paraId="45D0BD2B" w14:textId="6D3A5E14" w:rsidR="00852170" w:rsidRDefault="00852170" w:rsidP="00852170">
      <w:pPr>
        <w:spacing w:after="0"/>
        <w:jc w:val="both"/>
        <w:rPr>
          <w:rFonts w:ascii="Arial" w:eastAsia="Times New Roman" w:hAnsi="Arial" w:cs="Arial"/>
        </w:rPr>
      </w:pPr>
    </w:p>
    <w:p w14:paraId="73381EF2" w14:textId="44725540" w:rsidR="00852170" w:rsidRDefault="00852170" w:rsidP="00852170">
      <w:pPr>
        <w:spacing w:after="0"/>
        <w:jc w:val="both"/>
        <w:rPr>
          <w:rFonts w:ascii="Arial" w:eastAsia="Times New Roman" w:hAnsi="Arial" w:cs="Arial"/>
        </w:rPr>
      </w:pPr>
      <w:r w:rsidRPr="00440D36">
        <w:rPr>
          <w:rFonts w:ascii="Arial" w:hAnsi="Arial" w:cs="Arial"/>
          <w:b/>
          <w:lang w:val="es-ES_tradnl" w:eastAsia="es-ES"/>
        </w:rPr>
        <w:t>Sexto.- Acuerdo para la implementación del Plan de Separación Funcional</w:t>
      </w:r>
      <w:r w:rsidRPr="00440D36">
        <w:rPr>
          <w:rFonts w:ascii="Arial" w:eastAsia="Times New Roman" w:hAnsi="Arial" w:cs="Arial"/>
          <w:b/>
        </w:rPr>
        <w:t xml:space="preserve">. </w:t>
      </w:r>
      <w:r w:rsidRPr="00440D36">
        <w:rPr>
          <w:rFonts w:ascii="Arial" w:eastAsia="Times New Roman" w:hAnsi="Arial" w:cs="Arial"/>
        </w:rPr>
        <w:t>El 27 de febrero de 2018 el Pleno de este Instituto, en su VII Sesión Ordinaria aprobó mediante Acuerdo P/IFT/270218/130 el “</w:t>
      </w:r>
      <w:r w:rsidRPr="00440D36">
        <w:rPr>
          <w:rFonts w:ascii="Arial" w:eastAsia="Times New Roman" w:hAnsi="Arial" w:cs="Arial"/>
          <w:i/>
        </w:rPr>
        <w:t xml:space="preserve">ACUERDO MEDIANTE EL CUAL EL PLENO DEL INSTITUTO FEDERAL DE TELECOMUNICACIONES RESUELVE SOBRE EL PLAN FINAL DE IMPLEMENTACIÓN DE SEPARACIÓN FUNCIONAL Y OTROS PLANTEAMIENTOS PRESENTADOS POR AMÉRICA MOVIL, S.A.B. DE C.V., TELÉFONOS DE MÉXICO, S.A.B. DE C.V., Y TELÉFONOS DEL NOROESTE, S.A. DE C.V., EN TÉRMINOS DE LAS MEDIDAS SEXAGÉSIMA QUINTA Y </w:t>
      </w:r>
      <w:r w:rsidRPr="00440D36">
        <w:rPr>
          <w:rFonts w:ascii="Arial" w:eastAsia="Times New Roman" w:hAnsi="Arial" w:cs="Arial"/>
          <w:i/>
        </w:rPr>
        <w:lastRenderedPageBreak/>
        <w:t>SEGUNDA TRANSITORIA DEL ANEXO 2 Y CUADRAGÉSIMA SÉPTIMA Y SEGUNDA TRANSITORIA DEL ANEXO 3 ESTABLECIDAS MEDIANTE ACUERDO P/IFT/EXT/270217/119”</w:t>
      </w:r>
      <w:r w:rsidRPr="00440D36">
        <w:rPr>
          <w:rFonts w:ascii="Arial" w:eastAsia="Times New Roman" w:hAnsi="Arial" w:cs="Arial"/>
        </w:rPr>
        <w:t xml:space="preserve"> (en lo sucesivo, “Acuerdo de Separación Funcional”).</w:t>
      </w:r>
    </w:p>
    <w:p w14:paraId="713D59E1" w14:textId="71D530CC" w:rsidR="00852170" w:rsidRDefault="00852170" w:rsidP="00852170">
      <w:pPr>
        <w:spacing w:after="0"/>
        <w:jc w:val="both"/>
        <w:rPr>
          <w:rFonts w:ascii="Arial" w:eastAsia="Times New Roman" w:hAnsi="Arial" w:cs="Arial"/>
        </w:rPr>
      </w:pPr>
    </w:p>
    <w:p w14:paraId="796A72ED" w14:textId="5BC32E35" w:rsidR="00852170" w:rsidRPr="003E4E7F" w:rsidRDefault="00852170" w:rsidP="003E4E7F">
      <w:pPr>
        <w:spacing w:after="0" w:line="240" w:lineRule="auto"/>
        <w:jc w:val="both"/>
        <w:rPr>
          <w:rFonts w:ascii="Times New Roman" w:eastAsiaTheme="minorHAnsi" w:hAnsi="Times New Roman"/>
          <w:sz w:val="24"/>
          <w:szCs w:val="24"/>
          <w:lang w:val="es-MX" w:eastAsia="es-MX"/>
        </w:rPr>
      </w:pPr>
      <w:r w:rsidRPr="00440D36">
        <w:rPr>
          <w:rFonts w:ascii="Arial" w:hAnsi="Arial" w:cs="Arial"/>
          <w:b/>
          <w:lang w:val="es-ES_tradnl" w:eastAsia="es-ES"/>
        </w:rPr>
        <w:t>Séptimo.- Segunda Resolución Bienal</w:t>
      </w:r>
      <w:r w:rsidRPr="00440D36">
        <w:rPr>
          <w:rFonts w:ascii="Arial" w:eastAsia="Times New Roman" w:hAnsi="Arial" w:cs="Arial"/>
          <w:b/>
        </w:rPr>
        <w:t>.</w:t>
      </w:r>
      <w:r w:rsidR="000C037D">
        <w:rPr>
          <w:rFonts w:ascii="Arial" w:eastAsia="Times New Roman" w:hAnsi="Arial" w:cs="Arial"/>
        </w:rPr>
        <w:t xml:space="preserve"> El</w:t>
      </w:r>
      <w:r w:rsidRPr="00440D36">
        <w:rPr>
          <w:rFonts w:ascii="Arial" w:eastAsia="Times New Roman" w:hAnsi="Arial" w:cs="Arial"/>
        </w:rPr>
        <w:t xml:space="preserve"> 03</w:t>
      </w:r>
      <w:r w:rsidR="000C037D">
        <w:rPr>
          <w:rFonts w:ascii="Arial" w:eastAsia="Times New Roman" w:hAnsi="Arial" w:cs="Arial"/>
        </w:rPr>
        <w:t xml:space="preserve"> </w:t>
      </w:r>
      <w:r w:rsidRPr="00440D36">
        <w:rPr>
          <w:rFonts w:ascii="Arial" w:eastAsia="Times New Roman" w:hAnsi="Arial" w:cs="Arial"/>
        </w:rPr>
        <w:t>de diciembre de 2020 el Pleno del Instituto en su XXIV Sesión Ordinaria aprobó mediante Acuerdo P</w:t>
      </w:r>
      <w:r w:rsidR="00B47466">
        <w:rPr>
          <w:rFonts w:ascii="Arial" w:eastAsia="Times New Roman" w:hAnsi="Arial" w:cs="Arial"/>
        </w:rPr>
        <w:t>/IFT</w:t>
      </w:r>
      <w:r w:rsidRPr="00440D36">
        <w:rPr>
          <w:rFonts w:ascii="Arial" w:eastAsia="Times New Roman" w:hAnsi="Arial" w:cs="Arial"/>
        </w:rPr>
        <w:t>/021220/488 la</w:t>
      </w:r>
      <w:r>
        <w:rPr>
          <w:rFonts w:ascii="Times New Roman" w:eastAsiaTheme="minorHAnsi" w:hAnsi="Times New Roman"/>
          <w:sz w:val="24"/>
          <w:szCs w:val="24"/>
          <w:lang w:val="es-MX" w:eastAsia="es-MX"/>
        </w:rPr>
        <w:t xml:space="preserve"> </w:t>
      </w:r>
      <w:r w:rsidRPr="00440D36">
        <w:rPr>
          <w:rFonts w:ascii="Arial" w:eastAsia="Times New Roman" w:hAnsi="Arial" w:cs="Arial"/>
          <w:i/>
        </w:rPr>
        <w:t>“RESOLUCIÓN MEDIANTE LA CUAL EL PLENO DEL INSTITUTO FEDERAL</w:t>
      </w:r>
      <w:bookmarkStart w:id="0" w:name="_GoBack"/>
      <w:bookmarkEnd w:id="0"/>
      <w:r w:rsidRPr="00440D36">
        <w:rPr>
          <w:rFonts w:ascii="Arial" w:eastAsia="Times New Roman" w:hAnsi="Arial" w:cs="Arial"/>
          <w:i/>
        </w:rPr>
        <w:t xml:space="preserve"> DE TELECOMUNICACIONES SUPRIME, MODIFICA Y ADICIONA LAS MEDIDAS IMPUESTAS AL AGENTE ECONÓMICO PREPONDERANTE EN EL SECTOR DE TELECOMUNICACIONES MEDIANTE ACUERDOS P/IFT/EXT/060314/76 y P/IFT/EXT/270217/119.” (en lo sucesivo, “Segunda Resolución Bienal”).</w:t>
      </w:r>
    </w:p>
    <w:p w14:paraId="03C7EF47" w14:textId="77777777" w:rsidR="00852170" w:rsidRPr="00440D36" w:rsidRDefault="00852170" w:rsidP="00852170">
      <w:pPr>
        <w:widowControl w:val="0"/>
        <w:contextualSpacing/>
        <w:jc w:val="both"/>
        <w:rPr>
          <w:rFonts w:ascii="Arial" w:eastAsia="Times New Roman" w:hAnsi="Arial" w:cs="Arial"/>
        </w:rPr>
      </w:pPr>
    </w:p>
    <w:p w14:paraId="28332FF7" w14:textId="053791D0" w:rsidR="00852170" w:rsidRPr="00B62DFE" w:rsidRDefault="00852170" w:rsidP="00852170">
      <w:pPr>
        <w:widowControl w:val="0"/>
        <w:contextualSpacing/>
        <w:jc w:val="both"/>
        <w:rPr>
          <w:rFonts w:ascii="Arial" w:eastAsia="Times New Roman" w:hAnsi="Arial" w:cs="Arial"/>
        </w:rPr>
      </w:pPr>
      <w:r w:rsidRPr="00440D36">
        <w:rPr>
          <w:rFonts w:ascii="Arial" w:eastAsia="Times New Roman" w:hAnsi="Arial" w:cs="Arial"/>
        </w:rPr>
        <w:t xml:space="preserve">La </w:t>
      </w:r>
      <w:r w:rsidR="007F2CC2">
        <w:rPr>
          <w:rFonts w:ascii="Arial" w:eastAsia="Times New Roman" w:hAnsi="Arial" w:cs="Arial"/>
        </w:rPr>
        <w:t xml:space="preserve">Segunda </w:t>
      </w:r>
      <w:r w:rsidRPr="00440D36">
        <w:rPr>
          <w:rFonts w:ascii="Arial" w:eastAsia="Times New Roman" w:hAnsi="Arial" w:cs="Arial"/>
        </w:rPr>
        <w:t xml:space="preserve">Resolución Bienal contiene, entre otros, el Anexo 3 en el que se </w:t>
      </w:r>
      <w:r w:rsidRPr="00440D36">
        <w:rPr>
          <w:rFonts w:ascii="Arial" w:eastAsia="Times New Roman" w:hAnsi="Arial" w:cs="Arial"/>
          <w:b/>
        </w:rPr>
        <w:t>MODIFICAN</w:t>
      </w:r>
      <w:r w:rsidRPr="00440D36">
        <w:rPr>
          <w:rFonts w:ascii="Arial" w:eastAsia="Times New Roman" w:hAnsi="Arial" w:cs="Arial"/>
        </w:rPr>
        <w:t xml:space="preserve"> las medidas TERCERA, inciso 1.1.) del primer pár</w:t>
      </w:r>
      <w:r w:rsidRPr="00B62DFE">
        <w:rPr>
          <w:rFonts w:ascii="Arial" w:eastAsia="Times New Roman" w:hAnsi="Arial" w:cs="Arial"/>
        </w:rPr>
        <w:t xml:space="preserve">rafo; CUARTA, primer y segundo párrafos; QUINTA, incisos h) e i) del segundo párrafo, tercer, cuarto y actuales quinto y séptimo párrafos; SEXTA, primer párrafo; SÉPTIMA; OCTAVA; NOVENA, primer, sexto y séptimo párrafos; DECIMOSEXTA, primer, segundo, tercer, noveno y décimo párrafos DECIMOSEPTIMA; DECIMONOVENA; VIGÉSIMA; VIGÉSIMA SEGUNDA, primer párrafo; VIGÉSIMA OCTAVA, primer párrafo; VIGÉSIMA NOVENA; TRIGÉSIMA PRIMERA; TRIGÉSIMA SÉPTIMA; TRIGÉSIMA NOVENA, primer y segundo párrafos, CUADRAGÉSIMA PRIMERA; CUADRAGESIMA SEGUNDA, primer párrafo; CUADRAGÉSIMA OCTAVA, fracción II del primer párrafo;  CUADRAGÉSIMA NOVENA, quinto párrafo; QUINCOAGÉSIMA, segundo y tercer párrafos; se </w:t>
      </w:r>
      <w:r w:rsidRPr="00B62DFE">
        <w:rPr>
          <w:rFonts w:ascii="Arial" w:eastAsia="Times New Roman" w:hAnsi="Arial" w:cs="Arial"/>
          <w:b/>
        </w:rPr>
        <w:t xml:space="preserve">ADICIONAN </w:t>
      </w:r>
      <w:r w:rsidRPr="00B62DFE">
        <w:rPr>
          <w:rFonts w:ascii="Arial" w:eastAsia="Times New Roman" w:hAnsi="Arial" w:cs="Arial"/>
        </w:rPr>
        <w:t xml:space="preserve">las medidas TERCERA, inciso 2.2) del primer párrafo; QUINTA, incisos j) y k) del segundo párrafo, quinto párrafo y se recorren los párrafos subsecuentes; QUINTA BIS; SEXTA, tercer párrafo; DÉCIMOSEXTA BIS; DECIMOSEXTA TER; DECIMO SEXTA QUÁRTER; DECIMOSEXTA QUINQUIES; DECIMOSEXTA SEXIES; VIGÉSIMA SEGUNDA BIS; VIGÉSIMA OCTAVA, segundo párrafo; TRIGÉSIMA NOVENA, cuarto, quinto, sexto y séptimo párrafos y se recorre el párrafo subsecuente; CUADRAGÉSIMA NOVENA, sexto párrafo; QUINCUAGÉSIMA, quinto y sexto párrafos; QUINCOAGÉSIMA SEGUNDA; y se </w:t>
      </w:r>
      <w:r w:rsidRPr="00B62DFE">
        <w:rPr>
          <w:rFonts w:ascii="Arial" w:eastAsia="Times New Roman" w:hAnsi="Arial" w:cs="Arial"/>
          <w:b/>
        </w:rPr>
        <w:t xml:space="preserve">SUPRIMEN </w:t>
      </w:r>
      <w:r w:rsidRPr="00B62DFE">
        <w:rPr>
          <w:rFonts w:ascii="Arial" w:eastAsia="Times New Roman" w:hAnsi="Arial" w:cs="Arial"/>
        </w:rPr>
        <w:t>las medidas SEXTA, segundo párrafo, NOVENA, segundo, tercer, cuarto y quinto párrafos; UNDÉCIMA, cuarto párrafo, VIGÉSIMA SEGUNDA, segundo y tercer párrafos; VIGÉSIMA QUINTA; VIGÉSIMA SÉPTIMA, segundo y tercer párrafos; y CUADRAGÉSIMA SEXTA; todas ellas del Anexo 3 denominado “MEDIDAS QUE PERMITEN LA DESAGREGACIÓN EFECTIVA DE LA RED LOCAL DEL AGENTE ECONÓMICO PREPONDERANTE EN TELECOMUNICACIONES DE MANERA QUE OTROS CONCESIONARIOS DE TELECOMUNICACIONES PUEDAN ACCEDER, ENTRE OTROS, A LOS MEDIOS FÍSICOS, TÉCNICOS Y LÓGICOS DE CONEXIÓN ENTRE CUALQUIER PUNTO TERMINAL DE LA RED PÚBLICA DE TELECOMUNICACIONES Y EL PUNTO DE ACCESO A LA RED LOCAL PERTENECIENTE A DICHOO AGENTE”, que forma parte integrante de la Resolución aprobada el 6 de marzo de 2014 por el Pleno de este Instituto mediante Acuerdo P/IFT/EXT/060314/76, así como de sus modificaciones , adiciones y supresiones previstas en el Acuerdo P/IFT/EXT/270217/119.</w:t>
      </w:r>
    </w:p>
    <w:p w14:paraId="4EC3E0E9" w14:textId="77777777" w:rsidR="00852170" w:rsidRPr="00B62DFE" w:rsidRDefault="00852170" w:rsidP="00852170">
      <w:pPr>
        <w:widowControl w:val="0"/>
        <w:contextualSpacing/>
        <w:jc w:val="both"/>
        <w:rPr>
          <w:rFonts w:ascii="Arial" w:eastAsia="Times New Roman" w:hAnsi="Arial" w:cs="Arial"/>
        </w:rPr>
      </w:pPr>
    </w:p>
    <w:p w14:paraId="1ABDE851" w14:textId="59955D32" w:rsidR="00852170" w:rsidRDefault="00852170" w:rsidP="00852170">
      <w:pPr>
        <w:spacing w:after="0"/>
        <w:jc w:val="both"/>
        <w:rPr>
          <w:rFonts w:ascii="Arial" w:eastAsia="Times New Roman" w:hAnsi="Arial" w:cs="Arial"/>
        </w:rPr>
      </w:pPr>
      <w:r w:rsidRPr="00B62DFE">
        <w:rPr>
          <w:rFonts w:ascii="Arial" w:eastAsia="Times New Roman" w:hAnsi="Arial" w:cs="Arial"/>
        </w:rPr>
        <w:t>Para efectos del presente Acuerdo s</w:t>
      </w:r>
      <w:r w:rsidRPr="00440D36">
        <w:rPr>
          <w:rFonts w:ascii="Arial" w:eastAsia="Times New Roman" w:hAnsi="Arial" w:cs="Arial"/>
        </w:rPr>
        <w:t>e le denominará de manera integral “Medidas de Desagregación” a las emitidas como parte del Anexo 3 de la Resolución AEP, así como a las modificaciones realizadas en el Anexo 3 de la Segunda R</w:t>
      </w:r>
      <w:r w:rsidRPr="00B62DFE">
        <w:rPr>
          <w:rFonts w:ascii="Arial" w:eastAsia="Times New Roman" w:hAnsi="Arial" w:cs="Arial"/>
        </w:rPr>
        <w:t>esolución Bienal.</w:t>
      </w:r>
    </w:p>
    <w:p w14:paraId="3D545FEF" w14:textId="77777777" w:rsidR="00156C3A" w:rsidRPr="001B163B" w:rsidRDefault="00156C3A" w:rsidP="001B163B">
      <w:pPr>
        <w:spacing w:after="0"/>
        <w:jc w:val="center"/>
        <w:rPr>
          <w:rFonts w:ascii="Arial" w:hAnsi="Arial" w:cs="Arial"/>
          <w:kern w:val="1"/>
          <w:lang w:eastAsia="ar-SA"/>
        </w:rPr>
      </w:pPr>
    </w:p>
    <w:p w14:paraId="75D73165" w14:textId="77777777" w:rsidR="001B163B" w:rsidRPr="001B163B" w:rsidRDefault="001B163B" w:rsidP="001B163B">
      <w:pPr>
        <w:spacing w:after="0"/>
        <w:jc w:val="center"/>
        <w:rPr>
          <w:rFonts w:ascii="Arial" w:hAnsi="Arial" w:cs="Arial"/>
          <w:kern w:val="1"/>
          <w:lang w:eastAsia="ar-SA"/>
        </w:rPr>
      </w:pPr>
    </w:p>
    <w:p w14:paraId="5B8EDA03" w14:textId="77777777" w:rsidR="001B163B" w:rsidRPr="001B163B" w:rsidRDefault="001B163B" w:rsidP="001B163B">
      <w:pPr>
        <w:spacing w:after="0"/>
        <w:jc w:val="center"/>
        <w:rPr>
          <w:rFonts w:ascii="Arial" w:eastAsia="Times New Roman" w:hAnsi="Arial" w:cs="Arial"/>
          <w:b/>
          <w:sz w:val="26"/>
          <w:szCs w:val="26"/>
          <w:lang w:eastAsia="es-MX"/>
        </w:rPr>
      </w:pPr>
      <w:r w:rsidRPr="001B163B">
        <w:rPr>
          <w:rFonts w:ascii="Arial" w:eastAsia="Times New Roman" w:hAnsi="Arial" w:cs="Arial"/>
          <w:b/>
          <w:sz w:val="26"/>
          <w:szCs w:val="26"/>
          <w:lang w:eastAsia="es-MX"/>
        </w:rPr>
        <w:t>Considerando</w:t>
      </w:r>
    </w:p>
    <w:p w14:paraId="23A860D4" w14:textId="77FEAA4E" w:rsidR="00B47466" w:rsidRDefault="00B47466" w:rsidP="001B163B">
      <w:pPr>
        <w:spacing w:after="0"/>
        <w:jc w:val="center"/>
        <w:rPr>
          <w:rFonts w:ascii="Arial" w:eastAsia="Times New Roman" w:hAnsi="Arial" w:cs="Arial"/>
          <w:lang w:eastAsia="es-MX"/>
        </w:rPr>
      </w:pPr>
    </w:p>
    <w:p w14:paraId="7FD86173" w14:textId="77777777" w:rsidR="00B47466" w:rsidRPr="001B163B" w:rsidRDefault="00B47466" w:rsidP="001B163B">
      <w:pPr>
        <w:spacing w:after="0"/>
        <w:jc w:val="center"/>
        <w:rPr>
          <w:rFonts w:ascii="Arial" w:eastAsia="Times New Roman" w:hAnsi="Arial" w:cs="Arial"/>
          <w:lang w:eastAsia="es-MX"/>
        </w:rPr>
      </w:pPr>
    </w:p>
    <w:p w14:paraId="5AA6A75D" w14:textId="2BAFD9A2" w:rsidR="00852170" w:rsidRDefault="001B163B" w:rsidP="00852170">
      <w:pPr>
        <w:spacing w:after="0"/>
        <w:jc w:val="both"/>
        <w:rPr>
          <w:rFonts w:ascii="Arial" w:hAnsi="Arial" w:cs="Arial"/>
          <w:bCs/>
        </w:rPr>
      </w:pPr>
      <w:r w:rsidRPr="001B163B">
        <w:rPr>
          <w:rFonts w:ascii="Arial" w:hAnsi="Arial" w:cs="Arial"/>
          <w:b/>
        </w:rPr>
        <w:t xml:space="preserve">Primero.- </w:t>
      </w:r>
      <w:r w:rsidR="00852170" w:rsidRPr="00B62DFE">
        <w:rPr>
          <w:rFonts w:ascii="Arial" w:hAnsi="Arial" w:cs="Arial"/>
          <w:b/>
          <w:bCs/>
        </w:rPr>
        <w:t>Competencia del Instituto.</w:t>
      </w:r>
      <w:r w:rsidR="00852170" w:rsidRPr="00B62DFE">
        <w:rPr>
          <w:rFonts w:ascii="Arial" w:hAnsi="Arial" w:cs="Arial"/>
          <w:bCs/>
        </w:rPr>
        <w:t xml:space="preserve"> De conformidad con el artículo 28, párrafo décimo quinto y décimo sexto de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143CF04C" w14:textId="77777777" w:rsidR="00852170" w:rsidRPr="00B62DFE" w:rsidRDefault="00852170" w:rsidP="00852170">
      <w:pPr>
        <w:spacing w:after="0"/>
        <w:jc w:val="both"/>
        <w:rPr>
          <w:rFonts w:ascii="Arial" w:hAnsi="Arial" w:cs="Arial"/>
          <w:bCs/>
        </w:rPr>
      </w:pPr>
    </w:p>
    <w:p w14:paraId="3E5C8E5E" w14:textId="5DD2D3BA" w:rsidR="00852170" w:rsidRDefault="00852170" w:rsidP="00852170">
      <w:pPr>
        <w:spacing w:after="0"/>
        <w:jc w:val="both"/>
        <w:rPr>
          <w:rFonts w:ascii="Arial" w:hAnsi="Arial" w:cs="Arial"/>
          <w:bCs/>
        </w:rPr>
      </w:pPr>
      <w:r w:rsidRPr="00B62DFE">
        <w:rPr>
          <w:rFonts w:ascii="Arial" w:hAnsi="Arial" w:cs="Arial"/>
          <w:bCs/>
        </w:rPr>
        <w:t xml:space="preserve">Para tal efecto, en términos del precepto constitucional invocado, así como el artículo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w:t>
      </w:r>
    </w:p>
    <w:p w14:paraId="7C117503" w14:textId="77777777" w:rsidR="00852170" w:rsidRPr="00B62DFE" w:rsidRDefault="00852170" w:rsidP="00852170">
      <w:pPr>
        <w:spacing w:after="0"/>
        <w:jc w:val="both"/>
        <w:rPr>
          <w:rFonts w:ascii="Arial" w:hAnsi="Arial" w:cs="Arial"/>
          <w:bCs/>
          <w:i/>
        </w:rPr>
      </w:pPr>
    </w:p>
    <w:p w14:paraId="2DCC710E" w14:textId="5544214C" w:rsidR="00852170" w:rsidRDefault="00852170" w:rsidP="00852170">
      <w:pPr>
        <w:spacing w:after="0"/>
        <w:jc w:val="both"/>
        <w:rPr>
          <w:rFonts w:ascii="Arial" w:hAnsi="Arial" w:cs="Arial"/>
          <w:bCs/>
        </w:rPr>
      </w:pPr>
      <w:r w:rsidRPr="00B62DFE">
        <w:rPr>
          <w:rFonts w:ascii="Arial" w:hAnsi="Arial" w:cs="Arial"/>
          <w:bCs/>
        </w:rPr>
        <w:t>Asimismo, es autoridad en materia de competencia económica de los sectores de radiodifusión y telecomunicaciones, por lo que en éstos regulará de forma asimétrica a los participantes en estos mercados con el objeto de eliminar eficazmente las barreras a la competencia y la libre concurrencia; impondrá límites a la concentración nacional y regional de frecuencias, al concesionamiento y a la propiedad cruzada que controle varios medios de comunicación que sean concesionarios de radiodifusión y telecomunicaciones que sirvan a un mismo mercado o zona de cobertura geográfica, y ordenará la desincorporación de activos, derechos o partes necesarias para asegurar el cumplimiento de estos límites, garantizando lo establecido en los artículos 6o. y 7o. de la Constitución.</w:t>
      </w:r>
    </w:p>
    <w:p w14:paraId="31BE3DD2" w14:textId="77777777" w:rsidR="00852170" w:rsidRPr="00B62DFE" w:rsidRDefault="00852170" w:rsidP="00852170">
      <w:pPr>
        <w:spacing w:after="0"/>
        <w:jc w:val="both"/>
        <w:rPr>
          <w:rFonts w:ascii="Arial" w:hAnsi="Arial" w:cs="Arial"/>
          <w:bCs/>
        </w:rPr>
      </w:pPr>
    </w:p>
    <w:p w14:paraId="575A285C" w14:textId="11CA3C15" w:rsidR="00852170" w:rsidRDefault="00852170" w:rsidP="00852170">
      <w:pPr>
        <w:spacing w:after="0"/>
        <w:jc w:val="both"/>
        <w:rPr>
          <w:rFonts w:ascii="Arial" w:hAnsi="Arial" w:cs="Arial"/>
          <w:bCs/>
        </w:rPr>
      </w:pPr>
      <w:r w:rsidRPr="00B62DFE">
        <w:rPr>
          <w:rFonts w:ascii="Arial" w:hAnsi="Arial" w:cs="Arial"/>
          <w:bCs/>
        </w:rPr>
        <w:t>En cumplimiento a lo establecido en el artículo Octavo Transitorio, fracción III del Decreto y mediante la Resolución AEP, el Instituto determinó la existencia de Agentes Económicos Preponderantes en el sector de telecomunicaciones, e impuso las medidas necesarias para evitar que se afecte la competencia y la libre concurrencia y, con ello, a los usuarios finales. Dichas medidas incluyen las Medidas de Desagregación, mismas que están relacionadas con información, oferta y calidad de servicios, acuerdos en exclusiva, limitaciones al uso de equipos terminales entre redes, regulación asimétrica en tarifas e infraestructuras de red, incluyendo la desagregación de sus elementos esenciales y, en su caso, la separación contable, funcional o estructural de dichos agentes.</w:t>
      </w:r>
    </w:p>
    <w:p w14:paraId="166FA5A2" w14:textId="77777777" w:rsidR="00AB649A" w:rsidRDefault="00AB649A" w:rsidP="00852170">
      <w:pPr>
        <w:spacing w:after="0"/>
        <w:jc w:val="both"/>
        <w:rPr>
          <w:rFonts w:ascii="Arial" w:hAnsi="Arial" w:cs="Arial"/>
          <w:bCs/>
        </w:rPr>
      </w:pPr>
    </w:p>
    <w:p w14:paraId="528B0944" w14:textId="59681A21" w:rsidR="00F17D0A" w:rsidRPr="00B62DFE" w:rsidRDefault="001B163B" w:rsidP="00852170">
      <w:pPr>
        <w:jc w:val="both"/>
        <w:rPr>
          <w:rFonts w:ascii="Arial" w:hAnsi="Arial" w:cs="Arial"/>
          <w:color w:val="000000"/>
          <w:lang w:val="es-ES_tradnl" w:eastAsia="es-ES"/>
        </w:rPr>
      </w:pPr>
      <w:r w:rsidRPr="001B163B">
        <w:rPr>
          <w:rFonts w:ascii="Arial" w:hAnsi="Arial" w:cs="Arial"/>
          <w:b/>
        </w:rPr>
        <w:t xml:space="preserve">Segundo.- </w:t>
      </w:r>
      <w:r w:rsidR="00852170" w:rsidRPr="00B62DFE">
        <w:rPr>
          <w:rFonts w:ascii="Arial" w:hAnsi="Arial" w:cs="Arial"/>
          <w:b/>
          <w:bCs/>
        </w:rPr>
        <w:t>Medida TRIGÉSIMA NOVENA de las Medidas de Desagregación.</w:t>
      </w:r>
      <w:r w:rsidR="00852170" w:rsidRPr="00B62DFE">
        <w:rPr>
          <w:rFonts w:ascii="Arial" w:hAnsi="Arial" w:cs="Arial"/>
          <w:bCs/>
        </w:rPr>
        <w:t xml:space="preserve"> </w:t>
      </w:r>
      <w:r w:rsidR="00852170" w:rsidRPr="00B62DFE">
        <w:rPr>
          <w:rFonts w:ascii="Arial" w:hAnsi="Arial" w:cs="Arial"/>
          <w:color w:val="000000"/>
          <w:lang w:val="es-ES_tradnl" w:eastAsia="es-ES"/>
        </w:rPr>
        <w:t xml:space="preserve">Como parte de la Segunda </w:t>
      </w:r>
      <w:r w:rsidR="001A7A71" w:rsidRPr="00B62DFE">
        <w:rPr>
          <w:rFonts w:ascii="Arial" w:hAnsi="Arial" w:cs="Arial"/>
          <w:color w:val="000000"/>
          <w:lang w:val="es-ES_tradnl" w:eastAsia="es-ES"/>
        </w:rPr>
        <w:t>R</w:t>
      </w:r>
      <w:r w:rsidR="001A7A71">
        <w:rPr>
          <w:rFonts w:ascii="Arial" w:hAnsi="Arial" w:cs="Arial"/>
          <w:color w:val="000000"/>
          <w:lang w:val="es-ES_tradnl" w:eastAsia="es-ES"/>
        </w:rPr>
        <w:t>esolución</w:t>
      </w:r>
      <w:r w:rsidR="00852170" w:rsidRPr="00B62DFE">
        <w:rPr>
          <w:rFonts w:ascii="Arial" w:hAnsi="Arial" w:cs="Arial"/>
          <w:color w:val="000000"/>
          <w:lang w:val="es-ES_tradnl" w:eastAsia="es-ES"/>
        </w:rPr>
        <w:t xml:space="preserve"> Bienal el Instituto determinó modificar la Medida TRIGÉSIMA NOVENA de las Medidas de Desagregación (Anexo 3 de la Resolución AEP) con el fin de privilegiar la competencia entre concesionarios en aquellos municipios donde</w:t>
      </w:r>
      <w:r w:rsidR="00206387">
        <w:rPr>
          <w:rFonts w:ascii="Arial" w:hAnsi="Arial" w:cs="Arial"/>
          <w:color w:val="000000"/>
          <w:lang w:val="es-ES_tradnl" w:eastAsia="es-ES"/>
        </w:rPr>
        <w:t>,</w:t>
      </w:r>
      <w:r w:rsidR="00852170" w:rsidRPr="00B62DFE">
        <w:rPr>
          <w:rFonts w:ascii="Arial" w:hAnsi="Arial" w:cs="Arial"/>
          <w:color w:val="000000"/>
          <w:lang w:val="es-ES_tradnl" w:eastAsia="es-ES"/>
        </w:rPr>
        <w:t xml:space="preserve"> a partir del análisis de </w:t>
      </w:r>
      <w:r w:rsidR="00AB649A">
        <w:rPr>
          <w:rFonts w:ascii="Arial" w:hAnsi="Arial" w:cs="Arial"/>
          <w:color w:val="000000"/>
          <w:lang w:val="es-ES_tradnl" w:eastAsia="es-ES"/>
        </w:rPr>
        <w:t>diverso</w:t>
      </w:r>
      <w:r w:rsidR="007129EC">
        <w:rPr>
          <w:rFonts w:ascii="Arial" w:hAnsi="Arial" w:cs="Arial"/>
          <w:color w:val="000000"/>
          <w:lang w:val="es-ES_tradnl" w:eastAsia="es-ES"/>
        </w:rPr>
        <w:t xml:space="preserve">s </w:t>
      </w:r>
      <w:r w:rsidR="00AB649A">
        <w:rPr>
          <w:rFonts w:ascii="Arial" w:hAnsi="Arial" w:cs="Arial"/>
          <w:color w:val="000000"/>
          <w:lang w:val="es-ES_tradnl" w:eastAsia="es-ES"/>
        </w:rPr>
        <w:t>indicadores</w:t>
      </w:r>
      <w:r w:rsidR="00206387">
        <w:rPr>
          <w:rFonts w:ascii="Arial" w:hAnsi="Arial" w:cs="Arial"/>
          <w:color w:val="000000"/>
          <w:lang w:val="es-ES_tradnl" w:eastAsia="es-ES"/>
        </w:rPr>
        <w:t>,</w:t>
      </w:r>
      <w:r w:rsidR="00852170" w:rsidRPr="00B62DFE">
        <w:rPr>
          <w:rFonts w:ascii="Arial" w:hAnsi="Arial" w:cs="Arial"/>
          <w:color w:val="000000"/>
          <w:lang w:val="es-ES_tradnl" w:eastAsia="es-ES"/>
        </w:rPr>
        <w:t xml:space="preserve"> se aprecie que otorgar una mayor flexibilidad al AEP para determinar las tarifas por </w:t>
      </w:r>
      <w:r w:rsidR="00852170" w:rsidRPr="00B62DFE">
        <w:rPr>
          <w:rFonts w:ascii="Arial" w:hAnsi="Arial" w:cs="Arial"/>
          <w:color w:val="000000"/>
          <w:lang w:val="es-ES_tradnl" w:eastAsia="es-ES"/>
        </w:rPr>
        <w:lastRenderedPageBreak/>
        <w:t>servicios mayoristas de desagregación p</w:t>
      </w:r>
      <w:r w:rsidR="00BE5385">
        <w:rPr>
          <w:rFonts w:ascii="Arial" w:hAnsi="Arial" w:cs="Arial"/>
          <w:color w:val="000000"/>
          <w:lang w:val="es-ES_tradnl" w:eastAsia="es-ES"/>
        </w:rPr>
        <w:t>odrá</w:t>
      </w:r>
      <w:r w:rsidR="00852170" w:rsidRPr="00B62DFE">
        <w:rPr>
          <w:rFonts w:ascii="Arial" w:hAnsi="Arial" w:cs="Arial"/>
          <w:color w:val="000000"/>
          <w:lang w:val="es-ES_tradnl" w:eastAsia="es-ES"/>
        </w:rPr>
        <w:t xml:space="preserve"> generar mejores condiciones a los usuarios finales. Es así que la Medida TRIGÉSIMA NOVENA en cuestión fue aprobada en los siguientes términos:</w:t>
      </w:r>
    </w:p>
    <w:p w14:paraId="7B2B11CC" w14:textId="77777777" w:rsidR="00852170" w:rsidRPr="00B62DFE" w:rsidRDefault="00852170" w:rsidP="00852170">
      <w:pPr>
        <w:pStyle w:val="CitaTextual"/>
        <w:spacing w:before="0" w:after="0"/>
        <w:rPr>
          <w:rFonts w:cs="Arial"/>
        </w:rPr>
      </w:pPr>
      <w:r w:rsidRPr="00B62DFE">
        <w:rPr>
          <w:rFonts w:cs="Arial"/>
        </w:rPr>
        <w:t>“</w:t>
      </w:r>
      <w:r w:rsidRPr="00B62DFE">
        <w:rPr>
          <w:rFonts w:cs="Arial"/>
          <w:b/>
        </w:rPr>
        <w:t>TRIGÉSIMA NOVENA.-</w:t>
      </w:r>
      <w:r w:rsidRPr="00B62DFE">
        <w:rPr>
          <w:rFonts w:cs="Arial"/>
        </w:rPr>
        <w:t xml:space="preserve"> Las tarifas aplicables al Servicio de Acceso Indirecto al Bucle Local y a los Servicios de Desagregación Total y Compartida del Bucle, Sub-bucle Local, Coubicación para Desagregación y Servicios Auxiliares, se determinarán a partir de un modelo de costos basado en una metodología de costos incrementales promedio de largo plazo, que al efecto emita el Instituto.</w:t>
      </w:r>
    </w:p>
    <w:p w14:paraId="3E56CB00" w14:textId="77777777" w:rsidR="00852170" w:rsidRPr="00B62DFE" w:rsidRDefault="00852170" w:rsidP="00852170">
      <w:pPr>
        <w:pStyle w:val="CitaTextual"/>
        <w:spacing w:before="0" w:after="0"/>
        <w:rPr>
          <w:rFonts w:cs="Arial"/>
        </w:rPr>
      </w:pPr>
    </w:p>
    <w:p w14:paraId="22B69DA3" w14:textId="77777777" w:rsidR="00852170" w:rsidRPr="00B62DFE" w:rsidRDefault="00852170" w:rsidP="00852170">
      <w:pPr>
        <w:pStyle w:val="CitaTextual"/>
        <w:spacing w:before="0" w:after="0"/>
        <w:rPr>
          <w:rFonts w:cs="Arial"/>
        </w:rPr>
      </w:pPr>
      <w:r w:rsidRPr="00B62DFE">
        <w:rPr>
          <w:rFonts w:cs="Arial"/>
        </w:rPr>
        <w:t>Tratándose de las tarifas por los Servicios de Reventa, estas se determinarán mediante una metodología de costos evitados (retail minus), a partir de los ingresos o las tarifas minoristas y, eliminando aquellos costos que no sean necesarios para la comercialización de los servicios, de tal forma que puedan ser replicadas por un operador eficiente.</w:t>
      </w:r>
    </w:p>
    <w:p w14:paraId="52CA3980" w14:textId="77777777" w:rsidR="00852170" w:rsidRPr="00B62DFE" w:rsidRDefault="00852170" w:rsidP="00852170">
      <w:pPr>
        <w:pStyle w:val="CitaTextual"/>
        <w:spacing w:before="0" w:after="0"/>
        <w:rPr>
          <w:rFonts w:cs="Arial"/>
        </w:rPr>
      </w:pPr>
      <w:r w:rsidRPr="00B62DFE">
        <w:rPr>
          <w:rFonts w:cs="Arial"/>
        </w:rPr>
        <w:t>…</w:t>
      </w:r>
    </w:p>
    <w:p w14:paraId="330CC1B0" w14:textId="77777777" w:rsidR="00852170" w:rsidRPr="00B62DFE" w:rsidRDefault="00852170" w:rsidP="00852170">
      <w:pPr>
        <w:pStyle w:val="CitaTextual"/>
        <w:spacing w:before="0" w:after="0"/>
        <w:rPr>
          <w:rFonts w:cs="Arial"/>
        </w:rPr>
      </w:pPr>
      <w:r w:rsidRPr="00B62DFE">
        <w:rPr>
          <w:rFonts w:cs="Arial"/>
        </w:rPr>
        <w:t>Previo análisis, el Instituto podrá determinar si existen zonas geográficas para las cuales las tarifas del servicio de acceso indirecto al bucle local podrán ser determinadas libremente por el Agente Económico Preponderante, sin menoscabo de su obligación de prestar los servicios mayoristas regulados en términos no discriminatorios, para lo cual deberá publicar en su página de Internet, y notificar en el Sistema Electrónico de Gestión, las tarifas aplicables en dichas zonas geográficas. Por zonas geográficas se entenderá en función del nivel de desagregación de la información contenida en el Banco de Información de Telecomunicaciones del Instituto.</w:t>
      </w:r>
    </w:p>
    <w:p w14:paraId="0B6F3CC8" w14:textId="77777777" w:rsidR="00852170" w:rsidRPr="00B62DFE" w:rsidRDefault="00852170" w:rsidP="00852170">
      <w:pPr>
        <w:pStyle w:val="CitaTextual"/>
        <w:spacing w:before="0" w:after="0"/>
        <w:rPr>
          <w:rFonts w:cs="Arial"/>
        </w:rPr>
      </w:pPr>
    </w:p>
    <w:p w14:paraId="457B6ED7" w14:textId="77777777" w:rsidR="00852170" w:rsidRPr="00B47466" w:rsidRDefault="00852170" w:rsidP="00852170">
      <w:pPr>
        <w:pStyle w:val="CitaTextual"/>
        <w:spacing w:before="0" w:after="0"/>
        <w:rPr>
          <w:rFonts w:cs="Arial"/>
        </w:rPr>
      </w:pPr>
      <w:r w:rsidRPr="00B62DFE">
        <w:rPr>
          <w:rFonts w:cs="Arial"/>
        </w:rPr>
        <w:t xml:space="preserve">Para efectos de lo anterior, el Instituto, con base en la información con que cuente, valorará si se tiene información suficientemente desagregada para, en su caso, realizar un análisis que considere al menos las </w:t>
      </w:r>
      <w:r w:rsidRPr="00B47466">
        <w:rPr>
          <w:rFonts w:cs="Arial"/>
        </w:rPr>
        <w:t>siguientes variables de competencia:</w:t>
      </w:r>
    </w:p>
    <w:p w14:paraId="2B581210" w14:textId="77777777" w:rsidR="00852170" w:rsidRPr="00B47466" w:rsidRDefault="00852170" w:rsidP="00852170">
      <w:pPr>
        <w:pStyle w:val="CitaTextual"/>
        <w:spacing w:before="0" w:after="0"/>
        <w:rPr>
          <w:rFonts w:cs="Arial"/>
        </w:rPr>
      </w:pPr>
    </w:p>
    <w:p w14:paraId="27564030" w14:textId="77777777" w:rsidR="00852170" w:rsidRPr="00B47466" w:rsidRDefault="00852170" w:rsidP="00852170">
      <w:pPr>
        <w:pStyle w:val="CitaTextual"/>
        <w:numPr>
          <w:ilvl w:val="0"/>
          <w:numId w:val="10"/>
        </w:numPr>
        <w:spacing w:before="0" w:after="0"/>
        <w:rPr>
          <w:rFonts w:cs="Arial"/>
        </w:rPr>
      </w:pPr>
      <w:r w:rsidRPr="00B47466">
        <w:rPr>
          <w:rFonts w:cs="Arial"/>
        </w:rPr>
        <w:t>Penetración de los servicios;</w:t>
      </w:r>
    </w:p>
    <w:p w14:paraId="32E93B05" w14:textId="77777777" w:rsidR="00852170" w:rsidRPr="00B47466" w:rsidRDefault="00852170" w:rsidP="00852170">
      <w:pPr>
        <w:pStyle w:val="CitaTextual"/>
        <w:numPr>
          <w:ilvl w:val="0"/>
          <w:numId w:val="10"/>
        </w:numPr>
        <w:spacing w:before="0" w:after="0"/>
        <w:rPr>
          <w:rFonts w:cs="Arial"/>
        </w:rPr>
      </w:pPr>
      <w:r w:rsidRPr="00B47466">
        <w:rPr>
          <w:rFonts w:cs="Arial"/>
        </w:rPr>
        <w:t>Número de operadores en el mercado;</w:t>
      </w:r>
    </w:p>
    <w:p w14:paraId="3889F088" w14:textId="77777777" w:rsidR="00852170" w:rsidRPr="00B47466" w:rsidRDefault="00852170" w:rsidP="00852170">
      <w:pPr>
        <w:pStyle w:val="CitaTextual"/>
        <w:numPr>
          <w:ilvl w:val="0"/>
          <w:numId w:val="10"/>
        </w:numPr>
        <w:spacing w:before="0" w:after="0"/>
        <w:rPr>
          <w:rFonts w:cs="Arial"/>
        </w:rPr>
      </w:pPr>
      <w:r w:rsidRPr="00B47466">
        <w:rPr>
          <w:rFonts w:cs="Arial"/>
        </w:rPr>
        <w:t>Participación de mercado del Agente Económico Preponderante y del resto de operadores, y</w:t>
      </w:r>
    </w:p>
    <w:p w14:paraId="1EDD5059" w14:textId="3393363E" w:rsidR="00852170" w:rsidRPr="00B47466" w:rsidRDefault="00852170" w:rsidP="00852170">
      <w:pPr>
        <w:pStyle w:val="CitaTextual"/>
        <w:numPr>
          <w:ilvl w:val="0"/>
          <w:numId w:val="10"/>
        </w:numPr>
        <w:spacing w:before="0" w:after="0"/>
        <w:rPr>
          <w:rFonts w:cs="Arial"/>
        </w:rPr>
      </w:pPr>
      <w:r w:rsidRPr="00B47466">
        <w:rPr>
          <w:rFonts w:cs="Arial"/>
        </w:rPr>
        <w:t>Cobertura de las redes existentes.</w:t>
      </w:r>
    </w:p>
    <w:p w14:paraId="2A1A506A" w14:textId="77777777" w:rsidR="00852170" w:rsidRPr="00B62DFE" w:rsidRDefault="00852170" w:rsidP="00852170">
      <w:pPr>
        <w:pStyle w:val="CitaTextual"/>
        <w:spacing w:before="0" w:after="0"/>
        <w:ind w:left="927"/>
        <w:rPr>
          <w:rFonts w:cs="Arial"/>
        </w:rPr>
      </w:pPr>
    </w:p>
    <w:p w14:paraId="4E8BC3BB" w14:textId="77777777" w:rsidR="00852170" w:rsidRPr="00B62DFE" w:rsidRDefault="00852170" w:rsidP="00852170">
      <w:pPr>
        <w:pStyle w:val="CitaTextual"/>
        <w:spacing w:before="0" w:after="0"/>
        <w:rPr>
          <w:rFonts w:cs="Arial"/>
        </w:rPr>
      </w:pPr>
      <w:r w:rsidRPr="00B62DFE">
        <w:rPr>
          <w:rFonts w:cs="Arial"/>
        </w:rPr>
        <w:t>Derivado del análisis que, en su caso, realice el Instituto, este podrá determinar los términos y supuestos bajo los cuales resultaría aplicable la libertad tarifaria mayorista, así como validar anualmente, en el marco de la revisión de la Oferta de Referencia, si resulta aplicable para el año siguiente.</w:t>
      </w:r>
    </w:p>
    <w:p w14:paraId="62E0B2E0" w14:textId="77777777" w:rsidR="00852170" w:rsidRPr="00B62DFE" w:rsidRDefault="00852170" w:rsidP="00852170">
      <w:pPr>
        <w:pStyle w:val="CitaTextual"/>
        <w:spacing w:before="0" w:after="0"/>
        <w:rPr>
          <w:rFonts w:cs="Arial"/>
        </w:rPr>
      </w:pPr>
    </w:p>
    <w:p w14:paraId="613B2253" w14:textId="77777777" w:rsidR="00852170" w:rsidRPr="00B62DFE" w:rsidRDefault="00852170" w:rsidP="00852170">
      <w:pPr>
        <w:pStyle w:val="CitaTextual"/>
        <w:spacing w:before="0" w:after="0"/>
        <w:rPr>
          <w:rFonts w:cs="Arial"/>
        </w:rPr>
      </w:pPr>
      <w:r w:rsidRPr="00B62DFE">
        <w:rPr>
          <w:rFonts w:cs="Arial"/>
        </w:rPr>
        <w:t>Con independencia de lo anterior, el Instituto podrá determinar la exclusión de zonas geográficas con libertad tarifaria en caso de encontrar evidencia de que las condiciones de competencia variaron.</w:t>
      </w:r>
    </w:p>
    <w:p w14:paraId="34A0BA05" w14:textId="77777777" w:rsidR="00852170" w:rsidRPr="00B62DFE" w:rsidRDefault="00852170" w:rsidP="00852170">
      <w:pPr>
        <w:pStyle w:val="CitaTextual"/>
        <w:spacing w:before="0" w:after="0"/>
        <w:rPr>
          <w:rFonts w:cs="Arial"/>
        </w:rPr>
      </w:pPr>
    </w:p>
    <w:p w14:paraId="150D32ED" w14:textId="20AE9655" w:rsidR="00852170" w:rsidRPr="00B62DFE" w:rsidRDefault="00852170" w:rsidP="00852170">
      <w:pPr>
        <w:pStyle w:val="CitaTextual"/>
        <w:spacing w:before="0" w:after="0"/>
        <w:rPr>
          <w:rFonts w:cs="Arial"/>
        </w:rPr>
      </w:pPr>
      <w:r w:rsidRPr="00B62DFE">
        <w:rPr>
          <w:rFonts w:cs="Arial"/>
        </w:rPr>
        <w:t>…”</w:t>
      </w:r>
    </w:p>
    <w:p w14:paraId="64CA0B80" w14:textId="77777777" w:rsidR="00F17D0A" w:rsidRPr="00B62DFE" w:rsidRDefault="00F17D0A" w:rsidP="00852170">
      <w:pPr>
        <w:pStyle w:val="CitaTextual"/>
        <w:spacing w:before="0" w:after="0"/>
        <w:rPr>
          <w:rFonts w:cs="Arial"/>
        </w:rPr>
      </w:pPr>
    </w:p>
    <w:p w14:paraId="396CFB2D" w14:textId="77777777" w:rsidR="00852170" w:rsidRPr="00B62DFE" w:rsidRDefault="00852170" w:rsidP="00852170">
      <w:pPr>
        <w:jc w:val="both"/>
        <w:rPr>
          <w:rFonts w:ascii="Arial" w:hAnsi="Arial" w:cs="Arial"/>
          <w:b/>
          <w:bCs/>
        </w:rPr>
      </w:pPr>
      <w:r w:rsidRPr="00B62DFE">
        <w:rPr>
          <w:rFonts w:ascii="Arial" w:hAnsi="Arial" w:cs="Arial"/>
          <w:bCs/>
        </w:rPr>
        <w:t>En adición a lo anterior, el Instituto también señaló de manera explícita en la Segunda Resolución Bienal lo siguiente:</w:t>
      </w:r>
      <w:r w:rsidRPr="00B62DFE">
        <w:rPr>
          <w:rFonts w:ascii="Arial" w:hAnsi="Arial" w:cs="Arial"/>
          <w:b/>
          <w:bCs/>
        </w:rPr>
        <w:t xml:space="preserve"> </w:t>
      </w:r>
    </w:p>
    <w:p w14:paraId="289725A6" w14:textId="74D8853A" w:rsidR="00852170" w:rsidRPr="00B62DFE" w:rsidRDefault="00852170" w:rsidP="00852170">
      <w:pPr>
        <w:pStyle w:val="CitaTextual"/>
        <w:spacing w:before="0" w:after="0"/>
        <w:rPr>
          <w:rFonts w:cs="Arial"/>
        </w:rPr>
      </w:pPr>
      <w:r w:rsidRPr="00B62DFE">
        <w:rPr>
          <w:rFonts w:cs="Arial"/>
        </w:rPr>
        <w:t xml:space="preserve"> “Así, en línea con la experiencia internacional, el Instituto no permitirá la libertad tarifaria para los servicios de SAIB en las zonas geográficas donde no se den las condiciones o criterios que determine el Instituto e identifique la necesidad de que se apliquen las tarifas que para tal efecto determine.”</w:t>
      </w:r>
    </w:p>
    <w:p w14:paraId="498C1976" w14:textId="77777777" w:rsidR="00852170" w:rsidRPr="00B62DFE" w:rsidRDefault="00852170" w:rsidP="00852170">
      <w:pPr>
        <w:pStyle w:val="CitaTextual"/>
        <w:spacing w:before="0" w:after="0"/>
        <w:rPr>
          <w:rFonts w:cs="Arial"/>
        </w:rPr>
      </w:pPr>
    </w:p>
    <w:p w14:paraId="1EB99AA3" w14:textId="77777777" w:rsidR="00852170" w:rsidRPr="00B62DFE" w:rsidRDefault="00852170" w:rsidP="00852170">
      <w:pPr>
        <w:jc w:val="both"/>
        <w:rPr>
          <w:rFonts w:ascii="Arial" w:hAnsi="Arial" w:cs="Arial"/>
        </w:rPr>
      </w:pPr>
      <w:r w:rsidRPr="00B62DFE">
        <w:rPr>
          <w:rFonts w:ascii="Arial" w:hAnsi="Arial" w:cs="Arial"/>
        </w:rPr>
        <w:t>Con independencia de lo anterior, el Instituto también determinó la necesidad de que los criterios específicos o umbrales sean sometidos a un proceso de consulta pública, con el fin de recibir retroalimentación de las partes interesadas:</w:t>
      </w:r>
    </w:p>
    <w:p w14:paraId="08C40B79" w14:textId="178C2F85" w:rsidR="00852170" w:rsidRDefault="00852170" w:rsidP="00852170">
      <w:pPr>
        <w:pStyle w:val="CitaTextual"/>
        <w:spacing w:before="0" w:after="0"/>
        <w:rPr>
          <w:rFonts w:cs="Arial"/>
        </w:rPr>
      </w:pPr>
      <w:r w:rsidRPr="001A77D2">
        <w:rPr>
          <w:rFonts w:cs="Arial"/>
        </w:rPr>
        <w:t xml:space="preserve">“Asimismo, considerando que la determinación de zonas geográficas en las cuales se otorgará flexibilidad tarifaria debe ser resultado de un proceso transparente para las partes, tanto para el AEPT </w:t>
      </w:r>
      <w:r w:rsidRPr="001A77D2">
        <w:rPr>
          <w:rFonts w:cs="Arial"/>
        </w:rPr>
        <w:lastRenderedPageBreak/>
        <w:t>como para los CS, una vez que entren en vigor las medidas notificadas a través de la segunda revisión bienal, el Instituto someterá a consulta pública los criterios específicos o umbrales de los parámetros que deberán prevalecer para identificar aquellas zonas geográficas susceptibles de la flexibilización tarifaria. Una vez determinados estos umbrales el Instituto realizará la evaluación con la información del BIT más actualizada disponible para determinar las zonas en las cuales el AEPT tendrá libertad tarifaria para los servicios de SAIB, cuya vigencia por única ocasión iniciará una vez que el Instituto publique la relación de zonas geográficas.”</w:t>
      </w:r>
    </w:p>
    <w:p w14:paraId="7807AEDF" w14:textId="77777777" w:rsidR="007129EC" w:rsidRPr="00B62DFE" w:rsidRDefault="007129EC" w:rsidP="00852170">
      <w:pPr>
        <w:pStyle w:val="CitaTextual"/>
        <w:spacing w:before="0" w:after="0"/>
        <w:rPr>
          <w:rFonts w:cs="Arial"/>
        </w:rPr>
      </w:pPr>
    </w:p>
    <w:p w14:paraId="5DAF6456" w14:textId="67AF2AF8" w:rsidR="00852170" w:rsidRPr="00B62DFE" w:rsidRDefault="00852170" w:rsidP="00852170">
      <w:pPr>
        <w:jc w:val="both"/>
        <w:rPr>
          <w:rFonts w:ascii="Arial" w:hAnsi="Arial" w:cs="Arial"/>
        </w:rPr>
      </w:pPr>
      <w:r w:rsidRPr="00B62DFE">
        <w:rPr>
          <w:rFonts w:ascii="Arial" w:hAnsi="Arial" w:cs="Arial"/>
        </w:rPr>
        <w:t>Lo anterior quedó plasmado en la Medida Transitoria NOVENA</w:t>
      </w:r>
      <w:r w:rsidR="007129EC">
        <w:rPr>
          <w:rFonts w:ascii="Arial" w:hAnsi="Arial" w:cs="Arial"/>
        </w:rPr>
        <w:t xml:space="preserve"> del Anexo 3 de la Segunda Re</w:t>
      </w:r>
      <w:r w:rsidR="001A7A71">
        <w:rPr>
          <w:rFonts w:ascii="Arial" w:hAnsi="Arial" w:cs="Arial"/>
        </w:rPr>
        <w:t>solución</w:t>
      </w:r>
      <w:r w:rsidR="007129EC">
        <w:rPr>
          <w:rFonts w:ascii="Arial" w:hAnsi="Arial" w:cs="Arial"/>
        </w:rPr>
        <w:t xml:space="preserve"> Bienal</w:t>
      </w:r>
      <w:r w:rsidR="00E92433">
        <w:rPr>
          <w:rFonts w:ascii="Arial" w:hAnsi="Arial" w:cs="Arial"/>
        </w:rPr>
        <w:t xml:space="preserve"> de la </w:t>
      </w:r>
      <w:r w:rsidRPr="00B62DFE">
        <w:rPr>
          <w:rFonts w:ascii="Arial" w:hAnsi="Arial" w:cs="Arial"/>
        </w:rPr>
        <w:t>siguiente</w:t>
      </w:r>
      <w:r w:rsidR="00E92433">
        <w:rPr>
          <w:rFonts w:ascii="Arial" w:hAnsi="Arial" w:cs="Arial"/>
        </w:rPr>
        <w:t xml:space="preserve"> forma</w:t>
      </w:r>
      <w:r w:rsidRPr="00B62DFE">
        <w:rPr>
          <w:rFonts w:ascii="Arial" w:hAnsi="Arial" w:cs="Arial"/>
        </w:rPr>
        <w:t xml:space="preserve">: </w:t>
      </w:r>
    </w:p>
    <w:p w14:paraId="3D819EA5" w14:textId="70CCB896" w:rsidR="001B163B" w:rsidRPr="00852170" w:rsidRDefault="00852170" w:rsidP="00852170">
      <w:pPr>
        <w:pStyle w:val="CitaTextual"/>
        <w:spacing w:before="0" w:after="0"/>
        <w:rPr>
          <w:rFonts w:cs="Arial"/>
        </w:rPr>
      </w:pPr>
      <w:r w:rsidRPr="00B62DFE">
        <w:rPr>
          <w:rFonts w:cs="Arial"/>
        </w:rPr>
        <w:t>“</w:t>
      </w:r>
      <w:r w:rsidRPr="00852170">
        <w:rPr>
          <w:rFonts w:cs="Arial"/>
          <w:b/>
        </w:rPr>
        <w:t>NOVENA.-</w:t>
      </w:r>
      <w:r w:rsidRPr="00B62DFE">
        <w:rPr>
          <w:rFonts w:cs="Arial"/>
        </w:rPr>
        <w:t xml:space="preserve"> Para efectos del análisis referido en la medida Trigésima Novena, una vez iniciada la vigencia de las presentes modificaciones, supresiones y adiciones, el Instituto someterá a consulta pública por un periodo de treinta días hábiles los criterios y umbrales de los parámetros al menos de los que se hace referencia en dicha medida. Una vez concluida la consulta pública el Instituto contará con treinta días hábiles para publicar en su página de Internet la relación de zonas geográficas en las cuales el Agente Económico Preponderante podrá determinar libremente las tarifas del SAIB, entrando en vigor esta libertad tarifaria al día hábil siguiente de su publicación.”</w:t>
      </w:r>
    </w:p>
    <w:p w14:paraId="30AFE52D" w14:textId="77777777" w:rsidR="001B163B" w:rsidRPr="001B163B" w:rsidRDefault="001B163B" w:rsidP="001B163B">
      <w:pPr>
        <w:spacing w:after="0"/>
        <w:jc w:val="both"/>
        <w:rPr>
          <w:rFonts w:ascii="Arial" w:hAnsi="Arial" w:cs="Arial"/>
        </w:rPr>
      </w:pPr>
    </w:p>
    <w:p w14:paraId="4E5D8350" w14:textId="00F893DC" w:rsidR="00852170" w:rsidRDefault="002C152D" w:rsidP="007129EC">
      <w:pPr>
        <w:spacing w:after="0"/>
        <w:jc w:val="both"/>
        <w:rPr>
          <w:rFonts w:ascii="Arial" w:hAnsi="Arial"/>
        </w:rPr>
      </w:pPr>
      <w:r w:rsidRPr="00852170">
        <w:rPr>
          <w:rFonts w:ascii="Arial" w:hAnsi="Arial" w:cs="Arial"/>
          <w:b/>
        </w:rPr>
        <w:t>Tercero. -</w:t>
      </w:r>
      <w:r w:rsidR="001B163B" w:rsidRPr="00852170">
        <w:rPr>
          <w:rFonts w:ascii="Arial" w:hAnsi="Arial" w:cs="Arial"/>
          <w:b/>
        </w:rPr>
        <w:t xml:space="preserve"> </w:t>
      </w:r>
      <w:r w:rsidR="00852170" w:rsidRPr="00852170">
        <w:rPr>
          <w:rFonts w:ascii="Arial" w:hAnsi="Arial" w:cs="Arial"/>
          <w:b/>
          <w:bCs/>
        </w:rPr>
        <w:t>Evolución de la participación de mercado del AEP y diagn</w:t>
      </w:r>
      <w:r w:rsidR="003E4E7F">
        <w:rPr>
          <w:rFonts w:ascii="Arial" w:hAnsi="Arial" w:cs="Arial"/>
          <w:b/>
          <w:bCs/>
        </w:rPr>
        <w:t>ó</w:t>
      </w:r>
      <w:r w:rsidR="00852170" w:rsidRPr="00852170">
        <w:rPr>
          <w:rFonts w:ascii="Arial" w:hAnsi="Arial" w:cs="Arial"/>
          <w:b/>
          <w:bCs/>
        </w:rPr>
        <w:t>stico actual del mercado de Banda Ancha Fija</w:t>
      </w:r>
      <w:r w:rsidR="00852170" w:rsidRPr="00852170">
        <w:rPr>
          <w:rFonts w:ascii="Arial" w:hAnsi="Arial" w:cs="Arial"/>
          <w:bCs/>
        </w:rPr>
        <w:t xml:space="preserve">. </w:t>
      </w:r>
      <w:r w:rsidR="00852170" w:rsidRPr="00852170">
        <w:rPr>
          <w:rFonts w:ascii="Arial" w:hAnsi="Arial"/>
        </w:rPr>
        <w:t>A partir de la emisión de la Resolución AEP y la implementación de diversas medidas asimétricas aplicables al AEP, el Instituto ha observado un incremento importante en las tasas de penetración de servicios de banda ancha fija (en lo sucesivo, “BAF”), así como una modificación importante en la distribución de las participaciones de mercado por parte de los pr</w:t>
      </w:r>
      <w:r w:rsidR="00BE5385">
        <w:rPr>
          <w:rFonts w:ascii="Arial" w:hAnsi="Arial"/>
        </w:rPr>
        <w:t>incipales operadores en el país</w:t>
      </w:r>
      <w:r w:rsidR="00E92433">
        <w:rPr>
          <w:rFonts w:ascii="Arial" w:hAnsi="Arial"/>
        </w:rPr>
        <w:t>,</w:t>
      </w:r>
      <w:r w:rsidR="00852170" w:rsidRPr="00852170">
        <w:rPr>
          <w:rFonts w:ascii="Arial" w:hAnsi="Arial"/>
        </w:rPr>
        <w:t xml:space="preserve"> lo cual resulta relevante en el contexto de la provisión de los servicios mayoristas de desagregación, así como de la implementación de</w:t>
      </w:r>
      <w:r w:rsidR="00E92433">
        <w:rPr>
          <w:rFonts w:ascii="Arial" w:hAnsi="Arial"/>
        </w:rPr>
        <w:t xml:space="preserve"> la separación funcional, con la</w:t>
      </w:r>
      <w:r w:rsidR="00852170" w:rsidRPr="00852170">
        <w:rPr>
          <w:rFonts w:ascii="Arial" w:hAnsi="Arial"/>
        </w:rPr>
        <w:t xml:space="preserve"> que </w:t>
      </w:r>
      <w:r w:rsidR="00E92433">
        <w:rPr>
          <w:rFonts w:ascii="Arial" w:hAnsi="Arial"/>
        </w:rPr>
        <w:t xml:space="preserve">desde el </w:t>
      </w:r>
      <w:r w:rsidR="00852170" w:rsidRPr="00852170">
        <w:rPr>
          <w:rFonts w:ascii="Arial" w:hAnsi="Arial"/>
        </w:rPr>
        <w:t xml:space="preserve">6 de marzo de 2020 las empresas mayoristas </w:t>
      </w:r>
      <w:r w:rsidR="003D353A" w:rsidRPr="00A63F73">
        <w:rPr>
          <w:rFonts w:ascii="Arial" w:hAnsi="Arial"/>
        </w:rPr>
        <w:t xml:space="preserve">Red Nacional Última Milla </w:t>
      </w:r>
      <w:r w:rsidR="003D353A">
        <w:rPr>
          <w:rFonts w:ascii="Arial" w:hAnsi="Arial"/>
        </w:rPr>
        <w:t xml:space="preserve">S.A.P.I. de C.V. </w:t>
      </w:r>
      <w:r w:rsidR="003D353A" w:rsidRPr="00A63F73">
        <w:rPr>
          <w:rFonts w:ascii="Arial" w:hAnsi="Arial"/>
        </w:rPr>
        <w:t xml:space="preserve">y Red Última Milla del Noroeste </w:t>
      </w:r>
      <w:r w:rsidR="003D353A">
        <w:rPr>
          <w:rFonts w:ascii="Arial" w:hAnsi="Arial"/>
        </w:rPr>
        <w:t xml:space="preserve">S.A.P.I. de C.V. (en lo sucesivo de manera conjunta, “Empresas Mayoristas”) </w:t>
      </w:r>
      <w:r w:rsidR="00852170" w:rsidRPr="00852170">
        <w:rPr>
          <w:rFonts w:ascii="Arial" w:hAnsi="Arial"/>
        </w:rPr>
        <w:t>son las encargadas de proporcionar dichos servicios mayoristas.</w:t>
      </w:r>
    </w:p>
    <w:p w14:paraId="4070A11A" w14:textId="77777777" w:rsidR="008347CE" w:rsidRPr="00852170" w:rsidRDefault="008347CE" w:rsidP="00852170">
      <w:pPr>
        <w:pStyle w:val="IFTnormal"/>
        <w:spacing w:after="0"/>
        <w:rPr>
          <w:rFonts w:ascii="Arial" w:hAnsi="Arial"/>
        </w:rPr>
      </w:pPr>
    </w:p>
    <w:p w14:paraId="709AAE68" w14:textId="0DC467CA" w:rsidR="00852170" w:rsidRDefault="00852170" w:rsidP="00852170">
      <w:pPr>
        <w:pStyle w:val="IFTnormal"/>
        <w:spacing w:after="0"/>
        <w:rPr>
          <w:rFonts w:ascii="Arial" w:hAnsi="Arial"/>
        </w:rPr>
      </w:pPr>
      <w:r w:rsidRPr="00852170">
        <w:rPr>
          <w:rFonts w:ascii="Arial" w:hAnsi="Arial"/>
        </w:rPr>
        <w:t xml:space="preserve">Es así que el Instituto analizó la información </w:t>
      </w:r>
      <w:r w:rsidR="00BE5385" w:rsidRPr="00852170">
        <w:rPr>
          <w:rFonts w:ascii="Arial" w:hAnsi="Arial"/>
        </w:rPr>
        <w:t xml:space="preserve">para </w:t>
      </w:r>
      <w:r w:rsidR="00BE5385">
        <w:rPr>
          <w:rFonts w:ascii="Arial" w:hAnsi="Arial"/>
        </w:rPr>
        <w:t xml:space="preserve">el servicio de </w:t>
      </w:r>
      <w:r w:rsidR="00BE5385" w:rsidRPr="00852170">
        <w:rPr>
          <w:rFonts w:ascii="Arial" w:hAnsi="Arial"/>
        </w:rPr>
        <w:t xml:space="preserve">BAF </w:t>
      </w:r>
      <w:r w:rsidRPr="00852170">
        <w:rPr>
          <w:rFonts w:ascii="Arial" w:hAnsi="Arial"/>
        </w:rPr>
        <w:t>disponible en el Banco de Información de Telecomunicaciones (en lo sucesivo, “BIT”)</w:t>
      </w:r>
      <w:r w:rsidR="00CD49BA">
        <w:rPr>
          <w:rStyle w:val="Refdenotaalpie"/>
          <w:rFonts w:ascii="Arial" w:hAnsi="Arial"/>
        </w:rPr>
        <w:footnoteReference w:id="2"/>
      </w:r>
      <w:r w:rsidRPr="00852170">
        <w:rPr>
          <w:rFonts w:ascii="Arial" w:hAnsi="Arial"/>
        </w:rPr>
        <w:t xml:space="preserve"> </w:t>
      </w:r>
      <w:r w:rsidR="00AB649A">
        <w:rPr>
          <w:rFonts w:ascii="Arial" w:hAnsi="Arial"/>
        </w:rPr>
        <w:t>d</w:t>
      </w:r>
      <w:r w:rsidR="00206387">
        <w:rPr>
          <w:rFonts w:ascii="Arial" w:hAnsi="Arial"/>
        </w:rPr>
        <w:t>el Instituto</w:t>
      </w:r>
      <w:r w:rsidRPr="00852170">
        <w:rPr>
          <w:rFonts w:ascii="Arial" w:hAnsi="Arial"/>
        </w:rPr>
        <w:t xml:space="preserve">, </w:t>
      </w:r>
      <w:r w:rsidR="00CD49BA">
        <w:rPr>
          <w:rFonts w:ascii="Arial" w:hAnsi="Arial"/>
        </w:rPr>
        <w:t>al tratarse de</w:t>
      </w:r>
      <w:r w:rsidRPr="00852170">
        <w:rPr>
          <w:rFonts w:ascii="Arial" w:hAnsi="Arial"/>
        </w:rPr>
        <w:t xml:space="preserve"> información proporcionada por los propios concesionarios y que se encuentra disponible de manera </w:t>
      </w:r>
      <w:r w:rsidR="00CD49BA">
        <w:rPr>
          <w:rFonts w:ascii="Arial" w:hAnsi="Arial"/>
        </w:rPr>
        <w:t>pública</w:t>
      </w:r>
      <w:r w:rsidR="00206387">
        <w:rPr>
          <w:rFonts w:ascii="Arial" w:hAnsi="Arial"/>
        </w:rPr>
        <w:t>,</w:t>
      </w:r>
      <w:r w:rsidRPr="00852170">
        <w:rPr>
          <w:rFonts w:ascii="Arial" w:hAnsi="Arial"/>
        </w:rPr>
        <w:t xml:space="preserve"> de tal </w:t>
      </w:r>
      <w:r w:rsidR="00CD49BA">
        <w:rPr>
          <w:rFonts w:ascii="Arial" w:hAnsi="Arial"/>
        </w:rPr>
        <w:t>manera</w:t>
      </w:r>
      <w:r w:rsidR="00CD49BA" w:rsidRPr="00852170">
        <w:rPr>
          <w:rFonts w:ascii="Arial" w:hAnsi="Arial"/>
        </w:rPr>
        <w:t xml:space="preserve"> </w:t>
      </w:r>
      <w:r w:rsidRPr="00852170">
        <w:rPr>
          <w:rFonts w:ascii="Arial" w:hAnsi="Arial"/>
        </w:rPr>
        <w:t xml:space="preserve">que </w:t>
      </w:r>
      <w:r w:rsidR="00206387">
        <w:rPr>
          <w:rFonts w:ascii="Arial" w:hAnsi="Arial"/>
        </w:rPr>
        <w:t>el análisis que se propone</w:t>
      </w:r>
      <w:r w:rsidRPr="00852170">
        <w:rPr>
          <w:rFonts w:ascii="Arial" w:hAnsi="Arial"/>
        </w:rPr>
        <w:t xml:space="preserve"> </w:t>
      </w:r>
      <w:r w:rsidR="00206387">
        <w:rPr>
          <w:rFonts w:ascii="Arial" w:hAnsi="Arial"/>
        </w:rPr>
        <w:t>en el presente Acuerdo pueda</w:t>
      </w:r>
      <w:r w:rsidRPr="00852170">
        <w:rPr>
          <w:rFonts w:ascii="Arial" w:hAnsi="Arial"/>
        </w:rPr>
        <w:t xml:space="preserve"> </w:t>
      </w:r>
      <w:r w:rsidR="00206387">
        <w:rPr>
          <w:rFonts w:ascii="Arial" w:hAnsi="Arial"/>
        </w:rPr>
        <w:t>se</w:t>
      </w:r>
      <w:r w:rsidR="00BC12B4">
        <w:rPr>
          <w:rFonts w:ascii="Arial" w:hAnsi="Arial"/>
        </w:rPr>
        <w:t>r</w:t>
      </w:r>
      <w:r w:rsidR="00206387">
        <w:rPr>
          <w:rFonts w:ascii="Arial" w:hAnsi="Arial"/>
        </w:rPr>
        <w:t xml:space="preserve"> </w:t>
      </w:r>
      <w:r w:rsidRPr="00852170">
        <w:rPr>
          <w:rFonts w:ascii="Arial" w:hAnsi="Arial"/>
        </w:rPr>
        <w:t>replica</w:t>
      </w:r>
      <w:r w:rsidR="00206387">
        <w:rPr>
          <w:rFonts w:ascii="Arial" w:hAnsi="Arial"/>
        </w:rPr>
        <w:t>do por los interesados</w:t>
      </w:r>
      <w:r w:rsidRPr="00852170">
        <w:rPr>
          <w:rFonts w:ascii="Arial" w:hAnsi="Arial"/>
        </w:rPr>
        <w:t>.</w:t>
      </w:r>
    </w:p>
    <w:p w14:paraId="75E55708" w14:textId="77777777" w:rsidR="008347CE" w:rsidRPr="00852170" w:rsidRDefault="008347CE" w:rsidP="00852170">
      <w:pPr>
        <w:pStyle w:val="IFTnormal"/>
        <w:spacing w:after="0"/>
        <w:rPr>
          <w:rFonts w:ascii="Arial" w:hAnsi="Arial"/>
        </w:rPr>
      </w:pPr>
    </w:p>
    <w:p w14:paraId="1F989FEF" w14:textId="62EA44DC" w:rsidR="00852170" w:rsidRDefault="00E92433" w:rsidP="00852170">
      <w:pPr>
        <w:pStyle w:val="IFTnormal"/>
        <w:spacing w:after="0"/>
        <w:rPr>
          <w:rFonts w:ascii="Arial" w:hAnsi="Arial"/>
        </w:rPr>
      </w:pPr>
      <w:r w:rsidRPr="001A77D2">
        <w:rPr>
          <w:rFonts w:ascii="Arial" w:hAnsi="Arial"/>
        </w:rPr>
        <w:t>De esta forma, se obtiene</w:t>
      </w:r>
      <w:r w:rsidR="00852170" w:rsidRPr="001A77D2">
        <w:rPr>
          <w:rFonts w:ascii="Arial" w:hAnsi="Arial"/>
        </w:rPr>
        <w:t xml:space="preserve"> la participación de mercado de los </w:t>
      </w:r>
      <w:r w:rsidRPr="001A77D2">
        <w:rPr>
          <w:rFonts w:ascii="Arial" w:hAnsi="Arial"/>
        </w:rPr>
        <w:t xml:space="preserve">principales </w:t>
      </w:r>
      <w:r w:rsidR="00852170" w:rsidRPr="001A77D2">
        <w:rPr>
          <w:rFonts w:ascii="Arial" w:hAnsi="Arial"/>
        </w:rPr>
        <w:t xml:space="preserve">operadores que brindan los servicios BAF en dos momentos clave para su análisis, el cierre de 2013 para observar la conformación de este mercado el año previo a la implementación de la Resolución AEP y el periodo más reciente disponible en el BIT, correspondiente al </w:t>
      </w:r>
      <w:r w:rsidR="007F2CC2" w:rsidRPr="001A77D2">
        <w:rPr>
          <w:rFonts w:ascii="Arial" w:hAnsi="Arial"/>
        </w:rPr>
        <w:t xml:space="preserve">segundo </w:t>
      </w:r>
      <w:r w:rsidR="00852170" w:rsidRPr="001A77D2">
        <w:rPr>
          <w:rFonts w:ascii="Arial" w:hAnsi="Arial"/>
        </w:rPr>
        <w:t>trimestre de 20</w:t>
      </w:r>
      <w:r w:rsidR="007F2CC2" w:rsidRPr="001A77D2">
        <w:rPr>
          <w:rFonts w:ascii="Arial" w:hAnsi="Arial"/>
        </w:rPr>
        <w:t>20</w:t>
      </w:r>
      <w:r w:rsidR="004B3A84" w:rsidRPr="001A77D2">
        <w:rPr>
          <w:rFonts w:ascii="Arial" w:hAnsi="Arial"/>
        </w:rPr>
        <w:t>.</w:t>
      </w:r>
    </w:p>
    <w:p w14:paraId="1208173E" w14:textId="77777777" w:rsidR="008347CE" w:rsidRPr="00852170" w:rsidRDefault="008347CE" w:rsidP="00852170">
      <w:pPr>
        <w:pStyle w:val="IFTnormal"/>
        <w:spacing w:after="0"/>
        <w:rPr>
          <w:rFonts w:ascii="Arial" w:hAnsi="Arial"/>
        </w:rPr>
      </w:pPr>
    </w:p>
    <w:p w14:paraId="515C2F09" w14:textId="4B983E11" w:rsidR="00852170" w:rsidRDefault="0028334D" w:rsidP="00852170">
      <w:pPr>
        <w:pStyle w:val="IFTnormal"/>
        <w:spacing w:after="0"/>
        <w:rPr>
          <w:rFonts w:ascii="Arial" w:hAnsi="Arial"/>
        </w:rPr>
      </w:pPr>
      <w:r>
        <w:rPr>
          <w:rFonts w:ascii="Arial" w:hAnsi="Arial"/>
        </w:rPr>
        <w:t>En</w:t>
      </w:r>
      <w:r w:rsidR="00852170" w:rsidRPr="00852170">
        <w:rPr>
          <w:rFonts w:ascii="Arial" w:hAnsi="Arial"/>
        </w:rPr>
        <w:t xml:space="preserve"> diciembre de 2013 en México se registraban 12.4 millones de accesos de BAF de los cuales el 71% correspondían a América Móvil, 13% a Grupo Televisa</w:t>
      </w:r>
      <w:r w:rsidR="00680725">
        <w:rPr>
          <w:rFonts w:ascii="Arial" w:hAnsi="Arial"/>
        </w:rPr>
        <w:t>,</w:t>
      </w:r>
      <w:r w:rsidR="00852170" w:rsidRPr="00852170">
        <w:rPr>
          <w:rFonts w:ascii="Arial" w:hAnsi="Arial"/>
        </w:rPr>
        <w:t xml:space="preserve"> 7% a Megacable</w:t>
      </w:r>
      <w:r w:rsidR="00680725">
        <w:rPr>
          <w:rFonts w:ascii="Arial" w:hAnsi="Arial"/>
        </w:rPr>
        <w:t xml:space="preserve"> y 1% a Total </w:t>
      </w:r>
      <w:r w:rsidR="00680725">
        <w:rPr>
          <w:rFonts w:ascii="Arial" w:hAnsi="Arial"/>
        </w:rPr>
        <w:lastRenderedPageBreak/>
        <w:t xml:space="preserve">Play, </w:t>
      </w:r>
      <w:r w:rsidR="00852170" w:rsidRPr="00852170">
        <w:rPr>
          <w:rFonts w:ascii="Arial" w:hAnsi="Arial"/>
        </w:rPr>
        <w:t xml:space="preserve">mientras que el 8% restante se conformaba por 10 operadores </w:t>
      </w:r>
      <w:r>
        <w:rPr>
          <w:rFonts w:ascii="Arial" w:hAnsi="Arial"/>
        </w:rPr>
        <w:t>con menor participación</w:t>
      </w:r>
      <w:r w:rsidR="00852170" w:rsidRPr="00852170">
        <w:rPr>
          <w:rFonts w:ascii="Arial" w:hAnsi="Arial"/>
        </w:rPr>
        <w:t>. Por su parte, para el</w:t>
      </w:r>
      <w:r w:rsidR="00680725">
        <w:rPr>
          <w:rFonts w:ascii="Arial" w:hAnsi="Arial"/>
        </w:rPr>
        <w:t xml:space="preserve"> segundo trimestre del</w:t>
      </w:r>
      <w:r w:rsidR="00852170" w:rsidRPr="00852170">
        <w:rPr>
          <w:rFonts w:ascii="Arial" w:hAnsi="Arial"/>
        </w:rPr>
        <w:t xml:space="preserve"> año 20</w:t>
      </w:r>
      <w:r w:rsidR="007F2CC2">
        <w:rPr>
          <w:rFonts w:ascii="Arial" w:hAnsi="Arial"/>
        </w:rPr>
        <w:t>20</w:t>
      </w:r>
      <w:r w:rsidR="00852170" w:rsidRPr="00852170">
        <w:rPr>
          <w:rFonts w:ascii="Arial" w:hAnsi="Arial"/>
        </w:rPr>
        <w:t xml:space="preserve"> se registraron </w:t>
      </w:r>
      <w:r w:rsidR="00680725">
        <w:rPr>
          <w:rFonts w:ascii="Arial" w:hAnsi="Arial"/>
        </w:rPr>
        <w:t>20</w:t>
      </w:r>
      <w:r w:rsidR="00852170" w:rsidRPr="00852170">
        <w:rPr>
          <w:rFonts w:ascii="Arial" w:hAnsi="Arial"/>
        </w:rPr>
        <w:t xml:space="preserve">.4 millones de accesos de BAF, un incremento de </w:t>
      </w:r>
      <w:r w:rsidR="00680725">
        <w:rPr>
          <w:rFonts w:ascii="Arial" w:hAnsi="Arial"/>
        </w:rPr>
        <w:t>64</w:t>
      </w:r>
      <w:r w:rsidR="00852170" w:rsidRPr="00852170">
        <w:rPr>
          <w:rFonts w:ascii="Arial" w:hAnsi="Arial"/>
        </w:rPr>
        <w:t xml:space="preserve">% con respecto a 2013, de los cuales </w:t>
      </w:r>
      <w:r w:rsidR="00680725">
        <w:rPr>
          <w:rFonts w:ascii="Arial" w:hAnsi="Arial"/>
        </w:rPr>
        <w:t>48</w:t>
      </w:r>
      <w:r w:rsidR="00852170" w:rsidRPr="00852170">
        <w:rPr>
          <w:rFonts w:ascii="Arial" w:hAnsi="Arial"/>
        </w:rPr>
        <w:t>% corresponde a América Móvil, 2</w:t>
      </w:r>
      <w:r w:rsidR="00680725">
        <w:rPr>
          <w:rFonts w:ascii="Arial" w:hAnsi="Arial"/>
        </w:rPr>
        <w:t>5</w:t>
      </w:r>
      <w:r w:rsidR="00852170" w:rsidRPr="00852170">
        <w:rPr>
          <w:rFonts w:ascii="Arial" w:hAnsi="Arial"/>
        </w:rPr>
        <w:t>% a Grupo Televisa</w:t>
      </w:r>
      <w:r w:rsidR="00680725">
        <w:rPr>
          <w:rFonts w:ascii="Arial" w:hAnsi="Arial"/>
        </w:rPr>
        <w:t>,</w:t>
      </w:r>
      <w:r w:rsidR="00852170" w:rsidRPr="00852170">
        <w:rPr>
          <w:rFonts w:ascii="Arial" w:hAnsi="Arial"/>
        </w:rPr>
        <w:t xml:space="preserve"> 16% a Megacable, </w:t>
      </w:r>
      <w:r w:rsidR="00680725">
        <w:rPr>
          <w:rFonts w:ascii="Arial" w:hAnsi="Arial"/>
        </w:rPr>
        <w:t xml:space="preserve">10% a Total Play, </w:t>
      </w:r>
      <w:r w:rsidR="00852170" w:rsidRPr="00852170">
        <w:rPr>
          <w:rFonts w:ascii="Arial" w:hAnsi="Arial"/>
        </w:rPr>
        <w:t xml:space="preserve">mientras que el 10% restante lo conforman </w:t>
      </w:r>
      <w:r>
        <w:rPr>
          <w:rFonts w:ascii="Arial" w:hAnsi="Arial"/>
        </w:rPr>
        <w:t xml:space="preserve">otros </w:t>
      </w:r>
      <w:r w:rsidR="00852170" w:rsidRPr="00852170">
        <w:rPr>
          <w:rFonts w:ascii="Arial" w:hAnsi="Arial"/>
        </w:rPr>
        <w:t>1</w:t>
      </w:r>
      <w:r w:rsidR="00680725">
        <w:rPr>
          <w:rFonts w:ascii="Arial" w:hAnsi="Arial"/>
        </w:rPr>
        <w:t>5</w:t>
      </w:r>
      <w:r w:rsidR="00852170" w:rsidRPr="00852170">
        <w:rPr>
          <w:rFonts w:ascii="Arial" w:hAnsi="Arial"/>
        </w:rPr>
        <w:t xml:space="preserve"> operadores.</w:t>
      </w:r>
    </w:p>
    <w:p w14:paraId="0F83031D" w14:textId="2AC8E553" w:rsidR="008347CE" w:rsidRDefault="008347CE" w:rsidP="00852170">
      <w:pPr>
        <w:pStyle w:val="IFTnormal"/>
        <w:spacing w:after="0"/>
        <w:rPr>
          <w:rFonts w:ascii="Arial" w:hAnsi="Arial"/>
        </w:rPr>
      </w:pPr>
    </w:p>
    <w:p w14:paraId="0AB47F4C" w14:textId="1F5149FF" w:rsidR="00852170" w:rsidRDefault="0028334D" w:rsidP="00852170">
      <w:pPr>
        <w:pStyle w:val="IFTnormal"/>
        <w:spacing w:after="0"/>
        <w:rPr>
          <w:rFonts w:ascii="Arial" w:hAnsi="Arial"/>
        </w:rPr>
      </w:pPr>
      <w:r>
        <w:rPr>
          <w:rFonts w:ascii="Arial" w:hAnsi="Arial"/>
        </w:rPr>
        <w:t>En efecto</w:t>
      </w:r>
      <w:r w:rsidR="00852170" w:rsidRPr="00852170">
        <w:rPr>
          <w:rFonts w:ascii="Arial" w:hAnsi="Arial"/>
        </w:rPr>
        <w:t xml:space="preserve">, no solamente hubo un importante crecimiento </w:t>
      </w:r>
      <w:r w:rsidR="007129EC">
        <w:rPr>
          <w:rFonts w:ascii="Arial" w:hAnsi="Arial"/>
        </w:rPr>
        <w:t>a lo largo de estos años</w:t>
      </w:r>
      <w:r w:rsidR="00852170" w:rsidRPr="00852170">
        <w:rPr>
          <w:rFonts w:ascii="Arial" w:hAnsi="Arial"/>
        </w:rPr>
        <w:t xml:space="preserve">, sino que también se incrementó la participación de </w:t>
      </w:r>
      <w:r w:rsidR="00BE5385">
        <w:rPr>
          <w:rFonts w:ascii="Arial" w:hAnsi="Arial"/>
        </w:rPr>
        <w:t xml:space="preserve">los </w:t>
      </w:r>
      <w:r w:rsidR="00852170" w:rsidRPr="00852170">
        <w:rPr>
          <w:rFonts w:ascii="Arial" w:hAnsi="Arial"/>
        </w:rPr>
        <w:t>operadores alternativos</w:t>
      </w:r>
      <w:r w:rsidR="00E92433">
        <w:rPr>
          <w:rFonts w:ascii="Arial" w:hAnsi="Arial"/>
        </w:rPr>
        <w:t xml:space="preserve"> al AEP</w:t>
      </w:r>
      <w:r w:rsidR="00852170" w:rsidRPr="00852170">
        <w:rPr>
          <w:rFonts w:ascii="Arial" w:hAnsi="Arial"/>
        </w:rPr>
        <w:t>, inclusive con un número mayor de competidores, como se muestra en la siguiente figura:</w:t>
      </w:r>
    </w:p>
    <w:p w14:paraId="22D4DDC6" w14:textId="77777777" w:rsidR="00233A27" w:rsidRDefault="00233A27" w:rsidP="00852170">
      <w:pPr>
        <w:pStyle w:val="IFTnormal"/>
        <w:spacing w:after="0"/>
        <w:rPr>
          <w:rFonts w:ascii="Arial" w:hAnsi="Arial"/>
        </w:rPr>
      </w:pPr>
    </w:p>
    <w:p w14:paraId="7AF0B2DD" w14:textId="548B05B6" w:rsidR="007A1E29" w:rsidRPr="00852170" w:rsidRDefault="004A68B7" w:rsidP="007A1E29">
      <w:pPr>
        <w:pStyle w:val="IFTnormal"/>
        <w:spacing w:after="0"/>
        <w:jc w:val="center"/>
        <w:rPr>
          <w:rFonts w:ascii="Arial" w:hAnsi="Arial"/>
        </w:rPr>
      </w:pPr>
      <w:r>
        <w:rPr>
          <w:noProof/>
          <w:lang w:val="es-MX" w:eastAsia="es-MX"/>
        </w:rPr>
        <w:drawing>
          <wp:inline distT="0" distB="0" distL="0" distR="0" wp14:anchorId="7E346277" wp14:editId="1D671DC5">
            <wp:extent cx="3615069" cy="3053952"/>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0924" t="28172" r="7767" b="9790"/>
                    <a:stretch/>
                  </pic:blipFill>
                  <pic:spPr bwMode="auto">
                    <a:xfrm>
                      <a:off x="0" y="0"/>
                      <a:ext cx="3630087" cy="3066639"/>
                    </a:xfrm>
                    <a:prstGeom prst="rect">
                      <a:avLst/>
                    </a:prstGeom>
                    <a:ln>
                      <a:noFill/>
                    </a:ln>
                    <a:extLst>
                      <a:ext uri="{53640926-AAD7-44D8-BBD7-CCE9431645EC}">
                        <a14:shadowObscured xmlns:a14="http://schemas.microsoft.com/office/drawing/2010/main"/>
                      </a:ext>
                    </a:extLst>
                  </pic:spPr>
                </pic:pic>
              </a:graphicData>
            </a:graphic>
          </wp:inline>
        </w:drawing>
      </w:r>
    </w:p>
    <w:p w14:paraId="71A0E50E" w14:textId="28955977" w:rsidR="00852170" w:rsidRPr="00852170" w:rsidRDefault="00852170" w:rsidP="004A68B7">
      <w:pPr>
        <w:pStyle w:val="IFTnormal"/>
        <w:spacing w:after="0"/>
        <w:ind w:left="1701" w:right="1324"/>
        <w:jc w:val="left"/>
        <w:rPr>
          <w:rFonts w:ascii="Arial" w:hAnsi="Arial"/>
          <w:sz w:val="16"/>
          <w:szCs w:val="16"/>
          <w:lang w:val="es-MX"/>
        </w:rPr>
      </w:pPr>
      <w:r w:rsidRPr="00852170">
        <w:rPr>
          <w:rFonts w:ascii="Arial" w:hAnsi="Arial"/>
          <w:b/>
          <w:sz w:val="16"/>
          <w:szCs w:val="16"/>
          <w:lang w:val="es-MX"/>
        </w:rPr>
        <w:t xml:space="preserve">Figura 1. </w:t>
      </w:r>
      <w:r w:rsidRPr="00852170">
        <w:rPr>
          <w:rFonts w:ascii="Arial" w:hAnsi="Arial"/>
          <w:sz w:val="16"/>
          <w:szCs w:val="16"/>
          <w:lang w:val="es-MX"/>
        </w:rPr>
        <w:t>Evolución de Banda Ancha Fija.</w:t>
      </w:r>
      <w:r w:rsidRPr="00852170">
        <w:rPr>
          <w:rFonts w:ascii="Arial" w:hAnsi="Arial"/>
          <w:b/>
          <w:sz w:val="16"/>
          <w:szCs w:val="16"/>
          <w:lang w:val="es-MX"/>
        </w:rPr>
        <w:t xml:space="preserve"> Fuente:</w:t>
      </w:r>
      <w:r w:rsidRPr="00852170">
        <w:rPr>
          <w:rFonts w:ascii="Arial" w:hAnsi="Arial"/>
          <w:sz w:val="16"/>
          <w:szCs w:val="16"/>
          <w:lang w:val="es-MX"/>
        </w:rPr>
        <w:t xml:space="preserve"> Elaboración propia con información del Banco de Información de Telecomunicaciones</w:t>
      </w:r>
      <w:r w:rsidR="007A1E29">
        <w:rPr>
          <w:rFonts w:ascii="Arial" w:hAnsi="Arial"/>
          <w:sz w:val="16"/>
          <w:szCs w:val="16"/>
          <w:lang w:val="es-MX"/>
        </w:rPr>
        <w:t xml:space="preserve"> al 2T de 2020</w:t>
      </w:r>
      <w:r w:rsidR="00D44C9C">
        <w:rPr>
          <w:rFonts w:ascii="Arial" w:hAnsi="Arial"/>
          <w:sz w:val="16"/>
          <w:szCs w:val="16"/>
          <w:lang w:val="es-MX"/>
        </w:rPr>
        <w:t>; 2021</w:t>
      </w:r>
    </w:p>
    <w:p w14:paraId="5E6ED423" w14:textId="77777777" w:rsidR="007A1E29" w:rsidRDefault="007A1E29" w:rsidP="00852170">
      <w:pPr>
        <w:pStyle w:val="IFTnormal"/>
        <w:spacing w:after="0"/>
        <w:rPr>
          <w:rFonts w:ascii="Arial" w:hAnsi="Arial"/>
        </w:rPr>
      </w:pPr>
    </w:p>
    <w:p w14:paraId="4480512F" w14:textId="0495E7C0" w:rsidR="00852170" w:rsidRDefault="00852170" w:rsidP="00852170">
      <w:pPr>
        <w:pStyle w:val="IFTnormal"/>
        <w:spacing w:after="0"/>
        <w:rPr>
          <w:rFonts w:ascii="Arial" w:hAnsi="Arial"/>
        </w:rPr>
      </w:pPr>
      <w:r w:rsidRPr="00852170">
        <w:rPr>
          <w:rFonts w:ascii="Arial" w:hAnsi="Arial"/>
        </w:rPr>
        <w:t xml:space="preserve">De lo anterior, se concluye que a partir de la implementación de la Resolución AEP se han mejorado las condiciones para una mayor competencia en </w:t>
      </w:r>
      <w:r w:rsidR="0028334D">
        <w:rPr>
          <w:rFonts w:ascii="Arial" w:hAnsi="Arial"/>
        </w:rPr>
        <w:t xml:space="preserve">servicios de </w:t>
      </w:r>
      <w:r w:rsidRPr="00852170">
        <w:rPr>
          <w:rFonts w:ascii="Arial" w:hAnsi="Arial"/>
        </w:rPr>
        <w:t xml:space="preserve">BAF, lo que ha permitido ampliar </w:t>
      </w:r>
      <w:r w:rsidR="0028334D">
        <w:rPr>
          <w:rFonts w:ascii="Arial" w:hAnsi="Arial"/>
        </w:rPr>
        <w:t>la oferta de servicios</w:t>
      </w:r>
      <w:r w:rsidRPr="00852170">
        <w:rPr>
          <w:rFonts w:ascii="Arial" w:hAnsi="Arial"/>
        </w:rPr>
        <w:t xml:space="preserve"> a los usuarios finales. </w:t>
      </w:r>
    </w:p>
    <w:p w14:paraId="5D6EDC9B" w14:textId="77777777" w:rsidR="008347CE" w:rsidRPr="00852170" w:rsidRDefault="008347CE" w:rsidP="00852170">
      <w:pPr>
        <w:pStyle w:val="IFTnormal"/>
        <w:spacing w:after="0"/>
        <w:rPr>
          <w:rFonts w:ascii="Arial" w:hAnsi="Arial"/>
        </w:rPr>
      </w:pPr>
    </w:p>
    <w:p w14:paraId="71CBD03D" w14:textId="359A0516" w:rsidR="001250CB" w:rsidRPr="00FA2C42" w:rsidRDefault="00FA2C42" w:rsidP="00FA2C42">
      <w:pPr>
        <w:widowControl w:val="0"/>
        <w:spacing w:after="0"/>
        <w:jc w:val="both"/>
        <w:rPr>
          <w:rFonts w:ascii="Arial" w:hAnsi="Arial" w:cs="Arial"/>
          <w:b/>
          <w:bCs/>
          <w:lang w:val="es-MX" w:eastAsia="es-MX"/>
        </w:rPr>
      </w:pPr>
      <w:r w:rsidRPr="00FA2C42">
        <w:rPr>
          <w:rFonts w:ascii="Arial" w:hAnsi="Arial" w:cs="Arial"/>
          <w:b/>
          <w:bCs/>
          <w:lang w:val="es-MX" w:eastAsia="es-MX"/>
        </w:rPr>
        <w:t xml:space="preserve">Diagnostico actual del mercado de </w:t>
      </w:r>
      <w:r w:rsidR="0091654F">
        <w:rPr>
          <w:rFonts w:ascii="Arial" w:hAnsi="Arial" w:cs="Arial"/>
          <w:b/>
          <w:bCs/>
          <w:lang w:val="es-MX" w:eastAsia="es-MX"/>
        </w:rPr>
        <w:t>Banda Ancha Fija</w:t>
      </w:r>
    </w:p>
    <w:p w14:paraId="345744B4" w14:textId="70A16657" w:rsidR="00FA2C42" w:rsidRPr="00FA2C42" w:rsidRDefault="00FA2C42" w:rsidP="00FA2C42">
      <w:pPr>
        <w:widowControl w:val="0"/>
        <w:spacing w:after="0"/>
        <w:jc w:val="both"/>
        <w:rPr>
          <w:rFonts w:ascii="Arial" w:hAnsi="Arial" w:cs="Arial"/>
          <w:color w:val="000000"/>
          <w:lang w:val="es-ES_tradnl" w:eastAsia="es-ES"/>
        </w:rPr>
      </w:pPr>
    </w:p>
    <w:p w14:paraId="12F3825D" w14:textId="1A91BE38" w:rsidR="00FA2C42" w:rsidRPr="00FA2C42" w:rsidRDefault="00FA2C42" w:rsidP="00FA2C42">
      <w:pPr>
        <w:spacing w:after="0"/>
        <w:jc w:val="both"/>
        <w:rPr>
          <w:rFonts w:ascii="Arial" w:hAnsi="Arial" w:cs="Arial"/>
          <w:bCs/>
          <w:lang w:val="es-MX" w:eastAsia="es-MX"/>
        </w:rPr>
      </w:pPr>
      <w:r w:rsidRPr="00FA2C42">
        <w:rPr>
          <w:rFonts w:ascii="Arial" w:hAnsi="Arial" w:cs="Arial"/>
          <w:color w:val="000000"/>
          <w:lang w:val="es-ES_tradnl" w:eastAsia="es-ES"/>
        </w:rPr>
        <w:t xml:space="preserve">Una vez </w:t>
      </w:r>
      <w:r w:rsidR="0028334D">
        <w:rPr>
          <w:rFonts w:ascii="Arial" w:hAnsi="Arial" w:cs="Arial"/>
          <w:color w:val="000000"/>
          <w:lang w:val="es-ES_tradnl" w:eastAsia="es-ES"/>
        </w:rPr>
        <w:t xml:space="preserve">considerada la </w:t>
      </w:r>
      <w:r w:rsidR="006F3FDF">
        <w:rPr>
          <w:rFonts w:ascii="Arial" w:hAnsi="Arial" w:cs="Arial"/>
          <w:color w:val="000000"/>
          <w:lang w:val="es-ES_tradnl" w:eastAsia="es-ES"/>
        </w:rPr>
        <w:t>participación de mercado</w:t>
      </w:r>
      <w:r w:rsidR="006F3FDF" w:rsidRPr="00FA2C42">
        <w:rPr>
          <w:rFonts w:ascii="Arial" w:hAnsi="Arial" w:cs="Arial"/>
          <w:color w:val="000000"/>
          <w:lang w:val="es-ES_tradnl" w:eastAsia="es-ES"/>
        </w:rPr>
        <w:t xml:space="preserve"> </w:t>
      </w:r>
      <w:r w:rsidR="0028334D">
        <w:rPr>
          <w:rFonts w:ascii="Arial" w:hAnsi="Arial" w:cs="Arial"/>
          <w:color w:val="000000"/>
          <w:lang w:val="es-ES_tradnl" w:eastAsia="es-ES"/>
        </w:rPr>
        <w:t xml:space="preserve">de </w:t>
      </w:r>
      <w:r w:rsidR="006F3FDF">
        <w:rPr>
          <w:rFonts w:ascii="Arial" w:hAnsi="Arial" w:cs="Arial"/>
          <w:color w:val="000000"/>
          <w:lang w:val="es-ES_tradnl" w:eastAsia="es-ES"/>
        </w:rPr>
        <w:t xml:space="preserve">los </w:t>
      </w:r>
      <w:r w:rsidR="0028334D">
        <w:rPr>
          <w:rFonts w:ascii="Arial" w:hAnsi="Arial" w:cs="Arial"/>
          <w:color w:val="000000"/>
          <w:lang w:val="es-ES_tradnl" w:eastAsia="es-ES"/>
        </w:rPr>
        <w:t>oferentes de</w:t>
      </w:r>
      <w:r w:rsidRPr="00FA2C42">
        <w:rPr>
          <w:rFonts w:ascii="Arial" w:hAnsi="Arial" w:cs="Arial"/>
          <w:color w:val="000000"/>
          <w:lang w:val="es-ES_tradnl" w:eastAsia="es-ES"/>
        </w:rPr>
        <w:t xml:space="preserve"> servicios de BAF, el Instituto analiza la información de accesos de BAF </w:t>
      </w:r>
      <w:r w:rsidRPr="00FA2C42">
        <w:rPr>
          <w:rFonts w:ascii="Arial" w:hAnsi="Arial" w:cs="Arial"/>
          <w:bCs/>
          <w:lang w:val="es-MX" w:eastAsia="es-MX"/>
        </w:rPr>
        <w:t>a nivel municipal</w:t>
      </w:r>
      <w:r w:rsidRPr="00FA2C42">
        <w:rPr>
          <w:rFonts w:ascii="Arial" w:hAnsi="Arial" w:cs="Arial"/>
          <w:bCs/>
          <w:vertAlign w:val="superscript"/>
          <w:lang w:val="es-MX" w:eastAsia="es-MX"/>
        </w:rPr>
        <w:footnoteReference w:id="3"/>
      </w:r>
      <w:r w:rsidRPr="00FA2C42">
        <w:rPr>
          <w:rFonts w:ascii="Arial" w:hAnsi="Arial" w:cs="Arial"/>
          <w:bCs/>
          <w:lang w:val="es-MX" w:eastAsia="es-MX"/>
        </w:rPr>
        <w:t xml:space="preserve"> del BIT, que es el </w:t>
      </w:r>
      <w:r w:rsidR="00C35182">
        <w:rPr>
          <w:rFonts w:ascii="Arial" w:hAnsi="Arial" w:cs="Arial"/>
          <w:bCs/>
          <w:lang w:val="es-MX" w:eastAsia="es-MX"/>
        </w:rPr>
        <w:t>nivel</w:t>
      </w:r>
      <w:r w:rsidRPr="00FA2C42">
        <w:rPr>
          <w:rFonts w:ascii="Arial" w:hAnsi="Arial" w:cs="Arial"/>
          <w:bCs/>
          <w:lang w:val="es-MX" w:eastAsia="es-MX"/>
        </w:rPr>
        <w:t xml:space="preserve"> de </w:t>
      </w:r>
      <w:r w:rsidR="00C03B58">
        <w:rPr>
          <w:rFonts w:ascii="Arial" w:hAnsi="Arial" w:cs="Arial"/>
          <w:bCs/>
          <w:lang w:val="es-MX" w:eastAsia="es-MX"/>
        </w:rPr>
        <w:t xml:space="preserve">mayor granularidad disponible, </w:t>
      </w:r>
      <w:r w:rsidR="0028334D">
        <w:rPr>
          <w:rFonts w:ascii="Arial" w:hAnsi="Arial" w:cs="Arial"/>
          <w:bCs/>
          <w:lang w:val="es-MX" w:eastAsia="es-MX"/>
        </w:rPr>
        <w:t xml:space="preserve">en consistencia </w:t>
      </w:r>
      <w:r w:rsidR="00964CCC">
        <w:rPr>
          <w:rFonts w:ascii="Arial" w:hAnsi="Arial" w:cs="Arial"/>
          <w:bCs/>
          <w:lang w:val="es-MX" w:eastAsia="es-MX"/>
        </w:rPr>
        <w:t xml:space="preserve">con las variables </w:t>
      </w:r>
      <w:r w:rsidR="006F3FDF">
        <w:rPr>
          <w:rFonts w:ascii="Arial" w:hAnsi="Arial" w:cs="Arial"/>
          <w:bCs/>
          <w:lang w:val="es-MX" w:eastAsia="es-MX"/>
        </w:rPr>
        <w:t xml:space="preserve">señaladas </w:t>
      </w:r>
      <w:r w:rsidR="00964CCC">
        <w:rPr>
          <w:rFonts w:ascii="Arial" w:hAnsi="Arial" w:cs="Arial"/>
          <w:bCs/>
          <w:lang w:val="es-MX" w:eastAsia="es-MX"/>
        </w:rPr>
        <w:t>en la Medida TRIGÉSIMA NOVENA del Anexo 3 de la Segunda Resolución Bienal</w:t>
      </w:r>
      <w:r w:rsidR="00C35182">
        <w:rPr>
          <w:rFonts w:ascii="Arial" w:hAnsi="Arial" w:cs="Arial"/>
          <w:bCs/>
          <w:lang w:val="es-MX" w:eastAsia="es-MX"/>
        </w:rPr>
        <w:t>,</w:t>
      </w:r>
      <w:r w:rsidR="00964CCC">
        <w:rPr>
          <w:rFonts w:ascii="Arial" w:hAnsi="Arial" w:cs="Arial"/>
          <w:bCs/>
          <w:lang w:val="es-MX" w:eastAsia="es-MX"/>
        </w:rPr>
        <w:t xml:space="preserve"> donde </w:t>
      </w:r>
      <w:r w:rsidRPr="00FA2C42">
        <w:rPr>
          <w:rFonts w:ascii="Arial" w:hAnsi="Arial" w:cs="Arial"/>
          <w:bCs/>
          <w:lang w:val="es-MX" w:eastAsia="es-MX"/>
        </w:rPr>
        <w:t xml:space="preserve">se </w:t>
      </w:r>
      <w:r w:rsidR="00964CCC">
        <w:rPr>
          <w:rFonts w:ascii="Arial" w:hAnsi="Arial" w:cs="Arial"/>
          <w:bCs/>
          <w:lang w:val="es-MX" w:eastAsia="es-MX"/>
        </w:rPr>
        <w:t>identificará</w:t>
      </w:r>
      <w:r w:rsidRPr="00FA2C42">
        <w:rPr>
          <w:rFonts w:ascii="Arial" w:hAnsi="Arial" w:cs="Arial"/>
          <w:bCs/>
          <w:lang w:val="es-MX" w:eastAsia="es-MX"/>
        </w:rPr>
        <w:t xml:space="preserve"> lo siguiente:</w:t>
      </w:r>
    </w:p>
    <w:p w14:paraId="22DCDC84" w14:textId="77777777" w:rsidR="00FA2C42" w:rsidRPr="00FA2C42" w:rsidRDefault="00FA2C42" w:rsidP="00FA2C42">
      <w:pPr>
        <w:spacing w:after="0"/>
        <w:jc w:val="both"/>
        <w:rPr>
          <w:rFonts w:ascii="Arial" w:hAnsi="Arial" w:cs="Arial"/>
          <w:bCs/>
          <w:lang w:val="es-MX" w:eastAsia="es-MX"/>
        </w:rPr>
      </w:pPr>
    </w:p>
    <w:p w14:paraId="0E04664F" w14:textId="5E54D250" w:rsidR="00FA2C42" w:rsidRPr="00FA2C42" w:rsidRDefault="00FA2C42" w:rsidP="00FA2C42">
      <w:pPr>
        <w:numPr>
          <w:ilvl w:val="0"/>
          <w:numId w:val="13"/>
        </w:numPr>
        <w:spacing w:after="0"/>
        <w:contextualSpacing/>
        <w:jc w:val="both"/>
        <w:rPr>
          <w:rFonts w:ascii="Arial" w:hAnsi="Arial" w:cs="Arial"/>
          <w:bCs/>
          <w:lang w:val="es-MX"/>
        </w:rPr>
      </w:pPr>
      <w:r w:rsidRPr="00FA2C42">
        <w:rPr>
          <w:rFonts w:ascii="Arial" w:hAnsi="Arial" w:cs="Arial"/>
          <w:bCs/>
          <w:lang w:val="es-MX"/>
        </w:rPr>
        <w:lastRenderedPageBreak/>
        <w:t xml:space="preserve">Presencia de accesos de BAF: </w:t>
      </w:r>
      <w:r w:rsidR="00C03B58">
        <w:rPr>
          <w:rFonts w:ascii="Arial" w:hAnsi="Arial" w:cs="Arial"/>
          <w:bCs/>
          <w:lang w:val="es-MX"/>
        </w:rPr>
        <w:t>s</w:t>
      </w:r>
      <w:r w:rsidRPr="00FA2C42">
        <w:rPr>
          <w:rFonts w:ascii="Arial" w:hAnsi="Arial" w:cs="Arial"/>
          <w:bCs/>
          <w:lang w:val="es-MX"/>
        </w:rPr>
        <w:t>e identifica</w:t>
      </w:r>
      <w:r w:rsidR="00964CCC">
        <w:rPr>
          <w:rFonts w:ascii="Arial" w:hAnsi="Arial" w:cs="Arial"/>
          <w:bCs/>
          <w:lang w:val="es-MX"/>
        </w:rPr>
        <w:t>rá</w:t>
      </w:r>
      <w:r w:rsidRPr="00FA2C42">
        <w:rPr>
          <w:rFonts w:ascii="Arial" w:hAnsi="Arial" w:cs="Arial"/>
          <w:bCs/>
          <w:lang w:val="es-MX"/>
        </w:rPr>
        <w:t>n los municipios en los que existe presencia de BAF y se analiza</w:t>
      </w:r>
      <w:r w:rsidR="00964CCC">
        <w:rPr>
          <w:rFonts w:ascii="Arial" w:hAnsi="Arial" w:cs="Arial"/>
          <w:bCs/>
          <w:lang w:val="es-MX"/>
        </w:rPr>
        <w:t>rá</w:t>
      </w:r>
      <w:r w:rsidRPr="00FA2C42">
        <w:rPr>
          <w:rFonts w:ascii="Arial" w:hAnsi="Arial" w:cs="Arial"/>
          <w:bCs/>
          <w:lang w:val="es-MX"/>
        </w:rPr>
        <w:t xml:space="preserve"> la participación de mercado de los operadores existentes.</w:t>
      </w:r>
    </w:p>
    <w:p w14:paraId="59D59A92" w14:textId="77777777" w:rsidR="00FA2C42" w:rsidRPr="00FA2C42" w:rsidRDefault="00FA2C42" w:rsidP="00FA2C42">
      <w:pPr>
        <w:spacing w:after="0"/>
        <w:ind w:left="780"/>
        <w:contextualSpacing/>
        <w:jc w:val="both"/>
        <w:rPr>
          <w:rFonts w:ascii="Arial" w:hAnsi="Arial" w:cs="Arial"/>
          <w:bCs/>
          <w:lang w:val="es-MX"/>
        </w:rPr>
      </w:pPr>
    </w:p>
    <w:p w14:paraId="7297C3E1" w14:textId="7DEC9612" w:rsidR="00FA2C42" w:rsidRPr="00FA2C42" w:rsidRDefault="00FA2C42" w:rsidP="00FA2C42">
      <w:pPr>
        <w:numPr>
          <w:ilvl w:val="0"/>
          <w:numId w:val="13"/>
        </w:numPr>
        <w:spacing w:after="0"/>
        <w:contextualSpacing/>
        <w:jc w:val="both"/>
        <w:rPr>
          <w:rFonts w:ascii="Arial" w:hAnsi="Arial" w:cs="Arial"/>
          <w:bCs/>
          <w:lang w:val="es-MX"/>
        </w:rPr>
      </w:pPr>
      <w:r w:rsidRPr="00FA2C42">
        <w:rPr>
          <w:rFonts w:ascii="Arial" w:hAnsi="Arial" w:cs="Arial"/>
          <w:bCs/>
          <w:lang w:val="es-MX"/>
        </w:rPr>
        <w:t xml:space="preserve">Número de Operadores: </w:t>
      </w:r>
      <w:r w:rsidR="00C03B58">
        <w:rPr>
          <w:rFonts w:ascii="Arial" w:hAnsi="Arial" w:cs="Arial"/>
          <w:bCs/>
          <w:lang w:val="es-MX"/>
        </w:rPr>
        <w:t>a</w:t>
      </w:r>
      <w:r w:rsidRPr="00FA2C42">
        <w:rPr>
          <w:rFonts w:ascii="Arial" w:hAnsi="Arial" w:cs="Arial"/>
          <w:bCs/>
          <w:lang w:val="es-MX"/>
        </w:rPr>
        <w:t xml:space="preserve"> efecto de proporcionar una variable cuantitativa sobre el nivel de presencia de operadores en servicios fijos de los municipios, categorizando los resultados de acuerdo a si: i) ningún operador tiene accesos en el municipio; o bien</w:t>
      </w:r>
      <w:r w:rsidR="006F3FDF">
        <w:rPr>
          <w:rFonts w:ascii="Arial" w:hAnsi="Arial" w:cs="Arial"/>
          <w:bCs/>
          <w:lang w:val="es-MX"/>
        </w:rPr>
        <w:t>, ii)</w:t>
      </w:r>
      <w:r w:rsidRPr="00FA2C42">
        <w:rPr>
          <w:rFonts w:ascii="Arial" w:hAnsi="Arial" w:cs="Arial"/>
          <w:bCs/>
          <w:lang w:val="es-MX"/>
        </w:rPr>
        <w:t xml:space="preserve"> si existen accesos correspondientes de un operador y hasta 4 operadores</w:t>
      </w:r>
      <w:r w:rsidR="007A1E29">
        <w:rPr>
          <w:rStyle w:val="Refdenotaalpie"/>
          <w:rFonts w:ascii="Arial" w:hAnsi="Arial" w:cs="Arial"/>
          <w:bCs/>
          <w:lang w:val="es-MX"/>
        </w:rPr>
        <w:footnoteReference w:id="4"/>
      </w:r>
      <w:r w:rsidRPr="00FA2C42">
        <w:rPr>
          <w:rFonts w:ascii="Arial" w:hAnsi="Arial" w:cs="Arial"/>
          <w:bCs/>
          <w:lang w:val="es-MX"/>
        </w:rPr>
        <w:t>.</w:t>
      </w:r>
    </w:p>
    <w:p w14:paraId="43427DB5" w14:textId="77777777" w:rsidR="00FA2C42" w:rsidRPr="00FA2C42" w:rsidRDefault="00FA2C42" w:rsidP="00FA2C42">
      <w:pPr>
        <w:spacing w:after="0"/>
        <w:ind w:left="780"/>
        <w:contextualSpacing/>
        <w:jc w:val="both"/>
        <w:rPr>
          <w:rFonts w:ascii="Arial" w:hAnsi="Arial" w:cs="Arial"/>
          <w:bCs/>
          <w:lang w:val="es-MX"/>
        </w:rPr>
      </w:pPr>
    </w:p>
    <w:p w14:paraId="2433C041" w14:textId="65D71517" w:rsidR="001A77D2" w:rsidRDefault="009907B9" w:rsidP="001A77D2">
      <w:pPr>
        <w:numPr>
          <w:ilvl w:val="0"/>
          <w:numId w:val="13"/>
        </w:numPr>
        <w:spacing w:after="0"/>
        <w:contextualSpacing/>
        <w:jc w:val="both"/>
        <w:rPr>
          <w:rFonts w:ascii="Arial" w:hAnsi="Arial" w:cs="Arial"/>
          <w:bCs/>
          <w:lang w:val="es-MX"/>
        </w:rPr>
      </w:pPr>
      <w:r w:rsidRPr="00AB649A">
        <w:rPr>
          <w:rFonts w:ascii="Arial" w:hAnsi="Arial" w:cs="Arial"/>
          <w:bCs/>
          <w:lang w:val="es-MX"/>
        </w:rPr>
        <w:t xml:space="preserve">Participación de mercado de operadores alternativos al AEP: </w:t>
      </w:r>
      <w:r w:rsidR="00AB649A">
        <w:rPr>
          <w:rFonts w:ascii="Arial" w:hAnsi="Arial" w:cs="Arial"/>
          <w:bCs/>
          <w:lang w:val="es-MX"/>
        </w:rPr>
        <w:t>c</w:t>
      </w:r>
      <w:r w:rsidRPr="00AB649A">
        <w:rPr>
          <w:rFonts w:ascii="Arial" w:hAnsi="Arial" w:cs="Arial"/>
          <w:bCs/>
          <w:lang w:val="es-MX"/>
        </w:rPr>
        <w:t>on el fin de determinar el nivel de presencia de las opciones con que cuentan los usuarios en cada municipio.</w:t>
      </w:r>
    </w:p>
    <w:p w14:paraId="24E943AC" w14:textId="77777777" w:rsidR="001A77D2" w:rsidRDefault="001A77D2" w:rsidP="001A77D2">
      <w:pPr>
        <w:pStyle w:val="Prrafodelista"/>
        <w:rPr>
          <w:rFonts w:cs="Arial"/>
          <w:bCs/>
          <w:lang w:val="es-MX"/>
        </w:rPr>
      </w:pPr>
    </w:p>
    <w:p w14:paraId="075100FB" w14:textId="5A4348E4" w:rsidR="001A77D2" w:rsidRPr="001A77D2" w:rsidRDefault="001A77D2" w:rsidP="001A77D2">
      <w:pPr>
        <w:numPr>
          <w:ilvl w:val="0"/>
          <w:numId w:val="13"/>
        </w:numPr>
        <w:spacing w:after="0"/>
        <w:contextualSpacing/>
        <w:jc w:val="both"/>
        <w:rPr>
          <w:rFonts w:ascii="Arial" w:hAnsi="Arial" w:cs="Arial"/>
          <w:bCs/>
          <w:lang w:val="es-MX"/>
        </w:rPr>
      </w:pPr>
      <w:r>
        <w:rPr>
          <w:rFonts w:ascii="Arial" w:hAnsi="Arial" w:cs="Arial"/>
          <w:bCs/>
          <w:lang w:val="es-MX"/>
        </w:rPr>
        <w:t xml:space="preserve">Cobertura: a partir de la información disponible se considera como </w:t>
      </w:r>
      <w:r w:rsidRPr="001A77D2">
        <w:rPr>
          <w:rFonts w:ascii="Arial" w:hAnsi="Arial" w:cs="Arial"/>
          <w:bCs/>
          <w:lang w:val="es-MX"/>
        </w:rPr>
        <w:t>una aproximación la cobertura de red por la que se prestan servicios de banda ancha fija (&gt;75 accesos por cada 100 hogares)</w:t>
      </w:r>
      <w:r>
        <w:rPr>
          <w:rFonts w:ascii="Arial" w:hAnsi="Arial" w:cs="Arial"/>
          <w:bCs/>
          <w:lang w:val="es-MX"/>
        </w:rPr>
        <w:t>.</w:t>
      </w:r>
    </w:p>
    <w:p w14:paraId="14AD8F34" w14:textId="77777777" w:rsidR="009907B9" w:rsidRDefault="009907B9" w:rsidP="009907B9">
      <w:pPr>
        <w:pStyle w:val="Prrafodelista"/>
        <w:rPr>
          <w:rFonts w:cs="Arial"/>
          <w:bCs/>
          <w:lang w:val="es-MX"/>
        </w:rPr>
      </w:pPr>
    </w:p>
    <w:p w14:paraId="68DD630A" w14:textId="202BAA79" w:rsidR="00FA2C42" w:rsidRPr="001A77D2" w:rsidRDefault="00FA2C42" w:rsidP="00FA2C42">
      <w:pPr>
        <w:numPr>
          <w:ilvl w:val="0"/>
          <w:numId w:val="13"/>
        </w:numPr>
        <w:spacing w:after="0"/>
        <w:contextualSpacing/>
        <w:jc w:val="both"/>
        <w:rPr>
          <w:rFonts w:ascii="Arial" w:hAnsi="Arial" w:cs="Arial"/>
          <w:bCs/>
          <w:lang w:val="es-MX"/>
        </w:rPr>
      </w:pPr>
      <w:r w:rsidRPr="001A77D2">
        <w:rPr>
          <w:rFonts w:ascii="Arial" w:hAnsi="Arial" w:cs="Arial"/>
          <w:bCs/>
          <w:lang w:val="es-MX"/>
        </w:rPr>
        <w:t xml:space="preserve">Tecnología: </w:t>
      </w:r>
      <w:r w:rsidR="00C03B58" w:rsidRPr="001A77D2">
        <w:rPr>
          <w:rFonts w:ascii="Arial" w:hAnsi="Arial" w:cs="Arial"/>
          <w:bCs/>
          <w:lang w:val="es-MX"/>
        </w:rPr>
        <w:t>p</w:t>
      </w:r>
      <w:r w:rsidRPr="001A77D2">
        <w:rPr>
          <w:rFonts w:ascii="Arial" w:hAnsi="Arial" w:cs="Arial"/>
          <w:bCs/>
          <w:lang w:val="es-MX"/>
        </w:rPr>
        <w:t xml:space="preserve">ara establecer un parámetro sobre el despliegue tecnológico en un municipio, se determinó si en el municipio existen accesos basados en fibra óptica, considerando que dicha tecnología </w:t>
      </w:r>
      <w:r w:rsidR="00AB649A" w:rsidRPr="001A77D2">
        <w:rPr>
          <w:rFonts w:ascii="Arial" w:hAnsi="Arial" w:cs="Arial"/>
          <w:bCs/>
          <w:lang w:val="es-MX"/>
        </w:rPr>
        <w:t xml:space="preserve">es la que </w:t>
      </w:r>
      <w:r w:rsidRPr="001A77D2">
        <w:rPr>
          <w:rFonts w:ascii="Arial" w:hAnsi="Arial" w:cs="Arial"/>
          <w:bCs/>
          <w:lang w:val="es-MX"/>
        </w:rPr>
        <w:t xml:space="preserve">permite proveer servicios de Internet con </w:t>
      </w:r>
      <w:r w:rsidR="00AB649A" w:rsidRPr="001A77D2">
        <w:rPr>
          <w:rFonts w:ascii="Arial" w:hAnsi="Arial" w:cs="Arial"/>
          <w:bCs/>
          <w:lang w:val="es-MX"/>
        </w:rPr>
        <w:t xml:space="preserve">la mejor calidad y mayores </w:t>
      </w:r>
      <w:r w:rsidRPr="001A77D2">
        <w:rPr>
          <w:rFonts w:ascii="Arial" w:hAnsi="Arial" w:cs="Arial"/>
          <w:bCs/>
          <w:lang w:val="es-MX"/>
        </w:rPr>
        <w:t>velocidades.</w:t>
      </w:r>
    </w:p>
    <w:p w14:paraId="102D721E" w14:textId="77777777" w:rsidR="00FA2C42" w:rsidRPr="00FA2C42" w:rsidRDefault="00FA2C42" w:rsidP="00FA2C42">
      <w:pPr>
        <w:spacing w:after="0"/>
        <w:ind w:left="780"/>
        <w:contextualSpacing/>
        <w:jc w:val="both"/>
        <w:rPr>
          <w:rFonts w:ascii="Arial" w:hAnsi="Arial" w:cs="Arial"/>
          <w:bCs/>
          <w:lang w:val="es-MX"/>
        </w:rPr>
      </w:pPr>
    </w:p>
    <w:p w14:paraId="3A7FA990" w14:textId="7BFD69E4" w:rsidR="00FA2C42" w:rsidRDefault="00FA2C42" w:rsidP="00FA2C42">
      <w:pPr>
        <w:spacing w:after="0"/>
        <w:jc w:val="both"/>
        <w:rPr>
          <w:rFonts w:ascii="Arial" w:hAnsi="Arial" w:cs="Arial"/>
          <w:bCs/>
          <w:lang w:val="es-MX" w:eastAsia="es-MX"/>
        </w:rPr>
      </w:pPr>
      <w:r w:rsidRPr="00FA2C42">
        <w:rPr>
          <w:rFonts w:ascii="Arial" w:hAnsi="Arial" w:cs="Arial"/>
          <w:bCs/>
          <w:lang w:val="es-MX" w:eastAsia="es-MX"/>
        </w:rPr>
        <w:t>Lo anterior, debido a que se considera que dich</w:t>
      </w:r>
      <w:r w:rsidR="00C35182">
        <w:rPr>
          <w:rFonts w:ascii="Arial" w:hAnsi="Arial" w:cs="Arial"/>
          <w:bCs/>
          <w:lang w:val="es-MX" w:eastAsia="es-MX"/>
        </w:rPr>
        <w:t>o</w:t>
      </w:r>
      <w:r w:rsidRPr="00FA2C42">
        <w:rPr>
          <w:rFonts w:ascii="Arial" w:hAnsi="Arial" w:cs="Arial"/>
          <w:bCs/>
          <w:lang w:val="es-MX" w:eastAsia="es-MX"/>
        </w:rPr>
        <w:t xml:space="preserve">s </w:t>
      </w:r>
      <w:r w:rsidR="00C35182">
        <w:rPr>
          <w:rFonts w:ascii="Arial" w:hAnsi="Arial" w:cs="Arial"/>
          <w:bCs/>
          <w:lang w:val="es-MX" w:eastAsia="es-MX"/>
        </w:rPr>
        <w:t>indicadores son lo</w:t>
      </w:r>
      <w:r w:rsidRPr="00FA2C42">
        <w:rPr>
          <w:rFonts w:ascii="Arial" w:hAnsi="Arial" w:cs="Arial"/>
          <w:bCs/>
          <w:lang w:val="es-MX" w:eastAsia="es-MX"/>
        </w:rPr>
        <w:t xml:space="preserve">s más </w:t>
      </w:r>
      <w:r w:rsidR="00C03B58">
        <w:rPr>
          <w:rFonts w:ascii="Arial" w:hAnsi="Arial" w:cs="Arial"/>
          <w:bCs/>
          <w:lang w:val="es-MX" w:eastAsia="es-MX"/>
        </w:rPr>
        <w:t>convenientes</w:t>
      </w:r>
      <w:r w:rsidRPr="00FA2C42">
        <w:rPr>
          <w:rFonts w:ascii="Arial" w:hAnsi="Arial" w:cs="Arial"/>
          <w:bCs/>
          <w:lang w:val="es-MX" w:eastAsia="es-MX"/>
        </w:rPr>
        <w:t xml:space="preserve"> para analizar condiciones que generen indicios sobre mayores niveles de competencia en los municipios. </w:t>
      </w:r>
    </w:p>
    <w:p w14:paraId="4E98C9C9" w14:textId="77777777" w:rsidR="00FA2C42" w:rsidRPr="00FA2C42" w:rsidRDefault="00FA2C42" w:rsidP="00FA2C42">
      <w:pPr>
        <w:spacing w:after="0"/>
        <w:jc w:val="both"/>
        <w:rPr>
          <w:rFonts w:ascii="Arial" w:hAnsi="Arial" w:cs="Arial"/>
          <w:bCs/>
          <w:lang w:val="es-MX" w:eastAsia="es-MX"/>
        </w:rPr>
      </w:pPr>
    </w:p>
    <w:p w14:paraId="56820101" w14:textId="60C7ACF7" w:rsidR="00FA2C42" w:rsidRPr="00FA2C42" w:rsidRDefault="00C35182" w:rsidP="00FA2C42">
      <w:pPr>
        <w:spacing w:after="0"/>
        <w:jc w:val="both"/>
        <w:rPr>
          <w:rFonts w:ascii="Arial" w:hAnsi="Arial" w:cs="Arial"/>
          <w:bCs/>
          <w:lang w:val="es-MX" w:eastAsia="es-MX"/>
        </w:rPr>
      </w:pPr>
      <w:r>
        <w:rPr>
          <w:rFonts w:ascii="Arial" w:hAnsi="Arial" w:cs="Arial"/>
          <w:bCs/>
          <w:lang w:val="es-MX" w:eastAsia="es-MX"/>
        </w:rPr>
        <w:t>Como se señaló previamente, a</w:t>
      </w:r>
      <w:r w:rsidR="00FA2C42" w:rsidRPr="00FA2C42">
        <w:rPr>
          <w:rFonts w:ascii="Arial" w:hAnsi="Arial" w:cs="Arial"/>
          <w:bCs/>
          <w:lang w:val="es-MX" w:eastAsia="es-MX"/>
        </w:rPr>
        <w:t xml:space="preserve">l </w:t>
      </w:r>
      <w:r w:rsidR="0018695B">
        <w:rPr>
          <w:rFonts w:ascii="Arial" w:hAnsi="Arial" w:cs="Arial"/>
          <w:bCs/>
          <w:lang w:val="es-MX" w:eastAsia="es-MX"/>
        </w:rPr>
        <w:t xml:space="preserve">segundo trimestre </w:t>
      </w:r>
      <w:r w:rsidR="00FA2C42" w:rsidRPr="00FA2C42">
        <w:rPr>
          <w:rFonts w:ascii="Arial" w:hAnsi="Arial" w:cs="Arial"/>
          <w:bCs/>
          <w:lang w:val="es-MX" w:eastAsia="es-MX"/>
        </w:rPr>
        <w:t>de 20</w:t>
      </w:r>
      <w:r w:rsidR="00561F60">
        <w:rPr>
          <w:rFonts w:ascii="Arial" w:hAnsi="Arial" w:cs="Arial"/>
          <w:bCs/>
          <w:lang w:val="es-MX" w:eastAsia="es-MX"/>
        </w:rPr>
        <w:t>20</w:t>
      </w:r>
      <w:r w:rsidR="00FA2C42" w:rsidRPr="00FA2C42">
        <w:rPr>
          <w:rFonts w:ascii="Arial" w:hAnsi="Arial" w:cs="Arial"/>
          <w:bCs/>
          <w:lang w:val="es-MX" w:eastAsia="es-MX"/>
        </w:rPr>
        <w:t xml:space="preserve"> en México </w:t>
      </w:r>
      <w:r w:rsidR="00C03B58">
        <w:rPr>
          <w:rFonts w:ascii="Arial" w:hAnsi="Arial" w:cs="Arial"/>
          <w:bCs/>
          <w:lang w:val="es-MX" w:eastAsia="es-MX"/>
        </w:rPr>
        <w:t>se contabilizaron</w:t>
      </w:r>
      <w:r w:rsidR="00FA2C42" w:rsidRPr="00FA2C42">
        <w:rPr>
          <w:rFonts w:ascii="Arial" w:hAnsi="Arial" w:cs="Arial"/>
          <w:bCs/>
          <w:lang w:val="es-MX" w:eastAsia="es-MX"/>
        </w:rPr>
        <w:t xml:space="preserve"> </w:t>
      </w:r>
      <w:r w:rsidR="00D276F9">
        <w:rPr>
          <w:rFonts w:ascii="Arial" w:hAnsi="Arial" w:cs="Arial"/>
          <w:bCs/>
          <w:lang w:val="es-MX" w:eastAsia="es-MX"/>
        </w:rPr>
        <w:t>alrededor de</w:t>
      </w:r>
      <w:r w:rsidR="00FA2C42" w:rsidRPr="00FA2C42">
        <w:rPr>
          <w:rFonts w:ascii="Arial" w:hAnsi="Arial" w:cs="Arial"/>
          <w:bCs/>
          <w:lang w:val="es-MX" w:eastAsia="es-MX"/>
        </w:rPr>
        <w:t xml:space="preserve"> </w:t>
      </w:r>
      <w:r w:rsidR="0018695B">
        <w:rPr>
          <w:rFonts w:ascii="Arial" w:hAnsi="Arial" w:cs="Arial"/>
          <w:bCs/>
          <w:lang w:val="es-MX" w:eastAsia="es-MX"/>
        </w:rPr>
        <w:t>20</w:t>
      </w:r>
      <w:r w:rsidR="00FA2C42" w:rsidRPr="00FA2C42">
        <w:rPr>
          <w:rFonts w:ascii="Arial" w:hAnsi="Arial" w:cs="Arial"/>
          <w:bCs/>
          <w:lang w:val="es-MX" w:eastAsia="es-MX"/>
        </w:rPr>
        <w:t>.4 millones de accesos de BAF, con independencia de la tecnología y el operador al que pertenecieran, los cuales se distribuyeron entre 2</w:t>
      </w:r>
      <w:r w:rsidR="00ED614A">
        <w:rPr>
          <w:rFonts w:ascii="Arial" w:hAnsi="Arial" w:cs="Arial"/>
          <w:bCs/>
          <w:lang w:val="es-MX" w:eastAsia="es-MX"/>
        </w:rPr>
        <w:t>4</w:t>
      </w:r>
      <w:r w:rsidR="00FA2C42" w:rsidRPr="00FA2C42">
        <w:rPr>
          <w:rFonts w:ascii="Arial" w:hAnsi="Arial" w:cs="Arial"/>
          <w:bCs/>
          <w:lang w:val="es-MX" w:eastAsia="es-MX"/>
        </w:rPr>
        <w:t xml:space="preserve"> concesionarios de la siguiente forma:</w:t>
      </w:r>
      <w:r w:rsidR="00FA2C42" w:rsidRPr="00FA2C42" w:rsidDel="001830A5">
        <w:rPr>
          <w:rFonts w:ascii="Arial" w:hAnsi="Arial" w:cs="Arial"/>
          <w:bCs/>
          <w:lang w:val="es-MX" w:eastAsia="es-MX"/>
        </w:rPr>
        <w:t xml:space="preserve"> </w:t>
      </w:r>
    </w:p>
    <w:p w14:paraId="4445B54C" w14:textId="24FC47A5" w:rsidR="004B3A84" w:rsidRDefault="004B3A84" w:rsidP="00FA2C42">
      <w:pPr>
        <w:spacing w:after="0"/>
        <w:jc w:val="both"/>
        <w:rPr>
          <w:rFonts w:ascii="Arial" w:hAnsi="Arial" w:cs="Arial"/>
          <w:bCs/>
          <w:lang w:val="es-MX" w:eastAsia="es-MX"/>
        </w:rPr>
      </w:pPr>
    </w:p>
    <w:p w14:paraId="1504186A" w14:textId="77777777" w:rsidR="00C62585" w:rsidRPr="00FA2C42" w:rsidRDefault="00C62585" w:rsidP="00FA2C42">
      <w:pPr>
        <w:spacing w:after="0"/>
        <w:jc w:val="both"/>
        <w:rPr>
          <w:rFonts w:ascii="Arial" w:hAnsi="Arial" w:cs="Arial"/>
          <w:bCs/>
          <w:lang w:val="es-MX" w:eastAsia="es-MX"/>
        </w:rPr>
      </w:pPr>
    </w:p>
    <w:tbl>
      <w:tblPr>
        <w:tblStyle w:val="Tabladecuadrcula2-nfasis31"/>
        <w:tblW w:w="9352" w:type="dxa"/>
        <w:tblLook w:val="04A0" w:firstRow="1" w:lastRow="0" w:firstColumn="1" w:lastColumn="0" w:noHBand="0" w:noVBand="1"/>
      </w:tblPr>
      <w:tblGrid>
        <w:gridCol w:w="1225"/>
        <w:gridCol w:w="1643"/>
        <w:gridCol w:w="4388"/>
        <w:gridCol w:w="1117"/>
        <w:gridCol w:w="1027"/>
      </w:tblGrid>
      <w:tr w:rsidR="00D44C9C" w:rsidRPr="0018695B" w14:paraId="6C4C5957" w14:textId="77777777" w:rsidTr="00C62585">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hideMark/>
          </w:tcPr>
          <w:p w14:paraId="3B9CAAD6" w14:textId="77777777" w:rsidR="0018695B" w:rsidRPr="00C62585" w:rsidRDefault="0018695B" w:rsidP="0018695B">
            <w:pPr>
              <w:spacing w:after="0" w:line="240" w:lineRule="auto"/>
              <w:jc w:val="center"/>
              <w:rPr>
                <w:rFonts w:ascii="Arial" w:eastAsia="Times New Roman" w:hAnsi="Arial" w:cs="Arial"/>
                <w:bCs w:val="0"/>
                <w:color w:val="000000"/>
                <w:sz w:val="18"/>
                <w:szCs w:val="18"/>
                <w:lang w:val="es-MX" w:eastAsia="es-MX"/>
              </w:rPr>
            </w:pPr>
            <w:r w:rsidRPr="00C62585">
              <w:rPr>
                <w:rFonts w:ascii="Arial" w:eastAsia="Times New Roman" w:hAnsi="Arial" w:cs="Arial"/>
                <w:bCs w:val="0"/>
                <w:color w:val="000000"/>
                <w:sz w:val="18"/>
                <w:szCs w:val="18"/>
                <w:lang w:val="es-MX" w:eastAsia="es-MX"/>
              </w:rPr>
              <w:t>Grupo</w:t>
            </w:r>
          </w:p>
        </w:tc>
        <w:tc>
          <w:tcPr>
            <w:tcW w:w="1643" w:type="dxa"/>
            <w:hideMark/>
          </w:tcPr>
          <w:p w14:paraId="04529C5A" w14:textId="77777777" w:rsidR="0018695B" w:rsidRPr="00C62585" w:rsidRDefault="0018695B" w:rsidP="0018695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val="es-MX" w:eastAsia="es-MX"/>
              </w:rPr>
            </w:pPr>
            <w:r w:rsidRPr="00C62585">
              <w:rPr>
                <w:rFonts w:ascii="Arial" w:eastAsia="Times New Roman" w:hAnsi="Arial" w:cs="Arial"/>
                <w:bCs w:val="0"/>
                <w:color w:val="000000"/>
                <w:sz w:val="18"/>
                <w:szCs w:val="18"/>
                <w:lang w:val="es-MX" w:eastAsia="es-MX"/>
              </w:rPr>
              <w:t>Empresa</w:t>
            </w:r>
          </w:p>
        </w:tc>
        <w:tc>
          <w:tcPr>
            <w:tcW w:w="4388" w:type="dxa"/>
            <w:hideMark/>
          </w:tcPr>
          <w:p w14:paraId="7044DC8B" w14:textId="77777777" w:rsidR="0018695B" w:rsidRPr="00C62585" w:rsidRDefault="0018695B" w:rsidP="0018695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val="es-MX" w:eastAsia="es-MX"/>
              </w:rPr>
            </w:pPr>
            <w:r w:rsidRPr="00C62585">
              <w:rPr>
                <w:rFonts w:ascii="Arial" w:eastAsia="Times New Roman" w:hAnsi="Arial" w:cs="Arial"/>
                <w:bCs w:val="0"/>
                <w:color w:val="000000"/>
                <w:sz w:val="18"/>
                <w:szCs w:val="18"/>
                <w:lang w:val="es-MX" w:eastAsia="es-MX"/>
              </w:rPr>
              <w:t>Concesionario</w:t>
            </w:r>
          </w:p>
        </w:tc>
        <w:tc>
          <w:tcPr>
            <w:tcW w:w="1069" w:type="dxa"/>
            <w:hideMark/>
          </w:tcPr>
          <w:p w14:paraId="1CCDB503" w14:textId="77777777" w:rsidR="0018695B" w:rsidRPr="00C62585" w:rsidRDefault="0018695B" w:rsidP="0018695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val="es-MX" w:eastAsia="es-MX"/>
              </w:rPr>
            </w:pPr>
            <w:r w:rsidRPr="00C62585">
              <w:rPr>
                <w:rFonts w:ascii="Arial" w:eastAsia="Times New Roman" w:hAnsi="Arial" w:cs="Arial"/>
                <w:bCs w:val="0"/>
                <w:color w:val="000000"/>
                <w:sz w:val="18"/>
                <w:szCs w:val="18"/>
                <w:lang w:val="es-MX" w:eastAsia="es-MX"/>
              </w:rPr>
              <w:t>Accesos</w:t>
            </w:r>
          </w:p>
        </w:tc>
        <w:tc>
          <w:tcPr>
            <w:tcW w:w="1027" w:type="dxa"/>
            <w:noWrap/>
            <w:hideMark/>
          </w:tcPr>
          <w:p w14:paraId="1AA5F8F4" w14:textId="77777777" w:rsidR="0018695B" w:rsidRPr="00C62585" w:rsidRDefault="0018695B" w:rsidP="0018695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000000"/>
                <w:sz w:val="18"/>
                <w:szCs w:val="18"/>
                <w:lang w:val="es-MX" w:eastAsia="es-MX"/>
              </w:rPr>
            </w:pPr>
            <w:r w:rsidRPr="00C62585">
              <w:rPr>
                <w:rFonts w:ascii="Arial" w:eastAsia="Times New Roman" w:hAnsi="Arial" w:cs="Arial"/>
                <w:bCs w:val="0"/>
                <w:color w:val="000000"/>
                <w:sz w:val="18"/>
                <w:szCs w:val="18"/>
                <w:lang w:val="es-MX" w:eastAsia="es-MX"/>
              </w:rPr>
              <w:t>% Accesos</w:t>
            </w:r>
          </w:p>
        </w:tc>
      </w:tr>
      <w:tr w:rsidR="00D44C9C" w:rsidRPr="0018695B" w14:paraId="4A5A58B3" w14:textId="77777777" w:rsidTr="00C6258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480C615B"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Airecable</w:t>
            </w:r>
          </w:p>
        </w:tc>
        <w:tc>
          <w:tcPr>
            <w:tcW w:w="1643" w:type="dxa"/>
            <w:noWrap/>
            <w:vAlign w:val="center"/>
            <w:hideMark/>
          </w:tcPr>
          <w:p w14:paraId="1DFFB88D"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Airecable</w:t>
            </w:r>
          </w:p>
        </w:tc>
        <w:tc>
          <w:tcPr>
            <w:tcW w:w="4388" w:type="dxa"/>
            <w:noWrap/>
            <w:vAlign w:val="center"/>
            <w:hideMark/>
          </w:tcPr>
          <w:p w14:paraId="7657C08D"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Aire Cable, S.A. de C.V.</w:t>
            </w:r>
          </w:p>
        </w:tc>
        <w:tc>
          <w:tcPr>
            <w:tcW w:w="1069" w:type="dxa"/>
            <w:noWrap/>
            <w:vAlign w:val="center"/>
            <w:hideMark/>
          </w:tcPr>
          <w:p w14:paraId="1F82DE6E"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4,923</w:t>
            </w:r>
          </w:p>
        </w:tc>
        <w:tc>
          <w:tcPr>
            <w:tcW w:w="1027" w:type="dxa"/>
            <w:noWrap/>
            <w:vAlign w:val="center"/>
            <w:hideMark/>
          </w:tcPr>
          <w:p w14:paraId="7A9BE984"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0.02%</w:t>
            </w:r>
          </w:p>
        </w:tc>
      </w:tr>
      <w:tr w:rsidR="00D44C9C" w:rsidRPr="0018695B" w14:paraId="4CCBCCCC"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vMerge w:val="restart"/>
            <w:noWrap/>
            <w:vAlign w:val="center"/>
            <w:hideMark/>
          </w:tcPr>
          <w:p w14:paraId="0709ACAA"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América Móvil</w:t>
            </w:r>
          </w:p>
        </w:tc>
        <w:tc>
          <w:tcPr>
            <w:tcW w:w="1643" w:type="dxa"/>
            <w:noWrap/>
            <w:vAlign w:val="center"/>
            <w:hideMark/>
          </w:tcPr>
          <w:p w14:paraId="19319CE0"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Telmex</w:t>
            </w:r>
          </w:p>
        </w:tc>
        <w:tc>
          <w:tcPr>
            <w:tcW w:w="4388" w:type="dxa"/>
            <w:noWrap/>
            <w:vAlign w:val="center"/>
            <w:hideMark/>
          </w:tcPr>
          <w:p w14:paraId="1F5BE9CF"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Teléfonos de México, S.A.B. de C.V.</w:t>
            </w:r>
          </w:p>
        </w:tc>
        <w:tc>
          <w:tcPr>
            <w:tcW w:w="1069" w:type="dxa"/>
            <w:noWrap/>
            <w:vAlign w:val="center"/>
            <w:hideMark/>
          </w:tcPr>
          <w:p w14:paraId="24257907"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9,418,177</w:t>
            </w:r>
          </w:p>
        </w:tc>
        <w:tc>
          <w:tcPr>
            <w:tcW w:w="1027" w:type="dxa"/>
            <w:noWrap/>
            <w:vAlign w:val="center"/>
            <w:hideMark/>
          </w:tcPr>
          <w:p w14:paraId="4CA0B851"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46.20%</w:t>
            </w:r>
          </w:p>
        </w:tc>
      </w:tr>
      <w:tr w:rsidR="00D44C9C" w:rsidRPr="0018695B" w14:paraId="712D4A6E"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vMerge/>
            <w:vAlign w:val="center"/>
            <w:hideMark/>
          </w:tcPr>
          <w:p w14:paraId="417C91FD"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p>
        </w:tc>
        <w:tc>
          <w:tcPr>
            <w:tcW w:w="1643" w:type="dxa"/>
            <w:noWrap/>
            <w:vAlign w:val="center"/>
            <w:hideMark/>
          </w:tcPr>
          <w:p w14:paraId="62F9759E"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Telnor</w:t>
            </w:r>
          </w:p>
        </w:tc>
        <w:tc>
          <w:tcPr>
            <w:tcW w:w="4388" w:type="dxa"/>
            <w:noWrap/>
            <w:vAlign w:val="center"/>
            <w:hideMark/>
          </w:tcPr>
          <w:p w14:paraId="17221F05"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Teléfonos del Noroeste, S.A. de C.V.</w:t>
            </w:r>
          </w:p>
        </w:tc>
        <w:tc>
          <w:tcPr>
            <w:tcW w:w="1069" w:type="dxa"/>
            <w:noWrap/>
            <w:vAlign w:val="center"/>
            <w:hideMark/>
          </w:tcPr>
          <w:p w14:paraId="130CB685"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443,080</w:t>
            </w:r>
          </w:p>
        </w:tc>
        <w:tc>
          <w:tcPr>
            <w:tcW w:w="1027" w:type="dxa"/>
            <w:noWrap/>
            <w:vAlign w:val="center"/>
            <w:hideMark/>
          </w:tcPr>
          <w:p w14:paraId="69C2CC87"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2.17%</w:t>
            </w:r>
          </w:p>
        </w:tc>
      </w:tr>
      <w:tr w:rsidR="00D44C9C" w:rsidRPr="0018695B" w14:paraId="6AEF8A8E"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718D53AC"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AT&amp;T</w:t>
            </w:r>
          </w:p>
        </w:tc>
        <w:tc>
          <w:tcPr>
            <w:tcW w:w="1643" w:type="dxa"/>
            <w:noWrap/>
            <w:vAlign w:val="center"/>
            <w:hideMark/>
          </w:tcPr>
          <w:p w14:paraId="55CFD51C"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AT&amp;T</w:t>
            </w:r>
          </w:p>
        </w:tc>
        <w:tc>
          <w:tcPr>
            <w:tcW w:w="4388" w:type="dxa"/>
            <w:noWrap/>
            <w:vAlign w:val="center"/>
            <w:hideMark/>
          </w:tcPr>
          <w:p w14:paraId="212F751B"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AT&amp;T Comunicaciones Digitales, S. de R.L. de C.V.</w:t>
            </w:r>
          </w:p>
        </w:tc>
        <w:tc>
          <w:tcPr>
            <w:tcW w:w="1069" w:type="dxa"/>
            <w:noWrap/>
            <w:vAlign w:val="center"/>
            <w:hideMark/>
          </w:tcPr>
          <w:p w14:paraId="34AC4FCC"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69,668</w:t>
            </w:r>
          </w:p>
        </w:tc>
        <w:tc>
          <w:tcPr>
            <w:tcW w:w="1027" w:type="dxa"/>
            <w:noWrap/>
            <w:vAlign w:val="center"/>
            <w:hideMark/>
          </w:tcPr>
          <w:p w14:paraId="517E076C"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0.34%</w:t>
            </w:r>
          </w:p>
        </w:tc>
      </w:tr>
      <w:tr w:rsidR="00D44C9C" w:rsidRPr="0018695B" w14:paraId="0D2D6E4A"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02A35F01"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Axesat</w:t>
            </w:r>
          </w:p>
        </w:tc>
        <w:tc>
          <w:tcPr>
            <w:tcW w:w="1643" w:type="dxa"/>
            <w:noWrap/>
            <w:vAlign w:val="center"/>
            <w:hideMark/>
          </w:tcPr>
          <w:p w14:paraId="50804EC0"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Axesat</w:t>
            </w:r>
          </w:p>
        </w:tc>
        <w:tc>
          <w:tcPr>
            <w:tcW w:w="4388" w:type="dxa"/>
            <w:noWrap/>
            <w:vAlign w:val="center"/>
            <w:hideMark/>
          </w:tcPr>
          <w:p w14:paraId="655A0E17"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Axesat México, S.A. de C.V.</w:t>
            </w:r>
          </w:p>
        </w:tc>
        <w:tc>
          <w:tcPr>
            <w:tcW w:w="1069" w:type="dxa"/>
            <w:noWrap/>
            <w:vAlign w:val="center"/>
            <w:hideMark/>
          </w:tcPr>
          <w:p w14:paraId="4ADB803E"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514</w:t>
            </w:r>
          </w:p>
        </w:tc>
        <w:tc>
          <w:tcPr>
            <w:tcW w:w="1027" w:type="dxa"/>
            <w:noWrap/>
            <w:vAlign w:val="center"/>
            <w:hideMark/>
          </w:tcPr>
          <w:p w14:paraId="61D395F9" w14:textId="7ADF4806"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0.00%</w:t>
            </w:r>
            <w:r w:rsidR="005705D9">
              <w:rPr>
                <w:rStyle w:val="Refdenotaalpie"/>
                <w:rFonts w:ascii="Arial" w:eastAsia="Times New Roman" w:hAnsi="Arial" w:cs="Arial"/>
                <w:color w:val="000000"/>
                <w:sz w:val="18"/>
                <w:szCs w:val="18"/>
                <w:lang w:val="es-MX" w:eastAsia="es-MX"/>
              </w:rPr>
              <w:footnoteReference w:id="5"/>
            </w:r>
          </w:p>
        </w:tc>
      </w:tr>
      <w:tr w:rsidR="00D44C9C" w:rsidRPr="0018695B" w14:paraId="660A14B0"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22ECD7E3"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Axtel</w:t>
            </w:r>
          </w:p>
        </w:tc>
        <w:tc>
          <w:tcPr>
            <w:tcW w:w="1643" w:type="dxa"/>
            <w:noWrap/>
            <w:vAlign w:val="center"/>
            <w:hideMark/>
          </w:tcPr>
          <w:p w14:paraId="7322F27C"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Axtel</w:t>
            </w:r>
          </w:p>
        </w:tc>
        <w:tc>
          <w:tcPr>
            <w:tcW w:w="4388" w:type="dxa"/>
            <w:noWrap/>
            <w:vAlign w:val="center"/>
            <w:hideMark/>
          </w:tcPr>
          <w:p w14:paraId="1EBD62C7"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Axtel, S.A.B. de C.V.</w:t>
            </w:r>
          </w:p>
        </w:tc>
        <w:tc>
          <w:tcPr>
            <w:tcW w:w="1069" w:type="dxa"/>
            <w:noWrap/>
            <w:vAlign w:val="center"/>
            <w:hideMark/>
          </w:tcPr>
          <w:p w14:paraId="62833D24"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42,111</w:t>
            </w:r>
          </w:p>
        </w:tc>
        <w:tc>
          <w:tcPr>
            <w:tcW w:w="1027" w:type="dxa"/>
            <w:noWrap/>
            <w:vAlign w:val="center"/>
            <w:hideMark/>
          </w:tcPr>
          <w:p w14:paraId="5FCD678A"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0.21%</w:t>
            </w:r>
          </w:p>
        </w:tc>
      </w:tr>
      <w:tr w:rsidR="00D44C9C" w:rsidRPr="0018695B" w14:paraId="3A0CD811"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2BC891EF"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Dish-MVS</w:t>
            </w:r>
          </w:p>
        </w:tc>
        <w:tc>
          <w:tcPr>
            <w:tcW w:w="1643" w:type="dxa"/>
            <w:noWrap/>
            <w:vAlign w:val="center"/>
            <w:hideMark/>
          </w:tcPr>
          <w:p w14:paraId="48934A2D"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Dish</w:t>
            </w:r>
          </w:p>
        </w:tc>
        <w:tc>
          <w:tcPr>
            <w:tcW w:w="4388" w:type="dxa"/>
            <w:noWrap/>
            <w:vAlign w:val="center"/>
            <w:hideMark/>
          </w:tcPr>
          <w:p w14:paraId="55917DB5"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Comercializadora de Frecuencias Satelitales, S. de R.L. de C.V.</w:t>
            </w:r>
          </w:p>
        </w:tc>
        <w:tc>
          <w:tcPr>
            <w:tcW w:w="1069" w:type="dxa"/>
            <w:noWrap/>
            <w:vAlign w:val="center"/>
            <w:hideMark/>
          </w:tcPr>
          <w:p w14:paraId="49906F08"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88,024</w:t>
            </w:r>
          </w:p>
        </w:tc>
        <w:tc>
          <w:tcPr>
            <w:tcW w:w="1027" w:type="dxa"/>
            <w:noWrap/>
            <w:vAlign w:val="center"/>
            <w:hideMark/>
          </w:tcPr>
          <w:p w14:paraId="45005D6C"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0.43%</w:t>
            </w:r>
          </w:p>
        </w:tc>
      </w:tr>
      <w:tr w:rsidR="00D44C9C" w:rsidRPr="0018695B" w14:paraId="001E0876"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19C9EA3B"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lastRenderedPageBreak/>
              <w:t>Elara</w:t>
            </w:r>
          </w:p>
        </w:tc>
        <w:tc>
          <w:tcPr>
            <w:tcW w:w="1643" w:type="dxa"/>
            <w:noWrap/>
            <w:vAlign w:val="center"/>
            <w:hideMark/>
          </w:tcPr>
          <w:p w14:paraId="722B9C0B"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Elara Comunicaciones</w:t>
            </w:r>
          </w:p>
        </w:tc>
        <w:tc>
          <w:tcPr>
            <w:tcW w:w="4388" w:type="dxa"/>
            <w:noWrap/>
            <w:vAlign w:val="center"/>
            <w:hideMark/>
          </w:tcPr>
          <w:p w14:paraId="0E0E3E32"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Elara Comunicaciones, S.A.P.I. de C.V.</w:t>
            </w:r>
          </w:p>
        </w:tc>
        <w:tc>
          <w:tcPr>
            <w:tcW w:w="1069" w:type="dxa"/>
            <w:noWrap/>
            <w:vAlign w:val="center"/>
            <w:hideMark/>
          </w:tcPr>
          <w:p w14:paraId="5374C2BA"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1,505</w:t>
            </w:r>
          </w:p>
        </w:tc>
        <w:tc>
          <w:tcPr>
            <w:tcW w:w="1027" w:type="dxa"/>
            <w:noWrap/>
            <w:vAlign w:val="center"/>
            <w:hideMark/>
          </w:tcPr>
          <w:p w14:paraId="415F4D1C"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0.01%</w:t>
            </w:r>
          </w:p>
        </w:tc>
      </w:tr>
      <w:tr w:rsidR="00D44C9C" w:rsidRPr="0018695B" w14:paraId="2859A394"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vMerge w:val="restart"/>
            <w:noWrap/>
            <w:vAlign w:val="center"/>
            <w:hideMark/>
          </w:tcPr>
          <w:p w14:paraId="1B374FD1"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Grupo Televisa</w:t>
            </w:r>
          </w:p>
        </w:tc>
        <w:tc>
          <w:tcPr>
            <w:tcW w:w="1643" w:type="dxa"/>
            <w:noWrap/>
            <w:vAlign w:val="center"/>
            <w:hideMark/>
          </w:tcPr>
          <w:p w14:paraId="33FDBA34"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Cablevisión</w:t>
            </w:r>
          </w:p>
        </w:tc>
        <w:tc>
          <w:tcPr>
            <w:tcW w:w="4388" w:type="dxa"/>
            <w:noWrap/>
            <w:vAlign w:val="center"/>
            <w:hideMark/>
          </w:tcPr>
          <w:p w14:paraId="27DD2460"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Cablevisión, S.A. de C.V.</w:t>
            </w:r>
          </w:p>
        </w:tc>
        <w:tc>
          <w:tcPr>
            <w:tcW w:w="1069" w:type="dxa"/>
            <w:noWrap/>
            <w:vAlign w:val="center"/>
            <w:hideMark/>
          </w:tcPr>
          <w:p w14:paraId="69C9354A"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1,304,476</w:t>
            </w:r>
          </w:p>
        </w:tc>
        <w:tc>
          <w:tcPr>
            <w:tcW w:w="1027" w:type="dxa"/>
            <w:noWrap/>
            <w:vAlign w:val="center"/>
            <w:hideMark/>
          </w:tcPr>
          <w:p w14:paraId="670E3D7C"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6.40%</w:t>
            </w:r>
          </w:p>
        </w:tc>
      </w:tr>
      <w:tr w:rsidR="00D44C9C" w:rsidRPr="0018695B" w14:paraId="35924561"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vMerge/>
            <w:vAlign w:val="center"/>
            <w:hideMark/>
          </w:tcPr>
          <w:p w14:paraId="11E51CF7"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p>
        </w:tc>
        <w:tc>
          <w:tcPr>
            <w:tcW w:w="1643" w:type="dxa"/>
            <w:noWrap/>
            <w:vAlign w:val="center"/>
            <w:hideMark/>
          </w:tcPr>
          <w:p w14:paraId="1D94EC0D"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Cablevisión Red</w:t>
            </w:r>
          </w:p>
        </w:tc>
        <w:tc>
          <w:tcPr>
            <w:tcW w:w="4388" w:type="dxa"/>
            <w:noWrap/>
            <w:vAlign w:val="center"/>
            <w:hideMark/>
          </w:tcPr>
          <w:p w14:paraId="75306AAA"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Cablevisión Red, S.A. de C.V.</w:t>
            </w:r>
          </w:p>
        </w:tc>
        <w:tc>
          <w:tcPr>
            <w:tcW w:w="1069" w:type="dxa"/>
            <w:noWrap/>
            <w:vAlign w:val="center"/>
            <w:hideMark/>
          </w:tcPr>
          <w:p w14:paraId="5D78E195"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410,867</w:t>
            </w:r>
          </w:p>
        </w:tc>
        <w:tc>
          <w:tcPr>
            <w:tcW w:w="1027" w:type="dxa"/>
            <w:noWrap/>
            <w:vAlign w:val="center"/>
            <w:hideMark/>
          </w:tcPr>
          <w:p w14:paraId="01730BA4"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2.02%</w:t>
            </w:r>
          </w:p>
        </w:tc>
      </w:tr>
      <w:tr w:rsidR="00D44C9C" w:rsidRPr="0018695B" w14:paraId="6FB6159F"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vMerge/>
            <w:vAlign w:val="center"/>
            <w:hideMark/>
          </w:tcPr>
          <w:p w14:paraId="477C79EC"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p>
        </w:tc>
        <w:tc>
          <w:tcPr>
            <w:tcW w:w="1643" w:type="dxa"/>
            <w:noWrap/>
            <w:vAlign w:val="center"/>
            <w:hideMark/>
          </w:tcPr>
          <w:p w14:paraId="0D5E3651"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FTTH</w:t>
            </w:r>
          </w:p>
        </w:tc>
        <w:tc>
          <w:tcPr>
            <w:tcW w:w="4388" w:type="dxa"/>
            <w:noWrap/>
            <w:vAlign w:val="center"/>
            <w:hideMark/>
          </w:tcPr>
          <w:p w14:paraId="72568442"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FTTH De México, S.A. de C.V.</w:t>
            </w:r>
          </w:p>
        </w:tc>
        <w:tc>
          <w:tcPr>
            <w:tcW w:w="1069" w:type="dxa"/>
            <w:noWrap/>
            <w:vAlign w:val="center"/>
            <w:hideMark/>
          </w:tcPr>
          <w:p w14:paraId="7C1CD913"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236,920</w:t>
            </w:r>
          </w:p>
        </w:tc>
        <w:tc>
          <w:tcPr>
            <w:tcW w:w="1027" w:type="dxa"/>
            <w:noWrap/>
            <w:vAlign w:val="center"/>
            <w:hideMark/>
          </w:tcPr>
          <w:p w14:paraId="79C0ACE7"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1.16%</w:t>
            </w:r>
          </w:p>
        </w:tc>
      </w:tr>
      <w:tr w:rsidR="00D44C9C" w:rsidRPr="0018695B" w14:paraId="461CB627"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vMerge/>
            <w:vAlign w:val="center"/>
            <w:hideMark/>
          </w:tcPr>
          <w:p w14:paraId="376870C5"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p>
        </w:tc>
        <w:tc>
          <w:tcPr>
            <w:tcW w:w="1643" w:type="dxa"/>
            <w:vMerge w:val="restart"/>
            <w:noWrap/>
            <w:vAlign w:val="center"/>
            <w:hideMark/>
          </w:tcPr>
          <w:p w14:paraId="3CBB00B8"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IZZI</w:t>
            </w:r>
          </w:p>
        </w:tc>
        <w:tc>
          <w:tcPr>
            <w:tcW w:w="4388" w:type="dxa"/>
            <w:noWrap/>
            <w:vAlign w:val="center"/>
            <w:hideMark/>
          </w:tcPr>
          <w:p w14:paraId="6D1773CC"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Cablemas Telecomunicaciones, S.A. de C.V.</w:t>
            </w:r>
          </w:p>
        </w:tc>
        <w:tc>
          <w:tcPr>
            <w:tcW w:w="1069" w:type="dxa"/>
            <w:noWrap/>
            <w:vAlign w:val="center"/>
            <w:hideMark/>
          </w:tcPr>
          <w:p w14:paraId="37C25AF6"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1,829,460</w:t>
            </w:r>
          </w:p>
        </w:tc>
        <w:tc>
          <w:tcPr>
            <w:tcW w:w="1027" w:type="dxa"/>
            <w:noWrap/>
            <w:vAlign w:val="center"/>
            <w:hideMark/>
          </w:tcPr>
          <w:p w14:paraId="362860F7"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8.97%</w:t>
            </w:r>
          </w:p>
        </w:tc>
      </w:tr>
      <w:tr w:rsidR="00D44C9C" w:rsidRPr="0018695B" w14:paraId="1A7BDC37"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vMerge/>
            <w:vAlign w:val="center"/>
            <w:hideMark/>
          </w:tcPr>
          <w:p w14:paraId="5684C883"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p>
        </w:tc>
        <w:tc>
          <w:tcPr>
            <w:tcW w:w="1643" w:type="dxa"/>
            <w:vMerge/>
            <w:vAlign w:val="center"/>
            <w:hideMark/>
          </w:tcPr>
          <w:p w14:paraId="3F0D3B55"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p>
        </w:tc>
        <w:tc>
          <w:tcPr>
            <w:tcW w:w="4388" w:type="dxa"/>
            <w:noWrap/>
            <w:vAlign w:val="center"/>
            <w:hideMark/>
          </w:tcPr>
          <w:p w14:paraId="79A9FB60"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TV Cable de Oriente, S.A. de C.V.</w:t>
            </w:r>
          </w:p>
        </w:tc>
        <w:tc>
          <w:tcPr>
            <w:tcW w:w="1069" w:type="dxa"/>
            <w:noWrap/>
            <w:vAlign w:val="center"/>
            <w:hideMark/>
          </w:tcPr>
          <w:p w14:paraId="091D875E"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552,020</w:t>
            </w:r>
          </w:p>
        </w:tc>
        <w:tc>
          <w:tcPr>
            <w:tcW w:w="1027" w:type="dxa"/>
            <w:noWrap/>
            <w:vAlign w:val="center"/>
            <w:hideMark/>
          </w:tcPr>
          <w:p w14:paraId="4CDECD6E"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2.71%</w:t>
            </w:r>
          </w:p>
        </w:tc>
      </w:tr>
      <w:tr w:rsidR="00D44C9C" w:rsidRPr="0018695B" w14:paraId="243D6FAD"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vMerge/>
            <w:vAlign w:val="center"/>
            <w:hideMark/>
          </w:tcPr>
          <w:p w14:paraId="1CBBE8FF"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p>
        </w:tc>
        <w:tc>
          <w:tcPr>
            <w:tcW w:w="1643" w:type="dxa"/>
            <w:noWrap/>
            <w:vAlign w:val="center"/>
            <w:hideMark/>
          </w:tcPr>
          <w:p w14:paraId="6FE64F42"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Televisión Internacional</w:t>
            </w:r>
          </w:p>
        </w:tc>
        <w:tc>
          <w:tcPr>
            <w:tcW w:w="4388" w:type="dxa"/>
            <w:noWrap/>
            <w:vAlign w:val="center"/>
            <w:hideMark/>
          </w:tcPr>
          <w:p w14:paraId="717B81E6"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Televisión Internacional, S.A. de C.V.</w:t>
            </w:r>
          </w:p>
        </w:tc>
        <w:tc>
          <w:tcPr>
            <w:tcW w:w="1069" w:type="dxa"/>
            <w:noWrap/>
            <w:vAlign w:val="center"/>
            <w:hideMark/>
          </w:tcPr>
          <w:p w14:paraId="2A333630"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728,647</w:t>
            </w:r>
          </w:p>
        </w:tc>
        <w:tc>
          <w:tcPr>
            <w:tcW w:w="1027" w:type="dxa"/>
            <w:noWrap/>
            <w:vAlign w:val="center"/>
            <w:hideMark/>
          </w:tcPr>
          <w:p w14:paraId="09B29CFE"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3.57%</w:t>
            </w:r>
          </w:p>
        </w:tc>
      </w:tr>
      <w:tr w:rsidR="00D44C9C" w:rsidRPr="0018695B" w14:paraId="344A31D8"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63F20A8D"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Gurucomm</w:t>
            </w:r>
          </w:p>
        </w:tc>
        <w:tc>
          <w:tcPr>
            <w:tcW w:w="1643" w:type="dxa"/>
            <w:noWrap/>
            <w:vAlign w:val="center"/>
            <w:hideMark/>
          </w:tcPr>
          <w:p w14:paraId="578BA0BB"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Gurucomm</w:t>
            </w:r>
          </w:p>
        </w:tc>
        <w:tc>
          <w:tcPr>
            <w:tcW w:w="4388" w:type="dxa"/>
            <w:noWrap/>
            <w:vAlign w:val="center"/>
            <w:hideMark/>
          </w:tcPr>
          <w:p w14:paraId="22A21A26"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Gurucomm, S.A.P.I. de C.V.</w:t>
            </w:r>
          </w:p>
        </w:tc>
        <w:tc>
          <w:tcPr>
            <w:tcW w:w="1069" w:type="dxa"/>
            <w:noWrap/>
            <w:vAlign w:val="center"/>
            <w:hideMark/>
          </w:tcPr>
          <w:p w14:paraId="3FD1F314"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176</w:t>
            </w:r>
          </w:p>
        </w:tc>
        <w:tc>
          <w:tcPr>
            <w:tcW w:w="1027" w:type="dxa"/>
            <w:noWrap/>
            <w:vAlign w:val="center"/>
            <w:hideMark/>
          </w:tcPr>
          <w:p w14:paraId="746726D8"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0.00%</w:t>
            </w:r>
          </w:p>
        </w:tc>
      </w:tr>
      <w:tr w:rsidR="00D44C9C" w:rsidRPr="0018695B" w14:paraId="7D50EFC6"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1D66EB3C"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IENTC</w:t>
            </w:r>
          </w:p>
        </w:tc>
        <w:tc>
          <w:tcPr>
            <w:tcW w:w="1643" w:type="dxa"/>
            <w:noWrap/>
            <w:vAlign w:val="center"/>
            <w:hideMark/>
          </w:tcPr>
          <w:p w14:paraId="105B2661"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IENTC</w:t>
            </w:r>
          </w:p>
        </w:tc>
        <w:tc>
          <w:tcPr>
            <w:tcW w:w="4388" w:type="dxa"/>
            <w:noWrap/>
            <w:vAlign w:val="center"/>
            <w:hideMark/>
          </w:tcPr>
          <w:p w14:paraId="13DC18F4"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IENTC, S. de R.L. de C.V.</w:t>
            </w:r>
          </w:p>
        </w:tc>
        <w:tc>
          <w:tcPr>
            <w:tcW w:w="1069" w:type="dxa"/>
            <w:noWrap/>
            <w:vAlign w:val="center"/>
            <w:hideMark/>
          </w:tcPr>
          <w:p w14:paraId="7DB60794"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3,584</w:t>
            </w:r>
          </w:p>
        </w:tc>
        <w:tc>
          <w:tcPr>
            <w:tcW w:w="1027" w:type="dxa"/>
            <w:noWrap/>
            <w:vAlign w:val="center"/>
            <w:hideMark/>
          </w:tcPr>
          <w:p w14:paraId="4B4DA8C8"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0.02%</w:t>
            </w:r>
          </w:p>
        </w:tc>
      </w:tr>
      <w:tr w:rsidR="00D44C9C" w:rsidRPr="0018695B" w14:paraId="6A816940"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250B6715"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Marcatel</w:t>
            </w:r>
          </w:p>
        </w:tc>
        <w:tc>
          <w:tcPr>
            <w:tcW w:w="1643" w:type="dxa"/>
            <w:noWrap/>
            <w:vAlign w:val="center"/>
            <w:hideMark/>
          </w:tcPr>
          <w:p w14:paraId="417E56B0"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Marcatel</w:t>
            </w:r>
          </w:p>
        </w:tc>
        <w:tc>
          <w:tcPr>
            <w:tcW w:w="4388" w:type="dxa"/>
            <w:noWrap/>
            <w:vAlign w:val="center"/>
            <w:hideMark/>
          </w:tcPr>
          <w:p w14:paraId="26D07169"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Marcatel COM, S.A. de C.V.</w:t>
            </w:r>
          </w:p>
        </w:tc>
        <w:tc>
          <w:tcPr>
            <w:tcW w:w="1069" w:type="dxa"/>
            <w:noWrap/>
            <w:vAlign w:val="center"/>
            <w:hideMark/>
          </w:tcPr>
          <w:p w14:paraId="259B89F6"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12</w:t>
            </w:r>
          </w:p>
        </w:tc>
        <w:tc>
          <w:tcPr>
            <w:tcW w:w="1027" w:type="dxa"/>
            <w:noWrap/>
            <w:vAlign w:val="center"/>
            <w:hideMark/>
          </w:tcPr>
          <w:p w14:paraId="5B085A6A"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0.00%</w:t>
            </w:r>
          </w:p>
        </w:tc>
      </w:tr>
      <w:tr w:rsidR="00D44C9C" w:rsidRPr="0018695B" w14:paraId="094A10DF"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01AFA6CD"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Maxcom</w:t>
            </w:r>
          </w:p>
        </w:tc>
        <w:tc>
          <w:tcPr>
            <w:tcW w:w="1643" w:type="dxa"/>
            <w:noWrap/>
            <w:vAlign w:val="center"/>
            <w:hideMark/>
          </w:tcPr>
          <w:p w14:paraId="4A9EC530"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Maxcom</w:t>
            </w:r>
          </w:p>
        </w:tc>
        <w:tc>
          <w:tcPr>
            <w:tcW w:w="4388" w:type="dxa"/>
            <w:noWrap/>
            <w:vAlign w:val="center"/>
            <w:hideMark/>
          </w:tcPr>
          <w:p w14:paraId="47FF9D8D"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Maxcom Telecomunicaciones, S.A.B. De C.V.</w:t>
            </w:r>
          </w:p>
        </w:tc>
        <w:tc>
          <w:tcPr>
            <w:tcW w:w="1069" w:type="dxa"/>
            <w:noWrap/>
            <w:vAlign w:val="center"/>
            <w:hideMark/>
          </w:tcPr>
          <w:p w14:paraId="344C1645"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26,613</w:t>
            </w:r>
          </w:p>
        </w:tc>
        <w:tc>
          <w:tcPr>
            <w:tcW w:w="1027" w:type="dxa"/>
            <w:noWrap/>
            <w:vAlign w:val="center"/>
            <w:hideMark/>
          </w:tcPr>
          <w:p w14:paraId="65FF2C0E"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0.13%</w:t>
            </w:r>
          </w:p>
        </w:tc>
      </w:tr>
      <w:tr w:rsidR="00D44C9C" w:rsidRPr="0018695B" w14:paraId="759D93C3"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vMerge w:val="restart"/>
            <w:noWrap/>
            <w:vAlign w:val="center"/>
            <w:hideMark/>
          </w:tcPr>
          <w:p w14:paraId="7975F12F"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Megacable MCM</w:t>
            </w:r>
          </w:p>
        </w:tc>
        <w:tc>
          <w:tcPr>
            <w:tcW w:w="1643" w:type="dxa"/>
            <w:noWrap/>
            <w:vAlign w:val="center"/>
            <w:hideMark/>
          </w:tcPr>
          <w:p w14:paraId="3CB27E6D"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MCM Telecom</w:t>
            </w:r>
          </w:p>
        </w:tc>
        <w:tc>
          <w:tcPr>
            <w:tcW w:w="4388" w:type="dxa"/>
            <w:noWrap/>
            <w:vAlign w:val="center"/>
            <w:hideMark/>
          </w:tcPr>
          <w:p w14:paraId="26A8FA3C"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Megacable Comunicaciones de México, S.A. de C.V.</w:t>
            </w:r>
          </w:p>
        </w:tc>
        <w:tc>
          <w:tcPr>
            <w:tcW w:w="1069" w:type="dxa"/>
            <w:noWrap/>
            <w:vAlign w:val="center"/>
            <w:hideMark/>
          </w:tcPr>
          <w:p w14:paraId="3B949315"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2,804</w:t>
            </w:r>
          </w:p>
        </w:tc>
        <w:tc>
          <w:tcPr>
            <w:tcW w:w="1027" w:type="dxa"/>
            <w:noWrap/>
            <w:vAlign w:val="center"/>
            <w:hideMark/>
          </w:tcPr>
          <w:p w14:paraId="4DDB6AD0"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0.01%</w:t>
            </w:r>
          </w:p>
        </w:tc>
      </w:tr>
      <w:tr w:rsidR="00D44C9C" w:rsidRPr="0018695B" w14:paraId="6DBCA228"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vMerge/>
            <w:vAlign w:val="center"/>
            <w:hideMark/>
          </w:tcPr>
          <w:p w14:paraId="393A96C0"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p>
        </w:tc>
        <w:tc>
          <w:tcPr>
            <w:tcW w:w="1643" w:type="dxa"/>
            <w:noWrap/>
            <w:vAlign w:val="center"/>
            <w:hideMark/>
          </w:tcPr>
          <w:p w14:paraId="17B627C8"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Megacable</w:t>
            </w:r>
          </w:p>
        </w:tc>
        <w:tc>
          <w:tcPr>
            <w:tcW w:w="4388" w:type="dxa"/>
            <w:noWrap/>
            <w:vAlign w:val="center"/>
            <w:hideMark/>
          </w:tcPr>
          <w:p w14:paraId="4220E9F0"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Mega Cable, S.A. de C.V.</w:t>
            </w:r>
          </w:p>
        </w:tc>
        <w:tc>
          <w:tcPr>
            <w:tcW w:w="1069" w:type="dxa"/>
            <w:noWrap/>
            <w:vAlign w:val="center"/>
            <w:hideMark/>
          </w:tcPr>
          <w:p w14:paraId="03BB8491"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3,229,370</w:t>
            </w:r>
          </w:p>
        </w:tc>
        <w:tc>
          <w:tcPr>
            <w:tcW w:w="1027" w:type="dxa"/>
            <w:noWrap/>
            <w:vAlign w:val="center"/>
            <w:hideMark/>
          </w:tcPr>
          <w:p w14:paraId="4BD96320"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15.84%</w:t>
            </w:r>
          </w:p>
        </w:tc>
      </w:tr>
      <w:tr w:rsidR="00D44C9C" w:rsidRPr="0018695B" w14:paraId="5AE90A8B"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78A5C912"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Stargroup</w:t>
            </w:r>
          </w:p>
        </w:tc>
        <w:tc>
          <w:tcPr>
            <w:tcW w:w="1643" w:type="dxa"/>
            <w:noWrap/>
            <w:vAlign w:val="center"/>
            <w:hideMark/>
          </w:tcPr>
          <w:p w14:paraId="0B1FB127"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Star TV</w:t>
            </w:r>
          </w:p>
        </w:tc>
        <w:tc>
          <w:tcPr>
            <w:tcW w:w="4388" w:type="dxa"/>
            <w:noWrap/>
            <w:vAlign w:val="center"/>
            <w:hideMark/>
          </w:tcPr>
          <w:p w14:paraId="59DBD126"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Televera Red, S.A.P.I. de C.V.</w:t>
            </w:r>
          </w:p>
        </w:tc>
        <w:tc>
          <w:tcPr>
            <w:tcW w:w="1069" w:type="dxa"/>
            <w:noWrap/>
            <w:vAlign w:val="center"/>
            <w:hideMark/>
          </w:tcPr>
          <w:p w14:paraId="60F3908B"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19,522</w:t>
            </w:r>
          </w:p>
        </w:tc>
        <w:tc>
          <w:tcPr>
            <w:tcW w:w="1027" w:type="dxa"/>
            <w:noWrap/>
            <w:vAlign w:val="center"/>
            <w:hideMark/>
          </w:tcPr>
          <w:p w14:paraId="7AFD1A5B"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0.10%</w:t>
            </w:r>
          </w:p>
        </w:tc>
      </w:tr>
      <w:tr w:rsidR="00D44C9C" w:rsidRPr="0018695B" w14:paraId="1D1435C7"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39466F82"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Telefónica</w:t>
            </w:r>
          </w:p>
        </w:tc>
        <w:tc>
          <w:tcPr>
            <w:tcW w:w="1643" w:type="dxa"/>
            <w:noWrap/>
            <w:vAlign w:val="center"/>
            <w:hideMark/>
          </w:tcPr>
          <w:p w14:paraId="5E308F1D"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Telefónica</w:t>
            </w:r>
          </w:p>
        </w:tc>
        <w:tc>
          <w:tcPr>
            <w:tcW w:w="4388" w:type="dxa"/>
            <w:noWrap/>
            <w:vAlign w:val="center"/>
            <w:hideMark/>
          </w:tcPr>
          <w:p w14:paraId="07EF30EB"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Pegaso PCS, S.A. de C.V.</w:t>
            </w:r>
          </w:p>
        </w:tc>
        <w:tc>
          <w:tcPr>
            <w:tcW w:w="1069" w:type="dxa"/>
            <w:noWrap/>
            <w:vAlign w:val="center"/>
            <w:hideMark/>
          </w:tcPr>
          <w:p w14:paraId="7E3451A1"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5,610</w:t>
            </w:r>
          </w:p>
        </w:tc>
        <w:tc>
          <w:tcPr>
            <w:tcW w:w="1027" w:type="dxa"/>
            <w:noWrap/>
            <w:vAlign w:val="center"/>
            <w:hideMark/>
          </w:tcPr>
          <w:p w14:paraId="382C7869"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0.03%</w:t>
            </w:r>
          </w:p>
        </w:tc>
      </w:tr>
      <w:tr w:rsidR="00D44C9C" w:rsidRPr="0018695B" w14:paraId="1C8255EC"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2B5FE0C5"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Totalplay</w:t>
            </w:r>
          </w:p>
        </w:tc>
        <w:tc>
          <w:tcPr>
            <w:tcW w:w="1643" w:type="dxa"/>
            <w:noWrap/>
            <w:vAlign w:val="center"/>
            <w:hideMark/>
          </w:tcPr>
          <w:p w14:paraId="183EB85D"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Totalplay</w:t>
            </w:r>
          </w:p>
        </w:tc>
        <w:tc>
          <w:tcPr>
            <w:tcW w:w="4388" w:type="dxa"/>
            <w:noWrap/>
            <w:vAlign w:val="center"/>
            <w:hideMark/>
          </w:tcPr>
          <w:p w14:paraId="3933969C"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Total Play Telecomunicaciones, S.A. de C.V.</w:t>
            </w:r>
          </w:p>
        </w:tc>
        <w:tc>
          <w:tcPr>
            <w:tcW w:w="1069" w:type="dxa"/>
            <w:noWrap/>
            <w:vAlign w:val="center"/>
            <w:hideMark/>
          </w:tcPr>
          <w:p w14:paraId="0B25BBD0" w14:textId="77777777" w:rsidR="0018695B" w:rsidRPr="0018695B"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1,966,631</w:t>
            </w:r>
          </w:p>
        </w:tc>
        <w:tc>
          <w:tcPr>
            <w:tcW w:w="1027" w:type="dxa"/>
            <w:noWrap/>
            <w:vAlign w:val="center"/>
            <w:hideMark/>
          </w:tcPr>
          <w:p w14:paraId="41A2C592" w14:textId="77777777" w:rsidR="0018695B" w:rsidRPr="0018695B"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9.65%</w:t>
            </w:r>
          </w:p>
        </w:tc>
      </w:tr>
      <w:tr w:rsidR="00D44C9C" w:rsidRPr="0018695B" w14:paraId="76F4E44C" w14:textId="77777777" w:rsidTr="00C62585">
        <w:trPr>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4F26F714" w14:textId="77777777" w:rsidR="0018695B" w:rsidRPr="0018695B" w:rsidRDefault="0018695B" w:rsidP="00C62585">
            <w:pPr>
              <w:spacing w:after="0" w:line="240" w:lineRule="auto"/>
              <w:rPr>
                <w:rFonts w:ascii="Arial" w:eastAsia="Times New Roman" w:hAnsi="Arial" w:cs="Arial"/>
                <w:b w:val="0"/>
                <w:color w:val="000000"/>
                <w:sz w:val="18"/>
                <w:szCs w:val="18"/>
                <w:lang w:val="es-MX" w:eastAsia="es-MX"/>
              </w:rPr>
            </w:pPr>
            <w:r w:rsidRPr="0018695B">
              <w:rPr>
                <w:rFonts w:ascii="Arial" w:eastAsia="Times New Roman" w:hAnsi="Arial" w:cs="Arial"/>
                <w:b w:val="0"/>
                <w:color w:val="000000"/>
                <w:sz w:val="18"/>
                <w:szCs w:val="18"/>
                <w:lang w:val="es-MX" w:eastAsia="es-MX"/>
              </w:rPr>
              <w:t>Transtelco</w:t>
            </w:r>
          </w:p>
        </w:tc>
        <w:tc>
          <w:tcPr>
            <w:tcW w:w="1643" w:type="dxa"/>
            <w:noWrap/>
            <w:vAlign w:val="center"/>
            <w:hideMark/>
          </w:tcPr>
          <w:p w14:paraId="24E1AAE3"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Transtelco</w:t>
            </w:r>
          </w:p>
        </w:tc>
        <w:tc>
          <w:tcPr>
            <w:tcW w:w="4388" w:type="dxa"/>
            <w:noWrap/>
            <w:vAlign w:val="center"/>
            <w:hideMark/>
          </w:tcPr>
          <w:p w14:paraId="00657A2B"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IP Matrix, S.A. De C.V.</w:t>
            </w:r>
          </w:p>
        </w:tc>
        <w:tc>
          <w:tcPr>
            <w:tcW w:w="1069" w:type="dxa"/>
            <w:noWrap/>
            <w:vAlign w:val="center"/>
            <w:hideMark/>
          </w:tcPr>
          <w:p w14:paraId="500C83D6" w14:textId="77777777" w:rsidR="0018695B" w:rsidRPr="0018695B" w:rsidRDefault="0018695B" w:rsidP="00C62585">
            <w:pPr>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1,526</w:t>
            </w:r>
          </w:p>
        </w:tc>
        <w:tc>
          <w:tcPr>
            <w:tcW w:w="1027" w:type="dxa"/>
            <w:noWrap/>
            <w:vAlign w:val="center"/>
            <w:hideMark/>
          </w:tcPr>
          <w:p w14:paraId="0B2A75C6" w14:textId="77777777" w:rsidR="0018695B" w:rsidRPr="0018695B" w:rsidRDefault="0018695B" w:rsidP="00C625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s-MX" w:eastAsia="es-MX"/>
              </w:rPr>
            </w:pPr>
            <w:r w:rsidRPr="0018695B">
              <w:rPr>
                <w:rFonts w:ascii="Arial" w:eastAsia="Times New Roman" w:hAnsi="Arial" w:cs="Arial"/>
                <w:color w:val="000000"/>
                <w:sz w:val="18"/>
                <w:szCs w:val="18"/>
                <w:lang w:val="es-MX" w:eastAsia="es-MX"/>
              </w:rPr>
              <w:t>0.01%</w:t>
            </w:r>
          </w:p>
        </w:tc>
      </w:tr>
      <w:tr w:rsidR="00D44C9C" w:rsidRPr="0018695B" w14:paraId="4395091E" w14:textId="77777777" w:rsidTr="00C62585">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225" w:type="dxa"/>
            <w:noWrap/>
            <w:vAlign w:val="center"/>
            <w:hideMark/>
          </w:tcPr>
          <w:p w14:paraId="2BE740BB" w14:textId="77777777" w:rsidR="0018695B" w:rsidRPr="00C03B58" w:rsidRDefault="0018695B" w:rsidP="00C62585">
            <w:pPr>
              <w:spacing w:after="0" w:line="240" w:lineRule="auto"/>
              <w:rPr>
                <w:rFonts w:ascii="Arial" w:eastAsia="Times New Roman" w:hAnsi="Arial" w:cs="Arial"/>
                <w:color w:val="000000"/>
                <w:sz w:val="18"/>
                <w:szCs w:val="18"/>
                <w:lang w:val="es-MX" w:eastAsia="es-MX"/>
              </w:rPr>
            </w:pPr>
            <w:r w:rsidRPr="00C03B58">
              <w:rPr>
                <w:rFonts w:ascii="Arial" w:eastAsia="Times New Roman" w:hAnsi="Arial" w:cs="Arial"/>
                <w:color w:val="000000"/>
                <w:sz w:val="18"/>
                <w:szCs w:val="18"/>
                <w:lang w:val="es-MX" w:eastAsia="es-MX"/>
              </w:rPr>
              <w:t>Total general</w:t>
            </w:r>
          </w:p>
        </w:tc>
        <w:tc>
          <w:tcPr>
            <w:tcW w:w="1643" w:type="dxa"/>
            <w:noWrap/>
            <w:vAlign w:val="center"/>
            <w:hideMark/>
          </w:tcPr>
          <w:p w14:paraId="61AB08FE" w14:textId="77777777" w:rsidR="0018695B" w:rsidRPr="00C03B58"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MX" w:eastAsia="es-MX"/>
              </w:rPr>
            </w:pPr>
            <w:r w:rsidRPr="00C03B58">
              <w:rPr>
                <w:rFonts w:ascii="Arial" w:eastAsia="Times New Roman" w:hAnsi="Arial" w:cs="Arial"/>
                <w:b/>
                <w:color w:val="000000"/>
                <w:sz w:val="18"/>
                <w:szCs w:val="18"/>
                <w:lang w:val="es-MX" w:eastAsia="es-MX"/>
              </w:rPr>
              <w:t>-</w:t>
            </w:r>
          </w:p>
        </w:tc>
        <w:tc>
          <w:tcPr>
            <w:tcW w:w="4388" w:type="dxa"/>
            <w:noWrap/>
            <w:vAlign w:val="center"/>
            <w:hideMark/>
          </w:tcPr>
          <w:p w14:paraId="7984E7EA" w14:textId="77777777" w:rsidR="0018695B" w:rsidRPr="00C03B58"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MX" w:eastAsia="es-MX"/>
              </w:rPr>
            </w:pPr>
            <w:r w:rsidRPr="00C03B58">
              <w:rPr>
                <w:rFonts w:ascii="Arial" w:eastAsia="Times New Roman" w:hAnsi="Arial" w:cs="Arial"/>
                <w:b/>
                <w:color w:val="000000"/>
                <w:sz w:val="18"/>
                <w:szCs w:val="18"/>
                <w:lang w:val="es-MX" w:eastAsia="es-MX"/>
              </w:rPr>
              <w:t>-</w:t>
            </w:r>
          </w:p>
        </w:tc>
        <w:tc>
          <w:tcPr>
            <w:tcW w:w="1069" w:type="dxa"/>
            <w:noWrap/>
            <w:vAlign w:val="center"/>
            <w:hideMark/>
          </w:tcPr>
          <w:p w14:paraId="7AC1EE92" w14:textId="77777777" w:rsidR="0018695B" w:rsidRPr="00C03B58" w:rsidRDefault="0018695B" w:rsidP="00C62585">
            <w:pPr>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MX" w:eastAsia="es-MX"/>
              </w:rPr>
            </w:pPr>
            <w:r w:rsidRPr="00C03B58">
              <w:rPr>
                <w:rFonts w:ascii="Arial" w:eastAsia="Times New Roman" w:hAnsi="Arial" w:cs="Arial"/>
                <w:b/>
                <w:color w:val="000000"/>
                <w:sz w:val="18"/>
                <w:szCs w:val="18"/>
                <w:lang w:val="es-MX" w:eastAsia="es-MX"/>
              </w:rPr>
              <w:t>20,386,240</w:t>
            </w:r>
          </w:p>
        </w:tc>
        <w:tc>
          <w:tcPr>
            <w:tcW w:w="1027" w:type="dxa"/>
            <w:noWrap/>
            <w:vAlign w:val="center"/>
            <w:hideMark/>
          </w:tcPr>
          <w:p w14:paraId="7CEA4CE6" w14:textId="037A6D97" w:rsidR="0018695B" w:rsidRPr="00C03B58" w:rsidRDefault="0018695B" w:rsidP="00C625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18"/>
                <w:szCs w:val="18"/>
                <w:lang w:val="es-MX" w:eastAsia="es-MX"/>
              </w:rPr>
            </w:pPr>
            <w:r w:rsidRPr="00C03B58">
              <w:rPr>
                <w:rFonts w:ascii="Arial" w:eastAsia="Times New Roman" w:hAnsi="Arial" w:cs="Arial"/>
                <w:b/>
                <w:color w:val="000000"/>
                <w:sz w:val="18"/>
                <w:szCs w:val="18"/>
                <w:lang w:val="es-MX" w:eastAsia="es-MX"/>
              </w:rPr>
              <w:t>100.00%</w:t>
            </w:r>
          </w:p>
        </w:tc>
      </w:tr>
    </w:tbl>
    <w:p w14:paraId="4038A45F" w14:textId="02B37647" w:rsidR="00FA2C42" w:rsidRPr="00FA2C42" w:rsidRDefault="00FA2C42" w:rsidP="00D44C9C">
      <w:pPr>
        <w:ind w:right="48"/>
        <w:jc w:val="both"/>
        <w:rPr>
          <w:rFonts w:ascii="Arial" w:hAnsi="Arial" w:cs="Arial"/>
          <w:color w:val="000000"/>
          <w:sz w:val="16"/>
          <w:szCs w:val="16"/>
          <w:lang w:val="es-MX" w:eastAsia="es-ES"/>
        </w:rPr>
      </w:pPr>
      <w:r w:rsidRPr="00FA2C42">
        <w:rPr>
          <w:rFonts w:ascii="Arial" w:hAnsi="Arial" w:cs="Arial"/>
          <w:b/>
          <w:color w:val="000000"/>
          <w:sz w:val="16"/>
          <w:szCs w:val="16"/>
          <w:lang w:val="es-MX" w:eastAsia="es-ES"/>
        </w:rPr>
        <w:t xml:space="preserve">Tabla 1: </w:t>
      </w:r>
      <w:r w:rsidRPr="00FA2C42">
        <w:rPr>
          <w:rFonts w:ascii="Arial" w:hAnsi="Arial" w:cs="Arial"/>
          <w:color w:val="000000"/>
          <w:sz w:val="16"/>
          <w:szCs w:val="16"/>
          <w:lang w:val="es-MX" w:eastAsia="es-ES"/>
        </w:rPr>
        <w:t xml:space="preserve">Comparativo de concesionarios que cuentan con accesos para BAF. </w:t>
      </w:r>
      <w:r w:rsidRPr="00FA2C42">
        <w:rPr>
          <w:rFonts w:ascii="Arial" w:hAnsi="Arial" w:cs="Arial"/>
          <w:b/>
          <w:color w:val="000000"/>
          <w:sz w:val="16"/>
          <w:szCs w:val="16"/>
          <w:lang w:val="es-MX" w:eastAsia="es-ES"/>
        </w:rPr>
        <w:t>Fuente:</w:t>
      </w:r>
      <w:r w:rsidRPr="00FA2C42">
        <w:rPr>
          <w:rFonts w:ascii="Arial" w:hAnsi="Arial" w:cs="Arial"/>
          <w:color w:val="000000"/>
          <w:sz w:val="16"/>
          <w:szCs w:val="16"/>
          <w:lang w:val="es-MX" w:eastAsia="es-ES"/>
        </w:rPr>
        <w:t xml:space="preserve"> IFT a partir de información del BIT al</w:t>
      </w:r>
      <w:r w:rsidR="00D44C9C">
        <w:rPr>
          <w:rFonts w:ascii="Arial" w:hAnsi="Arial" w:cs="Arial"/>
          <w:color w:val="000000"/>
          <w:sz w:val="16"/>
          <w:szCs w:val="16"/>
          <w:lang w:val="es-MX" w:eastAsia="es-ES"/>
        </w:rPr>
        <w:t xml:space="preserve"> segundo trimestre</w:t>
      </w:r>
      <w:r w:rsidRPr="00FA2C42">
        <w:rPr>
          <w:rFonts w:ascii="Arial" w:hAnsi="Arial" w:cs="Arial"/>
          <w:color w:val="000000"/>
          <w:sz w:val="16"/>
          <w:szCs w:val="16"/>
          <w:lang w:val="es-MX" w:eastAsia="es-ES"/>
        </w:rPr>
        <w:t xml:space="preserve"> de 20</w:t>
      </w:r>
      <w:r w:rsidR="00D44C9C">
        <w:rPr>
          <w:rFonts w:ascii="Arial" w:hAnsi="Arial" w:cs="Arial"/>
          <w:color w:val="000000"/>
          <w:sz w:val="16"/>
          <w:szCs w:val="16"/>
          <w:lang w:val="es-MX" w:eastAsia="es-ES"/>
        </w:rPr>
        <w:t>20;</w:t>
      </w:r>
      <w:r w:rsidRPr="00FA2C42">
        <w:rPr>
          <w:rFonts w:ascii="Arial" w:hAnsi="Arial" w:cs="Arial"/>
          <w:color w:val="000000"/>
          <w:sz w:val="16"/>
          <w:szCs w:val="16"/>
          <w:lang w:val="es-MX" w:eastAsia="es-ES"/>
        </w:rPr>
        <w:t xml:space="preserve"> 2021.</w:t>
      </w:r>
    </w:p>
    <w:p w14:paraId="58069751" w14:textId="702CE40F" w:rsidR="00FA2C42" w:rsidRPr="00FA2C42" w:rsidRDefault="00FA2C42" w:rsidP="00FA2C42">
      <w:pPr>
        <w:spacing w:after="0"/>
        <w:jc w:val="both"/>
        <w:rPr>
          <w:rFonts w:ascii="Arial" w:hAnsi="Arial" w:cs="Arial"/>
          <w:lang w:val="es-MX" w:eastAsia="es-ES"/>
        </w:rPr>
      </w:pPr>
      <w:r w:rsidRPr="00FA2C42">
        <w:rPr>
          <w:rFonts w:ascii="Arial" w:hAnsi="Arial" w:cs="Arial"/>
          <w:lang w:val="es-MX" w:eastAsia="es-ES"/>
        </w:rPr>
        <w:t>De acuerdo con información del BIT</w:t>
      </w:r>
      <w:r w:rsidR="009D6439">
        <w:rPr>
          <w:rFonts w:ascii="Arial" w:hAnsi="Arial" w:cs="Arial"/>
          <w:lang w:val="es-MX" w:eastAsia="es-ES"/>
        </w:rPr>
        <w:t>:</w:t>
      </w:r>
      <w:r w:rsidRPr="00FA2C42">
        <w:rPr>
          <w:rFonts w:ascii="Arial" w:hAnsi="Arial" w:cs="Arial"/>
          <w:lang w:val="es-MX" w:eastAsia="es-ES"/>
        </w:rPr>
        <w:t xml:space="preserve"> 1,61</w:t>
      </w:r>
      <w:r w:rsidR="00ED614A">
        <w:rPr>
          <w:rFonts w:ascii="Arial" w:hAnsi="Arial" w:cs="Arial"/>
          <w:lang w:val="es-MX" w:eastAsia="es-ES"/>
        </w:rPr>
        <w:t>9</w:t>
      </w:r>
      <w:r w:rsidRPr="00FA2C42">
        <w:rPr>
          <w:rFonts w:ascii="Arial" w:hAnsi="Arial" w:cs="Arial"/>
          <w:lang w:val="es-MX" w:eastAsia="es-ES"/>
        </w:rPr>
        <w:t xml:space="preserve"> municipios cuentan con accesos de BAF, es decir, 65.</w:t>
      </w:r>
      <w:r w:rsidR="00561F60">
        <w:rPr>
          <w:rFonts w:ascii="Arial" w:hAnsi="Arial" w:cs="Arial"/>
          <w:lang w:val="es-MX" w:eastAsia="es-ES"/>
        </w:rPr>
        <w:t>9</w:t>
      </w:r>
      <w:r w:rsidRPr="00FA2C42">
        <w:rPr>
          <w:rFonts w:ascii="Arial" w:hAnsi="Arial" w:cs="Arial"/>
          <w:lang w:val="es-MX" w:eastAsia="es-ES"/>
        </w:rPr>
        <w:t>% del total de 2,</w:t>
      </w:r>
      <w:r w:rsidR="00561F60">
        <w:rPr>
          <w:rFonts w:ascii="Arial" w:hAnsi="Arial" w:cs="Arial"/>
          <w:lang w:val="es-MX" w:eastAsia="es-ES"/>
        </w:rPr>
        <w:t>457</w:t>
      </w:r>
      <w:r w:rsidR="00561F60">
        <w:rPr>
          <w:rStyle w:val="Refdenotaalpie"/>
          <w:rFonts w:ascii="Arial" w:hAnsi="Arial" w:cs="Arial"/>
          <w:lang w:val="es-MX" w:eastAsia="es-ES"/>
        </w:rPr>
        <w:footnoteReference w:id="6"/>
      </w:r>
      <w:r w:rsidR="00561F60">
        <w:rPr>
          <w:rFonts w:ascii="Arial" w:hAnsi="Arial" w:cs="Arial"/>
          <w:lang w:val="es-MX" w:eastAsia="es-ES"/>
        </w:rPr>
        <w:t xml:space="preserve"> municipios contemplados en el BIT</w:t>
      </w:r>
      <w:r w:rsidRPr="00FA2C42">
        <w:rPr>
          <w:rFonts w:ascii="Arial" w:hAnsi="Arial" w:cs="Arial"/>
          <w:lang w:val="es-MX" w:eastAsia="es-ES"/>
        </w:rPr>
        <w:t xml:space="preserve">. </w:t>
      </w:r>
    </w:p>
    <w:p w14:paraId="0FE7F138" w14:textId="77777777" w:rsidR="00FA2C42" w:rsidRPr="00FA2C42" w:rsidRDefault="00FA2C42" w:rsidP="00FA2C42">
      <w:pPr>
        <w:spacing w:after="0"/>
        <w:jc w:val="both"/>
        <w:rPr>
          <w:rFonts w:ascii="Arial" w:hAnsi="Arial" w:cs="Arial"/>
          <w:lang w:val="es-MX" w:eastAsia="es-ES"/>
        </w:rPr>
      </w:pPr>
    </w:p>
    <w:p w14:paraId="64E7BF77" w14:textId="52364D1F" w:rsidR="00964CCC" w:rsidRDefault="00FA2C42" w:rsidP="00FA2C42">
      <w:pPr>
        <w:spacing w:after="0"/>
        <w:jc w:val="both"/>
        <w:rPr>
          <w:rFonts w:ascii="Arial" w:hAnsi="Arial" w:cs="Arial"/>
          <w:color w:val="000000"/>
          <w:lang w:val="es-ES_tradnl" w:eastAsia="es-ES"/>
        </w:rPr>
      </w:pPr>
      <w:r w:rsidRPr="00FA2C42">
        <w:rPr>
          <w:rFonts w:ascii="Arial" w:hAnsi="Arial" w:cs="Arial"/>
          <w:color w:val="000000"/>
          <w:lang w:val="es-ES_tradnl" w:eastAsia="es-ES"/>
        </w:rPr>
        <w:t xml:space="preserve">En ese sentido, al </w:t>
      </w:r>
      <w:r w:rsidR="00ED614A">
        <w:rPr>
          <w:rFonts w:ascii="Arial" w:hAnsi="Arial" w:cs="Arial"/>
          <w:color w:val="000000"/>
          <w:lang w:val="es-ES_tradnl" w:eastAsia="es-ES"/>
        </w:rPr>
        <w:t>segundo trimestre</w:t>
      </w:r>
      <w:r w:rsidR="00ED614A" w:rsidRPr="00FA2C42">
        <w:rPr>
          <w:rFonts w:ascii="Arial" w:hAnsi="Arial" w:cs="Arial"/>
          <w:color w:val="000000"/>
          <w:lang w:val="es-ES_tradnl" w:eastAsia="es-ES"/>
        </w:rPr>
        <w:t xml:space="preserve"> </w:t>
      </w:r>
      <w:r w:rsidRPr="00FA2C42">
        <w:rPr>
          <w:rFonts w:ascii="Arial" w:hAnsi="Arial" w:cs="Arial"/>
          <w:color w:val="000000"/>
          <w:lang w:val="es-ES_tradnl" w:eastAsia="es-ES"/>
        </w:rPr>
        <w:t>de 20</w:t>
      </w:r>
      <w:r w:rsidR="00ED614A">
        <w:rPr>
          <w:rFonts w:ascii="Arial" w:hAnsi="Arial" w:cs="Arial"/>
          <w:color w:val="000000"/>
          <w:lang w:val="es-ES_tradnl" w:eastAsia="es-ES"/>
        </w:rPr>
        <w:t xml:space="preserve">20 </w:t>
      </w:r>
      <w:r w:rsidR="006F3FDF">
        <w:rPr>
          <w:rFonts w:ascii="Arial" w:hAnsi="Arial" w:cs="Arial"/>
          <w:color w:val="000000"/>
          <w:lang w:val="es-ES_tradnl" w:eastAsia="es-ES"/>
        </w:rPr>
        <w:t xml:space="preserve">diez </w:t>
      </w:r>
      <w:r w:rsidR="00ED614A">
        <w:rPr>
          <w:rFonts w:ascii="Arial" w:hAnsi="Arial" w:cs="Arial"/>
          <w:color w:val="000000"/>
          <w:lang w:val="es-ES_tradnl" w:eastAsia="es-ES"/>
        </w:rPr>
        <w:t>concesionarios</w:t>
      </w:r>
      <w:r w:rsidRPr="00FA2C42">
        <w:rPr>
          <w:rFonts w:ascii="Arial" w:hAnsi="Arial" w:cs="Arial"/>
          <w:color w:val="000000"/>
          <w:lang w:val="es-ES_tradnl" w:eastAsia="es-ES"/>
        </w:rPr>
        <w:t xml:space="preserve"> proporcionaron información respecto a su ubicación</w:t>
      </w:r>
      <w:r w:rsidRPr="00FA2C42">
        <w:rPr>
          <w:rFonts w:ascii="Arial" w:hAnsi="Arial" w:cs="Arial"/>
          <w:color w:val="000000"/>
          <w:vertAlign w:val="superscript"/>
          <w:lang w:val="es-ES_tradnl" w:eastAsia="es-ES"/>
        </w:rPr>
        <w:footnoteReference w:id="7"/>
      </w:r>
      <w:r w:rsidRPr="00FA2C42">
        <w:rPr>
          <w:rFonts w:ascii="Arial" w:hAnsi="Arial" w:cs="Arial"/>
          <w:color w:val="000000"/>
          <w:lang w:val="es-ES_tradnl" w:eastAsia="es-ES"/>
        </w:rPr>
        <w:t xml:space="preserve">, </w:t>
      </w:r>
      <w:r w:rsidR="00ED614A">
        <w:rPr>
          <w:rFonts w:ascii="Arial" w:hAnsi="Arial" w:cs="Arial"/>
          <w:color w:val="000000"/>
          <w:lang w:val="es-ES_tradnl" w:eastAsia="es-ES"/>
        </w:rPr>
        <w:t>mismos que agrupan</w:t>
      </w:r>
      <w:r w:rsidRPr="00FA2C42">
        <w:rPr>
          <w:rFonts w:ascii="Arial" w:hAnsi="Arial" w:cs="Arial"/>
          <w:color w:val="000000"/>
          <w:lang w:val="es-ES_tradnl" w:eastAsia="es-ES"/>
        </w:rPr>
        <w:t xml:space="preserve"> </w:t>
      </w:r>
      <w:r w:rsidR="00ED614A">
        <w:rPr>
          <w:rFonts w:ascii="Arial" w:hAnsi="Arial" w:cs="Arial"/>
          <w:color w:val="000000"/>
          <w:lang w:val="es-ES_tradnl" w:eastAsia="es-ES"/>
        </w:rPr>
        <w:t>20</w:t>
      </w:r>
      <w:r w:rsidRPr="00FA2C42">
        <w:rPr>
          <w:rFonts w:ascii="Arial" w:hAnsi="Arial" w:cs="Arial"/>
          <w:color w:val="000000"/>
          <w:lang w:val="es-ES_tradnl" w:eastAsia="es-ES"/>
        </w:rPr>
        <w:t>.1 millones de accesos</w:t>
      </w:r>
      <w:r w:rsidR="00C35182">
        <w:rPr>
          <w:rFonts w:ascii="Arial" w:hAnsi="Arial" w:cs="Arial"/>
          <w:color w:val="000000"/>
          <w:lang w:val="es-ES_tradnl" w:eastAsia="es-ES"/>
        </w:rPr>
        <w:t xml:space="preserve">, es decir, </w:t>
      </w:r>
      <w:r w:rsidRPr="00FA2C42">
        <w:rPr>
          <w:rFonts w:ascii="Arial" w:hAnsi="Arial" w:cs="Arial"/>
          <w:color w:val="000000"/>
          <w:lang w:val="es-ES_tradnl" w:eastAsia="es-ES"/>
        </w:rPr>
        <w:t>98.</w:t>
      </w:r>
      <w:r w:rsidR="00ED614A">
        <w:rPr>
          <w:rFonts w:ascii="Arial" w:hAnsi="Arial" w:cs="Arial"/>
          <w:color w:val="000000"/>
          <w:lang w:val="es-ES_tradnl" w:eastAsia="es-ES"/>
        </w:rPr>
        <w:t>7</w:t>
      </w:r>
      <w:r w:rsidRPr="00FA2C42">
        <w:rPr>
          <w:rFonts w:ascii="Arial" w:hAnsi="Arial" w:cs="Arial"/>
          <w:color w:val="000000"/>
          <w:lang w:val="es-ES_tradnl" w:eastAsia="es-ES"/>
        </w:rPr>
        <w:t xml:space="preserve">% del total de los </w:t>
      </w:r>
      <w:r w:rsidR="00ED614A">
        <w:rPr>
          <w:rFonts w:ascii="Arial" w:hAnsi="Arial" w:cs="Arial"/>
          <w:color w:val="000000"/>
          <w:lang w:val="es-ES_tradnl" w:eastAsia="es-ES"/>
        </w:rPr>
        <w:t>20</w:t>
      </w:r>
      <w:r w:rsidRPr="00FA2C42">
        <w:rPr>
          <w:rFonts w:ascii="Arial" w:hAnsi="Arial" w:cs="Arial"/>
          <w:color w:val="000000"/>
          <w:lang w:val="es-ES_tradnl" w:eastAsia="es-ES"/>
        </w:rPr>
        <w:t xml:space="preserve">.4 millones de acceso identificados en el BIT, </w:t>
      </w:r>
      <w:r w:rsidR="00C35182">
        <w:rPr>
          <w:rFonts w:ascii="Arial" w:hAnsi="Arial" w:cs="Arial"/>
          <w:color w:val="000000"/>
          <w:lang w:val="es-ES_tradnl" w:eastAsia="es-ES"/>
        </w:rPr>
        <w:t xml:space="preserve">por lo que solamente </w:t>
      </w:r>
      <w:r w:rsidRPr="00FA2C42">
        <w:rPr>
          <w:rFonts w:ascii="Arial" w:hAnsi="Arial" w:cs="Arial"/>
          <w:color w:val="000000"/>
          <w:lang w:val="es-ES_tradnl" w:eastAsia="es-ES"/>
        </w:rPr>
        <w:t>1.</w:t>
      </w:r>
      <w:r w:rsidR="00ED614A">
        <w:rPr>
          <w:rFonts w:ascii="Arial" w:hAnsi="Arial" w:cs="Arial"/>
          <w:color w:val="000000"/>
          <w:lang w:val="es-ES_tradnl" w:eastAsia="es-ES"/>
        </w:rPr>
        <w:t>3</w:t>
      </w:r>
      <w:r w:rsidRPr="00FA2C42">
        <w:rPr>
          <w:rFonts w:ascii="Arial" w:hAnsi="Arial" w:cs="Arial"/>
          <w:color w:val="000000"/>
          <w:lang w:val="es-ES_tradnl" w:eastAsia="es-ES"/>
        </w:rPr>
        <w:t xml:space="preserve">% del total de los accesos reportados no </w:t>
      </w:r>
      <w:r w:rsidR="00574425">
        <w:rPr>
          <w:rFonts w:ascii="Arial" w:hAnsi="Arial" w:cs="Arial"/>
          <w:color w:val="000000"/>
          <w:lang w:val="es-ES_tradnl" w:eastAsia="es-ES"/>
        </w:rPr>
        <w:t>tienen una localización geográfica a nivel municipal.</w:t>
      </w:r>
      <w:r w:rsidRPr="00FA2C42">
        <w:rPr>
          <w:rFonts w:ascii="Arial" w:hAnsi="Arial" w:cs="Arial"/>
          <w:color w:val="000000"/>
          <w:lang w:val="es-ES_tradnl" w:eastAsia="es-ES"/>
        </w:rPr>
        <w:t xml:space="preserve"> </w:t>
      </w:r>
    </w:p>
    <w:p w14:paraId="0FF5BA42" w14:textId="77777777" w:rsidR="00964CCC" w:rsidRDefault="00964CCC" w:rsidP="00FA2C42">
      <w:pPr>
        <w:spacing w:after="0"/>
        <w:jc w:val="both"/>
        <w:rPr>
          <w:rFonts w:ascii="Arial" w:hAnsi="Arial" w:cs="Arial"/>
          <w:color w:val="000000"/>
          <w:lang w:val="es-ES_tradnl" w:eastAsia="es-ES"/>
        </w:rPr>
      </w:pPr>
    </w:p>
    <w:p w14:paraId="501DAF4F" w14:textId="61D12708" w:rsidR="00FA2C42" w:rsidRDefault="00574425" w:rsidP="00FA2C42">
      <w:pPr>
        <w:spacing w:after="0"/>
        <w:jc w:val="both"/>
        <w:rPr>
          <w:rFonts w:ascii="Arial" w:hAnsi="Arial" w:cs="Arial"/>
          <w:color w:val="000000"/>
          <w:lang w:val="es-ES_tradnl" w:eastAsia="es-ES"/>
        </w:rPr>
      </w:pPr>
      <w:r>
        <w:rPr>
          <w:rFonts w:ascii="Arial" w:hAnsi="Arial" w:cs="Arial"/>
          <w:color w:val="000000"/>
          <w:lang w:val="es-ES_tradnl" w:eastAsia="es-ES"/>
        </w:rPr>
        <w:t>E</w:t>
      </w:r>
      <w:r w:rsidRPr="00FA2C42">
        <w:rPr>
          <w:rFonts w:ascii="Arial" w:hAnsi="Arial" w:cs="Arial"/>
          <w:color w:val="000000"/>
          <w:lang w:val="es-ES_tradnl" w:eastAsia="es-ES"/>
        </w:rPr>
        <w:t>n</w:t>
      </w:r>
      <w:r w:rsidR="00FA2C42" w:rsidRPr="00FA2C42">
        <w:rPr>
          <w:rFonts w:ascii="Arial" w:hAnsi="Arial" w:cs="Arial"/>
          <w:color w:val="000000"/>
          <w:lang w:val="es-ES_tradnl" w:eastAsia="es-ES"/>
        </w:rPr>
        <w:t xml:space="preserve"> la siguiente tabla se presenta el número de municipios en los que tienen presencia dichos concesionarios:</w:t>
      </w:r>
    </w:p>
    <w:tbl>
      <w:tblPr>
        <w:tblW w:w="8506" w:type="dxa"/>
        <w:jc w:val="center"/>
        <w:tblCellMar>
          <w:left w:w="70" w:type="dxa"/>
          <w:right w:w="70" w:type="dxa"/>
        </w:tblCellMar>
        <w:tblLook w:val="04A0" w:firstRow="1" w:lastRow="0" w:firstColumn="1" w:lastColumn="0" w:noHBand="0" w:noVBand="1"/>
      </w:tblPr>
      <w:tblGrid>
        <w:gridCol w:w="1517"/>
        <w:gridCol w:w="4094"/>
        <w:gridCol w:w="1368"/>
        <w:gridCol w:w="1140"/>
        <w:gridCol w:w="387"/>
      </w:tblGrid>
      <w:tr w:rsidR="00BA7954" w:rsidRPr="00BA7954" w14:paraId="412BA68D" w14:textId="77777777" w:rsidTr="0091654F">
        <w:trPr>
          <w:gridAfter w:val="1"/>
          <w:wAfter w:w="387" w:type="dxa"/>
          <w:trHeight w:val="717"/>
          <w:tblHeader/>
          <w:jc w:val="center"/>
        </w:trPr>
        <w:tc>
          <w:tcPr>
            <w:tcW w:w="1517" w:type="dxa"/>
            <w:tcBorders>
              <w:top w:val="nil"/>
              <w:left w:val="nil"/>
              <w:bottom w:val="single" w:sz="12" w:space="0" w:color="C2D69B"/>
              <w:right w:val="nil"/>
            </w:tcBorders>
            <w:shd w:val="clear" w:color="000000" w:fill="FFFFFF"/>
            <w:noWrap/>
            <w:hideMark/>
          </w:tcPr>
          <w:p w14:paraId="4D66EE2C" w14:textId="77777777" w:rsidR="00BA7954" w:rsidRPr="00BA7954" w:rsidRDefault="00BA7954" w:rsidP="00BA7954">
            <w:pPr>
              <w:spacing w:after="0" w:line="240" w:lineRule="auto"/>
              <w:rPr>
                <w:rFonts w:ascii="Arial" w:eastAsia="Times New Roman" w:hAnsi="Arial" w:cs="Arial"/>
                <w:color w:val="000000"/>
                <w:sz w:val="24"/>
                <w:szCs w:val="24"/>
                <w:lang w:val="es-MX" w:eastAsia="es-MX"/>
              </w:rPr>
            </w:pPr>
            <w:r w:rsidRPr="00BA7954">
              <w:rPr>
                <w:rFonts w:ascii="Arial" w:eastAsia="Times New Roman" w:hAnsi="Arial" w:cs="Arial"/>
                <w:color w:val="000000"/>
                <w:sz w:val="24"/>
                <w:szCs w:val="24"/>
                <w:lang w:val="es-MX" w:eastAsia="es-MX"/>
              </w:rPr>
              <w:lastRenderedPageBreak/>
              <w:t> </w:t>
            </w:r>
          </w:p>
        </w:tc>
        <w:tc>
          <w:tcPr>
            <w:tcW w:w="4094" w:type="dxa"/>
            <w:tcBorders>
              <w:top w:val="nil"/>
              <w:left w:val="nil"/>
              <w:bottom w:val="single" w:sz="12" w:space="0" w:color="C2D69B"/>
              <w:right w:val="nil"/>
            </w:tcBorders>
            <w:shd w:val="clear" w:color="000000" w:fill="FFFFFF"/>
            <w:noWrap/>
            <w:hideMark/>
          </w:tcPr>
          <w:p w14:paraId="00CBDA1E" w14:textId="77777777" w:rsidR="00BA7954" w:rsidRPr="00BA7954" w:rsidRDefault="00BA7954" w:rsidP="00BA7954">
            <w:pPr>
              <w:spacing w:after="0" w:line="240" w:lineRule="auto"/>
              <w:rPr>
                <w:rFonts w:ascii="Arial" w:eastAsia="Times New Roman" w:hAnsi="Arial" w:cs="Arial"/>
                <w:color w:val="000000"/>
                <w:sz w:val="24"/>
                <w:szCs w:val="24"/>
                <w:lang w:val="es-MX" w:eastAsia="es-MX"/>
              </w:rPr>
            </w:pPr>
            <w:r w:rsidRPr="00BA7954">
              <w:rPr>
                <w:rFonts w:ascii="Arial" w:eastAsia="Times New Roman" w:hAnsi="Arial" w:cs="Arial"/>
                <w:color w:val="000000"/>
                <w:sz w:val="24"/>
                <w:szCs w:val="24"/>
                <w:lang w:val="es-MX" w:eastAsia="es-MX"/>
              </w:rPr>
              <w:t> </w:t>
            </w:r>
          </w:p>
        </w:tc>
        <w:tc>
          <w:tcPr>
            <w:tcW w:w="2508" w:type="dxa"/>
            <w:gridSpan w:val="2"/>
            <w:tcBorders>
              <w:top w:val="nil"/>
              <w:left w:val="nil"/>
              <w:bottom w:val="single" w:sz="12" w:space="0" w:color="C2D69B"/>
              <w:right w:val="nil"/>
            </w:tcBorders>
            <w:shd w:val="clear" w:color="000000" w:fill="FFFFFF"/>
            <w:vAlign w:val="center"/>
            <w:hideMark/>
          </w:tcPr>
          <w:p w14:paraId="277B52FE" w14:textId="77777777" w:rsidR="00BA7954" w:rsidRPr="00BA7954" w:rsidRDefault="00BA7954" w:rsidP="00BA7954">
            <w:pPr>
              <w:spacing w:after="0" w:line="240" w:lineRule="auto"/>
              <w:jc w:val="center"/>
              <w:rPr>
                <w:rFonts w:ascii="Arial" w:eastAsia="Times New Roman" w:hAnsi="Arial" w:cs="Arial"/>
                <w:b/>
                <w:bCs/>
                <w:color w:val="000000"/>
                <w:sz w:val="18"/>
                <w:szCs w:val="18"/>
                <w:lang w:val="es-MX" w:eastAsia="es-MX"/>
              </w:rPr>
            </w:pPr>
            <w:r w:rsidRPr="00BA7954">
              <w:rPr>
                <w:rFonts w:ascii="Arial" w:eastAsia="Times New Roman" w:hAnsi="Arial" w:cs="Arial"/>
                <w:b/>
                <w:bCs/>
                <w:color w:val="000000"/>
                <w:sz w:val="18"/>
                <w:szCs w:val="18"/>
                <w:lang w:val="es-MX" w:eastAsia="es-MX"/>
              </w:rPr>
              <w:t>Municipios con presencia de accesos para servicios fijos de Internet</w:t>
            </w:r>
          </w:p>
        </w:tc>
      </w:tr>
      <w:tr w:rsidR="00BA7954" w:rsidRPr="00BA7954" w14:paraId="1E96FD08" w14:textId="77777777" w:rsidTr="0091654F">
        <w:trPr>
          <w:trHeight w:val="328"/>
          <w:tblHeader/>
          <w:jc w:val="center"/>
        </w:trPr>
        <w:tc>
          <w:tcPr>
            <w:tcW w:w="1517" w:type="dxa"/>
            <w:tcBorders>
              <w:top w:val="nil"/>
              <w:left w:val="nil"/>
              <w:bottom w:val="single" w:sz="8" w:space="0" w:color="C2D69B"/>
              <w:right w:val="single" w:sz="8" w:space="0" w:color="C2D69B"/>
            </w:tcBorders>
            <w:shd w:val="clear" w:color="000000" w:fill="EAF1DD"/>
            <w:vAlign w:val="center"/>
            <w:hideMark/>
          </w:tcPr>
          <w:p w14:paraId="42A1511E" w14:textId="77777777" w:rsidR="00BA7954" w:rsidRPr="00BA7954" w:rsidRDefault="00BA7954" w:rsidP="00BA7954">
            <w:pPr>
              <w:spacing w:after="0" w:line="240" w:lineRule="auto"/>
              <w:jc w:val="center"/>
              <w:rPr>
                <w:rFonts w:ascii="Arial" w:eastAsia="Times New Roman" w:hAnsi="Arial" w:cs="Arial"/>
                <w:b/>
                <w:bCs/>
                <w:color w:val="000000"/>
                <w:sz w:val="18"/>
                <w:szCs w:val="18"/>
                <w:lang w:val="es-MX" w:eastAsia="es-MX"/>
              </w:rPr>
            </w:pPr>
            <w:r w:rsidRPr="00BA7954">
              <w:rPr>
                <w:rFonts w:ascii="Arial" w:eastAsia="Times New Roman" w:hAnsi="Arial" w:cs="Arial"/>
                <w:b/>
                <w:bCs/>
                <w:color w:val="000000"/>
                <w:sz w:val="18"/>
                <w:szCs w:val="18"/>
                <w:lang w:val="es-MX" w:eastAsia="es-MX"/>
              </w:rPr>
              <w:t>Grupo</w:t>
            </w:r>
          </w:p>
        </w:tc>
        <w:tc>
          <w:tcPr>
            <w:tcW w:w="4094" w:type="dxa"/>
            <w:tcBorders>
              <w:top w:val="nil"/>
              <w:left w:val="nil"/>
              <w:bottom w:val="single" w:sz="8" w:space="0" w:color="C2D69B"/>
              <w:right w:val="single" w:sz="8" w:space="0" w:color="C2D69B"/>
            </w:tcBorders>
            <w:shd w:val="clear" w:color="000000" w:fill="EAF1DD"/>
            <w:vAlign w:val="center"/>
            <w:hideMark/>
          </w:tcPr>
          <w:p w14:paraId="41B1BE9F" w14:textId="77777777" w:rsidR="00BA7954" w:rsidRPr="00BA7954" w:rsidRDefault="00BA7954" w:rsidP="00BA7954">
            <w:pPr>
              <w:spacing w:after="0" w:line="240" w:lineRule="auto"/>
              <w:jc w:val="center"/>
              <w:rPr>
                <w:rFonts w:ascii="Arial" w:eastAsia="Times New Roman" w:hAnsi="Arial" w:cs="Arial"/>
                <w:b/>
                <w:bCs/>
                <w:color w:val="000000"/>
                <w:sz w:val="18"/>
                <w:szCs w:val="18"/>
                <w:lang w:val="es-MX" w:eastAsia="es-MX"/>
              </w:rPr>
            </w:pPr>
            <w:r w:rsidRPr="00BA7954">
              <w:rPr>
                <w:rFonts w:ascii="Arial" w:eastAsia="Times New Roman" w:hAnsi="Arial" w:cs="Arial"/>
                <w:b/>
                <w:bCs/>
                <w:color w:val="000000"/>
                <w:sz w:val="18"/>
                <w:szCs w:val="18"/>
                <w:lang w:val="es-MX" w:eastAsia="es-MX"/>
              </w:rPr>
              <w:t>Concesionario</w:t>
            </w:r>
          </w:p>
        </w:tc>
        <w:tc>
          <w:tcPr>
            <w:tcW w:w="1368" w:type="dxa"/>
            <w:tcBorders>
              <w:top w:val="nil"/>
              <w:left w:val="nil"/>
              <w:bottom w:val="single" w:sz="8" w:space="0" w:color="C2D69B"/>
              <w:right w:val="single" w:sz="8" w:space="0" w:color="C2D69B"/>
            </w:tcBorders>
            <w:shd w:val="clear" w:color="000000" w:fill="EAF1DD"/>
            <w:vAlign w:val="center"/>
            <w:hideMark/>
          </w:tcPr>
          <w:p w14:paraId="5AEAA19E" w14:textId="77777777" w:rsidR="00BA7954" w:rsidRPr="00BA7954" w:rsidRDefault="00BA7954" w:rsidP="00BA7954">
            <w:pPr>
              <w:spacing w:after="0" w:line="240" w:lineRule="auto"/>
              <w:jc w:val="center"/>
              <w:rPr>
                <w:rFonts w:ascii="Arial" w:eastAsia="Times New Roman" w:hAnsi="Arial" w:cs="Arial"/>
                <w:b/>
                <w:bCs/>
                <w:color w:val="000000"/>
                <w:sz w:val="18"/>
                <w:szCs w:val="18"/>
                <w:lang w:val="es-MX" w:eastAsia="es-MX"/>
              </w:rPr>
            </w:pPr>
            <w:r w:rsidRPr="00BA7954">
              <w:rPr>
                <w:rFonts w:ascii="Arial" w:eastAsia="Times New Roman" w:hAnsi="Arial" w:cs="Arial"/>
                <w:b/>
                <w:bCs/>
                <w:color w:val="000000"/>
                <w:sz w:val="18"/>
                <w:szCs w:val="18"/>
                <w:lang w:val="es-MX" w:eastAsia="es-MX"/>
              </w:rPr>
              <w:t>Grupo</w:t>
            </w:r>
          </w:p>
        </w:tc>
        <w:tc>
          <w:tcPr>
            <w:tcW w:w="1527" w:type="dxa"/>
            <w:gridSpan w:val="2"/>
            <w:tcBorders>
              <w:top w:val="nil"/>
              <w:left w:val="nil"/>
              <w:bottom w:val="single" w:sz="8" w:space="0" w:color="C2D69B"/>
              <w:right w:val="nil"/>
            </w:tcBorders>
            <w:shd w:val="clear" w:color="000000" w:fill="EAF1DD"/>
            <w:vAlign w:val="center"/>
            <w:hideMark/>
          </w:tcPr>
          <w:p w14:paraId="76470BA7" w14:textId="77777777" w:rsidR="00BA7954" w:rsidRPr="00BA7954" w:rsidRDefault="00BA7954" w:rsidP="00BA7954">
            <w:pPr>
              <w:spacing w:after="0" w:line="240" w:lineRule="auto"/>
              <w:jc w:val="center"/>
              <w:rPr>
                <w:rFonts w:ascii="Arial" w:eastAsia="Times New Roman" w:hAnsi="Arial" w:cs="Arial"/>
                <w:b/>
                <w:bCs/>
                <w:color w:val="000000"/>
                <w:sz w:val="18"/>
                <w:szCs w:val="18"/>
                <w:lang w:val="es-MX" w:eastAsia="es-MX"/>
              </w:rPr>
            </w:pPr>
            <w:r w:rsidRPr="00BA7954">
              <w:rPr>
                <w:rFonts w:ascii="Arial" w:eastAsia="Times New Roman" w:hAnsi="Arial" w:cs="Arial"/>
                <w:b/>
                <w:bCs/>
                <w:color w:val="000000"/>
                <w:sz w:val="18"/>
                <w:szCs w:val="18"/>
                <w:lang w:val="es-MX" w:eastAsia="es-MX"/>
              </w:rPr>
              <w:t>Concesionario</w:t>
            </w:r>
          </w:p>
        </w:tc>
      </w:tr>
      <w:tr w:rsidR="00BA7954" w:rsidRPr="00BA7954" w14:paraId="5B8C28DD" w14:textId="77777777" w:rsidTr="0091654F">
        <w:trPr>
          <w:trHeight w:val="313"/>
          <w:jc w:val="center"/>
        </w:trPr>
        <w:tc>
          <w:tcPr>
            <w:tcW w:w="1517" w:type="dxa"/>
            <w:vMerge w:val="restart"/>
            <w:tcBorders>
              <w:top w:val="nil"/>
              <w:left w:val="nil"/>
              <w:bottom w:val="single" w:sz="8" w:space="0" w:color="C2D69B"/>
              <w:right w:val="single" w:sz="8" w:space="0" w:color="C2D69B"/>
            </w:tcBorders>
            <w:shd w:val="clear" w:color="auto" w:fill="auto"/>
            <w:noWrap/>
            <w:vAlign w:val="center"/>
            <w:hideMark/>
          </w:tcPr>
          <w:p w14:paraId="2175DD05"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r w:rsidRPr="000228B3">
              <w:rPr>
                <w:rFonts w:ascii="Arial" w:eastAsia="Times New Roman" w:hAnsi="Arial" w:cs="Arial"/>
                <w:bCs/>
                <w:color w:val="000000"/>
                <w:sz w:val="18"/>
                <w:szCs w:val="18"/>
                <w:lang w:val="es-MX" w:eastAsia="es-MX"/>
              </w:rPr>
              <w:t>América Móvil</w:t>
            </w:r>
          </w:p>
        </w:tc>
        <w:tc>
          <w:tcPr>
            <w:tcW w:w="4094" w:type="dxa"/>
            <w:tcBorders>
              <w:top w:val="nil"/>
              <w:left w:val="nil"/>
              <w:bottom w:val="single" w:sz="8" w:space="0" w:color="C2D69B"/>
              <w:right w:val="single" w:sz="8" w:space="0" w:color="C2D69B"/>
            </w:tcBorders>
            <w:shd w:val="clear" w:color="auto" w:fill="auto"/>
            <w:noWrap/>
            <w:vAlign w:val="center"/>
            <w:hideMark/>
          </w:tcPr>
          <w:p w14:paraId="41ACDCBC"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Teléfonos de México, S.A.B. de C.V.</w:t>
            </w:r>
          </w:p>
        </w:tc>
        <w:tc>
          <w:tcPr>
            <w:tcW w:w="1368" w:type="dxa"/>
            <w:vMerge w:val="restart"/>
            <w:tcBorders>
              <w:top w:val="nil"/>
              <w:left w:val="single" w:sz="8" w:space="0" w:color="C2D69B"/>
              <w:bottom w:val="single" w:sz="8" w:space="0" w:color="C2D69B"/>
              <w:right w:val="single" w:sz="8" w:space="0" w:color="C2D69B"/>
            </w:tcBorders>
            <w:shd w:val="clear" w:color="auto" w:fill="auto"/>
            <w:noWrap/>
            <w:vAlign w:val="center"/>
            <w:hideMark/>
          </w:tcPr>
          <w:p w14:paraId="1F9D02EC" w14:textId="0E43F3B3" w:rsidR="00BA7954" w:rsidRPr="00BA7954" w:rsidRDefault="004873B4" w:rsidP="00BA7954">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1,585</w:t>
            </w:r>
          </w:p>
        </w:tc>
        <w:tc>
          <w:tcPr>
            <w:tcW w:w="1527" w:type="dxa"/>
            <w:gridSpan w:val="2"/>
            <w:tcBorders>
              <w:top w:val="nil"/>
              <w:left w:val="nil"/>
              <w:bottom w:val="single" w:sz="8" w:space="0" w:color="C2D69B"/>
              <w:right w:val="nil"/>
            </w:tcBorders>
            <w:shd w:val="clear" w:color="auto" w:fill="auto"/>
            <w:noWrap/>
            <w:vAlign w:val="center"/>
            <w:hideMark/>
          </w:tcPr>
          <w:p w14:paraId="6585DD6A" w14:textId="776884E1" w:rsidR="00BA7954" w:rsidRPr="00C35182" w:rsidRDefault="004873B4" w:rsidP="00BA7954">
            <w:pPr>
              <w:spacing w:after="0" w:line="240" w:lineRule="auto"/>
              <w:jc w:val="center"/>
              <w:rPr>
                <w:rFonts w:ascii="Arial" w:eastAsia="Times New Roman" w:hAnsi="Arial" w:cs="Arial"/>
                <w:color w:val="000000"/>
                <w:sz w:val="18"/>
                <w:szCs w:val="18"/>
                <w:highlight w:val="yellow"/>
                <w:lang w:val="es-MX" w:eastAsia="es-MX"/>
              </w:rPr>
            </w:pPr>
            <w:r w:rsidRPr="004873B4">
              <w:rPr>
                <w:rFonts w:ascii="Arial" w:eastAsia="Times New Roman" w:hAnsi="Arial" w:cs="Arial"/>
                <w:color w:val="000000"/>
                <w:sz w:val="18"/>
                <w:szCs w:val="18"/>
                <w:lang w:val="es-MX" w:eastAsia="es-MX"/>
              </w:rPr>
              <w:t>1,578</w:t>
            </w:r>
          </w:p>
        </w:tc>
      </w:tr>
      <w:tr w:rsidR="00BA7954" w:rsidRPr="00BA7954" w14:paraId="3AC5E5CB" w14:textId="77777777" w:rsidTr="0091654F">
        <w:trPr>
          <w:trHeight w:val="313"/>
          <w:jc w:val="center"/>
        </w:trPr>
        <w:tc>
          <w:tcPr>
            <w:tcW w:w="1517" w:type="dxa"/>
            <w:vMerge/>
            <w:tcBorders>
              <w:top w:val="nil"/>
              <w:left w:val="nil"/>
              <w:bottom w:val="single" w:sz="8" w:space="0" w:color="C2D69B"/>
              <w:right w:val="single" w:sz="8" w:space="0" w:color="C2D69B"/>
            </w:tcBorders>
            <w:vAlign w:val="center"/>
            <w:hideMark/>
          </w:tcPr>
          <w:p w14:paraId="2B087BB4"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p>
        </w:tc>
        <w:tc>
          <w:tcPr>
            <w:tcW w:w="4094" w:type="dxa"/>
            <w:tcBorders>
              <w:top w:val="nil"/>
              <w:left w:val="nil"/>
              <w:bottom w:val="single" w:sz="8" w:space="0" w:color="C2D69B"/>
              <w:right w:val="single" w:sz="8" w:space="0" w:color="C2D69B"/>
            </w:tcBorders>
            <w:shd w:val="clear" w:color="000000" w:fill="EAF1DD"/>
            <w:noWrap/>
            <w:vAlign w:val="center"/>
            <w:hideMark/>
          </w:tcPr>
          <w:p w14:paraId="7F7E84EC"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Teléfonos del Noroeste, S.A. de C.V.</w:t>
            </w:r>
          </w:p>
        </w:tc>
        <w:tc>
          <w:tcPr>
            <w:tcW w:w="1368" w:type="dxa"/>
            <w:vMerge/>
            <w:tcBorders>
              <w:top w:val="nil"/>
              <w:left w:val="single" w:sz="8" w:space="0" w:color="C2D69B"/>
              <w:bottom w:val="single" w:sz="8" w:space="0" w:color="C2D69B"/>
              <w:right w:val="single" w:sz="8" w:space="0" w:color="C2D69B"/>
            </w:tcBorders>
            <w:vAlign w:val="center"/>
            <w:hideMark/>
          </w:tcPr>
          <w:p w14:paraId="33BE5E73"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p>
        </w:tc>
        <w:tc>
          <w:tcPr>
            <w:tcW w:w="1527" w:type="dxa"/>
            <w:gridSpan w:val="2"/>
            <w:tcBorders>
              <w:top w:val="nil"/>
              <w:left w:val="nil"/>
              <w:bottom w:val="single" w:sz="8" w:space="0" w:color="C2D69B"/>
              <w:right w:val="nil"/>
            </w:tcBorders>
            <w:shd w:val="clear" w:color="000000" w:fill="EAF1DD"/>
            <w:noWrap/>
            <w:vAlign w:val="center"/>
            <w:hideMark/>
          </w:tcPr>
          <w:p w14:paraId="293A406A" w14:textId="4EE14A6E" w:rsidR="00BA7954" w:rsidRPr="00BA7954" w:rsidRDefault="004873B4" w:rsidP="00BA7954">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7</w:t>
            </w:r>
          </w:p>
        </w:tc>
      </w:tr>
      <w:tr w:rsidR="00BA7954" w:rsidRPr="00BA7954" w14:paraId="2939501A" w14:textId="77777777" w:rsidTr="0091654F">
        <w:trPr>
          <w:trHeight w:val="313"/>
          <w:jc w:val="center"/>
        </w:trPr>
        <w:tc>
          <w:tcPr>
            <w:tcW w:w="1517" w:type="dxa"/>
            <w:vMerge w:val="restart"/>
            <w:tcBorders>
              <w:top w:val="nil"/>
              <w:left w:val="nil"/>
              <w:bottom w:val="single" w:sz="8" w:space="0" w:color="C2D69B"/>
              <w:right w:val="single" w:sz="8" w:space="0" w:color="C2D69B"/>
            </w:tcBorders>
            <w:shd w:val="clear" w:color="auto" w:fill="auto"/>
            <w:noWrap/>
            <w:vAlign w:val="center"/>
            <w:hideMark/>
          </w:tcPr>
          <w:p w14:paraId="550D7AEE"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r w:rsidRPr="000228B3">
              <w:rPr>
                <w:rFonts w:ascii="Arial" w:eastAsia="Times New Roman" w:hAnsi="Arial" w:cs="Arial"/>
                <w:bCs/>
                <w:color w:val="000000"/>
                <w:sz w:val="18"/>
                <w:szCs w:val="18"/>
                <w:lang w:val="es-MX" w:eastAsia="es-MX"/>
              </w:rPr>
              <w:t>Grupo Televisa</w:t>
            </w:r>
          </w:p>
        </w:tc>
        <w:tc>
          <w:tcPr>
            <w:tcW w:w="4094" w:type="dxa"/>
            <w:tcBorders>
              <w:top w:val="nil"/>
              <w:left w:val="nil"/>
              <w:bottom w:val="single" w:sz="8" w:space="0" w:color="C2D69B"/>
              <w:right w:val="single" w:sz="8" w:space="0" w:color="C2D69B"/>
            </w:tcBorders>
            <w:shd w:val="clear" w:color="auto" w:fill="auto"/>
            <w:noWrap/>
            <w:vAlign w:val="center"/>
            <w:hideMark/>
          </w:tcPr>
          <w:p w14:paraId="0131E2AB"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Cablevisión, S.A. de C.V.</w:t>
            </w:r>
          </w:p>
        </w:tc>
        <w:tc>
          <w:tcPr>
            <w:tcW w:w="1368" w:type="dxa"/>
            <w:vMerge w:val="restart"/>
            <w:tcBorders>
              <w:top w:val="nil"/>
              <w:left w:val="single" w:sz="8" w:space="0" w:color="C2D69B"/>
              <w:bottom w:val="single" w:sz="8" w:space="0" w:color="C2D69B"/>
              <w:right w:val="single" w:sz="8" w:space="0" w:color="C2D69B"/>
            </w:tcBorders>
            <w:shd w:val="clear" w:color="auto" w:fill="auto"/>
            <w:noWrap/>
            <w:vAlign w:val="center"/>
            <w:hideMark/>
          </w:tcPr>
          <w:p w14:paraId="71D1644E" w14:textId="24D96A2F" w:rsidR="00BA7954" w:rsidRPr="00BA7954" w:rsidRDefault="007167E0" w:rsidP="00BA7954">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200</w:t>
            </w:r>
          </w:p>
        </w:tc>
        <w:tc>
          <w:tcPr>
            <w:tcW w:w="1527" w:type="dxa"/>
            <w:gridSpan w:val="2"/>
            <w:tcBorders>
              <w:top w:val="nil"/>
              <w:left w:val="nil"/>
              <w:bottom w:val="single" w:sz="8" w:space="0" w:color="C2D69B"/>
              <w:right w:val="nil"/>
            </w:tcBorders>
            <w:shd w:val="clear" w:color="auto" w:fill="auto"/>
            <w:noWrap/>
            <w:vAlign w:val="center"/>
            <w:hideMark/>
          </w:tcPr>
          <w:p w14:paraId="0901E84C" w14:textId="77777777" w:rsidR="00BA7954" w:rsidRPr="00BA7954" w:rsidRDefault="00BA7954" w:rsidP="00BA7954">
            <w:pPr>
              <w:spacing w:after="0" w:line="240" w:lineRule="auto"/>
              <w:jc w:val="center"/>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31</w:t>
            </w:r>
          </w:p>
        </w:tc>
      </w:tr>
      <w:tr w:rsidR="00BA7954" w:rsidRPr="00BA7954" w14:paraId="505CDF15" w14:textId="77777777" w:rsidTr="0091654F">
        <w:trPr>
          <w:trHeight w:val="313"/>
          <w:jc w:val="center"/>
        </w:trPr>
        <w:tc>
          <w:tcPr>
            <w:tcW w:w="1517" w:type="dxa"/>
            <w:vMerge/>
            <w:tcBorders>
              <w:top w:val="nil"/>
              <w:left w:val="nil"/>
              <w:bottom w:val="single" w:sz="8" w:space="0" w:color="C2D69B"/>
              <w:right w:val="single" w:sz="8" w:space="0" w:color="C2D69B"/>
            </w:tcBorders>
            <w:vAlign w:val="center"/>
            <w:hideMark/>
          </w:tcPr>
          <w:p w14:paraId="16C2BA88"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p>
        </w:tc>
        <w:tc>
          <w:tcPr>
            <w:tcW w:w="4094" w:type="dxa"/>
            <w:tcBorders>
              <w:top w:val="nil"/>
              <w:left w:val="nil"/>
              <w:bottom w:val="single" w:sz="8" w:space="0" w:color="C2D69B"/>
              <w:right w:val="single" w:sz="8" w:space="0" w:color="C2D69B"/>
            </w:tcBorders>
            <w:shd w:val="clear" w:color="000000" w:fill="EAF1DD"/>
            <w:noWrap/>
            <w:vAlign w:val="center"/>
            <w:hideMark/>
          </w:tcPr>
          <w:p w14:paraId="477AB904"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Cablevisión Red, S.A. de C.V.</w:t>
            </w:r>
          </w:p>
        </w:tc>
        <w:tc>
          <w:tcPr>
            <w:tcW w:w="1368" w:type="dxa"/>
            <w:vMerge/>
            <w:tcBorders>
              <w:top w:val="nil"/>
              <w:left w:val="single" w:sz="8" w:space="0" w:color="C2D69B"/>
              <w:bottom w:val="single" w:sz="8" w:space="0" w:color="C2D69B"/>
              <w:right w:val="single" w:sz="8" w:space="0" w:color="C2D69B"/>
            </w:tcBorders>
            <w:vAlign w:val="center"/>
            <w:hideMark/>
          </w:tcPr>
          <w:p w14:paraId="4A189E7A"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p>
        </w:tc>
        <w:tc>
          <w:tcPr>
            <w:tcW w:w="1527" w:type="dxa"/>
            <w:gridSpan w:val="2"/>
            <w:tcBorders>
              <w:top w:val="nil"/>
              <w:left w:val="nil"/>
              <w:bottom w:val="single" w:sz="8" w:space="0" w:color="C2D69B"/>
              <w:right w:val="nil"/>
            </w:tcBorders>
            <w:shd w:val="clear" w:color="000000" w:fill="EAF1DD"/>
            <w:noWrap/>
            <w:vAlign w:val="center"/>
            <w:hideMark/>
          </w:tcPr>
          <w:p w14:paraId="2D8487DC" w14:textId="77777777" w:rsidR="00BA7954" w:rsidRPr="00BA7954" w:rsidRDefault="00BA7954" w:rsidP="00BA7954">
            <w:pPr>
              <w:spacing w:after="0" w:line="240" w:lineRule="auto"/>
              <w:jc w:val="center"/>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67</w:t>
            </w:r>
          </w:p>
        </w:tc>
      </w:tr>
      <w:tr w:rsidR="00BA7954" w:rsidRPr="00BA7954" w14:paraId="495FA3C8" w14:textId="77777777" w:rsidTr="0091654F">
        <w:trPr>
          <w:trHeight w:val="313"/>
          <w:jc w:val="center"/>
        </w:trPr>
        <w:tc>
          <w:tcPr>
            <w:tcW w:w="1517" w:type="dxa"/>
            <w:vMerge/>
            <w:tcBorders>
              <w:top w:val="nil"/>
              <w:left w:val="nil"/>
              <w:bottom w:val="single" w:sz="8" w:space="0" w:color="C2D69B"/>
              <w:right w:val="single" w:sz="8" w:space="0" w:color="C2D69B"/>
            </w:tcBorders>
            <w:vAlign w:val="center"/>
            <w:hideMark/>
          </w:tcPr>
          <w:p w14:paraId="15E71281"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p>
        </w:tc>
        <w:tc>
          <w:tcPr>
            <w:tcW w:w="4094" w:type="dxa"/>
            <w:tcBorders>
              <w:top w:val="nil"/>
              <w:left w:val="nil"/>
              <w:bottom w:val="single" w:sz="8" w:space="0" w:color="C2D69B"/>
              <w:right w:val="single" w:sz="8" w:space="0" w:color="C2D69B"/>
            </w:tcBorders>
            <w:shd w:val="clear" w:color="auto" w:fill="auto"/>
            <w:noWrap/>
            <w:vAlign w:val="center"/>
            <w:hideMark/>
          </w:tcPr>
          <w:p w14:paraId="5CBDAB97"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FTTH De México, S.A. de C.V.</w:t>
            </w:r>
          </w:p>
        </w:tc>
        <w:tc>
          <w:tcPr>
            <w:tcW w:w="1368" w:type="dxa"/>
            <w:vMerge/>
            <w:tcBorders>
              <w:top w:val="nil"/>
              <w:left w:val="single" w:sz="8" w:space="0" w:color="C2D69B"/>
              <w:bottom w:val="single" w:sz="8" w:space="0" w:color="C2D69B"/>
              <w:right w:val="single" w:sz="8" w:space="0" w:color="C2D69B"/>
            </w:tcBorders>
            <w:vAlign w:val="center"/>
            <w:hideMark/>
          </w:tcPr>
          <w:p w14:paraId="736C99B1"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p>
        </w:tc>
        <w:tc>
          <w:tcPr>
            <w:tcW w:w="1527" w:type="dxa"/>
            <w:gridSpan w:val="2"/>
            <w:tcBorders>
              <w:top w:val="nil"/>
              <w:left w:val="nil"/>
              <w:bottom w:val="single" w:sz="8" w:space="0" w:color="C2D69B"/>
              <w:right w:val="nil"/>
            </w:tcBorders>
            <w:shd w:val="clear" w:color="auto" w:fill="auto"/>
            <w:noWrap/>
            <w:vAlign w:val="center"/>
            <w:hideMark/>
          </w:tcPr>
          <w:p w14:paraId="28511356" w14:textId="77777777" w:rsidR="00BA7954" w:rsidRPr="00BA7954" w:rsidRDefault="00BA7954" w:rsidP="00BA7954">
            <w:pPr>
              <w:spacing w:after="0" w:line="240" w:lineRule="auto"/>
              <w:jc w:val="center"/>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34</w:t>
            </w:r>
          </w:p>
        </w:tc>
      </w:tr>
      <w:tr w:rsidR="00BA7954" w:rsidRPr="00BA7954" w14:paraId="2F59A6B6" w14:textId="77777777" w:rsidTr="0091654F">
        <w:trPr>
          <w:trHeight w:val="313"/>
          <w:jc w:val="center"/>
        </w:trPr>
        <w:tc>
          <w:tcPr>
            <w:tcW w:w="1517" w:type="dxa"/>
            <w:vMerge/>
            <w:tcBorders>
              <w:top w:val="nil"/>
              <w:left w:val="nil"/>
              <w:bottom w:val="single" w:sz="8" w:space="0" w:color="C2D69B"/>
              <w:right w:val="single" w:sz="8" w:space="0" w:color="C2D69B"/>
            </w:tcBorders>
            <w:vAlign w:val="center"/>
            <w:hideMark/>
          </w:tcPr>
          <w:p w14:paraId="751B0BD1"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p>
        </w:tc>
        <w:tc>
          <w:tcPr>
            <w:tcW w:w="4094" w:type="dxa"/>
            <w:tcBorders>
              <w:top w:val="nil"/>
              <w:left w:val="nil"/>
              <w:bottom w:val="single" w:sz="8" w:space="0" w:color="C2D69B"/>
              <w:right w:val="single" w:sz="8" w:space="0" w:color="C2D69B"/>
            </w:tcBorders>
            <w:shd w:val="clear" w:color="000000" w:fill="EAF1DD"/>
            <w:noWrap/>
            <w:vAlign w:val="center"/>
            <w:hideMark/>
          </w:tcPr>
          <w:p w14:paraId="29A13ACD"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Cablemas Telecomunicaciones, S.A. de C.V.</w:t>
            </w:r>
          </w:p>
        </w:tc>
        <w:tc>
          <w:tcPr>
            <w:tcW w:w="1368" w:type="dxa"/>
            <w:vMerge/>
            <w:tcBorders>
              <w:top w:val="nil"/>
              <w:left w:val="single" w:sz="8" w:space="0" w:color="C2D69B"/>
              <w:bottom w:val="single" w:sz="8" w:space="0" w:color="C2D69B"/>
              <w:right w:val="single" w:sz="8" w:space="0" w:color="C2D69B"/>
            </w:tcBorders>
            <w:vAlign w:val="center"/>
            <w:hideMark/>
          </w:tcPr>
          <w:p w14:paraId="29599747"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p>
        </w:tc>
        <w:tc>
          <w:tcPr>
            <w:tcW w:w="1527" w:type="dxa"/>
            <w:gridSpan w:val="2"/>
            <w:tcBorders>
              <w:top w:val="nil"/>
              <w:left w:val="nil"/>
              <w:bottom w:val="single" w:sz="8" w:space="0" w:color="C2D69B"/>
              <w:right w:val="nil"/>
            </w:tcBorders>
            <w:shd w:val="clear" w:color="000000" w:fill="EAF1DD"/>
            <w:noWrap/>
            <w:vAlign w:val="center"/>
            <w:hideMark/>
          </w:tcPr>
          <w:p w14:paraId="6D0D393C" w14:textId="77777777" w:rsidR="00BA7954" w:rsidRPr="00BA7954" w:rsidRDefault="00BA7954" w:rsidP="00BA7954">
            <w:pPr>
              <w:spacing w:after="0" w:line="240" w:lineRule="auto"/>
              <w:jc w:val="center"/>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88</w:t>
            </w:r>
          </w:p>
        </w:tc>
      </w:tr>
      <w:tr w:rsidR="00BA7954" w:rsidRPr="00BA7954" w14:paraId="61F8A6B7" w14:textId="77777777" w:rsidTr="0091654F">
        <w:trPr>
          <w:trHeight w:val="313"/>
          <w:jc w:val="center"/>
        </w:trPr>
        <w:tc>
          <w:tcPr>
            <w:tcW w:w="1517" w:type="dxa"/>
            <w:vMerge/>
            <w:tcBorders>
              <w:top w:val="nil"/>
              <w:left w:val="nil"/>
              <w:bottom w:val="single" w:sz="8" w:space="0" w:color="C2D69B"/>
              <w:right w:val="single" w:sz="8" w:space="0" w:color="C2D69B"/>
            </w:tcBorders>
            <w:vAlign w:val="center"/>
            <w:hideMark/>
          </w:tcPr>
          <w:p w14:paraId="1D5D6DF5"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p>
        </w:tc>
        <w:tc>
          <w:tcPr>
            <w:tcW w:w="4094" w:type="dxa"/>
            <w:tcBorders>
              <w:top w:val="nil"/>
              <w:left w:val="nil"/>
              <w:bottom w:val="single" w:sz="8" w:space="0" w:color="C2D69B"/>
              <w:right w:val="single" w:sz="8" w:space="0" w:color="C2D69B"/>
            </w:tcBorders>
            <w:shd w:val="clear" w:color="auto" w:fill="auto"/>
            <w:noWrap/>
            <w:vAlign w:val="center"/>
            <w:hideMark/>
          </w:tcPr>
          <w:p w14:paraId="245021AE"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TV Cable de Oriente, S.A. de C.V.</w:t>
            </w:r>
          </w:p>
        </w:tc>
        <w:tc>
          <w:tcPr>
            <w:tcW w:w="1368" w:type="dxa"/>
            <w:vMerge/>
            <w:tcBorders>
              <w:top w:val="nil"/>
              <w:left w:val="single" w:sz="8" w:space="0" w:color="C2D69B"/>
              <w:bottom w:val="single" w:sz="8" w:space="0" w:color="C2D69B"/>
              <w:right w:val="single" w:sz="8" w:space="0" w:color="C2D69B"/>
            </w:tcBorders>
            <w:vAlign w:val="center"/>
            <w:hideMark/>
          </w:tcPr>
          <w:p w14:paraId="3128C33D"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p>
        </w:tc>
        <w:tc>
          <w:tcPr>
            <w:tcW w:w="1527" w:type="dxa"/>
            <w:gridSpan w:val="2"/>
            <w:tcBorders>
              <w:top w:val="nil"/>
              <w:left w:val="nil"/>
              <w:bottom w:val="single" w:sz="8" w:space="0" w:color="C2D69B"/>
              <w:right w:val="nil"/>
            </w:tcBorders>
            <w:shd w:val="clear" w:color="auto" w:fill="auto"/>
            <w:noWrap/>
            <w:vAlign w:val="center"/>
            <w:hideMark/>
          </w:tcPr>
          <w:p w14:paraId="03D6C964" w14:textId="77777777" w:rsidR="00BA7954" w:rsidRPr="00BA7954" w:rsidRDefault="00BA7954" w:rsidP="00BA7954">
            <w:pPr>
              <w:spacing w:after="0" w:line="240" w:lineRule="auto"/>
              <w:jc w:val="center"/>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29</w:t>
            </w:r>
          </w:p>
        </w:tc>
      </w:tr>
      <w:tr w:rsidR="00BA7954" w:rsidRPr="00BA7954" w14:paraId="3C4D7D4E" w14:textId="77777777" w:rsidTr="0091654F">
        <w:trPr>
          <w:trHeight w:val="313"/>
          <w:jc w:val="center"/>
        </w:trPr>
        <w:tc>
          <w:tcPr>
            <w:tcW w:w="1517" w:type="dxa"/>
            <w:vMerge/>
            <w:tcBorders>
              <w:top w:val="nil"/>
              <w:left w:val="nil"/>
              <w:bottom w:val="single" w:sz="8" w:space="0" w:color="C2D69B"/>
              <w:right w:val="single" w:sz="8" w:space="0" w:color="C2D69B"/>
            </w:tcBorders>
            <w:vAlign w:val="center"/>
            <w:hideMark/>
          </w:tcPr>
          <w:p w14:paraId="1B20ACD3"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p>
        </w:tc>
        <w:tc>
          <w:tcPr>
            <w:tcW w:w="4094" w:type="dxa"/>
            <w:tcBorders>
              <w:top w:val="nil"/>
              <w:left w:val="nil"/>
              <w:bottom w:val="single" w:sz="8" w:space="0" w:color="C2D69B"/>
              <w:right w:val="single" w:sz="8" w:space="0" w:color="C2D69B"/>
            </w:tcBorders>
            <w:shd w:val="clear" w:color="000000" w:fill="EAF1DD"/>
            <w:noWrap/>
            <w:vAlign w:val="center"/>
            <w:hideMark/>
          </w:tcPr>
          <w:p w14:paraId="4F92D52C"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Televisión Internacional, S.A. de C.V.</w:t>
            </w:r>
          </w:p>
        </w:tc>
        <w:tc>
          <w:tcPr>
            <w:tcW w:w="1368" w:type="dxa"/>
            <w:vMerge/>
            <w:tcBorders>
              <w:top w:val="nil"/>
              <w:left w:val="single" w:sz="8" w:space="0" w:color="C2D69B"/>
              <w:bottom w:val="single" w:sz="8" w:space="0" w:color="C2D69B"/>
              <w:right w:val="single" w:sz="8" w:space="0" w:color="C2D69B"/>
            </w:tcBorders>
            <w:vAlign w:val="center"/>
            <w:hideMark/>
          </w:tcPr>
          <w:p w14:paraId="4F08CD81"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p>
        </w:tc>
        <w:tc>
          <w:tcPr>
            <w:tcW w:w="1527" w:type="dxa"/>
            <w:gridSpan w:val="2"/>
            <w:tcBorders>
              <w:top w:val="nil"/>
              <w:left w:val="nil"/>
              <w:bottom w:val="single" w:sz="8" w:space="0" w:color="C2D69B"/>
              <w:right w:val="nil"/>
            </w:tcBorders>
            <w:shd w:val="clear" w:color="000000" w:fill="EAF1DD"/>
            <w:noWrap/>
            <w:vAlign w:val="center"/>
            <w:hideMark/>
          </w:tcPr>
          <w:p w14:paraId="1FC0A382" w14:textId="77777777" w:rsidR="00BA7954" w:rsidRPr="00BA7954" w:rsidRDefault="00BA7954" w:rsidP="00BA7954">
            <w:pPr>
              <w:spacing w:after="0" w:line="240" w:lineRule="auto"/>
              <w:jc w:val="center"/>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32</w:t>
            </w:r>
          </w:p>
        </w:tc>
      </w:tr>
      <w:tr w:rsidR="00BA7954" w:rsidRPr="00BA7954" w14:paraId="71DFA02C" w14:textId="77777777" w:rsidTr="0091654F">
        <w:trPr>
          <w:trHeight w:val="313"/>
          <w:jc w:val="center"/>
        </w:trPr>
        <w:tc>
          <w:tcPr>
            <w:tcW w:w="1517" w:type="dxa"/>
            <w:tcBorders>
              <w:top w:val="nil"/>
              <w:left w:val="nil"/>
              <w:bottom w:val="single" w:sz="8" w:space="0" w:color="C2D69B"/>
              <w:right w:val="single" w:sz="8" w:space="0" w:color="C2D69B"/>
            </w:tcBorders>
            <w:shd w:val="clear" w:color="auto" w:fill="auto"/>
            <w:noWrap/>
            <w:vAlign w:val="center"/>
            <w:hideMark/>
          </w:tcPr>
          <w:p w14:paraId="03CCF354"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r w:rsidRPr="000228B3">
              <w:rPr>
                <w:rFonts w:ascii="Arial" w:eastAsia="Times New Roman" w:hAnsi="Arial" w:cs="Arial"/>
                <w:bCs/>
                <w:color w:val="000000"/>
                <w:sz w:val="18"/>
                <w:szCs w:val="18"/>
                <w:lang w:val="es-MX" w:eastAsia="es-MX"/>
              </w:rPr>
              <w:t>Megacable MCM</w:t>
            </w:r>
          </w:p>
        </w:tc>
        <w:tc>
          <w:tcPr>
            <w:tcW w:w="4094" w:type="dxa"/>
            <w:tcBorders>
              <w:top w:val="nil"/>
              <w:left w:val="nil"/>
              <w:bottom w:val="single" w:sz="8" w:space="0" w:color="C2D69B"/>
              <w:right w:val="single" w:sz="8" w:space="0" w:color="C2D69B"/>
            </w:tcBorders>
            <w:shd w:val="clear" w:color="auto" w:fill="auto"/>
            <w:noWrap/>
            <w:vAlign w:val="center"/>
            <w:hideMark/>
          </w:tcPr>
          <w:p w14:paraId="689F96C2"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Mega Cable, S.A. de C.V.</w:t>
            </w:r>
          </w:p>
        </w:tc>
        <w:tc>
          <w:tcPr>
            <w:tcW w:w="1368" w:type="dxa"/>
            <w:tcBorders>
              <w:top w:val="nil"/>
              <w:left w:val="nil"/>
              <w:bottom w:val="single" w:sz="8" w:space="0" w:color="C2D69B"/>
              <w:right w:val="single" w:sz="8" w:space="0" w:color="C2D69B"/>
            </w:tcBorders>
            <w:shd w:val="clear" w:color="auto" w:fill="auto"/>
            <w:noWrap/>
            <w:vAlign w:val="center"/>
            <w:hideMark/>
          </w:tcPr>
          <w:p w14:paraId="4D6787FD" w14:textId="2F501965" w:rsidR="00BA7954" w:rsidRPr="00BA7954" w:rsidRDefault="007167E0" w:rsidP="00BA7954">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279</w:t>
            </w:r>
          </w:p>
        </w:tc>
        <w:tc>
          <w:tcPr>
            <w:tcW w:w="1527" w:type="dxa"/>
            <w:gridSpan w:val="2"/>
            <w:tcBorders>
              <w:top w:val="nil"/>
              <w:left w:val="nil"/>
              <w:bottom w:val="single" w:sz="8" w:space="0" w:color="C2D69B"/>
              <w:right w:val="nil"/>
            </w:tcBorders>
            <w:shd w:val="clear" w:color="auto" w:fill="auto"/>
            <w:noWrap/>
            <w:vAlign w:val="center"/>
            <w:hideMark/>
          </w:tcPr>
          <w:p w14:paraId="17D8C3E3" w14:textId="30CC77E4" w:rsidR="00BA7954" w:rsidRPr="00BA7954" w:rsidRDefault="007167E0" w:rsidP="00BA7954">
            <w:pPr>
              <w:spacing w:after="0" w:line="240" w:lineRule="auto"/>
              <w:jc w:val="center"/>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279</w:t>
            </w:r>
          </w:p>
        </w:tc>
      </w:tr>
      <w:tr w:rsidR="00BA7954" w:rsidRPr="00BA7954" w14:paraId="5AFA6299" w14:textId="77777777" w:rsidTr="0091654F">
        <w:trPr>
          <w:trHeight w:val="313"/>
          <w:jc w:val="center"/>
        </w:trPr>
        <w:tc>
          <w:tcPr>
            <w:tcW w:w="1517" w:type="dxa"/>
            <w:tcBorders>
              <w:top w:val="nil"/>
              <w:left w:val="nil"/>
              <w:bottom w:val="single" w:sz="8" w:space="0" w:color="C2D69B"/>
              <w:right w:val="single" w:sz="8" w:space="0" w:color="C2D69B"/>
            </w:tcBorders>
            <w:shd w:val="clear" w:color="000000" w:fill="EAF1DD"/>
            <w:noWrap/>
            <w:vAlign w:val="center"/>
            <w:hideMark/>
          </w:tcPr>
          <w:p w14:paraId="2B10A77B" w14:textId="77777777" w:rsidR="00BA7954" w:rsidRPr="000228B3" w:rsidRDefault="00BA7954" w:rsidP="000228B3">
            <w:pPr>
              <w:spacing w:after="0" w:line="240" w:lineRule="auto"/>
              <w:rPr>
                <w:rFonts w:ascii="Arial" w:eastAsia="Times New Roman" w:hAnsi="Arial" w:cs="Arial"/>
                <w:bCs/>
                <w:color w:val="000000"/>
                <w:sz w:val="18"/>
                <w:szCs w:val="18"/>
                <w:lang w:val="es-MX" w:eastAsia="es-MX"/>
              </w:rPr>
            </w:pPr>
            <w:r w:rsidRPr="000228B3">
              <w:rPr>
                <w:rFonts w:ascii="Arial" w:eastAsia="Times New Roman" w:hAnsi="Arial" w:cs="Arial"/>
                <w:bCs/>
                <w:color w:val="000000"/>
                <w:sz w:val="18"/>
                <w:szCs w:val="18"/>
                <w:lang w:val="es-MX" w:eastAsia="es-MX"/>
              </w:rPr>
              <w:t>Totalplay</w:t>
            </w:r>
          </w:p>
        </w:tc>
        <w:tc>
          <w:tcPr>
            <w:tcW w:w="4094" w:type="dxa"/>
            <w:tcBorders>
              <w:top w:val="nil"/>
              <w:left w:val="nil"/>
              <w:bottom w:val="single" w:sz="8" w:space="0" w:color="C2D69B"/>
              <w:right w:val="single" w:sz="8" w:space="0" w:color="C2D69B"/>
            </w:tcBorders>
            <w:shd w:val="clear" w:color="000000" w:fill="EAF1DD"/>
            <w:noWrap/>
            <w:vAlign w:val="center"/>
            <w:hideMark/>
          </w:tcPr>
          <w:p w14:paraId="38F5D7F3" w14:textId="77777777" w:rsidR="00BA7954" w:rsidRPr="00BA7954" w:rsidRDefault="00BA7954" w:rsidP="00BA7954">
            <w:pPr>
              <w:spacing w:after="0" w:line="240" w:lineRule="auto"/>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Total Play Telecomunicaciones, S.A. de C.V.</w:t>
            </w:r>
          </w:p>
        </w:tc>
        <w:tc>
          <w:tcPr>
            <w:tcW w:w="1368" w:type="dxa"/>
            <w:tcBorders>
              <w:top w:val="nil"/>
              <w:left w:val="nil"/>
              <w:bottom w:val="single" w:sz="8" w:space="0" w:color="C2D69B"/>
              <w:right w:val="single" w:sz="8" w:space="0" w:color="C2D69B"/>
            </w:tcBorders>
            <w:shd w:val="clear" w:color="000000" w:fill="EAF1DD"/>
            <w:noWrap/>
            <w:vAlign w:val="center"/>
            <w:hideMark/>
          </w:tcPr>
          <w:p w14:paraId="4A6A5CF1" w14:textId="77777777" w:rsidR="00BA7954" w:rsidRPr="00BA7954" w:rsidRDefault="00BA7954" w:rsidP="00BA7954">
            <w:pPr>
              <w:spacing w:after="0" w:line="240" w:lineRule="auto"/>
              <w:jc w:val="center"/>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471</w:t>
            </w:r>
          </w:p>
        </w:tc>
        <w:tc>
          <w:tcPr>
            <w:tcW w:w="1527" w:type="dxa"/>
            <w:gridSpan w:val="2"/>
            <w:tcBorders>
              <w:top w:val="nil"/>
              <w:left w:val="nil"/>
              <w:bottom w:val="single" w:sz="8" w:space="0" w:color="C2D69B"/>
              <w:right w:val="nil"/>
            </w:tcBorders>
            <w:shd w:val="clear" w:color="000000" w:fill="EAF1DD"/>
            <w:noWrap/>
            <w:vAlign w:val="center"/>
            <w:hideMark/>
          </w:tcPr>
          <w:p w14:paraId="6D7C7751" w14:textId="77777777" w:rsidR="00BA7954" w:rsidRPr="00BA7954" w:rsidRDefault="00BA7954" w:rsidP="00BA7954">
            <w:pPr>
              <w:spacing w:after="0" w:line="240" w:lineRule="auto"/>
              <w:jc w:val="center"/>
              <w:rPr>
                <w:rFonts w:ascii="Arial" w:eastAsia="Times New Roman" w:hAnsi="Arial" w:cs="Arial"/>
                <w:color w:val="000000"/>
                <w:sz w:val="18"/>
                <w:szCs w:val="18"/>
                <w:lang w:val="es-MX" w:eastAsia="es-MX"/>
              </w:rPr>
            </w:pPr>
            <w:r w:rsidRPr="00BA7954">
              <w:rPr>
                <w:rFonts w:ascii="Arial" w:eastAsia="Times New Roman" w:hAnsi="Arial" w:cs="Arial"/>
                <w:color w:val="000000"/>
                <w:sz w:val="18"/>
                <w:szCs w:val="18"/>
                <w:lang w:val="es-MX" w:eastAsia="es-MX"/>
              </w:rPr>
              <w:t>471</w:t>
            </w:r>
          </w:p>
        </w:tc>
      </w:tr>
    </w:tbl>
    <w:p w14:paraId="65656058" w14:textId="25376110" w:rsidR="00FA2C42" w:rsidRPr="00FA2C42" w:rsidRDefault="00FA2C42" w:rsidP="00406830">
      <w:pPr>
        <w:tabs>
          <w:tab w:val="left" w:pos="8931"/>
        </w:tabs>
        <w:ind w:left="426" w:right="473"/>
        <w:jc w:val="both"/>
        <w:rPr>
          <w:rFonts w:ascii="Arial" w:hAnsi="Arial" w:cs="Arial"/>
          <w:sz w:val="16"/>
          <w:szCs w:val="16"/>
          <w:lang w:val="es-MX" w:eastAsia="es-ES"/>
        </w:rPr>
      </w:pPr>
      <w:r w:rsidRPr="00FA2C42">
        <w:rPr>
          <w:rFonts w:ascii="Arial" w:hAnsi="Arial" w:cs="Arial"/>
          <w:b/>
          <w:color w:val="000000"/>
          <w:sz w:val="16"/>
          <w:szCs w:val="16"/>
          <w:lang w:val="es-MX" w:eastAsia="es-ES"/>
        </w:rPr>
        <w:t xml:space="preserve">Tabla 2: </w:t>
      </w:r>
      <w:r w:rsidRPr="00FA2C42">
        <w:rPr>
          <w:rFonts w:ascii="Arial" w:hAnsi="Arial" w:cs="Arial"/>
          <w:color w:val="000000"/>
          <w:sz w:val="16"/>
          <w:szCs w:val="16"/>
          <w:lang w:val="es-MX" w:eastAsia="es-ES"/>
        </w:rPr>
        <w:t xml:space="preserve">Cantidad de municipios en que los concesionarios tienen al menos un acceso para BAF. </w:t>
      </w:r>
      <w:r w:rsidRPr="00FA2C42">
        <w:rPr>
          <w:rFonts w:ascii="Arial" w:hAnsi="Arial" w:cs="Arial"/>
          <w:b/>
          <w:color w:val="000000"/>
          <w:sz w:val="16"/>
          <w:szCs w:val="16"/>
          <w:lang w:val="es-MX" w:eastAsia="es-ES"/>
        </w:rPr>
        <w:t>Fuente:</w:t>
      </w:r>
      <w:r w:rsidRPr="00FA2C42">
        <w:rPr>
          <w:rFonts w:ascii="Arial" w:hAnsi="Arial" w:cs="Arial"/>
          <w:color w:val="000000"/>
          <w:sz w:val="16"/>
          <w:szCs w:val="16"/>
          <w:lang w:val="es-MX" w:eastAsia="es-ES"/>
        </w:rPr>
        <w:t xml:space="preserve"> IFT a partir de información del BIT al </w:t>
      </w:r>
      <w:r w:rsidR="00BA7954">
        <w:rPr>
          <w:rFonts w:ascii="Arial" w:hAnsi="Arial" w:cs="Arial"/>
          <w:color w:val="000000"/>
          <w:sz w:val="16"/>
          <w:szCs w:val="16"/>
          <w:lang w:val="es-MX" w:eastAsia="es-ES"/>
        </w:rPr>
        <w:t>segundo trimestre</w:t>
      </w:r>
      <w:r w:rsidR="00BA7954" w:rsidRPr="00FA2C42">
        <w:rPr>
          <w:rFonts w:ascii="Arial" w:hAnsi="Arial" w:cs="Arial"/>
          <w:color w:val="000000"/>
          <w:sz w:val="16"/>
          <w:szCs w:val="16"/>
          <w:lang w:val="es-MX" w:eastAsia="es-ES"/>
        </w:rPr>
        <w:t xml:space="preserve"> </w:t>
      </w:r>
      <w:r w:rsidRPr="00FA2C42">
        <w:rPr>
          <w:rFonts w:ascii="Arial" w:hAnsi="Arial" w:cs="Arial"/>
          <w:color w:val="000000"/>
          <w:sz w:val="16"/>
          <w:szCs w:val="16"/>
          <w:lang w:val="es-MX" w:eastAsia="es-ES"/>
        </w:rPr>
        <w:t>de 20</w:t>
      </w:r>
      <w:r w:rsidR="00BA7954">
        <w:rPr>
          <w:rFonts w:ascii="Arial" w:hAnsi="Arial" w:cs="Arial"/>
          <w:color w:val="000000"/>
          <w:sz w:val="16"/>
          <w:szCs w:val="16"/>
          <w:lang w:val="es-MX" w:eastAsia="es-ES"/>
        </w:rPr>
        <w:t>20</w:t>
      </w:r>
      <w:r w:rsidRPr="00FA2C42">
        <w:rPr>
          <w:rFonts w:ascii="Arial" w:hAnsi="Arial" w:cs="Arial"/>
          <w:color w:val="000000"/>
          <w:sz w:val="16"/>
          <w:szCs w:val="16"/>
          <w:lang w:val="es-MX" w:eastAsia="es-ES"/>
        </w:rPr>
        <w:t xml:space="preserve"> 2021.</w:t>
      </w:r>
    </w:p>
    <w:p w14:paraId="7D2E06BA" w14:textId="77777777" w:rsidR="00FA2C42" w:rsidRPr="00FA2C42" w:rsidRDefault="00FA2C42" w:rsidP="008347CE">
      <w:pPr>
        <w:spacing w:after="0"/>
        <w:jc w:val="both"/>
        <w:rPr>
          <w:rFonts w:ascii="Arial" w:hAnsi="Arial" w:cs="Arial"/>
          <w:color w:val="000000"/>
          <w:lang w:val="es-MX" w:eastAsia="es-ES"/>
        </w:rPr>
      </w:pPr>
      <w:r w:rsidRPr="00FA2C42">
        <w:rPr>
          <w:rFonts w:ascii="Arial" w:hAnsi="Arial" w:cs="Arial"/>
          <w:color w:val="000000"/>
          <w:lang w:val="es-MX" w:eastAsia="es-ES"/>
        </w:rPr>
        <w:t>De lo anterior, se destaca que:</w:t>
      </w:r>
    </w:p>
    <w:p w14:paraId="69C509F3" w14:textId="77777777" w:rsidR="00FA2C42" w:rsidRPr="00FA2C42" w:rsidRDefault="00FA2C42" w:rsidP="008347CE">
      <w:pPr>
        <w:spacing w:after="0"/>
        <w:jc w:val="both"/>
        <w:rPr>
          <w:rFonts w:ascii="Arial" w:hAnsi="Arial" w:cs="Arial"/>
          <w:color w:val="000000"/>
          <w:lang w:val="es-MX" w:eastAsia="es-ES"/>
        </w:rPr>
      </w:pPr>
    </w:p>
    <w:p w14:paraId="471B9D32" w14:textId="43AA3B68" w:rsidR="00FA2C42" w:rsidRPr="00FA2C42" w:rsidRDefault="00FA2C42" w:rsidP="008347CE">
      <w:pPr>
        <w:numPr>
          <w:ilvl w:val="0"/>
          <w:numId w:val="12"/>
        </w:numPr>
        <w:spacing w:after="0"/>
        <w:jc w:val="both"/>
        <w:rPr>
          <w:rFonts w:ascii="Arial" w:hAnsi="Arial" w:cs="Arial"/>
          <w:color w:val="000000"/>
          <w:lang w:val="es-MX" w:eastAsia="es-ES"/>
        </w:rPr>
      </w:pPr>
      <w:r w:rsidRPr="00FA2C42">
        <w:rPr>
          <w:rFonts w:ascii="Arial" w:hAnsi="Arial" w:cs="Arial"/>
          <w:color w:val="000000"/>
          <w:szCs w:val="18"/>
          <w:lang w:val="es-MX" w:eastAsia="es-ES"/>
        </w:rPr>
        <w:t>Teléfonos de México, S.A.B. de C.V. y Teléfonos del Noroeste, S.A. de C.V., de manera conjunta</w:t>
      </w:r>
      <w:r w:rsidR="000228B3">
        <w:rPr>
          <w:rFonts w:ascii="Arial" w:hAnsi="Arial" w:cs="Arial"/>
          <w:color w:val="000000"/>
          <w:szCs w:val="18"/>
          <w:lang w:val="es-MX" w:eastAsia="es-ES"/>
        </w:rPr>
        <w:t xml:space="preserve"> cuentan</w:t>
      </w:r>
      <w:r w:rsidRPr="00FA2C42">
        <w:rPr>
          <w:rFonts w:ascii="Arial" w:hAnsi="Arial" w:cs="Arial"/>
          <w:color w:val="000000"/>
          <w:szCs w:val="18"/>
          <w:lang w:val="es-MX" w:eastAsia="es-ES"/>
        </w:rPr>
        <w:t xml:space="preserve"> con presencia de </w:t>
      </w:r>
      <w:r w:rsidR="000228B3">
        <w:rPr>
          <w:rFonts w:ascii="Arial" w:hAnsi="Arial" w:cs="Arial"/>
          <w:color w:val="000000"/>
          <w:szCs w:val="18"/>
          <w:lang w:val="es-MX" w:eastAsia="es-ES"/>
        </w:rPr>
        <w:t xml:space="preserve">servicios de </w:t>
      </w:r>
      <w:r w:rsidRPr="00FA2C42">
        <w:rPr>
          <w:rFonts w:ascii="Arial" w:hAnsi="Arial" w:cs="Arial"/>
          <w:color w:val="000000"/>
          <w:szCs w:val="18"/>
          <w:lang w:val="es-MX" w:eastAsia="es-ES"/>
        </w:rPr>
        <w:t xml:space="preserve">BAF en el mayor número de municipios, ofreciendo sus servicios en un total de </w:t>
      </w:r>
      <w:r w:rsidR="00850584">
        <w:rPr>
          <w:rFonts w:ascii="Arial" w:hAnsi="Arial" w:cs="Arial"/>
          <w:color w:val="000000"/>
          <w:szCs w:val="18"/>
          <w:lang w:val="es-MX" w:eastAsia="es-ES"/>
        </w:rPr>
        <w:t>1,585</w:t>
      </w:r>
      <w:r w:rsidRPr="00FA2C42">
        <w:rPr>
          <w:rFonts w:ascii="Arial" w:hAnsi="Arial" w:cs="Arial"/>
          <w:color w:val="000000"/>
          <w:szCs w:val="18"/>
          <w:lang w:val="es-MX" w:eastAsia="es-ES"/>
        </w:rPr>
        <w:t xml:space="preserve"> municipios </w:t>
      </w:r>
      <w:r w:rsidR="00406830">
        <w:rPr>
          <w:rFonts w:ascii="Arial" w:hAnsi="Arial" w:cs="Arial"/>
          <w:color w:val="000000"/>
          <w:szCs w:val="18"/>
          <w:lang w:val="es-MX" w:eastAsia="es-ES"/>
        </w:rPr>
        <w:t xml:space="preserve">lo que representa un </w:t>
      </w:r>
      <w:r w:rsidR="004873B4">
        <w:rPr>
          <w:rFonts w:ascii="Arial" w:hAnsi="Arial" w:cs="Arial"/>
          <w:color w:val="000000"/>
          <w:szCs w:val="18"/>
          <w:lang w:val="es-MX" w:eastAsia="es-ES"/>
        </w:rPr>
        <w:t>64.5</w:t>
      </w:r>
      <w:r w:rsidRPr="00FA2C42">
        <w:rPr>
          <w:rFonts w:ascii="Arial" w:hAnsi="Arial" w:cs="Arial"/>
          <w:color w:val="000000"/>
          <w:szCs w:val="18"/>
          <w:lang w:val="es-MX" w:eastAsia="es-ES"/>
        </w:rPr>
        <w:t>% de</w:t>
      </w:r>
      <w:r w:rsidR="00406830">
        <w:rPr>
          <w:rFonts w:ascii="Arial" w:hAnsi="Arial" w:cs="Arial"/>
          <w:color w:val="000000"/>
          <w:szCs w:val="18"/>
          <w:lang w:val="es-MX" w:eastAsia="es-ES"/>
        </w:rPr>
        <w:t xml:space="preserve">l total </w:t>
      </w:r>
      <w:r w:rsidRPr="00FA2C42">
        <w:rPr>
          <w:rFonts w:ascii="Arial" w:hAnsi="Arial" w:cs="Arial"/>
          <w:color w:val="000000"/>
          <w:szCs w:val="18"/>
          <w:lang w:val="es-MX" w:eastAsia="es-ES"/>
        </w:rPr>
        <w:t xml:space="preserve">de </w:t>
      </w:r>
      <w:r w:rsidR="00406830">
        <w:rPr>
          <w:rFonts w:ascii="Arial" w:hAnsi="Arial" w:cs="Arial"/>
          <w:color w:val="000000"/>
          <w:szCs w:val="18"/>
          <w:lang w:val="es-MX" w:eastAsia="es-ES"/>
        </w:rPr>
        <w:t>municipios</w:t>
      </w:r>
      <w:r w:rsidRPr="00FA2C42" w:rsidDel="00406830">
        <w:rPr>
          <w:rFonts w:ascii="Arial" w:hAnsi="Arial" w:cs="Arial"/>
          <w:color w:val="000000"/>
          <w:szCs w:val="18"/>
          <w:lang w:val="es-MX" w:eastAsia="es-ES"/>
        </w:rPr>
        <w:t xml:space="preserve"> </w:t>
      </w:r>
      <w:r w:rsidR="00574425">
        <w:rPr>
          <w:rFonts w:ascii="Arial" w:hAnsi="Arial" w:cs="Arial"/>
          <w:color w:val="000000"/>
          <w:szCs w:val="18"/>
          <w:lang w:val="es-MX" w:eastAsia="es-ES"/>
        </w:rPr>
        <w:t>considerados en este análisis</w:t>
      </w:r>
      <w:r w:rsidRPr="00FA2C42">
        <w:rPr>
          <w:rFonts w:ascii="Arial" w:hAnsi="Arial" w:cs="Arial"/>
          <w:color w:val="000000"/>
          <w:szCs w:val="18"/>
          <w:lang w:val="es-MX" w:eastAsia="es-ES"/>
        </w:rPr>
        <w:t>.</w:t>
      </w:r>
    </w:p>
    <w:p w14:paraId="096A72EA" w14:textId="77777777" w:rsidR="00FA2C42" w:rsidRPr="00FA2C42" w:rsidRDefault="00FA2C42" w:rsidP="008347CE">
      <w:pPr>
        <w:spacing w:after="0"/>
        <w:ind w:left="720"/>
        <w:jc w:val="both"/>
        <w:rPr>
          <w:rFonts w:ascii="Arial" w:hAnsi="Arial" w:cs="Arial"/>
          <w:color w:val="000000"/>
          <w:lang w:val="es-MX" w:eastAsia="es-ES"/>
        </w:rPr>
      </w:pPr>
    </w:p>
    <w:p w14:paraId="53C73620" w14:textId="683EA309" w:rsidR="00FA2C42" w:rsidRPr="00FA2C42" w:rsidRDefault="00FA2C42" w:rsidP="008347CE">
      <w:pPr>
        <w:numPr>
          <w:ilvl w:val="0"/>
          <w:numId w:val="12"/>
        </w:numPr>
        <w:spacing w:after="0"/>
        <w:jc w:val="both"/>
        <w:rPr>
          <w:rFonts w:ascii="Arial" w:hAnsi="Arial" w:cs="Arial"/>
          <w:b/>
          <w:lang w:val="es-MX" w:eastAsia="es-ES"/>
        </w:rPr>
      </w:pPr>
      <w:r w:rsidRPr="00FA2C42">
        <w:rPr>
          <w:rFonts w:ascii="Arial" w:hAnsi="Arial" w:cs="Arial"/>
          <w:color w:val="000000"/>
          <w:szCs w:val="18"/>
          <w:lang w:val="es-MX" w:eastAsia="es-ES"/>
        </w:rPr>
        <w:t>Total Play Telecomunicaciones, S.A. de C.V. es el segundo operador que cuenta con presencia de BAF en el mayor número de municipios, est</w:t>
      </w:r>
      <w:r w:rsidR="000228B3">
        <w:rPr>
          <w:rFonts w:ascii="Arial" w:hAnsi="Arial" w:cs="Arial"/>
          <w:color w:val="000000"/>
          <w:szCs w:val="18"/>
          <w:lang w:val="es-MX" w:eastAsia="es-ES"/>
        </w:rPr>
        <w:t>o es</w:t>
      </w:r>
      <w:r w:rsidRPr="00FA2C42">
        <w:rPr>
          <w:rFonts w:ascii="Arial" w:hAnsi="Arial" w:cs="Arial"/>
          <w:color w:val="000000"/>
          <w:szCs w:val="18"/>
          <w:lang w:val="es-MX" w:eastAsia="es-ES"/>
        </w:rPr>
        <w:t xml:space="preserve"> en 4</w:t>
      </w:r>
      <w:r w:rsidR="005501CC">
        <w:rPr>
          <w:rFonts w:ascii="Arial" w:hAnsi="Arial" w:cs="Arial"/>
          <w:color w:val="000000"/>
          <w:szCs w:val="18"/>
          <w:lang w:val="es-MX" w:eastAsia="es-ES"/>
        </w:rPr>
        <w:t>71</w:t>
      </w:r>
      <w:r w:rsidRPr="00FA2C42">
        <w:rPr>
          <w:rFonts w:ascii="Arial" w:hAnsi="Arial" w:cs="Arial"/>
          <w:color w:val="000000"/>
          <w:szCs w:val="18"/>
          <w:lang w:val="es-MX" w:eastAsia="es-ES"/>
        </w:rPr>
        <w:t xml:space="preserve"> municipios.</w:t>
      </w:r>
    </w:p>
    <w:p w14:paraId="1C744F88" w14:textId="77777777" w:rsidR="00FA2C42" w:rsidRPr="00FA2C42" w:rsidRDefault="00FA2C42" w:rsidP="008347CE">
      <w:pPr>
        <w:spacing w:after="0"/>
        <w:ind w:left="360"/>
        <w:rPr>
          <w:rFonts w:ascii="Arial" w:hAnsi="Arial" w:cs="Arial"/>
          <w:b/>
          <w:sz w:val="20"/>
          <w:szCs w:val="20"/>
          <w:lang w:val="es-MX" w:eastAsia="es-MX"/>
        </w:rPr>
      </w:pPr>
    </w:p>
    <w:p w14:paraId="351BC915" w14:textId="77777777" w:rsidR="00FA2C42" w:rsidRDefault="00FA2C42" w:rsidP="008347CE">
      <w:pPr>
        <w:spacing w:after="0"/>
        <w:jc w:val="both"/>
        <w:rPr>
          <w:rFonts w:ascii="Arial" w:hAnsi="Arial" w:cs="Arial"/>
          <w:color w:val="000000"/>
          <w:lang w:val="es-MX" w:eastAsia="es-ES"/>
        </w:rPr>
      </w:pPr>
      <w:r w:rsidRPr="00FA2C42">
        <w:rPr>
          <w:rFonts w:ascii="Arial" w:hAnsi="Arial" w:cs="Arial"/>
          <w:color w:val="000000"/>
          <w:lang w:val="es-MX" w:eastAsia="es-ES"/>
        </w:rPr>
        <w:t>Al analizar los diez concesionarios que registran la ubicación de sus accesos se observa que solamente Telmex/Telnor y Total Play tienen presencia en todas las entidades federativas, ya que ambos tienen presencia en al menos un municipio de todos los estados:</w:t>
      </w:r>
    </w:p>
    <w:p w14:paraId="2DD18C90" w14:textId="3C0BD6FC" w:rsidR="00E5151A" w:rsidRDefault="00E5151A" w:rsidP="008347CE">
      <w:pPr>
        <w:spacing w:after="0"/>
        <w:jc w:val="both"/>
        <w:rPr>
          <w:rFonts w:ascii="Arial" w:hAnsi="Arial" w:cs="Arial"/>
          <w:color w:val="000000"/>
          <w:lang w:val="es-MX" w:eastAsia="es-ES"/>
        </w:rPr>
      </w:pPr>
    </w:p>
    <w:tbl>
      <w:tblPr>
        <w:tblW w:w="10321" w:type="dxa"/>
        <w:jc w:val="center"/>
        <w:tblCellMar>
          <w:left w:w="33" w:type="dxa"/>
          <w:right w:w="33" w:type="dxa"/>
        </w:tblCellMar>
        <w:tblLook w:val="04A0" w:firstRow="1" w:lastRow="0" w:firstColumn="1" w:lastColumn="0" w:noHBand="0" w:noVBand="1"/>
      </w:tblPr>
      <w:tblGrid>
        <w:gridCol w:w="1268"/>
        <w:gridCol w:w="287"/>
        <w:gridCol w:w="287"/>
        <w:gridCol w:w="287"/>
        <w:gridCol w:w="287"/>
        <w:gridCol w:w="287"/>
        <w:gridCol w:w="287"/>
        <w:gridCol w:w="287"/>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gridCol w:w="286"/>
      </w:tblGrid>
      <w:tr w:rsidR="00A21FFA" w:rsidRPr="00E5151A" w14:paraId="388F8BAA" w14:textId="77777777" w:rsidTr="00E5151A">
        <w:trPr>
          <w:trHeight w:val="309"/>
          <w:tblHeader/>
          <w:jc w:val="center"/>
        </w:trPr>
        <w:tc>
          <w:tcPr>
            <w:tcW w:w="557" w:type="dxa"/>
            <w:tcBorders>
              <w:top w:val="single" w:sz="3" w:space="0" w:color="00B050"/>
              <w:left w:val="single" w:sz="3" w:space="0" w:color="00B050"/>
              <w:bottom w:val="single" w:sz="3" w:space="0" w:color="00B050"/>
              <w:right w:val="single" w:sz="3" w:space="0" w:color="00B050"/>
            </w:tcBorders>
            <w:shd w:val="clear" w:color="000000" w:fill="EAF1DD"/>
            <w:noWrap/>
            <w:vAlign w:val="center"/>
            <w:hideMark/>
          </w:tcPr>
          <w:p w14:paraId="28641F88" w14:textId="77777777" w:rsidR="00E5151A" w:rsidRPr="00E5151A" w:rsidRDefault="00E5151A" w:rsidP="00E5151A">
            <w:pPr>
              <w:spacing w:after="0" w:line="240" w:lineRule="auto"/>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Concesionario</w:t>
            </w:r>
          </w:p>
        </w:tc>
        <w:tc>
          <w:tcPr>
            <w:tcW w:w="137" w:type="dxa"/>
            <w:tcBorders>
              <w:top w:val="single" w:sz="3" w:space="0" w:color="00B050"/>
              <w:left w:val="nil"/>
              <w:bottom w:val="single" w:sz="3" w:space="0" w:color="00B050"/>
              <w:right w:val="single" w:sz="3" w:space="0" w:color="00B050"/>
            </w:tcBorders>
            <w:shd w:val="clear" w:color="000000" w:fill="EAF1DD"/>
            <w:noWrap/>
            <w:textDirection w:val="tbRl"/>
            <w:vAlign w:val="center"/>
            <w:hideMark/>
          </w:tcPr>
          <w:p w14:paraId="241A6AB1"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AGS</w:t>
            </w:r>
          </w:p>
        </w:tc>
        <w:tc>
          <w:tcPr>
            <w:tcW w:w="137" w:type="dxa"/>
            <w:tcBorders>
              <w:top w:val="single" w:sz="3" w:space="0" w:color="00B050"/>
              <w:left w:val="nil"/>
              <w:bottom w:val="single" w:sz="3" w:space="0" w:color="00B050"/>
              <w:right w:val="single" w:sz="3" w:space="0" w:color="00B050"/>
            </w:tcBorders>
            <w:shd w:val="clear" w:color="000000" w:fill="EAF1DD"/>
            <w:noWrap/>
            <w:textDirection w:val="tbRl"/>
            <w:vAlign w:val="center"/>
            <w:hideMark/>
          </w:tcPr>
          <w:p w14:paraId="247BCA51"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BC</w:t>
            </w:r>
          </w:p>
        </w:tc>
        <w:tc>
          <w:tcPr>
            <w:tcW w:w="137" w:type="dxa"/>
            <w:tcBorders>
              <w:top w:val="single" w:sz="3" w:space="0" w:color="00B050"/>
              <w:left w:val="nil"/>
              <w:bottom w:val="single" w:sz="3" w:space="0" w:color="00B050"/>
              <w:right w:val="single" w:sz="3" w:space="0" w:color="00B050"/>
            </w:tcBorders>
            <w:shd w:val="clear" w:color="000000" w:fill="EAF1DD"/>
            <w:noWrap/>
            <w:textDirection w:val="tbRl"/>
            <w:vAlign w:val="center"/>
            <w:hideMark/>
          </w:tcPr>
          <w:p w14:paraId="3C0D39E0"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BCS</w:t>
            </w:r>
          </w:p>
        </w:tc>
        <w:tc>
          <w:tcPr>
            <w:tcW w:w="137" w:type="dxa"/>
            <w:tcBorders>
              <w:top w:val="single" w:sz="3" w:space="0" w:color="00B050"/>
              <w:left w:val="nil"/>
              <w:bottom w:val="single" w:sz="3" w:space="0" w:color="00B050"/>
              <w:right w:val="single" w:sz="3" w:space="0" w:color="00B050"/>
            </w:tcBorders>
            <w:shd w:val="clear" w:color="000000" w:fill="EAF1DD"/>
            <w:noWrap/>
            <w:textDirection w:val="tbRl"/>
            <w:vAlign w:val="center"/>
            <w:hideMark/>
          </w:tcPr>
          <w:p w14:paraId="627225E8"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CAM</w:t>
            </w:r>
          </w:p>
        </w:tc>
        <w:tc>
          <w:tcPr>
            <w:tcW w:w="137" w:type="dxa"/>
            <w:tcBorders>
              <w:top w:val="single" w:sz="3" w:space="0" w:color="00B050"/>
              <w:left w:val="nil"/>
              <w:bottom w:val="single" w:sz="3" w:space="0" w:color="00B050"/>
              <w:right w:val="single" w:sz="3" w:space="0" w:color="00B050"/>
            </w:tcBorders>
            <w:shd w:val="clear" w:color="000000" w:fill="EAF1DD"/>
            <w:noWrap/>
            <w:textDirection w:val="tbRl"/>
            <w:vAlign w:val="center"/>
            <w:hideMark/>
          </w:tcPr>
          <w:p w14:paraId="502525D3"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CHIS</w:t>
            </w:r>
          </w:p>
        </w:tc>
        <w:tc>
          <w:tcPr>
            <w:tcW w:w="137" w:type="dxa"/>
            <w:tcBorders>
              <w:top w:val="single" w:sz="3" w:space="0" w:color="00B050"/>
              <w:left w:val="nil"/>
              <w:bottom w:val="single" w:sz="3" w:space="0" w:color="00B050"/>
              <w:right w:val="single" w:sz="3" w:space="0" w:color="00B050"/>
            </w:tcBorders>
            <w:shd w:val="clear" w:color="000000" w:fill="EAF1DD"/>
            <w:noWrap/>
            <w:textDirection w:val="tbRl"/>
            <w:vAlign w:val="center"/>
            <w:hideMark/>
          </w:tcPr>
          <w:p w14:paraId="3C28E2C0"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CHIH</w:t>
            </w:r>
          </w:p>
        </w:tc>
        <w:tc>
          <w:tcPr>
            <w:tcW w:w="137" w:type="dxa"/>
            <w:tcBorders>
              <w:top w:val="single" w:sz="3" w:space="0" w:color="00B050"/>
              <w:left w:val="nil"/>
              <w:bottom w:val="single" w:sz="3" w:space="0" w:color="00B050"/>
              <w:right w:val="single" w:sz="3" w:space="0" w:color="00B050"/>
            </w:tcBorders>
            <w:shd w:val="clear" w:color="000000" w:fill="EAF1DD"/>
            <w:noWrap/>
            <w:textDirection w:val="tbRl"/>
            <w:vAlign w:val="center"/>
            <w:hideMark/>
          </w:tcPr>
          <w:p w14:paraId="078FA417"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CDMX</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2C96ACA5"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COAH</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2B6A08D0"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COL</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1DE0E95C"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DGO</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58652112"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GTO</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3AB2A7A6"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GRO</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72D66BA9"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HGO</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26ED22DD"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JAL</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725F447C"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MEX</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4BD33ED5"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MICH</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021E5FE7"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MOR</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6251D152"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NAY</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77D81DAA"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NL</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38F702A9"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OAX</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772DE9A1"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PUE</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3768B655"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QRO</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4727A3A2"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Q ROO</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56BD6600"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SLP</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3AFEFA46"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SIN</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62D414F6"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SON</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7D3510C8"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TAB</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77D1CCAD"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TAM</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46A60B26"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TLAX</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6B0685D9"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VER</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7449B5E3"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YUC</w:t>
            </w:r>
          </w:p>
        </w:tc>
        <w:tc>
          <w:tcPr>
            <w:tcW w:w="137" w:type="dxa"/>
            <w:tcBorders>
              <w:top w:val="single" w:sz="3" w:space="0" w:color="00B050"/>
              <w:left w:val="nil"/>
              <w:bottom w:val="single" w:sz="3" w:space="0" w:color="00B050"/>
              <w:right w:val="single" w:sz="3" w:space="0" w:color="00B050"/>
            </w:tcBorders>
            <w:shd w:val="clear" w:color="000000" w:fill="E2EFD9"/>
            <w:noWrap/>
            <w:textDirection w:val="tbRl"/>
            <w:vAlign w:val="center"/>
            <w:hideMark/>
          </w:tcPr>
          <w:p w14:paraId="4AD3C092" w14:textId="77777777" w:rsidR="00E5151A" w:rsidRPr="00E5151A" w:rsidRDefault="00E5151A" w:rsidP="00E5151A">
            <w:pPr>
              <w:spacing w:after="0" w:line="240" w:lineRule="auto"/>
              <w:jc w:val="center"/>
              <w:rPr>
                <w:rFonts w:ascii="Arial" w:eastAsia="Times New Roman" w:hAnsi="Arial" w:cs="Arial"/>
                <w:b/>
                <w:bCs/>
                <w:color w:val="000000"/>
                <w:sz w:val="12"/>
                <w:szCs w:val="12"/>
                <w:lang w:val="es-MX" w:eastAsia="es-MX"/>
              </w:rPr>
            </w:pPr>
            <w:r w:rsidRPr="00E5151A">
              <w:rPr>
                <w:rFonts w:ascii="Arial" w:eastAsia="Times New Roman" w:hAnsi="Arial" w:cs="Arial"/>
                <w:b/>
                <w:bCs/>
                <w:color w:val="000000"/>
                <w:sz w:val="12"/>
                <w:szCs w:val="12"/>
                <w:lang w:val="es-MX" w:eastAsia="es-MX"/>
              </w:rPr>
              <w:t>ZAC</w:t>
            </w:r>
          </w:p>
        </w:tc>
      </w:tr>
      <w:tr w:rsidR="00C16992" w:rsidRPr="00E5151A" w14:paraId="002FD408" w14:textId="77777777" w:rsidTr="00E5151A">
        <w:tblPrEx>
          <w:tblCellMar>
            <w:left w:w="70" w:type="dxa"/>
            <w:right w:w="70" w:type="dxa"/>
          </w:tblCellMar>
        </w:tblPrEx>
        <w:trPr>
          <w:trHeight w:val="330"/>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75EDBE70"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t>Cablemas Telecomunicaciones, S.A. de C.V.</w:t>
            </w:r>
          </w:p>
        </w:tc>
        <w:tc>
          <w:tcPr>
            <w:tcW w:w="287" w:type="dxa"/>
            <w:tcBorders>
              <w:top w:val="nil"/>
              <w:left w:val="nil"/>
              <w:bottom w:val="single" w:sz="8" w:space="0" w:color="00B050"/>
              <w:right w:val="single" w:sz="8" w:space="0" w:color="00B050"/>
            </w:tcBorders>
            <w:shd w:val="clear" w:color="auto" w:fill="auto"/>
            <w:noWrap/>
            <w:vAlign w:val="center"/>
            <w:hideMark/>
          </w:tcPr>
          <w:p w14:paraId="3CAFCC0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3F33977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394779EA"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061CE83E"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1E064B0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7278D70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20DD398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1F5972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5B5D26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B5645B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7BE289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5282D4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15CEEE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5450686"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4184C3F"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331F99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F419EBB"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373233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31B6A3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DC6D3B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FB5DAFE"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E9F1A3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8BE797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E45B173"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2B57AF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73B4F0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9540F6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8DF8193"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17AEAEE"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3936914"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932FC15"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3FD86FA"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r>
      <w:tr w:rsidR="00C16992" w:rsidRPr="00E5151A" w14:paraId="64DB949D" w14:textId="77777777" w:rsidTr="00E5151A">
        <w:tblPrEx>
          <w:tblCellMar>
            <w:left w:w="70" w:type="dxa"/>
            <w:right w:w="70" w:type="dxa"/>
          </w:tblCellMar>
        </w:tblPrEx>
        <w:trPr>
          <w:trHeight w:val="330"/>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45E5D4A7"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t>Cablevision Red, S.A. de C.V.</w:t>
            </w:r>
          </w:p>
        </w:tc>
        <w:tc>
          <w:tcPr>
            <w:tcW w:w="287" w:type="dxa"/>
            <w:tcBorders>
              <w:top w:val="nil"/>
              <w:left w:val="nil"/>
              <w:bottom w:val="single" w:sz="8" w:space="0" w:color="00B050"/>
              <w:right w:val="single" w:sz="8" w:space="0" w:color="00B050"/>
            </w:tcBorders>
            <w:shd w:val="clear" w:color="000000" w:fill="C6E0B4"/>
            <w:noWrap/>
            <w:vAlign w:val="center"/>
            <w:hideMark/>
          </w:tcPr>
          <w:p w14:paraId="1D1BE8C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52BE07EA"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5F426BE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123188B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115645CC"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35C065D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3110EFC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1CBA857"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D0605E5"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B1CF86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17396C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A6C7C67"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EED5E0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33CF2FB"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442691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2C766E2"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6C2D4C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B69A69E"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F29CA7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1486974"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202728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2EFF09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9EDCB5E"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29F87F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D2F54F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BDB397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43914E7"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CE3A70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48A96F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3CE9E8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8A58E2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24BE6A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r>
      <w:tr w:rsidR="00E5151A" w:rsidRPr="00E5151A" w14:paraId="6719B64F" w14:textId="77777777" w:rsidTr="00AE155A">
        <w:tblPrEx>
          <w:tblCellMar>
            <w:left w:w="70" w:type="dxa"/>
            <w:right w:w="70" w:type="dxa"/>
          </w:tblCellMar>
        </w:tblPrEx>
        <w:trPr>
          <w:trHeight w:val="345"/>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56E13B0D"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t>Cablevision, S.A. de C.V.</w:t>
            </w:r>
          </w:p>
        </w:tc>
        <w:tc>
          <w:tcPr>
            <w:tcW w:w="287" w:type="dxa"/>
            <w:tcBorders>
              <w:top w:val="nil"/>
              <w:left w:val="nil"/>
              <w:bottom w:val="single" w:sz="8" w:space="0" w:color="00B050"/>
              <w:right w:val="single" w:sz="8" w:space="0" w:color="00B050"/>
            </w:tcBorders>
            <w:shd w:val="clear" w:color="auto" w:fill="auto"/>
            <w:noWrap/>
            <w:vAlign w:val="center"/>
            <w:hideMark/>
          </w:tcPr>
          <w:p w14:paraId="19A350C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295E506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223EAFF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59F28EC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495CF4B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0E23CFD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0EE94506"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609A97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BB6C2C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D5AF48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563CDA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0D4C3F4"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D6E241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56C100E"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DB0A04E"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C02CB8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246787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488748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1EC20B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AAFCEA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597525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93E37C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2EFCB2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4507D0A"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ED9D07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5200C7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98A64B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D47225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CFC42B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49900E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CC3CF1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EECA24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r>
      <w:tr w:rsidR="00C16992" w:rsidRPr="00E5151A" w14:paraId="718909DC" w14:textId="77777777" w:rsidTr="00E5151A">
        <w:tblPrEx>
          <w:tblCellMar>
            <w:left w:w="70" w:type="dxa"/>
            <w:right w:w="70" w:type="dxa"/>
          </w:tblCellMar>
        </w:tblPrEx>
        <w:trPr>
          <w:trHeight w:val="330"/>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6073E9F6"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t>FTTH de México, S.A. de C.V.</w:t>
            </w:r>
          </w:p>
        </w:tc>
        <w:tc>
          <w:tcPr>
            <w:tcW w:w="287" w:type="dxa"/>
            <w:tcBorders>
              <w:top w:val="nil"/>
              <w:left w:val="nil"/>
              <w:bottom w:val="single" w:sz="8" w:space="0" w:color="00B050"/>
              <w:right w:val="single" w:sz="8" w:space="0" w:color="00B050"/>
            </w:tcBorders>
            <w:shd w:val="clear" w:color="000000" w:fill="C6E0B4"/>
            <w:noWrap/>
            <w:vAlign w:val="center"/>
            <w:hideMark/>
          </w:tcPr>
          <w:p w14:paraId="59E3667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03DEFD3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1CA4BE8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772D5C6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223F2A8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6C4F0C4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2F95EE95"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5EEA35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EFE33C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916137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EF5ADD3"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21A3937"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311CA5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C8C8A3B"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69FC15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9C9F50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3C9410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AD10B6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0AE4D8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9E1CE5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6B6FC8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502EE6E"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C81E9E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EF7D53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4BC11C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E01BA0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349AE9A"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CBC158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6938044"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3AC737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9D6700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2938CB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r>
      <w:tr w:rsidR="00156C3A" w:rsidRPr="00E5151A" w14:paraId="14A4797B" w14:textId="77777777" w:rsidTr="00E5151A">
        <w:tblPrEx>
          <w:tblCellMar>
            <w:left w:w="70" w:type="dxa"/>
            <w:right w:w="70" w:type="dxa"/>
          </w:tblCellMar>
        </w:tblPrEx>
        <w:trPr>
          <w:trHeight w:val="330"/>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314C3988"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t>Mega Cable, S.A. de C.V.</w:t>
            </w:r>
          </w:p>
        </w:tc>
        <w:tc>
          <w:tcPr>
            <w:tcW w:w="287" w:type="dxa"/>
            <w:tcBorders>
              <w:top w:val="nil"/>
              <w:left w:val="nil"/>
              <w:bottom w:val="single" w:sz="8" w:space="0" w:color="00B050"/>
              <w:right w:val="single" w:sz="8" w:space="0" w:color="00B050"/>
            </w:tcBorders>
            <w:shd w:val="clear" w:color="auto" w:fill="auto"/>
            <w:noWrap/>
            <w:vAlign w:val="center"/>
            <w:hideMark/>
          </w:tcPr>
          <w:p w14:paraId="5447E38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64EFC88B"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5DED5FE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7685E25B"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0949C66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6E4D354E"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2302F40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357E88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E80BA9F"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B8419F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5E5C98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B7189AC"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DBB83D2"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DBCDE57"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1AA7B4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4486487"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845740C"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B81C482"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C5C620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F29863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70F373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DC4F74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84FBD5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61F2BA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4D9EA2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6F991A5"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F5543DA"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518E507"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717078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98777B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D07920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678D586"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r>
      <w:tr w:rsidR="00A21FFA" w:rsidRPr="00E5151A" w14:paraId="1138A798" w14:textId="77777777" w:rsidTr="00E5151A">
        <w:tblPrEx>
          <w:tblCellMar>
            <w:left w:w="70" w:type="dxa"/>
            <w:right w:w="70" w:type="dxa"/>
          </w:tblCellMar>
        </w:tblPrEx>
        <w:trPr>
          <w:trHeight w:val="330"/>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04D52AA5"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t>Telefonos de Mexico, S.A.B. de C.V.</w:t>
            </w:r>
          </w:p>
        </w:tc>
        <w:tc>
          <w:tcPr>
            <w:tcW w:w="287" w:type="dxa"/>
            <w:tcBorders>
              <w:top w:val="nil"/>
              <w:left w:val="nil"/>
              <w:bottom w:val="single" w:sz="8" w:space="0" w:color="00B050"/>
              <w:right w:val="single" w:sz="8" w:space="0" w:color="00B050"/>
            </w:tcBorders>
            <w:shd w:val="clear" w:color="000000" w:fill="C6E0B4"/>
            <w:noWrap/>
            <w:vAlign w:val="center"/>
            <w:hideMark/>
          </w:tcPr>
          <w:p w14:paraId="00D1AFF2"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07578CA4"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44BB2C1F"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5B987D9C"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0417B1D4"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1C0DB19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5461A6D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14A9BE3"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64B312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DA8746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286CD8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8880877"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5B99545"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BA0625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2E886A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D81BA17"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4CCB18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BC3C2E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019654C"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94FE9CE"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9C94B77"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A6106F3"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7544F47"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87216B6"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BDDF545"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D1737E6"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EC858AF"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6FEFB2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EF5EF3F"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BE802D3"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EC148AB"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80DB72B"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r>
      <w:tr w:rsidR="00E5151A" w:rsidRPr="00E5151A" w14:paraId="16C4D001" w14:textId="77777777" w:rsidTr="00AE155A">
        <w:tblPrEx>
          <w:tblCellMar>
            <w:left w:w="70" w:type="dxa"/>
            <w:right w:w="70" w:type="dxa"/>
          </w:tblCellMar>
        </w:tblPrEx>
        <w:trPr>
          <w:trHeight w:val="330"/>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458223D2"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t>Telefonos del Noroeste, S.A. de C.V.</w:t>
            </w:r>
          </w:p>
        </w:tc>
        <w:tc>
          <w:tcPr>
            <w:tcW w:w="287" w:type="dxa"/>
            <w:tcBorders>
              <w:top w:val="nil"/>
              <w:left w:val="nil"/>
              <w:bottom w:val="single" w:sz="8" w:space="0" w:color="00B050"/>
              <w:right w:val="single" w:sz="8" w:space="0" w:color="00B050"/>
            </w:tcBorders>
            <w:shd w:val="clear" w:color="auto" w:fill="auto"/>
            <w:noWrap/>
            <w:vAlign w:val="center"/>
            <w:hideMark/>
          </w:tcPr>
          <w:p w14:paraId="2CA5129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53C6385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766D330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564AAAC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09870A4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1CA2528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1A4423B7"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31AD8D4"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7FD237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5458B8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805AB9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C9527A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1203E4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D017A6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CC2FC5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F56A35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9C51A5E"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991793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CE4107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4597FA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881EC6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B56E5A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FB47D3A"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A34D9D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895B05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19A21D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112009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AAD6A8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9DBEC46"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503F43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3BE054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BDD605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r>
      <w:tr w:rsidR="00E5151A" w:rsidRPr="00E5151A" w14:paraId="7E5CBEA4" w14:textId="77777777" w:rsidTr="00AE155A">
        <w:tblPrEx>
          <w:tblCellMar>
            <w:left w:w="70" w:type="dxa"/>
            <w:right w:w="70" w:type="dxa"/>
          </w:tblCellMar>
        </w:tblPrEx>
        <w:trPr>
          <w:trHeight w:val="330"/>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176C8245"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t>Television Internacional, S.A. de C.V.</w:t>
            </w:r>
          </w:p>
        </w:tc>
        <w:tc>
          <w:tcPr>
            <w:tcW w:w="287" w:type="dxa"/>
            <w:tcBorders>
              <w:top w:val="nil"/>
              <w:left w:val="nil"/>
              <w:bottom w:val="single" w:sz="8" w:space="0" w:color="00B050"/>
              <w:right w:val="single" w:sz="8" w:space="0" w:color="00B050"/>
            </w:tcBorders>
            <w:shd w:val="clear" w:color="auto" w:fill="auto"/>
            <w:noWrap/>
            <w:vAlign w:val="center"/>
            <w:hideMark/>
          </w:tcPr>
          <w:p w14:paraId="38CE449E"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5C2B3A0A"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015E66E8"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1D9E7A8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63CF088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1887CC1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2CADA62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CCC4CE3"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4AE59B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FB46C4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7AA3BAE"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8C046E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36D94DE"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DF4C6E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27FD6A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D5B724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83B056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B4BE9F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A5B412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9DF7D9C"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DE2C0F5"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F11577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75434C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478E4D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CF021A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3483F84"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5B96CD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5905AC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DF8524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A782AAE"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F0A2F5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4C756E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r>
      <w:tr w:rsidR="00A21FFA" w:rsidRPr="00E5151A" w14:paraId="4BEA5E18" w14:textId="77777777" w:rsidTr="00E5151A">
        <w:tblPrEx>
          <w:tblCellMar>
            <w:left w:w="70" w:type="dxa"/>
            <w:right w:w="70" w:type="dxa"/>
          </w:tblCellMar>
        </w:tblPrEx>
        <w:trPr>
          <w:trHeight w:val="330"/>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470A8FAA"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lastRenderedPageBreak/>
              <w:t>Total Play Telecomunicaciones, S.A. de C.V.</w:t>
            </w:r>
          </w:p>
        </w:tc>
        <w:tc>
          <w:tcPr>
            <w:tcW w:w="287" w:type="dxa"/>
            <w:tcBorders>
              <w:top w:val="nil"/>
              <w:left w:val="nil"/>
              <w:bottom w:val="single" w:sz="8" w:space="0" w:color="00B050"/>
              <w:right w:val="single" w:sz="8" w:space="0" w:color="00B050"/>
            </w:tcBorders>
            <w:shd w:val="clear" w:color="000000" w:fill="C6E0B4"/>
            <w:noWrap/>
            <w:vAlign w:val="center"/>
            <w:hideMark/>
          </w:tcPr>
          <w:p w14:paraId="7B3650C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6DC61BA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6420314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420F7FFB"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67AD9E7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0AA4423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5A8D5122"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A6E69A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8D91A5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BD5603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3D7FBC4"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FE23804"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48BB29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E4E389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9DE09D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62C6927"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0CAD42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039FE5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BDE1F99"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36F16EE"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7CFAD5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5388B7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54C0172"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6FE02D6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0639E092"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568FE1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7E92D12"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2772EEAC"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7F3AFBDF"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4DD8D7B"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28957B7"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9F6CB84"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r>
      <w:tr w:rsidR="00C16992" w:rsidRPr="00E5151A" w14:paraId="6303A79A" w14:textId="77777777" w:rsidTr="00E5151A">
        <w:tblPrEx>
          <w:tblCellMar>
            <w:left w:w="70" w:type="dxa"/>
            <w:right w:w="70" w:type="dxa"/>
          </w:tblCellMar>
        </w:tblPrEx>
        <w:trPr>
          <w:trHeight w:val="330"/>
          <w:jc w:val="center"/>
        </w:trPr>
        <w:tc>
          <w:tcPr>
            <w:tcW w:w="1162" w:type="dxa"/>
            <w:tcBorders>
              <w:top w:val="nil"/>
              <w:left w:val="single" w:sz="8" w:space="0" w:color="00B050"/>
              <w:bottom w:val="single" w:sz="8" w:space="0" w:color="00B050"/>
              <w:right w:val="single" w:sz="8" w:space="0" w:color="00B050"/>
            </w:tcBorders>
            <w:shd w:val="clear" w:color="auto" w:fill="auto"/>
            <w:noWrap/>
            <w:vAlign w:val="center"/>
            <w:hideMark/>
          </w:tcPr>
          <w:p w14:paraId="7928A212" w14:textId="77777777" w:rsidR="00E5151A" w:rsidRPr="00E5151A" w:rsidRDefault="00E5151A" w:rsidP="00E5151A">
            <w:pPr>
              <w:spacing w:after="0" w:line="240" w:lineRule="auto"/>
              <w:rPr>
                <w:rFonts w:ascii="Arial" w:eastAsia="Times New Roman" w:hAnsi="Arial" w:cs="Arial"/>
                <w:color w:val="000000"/>
                <w:sz w:val="12"/>
                <w:szCs w:val="12"/>
                <w:lang w:val="es-MX" w:eastAsia="es-MX"/>
              </w:rPr>
            </w:pPr>
            <w:r w:rsidRPr="00E5151A">
              <w:rPr>
                <w:rFonts w:ascii="Arial" w:eastAsia="Times New Roman" w:hAnsi="Arial" w:cs="Arial"/>
                <w:color w:val="000000"/>
                <w:sz w:val="12"/>
                <w:szCs w:val="12"/>
                <w:lang w:val="es-MX" w:eastAsia="es-MX"/>
              </w:rPr>
              <w:t>Tv Cable de Oriente, S.A. de C.V.</w:t>
            </w:r>
            <w:r w:rsidRPr="00E5151A">
              <w:rPr>
                <w:rFonts w:ascii="Arial" w:eastAsia="Times New Roman" w:hAnsi="Arial" w:cs="Arial"/>
                <w:color w:val="000000"/>
                <w:sz w:val="20"/>
                <w:szCs w:val="20"/>
                <w:lang w:val="es-MX" w:eastAsia="es-MX"/>
              </w:rPr>
              <w:t>.</w:t>
            </w:r>
          </w:p>
        </w:tc>
        <w:tc>
          <w:tcPr>
            <w:tcW w:w="287" w:type="dxa"/>
            <w:tcBorders>
              <w:top w:val="nil"/>
              <w:left w:val="nil"/>
              <w:bottom w:val="single" w:sz="8" w:space="0" w:color="00B050"/>
              <w:right w:val="single" w:sz="8" w:space="0" w:color="00B050"/>
            </w:tcBorders>
            <w:shd w:val="clear" w:color="auto" w:fill="auto"/>
            <w:noWrap/>
            <w:vAlign w:val="center"/>
            <w:hideMark/>
          </w:tcPr>
          <w:p w14:paraId="26DE873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41F57057"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7FE3980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000000" w:fill="C6E0B4"/>
            <w:noWrap/>
            <w:vAlign w:val="center"/>
            <w:hideMark/>
          </w:tcPr>
          <w:p w14:paraId="594BA632"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4633B6C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48F82911"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7" w:type="dxa"/>
            <w:tcBorders>
              <w:top w:val="nil"/>
              <w:left w:val="nil"/>
              <w:bottom w:val="single" w:sz="8" w:space="0" w:color="00B050"/>
              <w:right w:val="single" w:sz="8" w:space="0" w:color="00B050"/>
            </w:tcBorders>
            <w:shd w:val="clear" w:color="auto" w:fill="auto"/>
            <w:noWrap/>
            <w:vAlign w:val="center"/>
            <w:hideMark/>
          </w:tcPr>
          <w:p w14:paraId="734C482A"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0796F0A"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5DA5AF2B"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83DEAF9"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A6C30F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639E694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F3915C4"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C04E5A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42EB359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5474FB9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6E3A53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64724E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725E67A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ABC9B43"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09D2864"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823500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0DC121BD"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5380E4D"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1289741F"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3E387C10"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7FC518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45CF4D41"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CD38178"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191A9DAE"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c>
          <w:tcPr>
            <w:tcW w:w="286" w:type="dxa"/>
            <w:tcBorders>
              <w:top w:val="nil"/>
              <w:left w:val="nil"/>
              <w:bottom w:val="single" w:sz="8" w:space="0" w:color="00B050"/>
              <w:right w:val="single" w:sz="8" w:space="0" w:color="00B050"/>
            </w:tcBorders>
            <w:shd w:val="clear" w:color="auto" w:fill="auto"/>
            <w:noWrap/>
            <w:vAlign w:val="center"/>
            <w:hideMark/>
          </w:tcPr>
          <w:p w14:paraId="2D1FE1D2" w14:textId="77777777" w:rsidR="00E5151A" w:rsidRPr="00E5151A" w:rsidRDefault="00E5151A" w:rsidP="00E5151A">
            <w:pPr>
              <w:spacing w:after="0" w:line="240" w:lineRule="auto"/>
              <w:rPr>
                <w:rFonts w:eastAsia="Times New Roman" w:cs="Calibri"/>
                <w:color w:val="000000"/>
                <w:lang w:val="es-MX" w:eastAsia="es-MX"/>
              </w:rPr>
            </w:pPr>
            <w:r w:rsidRPr="00E5151A">
              <w:rPr>
                <w:rFonts w:eastAsia="Times New Roman" w:cs="Calibri"/>
                <w:color w:val="000000"/>
                <w:lang w:val="es-MX" w:eastAsia="es-MX"/>
              </w:rPr>
              <w:t> </w:t>
            </w:r>
          </w:p>
        </w:tc>
        <w:tc>
          <w:tcPr>
            <w:tcW w:w="286" w:type="dxa"/>
            <w:tcBorders>
              <w:top w:val="nil"/>
              <w:left w:val="nil"/>
              <w:bottom w:val="single" w:sz="8" w:space="0" w:color="00B050"/>
              <w:right w:val="single" w:sz="8" w:space="0" w:color="00B050"/>
            </w:tcBorders>
            <w:shd w:val="clear" w:color="000000" w:fill="C6E0B4"/>
            <w:noWrap/>
            <w:vAlign w:val="center"/>
            <w:hideMark/>
          </w:tcPr>
          <w:p w14:paraId="3B270550" w14:textId="77777777" w:rsidR="00E5151A" w:rsidRPr="00E5151A" w:rsidRDefault="00E5151A" w:rsidP="00E5151A">
            <w:pPr>
              <w:spacing w:after="0" w:line="240" w:lineRule="auto"/>
              <w:rPr>
                <w:rFonts w:ascii="Arial" w:eastAsia="Times New Roman" w:hAnsi="Arial" w:cs="Arial"/>
                <w:color w:val="000000"/>
                <w:sz w:val="20"/>
                <w:szCs w:val="20"/>
                <w:lang w:val="es-MX" w:eastAsia="es-MX"/>
              </w:rPr>
            </w:pPr>
            <w:r w:rsidRPr="00E5151A">
              <w:rPr>
                <w:rFonts w:ascii="Arial" w:eastAsia="Times New Roman" w:hAnsi="Arial" w:cs="Arial"/>
                <w:color w:val="000000"/>
                <w:sz w:val="20"/>
                <w:szCs w:val="20"/>
                <w:lang w:val="es-MX" w:eastAsia="es-MX"/>
              </w:rPr>
              <w:t> </w:t>
            </w:r>
          </w:p>
        </w:tc>
      </w:tr>
    </w:tbl>
    <w:p w14:paraId="05FDF8B5" w14:textId="77777777" w:rsidR="00FA2C42" w:rsidRPr="00FA2C42" w:rsidRDefault="00FA2C42" w:rsidP="00FA2C42">
      <w:pPr>
        <w:spacing w:after="0"/>
        <w:jc w:val="both"/>
        <w:rPr>
          <w:rFonts w:ascii="Arial" w:hAnsi="Arial" w:cs="Arial"/>
          <w:color w:val="000000"/>
          <w:lang w:val="es-MX" w:eastAsia="es-ES"/>
        </w:rPr>
      </w:pPr>
    </w:p>
    <w:p w14:paraId="56724D2B" w14:textId="29DC2FAE" w:rsidR="00156C3A" w:rsidRPr="00233A27" w:rsidRDefault="00FA2C42" w:rsidP="001250CB">
      <w:pPr>
        <w:ind w:right="48"/>
        <w:jc w:val="both"/>
        <w:rPr>
          <w:rFonts w:ascii="Arial" w:hAnsi="Arial" w:cs="Arial"/>
          <w:color w:val="000000"/>
          <w:sz w:val="16"/>
          <w:szCs w:val="16"/>
          <w:lang w:val="es-ES_tradnl" w:eastAsia="es-ES"/>
        </w:rPr>
      </w:pPr>
      <w:r w:rsidRPr="00FA2C42">
        <w:rPr>
          <w:rFonts w:ascii="Arial" w:hAnsi="Arial" w:cs="Arial"/>
          <w:b/>
          <w:color w:val="000000"/>
          <w:sz w:val="16"/>
          <w:szCs w:val="16"/>
          <w:lang w:val="es-ES_tradnl" w:eastAsia="es-ES"/>
        </w:rPr>
        <w:t xml:space="preserve">Tabla 3: </w:t>
      </w:r>
      <w:r w:rsidRPr="00FA2C42">
        <w:rPr>
          <w:rFonts w:ascii="Arial" w:hAnsi="Arial" w:cs="Arial"/>
          <w:color w:val="000000"/>
          <w:sz w:val="16"/>
          <w:szCs w:val="16"/>
          <w:lang w:val="es-ES_tradnl" w:eastAsia="es-ES"/>
        </w:rPr>
        <w:t xml:space="preserve">Estados en los que concesionarios cuentan con accesos para BAF en al menos un municipio. </w:t>
      </w:r>
      <w:r w:rsidRPr="00FA2C42">
        <w:rPr>
          <w:rFonts w:ascii="Arial" w:hAnsi="Arial" w:cs="Arial"/>
          <w:b/>
          <w:color w:val="000000"/>
          <w:sz w:val="16"/>
          <w:szCs w:val="16"/>
          <w:lang w:val="es-ES_tradnl" w:eastAsia="es-ES"/>
        </w:rPr>
        <w:t>Fuente:</w:t>
      </w:r>
      <w:r w:rsidRPr="00FA2C42">
        <w:rPr>
          <w:rFonts w:ascii="Arial" w:hAnsi="Arial" w:cs="Arial"/>
          <w:color w:val="000000"/>
          <w:sz w:val="16"/>
          <w:szCs w:val="16"/>
          <w:lang w:val="es-ES_tradnl" w:eastAsia="es-ES"/>
        </w:rPr>
        <w:t xml:space="preserve"> IFT con información del BIT al</w:t>
      </w:r>
      <w:r w:rsidR="00E5151A">
        <w:rPr>
          <w:rFonts w:ascii="Arial" w:hAnsi="Arial" w:cs="Arial"/>
          <w:color w:val="000000"/>
          <w:sz w:val="16"/>
          <w:szCs w:val="16"/>
          <w:lang w:val="es-ES_tradnl" w:eastAsia="es-ES"/>
        </w:rPr>
        <w:t xml:space="preserve"> segundo trimestre</w:t>
      </w:r>
      <w:r w:rsidRPr="00FA2C42">
        <w:rPr>
          <w:rFonts w:ascii="Arial" w:hAnsi="Arial" w:cs="Arial"/>
          <w:color w:val="000000"/>
          <w:sz w:val="16"/>
          <w:szCs w:val="16"/>
          <w:lang w:val="es-ES_tradnl" w:eastAsia="es-ES"/>
        </w:rPr>
        <w:t xml:space="preserve"> de 20</w:t>
      </w:r>
      <w:r w:rsidR="00E5151A">
        <w:rPr>
          <w:rFonts w:ascii="Arial" w:hAnsi="Arial" w:cs="Arial"/>
          <w:color w:val="000000"/>
          <w:sz w:val="16"/>
          <w:szCs w:val="16"/>
          <w:lang w:val="es-ES_tradnl" w:eastAsia="es-ES"/>
        </w:rPr>
        <w:t>20;</w:t>
      </w:r>
      <w:r w:rsidRPr="00FA2C42">
        <w:rPr>
          <w:rFonts w:ascii="Arial" w:hAnsi="Arial" w:cs="Arial"/>
          <w:color w:val="000000"/>
          <w:sz w:val="16"/>
          <w:szCs w:val="16"/>
          <w:lang w:val="es-ES_tradnl" w:eastAsia="es-ES"/>
        </w:rPr>
        <w:t xml:space="preserve"> 2021.</w:t>
      </w:r>
    </w:p>
    <w:p w14:paraId="1DF2C809" w14:textId="77777777" w:rsidR="00B343D7" w:rsidRDefault="00B343D7" w:rsidP="008347CE">
      <w:pPr>
        <w:spacing w:after="0"/>
        <w:jc w:val="both"/>
        <w:rPr>
          <w:rFonts w:ascii="Arial" w:hAnsi="Arial" w:cs="Arial"/>
          <w:color w:val="000000"/>
          <w:lang w:val="es-MX" w:eastAsia="es-ES"/>
        </w:rPr>
      </w:pPr>
    </w:p>
    <w:p w14:paraId="69CB4E59" w14:textId="18555D8E" w:rsidR="00FA2C42" w:rsidRPr="00FA2C42" w:rsidRDefault="00FA2C42" w:rsidP="008347CE">
      <w:pPr>
        <w:spacing w:after="0"/>
        <w:jc w:val="both"/>
        <w:rPr>
          <w:rFonts w:ascii="Arial" w:hAnsi="Arial" w:cs="Arial"/>
          <w:color w:val="000000"/>
          <w:lang w:val="es-MX" w:eastAsia="es-ES"/>
        </w:rPr>
      </w:pPr>
      <w:r w:rsidRPr="00FA2C42">
        <w:rPr>
          <w:rFonts w:ascii="Arial" w:hAnsi="Arial" w:cs="Arial"/>
          <w:color w:val="000000"/>
          <w:lang w:val="es-MX" w:eastAsia="es-ES"/>
        </w:rPr>
        <w:t>Para estudiar la presencia de accesos de BAF en todos los municipios del país, se consideró relevante agruparlos conforme a los siguientes rangos por número de accesos:</w:t>
      </w:r>
    </w:p>
    <w:p w14:paraId="3789AEA2" w14:textId="7F3072E6" w:rsidR="00FA2C42" w:rsidRPr="00FA2C42" w:rsidRDefault="00FA2C42" w:rsidP="00FA2C42">
      <w:pPr>
        <w:tabs>
          <w:tab w:val="left" w:pos="2145"/>
        </w:tabs>
        <w:jc w:val="center"/>
        <w:rPr>
          <w:rFonts w:ascii="Arial" w:hAnsi="Arial" w:cs="Arial"/>
          <w:color w:val="000000"/>
          <w:sz w:val="18"/>
          <w:szCs w:val="18"/>
          <w:lang w:val="es-MX" w:eastAsia="es-ES"/>
        </w:rPr>
      </w:pPr>
    </w:p>
    <w:p w14:paraId="37FD51D2" w14:textId="1EE2A13B" w:rsidR="00FA2C42" w:rsidRPr="00FA2C42" w:rsidRDefault="00852082" w:rsidP="00406830">
      <w:pPr>
        <w:tabs>
          <w:tab w:val="left" w:pos="2145"/>
        </w:tabs>
        <w:jc w:val="both"/>
        <w:rPr>
          <w:rFonts w:ascii="Arial" w:hAnsi="Arial" w:cs="Arial"/>
          <w:color w:val="000000"/>
          <w:sz w:val="16"/>
          <w:szCs w:val="16"/>
          <w:lang w:val="es-MX" w:eastAsia="es-ES"/>
        </w:rPr>
      </w:pPr>
      <w:r>
        <w:rPr>
          <w:noProof/>
          <w:lang w:val="es-MX" w:eastAsia="es-MX"/>
        </w:rPr>
        <w:drawing>
          <wp:inline distT="0" distB="0" distL="0" distR="0" wp14:anchorId="3B89DFC4" wp14:editId="4745F897">
            <wp:extent cx="5996763" cy="2296160"/>
            <wp:effectExtent l="0" t="0" r="4445" b="889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A2C42" w:rsidRPr="00FA2C42">
        <w:rPr>
          <w:rFonts w:ascii="Arial" w:hAnsi="Arial" w:cs="Arial"/>
          <w:b/>
          <w:color w:val="000000"/>
          <w:sz w:val="16"/>
          <w:szCs w:val="16"/>
          <w:lang w:val="es-MX" w:eastAsia="es-ES"/>
        </w:rPr>
        <w:t xml:space="preserve">Figura 2: </w:t>
      </w:r>
      <w:r w:rsidR="00FA2C42" w:rsidRPr="00FA2C42">
        <w:rPr>
          <w:rFonts w:ascii="Arial" w:hAnsi="Arial" w:cs="Arial"/>
          <w:color w:val="000000"/>
          <w:sz w:val="16"/>
          <w:szCs w:val="16"/>
          <w:lang w:val="es-MX" w:eastAsia="es-ES"/>
        </w:rPr>
        <w:t xml:space="preserve">Distribución de municipios por cantidad de accesos </w:t>
      </w:r>
      <w:r w:rsidR="00FA2C42" w:rsidRPr="00FA2C42">
        <w:rPr>
          <w:rFonts w:ascii="Arial" w:hAnsi="Arial" w:cs="Arial"/>
          <w:b/>
          <w:color w:val="000000"/>
          <w:sz w:val="16"/>
          <w:szCs w:val="16"/>
          <w:lang w:val="es-MX" w:eastAsia="es-ES"/>
        </w:rPr>
        <w:t>Fuente:</w:t>
      </w:r>
      <w:r w:rsidR="00FA2C42" w:rsidRPr="00FA2C42">
        <w:rPr>
          <w:rFonts w:ascii="Arial" w:hAnsi="Arial" w:cs="Arial"/>
          <w:color w:val="000000"/>
          <w:sz w:val="16"/>
          <w:szCs w:val="16"/>
          <w:lang w:val="es-MX" w:eastAsia="es-ES"/>
        </w:rPr>
        <w:t xml:space="preserve"> IFT a partir de información del BIT al </w:t>
      </w:r>
      <w:r>
        <w:rPr>
          <w:rFonts w:ascii="Arial" w:hAnsi="Arial" w:cs="Arial"/>
          <w:color w:val="000000"/>
          <w:sz w:val="16"/>
          <w:szCs w:val="16"/>
          <w:lang w:val="es-MX" w:eastAsia="es-ES"/>
        </w:rPr>
        <w:t>segundo trimestre</w:t>
      </w:r>
      <w:r w:rsidRPr="00FA2C42">
        <w:rPr>
          <w:rFonts w:ascii="Arial" w:hAnsi="Arial" w:cs="Arial"/>
          <w:color w:val="000000"/>
          <w:sz w:val="16"/>
          <w:szCs w:val="16"/>
          <w:lang w:val="es-MX" w:eastAsia="es-ES"/>
        </w:rPr>
        <w:t xml:space="preserve"> </w:t>
      </w:r>
      <w:r w:rsidR="00FA2C42" w:rsidRPr="00FA2C42">
        <w:rPr>
          <w:rFonts w:ascii="Arial" w:hAnsi="Arial" w:cs="Arial"/>
          <w:color w:val="000000"/>
          <w:sz w:val="16"/>
          <w:szCs w:val="16"/>
          <w:lang w:val="es-MX" w:eastAsia="es-ES"/>
        </w:rPr>
        <w:t>de 20</w:t>
      </w:r>
      <w:r>
        <w:rPr>
          <w:rFonts w:ascii="Arial" w:hAnsi="Arial" w:cs="Arial"/>
          <w:color w:val="000000"/>
          <w:sz w:val="16"/>
          <w:szCs w:val="16"/>
          <w:lang w:val="es-MX" w:eastAsia="es-ES"/>
        </w:rPr>
        <w:t>20</w:t>
      </w:r>
      <w:r w:rsidR="00FA2C42" w:rsidRPr="00FA2C42">
        <w:rPr>
          <w:rFonts w:ascii="Arial" w:hAnsi="Arial" w:cs="Arial"/>
          <w:color w:val="000000"/>
          <w:sz w:val="16"/>
          <w:szCs w:val="16"/>
          <w:lang w:val="es-MX" w:eastAsia="es-ES"/>
        </w:rPr>
        <w:t xml:space="preserve"> y considerando los municipios de</w:t>
      </w:r>
      <w:r>
        <w:rPr>
          <w:rFonts w:ascii="Arial" w:hAnsi="Arial" w:cs="Arial"/>
          <w:color w:val="000000"/>
          <w:sz w:val="16"/>
          <w:szCs w:val="16"/>
          <w:lang w:val="es-MX" w:eastAsia="es-ES"/>
        </w:rPr>
        <w:t>l</w:t>
      </w:r>
      <w:r w:rsidR="00FA2C42" w:rsidRPr="00FA2C42">
        <w:rPr>
          <w:rFonts w:ascii="Arial" w:hAnsi="Arial" w:cs="Arial"/>
          <w:color w:val="000000"/>
          <w:sz w:val="16"/>
          <w:szCs w:val="16"/>
          <w:lang w:val="es-MX" w:eastAsia="es-ES"/>
        </w:rPr>
        <w:t xml:space="preserve"> </w:t>
      </w:r>
      <w:r>
        <w:rPr>
          <w:rFonts w:ascii="Arial" w:hAnsi="Arial" w:cs="Arial"/>
          <w:color w:val="000000"/>
          <w:sz w:val="16"/>
          <w:szCs w:val="16"/>
          <w:lang w:val="es-MX" w:eastAsia="es-ES"/>
        </w:rPr>
        <w:t>Censo de Población y Vivienda 2020</w:t>
      </w:r>
      <w:r w:rsidR="00FA2C42" w:rsidRPr="00FA2C42">
        <w:rPr>
          <w:rFonts w:ascii="Arial" w:hAnsi="Arial" w:cs="Arial"/>
          <w:color w:val="000000"/>
          <w:sz w:val="16"/>
          <w:szCs w:val="16"/>
          <w:lang w:val="es-MX" w:eastAsia="es-ES"/>
        </w:rPr>
        <w:t>; 2021</w:t>
      </w:r>
    </w:p>
    <w:p w14:paraId="0C38BE62" w14:textId="0834F1EE" w:rsidR="00FA2C42" w:rsidRDefault="00FA2C42" w:rsidP="008347CE">
      <w:pPr>
        <w:tabs>
          <w:tab w:val="left" w:pos="2145"/>
        </w:tabs>
        <w:spacing w:after="0"/>
        <w:jc w:val="both"/>
        <w:rPr>
          <w:rFonts w:ascii="Arial" w:hAnsi="Arial" w:cs="Arial"/>
          <w:color w:val="000000"/>
          <w:lang w:val="es-MX" w:eastAsia="es-ES"/>
        </w:rPr>
      </w:pPr>
      <w:r w:rsidRPr="00FA2C42">
        <w:rPr>
          <w:rFonts w:ascii="Arial" w:hAnsi="Arial" w:cs="Arial"/>
          <w:color w:val="000000"/>
          <w:lang w:val="es-MX" w:eastAsia="es-ES"/>
        </w:rPr>
        <w:t xml:space="preserve">Una vez determinados estos rangos, se </w:t>
      </w:r>
      <w:r w:rsidR="0091654F">
        <w:rPr>
          <w:rFonts w:ascii="Arial" w:hAnsi="Arial" w:cs="Arial"/>
          <w:color w:val="000000"/>
          <w:lang w:val="es-MX" w:eastAsia="es-ES"/>
        </w:rPr>
        <w:t>relacionan</w:t>
      </w:r>
      <w:r w:rsidRPr="00FA2C42">
        <w:rPr>
          <w:rFonts w:ascii="Arial" w:hAnsi="Arial" w:cs="Arial"/>
          <w:color w:val="000000"/>
          <w:lang w:val="es-MX" w:eastAsia="es-ES"/>
        </w:rPr>
        <w:t xml:space="preserve"> con información de población y hogares </w:t>
      </w:r>
      <w:r w:rsidR="007B3168">
        <w:rPr>
          <w:rFonts w:ascii="Arial" w:hAnsi="Arial" w:cs="Arial"/>
          <w:color w:val="000000"/>
          <w:lang w:val="es-MX" w:eastAsia="es-ES"/>
        </w:rPr>
        <w:t>d</w:t>
      </w:r>
      <w:r w:rsidR="00403758">
        <w:rPr>
          <w:rFonts w:ascii="Arial" w:hAnsi="Arial" w:cs="Arial"/>
          <w:color w:val="000000"/>
          <w:lang w:val="es-MX" w:eastAsia="es-ES"/>
        </w:rPr>
        <w:t>el</w:t>
      </w:r>
      <w:r w:rsidR="00852082">
        <w:rPr>
          <w:rFonts w:ascii="Arial" w:hAnsi="Arial" w:cs="Arial"/>
          <w:color w:val="000000"/>
          <w:lang w:val="es-MX" w:eastAsia="es-ES"/>
        </w:rPr>
        <w:t xml:space="preserve"> Censo de Población y Vivienda 2020</w:t>
      </w:r>
      <w:r w:rsidRPr="00FA2C42">
        <w:rPr>
          <w:rFonts w:ascii="Arial" w:hAnsi="Arial" w:cs="Arial"/>
          <w:color w:val="000000"/>
          <w:lang w:val="es-MX" w:eastAsia="es-ES"/>
        </w:rPr>
        <w:t xml:space="preserve"> </w:t>
      </w:r>
      <w:r w:rsidR="00574425">
        <w:rPr>
          <w:rFonts w:ascii="Arial" w:hAnsi="Arial" w:cs="Arial"/>
          <w:color w:val="000000"/>
          <w:lang w:val="es-MX" w:eastAsia="es-ES"/>
        </w:rPr>
        <w:t>publicado por el</w:t>
      </w:r>
      <w:r w:rsidR="00574425" w:rsidRPr="00FA2C42">
        <w:rPr>
          <w:rFonts w:ascii="Arial" w:hAnsi="Arial" w:cs="Arial"/>
          <w:color w:val="000000"/>
          <w:lang w:val="es-MX" w:eastAsia="es-ES"/>
        </w:rPr>
        <w:t xml:space="preserve"> </w:t>
      </w:r>
      <w:r w:rsidRPr="00FA2C42">
        <w:rPr>
          <w:rFonts w:ascii="Arial" w:hAnsi="Arial" w:cs="Arial"/>
          <w:color w:val="000000"/>
          <w:lang w:val="es-MX" w:eastAsia="es-ES"/>
        </w:rPr>
        <w:t>I</w:t>
      </w:r>
      <w:r w:rsidR="00574425">
        <w:rPr>
          <w:rFonts w:ascii="Arial" w:hAnsi="Arial" w:cs="Arial"/>
          <w:color w:val="000000"/>
          <w:lang w:val="es-MX" w:eastAsia="es-ES"/>
        </w:rPr>
        <w:t xml:space="preserve">nstituto Nacional de </w:t>
      </w:r>
      <w:r w:rsidRPr="00FA2C42">
        <w:rPr>
          <w:rFonts w:ascii="Arial" w:hAnsi="Arial" w:cs="Arial"/>
          <w:color w:val="000000"/>
          <w:lang w:val="es-MX" w:eastAsia="es-ES"/>
        </w:rPr>
        <w:t>E</w:t>
      </w:r>
      <w:r w:rsidR="00574425">
        <w:rPr>
          <w:rFonts w:ascii="Arial" w:hAnsi="Arial" w:cs="Arial"/>
          <w:color w:val="000000"/>
          <w:lang w:val="es-MX" w:eastAsia="es-ES"/>
        </w:rPr>
        <w:t xml:space="preserve">stadística y </w:t>
      </w:r>
      <w:r w:rsidRPr="00FA2C42">
        <w:rPr>
          <w:rFonts w:ascii="Arial" w:hAnsi="Arial" w:cs="Arial"/>
          <w:color w:val="000000"/>
          <w:lang w:val="es-MX" w:eastAsia="es-ES"/>
        </w:rPr>
        <w:t>G</w:t>
      </w:r>
      <w:r w:rsidR="00574425">
        <w:rPr>
          <w:rFonts w:ascii="Arial" w:hAnsi="Arial" w:cs="Arial"/>
          <w:color w:val="000000"/>
          <w:lang w:val="es-MX" w:eastAsia="es-ES"/>
        </w:rPr>
        <w:t>eografía (en lo sucesivo, “Censo de Población y Vivienda 2020”)</w:t>
      </w:r>
      <w:r w:rsidRPr="00FA2C42">
        <w:rPr>
          <w:rFonts w:ascii="Arial" w:hAnsi="Arial" w:cs="Arial"/>
          <w:color w:val="000000"/>
          <w:lang w:val="es-MX" w:eastAsia="es-ES"/>
        </w:rPr>
        <w:t xml:space="preserve"> de la siguiente manera: </w:t>
      </w:r>
    </w:p>
    <w:p w14:paraId="2B0B277A" w14:textId="6798EB15" w:rsidR="00A41A77" w:rsidRDefault="00A41A77" w:rsidP="008347CE">
      <w:pPr>
        <w:tabs>
          <w:tab w:val="left" w:pos="2145"/>
        </w:tabs>
        <w:spacing w:after="0"/>
        <w:jc w:val="both"/>
        <w:rPr>
          <w:rFonts w:ascii="Arial" w:hAnsi="Arial" w:cs="Arial"/>
          <w:color w:val="000000"/>
          <w:lang w:val="es-MX" w:eastAsia="es-ES"/>
        </w:rPr>
      </w:pPr>
    </w:p>
    <w:tbl>
      <w:tblPr>
        <w:tblW w:w="9393" w:type="dxa"/>
        <w:tblCellMar>
          <w:left w:w="70" w:type="dxa"/>
          <w:right w:w="70" w:type="dxa"/>
        </w:tblCellMar>
        <w:tblLook w:val="04A0" w:firstRow="1" w:lastRow="0" w:firstColumn="1" w:lastColumn="0" w:noHBand="0" w:noVBand="1"/>
      </w:tblPr>
      <w:tblGrid>
        <w:gridCol w:w="1092"/>
        <w:gridCol w:w="1035"/>
        <w:gridCol w:w="992"/>
        <w:gridCol w:w="850"/>
        <w:gridCol w:w="851"/>
        <w:gridCol w:w="992"/>
        <w:gridCol w:w="1134"/>
        <w:gridCol w:w="1134"/>
        <w:gridCol w:w="1313"/>
      </w:tblGrid>
      <w:tr w:rsidR="005204FC" w:rsidRPr="005204FC" w14:paraId="1F6B4F86" w14:textId="77777777" w:rsidTr="005204FC">
        <w:trPr>
          <w:trHeight w:val="207"/>
        </w:trPr>
        <w:tc>
          <w:tcPr>
            <w:tcW w:w="1092" w:type="dxa"/>
            <w:tcBorders>
              <w:top w:val="nil"/>
              <w:left w:val="nil"/>
              <w:bottom w:val="single" w:sz="8" w:space="0" w:color="C2D69B"/>
              <w:right w:val="nil"/>
            </w:tcBorders>
            <w:shd w:val="clear" w:color="000000" w:fill="FFFFFF"/>
            <w:vAlign w:val="center"/>
            <w:hideMark/>
          </w:tcPr>
          <w:p w14:paraId="5C85DDE2"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 </w:t>
            </w:r>
          </w:p>
        </w:tc>
        <w:tc>
          <w:tcPr>
            <w:tcW w:w="1035" w:type="dxa"/>
            <w:tcBorders>
              <w:top w:val="nil"/>
              <w:left w:val="nil"/>
              <w:bottom w:val="single" w:sz="8" w:space="0" w:color="C2D69B"/>
              <w:right w:val="nil"/>
            </w:tcBorders>
            <w:shd w:val="clear" w:color="000000" w:fill="FFFFFF"/>
            <w:vAlign w:val="center"/>
            <w:hideMark/>
          </w:tcPr>
          <w:p w14:paraId="169E04C4"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 </w:t>
            </w:r>
          </w:p>
        </w:tc>
        <w:tc>
          <w:tcPr>
            <w:tcW w:w="7266" w:type="dxa"/>
            <w:gridSpan w:val="7"/>
            <w:tcBorders>
              <w:top w:val="nil"/>
              <w:left w:val="nil"/>
              <w:bottom w:val="single" w:sz="8" w:space="0" w:color="C2D69B"/>
              <w:right w:val="nil"/>
            </w:tcBorders>
            <w:shd w:val="clear" w:color="000000" w:fill="FFFFFF"/>
            <w:vAlign w:val="center"/>
            <w:hideMark/>
          </w:tcPr>
          <w:p w14:paraId="472988A0"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Accesos presentes a nivel municipal</w:t>
            </w:r>
          </w:p>
        </w:tc>
      </w:tr>
      <w:tr w:rsidR="005204FC" w:rsidRPr="005204FC" w14:paraId="42AB7098" w14:textId="77777777" w:rsidTr="005204FC">
        <w:trPr>
          <w:trHeight w:val="604"/>
        </w:trPr>
        <w:tc>
          <w:tcPr>
            <w:tcW w:w="1092" w:type="dxa"/>
            <w:tcBorders>
              <w:top w:val="nil"/>
              <w:left w:val="single" w:sz="8" w:space="0" w:color="C2D69B"/>
              <w:bottom w:val="single" w:sz="8" w:space="0" w:color="C2D69B"/>
              <w:right w:val="single" w:sz="8" w:space="0" w:color="C2D69B"/>
            </w:tcBorders>
            <w:shd w:val="clear" w:color="000000" w:fill="EAF1DD"/>
            <w:vAlign w:val="center"/>
            <w:hideMark/>
          </w:tcPr>
          <w:p w14:paraId="72D682A5"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Concepto</w:t>
            </w:r>
          </w:p>
        </w:tc>
        <w:tc>
          <w:tcPr>
            <w:tcW w:w="1035" w:type="dxa"/>
            <w:tcBorders>
              <w:top w:val="nil"/>
              <w:left w:val="nil"/>
              <w:bottom w:val="single" w:sz="8" w:space="0" w:color="C2D69B"/>
              <w:right w:val="single" w:sz="8" w:space="0" w:color="C2D69B"/>
            </w:tcBorders>
            <w:shd w:val="clear" w:color="000000" w:fill="EAF1DD"/>
            <w:vAlign w:val="center"/>
            <w:hideMark/>
          </w:tcPr>
          <w:p w14:paraId="2A5EF246"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Parámetro</w:t>
            </w:r>
          </w:p>
        </w:tc>
        <w:tc>
          <w:tcPr>
            <w:tcW w:w="992" w:type="dxa"/>
            <w:tcBorders>
              <w:top w:val="nil"/>
              <w:left w:val="nil"/>
              <w:bottom w:val="single" w:sz="8" w:space="0" w:color="C2D69B"/>
              <w:right w:val="single" w:sz="8" w:space="0" w:color="C2D69B"/>
            </w:tcBorders>
            <w:shd w:val="clear" w:color="000000" w:fill="EAF1DD"/>
            <w:vAlign w:val="center"/>
            <w:hideMark/>
          </w:tcPr>
          <w:p w14:paraId="17812480"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Sin presencia*</w:t>
            </w:r>
          </w:p>
        </w:tc>
        <w:tc>
          <w:tcPr>
            <w:tcW w:w="850" w:type="dxa"/>
            <w:tcBorders>
              <w:top w:val="nil"/>
              <w:left w:val="nil"/>
              <w:bottom w:val="single" w:sz="8" w:space="0" w:color="C2D69B"/>
              <w:right w:val="single" w:sz="8" w:space="0" w:color="C2D69B"/>
            </w:tcBorders>
            <w:shd w:val="clear" w:color="000000" w:fill="EAF1DD"/>
            <w:vAlign w:val="center"/>
            <w:hideMark/>
          </w:tcPr>
          <w:p w14:paraId="5061F766"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1 – 5**</w:t>
            </w:r>
          </w:p>
        </w:tc>
        <w:tc>
          <w:tcPr>
            <w:tcW w:w="851" w:type="dxa"/>
            <w:tcBorders>
              <w:top w:val="nil"/>
              <w:left w:val="nil"/>
              <w:bottom w:val="single" w:sz="8" w:space="0" w:color="C2D69B"/>
              <w:right w:val="single" w:sz="8" w:space="0" w:color="C2D69B"/>
            </w:tcBorders>
            <w:shd w:val="clear" w:color="000000" w:fill="EAF1DD"/>
            <w:vAlign w:val="center"/>
            <w:hideMark/>
          </w:tcPr>
          <w:p w14:paraId="595CE709"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6 - 100</w:t>
            </w:r>
          </w:p>
        </w:tc>
        <w:tc>
          <w:tcPr>
            <w:tcW w:w="992" w:type="dxa"/>
            <w:tcBorders>
              <w:top w:val="nil"/>
              <w:left w:val="nil"/>
              <w:bottom w:val="single" w:sz="8" w:space="0" w:color="C2D69B"/>
              <w:right w:val="single" w:sz="8" w:space="0" w:color="C2D69B"/>
            </w:tcBorders>
            <w:shd w:val="clear" w:color="000000" w:fill="EAF1DD"/>
            <w:vAlign w:val="center"/>
            <w:hideMark/>
          </w:tcPr>
          <w:p w14:paraId="5C181C16"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101 - 300</w:t>
            </w:r>
          </w:p>
        </w:tc>
        <w:tc>
          <w:tcPr>
            <w:tcW w:w="1134" w:type="dxa"/>
            <w:tcBorders>
              <w:top w:val="nil"/>
              <w:left w:val="nil"/>
              <w:bottom w:val="single" w:sz="8" w:space="0" w:color="C2D69B"/>
              <w:right w:val="single" w:sz="8" w:space="0" w:color="C2D69B"/>
            </w:tcBorders>
            <w:shd w:val="clear" w:color="000000" w:fill="EAF1DD"/>
            <w:vAlign w:val="center"/>
            <w:hideMark/>
          </w:tcPr>
          <w:p w14:paraId="23FA4D56"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301 - 1,000</w:t>
            </w:r>
          </w:p>
        </w:tc>
        <w:tc>
          <w:tcPr>
            <w:tcW w:w="1134" w:type="dxa"/>
            <w:tcBorders>
              <w:top w:val="nil"/>
              <w:left w:val="nil"/>
              <w:bottom w:val="single" w:sz="8" w:space="0" w:color="C2D69B"/>
              <w:right w:val="single" w:sz="8" w:space="0" w:color="C2D69B"/>
            </w:tcBorders>
            <w:shd w:val="clear" w:color="000000" w:fill="EAF1DD"/>
            <w:vAlign w:val="center"/>
            <w:hideMark/>
          </w:tcPr>
          <w:p w14:paraId="5475B1CF"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1,001 - 3,500</w:t>
            </w:r>
          </w:p>
        </w:tc>
        <w:tc>
          <w:tcPr>
            <w:tcW w:w="1313" w:type="dxa"/>
            <w:tcBorders>
              <w:top w:val="nil"/>
              <w:left w:val="nil"/>
              <w:bottom w:val="single" w:sz="8" w:space="0" w:color="C2D69B"/>
              <w:right w:val="single" w:sz="8" w:space="0" w:color="C2D69B"/>
            </w:tcBorders>
            <w:shd w:val="clear" w:color="000000" w:fill="EAF1DD"/>
            <w:vAlign w:val="center"/>
            <w:hideMark/>
          </w:tcPr>
          <w:p w14:paraId="42333CAC" w14:textId="77777777" w:rsidR="00A41A77" w:rsidRPr="005204FC" w:rsidRDefault="00A41A77" w:rsidP="00A41A77">
            <w:pPr>
              <w:spacing w:after="0" w:line="240" w:lineRule="auto"/>
              <w:jc w:val="center"/>
              <w:rPr>
                <w:rFonts w:ascii="Arial" w:eastAsia="Times New Roman" w:hAnsi="Arial" w:cs="Arial"/>
                <w:b/>
                <w:bCs/>
                <w:sz w:val="16"/>
                <w:szCs w:val="16"/>
                <w:lang w:val="es-MX" w:eastAsia="es-MX"/>
              </w:rPr>
            </w:pPr>
            <w:r w:rsidRPr="005204FC">
              <w:rPr>
                <w:rFonts w:ascii="Arial" w:eastAsia="Times New Roman" w:hAnsi="Arial" w:cs="Arial"/>
                <w:b/>
                <w:bCs/>
                <w:sz w:val="16"/>
                <w:szCs w:val="16"/>
                <w:lang w:val="es-MX" w:eastAsia="es-MX"/>
              </w:rPr>
              <w:t>Más de 3,500</w:t>
            </w:r>
          </w:p>
        </w:tc>
      </w:tr>
      <w:tr w:rsidR="005204FC" w:rsidRPr="005204FC" w14:paraId="541D2A99" w14:textId="77777777" w:rsidTr="005204FC">
        <w:trPr>
          <w:trHeight w:val="207"/>
        </w:trPr>
        <w:tc>
          <w:tcPr>
            <w:tcW w:w="1092" w:type="dxa"/>
            <w:vMerge w:val="restart"/>
            <w:tcBorders>
              <w:top w:val="nil"/>
              <w:left w:val="single" w:sz="8" w:space="0" w:color="C2D69B"/>
              <w:bottom w:val="single" w:sz="8" w:space="0" w:color="C2D69B"/>
              <w:right w:val="single" w:sz="8" w:space="0" w:color="C2D69B"/>
            </w:tcBorders>
            <w:shd w:val="clear" w:color="auto" w:fill="auto"/>
            <w:vAlign w:val="center"/>
            <w:hideMark/>
          </w:tcPr>
          <w:p w14:paraId="460B5674" w14:textId="58342373" w:rsidR="00A41A77" w:rsidRPr="005204FC" w:rsidRDefault="00E14561" w:rsidP="00A41A77">
            <w:pPr>
              <w:spacing w:after="0" w:line="240" w:lineRule="auto"/>
              <w:jc w:val="center"/>
              <w:rPr>
                <w:rFonts w:ascii="Arial" w:eastAsia="Times New Roman" w:hAnsi="Arial" w:cs="Arial"/>
                <w:sz w:val="16"/>
                <w:szCs w:val="16"/>
                <w:lang w:val="es-MX" w:eastAsia="es-MX"/>
              </w:rPr>
            </w:pPr>
            <w:r>
              <w:rPr>
                <w:rFonts w:ascii="Arial" w:eastAsia="Times New Roman" w:hAnsi="Arial" w:cs="Arial"/>
                <w:sz w:val="16"/>
                <w:szCs w:val="16"/>
                <w:lang w:val="es-MX" w:eastAsia="es-MX"/>
              </w:rPr>
              <w:t>Hogares**</w:t>
            </w:r>
            <w:r w:rsidR="00A41A77" w:rsidRPr="005204FC">
              <w:rPr>
                <w:rFonts w:ascii="Arial" w:eastAsia="Times New Roman" w:hAnsi="Arial" w:cs="Arial"/>
                <w:sz w:val="16"/>
                <w:szCs w:val="16"/>
                <w:lang w:val="es-MX" w:eastAsia="es-MX"/>
              </w:rPr>
              <w:t>*</w:t>
            </w:r>
          </w:p>
        </w:tc>
        <w:tc>
          <w:tcPr>
            <w:tcW w:w="1035" w:type="dxa"/>
            <w:tcBorders>
              <w:top w:val="nil"/>
              <w:left w:val="nil"/>
              <w:bottom w:val="single" w:sz="8" w:space="0" w:color="C2D69B"/>
              <w:right w:val="single" w:sz="8" w:space="0" w:color="C2D69B"/>
            </w:tcBorders>
            <w:shd w:val="clear" w:color="auto" w:fill="auto"/>
            <w:vAlign w:val="center"/>
            <w:hideMark/>
          </w:tcPr>
          <w:p w14:paraId="3C0074CF" w14:textId="77777777" w:rsidR="00A41A77" w:rsidRPr="005204FC" w:rsidRDefault="00A41A77" w:rsidP="00A41A77">
            <w:pPr>
              <w:spacing w:after="0" w:line="240" w:lineRule="auto"/>
              <w:jc w:val="center"/>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Mínimo</w:t>
            </w:r>
          </w:p>
        </w:tc>
        <w:tc>
          <w:tcPr>
            <w:tcW w:w="992" w:type="dxa"/>
            <w:tcBorders>
              <w:top w:val="nil"/>
              <w:left w:val="nil"/>
              <w:bottom w:val="single" w:sz="8" w:space="0" w:color="C2D69B"/>
              <w:right w:val="single" w:sz="8" w:space="0" w:color="C2D69B"/>
            </w:tcBorders>
            <w:shd w:val="clear" w:color="auto" w:fill="auto"/>
            <w:vAlign w:val="center"/>
            <w:hideMark/>
          </w:tcPr>
          <w:p w14:paraId="788E0CC7" w14:textId="77777777"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30</w:t>
            </w:r>
          </w:p>
        </w:tc>
        <w:tc>
          <w:tcPr>
            <w:tcW w:w="850" w:type="dxa"/>
            <w:tcBorders>
              <w:top w:val="nil"/>
              <w:left w:val="nil"/>
              <w:bottom w:val="single" w:sz="8" w:space="0" w:color="C2D69B"/>
              <w:right w:val="single" w:sz="8" w:space="0" w:color="C2D69B"/>
            </w:tcBorders>
            <w:shd w:val="clear" w:color="auto" w:fill="auto"/>
            <w:vAlign w:val="center"/>
            <w:hideMark/>
          </w:tcPr>
          <w:p w14:paraId="7C8D177D" w14:textId="77777777"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188</w:t>
            </w:r>
          </w:p>
        </w:tc>
        <w:tc>
          <w:tcPr>
            <w:tcW w:w="851" w:type="dxa"/>
            <w:tcBorders>
              <w:top w:val="nil"/>
              <w:left w:val="nil"/>
              <w:bottom w:val="single" w:sz="8" w:space="0" w:color="C2D69B"/>
              <w:right w:val="single" w:sz="8" w:space="0" w:color="C2D69B"/>
            </w:tcBorders>
            <w:shd w:val="clear" w:color="auto" w:fill="auto"/>
            <w:vAlign w:val="center"/>
            <w:hideMark/>
          </w:tcPr>
          <w:p w14:paraId="4BCB1783" w14:textId="021CFD60" w:rsidR="00A41A77" w:rsidRPr="005204FC" w:rsidRDefault="00226E7E"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126</w:t>
            </w:r>
          </w:p>
        </w:tc>
        <w:tc>
          <w:tcPr>
            <w:tcW w:w="992" w:type="dxa"/>
            <w:tcBorders>
              <w:top w:val="nil"/>
              <w:left w:val="nil"/>
              <w:bottom w:val="single" w:sz="8" w:space="0" w:color="C2D69B"/>
              <w:right w:val="single" w:sz="8" w:space="0" w:color="C2D69B"/>
            </w:tcBorders>
            <w:shd w:val="clear" w:color="auto" w:fill="auto"/>
            <w:vAlign w:val="center"/>
            <w:hideMark/>
          </w:tcPr>
          <w:p w14:paraId="4951D53B" w14:textId="235249DD" w:rsidR="00A41A77" w:rsidRPr="005204FC" w:rsidRDefault="00226E7E"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328</w:t>
            </w:r>
          </w:p>
        </w:tc>
        <w:tc>
          <w:tcPr>
            <w:tcW w:w="1134" w:type="dxa"/>
            <w:tcBorders>
              <w:top w:val="nil"/>
              <w:left w:val="nil"/>
              <w:bottom w:val="single" w:sz="8" w:space="0" w:color="C2D69B"/>
              <w:right w:val="single" w:sz="8" w:space="0" w:color="C2D69B"/>
            </w:tcBorders>
            <w:shd w:val="clear" w:color="auto" w:fill="auto"/>
            <w:vAlign w:val="center"/>
            <w:hideMark/>
          </w:tcPr>
          <w:p w14:paraId="636E0DB3" w14:textId="67A03FCC" w:rsidR="00A41A77" w:rsidRPr="005204FC" w:rsidRDefault="00226E7E"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568</w:t>
            </w:r>
          </w:p>
        </w:tc>
        <w:tc>
          <w:tcPr>
            <w:tcW w:w="1134" w:type="dxa"/>
            <w:tcBorders>
              <w:top w:val="nil"/>
              <w:left w:val="nil"/>
              <w:bottom w:val="single" w:sz="8" w:space="0" w:color="C2D69B"/>
              <w:right w:val="single" w:sz="8" w:space="0" w:color="C2D69B"/>
            </w:tcBorders>
            <w:shd w:val="clear" w:color="auto" w:fill="auto"/>
            <w:vAlign w:val="center"/>
            <w:hideMark/>
          </w:tcPr>
          <w:p w14:paraId="101080FE" w14:textId="6BB48D4D" w:rsidR="00A41A77" w:rsidRPr="005204FC" w:rsidRDefault="00226E7E"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1,201</w:t>
            </w:r>
          </w:p>
        </w:tc>
        <w:tc>
          <w:tcPr>
            <w:tcW w:w="1313" w:type="dxa"/>
            <w:tcBorders>
              <w:top w:val="nil"/>
              <w:left w:val="nil"/>
              <w:bottom w:val="single" w:sz="8" w:space="0" w:color="C2D69B"/>
              <w:right w:val="single" w:sz="8" w:space="0" w:color="C2D69B"/>
            </w:tcBorders>
            <w:shd w:val="clear" w:color="auto" w:fill="auto"/>
            <w:vAlign w:val="center"/>
            <w:hideMark/>
          </w:tcPr>
          <w:p w14:paraId="64315881" w14:textId="11EAF0E8"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3</w:t>
            </w:r>
            <w:r w:rsidR="005204FC">
              <w:rPr>
                <w:rFonts w:ascii="Arial" w:eastAsia="Times New Roman" w:hAnsi="Arial" w:cs="Arial"/>
                <w:sz w:val="16"/>
                <w:szCs w:val="16"/>
                <w:lang w:val="es-MX" w:eastAsia="es-MX"/>
              </w:rPr>
              <w:t>,</w:t>
            </w:r>
            <w:r w:rsidR="00226E7E">
              <w:rPr>
                <w:rFonts w:ascii="Arial" w:eastAsia="Times New Roman" w:hAnsi="Arial" w:cs="Arial"/>
                <w:sz w:val="16"/>
                <w:szCs w:val="16"/>
                <w:lang w:val="es-MX" w:eastAsia="es-MX"/>
              </w:rPr>
              <w:t>302</w:t>
            </w:r>
          </w:p>
        </w:tc>
      </w:tr>
      <w:tr w:rsidR="005204FC" w:rsidRPr="005204FC" w14:paraId="77539F46" w14:textId="77777777" w:rsidTr="005204FC">
        <w:trPr>
          <w:trHeight w:val="207"/>
        </w:trPr>
        <w:tc>
          <w:tcPr>
            <w:tcW w:w="1092" w:type="dxa"/>
            <w:vMerge/>
            <w:tcBorders>
              <w:top w:val="nil"/>
              <w:left w:val="single" w:sz="8" w:space="0" w:color="C2D69B"/>
              <w:bottom w:val="single" w:sz="8" w:space="0" w:color="C2D69B"/>
              <w:right w:val="single" w:sz="8" w:space="0" w:color="C2D69B"/>
            </w:tcBorders>
            <w:vAlign w:val="center"/>
            <w:hideMark/>
          </w:tcPr>
          <w:p w14:paraId="7DF81256" w14:textId="77777777" w:rsidR="00A41A77" w:rsidRPr="00156C3A" w:rsidRDefault="00A41A77" w:rsidP="00A41A77">
            <w:pPr>
              <w:spacing w:after="0" w:line="240" w:lineRule="auto"/>
              <w:rPr>
                <w:rFonts w:ascii="Arial" w:eastAsia="Times New Roman" w:hAnsi="Arial" w:cs="Arial"/>
                <w:sz w:val="16"/>
                <w:szCs w:val="16"/>
                <w:lang w:val="es-MX" w:eastAsia="es-MX"/>
              </w:rPr>
            </w:pPr>
          </w:p>
        </w:tc>
        <w:tc>
          <w:tcPr>
            <w:tcW w:w="1035" w:type="dxa"/>
            <w:tcBorders>
              <w:top w:val="nil"/>
              <w:left w:val="nil"/>
              <w:bottom w:val="single" w:sz="8" w:space="0" w:color="C2D69B"/>
              <w:right w:val="single" w:sz="8" w:space="0" w:color="C2D69B"/>
            </w:tcBorders>
            <w:shd w:val="clear" w:color="000000" w:fill="EAF1DD"/>
            <w:vAlign w:val="center"/>
            <w:hideMark/>
          </w:tcPr>
          <w:p w14:paraId="30E45685" w14:textId="77777777" w:rsidR="00A41A77" w:rsidRPr="00156C3A" w:rsidRDefault="00A41A77" w:rsidP="00A41A77">
            <w:pPr>
              <w:spacing w:after="0" w:line="240" w:lineRule="auto"/>
              <w:jc w:val="center"/>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Máximo</w:t>
            </w:r>
          </w:p>
        </w:tc>
        <w:tc>
          <w:tcPr>
            <w:tcW w:w="992" w:type="dxa"/>
            <w:tcBorders>
              <w:top w:val="nil"/>
              <w:left w:val="nil"/>
              <w:bottom w:val="single" w:sz="8" w:space="0" w:color="C2D69B"/>
              <w:right w:val="single" w:sz="8" w:space="0" w:color="C2D69B"/>
            </w:tcBorders>
            <w:shd w:val="clear" w:color="000000" w:fill="EAF1DD"/>
            <w:vAlign w:val="center"/>
            <w:hideMark/>
          </w:tcPr>
          <w:p w14:paraId="42D7E7BC" w14:textId="44BDC293" w:rsidR="00A41A77" w:rsidRPr="00226E7E" w:rsidRDefault="00226E7E" w:rsidP="005204FC">
            <w:pPr>
              <w:spacing w:after="0" w:line="240" w:lineRule="auto"/>
              <w:jc w:val="right"/>
              <w:rPr>
                <w:rFonts w:ascii="Arial" w:eastAsia="Times New Roman" w:hAnsi="Arial" w:cs="Arial"/>
                <w:sz w:val="16"/>
                <w:szCs w:val="16"/>
                <w:lang w:val="es-MX" w:eastAsia="es-MX"/>
              </w:rPr>
            </w:pPr>
            <w:r w:rsidRPr="00226E7E">
              <w:rPr>
                <w:rFonts w:ascii="Arial" w:eastAsia="Times New Roman" w:hAnsi="Arial" w:cs="Arial"/>
                <w:sz w:val="16"/>
                <w:szCs w:val="16"/>
                <w:lang w:val="es-MX" w:eastAsia="es-MX"/>
              </w:rPr>
              <w:t>1</w:t>
            </w:r>
            <w:r>
              <w:rPr>
                <w:rFonts w:ascii="Arial" w:eastAsia="Times New Roman" w:hAnsi="Arial" w:cs="Arial"/>
                <w:sz w:val="16"/>
                <w:szCs w:val="16"/>
                <w:lang w:val="es-MX" w:eastAsia="es-MX"/>
              </w:rPr>
              <w:t>4,103</w:t>
            </w:r>
          </w:p>
        </w:tc>
        <w:tc>
          <w:tcPr>
            <w:tcW w:w="850" w:type="dxa"/>
            <w:tcBorders>
              <w:top w:val="nil"/>
              <w:left w:val="nil"/>
              <w:bottom w:val="single" w:sz="8" w:space="0" w:color="C2D69B"/>
              <w:right w:val="single" w:sz="8" w:space="0" w:color="C2D69B"/>
            </w:tcBorders>
            <w:shd w:val="clear" w:color="000000" w:fill="EAF1DD"/>
            <w:vAlign w:val="center"/>
            <w:hideMark/>
          </w:tcPr>
          <w:p w14:paraId="6FE1F2B5" w14:textId="67EA1CC0" w:rsidR="00A41A77" w:rsidRPr="00226E7E" w:rsidRDefault="00226E7E"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14,246</w:t>
            </w:r>
          </w:p>
        </w:tc>
        <w:tc>
          <w:tcPr>
            <w:tcW w:w="851" w:type="dxa"/>
            <w:tcBorders>
              <w:top w:val="nil"/>
              <w:left w:val="nil"/>
              <w:bottom w:val="single" w:sz="8" w:space="0" w:color="C2D69B"/>
              <w:right w:val="single" w:sz="8" w:space="0" w:color="C2D69B"/>
            </w:tcBorders>
            <w:shd w:val="clear" w:color="000000" w:fill="EAF1DD"/>
            <w:vAlign w:val="center"/>
            <w:hideMark/>
          </w:tcPr>
          <w:p w14:paraId="4A28FAAC" w14:textId="01B85594" w:rsidR="00A41A77" w:rsidRPr="00226E7E" w:rsidRDefault="00A41A77" w:rsidP="005204FC">
            <w:pPr>
              <w:spacing w:after="0" w:line="240" w:lineRule="auto"/>
              <w:jc w:val="right"/>
              <w:rPr>
                <w:rFonts w:ascii="Arial" w:eastAsia="Times New Roman" w:hAnsi="Arial" w:cs="Arial"/>
                <w:sz w:val="16"/>
                <w:szCs w:val="16"/>
                <w:lang w:val="es-MX" w:eastAsia="es-MX"/>
              </w:rPr>
            </w:pPr>
            <w:r w:rsidRPr="00226E7E">
              <w:rPr>
                <w:rFonts w:ascii="Arial" w:eastAsia="Times New Roman" w:hAnsi="Arial" w:cs="Arial"/>
                <w:sz w:val="16"/>
                <w:szCs w:val="16"/>
                <w:lang w:val="es-MX" w:eastAsia="es-MX"/>
              </w:rPr>
              <w:t>22,</w:t>
            </w:r>
            <w:r w:rsidR="00226E7E">
              <w:rPr>
                <w:rFonts w:ascii="Arial" w:eastAsia="Times New Roman" w:hAnsi="Arial" w:cs="Arial"/>
                <w:sz w:val="16"/>
                <w:szCs w:val="16"/>
                <w:lang w:val="es-MX" w:eastAsia="es-MX"/>
              </w:rPr>
              <w:t>654</w:t>
            </w:r>
          </w:p>
        </w:tc>
        <w:tc>
          <w:tcPr>
            <w:tcW w:w="992" w:type="dxa"/>
            <w:tcBorders>
              <w:top w:val="nil"/>
              <w:left w:val="nil"/>
              <w:bottom w:val="single" w:sz="8" w:space="0" w:color="C2D69B"/>
              <w:right w:val="single" w:sz="8" w:space="0" w:color="C2D69B"/>
            </w:tcBorders>
            <w:shd w:val="clear" w:color="000000" w:fill="EAF1DD"/>
            <w:vAlign w:val="center"/>
            <w:hideMark/>
          </w:tcPr>
          <w:p w14:paraId="21256823" w14:textId="4A1AA26E" w:rsidR="00A41A77" w:rsidRPr="00226E7E" w:rsidRDefault="00226E7E" w:rsidP="005204FC">
            <w:pPr>
              <w:spacing w:after="0" w:line="240" w:lineRule="auto"/>
              <w:jc w:val="right"/>
              <w:rPr>
                <w:rFonts w:ascii="Arial" w:eastAsia="Times New Roman" w:hAnsi="Arial" w:cs="Arial"/>
                <w:sz w:val="16"/>
                <w:szCs w:val="16"/>
                <w:lang w:val="es-MX" w:eastAsia="es-MX"/>
              </w:rPr>
            </w:pPr>
            <w:r w:rsidRPr="00226E7E">
              <w:rPr>
                <w:rFonts w:ascii="Arial" w:eastAsia="Times New Roman" w:hAnsi="Arial" w:cs="Arial"/>
                <w:sz w:val="16"/>
                <w:szCs w:val="16"/>
                <w:lang w:val="es-MX" w:eastAsia="es-MX"/>
              </w:rPr>
              <w:t>2</w:t>
            </w:r>
            <w:r>
              <w:rPr>
                <w:rFonts w:ascii="Arial" w:eastAsia="Times New Roman" w:hAnsi="Arial" w:cs="Arial"/>
                <w:sz w:val="16"/>
                <w:szCs w:val="16"/>
                <w:lang w:val="es-MX" w:eastAsia="es-MX"/>
              </w:rPr>
              <w:t>6,645</w:t>
            </w:r>
          </w:p>
        </w:tc>
        <w:tc>
          <w:tcPr>
            <w:tcW w:w="1134" w:type="dxa"/>
            <w:tcBorders>
              <w:top w:val="nil"/>
              <w:left w:val="nil"/>
              <w:bottom w:val="single" w:sz="8" w:space="0" w:color="C2D69B"/>
              <w:right w:val="single" w:sz="8" w:space="0" w:color="C2D69B"/>
            </w:tcBorders>
            <w:shd w:val="clear" w:color="000000" w:fill="EAF1DD"/>
            <w:vAlign w:val="center"/>
            <w:hideMark/>
          </w:tcPr>
          <w:p w14:paraId="3318BD6A" w14:textId="6C1252EA" w:rsidR="00A41A77" w:rsidRPr="00226E7E" w:rsidRDefault="00226E7E" w:rsidP="005204FC">
            <w:pPr>
              <w:spacing w:after="0" w:line="240" w:lineRule="auto"/>
              <w:jc w:val="right"/>
              <w:rPr>
                <w:rFonts w:ascii="Arial" w:eastAsia="Times New Roman" w:hAnsi="Arial" w:cs="Arial"/>
                <w:sz w:val="16"/>
                <w:szCs w:val="16"/>
                <w:lang w:val="es-MX" w:eastAsia="es-MX"/>
              </w:rPr>
            </w:pPr>
            <w:r w:rsidRPr="00226E7E">
              <w:rPr>
                <w:rFonts w:ascii="Arial" w:eastAsia="Times New Roman" w:hAnsi="Arial" w:cs="Arial"/>
                <w:sz w:val="16"/>
                <w:szCs w:val="16"/>
                <w:lang w:val="es-MX" w:eastAsia="es-MX"/>
              </w:rPr>
              <w:t>2</w:t>
            </w:r>
            <w:r>
              <w:rPr>
                <w:rFonts w:ascii="Arial" w:eastAsia="Times New Roman" w:hAnsi="Arial" w:cs="Arial"/>
                <w:sz w:val="16"/>
                <w:szCs w:val="16"/>
                <w:lang w:val="es-MX" w:eastAsia="es-MX"/>
              </w:rPr>
              <w:t>8,902</w:t>
            </w:r>
          </w:p>
        </w:tc>
        <w:tc>
          <w:tcPr>
            <w:tcW w:w="1134" w:type="dxa"/>
            <w:tcBorders>
              <w:top w:val="nil"/>
              <w:left w:val="nil"/>
              <w:bottom w:val="single" w:sz="8" w:space="0" w:color="C2D69B"/>
              <w:right w:val="single" w:sz="8" w:space="0" w:color="C2D69B"/>
            </w:tcBorders>
            <w:shd w:val="clear" w:color="000000" w:fill="EAF1DD"/>
            <w:vAlign w:val="center"/>
            <w:hideMark/>
          </w:tcPr>
          <w:p w14:paraId="572755E9" w14:textId="1C833305" w:rsidR="00A41A77" w:rsidRPr="00226E7E" w:rsidRDefault="00226E7E" w:rsidP="005204FC">
            <w:pPr>
              <w:spacing w:after="0" w:line="240" w:lineRule="auto"/>
              <w:jc w:val="right"/>
              <w:rPr>
                <w:rFonts w:ascii="Arial" w:eastAsia="Times New Roman" w:hAnsi="Arial" w:cs="Arial"/>
                <w:sz w:val="16"/>
                <w:szCs w:val="16"/>
                <w:lang w:val="es-MX" w:eastAsia="es-MX"/>
              </w:rPr>
            </w:pPr>
            <w:r w:rsidRPr="00226E7E">
              <w:rPr>
                <w:rFonts w:ascii="Arial" w:eastAsia="Times New Roman" w:hAnsi="Arial" w:cs="Arial"/>
                <w:sz w:val="16"/>
                <w:szCs w:val="16"/>
                <w:lang w:val="es-MX" w:eastAsia="es-MX"/>
              </w:rPr>
              <w:t>4</w:t>
            </w:r>
            <w:r>
              <w:rPr>
                <w:rFonts w:ascii="Arial" w:eastAsia="Times New Roman" w:hAnsi="Arial" w:cs="Arial"/>
                <w:sz w:val="16"/>
                <w:szCs w:val="16"/>
                <w:lang w:val="es-MX" w:eastAsia="es-MX"/>
              </w:rPr>
              <w:t>6,858</w:t>
            </w:r>
          </w:p>
        </w:tc>
        <w:tc>
          <w:tcPr>
            <w:tcW w:w="1313" w:type="dxa"/>
            <w:tcBorders>
              <w:top w:val="nil"/>
              <w:left w:val="nil"/>
              <w:bottom w:val="single" w:sz="8" w:space="0" w:color="C2D69B"/>
              <w:right w:val="single" w:sz="8" w:space="0" w:color="C2D69B"/>
            </w:tcBorders>
            <w:shd w:val="clear" w:color="000000" w:fill="EAF1DD"/>
            <w:vAlign w:val="center"/>
            <w:hideMark/>
          </w:tcPr>
          <w:p w14:paraId="1B17B3A6" w14:textId="65B73C69" w:rsidR="00A41A77" w:rsidRPr="00226E7E" w:rsidRDefault="00226E7E"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576,708</w:t>
            </w:r>
          </w:p>
        </w:tc>
      </w:tr>
      <w:tr w:rsidR="005204FC" w:rsidRPr="005204FC" w14:paraId="5F85C724" w14:textId="77777777" w:rsidTr="005204FC">
        <w:trPr>
          <w:trHeight w:val="207"/>
        </w:trPr>
        <w:tc>
          <w:tcPr>
            <w:tcW w:w="1092" w:type="dxa"/>
            <w:vMerge/>
            <w:tcBorders>
              <w:top w:val="nil"/>
              <w:left w:val="single" w:sz="8" w:space="0" w:color="C2D69B"/>
              <w:bottom w:val="single" w:sz="8" w:space="0" w:color="C2D69B"/>
              <w:right w:val="single" w:sz="8" w:space="0" w:color="C2D69B"/>
            </w:tcBorders>
            <w:vAlign w:val="center"/>
            <w:hideMark/>
          </w:tcPr>
          <w:p w14:paraId="5E123491" w14:textId="77777777" w:rsidR="00A41A77" w:rsidRPr="00156C3A" w:rsidRDefault="00A41A77" w:rsidP="00A41A77">
            <w:pPr>
              <w:spacing w:after="0" w:line="240" w:lineRule="auto"/>
              <w:rPr>
                <w:rFonts w:ascii="Arial" w:eastAsia="Times New Roman" w:hAnsi="Arial" w:cs="Arial"/>
                <w:sz w:val="16"/>
                <w:szCs w:val="16"/>
                <w:lang w:val="es-MX" w:eastAsia="es-MX"/>
              </w:rPr>
            </w:pPr>
          </w:p>
        </w:tc>
        <w:tc>
          <w:tcPr>
            <w:tcW w:w="1035" w:type="dxa"/>
            <w:tcBorders>
              <w:top w:val="nil"/>
              <w:left w:val="nil"/>
              <w:bottom w:val="single" w:sz="8" w:space="0" w:color="C2D69B"/>
              <w:right w:val="single" w:sz="8" w:space="0" w:color="C2D69B"/>
            </w:tcBorders>
            <w:shd w:val="clear" w:color="auto" w:fill="auto"/>
            <w:vAlign w:val="center"/>
            <w:hideMark/>
          </w:tcPr>
          <w:p w14:paraId="7B778D7E" w14:textId="77777777" w:rsidR="00A41A77" w:rsidRPr="00156C3A" w:rsidRDefault="00A41A77" w:rsidP="00A41A77">
            <w:pPr>
              <w:spacing w:after="0" w:line="240" w:lineRule="auto"/>
              <w:jc w:val="center"/>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Promedio</w:t>
            </w:r>
          </w:p>
        </w:tc>
        <w:tc>
          <w:tcPr>
            <w:tcW w:w="992" w:type="dxa"/>
            <w:tcBorders>
              <w:top w:val="nil"/>
              <w:left w:val="nil"/>
              <w:bottom w:val="single" w:sz="8" w:space="0" w:color="C2D69B"/>
              <w:right w:val="single" w:sz="8" w:space="0" w:color="C2D69B"/>
            </w:tcBorders>
            <w:shd w:val="clear" w:color="auto" w:fill="auto"/>
            <w:vAlign w:val="center"/>
            <w:hideMark/>
          </w:tcPr>
          <w:p w14:paraId="347C0D6A" w14:textId="004E04F5" w:rsidR="00A41A77" w:rsidRPr="00226E7E" w:rsidRDefault="00A41A77"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1,</w:t>
            </w:r>
            <w:r w:rsidR="00226E7E">
              <w:rPr>
                <w:rFonts w:ascii="Arial" w:eastAsia="Times New Roman" w:hAnsi="Arial" w:cs="Arial"/>
                <w:sz w:val="16"/>
                <w:szCs w:val="16"/>
                <w:lang w:val="es-MX" w:eastAsia="es-MX"/>
              </w:rPr>
              <w:t>514</w:t>
            </w:r>
          </w:p>
        </w:tc>
        <w:tc>
          <w:tcPr>
            <w:tcW w:w="850" w:type="dxa"/>
            <w:tcBorders>
              <w:top w:val="nil"/>
              <w:left w:val="nil"/>
              <w:bottom w:val="single" w:sz="8" w:space="0" w:color="C2D69B"/>
              <w:right w:val="single" w:sz="8" w:space="0" w:color="C2D69B"/>
            </w:tcBorders>
            <w:shd w:val="clear" w:color="auto" w:fill="auto"/>
            <w:vAlign w:val="center"/>
            <w:hideMark/>
          </w:tcPr>
          <w:p w14:paraId="161B720E" w14:textId="6A2ED6AE" w:rsidR="00A41A77" w:rsidRPr="00226E7E" w:rsidRDefault="00226E7E"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3,050</w:t>
            </w:r>
          </w:p>
        </w:tc>
        <w:tc>
          <w:tcPr>
            <w:tcW w:w="851" w:type="dxa"/>
            <w:tcBorders>
              <w:top w:val="nil"/>
              <w:left w:val="nil"/>
              <w:bottom w:val="single" w:sz="8" w:space="0" w:color="C2D69B"/>
              <w:right w:val="single" w:sz="8" w:space="0" w:color="C2D69B"/>
            </w:tcBorders>
            <w:shd w:val="clear" w:color="auto" w:fill="auto"/>
            <w:vAlign w:val="center"/>
            <w:hideMark/>
          </w:tcPr>
          <w:p w14:paraId="35F32EB2" w14:textId="62B5A586" w:rsidR="00A41A77" w:rsidRPr="00226E7E" w:rsidRDefault="00A41A77" w:rsidP="005204FC">
            <w:pPr>
              <w:spacing w:after="0" w:line="240" w:lineRule="auto"/>
              <w:jc w:val="right"/>
              <w:rPr>
                <w:rFonts w:ascii="Arial" w:eastAsia="Times New Roman" w:hAnsi="Arial" w:cs="Arial"/>
                <w:sz w:val="16"/>
                <w:szCs w:val="16"/>
                <w:lang w:val="es-MX" w:eastAsia="es-MX"/>
              </w:rPr>
            </w:pPr>
            <w:r w:rsidRPr="00226E7E">
              <w:rPr>
                <w:rFonts w:ascii="Arial" w:eastAsia="Times New Roman" w:hAnsi="Arial" w:cs="Arial"/>
                <w:sz w:val="16"/>
                <w:szCs w:val="16"/>
                <w:lang w:val="es-MX" w:eastAsia="es-MX"/>
              </w:rPr>
              <w:t>2</w:t>
            </w:r>
            <w:r>
              <w:rPr>
                <w:rFonts w:ascii="Arial" w:eastAsia="Times New Roman" w:hAnsi="Arial" w:cs="Arial"/>
                <w:sz w:val="16"/>
                <w:szCs w:val="16"/>
                <w:lang w:val="es-MX" w:eastAsia="es-MX"/>
              </w:rPr>
              <w:t>,</w:t>
            </w:r>
            <w:r w:rsidR="00226E7E">
              <w:rPr>
                <w:rFonts w:ascii="Arial" w:eastAsia="Times New Roman" w:hAnsi="Arial" w:cs="Arial"/>
                <w:sz w:val="16"/>
                <w:szCs w:val="16"/>
                <w:lang w:val="es-MX" w:eastAsia="es-MX"/>
              </w:rPr>
              <w:t>823</w:t>
            </w:r>
          </w:p>
        </w:tc>
        <w:tc>
          <w:tcPr>
            <w:tcW w:w="992" w:type="dxa"/>
            <w:tcBorders>
              <w:top w:val="nil"/>
              <w:left w:val="nil"/>
              <w:bottom w:val="single" w:sz="8" w:space="0" w:color="C2D69B"/>
              <w:right w:val="single" w:sz="8" w:space="0" w:color="C2D69B"/>
            </w:tcBorders>
            <w:shd w:val="clear" w:color="auto" w:fill="auto"/>
            <w:vAlign w:val="center"/>
            <w:hideMark/>
          </w:tcPr>
          <w:p w14:paraId="4D533190" w14:textId="31983CE2" w:rsidR="00A41A77" w:rsidRPr="00226E7E" w:rsidRDefault="00A41A77"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3,</w:t>
            </w:r>
            <w:r w:rsidR="00226E7E">
              <w:rPr>
                <w:rFonts w:ascii="Arial" w:eastAsia="Times New Roman" w:hAnsi="Arial" w:cs="Arial"/>
                <w:sz w:val="16"/>
                <w:szCs w:val="16"/>
                <w:lang w:val="es-MX" w:eastAsia="es-MX"/>
              </w:rPr>
              <w:t>784</w:t>
            </w:r>
          </w:p>
        </w:tc>
        <w:tc>
          <w:tcPr>
            <w:tcW w:w="1134" w:type="dxa"/>
            <w:tcBorders>
              <w:top w:val="nil"/>
              <w:left w:val="nil"/>
              <w:bottom w:val="single" w:sz="8" w:space="0" w:color="C2D69B"/>
              <w:right w:val="single" w:sz="8" w:space="0" w:color="C2D69B"/>
            </w:tcBorders>
            <w:shd w:val="clear" w:color="auto" w:fill="auto"/>
            <w:vAlign w:val="center"/>
            <w:hideMark/>
          </w:tcPr>
          <w:p w14:paraId="0BA1456C" w14:textId="7CD71A19" w:rsidR="00A41A77" w:rsidRPr="00226E7E" w:rsidRDefault="00226E7E"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5,070</w:t>
            </w:r>
          </w:p>
        </w:tc>
        <w:tc>
          <w:tcPr>
            <w:tcW w:w="1134" w:type="dxa"/>
            <w:tcBorders>
              <w:top w:val="nil"/>
              <w:left w:val="nil"/>
              <w:bottom w:val="single" w:sz="8" w:space="0" w:color="C2D69B"/>
              <w:right w:val="single" w:sz="8" w:space="0" w:color="C2D69B"/>
            </w:tcBorders>
            <w:shd w:val="clear" w:color="auto" w:fill="auto"/>
            <w:vAlign w:val="center"/>
            <w:hideMark/>
          </w:tcPr>
          <w:p w14:paraId="44F0E71F" w14:textId="542BD056" w:rsidR="00A41A77" w:rsidRPr="00226E7E" w:rsidRDefault="00A41A77" w:rsidP="005204FC">
            <w:pPr>
              <w:spacing w:after="0" w:line="240" w:lineRule="auto"/>
              <w:jc w:val="right"/>
              <w:rPr>
                <w:rFonts w:ascii="Arial" w:eastAsia="Times New Roman" w:hAnsi="Arial" w:cs="Arial"/>
                <w:sz w:val="16"/>
                <w:szCs w:val="16"/>
                <w:lang w:val="es-MX" w:eastAsia="es-MX"/>
              </w:rPr>
            </w:pPr>
            <w:r w:rsidRPr="00226E7E">
              <w:rPr>
                <w:rFonts w:ascii="Arial" w:eastAsia="Times New Roman" w:hAnsi="Arial" w:cs="Arial"/>
                <w:sz w:val="16"/>
                <w:szCs w:val="16"/>
                <w:lang w:val="es-MX" w:eastAsia="es-MX"/>
              </w:rPr>
              <w:t>8,</w:t>
            </w:r>
            <w:r w:rsidR="00226E7E">
              <w:rPr>
                <w:rFonts w:ascii="Arial" w:eastAsia="Times New Roman" w:hAnsi="Arial" w:cs="Arial"/>
                <w:sz w:val="16"/>
                <w:szCs w:val="16"/>
                <w:lang w:val="es-MX" w:eastAsia="es-MX"/>
              </w:rPr>
              <w:t>686</w:t>
            </w:r>
          </w:p>
        </w:tc>
        <w:tc>
          <w:tcPr>
            <w:tcW w:w="1313" w:type="dxa"/>
            <w:tcBorders>
              <w:top w:val="nil"/>
              <w:left w:val="nil"/>
              <w:bottom w:val="single" w:sz="8" w:space="0" w:color="C2D69B"/>
              <w:right w:val="single" w:sz="8" w:space="0" w:color="C2D69B"/>
            </w:tcBorders>
            <w:shd w:val="clear" w:color="auto" w:fill="auto"/>
            <w:vAlign w:val="center"/>
            <w:hideMark/>
          </w:tcPr>
          <w:p w14:paraId="68DF7483" w14:textId="324F110D" w:rsidR="00A41A77" w:rsidRPr="00226E7E" w:rsidRDefault="00226E7E" w:rsidP="005204FC">
            <w:pPr>
              <w:spacing w:after="0" w:line="240" w:lineRule="auto"/>
              <w:jc w:val="right"/>
              <w:rPr>
                <w:rFonts w:ascii="Arial" w:eastAsia="Times New Roman" w:hAnsi="Arial" w:cs="Arial"/>
                <w:sz w:val="16"/>
                <w:szCs w:val="16"/>
                <w:lang w:val="es-MX" w:eastAsia="es-MX"/>
              </w:rPr>
            </w:pPr>
            <w:r>
              <w:rPr>
                <w:rFonts w:ascii="Arial" w:eastAsia="Times New Roman" w:hAnsi="Arial" w:cs="Arial"/>
                <w:sz w:val="16"/>
                <w:szCs w:val="16"/>
                <w:lang w:val="es-MX" w:eastAsia="es-MX"/>
              </w:rPr>
              <w:t>61,132</w:t>
            </w:r>
          </w:p>
        </w:tc>
      </w:tr>
      <w:tr w:rsidR="005204FC" w:rsidRPr="005204FC" w14:paraId="1CCBA131" w14:textId="77777777" w:rsidTr="005204FC">
        <w:trPr>
          <w:trHeight w:val="207"/>
        </w:trPr>
        <w:tc>
          <w:tcPr>
            <w:tcW w:w="1092" w:type="dxa"/>
            <w:vMerge w:val="restart"/>
            <w:tcBorders>
              <w:top w:val="nil"/>
              <w:left w:val="single" w:sz="8" w:space="0" w:color="C2D69B"/>
              <w:bottom w:val="single" w:sz="8" w:space="0" w:color="C2D69B"/>
              <w:right w:val="single" w:sz="8" w:space="0" w:color="C2D69B"/>
            </w:tcBorders>
            <w:shd w:val="clear" w:color="000000" w:fill="EAF1DD"/>
            <w:vAlign w:val="center"/>
            <w:hideMark/>
          </w:tcPr>
          <w:p w14:paraId="2A358C17" w14:textId="5B58F2E0" w:rsidR="00A41A77" w:rsidRPr="005204FC" w:rsidRDefault="00E14561" w:rsidP="00A41A77">
            <w:pPr>
              <w:spacing w:after="0" w:line="240" w:lineRule="auto"/>
              <w:jc w:val="center"/>
              <w:rPr>
                <w:rFonts w:ascii="Arial" w:eastAsia="Times New Roman" w:hAnsi="Arial" w:cs="Arial"/>
                <w:sz w:val="16"/>
                <w:szCs w:val="16"/>
                <w:lang w:val="es-MX" w:eastAsia="es-MX"/>
              </w:rPr>
            </w:pPr>
            <w:r>
              <w:rPr>
                <w:rFonts w:ascii="Arial" w:eastAsia="Times New Roman" w:hAnsi="Arial" w:cs="Arial"/>
                <w:sz w:val="16"/>
                <w:szCs w:val="16"/>
                <w:lang w:val="es-MX" w:eastAsia="es-MX"/>
              </w:rPr>
              <w:t>Población**</w:t>
            </w:r>
            <w:r w:rsidR="00A41A77" w:rsidRPr="005204FC">
              <w:rPr>
                <w:rFonts w:ascii="Arial" w:eastAsia="Times New Roman" w:hAnsi="Arial" w:cs="Arial"/>
                <w:sz w:val="16"/>
                <w:szCs w:val="16"/>
                <w:lang w:val="es-MX" w:eastAsia="es-MX"/>
              </w:rPr>
              <w:t>*</w:t>
            </w:r>
          </w:p>
        </w:tc>
        <w:tc>
          <w:tcPr>
            <w:tcW w:w="1035" w:type="dxa"/>
            <w:tcBorders>
              <w:top w:val="nil"/>
              <w:left w:val="nil"/>
              <w:bottom w:val="single" w:sz="8" w:space="0" w:color="C2D69B"/>
              <w:right w:val="single" w:sz="8" w:space="0" w:color="C2D69B"/>
            </w:tcBorders>
            <w:shd w:val="clear" w:color="000000" w:fill="EAF1DD"/>
            <w:vAlign w:val="center"/>
            <w:hideMark/>
          </w:tcPr>
          <w:p w14:paraId="634C2A4A" w14:textId="77777777" w:rsidR="00A41A77" w:rsidRPr="005204FC" w:rsidRDefault="00A41A77" w:rsidP="00A41A77">
            <w:pPr>
              <w:spacing w:after="0" w:line="240" w:lineRule="auto"/>
              <w:jc w:val="center"/>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Mínimo</w:t>
            </w:r>
          </w:p>
        </w:tc>
        <w:tc>
          <w:tcPr>
            <w:tcW w:w="992" w:type="dxa"/>
            <w:tcBorders>
              <w:top w:val="nil"/>
              <w:left w:val="nil"/>
              <w:bottom w:val="single" w:sz="8" w:space="0" w:color="C2D69B"/>
              <w:right w:val="single" w:sz="8" w:space="0" w:color="C2D69B"/>
            </w:tcBorders>
            <w:shd w:val="clear" w:color="000000" w:fill="EAF1DD"/>
            <w:vAlign w:val="center"/>
            <w:hideMark/>
          </w:tcPr>
          <w:p w14:paraId="7BFF5436" w14:textId="77777777"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81</w:t>
            </w:r>
          </w:p>
        </w:tc>
        <w:tc>
          <w:tcPr>
            <w:tcW w:w="850" w:type="dxa"/>
            <w:tcBorders>
              <w:top w:val="nil"/>
              <w:left w:val="nil"/>
              <w:bottom w:val="single" w:sz="8" w:space="0" w:color="C2D69B"/>
              <w:right w:val="single" w:sz="8" w:space="0" w:color="C2D69B"/>
            </w:tcBorders>
            <w:shd w:val="clear" w:color="000000" w:fill="EAF1DD"/>
            <w:vAlign w:val="center"/>
            <w:hideMark/>
          </w:tcPr>
          <w:p w14:paraId="0D4E9B13" w14:textId="77777777"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527</w:t>
            </w:r>
          </w:p>
        </w:tc>
        <w:tc>
          <w:tcPr>
            <w:tcW w:w="851" w:type="dxa"/>
            <w:tcBorders>
              <w:top w:val="nil"/>
              <w:left w:val="nil"/>
              <w:bottom w:val="single" w:sz="8" w:space="0" w:color="C2D69B"/>
              <w:right w:val="single" w:sz="8" w:space="0" w:color="C2D69B"/>
            </w:tcBorders>
            <w:shd w:val="clear" w:color="000000" w:fill="EAF1DD"/>
            <w:vAlign w:val="center"/>
            <w:hideMark/>
          </w:tcPr>
          <w:p w14:paraId="1B9FDA55" w14:textId="77777777"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369</w:t>
            </w:r>
          </w:p>
        </w:tc>
        <w:tc>
          <w:tcPr>
            <w:tcW w:w="992" w:type="dxa"/>
            <w:tcBorders>
              <w:top w:val="nil"/>
              <w:left w:val="nil"/>
              <w:bottom w:val="single" w:sz="8" w:space="0" w:color="C2D69B"/>
              <w:right w:val="single" w:sz="8" w:space="0" w:color="C2D69B"/>
            </w:tcBorders>
            <w:shd w:val="clear" w:color="000000" w:fill="EAF1DD"/>
            <w:vAlign w:val="center"/>
            <w:hideMark/>
          </w:tcPr>
          <w:p w14:paraId="5E87ABB8" w14:textId="77777777"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906</w:t>
            </w:r>
          </w:p>
        </w:tc>
        <w:tc>
          <w:tcPr>
            <w:tcW w:w="1134" w:type="dxa"/>
            <w:tcBorders>
              <w:top w:val="nil"/>
              <w:left w:val="nil"/>
              <w:bottom w:val="single" w:sz="8" w:space="0" w:color="C2D69B"/>
              <w:right w:val="single" w:sz="8" w:space="0" w:color="C2D69B"/>
            </w:tcBorders>
            <w:shd w:val="clear" w:color="000000" w:fill="EAF1DD"/>
            <w:vAlign w:val="center"/>
            <w:hideMark/>
          </w:tcPr>
          <w:p w14:paraId="15D39E91" w14:textId="77777777"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1,915</w:t>
            </w:r>
          </w:p>
        </w:tc>
        <w:tc>
          <w:tcPr>
            <w:tcW w:w="1134" w:type="dxa"/>
            <w:tcBorders>
              <w:top w:val="nil"/>
              <w:left w:val="nil"/>
              <w:bottom w:val="single" w:sz="8" w:space="0" w:color="C2D69B"/>
              <w:right w:val="single" w:sz="8" w:space="0" w:color="C2D69B"/>
            </w:tcBorders>
            <w:shd w:val="clear" w:color="000000" w:fill="EAF1DD"/>
            <w:vAlign w:val="center"/>
            <w:hideMark/>
          </w:tcPr>
          <w:p w14:paraId="7276E9A7" w14:textId="77777777"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4,168</w:t>
            </w:r>
          </w:p>
        </w:tc>
        <w:tc>
          <w:tcPr>
            <w:tcW w:w="1313" w:type="dxa"/>
            <w:tcBorders>
              <w:top w:val="nil"/>
              <w:left w:val="nil"/>
              <w:bottom w:val="single" w:sz="8" w:space="0" w:color="C2D69B"/>
              <w:right w:val="single" w:sz="8" w:space="0" w:color="C2D69B"/>
            </w:tcBorders>
            <w:shd w:val="clear" w:color="000000" w:fill="EAF1DD"/>
            <w:vAlign w:val="center"/>
            <w:hideMark/>
          </w:tcPr>
          <w:p w14:paraId="56EEA8B9" w14:textId="77777777" w:rsidR="00A41A77" w:rsidRPr="005204FC" w:rsidRDefault="00A41A77" w:rsidP="005204FC">
            <w:pPr>
              <w:spacing w:after="0" w:line="240" w:lineRule="auto"/>
              <w:jc w:val="right"/>
              <w:rPr>
                <w:rFonts w:ascii="Arial" w:eastAsia="Times New Roman" w:hAnsi="Arial" w:cs="Arial"/>
                <w:sz w:val="16"/>
                <w:szCs w:val="16"/>
                <w:lang w:val="es-MX" w:eastAsia="es-MX"/>
              </w:rPr>
            </w:pPr>
            <w:r w:rsidRPr="005204FC">
              <w:rPr>
                <w:rFonts w:ascii="Arial" w:eastAsia="Times New Roman" w:hAnsi="Arial" w:cs="Arial"/>
                <w:sz w:val="16"/>
                <w:szCs w:val="16"/>
                <w:lang w:val="es-MX" w:eastAsia="es-MX"/>
              </w:rPr>
              <w:t>13,200</w:t>
            </w:r>
          </w:p>
        </w:tc>
      </w:tr>
      <w:tr w:rsidR="005204FC" w:rsidRPr="005204FC" w14:paraId="180E4993" w14:textId="77777777" w:rsidTr="005204FC">
        <w:trPr>
          <w:trHeight w:val="207"/>
        </w:trPr>
        <w:tc>
          <w:tcPr>
            <w:tcW w:w="1092" w:type="dxa"/>
            <w:vMerge/>
            <w:tcBorders>
              <w:top w:val="nil"/>
              <w:left w:val="single" w:sz="8" w:space="0" w:color="C2D69B"/>
              <w:bottom w:val="single" w:sz="8" w:space="0" w:color="C2D69B"/>
              <w:right w:val="single" w:sz="8" w:space="0" w:color="C2D69B"/>
            </w:tcBorders>
            <w:vAlign w:val="center"/>
            <w:hideMark/>
          </w:tcPr>
          <w:p w14:paraId="4AF3A26D" w14:textId="77777777" w:rsidR="00A41A77" w:rsidRPr="00156C3A" w:rsidRDefault="00A41A77" w:rsidP="00A41A77">
            <w:pPr>
              <w:spacing w:after="0" w:line="240" w:lineRule="auto"/>
              <w:rPr>
                <w:rFonts w:ascii="Arial" w:eastAsia="Times New Roman" w:hAnsi="Arial" w:cs="Arial"/>
                <w:sz w:val="16"/>
                <w:szCs w:val="16"/>
                <w:lang w:val="es-MX" w:eastAsia="es-MX"/>
              </w:rPr>
            </w:pPr>
          </w:p>
        </w:tc>
        <w:tc>
          <w:tcPr>
            <w:tcW w:w="1035" w:type="dxa"/>
            <w:tcBorders>
              <w:top w:val="nil"/>
              <w:left w:val="nil"/>
              <w:bottom w:val="single" w:sz="8" w:space="0" w:color="C2D69B"/>
              <w:right w:val="single" w:sz="8" w:space="0" w:color="C2D69B"/>
            </w:tcBorders>
            <w:shd w:val="clear" w:color="auto" w:fill="auto"/>
            <w:vAlign w:val="center"/>
            <w:hideMark/>
          </w:tcPr>
          <w:p w14:paraId="7FAB1054" w14:textId="77777777" w:rsidR="00A41A77" w:rsidRPr="00156C3A" w:rsidRDefault="00A41A77" w:rsidP="00A41A77">
            <w:pPr>
              <w:spacing w:after="0" w:line="240" w:lineRule="auto"/>
              <w:jc w:val="center"/>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Máximo</w:t>
            </w:r>
          </w:p>
        </w:tc>
        <w:tc>
          <w:tcPr>
            <w:tcW w:w="992" w:type="dxa"/>
            <w:tcBorders>
              <w:top w:val="nil"/>
              <w:left w:val="nil"/>
              <w:bottom w:val="single" w:sz="8" w:space="0" w:color="C2D69B"/>
              <w:right w:val="single" w:sz="8" w:space="0" w:color="C2D69B"/>
            </w:tcBorders>
            <w:shd w:val="clear" w:color="auto" w:fill="auto"/>
            <w:vAlign w:val="center"/>
            <w:hideMark/>
          </w:tcPr>
          <w:p w14:paraId="609E5376"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50,836</w:t>
            </w:r>
          </w:p>
        </w:tc>
        <w:tc>
          <w:tcPr>
            <w:tcW w:w="850" w:type="dxa"/>
            <w:tcBorders>
              <w:top w:val="nil"/>
              <w:left w:val="nil"/>
              <w:bottom w:val="single" w:sz="8" w:space="0" w:color="C2D69B"/>
              <w:right w:val="single" w:sz="8" w:space="0" w:color="C2D69B"/>
            </w:tcBorders>
            <w:shd w:val="clear" w:color="auto" w:fill="auto"/>
            <w:vAlign w:val="center"/>
            <w:hideMark/>
          </w:tcPr>
          <w:p w14:paraId="34F4B3E7"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50,362</w:t>
            </w:r>
          </w:p>
        </w:tc>
        <w:tc>
          <w:tcPr>
            <w:tcW w:w="851" w:type="dxa"/>
            <w:tcBorders>
              <w:top w:val="nil"/>
              <w:left w:val="nil"/>
              <w:bottom w:val="single" w:sz="8" w:space="0" w:color="C2D69B"/>
              <w:right w:val="single" w:sz="8" w:space="0" w:color="C2D69B"/>
            </w:tcBorders>
            <w:shd w:val="clear" w:color="auto" w:fill="auto"/>
            <w:vAlign w:val="center"/>
            <w:hideMark/>
          </w:tcPr>
          <w:p w14:paraId="2AA67D2F"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101,967</w:t>
            </w:r>
          </w:p>
        </w:tc>
        <w:tc>
          <w:tcPr>
            <w:tcW w:w="992" w:type="dxa"/>
            <w:tcBorders>
              <w:top w:val="nil"/>
              <w:left w:val="nil"/>
              <w:bottom w:val="single" w:sz="8" w:space="0" w:color="C2D69B"/>
              <w:right w:val="single" w:sz="8" w:space="0" w:color="C2D69B"/>
            </w:tcBorders>
            <w:shd w:val="clear" w:color="auto" w:fill="auto"/>
            <w:vAlign w:val="center"/>
            <w:hideMark/>
          </w:tcPr>
          <w:p w14:paraId="501D4CDD"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137,262</w:t>
            </w:r>
          </w:p>
        </w:tc>
        <w:tc>
          <w:tcPr>
            <w:tcW w:w="1134" w:type="dxa"/>
            <w:tcBorders>
              <w:top w:val="nil"/>
              <w:left w:val="nil"/>
              <w:bottom w:val="single" w:sz="8" w:space="0" w:color="C2D69B"/>
              <w:right w:val="single" w:sz="8" w:space="0" w:color="C2D69B"/>
            </w:tcBorders>
            <w:shd w:val="clear" w:color="auto" w:fill="auto"/>
            <w:vAlign w:val="center"/>
            <w:hideMark/>
          </w:tcPr>
          <w:p w14:paraId="0F1A9D7E"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141,027</w:t>
            </w:r>
          </w:p>
        </w:tc>
        <w:tc>
          <w:tcPr>
            <w:tcW w:w="1134" w:type="dxa"/>
            <w:tcBorders>
              <w:top w:val="nil"/>
              <w:left w:val="nil"/>
              <w:bottom w:val="single" w:sz="8" w:space="0" w:color="C2D69B"/>
              <w:right w:val="single" w:sz="8" w:space="0" w:color="C2D69B"/>
            </w:tcBorders>
            <w:shd w:val="clear" w:color="auto" w:fill="auto"/>
            <w:vAlign w:val="center"/>
            <w:hideMark/>
          </w:tcPr>
          <w:p w14:paraId="0B18B122"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234,661</w:t>
            </w:r>
          </w:p>
        </w:tc>
        <w:tc>
          <w:tcPr>
            <w:tcW w:w="1313" w:type="dxa"/>
            <w:tcBorders>
              <w:top w:val="nil"/>
              <w:left w:val="nil"/>
              <w:bottom w:val="single" w:sz="8" w:space="0" w:color="C2D69B"/>
              <w:right w:val="single" w:sz="8" w:space="0" w:color="C2D69B"/>
            </w:tcBorders>
            <w:shd w:val="clear" w:color="auto" w:fill="auto"/>
            <w:vAlign w:val="center"/>
            <w:hideMark/>
          </w:tcPr>
          <w:p w14:paraId="4D502E55"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1,922,523</w:t>
            </w:r>
          </w:p>
        </w:tc>
      </w:tr>
      <w:tr w:rsidR="005204FC" w:rsidRPr="005204FC" w14:paraId="2D7CE6DD" w14:textId="77777777" w:rsidTr="005204FC">
        <w:trPr>
          <w:trHeight w:val="207"/>
        </w:trPr>
        <w:tc>
          <w:tcPr>
            <w:tcW w:w="1092" w:type="dxa"/>
            <w:vMerge/>
            <w:tcBorders>
              <w:top w:val="nil"/>
              <w:left w:val="single" w:sz="8" w:space="0" w:color="C2D69B"/>
              <w:bottom w:val="single" w:sz="8" w:space="0" w:color="C2D69B"/>
              <w:right w:val="single" w:sz="8" w:space="0" w:color="C2D69B"/>
            </w:tcBorders>
            <w:vAlign w:val="center"/>
            <w:hideMark/>
          </w:tcPr>
          <w:p w14:paraId="772945F2" w14:textId="77777777" w:rsidR="00A41A77" w:rsidRPr="00156C3A" w:rsidRDefault="00A41A77" w:rsidP="00A41A77">
            <w:pPr>
              <w:spacing w:after="0" w:line="240" w:lineRule="auto"/>
              <w:rPr>
                <w:rFonts w:ascii="Arial" w:eastAsia="Times New Roman" w:hAnsi="Arial" w:cs="Arial"/>
                <w:sz w:val="16"/>
                <w:szCs w:val="16"/>
                <w:lang w:val="es-MX" w:eastAsia="es-MX"/>
              </w:rPr>
            </w:pPr>
          </w:p>
        </w:tc>
        <w:tc>
          <w:tcPr>
            <w:tcW w:w="1035" w:type="dxa"/>
            <w:tcBorders>
              <w:top w:val="nil"/>
              <w:left w:val="nil"/>
              <w:bottom w:val="single" w:sz="8" w:space="0" w:color="C2D69B"/>
              <w:right w:val="single" w:sz="8" w:space="0" w:color="C2D69B"/>
            </w:tcBorders>
            <w:shd w:val="clear" w:color="000000" w:fill="EAF1DD"/>
            <w:vAlign w:val="center"/>
            <w:hideMark/>
          </w:tcPr>
          <w:p w14:paraId="056D41F0" w14:textId="77777777" w:rsidR="00A41A77" w:rsidRPr="00156C3A" w:rsidRDefault="00A41A77" w:rsidP="00A41A77">
            <w:pPr>
              <w:spacing w:after="0" w:line="240" w:lineRule="auto"/>
              <w:jc w:val="center"/>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Promedio</w:t>
            </w:r>
          </w:p>
        </w:tc>
        <w:tc>
          <w:tcPr>
            <w:tcW w:w="992" w:type="dxa"/>
            <w:tcBorders>
              <w:top w:val="nil"/>
              <w:left w:val="nil"/>
              <w:bottom w:val="single" w:sz="8" w:space="0" w:color="C2D69B"/>
              <w:right w:val="single" w:sz="8" w:space="0" w:color="C2D69B"/>
            </w:tcBorders>
            <w:shd w:val="clear" w:color="000000" w:fill="EAF1DD"/>
            <w:vAlign w:val="center"/>
            <w:hideMark/>
          </w:tcPr>
          <w:p w14:paraId="4B8752C1"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5,961</w:t>
            </w:r>
          </w:p>
        </w:tc>
        <w:tc>
          <w:tcPr>
            <w:tcW w:w="850" w:type="dxa"/>
            <w:tcBorders>
              <w:top w:val="nil"/>
              <w:left w:val="nil"/>
              <w:bottom w:val="single" w:sz="8" w:space="0" w:color="C2D69B"/>
              <w:right w:val="single" w:sz="8" w:space="0" w:color="C2D69B"/>
            </w:tcBorders>
            <w:shd w:val="clear" w:color="000000" w:fill="EAF1DD"/>
            <w:vAlign w:val="center"/>
            <w:hideMark/>
          </w:tcPr>
          <w:p w14:paraId="217E834B"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11,889</w:t>
            </w:r>
          </w:p>
        </w:tc>
        <w:tc>
          <w:tcPr>
            <w:tcW w:w="851" w:type="dxa"/>
            <w:tcBorders>
              <w:top w:val="nil"/>
              <w:left w:val="nil"/>
              <w:bottom w:val="single" w:sz="8" w:space="0" w:color="C2D69B"/>
              <w:right w:val="single" w:sz="8" w:space="0" w:color="C2D69B"/>
            </w:tcBorders>
            <w:shd w:val="clear" w:color="000000" w:fill="EAF1DD"/>
            <w:vAlign w:val="center"/>
            <w:hideMark/>
          </w:tcPr>
          <w:p w14:paraId="0D7F8B2C"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10,862</w:t>
            </w:r>
          </w:p>
        </w:tc>
        <w:tc>
          <w:tcPr>
            <w:tcW w:w="992" w:type="dxa"/>
            <w:tcBorders>
              <w:top w:val="nil"/>
              <w:left w:val="nil"/>
              <w:bottom w:val="single" w:sz="8" w:space="0" w:color="C2D69B"/>
              <w:right w:val="single" w:sz="8" w:space="0" w:color="C2D69B"/>
            </w:tcBorders>
            <w:shd w:val="clear" w:color="000000" w:fill="EAF1DD"/>
            <w:vAlign w:val="center"/>
            <w:hideMark/>
          </w:tcPr>
          <w:p w14:paraId="710ACFED"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14,697</w:t>
            </w:r>
          </w:p>
        </w:tc>
        <w:tc>
          <w:tcPr>
            <w:tcW w:w="1134" w:type="dxa"/>
            <w:tcBorders>
              <w:top w:val="nil"/>
              <w:left w:val="nil"/>
              <w:bottom w:val="single" w:sz="8" w:space="0" w:color="C2D69B"/>
              <w:right w:val="single" w:sz="8" w:space="0" w:color="C2D69B"/>
            </w:tcBorders>
            <w:shd w:val="clear" w:color="000000" w:fill="EAF1DD"/>
            <w:vAlign w:val="center"/>
            <w:hideMark/>
          </w:tcPr>
          <w:p w14:paraId="46D7B919"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19,053</w:t>
            </w:r>
          </w:p>
        </w:tc>
        <w:tc>
          <w:tcPr>
            <w:tcW w:w="1134" w:type="dxa"/>
            <w:tcBorders>
              <w:top w:val="nil"/>
              <w:left w:val="nil"/>
              <w:bottom w:val="single" w:sz="8" w:space="0" w:color="C2D69B"/>
              <w:right w:val="single" w:sz="8" w:space="0" w:color="C2D69B"/>
            </w:tcBorders>
            <w:shd w:val="clear" w:color="000000" w:fill="EAF1DD"/>
            <w:vAlign w:val="center"/>
            <w:hideMark/>
          </w:tcPr>
          <w:p w14:paraId="5CE4D39D"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32,661</w:t>
            </w:r>
          </w:p>
        </w:tc>
        <w:tc>
          <w:tcPr>
            <w:tcW w:w="1313" w:type="dxa"/>
            <w:tcBorders>
              <w:top w:val="nil"/>
              <w:left w:val="nil"/>
              <w:bottom w:val="single" w:sz="8" w:space="0" w:color="C2D69B"/>
              <w:right w:val="single" w:sz="8" w:space="0" w:color="C2D69B"/>
            </w:tcBorders>
            <w:shd w:val="clear" w:color="000000" w:fill="EAF1DD"/>
            <w:vAlign w:val="center"/>
            <w:hideMark/>
          </w:tcPr>
          <w:p w14:paraId="51971E94" w14:textId="77777777" w:rsidR="00A41A77" w:rsidRPr="00156C3A" w:rsidRDefault="00A41A77" w:rsidP="005204FC">
            <w:pPr>
              <w:spacing w:after="0" w:line="240" w:lineRule="auto"/>
              <w:jc w:val="right"/>
              <w:rPr>
                <w:rFonts w:ascii="Arial" w:eastAsia="Times New Roman" w:hAnsi="Arial" w:cs="Arial"/>
                <w:sz w:val="16"/>
                <w:szCs w:val="16"/>
                <w:lang w:val="es-MX" w:eastAsia="es-MX"/>
              </w:rPr>
            </w:pPr>
            <w:r w:rsidRPr="00156C3A">
              <w:rPr>
                <w:rFonts w:ascii="Arial" w:eastAsia="Times New Roman" w:hAnsi="Arial" w:cs="Arial"/>
                <w:sz w:val="16"/>
                <w:szCs w:val="16"/>
                <w:lang w:val="es-MX" w:eastAsia="es-MX"/>
              </w:rPr>
              <w:t>214,622</w:t>
            </w:r>
          </w:p>
        </w:tc>
      </w:tr>
    </w:tbl>
    <w:p w14:paraId="1624FFB9" w14:textId="440F8333" w:rsidR="00FA2C42" w:rsidRPr="00FA2C42" w:rsidRDefault="00FA2C42" w:rsidP="001250CB">
      <w:pPr>
        <w:tabs>
          <w:tab w:val="left" w:pos="2145"/>
        </w:tabs>
        <w:spacing w:after="0" w:line="240" w:lineRule="auto"/>
        <w:ind w:right="48"/>
        <w:jc w:val="both"/>
        <w:rPr>
          <w:rFonts w:ascii="Arial" w:hAnsi="Arial" w:cs="Arial"/>
          <w:color w:val="000000"/>
          <w:sz w:val="14"/>
          <w:szCs w:val="14"/>
          <w:lang w:val="es-MX" w:eastAsia="es-ES"/>
        </w:rPr>
      </w:pPr>
      <w:r w:rsidRPr="00FA2C42">
        <w:rPr>
          <w:rFonts w:ascii="Arial" w:hAnsi="Arial" w:cs="Arial"/>
          <w:b/>
          <w:color w:val="000000"/>
          <w:sz w:val="14"/>
          <w:szCs w:val="14"/>
          <w:lang w:val="es-MX" w:eastAsia="es-ES"/>
        </w:rPr>
        <w:t xml:space="preserve">*Nota: </w:t>
      </w:r>
      <w:r w:rsidRPr="00FA2C42">
        <w:rPr>
          <w:rFonts w:ascii="Arial" w:hAnsi="Arial" w:cs="Arial"/>
          <w:color w:val="000000"/>
          <w:sz w:val="14"/>
          <w:szCs w:val="14"/>
          <w:lang w:val="es-MX" w:eastAsia="es-ES"/>
        </w:rPr>
        <w:t>municipios para los que no se cuenta con datos de existencia de accesos para BAF. Sin embargo, debe recordarse que para 1.</w:t>
      </w:r>
      <w:r w:rsidR="00A41A77">
        <w:rPr>
          <w:rFonts w:ascii="Arial" w:hAnsi="Arial" w:cs="Arial"/>
          <w:color w:val="000000"/>
          <w:sz w:val="14"/>
          <w:szCs w:val="14"/>
          <w:lang w:val="es-MX" w:eastAsia="es-ES"/>
        </w:rPr>
        <w:t>3</w:t>
      </w:r>
      <w:r w:rsidRPr="00FA2C42">
        <w:rPr>
          <w:rFonts w:ascii="Arial" w:hAnsi="Arial" w:cs="Arial"/>
          <w:color w:val="000000"/>
          <w:sz w:val="14"/>
          <w:szCs w:val="14"/>
          <w:lang w:val="es-MX" w:eastAsia="es-ES"/>
        </w:rPr>
        <w:t>% de los accesos totales no tienen información desagregada de su ubicación a nivel municipio.</w:t>
      </w:r>
      <w:r w:rsidRPr="00FA2C42">
        <w:rPr>
          <w:rFonts w:ascii="Arial" w:hAnsi="Arial" w:cs="Arial"/>
          <w:color w:val="000000"/>
          <w:sz w:val="14"/>
          <w:szCs w:val="14"/>
          <w:lang w:val="es-MX" w:eastAsia="es-ES"/>
        </w:rPr>
        <w:tab/>
      </w:r>
      <w:r w:rsidRPr="00FA2C42">
        <w:rPr>
          <w:rFonts w:ascii="Arial" w:hAnsi="Arial" w:cs="Arial"/>
          <w:color w:val="000000"/>
          <w:sz w:val="14"/>
          <w:szCs w:val="14"/>
          <w:lang w:val="es-MX" w:eastAsia="es-ES"/>
        </w:rPr>
        <w:br/>
        <w:t>**</w:t>
      </w:r>
      <w:r w:rsidRPr="00FA2C42">
        <w:rPr>
          <w:rFonts w:ascii="Arial" w:hAnsi="Arial" w:cs="Arial"/>
          <w:b/>
          <w:color w:val="000000"/>
          <w:sz w:val="14"/>
          <w:szCs w:val="14"/>
          <w:lang w:val="es-MX" w:eastAsia="es-ES"/>
        </w:rPr>
        <w:t>Nota:</w:t>
      </w:r>
      <w:r w:rsidRPr="00FA2C42">
        <w:rPr>
          <w:rFonts w:ascii="Arial" w:hAnsi="Arial" w:cs="Arial"/>
          <w:color w:val="000000"/>
          <w:sz w:val="14"/>
          <w:szCs w:val="14"/>
          <w:lang w:val="es-MX" w:eastAsia="es-ES"/>
        </w:rPr>
        <w:t xml:space="preserve"> En </w:t>
      </w:r>
      <w:r w:rsidR="005204FC" w:rsidRPr="005204FC">
        <w:rPr>
          <w:rFonts w:ascii="Arial" w:hAnsi="Arial" w:cs="Arial"/>
          <w:color w:val="000000"/>
          <w:sz w:val="14"/>
          <w:szCs w:val="14"/>
          <w:lang w:val="es-MX" w:eastAsia="es-ES"/>
        </w:rPr>
        <w:t>37</w:t>
      </w:r>
      <w:r w:rsidRPr="00FA2C42">
        <w:rPr>
          <w:rFonts w:ascii="Arial" w:hAnsi="Arial" w:cs="Arial"/>
          <w:color w:val="000000"/>
          <w:sz w:val="14"/>
          <w:szCs w:val="14"/>
          <w:lang w:val="es-MX" w:eastAsia="es-ES"/>
        </w:rPr>
        <w:t xml:space="preserve"> municipios se reportan que existe solo un acceso para BAF</w:t>
      </w:r>
    </w:p>
    <w:p w14:paraId="6CDA21FE" w14:textId="6255B75A" w:rsidR="00FA2C42" w:rsidRPr="00FA2C42" w:rsidRDefault="0056495E" w:rsidP="001250CB">
      <w:pPr>
        <w:tabs>
          <w:tab w:val="left" w:pos="2145"/>
        </w:tabs>
        <w:spacing w:after="0" w:line="240" w:lineRule="auto"/>
        <w:ind w:left="-142" w:right="48"/>
        <w:jc w:val="both"/>
        <w:rPr>
          <w:rFonts w:ascii="Arial" w:hAnsi="Arial" w:cs="Arial"/>
          <w:color w:val="000000"/>
          <w:sz w:val="14"/>
          <w:szCs w:val="14"/>
          <w:lang w:val="es-MX" w:eastAsia="es-ES"/>
        </w:rPr>
      </w:pPr>
      <w:r>
        <w:rPr>
          <w:rFonts w:ascii="Arial" w:hAnsi="Arial" w:cs="Arial"/>
          <w:b/>
          <w:color w:val="000000"/>
          <w:sz w:val="14"/>
          <w:szCs w:val="14"/>
          <w:lang w:val="es-MX" w:eastAsia="es-ES"/>
        </w:rPr>
        <w:t xml:space="preserve">   </w:t>
      </w:r>
      <w:r w:rsidR="00E14561">
        <w:rPr>
          <w:rFonts w:ascii="Arial" w:hAnsi="Arial" w:cs="Arial"/>
          <w:b/>
          <w:color w:val="000000"/>
          <w:sz w:val="14"/>
          <w:szCs w:val="14"/>
          <w:lang w:val="es-MX" w:eastAsia="es-ES"/>
        </w:rPr>
        <w:t>***</w:t>
      </w:r>
      <w:r w:rsidR="00FA2C42" w:rsidRPr="00FA2C42">
        <w:rPr>
          <w:rFonts w:ascii="Arial" w:hAnsi="Arial" w:cs="Arial"/>
          <w:b/>
          <w:color w:val="000000"/>
          <w:sz w:val="14"/>
          <w:szCs w:val="14"/>
          <w:lang w:val="es-MX" w:eastAsia="es-ES"/>
        </w:rPr>
        <w:t>Nota:</w:t>
      </w:r>
      <w:r w:rsidR="00FA2C42" w:rsidRPr="00FA2C42">
        <w:rPr>
          <w:rFonts w:ascii="Arial" w:hAnsi="Arial" w:cs="Arial"/>
          <w:color w:val="000000"/>
          <w:sz w:val="14"/>
          <w:szCs w:val="14"/>
          <w:lang w:val="es-MX" w:eastAsia="es-ES"/>
        </w:rPr>
        <w:t xml:space="preserve"> Estimación con base en </w:t>
      </w:r>
      <w:r w:rsidR="005204FC" w:rsidRPr="005204FC">
        <w:rPr>
          <w:rFonts w:ascii="Arial" w:hAnsi="Arial" w:cs="Arial"/>
          <w:color w:val="000000"/>
          <w:sz w:val="14"/>
          <w:szCs w:val="14"/>
          <w:lang w:val="es-MX" w:eastAsia="es-ES"/>
        </w:rPr>
        <w:t>el</w:t>
      </w:r>
      <w:r w:rsidR="00FA2C42" w:rsidRPr="005204FC">
        <w:rPr>
          <w:rFonts w:ascii="Arial" w:hAnsi="Arial" w:cs="Arial"/>
          <w:color w:val="000000"/>
          <w:sz w:val="14"/>
          <w:szCs w:val="14"/>
          <w:lang w:val="es-MX" w:eastAsia="es-ES"/>
        </w:rPr>
        <w:t xml:space="preserve"> </w:t>
      </w:r>
      <w:r w:rsidR="005204FC" w:rsidRPr="005204FC">
        <w:rPr>
          <w:rFonts w:ascii="Arial" w:hAnsi="Arial" w:cs="Arial"/>
          <w:color w:val="000000"/>
          <w:sz w:val="14"/>
          <w:szCs w:val="14"/>
          <w:lang w:val="es-MX" w:eastAsia="es-ES"/>
        </w:rPr>
        <w:t>Censo de Población y Vivienda 2020</w:t>
      </w:r>
      <w:r w:rsidR="00FA2C42" w:rsidRPr="00FA2C42">
        <w:rPr>
          <w:rFonts w:ascii="Arial" w:hAnsi="Arial" w:cs="Arial"/>
          <w:color w:val="000000"/>
          <w:sz w:val="14"/>
          <w:szCs w:val="14"/>
          <w:lang w:val="es-MX" w:eastAsia="es-ES"/>
        </w:rPr>
        <w:t xml:space="preserve"> de INEGI.</w:t>
      </w:r>
    </w:p>
    <w:p w14:paraId="07571173" w14:textId="0823322C" w:rsidR="00FA2C42" w:rsidRPr="00FA2C42" w:rsidRDefault="00FA2C42" w:rsidP="001250CB">
      <w:pPr>
        <w:tabs>
          <w:tab w:val="left" w:pos="2145"/>
        </w:tabs>
        <w:ind w:left="-142" w:right="48"/>
        <w:jc w:val="both"/>
        <w:rPr>
          <w:rFonts w:ascii="Arial" w:hAnsi="Arial" w:cs="Arial"/>
          <w:color w:val="000000"/>
          <w:sz w:val="16"/>
          <w:szCs w:val="16"/>
          <w:lang w:val="es-MX" w:eastAsia="es-ES"/>
        </w:rPr>
      </w:pPr>
      <w:r w:rsidRPr="00FA2C42">
        <w:rPr>
          <w:rFonts w:ascii="Arial" w:hAnsi="Arial" w:cs="Arial"/>
          <w:b/>
          <w:color w:val="000000"/>
          <w:sz w:val="16"/>
          <w:szCs w:val="16"/>
          <w:lang w:val="es-MX" w:eastAsia="es-ES"/>
        </w:rPr>
        <w:t xml:space="preserve">Tabla 4: </w:t>
      </w:r>
      <w:r w:rsidRPr="00FA2C42">
        <w:rPr>
          <w:rFonts w:ascii="Arial" w:hAnsi="Arial" w:cs="Arial"/>
          <w:color w:val="000000"/>
          <w:sz w:val="16"/>
          <w:szCs w:val="16"/>
          <w:lang w:val="es-MX" w:eastAsia="es-ES"/>
        </w:rPr>
        <w:t xml:space="preserve">Distribución de municipios por cantidad de accesos presentes. </w:t>
      </w:r>
      <w:r w:rsidRPr="00FA2C42">
        <w:rPr>
          <w:rFonts w:ascii="Arial" w:hAnsi="Arial" w:cs="Arial"/>
          <w:b/>
          <w:color w:val="000000"/>
          <w:sz w:val="16"/>
          <w:szCs w:val="16"/>
          <w:lang w:val="es-MX" w:eastAsia="es-ES"/>
        </w:rPr>
        <w:t>Fuente:</w:t>
      </w:r>
      <w:r w:rsidRPr="00FA2C42">
        <w:rPr>
          <w:rFonts w:ascii="Arial" w:hAnsi="Arial" w:cs="Arial"/>
          <w:color w:val="000000"/>
          <w:sz w:val="16"/>
          <w:szCs w:val="16"/>
          <w:lang w:val="es-MX" w:eastAsia="es-ES"/>
        </w:rPr>
        <w:t xml:space="preserve"> IFT con información del BIT al </w:t>
      </w:r>
      <w:r w:rsidR="00A41A77">
        <w:rPr>
          <w:rFonts w:ascii="Arial" w:hAnsi="Arial" w:cs="Arial"/>
          <w:color w:val="000000"/>
          <w:sz w:val="16"/>
          <w:szCs w:val="16"/>
          <w:lang w:val="es-MX" w:eastAsia="es-ES"/>
        </w:rPr>
        <w:t>segundo trimestre</w:t>
      </w:r>
      <w:r w:rsidR="00A41A77" w:rsidRPr="00FA2C42">
        <w:rPr>
          <w:rFonts w:ascii="Arial" w:hAnsi="Arial" w:cs="Arial"/>
          <w:color w:val="000000"/>
          <w:sz w:val="16"/>
          <w:szCs w:val="16"/>
          <w:lang w:val="es-MX" w:eastAsia="es-ES"/>
        </w:rPr>
        <w:t xml:space="preserve"> </w:t>
      </w:r>
      <w:r w:rsidRPr="00FA2C42">
        <w:rPr>
          <w:rFonts w:ascii="Arial" w:hAnsi="Arial" w:cs="Arial"/>
          <w:color w:val="000000"/>
          <w:sz w:val="16"/>
          <w:szCs w:val="16"/>
          <w:lang w:val="es-MX" w:eastAsia="es-ES"/>
        </w:rPr>
        <w:t>de 20</w:t>
      </w:r>
      <w:r w:rsidR="00A41A77">
        <w:rPr>
          <w:rFonts w:ascii="Arial" w:hAnsi="Arial" w:cs="Arial"/>
          <w:color w:val="000000"/>
          <w:sz w:val="16"/>
          <w:szCs w:val="16"/>
          <w:lang w:val="es-MX" w:eastAsia="es-ES"/>
        </w:rPr>
        <w:t>20</w:t>
      </w:r>
      <w:r w:rsidRPr="00FA2C42">
        <w:rPr>
          <w:rFonts w:ascii="Arial" w:hAnsi="Arial" w:cs="Arial"/>
          <w:color w:val="000000"/>
          <w:sz w:val="16"/>
          <w:szCs w:val="16"/>
          <w:lang w:val="es-MX" w:eastAsia="es-ES"/>
        </w:rPr>
        <w:t xml:space="preserve"> y considerando los municipios de</w:t>
      </w:r>
      <w:r w:rsidR="00A41A77">
        <w:rPr>
          <w:rFonts w:ascii="Arial" w:hAnsi="Arial" w:cs="Arial"/>
          <w:color w:val="000000"/>
          <w:sz w:val="16"/>
          <w:szCs w:val="16"/>
          <w:lang w:val="es-MX" w:eastAsia="es-ES"/>
        </w:rPr>
        <w:t xml:space="preserve">l Censo de Población y Vivienda 2020 </w:t>
      </w:r>
      <w:r w:rsidRPr="00FA2C42">
        <w:rPr>
          <w:rFonts w:ascii="Arial" w:hAnsi="Arial" w:cs="Arial"/>
          <w:color w:val="000000"/>
          <w:sz w:val="16"/>
          <w:szCs w:val="16"/>
          <w:lang w:val="es-MX" w:eastAsia="es-ES"/>
        </w:rPr>
        <w:t>de INEGI; 2021</w:t>
      </w:r>
    </w:p>
    <w:p w14:paraId="32452C24" w14:textId="039C7E96" w:rsidR="00FA2C42" w:rsidRPr="00FA2C42" w:rsidRDefault="00964CCC" w:rsidP="008347CE">
      <w:pPr>
        <w:tabs>
          <w:tab w:val="left" w:pos="2145"/>
        </w:tabs>
        <w:spacing w:after="0"/>
        <w:jc w:val="both"/>
        <w:rPr>
          <w:rFonts w:ascii="Arial" w:hAnsi="Arial" w:cs="Arial"/>
          <w:color w:val="000000"/>
          <w:lang w:val="es-MX" w:eastAsia="es-ES"/>
        </w:rPr>
      </w:pPr>
      <w:r>
        <w:rPr>
          <w:rFonts w:ascii="Arial" w:hAnsi="Arial" w:cs="Arial"/>
          <w:color w:val="000000"/>
          <w:lang w:val="es-MX" w:eastAsia="es-ES"/>
        </w:rPr>
        <w:t>Derivado de</w:t>
      </w:r>
      <w:r w:rsidR="00850584">
        <w:rPr>
          <w:rFonts w:ascii="Arial" w:hAnsi="Arial" w:cs="Arial"/>
          <w:color w:val="000000"/>
          <w:lang w:val="es-MX" w:eastAsia="es-ES"/>
        </w:rPr>
        <w:t xml:space="preserve"> lo anterior</w:t>
      </w:r>
      <w:r>
        <w:rPr>
          <w:rFonts w:ascii="Arial" w:hAnsi="Arial" w:cs="Arial"/>
          <w:color w:val="000000"/>
          <w:lang w:val="es-MX" w:eastAsia="es-ES"/>
        </w:rPr>
        <w:t xml:space="preserve"> se destaca</w:t>
      </w:r>
      <w:r w:rsidR="00FA2C42" w:rsidRPr="00FA2C42">
        <w:rPr>
          <w:rFonts w:ascii="Arial" w:hAnsi="Arial" w:cs="Arial"/>
          <w:color w:val="000000"/>
          <w:lang w:val="es-MX" w:eastAsia="es-ES"/>
        </w:rPr>
        <w:t xml:space="preserve"> lo siguiente:</w:t>
      </w:r>
    </w:p>
    <w:p w14:paraId="22BB1FDF" w14:textId="77777777" w:rsidR="00FA2C42" w:rsidRPr="00FA2C42" w:rsidRDefault="00FA2C42" w:rsidP="008347CE">
      <w:pPr>
        <w:tabs>
          <w:tab w:val="left" w:pos="2145"/>
        </w:tabs>
        <w:spacing w:after="0"/>
        <w:jc w:val="both"/>
        <w:rPr>
          <w:rFonts w:ascii="Arial" w:hAnsi="Arial" w:cs="Arial"/>
          <w:color w:val="000000"/>
          <w:lang w:val="es-MX" w:eastAsia="es-ES"/>
        </w:rPr>
      </w:pPr>
    </w:p>
    <w:p w14:paraId="7FC269BA" w14:textId="7004440C" w:rsidR="00FA2C42" w:rsidRPr="00FA2C42" w:rsidRDefault="00FA2C42" w:rsidP="008347CE">
      <w:pPr>
        <w:numPr>
          <w:ilvl w:val="0"/>
          <w:numId w:val="14"/>
        </w:numPr>
        <w:tabs>
          <w:tab w:val="left" w:pos="2145"/>
        </w:tabs>
        <w:spacing w:after="0"/>
        <w:jc w:val="both"/>
        <w:rPr>
          <w:rFonts w:ascii="Arial" w:hAnsi="Arial" w:cs="Arial"/>
          <w:color w:val="000000"/>
          <w:lang w:val="es-MX" w:eastAsia="es-ES"/>
        </w:rPr>
      </w:pPr>
      <w:r w:rsidRPr="00FA2C42">
        <w:rPr>
          <w:rFonts w:ascii="Arial" w:hAnsi="Arial" w:cs="Arial"/>
          <w:color w:val="000000"/>
          <w:lang w:val="es-MX" w:eastAsia="es-ES"/>
        </w:rPr>
        <w:t>Los 8</w:t>
      </w:r>
      <w:r w:rsidR="005204FC">
        <w:rPr>
          <w:rFonts w:ascii="Arial" w:hAnsi="Arial" w:cs="Arial"/>
          <w:color w:val="000000"/>
          <w:lang w:val="es-MX" w:eastAsia="es-ES"/>
        </w:rPr>
        <w:t>38</w:t>
      </w:r>
      <w:r w:rsidRPr="00FA2C42">
        <w:rPr>
          <w:rFonts w:ascii="Arial" w:hAnsi="Arial" w:cs="Arial"/>
          <w:color w:val="000000"/>
          <w:lang w:val="es-MX" w:eastAsia="es-ES"/>
        </w:rPr>
        <w:t xml:space="preserve"> municipios donde no existen accesos para BAF cuentan entre 3</w:t>
      </w:r>
      <w:r w:rsidR="005204FC">
        <w:rPr>
          <w:rFonts w:ascii="Arial" w:hAnsi="Arial" w:cs="Arial"/>
          <w:color w:val="000000"/>
          <w:lang w:val="es-MX" w:eastAsia="es-ES"/>
        </w:rPr>
        <w:t>0</w:t>
      </w:r>
      <w:r w:rsidRPr="00FA2C42">
        <w:rPr>
          <w:rFonts w:ascii="Arial" w:hAnsi="Arial" w:cs="Arial"/>
          <w:color w:val="000000"/>
          <w:lang w:val="es-MX" w:eastAsia="es-ES"/>
        </w:rPr>
        <w:t xml:space="preserve"> a 1</w:t>
      </w:r>
      <w:r w:rsidR="006D3688">
        <w:rPr>
          <w:rFonts w:ascii="Arial" w:hAnsi="Arial" w:cs="Arial"/>
          <w:color w:val="000000"/>
          <w:lang w:val="es-MX" w:eastAsia="es-ES"/>
        </w:rPr>
        <w:t>4</w:t>
      </w:r>
      <w:r w:rsidRPr="00FA2C42">
        <w:rPr>
          <w:rFonts w:ascii="Arial" w:hAnsi="Arial" w:cs="Arial"/>
          <w:color w:val="000000"/>
          <w:lang w:val="es-MX" w:eastAsia="es-ES"/>
        </w:rPr>
        <w:t>,</w:t>
      </w:r>
      <w:r w:rsidR="006D3688">
        <w:rPr>
          <w:rFonts w:ascii="Arial" w:hAnsi="Arial" w:cs="Arial"/>
          <w:color w:val="000000"/>
          <w:lang w:val="es-MX" w:eastAsia="es-ES"/>
        </w:rPr>
        <w:t>103</w:t>
      </w:r>
      <w:r w:rsidRPr="00FA2C42">
        <w:rPr>
          <w:rFonts w:ascii="Arial" w:hAnsi="Arial" w:cs="Arial"/>
          <w:color w:val="000000"/>
          <w:lang w:val="es-MX" w:eastAsia="es-ES"/>
        </w:rPr>
        <w:t xml:space="preserve"> hogares, mientras que la población se encuentra entre los 8</w:t>
      </w:r>
      <w:r w:rsidR="005204FC">
        <w:rPr>
          <w:rFonts w:ascii="Arial" w:hAnsi="Arial" w:cs="Arial"/>
          <w:color w:val="000000"/>
          <w:lang w:val="es-MX" w:eastAsia="es-ES"/>
        </w:rPr>
        <w:t>1</w:t>
      </w:r>
      <w:r w:rsidRPr="00FA2C42">
        <w:rPr>
          <w:rFonts w:ascii="Arial" w:hAnsi="Arial" w:cs="Arial"/>
          <w:color w:val="000000"/>
          <w:lang w:val="es-MX" w:eastAsia="es-ES"/>
        </w:rPr>
        <w:t xml:space="preserve"> y 5</w:t>
      </w:r>
      <w:r w:rsidR="005204FC">
        <w:rPr>
          <w:rFonts w:ascii="Arial" w:hAnsi="Arial" w:cs="Arial"/>
          <w:color w:val="000000"/>
          <w:lang w:val="es-MX" w:eastAsia="es-ES"/>
        </w:rPr>
        <w:t>0</w:t>
      </w:r>
      <w:r w:rsidRPr="00FA2C42">
        <w:rPr>
          <w:rFonts w:ascii="Arial" w:hAnsi="Arial" w:cs="Arial"/>
          <w:color w:val="000000"/>
          <w:lang w:val="es-MX" w:eastAsia="es-ES"/>
        </w:rPr>
        <w:t>,</w:t>
      </w:r>
      <w:r w:rsidR="005204FC">
        <w:rPr>
          <w:rFonts w:ascii="Arial" w:hAnsi="Arial" w:cs="Arial"/>
          <w:color w:val="000000"/>
          <w:lang w:val="es-MX" w:eastAsia="es-ES"/>
        </w:rPr>
        <w:t>8</w:t>
      </w:r>
      <w:r w:rsidRPr="00FA2C42">
        <w:rPr>
          <w:rFonts w:ascii="Arial" w:hAnsi="Arial" w:cs="Arial"/>
          <w:color w:val="000000"/>
          <w:lang w:val="es-MX" w:eastAsia="es-ES"/>
        </w:rPr>
        <w:t>3</w:t>
      </w:r>
      <w:r w:rsidR="005204FC">
        <w:rPr>
          <w:rFonts w:ascii="Arial" w:hAnsi="Arial" w:cs="Arial"/>
          <w:color w:val="000000"/>
          <w:lang w:val="es-MX" w:eastAsia="es-ES"/>
        </w:rPr>
        <w:t>6</w:t>
      </w:r>
      <w:r w:rsidRPr="00FA2C42">
        <w:rPr>
          <w:rFonts w:ascii="Arial" w:hAnsi="Arial" w:cs="Arial"/>
          <w:color w:val="000000"/>
          <w:lang w:val="es-MX" w:eastAsia="es-ES"/>
        </w:rPr>
        <w:t xml:space="preserve"> habitantes. Asimismo, dentro de dicha categoría, a nivel promedio existen 1,</w:t>
      </w:r>
      <w:r w:rsidR="006D3688">
        <w:rPr>
          <w:rFonts w:ascii="Arial" w:hAnsi="Arial" w:cs="Arial"/>
          <w:color w:val="000000"/>
          <w:lang w:val="es-MX" w:eastAsia="es-ES"/>
        </w:rPr>
        <w:t>514</w:t>
      </w:r>
      <w:r w:rsidRPr="00FA2C42">
        <w:rPr>
          <w:rFonts w:ascii="Arial" w:hAnsi="Arial" w:cs="Arial"/>
          <w:color w:val="000000"/>
          <w:lang w:val="es-MX" w:eastAsia="es-ES"/>
        </w:rPr>
        <w:t xml:space="preserve"> hogares/municipio y 5,</w:t>
      </w:r>
      <w:r w:rsidR="005204FC">
        <w:rPr>
          <w:rFonts w:ascii="Arial" w:hAnsi="Arial" w:cs="Arial"/>
          <w:color w:val="000000"/>
          <w:lang w:val="es-MX" w:eastAsia="es-ES"/>
        </w:rPr>
        <w:t>961</w:t>
      </w:r>
      <w:r w:rsidRPr="00FA2C42">
        <w:rPr>
          <w:rFonts w:ascii="Arial" w:hAnsi="Arial" w:cs="Arial"/>
          <w:color w:val="000000"/>
          <w:lang w:val="es-MX" w:eastAsia="es-ES"/>
        </w:rPr>
        <w:t xml:space="preserve"> habitantes/municipio.</w:t>
      </w:r>
    </w:p>
    <w:p w14:paraId="605EFBDB" w14:textId="77777777" w:rsidR="00FA2C42" w:rsidRPr="00FA2C42" w:rsidRDefault="00FA2C42" w:rsidP="008347CE">
      <w:pPr>
        <w:tabs>
          <w:tab w:val="left" w:pos="2145"/>
        </w:tabs>
        <w:spacing w:after="0"/>
        <w:ind w:left="720"/>
        <w:jc w:val="both"/>
        <w:rPr>
          <w:rFonts w:ascii="Arial" w:hAnsi="Arial" w:cs="Arial"/>
          <w:color w:val="000000"/>
          <w:lang w:val="es-MX" w:eastAsia="es-ES"/>
        </w:rPr>
      </w:pPr>
    </w:p>
    <w:p w14:paraId="36F0E0FE" w14:textId="09F8CE84" w:rsidR="00FA2C42" w:rsidRPr="00FA2C42" w:rsidRDefault="00FA2C42" w:rsidP="008347CE">
      <w:pPr>
        <w:numPr>
          <w:ilvl w:val="0"/>
          <w:numId w:val="14"/>
        </w:numPr>
        <w:tabs>
          <w:tab w:val="left" w:pos="2145"/>
        </w:tabs>
        <w:spacing w:after="0"/>
        <w:jc w:val="both"/>
        <w:rPr>
          <w:rFonts w:ascii="Arial" w:hAnsi="Arial" w:cs="Arial"/>
          <w:color w:val="000000"/>
          <w:lang w:val="es-MX" w:eastAsia="es-ES"/>
        </w:rPr>
      </w:pPr>
      <w:r w:rsidRPr="00FA2C42">
        <w:rPr>
          <w:rFonts w:ascii="Arial" w:hAnsi="Arial" w:cs="Arial"/>
          <w:color w:val="000000"/>
          <w:lang w:val="es-MX" w:eastAsia="es-ES"/>
        </w:rPr>
        <w:t>Existen 6</w:t>
      </w:r>
      <w:r w:rsidR="005204FC">
        <w:rPr>
          <w:rFonts w:ascii="Arial" w:hAnsi="Arial" w:cs="Arial"/>
          <w:color w:val="000000"/>
          <w:lang w:val="es-MX" w:eastAsia="es-ES"/>
        </w:rPr>
        <w:t>1</w:t>
      </w:r>
      <w:r w:rsidRPr="00FA2C42">
        <w:rPr>
          <w:rFonts w:ascii="Arial" w:hAnsi="Arial" w:cs="Arial"/>
          <w:color w:val="000000"/>
          <w:lang w:val="es-MX" w:eastAsia="es-ES"/>
        </w:rPr>
        <w:t xml:space="preserve"> municipios en donde hay de uno a cinco accesos. </w:t>
      </w:r>
      <w:r w:rsidR="00BC7F69">
        <w:rPr>
          <w:rFonts w:ascii="Arial" w:hAnsi="Arial" w:cs="Arial"/>
          <w:color w:val="000000"/>
          <w:lang w:val="es-MX" w:eastAsia="es-ES"/>
        </w:rPr>
        <w:t>Dichos municipios cuentan entre</w:t>
      </w:r>
      <w:r w:rsidRPr="00FA2C42">
        <w:rPr>
          <w:rFonts w:ascii="Arial" w:hAnsi="Arial" w:cs="Arial"/>
          <w:color w:val="000000"/>
          <w:lang w:val="es-MX" w:eastAsia="es-ES"/>
        </w:rPr>
        <w:t xml:space="preserve"> 18</w:t>
      </w:r>
      <w:r w:rsidR="005204FC">
        <w:rPr>
          <w:rFonts w:ascii="Arial" w:hAnsi="Arial" w:cs="Arial"/>
          <w:color w:val="000000"/>
          <w:lang w:val="es-MX" w:eastAsia="es-ES"/>
        </w:rPr>
        <w:t>8</w:t>
      </w:r>
      <w:r w:rsidRPr="00FA2C42">
        <w:rPr>
          <w:rFonts w:ascii="Arial" w:hAnsi="Arial" w:cs="Arial"/>
          <w:color w:val="000000"/>
          <w:lang w:val="es-MX" w:eastAsia="es-ES"/>
        </w:rPr>
        <w:t xml:space="preserve"> a 1</w:t>
      </w:r>
      <w:r w:rsidR="006D3688">
        <w:rPr>
          <w:rFonts w:ascii="Arial" w:hAnsi="Arial" w:cs="Arial"/>
          <w:color w:val="000000"/>
          <w:lang w:val="es-MX" w:eastAsia="es-ES"/>
        </w:rPr>
        <w:t>4,246</w:t>
      </w:r>
      <w:r w:rsidRPr="00FA2C42">
        <w:rPr>
          <w:rFonts w:ascii="Arial" w:hAnsi="Arial" w:cs="Arial"/>
          <w:color w:val="000000"/>
          <w:lang w:val="es-MX" w:eastAsia="es-ES"/>
        </w:rPr>
        <w:t xml:space="preserve"> hogares, mientras que la población presente se ubica entre los </w:t>
      </w:r>
      <w:r w:rsidR="005204FC">
        <w:rPr>
          <w:rFonts w:ascii="Arial" w:hAnsi="Arial" w:cs="Arial"/>
          <w:color w:val="000000"/>
          <w:lang w:val="es-MX" w:eastAsia="es-ES"/>
        </w:rPr>
        <w:t>527</w:t>
      </w:r>
      <w:r w:rsidRPr="00FA2C42">
        <w:rPr>
          <w:rFonts w:ascii="Arial" w:hAnsi="Arial" w:cs="Arial"/>
          <w:color w:val="000000"/>
          <w:lang w:val="es-MX" w:eastAsia="es-ES"/>
        </w:rPr>
        <w:t xml:space="preserve"> y </w:t>
      </w:r>
      <w:r w:rsidR="005204FC">
        <w:rPr>
          <w:rFonts w:ascii="Arial" w:hAnsi="Arial" w:cs="Arial"/>
          <w:color w:val="000000"/>
          <w:lang w:val="es-MX" w:eastAsia="es-ES"/>
        </w:rPr>
        <w:t>50</w:t>
      </w:r>
      <w:r w:rsidRPr="00FA2C42">
        <w:rPr>
          <w:rFonts w:ascii="Arial" w:hAnsi="Arial" w:cs="Arial"/>
          <w:color w:val="000000"/>
          <w:lang w:val="es-MX" w:eastAsia="es-ES"/>
        </w:rPr>
        <w:t>,</w:t>
      </w:r>
      <w:r w:rsidR="005204FC">
        <w:rPr>
          <w:rFonts w:ascii="Arial" w:hAnsi="Arial" w:cs="Arial"/>
          <w:color w:val="000000"/>
          <w:lang w:val="es-MX" w:eastAsia="es-ES"/>
        </w:rPr>
        <w:t>362</w:t>
      </w:r>
      <w:r w:rsidRPr="00FA2C42">
        <w:rPr>
          <w:rFonts w:ascii="Arial" w:hAnsi="Arial" w:cs="Arial"/>
          <w:color w:val="000000"/>
          <w:lang w:val="es-MX" w:eastAsia="es-ES"/>
        </w:rPr>
        <w:t xml:space="preserve"> habitantes. </w:t>
      </w:r>
      <w:r w:rsidR="00BC7F69">
        <w:rPr>
          <w:rFonts w:ascii="Arial" w:hAnsi="Arial" w:cs="Arial"/>
          <w:color w:val="000000"/>
          <w:lang w:val="es-MX" w:eastAsia="es-ES"/>
        </w:rPr>
        <w:t>E</w:t>
      </w:r>
      <w:r w:rsidRPr="00FA2C42">
        <w:rPr>
          <w:rFonts w:ascii="Arial" w:hAnsi="Arial" w:cs="Arial"/>
          <w:color w:val="000000"/>
          <w:lang w:val="es-MX" w:eastAsia="es-ES"/>
        </w:rPr>
        <w:t xml:space="preserve">ste conjunto de municipios, </w:t>
      </w:r>
      <w:r w:rsidR="00BC7F69">
        <w:rPr>
          <w:rFonts w:ascii="Arial" w:hAnsi="Arial" w:cs="Arial"/>
          <w:color w:val="000000"/>
          <w:lang w:val="es-MX" w:eastAsia="es-ES"/>
        </w:rPr>
        <w:t>tiene un promedio de</w:t>
      </w:r>
      <w:r w:rsidRPr="00FA2C42">
        <w:rPr>
          <w:rFonts w:ascii="Arial" w:hAnsi="Arial" w:cs="Arial"/>
          <w:color w:val="000000"/>
          <w:lang w:val="es-MX" w:eastAsia="es-ES"/>
        </w:rPr>
        <w:t xml:space="preserve"> </w:t>
      </w:r>
      <w:r w:rsidR="006D3688">
        <w:rPr>
          <w:rFonts w:ascii="Arial" w:hAnsi="Arial" w:cs="Arial"/>
          <w:color w:val="000000"/>
          <w:lang w:val="es-MX" w:eastAsia="es-ES"/>
        </w:rPr>
        <w:t>3,050</w:t>
      </w:r>
      <w:r w:rsidRPr="00FA2C42">
        <w:rPr>
          <w:rFonts w:ascii="Arial" w:hAnsi="Arial" w:cs="Arial"/>
          <w:color w:val="000000"/>
          <w:lang w:val="es-MX" w:eastAsia="es-ES"/>
        </w:rPr>
        <w:t xml:space="preserve"> hogares/municipio y 1</w:t>
      </w:r>
      <w:r w:rsidR="005204FC">
        <w:rPr>
          <w:rFonts w:ascii="Arial" w:hAnsi="Arial" w:cs="Arial"/>
          <w:color w:val="000000"/>
          <w:lang w:val="es-MX" w:eastAsia="es-ES"/>
        </w:rPr>
        <w:t>1</w:t>
      </w:r>
      <w:r w:rsidRPr="00FA2C42">
        <w:rPr>
          <w:rFonts w:ascii="Arial" w:hAnsi="Arial" w:cs="Arial"/>
          <w:color w:val="000000"/>
          <w:lang w:val="es-MX" w:eastAsia="es-ES"/>
        </w:rPr>
        <w:t>,</w:t>
      </w:r>
      <w:r w:rsidR="005204FC">
        <w:rPr>
          <w:rFonts w:ascii="Arial" w:hAnsi="Arial" w:cs="Arial"/>
          <w:color w:val="000000"/>
          <w:lang w:val="es-MX" w:eastAsia="es-ES"/>
        </w:rPr>
        <w:t>889</w:t>
      </w:r>
      <w:r w:rsidRPr="00FA2C42">
        <w:rPr>
          <w:rFonts w:ascii="Arial" w:hAnsi="Arial" w:cs="Arial"/>
          <w:color w:val="000000"/>
          <w:lang w:val="es-MX" w:eastAsia="es-ES"/>
        </w:rPr>
        <w:t xml:space="preserve"> habitantes/municipio.</w:t>
      </w:r>
    </w:p>
    <w:p w14:paraId="51F44158" w14:textId="77777777" w:rsidR="00FA2C42" w:rsidRPr="00FA2C42" w:rsidRDefault="00FA2C42" w:rsidP="008347CE">
      <w:pPr>
        <w:tabs>
          <w:tab w:val="left" w:pos="2145"/>
        </w:tabs>
        <w:spacing w:after="0"/>
        <w:ind w:left="720"/>
        <w:jc w:val="both"/>
        <w:rPr>
          <w:rFonts w:ascii="Arial" w:hAnsi="Arial" w:cs="Arial"/>
          <w:color w:val="000000"/>
          <w:lang w:val="es-MX" w:eastAsia="es-ES"/>
        </w:rPr>
      </w:pPr>
    </w:p>
    <w:p w14:paraId="227BBB57" w14:textId="063C8B14" w:rsidR="00FA2C42" w:rsidRPr="00FA2C42" w:rsidRDefault="00FA2C42" w:rsidP="008347CE">
      <w:pPr>
        <w:numPr>
          <w:ilvl w:val="0"/>
          <w:numId w:val="14"/>
        </w:numPr>
        <w:tabs>
          <w:tab w:val="left" w:pos="2145"/>
        </w:tabs>
        <w:spacing w:after="0"/>
        <w:jc w:val="both"/>
        <w:rPr>
          <w:rFonts w:ascii="Arial" w:hAnsi="Arial" w:cs="Arial"/>
          <w:color w:val="000000"/>
          <w:lang w:val="es-MX" w:eastAsia="es-ES"/>
        </w:rPr>
      </w:pPr>
      <w:r w:rsidRPr="00FA2C42">
        <w:rPr>
          <w:rFonts w:ascii="Arial" w:hAnsi="Arial" w:cs="Arial"/>
          <w:color w:val="000000"/>
          <w:lang w:val="es-MX" w:eastAsia="es-ES"/>
        </w:rPr>
        <w:t>Se identifican 1</w:t>
      </w:r>
      <w:r w:rsidR="005204FC">
        <w:rPr>
          <w:rFonts w:ascii="Arial" w:hAnsi="Arial" w:cs="Arial"/>
          <w:color w:val="000000"/>
          <w:lang w:val="es-MX" w:eastAsia="es-ES"/>
        </w:rPr>
        <w:t>30</w:t>
      </w:r>
      <w:r w:rsidRPr="00FA2C42">
        <w:rPr>
          <w:rFonts w:ascii="Arial" w:hAnsi="Arial" w:cs="Arial"/>
          <w:color w:val="000000"/>
          <w:lang w:val="es-MX" w:eastAsia="es-ES"/>
        </w:rPr>
        <w:t xml:space="preserve"> municipios en donde existen de seis a 100 accesos. En dicho conjunto, la cantidad de hogares oscila entre los 1</w:t>
      </w:r>
      <w:r w:rsidR="006D3688">
        <w:rPr>
          <w:rFonts w:ascii="Arial" w:hAnsi="Arial" w:cs="Arial"/>
          <w:color w:val="000000"/>
          <w:lang w:val="es-MX" w:eastAsia="es-ES"/>
        </w:rPr>
        <w:t>26</w:t>
      </w:r>
      <w:r w:rsidRPr="00FA2C42">
        <w:rPr>
          <w:rFonts w:ascii="Arial" w:hAnsi="Arial" w:cs="Arial"/>
          <w:color w:val="000000"/>
          <w:lang w:val="es-MX" w:eastAsia="es-ES"/>
        </w:rPr>
        <w:t xml:space="preserve"> y </w:t>
      </w:r>
      <w:r w:rsidR="00C905E6">
        <w:rPr>
          <w:rFonts w:ascii="Arial" w:hAnsi="Arial" w:cs="Arial"/>
          <w:color w:val="000000"/>
          <w:lang w:val="es-MX" w:eastAsia="es-ES"/>
        </w:rPr>
        <w:t>22</w:t>
      </w:r>
      <w:r w:rsidRPr="00FA2C42">
        <w:rPr>
          <w:rFonts w:ascii="Arial" w:hAnsi="Arial" w:cs="Arial"/>
          <w:color w:val="000000"/>
          <w:lang w:val="es-MX" w:eastAsia="es-ES"/>
        </w:rPr>
        <w:t>,</w:t>
      </w:r>
      <w:r w:rsidR="006D3688">
        <w:rPr>
          <w:rFonts w:ascii="Arial" w:hAnsi="Arial" w:cs="Arial"/>
          <w:color w:val="000000"/>
          <w:lang w:val="es-MX" w:eastAsia="es-ES"/>
        </w:rPr>
        <w:t>654</w:t>
      </w:r>
      <w:r w:rsidRPr="00FA2C42">
        <w:rPr>
          <w:rFonts w:ascii="Arial" w:hAnsi="Arial" w:cs="Arial"/>
          <w:color w:val="000000"/>
          <w:lang w:val="es-MX" w:eastAsia="es-ES"/>
        </w:rPr>
        <w:t xml:space="preserve">, en tanto que la población presente se ubica entre </w:t>
      </w:r>
      <w:r w:rsidR="00C905E6">
        <w:rPr>
          <w:rFonts w:ascii="Arial" w:hAnsi="Arial" w:cs="Arial"/>
          <w:color w:val="000000"/>
          <w:lang w:val="es-MX" w:eastAsia="es-ES"/>
        </w:rPr>
        <w:t>369</w:t>
      </w:r>
      <w:r w:rsidRPr="00FA2C42">
        <w:rPr>
          <w:rFonts w:ascii="Arial" w:hAnsi="Arial" w:cs="Arial"/>
          <w:color w:val="000000"/>
          <w:lang w:val="es-MX" w:eastAsia="es-ES"/>
        </w:rPr>
        <w:t xml:space="preserve"> y </w:t>
      </w:r>
      <w:r w:rsidR="00C905E6">
        <w:rPr>
          <w:rFonts w:ascii="Arial" w:hAnsi="Arial" w:cs="Arial"/>
          <w:color w:val="000000"/>
          <w:lang w:val="es-MX" w:eastAsia="es-ES"/>
        </w:rPr>
        <w:t>101</w:t>
      </w:r>
      <w:r w:rsidRPr="00FA2C42">
        <w:rPr>
          <w:rFonts w:ascii="Arial" w:hAnsi="Arial" w:cs="Arial"/>
          <w:color w:val="000000"/>
          <w:lang w:val="es-MX" w:eastAsia="es-ES"/>
        </w:rPr>
        <w:t>,</w:t>
      </w:r>
      <w:r w:rsidR="00C905E6">
        <w:rPr>
          <w:rFonts w:ascii="Arial" w:hAnsi="Arial" w:cs="Arial"/>
          <w:color w:val="000000"/>
          <w:lang w:val="es-MX" w:eastAsia="es-ES"/>
        </w:rPr>
        <w:t>967</w:t>
      </w:r>
      <w:r w:rsidRPr="00FA2C42">
        <w:rPr>
          <w:rFonts w:ascii="Arial" w:hAnsi="Arial" w:cs="Arial"/>
          <w:color w:val="000000"/>
          <w:lang w:val="es-MX" w:eastAsia="es-ES"/>
        </w:rPr>
        <w:t xml:space="preserve"> habitantes. Para esta clase de municipios, a nivel promedio, existen 2,</w:t>
      </w:r>
      <w:r w:rsidR="006D3688">
        <w:rPr>
          <w:rFonts w:ascii="Arial" w:hAnsi="Arial" w:cs="Arial"/>
          <w:color w:val="000000"/>
          <w:lang w:val="es-MX" w:eastAsia="es-ES"/>
        </w:rPr>
        <w:t>823</w:t>
      </w:r>
      <w:r w:rsidRPr="00FA2C42">
        <w:rPr>
          <w:rFonts w:ascii="Arial" w:hAnsi="Arial" w:cs="Arial"/>
          <w:color w:val="000000"/>
          <w:lang w:val="es-MX" w:eastAsia="es-ES"/>
        </w:rPr>
        <w:t xml:space="preserve"> hogares/municipio y 10,</w:t>
      </w:r>
      <w:r w:rsidR="00C905E6">
        <w:rPr>
          <w:rFonts w:ascii="Arial" w:hAnsi="Arial" w:cs="Arial"/>
          <w:color w:val="000000"/>
          <w:lang w:val="es-MX" w:eastAsia="es-ES"/>
        </w:rPr>
        <w:t>862</w:t>
      </w:r>
      <w:r w:rsidRPr="00FA2C42">
        <w:rPr>
          <w:rFonts w:ascii="Arial" w:hAnsi="Arial" w:cs="Arial"/>
          <w:color w:val="000000"/>
          <w:lang w:val="es-MX" w:eastAsia="es-ES"/>
        </w:rPr>
        <w:t xml:space="preserve"> habitantes/municipio.</w:t>
      </w:r>
    </w:p>
    <w:p w14:paraId="7FCEC16F" w14:textId="77777777" w:rsidR="00FA2C42" w:rsidRPr="00FA2C42" w:rsidRDefault="00FA2C42" w:rsidP="008347CE">
      <w:pPr>
        <w:tabs>
          <w:tab w:val="left" w:pos="2145"/>
        </w:tabs>
        <w:spacing w:after="0"/>
        <w:ind w:left="720"/>
        <w:jc w:val="both"/>
        <w:rPr>
          <w:rFonts w:ascii="Arial" w:hAnsi="Arial" w:cs="Arial"/>
          <w:color w:val="000000"/>
          <w:lang w:val="es-MX" w:eastAsia="es-ES"/>
        </w:rPr>
      </w:pPr>
    </w:p>
    <w:p w14:paraId="39DFAE72" w14:textId="7E387F7C" w:rsidR="00FA2C42" w:rsidRPr="00FA2C42" w:rsidRDefault="00FA2C42" w:rsidP="008347CE">
      <w:pPr>
        <w:numPr>
          <w:ilvl w:val="0"/>
          <w:numId w:val="14"/>
        </w:numPr>
        <w:tabs>
          <w:tab w:val="left" w:pos="2145"/>
        </w:tabs>
        <w:spacing w:after="0"/>
        <w:jc w:val="both"/>
        <w:rPr>
          <w:rFonts w:ascii="Arial" w:hAnsi="Arial" w:cs="Arial"/>
          <w:color w:val="000000"/>
          <w:lang w:val="es-MX" w:eastAsia="es-ES"/>
        </w:rPr>
      </w:pPr>
      <w:r w:rsidRPr="00FA2C42">
        <w:rPr>
          <w:rFonts w:ascii="Arial" w:hAnsi="Arial" w:cs="Arial"/>
          <w:color w:val="000000"/>
          <w:lang w:val="es-MX" w:eastAsia="es-ES"/>
        </w:rPr>
        <w:t>Por otro lado, se observan 2</w:t>
      </w:r>
      <w:r w:rsidR="005204FC">
        <w:rPr>
          <w:rFonts w:ascii="Arial" w:hAnsi="Arial" w:cs="Arial"/>
          <w:color w:val="000000"/>
          <w:lang w:val="es-MX" w:eastAsia="es-ES"/>
        </w:rPr>
        <w:t>24</w:t>
      </w:r>
      <w:r w:rsidRPr="00FA2C42">
        <w:rPr>
          <w:rFonts w:ascii="Arial" w:hAnsi="Arial" w:cs="Arial"/>
          <w:color w:val="000000"/>
          <w:lang w:val="es-MX" w:eastAsia="es-ES"/>
        </w:rPr>
        <w:t xml:space="preserve"> municipios en donde hay entre 101 a 300 accesos para BAF, mismos que cuentan con entre </w:t>
      </w:r>
      <w:r w:rsidR="006D3688">
        <w:rPr>
          <w:rFonts w:ascii="Arial" w:hAnsi="Arial" w:cs="Arial"/>
          <w:color w:val="000000"/>
          <w:lang w:val="es-MX" w:eastAsia="es-ES"/>
        </w:rPr>
        <w:t>328</w:t>
      </w:r>
      <w:r w:rsidRPr="00FA2C42">
        <w:rPr>
          <w:rFonts w:ascii="Arial" w:hAnsi="Arial" w:cs="Arial"/>
          <w:color w:val="000000"/>
          <w:lang w:val="es-MX" w:eastAsia="es-ES"/>
        </w:rPr>
        <w:t xml:space="preserve"> a 2</w:t>
      </w:r>
      <w:r w:rsidR="006D3688">
        <w:rPr>
          <w:rFonts w:ascii="Arial" w:hAnsi="Arial" w:cs="Arial"/>
          <w:color w:val="000000"/>
          <w:lang w:val="es-MX" w:eastAsia="es-ES"/>
        </w:rPr>
        <w:t>6,645</w:t>
      </w:r>
      <w:r w:rsidRPr="00FA2C42">
        <w:rPr>
          <w:rFonts w:ascii="Arial" w:hAnsi="Arial" w:cs="Arial"/>
          <w:color w:val="000000"/>
          <w:lang w:val="es-MX" w:eastAsia="es-ES"/>
        </w:rPr>
        <w:t xml:space="preserve"> hogares, mientras que la población de estos se ubica entre los 9</w:t>
      </w:r>
      <w:r w:rsidR="00C905E6">
        <w:rPr>
          <w:rFonts w:ascii="Arial" w:hAnsi="Arial" w:cs="Arial"/>
          <w:color w:val="000000"/>
          <w:lang w:val="es-MX" w:eastAsia="es-ES"/>
        </w:rPr>
        <w:t>06</w:t>
      </w:r>
      <w:r w:rsidRPr="00FA2C42">
        <w:rPr>
          <w:rFonts w:ascii="Arial" w:hAnsi="Arial" w:cs="Arial"/>
          <w:color w:val="000000"/>
          <w:lang w:val="es-MX" w:eastAsia="es-ES"/>
        </w:rPr>
        <w:t xml:space="preserve"> y 1</w:t>
      </w:r>
      <w:r w:rsidR="00C905E6">
        <w:rPr>
          <w:rFonts w:ascii="Arial" w:hAnsi="Arial" w:cs="Arial"/>
          <w:color w:val="000000"/>
          <w:lang w:val="es-MX" w:eastAsia="es-ES"/>
        </w:rPr>
        <w:t>3</w:t>
      </w:r>
      <w:r w:rsidRPr="00FA2C42">
        <w:rPr>
          <w:rFonts w:ascii="Arial" w:hAnsi="Arial" w:cs="Arial"/>
          <w:color w:val="000000"/>
          <w:lang w:val="es-MX" w:eastAsia="es-ES"/>
        </w:rPr>
        <w:t>7,</w:t>
      </w:r>
      <w:r w:rsidR="00C905E6">
        <w:rPr>
          <w:rFonts w:ascii="Arial" w:hAnsi="Arial" w:cs="Arial"/>
          <w:color w:val="000000"/>
          <w:lang w:val="es-MX" w:eastAsia="es-ES"/>
        </w:rPr>
        <w:t>262</w:t>
      </w:r>
      <w:r w:rsidRPr="00FA2C42">
        <w:rPr>
          <w:rFonts w:ascii="Arial" w:hAnsi="Arial" w:cs="Arial"/>
          <w:color w:val="000000"/>
          <w:lang w:val="es-MX" w:eastAsia="es-ES"/>
        </w:rPr>
        <w:t xml:space="preserve"> habitantes. Asimismo, dentro de dicha categoría, a nivel promedio existen 3,</w:t>
      </w:r>
      <w:r w:rsidR="006D3688">
        <w:rPr>
          <w:rFonts w:ascii="Arial" w:hAnsi="Arial" w:cs="Arial"/>
          <w:color w:val="000000"/>
          <w:lang w:val="es-MX" w:eastAsia="es-ES"/>
        </w:rPr>
        <w:t>784</w:t>
      </w:r>
      <w:r w:rsidRPr="00FA2C42">
        <w:rPr>
          <w:rFonts w:ascii="Arial" w:hAnsi="Arial" w:cs="Arial"/>
          <w:color w:val="000000"/>
          <w:lang w:val="es-MX" w:eastAsia="es-ES"/>
        </w:rPr>
        <w:t xml:space="preserve"> hogares/municipio y 14,6</w:t>
      </w:r>
      <w:r w:rsidR="00C905E6">
        <w:rPr>
          <w:rFonts w:ascii="Arial" w:hAnsi="Arial" w:cs="Arial"/>
          <w:color w:val="000000"/>
          <w:lang w:val="es-MX" w:eastAsia="es-ES"/>
        </w:rPr>
        <w:t>97</w:t>
      </w:r>
      <w:r w:rsidRPr="00FA2C42">
        <w:rPr>
          <w:rFonts w:ascii="Arial" w:hAnsi="Arial" w:cs="Arial"/>
          <w:color w:val="000000"/>
          <w:lang w:val="es-MX" w:eastAsia="es-ES"/>
        </w:rPr>
        <w:t xml:space="preserve"> habitantes/municipio.</w:t>
      </w:r>
    </w:p>
    <w:p w14:paraId="55340D46" w14:textId="77777777" w:rsidR="00FA2C42" w:rsidRPr="00FA2C42" w:rsidRDefault="00FA2C42" w:rsidP="008347CE">
      <w:pPr>
        <w:tabs>
          <w:tab w:val="left" w:pos="2145"/>
        </w:tabs>
        <w:spacing w:after="0"/>
        <w:ind w:left="720"/>
        <w:jc w:val="both"/>
        <w:rPr>
          <w:rFonts w:ascii="Arial" w:hAnsi="Arial" w:cs="Arial"/>
          <w:color w:val="000000"/>
          <w:lang w:val="es-MX" w:eastAsia="es-ES"/>
        </w:rPr>
      </w:pPr>
    </w:p>
    <w:p w14:paraId="48EE29AB" w14:textId="10959192" w:rsidR="00FA2C42" w:rsidRPr="00FA2C42" w:rsidRDefault="00FA2C42" w:rsidP="008347CE">
      <w:pPr>
        <w:numPr>
          <w:ilvl w:val="0"/>
          <w:numId w:val="14"/>
        </w:numPr>
        <w:tabs>
          <w:tab w:val="left" w:pos="2145"/>
        </w:tabs>
        <w:spacing w:after="0"/>
        <w:jc w:val="both"/>
        <w:rPr>
          <w:rFonts w:ascii="Arial" w:hAnsi="Arial" w:cs="Arial"/>
          <w:color w:val="000000"/>
          <w:lang w:val="es-MX" w:eastAsia="es-ES"/>
        </w:rPr>
      </w:pPr>
      <w:r w:rsidRPr="00FA2C42">
        <w:rPr>
          <w:rFonts w:ascii="Arial" w:hAnsi="Arial" w:cs="Arial"/>
          <w:color w:val="000000"/>
          <w:lang w:val="es-MX" w:eastAsia="es-ES"/>
        </w:rPr>
        <w:t>Existen 38</w:t>
      </w:r>
      <w:r w:rsidR="005204FC">
        <w:rPr>
          <w:rFonts w:ascii="Arial" w:hAnsi="Arial" w:cs="Arial"/>
          <w:color w:val="000000"/>
          <w:lang w:val="es-MX" w:eastAsia="es-ES"/>
        </w:rPr>
        <w:t>0</w:t>
      </w:r>
      <w:r w:rsidRPr="00FA2C42">
        <w:rPr>
          <w:rFonts w:ascii="Arial" w:hAnsi="Arial" w:cs="Arial"/>
          <w:color w:val="000000"/>
          <w:lang w:val="es-MX" w:eastAsia="es-ES"/>
        </w:rPr>
        <w:t xml:space="preserve"> municipios en donde hay de 301 a 1,000 accesos, en los que la cantidad de hogares oscila entre 5</w:t>
      </w:r>
      <w:r w:rsidR="006D3688">
        <w:rPr>
          <w:rFonts w:ascii="Arial" w:hAnsi="Arial" w:cs="Arial"/>
          <w:color w:val="000000"/>
          <w:lang w:val="es-MX" w:eastAsia="es-ES"/>
        </w:rPr>
        <w:t>68</w:t>
      </w:r>
      <w:r w:rsidRPr="00FA2C42">
        <w:rPr>
          <w:rFonts w:ascii="Arial" w:hAnsi="Arial" w:cs="Arial"/>
          <w:color w:val="000000"/>
          <w:lang w:val="es-MX" w:eastAsia="es-ES"/>
        </w:rPr>
        <w:t xml:space="preserve"> a 2</w:t>
      </w:r>
      <w:r w:rsidR="006D3688">
        <w:rPr>
          <w:rFonts w:ascii="Arial" w:hAnsi="Arial" w:cs="Arial"/>
          <w:color w:val="000000"/>
          <w:lang w:val="es-MX" w:eastAsia="es-ES"/>
        </w:rPr>
        <w:t>8</w:t>
      </w:r>
      <w:r w:rsidRPr="00FA2C42">
        <w:rPr>
          <w:rFonts w:ascii="Arial" w:hAnsi="Arial" w:cs="Arial"/>
          <w:color w:val="000000"/>
          <w:lang w:val="es-MX" w:eastAsia="es-ES"/>
        </w:rPr>
        <w:t>,</w:t>
      </w:r>
      <w:r w:rsidR="006D3688">
        <w:rPr>
          <w:rFonts w:ascii="Arial" w:hAnsi="Arial" w:cs="Arial"/>
          <w:color w:val="000000"/>
          <w:lang w:val="es-MX" w:eastAsia="es-ES"/>
        </w:rPr>
        <w:t>902</w:t>
      </w:r>
      <w:r w:rsidRPr="00FA2C42">
        <w:rPr>
          <w:rFonts w:ascii="Arial" w:hAnsi="Arial" w:cs="Arial"/>
          <w:color w:val="000000"/>
          <w:lang w:val="es-MX" w:eastAsia="es-ES"/>
        </w:rPr>
        <w:t xml:space="preserve"> hogares, mientras que la población presente se ubica entre los 1,</w:t>
      </w:r>
      <w:r w:rsidR="00C905E6">
        <w:rPr>
          <w:rFonts w:ascii="Arial" w:hAnsi="Arial" w:cs="Arial"/>
          <w:color w:val="000000"/>
          <w:lang w:val="es-MX" w:eastAsia="es-ES"/>
        </w:rPr>
        <w:t>915</w:t>
      </w:r>
      <w:r w:rsidRPr="00FA2C42">
        <w:rPr>
          <w:rFonts w:ascii="Arial" w:hAnsi="Arial" w:cs="Arial"/>
          <w:color w:val="000000"/>
          <w:lang w:val="es-MX" w:eastAsia="es-ES"/>
        </w:rPr>
        <w:t xml:space="preserve"> y 1</w:t>
      </w:r>
      <w:r w:rsidR="00C905E6">
        <w:rPr>
          <w:rFonts w:ascii="Arial" w:hAnsi="Arial" w:cs="Arial"/>
          <w:color w:val="000000"/>
          <w:lang w:val="es-MX" w:eastAsia="es-ES"/>
        </w:rPr>
        <w:t>41</w:t>
      </w:r>
      <w:r w:rsidRPr="00FA2C42">
        <w:rPr>
          <w:rFonts w:ascii="Arial" w:hAnsi="Arial" w:cs="Arial"/>
          <w:color w:val="000000"/>
          <w:lang w:val="es-MX" w:eastAsia="es-ES"/>
        </w:rPr>
        <w:t>,</w:t>
      </w:r>
      <w:r w:rsidR="00C905E6">
        <w:rPr>
          <w:rFonts w:ascii="Arial" w:hAnsi="Arial" w:cs="Arial"/>
          <w:color w:val="000000"/>
          <w:lang w:val="es-MX" w:eastAsia="es-ES"/>
        </w:rPr>
        <w:t>0</w:t>
      </w:r>
      <w:r w:rsidRPr="00FA2C42">
        <w:rPr>
          <w:rFonts w:ascii="Arial" w:hAnsi="Arial" w:cs="Arial"/>
          <w:color w:val="000000"/>
          <w:lang w:val="es-MX" w:eastAsia="es-ES"/>
        </w:rPr>
        <w:t>2</w:t>
      </w:r>
      <w:r w:rsidR="00C905E6">
        <w:rPr>
          <w:rFonts w:ascii="Arial" w:hAnsi="Arial" w:cs="Arial"/>
          <w:color w:val="000000"/>
          <w:lang w:val="es-MX" w:eastAsia="es-ES"/>
        </w:rPr>
        <w:t>7</w:t>
      </w:r>
      <w:r w:rsidRPr="00FA2C42">
        <w:rPr>
          <w:rFonts w:ascii="Arial" w:hAnsi="Arial" w:cs="Arial"/>
          <w:color w:val="000000"/>
          <w:lang w:val="es-MX" w:eastAsia="es-ES"/>
        </w:rPr>
        <w:t xml:space="preserve"> habitantes. Dentro de este conjunto de municipios, a nivel promedio existen </w:t>
      </w:r>
      <w:r w:rsidR="006D3688">
        <w:rPr>
          <w:rFonts w:ascii="Arial" w:hAnsi="Arial" w:cs="Arial"/>
          <w:color w:val="000000"/>
          <w:lang w:val="es-MX" w:eastAsia="es-ES"/>
        </w:rPr>
        <w:t>5,070</w:t>
      </w:r>
      <w:r w:rsidRPr="00FA2C42">
        <w:rPr>
          <w:rFonts w:ascii="Arial" w:hAnsi="Arial" w:cs="Arial"/>
          <w:color w:val="000000"/>
          <w:lang w:val="es-MX" w:eastAsia="es-ES"/>
        </w:rPr>
        <w:t xml:space="preserve"> hogares/municipio y 1</w:t>
      </w:r>
      <w:r w:rsidR="00C905E6">
        <w:rPr>
          <w:rFonts w:ascii="Arial" w:hAnsi="Arial" w:cs="Arial"/>
          <w:color w:val="000000"/>
          <w:lang w:val="es-MX" w:eastAsia="es-ES"/>
        </w:rPr>
        <w:t>9</w:t>
      </w:r>
      <w:r w:rsidRPr="00FA2C42">
        <w:rPr>
          <w:rFonts w:ascii="Arial" w:hAnsi="Arial" w:cs="Arial"/>
          <w:color w:val="000000"/>
          <w:lang w:val="es-MX" w:eastAsia="es-ES"/>
        </w:rPr>
        <w:t>,</w:t>
      </w:r>
      <w:r w:rsidR="00C905E6">
        <w:rPr>
          <w:rFonts w:ascii="Arial" w:hAnsi="Arial" w:cs="Arial"/>
          <w:color w:val="000000"/>
          <w:lang w:val="es-MX" w:eastAsia="es-ES"/>
        </w:rPr>
        <w:t>053</w:t>
      </w:r>
      <w:r w:rsidRPr="00FA2C42">
        <w:rPr>
          <w:rFonts w:ascii="Arial" w:hAnsi="Arial" w:cs="Arial"/>
          <w:color w:val="000000"/>
          <w:lang w:val="es-MX" w:eastAsia="es-ES"/>
        </w:rPr>
        <w:t xml:space="preserve"> habitantes/municipio.</w:t>
      </w:r>
    </w:p>
    <w:p w14:paraId="73C16CE5" w14:textId="77777777" w:rsidR="00FA2C42" w:rsidRPr="00FA2C42" w:rsidRDefault="00FA2C42" w:rsidP="008347CE">
      <w:pPr>
        <w:tabs>
          <w:tab w:val="left" w:pos="2145"/>
        </w:tabs>
        <w:spacing w:after="0"/>
        <w:ind w:left="720"/>
        <w:jc w:val="both"/>
        <w:rPr>
          <w:rFonts w:ascii="Arial" w:hAnsi="Arial" w:cs="Arial"/>
          <w:color w:val="000000"/>
          <w:lang w:val="es-MX" w:eastAsia="es-ES"/>
        </w:rPr>
      </w:pPr>
    </w:p>
    <w:p w14:paraId="5E7B7CFC" w14:textId="017FE852" w:rsidR="00FA2C42" w:rsidRPr="00FA2C42" w:rsidRDefault="00FA2C42" w:rsidP="008347CE">
      <w:pPr>
        <w:numPr>
          <w:ilvl w:val="0"/>
          <w:numId w:val="14"/>
        </w:numPr>
        <w:tabs>
          <w:tab w:val="left" w:pos="2145"/>
        </w:tabs>
        <w:spacing w:after="0"/>
        <w:jc w:val="both"/>
        <w:rPr>
          <w:rFonts w:ascii="Arial" w:hAnsi="Arial" w:cs="Arial"/>
          <w:color w:val="000000"/>
          <w:lang w:val="es-MX" w:eastAsia="es-ES"/>
        </w:rPr>
      </w:pPr>
      <w:r w:rsidRPr="00FA2C42">
        <w:rPr>
          <w:rFonts w:ascii="Arial" w:hAnsi="Arial" w:cs="Arial"/>
          <w:color w:val="000000"/>
          <w:lang w:val="es-MX" w:eastAsia="es-ES"/>
        </w:rPr>
        <w:t>Se identifican 37</w:t>
      </w:r>
      <w:r w:rsidR="005204FC">
        <w:rPr>
          <w:rFonts w:ascii="Arial" w:hAnsi="Arial" w:cs="Arial"/>
          <w:color w:val="000000"/>
          <w:lang w:val="es-MX" w:eastAsia="es-ES"/>
        </w:rPr>
        <w:t>8</w:t>
      </w:r>
      <w:r w:rsidRPr="00FA2C42">
        <w:rPr>
          <w:rFonts w:ascii="Arial" w:hAnsi="Arial" w:cs="Arial"/>
          <w:color w:val="000000"/>
          <w:lang w:val="es-MX" w:eastAsia="es-ES"/>
        </w:rPr>
        <w:t xml:space="preserve"> municipios en donde existen de 1,001 a 3,500 accesos. En dicho conjunto, la cantidad de hogares oscila entre los </w:t>
      </w:r>
      <w:r w:rsidR="006D3688">
        <w:rPr>
          <w:rFonts w:ascii="Arial" w:hAnsi="Arial" w:cs="Arial"/>
          <w:color w:val="000000"/>
          <w:lang w:val="es-MX" w:eastAsia="es-ES"/>
        </w:rPr>
        <w:t>1,201</w:t>
      </w:r>
      <w:r w:rsidRPr="00FA2C42">
        <w:rPr>
          <w:rFonts w:ascii="Arial" w:hAnsi="Arial" w:cs="Arial"/>
          <w:color w:val="000000"/>
          <w:lang w:val="es-MX" w:eastAsia="es-ES"/>
        </w:rPr>
        <w:t xml:space="preserve"> y 4</w:t>
      </w:r>
      <w:r w:rsidR="006D3688">
        <w:rPr>
          <w:rFonts w:ascii="Arial" w:hAnsi="Arial" w:cs="Arial"/>
          <w:color w:val="000000"/>
          <w:lang w:val="es-MX" w:eastAsia="es-ES"/>
        </w:rPr>
        <w:t>6</w:t>
      </w:r>
      <w:r w:rsidRPr="00FA2C42">
        <w:rPr>
          <w:rFonts w:ascii="Arial" w:hAnsi="Arial" w:cs="Arial"/>
          <w:color w:val="000000"/>
          <w:lang w:val="es-MX" w:eastAsia="es-ES"/>
        </w:rPr>
        <w:t>,</w:t>
      </w:r>
      <w:r w:rsidR="006D3688">
        <w:rPr>
          <w:rFonts w:ascii="Arial" w:hAnsi="Arial" w:cs="Arial"/>
          <w:color w:val="000000"/>
          <w:lang w:val="es-MX" w:eastAsia="es-ES"/>
        </w:rPr>
        <w:t>85</w:t>
      </w:r>
      <w:r w:rsidR="009A501B">
        <w:rPr>
          <w:rFonts w:ascii="Arial" w:hAnsi="Arial" w:cs="Arial"/>
          <w:color w:val="000000"/>
          <w:lang w:val="es-MX" w:eastAsia="es-ES"/>
        </w:rPr>
        <w:t>8</w:t>
      </w:r>
      <w:r w:rsidRPr="00FA2C42">
        <w:rPr>
          <w:rFonts w:ascii="Arial" w:hAnsi="Arial" w:cs="Arial"/>
          <w:color w:val="000000"/>
          <w:lang w:val="es-MX" w:eastAsia="es-ES"/>
        </w:rPr>
        <w:t xml:space="preserve">, en tanto que la población presente se ubica entre </w:t>
      </w:r>
      <w:r w:rsidR="009A501B">
        <w:rPr>
          <w:rFonts w:ascii="Arial" w:hAnsi="Arial" w:cs="Arial"/>
          <w:color w:val="000000"/>
          <w:lang w:val="es-MX" w:eastAsia="es-ES"/>
        </w:rPr>
        <w:t>4</w:t>
      </w:r>
      <w:r w:rsidRPr="00FA2C42">
        <w:rPr>
          <w:rFonts w:ascii="Arial" w:hAnsi="Arial" w:cs="Arial"/>
          <w:color w:val="000000"/>
          <w:lang w:val="es-MX" w:eastAsia="es-ES"/>
        </w:rPr>
        <w:t>,</w:t>
      </w:r>
      <w:r w:rsidR="009A501B">
        <w:rPr>
          <w:rFonts w:ascii="Arial" w:hAnsi="Arial" w:cs="Arial"/>
          <w:color w:val="000000"/>
          <w:lang w:val="es-MX" w:eastAsia="es-ES"/>
        </w:rPr>
        <w:t>168</w:t>
      </w:r>
      <w:r w:rsidRPr="00FA2C42">
        <w:rPr>
          <w:rFonts w:ascii="Arial" w:hAnsi="Arial" w:cs="Arial"/>
          <w:color w:val="000000"/>
          <w:lang w:val="es-MX" w:eastAsia="es-ES"/>
        </w:rPr>
        <w:t xml:space="preserve"> y 2</w:t>
      </w:r>
      <w:r w:rsidR="009A501B">
        <w:rPr>
          <w:rFonts w:ascii="Arial" w:hAnsi="Arial" w:cs="Arial"/>
          <w:color w:val="000000"/>
          <w:lang w:val="es-MX" w:eastAsia="es-ES"/>
        </w:rPr>
        <w:t>34</w:t>
      </w:r>
      <w:r w:rsidRPr="00FA2C42">
        <w:rPr>
          <w:rFonts w:ascii="Arial" w:hAnsi="Arial" w:cs="Arial"/>
          <w:color w:val="000000"/>
          <w:lang w:val="es-MX" w:eastAsia="es-ES"/>
        </w:rPr>
        <w:t>,</w:t>
      </w:r>
      <w:r w:rsidR="009A501B">
        <w:rPr>
          <w:rFonts w:ascii="Arial" w:hAnsi="Arial" w:cs="Arial"/>
          <w:color w:val="000000"/>
          <w:lang w:val="es-MX" w:eastAsia="es-ES"/>
        </w:rPr>
        <w:t>661</w:t>
      </w:r>
      <w:r w:rsidRPr="00FA2C42">
        <w:rPr>
          <w:rFonts w:ascii="Arial" w:hAnsi="Arial" w:cs="Arial"/>
          <w:color w:val="000000"/>
          <w:lang w:val="es-MX" w:eastAsia="es-ES"/>
        </w:rPr>
        <w:t xml:space="preserve"> habitantes. Para esta clase de municipios, a nivel promedio, existen 8,</w:t>
      </w:r>
      <w:r w:rsidR="006D3688">
        <w:rPr>
          <w:rFonts w:ascii="Arial" w:hAnsi="Arial" w:cs="Arial"/>
          <w:color w:val="000000"/>
          <w:lang w:val="es-MX" w:eastAsia="es-ES"/>
        </w:rPr>
        <w:t>686</w:t>
      </w:r>
      <w:r w:rsidRPr="00FA2C42">
        <w:rPr>
          <w:rFonts w:ascii="Arial" w:hAnsi="Arial" w:cs="Arial"/>
          <w:color w:val="000000"/>
          <w:lang w:val="es-MX" w:eastAsia="es-ES"/>
        </w:rPr>
        <w:t xml:space="preserve"> hogares/municipio y 32,</w:t>
      </w:r>
      <w:r w:rsidR="009A501B">
        <w:rPr>
          <w:rFonts w:ascii="Arial" w:hAnsi="Arial" w:cs="Arial"/>
          <w:color w:val="000000"/>
          <w:lang w:val="es-MX" w:eastAsia="es-ES"/>
        </w:rPr>
        <w:t>661</w:t>
      </w:r>
      <w:r w:rsidRPr="00FA2C42">
        <w:rPr>
          <w:rFonts w:ascii="Arial" w:hAnsi="Arial" w:cs="Arial"/>
          <w:color w:val="000000"/>
          <w:lang w:val="es-MX" w:eastAsia="es-ES"/>
        </w:rPr>
        <w:t xml:space="preserve"> habitantes/municipio.</w:t>
      </w:r>
    </w:p>
    <w:p w14:paraId="4276A9B0" w14:textId="77777777" w:rsidR="00FA2C42" w:rsidRPr="00FA2C42" w:rsidRDefault="00FA2C42" w:rsidP="008347CE">
      <w:pPr>
        <w:tabs>
          <w:tab w:val="left" w:pos="2145"/>
        </w:tabs>
        <w:spacing w:after="0"/>
        <w:ind w:left="720"/>
        <w:jc w:val="both"/>
        <w:rPr>
          <w:rFonts w:ascii="Arial" w:hAnsi="Arial" w:cs="Arial"/>
          <w:color w:val="000000"/>
          <w:lang w:val="es-MX" w:eastAsia="es-ES"/>
        </w:rPr>
      </w:pPr>
    </w:p>
    <w:p w14:paraId="5D588C1E" w14:textId="0554D4B4" w:rsidR="00FA2C42" w:rsidRPr="00FA2C42" w:rsidRDefault="00FA2C42" w:rsidP="008347CE">
      <w:pPr>
        <w:numPr>
          <w:ilvl w:val="0"/>
          <w:numId w:val="14"/>
        </w:numPr>
        <w:tabs>
          <w:tab w:val="left" w:pos="2145"/>
        </w:tabs>
        <w:spacing w:after="0"/>
        <w:jc w:val="both"/>
        <w:rPr>
          <w:rFonts w:ascii="Arial" w:hAnsi="Arial" w:cs="Arial"/>
          <w:color w:val="000000"/>
          <w:lang w:val="es-MX" w:eastAsia="es-ES"/>
        </w:rPr>
      </w:pPr>
      <w:r w:rsidRPr="00FA2C42">
        <w:rPr>
          <w:rFonts w:ascii="Arial" w:hAnsi="Arial" w:cs="Arial"/>
          <w:color w:val="000000"/>
          <w:lang w:val="es-MX" w:eastAsia="es-ES"/>
        </w:rPr>
        <w:t>En complemento, 4</w:t>
      </w:r>
      <w:r w:rsidR="005204FC">
        <w:rPr>
          <w:rFonts w:ascii="Arial" w:hAnsi="Arial" w:cs="Arial"/>
          <w:color w:val="000000"/>
          <w:lang w:val="es-MX" w:eastAsia="es-ES"/>
        </w:rPr>
        <w:t>4</w:t>
      </w:r>
      <w:r w:rsidRPr="00FA2C42">
        <w:rPr>
          <w:rFonts w:ascii="Arial" w:hAnsi="Arial" w:cs="Arial"/>
          <w:color w:val="000000"/>
          <w:lang w:val="es-MX" w:eastAsia="es-ES"/>
        </w:rPr>
        <w:t xml:space="preserve">6 municipios sobrepasan los 3,500 accesos </w:t>
      </w:r>
      <w:r w:rsidR="00850584">
        <w:rPr>
          <w:rFonts w:ascii="Arial" w:hAnsi="Arial" w:cs="Arial"/>
          <w:color w:val="000000"/>
          <w:lang w:val="es-MX" w:eastAsia="es-ES"/>
        </w:rPr>
        <w:t>de</w:t>
      </w:r>
      <w:r w:rsidRPr="00FA2C42">
        <w:rPr>
          <w:rFonts w:ascii="Arial" w:hAnsi="Arial" w:cs="Arial"/>
          <w:color w:val="000000"/>
          <w:lang w:val="es-MX" w:eastAsia="es-ES"/>
        </w:rPr>
        <w:t xml:space="preserve"> BAF. En ellos existen de </w:t>
      </w:r>
      <w:r w:rsidR="009A501B">
        <w:rPr>
          <w:rFonts w:ascii="Arial" w:hAnsi="Arial" w:cs="Arial"/>
          <w:color w:val="000000"/>
          <w:lang w:val="es-MX" w:eastAsia="es-ES"/>
        </w:rPr>
        <w:t>3</w:t>
      </w:r>
      <w:r w:rsidRPr="00FA2C42">
        <w:rPr>
          <w:rFonts w:ascii="Arial" w:hAnsi="Arial" w:cs="Arial"/>
          <w:color w:val="000000"/>
          <w:lang w:val="es-MX" w:eastAsia="es-ES"/>
        </w:rPr>
        <w:t>,</w:t>
      </w:r>
      <w:r w:rsidR="006D3688">
        <w:rPr>
          <w:rFonts w:ascii="Arial" w:hAnsi="Arial" w:cs="Arial"/>
          <w:color w:val="000000"/>
          <w:lang w:val="es-MX" w:eastAsia="es-ES"/>
        </w:rPr>
        <w:t>302</w:t>
      </w:r>
      <w:r w:rsidRPr="00FA2C42">
        <w:rPr>
          <w:rFonts w:ascii="Arial" w:hAnsi="Arial" w:cs="Arial"/>
          <w:color w:val="000000"/>
          <w:lang w:val="es-MX" w:eastAsia="es-ES"/>
        </w:rPr>
        <w:t xml:space="preserve"> a </w:t>
      </w:r>
      <w:r w:rsidR="006D3688">
        <w:rPr>
          <w:rFonts w:ascii="Arial" w:hAnsi="Arial" w:cs="Arial"/>
          <w:color w:val="000000"/>
          <w:lang w:val="es-MX" w:eastAsia="es-ES"/>
        </w:rPr>
        <w:t>576</w:t>
      </w:r>
      <w:r w:rsidRPr="00FA2C42">
        <w:rPr>
          <w:rFonts w:ascii="Arial" w:hAnsi="Arial" w:cs="Arial"/>
          <w:color w:val="000000"/>
          <w:lang w:val="es-MX" w:eastAsia="es-ES"/>
        </w:rPr>
        <w:t>,</w:t>
      </w:r>
      <w:r w:rsidR="006D3688">
        <w:rPr>
          <w:rFonts w:ascii="Arial" w:hAnsi="Arial" w:cs="Arial"/>
          <w:color w:val="000000"/>
          <w:lang w:val="es-MX" w:eastAsia="es-ES"/>
        </w:rPr>
        <w:t>708</w:t>
      </w:r>
      <w:r w:rsidRPr="00FA2C42">
        <w:rPr>
          <w:rFonts w:ascii="Arial" w:hAnsi="Arial" w:cs="Arial"/>
          <w:color w:val="000000"/>
          <w:lang w:val="es-MX" w:eastAsia="es-ES"/>
        </w:rPr>
        <w:t xml:space="preserve"> hogares, mientras que la población presente se ubica entre los 1</w:t>
      </w:r>
      <w:r w:rsidR="009A501B">
        <w:rPr>
          <w:rFonts w:ascii="Arial" w:hAnsi="Arial" w:cs="Arial"/>
          <w:color w:val="000000"/>
          <w:lang w:val="es-MX" w:eastAsia="es-ES"/>
        </w:rPr>
        <w:t>3</w:t>
      </w:r>
      <w:r w:rsidRPr="00FA2C42">
        <w:rPr>
          <w:rFonts w:ascii="Arial" w:hAnsi="Arial" w:cs="Arial"/>
          <w:color w:val="000000"/>
          <w:lang w:val="es-MX" w:eastAsia="es-ES"/>
        </w:rPr>
        <w:t>,</w:t>
      </w:r>
      <w:r w:rsidR="009A501B">
        <w:rPr>
          <w:rFonts w:ascii="Arial" w:hAnsi="Arial" w:cs="Arial"/>
          <w:color w:val="000000"/>
          <w:lang w:val="es-MX" w:eastAsia="es-ES"/>
        </w:rPr>
        <w:t>200</w:t>
      </w:r>
      <w:r w:rsidRPr="00FA2C42">
        <w:rPr>
          <w:rFonts w:ascii="Arial" w:hAnsi="Arial" w:cs="Arial"/>
          <w:color w:val="000000"/>
          <w:lang w:val="es-MX" w:eastAsia="es-ES"/>
        </w:rPr>
        <w:t xml:space="preserve"> y 1,</w:t>
      </w:r>
      <w:r w:rsidR="009A501B">
        <w:rPr>
          <w:rFonts w:ascii="Arial" w:hAnsi="Arial" w:cs="Arial"/>
          <w:color w:val="000000"/>
          <w:lang w:val="es-MX" w:eastAsia="es-ES"/>
        </w:rPr>
        <w:t>922</w:t>
      </w:r>
      <w:r w:rsidRPr="00FA2C42">
        <w:rPr>
          <w:rFonts w:ascii="Arial" w:hAnsi="Arial" w:cs="Arial"/>
          <w:color w:val="000000"/>
          <w:lang w:val="es-MX" w:eastAsia="es-ES"/>
        </w:rPr>
        <w:t>,</w:t>
      </w:r>
      <w:r w:rsidR="009A501B">
        <w:rPr>
          <w:rFonts w:ascii="Arial" w:hAnsi="Arial" w:cs="Arial"/>
          <w:color w:val="000000"/>
          <w:lang w:val="es-MX" w:eastAsia="es-ES"/>
        </w:rPr>
        <w:t>523</w:t>
      </w:r>
      <w:r w:rsidRPr="00FA2C42">
        <w:rPr>
          <w:rFonts w:ascii="Arial" w:hAnsi="Arial" w:cs="Arial"/>
          <w:color w:val="000000"/>
          <w:lang w:val="es-MX" w:eastAsia="es-ES"/>
        </w:rPr>
        <w:t xml:space="preserve"> habitantes. Dentro de este conjunto de municipios, a nivel promedio existen </w:t>
      </w:r>
      <w:r w:rsidR="009A501B">
        <w:rPr>
          <w:rFonts w:ascii="Arial" w:hAnsi="Arial" w:cs="Arial"/>
          <w:color w:val="000000"/>
          <w:lang w:val="es-MX" w:eastAsia="es-ES"/>
        </w:rPr>
        <w:t>6</w:t>
      </w:r>
      <w:r w:rsidR="006D3688">
        <w:rPr>
          <w:rFonts w:ascii="Arial" w:hAnsi="Arial" w:cs="Arial"/>
          <w:color w:val="000000"/>
          <w:lang w:val="es-MX" w:eastAsia="es-ES"/>
        </w:rPr>
        <w:t>1,132</w:t>
      </w:r>
      <w:r w:rsidRPr="00FA2C42">
        <w:rPr>
          <w:rFonts w:ascii="Arial" w:hAnsi="Arial" w:cs="Arial"/>
          <w:color w:val="000000"/>
          <w:lang w:val="es-MX" w:eastAsia="es-ES"/>
        </w:rPr>
        <w:t xml:space="preserve"> hogares/municipio y 2</w:t>
      </w:r>
      <w:r w:rsidR="009A501B">
        <w:rPr>
          <w:rFonts w:ascii="Arial" w:hAnsi="Arial" w:cs="Arial"/>
          <w:color w:val="000000"/>
          <w:lang w:val="es-MX" w:eastAsia="es-ES"/>
        </w:rPr>
        <w:t>14</w:t>
      </w:r>
      <w:r w:rsidRPr="00FA2C42">
        <w:rPr>
          <w:rFonts w:ascii="Arial" w:hAnsi="Arial" w:cs="Arial"/>
          <w:color w:val="000000"/>
          <w:lang w:val="es-MX" w:eastAsia="es-ES"/>
        </w:rPr>
        <w:t>,</w:t>
      </w:r>
      <w:r w:rsidR="009A501B">
        <w:rPr>
          <w:rFonts w:ascii="Arial" w:hAnsi="Arial" w:cs="Arial"/>
          <w:color w:val="000000"/>
          <w:lang w:val="es-MX" w:eastAsia="es-ES"/>
        </w:rPr>
        <w:t>622</w:t>
      </w:r>
      <w:r w:rsidRPr="00FA2C42">
        <w:rPr>
          <w:rFonts w:ascii="Arial" w:hAnsi="Arial" w:cs="Arial"/>
          <w:color w:val="000000"/>
          <w:lang w:val="es-MX" w:eastAsia="es-ES"/>
        </w:rPr>
        <w:t xml:space="preserve"> habitantes/municipio.</w:t>
      </w:r>
    </w:p>
    <w:p w14:paraId="29044A2B" w14:textId="77777777" w:rsidR="00FA2C42" w:rsidRPr="00FA2C42" w:rsidRDefault="00FA2C42" w:rsidP="008347CE">
      <w:pPr>
        <w:tabs>
          <w:tab w:val="left" w:pos="2145"/>
        </w:tabs>
        <w:spacing w:after="0"/>
        <w:ind w:left="720"/>
        <w:jc w:val="both"/>
        <w:rPr>
          <w:rFonts w:ascii="Arial" w:hAnsi="Arial" w:cs="Arial"/>
          <w:color w:val="000000"/>
          <w:lang w:val="es-MX" w:eastAsia="es-ES"/>
        </w:rPr>
      </w:pPr>
    </w:p>
    <w:p w14:paraId="6B02E94E" w14:textId="77777777" w:rsidR="00850584" w:rsidRDefault="00850584" w:rsidP="008347CE">
      <w:pPr>
        <w:tabs>
          <w:tab w:val="left" w:pos="2145"/>
        </w:tabs>
        <w:spacing w:after="0"/>
        <w:jc w:val="both"/>
        <w:rPr>
          <w:rFonts w:ascii="Arial" w:hAnsi="Arial" w:cs="Arial"/>
          <w:color w:val="000000"/>
          <w:lang w:val="es-MX" w:eastAsia="es-ES"/>
        </w:rPr>
      </w:pPr>
    </w:p>
    <w:p w14:paraId="249E2359" w14:textId="6A2D6830" w:rsidR="00FA2C42" w:rsidRPr="00FA2C42" w:rsidRDefault="00FA2C42" w:rsidP="008347CE">
      <w:pPr>
        <w:tabs>
          <w:tab w:val="left" w:pos="2145"/>
        </w:tabs>
        <w:spacing w:after="0"/>
        <w:jc w:val="both"/>
        <w:rPr>
          <w:rFonts w:ascii="Arial" w:hAnsi="Arial" w:cs="Arial"/>
          <w:color w:val="000000"/>
          <w:lang w:val="es-MX" w:eastAsia="es-ES"/>
        </w:rPr>
      </w:pPr>
      <w:r w:rsidRPr="00FA2C42">
        <w:rPr>
          <w:rFonts w:ascii="Arial" w:hAnsi="Arial" w:cs="Arial"/>
          <w:color w:val="000000"/>
          <w:lang w:val="es-MX" w:eastAsia="es-ES"/>
        </w:rPr>
        <w:t>Siguiendo con el análisis y a partir de las categorías definidas previamente para estudiar la presencia de accesos en cada municipio, las variables se agruparon como sigue:</w:t>
      </w:r>
    </w:p>
    <w:p w14:paraId="60BC3116" w14:textId="50900372" w:rsidR="00E50129" w:rsidRDefault="00E50129" w:rsidP="008347CE">
      <w:pPr>
        <w:tabs>
          <w:tab w:val="left" w:pos="2145"/>
        </w:tabs>
        <w:spacing w:after="0"/>
        <w:jc w:val="both"/>
        <w:rPr>
          <w:rFonts w:ascii="Arial" w:hAnsi="Arial" w:cs="Arial"/>
          <w:color w:val="000000"/>
          <w:lang w:val="es-MX" w:eastAsia="es-ES"/>
        </w:rPr>
      </w:pPr>
    </w:p>
    <w:p w14:paraId="3FE10907" w14:textId="0883312A" w:rsidR="00B47466" w:rsidRDefault="00B47466" w:rsidP="008347CE">
      <w:pPr>
        <w:tabs>
          <w:tab w:val="left" w:pos="2145"/>
        </w:tabs>
        <w:spacing w:after="0"/>
        <w:jc w:val="both"/>
        <w:rPr>
          <w:rFonts w:ascii="Arial" w:hAnsi="Arial" w:cs="Arial"/>
          <w:color w:val="000000"/>
          <w:lang w:val="es-MX" w:eastAsia="es-ES"/>
        </w:rPr>
      </w:pPr>
    </w:p>
    <w:p w14:paraId="745B956E" w14:textId="6364A3BC" w:rsidR="00B47466" w:rsidRDefault="00B47466" w:rsidP="008347CE">
      <w:pPr>
        <w:tabs>
          <w:tab w:val="left" w:pos="2145"/>
        </w:tabs>
        <w:spacing w:after="0"/>
        <w:jc w:val="both"/>
        <w:rPr>
          <w:rFonts w:ascii="Arial" w:hAnsi="Arial" w:cs="Arial"/>
          <w:color w:val="000000"/>
          <w:lang w:val="es-MX" w:eastAsia="es-ES"/>
        </w:rPr>
      </w:pPr>
    </w:p>
    <w:p w14:paraId="26EA5005" w14:textId="77777777" w:rsidR="00B47466" w:rsidRDefault="00B47466" w:rsidP="008347CE">
      <w:pPr>
        <w:tabs>
          <w:tab w:val="left" w:pos="2145"/>
        </w:tabs>
        <w:spacing w:after="0"/>
        <w:jc w:val="both"/>
        <w:rPr>
          <w:rFonts w:ascii="Arial" w:hAnsi="Arial" w:cs="Arial"/>
          <w:color w:val="000000"/>
          <w:lang w:val="es-MX" w:eastAsia="es-ES"/>
        </w:rPr>
      </w:pPr>
    </w:p>
    <w:tbl>
      <w:tblPr>
        <w:tblW w:w="9375" w:type="dxa"/>
        <w:tblCellMar>
          <w:left w:w="70" w:type="dxa"/>
          <w:right w:w="70" w:type="dxa"/>
        </w:tblCellMar>
        <w:tblLook w:val="04A0" w:firstRow="1" w:lastRow="0" w:firstColumn="1" w:lastColumn="0" w:noHBand="0" w:noVBand="1"/>
      </w:tblPr>
      <w:tblGrid>
        <w:gridCol w:w="1198"/>
        <w:gridCol w:w="1198"/>
        <w:gridCol w:w="1432"/>
        <w:gridCol w:w="1113"/>
        <w:gridCol w:w="1021"/>
        <w:gridCol w:w="1132"/>
        <w:gridCol w:w="1179"/>
        <w:gridCol w:w="1102"/>
      </w:tblGrid>
      <w:tr w:rsidR="00B550D6" w:rsidRPr="00E50129" w14:paraId="504C50B4" w14:textId="77777777" w:rsidTr="00B550D6">
        <w:trPr>
          <w:trHeight w:val="255"/>
        </w:trPr>
        <w:tc>
          <w:tcPr>
            <w:tcW w:w="1198" w:type="dxa"/>
            <w:vMerge w:val="restart"/>
            <w:tcBorders>
              <w:top w:val="nil"/>
              <w:left w:val="nil"/>
              <w:bottom w:val="single" w:sz="8" w:space="0" w:color="C2D69B"/>
              <w:right w:val="nil"/>
            </w:tcBorders>
            <w:shd w:val="clear" w:color="000000" w:fill="FFFFFF"/>
            <w:vAlign w:val="center"/>
            <w:hideMark/>
          </w:tcPr>
          <w:p w14:paraId="7EF86A25" w14:textId="77777777" w:rsidR="00E50129" w:rsidRPr="00B550D6" w:rsidRDefault="00E50129" w:rsidP="00E50129">
            <w:pPr>
              <w:spacing w:after="0" w:line="240" w:lineRule="auto"/>
              <w:jc w:val="both"/>
              <w:rPr>
                <w:rFonts w:ascii="Arial" w:eastAsia="Times New Roman" w:hAnsi="Arial" w:cs="Arial"/>
                <w:b/>
                <w:bCs/>
                <w:sz w:val="16"/>
                <w:szCs w:val="16"/>
                <w:lang w:val="es-MX" w:eastAsia="es-MX"/>
              </w:rPr>
            </w:pPr>
            <w:r w:rsidRPr="00B550D6">
              <w:rPr>
                <w:rFonts w:ascii="Arial" w:eastAsia="Times New Roman" w:hAnsi="Arial" w:cs="Arial"/>
                <w:b/>
                <w:bCs/>
                <w:sz w:val="16"/>
                <w:szCs w:val="16"/>
                <w:lang w:val="es-MX" w:eastAsia="es-ES"/>
              </w:rPr>
              <w:lastRenderedPageBreak/>
              <w:t>Accesos en municipio</w:t>
            </w:r>
          </w:p>
        </w:tc>
        <w:tc>
          <w:tcPr>
            <w:tcW w:w="1198" w:type="dxa"/>
            <w:vMerge w:val="restart"/>
            <w:tcBorders>
              <w:top w:val="nil"/>
              <w:left w:val="nil"/>
              <w:bottom w:val="single" w:sz="8" w:space="0" w:color="C2D69B"/>
              <w:right w:val="nil"/>
            </w:tcBorders>
            <w:shd w:val="clear" w:color="000000" w:fill="FFFFFF"/>
            <w:vAlign w:val="center"/>
            <w:hideMark/>
          </w:tcPr>
          <w:p w14:paraId="1B0CF82E" w14:textId="77777777" w:rsidR="00E50129" w:rsidRPr="00B550D6" w:rsidRDefault="00E50129" w:rsidP="00E50129">
            <w:pPr>
              <w:spacing w:after="0" w:line="240" w:lineRule="auto"/>
              <w:jc w:val="center"/>
              <w:rPr>
                <w:rFonts w:ascii="Arial" w:eastAsia="Times New Roman" w:hAnsi="Arial" w:cs="Arial"/>
                <w:b/>
                <w:bCs/>
                <w:sz w:val="16"/>
                <w:szCs w:val="16"/>
                <w:lang w:val="es-MX" w:eastAsia="es-MX"/>
              </w:rPr>
            </w:pPr>
            <w:r w:rsidRPr="00B550D6">
              <w:rPr>
                <w:rFonts w:ascii="Arial" w:eastAsia="Times New Roman" w:hAnsi="Arial" w:cs="Arial"/>
                <w:b/>
                <w:bCs/>
                <w:sz w:val="16"/>
                <w:szCs w:val="16"/>
                <w:lang w:val="es-MX" w:eastAsia="es-ES"/>
              </w:rPr>
              <w:t>Municipios</w:t>
            </w:r>
          </w:p>
        </w:tc>
        <w:tc>
          <w:tcPr>
            <w:tcW w:w="1432" w:type="dxa"/>
            <w:vMerge w:val="restart"/>
            <w:tcBorders>
              <w:top w:val="nil"/>
              <w:left w:val="nil"/>
              <w:bottom w:val="single" w:sz="8" w:space="0" w:color="C2D69B"/>
              <w:right w:val="nil"/>
            </w:tcBorders>
            <w:shd w:val="clear" w:color="000000" w:fill="FFFFFF"/>
            <w:vAlign w:val="center"/>
            <w:hideMark/>
          </w:tcPr>
          <w:p w14:paraId="5B99B9C7" w14:textId="77777777" w:rsidR="00E50129" w:rsidRPr="00B550D6" w:rsidRDefault="00E50129" w:rsidP="00E50129">
            <w:pPr>
              <w:spacing w:after="0" w:line="240" w:lineRule="auto"/>
              <w:jc w:val="center"/>
              <w:rPr>
                <w:rFonts w:ascii="Arial" w:eastAsia="Times New Roman" w:hAnsi="Arial" w:cs="Arial"/>
                <w:b/>
                <w:bCs/>
                <w:sz w:val="16"/>
                <w:szCs w:val="16"/>
                <w:lang w:val="es-MX" w:eastAsia="es-MX"/>
              </w:rPr>
            </w:pPr>
            <w:r w:rsidRPr="00B550D6">
              <w:rPr>
                <w:rFonts w:ascii="Arial" w:eastAsia="Times New Roman" w:hAnsi="Arial" w:cs="Arial"/>
                <w:b/>
                <w:bCs/>
                <w:sz w:val="16"/>
                <w:szCs w:val="16"/>
                <w:lang w:val="es-MX" w:eastAsia="es-ES"/>
              </w:rPr>
              <w:t>Accesos</w:t>
            </w:r>
          </w:p>
        </w:tc>
        <w:tc>
          <w:tcPr>
            <w:tcW w:w="1113" w:type="dxa"/>
            <w:vMerge w:val="restart"/>
            <w:tcBorders>
              <w:top w:val="nil"/>
              <w:left w:val="nil"/>
              <w:bottom w:val="single" w:sz="8" w:space="0" w:color="C2D69B"/>
              <w:right w:val="nil"/>
            </w:tcBorders>
            <w:shd w:val="clear" w:color="000000" w:fill="FFFFFF"/>
            <w:vAlign w:val="center"/>
            <w:hideMark/>
          </w:tcPr>
          <w:p w14:paraId="3378E28F" w14:textId="77777777" w:rsidR="00E50129" w:rsidRPr="00B550D6" w:rsidRDefault="00E50129" w:rsidP="00E50129">
            <w:pPr>
              <w:spacing w:after="0" w:line="240" w:lineRule="auto"/>
              <w:jc w:val="center"/>
              <w:rPr>
                <w:rFonts w:ascii="Arial" w:eastAsia="Times New Roman" w:hAnsi="Arial" w:cs="Arial"/>
                <w:b/>
                <w:bCs/>
                <w:sz w:val="16"/>
                <w:szCs w:val="16"/>
                <w:lang w:val="es-MX" w:eastAsia="es-MX"/>
              </w:rPr>
            </w:pPr>
            <w:r w:rsidRPr="00B550D6">
              <w:rPr>
                <w:rFonts w:ascii="Arial" w:eastAsia="Times New Roman" w:hAnsi="Arial" w:cs="Arial"/>
                <w:b/>
                <w:bCs/>
                <w:sz w:val="16"/>
                <w:szCs w:val="16"/>
                <w:lang w:val="es-MX" w:eastAsia="es-ES"/>
              </w:rPr>
              <w:t>% Accesos</w:t>
            </w:r>
          </w:p>
        </w:tc>
        <w:tc>
          <w:tcPr>
            <w:tcW w:w="1021" w:type="dxa"/>
            <w:vMerge w:val="restart"/>
            <w:tcBorders>
              <w:top w:val="nil"/>
              <w:left w:val="nil"/>
              <w:bottom w:val="single" w:sz="8" w:space="0" w:color="C2D69B"/>
              <w:right w:val="nil"/>
            </w:tcBorders>
            <w:shd w:val="clear" w:color="000000" w:fill="FFFFFF"/>
            <w:vAlign w:val="center"/>
            <w:hideMark/>
          </w:tcPr>
          <w:p w14:paraId="3F984491" w14:textId="77777777" w:rsidR="00E50129" w:rsidRPr="00B550D6" w:rsidRDefault="00E50129" w:rsidP="00E50129">
            <w:pPr>
              <w:spacing w:after="0" w:line="240" w:lineRule="auto"/>
              <w:jc w:val="center"/>
              <w:rPr>
                <w:rFonts w:ascii="Arial" w:eastAsia="Times New Roman" w:hAnsi="Arial" w:cs="Arial"/>
                <w:b/>
                <w:bCs/>
                <w:sz w:val="16"/>
                <w:szCs w:val="16"/>
                <w:lang w:val="es-MX" w:eastAsia="es-MX"/>
              </w:rPr>
            </w:pPr>
            <w:r w:rsidRPr="00B550D6">
              <w:rPr>
                <w:rFonts w:ascii="Arial" w:eastAsia="Times New Roman" w:hAnsi="Arial" w:cs="Arial"/>
                <w:b/>
                <w:bCs/>
                <w:sz w:val="16"/>
                <w:szCs w:val="16"/>
                <w:lang w:val="es-MX" w:eastAsia="es-ES"/>
              </w:rPr>
              <w:t>Población (millones)**</w:t>
            </w:r>
          </w:p>
        </w:tc>
        <w:tc>
          <w:tcPr>
            <w:tcW w:w="1132" w:type="dxa"/>
            <w:tcBorders>
              <w:top w:val="nil"/>
              <w:left w:val="nil"/>
              <w:bottom w:val="nil"/>
              <w:right w:val="nil"/>
            </w:tcBorders>
            <w:shd w:val="clear" w:color="000000" w:fill="FFFFFF"/>
            <w:vAlign w:val="center"/>
            <w:hideMark/>
          </w:tcPr>
          <w:p w14:paraId="4F8B467E" w14:textId="77777777" w:rsidR="00E50129" w:rsidRPr="00B550D6" w:rsidRDefault="00E50129" w:rsidP="00E50129">
            <w:pPr>
              <w:spacing w:after="0" w:line="240" w:lineRule="auto"/>
              <w:jc w:val="center"/>
              <w:rPr>
                <w:rFonts w:ascii="Arial" w:eastAsia="Times New Roman" w:hAnsi="Arial" w:cs="Arial"/>
                <w:b/>
                <w:bCs/>
                <w:sz w:val="16"/>
                <w:szCs w:val="16"/>
                <w:lang w:val="es-MX" w:eastAsia="es-MX"/>
              </w:rPr>
            </w:pPr>
            <w:r w:rsidRPr="00B550D6">
              <w:rPr>
                <w:rFonts w:ascii="Arial" w:eastAsia="Times New Roman" w:hAnsi="Arial" w:cs="Arial"/>
                <w:b/>
                <w:bCs/>
                <w:sz w:val="16"/>
                <w:szCs w:val="16"/>
                <w:lang w:val="es-MX" w:eastAsia="es-ES"/>
              </w:rPr>
              <w:t>%</w:t>
            </w:r>
          </w:p>
        </w:tc>
        <w:tc>
          <w:tcPr>
            <w:tcW w:w="1179" w:type="dxa"/>
            <w:vMerge w:val="restart"/>
            <w:tcBorders>
              <w:top w:val="nil"/>
              <w:left w:val="nil"/>
              <w:bottom w:val="single" w:sz="8" w:space="0" w:color="C2D69B"/>
              <w:right w:val="nil"/>
            </w:tcBorders>
            <w:shd w:val="clear" w:color="000000" w:fill="FFFFFF"/>
            <w:vAlign w:val="center"/>
            <w:hideMark/>
          </w:tcPr>
          <w:p w14:paraId="2D1C251E" w14:textId="77777777" w:rsidR="00E50129" w:rsidRPr="00B550D6" w:rsidRDefault="00E50129" w:rsidP="00E50129">
            <w:pPr>
              <w:spacing w:after="0" w:line="240" w:lineRule="auto"/>
              <w:jc w:val="center"/>
              <w:rPr>
                <w:rFonts w:ascii="Arial" w:eastAsia="Times New Roman" w:hAnsi="Arial" w:cs="Arial"/>
                <w:b/>
                <w:bCs/>
                <w:sz w:val="16"/>
                <w:szCs w:val="16"/>
                <w:lang w:val="es-MX" w:eastAsia="es-MX"/>
              </w:rPr>
            </w:pPr>
            <w:r w:rsidRPr="00B550D6">
              <w:rPr>
                <w:rFonts w:ascii="Arial" w:eastAsia="Times New Roman" w:hAnsi="Arial" w:cs="Arial"/>
                <w:b/>
                <w:bCs/>
                <w:sz w:val="16"/>
                <w:szCs w:val="16"/>
                <w:lang w:val="es-MX" w:eastAsia="es-ES"/>
              </w:rPr>
              <w:t>Hogares (millones)**</w:t>
            </w:r>
          </w:p>
        </w:tc>
        <w:tc>
          <w:tcPr>
            <w:tcW w:w="1102" w:type="dxa"/>
            <w:vMerge w:val="restart"/>
            <w:tcBorders>
              <w:top w:val="nil"/>
              <w:left w:val="nil"/>
              <w:bottom w:val="single" w:sz="8" w:space="0" w:color="C2D69B"/>
              <w:right w:val="nil"/>
            </w:tcBorders>
            <w:shd w:val="clear" w:color="000000" w:fill="FFFFFF"/>
            <w:vAlign w:val="center"/>
            <w:hideMark/>
          </w:tcPr>
          <w:p w14:paraId="2BC8C578" w14:textId="77777777" w:rsidR="00E50129" w:rsidRPr="00B550D6" w:rsidRDefault="00E50129" w:rsidP="00E50129">
            <w:pPr>
              <w:spacing w:after="0" w:line="240" w:lineRule="auto"/>
              <w:jc w:val="center"/>
              <w:rPr>
                <w:rFonts w:ascii="Arial" w:eastAsia="Times New Roman" w:hAnsi="Arial" w:cs="Arial"/>
                <w:b/>
                <w:bCs/>
                <w:sz w:val="16"/>
                <w:szCs w:val="16"/>
                <w:lang w:val="es-MX" w:eastAsia="es-MX"/>
              </w:rPr>
            </w:pPr>
            <w:r w:rsidRPr="00B550D6">
              <w:rPr>
                <w:rFonts w:ascii="Arial" w:eastAsia="Times New Roman" w:hAnsi="Arial" w:cs="Arial"/>
                <w:b/>
                <w:bCs/>
                <w:sz w:val="16"/>
                <w:szCs w:val="16"/>
                <w:lang w:val="es-MX" w:eastAsia="es-ES"/>
              </w:rPr>
              <w:t>% Hogares**</w:t>
            </w:r>
          </w:p>
        </w:tc>
      </w:tr>
      <w:tr w:rsidR="00B550D6" w:rsidRPr="00E50129" w14:paraId="29B2FC31" w14:textId="77777777" w:rsidTr="00B550D6">
        <w:trPr>
          <w:trHeight w:val="268"/>
        </w:trPr>
        <w:tc>
          <w:tcPr>
            <w:tcW w:w="1198" w:type="dxa"/>
            <w:vMerge/>
            <w:tcBorders>
              <w:top w:val="nil"/>
              <w:left w:val="nil"/>
              <w:bottom w:val="single" w:sz="8" w:space="0" w:color="C2D69B"/>
              <w:right w:val="nil"/>
            </w:tcBorders>
            <w:vAlign w:val="center"/>
            <w:hideMark/>
          </w:tcPr>
          <w:p w14:paraId="1AC0E781" w14:textId="77777777" w:rsidR="00E50129" w:rsidRPr="00156C3A" w:rsidRDefault="00E50129" w:rsidP="00E50129">
            <w:pPr>
              <w:spacing w:after="0" w:line="240" w:lineRule="auto"/>
              <w:rPr>
                <w:rFonts w:ascii="Arial" w:eastAsia="Times New Roman" w:hAnsi="Arial" w:cs="Arial"/>
                <w:b/>
                <w:bCs/>
                <w:sz w:val="16"/>
                <w:szCs w:val="16"/>
                <w:lang w:val="es-MX" w:eastAsia="es-MX"/>
              </w:rPr>
            </w:pPr>
          </w:p>
        </w:tc>
        <w:tc>
          <w:tcPr>
            <w:tcW w:w="1198" w:type="dxa"/>
            <w:vMerge/>
            <w:tcBorders>
              <w:top w:val="nil"/>
              <w:left w:val="nil"/>
              <w:bottom w:val="single" w:sz="8" w:space="0" w:color="C2D69B"/>
              <w:right w:val="nil"/>
            </w:tcBorders>
            <w:vAlign w:val="center"/>
            <w:hideMark/>
          </w:tcPr>
          <w:p w14:paraId="757DF8BB" w14:textId="77777777" w:rsidR="00E50129" w:rsidRPr="00156C3A" w:rsidRDefault="00E50129" w:rsidP="00E50129">
            <w:pPr>
              <w:spacing w:after="0" w:line="240" w:lineRule="auto"/>
              <w:rPr>
                <w:rFonts w:ascii="Arial" w:eastAsia="Times New Roman" w:hAnsi="Arial" w:cs="Arial"/>
                <w:b/>
                <w:bCs/>
                <w:sz w:val="16"/>
                <w:szCs w:val="16"/>
                <w:lang w:val="es-MX" w:eastAsia="es-MX"/>
              </w:rPr>
            </w:pPr>
          </w:p>
        </w:tc>
        <w:tc>
          <w:tcPr>
            <w:tcW w:w="1432" w:type="dxa"/>
            <w:vMerge/>
            <w:tcBorders>
              <w:top w:val="nil"/>
              <w:left w:val="nil"/>
              <w:bottom w:val="single" w:sz="8" w:space="0" w:color="C2D69B"/>
              <w:right w:val="nil"/>
            </w:tcBorders>
            <w:vAlign w:val="center"/>
            <w:hideMark/>
          </w:tcPr>
          <w:p w14:paraId="7CBC18F6" w14:textId="77777777" w:rsidR="00E50129" w:rsidRPr="00156C3A" w:rsidRDefault="00E50129" w:rsidP="00E50129">
            <w:pPr>
              <w:spacing w:after="0" w:line="240" w:lineRule="auto"/>
              <w:rPr>
                <w:rFonts w:ascii="Arial" w:eastAsia="Times New Roman" w:hAnsi="Arial" w:cs="Arial"/>
                <w:b/>
                <w:bCs/>
                <w:sz w:val="16"/>
                <w:szCs w:val="16"/>
                <w:lang w:val="es-MX" w:eastAsia="es-MX"/>
              </w:rPr>
            </w:pPr>
          </w:p>
        </w:tc>
        <w:tc>
          <w:tcPr>
            <w:tcW w:w="1113" w:type="dxa"/>
            <w:vMerge/>
            <w:tcBorders>
              <w:top w:val="nil"/>
              <w:left w:val="nil"/>
              <w:bottom w:val="single" w:sz="8" w:space="0" w:color="C2D69B"/>
              <w:right w:val="nil"/>
            </w:tcBorders>
            <w:vAlign w:val="center"/>
            <w:hideMark/>
          </w:tcPr>
          <w:p w14:paraId="57169F75" w14:textId="77777777" w:rsidR="00E50129" w:rsidRPr="00156C3A" w:rsidRDefault="00E50129" w:rsidP="00E50129">
            <w:pPr>
              <w:spacing w:after="0" w:line="240" w:lineRule="auto"/>
              <w:rPr>
                <w:rFonts w:ascii="Arial" w:eastAsia="Times New Roman" w:hAnsi="Arial" w:cs="Arial"/>
                <w:b/>
                <w:bCs/>
                <w:sz w:val="16"/>
                <w:szCs w:val="16"/>
                <w:lang w:val="es-MX" w:eastAsia="es-MX"/>
              </w:rPr>
            </w:pPr>
          </w:p>
        </w:tc>
        <w:tc>
          <w:tcPr>
            <w:tcW w:w="1021" w:type="dxa"/>
            <w:vMerge/>
            <w:tcBorders>
              <w:top w:val="nil"/>
              <w:left w:val="nil"/>
              <w:bottom w:val="single" w:sz="8" w:space="0" w:color="C2D69B"/>
              <w:right w:val="nil"/>
            </w:tcBorders>
            <w:vAlign w:val="center"/>
            <w:hideMark/>
          </w:tcPr>
          <w:p w14:paraId="19F042B8" w14:textId="77777777" w:rsidR="00E50129" w:rsidRPr="00156C3A" w:rsidRDefault="00E50129" w:rsidP="00E50129">
            <w:pPr>
              <w:spacing w:after="0" w:line="240" w:lineRule="auto"/>
              <w:rPr>
                <w:rFonts w:ascii="Arial" w:eastAsia="Times New Roman" w:hAnsi="Arial" w:cs="Arial"/>
                <w:b/>
                <w:bCs/>
                <w:sz w:val="16"/>
                <w:szCs w:val="16"/>
                <w:lang w:val="es-MX" w:eastAsia="es-MX"/>
              </w:rPr>
            </w:pPr>
          </w:p>
        </w:tc>
        <w:tc>
          <w:tcPr>
            <w:tcW w:w="1132" w:type="dxa"/>
            <w:tcBorders>
              <w:top w:val="nil"/>
              <w:left w:val="nil"/>
              <w:bottom w:val="single" w:sz="8" w:space="0" w:color="C2D69B"/>
              <w:right w:val="nil"/>
            </w:tcBorders>
            <w:shd w:val="clear" w:color="000000" w:fill="FFFFFF"/>
            <w:vAlign w:val="center"/>
            <w:hideMark/>
          </w:tcPr>
          <w:p w14:paraId="313C3FF2" w14:textId="77777777" w:rsidR="00E50129" w:rsidRPr="00156C3A" w:rsidRDefault="00E50129" w:rsidP="00E50129">
            <w:pPr>
              <w:spacing w:after="0" w:line="240" w:lineRule="auto"/>
              <w:jc w:val="center"/>
              <w:rPr>
                <w:rFonts w:ascii="Arial" w:eastAsia="Times New Roman" w:hAnsi="Arial" w:cs="Arial"/>
                <w:b/>
                <w:bCs/>
                <w:sz w:val="16"/>
                <w:szCs w:val="16"/>
                <w:lang w:val="es-MX" w:eastAsia="es-MX"/>
              </w:rPr>
            </w:pPr>
            <w:r w:rsidRPr="00156C3A">
              <w:rPr>
                <w:rFonts w:ascii="Arial" w:eastAsia="Times New Roman" w:hAnsi="Arial" w:cs="Arial"/>
                <w:b/>
                <w:bCs/>
                <w:sz w:val="16"/>
                <w:szCs w:val="16"/>
                <w:lang w:val="es-MX" w:eastAsia="es-ES"/>
              </w:rPr>
              <w:t>Población**</w:t>
            </w:r>
          </w:p>
        </w:tc>
        <w:tc>
          <w:tcPr>
            <w:tcW w:w="1179" w:type="dxa"/>
            <w:vMerge/>
            <w:tcBorders>
              <w:top w:val="nil"/>
              <w:left w:val="nil"/>
              <w:bottom w:val="single" w:sz="8" w:space="0" w:color="C2D69B"/>
              <w:right w:val="nil"/>
            </w:tcBorders>
            <w:vAlign w:val="center"/>
            <w:hideMark/>
          </w:tcPr>
          <w:p w14:paraId="6F6DFC1B" w14:textId="77777777" w:rsidR="00E50129" w:rsidRPr="00156C3A" w:rsidRDefault="00E50129" w:rsidP="00E50129">
            <w:pPr>
              <w:spacing w:after="0" w:line="240" w:lineRule="auto"/>
              <w:rPr>
                <w:rFonts w:ascii="Arial" w:eastAsia="Times New Roman" w:hAnsi="Arial" w:cs="Arial"/>
                <w:b/>
                <w:bCs/>
                <w:sz w:val="16"/>
                <w:szCs w:val="16"/>
                <w:lang w:val="es-MX" w:eastAsia="es-MX"/>
              </w:rPr>
            </w:pPr>
          </w:p>
        </w:tc>
        <w:tc>
          <w:tcPr>
            <w:tcW w:w="1102" w:type="dxa"/>
            <w:vMerge/>
            <w:tcBorders>
              <w:top w:val="nil"/>
              <w:left w:val="nil"/>
              <w:bottom w:val="single" w:sz="8" w:space="0" w:color="C2D69B"/>
              <w:right w:val="nil"/>
            </w:tcBorders>
            <w:vAlign w:val="center"/>
            <w:hideMark/>
          </w:tcPr>
          <w:p w14:paraId="696D85CD" w14:textId="77777777" w:rsidR="00E50129" w:rsidRPr="00156C3A" w:rsidRDefault="00E50129" w:rsidP="00E50129">
            <w:pPr>
              <w:spacing w:after="0" w:line="240" w:lineRule="auto"/>
              <w:rPr>
                <w:rFonts w:ascii="Arial" w:eastAsia="Times New Roman" w:hAnsi="Arial" w:cs="Arial"/>
                <w:b/>
                <w:bCs/>
                <w:sz w:val="16"/>
                <w:szCs w:val="16"/>
                <w:lang w:val="es-MX" w:eastAsia="es-MX"/>
              </w:rPr>
            </w:pPr>
          </w:p>
        </w:tc>
      </w:tr>
      <w:tr w:rsidR="00B550D6" w:rsidRPr="00E50129" w14:paraId="52EC0093" w14:textId="77777777" w:rsidTr="00B550D6">
        <w:trPr>
          <w:trHeight w:val="268"/>
        </w:trPr>
        <w:tc>
          <w:tcPr>
            <w:tcW w:w="1198" w:type="dxa"/>
            <w:tcBorders>
              <w:top w:val="nil"/>
              <w:left w:val="single" w:sz="8" w:space="0" w:color="C2D69B"/>
              <w:bottom w:val="single" w:sz="8" w:space="0" w:color="C2D69B"/>
              <w:right w:val="single" w:sz="8" w:space="0" w:color="C2D69B"/>
            </w:tcBorders>
            <w:shd w:val="clear" w:color="000000" w:fill="EAF1DD"/>
            <w:vAlign w:val="center"/>
            <w:hideMark/>
          </w:tcPr>
          <w:p w14:paraId="52819ACC" w14:textId="2553284F" w:rsidR="00E50129" w:rsidRPr="001250CB" w:rsidRDefault="00E50129" w:rsidP="00E50129">
            <w:pPr>
              <w:spacing w:after="0" w:line="240" w:lineRule="auto"/>
              <w:jc w:val="center"/>
              <w:rPr>
                <w:rFonts w:ascii="Arial" w:eastAsia="Times New Roman" w:hAnsi="Arial" w:cs="Arial"/>
                <w:bCs/>
                <w:sz w:val="16"/>
                <w:szCs w:val="16"/>
                <w:lang w:val="es-MX" w:eastAsia="es-MX"/>
              </w:rPr>
            </w:pPr>
            <w:r w:rsidRPr="001250CB">
              <w:rPr>
                <w:rFonts w:ascii="Arial" w:eastAsia="Times New Roman" w:hAnsi="Arial" w:cs="Arial"/>
                <w:bCs/>
                <w:sz w:val="16"/>
                <w:szCs w:val="16"/>
                <w:lang w:val="es-MX" w:eastAsia="es-MX"/>
              </w:rPr>
              <w:t>Sin presencia*</w:t>
            </w:r>
          </w:p>
        </w:tc>
        <w:tc>
          <w:tcPr>
            <w:tcW w:w="1198" w:type="dxa"/>
            <w:tcBorders>
              <w:top w:val="nil"/>
              <w:left w:val="nil"/>
              <w:bottom w:val="single" w:sz="8" w:space="0" w:color="C2D69B"/>
              <w:right w:val="single" w:sz="8" w:space="0" w:color="C2D69B"/>
            </w:tcBorders>
            <w:shd w:val="clear" w:color="000000" w:fill="EAF1DD"/>
            <w:vAlign w:val="center"/>
            <w:hideMark/>
          </w:tcPr>
          <w:p w14:paraId="511C6A63"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838</w:t>
            </w:r>
          </w:p>
        </w:tc>
        <w:tc>
          <w:tcPr>
            <w:tcW w:w="1432" w:type="dxa"/>
            <w:tcBorders>
              <w:top w:val="nil"/>
              <w:left w:val="nil"/>
              <w:bottom w:val="single" w:sz="8" w:space="0" w:color="C2D69B"/>
              <w:right w:val="single" w:sz="8" w:space="0" w:color="C2D69B"/>
            </w:tcBorders>
            <w:shd w:val="clear" w:color="000000" w:fill="EAF1DD"/>
            <w:vAlign w:val="center"/>
            <w:hideMark/>
          </w:tcPr>
          <w:p w14:paraId="4A2A2F7B"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w:t>
            </w:r>
          </w:p>
        </w:tc>
        <w:tc>
          <w:tcPr>
            <w:tcW w:w="1113" w:type="dxa"/>
            <w:tcBorders>
              <w:top w:val="nil"/>
              <w:left w:val="nil"/>
              <w:bottom w:val="single" w:sz="8" w:space="0" w:color="C2D69B"/>
              <w:right w:val="single" w:sz="8" w:space="0" w:color="C2D69B"/>
            </w:tcBorders>
            <w:shd w:val="clear" w:color="000000" w:fill="EAF1DD"/>
            <w:vAlign w:val="center"/>
            <w:hideMark/>
          </w:tcPr>
          <w:p w14:paraId="4F6C6184" w14:textId="67D3EBD9"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w:t>
            </w:r>
          </w:p>
        </w:tc>
        <w:tc>
          <w:tcPr>
            <w:tcW w:w="1021" w:type="dxa"/>
            <w:tcBorders>
              <w:top w:val="nil"/>
              <w:left w:val="nil"/>
              <w:bottom w:val="single" w:sz="8" w:space="0" w:color="C2D69B"/>
              <w:right w:val="single" w:sz="8" w:space="0" w:color="C2D69B"/>
            </w:tcBorders>
            <w:shd w:val="clear" w:color="000000" w:fill="EAF1DD"/>
            <w:vAlign w:val="center"/>
            <w:hideMark/>
          </w:tcPr>
          <w:p w14:paraId="0BE5EB02"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5.0</w:t>
            </w:r>
          </w:p>
        </w:tc>
        <w:tc>
          <w:tcPr>
            <w:tcW w:w="1132" w:type="dxa"/>
            <w:tcBorders>
              <w:top w:val="nil"/>
              <w:left w:val="nil"/>
              <w:bottom w:val="single" w:sz="8" w:space="0" w:color="C2D69B"/>
              <w:right w:val="single" w:sz="8" w:space="0" w:color="C2D69B"/>
            </w:tcBorders>
            <w:shd w:val="clear" w:color="000000" w:fill="EAF1DD"/>
            <w:vAlign w:val="center"/>
            <w:hideMark/>
          </w:tcPr>
          <w:p w14:paraId="0E756E57" w14:textId="5E2450AC" w:rsidR="00E50129" w:rsidRPr="00B550D6" w:rsidRDefault="00273B98"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4.0%</w:t>
            </w:r>
          </w:p>
        </w:tc>
        <w:tc>
          <w:tcPr>
            <w:tcW w:w="1179" w:type="dxa"/>
            <w:tcBorders>
              <w:top w:val="nil"/>
              <w:left w:val="nil"/>
              <w:bottom w:val="single" w:sz="8" w:space="0" w:color="C2D69B"/>
              <w:right w:val="single" w:sz="8" w:space="0" w:color="C2D69B"/>
            </w:tcBorders>
            <w:shd w:val="clear" w:color="000000" w:fill="EAF1DD"/>
            <w:vAlign w:val="center"/>
            <w:hideMark/>
          </w:tcPr>
          <w:p w14:paraId="4A16C570" w14:textId="592445F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1.3</w:t>
            </w:r>
          </w:p>
        </w:tc>
        <w:tc>
          <w:tcPr>
            <w:tcW w:w="1102" w:type="dxa"/>
            <w:tcBorders>
              <w:top w:val="nil"/>
              <w:left w:val="nil"/>
              <w:bottom w:val="single" w:sz="8" w:space="0" w:color="C2D69B"/>
              <w:right w:val="single" w:sz="8" w:space="0" w:color="C2D69B"/>
            </w:tcBorders>
            <w:shd w:val="clear" w:color="000000" w:fill="EAF1DD"/>
            <w:vAlign w:val="center"/>
            <w:hideMark/>
          </w:tcPr>
          <w:p w14:paraId="66A13E9D" w14:textId="5D01B394" w:rsidR="00E50129" w:rsidRPr="00406830" w:rsidRDefault="00E50129" w:rsidP="00E50129">
            <w:pPr>
              <w:spacing w:after="0" w:line="240" w:lineRule="auto"/>
              <w:jc w:val="center"/>
              <w:rPr>
                <w:rFonts w:ascii="Arial" w:eastAsia="Times New Roman" w:hAnsi="Arial" w:cs="Arial"/>
                <w:sz w:val="16"/>
                <w:szCs w:val="16"/>
                <w:lang w:val="en-GB" w:eastAsia="es-MX"/>
              </w:rPr>
            </w:pPr>
            <w:r w:rsidRPr="00FB58CB">
              <w:rPr>
                <w:rFonts w:ascii="Arial" w:hAnsi="Arial" w:cs="Arial"/>
                <w:sz w:val="16"/>
                <w:szCs w:val="16"/>
              </w:rPr>
              <w:t>3.</w:t>
            </w:r>
            <w:r w:rsidR="00273B98" w:rsidRPr="00FB58CB">
              <w:rPr>
                <w:rFonts w:ascii="Arial" w:hAnsi="Arial" w:cs="Arial"/>
                <w:sz w:val="16"/>
                <w:szCs w:val="16"/>
              </w:rPr>
              <w:t>6</w:t>
            </w:r>
            <w:r w:rsidRPr="00FB58CB">
              <w:rPr>
                <w:rFonts w:ascii="Arial" w:hAnsi="Arial" w:cs="Arial"/>
                <w:sz w:val="16"/>
                <w:szCs w:val="16"/>
              </w:rPr>
              <w:t>%</w:t>
            </w:r>
          </w:p>
        </w:tc>
      </w:tr>
      <w:tr w:rsidR="00B550D6" w:rsidRPr="00E50129" w14:paraId="0A892165" w14:textId="77777777" w:rsidTr="00B550D6">
        <w:trPr>
          <w:trHeight w:val="268"/>
        </w:trPr>
        <w:tc>
          <w:tcPr>
            <w:tcW w:w="1198" w:type="dxa"/>
            <w:tcBorders>
              <w:top w:val="nil"/>
              <w:left w:val="single" w:sz="8" w:space="0" w:color="C2D69B"/>
              <w:bottom w:val="single" w:sz="8" w:space="0" w:color="C2D69B"/>
              <w:right w:val="single" w:sz="8" w:space="0" w:color="C2D69B"/>
            </w:tcBorders>
            <w:shd w:val="clear" w:color="auto" w:fill="auto"/>
            <w:vAlign w:val="center"/>
            <w:hideMark/>
          </w:tcPr>
          <w:p w14:paraId="42DEE4B0" w14:textId="3B76F0D3" w:rsidR="00E50129" w:rsidRPr="001250CB" w:rsidRDefault="00E50129" w:rsidP="00E50129">
            <w:pPr>
              <w:spacing w:after="0" w:line="240" w:lineRule="auto"/>
              <w:jc w:val="center"/>
              <w:rPr>
                <w:rFonts w:ascii="Arial" w:eastAsia="Times New Roman" w:hAnsi="Arial" w:cs="Arial"/>
                <w:bCs/>
                <w:sz w:val="16"/>
                <w:szCs w:val="16"/>
                <w:lang w:val="es-MX" w:eastAsia="es-MX"/>
              </w:rPr>
            </w:pPr>
            <w:r w:rsidRPr="001250CB">
              <w:rPr>
                <w:rFonts w:ascii="Arial" w:eastAsia="Times New Roman" w:hAnsi="Arial" w:cs="Arial"/>
                <w:bCs/>
                <w:sz w:val="16"/>
                <w:szCs w:val="16"/>
                <w:lang w:val="es-MX" w:eastAsia="es-MX"/>
              </w:rPr>
              <w:t>1 - 5</w:t>
            </w:r>
          </w:p>
        </w:tc>
        <w:tc>
          <w:tcPr>
            <w:tcW w:w="1198" w:type="dxa"/>
            <w:tcBorders>
              <w:top w:val="nil"/>
              <w:left w:val="nil"/>
              <w:bottom w:val="single" w:sz="8" w:space="0" w:color="C2D69B"/>
              <w:right w:val="single" w:sz="8" w:space="0" w:color="C2D69B"/>
            </w:tcBorders>
            <w:shd w:val="clear" w:color="auto" w:fill="auto"/>
            <w:vAlign w:val="center"/>
            <w:hideMark/>
          </w:tcPr>
          <w:p w14:paraId="7BF8133E"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61</w:t>
            </w:r>
          </w:p>
        </w:tc>
        <w:tc>
          <w:tcPr>
            <w:tcW w:w="1432" w:type="dxa"/>
            <w:tcBorders>
              <w:top w:val="nil"/>
              <w:left w:val="nil"/>
              <w:bottom w:val="single" w:sz="8" w:space="0" w:color="C2D69B"/>
              <w:right w:val="single" w:sz="8" w:space="0" w:color="C2D69B"/>
            </w:tcBorders>
            <w:shd w:val="clear" w:color="auto" w:fill="auto"/>
            <w:vAlign w:val="center"/>
            <w:hideMark/>
          </w:tcPr>
          <w:p w14:paraId="77073385"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111</w:t>
            </w:r>
          </w:p>
        </w:tc>
        <w:tc>
          <w:tcPr>
            <w:tcW w:w="1113" w:type="dxa"/>
            <w:tcBorders>
              <w:top w:val="nil"/>
              <w:left w:val="nil"/>
              <w:bottom w:val="single" w:sz="8" w:space="0" w:color="C2D69B"/>
              <w:right w:val="single" w:sz="8" w:space="0" w:color="C2D69B"/>
            </w:tcBorders>
            <w:shd w:val="clear" w:color="auto" w:fill="auto"/>
            <w:vAlign w:val="center"/>
            <w:hideMark/>
          </w:tcPr>
          <w:p w14:paraId="6A507B36" w14:textId="0678211D"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0.</w:t>
            </w:r>
            <w:r w:rsidR="00273B98" w:rsidRPr="00406830">
              <w:rPr>
                <w:rFonts w:ascii="Arial" w:hAnsi="Arial" w:cs="Arial"/>
                <w:sz w:val="16"/>
                <w:szCs w:val="16"/>
              </w:rPr>
              <w:t>001</w:t>
            </w:r>
            <w:r w:rsidRPr="00406830">
              <w:rPr>
                <w:rFonts w:ascii="Arial" w:hAnsi="Arial" w:cs="Arial"/>
                <w:sz w:val="16"/>
                <w:szCs w:val="16"/>
              </w:rPr>
              <w:t>%</w:t>
            </w:r>
          </w:p>
        </w:tc>
        <w:tc>
          <w:tcPr>
            <w:tcW w:w="1021" w:type="dxa"/>
            <w:tcBorders>
              <w:top w:val="nil"/>
              <w:left w:val="nil"/>
              <w:bottom w:val="single" w:sz="8" w:space="0" w:color="C2D69B"/>
              <w:right w:val="single" w:sz="8" w:space="0" w:color="C2D69B"/>
            </w:tcBorders>
            <w:shd w:val="clear" w:color="auto" w:fill="auto"/>
            <w:vAlign w:val="center"/>
            <w:hideMark/>
          </w:tcPr>
          <w:p w14:paraId="2C93B73C"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0.7</w:t>
            </w:r>
          </w:p>
        </w:tc>
        <w:tc>
          <w:tcPr>
            <w:tcW w:w="1132" w:type="dxa"/>
            <w:tcBorders>
              <w:top w:val="nil"/>
              <w:left w:val="nil"/>
              <w:bottom w:val="single" w:sz="8" w:space="0" w:color="C2D69B"/>
              <w:right w:val="single" w:sz="8" w:space="0" w:color="C2D69B"/>
            </w:tcBorders>
            <w:shd w:val="clear" w:color="auto" w:fill="auto"/>
            <w:vAlign w:val="center"/>
            <w:hideMark/>
          </w:tcPr>
          <w:p w14:paraId="39E952DD" w14:textId="1E432884"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0.</w:t>
            </w:r>
            <w:r w:rsidR="00273B98" w:rsidRPr="00406830">
              <w:rPr>
                <w:rFonts w:ascii="Arial" w:hAnsi="Arial" w:cs="Arial"/>
                <w:sz w:val="16"/>
                <w:szCs w:val="16"/>
              </w:rPr>
              <w:t>6</w:t>
            </w:r>
            <w:r w:rsidRPr="00406830">
              <w:rPr>
                <w:rFonts w:ascii="Arial" w:hAnsi="Arial" w:cs="Arial"/>
                <w:sz w:val="16"/>
                <w:szCs w:val="16"/>
              </w:rPr>
              <w:t>%</w:t>
            </w:r>
          </w:p>
        </w:tc>
        <w:tc>
          <w:tcPr>
            <w:tcW w:w="1179" w:type="dxa"/>
            <w:tcBorders>
              <w:top w:val="nil"/>
              <w:left w:val="nil"/>
              <w:bottom w:val="single" w:sz="8" w:space="0" w:color="C2D69B"/>
              <w:right w:val="single" w:sz="8" w:space="0" w:color="C2D69B"/>
            </w:tcBorders>
            <w:shd w:val="clear" w:color="auto" w:fill="auto"/>
            <w:vAlign w:val="center"/>
            <w:hideMark/>
          </w:tcPr>
          <w:p w14:paraId="471CA880" w14:textId="112E679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0.2</w:t>
            </w:r>
          </w:p>
        </w:tc>
        <w:tc>
          <w:tcPr>
            <w:tcW w:w="1102" w:type="dxa"/>
            <w:tcBorders>
              <w:top w:val="nil"/>
              <w:left w:val="nil"/>
              <w:bottom w:val="single" w:sz="8" w:space="0" w:color="C2D69B"/>
              <w:right w:val="single" w:sz="8" w:space="0" w:color="C2D69B"/>
            </w:tcBorders>
            <w:shd w:val="clear" w:color="auto" w:fill="auto"/>
            <w:vAlign w:val="center"/>
            <w:hideMark/>
          </w:tcPr>
          <w:p w14:paraId="31790387" w14:textId="4FF66B15" w:rsidR="00E50129" w:rsidRPr="00406830" w:rsidRDefault="00E50129" w:rsidP="00E50129">
            <w:pPr>
              <w:spacing w:after="0" w:line="240" w:lineRule="auto"/>
              <w:jc w:val="center"/>
              <w:rPr>
                <w:rFonts w:ascii="Arial" w:eastAsia="Times New Roman" w:hAnsi="Arial" w:cs="Arial"/>
                <w:sz w:val="16"/>
                <w:szCs w:val="16"/>
                <w:lang w:val="en-GB" w:eastAsia="es-MX"/>
              </w:rPr>
            </w:pPr>
            <w:r w:rsidRPr="00FB58CB">
              <w:rPr>
                <w:rFonts w:ascii="Arial" w:hAnsi="Arial" w:cs="Arial"/>
                <w:sz w:val="16"/>
                <w:szCs w:val="16"/>
              </w:rPr>
              <w:t>0.</w:t>
            </w:r>
            <w:r w:rsidR="00273B98" w:rsidRPr="00FB58CB">
              <w:rPr>
                <w:rFonts w:ascii="Arial" w:hAnsi="Arial" w:cs="Arial"/>
                <w:sz w:val="16"/>
                <w:szCs w:val="16"/>
              </w:rPr>
              <w:t>5</w:t>
            </w:r>
            <w:r w:rsidRPr="00FB58CB">
              <w:rPr>
                <w:rFonts w:ascii="Arial" w:hAnsi="Arial" w:cs="Arial"/>
                <w:sz w:val="16"/>
                <w:szCs w:val="16"/>
              </w:rPr>
              <w:t>%</w:t>
            </w:r>
          </w:p>
        </w:tc>
      </w:tr>
      <w:tr w:rsidR="00B550D6" w:rsidRPr="00E50129" w14:paraId="356F895D" w14:textId="77777777" w:rsidTr="00B550D6">
        <w:trPr>
          <w:trHeight w:val="268"/>
        </w:trPr>
        <w:tc>
          <w:tcPr>
            <w:tcW w:w="1198" w:type="dxa"/>
            <w:tcBorders>
              <w:top w:val="nil"/>
              <w:left w:val="single" w:sz="8" w:space="0" w:color="C2D69B"/>
              <w:bottom w:val="single" w:sz="8" w:space="0" w:color="C2D69B"/>
              <w:right w:val="single" w:sz="8" w:space="0" w:color="C2D69B"/>
            </w:tcBorders>
            <w:shd w:val="clear" w:color="000000" w:fill="EAF1DD"/>
            <w:vAlign w:val="center"/>
            <w:hideMark/>
          </w:tcPr>
          <w:p w14:paraId="49D2E0E1" w14:textId="2767B0CD" w:rsidR="00E50129" w:rsidRPr="001250CB" w:rsidRDefault="00E50129" w:rsidP="00E50129">
            <w:pPr>
              <w:spacing w:after="0" w:line="240" w:lineRule="auto"/>
              <w:jc w:val="center"/>
              <w:rPr>
                <w:rFonts w:ascii="Arial" w:eastAsia="Times New Roman" w:hAnsi="Arial" w:cs="Arial"/>
                <w:bCs/>
                <w:sz w:val="16"/>
                <w:szCs w:val="16"/>
                <w:lang w:val="es-MX" w:eastAsia="es-MX"/>
              </w:rPr>
            </w:pPr>
            <w:r w:rsidRPr="001250CB">
              <w:rPr>
                <w:rFonts w:ascii="Arial" w:eastAsia="Times New Roman" w:hAnsi="Arial" w:cs="Arial"/>
                <w:bCs/>
                <w:sz w:val="16"/>
                <w:szCs w:val="16"/>
                <w:lang w:val="es-MX" w:eastAsia="es-MX"/>
              </w:rPr>
              <w:t>6 - 100</w:t>
            </w:r>
          </w:p>
        </w:tc>
        <w:tc>
          <w:tcPr>
            <w:tcW w:w="1198" w:type="dxa"/>
            <w:tcBorders>
              <w:top w:val="nil"/>
              <w:left w:val="nil"/>
              <w:bottom w:val="single" w:sz="8" w:space="0" w:color="C2D69B"/>
              <w:right w:val="single" w:sz="8" w:space="0" w:color="C2D69B"/>
            </w:tcBorders>
            <w:shd w:val="clear" w:color="000000" w:fill="EAF1DD"/>
            <w:vAlign w:val="center"/>
            <w:hideMark/>
          </w:tcPr>
          <w:p w14:paraId="3A09F2A1"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130</w:t>
            </w:r>
          </w:p>
        </w:tc>
        <w:tc>
          <w:tcPr>
            <w:tcW w:w="1432" w:type="dxa"/>
            <w:tcBorders>
              <w:top w:val="nil"/>
              <w:left w:val="nil"/>
              <w:bottom w:val="single" w:sz="8" w:space="0" w:color="C2D69B"/>
              <w:right w:val="single" w:sz="8" w:space="0" w:color="C2D69B"/>
            </w:tcBorders>
            <w:shd w:val="clear" w:color="000000" w:fill="EAF1DD"/>
            <w:vAlign w:val="center"/>
            <w:hideMark/>
          </w:tcPr>
          <w:p w14:paraId="2AADCAA1"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6,587</w:t>
            </w:r>
          </w:p>
        </w:tc>
        <w:tc>
          <w:tcPr>
            <w:tcW w:w="1113" w:type="dxa"/>
            <w:tcBorders>
              <w:top w:val="nil"/>
              <w:left w:val="nil"/>
              <w:bottom w:val="single" w:sz="8" w:space="0" w:color="C2D69B"/>
              <w:right w:val="single" w:sz="8" w:space="0" w:color="C2D69B"/>
            </w:tcBorders>
            <w:shd w:val="clear" w:color="000000" w:fill="EAF1DD"/>
            <w:vAlign w:val="center"/>
            <w:hideMark/>
          </w:tcPr>
          <w:p w14:paraId="6843488B" w14:textId="5CF77B47"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0.03%</w:t>
            </w:r>
          </w:p>
        </w:tc>
        <w:tc>
          <w:tcPr>
            <w:tcW w:w="1021" w:type="dxa"/>
            <w:tcBorders>
              <w:top w:val="nil"/>
              <w:left w:val="nil"/>
              <w:bottom w:val="single" w:sz="8" w:space="0" w:color="C2D69B"/>
              <w:right w:val="single" w:sz="8" w:space="0" w:color="C2D69B"/>
            </w:tcBorders>
            <w:shd w:val="clear" w:color="000000" w:fill="EAF1DD"/>
            <w:vAlign w:val="center"/>
            <w:hideMark/>
          </w:tcPr>
          <w:p w14:paraId="7842F654"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1.4</w:t>
            </w:r>
          </w:p>
        </w:tc>
        <w:tc>
          <w:tcPr>
            <w:tcW w:w="1132" w:type="dxa"/>
            <w:tcBorders>
              <w:top w:val="nil"/>
              <w:left w:val="nil"/>
              <w:bottom w:val="single" w:sz="8" w:space="0" w:color="C2D69B"/>
              <w:right w:val="single" w:sz="8" w:space="0" w:color="C2D69B"/>
            </w:tcBorders>
            <w:shd w:val="clear" w:color="000000" w:fill="EAF1DD"/>
            <w:vAlign w:val="center"/>
            <w:hideMark/>
          </w:tcPr>
          <w:p w14:paraId="3BF0DBB1" w14:textId="78E413D1"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1.</w:t>
            </w:r>
            <w:r w:rsidR="00273B98" w:rsidRPr="00406830">
              <w:rPr>
                <w:rFonts w:ascii="Arial" w:hAnsi="Arial" w:cs="Arial"/>
                <w:sz w:val="16"/>
                <w:szCs w:val="16"/>
              </w:rPr>
              <w:t>1</w:t>
            </w:r>
            <w:r w:rsidRPr="00406830">
              <w:rPr>
                <w:rFonts w:ascii="Arial" w:hAnsi="Arial" w:cs="Arial"/>
                <w:sz w:val="16"/>
                <w:szCs w:val="16"/>
              </w:rPr>
              <w:t>%</w:t>
            </w:r>
          </w:p>
        </w:tc>
        <w:tc>
          <w:tcPr>
            <w:tcW w:w="1179" w:type="dxa"/>
            <w:tcBorders>
              <w:top w:val="nil"/>
              <w:left w:val="nil"/>
              <w:bottom w:val="single" w:sz="8" w:space="0" w:color="C2D69B"/>
              <w:right w:val="single" w:sz="8" w:space="0" w:color="C2D69B"/>
            </w:tcBorders>
            <w:shd w:val="clear" w:color="000000" w:fill="EAF1DD"/>
            <w:vAlign w:val="center"/>
            <w:hideMark/>
          </w:tcPr>
          <w:p w14:paraId="2228F3CA" w14:textId="0189BFDC"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0.4</w:t>
            </w:r>
          </w:p>
        </w:tc>
        <w:tc>
          <w:tcPr>
            <w:tcW w:w="1102" w:type="dxa"/>
            <w:tcBorders>
              <w:top w:val="nil"/>
              <w:left w:val="nil"/>
              <w:bottom w:val="single" w:sz="8" w:space="0" w:color="C2D69B"/>
              <w:right w:val="single" w:sz="8" w:space="0" w:color="C2D69B"/>
            </w:tcBorders>
            <w:shd w:val="clear" w:color="000000" w:fill="EAF1DD"/>
            <w:vAlign w:val="center"/>
            <w:hideMark/>
          </w:tcPr>
          <w:p w14:paraId="181D41BC" w14:textId="52C9EBCB" w:rsidR="00E50129" w:rsidRPr="00406830" w:rsidRDefault="00E50129" w:rsidP="00E50129">
            <w:pPr>
              <w:spacing w:after="0" w:line="240" w:lineRule="auto"/>
              <w:jc w:val="center"/>
              <w:rPr>
                <w:rFonts w:ascii="Arial" w:eastAsia="Times New Roman" w:hAnsi="Arial" w:cs="Arial"/>
                <w:sz w:val="16"/>
                <w:szCs w:val="16"/>
                <w:lang w:val="en-GB" w:eastAsia="es-MX"/>
              </w:rPr>
            </w:pPr>
            <w:r w:rsidRPr="00FB58CB">
              <w:rPr>
                <w:rFonts w:ascii="Arial" w:hAnsi="Arial" w:cs="Arial"/>
                <w:sz w:val="16"/>
                <w:szCs w:val="16"/>
              </w:rPr>
              <w:t>1.</w:t>
            </w:r>
            <w:r w:rsidR="00273B98" w:rsidRPr="00FB58CB">
              <w:rPr>
                <w:rFonts w:ascii="Arial" w:hAnsi="Arial" w:cs="Arial"/>
                <w:sz w:val="16"/>
                <w:szCs w:val="16"/>
              </w:rPr>
              <w:t>0</w:t>
            </w:r>
            <w:r w:rsidRPr="00FB58CB">
              <w:rPr>
                <w:rFonts w:ascii="Arial" w:hAnsi="Arial" w:cs="Arial"/>
                <w:sz w:val="16"/>
                <w:szCs w:val="16"/>
              </w:rPr>
              <w:t>%</w:t>
            </w:r>
          </w:p>
        </w:tc>
      </w:tr>
      <w:tr w:rsidR="00B550D6" w:rsidRPr="00E50129" w14:paraId="6EF94A7E" w14:textId="77777777" w:rsidTr="00B550D6">
        <w:trPr>
          <w:trHeight w:val="268"/>
        </w:trPr>
        <w:tc>
          <w:tcPr>
            <w:tcW w:w="1198" w:type="dxa"/>
            <w:tcBorders>
              <w:top w:val="nil"/>
              <w:left w:val="single" w:sz="8" w:space="0" w:color="C2D69B"/>
              <w:bottom w:val="single" w:sz="8" w:space="0" w:color="C2D69B"/>
              <w:right w:val="single" w:sz="8" w:space="0" w:color="C2D69B"/>
            </w:tcBorders>
            <w:shd w:val="clear" w:color="auto" w:fill="auto"/>
            <w:vAlign w:val="center"/>
            <w:hideMark/>
          </w:tcPr>
          <w:p w14:paraId="12F573E1" w14:textId="5075D06E" w:rsidR="00E50129" w:rsidRPr="001250CB" w:rsidRDefault="00E50129" w:rsidP="00E50129">
            <w:pPr>
              <w:spacing w:after="0" w:line="240" w:lineRule="auto"/>
              <w:jc w:val="center"/>
              <w:rPr>
                <w:rFonts w:ascii="Arial" w:eastAsia="Times New Roman" w:hAnsi="Arial" w:cs="Arial"/>
                <w:bCs/>
                <w:sz w:val="16"/>
                <w:szCs w:val="16"/>
                <w:lang w:val="es-MX" w:eastAsia="es-MX"/>
              </w:rPr>
            </w:pPr>
            <w:r w:rsidRPr="001250CB">
              <w:rPr>
                <w:rFonts w:ascii="Arial" w:eastAsia="Times New Roman" w:hAnsi="Arial" w:cs="Arial"/>
                <w:bCs/>
                <w:sz w:val="16"/>
                <w:szCs w:val="16"/>
                <w:lang w:val="es-MX" w:eastAsia="es-MX"/>
              </w:rPr>
              <w:t>101 - 300</w:t>
            </w:r>
          </w:p>
        </w:tc>
        <w:tc>
          <w:tcPr>
            <w:tcW w:w="1198" w:type="dxa"/>
            <w:tcBorders>
              <w:top w:val="nil"/>
              <w:left w:val="nil"/>
              <w:bottom w:val="single" w:sz="8" w:space="0" w:color="C2D69B"/>
              <w:right w:val="single" w:sz="8" w:space="0" w:color="C2D69B"/>
            </w:tcBorders>
            <w:shd w:val="clear" w:color="auto" w:fill="auto"/>
            <w:vAlign w:val="center"/>
            <w:hideMark/>
          </w:tcPr>
          <w:p w14:paraId="6D6B2FF7"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224</w:t>
            </w:r>
          </w:p>
        </w:tc>
        <w:tc>
          <w:tcPr>
            <w:tcW w:w="1432" w:type="dxa"/>
            <w:tcBorders>
              <w:top w:val="nil"/>
              <w:left w:val="nil"/>
              <w:bottom w:val="single" w:sz="8" w:space="0" w:color="C2D69B"/>
              <w:right w:val="single" w:sz="8" w:space="0" w:color="C2D69B"/>
            </w:tcBorders>
            <w:shd w:val="clear" w:color="auto" w:fill="auto"/>
            <w:vAlign w:val="center"/>
            <w:hideMark/>
          </w:tcPr>
          <w:p w14:paraId="441BFD88"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44,305</w:t>
            </w:r>
          </w:p>
        </w:tc>
        <w:tc>
          <w:tcPr>
            <w:tcW w:w="1113" w:type="dxa"/>
            <w:tcBorders>
              <w:top w:val="nil"/>
              <w:left w:val="nil"/>
              <w:bottom w:val="single" w:sz="8" w:space="0" w:color="C2D69B"/>
              <w:right w:val="single" w:sz="8" w:space="0" w:color="C2D69B"/>
            </w:tcBorders>
            <w:shd w:val="clear" w:color="auto" w:fill="auto"/>
            <w:vAlign w:val="center"/>
            <w:hideMark/>
          </w:tcPr>
          <w:p w14:paraId="00DA2C57" w14:textId="681AD75E"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0.</w:t>
            </w:r>
            <w:r w:rsidR="00273B98" w:rsidRPr="00406830">
              <w:rPr>
                <w:rFonts w:ascii="Arial" w:hAnsi="Arial" w:cs="Arial"/>
                <w:sz w:val="16"/>
                <w:szCs w:val="16"/>
              </w:rPr>
              <w:t>2</w:t>
            </w:r>
            <w:r w:rsidRPr="00406830">
              <w:rPr>
                <w:rFonts w:ascii="Arial" w:hAnsi="Arial" w:cs="Arial"/>
                <w:sz w:val="16"/>
                <w:szCs w:val="16"/>
              </w:rPr>
              <w:t>%</w:t>
            </w:r>
          </w:p>
        </w:tc>
        <w:tc>
          <w:tcPr>
            <w:tcW w:w="1021" w:type="dxa"/>
            <w:tcBorders>
              <w:top w:val="nil"/>
              <w:left w:val="nil"/>
              <w:bottom w:val="single" w:sz="8" w:space="0" w:color="C2D69B"/>
              <w:right w:val="single" w:sz="8" w:space="0" w:color="C2D69B"/>
            </w:tcBorders>
            <w:shd w:val="clear" w:color="auto" w:fill="auto"/>
            <w:vAlign w:val="center"/>
            <w:hideMark/>
          </w:tcPr>
          <w:p w14:paraId="4CE3C897"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3.3</w:t>
            </w:r>
          </w:p>
        </w:tc>
        <w:tc>
          <w:tcPr>
            <w:tcW w:w="1132" w:type="dxa"/>
            <w:tcBorders>
              <w:top w:val="nil"/>
              <w:left w:val="nil"/>
              <w:bottom w:val="single" w:sz="8" w:space="0" w:color="C2D69B"/>
              <w:right w:val="single" w:sz="8" w:space="0" w:color="C2D69B"/>
            </w:tcBorders>
            <w:shd w:val="clear" w:color="auto" w:fill="auto"/>
            <w:vAlign w:val="center"/>
            <w:hideMark/>
          </w:tcPr>
          <w:p w14:paraId="59933188" w14:textId="0893F730"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2.</w:t>
            </w:r>
            <w:r w:rsidR="00273B98" w:rsidRPr="00406830">
              <w:rPr>
                <w:rFonts w:ascii="Arial" w:hAnsi="Arial" w:cs="Arial"/>
                <w:sz w:val="16"/>
                <w:szCs w:val="16"/>
              </w:rPr>
              <w:t>6</w:t>
            </w:r>
            <w:r w:rsidRPr="00406830">
              <w:rPr>
                <w:rFonts w:ascii="Arial" w:hAnsi="Arial" w:cs="Arial"/>
                <w:sz w:val="16"/>
                <w:szCs w:val="16"/>
              </w:rPr>
              <w:t>%</w:t>
            </w:r>
          </w:p>
        </w:tc>
        <w:tc>
          <w:tcPr>
            <w:tcW w:w="1179" w:type="dxa"/>
            <w:tcBorders>
              <w:top w:val="nil"/>
              <w:left w:val="nil"/>
              <w:bottom w:val="single" w:sz="8" w:space="0" w:color="C2D69B"/>
              <w:right w:val="single" w:sz="8" w:space="0" w:color="C2D69B"/>
            </w:tcBorders>
            <w:shd w:val="clear" w:color="auto" w:fill="auto"/>
            <w:vAlign w:val="center"/>
            <w:hideMark/>
          </w:tcPr>
          <w:p w14:paraId="7EE00A31" w14:textId="78A59D15"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0.8</w:t>
            </w:r>
          </w:p>
        </w:tc>
        <w:tc>
          <w:tcPr>
            <w:tcW w:w="1102" w:type="dxa"/>
            <w:tcBorders>
              <w:top w:val="nil"/>
              <w:left w:val="nil"/>
              <w:bottom w:val="single" w:sz="8" w:space="0" w:color="C2D69B"/>
              <w:right w:val="single" w:sz="8" w:space="0" w:color="C2D69B"/>
            </w:tcBorders>
            <w:shd w:val="clear" w:color="auto" w:fill="auto"/>
            <w:vAlign w:val="center"/>
            <w:hideMark/>
          </w:tcPr>
          <w:p w14:paraId="73F3E731" w14:textId="34B64B5C" w:rsidR="00E50129" w:rsidRPr="00406830" w:rsidRDefault="00E50129" w:rsidP="00E50129">
            <w:pPr>
              <w:spacing w:after="0" w:line="240" w:lineRule="auto"/>
              <w:jc w:val="center"/>
              <w:rPr>
                <w:rFonts w:ascii="Arial" w:eastAsia="Times New Roman" w:hAnsi="Arial" w:cs="Arial"/>
                <w:sz w:val="16"/>
                <w:szCs w:val="16"/>
                <w:lang w:val="en-GB" w:eastAsia="es-MX"/>
              </w:rPr>
            </w:pPr>
            <w:r w:rsidRPr="00FB58CB">
              <w:rPr>
                <w:rFonts w:ascii="Arial" w:hAnsi="Arial" w:cs="Arial"/>
                <w:sz w:val="16"/>
                <w:szCs w:val="16"/>
              </w:rPr>
              <w:t>2.</w:t>
            </w:r>
            <w:r w:rsidR="00273B98" w:rsidRPr="00FB58CB">
              <w:rPr>
                <w:rFonts w:ascii="Arial" w:hAnsi="Arial" w:cs="Arial"/>
                <w:sz w:val="16"/>
                <w:szCs w:val="16"/>
              </w:rPr>
              <w:t>4</w:t>
            </w:r>
            <w:r w:rsidRPr="00FB58CB">
              <w:rPr>
                <w:rFonts w:ascii="Arial" w:hAnsi="Arial" w:cs="Arial"/>
                <w:sz w:val="16"/>
                <w:szCs w:val="16"/>
              </w:rPr>
              <w:t>%</w:t>
            </w:r>
          </w:p>
        </w:tc>
      </w:tr>
      <w:tr w:rsidR="00B550D6" w:rsidRPr="00E50129" w14:paraId="18C4D695" w14:textId="77777777" w:rsidTr="00B550D6">
        <w:trPr>
          <w:trHeight w:val="268"/>
        </w:trPr>
        <w:tc>
          <w:tcPr>
            <w:tcW w:w="1198" w:type="dxa"/>
            <w:tcBorders>
              <w:top w:val="nil"/>
              <w:left w:val="single" w:sz="8" w:space="0" w:color="C2D69B"/>
              <w:bottom w:val="single" w:sz="8" w:space="0" w:color="C2D69B"/>
              <w:right w:val="single" w:sz="8" w:space="0" w:color="C2D69B"/>
            </w:tcBorders>
            <w:shd w:val="clear" w:color="000000" w:fill="EAF1DD"/>
            <w:vAlign w:val="center"/>
            <w:hideMark/>
          </w:tcPr>
          <w:p w14:paraId="6CABC22D" w14:textId="02EC0CDE" w:rsidR="00E50129" w:rsidRPr="001250CB" w:rsidRDefault="00E50129" w:rsidP="00E50129">
            <w:pPr>
              <w:spacing w:after="0" w:line="240" w:lineRule="auto"/>
              <w:jc w:val="center"/>
              <w:rPr>
                <w:rFonts w:ascii="Arial" w:eastAsia="Times New Roman" w:hAnsi="Arial" w:cs="Arial"/>
                <w:bCs/>
                <w:sz w:val="16"/>
                <w:szCs w:val="16"/>
                <w:lang w:val="es-MX" w:eastAsia="es-MX"/>
              </w:rPr>
            </w:pPr>
            <w:r w:rsidRPr="001250CB">
              <w:rPr>
                <w:rFonts w:ascii="Arial" w:eastAsia="Times New Roman" w:hAnsi="Arial" w:cs="Arial"/>
                <w:bCs/>
                <w:sz w:val="16"/>
                <w:szCs w:val="16"/>
                <w:lang w:val="es-MX" w:eastAsia="es-MX"/>
              </w:rPr>
              <w:t>301 - 1,000</w:t>
            </w:r>
          </w:p>
        </w:tc>
        <w:tc>
          <w:tcPr>
            <w:tcW w:w="1198" w:type="dxa"/>
            <w:tcBorders>
              <w:top w:val="nil"/>
              <w:left w:val="nil"/>
              <w:bottom w:val="single" w:sz="8" w:space="0" w:color="C2D69B"/>
              <w:right w:val="single" w:sz="8" w:space="0" w:color="C2D69B"/>
            </w:tcBorders>
            <w:shd w:val="clear" w:color="000000" w:fill="EAF1DD"/>
            <w:vAlign w:val="center"/>
            <w:hideMark/>
          </w:tcPr>
          <w:p w14:paraId="144522AD"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380</w:t>
            </w:r>
          </w:p>
        </w:tc>
        <w:tc>
          <w:tcPr>
            <w:tcW w:w="1432" w:type="dxa"/>
            <w:tcBorders>
              <w:top w:val="nil"/>
              <w:left w:val="nil"/>
              <w:bottom w:val="single" w:sz="8" w:space="0" w:color="C2D69B"/>
              <w:right w:val="single" w:sz="8" w:space="0" w:color="C2D69B"/>
            </w:tcBorders>
            <w:shd w:val="clear" w:color="000000" w:fill="EAF1DD"/>
            <w:vAlign w:val="center"/>
            <w:hideMark/>
          </w:tcPr>
          <w:p w14:paraId="3B4FF0BC"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227,295</w:t>
            </w:r>
          </w:p>
        </w:tc>
        <w:tc>
          <w:tcPr>
            <w:tcW w:w="1113" w:type="dxa"/>
            <w:tcBorders>
              <w:top w:val="nil"/>
              <w:left w:val="nil"/>
              <w:bottom w:val="single" w:sz="8" w:space="0" w:color="C2D69B"/>
              <w:right w:val="single" w:sz="8" w:space="0" w:color="C2D69B"/>
            </w:tcBorders>
            <w:shd w:val="clear" w:color="000000" w:fill="EAF1DD"/>
            <w:vAlign w:val="center"/>
            <w:hideMark/>
          </w:tcPr>
          <w:p w14:paraId="04D32462" w14:textId="6C48C64D"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1.</w:t>
            </w:r>
            <w:r w:rsidR="00273B98" w:rsidRPr="00406830">
              <w:rPr>
                <w:rFonts w:ascii="Arial" w:hAnsi="Arial" w:cs="Arial"/>
                <w:sz w:val="16"/>
                <w:szCs w:val="16"/>
              </w:rPr>
              <w:t>1</w:t>
            </w:r>
            <w:r w:rsidRPr="00406830">
              <w:rPr>
                <w:rFonts w:ascii="Arial" w:hAnsi="Arial" w:cs="Arial"/>
                <w:sz w:val="16"/>
                <w:szCs w:val="16"/>
              </w:rPr>
              <w:t>%</w:t>
            </w:r>
          </w:p>
        </w:tc>
        <w:tc>
          <w:tcPr>
            <w:tcW w:w="1021" w:type="dxa"/>
            <w:tcBorders>
              <w:top w:val="nil"/>
              <w:left w:val="nil"/>
              <w:bottom w:val="single" w:sz="8" w:space="0" w:color="C2D69B"/>
              <w:right w:val="single" w:sz="8" w:space="0" w:color="C2D69B"/>
            </w:tcBorders>
            <w:shd w:val="clear" w:color="000000" w:fill="EAF1DD"/>
            <w:vAlign w:val="center"/>
            <w:hideMark/>
          </w:tcPr>
          <w:p w14:paraId="33276D0A"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7.2</w:t>
            </w:r>
          </w:p>
        </w:tc>
        <w:tc>
          <w:tcPr>
            <w:tcW w:w="1132" w:type="dxa"/>
            <w:tcBorders>
              <w:top w:val="nil"/>
              <w:left w:val="nil"/>
              <w:bottom w:val="single" w:sz="8" w:space="0" w:color="C2D69B"/>
              <w:right w:val="single" w:sz="8" w:space="0" w:color="C2D69B"/>
            </w:tcBorders>
            <w:shd w:val="clear" w:color="000000" w:fill="EAF1DD"/>
            <w:vAlign w:val="center"/>
            <w:hideMark/>
          </w:tcPr>
          <w:p w14:paraId="0A8EDD45" w14:textId="271A4D92"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5.</w:t>
            </w:r>
            <w:r w:rsidR="00273B98" w:rsidRPr="00406830">
              <w:rPr>
                <w:rFonts w:ascii="Arial" w:hAnsi="Arial" w:cs="Arial"/>
                <w:sz w:val="16"/>
                <w:szCs w:val="16"/>
              </w:rPr>
              <w:t>7</w:t>
            </w:r>
            <w:r w:rsidRPr="00406830">
              <w:rPr>
                <w:rFonts w:ascii="Arial" w:hAnsi="Arial" w:cs="Arial"/>
                <w:sz w:val="16"/>
                <w:szCs w:val="16"/>
              </w:rPr>
              <w:t>%</w:t>
            </w:r>
          </w:p>
        </w:tc>
        <w:tc>
          <w:tcPr>
            <w:tcW w:w="1179" w:type="dxa"/>
            <w:tcBorders>
              <w:top w:val="nil"/>
              <w:left w:val="nil"/>
              <w:bottom w:val="single" w:sz="8" w:space="0" w:color="C2D69B"/>
              <w:right w:val="single" w:sz="8" w:space="0" w:color="C2D69B"/>
            </w:tcBorders>
            <w:shd w:val="clear" w:color="000000" w:fill="EAF1DD"/>
            <w:vAlign w:val="center"/>
            <w:hideMark/>
          </w:tcPr>
          <w:p w14:paraId="25CB623B" w14:textId="62756DF8"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1.9</w:t>
            </w:r>
          </w:p>
        </w:tc>
        <w:tc>
          <w:tcPr>
            <w:tcW w:w="1102" w:type="dxa"/>
            <w:tcBorders>
              <w:top w:val="nil"/>
              <w:left w:val="nil"/>
              <w:bottom w:val="single" w:sz="8" w:space="0" w:color="C2D69B"/>
              <w:right w:val="single" w:sz="8" w:space="0" w:color="C2D69B"/>
            </w:tcBorders>
            <w:shd w:val="clear" w:color="000000" w:fill="EAF1DD"/>
            <w:vAlign w:val="center"/>
            <w:hideMark/>
          </w:tcPr>
          <w:p w14:paraId="068433D3" w14:textId="489E7B46" w:rsidR="00E50129" w:rsidRPr="00406830" w:rsidRDefault="00E50129" w:rsidP="00E50129">
            <w:pPr>
              <w:spacing w:after="0" w:line="240" w:lineRule="auto"/>
              <w:jc w:val="center"/>
              <w:rPr>
                <w:rFonts w:ascii="Arial" w:eastAsia="Times New Roman" w:hAnsi="Arial" w:cs="Arial"/>
                <w:sz w:val="16"/>
                <w:szCs w:val="16"/>
                <w:lang w:val="en-GB" w:eastAsia="es-MX"/>
              </w:rPr>
            </w:pPr>
            <w:r w:rsidRPr="00FB58CB">
              <w:rPr>
                <w:rFonts w:ascii="Arial" w:hAnsi="Arial" w:cs="Arial"/>
                <w:sz w:val="16"/>
                <w:szCs w:val="16"/>
              </w:rPr>
              <w:t>5.</w:t>
            </w:r>
            <w:r w:rsidR="00273B98" w:rsidRPr="00FB58CB">
              <w:rPr>
                <w:rFonts w:ascii="Arial" w:hAnsi="Arial" w:cs="Arial"/>
                <w:sz w:val="16"/>
                <w:szCs w:val="16"/>
              </w:rPr>
              <w:t>5</w:t>
            </w:r>
            <w:r w:rsidRPr="00FB58CB">
              <w:rPr>
                <w:rFonts w:ascii="Arial" w:hAnsi="Arial" w:cs="Arial"/>
                <w:sz w:val="16"/>
                <w:szCs w:val="16"/>
              </w:rPr>
              <w:t>%</w:t>
            </w:r>
          </w:p>
        </w:tc>
      </w:tr>
      <w:tr w:rsidR="00B550D6" w:rsidRPr="00E50129" w14:paraId="6A21C9A0" w14:textId="77777777" w:rsidTr="00B550D6">
        <w:trPr>
          <w:trHeight w:val="268"/>
        </w:trPr>
        <w:tc>
          <w:tcPr>
            <w:tcW w:w="1198" w:type="dxa"/>
            <w:tcBorders>
              <w:top w:val="nil"/>
              <w:left w:val="single" w:sz="8" w:space="0" w:color="C2D69B"/>
              <w:bottom w:val="single" w:sz="8" w:space="0" w:color="C2D69B"/>
              <w:right w:val="single" w:sz="8" w:space="0" w:color="C2D69B"/>
            </w:tcBorders>
            <w:shd w:val="clear" w:color="auto" w:fill="auto"/>
            <w:vAlign w:val="center"/>
            <w:hideMark/>
          </w:tcPr>
          <w:p w14:paraId="5268DD0E" w14:textId="7D3DD843" w:rsidR="00E50129" w:rsidRPr="001250CB" w:rsidRDefault="00E50129" w:rsidP="00E50129">
            <w:pPr>
              <w:spacing w:after="0" w:line="240" w:lineRule="auto"/>
              <w:jc w:val="center"/>
              <w:rPr>
                <w:rFonts w:ascii="Arial" w:eastAsia="Times New Roman" w:hAnsi="Arial" w:cs="Arial"/>
                <w:bCs/>
                <w:sz w:val="16"/>
                <w:szCs w:val="16"/>
                <w:lang w:val="es-MX" w:eastAsia="es-MX"/>
              </w:rPr>
            </w:pPr>
            <w:r w:rsidRPr="001250CB">
              <w:rPr>
                <w:rFonts w:ascii="Arial" w:eastAsia="Times New Roman" w:hAnsi="Arial" w:cs="Arial"/>
                <w:bCs/>
                <w:sz w:val="16"/>
                <w:szCs w:val="16"/>
                <w:lang w:val="es-MX" w:eastAsia="es-MX"/>
              </w:rPr>
              <w:t>1,001 - 3,500</w:t>
            </w:r>
          </w:p>
        </w:tc>
        <w:tc>
          <w:tcPr>
            <w:tcW w:w="1198" w:type="dxa"/>
            <w:tcBorders>
              <w:top w:val="nil"/>
              <w:left w:val="nil"/>
              <w:bottom w:val="single" w:sz="8" w:space="0" w:color="C2D69B"/>
              <w:right w:val="single" w:sz="8" w:space="0" w:color="C2D69B"/>
            </w:tcBorders>
            <w:shd w:val="clear" w:color="auto" w:fill="auto"/>
            <w:vAlign w:val="center"/>
            <w:hideMark/>
          </w:tcPr>
          <w:p w14:paraId="1BF55481"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378</w:t>
            </w:r>
          </w:p>
        </w:tc>
        <w:tc>
          <w:tcPr>
            <w:tcW w:w="1432" w:type="dxa"/>
            <w:tcBorders>
              <w:top w:val="nil"/>
              <w:left w:val="nil"/>
              <w:bottom w:val="single" w:sz="8" w:space="0" w:color="C2D69B"/>
              <w:right w:val="single" w:sz="8" w:space="0" w:color="C2D69B"/>
            </w:tcBorders>
            <w:shd w:val="clear" w:color="auto" w:fill="auto"/>
            <w:vAlign w:val="center"/>
            <w:hideMark/>
          </w:tcPr>
          <w:p w14:paraId="2DB79A5A"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710,347</w:t>
            </w:r>
          </w:p>
        </w:tc>
        <w:tc>
          <w:tcPr>
            <w:tcW w:w="1113" w:type="dxa"/>
            <w:tcBorders>
              <w:top w:val="nil"/>
              <w:left w:val="nil"/>
              <w:bottom w:val="single" w:sz="8" w:space="0" w:color="C2D69B"/>
              <w:right w:val="single" w:sz="8" w:space="0" w:color="C2D69B"/>
            </w:tcBorders>
            <w:shd w:val="clear" w:color="auto" w:fill="auto"/>
            <w:vAlign w:val="center"/>
            <w:hideMark/>
          </w:tcPr>
          <w:p w14:paraId="77A93F17" w14:textId="0ECB7F1E"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3.</w:t>
            </w:r>
            <w:r w:rsidR="00273B98" w:rsidRPr="00406830">
              <w:rPr>
                <w:rFonts w:ascii="Arial" w:hAnsi="Arial" w:cs="Arial"/>
                <w:sz w:val="16"/>
                <w:szCs w:val="16"/>
              </w:rPr>
              <w:t>5</w:t>
            </w:r>
            <w:r w:rsidRPr="00406830">
              <w:rPr>
                <w:rFonts w:ascii="Arial" w:hAnsi="Arial" w:cs="Arial"/>
                <w:sz w:val="16"/>
                <w:szCs w:val="16"/>
              </w:rPr>
              <w:t>%</w:t>
            </w:r>
          </w:p>
        </w:tc>
        <w:tc>
          <w:tcPr>
            <w:tcW w:w="1021" w:type="dxa"/>
            <w:tcBorders>
              <w:top w:val="nil"/>
              <w:left w:val="nil"/>
              <w:bottom w:val="single" w:sz="8" w:space="0" w:color="C2D69B"/>
              <w:right w:val="single" w:sz="8" w:space="0" w:color="C2D69B"/>
            </w:tcBorders>
            <w:shd w:val="clear" w:color="auto" w:fill="auto"/>
            <w:vAlign w:val="center"/>
            <w:hideMark/>
          </w:tcPr>
          <w:p w14:paraId="32E651BD"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12.3</w:t>
            </w:r>
          </w:p>
        </w:tc>
        <w:tc>
          <w:tcPr>
            <w:tcW w:w="1132" w:type="dxa"/>
            <w:tcBorders>
              <w:top w:val="nil"/>
              <w:left w:val="nil"/>
              <w:bottom w:val="single" w:sz="8" w:space="0" w:color="C2D69B"/>
              <w:right w:val="single" w:sz="8" w:space="0" w:color="C2D69B"/>
            </w:tcBorders>
            <w:shd w:val="clear" w:color="auto" w:fill="auto"/>
            <w:vAlign w:val="center"/>
            <w:hideMark/>
          </w:tcPr>
          <w:p w14:paraId="48DA8737" w14:textId="26F8B13B"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9.</w:t>
            </w:r>
            <w:r w:rsidR="00273B98" w:rsidRPr="00406830">
              <w:rPr>
                <w:rFonts w:ascii="Arial" w:hAnsi="Arial" w:cs="Arial"/>
                <w:sz w:val="16"/>
                <w:szCs w:val="16"/>
              </w:rPr>
              <w:t>8</w:t>
            </w:r>
            <w:r w:rsidRPr="00406830">
              <w:rPr>
                <w:rFonts w:ascii="Arial" w:hAnsi="Arial" w:cs="Arial"/>
                <w:sz w:val="16"/>
                <w:szCs w:val="16"/>
              </w:rPr>
              <w:t>%</w:t>
            </w:r>
          </w:p>
        </w:tc>
        <w:tc>
          <w:tcPr>
            <w:tcW w:w="1179" w:type="dxa"/>
            <w:tcBorders>
              <w:top w:val="nil"/>
              <w:left w:val="nil"/>
              <w:bottom w:val="single" w:sz="8" w:space="0" w:color="C2D69B"/>
              <w:right w:val="single" w:sz="8" w:space="0" w:color="C2D69B"/>
            </w:tcBorders>
            <w:shd w:val="clear" w:color="auto" w:fill="auto"/>
            <w:vAlign w:val="center"/>
            <w:hideMark/>
          </w:tcPr>
          <w:p w14:paraId="028234BB" w14:textId="2439CADA"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3.</w:t>
            </w:r>
            <w:r w:rsidR="00273B98" w:rsidRPr="00406830">
              <w:rPr>
                <w:rFonts w:ascii="Arial" w:eastAsia="Times New Roman" w:hAnsi="Arial" w:cs="Arial"/>
                <w:sz w:val="16"/>
                <w:szCs w:val="16"/>
                <w:lang w:val="es-MX" w:eastAsia="es-MX"/>
              </w:rPr>
              <w:t>3</w:t>
            </w:r>
          </w:p>
        </w:tc>
        <w:tc>
          <w:tcPr>
            <w:tcW w:w="1102" w:type="dxa"/>
            <w:tcBorders>
              <w:top w:val="nil"/>
              <w:left w:val="nil"/>
              <w:bottom w:val="single" w:sz="8" w:space="0" w:color="C2D69B"/>
              <w:right w:val="single" w:sz="8" w:space="0" w:color="C2D69B"/>
            </w:tcBorders>
            <w:shd w:val="clear" w:color="auto" w:fill="auto"/>
            <w:vAlign w:val="center"/>
            <w:hideMark/>
          </w:tcPr>
          <w:p w14:paraId="582DA50D" w14:textId="5F4BE284" w:rsidR="00E50129" w:rsidRPr="00406830" w:rsidRDefault="00E50129" w:rsidP="00E50129">
            <w:pPr>
              <w:spacing w:after="0" w:line="240" w:lineRule="auto"/>
              <w:jc w:val="center"/>
              <w:rPr>
                <w:rFonts w:ascii="Arial" w:eastAsia="Times New Roman" w:hAnsi="Arial" w:cs="Arial"/>
                <w:sz w:val="16"/>
                <w:szCs w:val="16"/>
                <w:lang w:val="en-GB" w:eastAsia="es-MX"/>
              </w:rPr>
            </w:pPr>
            <w:r w:rsidRPr="00FB58CB">
              <w:rPr>
                <w:rFonts w:ascii="Arial" w:hAnsi="Arial" w:cs="Arial"/>
                <w:sz w:val="16"/>
                <w:szCs w:val="16"/>
              </w:rPr>
              <w:t>9.</w:t>
            </w:r>
            <w:r w:rsidR="00273B98" w:rsidRPr="00FB58CB">
              <w:rPr>
                <w:rFonts w:ascii="Arial" w:hAnsi="Arial" w:cs="Arial"/>
                <w:sz w:val="16"/>
                <w:szCs w:val="16"/>
              </w:rPr>
              <w:t>3</w:t>
            </w:r>
            <w:r w:rsidRPr="00FB58CB">
              <w:rPr>
                <w:rFonts w:ascii="Arial" w:hAnsi="Arial" w:cs="Arial"/>
                <w:sz w:val="16"/>
                <w:szCs w:val="16"/>
              </w:rPr>
              <w:t>%</w:t>
            </w:r>
          </w:p>
        </w:tc>
      </w:tr>
      <w:tr w:rsidR="00B550D6" w:rsidRPr="00E50129" w14:paraId="359130DF" w14:textId="77777777" w:rsidTr="00B550D6">
        <w:trPr>
          <w:trHeight w:val="268"/>
        </w:trPr>
        <w:tc>
          <w:tcPr>
            <w:tcW w:w="1198" w:type="dxa"/>
            <w:tcBorders>
              <w:top w:val="nil"/>
              <w:left w:val="single" w:sz="8" w:space="0" w:color="C2D69B"/>
              <w:bottom w:val="single" w:sz="8" w:space="0" w:color="C2D69B"/>
              <w:right w:val="single" w:sz="8" w:space="0" w:color="C2D69B"/>
            </w:tcBorders>
            <w:shd w:val="clear" w:color="000000" w:fill="EAF1DD"/>
            <w:vAlign w:val="center"/>
            <w:hideMark/>
          </w:tcPr>
          <w:p w14:paraId="2D40F12B" w14:textId="1CFADF0E" w:rsidR="00E50129" w:rsidRPr="001250CB" w:rsidRDefault="00E50129" w:rsidP="00E50129">
            <w:pPr>
              <w:spacing w:after="0" w:line="240" w:lineRule="auto"/>
              <w:jc w:val="center"/>
              <w:rPr>
                <w:rFonts w:ascii="Arial" w:eastAsia="Times New Roman" w:hAnsi="Arial" w:cs="Arial"/>
                <w:bCs/>
                <w:sz w:val="16"/>
                <w:szCs w:val="16"/>
                <w:lang w:val="es-MX" w:eastAsia="es-MX"/>
              </w:rPr>
            </w:pPr>
            <w:r w:rsidRPr="001250CB">
              <w:rPr>
                <w:rFonts w:ascii="Arial" w:eastAsia="Times New Roman" w:hAnsi="Arial" w:cs="Arial"/>
                <w:bCs/>
                <w:sz w:val="16"/>
                <w:szCs w:val="16"/>
                <w:lang w:val="en-GB" w:eastAsia="es-MX"/>
              </w:rPr>
              <w:t>Más de 3,500</w:t>
            </w:r>
          </w:p>
        </w:tc>
        <w:tc>
          <w:tcPr>
            <w:tcW w:w="1198" w:type="dxa"/>
            <w:tcBorders>
              <w:top w:val="nil"/>
              <w:left w:val="nil"/>
              <w:bottom w:val="single" w:sz="8" w:space="0" w:color="C2D69B"/>
              <w:right w:val="single" w:sz="8" w:space="0" w:color="C2D69B"/>
            </w:tcBorders>
            <w:shd w:val="clear" w:color="000000" w:fill="EAF1DD"/>
            <w:vAlign w:val="center"/>
            <w:hideMark/>
          </w:tcPr>
          <w:p w14:paraId="2F70C3A2"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446</w:t>
            </w:r>
          </w:p>
        </w:tc>
        <w:tc>
          <w:tcPr>
            <w:tcW w:w="1432" w:type="dxa"/>
            <w:tcBorders>
              <w:top w:val="nil"/>
              <w:left w:val="nil"/>
              <w:bottom w:val="single" w:sz="8" w:space="0" w:color="C2D69B"/>
              <w:right w:val="single" w:sz="8" w:space="0" w:color="C2D69B"/>
            </w:tcBorders>
            <w:shd w:val="clear" w:color="000000" w:fill="EAF1DD"/>
            <w:vAlign w:val="center"/>
            <w:hideMark/>
          </w:tcPr>
          <w:p w14:paraId="140DDC7F"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19,127,989</w:t>
            </w:r>
          </w:p>
        </w:tc>
        <w:tc>
          <w:tcPr>
            <w:tcW w:w="1113" w:type="dxa"/>
            <w:tcBorders>
              <w:top w:val="nil"/>
              <w:left w:val="nil"/>
              <w:bottom w:val="single" w:sz="8" w:space="0" w:color="C2D69B"/>
              <w:right w:val="single" w:sz="8" w:space="0" w:color="C2D69B"/>
            </w:tcBorders>
            <w:shd w:val="clear" w:color="000000" w:fill="EAF1DD"/>
            <w:vAlign w:val="center"/>
            <w:hideMark/>
          </w:tcPr>
          <w:p w14:paraId="72D0A1EA" w14:textId="1AFC6248"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95.</w:t>
            </w:r>
            <w:r w:rsidR="00273B98" w:rsidRPr="00406830">
              <w:rPr>
                <w:rFonts w:ascii="Arial" w:hAnsi="Arial" w:cs="Arial"/>
                <w:sz w:val="16"/>
                <w:szCs w:val="16"/>
              </w:rPr>
              <w:t>1</w:t>
            </w:r>
            <w:r w:rsidRPr="00406830">
              <w:rPr>
                <w:rFonts w:ascii="Arial" w:hAnsi="Arial" w:cs="Arial"/>
                <w:sz w:val="16"/>
                <w:szCs w:val="16"/>
              </w:rPr>
              <w:t>%</w:t>
            </w:r>
          </w:p>
        </w:tc>
        <w:tc>
          <w:tcPr>
            <w:tcW w:w="1021" w:type="dxa"/>
            <w:tcBorders>
              <w:top w:val="nil"/>
              <w:left w:val="nil"/>
              <w:bottom w:val="single" w:sz="8" w:space="0" w:color="C2D69B"/>
              <w:right w:val="single" w:sz="8" w:space="0" w:color="C2D69B"/>
            </w:tcBorders>
            <w:shd w:val="clear" w:color="000000" w:fill="EAF1DD"/>
            <w:vAlign w:val="center"/>
            <w:hideMark/>
          </w:tcPr>
          <w:p w14:paraId="48E08D89"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95.7</w:t>
            </w:r>
          </w:p>
        </w:tc>
        <w:tc>
          <w:tcPr>
            <w:tcW w:w="1132" w:type="dxa"/>
            <w:tcBorders>
              <w:top w:val="nil"/>
              <w:left w:val="nil"/>
              <w:bottom w:val="single" w:sz="8" w:space="0" w:color="C2D69B"/>
              <w:right w:val="single" w:sz="8" w:space="0" w:color="C2D69B"/>
            </w:tcBorders>
            <w:shd w:val="clear" w:color="000000" w:fill="EAF1DD"/>
            <w:vAlign w:val="center"/>
            <w:hideMark/>
          </w:tcPr>
          <w:p w14:paraId="69A2A09A" w14:textId="69BEFCAC" w:rsidR="00E50129" w:rsidRPr="00B550D6" w:rsidRDefault="00273B98"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76.0%</w:t>
            </w:r>
          </w:p>
        </w:tc>
        <w:tc>
          <w:tcPr>
            <w:tcW w:w="1179" w:type="dxa"/>
            <w:tcBorders>
              <w:top w:val="nil"/>
              <w:left w:val="nil"/>
              <w:bottom w:val="single" w:sz="8" w:space="0" w:color="C2D69B"/>
              <w:right w:val="single" w:sz="8" w:space="0" w:color="C2D69B"/>
            </w:tcBorders>
            <w:shd w:val="clear" w:color="000000" w:fill="EAF1DD"/>
            <w:vAlign w:val="center"/>
            <w:hideMark/>
          </w:tcPr>
          <w:p w14:paraId="1EF81A00" w14:textId="5AB83C2D" w:rsidR="00E50129" w:rsidRPr="00B550D6" w:rsidRDefault="00273B98" w:rsidP="00B550D6">
            <w:pPr>
              <w:spacing w:after="0" w:line="240" w:lineRule="auto"/>
              <w:jc w:val="right"/>
              <w:rPr>
                <w:rFonts w:ascii="Arial" w:eastAsia="Times New Roman" w:hAnsi="Arial" w:cs="Arial"/>
                <w:sz w:val="16"/>
                <w:szCs w:val="16"/>
                <w:lang w:val="es-MX" w:eastAsia="es-MX"/>
              </w:rPr>
            </w:pPr>
            <w:r w:rsidRPr="00406830">
              <w:rPr>
                <w:rFonts w:ascii="Arial" w:eastAsia="Times New Roman" w:hAnsi="Arial" w:cs="Arial"/>
                <w:sz w:val="16"/>
                <w:szCs w:val="16"/>
                <w:lang w:val="es-MX" w:eastAsia="es-MX"/>
              </w:rPr>
              <w:t>27.3</w:t>
            </w:r>
          </w:p>
        </w:tc>
        <w:tc>
          <w:tcPr>
            <w:tcW w:w="1102" w:type="dxa"/>
            <w:tcBorders>
              <w:top w:val="nil"/>
              <w:left w:val="nil"/>
              <w:bottom w:val="single" w:sz="8" w:space="0" w:color="C2D69B"/>
              <w:right w:val="single" w:sz="8" w:space="0" w:color="C2D69B"/>
            </w:tcBorders>
            <w:shd w:val="clear" w:color="000000" w:fill="EAF1DD"/>
            <w:vAlign w:val="center"/>
            <w:hideMark/>
          </w:tcPr>
          <w:p w14:paraId="2F0A349D" w14:textId="230F4C9D" w:rsidR="00E50129" w:rsidRPr="00406830" w:rsidRDefault="00273B98" w:rsidP="00E50129">
            <w:pPr>
              <w:spacing w:after="0" w:line="240" w:lineRule="auto"/>
              <w:jc w:val="center"/>
              <w:rPr>
                <w:rFonts w:ascii="Arial" w:eastAsia="Times New Roman" w:hAnsi="Arial" w:cs="Arial"/>
                <w:sz w:val="16"/>
                <w:szCs w:val="16"/>
                <w:lang w:val="en-GB" w:eastAsia="es-MX"/>
              </w:rPr>
            </w:pPr>
            <w:r w:rsidRPr="00FB58CB">
              <w:rPr>
                <w:rFonts w:ascii="Arial" w:hAnsi="Arial" w:cs="Arial"/>
                <w:sz w:val="16"/>
                <w:szCs w:val="16"/>
              </w:rPr>
              <w:t>77.4%</w:t>
            </w:r>
          </w:p>
        </w:tc>
      </w:tr>
      <w:tr w:rsidR="00B550D6" w:rsidRPr="00E50129" w14:paraId="31A00352" w14:textId="77777777" w:rsidTr="00B550D6">
        <w:trPr>
          <w:trHeight w:val="268"/>
        </w:trPr>
        <w:tc>
          <w:tcPr>
            <w:tcW w:w="1198" w:type="dxa"/>
            <w:tcBorders>
              <w:top w:val="nil"/>
              <w:left w:val="single" w:sz="8" w:space="0" w:color="C2D69B"/>
              <w:bottom w:val="single" w:sz="8" w:space="0" w:color="C2D69B"/>
              <w:right w:val="single" w:sz="8" w:space="0" w:color="C2D69B"/>
            </w:tcBorders>
            <w:shd w:val="clear" w:color="auto" w:fill="auto"/>
            <w:vAlign w:val="center"/>
            <w:hideMark/>
          </w:tcPr>
          <w:p w14:paraId="1E0C9994" w14:textId="2719C7B6" w:rsidR="00E50129" w:rsidRPr="001250CB" w:rsidRDefault="00E50129" w:rsidP="00E50129">
            <w:pPr>
              <w:spacing w:after="0" w:line="240" w:lineRule="auto"/>
              <w:jc w:val="center"/>
              <w:rPr>
                <w:rFonts w:ascii="Arial" w:eastAsia="Times New Roman" w:hAnsi="Arial" w:cs="Arial"/>
                <w:bCs/>
                <w:sz w:val="16"/>
                <w:szCs w:val="16"/>
                <w:lang w:val="es-MX" w:eastAsia="es-MX"/>
              </w:rPr>
            </w:pPr>
            <w:r w:rsidRPr="001250CB">
              <w:rPr>
                <w:rFonts w:ascii="Arial" w:eastAsia="Times New Roman" w:hAnsi="Arial" w:cs="Arial"/>
                <w:bCs/>
                <w:sz w:val="16"/>
                <w:szCs w:val="16"/>
                <w:lang w:val="es-MX" w:eastAsia="es-MX"/>
              </w:rPr>
              <w:t>Sin dato</w:t>
            </w:r>
            <w:r w:rsidR="00B550D6" w:rsidRPr="001250CB">
              <w:rPr>
                <w:rFonts w:ascii="Arial" w:eastAsia="Times New Roman" w:hAnsi="Arial" w:cs="Arial"/>
                <w:bCs/>
                <w:sz w:val="16"/>
                <w:szCs w:val="16"/>
                <w:lang w:val="es-MX" w:eastAsia="es-MX"/>
              </w:rPr>
              <w:t>***</w:t>
            </w:r>
          </w:p>
        </w:tc>
        <w:tc>
          <w:tcPr>
            <w:tcW w:w="1198" w:type="dxa"/>
            <w:tcBorders>
              <w:top w:val="nil"/>
              <w:left w:val="nil"/>
              <w:bottom w:val="single" w:sz="8" w:space="0" w:color="C2D69B"/>
              <w:right w:val="single" w:sz="8" w:space="0" w:color="C2D69B"/>
            </w:tcBorders>
            <w:shd w:val="clear" w:color="auto" w:fill="auto"/>
            <w:vAlign w:val="center"/>
            <w:hideMark/>
          </w:tcPr>
          <w:p w14:paraId="646C8FF1"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12</w:t>
            </w:r>
          </w:p>
        </w:tc>
        <w:tc>
          <w:tcPr>
            <w:tcW w:w="1432" w:type="dxa"/>
            <w:tcBorders>
              <w:top w:val="nil"/>
              <w:left w:val="nil"/>
              <w:bottom w:val="single" w:sz="8" w:space="0" w:color="C2D69B"/>
              <w:right w:val="single" w:sz="8" w:space="0" w:color="C2D69B"/>
            </w:tcBorders>
            <w:shd w:val="clear" w:color="auto" w:fill="auto"/>
            <w:vAlign w:val="center"/>
            <w:hideMark/>
          </w:tcPr>
          <w:p w14:paraId="33DAEDD6"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0</w:t>
            </w:r>
          </w:p>
        </w:tc>
        <w:tc>
          <w:tcPr>
            <w:tcW w:w="1113" w:type="dxa"/>
            <w:tcBorders>
              <w:top w:val="nil"/>
              <w:left w:val="nil"/>
              <w:bottom w:val="single" w:sz="8" w:space="0" w:color="C2D69B"/>
              <w:right w:val="single" w:sz="8" w:space="0" w:color="C2D69B"/>
            </w:tcBorders>
            <w:shd w:val="clear" w:color="auto" w:fill="auto"/>
            <w:vAlign w:val="center"/>
            <w:hideMark/>
          </w:tcPr>
          <w:p w14:paraId="70E30A0C" w14:textId="11A494B1"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0.</w:t>
            </w:r>
            <w:r w:rsidR="00273B98" w:rsidRPr="00406830">
              <w:rPr>
                <w:rFonts w:ascii="Arial" w:hAnsi="Arial" w:cs="Arial"/>
                <w:sz w:val="16"/>
                <w:szCs w:val="16"/>
              </w:rPr>
              <w:t>0</w:t>
            </w:r>
            <w:r w:rsidRPr="00406830">
              <w:rPr>
                <w:rFonts w:ascii="Arial" w:hAnsi="Arial" w:cs="Arial"/>
                <w:sz w:val="16"/>
                <w:szCs w:val="16"/>
              </w:rPr>
              <w:t>%</w:t>
            </w:r>
          </w:p>
        </w:tc>
        <w:tc>
          <w:tcPr>
            <w:tcW w:w="1021" w:type="dxa"/>
            <w:tcBorders>
              <w:top w:val="nil"/>
              <w:left w:val="nil"/>
              <w:bottom w:val="single" w:sz="8" w:space="0" w:color="C2D69B"/>
              <w:right w:val="single" w:sz="8" w:space="0" w:color="C2D69B"/>
            </w:tcBorders>
            <w:shd w:val="clear" w:color="auto" w:fill="auto"/>
            <w:vAlign w:val="center"/>
            <w:hideMark/>
          </w:tcPr>
          <w:p w14:paraId="5105705C"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0.3</w:t>
            </w:r>
          </w:p>
        </w:tc>
        <w:tc>
          <w:tcPr>
            <w:tcW w:w="1132" w:type="dxa"/>
            <w:tcBorders>
              <w:top w:val="nil"/>
              <w:left w:val="nil"/>
              <w:bottom w:val="single" w:sz="8" w:space="0" w:color="C2D69B"/>
              <w:right w:val="single" w:sz="8" w:space="0" w:color="C2D69B"/>
            </w:tcBorders>
            <w:shd w:val="clear" w:color="auto" w:fill="auto"/>
            <w:vAlign w:val="center"/>
            <w:hideMark/>
          </w:tcPr>
          <w:p w14:paraId="58B458F4" w14:textId="43D204EC"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0.</w:t>
            </w:r>
            <w:r w:rsidR="00273B98" w:rsidRPr="00406830">
              <w:rPr>
                <w:rFonts w:ascii="Arial" w:hAnsi="Arial" w:cs="Arial"/>
                <w:sz w:val="16"/>
                <w:szCs w:val="16"/>
              </w:rPr>
              <w:t>2</w:t>
            </w:r>
            <w:r w:rsidRPr="00406830">
              <w:rPr>
                <w:rFonts w:ascii="Arial" w:hAnsi="Arial" w:cs="Arial"/>
                <w:sz w:val="16"/>
                <w:szCs w:val="16"/>
              </w:rPr>
              <w:t>%</w:t>
            </w:r>
          </w:p>
        </w:tc>
        <w:tc>
          <w:tcPr>
            <w:tcW w:w="1179" w:type="dxa"/>
            <w:tcBorders>
              <w:top w:val="nil"/>
              <w:left w:val="nil"/>
              <w:bottom w:val="single" w:sz="8" w:space="0" w:color="C2D69B"/>
              <w:right w:val="single" w:sz="8" w:space="0" w:color="C2D69B"/>
            </w:tcBorders>
            <w:shd w:val="clear" w:color="auto" w:fill="auto"/>
            <w:vAlign w:val="center"/>
            <w:hideMark/>
          </w:tcPr>
          <w:p w14:paraId="19C57930" w14:textId="1E4FB15F"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0.1</w:t>
            </w:r>
          </w:p>
        </w:tc>
        <w:tc>
          <w:tcPr>
            <w:tcW w:w="1102" w:type="dxa"/>
            <w:tcBorders>
              <w:top w:val="nil"/>
              <w:left w:val="nil"/>
              <w:bottom w:val="single" w:sz="8" w:space="0" w:color="C2D69B"/>
              <w:right w:val="single" w:sz="8" w:space="0" w:color="C2D69B"/>
            </w:tcBorders>
            <w:shd w:val="clear" w:color="auto" w:fill="auto"/>
            <w:vAlign w:val="center"/>
            <w:hideMark/>
          </w:tcPr>
          <w:p w14:paraId="47C6D32B" w14:textId="67399519" w:rsidR="00E50129" w:rsidRPr="00406830" w:rsidRDefault="00E50129" w:rsidP="00E50129">
            <w:pPr>
              <w:spacing w:after="0" w:line="240" w:lineRule="auto"/>
              <w:jc w:val="center"/>
              <w:rPr>
                <w:rFonts w:ascii="Arial" w:eastAsia="Times New Roman" w:hAnsi="Arial" w:cs="Arial"/>
                <w:sz w:val="16"/>
                <w:szCs w:val="16"/>
                <w:lang w:val="en-GB" w:eastAsia="es-MX"/>
              </w:rPr>
            </w:pPr>
            <w:r w:rsidRPr="00FB58CB">
              <w:rPr>
                <w:rFonts w:ascii="Arial" w:hAnsi="Arial" w:cs="Arial"/>
                <w:sz w:val="16"/>
                <w:szCs w:val="16"/>
              </w:rPr>
              <w:t>0.</w:t>
            </w:r>
            <w:r w:rsidR="00273B98" w:rsidRPr="00FB58CB">
              <w:rPr>
                <w:rFonts w:ascii="Arial" w:hAnsi="Arial" w:cs="Arial"/>
                <w:sz w:val="16"/>
                <w:szCs w:val="16"/>
              </w:rPr>
              <w:t>2</w:t>
            </w:r>
            <w:r w:rsidRPr="00FB58CB">
              <w:rPr>
                <w:rFonts w:ascii="Arial" w:hAnsi="Arial" w:cs="Arial"/>
                <w:sz w:val="16"/>
                <w:szCs w:val="16"/>
              </w:rPr>
              <w:t>%</w:t>
            </w:r>
          </w:p>
        </w:tc>
      </w:tr>
      <w:tr w:rsidR="00B550D6" w:rsidRPr="00E50129" w14:paraId="1658ACF4" w14:textId="77777777" w:rsidTr="00B550D6">
        <w:trPr>
          <w:trHeight w:val="268"/>
        </w:trPr>
        <w:tc>
          <w:tcPr>
            <w:tcW w:w="1198" w:type="dxa"/>
            <w:tcBorders>
              <w:top w:val="nil"/>
              <w:left w:val="single" w:sz="8" w:space="0" w:color="C2D69B"/>
              <w:bottom w:val="nil"/>
              <w:right w:val="single" w:sz="8" w:space="0" w:color="C2D69B"/>
            </w:tcBorders>
            <w:shd w:val="clear" w:color="000000" w:fill="EAF1DD"/>
            <w:vAlign w:val="center"/>
            <w:hideMark/>
          </w:tcPr>
          <w:p w14:paraId="62AC2D70" w14:textId="78260FD0" w:rsidR="00E50129" w:rsidRPr="00B550D6" w:rsidRDefault="00E50129" w:rsidP="00E50129">
            <w:pPr>
              <w:spacing w:after="0" w:line="240" w:lineRule="auto"/>
              <w:jc w:val="center"/>
              <w:rPr>
                <w:rFonts w:ascii="Arial" w:eastAsia="Times New Roman" w:hAnsi="Arial" w:cs="Arial"/>
                <w:b/>
                <w:bCs/>
                <w:sz w:val="16"/>
                <w:szCs w:val="16"/>
                <w:lang w:val="es-MX" w:eastAsia="es-MX"/>
              </w:rPr>
            </w:pPr>
            <w:r w:rsidRPr="00B550D6">
              <w:rPr>
                <w:rFonts w:ascii="Arial" w:eastAsia="Times New Roman" w:hAnsi="Arial" w:cs="Arial"/>
                <w:b/>
                <w:bCs/>
                <w:sz w:val="16"/>
                <w:szCs w:val="16"/>
                <w:lang w:val="es-MX" w:eastAsia="es-MX"/>
              </w:rPr>
              <w:t xml:space="preserve">Total </w:t>
            </w:r>
          </w:p>
        </w:tc>
        <w:tc>
          <w:tcPr>
            <w:tcW w:w="1198" w:type="dxa"/>
            <w:tcBorders>
              <w:top w:val="nil"/>
              <w:left w:val="nil"/>
              <w:bottom w:val="nil"/>
              <w:right w:val="single" w:sz="8" w:space="0" w:color="C2D69B"/>
            </w:tcBorders>
            <w:shd w:val="clear" w:color="000000" w:fill="EAF1DD"/>
            <w:vAlign w:val="center"/>
            <w:hideMark/>
          </w:tcPr>
          <w:p w14:paraId="02581AED" w14:textId="7D088E47" w:rsidR="00E50129" w:rsidRPr="00B550D6" w:rsidRDefault="00E50129" w:rsidP="00E06B1E">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2,4</w:t>
            </w:r>
            <w:r w:rsidR="00E06B1E">
              <w:rPr>
                <w:rFonts w:ascii="Arial" w:eastAsia="Times New Roman" w:hAnsi="Arial" w:cs="Arial"/>
                <w:sz w:val="16"/>
                <w:szCs w:val="16"/>
                <w:lang w:val="en-GB" w:eastAsia="es-MX"/>
              </w:rPr>
              <w:t>6</w:t>
            </w:r>
            <w:r w:rsidRPr="00B550D6">
              <w:rPr>
                <w:rFonts w:ascii="Arial" w:eastAsia="Times New Roman" w:hAnsi="Arial" w:cs="Arial"/>
                <w:sz w:val="16"/>
                <w:szCs w:val="16"/>
                <w:lang w:val="en-GB" w:eastAsia="es-MX"/>
              </w:rPr>
              <w:t>9</w:t>
            </w:r>
          </w:p>
        </w:tc>
        <w:tc>
          <w:tcPr>
            <w:tcW w:w="1432" w:type="dxa"/>
            <w:tcBorders>
              <w:top w:val="nil"/>
              <w:left w:val="nil"/>
              <w:bottom w:val="nil"/>
              <w:right w:val="single" w:sz="8" w:space="0" w:color="C2D69B"/>
            </w:tcBorders>
            <w:shd w:val="clear" w:color="000000" w:fill="EAF1DD"/>
            <w:vAlign w:val="center"/>
            <w:hideMark/>
          </w:tcPr>
          <w:p w14:paraId="090DA588" w14:textId="23592923"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n-GB" w:eastAsia="es-MX"/>
              </w:rPr>
              <w:t>20,116,634</w:t>
            </w:r>
          </w:p>
        </w:tc>
        <w:tc>
          <w:tcPr>
            <w:tcW w:w="1113" w:type="dxa"/>
            <w:tcBorders>
              <w:top w:val="nil"/>
              <w:left w:val="nil"/>
              <w:bottom w:val="nil"/>
              <w:right w:val="single" w:sz="8" w:space="0" w:color="C2D69B"/>
            </w:tcBorders>
            <w:shd w:val="clear" w:color="000000" w:fill="EAF1DD"/>
            <w:vAlign w:val="center"/>
            <w:hideMark/>
          </w:tcPr>
          <w:p w14:paraId="6B94050F" w14:textId="121A6FF1"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100.</w:t>
            </w:r>
            <w:r w:rsidR="00273B98" w:rsidRPr="00406830">
              <w:rPr>
                <w:rFonts w:ascii="Arial" w:hAnsi="Arial" w:cs="Arial"/>
                <w:sz w:val="16"/>
                <w:szCs w:val="16"/>
              </w:rPr>
              <w:t>0</w:t>
            </w:r>
            <w:r w:rsidRPr="00406830">
              <w:rPr>
                <w:rFonts w:ascii="Arial" w:hAnsi="Arial" w:cs="Arial"/>
                <w:sz w:val="16"/>
                <w:szCs w:val="16"/>
              </w:rPr>
              <w:t>%</w:t>
            </w:r>
          </w:p>
        </w:tc>
        <w:tc>
          <w:tcPr>
            <w:tcW w:w="1021" w:type="dxa"/>
            <w:tcBorders>
              <w:top w:val="nil"/>
              <w:left w:val="nil"/>
              <w:bottom w:val="nil"/>
              <w:right w:val="single" w:sz="8" w:space="0" w:color="C2D69B"/>
            </w:tcBorders>
            <w:shd w:val="clear" w:color="000000" w:fill="EAF1DD"/>
            <w:vAlign w:val="center"/>
            <w:hideMark/>
          </w:tcPr>
          <w:p w14:paraId="2892F931" w14:textId="77777777" w:rsidR="00E50129" w:rsidRPr="00B550D6" w:rsidRDefault="00E50129" w:rsidP="00B550D6">
            <w:pPr>
              <w:spacing w:after="0" w:line="240" w:lineRule="auto"/>
              <w:jc w:val="right"/>
              <w:rPr>
                <w:rFonts w:ascii="Arial" w:eastAsia="Times New Roman" w:hAnsi="Arial" w:cs="Arial"/>
                <w:sz w:val="16"/>
                <w:szCs w:val="16"/>
                <w:lang w:val="es-MX" w:eastAsia="es-MX"/>
              </w:rPr>
            </w:pPr>
            <w:r w:rsidRPr="00B550D6">
              <w:rPr>
                <w:rFonts w:ascii="Arial" w:eastAsia="Times New Roman" w:hAnsi="Arial" w:cs="Arial"/>
                <w:sz w:val="16"/>
                <w:szCs w:val="16"/>
                <w:lang w:val="es-MX" w:eastAsia="es-MX"/>
              </w:rPr>
              <w:t>126.0</w:t>
            </w:r>
          </w:p>
        </w:tc>
        <w:tc>
          <w:tcPr>
            <w:tcW w:w="1132" w:type="dxa"/>
            <w:tcBorders>
              <w:top w:val="nil"/>
              <w:left w:val="nil"/>
              <w:bottom w:val="nil"/>
              <w:right w:val="single" w:sz="8" w:space="0" w:color="C2D69B"/>
            </w:tcBorders>
            <w:shd w:val="clear" w:color="000000" w:fill="EAF1DD"/>
            <w:vAlign w:val="center"/>
            <w:hideMark/>
          </w:tcPr>
          <w:p w14:paraId="296E94F5" w14:textId="6B11CA70" w:rsidR="00E50129" w:rsidRPr="00B550D6" w:rsidRDefault="00E50129" w:rsidP="00E50129">
            <w:pPr>
              <w:spacing w:after="0" w:line="240" w:lineRule="auto"/>
              <w:jc w:val="center"/>
              <w:rPr>
                <w:rFonts w:ascii="Arial" w:eastAsia="Times New Roman" w:hAnsi="Arial" w:cs="Arial"/>
                <w:sz w:val="16"/>
                <w:szCs w:val="16"/>
                <w:lang w:val="es-MX" w:eastAsia="es-MX"/>
              </w:rPr>
            </w:pPr>
            <w:r w:rsidRPr="00406830">
              <w:rPr>
                <w:rFonts w:ascii="Arial" w:hAnsi="Arial" w:cs="Arial"/>
                <w:sz w:val="16"/>
                <w:szCs w:val="16"/>
              </w:rPr>
              <w:t>100.</w:t>
            </w:r>
            <w:r w:rsidR="00273B98" w:rsidRPr="00406830">
              <w:rPr>
                <w:rFonts w:ascii="Arial" w:hAnsi="Arial" w:cs="Arial"/>
                <w:sz w:val="16"/>
                <w:szCs w:val="16"/>
              </w:rPr>
              <w:t>0</w:t>
            </w:r>
            <w:r w:rsidRPr="00406830">
              <w:rPr>
                <w:rFonts w:ascii="Arial" w:hAnsi="Arial" w:cs="Arial"/>
                <w:sz w:val="16"/>
                <w:szCs w:val="16"/>
              </w:rPr>
              <w:t>%</w:t>
            </w:r>
          </w:p>
        </w:tc>
        <w:tc>
          <w:tcPr>
            <w:tcW w:w="1179" w:type="dxa"/>
            <w:tcBorders>
              <w:top w:val="nil"/>
              <w:left w:val="nil"/>
              <w:bottom w:val="nil"/>
              <w:right w:val="single" w:sz="8" w:space="0" w:color="C2D69B"/>
            </w:tcBorders>
            <w:shd w:val="clear" w:color="000000" w:fill="EAF1DD"/>
            <w:vAlign w:val="center"/>
            <w:hideMark/>
          </w:tcPr>
          <w:p w14:paraId="125551C6" w14:textId="1C6755E8" w:rsidR="00E50129" w:rsidRPr="00B550D6" w:rsidRDefault="00273B98" w:rsidP="00B550D6">
            <w:pPr>
              <w:spacing w:after="0" w:line="240" w:lineRule="auto"/>
              <w:jc w:val="right"/>
              <w:rPr>
                <w:rFonts w:ascii="Arial" w:eastAsia="Times New Roman" w:hAnsi="Arial" w:cs="Arial"/>
                <w:sz w:val="16"/>
                <w:szCs w:val="16"/>
                <w:lang w:val="es-MX" w:eastAsia="es-MX"/>
              </w:rPr>
            </w:pPr>
            <w:r w:rsidRPr="00406830">
              <w:rPr>
                <w:rFonts w:ascii="Arial" w:eastAsia="Times New Roman" w:hAnsi="Arial" w:cs="Arial"/>
                <w:sz w:val="16"/>
                <w:szCs w:val="16"/>
                <w:lang w:val="es-MX" w:eastAsia="es-MX"/>
              </w:rPr>
              <w:t>35.2</w:t>
            </w:r>
          </w:p>
        </w:tc>
        <w:tc>
          <w:tcPr>
            <w:tcW w:w="1102" w:type="dxa"/>
            <w:tcBorders>
              <w:top w:val="nil"/>
              <w:left w:val="nil"/>
              <w:bottom w:val="nil"/>
              <w:right w:val="single" w:sz="8" w:space="0" w:color="C2D69B"/>
            </w:tcBorders>
            <w:shd w:val="clear" w:color="000000" w:fill="EAF1DD"/>
            <w:vAlign w:val="center"/>
            <w:hideMark/>
          </w:tcPr>
          <w:p w14:paraId="6E2ED971" w14:textId="1C2CA797" w:rsidR="00E50129" w:rsidRPr="00406830" w:rsidRDefault="00E50129" w:rsidP="00E50129">
            <w:pPr>
              <w:spacing w:after="0" w:line="240" w:lineRule="auto"/>
              <w:jc w:val="center"/>
              <w:rPr>
                <w:rFonts w:ascii="Arial" w:eastAsia="Times New Roman" w:hAnsi="Arial" w:cs="Arial"/>
                <w:sz w:val="16"/>
                <w:szCs w:val="16"/>
                <w:lang w:val="en-GB" w:eastAsia="es-MX"/>
              </w:rPr>
            </w:pPr>
            <w:r w:rsidRPr="00FB58CB">
              <w:rPr>
                <w:rFonts w:ascii="Arial" w:hAnsi="Arial" w:cs="Arial"/>
                <w:sz w:val="16"/>
                <w:szCs w:val="16"/>
              </w:rPr>
              <w:t>100.</w:t>
            </w:r>
            <w:r w:rsidR="00273B98" w:rsidRPr="00FB58CB">
              <w:rPr>
                <w:rFonts w:ascii="Arial" w:hAnsi="Arial" w:cs="Arial"/>
                <w:sz w:val="16"/>
                <w:szCs w:val="16"/>
              </w:rPr>
              <w:t>0</w:t>
            </w:r>
            <w:r w:rsidRPr="00FB58CB">
              <w:rPr>
                <w:rFonts w:ascii="Arial" w:hAnsi="Arial" w:cs="Arial"/>
                <w:sz w:val="16"/>
                <w:szCs w:val="16"/>
              </w:rPr>
              <w:t>%</w:t>
            </w:r>
          </w:p>
        </w:tc>
      </w:tr>
      <w:tr w:rsidR="00E50129" w:rsidRPr="00E50129" w14:paraId="7D594962" w14:textId="77777777" w:rsidTr="00E50129">
        <w:trPr>
          <w:trHeight w:val="268"/>
        </w:trPr>
        <w:tc>
          <w:tcPr>
            <w:tcW w:w="9375" w:type="dxa"/>
            <w:gridSpan w:val="8"/>
            <w:tcBorders>
              <w:top w:val="nil"/>
              <w:left w:val="single" w:sz="8" w:space="0" w:color="C2D69B"/>
              <w:bottom w:val="single" w:sz="8" w:space="0" w:color="C2D69B"/>
              <w:right w:val="single" w:sz="8" w:space="0" w:color="C2D69B"/>
            </w:tcBorders>
            <w:shd w:val="clear" w:color="000000" w:fill="EAF1DD"/>
            <w:vAlign w:val="center"/>
          </w:tcPr>
          <w:p w14:paraId="12766628" w14:textId="77777777" w:rsidR="00E50129" w:rsidRPr="00B550D6" w:rsidRDefault="00E50129" w:rsidP="00B550D6">
            <w:pPr>
              <w:pStyle w:val="Tablecells"/>
              <w:spacing w:after="0" w:line="240" w:lineRule="auto"/>
              <w:ind w:right="39"/>
              <w:jc w:val="both"/>
              <w:rPr>
                <w:rFonts w:cs="Arial"/>
                <w:sz w:val="16"/>
                <w:szCs w:val="16"/>
                <w:lang w:val="es-MX"/>
              </w:rPr>
            </w:pPr>
            <w:r w:rsidRPr="00B550D6">
              <w:rPr>
                <w:rFonts w:cs="Arial"/>
                <w:sz w:val="16"/>
                <w:szCs w:val="16"/>
                <w:lang w:val="es-MX"/>
              </w:rPr>
              <w:t>*Se refiere a municipios en los que no se cuentan con datos de existencia de accesos para BAF.</w:t>
            </w:r>
          </w:p>
          <w:p w14:paraId="6339D6B5" w14:textId="128F931C" w:rsidR="00E50129" w:rsidRDefault="00E50129" w:rsidP="00B550D6">
            <w:pPr>
              <w:pStyle w:val="Tablecells"/>
              <w:spacing w:after="0" w:line="240" w:lineRule="auto"/>
              <w:ind w:right="39"/>
              <w:jc w:val="both"/>
              <w:rPr>
                <w:rFonts w:cs="Arial"/>
                <w:sz w:val="16"/>
                <w:szCs w:val="16"/>
                <w:lang w:val="es-MX"/>
              </w:rPr>
            </w:pPr>
            <w:r w:rsidRPr="00B550D6">
              <w:rPr>
                <w:rFonts w:cs="Arial"/>
                <w:sz w:val="16"/>
                <w:szCs w:val="16"/>
                <w:lang w:val="es-MX"/>
              </w:rPr>
              <w:t xml:space="preserve">**Estimación con base en </w:t>
            </w:r>
            <w:r>
              <w:rPr>
                <w:rFonts w:cs="Arial"/>
                <w:sz w:val="16"/>
                <w:szCs w:val="16"/>
                <w:lang w:val="es-MX"/>
              </w:rPr>
              <w:t>el Censo de Población y Vivienda 2020</w:t>
            </w:r>
            <w:r w:rsidRPr="00B550D6">
              <w:rPr>
                <w:rFonts w:cs="Arial"/>
                <w:sz w:val="16"/>
                <w:szCs w:val="16"/>
                <w:lang w:val="es-MX"/>
              </w:rPr>
              <w:t xml:space="preserve">. </w:t>
            </w:r>
          </w:p>
          <w:p w14:paraId="40EDC988" w14:textId="0FCB3FCC" w:rsidR="00E50129" w:rsidRPr="00B550D6" w:rsidRDefault="00E50129" w:rsidP="00B550D6">
            <w:pPr>
              <w:pStyle w:val="Tablecells"/>
              <w:spacing w:after="0" w:line="240" w:lineRule="auto"/>
              <w:ind w:right="39"/>
              <w:jc w:val="both"/>
              <w:rPr>
                <w:rFonts w:cs="Arial"/>
                <w:sz w:val="16"/>
                <w:szCs w:val="16"/>
                <w:lang w:val="es-MX"/>
              </w:rPr>
            </w:pPr>
            <w:r>
              <w:rPr>
                <w:rFonts w:cs="Arial"/>
                <w:sz w:val="16"/>
                <w:szCs w:val="16"/>
                <w:lang w:val="es-MX"/>
              </w:rPr>
              <w:t xml:space="preserve">*** </w:t>
            </w:r>
            <w:r w:rsidR="00403758" w:rsidRPr="00403758">
              <w:rPr>
                <w:rFonts w:cs="Arial"/>
                <w:sz w:val="16"/>
                <w:szCs w:val="16"/>
                <w:lang w:val="es-MX"/>
              </w:rPr>
              <w:t>No se consideran</w:t>
            </w:r>
            <w:r w:rsidR="00403758">
              <w:rPr>
                <w:rFonts w:cs="Arial"/>
                <w:sz w:val="16"/>
                <w:szCs w:val="16"/>
                <w:lang w:val="es-MX"/>
              </w:rPr>
              <w:t xml:space="preserve"> 12 nuevos</w:t>
            </w:r>
            <w:r w:rsidR="00403758" w:rsidRPr="00403758">
              <w:rPr>
                <w:rFonts w:cs="Arial"/>
                <w:sz w:val="16"/>
                <w:szCs w:val="16"/>
                <w:lang w:val="es-MX"/>
              </w:rPr>
              <w:t xml:space="preserve"> municipios </w:t>
            </w:r>
            <w:r w:rsidR="00403758">
              <w:rPr>
                <w:rFonts w:cs="Arial"/>
                <w:sz w:val="16"/>
                <w:szCs w:val="16"/>
                <w:lang w:val="es-MX"/>
              </w:rPr>
              <w:t>c</w:t>
            </w:r>
            <w:r w:rsidR="00403758" w:rsidRPr="00403758">
              <w:rPr>
                <w:rFonts w:cs="Arial"/>
                <w:sz w:val="16"/>
                <w:szCs w:val="16"/>
                <w:lang w:val="es-MX"/>
              </w:rPr>
              <w:t>onsiderados en el Censo de Población y Vivienda 2020</w:t>
            </w:r>
            <w:r w:rsidR="00B550D6">
              <w:rPr>
                <w:rFonts w:cs="Arial"/>
                <w:sz w:val="16"/>
                <w:szCs w:val="16"/>
                <w:lang w:val="es-MX"/>
              </w:rPr>
              <w:t>.</w:t>
            </w:r>
            <w:r>
              <w:rPr>
                <w:rFonts w:cs="Arial"/>
                <w:sz w:val="16"/>
                <w:szCs w:val="16"/>
                <w:lang w:val="es-MX"/>
              </w:rPr>
              <w:t xml:space="preserve"> </w:t>
            </w:r>
          </w:p>
        </w:tc>
      </w:tr>
    </w:tbl>
    <w:p w14:paraId="5798E13C" w14:textId="39B0776A" w:rsidR="00FA2C42" w:rsidRPr="00FA2C42" w:rsidRDefault="00FA2C42" w:rsidP="00776ABC">
      <w:pPr>
        <w:ind w:right="48"/>
        <w:jc w:val="both"/>
        <w:rPr>
          <w:rFonts w:ascii="Arial" w:hAnsi="Arial" w:cs="Arial"/>
          <w:color w:val="000000"/>
          <w:sz w:val="16"/>
          <w:szCs w:val="16"/>
          <w:lang w:val="es-MX" w:eastAsia="es-ES"/>
        </w:rPr>
      </w:pPr>
      <w:r w:rsidRPr="00FA2C42">
        <w:rPr>
          <w:rFonts w:ascii="Arial" w:hAnsi="Arial" w:cs="Arial"/>
          <w:b/>
          <w:color w:val="000000"/>
          <w:sz w:val="16"/>
          <w:szCs w:val="16"/>
          <w:lang w:val="es-MX" w:eastAsia="es-ES"/>
        </w:rPr>
        <w:t>Tabla 5:</w:t>
      </w:r>
      <w:r w:rsidRPr="00FA2C42">
        <w:rPr>
          <w:rFonts w:ascii="Arial" w:hAnsi="Arial" w:cs="Arial"/>
          <w:color w:val="000000"/>
          <w:sz w:val="16"/>
          <w:szCs w:val="16"/>
          <w:lang w:val="es-MX" w:eastAsia="es-ES"/>
        </w:rPr>
        <w:t xml:space="preserve"> Distribución de la cantidad de accesos de los BAF en los municipios del país. </w:t>
      </w:r>
      <w:r w:rsidRPr="00FA2C42">
        <w:rPr>
          <w:rFonts w:ascii="Arial" w:hAnsi="Arial" w:cs="Arial"/>
          <w:b/>
          <w:color w:val="000000"/>
          <w:sz w:val="16"/>
          <w:szCs w:val="16"/>
          <w:lang w:val="es-MX" w:eastAsia="es-ES"/>
        </w:rPr>
        <w:t>Fuente:</w:t>
      </w:r>
      <w:r w:rsidRPr="00FA2C42">
        <w:rPr>
          <w:rFonts w:ascii="Arial" w:hAnsi="Arial" w:cs="Arial"/>
          <w:color w:val="000000"/>
          <w:sz w:val="16"/>
          <w:szCs w:val="16"/>
          <w:lang w:val="es-MX" w:eastAsia="es-ES"/>
        </w:rPr>
        <w:t xml:space="preserve"> IFT con información del BIT al </w:t>
      </w:r>
      <w:r w:rsidR="00E50129">
        <w:rPr>
          <w:rFonts w:ascii="Arial" w:hAnsi="Arial" w:cs="Arial"/>
          <w:color w:val="000000"/>
          <w:sz w:val="16"/>
          <w:szCs w:val="16"/>
          <w:lang w:val="es-MX" w:eastAsia="es-ES"/>
        </w:rPr>
        <w:t xml:space="preserve">segundo trimestre </w:t>
      </w:r>
      <w:r w:rsidRPr="00FA2C42">
        <w:rPr>
          <w:rFonts w:ascii="Arial" w:hAnsi="Arial" w:cs="Arial"/>
          <w:color w:val="000000"/>
          <w:sz w:val="16"/>
          <w:szCs w:val="16"/>
          <w:lang w:val="es-MX" w:eastAsia="es-ES"/>
        </w:rPr>
        <w:t>de 20</w:t>
      </w:r>
      <w:r w:rsidR="00E50129">
        <w:rPr>
          <w:rFonts w:ascii="Arial" w:hAnsi="Arial" w:cs="Arial"/>
          <w:color w:val="000000"/>
          <w:sz w:val="16"/>
          <w:szCs w:val="16"/>
          <w:lang w:val="es-MX" w:eastAsia="es-ES"/>
        </w:rPr>
        <w:t>20</w:t>
      </w:r>
      <w:r w:rsidRPr="00FA2C42">
        <w:rPr>
          <w:rFonts w:ascii="Arial" w:hAnsi="Arial" w:cs="Arial"/>
          <w:color w:val="000000"/>
          <w:sz w:val="16"/>
          <w:szCs w:val="16"/>
          <w:lang w:val="es-MX" w:eastAsia="es-ES"/>
        </w:rPr>
        <w:t xml:space="preserve"> y </w:t>
      </w:r>
      <w:r w:rsidR="00E50129">
        <w:rPr>
          <w:rFonts w:ascii="Arial" w:hAnsi="Arial" w:cs="Arial"/>
          <w:color w:val="000000"/>
          <w:sz w:val="16"/>
          <w:szCs w:val="16"/>
          <w:lang w:val="es-MX" w:eastAsia="es-ES"/>
        </w:rPr>
        <w:t xml:space="preserve">Censo de Población y Vivienda </w:t>
      </w:r>
      <w:r w:rsidRPr="00FA2C42">
        <w:rPr>
          <w:rFonts w:ascii="Arial" w:hAnsi="Arial" w:cs="Arial"/>
          <w:color w:val="000000"/>
          <w:sz w:val="16"/>
          <w:szCs w:val="16"/>
          <w:lang w:val="es-MX" w:eastAsia="es-ES"/>
        </w:rPr>
        <w:t>20</w:t>
      </w:r>
      <w:r w:rsidR="00E50129">
        <w:rPr>
          <w:rFonts w:ascii="Arial" w:hAnsi="Arial" w:cs="Arial"/>
          <w:color w:val="000000"/>
          <w:sz w:val="16"/>
          <w:szCs w:val="16"/>
          <w:lang w:val="es-MX" w:eastAsia="es-ES"/>
        </w:rPr>
        <w:t>20</w:t>
      </w:r>
      <w:r w:rsidRPr="00FA2C42">
        <w:rPr>
          <w:rFonts w:ascii="Arial" w:hAnsi="Arial" w:cs="Arial"/>
          <w:color w:val="000000"/>
          <w:sz w:val="16"/>
          <w:szCs w:val="16"/>
          <w:lang w:val="es-MX" w:eastAsia="es-ES"/>
        </w:rPr>
        <w:t>; 2021</w:t>
      </w:r>
    </w:p>
    <w:p w14:paraId="1F05916B" w14:textId="620DC489" w:rsidR="00FA2C42" w:rsidRPr="00FA2C42" w:rsidRDefault="00964CCC" w:rsidP="008347CE">
      <w:pPr>
        <w:spacing w:after="0"/>
        <w:jc w:val="both"/>
        <w:rPr>
          <w:rFonts w:ascii="Arial" w:hAnsi="Arial" w:cs="Arial"/>
          <w:color w:val="000000"/>
          <w:lang w:val="es-MX" w:eastAsia="es-ES"/>
        </w:rPr>
      </w:pPr>
      <w:r>
        <w:rPr>
          <w:rFonts w:ascii="Arial" w:hAnsi="Arial" w:cs="Arial"/>
          <w:color w:val="000000"/>
          <w:lang w:val="es-MX" w:eastAsia="es-ES"/>
        </w:rPr>
        <w:t xml:space="preserve">De dicho cuadro se </w:t>
      </w:r>
      <w:r w:rsidR="00AB649A">
        <w:rPr>
          <w:rFonts w:ascii="Arial" w:hAnsi="Arial" w:cs="Arial"/>
          <w:color w:val="000000"/>
          <w:lang w:val="es-MX" w:eastAsia="es-ES"/>
        </w:rPr>
        <w:t>destaca</w:t>
      </w:r>
      <w:r>
        <w:rPr>
          <w:rFonts w:ascii="Arial" w:hAnsi="Arial" w:cs="Arial"/>
          <w:color w:val="000000"/>
          <w:lang w:val="es-MX" w:eastAsia="es-ES"/>
        </w:rPr>
        <w:t xml:space="preserve"> que</w:t>
      </w:r>
      <w:r w:rsidR="00FA2C42" w:rsidRPr="00FA2C42">
        <w:rPr>
          <w:rFonts w:ascii="Arial" w:hAnsi="Arial" w:cs="Arial"/>
          <w:color w:val="000000"/>
          <w:lang w:val="es-MX" w:eastAsia="es-ES"/>
        </w:rPr>
        <w:t>:</w:t>
      </w:r>
    </w:p>
    <w:p w14:paraId="33A86873" w14:textId="77777777" w:rsidR="00FA2C42" w:rsidRPr="00FA2C42" w:rsidRDefault="00FA2C42" w:rsidP="008347CE">
      <w:pPr>
        <w:spacing w:after="0"/>
        <w:jc w:val="both"/>
        <w:rPr>
          <w:rFonts w:ascii="Arial" w:hAnsi="Arial" w:cs="Arial"/>
          <w:color w:val="000000"/>
          <w:lang w:val="es-MX" w:eastAsia="es-ES"/>
        </w:rPr>
      </w:pPr>
    </w:p>
    <w:p w14:paraId="5EBBCE8E" w14:textId="0C430C55" w:rsidR="00FA2C42" w:rsidRPr="00FA2C42" w:rsidRDefault="00FA2C42" w:rsidP="008347CE">
      <w:pPr>
        <w:numPr>
          <w:ilvl w:val="0"/>
          <w:numId w:val="12"/>
        </w:numPr>
        <w:spacing w:after="0"/>
        <w:jc w:val="both"/>
        <w:rPr>
          <w:rFonts w:ascii="Arial" w:hAnsi="Arial" w:cs="Arial"/>
          <w:color w:val="000000"/>
          <w:lang w:val="es-MX" w:eastAsia="es-ES"/>
        </w:rPr>
      </w:pPr>
      <w:r w:rsidRPr="00FA2C42">
        <w:rPr>
          <w:rFonts w:ascii="Arial" w:hAnsi="Arial" w:cs="Arial"/>
          <w:color w:val="000000"/>
          <w:lang w:val="es-MX" w:eastAsia="es-ES"/>
        </w:rPr>
        <w:t>Existen 8</w:t>
      </w:r>
      <w:r w:rsidR="00A80263">
        <w:rPr>
          <w:rFonts w:ascii="Arial" w:hAnsi="Arial" w:cs="Arial"/>
          <w:color w:val="000000"/>
          <w:lang w:val="es-MX" w:eastAsia="es-ES"/>
        </w:rPr>
        <w:t>38</w:t>
      </w:r>
      <w:r w:rsidRPr="00FA2C42">
        <w:rPr>
          <w:rFonts w:ascii="Arial" w:hAnsi="Arial" w:cs="Arial"/>
          <w:color w:val="000000"/>
          <w:lang w:val="es-MX" w:eastAsia="es-ES"/>
        </w:rPr>
        <w:t xml:space="preserve"> municipios sin presencia de accesos para BAF, los cuales representan cerca de </w:t>
      </w:r>
      <w:r w:rsidR="00AF21CE">
        <w:rPr>
          <w:rFonts w:ascii="Arial" w:hAnsi="Arial" w:cs="Arial"/>
          <w:color w:val="000000"/>
          <w:lang w:val="es-MX" w:eastAsia="es-ES"/>
        </w:rPr>
        <w:t>5</w:t>
      </w:r>
      <w:r w:rsidRPr="00FA2C42">
        <w:rPr>
          <w:rFonts w:ascii="Arial" w:hAnsi="Arial" w:cs="Arial"/>
          <w:color w:val="000000"/>
          <w:lang w:val="es-MX" w:eastAsia="es-ES"/>
        </w:rPr>
        <w:t xml:space="preserve"> millones de personas (</w:t>
      </w:r>
      <w:r w:rsidR="004873B4">
        <w:rPr>
          <w:rFonts w:ascii="Arial" w:hAnsi="Arial" w:cs="Arial"/>
          <w:color w:val="000000"/>
          <w:lang w:val="es-MX" w:eastAsia="es-ES"/>
        </w:rPr>
        <w:t>3.9</w:t>
      </w:r>
      <w:r w:rsidRPr="00FA2C42">
        <w:rPr>
          <w:rFonts w:ascii="Arial" w:hAnsi="Arial" w:cs="Arial"/>
          <w:color w:val="000000"/>
          <w:lang w:val="es-MX" w:eastAsia="es-ES"/>
        </w:rPr>
        <w:t>% de la población</w:t>
      </w:r>
      <w:r w:rsidR="003E6D2C">
        <w:rPr>
          <w:rFonts w:ascii="Arial" w:hAnsi="Arial" w:cs="Arial"/>
          <w:color w:val="000000"/>
          <w:lang w:val="es-MX" w:eastAsia="es-ES"/>
        </w:rPr>
        <w:t xml:space="preserve"> nacional</w:t>
      </w:r>
      <w:r w:rsidRPr="00FA2C42">
        <w:rPr>
          <w:rFonts w:ascii="Arial" w:hAnsi="Arial" w:cs="Arial"/>
          <w:color w:val="000000"/>
          <w:lang w:val="es-MX" w:eastAsia="es-ES"/>
        </w:rPr>
        <w:t>) y 1.</w:t>
      </w:r>
      <w:r w:rsidR="00AF21CE">
        <w:rPr>
          <w:rFonts w:ascii="Arial" w:hAnsi="Arial" w:cs="Arial"/>
          <w:color w:val="000000"/>
          <w:lang w:val="es-MX" w:eastAsia="es-ES"/>
        </w:rPr>
        <w:t>3</w:t>
      </w:r>
      <w:r w:rsidRPr="00FA2C42">
        <w:rPr>
          <w:rFonts w:ascii="Arial" w:hAnsi="Arial" w:cs="Arial"/>
          <w:color w:val="000000"/>
          <w:lang w:val="es-MX" w:eastAsia="es-ES"/>
        </w:rPr>
        <w:t xml:space="preserve"> millones de hogares (3.</w:t>
      </w:r>
      <w:r w:rsidR="00273B98">
        <w:rPr>
          <w:rFonts w:ascii="Arial" w:hAnsi="Arial" w:cs="Arial"/>
          <w:color w:val="000000"/>
          <w:lang w:val="es-MX" w:eastAsia="es-ES"/>
        </w:rPr>
        <w:t>6</w:t>
      </w:r>
      <w:r w:rsidRPr="00FA2C42">
        <w:rPr>
          <w:rFonts w:ascii="Arial" w:hAnsi="Arial" w:cs="Arial"/>
          <w:color w:val="000000"/>
          <w:lang w:val="es-MX" w:eastAsia="es-ES"/>
        </w:rPr>
        <w:t>% de</w:t>
      </w:r>
      <w:r w:rsidR="00202769">
        <w:rPr>
          <w:rFonts w:ascii="Arial" w:hAnsi="Arial" w:cs="Arial"/>
          <w:color w:val="000000"/>
          <w:lang w:val="es-MX" w:eastAsia="es-ES"/>
        </w:rPr>
        <w:t xml:space="preserve">l total de </w:t>
      </w:r>
      <w:r w:rsidR="00646E23" w:rsidRPr="00FA2C42">
        <w:rPr>
          <w:rFonts w:ascii="Arial" w:hAnsi="Arial" w:cs="Arial"/>
          <w:color w:val="000000"/>
          <w:lang w:val="es-MX" w:eastAsia="es-ES"/>
        </w:rPr>
        <w:t>hogares en</w:t>
      </w:r>
      <w:r w:rsidR="003E6D2C">
        <w:rPr>
          <w:rFonts w:ascii="Arial" w:hAnsi="Arial" w:cs="Arial"/>
          <w:color w:val="000000"/>
          <w:lang w:val="es-MX" w:eastAsia="es-ES"/>
        </w:rPr>
        <w:t xml:space="preserve"> el país</w:t>
      </w:r>
      <w:r w:rsidRPr="00FA2C42">
        <w:rPr>
          <w:rFonts w:ascii="Arial" w:hAnsi="Arial" w:cs="Arial"/>
          <w:color w:val="000000"/>
          <w:lang w:val="es-MX" w:eastAsia="es-ES"/>
        </w:rPr>
        <w:t>).</w:t>
      </w:r>
    </w:p>
    <w:p w14:paraId="65F00210" w14:textId="77777777" w:rsidR="00FA2C42" w:rsidRPr="00FA2C42" w:rsidRDefault="00FA2C42" w:rsidP="008347CE">
      <w:pPr>
        <w:spacing w:after="0"/>
        <w:ind w:left="720"/>
        <w:jc w:val="both"/>
        <w:rPr>
          <w:rFonts w:ascii="Arial" w:hAnsi="Arial" w:cs="Arial"/>
          <w:color w:val="000000"/>
          <w:lang w:val="es-MX" w:eastAsia="es-ES"/>
        </w:rPr>
      </w:pPr>
    </w:p>
    <w:p w14:paraId="438C0FE8" w14:textId="77BFF12F" w:rsidR="00FA2C42" w:rsidRPr="00FA2C42" w:rsidRDefault="00FA2C42" w:rsidP="008347CE">
      <w:pPr>
        <w:numPr>
          <w:ilvl w:val="0"/>
          <w:numId w:val="12"/>
        </w:numPr>
        <w:spacing w:after="0"/>
        <w:jc w:val="both"/>
        <w:rPr>
          <w:rFonts w:ascii="Arial" w:hAnsi="Arial" w:cs="Arial"/>
          <w:color w:val="000000"/>
          <w:lang w:val="es-MX" w:eastAsia="es-ES"/>
        </w:rPr>
      </w:pPr>
      <w:r w:rsidRPr="00FA2C42">
        <w:rPr>
          <w:rFonts w:ascii="Arial" w:hAnsi="Arial" w:cs="Arial"/>
          <w:color w:val="000000"/>
          <w:lang w:val="es-MX" w:eastAsia="es-ES"/>
        </w:rPr>
        <w:t>En los 6</w:t>
      </w:r>
      <w:r w:rsidR="00A80263">
        <w:rPr>
          <w:rFonts w:ascii="Arial" w:hAnsi="Arial" w:cs="Arial"/>
          <w:color w:val="000000"/>
          <w:lang w:val="es-MX" w:eastAsia="es-ES"/>
        </w:rPr>
        <w:t>1</w:t>
      </w:r>
      <w:r w:rsidRPr="00FA2C42">
        <w:rPr>
          <w:rFonts w:ascii="Arial" w:hAnsi="Arial" w:cs="Arial"/>
          <w:color w:val="000000"/>
          <w:lang w:val="es-MX" w:eastAsia="es-ES"/>
        </w:rPr>
        <w:t xml:space="preserve"> municipios que tienen de uno a cinco accesos para BAF, se localizan aproximadamente 0.7 millones de personas (0.6% de la población</w:t>
      </w:r>
      <w:r w:rsidR="003E6D2C">
        <w:rPr>
          <w:rFonts w:ascii="Arial" w:hAnsi="Arial" w:cs="Arial"/>
          <w:color w:val="000000"/>
          <w:lang w:val="es-MX" w:eastAsia="es-ES"/>
        </w:rPr>
        <w:t xml:space="preserve"> nacional</w:t>
      </w:r>
      <w:r w:rsidRPr="00FA2C42">
        <w:rPr>
          <w:rFonts w:ascii="Arial" w:hAnsi="Arial" w:cs="Arial"/>
          <w:color w:val="000000"/>
          <w:lang w:val="es-MX" w:eastAsia="es-ES"/>
        </w:rPr>
        <w:t>) y 0.2 millones de hogares (0.5% de</w:t>
      </w:r>
      <w:r w:rsidR="00202769">
        <w:rPr>
          <w:rFonts w:ascii="Arial" w:hAnsi="Arial" w:cs="Arial"/>
          <w:color w:val="000000"/>
          <w:lang w:val="es-MX" w:eastAsia="es-ES"/>
        </w:rPr>
        <w:t xml:space="preserve">l total </w:t>
      </w:r>
      <w:r w:rsidRPr="00FA2C42">
        <w:rPr>
          <w:rFonts w:ascii="Arial" w:hAnsi="Arial" w:cs="Arial"/>
          <w:color w:val="000000"/>
          <w:lang w:val="es-MX" w:eastAsia="es-ES"/>
        </w:rPr>
        <w:t xml:space="preserve">de hogares </w:t>
      </w:r>
      <w:r w:rsidR="003E6D2C">
        <w:rPr>
          <w:rFonts w:ascii="Arial" w:hAnsi="Arial" w:cs="Arial"/>
          <w:color w:val="000000"/>
          <w:lang w:val="es-MX" w:eastAsia="es-ES"/>
        </w:rPr>
        <w:t>en el país</w:t>
      </w:r>
      <w:r w:rsidRPr="00FA2C42">
        <w:rPr>
          <w:rFonts w:ascii="Arial" w:hAnsi="Arial" w:cs="Arial"/>
          <w:color w:val="000000"/>
          <w:lang w:val="es-MX" w:eastAsia="es-ES"/>
        </w:rPr>
        <w:t>). En dicho conjunto de municipios existen únicamente 1</w:t>
      </w:r>
      <w:r w:rsidR="00AF21CE">
        <w:rPr>
          <w:rFonts w:ascii="Arial" w:hAnsi="Arial" w:cs="Arial"/>
          <w:color w:val="000000"/>
          <w:lang w:val="es-MX" w:eastAsia="es-ES"/>
        </w:rPr>
        <w:t>11</w:t>
      </w:r>
      <w:r w:rsidRPr="00FA2C42">
        <w:rPr>
          <w:rFonts w:ascii="Arial" w:hAnsi="Arial" w:cs="Arial"/>
          <w:color w:val="000000"/>
          <w:lang w:val="es-MX" w:eastAsia="es-ES"/>
        </w:rPr>
        <w:t xml:space="preserve"> accesos (0.000</w:t>
      </w:r>
      <w:r w:rsidR="00AF21CE">
        <w:rPr>
          <w:rFonts w:ascii="Arial" w:hAnsi="Arial" w:cs="Arial"/>
          <w:color w:val="000000"/>
          <w:lang w:val="es-MX" w:eastAsia="es-ES"/>
        </w:rPr>
        <w:t>0</w:t>
      </w:r>
      <w:r w:rsidRPr="00FA2C42">
        <w:rPr>
          <w:rFonts w:ascii="Arial" w:hAnsi="Arial" w:cs="Arial"/>
          <w:color w:val="000000"/>
          <w:lang w:val="es-MX" w:eastAsia="es-ES"/>
        </w:rPr>
        <w:t>5% del total).</w:t>
      </w:r>
    </w:p>
    <w:p w14:paraId="6F4B06ED" w14:textId="77777777" w:rsidR="00FA2C42" w:rsidRPr="00FA2C42" w:rsidRDefault="00FA2C42" w:rsidP="008347CE">
      <w:pPr>
        <w:spacing w:after="0"/>
        <w:ind w:left="720"/>
        <w:jc w:val="both"/>
        <w:rPr>
          <w:rFonts w:ascii="Arial" w:hAnsi="Arial" w:cs="Arial"/>
          <w:color w:val="000000"/>
          <w:lang w:val="es-MX" w:eastAsia="es-ES"/>
        </w:rPr>
      </w:pPr>
    </w:p>
    <w:p w14:paraId="2C55B586" w14:textId="5931395F" w:rsidR="00FA2C42" w:rsidRPr="00FA2C42" w:rsidRDefault="00FA2C42" w:rsidP="008347CE">
      <w:pPr>
        <w:numPr>
          <w:ilvl w:val="0"/>
          <w:numId w:val="12"/>
        </w:numPr>
        <w:spacing w:after="0"/>
        <w:jc w:val="both"/>
        <w:rPr>
          <w:rFonts w:ascii="Arial" w:hAnsi="Arial" w:cs="Arial"/>
          <w:color w:val="000000"/>
          <w:lang w:val="es-MX" w:eastAsia="es-ES"/>
        </w:rPr>
      </w:pPr>
      <w:r w:rsidRPr="00FA2C42">
        <w:rPr>
          <w:rFonts w:ascii="Arial" w:hAnsi="Arial" w:cs="Arial"/>
          <w:color w:val="000000"/>
          <w:lang w:val="es-MX" w:eastAsia="es-ES"/>
        </w:rPr>
        <w:t>Hay 1</w:t>
      </w:r>
      <w:r w:rsidR="00AF21CE">
        <w:rPr>
          <w:rFonts w:ascii="Arial" w:hAnsi="Arial" w:cs="Arial"/>
          <w:color w:val="000000"/>
          <w:lang w:val="es-MX" w:eastAsia="es-ES"/>
        </w:rPr>
        <w:t>30</w:t>
      </w:r>
      <w:r w:rsidRPr="00FA2C42">
        <w:rPr>
          <w:rFonts w:ascii="Arial" w:hAnsi="Arial" w:cs="Arial"/>
          <w:color w:val="000000"/>
          <w:lang w:val="es-MX" w:eastAsia="es-ES"/>
        </w:rPr>
        <w:t xml:space="preserve"> municipios con presencia de entre seis a 100 accesos, donde se sitúan 1.</w:t>
      </w:r>
      <w:r w:rsidR="00AF21CE">
        <w:rPr>
          <w:rFonts w:ascii="Arial" w:hAnsi="Arial" w:cs="Arial"/>
          <w:color w:val="000000"/>
          <w:lang w:val="es-MX" w:eastAsia="es-ES"/>
        </w:rPr>
        <w:t>4</w:t>
      </w:r>
      <w:r w:rsidRPr="00FA2C42">
        <w:rPr>
          <w:rFonts w:ascii="Arial" w:hAnsi="Arial" w:cs="Arial"/>
          <w:color w:val="000000"/>
          <w:lang w:val="es-MX" w:eastAsia="es-ES"/>
        </w:rPr>
        <w:t xml:space="preserve"> millones de personas (1.1% de la población</w:t>
      </w:r>
      <w:r w:rsidR="00202769">
        <w:rPr>
          <w:rFonts w:ascii="Arial" w:hAnsi="Arial" w:cs="Arial"/>
          <w:color w:val="000000"/>
          <w:lang w:val="es-MX" w:eastAsia="es-ES"/>
        </w:rPr>
        <w:t xml:space="preserve"> nacional</w:t>
      </w:r>
      <w:r w:rsidRPr="00FA2C42">
        <w:rPr>
          <w:rFonts w:ascii="Arial" w:hAnsi="Arial" w:cs="Arial"/>
          <w:color w:val="000000"/>
          <w:lang w:val="es-MX" w:eastAsia="es-ES"/>
        </w:rPr>
        <w:t>) y 0.</w:t>
      </w:r>
      <w:r w:rsidR="00AF21CE">
        <w:rPr>
          <w:rFonts w:ascii="Arial" w:hAnsi="Arial" w:cs="Arial"/>
          <w:color w:val="000000"/>
          <w:lang w:val="es-MX" w:eastAsia="es-ES"/>
        </w:rPr>
        <w:t>4</w:t>
      </w:r>
      <w:r w:rsidRPr="00FA2C42">
        <w:rPr>
          <w:rFonts w:ascii="Arial" w:hAnsi="Arial" w:cs="Arial"/>
          <w:color w:val="000000"/>
          <w:lang w:val="es-MX" w:eastAsia="es-ES"/>
        </w:rPr>
        <w:t xml:space="preserve"> millones de hogares (1% de los hogares a nivel nacional). En dicho conjunto de municipios existen 6,5</w:t>
      </w:r>
      <w:r w:rsidR="00AF21CE">
        <w:rPr>
          <w:rFonts w:ascii="Arial" w:hAnsi="Arial" w:cs="Arial"/>
          <w:color w:val="000000"/>
          <w:lang w:val="es-MX" w:eastAsia="es-ES"/>
        </w:rPr>
        <w:t>87</w:t>
      </w:r>
      <w:r w:rsidRPr="00FA2C42">
        <w:rPr>
          <w:rFonts w:ascii="Arial" w:hAnsi="Arial" w:cs="Arial"/>
          <w:color w:val="000000"/>
          <w:lang w:val="es-MX" w:eastAsia="es-ES"/>
        </w:rPr>
        <w:t xml:space="preserve"> accesos (0.03% del total).</w:t>
      </w:r>
    </w:p>
    <w:p w14:paraId="6F21A03B" w14:textId="77777777" w:rsidR="00FA2C42" w:rsidRPr="00FA2C42" w:rsidRDefault="00FA2C42" w:rsidP="008347CE">
      <w:pPr>
        <w:spacing w:after="0"/>
        <w:ind w:left="720"/>
        <w:jc w:val="both"/>
        <w:rPr>
          <w:rFonts w:ascii="Arial" w:hAnsi="Arial" w:cs="Arial"/>
          <w:color w:val="000000"/>
          <w:lang w:val="es-MX" w:eastAsia="es-ES"/>
        </w:rPr>
      </w:pPr>
    </w:p>
    <w:p w14:paraId="780CED5E" w14:textId="79C5D417" w:rsidR="00FA2C42" w:rsidRPr="00FA2C42" w:rsidRDefault="00FA2C42" w:rsidP="008347CE">
      <w:pPr>
        <w:numPr>
          <w:ilvl w:val="0"/>
          <w:numId w:val="12"/>
        </w:numPr>
        <w:spacing w:after="0"/>
        <w:jc w:val="both"/>
        <w:rPr>
          <w:rFonts w:ascii="Arial" w:hAnsi="Arial" w:cs="Arial"/>
          <w:color w:val="000000"/>
          <w:lang w:val="es-MX" w:eastAsia="es-ES"/>
        </w:rPr>
      </w:pPr>
      <w:r w:rsidRPr="00FA2C42">
        <w:rPr>
          <w:rFonts w:ascii="Arial" w:hAnsi="Arial" w:cs="Arial"/>
          <w:color w:val="000000"/>
          <w:lang w:val="es-MX" w:eastAsia="es-ES"/>
        </w:rPr>
        <w:t>En los 2</w:t>
      </w:r>
      <w:r w:rsidR="00AF21CE">
        <w:rPr>
          <w:rFonts w:ascii="Arial" w:hAnsi="Arial" w:cs="Arial"/>
          <w:color w:val="000000"/>
          <w:lang w:val="es-MX" w:eastAsia="es-ES"/>
        </w:rPr>
        <w:t>24</w:t>
      </w:r>
      <w:r w:rsidRPr="00FA2C42">
        <w:rPr>
          <w:rFonts w:ascii="Arial" w:hAnsi="Arial" w:cs="Arial"/>
          <w:color w:val="000000"/>
          <w:lang w:val="es-MX" w:eastAsia="es-ES"/>
        </w:rPr>
        <w:t xml:space="preserve"> municipios que tienen de 101 a 300 accesos para BAF, se localizan aproximadamente 3.</w:t>
      </w:r>
      <w:r w:rsidR="00AF21CE">
        <w:rPr>
          <w:rFonts w:ascii="Arial" w:hAnsi="Arial" w:cs="Arial"/>
          <w:color w:val="000000"/>
          <w:lang w:val="es-MX" w:eastAsia="es-ES"/>
        </w:rPr>
        <w:t>3</w:t>
      </w:r>
      <w:r w:rsidRPr="00FA2C42">
        <w:rPr>
          <w:rFonts w:ascii="Arial" w:hAnsi="Arial" w:cs="Arial"/>
          <w:color w:val="000000"/>
          <w:lang w:val="es-MX" w:eastAsia="es-ES"/>
        </w:rPr>
        <w:t xml:space="preserve"> millones de personas (2.</w:t>
      </w:r>
      <w:r w:rsidR="00AF21CE">
        <w:rPr>
          <w:rFonts w:ascii="Arial" w:hAnsi="Arial" w:cs="Arial"/>
          <w:color w:val="000000"/>
          <w:lang w:val="es-MX" w:eastAsia="es-ES"/>
        </w:rPr>
        <w:t>6</w:t>
      </w:r>
      <w:r w:rsidRPr="00FA2C42">
        <w:rPr>
          <w:rFonts w:ascii="Arial" w:hAnsi="Arial" w:cs="Arial"/>
          <w:color w:val="000000"/>
          <w:lang w:val="es-MX" w:eastAsia="es-ES"/>
        </w:rPr>
        <w:t>% de la población</w:t>
      </w:r>
      <w:r w:rsidR="00202769">
        <w:rPr>
          <w:rFonts w:ascii="Arial" w:hAnsi="Arial" w:cs="Arial"/>
          <w:color w:val="000000"/>
          <w:lang w:val="es-MX" w:eastAsia="es-ES"/>
        </w:rPr>
        <w:t xml:space="preserve"> nacional</w:t>
      </w:r>
      <w:r w:rsidRPr="00FA2C42">
        <w:rPr>
          <w:rFonts w:ascii="Arial" w:hAnsi="Arial" w:cs="Arial"/>
          <w:color w:val="000000"/>
          <w:lang w:val="es-MX" w:eastAsia="es-ES"/>
        </w:rPr>
        <w:t>) y 0.8 millones de hogares (2.</w:t>
      </w:r>
      <w:r w:rsidR="00273B98">
        <w:rPr>
          <w:rFonts w:ascii="Arial" w:hAnsi="Arial" w:cs="Arial"/>
          <w:color w:val="000000"/>
          <w:lang w:val="es-MX" w:eastAsia="es-ES"/>
        </w:rPr>
        <w:t>4</w:t>
      </w:r>
      <w:r w:rsidRPr="00FA2C42">
        <w:rPr>
          <w:rFonts w:ascii="Arial" w:hAnsi="Arial" w:cs="Arial"/>
          <w:color w:val="000000"/>
          <w:lang w:val="es-MX" w:eastAsia="es-ES"/>
        </w:rPr>
        <w:t>% del</w:t>
      </w:r>
      <w:r w:rsidR="00202769">
        <w:rPr>
          <w:rFonts w:ascii="Arial" w:hAnsi="Arial" w:cs="Arial"/>
          <w:color w:val="000000"/>
          <w:lang w:val="es-MX" w:eastAsia="es-ES"/>
        </w:rPr>
        <w:t xml:space="preserve"> total de</w:t>
      </w:r>
      <w:r w:rsidRPr="00FA2C42">
        <w:rPr>
          <w:rFonts w:ascii="Arial" w:hAnsi="Arial" w:cs="Arial"/>
          <w:color w:val="000000"/>
          <w:lang w:val="es-MX" w:eastAsia="es-ES"/>
        </w:rPr>
        <w:t xml:space="preserve"> hogares</w:t>
      </w:r>
      <w:r w:rsidR="00202769">
        <w:rPr>
          <w:rFonts w:ascii="Arial" w:hAnsi="Arial" w:cs="Arial"/>
          <w:color w:val="000000"/>
          <w:lang w:val="es-MX" w:eastAsia="es-ES"/>
        </w:rPr>
        <w:t xml:space="preserve"> en el país</w:t>
      </w:r>
      <w:r w:rsidRPr="00FA2C42">
        <w:rPr>
          <w:rFonts w:ascii="Arial" w:hAnsi="Arial" w:cs="Arial"/>
          <w:color w:val="000000"/>
          <w:lang w:val="es-MX" w:eastAsia="es-ES"/>
        </w:rPr>
        <w:t>). En dicho conjunto de municipios existen 4</w:t>
      </w:r>
      <w:r w:rsidR="00AF21CE">
        <w:rPr>
          <w:rFonts w:ascii="Arial" w:hAnsi="Arial" w:cs="Arial"/>
          <w:color w:val="000000"/>
          <w:lang w:val="es-MX" w:eastAsia="es-ES"/>
        </w:rPr>
        <w:t>4</w:t>
      </w:r>
      <w:r w:rsidRPr="00FA2C42">
        <w:rPr>
          <w:rFonts w:ascii="Arial" w:hAnsi="Arial" w:cs="Arial"/>
          <w:color w:val="000000"/>
          <w:lang w:val="es-MX" w:eastAsia="es-ES"/>
        </w:rPr>
        <w:t>,</w:t>
      </w:r>
      <w:r w:rsidR="00AF21CE">
        <w:rPr>
          <w:rFonts w:ascii="Arial" w:hAnsi="Arial" w:cs="Arial"/>
          <w:color w:val="000000"/>
          <w:lang w:val="es-MX" w:eastAsia="es-ES"/>
        </w:rPr>
        <w:t>305</w:t>
      </w:r>
      <w:r w:rsidRPr="00FA2C42">
        <w:rPr>
          <w:rFonts w:ascii="Arial" w:hAnsi="Arial" w:cs="Arial"/>
          <w:color w:val="000000"/>
          <w:lang w:val="es-MX" w:eastAsia="es-ES"/>
        </w:rPr>
        <w:t xml:space="preserve"> accesos (0.2% del total).</w:t>
      </w:r>
    </w:p>
    <w:p w14:paraId="22FB2BC2" w14:textId="77777777" w:rsidR="00FA2C42" w:rsidRPr="00FA2C42" w:rsidRDefault="00FA2C42" w:rsidP="008347CE">
      <w:pPr>
        <w:spacing w:after="0"/>
        <w:ind w:left="720"/>
        <w:jc w:val="both"/>
        <w:rPr>
          <w:rFonts w:ascii="Arial" w:hAnsi="Arial" w:cs="Arial"/>
          <w:color w:val="000000"/>
          <w:lang w:val="es-MX" w:eastAsia="es-ES"/>
        </w:rPr>
      </w:pPr>
    </w:p>
    <w:p w14:paraId="18CA67A7" w14:textId="5E923A54" w:rsidR="00FA2C42" w:rsidRPr="00FA2C42" w:rsidRDefault="00FA2C42" w:rsidP="008347CE">
      <w:pPr>
        <w:numPr>
          <w:ilvl w:val="0"/>
          <w:numId w:val="12"/>
        </w:numPr>
        <w:spacing w:after="0"/>
        <w:jc w:val="both"/>
        <w:rPr>
          <w:rFonts w:ascii="Arial" w:hAnsi="Arial" w:cs="Arial"/>
          <w:color w:val="000000"/>
          <w:lang w:val="es-MX" w:eastAsia="es-ES"/>
        </w:rPr>
      </w:pPr>
      <w:r w:rsidRPr="00FA2C42">
        <w:rPr>
          <w:rFonts w:ascii="Arial" w:hAnsi="Arial" w:cs="Arial"/>
          <w:color w:val="000000"/>
          <w:lang w:val="es-MX" w:eastAsia="es-ES"/>
        </w:rPr>
        <w:t>En contraste, se identifican a 3</w:t>
      </w:r>
      <w:r w:rsidR="00094A6E">
        <w:rPr>
          <w:rFonts w:ascii="Arial" w:hAnsi="Arial" w:cs="Arial"/>
          <w:color w:val="000000"/>
          <w:lang w:val="es-MX" w:eastAsia="es-ES"/>
        </w:rPr>
        <w:t>80</w:t>
      </w:r>
      <w:r w:rsidRPr="00FA2C42">
        <w:rPr>
          <w:rFonts w:ascii="Arial" w:hAnsi="Arial" w:cs="Arial"/>
          <w:color w:val="000000"/>
          <w:lang w:val="es-MX" w:eastAsia="es-ES"/>
        </w:rPr>
        <w:t xml:space="preserve"> municipios que cuentan con entre 301 y 1,000 accesos para BAF, en los cuales se localizan 7.2 millones de personas (</w:t>
      </w:r>
      <w:r w:rsidR="00AF21CE">
        <w:rPr>
          <w:rFonts w:ascii="Arial" w:hAnsi="Arial" w:cs="Arial"/>
          <w:color w:val="000000"/>
          <w:lang w:val="es-MX" w:eastAsia="es-ES"/>
        </w:rPr>
        <w:t>5.7</w:t>
      </w:r>
      <w:r w:rsidRPr="00FA2C42">
        <w:rPr>
          <w:rFonts w:ascii="Arial" w:hAnsi="Arial" w:cs="Arial"/>
          <w:color w:val="000000"/>
          <w:lang w:val="es-MX" w:eastAsia="es-ES"/>
        </w:rPr>
        <w:t>% de l</w:t>
      </w:r>
      <w:r w:rsidR="00202769">
        <w:rPr>
          <w:rFonts w:ascii="Arial" w:hAnsi="Arial" w:cs="Arial"/>
          <w:color w:val="000000"/>
          <w:lang w:val="es-MX" w:eastAsia="es-ES"/>
        </w:rPr>
        <w:t>a</w:t>
      </w:r>
      <w:r w:rsidRPr="00FA2C42">
        <w:rPr>
          <w:rFonts w:ascii="Arial" w:hAnsi="Arial" w:cs="Arial"/>
          <w:color w:val="000000"/>
          <w:lang w:val="es-MX" w:eastAsia="es-ES"/>
        </w:rPr>
        <w:t xml:space="preserve"> población </w:t>
      </w:r>
      <w:r w:rsidR="00202769">
        <w:rPr>
          <w:rFonts w:ascii="Arial" w:hAnsi="Arial" w:cs="Arial"/>
          <w:color w:val="000000"/>
          <w:lang w:val="es-MX" w:eastAsia="es-ES"/>
        </w:rPr>
        <w:t>nacional</w:t>
      </w:r>
      <w:r w:rsidRPr="00FA2C42">
        <w:rPr>
          <w:rFonts w:ascii="Arial" w:hAnsi="Arial" w:cs="Arial"/>
          <w:color w:val="000000"/>
          <w:lang w:val="es-MX" w:eastAsia="es-ES"/>
        </w:rPr>
        <w:t>) y 1.</w:t>
      </w:r>
      <w:r w:rsidR="00AF21CE">
        <w:rPr>
          <w:rFonts w:ascii="Arial" w:hAnsi="Arial" w:cs="Arial"/>
          <w:color w:val="000000"/>
          <w:lang w:val="es-MX" w:eastAsia="es-ES"/>
        </w:rPr>
        <w:t>9</w:t>
      </w:r>
      <w:r w:rsidRPr="00FA2C42">
        <w:rPr>
          <w:rFonts w:ascii="Arial" w:hAnsi="Arial" w:cs="Arial"/>
          <w:color w:val="000000"/>
          <w:lang w:val="es-MX" w:eastAsia="es-ES"/>
        </w:rPr>
        <w:t xml:space="preserve"> millones de hogares (5.</w:t>
      </w:r>
      <w:r w:rsidR="00273B98">
        <w:rPr>
          <w:rFonts w:ascii="Arial" w:hAnsi="Arial" w:cs="Arial"/>
          <w:color w:val="000000"/>
          <w:lang w:val="es-MX" w:eastAsia="es-ES"/>
        </w:rPr>
        <w:t>5</w:t>
      </w:r>
      <w:r w:rsidRPr="00FA2C42">
        <w:rPr>
          <w:rFonts w:ascii="Arial" w:hAnsi="Arial" w:cs="Arial"/>
          <w:color w:val="000000"/>
          <w:lang w:val="es-MX" w:eastAsia="es-ES"/>
        </w:rPr>
        <w:t>% del total</w:t>
      </w:r>
      <w:r w:rsidR="00202769">
        <w:rPr>
          <w:rFonts w:ascii="Arial" w:hAnsi="Arial" w:cs="Arial"/>
          <w:color w:val="000000"/>
          <w:lang w:val="es-MX" w:eastAsia="es-ES"/>
        </w:rPr>
        <w:t xml:space="preserve"> de hogares en el país</w:t>
      </w:r>
      <w:r w:rsidRPr="00FA2C42">
        <w:rPr>
          <w:rFonts w:ascii="Arial" w:hAnsi="Arial" w:cs="Arial"/>
          <w:color w:val="000000"/>
          <w:lang w:val="es-MX" w:eastAsia="es-ES"/>
        </w:rPr>
        <w:t>). En dicho conjunto de municipios existen 22</w:t>
      </w:r>
      <w:r w:rsidR="00AF21CE">
        <w:rPr>
          <w:rFonts w:ascii="Arial" w:hAnsi="Arial" w:cs="Arial"/>
          <w:color w:val="000000"/>
          <w:lang w:val="es-MX" w:eastAsia="es-ES"/>
        </w:rPr>
        <w:t>7</w:t>
      </w:r>
      <w:r w:rsidRPr="00FA2C42">
        <w:rPr>
          <w:rFonts w:ascii="Arial" w:hAnsi="Arial" w:cs="Arial"/>
          <w:color w:val="000000"/>
          <w:lang w:val="es-MX" w:eastAsia="es-ES"/>
        </w:rPr>
        <w:t>,</w:t>
      </w:r>
      <w:r w:rsidR="00AF21CE">
        <w:rPr>
          <w:rFonts w:ascii="Arial" w:hAnsi="Arial" w:cs="Arial"/>
          <w:color w:val="000000"/>
          <w:lang w:val="es-MX" w:eastAsia="es-ES"/>
        </w:rPr>
        <w:t>295</w:t>
      </w:r>
      <w:r w:rsidRPr="00FA2C42">
        <w:rPr>
          <w:rFonts w:ascii="Arial" w:hAnsi="Arial" w:cs="Arial"/>
          <w:color w:val="000000"/>
          <w:lang w:val="es-MX" w:eastAsia="es-ES"/>
        </w:rPr>
        <w:t xml:space="preserve"> accesos (1.</w:t>
      </w:r>
      <w:r w:rsidR="00AF21CE">
        <w:rPr>
          <w:rFonts w:ascii="Arial" w:hAnsi="Arial" w:cs="Arial"/>
          <w:color w:val="000000"/>
          <w:lang w:val="es-MX" w:eastAsia="es-ES"/>
        </w:rPr>
        <w:t>1</w:t>
      </w:r>
      <w:r w:rsidRPr="00FA2C42">
        <w:rPr>
          <w:rFonts w:ascii="Arial" w:hAnsi="Arial" w:cs="Arial"/>
          <w:color w:val="000000"/>
          <w:lang w:val="es-MX" w:eastAsia="es-ES"/>
        </w:rPr>
        <w:t>% del total).</w:t>
      </w:r>
    </w:p>
    <w:p w14:paraId="27F731A9" w14:textId="77777777" w:rsidR="00FA2C42" w:rsidRPr="00FA2C42" w:rsidRDefault="00FA2C42" w:rsidP="008347CE">
      <w:pPr>
        <w:spacing w:after="0"/>
        <w:ind w:left="720"/>
        <w:jc w:val="both"/>
        <w:rPr>
          <w:rFonts w:ascii="Arial" w:hAnsi="Arial" w:cs="Arial"/>
          <w:color w:val="000000"/>
          <w:lang w:val="es-MX" w:eastAsia="es-ES"/>
        </w:rPr>
      </w:pPr>
    </w:p>
    <w:p w14:paraId="5138D884" w14:textId="2CBDFA1F" w:rsidR="00FA2C42" w:rsidRPr="00FA2C42" w:rsidRDefault="00FA2C42" w:rsidP="008347CE">
      <w:pPr>
        <w:numPr>
          <w:ilvl w:val="0"/>
          <w:numId w:val="12"/>
        </w:numPr>
        <w:spacing w:after="0"/>
        <w:jc w:val="both"/>
        <w:rPr>
          <w:rFonts w:ascii="Arial" w:hAnsi="Arial" w:cs="Arial"/>
          <w:color w:val="000000"/>
          <w:lang w:val="es-MX" w:eastAsia="es-ES"/>
        </w:rPr>
      </w:pPr>
      <w:r w:rsidRPr="00FA2C42">
        <w:rPr>
          <w:rFonts w:ascii="Arial" w:hAnsi="Arial" w:cs="Arial"/>
          <w:color w:val="000000"/>
          <w:lang w:val="es-MX" w:eastAsia="es-ES"/>
        </w:rPr>
        <w:lastRenderedPageBreak/>
        <w:t xml:space="preserve">En los </w:t>
      </w:r>
      <w:r w:rsidR="00094A6E">
        <w:rPr>
          <w:rFonts w:ascii="Arial" w:hAnsi="Arial" w:cs="Arial"/>
          <w:color w:val="000000"/>
          <w:lang w:val="es-MX" w:eastAsia="es-ES"/>
        </w:rPr>
        <w:t>378</w:t>
      </w:r>
      <w:r w:rsidRPr="00FA2C42">
        <w:rPr>
          <w:rFonts w:ascii="Arial" w:hAnsi="Arial" w:cs="Arial"/>
          <w:color w:val="000000"/>
          <w:lang w:val="es-MX" w:eastAsia="es-ES"/>
        </w:rPr>
        <w:t xml:space="preserve"> municipios que tienen de 1,001 a 3,500 accesos para BAF, se localizan aproximadamente 12.</w:t>
      </w:r>
      <w:r w:rsidR="00094A6E">
        <w:rPr>
          <w:rFonts w:ascii="Arial" w:hAnsi="Arial" w:cs="Arial"/>
          <w:color w:val="000000"/>
          <w:lang w:val="es-MX" w:eastAsia="es-ES"/>
        </w:rPr>
        <w:t>3</w:t>
      </w:r>
      <w:r w:rsidRPr="00FA2C42">
        <w:rPr>
          <w:rFonts w:ascii="Arial" w:hAnsi="Arial" w:cs="Arial"/>
          <w:color w:val="000000"/>
          <w:lang w:val="es-MX" w:eastAsia="es-ES"/>
        </w:rPr>
        <w:t xml:space="preserve"> millones de personas (</w:t>
      </w:r>
      <w:r w:rsidR="00094A6E">
        <w:rPr>
          <w:rFonts w:ascii="Arial" w:hAnsi="Arial" w:cs="Arial"/>
          <w:color w:val="000000"/>
          <w:lang w:val="es-MX" w:eastAsia="es-ES"/>
        </w:rPr>
        <w:t>9</w:t>
      </w:r>
      <w:r w:rsidRPr="00FA2C42">
        <w:rPr>
          <w:rFonts w:ascii="Arial" w:hAnsi="Arial" w:cs="Arial"/>
          <w:color w:val="000000"/>
          <w:lang w:val="es-MX" w:eastAsia="es-ES"/>
        </w:rPr>
        <w:t>.</w:t>
      </w:r>
      <w:r w:rsidR="00094A6E">
        <w:rPr>
          <w:rFonts w:ascii="Arial" w:hAnsi="Arial" w:cs="Arial"/>
          <w:color w:val="000000"/>
          <w:lang w:val="es-MX" w:eastAsia="es-ES"/>
        </w:rPr>
        <w:t>8</w:t>
      </w:r>
      <w:r w:rsidRPr="00FA2C42">
        <w:rPr>
          <w:rFonts w:ascii="Arial" w:hAnsi="Arial" w:cs="Arial"/>
          <w:color w:val="000000"/>
          <w:lang w:val="es-MX" w:eastAsia="es-ES"/>
        </w:rPr>
        <w:t>% de la población</w:t>
      </w:r>
      <w:r w:rsidR="00202769">
        <w:rPr>
          <w:rFonts w:ascii="Arial" w:hAnsi="Arial" w:cs="Arial"/>
          <w:color w:val="000000"/>
          <w:lang w:val="es-MX" w:eastAsia="es-ES"/>
        </w:rPr>
        <w:t xml:space="preserve"> nacional</w:t>
      </w:r>
      <w:r w:rsidRPr="00FA2C42">
        <w:rPr>
          <w:rFonts w:ascii="Arial" w:hAnsi="Arial" w:cs="Arial"/>
          <w:color w:val="000000"/>
          <w:lang w:val="es-MX" w:eastAsia="es-ES"/>
        </w:rPr>
        <w:t>) y 3.</w:t>
      </w:r>
      <w:r w:rsidR="006A313C">
        <w:rPr>
          <w:rFonts w:ascii="Arial" w:hAnsi="Arial" w:cs="Arial"/>
          <w:color w:val="000000"/>
          <w:lang w:val="es-MX" w:eastAsia="es-ES"/>
        </w:rPr>
        <w:t>3</w:t>
      </w:r>
      <w:r w:rsidRPr="00FA2C42">
        <w:rPr>
          <w:rFonts w:ascii="Arial" w:hAnsi="Arial" w:cs="Arial"/>
          <w:color w:val="000000"/>
          <w:lang w:val="es-MX" w:eastAsia="es-ES"/>
        </w:rPr>
        <w:t xml:space="preserve"> millones de hogares (9.</w:t>
      </w:r>
      <w:r w:rsidR="006A313C">
        <w:rPr>
          <w:rFonts w:ascii="Arial" w:hAnsi="Arial" w:cs="Arial"/>
          <w:color w:val="000000"/>
          <w:lang w:val="es-MX" w:eastAsia="es-ES"/>
        </w:rPr>
        <w:t>3</w:t>
      </w:r>
      <w:r w:rsidRPr="00FA2C42">
        <w:rPr>
          <w:rFonts w:ascii="Arial" w:hAnsi="Arial" w:cs="Arial"/>
          <w:color w:val="000000"/>
          <w:lang w:val="es-MX" w:eastAsia="es-ES"/>
        </w:rPr>
        <w:t>% de los hogares totales</w:t>
      </w:r>
      <w:r w:rsidR="00202769">
        <w:rPr>
          <w:rFonts w:ascii="Arial" w:hAnsi="Arial" w:cs="Arial"/>
          <w:color w:val="000000"/>
          <w:lang w:val="es-MX" w:eastAsia="es-ES"/>
        </w:rPr>
        <w:t xml:space="preserve"> en el país</w:t>
      </w:r>
      <w:r w:rsidRPr="00FA2C42">
        <w:rPr>
          <w:rFonts w:ascii="Arial" w:hAnsi="Arial" w:cs="Arial"/>
          <w:color w:val="000000"/>
          <w:lang w:val="es-MX" w:eastAsia="es-ES"/>
        </w:rPr>
        <w:t>). En dicho conjunto de municipios existen 7</w:t>
      </w:r>
      <w:r w:rsidR="00094A6E">
        <w:rPr>
          <w:rFonts w:ascii="Arial" w:hAnsi="Arial" w:cs="Arial"/>
          <w:color w:val="000000"/>
          <w:lang w:val="es-MX" w:eastAsia="es-ES"/>
        </w:rPr>
        <w:t>10</w:t>
      </w:r>
      <w:r w:rsidRPr="00FA2C42">
        <w:rPr>
          <w:rFonts w:ascii="Arial" w:hAnsi="Arial" w:cs="Arial"/>
          <w:color w:val="000000"/>
          <w:lang w:val="es-MX" w:eastAsia="es-ES"/>
        </w:rPr>
        <w:t>,</w:t>
      </w:r>
      <w:r w:rsidR="00094A6E">
        <w:rPr>
          <w:rFonts w:ascii="Arial" w:hAnsi="Arial" w:cs="Arial"/>
          <w:color w:val="000000"/>
          <w:lang w:val="es-MX" w:eastAsia="es-ES"/>
        </w:rPr>
        <w:t>347</w:t>
      </w:r>
      <w:r w:rsidRPr="00FA2C42">
        <w:rPr>
          <w:rFonts w:ascii="Arial" w:hAnsi="Arial" w:cs="Arial"/>
          <w:color w:val="000000"/>
          <w:lang w:val="es-MX" w:eastAsia="es-ES"/>
        </w:rPr>
        <w:t xml:space="preserve"> accesos (3.</w:t>
      </w:r>
      <w:r w:rsidR="00094A6E">
        <w:rPr>
          <w:rFonts w:ascii="Arial" w:hAnsi="Arial" w:cs="Arial"/>
          <w:color w:val="000000"/>
          <w:lang w:val="es-MX" w:eastAsia="es-ES"/>
        </w:rPr>
        <w:t>5</w:t>
      </w:r>
      <w:r w:rsidRPr="00FA2C42">
        <w:rPr>
          <w:rFonts w:ascii="Arial" w:hAnsi="Arial" w:cs="Arial"/>
          <w:color w:val="000000"/>
          <w:lang w:val="es-MX" w:eastAsia="es-ES"/>
        </w:rPr>
        <w:t>% del total).</w:t>
      </w:r>
    </w:p>
    <w:p w14:paraId="0CD71BAB" w14:textId="77777777" w:rsidR="00FA2C42" w:rsidRPr="00FA2C42" w:rsidRDefault="00FA2C42" w:rsidP="008347CE">
      <w:pPr>
        <w:spacing w:after="0"/>
        <w:ind w:left="720"/>
        <w:jc w:val="both"/>
        <w:rPr>
          <w:rFonts w:ascii="Arial" w:hAnsi="Arial" w:cs="Arial"/>
          <w:color w:val="000000"/>
          <w:lang w:val="es-MX" w:eastAsia="es-ES"/>
        </w:rPr>
      </w:pPr>
    </w:p>
    <w:p w14:paraId="334D2F30" w14:textId="56143D1D" w:rsidR="00FA2C42" w:rsidRDefault="00FA2C42" w:rsidP="008347CE">
      <w:pPr>
        <w:numPr>
          <w:ilvl w:val="0"/>
          <w:numId w:val="12"/>
        </w:numPr>
        <w:spacing w:after="0"/>
        <w:jc w:val="both"/>
        <w:rPr>
          <w:rFonts w:ascii="Arial" w:hAnsi="Arial" w:cs="Arial"/>
          <w:color w:val="000000"/>
          <w:lang w:val="es-MX" w:eastAsia="es-ES"/>
        </w:rPr>
      </w:pPr>
      <w:r w:rsidRPr="00FA2C42">
        <w:rPr>
          <w:rFonts w:ascii="Arial" w:hAnsi="Arial" w:cs="Arial"/>
          <w:color w:val="000000"/>
          <w:lang w:val="es-MX" w:eastAsia="es-ES"/>
        </w:rPr>
        <w:t>Asimismo, existen 4</w:t>
      </w:r>
      <w:r w:rsidR="00094A6E">
        <w:rPr>
          <w:rFonts w:ascii="Arial" w:hAnsi="Arial" w:cs="Arial"/>
          <w:color w:val="000000"/>
          <w:lang w:val="es-MX" w:eastAsia="es-ES"/>
        </w:rPr>
        <w:t>46</w:t>
      </w:r>
      <w:r w:rsidRPr="00FA2C42">
        <w:rPr>
          <w:rFonts w:ascii="Arial" w:hAnsi="Arial" w:cs="Arial"/>
          <w:color w:val="000000"/>
          <w:lang w:val="es-MX" w:eastAsia="es-ES"/>
        </w:rPr>
        <w:t xml:space="preserve"> municipios cuyo volumen de accesos presentes es superior a los 3,500 en los cuales se encuentran cerca de </w:t>
      </w:r>
      <w:r w:rsidR="00094A6E">
        <w:rPr>
          <w:rFonts w:ascii="Arial" w:hAnsi="Arial" w:cs="Arial"/>
          <w:color w:val="000000"/>
          <w:lang w:val="es-MX" w:eastAsia="es-ES"/>
        </w:rPr>
        <w:t>95.7</w:t>
      </w:r>
      <w:r w:rsidRPr="00FA2C42">
        <w:rPr>
          <w:rFonts w:ascii="Arial" w:hAnsi="Arial" w:cs="Arial"/>
          <w:color w:val="000000"/>
          <w:lang w:val="es-MX" w:eastAsia="es-ES"/>
        </w:rPr>
        <w:t xml:space="preserve"> millones de personas (7</w:t>
      </w:r>
      <w:r w:rsidR="00094A6E">
        <w:rPr>
          <w:rFonts w:ascii="Arial" w:hAnsi="Arial" w:cs="Arial"/>
          <w:color w:val="000000"/>
          <w:lang w:val="es-MX" w:eastAsia="es-ES"/>
        </w:rPr>
        <w:t>6</w:t>
      </w:r>
      <w:r w:rsidRPr="00FA2C42">
        <w:rPr>
          <w:rFonts w:ascii="Arial" w:hAnsi="Arial" w:cs="Arial"/>
          <w:color w:val="000000"/>
          <w:lang w:val="es-MX" w:eastAsia="es-ES"/>
        </w:rPr>
        <w:t>% de</w:t>
      </w:r>
      <w:r w:rsidR="00202769">
        <w:rPr>
          <w:rFonts w:ascii="Arial" w:hAnsi="Arial" w:cs="Arial"/>
          <w:color w:val="000000"/>
          <w:lang w:val="es-MX" w:eastAsia="es-ES"/>
        </w:rPr>
        <w:t xml:space="preserve"> la población nacional</w:t>
      </w:r>
      <w:r w:rsidRPr="00FA2C42">
        <w:rPr>
          <w:rFonts w:ascii="Arial" w:hAnsi="Arial" w:cs="Arial"/>
          <w:color w:val="000000"/>
          <w:lang w:val="es-MX" w:eastAsia="es-ES"/>
        </w:rPr>
        <w:t>) y 2</w:t>
      </w:r>
      <w:r w:rsidR="006A313C">
        <w:rPr>
          <w:rFonts w:ascii="Arial" w:hAnsi="Arial" w:cs="Arial"/>
          <w:color w:val="000000"/>
          <w:lang w:val="es-MX" w:eastAsia="es-ES"/>
        </w:rPr>
        <w:t>7.3</w:t>
      </w:r>
      <w:r w:rsidRPr="00FA2C42">
        <w:rPr>
          <w:rFonts w:ascii="Arial" w:hAnsi="Arial" w:cs="Arial"/>
          <w:color w:val="000000"/>
          <w:lang w:val="es-MX" w:eastAsia="es-ES"/>
        </w:rPr>
        <w:t xml:space="preserve"> millones de hogares (7</w:t>
      </w:r>
      <w:r w:rsidR="006A313C">
        <w:rPr>
          <w:rFonts w:ascii="Arial" w:hAnsi="Arial" w:cs="Arial"/>
          <w:color w:val="000000"/>
          <w:lang w:val="es-MX" w:eastAsia="es-ES"/>
        </w:rPr>
        <w:t>7.4</w:t>
      </w:r>
      <w:r w:rsidRPr="00FA2C42">
        <w:rPr>
          <w:rFonts w:ascii="Arial" w:hAnsi="Arial" w:cs="Arial"/>
          <w:color w:val="000000"/>
          <w:lang w:val="es-MX" w:eastAsia="es-ES"/>
        </w:rPr>
        <w:t>% de</w:t>
      </w:r>
      <w:r w:rsidR="00202769">
        <w:rPr>
          <w:rFonts w:ascii="Arial" w:hAnsi="Arial" w:cs="Arial"/>
          <w:color w:val="000000"/>
          <w:lang w:val="es-MX" w:eastAsia="es-ES"/>
        </w:rPr>
        <w:t>l</w:t>
      </w:r>
      <w:r w:rsidRPr="00FA2C42">
        <w:rPr>
          <w:rFonts w:ascii="Arial" w:hAnsi="Arial" w:cs="Arial"/>
          <w:color w:val="000000"/>
          <w:lang w:val="es-MX" w:eastAsia="es-ES"/>
        </w:rPr>
        <w:t xml:space="preserve"> total de hogares</w:t>
      </w:r>
      <w:r w:rsidR="00202769">
        <w:rPr>
          <w:rFonts w:ascii="Arial" w:hAnsi="Arial" w:cs="Arial"/>
          <w:color w:val="000000"/>
          <w:lang w:val="es-MX" w:eastAsia="es-ES"/>
        </w:rPr>
        <w:t xml:space="preserve"> en el país</w:t>
      </w:r>
      <w:r w:rsidRPr="00FA2C42">
        <w:rPr>
          <w:rFonts w:ascii="Arial" w:hAnsi="Arial" w:cs="Arial"/>
          <w:color w:val="000000"/>
          <w:lang w:val="es-MX" w:eastAsia="es-ES"/>
        </w:rPr>
        <w:t>). En este conjunto de municipios se encuentran aproximadamente 1</w:t>
      </w:r>
      <w:r w:rsidR="00094A6E">
        <w:rPr>
          <w:rFonts w:ascii="Arial" w:hAnsi="Arial" w:cs="Arial"/>
          <w:color w:val="000000"/>
          <w:lang w:val="es-MX" w:eastAsia="es-ES"/>
        </w:rPr>
        <w:t>9.</w:t>
      </w:r>
      <w:r w:rsidRPr="00FA2C42">
        <w:rPr>
          <w:rFonts w:ascii="Arial" w:hAnsi="Arial" w:cs="Arial"/>
          <w:color w:val="000000"/>
          <w:lang w:val="es-MX" w:eastAsia="es-ES"/>
        </w:rPr>
        <w:t>1 millones de accesos para BAF (9</w:t>
      </w:r>
      <w:r w:rsidR="00094A6E">
        <w:rPr>
          <w:rFonts w:ascii="Arial" w:hAnsi="Arial" w:cs="Arial"/>
          <w:color w:val="000000"/>
          <w:lang w:val="es-MX" w:eastAsia="es-ES"/>
        </w:rPr>
        <w:t>5.1</w:t>
      </w:r>
      <w:r w:rsidRPr="00FA2C42">
        <w:rPr>
          <w:rFonts w:ascii="Arial" w:hAnsi="Arial" w:cs="Arial"/>
          <w:color w:val="000000"/>
          <w:lang w:val="es-MX" w:eastAsia="es-ES"/>
        </w:rPr>
        <w:t>% de los accesos a nivel nacional).</w:t>
      </w:r>
    </w:p>
    <w:p w14:paraId="6286996E" w14:textId="77777777" w:rsidR="00156C3A" w:rsidRPr="00233A27" w:rsidRDefault="00156C3A" w:rsidP="00233A27">
      <w:pPr>
        <w:spacing w:after="0"/>
        <w:ind w:left="720"/>
        <w:jc w:val="both"/>
        <w:rPr>
          <w:rFonts w:ascii="Arial" w:hAnsi="Arial" w:cs="Arial"/>
          <w:color w:val="000000"/>
          <w:lang w:val="es-MX" w:eastAsia="es-ES"/>
        </w:rPr>
      </w:pPr>
    </w:p>
    <w:p w14:paraId="3B4C29A2" w14:textId="2FE6E92C" w:rsidR="00FA2C42" w:rsidRPr="00FA2C42" w:rsidRDefault="00FA2C42" w:rsidP="008347CE">
      <w:pPr>
        <w:spacing w:after="0"/>
        <w:jc w:val="both"/>
        <w:rPr>
          <w:rFonts w:ascii="Arial" w:hAnsi="Arial" w:cs="Arial"/>
          <w:color w:val="000000"/>
          <w:lang w:val="es-MX" w:eastAsia="es-ES"/>
        </w:rPr>
      </w:pPr>
      <w:r w:rsidRPr="001A77D2">
        <w:rPr>
          <w:rFonts w:ascii="Arial" w:hAnsi="Arial" w:cs="Arial"/>
          <w:color w:val="000000"/>
          <w:lang w:val="es-MX" w:eastAsia="es-ES"/>
        </w:rPr>
        <w:t xml:space="preserve">A efecto de ampliar el análisis, se </w:t>
      </w:r>
      <w:r w:rsidR="00964CCC" w:rsidRPr="001A77D2">
        <w:rPr>
          <w:rFonts w:ascii="Arial" w:hAnsi="Arial" w:cs="Arial"/>
          <w:color w:val="000000"/>
          <w:lang w:val="es-MX" w:eastAsia="es-ES"/>
        </w:rPr>
        <w:t>analizará el número</w:t>
      </w:r>
      <w:r w:rsidRPr="001A77D2">
        <w:rPr>
          <w:rFonts w:ascii="Arial" w:hAnsi="Arial" w:cs="Arial"/>
          <w:color w:val="000000"/>
          <w:lang w:val="es-MX" w:eastAsia="es-ES"/>
        </w:rPr>
        <w:t xml:space="preserve"> de operadores que se encuentran presentes a nivel municipal. </w:t>
      </w:r>
      <w:r w:rsidR="00AB649A" w:rsidRPr="001A77D2">
        <w:rPr>
          <w:rFonts w:ascii="Arial" w:hAnsi="Arial" w:cs="Arial"/>
          <w:color w:val="000000"/>
          <w:lang w:val="es-MX" w:eastAsia="es-ES"/>
        </w:rPr>
        <w:t xml:space="preserve">Para proporcionar </w:t>
      </w:r>
      <w:r w:rsidRPr="001A77D2">
        <w:rPr>
          <w:rFonts w:ascii="Arial" w:hAnsi="Arial" w:cs="Arial"/>
          <w:color w:val="000000"/>
          <w:lang w:val="es-MX" w:eastAsia="es-ES"/>
        </w:rPr>
        <w:t>una visión global sobre la presencia de operadores con accesos de BAF no se consideran distinciones respecto de</w:t>
      </w:r>
      <w:r w:rsidR="00646E23" w:rsidRPr="001A77D2">
        <w:rPr>
          <w:rFonts w:ascii="Arial" w:hAnsi="Arial" w:cs="Arial"/>
          <w:color w:val="000000"/>
          <w:lang w:val="es-MX" w:eastAsia="es-ES"/>
        </w:rPr>
        <w:t>l</w:t>
      </w:r>
      <w:r w:rsidRPr="001A77D2">
        <w:rPr>
          <w:rFonts w:ascii="Arial" w:hAnsi="Arial" w:cs="Arial"/>
          <w:color w:val="000000"/>
          <w:lang w:val="es-MX" w:eastAsia="es-ES"/>
        </w:rPr>
        <w:t xml:space="preserve"> grupo al que pertenecen los concesionarios analizados</w:t>
      </w:r>
      <w:r w:rsidR="00D84BF8" w:rsidRPr="001A77D2">
        <w:rPr>
          <w:rFonts w:ascii="Arial" w:hAnsi="Arial" w:cs="Arial"/>
          <w:color w:val="000000"/>
          <w:lang w:val="es-MX" w:eastAsia="es-ES"/>
        </w:rPr>
        <w:t>, conforme a su clasificación en el BIT</w:t>
      </w:r>
      <w:r w:rsidRPr="001A77D2">
        <w:rPr>
          <w:rFonts w:ascii="Arial" w:hAnsi="Arial" w:cs="Arial"/>
          <w:color w:val="000000"/>
          <w:lang w:val="es-MX" w:eastAsia="es-ES"/>
        </w:rPr>
        <w:t>. Es decir, para establecer la presencia de accesos en cada municipio del país se identificaron únicamente cuáles y cuántos son los concesionarios proporcionando servicios de BAF, considerando la diversidad tecnológica de los accesos que han desplegados en el país.</w:t>
      </w:r>
      <w:r w:rsidRPr="00FA2C42">
        <w:rPr>
          <w:rFonts w:ascii="Arial" w:hAnsi="Arial" w:cs="Arial"/>
          <w:color w:val="000000"/>
          <w:lang w:val="es-MX" w:eastAsia="es-ES"/>
        </w:rPr>
        <w:t xml:space="preserve"> </w:t>
      </w:r>
    </w:p>
    <w:p w14:paraId="73E612A6" w14:textId="77777777" w:rsidR="00FA2C42" w:rsidRPr="00FA2C42" w:rsidRDefault="00FA2C42" w:rsidP="008347CE">
      <w:pPr>
        <w:spacing w:after="0"/>
        <w:jc w:val="both"/>
        <w:rPr>
          <w:rFonts w:ascii="Arial" w:hAnsi="Arial" w:cs="Arial"/>
          <w:color w:val="000000"/>
          <w:lang w:val="es-MX" w:eastAsia="es-ES"/>
        </w:rPr>
      </w:pPr>
    </w:p>
    <w:p w14:paraId="5C667299" w14:textId="76982DF9" w:rsidR="00FA2C42" w:rsidRPr="00FA2C42" w:rsidRDefault="00FA2C42" w:rsidP="008347CE">
      <w:pPr>
        <w:spacing w:after="0"/>
        <w:jc w:val="both"/>
        <w:rPr>
          <w:rFonts w:ascii="Arial" w:hAnsi="Arial" w:cs="Arial"/>
          <w:color w:val="000000"/>
          <w:lang w:val="es-MX" w:eastAsia="es-ES"/>
        </w:rPr>
      </w:pPr>
      <w:r w:rsidRPr="00FA2C42">
        <w:rPr>
          <w:rFonts w:ascii="Arial" w:hAnsi="Arial" w:cs="Arial"/>
          <w:color w:val="000000"/>
          <w:lang w:val="es-MX" w:eastAsia="es-ES"/>
        </w:rPr>
        <w:t>Posteriormente, se clasifican todos los municipios conforme a la cantidad de operadores que cuentan con presencia de accesos en ellos en las siguientes categorías:</w:t>
      </w:r>
    </w:p>
    <w:p w14:paraId="4728A35E" w14:textId="3055D08B" w:rsidR="000D7623" w:rsidRDefault="000D7623" w:rsidP="008347CE">
      <w:pPr>
        <w:spacing w:after="0"/>
        <w:jc w:val="both"/>
        <w:rPr>
          <w:rFonts w:ascii="Arial" w:hAnsi="Arial" w:cs="Arial"/>
          <w:color w:val="000000"/>
          <w:lang w:val="es-MX" w:eastAsia="es-ES"/>
        </w:rPr>
      </w:pPr>
    </w:p>
    <w:p w14:paraId="672E34F8" w14:textId="11CCDD77" w:rsidR="000D7623" w:rsidRDefault="000D7623" w:rsidP="000D7623">
      <w:pPr>
        <w:spacing w:after="0"/>
        <w:jc w:val="center"/>
        <w:rPr>
          <w:rFonts w:ascii="Arial" w:hAnsi="Arial" w:cs="Arial"/>
          <w:color w:val="000000"/>
          <w:lang w:val="es-MX" w:eastAsia="es-ES"/>
        </w:rPr>
      </w:pPr>
      <w:r>
        <w:rPr>
          <w:noProof/>
          <w:lang w:val="es-MX" w:eastAsia="es-MX"/>
        </w:rPr>
        <w:drawing>
          <wp:inline distT="0" distB="0" distL="0" distR="0" wp14:anchorId="7B58E8C8" wp14:editId="572555C9">
            <wp:extent cx="5971540" cy="3102610"/>
            <wp:effectExtent l="0" t="0" r="10160" b="254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595B303" w14:textId="4F995167" w:rsidR="00FA2C42" w:rsidRPr="00FA2C42" w:rsidRDefault="00FA2C42" w:rsidP="00FA2C42">
      <w:pPr>
        <w:jc w:val="both"/>
        <w:rPr>
          <w:rFonts w:ascii="Arial" w:hAnsi="Arial" w:cs="Arial"/>
          <w:color w:val="000000"/>
          <w:sz w:val="16"/>
          <w:szCs w:val="16"/>
          <w:lang w:val="es-MX" w:eastAsia="es-ES"/>
        </w:rPr>
      </w:pPr>
      <w:r w:rsidRPr="00FA2C42">
        <w:rPr>
          <w:rFonts w:ascii="Arial" w:hAnsi="Arial" w:cs="Arial"/>
          <w:b/>
          <w:color w:val="000000"/>
          <w:sz w:val="16"/>
          <w:szCs w:val="16"/>
          <w:lang w:val="es-MX" w:eastAsia="es-ES"/>
        </w:rPr>
        <w:t xml:space="preserve">Figura 3: </w:t>
      </w:r>
      <w:r w:rsidRPr="00FA2C42">
        <w:rPr>
          <w:rFonts w:ascii="Arial" w:hAnsi="Arial" w:cs="Arial"/>
          <w:color w:val="000000"/>
          <w:sz w:val="16"/>
          <w:szCs w:val="16"/>
          <w:lang w:val="es-MX" w:eastAsia="es-ES"/>
        </w:rPr>
        <w:t>Distribución de la cantidad municipios del país de acuerdo al número de operadores presentes en estos con accesos de BAF.</w:t>
      </w:r>
      <w:r w:rsidRPr="00FA2C42">
        <w:rPr>
          <w:rFonts w:ascii="Arial" w:hAnsi="Arial" w:cs="Arial"/>
          <w:b/>
          <w:color w:val="000000"/>
          <w:sz w:val="16"/>
          <w:szCs w:val="16"/>
          <w:lang w:val="es-MX" w:eastAsia="es-ES"/>
        </w:rPr>
        <w:t xml:space="preserve"> Fuente:</w:t>
      </w:r>
      <w:r w:rsidRPr="00FA2C42">
        <w:rPr>
          <w:rFonts w:ascii="Arial" w:hAnsi="Arial" w:cs="Arial"/>
          <w:color w:val="000000"/>
          <w:sz w:val="16"/>
          <w:szCs w:val="16"/>
          <w:lang w:val="es-MX" w:eastAsia="es-ES"/>
        </w:rPr>
        <w:t xml:space="preserve"> IFT con información del BIT al </w:t>
      </w:r>
      <w:r w:rsidR="000D7623">
        <w:rPr>
          <w:rFonts w:ascii="Arial" w:hAnsi="Arial" w:cs="Arial"/>
          <w:color w:val="000000"/>
          <w:sz w:val="16"/>
          <w:szCs w:val="16"/>
          <w:lang w:val="es-MX" w:eastAsia="es-ES"/>
        </w:rPr>
        <w:t>segundo trimestre</w:t>
      </w:r>
      <w:r w:rsidR="000D7623" w:rsidRPr="00FA2C42">
        <w:rPr>
          <w:rFonts w:ascii="Arial" w:hAnsi="Arial" w:cs="Arial"/>
          <w:color w:val="000000"/>
          <w:sz w:val="16"/>
          <w:szCs w:val="16"/>
          <w:lang w:val="es-MX" w:eastAsia="es-ES"/>
        </w:rPr>
        <w:t xml:space="preserve"> </w:t>
      </w:r>
      <w:r w:rsidRPr="00FA2C42">
        <w:rPr>
          <w:rFonts w:ascii="Arial" w:hAnsi="Arial" w:cs="Arial"/>
          <w:color w:val="000000"/>
          <w:sz w:val="16"/>
          <w:szCs w:val="16"/>
          <w:lang w:val="es-MX" w:eastAsia="es-ES"/>
        </w:rPr>
        <w:t>de 20</w:t>
      </w:r>
      <w:r w:rsidR="000D7623">
        <w:rPr>
          <w:rFonts w:ascii="Arial" w:hAnsi="Arial" w:cs="Arial"/>
          <w:color w:val="000000"/>
          <w:sz w:val="16"/>
          <w:szCs w:val="16"/>
          <w:lang w:val="es-MX" w:eastAsia="es-ES"/>
        </w:rPr>
        <w:t>20</w:t>
      </w:r>
      <w:r w:rsidRPr="00FA2C42">
        <w:rPr>
          <w:rFonts w:ascii="Arial" w:hAnsi="Arial" w:cs="Arial"/>
          <w:color w:val="000000"/>
          <w:sz w:val="16"/>
          <w:szCs w:val="16"/>
          <w:lang w:val="es-MX" w:eastAsia="es-ES"/>
        </w:rPr>
        <w:t xml:space="preserve"> y </w:t>
      </w:r>
      <w:r w:rsidR="000D7623">
        <w:rPr>
          <w:rFonts w:ascii="Arial" w:hAnsi="Arial" w:cs="Arial"/>
          <w:color w:val="000000"/>
          <w:sz w:val="16"/>
          <w:szCs w:val="16"/>
          <w:lang w:val="es-MX" w:eastAsia="es-ES"/>
        </w:rPr>
        <w:t xml:space="preserve">Censo de Población y Vivienda </w:t>
      </w:r>
      <w:r w:rsidRPr="00FA2C42">
        <w:rPr>
          <w:rFonts w:ascii="Arial" w:hAnsi="Arial" w:cs="Arial"/>
          <w:color w:val="000000"/>
          <w:sz w:val="16"/>
          <w:szCs w:val="16"/>
          <w:lang w:val="es-MX" w:eastAsia="es-ES"/>
        </w:rPr>
        <w:t>20</w:t>
      </w:r>
      <w:r w:rsidR="000D7623">
        <w:rPr>
          <w:rFonts w:ascii="Arial" w:hAnsi="Arial" w:cs="Arial"/>
          <w:color w:val="000000"/>
          <w:sz w:val="16"/>
          <w:szCs w:val="16"/>
          <w:lang w:val="es-MX" w:eastAsia="es-ES"/>
        </w:rPr>
        <w:t>20</w:t>
      </w:r>
      <w:r w:rsidRPr="00FA2C42">
        <w:rPr>
          <w:rFonts w:ascii="Arial" w:hAnsi="Arial" w:cs="Arial"/>
          <w:color w:val="000000"/>
          <w:sz w:val="16"/>
          <w:szCs w:val="16"/>
          <w:lang w:val="es-MX" w:eastAsia="es-ES"/>
        </w:rPr>
        <w:t>; 2021</w:t>
      </w:r>
    </w:p>
    <w:p w14:paraId="5B011FED" w14:textId="05D8F5D3" w:rsidR="00FA2C42" w:rsidRPr="00FA2C42" w:rsidRDefault="00FA2C42" w:rsidP="008347CE">
      <w:pPr>
        <w:spacing w:after="0"/>
        <w:jc w:val="both"/>
        <w:rPr>
          <w:rFonts w:ascii="Arial" w:hAnsi="Arial" w:cs="Arial"/>
          <w:color w:val="000000"/>
          <w:lang w:val="es-MX" w:eastAsia="es-ES"/>
        </w:rPr>
      </w:pPr>
      <w:r w:rsidRPr="00FA2C42">
        <w:rPr>
          <w:rFonts w:ascii="Arial" w:hAnsi="Arial" w:cs="Arial"/>
          <w:color w:val="000000"/>
          <w:lang w:val="es-MX" w:eastAsia="es-ES"/>
        </w:rPr>
        <w:t xml:space="preserve">De lo </w:t>
      </w:r>
      <w:r w:rsidR="00964CCC">
        <w:rPr>
          <w:rFonts w:ascii="Arial" w:hAnsi="Arial" w:cs="Arial"/>
          <w:color w:val="000000"/>
          <w:lang w:val="es-MX" w:eastAsia="es-ES"/>
        </w:rPr>
        <w:t xml:space="preserve">figura </w:t>
      </w:r>
      <w:r w:rsidRPr="00FA2C42">
        <w:rPr>
          <w:rFonts w:ascii="Arial" w:hAnsi="Arial" w:cs="Arial"/>
          <w:color w:val="000000"/>
          <w:lang w:val="es-MX" w:eastAsia="es-ES"/>
        </w:rPr>
        <w:t xml:space="preserve">anterior se </w:t>
      </w:r>
      <w:r w:rsidR="00AB649A">
        <w:rPr>
          <w:rFonts w:ascii="Arial" w:hAnsi="Arial" w:cs="Arial"/>
          <w:color w:val="000000"/>
          <w:lang w:val="es-MX" w:eastAsia="es-ES"/>
        </w:rPr>
        <w:t>desprende</w:t>
      </w:r>
      <w:r w:rsidRPr="00FA2C42">
        <w:rPr>
          <w:rFonts w:ascii="Arial" w:hAnsi="Arial" w:cs="Arial"/>
          <w:color w:val="000000"/>
          <w:lang w:val="es-MX" w:eastAsia="es-ES"/>
        </w:rPr>
        <w:t xml:space="preserve"> </w:t>
      </w:r>
      <w:r w:rsidR="00964CCC">
        <w:rPr>
          <w:rFonts w:ascii="Arial" w:hAnsi="Arial" w:cs="Arial"/>
          <w:color w:val="000000"/>
          <w:lang w:val="es-MX" w:eastAsia="es-ES"/>
        </w:rPr>
        <w:t>que</w:t>
      </w:r>
      <w:r w:rsidRPr="00FA2C42">
        <w:rPr>
          <w:rFonts w:ascii="Arial" w:hAnsi="Arial" w:cs="Arial"/>
          <w:color w:val="000000"/>
          <w:lang w:val="es-MX" w:eastAsia="es-ES"/>
        </w:rPr>
        <w:t>:</w:t>
      </w:r>
    </w:p>
    <w:p w14:paraId="5532BCE2" w14:textId="77777777" w:rsidR="00FA2C42" w:rsidRPr="00FA2C42" w:rsidRDefault="00FA2C42" w:rsidP="008347CE">
      <w:pPr>
        <w:spacing w:after="0"/>
        <w:jc w:val="both"/>
        <w:rPr>
          <w:rFonts w:ascii="Arial" w:hAnsi="Arial" w:cs="Arial"/>
          <w:color w:val="000000"/>
          <w:lang w:val="es-MX" w:eastAsia="es-ES"/>
        </w:rPr>
      </w:pPr>
    </w:p>
    <w:p w14:paraId="168518A0" w14:textId="4CF9B201" w:rsidR="00FA2C42" w:rsidRPr="00FA2C42" w:rsidRDefault="00FA2C42" w:rsidP="008347CE">
      <w:pPr>
        <w:numPr>
          <w:ilvl w:val="0"/>
          <w:numId w:val="15"/>
        </w:numPr>
        <w:spacing w:after="0"/>
        <w:jc w:val="both"/>
        <w:rPr>
          <w:rFonts w:ascii="Arial" w:hAnsi="Arial" w:cs="Arial"/>
          <w:color w:val="000000"/>
          <w:lang w:val="es-MX" w:eastAsia="es-ES"/>
        </w:rPr>
      </w:pPr>
      <w:r w:rsidRPr="00FA2C42">
        <w:rPr>
          <w:rFonts w:ascii="Arial" w:hAnsi="Arial" w:cs="Arial"/>
          <w:color w:val="000000"/>
          <w:lang w:val="es-MX" w:eastAsia="es-ES"/>
        </w:rPr>
        <w:lastRenderedPageBreak/>
        <w:t>Del total de los 1,61</w:t>
      </w:r>
      <w:r w:rsidR="000D7623">
        <w:rPr>
          <w:rFonts w:ascii="Arial" w:hAnsi="Arial" w:cs="Arial"/>
          <w:color w:val="000000"/>
          <w:lang w:val="es-MX" w:eastAsia="es-ES"/>
        </w:rPr>
        <w:t>9</w:t>
      </w:r>
      <w:r w:rsidRPr="00FA2C42">
        <w:rPr>
          <w:rFonts w:ascii="Arial" w:hAnsi="Arial" w:cs="Arial"/>
          <w:color w:val="000000"/>
          <w:lang w:val="es-MX" w:eastAsia="es-ES"/>
        </w:rPr>
        <w:t xml:space="preserve"> municipios donde hay presencia de BAF en 99</w:t>
      </w:r>
      <w:r w:rsidR="000D7623">
        <w:rPr>
          <w:rFonts w:ascii="Arial" w:hAnsi="Arial" w:cs="Arial"/>
          <w:color w:val="000000"/>
          <w:lang w:val="es-MX" w:eastAsia="es-ES"/>
        </w:rPr>
        <w:t>4</w:t>
      </w:r>
      <w:r w:rsidRPr="00FA2C42">
        <w:rPr>
          <w:rFonts w:ascii="Arial" w:hAnsi="Arial" w:cs="Arial"/>
          <w:color w:val="000000"/>
          <w:lang w:val="es-MX" w:eastAsia="es-ES"/>
        </w:rPr>
        <w:t xml:space="preserve"> solo existe un operador, en los cuales se ubican 21.</w:t>
      </w:r>
      <w:r w:rsidR="000D7623">
        <w:rPr>
          <w:rFonts w:ascii="Arial" w:hAnsi="Arial" w:cs="Arial"/>
          <w:color w:val="000000"/>
          <w:lang w:val="es-MX" w:eastAsia="es-ES"/>
        </w:rPr>
        <w:t>5</w:t>
      </w:r>
      <w:r w:rsidRPr="00FA2C42">
        <w:rPr>
          <w:rFonts w:ascii="Arial" w:hAnsi="Arial" w:cs="Arial"/>
          <w:color w:val="000000"/>
          <w:lang w:val="es-MX" w:eastAsia="es-ES"/>
        </w:rPr>
        <w:t xml:space="preserve"> millones de habitantes (17.</w:t>
      </w:r>
      <w:r w:rsidR="00BC39A3">
        <w:rPr>
          <w:rFonts w:ascii="Arial" w:hAnsi="Arial" w:cs="Arial"/>
          <w:color w:val="000000"/>
          <w:lang w:val="es-MX" w:eastAsia="es-ES"/>
        </w:rPr>
        <w:t>1</w:t>
      </w:r>
      <w:r w:rsidRPr="00FA2C42">
        <w:rPr>
          <w:rFonts w:ascii="Arial" w:hAnsi="Arial" w:cs="Arial"/>
          <w:color w:val="000000"/>
          <w:lang w:val="es-MX" w:eastAsia="es-ES"/>
        </w:rPr>
        <w:t>% del total</w:t>
      </w:r>
      <w:r w:rsidR="003E6D2C">
        <w:rPr>
          <w:rFonts w:ascii="Arial" w:hAnsi="Arial" w:cs="Arial"/>
          <w:color w:val="000000"/>
          <w:lang w:val="es-MX" w:eastAsia="es-ES"/>
        </w:rPr>
        <w:t xml:space="preserve"> nacional</w:t>
      </w:r>
      <w:r w:rsidRPr="00FA2C42">
        <w:rPr>
          <w:rFonts w:ascii="Arial" w:hAnsi="Arial" w:cs="Arial"/>
          <w:color w:val="000000"/>
          <w:lang w:val="es-MX" w:eastAsia="es-ES"/>
        </w:rPr>
        <w:t>) y 5.</w:t>
      </w:r>
      <w:r w:rsidR="000B377E">
        <w:rPr>
          <w:rFonts w:ascii="Arial" w:hAnsi="Arial" w:cs="Arial"/>
          <w:color w:val="000000"/>
          <w:lang w:val="es-MX" w:eastAsia="es-ES"/>
        </w:rPr>
        <w:t>7</w:t>
      </w:r>
      <w:r w:rsidRPr="00FA2C42">
        <w:rPr>
          <w:rFonts w:ascii="Arial" w:hAnsi="Arial" w:cs="Arial"/>
          <w:color w:val="000000"/>
          <w:lang w:val="es-MX" w:eastAsia="es-ES"/>
        </w:rPr>
        <w:t xml:space="preserve"> millones de hogares (1</w:t>
      </w:r>
      <w:r w:rsidR="00BC39A3">
        <w:rPr>
          <w:rFonts w:ascii="Arial" w:hAnsi="Arial" w:cs="Arial"/>
          <w:color w:val="000000"/>
          <w:lang w:val="es-MX" w:eastAsia="es-ES"/>
        </w:rPr>
        <w:t>6.</w:t>
      </w:r>
      <w:r w:rsidR="000B377E">
        <w:rPr>
          <w:rFonts w:ascii="Arial" w:hAnsi="Arial" w:cs="Arial"/>
          <w:color w:val="000000"/>
          <w:lang w:val="es-MX" w:eastAsia="es-ES"/>
        </w:rPr>
        <w:t>3</w:t>
      </w:r>
      <w:r w:rsidRPr="00FA2C42">
        <w:rPr>
          <w:rFonts w:ascii="Arial" w:hAnsi="Arial" w:cs="Arial"/>
          <w:color w:val="000000"/>
          <w:lang w:val="es-MX" w:eastAsia="es-ES"/>
        </w:rPr>
        <w:t>% de los hogares del país).</w:t>
      </w:r>
    </w:p>
    <w:p w14:paraId="0B0E6288" w14:textId="77777777" w:rsidR="00FA2C42" w:rsidRPr="00FA2C42" w:rsidRDefault="00FA2C42" w:rsidP="008347CE">
      <w:pPr>
        <w:spacing w:after="0"/>
        <w:ind w:left="720"/>
        <w:jc w:val="both"/>
        <w:rPr>
          <w:rFonts w:ascii="Arial" w:hAnsi="Arial" w:cs="Arial"/>
          <w:color w:val="000000"/>
          <w:lang w:val="es-MX" w:eastAsia="es-ES"/>
        </w:rPr>
      </w:pPr>
    </w:p>
    <w:p w14:paraId="1F95C1F6" w14:textId="3A11E8E8" w:rsidR="00FA2C42" w:rsidRPr="00326E73" w:rsidRDefault="00FA2C42" w:rsidP="008347CE">
      <w:pPr>
        <w:numPr>
          <w:ilvl w:val="0"/>
          <w:numId w:val="15"/>
        </w:numPr>
        <w:spacing w:after="0"/>
        <w:jc w:val="both"/>
        <w:rPr>
          <w:rFonts w:ascii="Arial" w:hAnsi="Arial" w:cs="Arial"/>
          <w:color w:val="000000"/>
          <w:lang w:val="es-MX" w:eastAsia="es-ES"/>
        </w:rPr>
      </w:pPr>
      <w:r w:rsidRPr="00FA2C42">
        <w:rPr>
          <w:rFonts w:ascii="Arial" w:hAnsi="Arial" w:cs="Arial"/>
          <w:color w:val="000000"/>
          <w:lang w:val="es-MX" w:eastAsia="es-ES"/>
        </w:rPr>
        <w:t>En particular se aprecia que el grupo América Móvil está presente en la mayoría de los municipios en donde solo existe un operador con presencia de BAF (9</w:t>
      </w:r>
      <w:r w:rsidR="00BC39A3">
        <w:rPr>
          <w:rFonts w:ascii="Arial" w:hAnsi="Arial" w:cs="Arial"/>
          <w:color w:val="000000"/>
          <w:lang w:val="es-MX" w:eastAsia="es-ES"/>
        </w:rPr>
        <w:t>6.7</w:t>
      </w:r>
      <w:r w:rsidRPr="00FA2C42">
        <w:rPr>
          <w:rFonts w:ascii="Arial" w:hAnsi="Arial" w:cs="Arial"/>
          <w:color w:val="000000"/>
          <w:lang w:val="es-MX" w:eastAsia="es-ES"/>
        </w:rPr>
        <w:t xml:space="preserve">% de estos), el resto es atendido prácticamente por Total Play Telecomunicaciones, S.A. de C.V. (con </w:t>
      </w:r>
      <w:r w:rsidR="00BC39A3">
        <w:rPr>
          <w:rFonts w:ascii="Arial" w:hAnsi="Arial" w:cs="Arial"/>
          <w:color w:val="000000"/>
          <w:lang w:val="es-MX" w:eastAsia="es-ES"/>
        </w:rPr>
        <w:t>3.1</w:t>
      </w:r>
      <w:r w:rsidRPr="00FA2C42">
        <w:rPr>
          <w:rFonts w:ascii="Arial" w:hAnsi="Arial" w:cs="Arial"/>
          <w:color w:val="000000"/>
          <w:lang w:val="es-MX" w:eastAsia="es-ES"/>
        </w:rPr>
        <w:t xml:space="preserve">% de tales municipios) </w:t>
      </w:r>
    </w:p>
    <w:p w14:paraId="4BC40F45" w14:textId="00B4B647" w:rsidR="00FA2C42" w:rsidRPr="0068753C" w:rsidRDefault="00FA2C42" w:rsidP="0068753C">
      <w:pPr>
        <w:spacing w:after="0"/>
        <w:jc w:val="both"/>
        <w:rPr>
          <w:rFonts w:ascii="Arial" w:hAnsi="Arial" w:cs="Arial"/>
          <w:color w:val="000000"/>
          <w:lang w:val="es-MX" w:eastAsia="es-ES"/>
        </w:rPr>
      </w:pPr>
    </w:p>
    <w:p w14:paraId="3B8AAF4C" w14:textId="6E945955" w:rsidR="00FA2C42" w:rsidRPr="00FA2C42" w:rsidRDefault="00FA2C42" w:rsidP="008347CE">
      <w:pPr>
        <w:numPr>
          <w:ilvl w:val="0"/>
          <w:numId w:val="15"/>
        </w:numPr>
        <w:spacing w:after="0"/>
        <w:jc w:val="both"/>
        <w:rPr>
          <w:rFonts w:ascii="Arial" w:hAnsi="Arial" w:cs="Arial"/>
          <w:color w:val="000000"/>
          <w:lang w:val="es-MX" w:eastAsia="es-ES"/>
        </w:rPr>
      </w:pPr>
      <w:r w:rsidRPr="00FA2C42">
        <w:rPr>
          <w:rFonts w:ascii="Arial" w:hAnsi="Arial" w:cs="Arial"/>
          <w:color w:val="000000"/>
          <w:lang w:val="es-MX" w:eastAsia="es-ES"/>
        </w:rPr>
        <w:t>En 3</w:t>
      </w:r>
      <w:r w:rsidR="00BC39A3">
        <w:rPr>
          <w:rFonts w:ascii="Arial" w:hAnsi="Arial" w:cs="Arial"/>
          <w:color w:val="000000"/>
          <w:lang w:val="es-MX" w:eastAsia="es-ES"/>
        </w:rPr>
        <w:t>48</w:t>
      </w:r>
      <w:r w:rsidRPr="00FA2C42">
        <w:rPr>
          <w:rFonts w:ascii="Arial" w:hAnsi="Arial" w:cs="Arial"/>
          <w:color w:val="000000"/>
          <w:lang w:val="es-MX" w:eastAsia="es-ES"/>
        </w:rPr>
        <w:t xml:space="preserve"> municipios existen dos operadores con presencia de accesos para BAF, mismos que representan 4.</w:t>
      </w:r>
      <w:r w:rsidR="000B377E">
        <w:rPr>
          <w:rFonts w:ascii="Arial" w:hAnsi="Arial" w:cs="Arial"/>
          <w:color w:val="000000"/>
          <w:lang w:val="es-MX" w:eastAsia="es-ES"/>
        </w:rPr>
        <w:t>5</w:t>
      </w:r>
      <w:r w:rsidRPr="00FA2C42">
        <w:rPr>
          <w:rFonts w:ascii="Arial" w:hAnsi="Arial" w:cs="Arial"/>
          <w:color w:val="000000"/>
          <w:lang w:val="es-MX" w:eastAsia="es-ES"/>
        </w:rPr>
        <w:t xml:space="preserve"> millones de hogares (1</w:t>
      </w:r>
      <w:r w:rsidR="00BC39A3">
        <w:rPr>
          <w:rFonts w:ascii="Arial" w:hAnsi="Arial" w:cs="Arial"/>
          <w:color w:val="000000"/>
          <w:lang w:val="es-MX" w:eastAsia="es-ES"/>
        </w:rPr>
        <w:t>2</w:t>
      </w:r>
      <w:r w:rsidRPr="00FA2C42">
        <w:rPr>
          <w:rFonts w:ascii="Arial" w:hAnsi="Arial" w:cs="Arial"/>
          <w:color w:val="000000"/>
          <w:lang w:val="es-MX" w:eastAsia="es-ES"/>
        </w:rPr>
        <w:t>.</w:t>
      </w:r>
      <w:r w:rsidR="000B377E">
        <w:rPr>
          <w:rFonts w:ascii="Arial" w:hAnsi="Arial" w:cs="Arial"/>
          <w:color w:val="000000"/>
          <w:lang w:val="es-MX" w:eastAsia="es-ES"/>
        </w:rPr>
        <w:t>7</w:t>
      </w:r>
      <w:r w:rsidRPr="00FA2C42">
        <w:rPr>
          <w:rFonts w:ascii="Arial" w:hAnsi="Arial" w:cs="Arial"/>
          <w:color w:val="000000"/>
          <w:lang w:val="es-MX" w:eastAsia="es-ES"/>
        </w:rPr>
        <w:t>% de los hogares</w:t>
      </w:r>
      <w:r w:rsidR="003E6D2C">
        <w:rPr>
          <w:rFonts w:ascii="Arial" w:hAnsi="Arial" w:cs="Arial"/>
          <w:color w:val="000000"/>
          <w:lang w:val="es-MX" w:eastAsia="es-ES"/>
        </w:rPr>
        <w:t xml:space="preserve"> del país</w:t>
      </w:r>
      <w:r w:rsidRPr="00FA2C42">
        <w:rPr>
          <w:rFonts w:ascii="Arial" w:hAnsi="Arial" w:cs="Arial"/>
          <w:color w:val="000000"/>
          <w:lang w:val="es-MX" w:eastAsia="es-ES"/>
        </w:rPr>
        <w:t xml:space="preserve">) y </w:t>
      </w:r>
      <w:r w:rsidR="000B377E">
        <w:rPr>
          <w:rFonts w:ascii="Arial" w:hAnsi="Arial" w:cs="Arial"/>
          <w:color w:val="000000"/>
          <w:lang w:val="es-MX" w:eastAsia="es-ES"/>
        </w:rPr>
        <w:t>16.5</w:t>
      </w:r>
      <w:r w:rsidRPr="00FA2C42">
        <w:rPr>
          <w:rFonts w:ascii="Arial" w:hAnsi="Arial" w:cs="Arial"/>
          <w:color w:val="000000"/>
          <w:lang w:val="es-MX" w:eastAsia="es-ES"/>
        </w:rPr>
        <w:t xml:space="preserve"> millones de personas (1</w:t>
      </w:r>
      <w:r w:rsidR="00BC39A3">
        <w:rPr>
          <w:rFonts w:ascii="Arial" w:hAnsi="Arial" w:cs="Arial"/>
          <w:color w:val="000000"/>
          <w:lang w:val="es-MX" w:eastAsia="es-ES"/>
        </w:rPr>
        <w:t>3</w:t>
      </w:r>
      <w:r w:rsidRPr="00FA2C42">
        <w:rPr>
          <w:rFonts w:ascii="Arial" w:hAnsi="Arial" w:cs="Arial"/>
          <w:color w:val="000000"/>
          <w:lang w:val="es-MX" w:eastAsia="es-ES"/>
        </w:rPr>
        <w:t>.</w:t>
      </w:r>
      <w:r w:rsidR="00BC39A3">
        <w:rPr>
          <w:rFonts w:ascii="Arial" w:hAnsi="Arial" w:cs="Arial"/>
          <w:color w:val="000000"/>
          <w:lang w:val="es-MX" w:eastAsia="es-ES"/>
        </w:rPr>
        <w:t>1</w:t>
      </w:r>
      <w:r w:rsidRPr="00FA2C42">
        <w:rPr>
          <w:rFonts w:ascii="Arial" w:hAnsi="Arial" w:cs="Arial"/>
          <w:color w:val="000000"/>
          <w:lang w:val="es-MX" w:eastAsia="es-ES"/>
        </w:rPr>
        <w:t>% de la población</w:t>
      </w:r>
      <w:r w:rsidR="003E6D2C">
        <w:rPr>
          <w:rFonts w:ascii="Arial" w:hAnsi="Arial" w:cs="Arial"/>
          <w:color w:val="000000"/>
          <w:lang w:val="es-MX" w:eastAsia="es-ES"/>
        </w:rPr>
        <w:t xml:space="preserve"> nacional</w:t>
      </w:r>
      <w:r w:rsidRPr="00FA2C42">
        <w:rPr>
          <w:rFonts w:ascii="Arial" w:hAnsi="Arial" w:cs="Arial"/>
          <w:color w:val="000000"/>
          <w:lang w:val="es-MX" w:eastAsia="es-ES"/>
        </w:rPr>
        <w:t>).</w:t>
      </w:r>
    </w:p>
    <w:p w14:paraId="5273B94B" w14:textId="77777777" w:rsidR="00FA2C42" w:rsidRPr="00FA2C42" w:rsidRDefault="00FA2C42" w:rsidP="008347CE">
      <w:pPr>
        <w:spacing w:after="0"/>
        <w:ind w:left="720"/>
        <w:jc w:val="both"/>
        <w:rPr>
          <w:rFonts w:ascii="Arial" w:hAnsi="Arial" w:cs="Arial"/>
          <w:color w:val="000000"/>
          <w:lang w:val="es-MX" w:eastAsia="es-ES"/>
        </w:rPr>
      </w:pPr>
    </w:p>
    <w:p w14:paraId="236F5E0B" w14:textId="579BE82E" w:rsidR="00156C3A" w:rsidRDefault="00FA2C42" w:rsidP="00233A27">
      <w:pPr>
        <w:numPr>
          <w:ilvl w:val="0"/>
          <w:numId w:val="15"/>
        </w:numPr>
        <w:spacing w:after="0"/>
        <w:jc w:val="both"/>
        <w:rPr>
          <w:rFonts w:ascii="Arial" w:hAnsi="Arial" w:cs="Arial"/>
          <w:color w:val="000000"/>
          <w:lang w:val="es-MX" w:eastAsia="es-ES"/>
        </w:rPr>
      </w:pPr>
      <w:r w:rsidRPr="00FA2C42">
        <w:rPr>
          <w:rFonts w:ascii="Arial" w:hAnsi="Arial" w:cs="Arial"/>
          <w:color w:val="000000"/>
          <w:lang w:val="es-MX" w:eastAsia="es-ES"/>
        </w:rPr>
        <w:t>En 2</w:t>
      </w:r>
      <w:r w:rsidR="00BC39A3">
        <w:rPr>
          <w:rFonts w:ascii="Arial" w:hAnsi="Arial" w:cs="Arial"/>
          <w:color w:val="000000"/>
          <w:lang w:val="es-MX" w:eastAsia="es-ES"/>
        </w:rPr>
        <w:t>7</w:t>
      </w:r>
      <w:r w:rsidR="006F3FDF">
        <w:rPr>
          <w:rFonts w:ascii="Arial" w:hAnsi="Arial" w:cs="Arial"/>
          <w:color w:val="000000"/>
          <w:lang w:val="es-MX" w:eastAsia="es-ES"/>
        </w:rPr>
        <w:t>6</w:t>
      </w:r>
      <w:r w:rsidRPr="00FA2C42">
        <w:rPr>
          <w:rFonts w:ascii="Arial" w:hAnsi="Arial" w:cs="Arial"/>
          <w:color w:val="000000"/>
          <w:lang w:val="es-MX" w:eastAsia="es-ES"/>
        </w:rPr>
        <w:t xml:space="preserve"> municipios del país existen tres o más operadores con accesos para BAF, en los cuales se ubican 2</w:t>
      </w:r>
      <w:r w:rsidR="000B377E">
        <w:rPr>
          <w:rFonts w:ascii="Arial" w:hAnsi="Arial" w:cs="Arial"/>
          <w:color w:val="000000"/>
          <w:lang w:val="es-MX" w:eastAsia="es-ES"/>
        </w:rPr>
        <w:t>3.7</w:t>
      </w:r>
      <w:r w:rsidRPr="00FA2C42">
        <w:rPr>
          <w:rFonts w:ascii="Arial" w:hAnsi="Arial" w:cs="Arial"/>
          <w:color w:val="000000"/>
          <w:lang w:val="es-MX" w:eastAsia="es-ES"/>
        </w:rPr>
        <w:t xml:space="preserve"> millones de hogares (6</w:t>
      </w:r>
      <w:r w:rsidR="000B377E">
        <w:rPr>
          <w:rFonts w:ascii="Arial" w:hAnsi="Arial" w:cs="Arial"/>
          <w:color w:val="000000"/>
          <w:lang w:val="es-MX" w:eastAsia="es-ES"/>
        </w:rPr>
        <w:t>7.4</w:t>
      </w:r>
      <w:r w:rsidRPr="00FA2C42">
        <w:rPr>
          <w:rFonts w:ascii="Arial" w:hAnsi="Arial" w:cs="Arial"/>
          <w:color w:val="000000"/>
          <w:lang w:val="es-MX" w:eastAsia="es-ES"/>
        </w:rPr>
        <w:t>% de los hogares</w:t>
      </w:r>
      <w:r w:rsidR="00D21CFB">
        <w:rPr>
          <w:rFonts w:ascii="Arial" w:hAnsi="Arial" w:cs="Arial"/>
          <w:color w:val="000000"/>
          <w:lang w:val="es-MX" w:eastAsia="es-ES"/>
        </w:rPr>
        <w:t xml:space="preserve"> del país</w:t>
      </w:r>
      <w:r w:rsidRPr="00FA2C42">
        <w:rPr>
          <w:rFonts w:ascii="Arial" w:hAnsi="Arial" w:cs="Arial"/>
          <w:color w:val="000000"/>
          <w:lang w:val="es-MX" w:eastAsia="es-ES"/>
        </w:rPr>
        <w:t xml:space="preserve">) y </w:t>
      </w:r>
      <w:r w:rsidR="00BC39A3">
        <w:rPr>
          <w:rFonts w:ascii="Arial" w:hAnsi="Arial" w:cs="Arial"/>
          <w:color w:val="000000"/>
          <w:lang w:val="es-MX" w:eastAsia="es-ES"/>
        </w:rPr>
        <w:t>82.7</w:t>
      </w:r>
      <w:r w:rsidRPr="00FA2C42">
        <w:rPr>
          <w:rFonts w:ascii="Arial" w:hAnsi="Arial" w:cs="Arial"/>
          <w:color w:val="000000"/>
          <w:lang w:val="es-MX" w:eastAsia="es-ES"/>
        </w:rPr>
        <w:t xml:space="preserve"> millones de personas (</w:t>
      </w:r>
      <w:r w:rsidR="00BC39A3">
        <w:rPr>
          <w:rFonts w:ascii="Arial" w:hAnsi="Arial" w:cs="Arial"/>
          <w:color w:val="000000"/>
          <w:lang w:val="es-MX" w:eastAsia="es-ES"/>
        </w:rPr>
        <w:t>65.8</w:t>
      </w:r>
      <w:r w:rsidRPr="00FA2C42">
        <w:rPr>
          <w:rFonts w:ascii="Arial" w:hAnsi="Arial" w:cs="Arial"/>
          <w:color w:val="000000"/>
          <w:lang w:val="es-MX" w:eastAsia="es-ES"/>
        </w:rPr>
        <w:t>% de la población del país).</w:t>
      </w:r>
    </w:p>
    <w:p w14:paraId="0E2D6661" w14:textId="77777777" w:rsidR="00156C3A" w:rsidRPr="00FA2C42" w:rsidRDefault="00156C3A" w:rsidP="008347CE">
      <w:pPr>
        <w:spacing w:after="0"/>
        <w:ind w:left="720"/>
        <w:jc w:val="both"/>
        <w:rPr>
          <w:rFonts w:ascii="Arial" w:hAnsi="Arial" w:cs="Arial"/>
          <w:color w:val="000000"/>
          <w:lang w:val="es-MX" w:eastAsia="es-ES"/>
        </w:rPr>
      </w:pPr>
    </w:p>
    <w:p w14:paraId="24F65732" w14:textId="0ED78F32" w:rsidR="00FA2C42" w:rsidRPr="00FA2C42" w:rsidRDefault="00FA2C42" w:rsidP="008347CE">
      <w:pPr>
        <w:spacing w:after="0"/>
        <w:jc w:val="both"/>
        <w:rPr>
          <w:rFonts w:ascii="Arial" w:hAnsi="Arial" w:cs="Arial"/>
          <w:color w:val="000000"/>
          <w:lang w:val="es-MX" w:eastAsia="es-ES"/>
        </w:rPr>
      </w:pPr>
      <w:r w:rsidRPr="00FA2C42">
        <w:rPr>
          <w:rFonts w:ascii="Arial" w:hAnsi="Arial" w:cs="Arial"/>
          <w:color w:val="000000"/>
          <w:lang w:val="es-MX" w:eastAsia="es-ES"/>
        </w:rPr>
        <w:t xml:space="preserve">En cuanto al tipo de tecnología de los accesos de banda ancha, la información </w:t>
      </w:r>
      <w:r w:rsidR="00964CCC">
        <w:rPr>
          <w:rFonts w:ascii="Arial" w:hAnsi="Arial" w:cs="Arial"/>
          <w:color w:val="000000"/>
          <w:lang w:val="es-MX" w:eastAsia="es-ES"/>
        </w:rPr>
        <w:t>publicada en el</w:t>
      </w:r>
      <w:r w:rsidR="00964CCC" w:rsidRPr="00FA2C42">
        <w:rPr>
          <w:rFonts w:ascii="Arial" w:hAnsi="Arial" w:cs="Arial"/>
          <w:color w:val="000000"/>
          <w:lang w:val="es-MX" w:eastAsia="es-ES"/>
        </w:rPr>
        <w:t xml:space="preserve"> </w:t>
      </w:r>
      <w:r w:rsidRPr="00FA2C42">
        <w:rPr>
          <w:rFonts w:ascii="Arial" w:hAnsi="Arial" w:cs="Arial"/>
          <w:color w:val="000000"/>
          <w:lang w:val="es-MX" w:eastAsia="es-ES"/>
        </w:rPr>
        <w:t>BIT considera: i) “Cable Coaxial”, ii) “DSL”, iii) “Fibra Óptica”, iv) “Satelital”</w:t>
      </w:r>
      <w:r w:rsidR="0056741E">
        <w:rPr>
          <w:rFonts w:ascii="Arial" w:hAnsi="Arial" w:cs="Arial"/>
          <w:color w:val="000000"/>
          <w:lang w:val="es-MX" w:eastAsia="es-ES"/>
        </w:rPr>
        <w:t xml:space="preserve"> y</w:t>
      </w:r>
      <w:r w:rsidRPr="00FA2C42">
        <w:rPr>
          <w:rFonts w:ascii="Arial" w:hAnsi="Arial" w:cs="Arial"/>
          <w:color w:val="000000"/>
          <w:lang w:val="es-MX" w:eastAsia="es-ES"/>
        </w:rPr>
        <w:t xml:space="preserve"> v) Sin Tecnología especificada”. </w:t>
      </w:r>
    </w:p>
    <w:p w14:paraId="3440DD8B" w14:textId="3EBDB22A" w:rsidR="00431EF8" w:rsidRDefault="00431EF8" w:rsidP="008347CE">
      <w:pPr>
        <w:spacing w:after="0"/>
        <w:jc w:val="both"/>
        <w:rPr>
          <w:rFonts w:ascii="Arial" w:hAnsi="Arial" w:cs="Arial"/>
          <w:color w:val="000000"/>
          <w:lang w:val="es-MX" w:eastAsia="es-ES"/>
        </w:rPr>
      </w:pPr>
    </w:p>
    <w:tbl>
      <w:tblPr>
        <w:tblW w:w="9356" w:type="dxa"/>
        <w:tblCellMar>
          <w:left w:w="70" w:type="dxa"/>
          <w:right w:w="70" w:type="dxa"/>
        </w:tblCellMar>
        <w:tblLook w:val="04A0" w:firstRow="1" w:lastRow="0" w:firstColumn="1" w:lastColumn="0" w:noHBand="0" w:noVBand="1"/>
      </w:tblPr>
      <w:tblGrid>
        <w:gridCol w:w="5103"/>
        <w:gridCol w:w="851"/>
        <w:gridCol w:w="850"/>
        <w:gridCol w:w="709"/>
        <w:gridCol w:w="754"/>
        <w:gridCol w:w="1101"/>
      </w:tblGrid>
      <w:tr w:rsidR="00431EF8" w:rsidRPr="00431EF8" w14:paraId="1C5D2AFB" w14:textId="77777777" w:rsidTr="00AE155A">
        <w:trPr>
          <w:trHeight w:val="299"/>
          <w:tblHeader/>
        </w:trPr>
        <w:tc>
          <w:tcPr>
            <w:tcW w:w="5103" w:type="dxa"/>
            <w:tcBorders>
              <w:top w:val="nil"/>
              <w:left w:val="nil"/>
              <w:bottom w:val="single" w:sz="12" w:space="0" w:color="C2D69B"/>
              <w:right w:val="nil"/>
            </w:tcBorders>
            <w:shd w:val="clear" w:color="000000" w:fill="FFFFFF"/>
            <w:noWrap/>
            <w:vAlign w:val="center"/>
            <w:hideMark/>
          </w:tcPr>
          <w:p w14:paraId="571E4F83" w14:textId="77777777" w:rsidR="00431EF8" w:rsidRPr="00431EF8" w:rsidRDefault="00431EF8" w:rsidP="00431EF8">
            <w:pPr>
              <w:spacing w:after="0" w:line="240" w:lineRule="auto"/>
              <w:jc w:val="center"/>
              <w:rPr>
                <w:rFonts w:ascii="Arial" w:eastAsia="Times New Roman" w:hAnsi="Arial" w:cs="Arial"/>
                <w:b/>
                <w:bCs/>
                <w:color w:val="000000"/>
                <w:sz w:val="16"/>
                <w:szCs w:val="16"/>
                <w:lang w:val="es-MX" w:eastAsia="es-MX"/>
              </w:rPr>
            </w:pPr>
            <w:r w:rsidRPr="00431EF8">
              <w:rPr>
                <w:rFonts w:ascii="Arial" w:eastAsia="Times New Roman" w:hAnsi="Arial" w:cs="Arial"/>
                <w:b/>
                <w:bCs/>
                <w:color w:val="000000"/>
                <w:sz w:val="16"/>
                <w:szCs w:val="16"/>
                <w:lang w:val="es-MX" w:eastAsia="es-MX"/>
              </w:rPr>
              <w:t>Concesionario</w:t>
            </w:r>
          </w:p>
        </w:tc>
        <w:tc>
          <w:tcPr>
            <w:tcW w:w="851" w:type="dxa"/>
            <w:tcBorders>
              <w:top w:val="nil"/>
              <w:left w:val="nil"/>
              <w:bottom w:val="single" w:sz="12" w:space="0" w:color="C2D69B"/>
              <w:right w:val="nil"/>
            </w:tcBorders>
            <w:shd w:val="clear" w:color="000000" w:fill="FFFFFF"/>
            <w:noWrap/>
            <w:vAlign w:val="center"/>
            <w:hideMark/>
          </w:tcPr>
          <w:p w14:paraId="40DD382B" w14:textId="77777777" w:rsidR="00431EF8" w:rsidRPr="00431EF8" w:rsidRDefault="00431EF8" w:rsidP="00431EF8">
            <w:pPr>
              <w:spacing w:after="0" w:line="240" w:lineRule="auto"/>
              <w:jc w:val="center"/>
              <w:rPr>
                <w:rFonts w:ascii="Arial" w:eastAsia="Times New Roman" w:hAnsi="Arial" w:cs="Arial"/>
                <w:b/>
                <w:bCs/>
                <w:color w:val="000000"/>
                <w:sz w:val="16"/>
                <w:szCs w:val="16"/>
                <w:lang w:val="es-MX" w:eastAsia="es-MX"/>
              </w:rPr>
            </w:pPr>
            <w:r w:rsidRPr="00431EF8">
              <w:rPr>
                <w:rFonts w:ascii="Arial" w:eastAsia="Times New Roman" w:hAnsi="Arial" w:cs="Arial"/>
                <w:b/>
                <w:bCs/>
                <w:color w:val="000000"/>
                <w:sz w:val="16"/>
                <w:szCs w:val="16"/>
                <w:lang w:val="es-MX" w:eastAsia="es-MX"/>
              </w:rPr>
              <w:t>Cable coaxial</w:t>
            </w:r>
          </w:p>
        </w:tc>
        <w:tc>
          <w:tcPr>
            <w:tcW w:w="850" w:type="dxa"/>
            <w:tcBorders>
              <w:top w:val="nil"/>
              <w:left w:val="nil"/>
              <w:bottom w:val="single" w:sz="12" w:space="0" w:color="C2D69B"/>
              <w:right w:val="nil"/>
            </w:tcBorders>
            <w:shd w:val="clear" w:color="000000" w:fill="FFFFFF"/>
            <w:noWrap/>
            <w:vAlign w:val="center"/>
            <w:hideMark/>
          </w:tcPr>
          <w:p w14:paraId="01C0B2D3" w14:textId="77777777" w:rsidR="00431EF8" w:rsidRPr="00431EF8" w:rsidRDefault="00431EF8" w:rsidP="00431EF8">
            <w:pPr>
              <w:spacing w:after="0" w:line="240" w:lineRule="auto"/>
              <w:jc w:val="center"/>
              <w:rPr>
                <w:rFonts w:ascii="Arial" w:eastAsia="Times New Roman" w:hAnsi="Arial" w:cs="Arial"/>
                <w:b/>
                <w:bCs/>
                <w:color w:val="000000"/>
                <w:sz w:val="16"/>
                <w:szCs w:val="16"/>
                <w:lang w:val="es-MX" w:eastAsia="es-MX"/>
              </w:rPr>
            </w:pPr>
            <w:r w:rsidRPr="00431EF8">
              <w:rPr>
                <w:rFonts w:ascii="Arial" w:eastAsia="Times New Roman" w:hAnsi="Arial" w:cs="Arial"/>
                <w:b/>
                <w:bCs/>
                <w:color w:val="000000"/>
                <w:sz w:val="16"/>
                <w:szCs w:val="16"/>
                <w:lang w:val="es-MX" w:eastAsia="es-MX"/>
              </w:rPr>
              <w:t>DSL</w:t>
            </w:r>
          </w:p>
        </w:tc>
        <w:tc>
          <w:tcPr>
            <w:tcW w:w="709" w:type="dxa"/>
            <w:tcBorders>
              <w:top w:val="nil"/>
              <w:left w:val="nil"/>
              <w:bottom w:val="single" w:sz="12" w:space="0" w:color="C2D69B"/>
              <w:right w:val="nil"/>
            </w:tcBorders>
            <w:shd w:val="clear" w:color="000000" w:fill="FFFFFF"/>
            <w:noWrap/>
            <w:vAlign w:val="center"/>
            <w:hideMark/>
          </w:tcPr>
          <w:p w14:paraId="5898FD07" w14:textId="77777777" w:rsidR="00431EF8" w:rsidRPr="00431EF8" w:rsidRDefault="00431EF8" w:rsidP="00431EF8">
            <w:pPr>
              <w:spacing w:after="0" w:line="240" w:lineRule="auto"/>
              <w:jc w:val="center"/>
              <w:rPr>
                <w:rFonts w:ascii="Arial" w:eastAsia="Times New Roman" w:hAnsi="Arial" w:cs="Arial"/>
                <w:b/>
                <w:bCs/>
                <w:color w:val="000000"/>
                <w:sz w:val="16"/>
                <w:szCs w:val="16"/>
                <w:lang w:val="es-MX" w:eastAsia="es-MX"/>
              </w:rPr>
            </w:pPr>
            <w:r w:rsidRPr="00431EF8">
              <w:rPr>
                <w:rFonts w:ascii="Arial" w:eastAsia="Times New Roman" w:hAnsi="Arial" w:cs="Arial"/>
                <w:b/>
                <w:bCs/>
                <w:color w:val="000000"/>
                <w:sz w:val="16"/>
                <w:szCs w:val="16"/>
                <w:lang w:val="es-MX" w:eastAsia="es-MX"/>
              </w:rPr>
              <w:t>Fibra óptica</w:t>
            </w:r>
          </w:p>
        </w:tc>
        <w:tc>
          <w:tcPr>
            <w:tcW w:w="754" w:type="dxa"/>
            <w:tcBorders>
              <w:top w:val="nil"/>
              <w:left w:val="nil"/>
              <w:bottom w:val="single" w:sz="12" w:space="0" w:color="C2D69B"/>
              <w:right w:val="nil"/>
            </w:tcBorders>
            <w:shd w:val="clear" w:color="000000" w:fill="FFFFFF"/>
            <w:noWrap/>
            <w:vAlign w:val="center"/>
            <w:hideMark/>
          </w:tcPr>
          <w:p w14:paraId="002FCE1D" w14:textId="77777777" w:rsidR="00431EF8" w:rsidRPr="00431EF8" w:rsidRDefault="00431EF8" w:rsidP="00431EF8">
            <w:pPr>
              <w:spacing w:after="0" w:line="240" w:lineRule="auto"/>
              <w:jc w:val="center"/>
              <w:rPr>
                <w:rFonts w:ascii="Arial" w:eastAsia="Times New Roman" w:hAnsi="Arial" w:cs="Arial"/>
                <w:b/>
                <w:bCs/>
                <w:color w:val="000000"/>
                <w:sz w:val="16"/>
                <w:szCs w:val="16"/>
                <w:lang w:val="es-MX" w:eastAsia="es-MX"/>
              </w:rPr>
            </w:pPr>
            <w:r w:rsidRPr="00431EF8">
              <w:rPr>
                <w:rFonts w:ascii="Arial" w:eastAsia="Times New Roman" w:hAnsi="Arial" w:cs="Arial"/>
                <w:b/>
                <w:bCs/>
                <w:color w:val="000000"/>
                <w:sz w:val="16"/>
                <w:szCs w:val="16"/>
                <w:lang w:val="es-MX" w:eastAsia="es-MX"/>
              </w:rPr>
              <w:t>Satelital</w:t>
            </w:r>
          </w:p>
        </w:tc>
        <w:tc>
          <w:tcPr>
            <w:tcW w:w="1089" w:type="dxa"/>
            <w:tcBorders>
              <w:top w:val="nil"/>
              <w:left w:val="nil"/>
              <w:bottom w:val="single" w:sz="12" w:space="0" w:color="C2D69B"/>
              <w:right w:val="nil"/>
            </w:tcBorders>
            <w:shd w:val="clear" w:color="000000" w:fill="FFFFFF"/>
            <w:noWrap/>
            <w:vAlign w:val="center"/>
            <w:hideMark/>
          </w:tcPr>
          <w:p w14:paraId="4502ED7A" w14:textId="77777777" w:rsidR="00431EF8" w:rsidRPr="00431EF8" w:rsidRDefault="00431EF8" w:rsidP="00431EF8">
            <w:pPr>
              <w:spacing w:after="0" w:line="240" w:lineRule="auto"/>
              <w:jc w:val="center"/>
              <w:rPr>
                <w:rFonts w:ascii="Arial" w:eastAsia="Times New Roman" w:hAnsi="Arial" w:cs="Arial"/>
                <w:b/>
                <w:bCs/>
                <w:color w:val="000000"/>
                <w:sz w:val="16"/>
                <w:szCs w:val="16"/>
                <w:lang w:val="es-MX" w:eastAsia="es-MX"/>
              </w:rPr>
            </w:pPr>
            <w:r w:rsidRPr="00431EF8">
              <w:rPr>
                <w:rFonts w:ascii="Arial" w:eastAsia="Times New Roman" w:hAnsi="Arial" w:cs="Arial"/>
                <w:b/>
                <w:bCs/>
                <w:color w:val="000000"/>
                <w:sz w:val="16"/>
                <w:szCs w:val="16"/>
                <w:lang w:val="es-MX" w:eastAsia="es-MX"/>
              </w:rPr>
              <w:t>Sin tecnología especificada</w:t>
            </w:r>
          </w:p>
        </w:tc>
      </w:tr>
      <w:tr w:rsidR="00431EF8" w:rsidRPr="00431EF8" w14:paraId="12B3A4C7" w14:textId="77777777" w:rsidTr="00AE155A">
        <w:trPr>
          <w:trHeight w:val="313"/>
        </w:trPr>
        <w:tc>
          <w:tcPr>
            <w:tcW w:w="5103" w:type="dxa"/>
            <w:tcBorders>
              <w:top w:val="nil"/>
              <w:left w:val="nil"/>
              <w:bottom w:val="single" w:sz="8" w:space="0" w:color="C2D69B"/>
              <w:right w:val="single" w:sz="8" w:space="0" w:color="C2D69B"/>
            </w:tcBorders>
            <w:shd w:val="clear" w:color="000000" w:fill="EAF1DD"/>
            <w:noWrap/>
            <w:vAlign w:val="center"/>
            <w:hideMark/>
          </w:tcPr>
          <w:p w14:paraId="3D468FE3"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Aire Cable, S.A.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570AD3DA"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556E2A9C"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7E658965"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1854E905"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0C7C2C14"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26C19E6C"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10C531E6" w14:textId="01AC9651"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AT&amp;T Comunicaciones Digitales, S. de R.L. de C.V.</w:t>
            </w:r>
          </w:p>
        </w:tc>
        <w:tc>
          <w:tcPr>
            <w:tcW w:w="851" w:type="dxa"/>
            <w:tcBorders>
              <w:top w:val="nil"/>
              <w:left w:val="nil"/>
              <w:bottom w:val="single" w:sz="8" w:space="0" w:color="C2D69B"/>
              <w:right w:val="single" w:sz="8" w:space="0" w:color="C2D69B"/>
            </w:tcBorders>
            <w:shd w:val="clear" w:color="auto" w:fill="auto"/>
            <w:noWrap/>
            <w:vAlign w:val="center"/>
            <w:hideMark/>
          </w:tcPr>
          <w:p w14:paraId="78180298"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auto" w:fill="auto"/>
            <w:noWrap/>
            <w:vAlign w:val="center"/>
            <w:hideMark/>
          </w:tcPr>
          <w:p w14:paraId="4C286A58"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458485D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080E603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2A8E0E26"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79D3FDFB"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6CE76E2C"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Axesat México, S.A.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057A7F21"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476BD341"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0E943C48"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67D95D9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18E73B20"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24765F38"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54C391B3"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Axtel, S.A.B. de C.V.</w:t>
            </w:r>
          </w:p>
        </w:tc>
        <w:tc>
          <w:tcPr>
            <w:tcW w:w="851" w:type="dxa"/>
            <w:tcBorders>
              <w:top w:val="nil"/>
              <w:left w:val="nil"/>
              <w:bottom w:val="single" w:sz="8" w:space="0" w:color="C2D69B"/>
              <w:right w:val="single" w:sz="8" w:space="0" w:color="C2D69B"/>
            </w:tcBorders>
            <w:shd w:val="clear" w:color="auto" w:fill="auto"/>
            <w:noWrap/>
            <w:vAlign w:val="center"/>
            <w:hideMark/>
          </w:tcPr>
          <w:p w14:paraId="6DB96242"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auto" w:fill="auto"/>
            <w:noWrap/>
            <w:vAlign w:val="center"/>
            <w:hideMark/>
          </w:tcPr>
          <w:p w14:paraId="7BFB5CD5"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75255614"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34644377"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057CEC00"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0E10B462"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6C2FA90E"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Cablemas Telecomunicaciones, S.A.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7B756363"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c>
          <w:tcPr>
            <w:tcW w:w="850" w:type="dxa"/>
            <w:tcBorders>
              <w:top w:val="nil"/>
              <w:left w:val="nil"/>
              <w:bottom w:val="single" w:sz="8" w:space="0" w:color="C2D69B"/>
              <w:right w:val="single" w:sz="8" w:space="0" w:color="C2D69B"/>
            </w:tcBorders>
            <w:shd w:val="clear" w:color="000000" w:fill="EAF1DD"/>
            <w:noWrap/>
            <w:vAlign w:val="center"/>
            <w:hideMark/>
          </w:tcPr>
          <w:p w14:paraId="6172BCFB"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09C8D84E"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791EEA1F"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3208938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4EB064F7"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31E4BD43"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Cablevisión Red, S.A. de C.V.</w:t>
            </w:r>
          </w:p>
        </w:tc>
        <w:tc>
          <w:tcPr>
            <w:tcW w:w="851" w:type="dxa"/>
            <w:tcBorders>
              <w:top w:val="nil"/>
              <w:left w:val="nil"/>
              <w:bottom w:val="single" w:sz="8" w:space="0" w:color="C2D69B"/>
              <w:right w:val="single" w:sz="8" w:space="0" w:color="C2D69B"/>
            </w:tcBorders>
            <w:shd w:val="clear" w:color="auto" w:fill="auto"/>
            <w:noWrap/>
            <w:vAlign w:val="center"/>
            <w:hideMark/>
          </w:tcPr>
          <w:p w14:paraId="2F3D8CE1"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c>
          <w:tcPr>
            <w:tcW w:w="850" w:type="dxa"/>
            <w:tcBorders>
              <w:top w:val="nil"/>
              <w:left w:val="nil"/>
              <w:bottom w:val="single" w:sz="8" w:space="0" w:color="C2D69B"/>
              <w:right w:val="single" w:sz="8" w:space="0" w:color="C2D69B"/>
            </w:tcBorders>
            <w:shd w:val="clear" w:color="auto" w:fill="auto"/>
            <w:noWrap/>
            <w:vAlign w:val="center"/>
            <w:hideMark/>
          </w:tcPr>
          <w:p w14:paraId="67526FE6"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609BB46D"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5065ACB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679EB5C6"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35850797"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601E311E"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Cablevisión, S.A.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014F407E"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c>
          <w:tcPr>
            <w:tcW w:w="850" w:type="dxa"/>
            <w:tcBorders>
              <w:top w:val="nil"/>
              <w:left w:val="nil"/>
              <w:bottom w:val="single" w:sz="8" w:space="0" w:color="C2D69B"/>
              <w:right w:val="single" w:sz="8" w:space="0" w:color="C2D69B"/>
            </w:tcBorders>
            <w:shd w:val="clear" w:color="000000" w:fill="EAF1DD"/>
            <w:noWrap/>
            <w:vAlign w:val="center"/>
            <w:hideMark/>
          </w:tcPr>
          <w:p w14:paraId="5869C72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6D0A623C"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42678425"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18454C1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37298E29"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4B8101A6"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Comercializadora de Frecuencias Satelitales, S. de R.L. de C.V.</w:t>
            </w:r>
          </w:p>
        </w:tc>
        <w:tc>
          <w:tcPr>
            <w:tcW w:w="851" w:type="dxa"/>
            <w:tcBorders>
              <w:top w:val="nil"/>
              <w:left w:val="nil"/>
              <w:bottom w:val="single" w:sz="8" w:space="0" w:color="C2D69B"/>
              <w:right w:val="single" w:sz="8" w:space="0" w:color="C2D69B"/>
            </w:tcBorders>
            <w:shd w:val="clear" w:color="auto" w:fill="auto"/>
            <w:noWrap/>
            <w:vAlign w:val="center"/>
            <w:hideMark/>
          </w:tcPr>
          <w:p w14:paraId="2F291652"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auto" w:fill="auto"/>
            <w:noWrap/>
            <w:vAlign w:val="center"/>
            <w:hideMark/>
          </w:tcPr>
          <w:p w14:paraId="564A198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73C27D2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0747251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4F66D5EC"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496F0A06"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503F830D"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Elara Comunicaciones, S.A.P.I.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2F93607E"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43E9824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7038136B"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324DD51A" w14:textId="6501469F"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Pr>
                <w:rFonts w:ascii="Arial" w:eastAsia="Times New Roman" w:hAnsi="Arial" w:cs="Arial"/>
                <w:color w:val="000000"/>
                <w:sz w:val="16"/>
                <w:szCs w:val="16"/>
                <w:lang w:val="es-MX" w:eastAsia="es-MX"/>
              </w:rPr>
              <w:t>1</w:t>
            </w:r>
            <w:r w:rsidRPr="00431EF8">
              <w:rPr>
                <w:rFonts w:ascii="Arial" w:eastAsia="Times New Roman" w:hAnsi="Arial" w:cs="Arial"/>
                <w:color w:val="000000"/>
                <w:sz w:val="16"/>
                <w:szCs w:val="16"/>
                <w:lang w:val="es-MX" w:eastAsia="es-MX"/>
              </w:rPr>
              <w:t>00%</w:t>
            </w:r>
          </w:p>
        </w:tc>
        <w:tc>
          <w:tcPr>
            <w:tcW w:w="1089" w:type="dxa"/>
            <w:tcBorders>
              <w:top w:val="nil"/>
              <w:left w:val="nil"/>
              <w:bottom w:val="single" w:sz="8" w:space="0" w:color="C2D69B"/>
              <w:right w:val="single" w:sz="8" w:space="0" w:color="C2D69B"/>
            </w:tcBorders>
            <w:shd w:val="clear" w:color="000000" w:fill="EAF1DD"/>
            <w:noWrap/>
            <w:vAlign w:val="center"/>
            <w:hideMark/>
          </w:tcPr>
          <w:p w14:paraId="6EF50934"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4037BF48"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43E06504"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FTTH de México, S.A. de C.V.</w:t>
            </w:r>
          </w:p>
        </w:tc>
        <w:tc>
          <w:tcPr>
            <w:tcW w:w="851" w:type="dxa"/>
            <w:tcBorders>
              <w:top w:val="nil"/>
              <w:left w:val="nil"/>
              <w:bottom w:val="single" w:sz="8" w:space="0" w:color="C2D69B"/>
              <w:right w:val="single" w:sz="8" w:space="0" w:color="C2D69B"/>
            </w:tcBorders>
            <w:shd w:val="clear" w:color="auto" w:fill="auto"/>
            <w:noWrap/>
            <w:vAlign w:val="center"/>
            <w:hideMark/>
          </w:tcPr>
          <w:p w14:paraId="12902651"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auto" w:fill="auto"/>
            <w:noWrap/>
            <w:vAlign w:val="center"/>
            <w:hideMark/>
          </w:tcPr>
          <w:p w14:paraId="3F1ABF6D"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002E95D0"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c>
          <w:tcPr>
            <w:tcW w:w="754" w:type="dxa"/>
            <w:tcBorders>
              <w:top w:val="nil"/>
              <w:left w:val="nil"/>
              <w:bottom w:val="single" w:sz="8" w:space="0" w:color="C2D69B"/>
              <w:right w:val="single" w:sz="8" w:space="0" w:color="C2D69B"/>
            </w:tcBorders>
            <w:shd w:val="clear" w:color="auto" w:fill="auto"/>
            <w:noWrap/>
            <w:vAlign w:val="center"/>
            <w:hideMark/>
          </w:tcPr>
          <w:p w14:paraId="1635FE8B"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3072D3E5"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5F96F9BF"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35B1F6F6"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Gurucomm, S.A.P.I.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075C11FD"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722AC97C"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6E808B3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54689511"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4B2B84EB"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33DD3BCE"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3DF7EE14"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IENTC, S. de R.L. de C.V.</w:t>
            </w:r>
          </w:p>
        </w:tc>
        <w:tc>
          <w:tcPr>
            <w:tcW w:w="851" w:type="dxa"/>
            <w:tcBorders>
              <w:top w:val="nil"/>
              <w:left w:val="nil"/>
              <w:bottom w:val="single" w:sz="8" w:space="0" w:color="C2D69B"/>
              <w:right w:val="single" w:sz="8" w:space="0" w:color="C2D69B"/>
            </w:tcBorders>
            <w:shd w:val="clear" w:color="auto" w:fill="auto"/>
            <w:noWrap/>
            <w:vAlign w:val="center"/>
            <w:hideMark/>
          </w:tcPr>
          <w:p w14:paraId="6B75390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auto" w:fill="auto"/>
            <w:noWrap/>
            <w:vAlign w:val="center"/>
            <w:hideMark/>
          </w:tcPr>
          <w:p w14:paraId="0B1896A3"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49579267"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3F98532F"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51BBFCC7"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40685F94"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494C1BB0"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IP Matrix, S.A.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07CEFE37"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2AFB3E34"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038E098A"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7B10B2E5"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4AABEB22"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17725DFB"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7F277DA3"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Marcatel COM, S.A. de C.V.</w:t>
            </w:r>
          </w:p>
        </w:tc>
        <w:tc>
          <w:tcPr>
            <w:tcW w:w="851" w:type="dxa"/>
            <w:tcBorders>
              <w:top w:val="nil"/>
              <w:left w:val="nil"/>
              <w:bottom w:val="single" w:sz="8" w:space="0" w:color="C2D69B"/>
              <w:right w:val="single" w:sz="8" w:space="0" w:color="C2D69B"/>
            </w:tcBorders>
            <w:shd w:val="clear" w:color="auto" w:fill="auto"/>
            <w:noWrap/>
            <w:vAlign w:val="center"/>
            <w:hideMark/>
          </w:tcPr>
          <w:p w14:paraId="290BE45B"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auto" w:fill="auto"/>
            <w:noWrap/>
            <w:vAlign w:val="center"/>
            <w:hideMark/>
          </w:tcPr>
          <w:p w14:paraId="4844409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7D6DB56B"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74D5B34B"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454C33F7"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70F80A26"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198C1218"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Maxcom Telecomunicaciones, S.A.B.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2D9EE721"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4415B09C"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0F251F6D"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1E334868"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306D6CEA"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65A80922"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76AA3608"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Mega Cable, S.A. de C.V.</w:t>
            </w:r>
          </w:p>
        </w:tc>
        <w:tc>
          <w:tcPr>
            <w:tcW w:w="851" w:type="dxa"/>
            <w:tcBorders>
              <w:top w:val="nil"/>
              <w:left w:val="nil"/>
              <w:bottom w:val="single" w:sz="8" w:space="0" w:color="C2D69B"/>
              <w:right w:val="single" w:sz="8" w:space="0" w:color="C2D69B"/>
            </w:tcBorders>
            <w:shd w:val="clear" w:color="auto" w:fill="auto"/>
            <w:noWrap/>
            <w:vAlign w:val="center"/>
            <w:hideMark/>
          </w:tcPr>
          <w:p w14:paraId="7AE7D633"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c>
          <w:tcPr>
            <w:tcW w:w="850" w:type="dxa"/>
            <w:tcBorders>
              <w:top w:val="nil"/>
              <w:left w:val="nil"/>
              <w:bottom w:val="single" w:sz="8" w:space="0" w:color="C2D69B"/>
              <w:right w:val="single" w:sz="8" w:space="0" w:color="C2D69B"/>
            </w:tcBorders>
            <w:shd w:val="clear" w:color="auto" w:fill="auto"/>
            <w:noWrap/>
            <w:vAlign w:val="center"/>
            <w:hideMark/>
          </w:tcPr>
          <w:p w14:paraId="2B11682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55D4685E"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50B4C8B2"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428439BE"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67F22FF7"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7A7358C1"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Megacable Comunicaciones De México, S.A.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3620EA8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27D25E84"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4C80B223"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003ECDCC"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0469BFDD"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1FD74A2B"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51270529"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Pegaso PCS, S.A. de C.V.</w:t>
            </w:r>
          </w:p>
        </w:tc>
        <w:tc>
          <w:tcPr>
            <w:tcW w:w="851" w:type="dxa"/>
            <w:tcBorders>
              <w:top w:val="nil"/>
              <w:left w:val="nil"/>
              <w:bottom w:val="single" w:sz="8" w:space="0" w:color="C2D69B"/>
              <w:right w:val="single" w:sz="8" w:space="0" w:color="C2D69B"/>
            </w:tcBorders>
            <w:shd w:val="clear" w:color="auto" w:fill="auto"/>
            <w:noWrap/>
            <w:vAlign w:val="center"/>
            <w:hideMark/>
          </w:tcPr>
          <w:p w14:paraId="60FDD534"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auto" w:fill="auto"/>
            <w:noWrap/>
            <w:vAlign w:val="center"/>
            <w:hideMark/>
          </w:tcPr>
          <w:p w14:paraId="04E90788"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7AD2A58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7E240912"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477CF532"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r>
      <w:tr w:rsidR="00431EF8" w:rsidRPr="00431EF8" w14:paraId="0D0AAB1F"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214526A5"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lastRenderedPageBreak/>
              <w:t>Teléfonos de México, S.A.B.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74E8454E"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0DB7B87A"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67%</w:t>
            </w:r>
          </w:p>
        </w:tc>
        <w:tc>
          <w:tcPr>
            <w:tcW w:w="709" w:type="dxa"/>
            <w:tcBorders>
              <w:top w:val="nil"/>
              <w:left w:val="nil"/>
              <w:bottom w:val="single" w:sz="8" w:space="0" w:color="C2D69B"/>
              <w:right w:val="single" w:sz="8" w:space="0" w:color="C2D69B"/>
            </w:tcBorders>
            <w:shd w:val="clear" w:color="000000" w:fill="EAF1DD"/>
            <w:noWrap/>
            <w:vAlign w:val="center"/>
            <w:hideMark/>
          </w:tcPr>
          <w:p w14:paraId="5C2CCC9A"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33%</w:t>
            </w:r>
          </w:p>
        </w:tc>
        <w:tc>
          <w:tcPr>
            <w:tcW w:w="754" w:type="dxa"/>
            <w:tcBorders>
              <w:top w:val="nil"/>
              <w:left w:val="nil"/>
              <w:bottom w:val="single" w:sz="8" w:space="0" w:color="C2D69B"/>
              <w:right w:val="single" w:sz="8" w:space="0" w:color="C2D69B"/>
            </w:tcBorders>
            <w:shd w:val="clear" w:color="000000" w:fill="EAF1DD"/>
            <w:noWrap/>
            <w:vAlign w:val="center"/>
            <w:hideMark/>
          </w:tcPr>
          <w:p w14:paraId="3DB21732"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7430BE8A"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27311BA9"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6D5388D2"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Teléfonos del Noroeste, S.A. de C.V.</w:t>
            </w:r>
          </w:p>
        </w:tc>
        <w:tc>
          <w:tcPr>
            <w:tcW w:w="851" w:type="dxa"/>
            <w:tcBorders>
              <w:top w:val="nil"/>
              <w:left w:val="nil"/>
              <w:bottom w:val="single" w:sz="8" w:space="0" w:color="C2D69B"/>
              <w:right w:val="single" w:sz="8" w:space="0" w:color="C2D69B"/>
            </w:tcBorders>
            <w:shd w:val="clear" w:color="auto" w:fill="auto"/>
            <w:noWrap/>
            <w:vAlign w:val="center"/>
            <w:hideMark/>
          </w:tcPr>
          <w:p w14:paraId="38B4C1D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auto" w:fill="auto"/>
            <w:noWrap/>
            <w:vAlign w:val="center"/>
            <w:hideMark/>
          </w:tcPr>
          <w:p w14:paraId="097D687E"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61%</w:t>
            </w:r>
          </w:p>
        </w:tc>
        <w:tc>
          <w:tcPr>
            <w:tcW w:w="709" w:type="dxa"/>
            <w:tcBorders>
              <w:top w:val="nil"/>
              <w:left w:val="nil"/>
              <w:bottom w:val="single" w:sz="8" w:space="0" w:color="C2D69B"/>
              <w:right w:val="single" w:sz="8" w:space="0" w:color="C2D69B"/>
            </w:tcBorders>
            <w:shd w:val="clear" w:color="auto" w:fill="auto"/>
            <w:noWrap/>
            <w:vAlign w:val="center"/>
            <w:hideMark/>
          </w:tcPr>
          <w:p w14:paraId="2B1E6844"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39%</w:t>
            </w:r>
          </w:p>
        </w:tc>
        <w:tc>
          <w:tcPr>
            <w:tcW w:w="754" w:type="dxa"/>
            <w:tcBorders>
              <w:top w:val="nil"/>
              <w:left w:val="nil"/>
              <w:bottom w:val="single" w:sz="8" w:space="0" w:color="C2D69B"/>
              <w:right w:val="single" w:sz="8" w:space="0" w:color="C2D69B"/>
            </w:tcBorders>
            <w:shd w:val="clear" w:color="auto" w:fill="auto"/>
            <w:noWrap/>
            <w:vAlign w:val="center"/>
            <w:hideMark/>
          </w:tcPr>
          <w:p w14:paraId="4892BEE9"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40B2D20D"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7F1765FC"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21FEDB31"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Televera Red, S.A.P.I.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492BB48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2CB87A34"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3C34DF5A"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000000" w:fill="EAF1DD"/>
            <w:noWrap/>
            <w:vAlign w:val="center"/>
            <w:hideMark/>
          </w:tcPr>
          <w:p w14:paraId="53695DF4"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c>
          <w:tcPr>
            <w:tcW w:w="1089" w:type="dxa"/>
            <w:tcBorders>
              <w:top w:val="nil"/>
              <w:left w:val="nil"/>
              <w:bottom w:val="single" w:sz="8" w:space="0" w:color="C2D69B"/>
              <w:right w:val="single" w:sz="8" w:space="0" w:color="C2D69B"/>
            </w:tcBorders>
            <w:shd w:val="clear" w:color="000000" w:fill="EAF1DD"/>
            <w:noWrap/>
            <w:vAlign w:val="center"/>
            <w:hideMark/>
          </w:tcPr>
          <w:p w14:paraId="0C4646D1"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090267EF"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3FB07F3D"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Televisión Internacional, S.A. de C.V.</w:t>
            </w:r>
          </w:p>
        </w:tc>
        <w:tc>
          <w:tcPr>
            <w:tcW w:w="851" w:type="dxa"/>
            <w:tcBorders>
              <w:top w:val="nil"/>
              <w:left w:val="nil"/>
              <w:bottom w:val="single" w:sz="8" w:space="0" w:color="C2D69B"/>
              <w:right w:val="single" w:sz="8" w:space="0" w:color="C2D69B"/>
            </w:tcBorders>
            <w:shd w:val="clear" w:color="auto" w:fill="auto"/>
            <w:noWrap/>
            <w:vAlign w:val="center"/>
            <w:hideMark/>
          </w:tcPr>
          <w:p w14:paraId="710E2963"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c>
          <w:tcPr>
            <w:tcW w:w="850" w:type="dxa"/>
            <w:tcBorders>
              <w:top w:val="nil"/>
              <w:left w:val="nil"/>
              <w:bottom w:val="single" w:sz="8" w:space="0" w:color="C2D69B"/>
              <w:right w:val="single" w:sz="8" w:space="0" w:color="C2D69B"/>
            </w:tcBorders>
            <w:shd w:val="clear" w:color="auto" w:fill="auto"/>
            <w:noWrap/>
            <w:vAlign w:val="center"/>
            <w:hideMark/>
          </w:tcPr>
          <w:p w14:paraId="4756C03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6617C9C7"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39A4B70D"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7F0F4CCE"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357F1BD6"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3C5A0149"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Total Play Telecomunicaciones, S.A. de C.V.</w:t>
            </w:r>
          </w:p>
        </w:tc>
        <w:tc>
          <w:tcPr>
            <w:tcW w:w="851" w:type="dxa"/>
            <w:tcBorders>
              <w:top w:val="nil"/>
              <w:left w:val="nil"/>
              <w:bottom w:val="single" w:sz="8" w:space="0" w:color="C2D69B"/>
              <w:right w:val="single" w:sz="8" w:space="0" w:color="C2D69B"/>
            </w:tcBorders>
            <w:shd w:val="clear" w:color="000000" w:fill="EAF1DD"/>
            <w:noWrap/>
            <w:vAlign w:val="center"/>
            <w:hideMark/>
          </w:tcPr>
          <w:p w14:paraId="63F00F9B"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850" w:type="dxa"/>
            <w:tcBorders>
              <w:top w:val="nil"/>
              <w:left w:val="nil"/>
              <w:bottom w:val="single" w:sz="8" w:space="0" w:color="C2D69B"/>
              <w:right w:val="single" w:sz="8" w:space="0" w:color="C2D69B"/>
            </w:tcBorders>
            <w:shd w:val="clear" w:color="000000" w:fill="EAF1DD"/>
            <w:noWrap/>
            <w:vAlign w:val="center"/>
            <w:hideMark/>
          </w:tcPr>
          <w:p w14:paraId="0B938F18"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000000" w:fill="EAF1DD"/>
            <w:noWrap/>
            <w:vAlign w:val="center"/>
            <w:hideMark/>
          </w:tcPr>
          <w:p w14:paraId="36E540C5"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c>
          <w:tcPr>
            <w:tcW w:w="754" w:type="dxa"/>
            <w:tcBorders>
              <w:top w:val="nil"/>
              <w:left w:val="nil"/>
              <w:bottom w:val="single" w:sz="8" w:space="0" w:color="C2D69B"/>
              <w:right w:val="single" w:sz="8" w:space="0" w:color="C2D69B"/>
            </w:tcBorders>
            <w:shd w:val="clear" w:color="000000" w:fill="EAF1DD"/>
            <w:noWrap/>
            <w:vAlign w:val="center"/>
            <w:hideMark/>
          </w:tcPr>
          <w:p w14:paraId="13F2902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000000" w:fill="EAF1DD"/>
            <w:noWrap/>
            <w:vAlign w:val="center"/>
            <w:hideMark/>
          </w:tcPr>
          <w:p w14:paraId="5B8FC4D6"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768CF978" w14:textId="77777777" w:rsidTr="00AE155A">
        <w:trPr>
          <w:trHeight w:val="299"/>
        </w:trPr>
        <w:tc>
          <w:tcPr>
            <w:tcW w:w="5103" w:type="dxa"/>
            <w:tcBorders>
              <w:top w:val="nil"/>
              <w:left w:val="nil"/>
              <w:bottom w:val="single" w:sz="8" w:space="0" w:color="C2D69B"/>
              <w:right w:val="single" w:sz="8" w:space="0" w:color="C2D69B"/>
            </w:tcBorders>
            <w:shd w:val="clear" w:color="auto" w:fill="auto"/>
            <w:noWrap/>
            <w:vAlign w:val="center"/>
            <w:hideMark/>
          </w:tcPr>
          <w:p w14:paraId="685BAF44"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TV Cable De Oriente, S.A. de C.V.</w:t>
            </w:r>
          </w:p>
        </w:tc>
        <w:tc>
          <w:tcPr>
            <w:tcW w:w="851" w:type="dxa"/>
            <w:tcBorders>
              <w:top w:val="nil"/>
              <w:left w:val="nil"/>
              <w:bottom w:val="single" w:sz="8" w:space="0" w:color="C2D69B"/>
              <w:right w:val="single" w:sz="8" w:space="0" w:color="C2D69B"/>
            </w:tcBorders>
            <w:shd w:val="clear" w:color="auto" w:fill="auto"/>
            <w:noWrap/>
            <w:vAlign w:val="center"/>
            <w:hideMark/>
          </w:tcPr>
          <w:p w14:paraId="205FAB55"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100%</w:t>
            </w:r>
          </w:p>
        </w:tc>
        <w:tc>
          <w:tcPr>
            <w:tcW w:w="850" w:type="dxa"/>
            <w:tcBorders>
              <w:top w:val="nil"/>
              <w:left w:val="nil"/>
              <w:bottom w:val="single" w:sz="8" w:space="0" w:color="C2D69B"/>
              <w:right w:val="single" w:sz="8" w:space="0" w:color="C2D69B"/>
            </w:tcBorders>
            <w:shd w:val="clear" w:color="auto" w:fill="auto"/>
            <w:noWrap/>
            <w:vAlign w:val="center"/>
            <w:hideMark/>
          </w:tcPr>
          <w:p w14:paraId="113C9760"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09" w:type="dxa"/>
            <w:tcBorders>
              <w:top w:val="nil"/>
              <w:left w:val="nil"/>
              <w:bottom w:val="single" w:sz="8" w:space="0" w:color="C2D69B"/>
              <w:right w:val="single" w:sz="8" w:space="0" w:color="C2D69B"/>
            </w:tcBorders>
            <w:shd w:val="clear" w:color="auto" w:fill="auto"/>
            <w:noWrap/>
            <w:vAlign w:val="center"/>
            <w:hideMark/>
          </w:tcPr>
          <w:p w14:paraId="5C87F9E4"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754" w:type="dxa"/>
            <w:tcBorders>
              <w:top w:val="nil"/>
              <w:left w:val="nil"/>
              <w:bottom w:val="single" w:sz="8" w:space="0" w:color="C2D69B"/>
              <w:right w:val="single" w:sz="8" w:space="0" w:color="C2D69B"/>
            </w:tcBorders>
            <w:shd w:val="clear" w:color="auto" w:fill="auto"/>
            <w:noWrap/>
            <w:vAlign w:val="center"/>
            <w:hideMark/>
          </w:tcPr>
          <w:p w14:paraId="678A8C9F"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c>
          <w:tcPr>
            <w:tcW w:w="1089" w:type="dxa"/>
            <w:tcBorders>
              <w:top w:val="nil"/>
              <w:left w:val="nil"/>
              <w:bottom w:val="single" w:sz="8" w:space="0" w:color="C2D69B"/>
              <w:right w:val="single" w:sz="8" w:space="0" w:color="C2D69B"/>
            </w:tcBorders>
            <w:shd w:val="clear" w:color="auto" w:fill="auto"/>
            <w:noWrap/>
            <w:vAlign w:val="center"/>
            <w:hideMark/>
          </w:tcPr>
          <w:p w14:paraId="4941A613" w14:textId="77777777" w:rsidR="00431EF8" w:rsidRPr="00431EF8" w:rsidRDefault="00431EF8" w:rsidP="00431EF8">
            <w:pPr>
              <w:spacing w:after="0" w:line="240" w:lineRule="auto"/>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 </w:t>
            </w:r>
          </w:p>
        </w:tc>
      </w:tr>
      <w:tr w:rsidR="00431EF8" w:rsidRPr="00431EF8" w14:paraId="3B319C6F" w14:textId="77777777" w:rsidTr="00AE155A">
        <w:trPr>
          <w:trHeight w:val="299"/>
        </w:trPr>
        <w:tc>
          <w:tcPr>
            <w:tcW w:w="5103" w:type="dxa"/>
            <w:tcBorders>
              <w:top w:val="nil"/>
              <w:left w:val="nil"/>
              <w:bottom w:val="single" w:sz="8" w:space="0" w:color="C2D69B"/>
              <w:right w:val="single" w:sz="8" w:space="0" w:color="C2D69B"/>
            </w:tcBorders>
            <w:shd w:val="clear" w:color="000000" w:fill="EAF1DD"/>
            <w:noWrap/>
            <w:vAlign w:val="center"/>
            <w:hideMark/>
          </w:tcPr>
          <w:p w14:paraId="194B773E" w14:textId="77777777" w:rsidR="00431EF8" w:rsidRPr="00BC12B4" w:rsidRDefault="00431EF8" w:rsidP="00431EF8">
            <w:pPr>
              <w:spacing w:after="0" w:line="240" w:lineRule="auto"/>
              <w:rPr>
                <w:rFonts w:ascii="Arial" w:eastAsia="Times New Roman" w:hAnsi="Arial" w:cs="Arial"/>
                <w:bCs/>
                <w:color w:val="000000"/>
                <w:sz w:val="16"/>
                <w:szCs w:val="16"/>
                <w:lang w:val="es-MX" w:eastAsia="es-MX"/>
              </w:rPr>
            </w:pPr>
            <w:r w:rsidRPr="00BC12B4">
              <w:rPr>
                <w:rFonts w:ascii="Arial" w:eastAsia="Times New Roman" w:hAnsi="Arial" w:cs="Arial"/>
                <w:bCs/>
                <w:color w:val="000000"/>
                <w:sz w:val="16"/>
                <w:szCs w:val="16"/>
                <w:lang w:val="es-MX" w:eastAsia="es-MX"/>
              </w:rPr>
              <w:t>Total general</w:t>
            </w:r>
          </w:p>
        </w:tc>
        <w:tc>
          <w:tcPr>
            <w:tcW w:w="851" w:type="dxa"/>
            <w:tcBorders>
              <w:top w:val="nil"/>
              <w:left w:val="nil"/>
              <w:bottom w:val="single" w:sz="8" w:space="0" w:color="C2D69B"/>
              <w:right w:val="single" w:sz="8" w:space="0" w:color="C2D69B"/>
            </w:tcBorders>
            <w:shd w:val="clear" w:color="000000" w:fill="EAF1DD"/>
            <w:noWrap/>
            <w:vAlign w:val="center"/>
            <w:hideMark/>
          </w:tcPr>
          <w:p w14:paraId="7F2A48BB"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40%</w:t>
            </w:r>
          </w:p>
        </w:tc>
        <w:tc>
          <w:tcPr>
            <w:tcW w:w="850" w:type="dxa"/>
            <w:tcBorders>
              <w:top w:val="nil"/>
              <w:left w:val="nil"/>
              <w:bottom w:val="single" w:sz="8" w:space="0" w:color="C2D69B"/>
              <w:right w:val="single" w:sz="8" w:space="0" w:color="C2D69B"/>
            </w:tcBorders>
            <w:shd w:val="clear" w:color="000000" w:fill="EAF1DD"/>
            <w:noWrap/>
            <w:vAlign w:val="center"/>
            <w:hideMark/>
          </w:tcPr>
          <w:p w14:paraId="14352B84"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32%</w:t>
            </w:r>
          </w:p>
        </w:tc>
        <w:tc>
          <w:tcPr>
            <w:tcW w:w="709" w:type="dxa"/>
            <w:tcBorders>
              <w:top w:val="nil"/>
              <w:left w:val="nil"/>
              <w:bottom w:val="single" w:sz="8" w:space="0" w:color="C2D69B"/>
              <w:right w:val="single" w:sz="8" w:space="0" w:color="C2D69B"/>
            </w:tcBorders>
            <w:shd w:val="clear" w:color="000000" w:fill="EAF1DD"/>
            <w:noWrap/>
            <w:vAlign w:val="center"/>
            <w:hideMark/>
          </w:tcPr>
          <w:p w14:paraId="56D32AE9"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27%</w:t>
            </w:r>
          </w:p>
        </w:tc>
        <w:tc>
          <w:tcPr>
            <w:tcW w:w="754" w:type="dxa"/>
            <w:tcBorders>
              <w:top w:val="nil"/>
              <w:left w:val="nil"/>
              <w:bottom w:val="single" w:sz="8" w:space="0" w:color="C2D69B"/>
              <w:right w:val="single" w:sz="8" w:space="0" w:color="C2D69B"/>
            </w:tcBorders>
            <w:shd w:val="clear" w:color="000000" w:fill="EAF1DD"/>
            <w:noWrap/>
            <w:vAlign w:val="center"/>
            <w:hideMark/>
          </w:tcPr>
          <w:p w14:paraId="7E22232D" w14:textId="59FA94B8"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0</w:t>
            </w:r>
            <w:r>
              <w:rPr>
                <w:rFonts w:ascii="Arial" w:eastAsia="Times New Roman" w:hAnsi="Arial" w:cs="Arial"/>
                <w:color w:val="000000"/>
                <w:sz w:val="16"/>
                <w:szCs w:val="16"/>
                <w:lang w:val="es-MX" w:eastAsia="es-MX"/>
              </w:rPr>
              <w:t>.1</w:t>
            </w:r>
            <w:r w:rsidRPr="00431EF8">
              <w:rPr>
                <w:rFonts w:ascii="Arial" w:eastAsia="Times New Roman" w:hAnsi="Arial" w:cs="Arial"/>
                <w:color w:val="000000"/>
                <w:sz w:val="16"/>
                <w:szCs w:val="16"/>
                <w:lang w:val="es-MX" w:eastAsia="es-MX"/>
              </w:rPr>
              <w:t>%</w:t>
            </w:r>
          </w:p>
        </w:tc>
        <w:tc>
          <w:tcPr>
            <w:tcW w:w="1089" w:type="dxa"/>
            <w:tcBorders>
              <w:top w:val="nil"/>
              <w:left w:val="nil"/>
              <w:bottom w:val="single" w:sz="8" w:space="0" w:color="C2D69B"/>
              <w:right w:val="single" w:sz="8" w:space="0" w:color="C2D69B"/>
            </w:tcBorders>
            <w:shd w:val="clear" w:color="000000" w:fill="EAF1DD"/>
            <w:noWrap/>
            <w:vAlign w:val="center"/>
            <w:hideMark/>
          </w:tcPr>
          <w:p w14:paraId="7EAC832F" w14:textId="77777777" w:rsidR="00431EF8" w:rsidRPr="00431EF8" w:rsidRDefault="00431EF8" w:rsidP="00431EF8">
            <w:pPr>
              <w:spacing w:after="0" w:line="240" w:lineRule="auto"/>
              <w:jc w:val="right"/>
              <w:rPr>
                <w:rFonts w:ascii="Arial" w:eastAsia="Times New Roman" w:hAnsi="Arial" w:cs="Arial"/>
                <w:color w:val="000000"/>
                <w:sz w:val="16"/>
                <w:szCs w:val="16"/>
                <w:lang w:val="es-MX" w:eastAsia="es-MX"/>
              </w:rPr>
            </w:pPr>
            <w:r w:rsidRPr="00431EF8">
              <w:rPr>
                <w:rFonts w:ascii="Arial" w:eastAsia="Times New Roman" w:hAnsi="Arial" w:cs="Arial"/>
                <w:color w:val="000000"/>
                <w:sz w:val="16"/>
                <w:szCs w:val="16"/>
                <w:lang w:val="es-MX" w:eastAsia="es-MX"/>
              </w:rPr>
              <w:t>1%</w:t>
            </w:r>
          </w:p>
        </w:tc>
      </w:tr>
    </w:tbl>
    <w:p w14:paraId="0DE42516" w14:textId="7E9D2CCE" w:rsidR="00FA2C42" w:rsidRPr="00FA2C42" w:rsidRDefault="00FA2C42" w:rsidP="00FA2C42">
      <w:pPr>
        <w:jc w:val="both"/>
        <w:rPr>
          <w:rFonts w:ascii="Arial" w:hAnsi="Arial" w:cs="Arial"/>
          <w:color w:val="000000"/>
          <w:sz w:val="16"/>
          <w:szCs w:val="16"/>
          <w:lang w:val="es-MX" w:eastAsia="es-ES"/>
        </w:rPr>
      </w:pPr>
      <w:r w:rsidRPr="00FA2C42">
        <w:rPr>
          <w:rFonts w:ascii="Arial" w:hAnsi="Arial" w:cs="Arial"/>
          <w:b/>
          <w:color w:val="000000"/>
          <w:sz w:val="16"/>
          <w:szCs w:val="16"/>
          <w:lang w:val="es-MX" w:eastAsia="es-ES"/>
        </w:rPr>
        <w:t xml:space="preserve">Tabla 6: </w:t>
      </w:r>
      <w:r w:rsidRPr="00FA2C42">
        <w:rPr>
          <w:rFonts w:ascii="Arial" w:hAnsi="Arial" w:cs="Arial"/>
          <w:color w:val="000000"/>
          <w:sz w:val="16"/>
          <w:szCs w:val="16"/>
          <w:lang w:val="es-MX" w:eastAsia="es-ES"/>
        </w:rPr>
        <w:t xml:space="preserve">Distribución de tecnología de los accesos para BAF por cada concesionario. </w:t>
      </w:r>
      <w:r w:rsidRPr="00FA2C42">
        <w:rPr>
          <w:rFonts w:ascii="Arial" w:hAnsi="Arial" w:cs="Arial"/>
          <w:b/>
          <w:color w:val="000000"/>
          <w:sz w:val="16"/>
          <w:szCs w:val="16"/>
          <w:lang w:val="es-MX" w:eastAsia="es-ES"/>
        </w:rPr>
        <w:t>Fuente:</w:t>
      </w:r>
      <w:r w:rsidRPr="00FA2C42">
        <w:rPr>
          <w:rFonts w:ascii="Arial" w:hAnsi="Arial" w:cs="Arial"/>
          <w:color w:val="000000"/>
          <w:sz w:val="16"/>
          <w:szCs w:val="16"/>
          <w:lang w:val="es-MX" w:eastAsia="es-ES"/>
        </w:rPr>
        <w:t xml:space="preserve"> IFT con información del BIT al </w:t>
      </w:r>
      <w:r w:rsidR="00431EF8">
        <w:rPr>
          <w:rFonts w:ascii="Arial" w:hAnsi="Arial" w:cs="Arial"/>
          <w:color w:val="000000"/>
          <w:sz w:val="16"/>
          <w:szCs w:val="16"/>
          <w:lang w:val="es-MX" w:eastAsia="es-ES"/>
        </w:rPr>
        <w:t>segundo trimestre de 2020</w:t>
      </w:r>
      <w:r w:rsidRPr="00FA2C42">
        <w:rPr>
          <w:rFonts w:ascii="Arial" w:hAnsi="Arial" w:cs="Arial"/>
          <w:color w:val="000000"/>
          <w:sz w:val="16"/>
          <w:szCs w:val="16"/>
          <w:lang w:val="es-MX" w:eastAsia="es-ES"/>
        </w:rPr>
        <w:t>; 2021</w:t>
      </w:r>
    </w:p>
    <w:p w14:paraId="046F67DB" w14:textId="15686D04" w:rsidR="00FA2C42" w:rsidRDefault="00964CCC" w:rsidP="008347CE">
      <w:pPr>
        <w:spacing w:after="0"/>
        <w:jc w:val="both"/>
        <w:rPr>
          <w:rFonts w:ascii="Arial" w:hAnsi="Arial" w:cs="Arial"/>
          <w:color w:val="000000"/>
          <w:lang w:val="es-ES_tradnl" w:eastAsia="es-ES"/>
        </w:rPr>
      </w:pPr>
      <w:r>
        <w:rPr>
          <w:rFonts w:ascii="Arial" w:hAnsi="Arial" w:cs="Arial"/>
          <w:color w:val="000000"/>
          <w:lang w:val="es-MX" w:eastAsia="es-ES"/>
        </w:rPr>
        <w:t>En este caso,</w:t>
      </w:r>
      <w:r w:rsidR="00FA2C42" w:rsidRPr="00FA2C42">
        <w:rPr>
          <w:rFonts w:ascii="Arial" w:hAnsi="Arial" w:cs="Arial"/>
          <w:color w:val="000000"/>
          <w:lang w:val="es-MX" w:eastAsia="es-ES"/>
        </w:rPr>
        <w:t xml:space="preserve"> la distribución de accesos conforme a dichas tecnologías es la siguiente: “Cable Coaxial” </w:t>
      </w:r>
      <w:r w:rsidR="000B31CC">
        <w:rPr>
          <w:rFonts w:ascii="Arial" w:hAnsi="Arial" w:cs="Arial"/>
          <w:color w:val="000000"/>
          <w:lang w:val="es-MX" w:eastAsia="es-ES"/>
        </w:rPr>
        <w:t xml:space="preserve">tiene </w:t>
      </w:r>
      <w:r w:rsidR="00FA2C42" w:rsidRPr="00FA2C42">
        <w:rPr>
          <w:rFonts w:ascii="Arial" w:hAnsi="Arial" w:cs="Arial"/>
          <w:color w:val="000000"/>
          <w:lang w:val="es-MX" w:eastAsia="es-ES"/>
        </w:rPr>
        <w:t>e</w:t>
      </w:r>
      <w:r w:rsidR="000B31CC">
        <w:rPr>
          <w:rFonts w:ascii="Arial" w:hAnsi="Arial" w:cs="Arial"/>
          <w:color w:val="000000"/>
          <w:lang w:val="es-MX" w:eastAsia="es-ES"/>
        </w:rPr>
        <w:t>l</w:t>
      </w:r>
      <w:r w:rsidR="00FA2C42" w:rsidRPr="00FA2C42">
        <w:rPr>
          <w:rFonts w:ascii="Arial" w:hAnsi="Arial" w:cs="Arial"/>
          <w:color w:val="000000"/>
          <w:lang w:val="es-MX" w:eastAsia="es-ES"/>
        </w:rPr>
        <w:t xml:space="preserve"> </w:t>
      </w:r>
      <w:r w:rsidR="00431EF8">
        <w:rPr>
          <w:rFonts w:ascii="Arial" w:hAnsi="Arial" w:cs="Arial"/>
          <w:color w:val="000000"/>
          <w:lang w:val="es-MX" w:eastAsia="es-ES"/>
        </w:rPr>
        <w:t>40</w:t>
      </w:r>
      <w:r w:rsidR="00FA2C42" w:rsidRPr="00FA2C42">
        <w:rPr>
          <w:rFonts w:ascii="Arial" w:hAnsi="Arial" w:cs="Arial"/>
          <w:color w:val="000000"/>
          <w:lang w:val="es-MX" w:eastAsia="es-ES"/>
        </w:rPr>
        <w:t>% de los accesos totales</w:t>
      </w:r>
      <w:r w:rsidR="000B31CC">
        <w:rPr>
          <w:rFonts w:ascii="Arial" w:hAnsi="Arial" w:cs="Arial"/>
          <w:color w:val="000000"/>
          <w:lang w:val="es-MX" w:eastAsia="es-ES"/>
        </w:rPr>
        <w:t>;</w:t>
      </w:r>
      <w:r w:rsidR="00FA2C42" w:rsidRPr="00FA2C42">
        <w:rPr>
          <w:rFonts w:ascii="Arial" w:hAnsi="Arial" w:cs="Arial"/>
          <w:color w:val="000000"/>
          <w:lang w:val="es-MX" w:eastAsia="es-ES"/>
        </w:rPr>
        <w:t xml:space="preserve"> “DSL”</w:t>
      </w:r>
      <w:r w:rsidR="000B31CC">
        <w:rPr>
          <w:rFonts w:ascii="Arial" w:hAnsi="Arial" w:cs="Arial"/>
          <w:color w:val="000000"/>
          <w:lang w:val="es-MX" w:eastAsia="es-ES"/>
        </w:rPr>
        <w:t>, el</w:t>
      </w:r>
      <w:r w:rsidR="00FA2C42" w:rsidRPr="00FA2C42">
        <w:rPr>
          <w:rFonts w:ascii="Arial" w:hAnsi="Arial" w:cs="Arial"/>
          <w:color w:val="000000"/>
          <w:lang w:val="es-MX" w:eastAsia="es-ES"/>
        </w:rPr>
        <w:t xml:space="preserve"> 3</w:t>
      </w:r>
      <w:r w:rsidR="00431EF8">
        <w:rPr>
          <w:rFonts w:ascii="Arial" w:hAnsi="Arial" w:cs="Arial"/>
          <w:color w:val="000000"/>
          <w:lang w:val="es-MX" w:eastAsia="es-ES"/>
        </w:rPr>
        <w:t>2</w:t>
      </w:r>
      <w:r w:rsidR="000B31CC">
        <w:rPr>
          <w:rFonts w:ascii="Arial" w:hAnsi="Arial" w:cs="Arial"/>
          <w:color w:val="000000"/>
          <w:lang w:val="es-MX" w:eastAsia="es-ES"/>
        </w:rPr>
        <w:t>%; y</w:t>
      </w:r>
      <w:r w:rsidR="00FA2C42" w:rsidRPr="00FA2C42">
        <w:rPr>
          <w:rFonts w:ascii="Arial" w:hAnsi="Arial" w:cs="Arial"/>
          <w:color w:val="000000"/>
          <w:lang w:val="es-MX" w:eastAsia="es-ES"/>
        </w:rPr>
        <w:t xml:space="preserve"> “Fibra Óptica”</w:t>
      </w:r>
      <w:r w:rsidR="000B31CC">
        <w:rPr>
          <w:rFonts w:ascii="Arial" w:hAnsi="Arial" w:cs="Arial"/>
          <w:color w:val="000000"/>
          <w:lang w:val="es-MX" w:eastAsia="es-ES"/>
        </w:rPr>
        <w:t>, el</w:t>
      </w:r>
      <w:r w:rsidR="00FA2C42" w:rsidRPr="00FA2C42">
        <w:rPr>
          <w:rFonts w:ascii="Arial" w:hAnsi="Arial" w:cs="Arial"/>
          <w:color w:val="000000"/>
          <w:lang w:val="es-MX" w:eastAsia="es-ES"/>
        </w:rPr>
        <w:t xml:space="preserve"> 2</w:t>
      </w:r>
      <w:r w:rsidR="00431EF8">
        <w:rPr>
          <w:rFonts w:ascii="Arial" w:hAnsi="Arial" w:cs="Arial"/>
          <w:color w:val="000000"/>
          <w:lang w:val="es-MX" w:eastAsia="es-ES"/>
        </w:rPr>
        <w:t>7</w:t>
      </w:r>
      <w:r w:rsidR="00FA2C42" w:rsidRPr="00FA2C42">
        <w:rPr>
          <w:rFonts w:ascii="Arial" w:hAnsi="Arial" w:cs="Arial"/>
          <w:color w:val="000000"/>
          <w:lang w:val="es-MX" w:eastAsia="es-ES"/>
        </w:rPr>
        <w:t>% de</w:t>
      </w:r>
      <w:r w:rsidR="000B31CC">
        <w:rPr>
          <w:rFonts w:ascii="Arial" w:hAnsi="Arial" w:cs="Arial"/>
          <w:color w:val="000000"/>
          <w:lang w:val="es-MX" w:eastAsia="es-ES"/>
        </w:rPr>
        <w:t>l total de</w:t>
      </w:r>
      <w:r w:rsidR="00FA2C42" w:rsidRPr="00FA2C42">
        <w:rPr>
          <w:rFonts w:ascii="Arial" w:hAnsi="Arial" w:cs="Arial"/>
          <w:color w:val="000000"/>
          <w:lang w:val="es-MX" w:eastAsia="es-ES"/>
        </w:rPr>
        <w:t xml:space="preserve"> accesos. Por otra parte, “Satelital” </w:t>
      </w:r>
      <w:r w:rsidR="000B31CC">
        <w:rPr>
          <w:rFonts w:ascii="Arial" w:hAnsi="Arial" w:cs="Arial"/>
          <w:color w:val="000000"/>
          <w:lang w:val="es-MX" w:eastAsia="es-ES"/>
        </w:rPr>
        <w:t>tiene el</w:t>
      </w:r>
      <w:r w:rsidR="00FA2C42" w:rsidRPr="00FA2C42">
        <w:rPr>
          <w:rFonts w:ascii="Arial" w:hAnsi="Arial" w:cs="Arial"/>
          <w:color w:val="000000"/>
          <w:lang w:val="es-MX" w:eastAsia="es-ES"/>
        </w:rPr>
        <w:t xml:space="preserve"> 0.0</w:t>
      </w:r>
      <w:r w:rsidR="00431EF8">
        <w:rPr>
          <w:rFonts w:ascii="Arial" w:hAnsi="Arial" w:cs="Arial"/>
          <w:color w:val="000000"/>
          <w:lang w:val="es-MX" w:eastAsia="es-ES"/>
        </w:rPr>
        <w:t>1</w:t>
      </w:r>
      <w:r w:rsidR="00FA2C42" w:rsidRPr="00FA2C42">
        <w:rPr>
          <w:rFonts w:ascii="Arial" w:hAnsi="Arial" w:cs="Arial"/>
          <w:color w:val="000000"/>
          <w:lang w:val="es-MX" w:eastAsia="es-ES"/>
        </w:rPr>
        <w:t xml:space="preserve">%, en tanto que </w:t>
      </w:r>
      <w:r w:rsidR="000B31CC">
        <w:rPr>
          <w:rFonts w:ascii="Arial" w:hAnsi="Arial" w:cs="Arial"/>
          <w:color w:val="000000"/>
          <w:lang w:val="es-MX" w:eastAsia="es-ES"/>
        </w:rPr>
        <w:t xml:space="preserve">el rubro de </w:t>
      </w:r>
      <w:r w:rsidR="00FA2C42" w:rsidRPr="00FA2C42">
        <w:rPr>
          <w:rFonts w:ascii="Arial" w:hAnsi="Arial" w:cs="Arial"/>
          <w:color w:val="000000"/>
          <w:lang w:val="es-MX" w:eastAsia="es-ES"/>
        </w:rPr>
        <w:t>“Sin Tecnología especificada” equivale al 1% de los accesos totales reportados a través del BIT.</w:t>
      </w:r>
      <w:r w:rsidR="00FA2C42" w:rsidRPr="00FA2C42">
        <w:rPr>
          <w:rFonts w:ascii="Arial" w:hAnsi="Arial" w:cs="Arial"/>
          <w:color w:val="000000"/>
          <w:lang w:val="es-ES_tradnl" w:eastAsia="es-ES"/>
        </w:rPr>
        <w:t xml:space="preserve"> </w:t>
      </w:r>
    </w:p>
    <w:p w14:paraId="5D2105C3" w14:textId="77777777" w:rsidR="00A555A5" w:rsidRPr="00FA2C42" w:rsidRDefault="00A555A5" w:rsidP="008347CE">
      <w:pPr>
        <w:spacing w:after="0"/>
        <w:jc w:val="both"/>
        <w:rPr>
          <w:rFonts w:ascii="Arial" w:hAnsi="Arial" w:cs="Arial"/>
          <w:color w:val="000000"/>
          <w:lang w:val="es-ES_tradnl" w:eastAsia="es-ES"/>
        </w:rPr>
      </w:pPr>
    </w:p>
    <w:p w14:paraId="7B051969" w14:textId="7B83B0EE" w:rsidR="00B343D7" w:rsidRPr="00BC12B4" w:rsidRDefault="00B343D7" w:rsidP="008347CE">
      <w:pPr>
        <w:spacing w:after="0"/>
        <w:jc w:val="both"/>
        <w:rPr>
          <w:rFonts w:ascii="Arial" w:hAnsi="Arial" w:cs="Arial"/>
          <w:b/>
          <w:bCs/>
          <w:lang w:val="es-ES_tradnl" w:eastAsia="es-MX"/>
        </w:rPr>
      </w:pPr>
      <w:r w:rsidRPr="00BC12B4">
        <w:rPr>
          <w:rFonts w:ascii="Arial" w:hAnsi="Arial" w:cs="Arial"/>
          <w:b/>
          <w:bCs/>
          <w:lang w:val="es-ES_tradnl" w:eastAsia="es-MX"/>
        </w:rPr>
        <w:t>Análisis de los resultados</w:t>
      </w:r>
    </w:p>
    <w:p w14:paraId="46137511" w14:textId="77777777" w:rsidR="00B343D7" w:rsidRDefault="00B343D7" w:rsidP="008347CE">
      <w:pPr>
        <w:spacing w:after="0"/>
        <w:jc w:val="both"/>
        <w:rPr>
          <w:rFonts w:ascii="Arial" w:hAnsi="Arial" w:cs="Arial"/>
          <w:bCs/>
          <w:lang w:val="es-ES_tradnl" w:eastAsia="es-MX"/>
        </w:rPr>
      </w:pPr>
    </w:p>
    <w:p w14:paraId="40EFEC23" w14:textId="1CE1B74A" w:rsidR="00FA2C42" w:rsidRPr="00FA2C42" w:rsidRDefault="00FA2C42" w:rsidP="008347CE">
      <w:pPr>
        <w:spacing w:after="0"/>
        <w:jc w:val="both"/>
        <w:rPr>
          <w:rFonts w:ascii="Arial" w:hAnsi="Arial" w:cs="Arial"/>
          <w:bCs/>
          <w:lang w:val="es-ES_tradnl" w:eastAsia="es-MX"/>
        </w:rPr>
      </w:pPr>
      <w:r w:rsidRPr="00FA2C42">
        <w:rPr>
          <w:rFonts w:ascii="Arial" w:hAnsi="Arial" w:cs="Arial"/>
          <w:bCs/>
          <w:lang w:val="es-ES_tradnl" w:eastAsia="es-MX"/>
        </w:rPr>
        <w:t xml:space="preserve">Del análisis anteriormente presentado, se puede observar que entre mayor población y hogares </w:t>
      </w:r>
      <w:r w:rsidR="004B6C3F">
        <w:rPr>
          <w:rFonts w:ascii="Arial" w:hAnsi="Arial" w:cs="Arial"/>
          <w:bCs/>
          <w:lang w:val="es-ES_tradnl" w:eastAsia="es-MX"/>
        </w:rPr>
        <w:t>contenga</w:t>
      </w:r>
      <w:r w:rsidRPr="00FA2C42">
        <w:rPr>
          <w:rFonts w:ascii="Arial" w:hAnsi="Arial" w:cs="Arial"/>
          <w:bCs/>
          <w:lang w:val="es-ES_tradnl" w:eastAsia="es-MX"/>
        </w:rPr>
        <w:t xml:space="preserve"> un municipio</w:t>
      </w:r>
      <w:r w:rsidR="004B6C3F">
        <w:rPr>
          <w:rFonts w:ascii="Arial" w:hAnsi="Arial" w:cs="Arial"/>
          <w:bCs/>
          <w:lang w:val="es-ES_tradnl" w:eastAsia="es-MX"/>
        </w:rPr>
        <w:t>,</w:t>
      </w:r>
      <w:r w:rsidRPr="00FA2C42">
        <w:rPr>
          <w:rFonts w:ascii="Arial" w:hAnsi="Arial" w:cs="Arial"/>
          <w:bCs/>
          <w:lang w:val="es-ES_tradnl" w:eastAsia="es-MX"/>
        </w:rPr>
        <w:t xml:space="preserve"> mayor número de accesos son registrados por las características propias de las redes fijas, además de que existe un número mayor de operadores de BAF en municipios que registran más de 1,000 accesos.</w:t>
      </w:r>
    </w:p>
    <w:p w14:paraId="4F42E1AA" w14:textId="77777777" w:rsidR="00FA2C42" w:rsidRPr="00FA2C42" w:rsidRDefault="00FA2C42" w:rsidP="008347CE">
      <w:pPr>
        <w:spacing w:after="0"/>
        <w:jc w:val="both"/>
        <w:rPr>
          <w:rFonts w:ascii="Arial" w:hAnsi="Arial" w:cs="Arial"/>
          <w:bCs/>
          <w:lang w:val="es-ES_tradnl" w:eastAsia="es-MX"/>
        </w:rPr>
      </w:pPr>
    </w:p>
    <w:p w14:paraId="53D826A0" w14:textId="3C369CE9" w:rsidR="00FA2C42" w:rsidRPr="00FA2C42" w:rsidRDefault="00232648" w:rsidP="008347CE">
      <w:pPr>
        <w:spacing w:after="0"/>
        <w:jc w:val="both"/>
        <w:rPr>
          <w:rFonts w:ascii="Arial" w:hAnsi="Arial" w:cs="Arial"/>
          <w:bCs/>
          <w:lang w:val="es-ES_tradnl" w:eastAsia="es-MX"/>
        </w:rPr>
      </w:pPr>
      <w:r>
        <w:rPr>
          <w:rFonts w:ascii="Arial" w:hAnsi="Arial" w:cs="Arial"/>
          <w:bCs/>
          <w:lang w:val="es-ES_tradnl" w:eastAsia="es-MX"/>
        </w:rPr>
        <w:t>Ahora bien</w:t>
      </w:r>
      <w:r w:rsidR="00FA2C42" w:rsidRPr="00FA2C42">
        <w:rPr>
          <w:rFonts w:ascii="Arial" w:hAnsi="Arial" w:cs="Arial"/>
          <w:bCs/>
          <w:lang w:val="es-ES_tradnl" w:eastAsia="es-MX"/>
        </w:rPr>
        <w:t xml:space="preserve">, se </w:t>
      </w:r>
      <w:r>
        <w:rPr>
          <w:rFonts w:ascii="Arial" w:hAnsi="Arial" w:cs="Arial"/>
          <w:bCs/>
          <w:lang w:val="es-ES_tradnl" w:eastAsia="es-MX"/>
        </w:rPr>
        <w:t>hará</w:t>
      </w:r>
      <w:r w:rsidR="00FA2C42" w:rsidRPr="00FA2C42">
        <w:rPr>
          <w:rFonts w:ascii="Arial" w:hAnsi="Arial" w:cs="Arial"/>
          <w:bCs/>
          <w:lang w:val="es-ES_tradnl" w:eastAsia="es-MX"/>
        </w:rPr>
        <w:t xml:space="preserve"> un análisis a nivel municipal de acuerdo con la participación de mercado de los operadores que registran accesos de BAF, el número de operadores con presencia y la tecnología de los accesos BAF; </w:t>
      </w:r>
      <w:r>
        <w:rPr>
          <w:rFonts w:ascii="Arial" w:hAnsi="Arial" w:cs="Arial"/>
          <w:bCs/>
          <w:lang w:val="es-ES_tradnl" w:eastAsia="es-MX"/>
        </w:rPr>
        <w:t xml:space="preserve">estos </w:t>
      </w:r>
      <w:r w:rsidR="00FA2C42" w:rsidRPr="00FA2C42">
        <w:rPr>
          <w:rFonts w:ascii="Arial" w:hAnsi="Arial" w:cs="Arial"/>
          <w:bCs/>
          <w:lang w:val="es-ES_tradnl" w:eastAsia="es-MX"/>
        </w:rPr>
        <w:t xml:space="preserve">indicadores serán analizados de manera conjunta con el objeto de identificar municipios en los cuales se presentan mejores condiciones para concesionarios alternativos, determinadas así por una participación no mayoritaria del AEP en </w:t>
      </w:r>
      <w:r w:rsidR="00FA2C42" w:rsidRPr="00B47466">
        <w:rPr>
          <w:rFonts w:ascii="Arial" w:hAnsi="Arial" w:cs="Arial"/>
          <w:bCs/>
          <w:lang w:val="es-ES_tradnl" w:eastAsia="es-MX"/>
        </w:rPr>
        <w:t>municipios que registran una alta penetración de acceso de BAF, un número alto de operadores dentro del municipio y la presencia de accesos de fibra óptica.</w:t>
      </w:r>
    </w:p>
    <w:p w14:paraId="264EA93C" w14:textId="77777777" w:rsidR="00FA2C42" w:rsidRPr="00FA2C42" w:rsidRDefault="00FA2C42" w:rsidP="008347CE">
      <w:pPr>
        <w:spacing w:after="0"/>
        <w:jc w:val="both"/>
        <w:rPr>
          <w:rFonts w:ascii="Arial" w:hAnsi="Arial" w:cs="Arial"/>
          <w:bCs/>
          <w:lang w:val="es-ES_tradnl" w:eastAsia="es-MX"/>
        </w:rPr>
      </w:pPr>
    </w:p>
    <w:p w14:paraId="6A1C3233" w14:textId="07034F2C" w:rsidR="00FA2C42" w:rsidRDefault="00FA2C42" w:rsidP="009558CF">
      <w:pPr>
        <w:spacing w:after="0"/>
        <w:ind w:right="113"/>
        <w:jc w:val="both"/>
        <w:rPr>
          <w:rFonts w:ascii="Arial" w:hAnsi="Arial" w:cs="Arial"/>
          <w:bCs/>
          <w:lang w:val="es-MX" w:eastAsia="es-MX"/>
        </w:rPr>
      </w:pPr>
      <w:r w:rsidRPr="00FA2C42">
        <w:rPr>
          <w:rFonts w:ascii="Arial" w:hAnsi="Arial" w:cs="Arial"/>
          <w:bCs/>
          <w:lang w:val="es-ES_tradnl" w:eastAsia="es-MX"/>
        </w:rPr>
        <w:t>Con el propósito de establecer una referencia sobre la penetración de accesos de BAF a nivel municipal, se utilizó la penetración de BAF por cada 100 hogares</w:t>
      </w:r>
      <w:r w:rsidRPr="00FA2C42">
        <w:rPr>
          <w:rFonts w:ascii="Arial" w:hAnsi="Arial" w:cs="Arial"/>
          <w:bCs/>
          <w:vertAlign w:val="superscript"/>
          <w:lang w:val="es-ES_tradnl" w:eastAsia="es-MX"/>
        </w:rPr>
        <w:footnoteReference w:id="8"/>
      </w:r>
      <w:r w:rsidR="009558CF">
        <w:rPr>
          <w:rFonts w:ascii="Arial" w:hAnsi="Arial" w:cs="Arial"/>
          <w:bCs/>
          <w:lang w:val="es-ES_tradnl" w:eastAsia="es-MX"/>
        </w:rPr>
        <w:t>,</w:t>
      </w:r>
      <w:r w:rsidR="00232648">
        <w:rPr>
          <w:rFonts w:ascii="Arial" w:hAnsi="Arial" w:cs="Arial"/>
          <w:bCs/>
          <w:lang w:val="es-ES_tradnl" w:eastAsia="es-MX"/>
        </w:rPr>
        <w:t xml:space="preserve"> </w:t>
      </w:r>
      <w:r w:rsidR="009558CF">
        <w:rPr>
          <w:rFonts w:ascii="Arial" w:hAnsi="Arial" w:cs="Arial"/>
          <w:bCs/>
          <w:lang w:val="es-MX" w:eastAsia="es-MX"/>
        </w:rPr>
        <w:t>c</w:t>
      </w:r>
      <w:r w:rsidRPr="00FA2C42">
        <w:rPr>
          <w:rFonts w:ascii="Arial" w:hAnsi="Arial" w:cs="Arial"/>
          <w:bCs/>
          <w:lang w:val="es-MX" w:eastAsia="es-MX"/>
        </w:rPr>
        <w:t xml:space="preserve">lasificándose la penetración </w:t>
      </w:r>
      <w:r w:rsidR="00232648">
        <w:rPr>
          <w:rFonts w:ascii="Arial" w:hAnsi="Arial" w:cs="Arial"/>
          <w:bCs/>
          <w:lang w:val="es-MX" w:eastAsia="es-MX"/>
        </w:rPr>
        <w:t xml:space="preserve">de accesos </w:t>
      </w:r>
      <w:r w:rsidRPr="00FA2C42">
        <w:rPr>
          <w:rFonts w:ascii="Arial" w:hAnsi="Arial" w:cs="Arial"/>
          <w:bCs/>
          <w:lang w:val="es-MX" w:eastAsia="es-MX"/>
        </w:rPr>
        <w:t>en los siguientes rubros:</w:t>
      </w:r>
    </w:p>
    <w:p w14:paraId="25010C8C" w14:textId="0787C7AB" w:rsidR="00B47466" w:rsidRDefault="00B47466" w:rsidP="009558CF">
      <w:pPr>
        <w:spacing w:after="0"/>
        <w:ind w:right="113"/>
        <w:jc w:val="both"/>
        <w:rPr>
          <w:rFonts w:ascii="Arial" w:hAnsi="Arial" w:cs="Arial"/>
          <w:bCs/>
          <w:lang w:val="es-MX" w:eastAsia="es-MX"/>
        </w:rPr>
      </w:pPr>
    </w:p>
    <w:p w14:paraId="7F0396A7" w14:textId="55421E10" w:rsidR="00B47466" w:rsidRDefault="00B47466" w:rsidP="009558CF">
      <w:pPr>
        <w:spacing w:after="0"/>
        <w:ind w:right="113"/>
        <w:jc w:val="both"/>
        <w:rPr>
          <w:rFonts w:ascii="Arial" w:hAnsi="Arial" w:cs="Arial"/>
          <w:bCs/>
          <w:lang w:val="es-MX" w:eastAsia="es-MX"/>
        </w:rPr>
      </w:pPr>
    </w:p>
    <w:p w14:paraId="64883323" w14:textId="77777777" w:rsidR="00B47466" w:rsidRPr="00FA2C42" w:rsidRDefault="00B47466" w:rsidP="009558CF">
      <w:pPr>
        <w:spacing w:after="0"/>
        <w:ind w:right="113"/>
        <w:jc w:val="both"/>
        <w:rPr>
          <w:rFonts w:ascii="Arial" w:hAnsi="Arial" w:cs="Arial"/>
          <w:bCs/>
          <w:lang w:val="es-MX" w:eastAsia="es-MX"/>
        </w:rPr>
      </w:pPr>
    </w:p>
    <w:p w14:paraId="56BEC117" w14:textId="5987F4DC" w:rsidR="00FA2C42" w:rsidRDefault="00FA2C42" w:rsidP="00FA2C42">
      <w:pPr>
        <w:spacing w:after="0" w:line="240" w:lineRule="auto"/>
        <w:jc w:val="both"/>
        <w:rPr>
          <w:rFonts w:ascii="Arial" w:hAnsi="Arial" w:cs="Arial"/>
          <w:bCs/>
          <w:lang w:val="es-MX" w:eastAsia="es-MX"/>
        </w:rPr>
      </w:pPr>
    </w:p>
    <w:tbl>
      <w:tblPr>
        <w:tblStyle w:val="Tabladecuadrcula2-nfasis31"/>
        <w:tblW w:w="5000" w:type="pct"/>
        <w:tblLook w:val="04A0" w:firstRow="1" w:lastRow="0" w:firstColumn="1" w:lastColumn="0" w:noHBand="0" w:noVBand="1"/>
      </w:tblPr>
      <w:tblGrid>
        <w:gridCol w:w="2738"/>
        <w:gridCol w:w="6666"/>
      </w:tblGrid>
      <w:tr w:rsidR="00FA2C42" w:rsidRPr="000B31CC" w14:paraId="6949586C" w14:textId="77777777" w:rsidTr="000B31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pct"/>
          </w:tcPr>
          <w:p w14:paraId="6F028524" w14:textId="7826D0EB" w:rsidR="00FA2C42" w:rsidRPr="000B31CC" w:rsidRDefault="00B05771" w:rsidP="000B31CC">
            <w:pPr>
              <w:spacing w:after="0"/>
              <w:jc w:val="center"/>
              <w:rPr>
                <w:rFonts w:ascii="Arial" w:hAnsi="Arial" w:cs="Arial"/>
                <w:sz w:val="20"/>
                <w:szCs w:val="20"/>
                <w:lang w:val="es-MX" w:eastAsia="es-MX"/>
              </w:rPr>
            </w:pPr>
            <w:r w:rsidRPr="000B31CC">
              <w:rPr>
                <w:rFonts w:ascii="Arial" w:hAnsi="Arial" w:cs="Arial"/>
                <w:sz w:val="20"/>
                <w:szCs w:val="20"/>
                <w:lang w:val="es-MX" w:eastAsia="es-MX"/>
              </w:rPr>
              <w:lastRenderedPageBreak/>
              <w:t>Penetración</w:t>
            </w:r>
          </w:p>
        </w:tc>
        <w:tc>
          <w:tcPr>
            <w:tcW w:w="3544" w:type="pct"/>
          </w:tcPr>
          <w:p w14:paraId="4EBAA499" w14:textId="6C00F73C" w:rsidR="00FA2C42" w:rsidRPr="000B31CC" w:rsidRDefault="00B05771" w:rsidP="000B31CC">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MX" w:eastAsia="es-MX"/>
              </w:rPr>
            </w:pPr>
            <w:r w:rsidRPr="000B31CC">
              <w:rPr>
                <w:rFonts w:ascii="Arial" w:hAnsi="Arial" w:cs="Arial"/>
                <w:sz w:val="20"/>
                <w:szCs w:val="20"/>
                <w:lang w:val="es-MX" w:eastAsia="es-MX"/>
              </w:rPr>
              <w:t>Clasificación de accesos por cada 100 hogares</w:t>
            </w:r>
          </w:p>
        </w:tc>
      </w:tr>
      <w:tr w:rsidR="00FA2C42" w:rsidRPr="000B31CC" w14:paraId="1A1FDC9A" w14:textId="77777777" w:rsidTr="000B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pct"/>
          </w:tcPr>
          <w:p w14:paraId="3DD21514" w14:textId="77777777" w:rsidR="00FA2C42" w:rsidRPr="000B31CC" w:rsidRDefault="00FA2C42" w:rsidP="00BC12B4">
            <w:pPr>
              <w:spacing w:after="0"/>
              <w:rPr>
                <w:rFonts w:ascii="Arial" w:hAnsi="Arial" w:cs="Arial"/>
                <w:b w:val="0"/>
                <w:sz w:val="20"/>
                <w:szCs w:val="20"/>
                <w:lang w:val="es-MX" w:eastAsia="es-MX"/>
              </w:rPr>
            </w:pPr>
            <w:r w:rsidRPr="000B31CC">
              <w:rPr>
                <w:rFonts w:ascii="Arial" w:hAnsi="Arial" w:cs="Arial"/>
                <w:b w:val="0"/>
                <w:sz w:val="20"/>
                <w:szCs w:val="20"/>
                <w:lang w:val="es-MX" w:eastAsia="es-MX"/>
              </w:rPr>
              <w:t>Sin Penetración</w:t>
            </w:r>
          </w:p>
        </w:tc>
        <w:tc>
          <w:tcPr>
            <w:tcW w:w="3544" w:type="pct"/>
          </w:tcPr>
          <w:p w14:paraId="3F7F850B" w14:textId="77777777" w:rsidR="00FA2C42" w:rsidRPr="000B31CC" w:rsidRDefault="00FA2C42" w:rsidP="00BC12B4">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MX" w:eastAsia="es-MX"/>
              </w:rPr>
            </w:pPr>
            <w:r w:rsidRPr="000B31CC">
              <w:rPr>
                <w:rFonts w:ascii="Arial" w:hAnsi="Arial" w:cs="Arial"/>
                <w:bCs/>
                <w:sz w:val="20"/>
                <w:szCs w:val="20"/>
                <w:lang w:val="es-MX" w:eastAsia="es-MX"/>
              </w:rPr>
              <w:t>0 accesos de BAF</w:t>
            </w:r>
          </w:p>
        </w:tc>
      </w:tr>
      <w:tr w:rsidR="00FA2C42" w:rsidRPr="000B31CC" w14:paraId="6222AF9D" w14:textId="77777777" w:rsidTr="000B31CC">
        <w:tc>
          <w:tcPr>
            <w:cnfStyle w:val="001000000000" w:firstRow="0" w:lastRow="0" w:firstColumn="1" w:lastColumn="0" w:oddVBand="0" w:evenVBand="0" w:oddHBand="0" w:evenHBand="0" w:firstRowFirstColumn="0" w:firstRowLastColumn="0" w:lastRowFirstColumn="0" w:lastRowLastColumn="0"/>
            <w:tcW w:w="1456" w:type="pct"/>
          </w:tcPr>
          <w:p w14:paraId="535EBF1C" w14:textId="77777777" w:rsidR="00FA2C42" w:rsidRPr="000B31CC" w:rsidRDefault="00FA2C42" w:rsidP="00BC12B4">
            <w:pPr>
              <w:spacing w:after="0"/>
              <w:rPr>
                <w:rFonts w:ascii="Arial" w:hAnsi="Arial" w:cs="Arial"/>
                <w:b w:val="0"/>
                <w:sz w:val="20"/>
                <w:szCs w:val="20"/>
                <w:lang w:val="es-MX" w:eastAsia="es-MX"/>
              </w:rPr>
            </w:pPr>
            <w:r w:rsidRPr="000B31CC">
              <w:rPr>
                <w:rFonts w:ascii="Arial" w:hAnsi="Arial" w:cs="Arial"/>
                <w:b w:val="0"/>
                <w:sz w:val="20"/>
                <w:szCs w:val="20"/>
                <w:lang w:val="es-MX" w:eastAsia="es-MX"/>
              </w:rPr>
              <w:t>Penetración Muy Baja</w:t>
            </w:r>
          </w:p>
        </w:tc>
        <w:tc>
          <w:tcPr>
            <w:tcW w:w="3544" w:type="pct"/>
          </w:tcPr>
          <w:p w14:paraId="74D673BA" w14:textId="77777777" w:rsidR="00FA2C42" w:rsidRPr="000B31CC" w:rsidRDefault="00FA2C42" w:rsidP="00BC12B4">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MX" w:eastAsia="es-MX"/>
              </w:rPr>
            </w:pPr>
            <w:r w:rsidRPr="000B31CC">
              <w:rPr>
                <w:rFonts w:ascii="Arial" w:hAnsi="Arial" w:cs="Arial"/>
                <w:bCs/>
                <w:sz w:val="20"/>
                <w:szCs w:val="20"/>
                <w:lang w:val="es-MX" w:eastAsia="es-MX"/>
              </w:rPr>
              <w:t>Hasta 25 accesos de BAF por cada 100 hogares</w:t>
            </w:r>
          </w:p>
        </w:tc>
      </w:tr>
      <w:tr w:rsidR="00FA2C42" w:rsidRPr="000B31CC" w14:paraId="03CA8F4A" w14:textId="77777777" w:rsidTr="000B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pct"/>
          </w:tcPr>
          <w:p w14:paraId="67B7FC6A" w14:textId="77777777" w:rsidR="00FA2C42" w:rsidRPr="000B31CC" w:rsidRDefault="00FA2C42" w:rsidP="00BC12B4">
            <w:pPr>
              <w:spacing w:after="0"/>
              <w:rPr>
                <w:rFonts w:ascii="Arial" w:hAnsi="Arial" w:cs="Arial"/>
                <w:b w:val="0"/>
                <w:sz w:val="20"/>
                <w:szCs w:val="20"/>
                <w:lang w:val="es-MX" w:eastAsia="es-MX"/>
              </w:rPr>
            </w:pPr>
            <w:r w:rsidRPr="000B31CC">
              <w:rPr>
                <w:rFonts w:ascii="Arial" w:hAnsi="Arial" w:cs="Arial"/>
                <w:b w:val="0"/>
                <w:sz w:val="20"/>
                <w:szCs w:val="20"/>
                <w:lang w:val="es-MX" w:eastAsia="es-MX"/>
              </w:rPr>
              <w:t>Penetración Baja</w:t>
            </w:r>
          </w:p>
        </w:tc>
        <w:tc>
          <w:tcPr>
            <w:tcW w:w="3544" w:type="pct"/>
          </w:tcPr>
          <w:p w14:paraId="185B5B4E" w14:textId="77777777" w:rsidR="00FA2C42" w:rsidRPr="000B31CC" w:rsidRDefault="00FA2C42" w:rsidP="00BC12B4">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MX" w:eastAsia="es-MX"/>
              </w:rPr>
            </w:pPr>
            <w:r w:rsidRPr="000B31CC">
              <w:rPr>
                <w:rFonts w:ascii="Arial" w:hAnsi="Arial" w:cs="Arial"/>
                <w:bCs/>
                <w:sz w:val="20"/>
                <w:szCs w:val="20"/>
                <w:lang w:val="es-MX" w:eastAsia="es-MX"/>
              </w:rPr>
              <w:t>Más de 25 y hasta 50 accesos de BAF por cada 100 hogares</w:t>
            </w:r>
          </w:p>
        </w:tc>
      </w:tr>
      <w:tr w:rsidR="00FA2C42" w:rsidRPr="000B31CC" w14:paraId="598B06B6" w14:textId="77777777" w:rsidTr="000B31CC">
        <w:tc>
          <w:tcPr>
            <w:cnfStyle w:val="001000000000" w:firstRow="0" w:lastRow="0" w:firstColumn="1" w:lastColumn="0" w:oddVBand="0" w:evenVBand="0" w:oddHBand="0" w:evenHBand="0" w:firstRowFirstColumn="0" w:firstRowLastColumn="0" w:lastRowFirstColumn="0" w:lastRowLastColumn="0"/>
            <w:tcW w:w="1456" w:type="pct"/>
          </w:tcPr>
          <w:p w14:paraId="0CE7B618" w14:textId="77777777" w:rsidR="00FA2C42" w:rsidRPr="000B31CC" w:rsidRDefault="00FA2C42" w:rsidP="00BC12B4">
            <w:pPr>
              <w:spacing w:after="0"/>
              <w:rPr>
                <w:rFonts w:ascii="Arial" w:hAnsi="Arial" w:cs="Arial"/>
                <w:b w:val="0"/>
                <w:sz w:val="20"/>
                <w:szCs w:val="20"/>
                <w:lang w:val="es-MX" w:eastAsia="es-MX"/>
              </w:rPr>
            </w:pPr>
            <w:r w:rsidRPr="000B31CC">
              <w:rPr>
                <w:rFonts w:ascii="Arial" w:hAnsi="Arial" w:cs="Arial"/>
                <w:b w:val="0"/>
                <w:sz w:val="20"/>
                <w:szCs w:val="20"/>
                <w:lang w:val="es-MX" w:eastAsia="es-MX"/>
              </w:rPr>
              <w:t>Penetración Media</w:t>
            </w:r>
          </w:p>
        </w:tc>
        <w:tc>
          <w:tcPr>
            <w:tcW w:w="3544" w:type="pct"/>
          </w:tcPr>
          <w:p w14:paraId="304170A4" w14:textId="77777777" w:rsidR="00FA2C42" w:rsidRPr="000B31CC" w:rsidRDefault="00FA2C42" w:rsidP="00BC12B4">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MX" w:eastAsia="es-MX"/>
              </w:rPr>
            </w:pPr>
            <w:r w:rsidRPr="000B31CC">
              <w:rPr>
                <w:rFonts w:ascii="Arial" w:hAnsi="Arial" w:cs="Arial"/>
                <w:bCs/>
                <w:sz w:val="20"/>
                <w:szCs w:val="20"/>
                <w:lang w:val="es-MX" w:eastAsia="es-MX"/>
              </w:rPr>
              <w:t>Más de 50 y hasta 75 accesos de BAF por cada 100 hogares</w:t>
            </w:r>
          </w:p>
        </w:tc>
      </w:tr>
      <w:tr w:rsidR="00FA2C42" w:rsidRPr="000B31CC" w14:paraId="20BE7941" w14:textId="77777777" w:rsidTr="000B31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pct"/>
          </w:tcPr>
          <w:p w14:paraId="458D6ABB" w14:textId="77777777" w:rsidR="00FA2C42" w:rsidRPr="000B31CC" w:rsidRDefault="00FA2C42" w:rsidP="00BC12B4">
            <w:pPr>
              <w:spacing w:after="0"/>
              <w:rPr>
                <w:rFonts w:ascii="Arial" w:hAnsi="Arial" w:cs="Arial"/>
                <w:b w:val="0"/>
                <w:sz w:val="20"/>
                <w:szCs w:val="20"/>
                <w:lang w:val="es-MX" w:eastAsia="es-MX"/>
              </w:rPr>
            </w:pPr>
            <w:r w:rsidRPr="000B31CC">
              <w:rPr>
                <w:rFonts w:ascii="Arial" w:hAnsi="Arial" w:cs="Arial"/>
                <w:b w:val="0"/>
                <w:sz w:val="20"/>
                <w:szCs w:val="20"/>
                <w:lang w:val="es-MX" w:eastAsia="es-MX"/>
              </w:rPr>
              <w:t>Penetración Alta</w:t>
            </w:r>
          </w:p>
        </w:tc>
        <w:tc>
          <w:tcPr>
            <w:tcW w:w="3544" w:type="pct"/>
          </w:tcPr>
          <w:p w14:paraId="5D445003" w14:textId="77777777" w:rsidR="00FA2C42" w:rsidRPr="000B31CC" w:rsidRDefault="00FA2C42" w:rsidP="00BC12B4">
            <w:pPr>
              <w:spacing w:after="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lang w:val="es-MX" w:eastAsia="es-MX"/>
              </w:rPr>
            </w:pPr>
            <w:r w:rsidRPr="000B31CC">
              <w:rPr>
                <w:rFonts w:ascii="Arial" w:hAnsi="Arial" w:cs="Arial"/>
                <w:bCs/>
                <w:sz w:val="20"/>
                <w:szCs w:val="20"/>
                <w:lang w:val="es-MX" w:eastAsia="es-MX"/>
              </w:rPr>
              <w:t>Más de 75 y hasta 100 accesos de BAF por cada 100 hogares</w:t>
            </w:r>
          </w:p>
        </w:tc>
      </w:tr>
      <w:tr w:rsidR="00FA2C42" w:rsidRPr="000B31CC" w14:paraId="515768E5" w14:textId="77777777" w:rsidTr="000B31CC">
        <w:tc>
          <w:tcPr>
            <w:cnfStyle w:val="001000000000" w:firstRow="0" w:lastRow="0" w:firstColumn="1" w:lastColumn="0" w:oddVBand="0" w:evenVBand="0" w:oddHBand="0" w:evenHBand="0" w:firstRowFirstColumn="0" w:firstRowLastColumn="0" w:lastRowFirstColumn="0" w:lastRowLastColumn="0"/>
            <w:tcW w:w="1456" w:type="pct"/>
          </w:tcPr>
          <w:p w14:paraId="463E773F" w14:textId="77777777" w:rsidR="00FA2C42" w:rsidRPr="000B31CC" w:rsidRDefault="00FA2C42" w:rsidP="00BC12B4">
            <w:pPr>
              <w:spacing w:after="0"/>
              <w:rPr>
                <w:rFonts w:ascii="Arial" w:hAnsi="Arial" w:cs="Arial"/>
                <w:b w:val="0"/>
                <w:sz w:val="20"/>
                <w:szCs w:val="20"/>
                <w:lang w:val="es-MX" w:eastAsia="es-MX"/>
              </w:rPr>
            </w:pPr>
            <w:r w:rsidRPr="000B31CC">
              <w:rPr>
                <w:rFonts w:ascii="Arial" w:hAnsi="Arial" w:cs="Arial"/>
                <w:b w:val="0"/>
                <w:sz w:val="20"/>
                <w:szCs w:val="20"/>
                <w:lang w:val="es-MX" w:eastAsia="es-MX"/>
              </w:rPr>
              <w:t>Penetración Muy Alta</w:t>
            </w:r>
          </w:p>
        </w:tc>
        <w:tc>
          <w:tcPr>
            <w:tcW w:w="3544" w:type="pct"/>
          </w:tcPr>
          <w:p w14:paraId="65719469" w14:textId="77777777" w:rsidR="00FA2C42" w:rsidRPr="000B31CC" w:rsidRDefault="00FA2C42" w:rsidP="00BC12B4">
            <w:pPr>
              <w:spacing w:after="0"/>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s-MX" w:eastAsia="es-MX"/>
              </w:rPr>
            </w:pPr>
            <w:r w:rsidRPr="000B31CC">
              <w:rPr>
                <w:rFonts w:ascii="Arial" w:hAnsi="Arial" w:cs="Arial"/>
                <w:bCs/>
                <w:sz w:val="20"/>
                <w:szCs w:val="20"/>
                <w:lang w:val="es-MX" w:eastAsia="es-MX"/>
              </w:rPr>
              <w:t>Más de 100 accesos de BAF por cada 100 hogares</w:t>
            </w:r>
          </w:p>
        </w:tc>
      </w:tr>
    </w:tbl>
    <w:p w14:paraId="5B478EB1" w14:textId="6F1A38A2" w:rsidR="00156C3A" w:rsidRPr="00FA2C42" w:rsidRDefault="00FA2C42" w:rsidP="00BC12B4">
      <w:pPr>
        <w:ind w:right="48"/>
        <w:jc w:val="both"/>
        <w:rPr>
          <w:rFonts w:ascii="Arial" w:hAnsi="Arial" w:cs="Arial"/>
          <w:color w:val="000000"/>
          <w:sz w:val="16"/>
          <w:szCs w:val="16"/>
          <w:lang w:val="es-MX" w:eastAsia="es-ES"/>
        </w:rPr>
      </w:pPr>
      <w:r w:rsidRPr="00FA2C42">
        <w:rPr>
          <w:rFonts w:ascii="Arial" w:hAnsi="Arial" w:cs="Arial"/>
          <w:b/>
          <w:color w:val="000000"/>
          <w:sz w:val="16"/>
          <w:szCs w:val="16"/>
          <w:lang w:val="es-MX" w:eastAsia="es-ES"/>
        </w:rPr>
        <w:t xml:space="preserve">Tabla 7: </w:t>
      </w:r>
      <w:r w:rsidRPr="00FA2C42">
        <w:rPr>
          <w:rFonts w:ascii="Arial" w:hAnsi="Arial" w:cs="Arial"/>
          <w:color w:val="000000"/>
          <w:sz w:val="16"/>
          <w:szCs w:val="16"/>
          <w:lang w:val="es-MX" w:eastAsia="es-ES"/>
        </w:rPr>
        <w:t xml:space="preserve">Distribución de tecnología de los accesos para BAF por cada concesionario. </w:t>
      </w:r>
      <w:r w:rsidRPr="00FA2C42">
        <w:rPr>
          <w:rFonts w:ascii="Arial" w:hAnsi="Arial" w:cs="Arial"/>
          <w:b/>
          <w:color w:val="000000"/>
          <w:sz w:val="16"/>
          <w:szCs w:val="16"/>
          <w:lang w:val="es-MX" w:eastAsia="es-ES"/>
        </w:rPr>
        <w:t>Fuente:</w:t>
      </w:r>
      <w:r w:rsidRPr="00FA2C42">
        <w:rPr>
          <w:rFonts w:ascii="Arial" w:hAnsi="Arial" w:cs="Arial"/>
          <w:color w:val="000000"/>
          <w:sz w:val="16"/>
          <w:szCs w:val="16"/>
          <w:lang w:val="es-MX" w:eastAsia="es-ES"/>
        </w:rPr>
        <w:t xml:space="preserve"> IFT con información del BIT al </w:t>
      </w:r>
      <w:r w:rsidR="0098224D">
        <w:rPr>
          <w:rFonts w:ascii="Arial" w:hAnsi="Arial" w:cs="Arial"/>
          <w:color w:val="000000"/>
          <w:sz w:val="16"/>
          <w:szCs w:val="16"/>
          <w:lang w:val="es-MX" w:eastAsia="es-ES"/>
        </w:rPr>
        <w:t>segundo trimestre de 2020</w:t>
      </w:r>
      <w:r w:rsidRPr="00FA2C42">
        <w:rPr>
          <w:rFonts w:ascii="Arial" w:hAnsi="Arial" w:cs="Arial"/>
          <w:color w:val="000000"/>
          <w:sz w:val="16"/>
          <w:szCs w:val="16"/>
          <w:lang w:val="es-MX" w:eastAsia="es-ES"/>
        </w:rPr>
        <w:t>; 2021</w:t>
      </w:r>
    </w:p>
    <w:p w14:paraId="78998FF9" w14:textId="3272AD2F" w:rsidR="00FA2C42" w:rsidRPr="00FA2C42" w:rsidRDefault="009558CF" w:rsidP="008347CE">
      <w:pPr>
        <w:spacing w:after="0"/>
        <w:jc w:val="both"/>
        <w:rPr>
          <w:rFonts w:ascii="Arial" w:hAnsi="Arial" w:cs="Arial"/>
          <w:bCs/>
          <w:lang w:val="es-ES_tradnl" w:eastAsia="es-MX"/>
        </w:rPr>
      </w:pPr>
      <w:r>
        <w:rPr>
          <w:rFonts w:ascii="Arial" w:hAnsi="Arial" w:cs="Arial"/>
          <w:bCs/>
          <w:lang w:val="es-ES_tradnl" w:eastAsia="es-MX"/>
        </w:rPr>
        <w:t>A</w:t>
      </w:r>
      <w:r w:rsidR="00FA2C42" w:rsidRPr="00FA2C42">
        <w:rPr>
          <w:rFonts w:ascii="Arial" w:hAnsi="Arial" w:cs="Arial"/>
          <w:bCs/>
          <w:lang w:val="es-ES_tradnl" w:eastAsia="es-MX"/>
        </w:rPr>
        <w:t>l analizar la participación de mercado por municipio del AEP se identifica que si bien existen en México 1,</w:t>
      </w:r>
      <w:r w:rsidR="0098224D">
        <w:rPr>
          <w:rFonts w:ascii="Arial" w:hAnsi="Arial" w:cs="Arial"/>
          <w:bCs/>
          <w:lang w:val="es-ES_tradnl" w:eastAsia="es-MX"/>
        </w:rPr>
        <w:t>161</w:t>
      </w:r>
      <w:r w:rsidR="00FA2C42" w:rsidRPr="00FA2C42">
        <w:rPr>
          <w:rFonts w:ascii="Arial" w:hAnsi="Arial" w:cs="Arial"/>
          <w:bCs/>
          <w:lang w:val="es-ES_tradnl" w:eastAsia="es-MX"/>
        </w:rPr>
        <w:t xml:space="preserve"> municipios en los cuales el AEP cuenta con participación de mercado de hasta 50%, únicamente en </w:t>
      </w:r>
      <w:r w:rsidR="0098224D">
        <w:rPr>
          <w:rFonts w:ascii="Arial" w:hAnsi="Arial" w:cs="Arial"/>
          <w:bCs/>
          <w:lang w:val="es-ES_tradnl" w:eastAsia="es-MX"/>
        </w:rPr>
        <w:t>70</w:t>
      </w:r>
      <w:r w:rsidR="00FA2C42" w:rsidRPr="00FA2C42">
        <w:rPr>
          <w:rFonts w:ascii="Arial" w:hAnsi="Arial" w:cs="Arial"/>
          <w:bCs/>
          <w:lang w:val="es-ES_tradnl" w:eastAsia="es-MX"/>
        </w:rPr>
        <w:t xml:space="preserve"> municipios se registra una Penetración Alta y Muy Alta de accesos de BAF, es decir </w:t>
      </w:r>
      <w:r w:rsidR="004351E0">
        <w:rPr>
          <w:rFonts w:ascii="Arial" w:hAnsi="Arial" w:cs="Arial"/>
          <w:bCs/>
          <w:lang w:val="es-ES_tradnl" w:eastAsia="es-MX"/>
        </w:rPr>
        <w:t xml:space="preserve">de </w:t>
      </w:r>
      <w:r w:rsidR="00EE35FE">
        <w:rPr>
          <w:rFonts w:ascii="Arial" w:hAnsi="Arial" w:cs="Arial"/>
          <w:bCs/>
          <w:lang w:val="es-ES_tradnl" w:eastAsia="es-MX"/>
        </w:rPr>
        <w:t xml:space="preserve">más de </w:t>
      </w:r>
      <w:r w:rsidR="00FA2C42" w:rsidRPr="00FA2C42">
        <w:rPr>
          <w:rFonts w:ascii="Arial" w:hAnsi="Arial" w:cs="Arial"/>
          <w:bCs/>
          <w:lang w:val="es-ES_tradnl" w:eastAsia="es-MX"/>
        </w:rPr>
        <w:t>75 accesos por cada 100 habitantes.</w:t>
      </w:r>
    </w:p>
    <w:p w14:paraId="363535E0" w14:textId="77777777" w:rsidR="00FA2C42" w:rsidRPr="002778B4" w:rsidRDefault="00FA2C42" w:rsidP="008347CE">
      <w:pPr>
        <w:spacing w:after="0"/>
        <w:jc w:val="both"/>
        <w:rPr>
          <w:rFonts w:ascii="Arial" w:hAnsi="Arial" w:cs="Arial"/>
          <w:lang w:val="es-MX" w:eastAsia="es-MX"/>
        </w:rPr>
      </w:pPr>
    </w:p>
    <w:p w14:paraId="09983090" w14:textId="12687572" w:rsidR="00156C3A" w:rsidRPr="00FA2C42" w:rsidRDefault="00FA2C42" w:rsidP="008347CE">
      <w:pPr>
        <w:spacing w:after="0"/>
        <w:jc w:val="both"/>
        <w:rPr>
          <w:rFonts w:ascii="Arial" w:hAnsi="Arial" w:cs="Arial"/>
          <w:bCs/>
          <w:lang w:val="es-ES_tradnl" w:eastAsia="es-MX"/>
        </w:rPr>
      </w:pPr>
      <w:r w:rsidRPr="00FA2C42">
        <w:rPr>
          <w:rFonts w:ascii="Arial" w:hAnsi="Arial" w:cs="Arial"/>
          <w:bCs/>
          <w:lang w:val="es-ES_tradnl" w:eastAsia="es-MX"/>
        </w:rPr>
        <w:t xml:space="preserve">Partiendo de ese grupo de municipios </w:t>
      </w:r>
      <w:r w:rsidR="00A555A5">
        <w:rPr>
          <w:rFonts w:ascii="Arial" w:hAnsi="Arial" w:cs="Arial"/>
          <w:bCs/>
          <w:lang w:val="es-ES_tradnl" w:eastAsia="es-MX"/>
        </w:rPr>
        <w:t>se</w:t>
      </w:r>
      <w:r w:rsidR="00A555A5" w:rsidRPr="00FA2C42">
        <w:rPr>
          <w:rFonts w:ascii="Arial" w:hAnsi="Arial" w:cs="Arial"/>
          <w:bCs/>
          <w:lang w:val="es-ES_tradnl" w:eastAsia="es-MX"/>
        </w:rPr>
        <w:t xml:space="preserve"> </w:t>
      </w:r>
      <w:r w:rsidRPr="00FA2C42">
        <w:rPr>
          <w:rFonts w:ascii="Arial" w:hAnsi="Arial" w:cs="Arial"/>
          <w:bCs/>
          <w:lang w:val="es-ES_tradnl" w:eastAsia="es-MX"/>
        </w:rPr>
        <w:t xml:space="preserve">identificó que en </w:t>
      </w:r>
      <w:r w:rsidR="0098224D">
        <w:rPr>
          <w:rFonts w:ascii="Arial" w:hAnsi="Arial" w:cs="Arial"/>
          <w:bCs/>
          <w:lang w:val="es-ES_tradnl" w:eastAsia="es-MX"/>
        </w:rPr>
        <w:t>siete</w:t>
      </w:r>
      <w:r w:rsidRPr="00FA2C42">
        <w:rPr>
          <w:rFonts w:ascii="Arial" w:hAnsi="Arial" w:cs="Arial"/>
          <w:bCs/>
          <w:lang w:val="es-ES_tradnl" w:eastAsia="es-MX"/>
        </w:rPr>
        <w:t xml:space="preserve"> </w:t>
      </w:r>
      <w:r w:rsidR="00232648">
        <w:rPr>
          <w:rFonts w:ascii="Arial" w:hAnsi="Arial" w:cs="Arial"/>
          <w:bCs/>
          <w:lang w:val="es-ES_tradnl" w:eastAsia="es-MX"/>
        </w:rPr>
        <w:t xml:space="preserve">de éstos </w:t>
      </w:r>
      <w:r w:rsidRPr="00FA2C42">
        <w:rPr>
          <w:rFonts w:ascii="Arial" w:hAnsi="Arial" w:cs="Arial"/>
          <w:bCs/>
          <w:lang w:val="es-ES_tradnl" w:eastAsia="es-MX"/>
        </w:rPr>
        <w:t xml:space="preserve">se registra la presencia del AEP con un operador </w:t>
      </w:r>
      <w:r w:rsidR="00232648">
        <w:rPr>
          <w:rFonts w:ascii="Arial" w:hAnsi="Arial" w:cs="Arial"/>
          <w:bCs/>
          <w:lang w:val="es-ES_tradnl" w:eastAsia="es-MX"/>
        </w:rPr>
        <w:t>adicional</w:t>
      </w:r>
      <w:r w:rsidRPr="00FA2C42">
        <w:rPr>
          <w:rFonts w:ascii="Arial" w:hAnsi="Arial" w:cs="Arial"/>
          <w:bCs/>
          <w:lang w:val="es-ES_tradnl" w:eastAsia="es-MX"/>
        </w:rPr>
        <w:t>, identificándose que la mayoría de los municipios registran más de tres operadores, además de que al analizarse la tecnología de dicho grupo de municipios se observa que</w:t>
      </w:r>
      <w:r w:rsidR="00232648">
        <w:rPr>
          <w:rFonts w:ascii="Arial" w:hAnsi="Arial" w:cs="Arial"/>
          <w:bCs/>
          <w:lang w:val="es-ES_tradnl" w:eastAsia="es-MX"/>
        </w:rPr>
        <w:t>:</w:t>
      </w:r>
      <w:r w:rsidRPr="00FA2C42">
        <w:rPr>
          <w:rFonts w:ascii="Arial" w:hAnsi="Arial" w:cs="Arial"/>
          <w:bCs/>
          <w:lang w:val="es-ES_tradnl" w:eastAsia="es-MX"/>
        </w:rPr>
        <w:t xml:space="preserve"> al menos </w:t>
      </w:r>
      <w:r w:rsidR="004B6C3F">
        <w:rPr>
          <w:rFonts w:ascii="Arial" w:hAnsi="Arial" w:cs="Arial"/>
          <w:bCs/>
          <w:lang w:val="es-ES_tradnl" w:eastAsia="es-MX"/>
        </w:rPr>
        <w:t>dos</w:t>
      </w:r>
      <w:r w:rsidRPr="00FA2C42">
        <w:rPr>
          <w:rFonts w:ascii="Arial" w:hAnsi="Arial" w:cs="Arial"/>
          <w:bCs/>
          <w:lang w:val="es-ES_tradnl" w:eastAsia="es-MX"/>
        </w:rPr>
        <w:t xml:space="preserve"> operadores</w:t>
      </w:r>
      <w:r w:rsidR="00F67245">
        <w:rPr>
          <w:rFonts w:ascii="Arial" w:hAnsi="Arial" w:cs="Arial"/>
          <w:bCs/>
          <w:lang w:val="es-ES_tradnl" w:eastAsia="es-MX"/>
        </w:rPr>
        <w:t>, incluyendo al AEP,</w:t>
      </w:r>
      <w:r w:rsidRPr="00FA2C42">
        <w:rPr>
          <w:rFonts w:ascii="Arial" w:hAnsi="Arial" w:cs="Arial"/>
          <w:bCs/>
          <w:lang w:val="es-ES_tradnl" w:eastAsia="es-MX"/>
        </w:rPr>
        <w:t xml:space="preserve"> en cada municipio cuentan con accesos de fibra óptica y al menos un operador diferente del AEP cuenta con participación mayor al </w:t>
      </w:r>
      <w:r w:rsidR="000B31CC">
        <w:rPr>
          <w:rFonts w:ascii="Arial" w:hAnsi="Arial" w:cs="Arial"/>
          <w:bCs/>
          <w:lang w:val="es-ES_tradnl" w:eastAsia="es-MX"/>
        </w:rPr>
        <w:t>2</w:t>
      </w:r>
      <w:r w:rsidRPr="00FA2C42">
        <w:rPr>
          <w:rFonts w:ascii="Arial" w:hAnsi="Arial" w:cs="Arial"/>
          <w:bCs/>
          <w:lang w:val="es-ES_tradnl" w:eastAsia="es-MX"/>
        </w:rPr>
        <w:t>0%.</w:t>
      </w:r>
    </w:p>
    <w:p w14:paraId="3E18358E" w14:textId="77777777" w:rsidR="00FA2C42" w:rsidRPr="00FA2C42" w:rsidRDefault="00FA2C42" w:rsidP="008347CE">
      <w:pPr>
        <w:spacing w:after="0"/>
        <w:jc w:val="both"/>
        <w:rPr>
          <w:rFonts w:ascii="Arial" w:hAnsi="Arial" w:cs="Arial"/>
          <w:bCs/>
          <w:lang w:val="es-MX" w:eastAsia="es-MX"/>
        </w:rPr>
      </w:pPr>
    </w:p>
    <w:p w14:paraId="41CB5A7C" w14:textId="196DC305" w:rsidR="00FA2C42" w:rsidRDefault="00232648" w:rsidP="008347CE">
      <w:pPr>
        <w:spacing w:after="0"/>
        <w:jc w:val="both"/>
        <w:rPr>
          <w:rFonts w:ascii="Arial" w:hAnsi="Arial" w:cs="Arial"/>
          <w:bCs/>
          <w:lang w:val="es-MX" w:eastAsia="es-MX"/>
        </w:rPr>
      </w:pPr>
      <w:r>
        <w:rPr>
          <w:rFonts w:ascii="Arial" w:hAnsi="Arial" w:cs="Arial"/>
          <w:bCs/>
          <w:lang w:val="es-MX" w:eastAsia="es-MX"/>
        </w:rPr>
        <w:t>Considerando el análisis previo</w:t>
      </w:r>
      <w:r w:rsidR="00FA2C42" w:rsidRPr="00FA2C42">
        <w:rPr>
          <w:rFonts w:ascii="Arial" w:hAnsi="Arial" w:cs="Arial"/>
          <w:bCs/>
          <w:lang w:val="es-MX" w:eastAsia="es-MX"/>
        </w:rPr>
        <w:t xml:space="preserve"> </w:t>
      </w:r>
      <w:r>
        <w:rPr>
          <w:rFonts w:ascii="Arial" w:hAnsi="Arial" w:cs="Arial"/>
          <w:bCs/>
          <w:lang w:val="es-MX" w:eastAsia="es-MX"/>
        </w:rPr>
        <w:t xml:space="preserve">se obtiene </w:t>
      </w:r>
      <w:r w:rsidR="00FA2C42" w:rsidRPr="00FA2C42">
        <w:rPr>
          <w:rFonts w:ascii="Arial" w:hAnsi="Arial" w:cs="Arial"/>
          <w:bCs/>
          <w:lang w:val="es-MX" w:eastAsia="es-MX"/>
        </w:rPr>
        <w:t>un grupo de 6</w:t>
      </w:r>
      <w:r w:rsidR="0098224D">
        <w:rPr>
          <w:rFonts w:ascii="Arial" w:hAnsi="Arial" w:cs="Arial"/>
          <w:bCs/>
          <w:lang w:val="es-MX" w:eastAsia="es-MX"/>
        </w:rPr>
        <w:t>3</w:t>
      </w:r>
      <w:r w:rsidR="00FA2C42" w:rsidRPr="00FA2C42">
        <w:rPr>
          <w:rFonts w:ascii="Arial" w:hAnsi="Arial" w:cs="Arial"/>
          <w:bCs/>
          <w:lang w:val="es-MX" w:eastAsia="es-MX"/>
        </w:rPr>
        <w:t xml:space="preserve"> municipios </w:t>
      </w:r>
      <w:r>
        <w:rPr>
          <w:rFonts w:ascii="Arial" w:hAnsi="Arial" w:cs="Arial"/>
          <w:bCs/>
          <w:lang w:val="es-MX" w:eastAsia="es-MX"/>
        </w:rPr>
        <w:t>que cuentan con</w:t>
      </w:r>
      <w:r w:rsidRPr="00FA2C42">
        <w:rPr>
          <w:rFonts w:ascii="Arial" w:hAnsi="Arial" w:cs="Arial"/>
          <w:bCs/>
          <w:lang w:val="es-MX" w:eastAsia="es-MX"/>
        </w:rPr>
        <w:t xml:space="preserve"> </w:t>
      </w:r>
      <w:r w:rsidR="00FA2C42" w:rsidRPr="00FA2C42">
        <w:rPr>
          <w:rFonts w:ascii="Arial" w:hAnsi="Arial" w:cs="Arial"/>
          <w:bCs/>
          <w:lang w:val="es-MX" w:eastAsia="es-MX"/>
        </w:rPr>
        <w:t>las siguientes características:</w:t>
      </w:r>
    </w:p>
    <w:p w14:paraId="315B0EFB" w14:textId="77777777" w:rsidR="00FA2C42" w:rsidRPr="00FA2C42" w:rsidRDefault="00FA2C42" w:rsidP="008347CE">
      <w:pPr>
        <w:spacing w:after="0"/>
        <w:jc w:val="both"/>
        <w:rPr>
          <w:rFonts w:ascii="Arial" w:hAnsi="Arial" w:cs="Arial"/>
          <w:bCs/>
          <w:u w:val="single"/>
          <w:lang w:val="es-MX" w:eastAsia="es-MX"/>
        </w:rPr>
      </w:pPr>
    </w:p>
    <w:p w14:paraId="62491A3C" w14:textId="7FA42814" w:rsidR="00FA2C42" w:rsidRPr="00233A27" w:rsidRDefault="00FA2C42" w:rsidP="00233A27">
      <w:pPr>
        <w:numPr>
          <w:ilvl w:val="0"/>
          <w:numId w:val="16"/>
        </w:numPr>
        <w:spacing w:after="0"/>
        <w:contextualSpacing/>
        <w:jc w:val="both"/>
        <w:rPr>
          <w:rFonts w:ascii="Arial" w:hAnsi="Arial" w:cs="Arial"/>
          <w:lang w:val="es-MX"/>
        </w:rPr>
      </w:pPr>
      <w:r w:rsidRPr="00FA2C42">
        <w:rPr>
          <w:rFonts w:ascii="Arial" w:hAnsi="Arial" w:cs="Arial"/>
          <w:bCs/>
          <w:lang w:val="es-MX"/>
        </w:rPr>
        <w:t>El AEP tiene una participación de mercado menor al 50%.</w:t>
      </w:r>
    </w:p>
    <w:p w14:paraId="29805793" w14:textId="64CDEE1E" w:rsidR="00FA2C42" w:rsidRPr="00FA2C42" w:rsidRDefault="00FA2C42" w:rsidP="008347CE">
      <w:pPr>
        <w:numPr>
          <w:ilvl w:val="0"/>
          <w:numId w:val="11"/>
        </w:numPr>
        <w:spacing w:after="0"/>
        <w:contextualSpacing/>
        <w:jc w:val="both"/>
        <w:rPr>
          <w:rFonts w:ascii="Arial" w:hAnsi="Arial" w:cs="Arial"/>
          <w:bCs/>
          <w:lang w:val="es-MX"/>
        </w:rPr>
      </w:pPr>
      <w:r w:rsidRPr="00FA2C42">
        <w:rPr>
          <w:rFonts w:ascii="Arial" w:hAnsi="Arial" w:cs="Arial"/>
          <w:bCs/>
          <w:lang w:val="es-MX"/>
        </w:rPr>
        <w:t>Cuentan con altos niveles de penetración del servicio de BAF</w:t>
      </w:r>
      <w:r w:rsidR="00232648">
        <w:rPr>
          <w:rFonts w:ascii="Arial" w:hAnsi="Arial" w:cs="Arial"/>
          <w:bCs/>
          <w:lang w:val="es-MX"/>
        </w:rPr>
        <w:t xml:space="preserve"> (</w:t>
      </w:r>
      <w:r w:rsidR="00B145C3">
        <w:rPr>
          <w:rFonts w:ascii="Arial" w:hAnsi="Arial" w:cs="Arial"/>
          <w:bCs/>
          <w:lang w:val="es-MX"/>
        </w:rPr>
        <w:t xml:space="preserve">con características de </w:t>
      </w:r>
      <w:r w:rsidR="00232648">
        <w:rPr>
          <w:rFonts w:ascii="Arial" w:hAnsi="Arial" w:cs="Arial"/>
          <w:bCs/>
          <w:lang w:val="es-MX"/>
        </w:rPr>
        <w:t xml:space="preserve">Penetración Alta y </w:t>
      </w:r>
      <w:r w:rsidR="00B145C3">
        <w:rPr>
          <w:rFonts w:ascii="Arial" w:hAnsi="Arial" w:cs="Arial"/>
          <w:bCs/>
          <w:lang w:val="es-MX"/>
        </w:rPr>
        <w:t xml:space="preserve">Penetración </w:t>
      </w:r>
      <w:r w:rsidR="00232648">
        <w:rPr>
          <w:rFonts w:ascii="Arial" w:hAnsi="Arial" w:cs="Arial"/>
          <w:bCs/>
          <w:lang w:val="es-MX"/>
        </w:rPr>
        <w:t>Muy Alta)</w:t>
      </w:r>
      <w:r w:rsidRPr="00FA2C42">
        <w:rPr>
          <w:rFonts w:ascii="Arial" w:hAnsi="Arial" w:cs="Arial"/>
          <w:bCs/>
          <w:lang w:val="es-MX"/>
        </w:rPr>
        <w:t xml:space="preserve">. </w:t>
      </w:r>
    </w:p>
    <w:p w14:paraId="60B1A484" w14:textId="3CB570B2" w:rsidR="00FA2C42" w:rsidRPr="00FA2C42" w:rsidRDefault="00FA2C42" w:rsidP="004F2F41">
      <w:pPr>
        <w:pStyle w:val="Prrafodelista"/>
        <w:numPr>
          <w:ilvl w:val="0"/>
          <w:numId w:val="11"/>
        </w:numPr>
        <w:rPr>
          <w:rFonts w:eastAsiaTheme="minorHAnsi" w:cs="Arial"/>
          <w:lang w:val="es-MX"/>
        </w:rPr>
      </w:pPr>
      <w:r w:rsidRPr="004F2F41">
        <w:rPr>
          <w:rFonts w:cs="Arial"/>
          <w:lang w:val="es-MX"/>
        </w:rPr>
        <w:t>Tienen presencia tres o más operadores, de lo</w:t>
      </w:r>
      <w:r w:rsidRPr="00FA2C42">
        <w:rPr>
          <w:rFonts w:cs="Arial"/>
          <w:bCs/>
          <w:lang w:val="es-MX"/>
        </w:rPr>
        <w:t>s cuales, al menos 2 ofrecen servicios a través de fibra óptica.</w:t>
      </w:r>
    </w:p>
    <w:p w14:paraId="3E6D7C68" w14:textId="572E5C01" w:rsidR="00FA2C42" w:rsidRPr="00FA2C42" w:rsidRDefault="00FA2C42" w:rsidP="008347CE">
      <w:pPr>
        <w:numPr>
          <w:ilvl w:val="0"/>
          <w:numId w:val="11"/>
        </w:numPr>
        <w:spacing w:after="0"/>
        <w:contextualSpacing/>
        <w:jc w:val="both"/>
        <w:rPr>
          <w:rFonts w:ascii="Arial" w:hAnsi="Arial" w:cs="Arial"/>
          <w:bCs/>
          <w:lang w:val="es-MX"/>
        </w:rPr>
      </w:pPr>
      <w:r w:rsidRPr="00FA2C42">
        <w:rPr>
          <w:rFonts w:ascii="Arial" w:hAnsi="Arial" w:cs="Arial"/>
          <w:bCs/>
          <w:lang w:val="es-MX"/>
        </w:rPr>
        <w:t xml:space="preserve">Al menos uno de los operadores presentes </w:t>
      </w:r>
      <w:r w:rsidR="0035604B">
        <w:rPr>
          <w:rFonts w:ascii="Arial" w:hAnsi="Arial" w:cs="Arial"/>
          <w:bCs/>
          <w:lang w:val="es-MX"/>
        </w:rPr>
        <w:t xml:space="preserve">diferentes al AEP </w:t>
      </w:r>
      <w:r w:rsidRPr="00FA2C42">
        <w:rPr>
          <w:rFonts w:ascii="Arial" w:hAnsi="Arial" w:cs="Arial"/>
          <w:bCs/>
          <w:lang w:val="es-MX"/>
        </w:rPr>
        <w:t xml:space="preserve">cuenta con una participación de mercado mayor al </w:t>
      </w:r>
      <w:r w:rsidR="007F5D2B">
        <w:rPr>
          <w:rFonts w:ascii="Arial" w:hAnsi="Arial" w:cs="Arial"/>
          <w:bCs/>
          <w:lang w:val="es-MX"/>
        </w:rPr>
        <w:t>2</w:t>
      </w:r>
      <w:r w:rsidRPr="00FA2C42">
        <w:rPr>
          <w:rFonts w:ascii="Arial" w:hAnsi="Arial" w:cs="Arial"/>
          <w:bCs/>
          <w:lang w:val="es-MX"/>
        </w:rPr>
        <w:t>0%.</w:t>
      </w:r>
    </w:p>
    <w:p w14:paraId="07F145E5" w14:textId="77777777" w:rsidR="00FA2C42" w:rsidRPr="00FA2C42" w:rsidRDefault="00FA2C42" w:rsidP="008347CE">
      <w:pPr>
        <w:numPr>
          <w:ilvl w:val="0"/>
          <w:numId w:val="11"/>
        </w:numPr>
        <w:spacing w:after="0"/>
        <w:contextualSpacing/>
        <w:jc w:val="both"/>
        <w:rPr>
          <w:rFonts w:ascii="Arial" w:hAnsi="Arial" w:cs="Arial"/>
          <w:bCs/>
          <w:lang w:val="es-MX"/>
        </w:rPr>
      </w:pPr>
      <w:r w:rsidRPr="00FA2C42">
        <w:rPr>
          <w:rFonts w:ascii="Arial" w:hAnsi="Arial" w:cs="Arial"/>
          <w:bCs/>
          <w:lang w:val="es-MX"/>
        </w:rPr>
        <w:t>Agrupan 28.5% de los hogares y el 27.4% de la población.</w:t>
      </w:r>
    </w:p>
    <w:p w14:paraId="50049255" w14:textId="29DAFB07" w:rsidR="00FA2C42" w:rsidRPr="00FA2C42" w:rsidRDefault="00FA2C42" w:rsidP="008347CE">
      <w:pPr>
        <w:numPr>
          <w:ilvl w:val="0"/>
          <w:numId w:val="11"/>
        </w:numPr>
        <w:spacing w:after="0"/>
        <w:contextualSpacing/>
        <w:jc w:val="both"/>
        <w:rPr>
          <w:rFonts w:ascii="Arial" w:hAnsi="Arial" w:cs="Arial"/>
          <w:bCs/>
          <w:lang w:val="es-MX"/>
        </w:rPr>
      </w:pPr>
      <w:r w:rsidRPr="00FA2C42">
        <w:rPr>
          <w:rFonts w:ascii="Arial" w:hAnsi="Arial" w:cs="Arial"/>
          <w:bCs/>
          <w:lang w:val="es-MX"/>
        </w:rPr>
        <w:t xml:space="preserve">De manera conjunta acumulan </w:t>
      </w:r>
      <w:r w:rsidR="00064DF2">
        <w:rPr>
          <w:rFonts w:ascii="Arial" w:hAnsi="Arial" w:cs="Arial"/>
          <w:bCs/>
          <w:lang w:val="es-MX"/>
        </w:rPr>
        <w:t>9.5</w:t>
      </w:r>
      <w:r w:rsidRPr="00FA2C42">
        <w:rPr>
          <w:rFonts w:ascii="Arial" w:hAnsi="Arial" w:cs="Arial"/>
          <w:bCs/>
          <w:lang w:val="es-MX"/>
        </w:rPr>
        <w:t xml:space="preserve"> millones de accesos de BAF, de los cuales 41.</w:t>
      </w:r>
      <w:r w:rsidR="00064DF2">
        <w:rPr>
          <w:rFonts w:ascii="Arial" w:hAnsi="Arial" w:cs="Arial"/>
          <w:bCs/>
          <w:lang w:val="es-MX"/>
        </w:rPr>
        <w:t>9</w:t>
      </w:r>
      <w:r w:rsidRPr="00FA2C42">
        <w:rPr>
          <w:rFonts w:ascii="Arial" w:hAnsi="Arial" w:cs="Arial"/>
          <w:bCs/>
          <w:lang w:val="es-MX"/>
        </w:rPr>
        <w:t>% pertenecen a América Móvil, 2</w:t>
      </w:r>
      <w:r w:rsidR="00064DF2">
        <w:rPr>
          <w:rFonts w:ascii="Arial" w:hAnsi="Arial" w:cs="Arial"/>
          <w:bCs/>
          <w:lang w:val="es-MX"/>
        </w:rPr>
        <w:t>8</w:t>
      </w:r>
      <w:r w:rsidR="007F5D2B">
        <w:rPr>
          <w:rFonts w:ascii="Arial" w:hAnsi="Arial" w:cs="Arial"/>
          <w:bCs/>
          <w:lang w:val="es-MX"/>
        </w:rPr>
        <w:t>.0</w:t>
      </w:r>
      <w:r w:rsidRPr="00FA2C42">
        <w:rPr>
          <w:rFonts w:ascii="Arial" w:hAnsi="Arial" w:cs="Arial"/>
          <w:bCs/>
          <w:lang w:val="es-MX"/>
        </w:rPr>
        <w:t>% a Grupo Televisa, 1</w:t>
      </w:r>
      <w:r w:rsidR="00064DF2">
        <w:rPr>
          <w:rFonts w:ascii="Arial" w:hAnsi="Arial" w:cs="Arial"/>
          <w:bCs/>
          <w:lang w:val="es-MX"/>
        </w:rPr>
        <w:t>5.9</w:t>
      </w:r>
      <w:r w:rsidRPr="00FA2C42">
        <w:rPr>
          <w:rFonts w:ascii="Arial" w:hAnsi="Arial" w:cs="Arial"/>
          <w:bCs/>
          <w:lang w:val="es-MX"/>
        </w:rPr>
        <w:t>% a Megacable y 1</w:t>
      </w:r>
      <w:r w:rsidR="00064DF2">
        <w:rPr>
          <w:rFonts w:ascii="Arial" w:hAnsi="Arial" w:cs="Arial"/>
          <w:bCs/>
          <w:lang w:val="es-MX"/>
        </w:rPr>
        <w:t>4.2</w:t>
      </w:r>
      <w:r w:rsidRPr="00FA2C42">
        <w:rPr>
          <w:rFonts w:ascii="Arial" w:hAnsi="Arial" w:cs="Arial"/>
          <w:bCs/>
          <w:lang w:val="es-MX"/>
        </w:rPr>
        <w:t>% a Total Play.</w:t>
      </w:r>
    </w:p>
    <w:p w14:paraId="613DE2D5" w14:textId="3184CC5C" w:rsidR="00FA2C42" w:rsidRPr="00FA2C42" w:rsidRDefault="00FA2C42" w:rsidP="008347CE">
      <w:pPr>
        <w:numPr>
          <w:ilvl w:val="0"/>
          <w:numId w:val="11"/>
        </w:numPr>
        <w:spacing w:after="0"/>
        <w:contextualSpacing/>
        <w:jc w:val="both"/>
        <w:rPr>
          <w:rFonts w:ascii="Arial" w:hAnsi="Arial" w:cs="Arial"/>
          <w:bCs/>
          <w:lang w:val="es-MX"/>
        </w:rPr>
      </w:pPr>
      <w:r w:rsidRPr="00FA2C42">
        <w:rPr>
          <w:rFonts w:ascii="Arial" w:hAnsi="Arial" w:cs="Arial"/>
          <w:bCs/>
          <w:lang w:val="es-MX"/>
        </w:rPr>
        <w:t xml:space="preserve">En este grupo de municipios el AEP registra </w:t>
      </w:r>
      <w:r w:rsidR="00064DF2">
        <w:rPr>
          <w:rFonts w:ascii="Arial" w:hAnsi="Arial" w:cs="Arial"/>
          <w:bCs/>
          <w:lang w:val="es-MX"/>
        </w:rPr>
        <w:t>40.3</w:t>
      </w:r>
      <w:r w:rsidRPr="00FA2C42">
        <w:rPr>
          <w:rFonts w:ascii="Arial" w:hAnsi="Arial" w:cs="Arial"/>
          <w:bCs/>
          <w:lang w:val="es-MX"/>
        </w:rPr>
        <w:t xml:space="preserve">% de sus accesos en el país, mientras que para Grupo Televisa representan </w:t>
      </w:r>
      <w:r w:rsidR="00064DF2">
        <w:rPr>
          <w:rFonts w:ascii="Arial" w:hAnsi="Arial" w:cs="Arial"/>
          <w:bCs/>
          <w:lang w:val="es-MX"/>
        </w:rPr>
        <w:t>52.6</w:t>
      </w:r>
      <w:r w:rsidRPr="00FA2C42">
        <w:rPr>
          <w:rFonts w:ascii="Arial" w:hAnsi="Arial" w:cs="Arial"/>
          <w:bCs/>
          <w:lang w:val="es-MX"/>
        </w:rPr>
        <w:t xml:space="preserve">% de sus accesos totales, para Megacable </w:t>
      </w:r>
      <w:r w:rsidR="00064DF2">
        <w:rPr>
          <w:rFonts w:ascii="Arial" w:hAnsi="Arial" w:cs="Arial"/>
          <w:bCs/>
          <w:lang w:val="es-MX"/>
        </w:rPr>
        <w:t>46.8</w:t>
      </w:r>
      <w:r w:rsidRPr="00FA2C42">
        <w:rPr>
          <w:rFonts w:ascii="Arial" w:hAnsi="Arial" w:cs="Arial"/>
          <w:bCs/>
          <w:lang w:val="es-MX"/>
        </w:rPr>
        <w:t xml:space="preserve">% y para Total Play </w:t>
      </w:r>
      <w:r w:rsidR="00064DF2">
        <w:rPr>
          <w:rFonts w:ascii="Arial" w:hAnsi="Arial" w:cs="Arial"/>
          <w:bCs/>
          <w:lang w:val="es-MX"/>
        </w:rPr>
        <w:t>68.9</w:t>
      </w:r>
      <w:r w:rsidRPr="00FA2C42">
        <w:rPr>
          <w:rFonts w:ascii="Arial" w:hAnsi="Arial" w:cs="Arial"/>
          <w:bCs/>
          <w:lang w:val="es-MX"/>
        </w:rPr>
        <w:t>% de sus accesos.</w:t>
      </w:r>
    </w:p>
    <w:p w14:paraId="1E33F5EC" w14:textId="2D73C777" w:rsidR="00FA2C42" w:rsidRPr="00FA2C42" w:rsidRDefault="00FA2C42" w:rsidP="008347CE">
      <w:pPr>
        <w:spacing w:after="0"/>
        <w:ind w:left="720"/>
        <w:contextualSpacing/>
        <w:jc w:val="both"/>
        <w:rPr>
          <w:rFonts w:ascii="Arial" w:hAnsi="Arial" w:cs="Arial"/>
          <w:bCs/>
          <w:lang w:val="es-MX"/>
        </w:rPr>
      </w:pPr>
    </w:p>
    <w:p w14:paraId="02A5AC0E" w14:textId="77777777" w:rsidR="004873B4" w:rsidRDefault="004873B4" w:rsidP="00852170">
      <w:pPr>
        <w:spacing w:after="0"/>
        <w:jc w:val="both"/>
        <w:rPr>
          <w:rFonts w:ascii="Arial" w:hAnsi="Arial" w:cs="Arial"/>
          <w:color w:val="000000"/>
          <w:lang w:eastAsia="es-MX"/>
        </w:rPr>
      </w:pPr>
    </w:p>
    <w:p w14:paraId="560169B3" w14:textId="77777777" w:rsidR="004873B4" w:rsidRDefault="004873B4" w:rsidP="00852170">
      <w:pPr>
        <w:spacing w:after="0"/>
        <w:jc w:val="both"/>
        <w:rPr>
          <w:rFonts w:ascii="Arial" w:hAnsi="Arial" w:cs="Arial"/>
          <w:color w:val="000000"/>
          <w:lang w:eastAsia="es-MX"/>
        </w:rPr>
      </w:pPr>
    </w:p>
    <w:p w14:paraId="3A54A732" w14:textId="77777777" w:rsidR="004873B4" w:rsidRDefault="004873B4" w:rsidP="00852170">
      <w:pPr>
        <w:spacing w:after="0"/>
        <w:jc w:val="both"/>
        <w:rPr>
          <w:rFonts w:ascii="Arial" w:hAnsi="Arial" w:cs="Arial"/>
          <w:color w:val="000000"/>
          <w:lang w:eastAsia="es-MX"/>
        </w:rPr>
      </w:pPr>
    </w:p>
    <w:p w14:paraId="730CCD40" w14:textId="77777777" w:rsidR="004873B4" w:rsidRDefault="004873B4" w:rsidP="00852170">
      <w:pPr>
        <w:spacing w:after="0"/>
        <w:jc w:val="both"/>
        <w:rPr>
          <w:rFonts w:ascii="Arial" w:hAnsi="Arial" w:cs="Arial"/>
          <w:color w:val="000000"/>
          <w:lang w:eastAsia="es-MX"/>
        </w:rPr>
      </w:pPr>
    </w:p>
    <w:p w14:paraId="4605A5B7" w14:textId="1C8F7B8C" w:rsidR="00FA2C42" w:rsidRDefault="000356CD" w:rsidP="00852170">
      <w:pPr>
        <w:spacing w:after="0"/>
        <w:jc w:val="both"/>
        <w:rPr>
          <w:rFonts w:ascii="Arial" w:hAnsi="Arial" w:cs="Arial"/>
          <w:b/>
        </w:rPr>
      </w:pPr>
      <w:r>
        <w:rPr>
          <w:rFonts w:ascii="Arial" w:hAnsi="Arial" w:cs="Arial"/>
          <w:color w:val="000000"/>
          <w:lang w:eastAsia="es-MX"/>
        </w:rPr>
        <w:lastRenderedPageBreak/>
        <w:t>L</w:t>
      </w:r>
      <w:r w:rsidR="00FA2C42" w:rsidRPr="00FA2C42">
        <w:rPr>
          <w:rFonts w:ascii="Arial" w:hAnsi="Arial" w:cs="Arial"/>
          <w:color w:val="000000"/>
          <w:lang w:eastAsia="es-MX"/>
        </w:rPr>
        <w:t>os 6</w:t>
      </w:r>
      <w:r w:rsidR="00BE68DE">
        <w:rPr>
          <w:rFonts w:ascii="Arial" w:hAnsi="Arial" w:cs="Arial"/>
          <w:color w:val="000000"/>
          <w:lang w:eastAsia="es-MX"/>
        </w:rPr>
        <w:t>3</w:t>
      </w:r>
      <w:r w:rsidR="00FA2C42" w:rsidRPr="00FA2C42">
        <w:rPr>
          <w:rFonts w:ascii="Arial" w:hAnsi="Arial" w:cs="Arial"/>
          <w:color w:val="000000"/>
          <w:lang w:eastAsia="es-MX"/>
        </w:rPr>
        <w:t xml:space="preserve"> municipios </w:t>
      </w:r>
      <w:r w:rsidR="000B31CC">
        <w:rPr>
          <w:rFonts w:ascii="Arial" w:hAnsi="Arial" w:cs="Arial"/>
          <w:color w:val="000000"/>
          <w:lang w:eastAsia="es-MX"/>
        </w:rPr>
        <w:t>identificados con dichas</w:t>
      </w:r>
      <w:r w:rsidR="00FA2C42" w:rsidRPr="00FA2C42">
        <w:rPr>
          <w:rFonts w:ascii="Arial" w:hAnsi="Arial" w:cs="Arial"/>
          <w:color w:val="000000"/>
          <w:lang w:eastAsia="es-MX"/>
        </w:rPr>
        <w:t xml:space="preserve"> características son los siguientes:</w:t>
      </w:r>
    </w:p>
    <w:p w14:paraId="4BB64DD2" w14:textId="77777777" w:rsidR="00CB38F2" w:rsidRDefault="00CB38F2">
      <w:pPr>
        <w:spacing w:after="0" w:line="240" w:lineRule="auto"/>
        <w:rPr>
          <w:rFonts w:ascii="Arial" w:hAnsi="Arial" w:cs="Arial"/>
          <w:b/>
        </w:rPr>
      </w:pPr>
    </w:p>
    <w:p w14:paraId="2C429F12" w14:textId="77777777" w:rsidR="00CB38F2" w:rsidRDefault="00CB38F2">
      <w:pPr>
        <w:spacing w:after="0" w:line="240" w:lineRule="auto"/>
        <w:rPr>
          <w:rFonts w:ascii="Arial" w:hAnsi="Arial" w:cs="Arial"/>
          <w:b/>
        </w:rPr>
        <w:sectPr w:rsidR="00CB38F2" w:rsidSect="00E50D05">
          <w:headerReference w:type="default" r:id="rId14"/>
          <w:footerReference w:type="default" r:id="rId15"/>
          <w:pgSz w:w="12240" w:h="15840"/>
          <w:pgMar w:top="2098" w:right="1418" w:bottom="1134" w:left="1418" w:header="709" w:footer="828" w:gutter="0"/>
          <w:cols w:space="708"/>
          <w:docGrid w:linePitch="360"/>
        </w:sectPr>
      </w:pPr>
    </w:p>
    <w:tbl>
      <w:tblPr>
        <w:tblW w:w="4253" w:type="dxa"/>
        <w:jc w:val="center"/>
        <w:tblCellMar>
          <w:left w:w="70" w:type="dxa"/>
          <w:right w:w="70" w:type="dxa"/>
        </w:tblCellMar>
        <w:tblLook w:val="04A0" w:firstRow="1" w:lastRow="0" w:firstColumn="1" w:lastColumn="0" w:noHBand="0" w:noVBand="1"/>
      </w:tblPr>
      <w:tblGrid>
        <w:gridCol w:w="585"/>
        <w:gridCol w:w="1967"/>
        <w:gridCol w:w="1701"/>
      </w:tblGrid>
      <w:tr w:rsidR="00CB38F2" w:rsidRPr="00CB38F2" w14:paraId="3BE5962F" w14:textId="77777777" w:rsidTr="00487925">
        <w:trPr>
          <w:trHeight w:val="280"/>
          <w:jc w:val="center"/>
        </w:trPr>
        <w:tc>
          <w:tcPr>
            <w:tcW w:w="585" w:type="dxa"/>
            <w:tcBorders>
              <w:top w:val="single" w:sz="8" w:space="0" w:color="9BBB59"/>
              <w:left w:val="nil"/>
              <w:bottom w:val="single" w:sz="8" w:space="0" w:color="9BBB59"/>
              <w:right w:val="nil"/>
            </w:tcBorders>
            <w:shd w:val="clear" w:color="auto" w:fill="99CC00"/>
            <w:noWrap/>
            <w:vAlign w:val="center"/>
            <w:hideMark/>
          </w:tcPr>
          <w:p w14:paraId="4221BE99" w14:textId="7CA6941F" w:rsidR="00CB38F2" w:rsidRPr="00CB38F2" w:rsidRDefault="00CB38F2">
            <w:pPr>
              <w:spacing w:after="0" w:line="240" w:lineRule="auto"/>
              <w:rPr>
                <w:rFonts w:ascii="Arial" w:eastAsia="Times New Roman" w:hAnsi="Arial" w:cs="Arial"/>
                <w:b/>
                <w:bCs/>
                <w:color w:val="000000"/>
                <w:sz w:val="16"/>
                <w:szCs w:val="16"/>
                <w:lang w:val="es-MX" w:eastAsia="es-MX"/>
              </w:rPr>
            </w:pPr>
            <w:r w:rsidRPr="00CB38F2">
              <w:rPr>
                <w:rFonts w:ascii="Arial" w:eastAsia="Times New Roman" w:hAnsi="Arial" w:cs="Arial"/>
                <w:b/>
                <w:bCs/>
                <w:color w:val="000000"/>
                <w:sz w:val="16"/>
                <w:szCs w:val="16"/>
                <w:lang w:val="es-MX" w:eastAsia="es-MX"/>
              </w:rPr>
              <w:t>Clave</w:t>
            </w:r>
          </w:p>
        </w:tc>
        <w:tc>
          <w:tcPr>
            <w:tcW w:w="1967" w:type="dxa"/>
            <w:tcBorders>
              <w:top w:val="single" w:sz="8" w:space="0" w:color="9BBB59"/>
              <w:left w:val="single" w:sz="8" w:space="0" w:color="9BBB59"/>
              <w:bottom w:val="single" w:sz="8" w:space="0" w:color="9BBB59"/>
              <w:right w:val="nil"/>
            </w:tcBorders>
            <w:shd w:val="clear" w:color="auto" w:fill="99CC00"/>
            <w:noWrap/>
            <w:vAlign w:val="center"/>
            <w:hideMark/>
          </w:tcPr>
          <w:p w14:paraId="2399C6E8" w14:textId="77777777" w:rsidR="00CB38F2" w:rsidRPr="00CB38F2" w:rsidRDefault="00CB38F2" w:rsidP="00CB38F2">
            <w:pPr>
              <w:spacing w:after="0" w:line="240" w:lineRule="auto"/>
              <w:rPr>
                <w:rFonts w:ascii="Arial" w:eastAsia="Times New Roman" w:hAnsi="Arial" w:cs="Arial"/>
                <w:b/>
                <w:bCs/>
                <w:color w:val="000000"/>
                <w:sz w:val="16"/>
                <w:szCs w:val="16"/>
                <w:lang w:val="es-MX" w:eastAsia="es-MX"/>
              </w:rPr>
            </w:pPr>
            <w:r w:rsidRPr="00CB38F2">
              <w:rPr>
                <w:rFonts w:ascii="Arial" w:eastAsia="Times New Roman" w:hAnsi="Arial" w:cs="Arial"/>
                <w:b/>
                <w:bCs/>
                <w:color w:val="000000"/>
                <w:sz w:val="16"/>
                <w:szCs w:val="16"/>
                <w:lang w:val="es-MX" w:eastAsia="es-MX"/>
              </w:rPr>
              <w:t>Estado</w:t>
            </w:r>
          </w:p>
        </w:tc>
        <w:tc>
          <w:tcPr>
            <w:tcW w:w="1701" w:type="dxa"/>
            <w:tcBorders>
              <w:top w:val="single" w:sz="8" w:space="0" w:color="9BBB59"/>
              <w:left w:val="nil"/>
              <w:bottom w:val="single" w:sz="8" w:space="0" w:color="9BBB59"/>
              <w:right w:val="nil"/>
            </w:tcBorders>
            <w:shd w:val="clear" w:color="auto" w:fill="99CC00"/>
            <w:noWrap/>
            <w:vAlign w:val="center"/>
            <w:hideMark/>
          </w:tcPr>
          <w:p w14:paraId="5D706528" w14:textId="77777777" w:rsidR="00CB38F2" w:rsidRPr="00CB38F2" w:rsidRDefault="00CB38F2" w:rsidP="00CB38F2">
            <w:pPr>
              <w:spacing w:after="0" w:line="240" w:lineRule="auto"/>
              <w:rPr>
                <w:rFonts w:ascii="Arial" w:eastAsia="Times New Roman" w:hAnsi="Arial" w:cs="Arial"/>
                <w:b/>
                <w:bCs/>
                <w:color w:val="000000"/>
                <w:sz w:val="16"/>
                <w:szCs w:val="16"/>
                <w:lang w:val="es-MX" w:eastAsia="es-MX"/>
              </w:rPr>
            </w:pPr>
            <w:r w:rsidRPr="00CB38F2">
              <w:rPr>
                <w:rFonts w:ascii="Arial" w:eastAsia="Times New Roman" w:hAnsi="Arial" w:cs="Arial"/>
                <w:b/>
                <w:bCs/>
                <w:color w:val="000000"/>
                <w:sz w:val="16"/>
                <w:szCs w:val="16"/>
                <w:lang w:val="es-MX" w:eastAsia="es-MX"/>
              </w:rPr>
              <w:t>Municipio</w:t>
            </w:r>
          </w:p>
        </w:tc>
      </w:tr>
      <w:tr w:rsidR="00CB38F2" w:rsidRPr="00CB38F2" w14:paraId="11CE8A5C"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71BF5D11"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01001</w:t>
            </w:r>
          </w:p>
        </w:tc>
        <w:tc>
          <w:tcPr>
            <w:tcW w:w="1967" w:type="dxa"/>
            <w:tcBorders>
              <w:top w:val="nil"/>
              <w:left w:val="nil"/>
              <w:bottom w:val="single" w:sz="8" w:space="0" w:color="C2D69B"/>
              <w:right w:val="single" w:sz="8" w:space="0" w:color="C2D69B"/>
            </w:tcBorders>
            <w:shd w:val="clear" w:color="000000" w:fill="EAF1DD"/>
            <w:noWrap/>
            <w:vAlign w:val="center"/>
            <w:hideMark/>
          </w:tcPr>
          <w:p w14:paraId="556246C4"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Aguascalientes</w:t>
            </w:r>
          </w:p>
        </w:tc>
        <w:tc>
          <w:tcPr>
            <w:tcW w:w="1701" w:type="dxa"/>
            <w:tcBorders>
              <w:top w:val="nil"/>
              <w:left w:val="nil"/>
              <w:bottom w:val="single" w:sz="8" w:space="0" w:color="C2D69B"/>
              <w:right w:val="single" w:sz="8" w:space="0" w:color="C2D69B"/>
            </w:tcBorders>
            <w:shd w:val="clear" w:color="000000" w:fill="EAF1DD"/>
            <w:noWrap/>
            <w:vAlign w:val="center"/>
            <w:hideMark/>
          </w:tcPr>
          <w:p w14:paraId="3641B521"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Aguascalientes</w:t>
            </w:r>
          </w:p>
        </w:tc>
      </w:tr>
      <w:tr w:rsidR="00CB38F2" w:rsidRPr="00CB38F2" w14:paraId="4E62D099"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3B9E96F5"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02002</w:t>
            </w:r>
          </w:p>
        </w:tc>
        <w:tc>
          <w:tcPr>
            <w:tcW w:w="1967" w:type="dxa"/>
            <w:tcBorders>
              <w:top w:val="nil"/>
              <w:left w:val="nil"/>
              <w:bottom w:val="single" w:sz="8" w:space="0" w:color="C2D69B"/>
              <w:right w:val="single" w:sz="8" w:space="0" w:color="C2D69B"/>
            </w:tcBorders>
            <w:shd w:val="clear" w:color="auto" w:fill="auto"/>
            <w:noWrap/>
            <w:vAlign w:val="center"/>
            <w:hideMark/>
          </w:tcPr>
          <w:p w14:paraId="4E11FCEF"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Baja California</w:t>
            </w:r>
          </w:p>
        </w:tc>
        <w:tc>
          <w:tcPr>
            <w:tcW w:w="1701" w:type="dxa"/>
            <w:tcBorders>
              <w:top w:val="nil"/>
              <w:left w:val="nil"/>
              <w:bottom w:val="single" w:sz="8" w:space="0" w:color="C2D69B"/>
              <w:right w:val="single" w:sz="8" w:space="0" w:color="C2D69B"/>
            </w:tcBorders>
            <w:shd w:val="clear" w:color="auto" w:fill="auto"/>
            <w:noWrap/>
            <w:vAlign w:val="center"/>
            <w:hideMark/>
          </w:tcPr>
          <w:p w14:paraId="2321450D"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Mexicali</w:t>
            </w:r>
          </w:p>
        </w:tc>
      </w:tr>
      <w:tr w:rsidR="00CB38F2" w:rsidRPr="00CB38F2" w14:paraId="657E967F"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3FE9655C"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02003</w:t>
            </w:r>
          </w:p>
        </w:tc>
        <w:tc>
          <w:tcPr>
            <w:tcW w:w="1967" w:type="dxa"/>
            <w:tcBorders>
              <w:top w:val="nil"/>
              <w:left w:val="nil"/>
              <w:bottom w:val="single" w:sz="8" w:space="0" w:color="C2D69B"/>
              <w:right w:val="single" w:sz="8" w:space="0" w:color="C2D69B"/>
            </w:tcBorders>
            <w:shd w:val="clear" w:color="000000" w:fill="EAF1DD"/>
            <w:noWrap/>
            <w:vAlign w:val="center"/>
            <w:hideMark/>
          </w:tcPr>
          <w:p w14:paraId="77E243D9"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Baja California</w:t>
            </w:r>
          </w:p>
        </w:tc>
        <w:tc>
          <w:tcPr>
            <w:tcW w:w="1701" w:type="dxa"/>
            <w:tcBorders>
              <w:top w:val="nil"/>
              <w:left w:val="nil"/>
              <w:bottom w:val="single" w:sz="8" w:space="0" w:color="C2D69B"/>
              <w:right w:val="single" w:sz="8" w:space="0" w:color="C2D69B"/>
            </w:tcBorders>
            <w:shd w:val="clear" w:color="000000" w:fill="EAF1DD"/>
            <w:noWrap/>
            <w:vAlign w:val="center"/>
            <w:hideMark/>
          </w:tcPr>
          <w:p w14:paraId="3E51DC56"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Tecate</w:t>
            </w:r>
          </w:p>
        </w:tc>
      </w:tr>
      <w:tr w:rsidR="00CB38F2" w:rsidRPr="00CB38F2" w14:paraId="2C132855"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44607C60"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02004</w:t>
            </w:r>
          </w:p>
        </w:tc>
        <w:tc>
          <w:tcPr>
            <w:tcW w:w="1967" w:type="dxa"/>
            <w:tcBorders>
              <w:top w:val="nil"/>
              <w:left w:val="nil"/>
              <w:bottom w:val="single" w:sz="8" w:space="0" w:color="C2D69B"/>
              <w:right w:val="single" w:sz="8" w:space="0" w:color="C2D69B"/>
            </w:tcBorders>
            <w:shd w:val="clear" w:color="auto" w:fill="auto"/>
            <w:noWrap/>
            <w:vAlign w:val="center"/>
            <w:hideMark/>
          </w:tcPr>
          <w:p w14:paraId="44903A7A"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Baja California</w:t>
            </w:r>
          </w:p>
        </w:tc>
        <w:tc>
          <w:tcPr>
            <w:tcW w:w="1701" w:type="dxa"/>
            <w:tcBorders>
              <w:top w:val="nil"/>
              <w:left w:val="nil"/>
              <w:bottom w:val="single" w:sz="8" w:space="0" w:color="C2D69B"/>
              <w:right w:val="single" w:sz="8" w:space="0" w:color="C2D69B"/>
            </w:tcBorders>
            <w:shd w:val="clear" w:color="auto" w:fill="auto"/>
            <w:noWrap/>
            <w:vAlign w:val="center"/>
            <w:hideMark/>
          </w:tcPr>
          <w:p w14:paraId="6C203EB9"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Tijuana</w:t>
            </w:r>
          </w:p>
        </w:tc>
      </w:tr>
      <w:tr w:rsidR="00CB38F2" w:rsidRPr="00CB38F2" w14:paraId="5DFD44B6"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75FF18B8"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02005</w:t>
            </w:r>
          </w:p>
        </w:tc>
        <w:tc>
          <w:tcPr>
            <w:tcW w:w="1967" w:type="dxa"/>
            <w:tcBorders>
              <w:top w:val="nil"/>
              <w:left w:val="nil"/>
              <w:bottom w:val="single" w:sz="8" w:space="0" w:color="C2D69B"/>
              <w:right w:val="single" w:sz="8" w:space="0" w:color="C2D69B"/>
            </w:tcBorders>
            <w:shd w:val="clear" w:color="000000" w:fill="EAF1DD"/>
            <w:noWrap/>
            <w:vAlign w:val="center"/>
            <w:hideMark/>
          </w:tcPr>
          <w:p w14:paraId="566454DC"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Baja California</w:t>
            </w:r>
          </w:p>
        </w:tc>
        <w:tc>
          <w:tcPr>
            <w:tcW w:w="1701" w:type="dxa"/>
            <w:tcBorders>
              <w:top w:val="nil"/>
              <w:left w:val="nil"/>
              <w:bottom w:val="single" w:sz="8" w:space="0" w:color="C2D69B"/>
              <w:right w:val="single" w:sz="8" w:space="0" w:color="C2D69B"/>
            </w:tcBorders>
            <w:shd w:val="clear" w:color="000000" w:fill="EAF1DD"/>
            <w:noWrap/>
            <w:vAlign w:val="center"/>
            <w:hideMark/>
          </w:tcPr>
          <w:p w14:paraId="62186C3D"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Playas de Rosarito</w:t>
            </w:r>
          </w:p>
        </w:tc>
      </w:tr>
      <w:tr w:rsidR="00CB38F2" w:rsidRPr="00CB38F2" w14:paraId="323EF68A"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5841F12D"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05030</w:t>
            </w:r>
          </w:p>
        </w:tc>
        <w:tc>
          <w:tcPr>
            <w:tcW w:w="1967" w:type="dxa"/>
            <w:tcBorders>
              <w:top w:val="nil"/>
              <w:left w:val="nil"/>
              <w:bottom w:val="single" w:sz="8" w:space="0" w:color="C2D69B"/>
              <w:right w:val="single" w:sz="8" w:space="0" w:color="C2D69B"/>
            </w:tcBorders>
            <w:shd w:val="clear" w:color="auto" w:fill="auto"/>
            <w:noWrap/>
            <w:vAlign w:val="center"/>
            <w:hideMark/>
          </w:tcPr>
          <w:p w14:paraId="74CE3D3C"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Coahuila de Zaragoza</w:t>
            </w:r>
          </w:p>
        </w:tc>
        <w:tc>
          <w:tcPr>
            <w:tcW w:w="1701" w:type="dxa"/>
            <w:tcBorders>
              <w:top w:val="nil"/>
              <w:left w:val="nil"/>
              <w:bottom w:val="single" w:sz="8" w:space="0" w:color="C2D69B"/>
              <w:right w:val="single" w:sz="8" w:space="0" w:color="C2D69B"/>
            </w:tcBorders>
            <w:shd w:val="clear" w:color="auto" w:fill="auto"/>
            <w:noWrap/>
            <w:vAlign w:val="center"/>
            <w:hideMark/>
          </w:tcPr>
          <w:p w14:paraId="27102A99"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Saltillo</w:t>
            </w:r>
          </w:p>
        </w:tc>
      </w:tr>
      <w:tr w:rsidR="00CB38F2" w:rsidRPr="00CB38F2" w14:paraId="7FC172E1"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3484E67F"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05035</w:t>
            </w:r>
          </w:p>
        </w:tc>
        <w:tc>
          <w:tcPr>
            <w:tcW w:w="1967" w:type="dxa"/>
            <w:tcBorders>
              <w:top w:val="nil"/>
              <w:left w:val="nil"/>
              <w:bottom w:val="single" w:sz="8" w:space="0" w:color="C2D69B"/>
              <w:right w:val="single" w:sz="8" w:space="0" w:color="C2D69B"/>
            </w:tcBorders>
            <w:shd w:val="clear" w:color="000000" w:fill="EAF1DD"/>
            <w:noWrap/>
            <w:vAlign w:val="center"/>
            <w:hideMark/>
          </w:tcPr>
          <w:p w14:paraId="698B7239"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Coahuila de Zaragoza</w:t>
            </w:r>
          </w:p>
        </w:tc>
        <w:tc>
          <w:tcPr>
            <w:tcW w:w="1701" w:type="dxa"/>
            <w:tcBorders>
              <w:top w:val="nil"/>
              <w:left w:val="nil"/>
              <w:bottom w:val="single" w:sz="8" w:space="0" w:color="C2D69B"/>
              <w:right w:val="single" w:sz="8" w:space="0" w:color="C2D69B"/>
            </w:tcBorders>
            <w:shd w:val="clear" w:color="000000" w:fill="EAF1DD"/>
            <w:noWrap/>
            <w:vAlign w:val="center"/>
            <w:hideMark/>
          </w:tcPr>
          <w:p w14:paraId="25A9D79D"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Torreón</w:t>
            </w:r>
          </w:p>
        </w:tc>
      </w:tr>
      <w:tr w:rsidR="00CB38F2" w:rsidRPr="00CB38F2" w14:paraId="73497012"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3B612191"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06002</w:t>
            </w:r>
          </w:p>
        </w:tc>
        <w:tc>
          <w:tcPr>
            <w:tcW w:w="1967" w:type="dxa"/>
            <w:tcBorders>
              <w:top w:val="nil"/>
              <w:left w:val="nil"/>
              <w:bottom w:val="single" w:sz="8" w:space="0" w:color="C2D69B"/>
              <w:right w:val="single" w:sz="8" w:space="0" w:color="C2D69B"/>
            </w:tcBorders>
            <w:shd w:val="clear" w:color="auto" w:fill="auto"/>
            <w:noWrap/>
            <w:vAlign w:val="center"/>
            <w:hideMark/>
          </w:tcPr>
          <w:p w14:paraId="18518D06"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Colima</w:t>
            </w:r>
          </w:p>
        </w:tc>
        <w:tc>
          <w:tcPr>
            <w:tcW w:w="1701" w:type="dxa"/>
            <w:tcBorders>
              <w:top w:val="nil"/>
              <w:left w:val="nil"/>
              <w:bottom w:val="single" w:sz="8" w:space="0" w:color="C2D69B"/>
              <w:right w:val="single" w:sz="8" w:space="0" w:color="C2D69B"/>
            </w:tcBorders>
            <w:shd w:val="clear" w:color="auto" w:fill="auto"/>
            <w:noWrap/>
            <w:vAlign w:val="center"/>
            <w:hideMark/>
          </w:tcPr>
          <w:p w14:paraId="0B9BCE63"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Colima</w:t>
            </w:r>
          </w:p>
        </w:tc>
      </w:tr>
      <w:tr w:rsidR="00CB38F2" w:rsidRPr="00CB38F2" w14:paraId="42BC74DE"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635D6703"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07101</w:t>
            </w:r>
          </w:p>
        </w:tc>
        <w:tc>
          <w:tcPr>
            <w:tcW w:w="1967" w:type="dxa"/>
            <w:tcBorders>
              <w:top w:val="nil"/>
              <w:left w:val="nil"/>
              <w:bottom w:val="single" w:sz="8" w:space="0" w:color="C2D69B"/>
              <w:right w:val="single" w:sz="8" w:space="0" w:color="C2D69B"/>
            </w:tcBorders>
            <w:shd w:val="clear" w:color="000000" w:fill="EAF1DD"/>
            <w:noWrap/>
            <w:vAlign w:val="center"/>
            <w:hideMark/>
          </w:tcPr>
          <w:p w14:paraId="1145BD54"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Chiapas</w:t>
            </w:r>
          </w:p>
        </w:tc>
        <w:tc>
          <w:tcPr>
            <w:tcW w:w="1701" w:type="dxa"/>
            <w:tcBorders>
              <w:top w:val="nil"/>
              <w:left w:val="nil"/>
              <w:bottom w:val="single" w:sz="8" w:space="0" w:color="C2D69B"/>
              <w:right w:val="single" w:sz="8" w:space="0" w:color="C2D69B"/>
            </w:tcBorders>
            <w:shd w:val="clear" w:color="000000" w:fill="EAF1DD"/>
            <w:noWrap/>
            <w:vAlign w:val="center"/>
            <w:hideMark/>
          </w:tcPr>
          <w:p w14:paraId="3B7CEDD2"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Tuxtla Gutiérrez</w:t>
            </w:r>
          </w:p>
        </w:tc>
      </w:tr>
      <w:tr w:rsidR="00CB38F2" w:rsidRPr="00CB38F2" w14:paraId="558F699C"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52DC51D9"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08019</w:t>
            </w:r>
          </w:p>
        </w:tc>
        <w:tc>
          <w:tcPr>
            <w:tcW w:w="1967" w:type="dxa"/>
            <w:tcBorders>
              <w:top w:val="nil"/>
              <w:left w:val="nil"/>
              <w:bottom w:val="single" w:sz="8" w:space="0" w:color="C2D69B"/>
              <w:right w:val="single" w:sz="8" w:space="0" w:color="C2D69B"/>
            </w:tcBorders>
            <w:shd w:val="clear" w:color="auto" w:fill="auto"/>
            <w:noWrap/>
            <w:vAlign w:val="center"/>
            <w:hideMark/>
          </w:tcPr>
          <w:p w14:paraId="693CCC91"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Chihuahua</w:t>
            </w:r>
          </w:p>
        </w:tc>
        <w:tc>
          <w:tcPr>
            <w:tcW w:w="1701" w:type="dxa"/>
            <w:tcBorders>
              <w:top w:val="nil"/>
              <w:left w:val="nil"/>
              <w:bottom w:val="single" w:sz="8" w:space="0" w:color="C2D69B"/>
              <w:right w:val="single" w:sz="8" w:space="0" w:color="C2D69B"/>
            </w:tcBorders>
            <w:shd w:val="clear" w:color="auto" w:fill="auto"/>
            <w:noWrap/>
            <w:vAlign w:val="center"/>
            <w:hideMark/>
          </w:tcPr>
          <w:p w14:paraId="5C80D59A"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Chihuahua</w:t>
            </w:r>
          </w:p>
        </w:tc>
      </w:tr>
      <w:tr w:rsidR="00CB38F2" w:rsidRPr="00CB38F2" w14:paraId="7D968DC3"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79D35864"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09002</w:t>
            </w:r>
          </w:p>
        </w:tc>
        <w:tc>
          <w:tcPr>
            <w:tcW w:w="1967" w:type="dxa"/>
            <w:tcBorders>
              <w:top w:val="nil"/>
              <w:left w:val="nil"/>
              <w:bottom w:val="single" w:sz="8" w:space="0" w:color="C2D69B"/>
              <w:right w:val="single" w:sz="8" w:space="0" w:color="C2D69B"/>
            </w:tcBorders>
            <w:shd w:val="clear" w:color="000000" w:fill="EAF1DD"/>
            <w:noWrap/>
            <w:vAlign w:val="center"/>
            <w:hideMark/>
          </w:tcPr>
          <w:p w14:paraId="3BF2E28C"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000000" w:fill="EAF1DD"/>
            <w:noWrap/>
            <w:vAlign w:val="center"/>
            <w:hideMark/>
          </w:tcPr>
          <w:p w14:paraId="6FE9F630"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Azcapotzalco</w:t>
            </w:r>
          </w:p>
        </w:tc>
      </w:tr>
      <w:tr w:rsidR="00CB38F2" w:rsidRPr="00CB38F2" w14:paraId="31B491A9"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13C97BA3"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09004</w:t>
            </w:r>
          </w:p>
        </w:tc>
        <w:tc>
          <w:tcPr>
            <w:tcW w:w="1967" w:type="dxa"/>
            <w:tcBorders>
              <w:top w:val="nil"/>
              <w:left w:val="nil"/>
              <w:bottom w:val="single" w:sz="8" w:space="0" w:color="C2D69B"/>
              <w:right w:val="single" w:sz="8" w:space="0" w:color="C2D69B"/>
            </w:tcBorders>
            <w:shd w:val="clear" w:color="auto" w:fill="auto"/>
            <w:noWrap/>
            <w:vAlign w:val="center"/>
            <w:hideMark/>
          </w:tcPr>
          <w:p w14:paraId="3398D131"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auto" w:fill="auto"/>
            <w:noWrap/>
            <w:vAlign w:val="center"/>
            <w:hideMark/>
          </w:tcPr>
          <w:p w14:paraId="089E0864"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Cuajimalpa de Morelos</w:t>
            </w:r>
          </w:p>
        </w:tc>
      </w:tr>
      <w:tr w:rsidR="00CB38F2" w:rsidRPr="00CB38F2" w14:paraId="6F16037D"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7744D61C"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09005</w:t>
            </w:r>
          </w:p>
        </w:tc>
        <w:tc>
          <w:tcPr>
            <w:tcW w:w="1967" w:type="dxa"/>
            <w:tcBorders>
              <w:top w:val="nil"/>
              <w:left w:val="nil"/>
              <w:bottom w:val="single" w:sz="8" w:space="0" w:color="C2D69B"/>
              <w:right w:val="single" w:sz="8" w:space="0" w:color="C2D69B"/>
            </w:tcBorders>
            <w:shd w:val="clear" w:color="000000" w:fill="EAF1DD"/>
            <w:noWrap/>
            <w:vAlign w:val="center"/>
            <w:hideMark/>
          </w:tcPr>
          <w:p w14:paraId="26D6E895"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000000" w:fill="EAF1DD"/>
            <w:noWrap/>
            <w:vAlign w:val="center"/>
            <w:hideMark/>
          </w:tcPr>
          <w:p w14:paraId="1DA57213"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Gustavo A. Madero</w:t>
            </w:r>
          </w:p>
        </w:tc>
      </w:tr>
      <w:tr w:rsidR="00CB38F2" w:rsidRPr="00CB38F2" w14:paraId="323D1E5B"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3A90C247"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09006</w:t>
            </w:r>
          </w:p>
        </w:tc>
        <w:tc>
          <w:tcPr>
            <w:tcW w:w="1967" w:type="dxa"/>
            <w:tcBorders>
              <w:top w:val="nil"/>
              <w:left w:val="nil"/>
              <w:bottom w:val="single" w:sz="8" w:space="0" w:color="C2D69B"/>
              <w:right w:val="single" w:sz="8" w:space="0" w:color="C2D69B"/>
            </w:tcBorders>
            <w:shd w:val="clear" w:color="auto" w:fill="auto"/>
            <w:noWrap/>
            <w:vAlign w:val="center"/>
            <w:hideMark/>
          </w:tcPr>
          <w:p w14:paraId="5E79FEF9"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auto" w:fill="auto"/>
            <w:noWrap/>
            <w:vAlign w:val="center"/>
            <w:hideMark/>
          </w:tcPr>
          <w:p w14:paraId="093786DA"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Iztacalco</w:t>
            </w:r>
          </w:p>
        </w:tc>
      </w:tr>
      <w:tr w:rsidR="00CB38F2" w:rsidRPr="00CB38F2" w14:paraId="5C0E4612"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6DC255A2"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09007</w:t>
            </w:r>
          </w:p>
        </w:tc>
        <w:tc>
          <w:tcPr>
            <w:tcW w:w="1967" w:type="dxa"/>
            <w:tcBorders>
              <w:top w:val="nil"/>
              <w:left w:val="nil"/>
              <w:bottom w:val="single" w:sz="8" w:space="0" w:color="C2D69B"/>
              <w:right w:val="single" w:sz="8" w:space="0" w:color="C2D69B"/>
            </w:tcBorders>
            <w:shd w:val="clear" w:color="000000" w:fill="EAF1DD"/>
            <w:noWrap/>
            <w:vAlign w:val="center"/>
            <w:hideMark/>
          </w:tcPr>
          <w:p w14:paraId="535C1A1E"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000000" w:fill="EAF1DD"/>
            <w:noWrap/>
            <w:vAlign w:val="center"/>
            <w:hideMark/>
          </w:tcPr>
          <w:p w14:paraId="0F62CAE4"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Iztapalapa</w:t>
            </w:r>
          </w:p>
        </w:tc>
      </w:tr>
      <w:tr w:rsidR="00CB38F2" w:rsidRPr="00CB38F2" w14:paraId="02F6F7CB"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2AA3180D"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09008</w:t>
            </w:r>
          </w:p>
        </w:tc>
        <w:tc>
          <w:tcPr>
            <w:tcW w:w="1967" w:type="dxa"/>
            <w:tcBorders>
              <w:top w:val="nil"/>
              <w:left w:val="nil"/>
              <w:bottom w:val="single" w:sz="8" w:space="0" w:color="C2D69B"/>
              <w:right w:val="single" w:sz="8" w:space="0" w:color="C2D69B"/>
            </w:tcBorders>
            <w:shd w:val="clear" w:color="auto" w:fill="auto"/>
            <w:noWrap/>
            <w:vAlign w:val="center"/>
            <w:hideMark/>
          </w:tcPr>
          <w:p w14:paraId="4DDE79B2"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auto" w:fill="auto"/>
            <w:noWrap/>
            <w:vAlign w:val="center"/>
            <w:hideMark/>
          </w:tcPr>
          <w:p w14:paraId="6AEF8CBC"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La Magdalena Contreras</w:t>
            </w:r>
          </w:p>
        </w:tc>
      </w:tr>
      <w:tr w:rsidR="00CB38F2" w:rsidRPr="00CB38F2" w14:paraId="7DC49C35"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578CE503"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09010</w:t>
            </w:r>
          </w:p>
        </w:tc>
        <w:tc>
          <w:tcPr>
            <w:tcW w:w="1967" w:type="dxa"/>
            <w:tcBorders>
              <w:top w:val="nil"/>
              <w:left w:val="nil"/>
              <w:bottom w:val="single" w:sz="8" w:space="0" w:color="C2D69B"/>
              <w:right w:val="single" w:sz="8" w:space="0" w:color="C2D69B"/>
            </w:tcBorders>
            <w:shd w:val="clear" w:color="000000" w:fill="EAF1DD"/>
            <w:noWrap/>
            <w:vAlign w:val="center"/>
            <w:hideMark/>
          </w:tcPr>
          <w:p w14:paraId="533A7BC2"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000000" w:fill="EAF1DD"/>
            <w:noWrap/>
            <w:vAlign w:val="center"/>
            <w:hideMark/>
          </w:tcPr>
          <w:p w14:paraId="05AA9FE4"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Álvaro Obregón</w:t>
            </w:r>
          </w:p>
        </w:tc>
      </w:tr>
      <w:tr w:rsidR="00CB38F2" w:rsidRPr="00CB38F2" w14:paraId="2558DFF1"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7AA987CC"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09012</w:t>
            </w:r>
          </w:p>
        </w:tc>
        <w:tc>
          <w:tcPr>
            <w:tcW w:w="1967" w:type="dxa"/>
            <w:tcBorders>
              <w:top w:val="nil"/>
              <w:left w:val="nil"/>
              <w:bottom w:val="single" w:sz="8" w:space="0" w:color="C2D69B"/>
              <w:right w:val="single" w:sz="8" w:space="0" w:color="C2D69B"/>
            </w:tcBorders>
            <w:shd w:val="clear" w:color="auto" w:fill="auto"/>
            <w:noWrap/>
            <w:vAlign w:val="center"/>
            <w:hideMark/>
          </w:tcPr>
          <w:p w14:paraId="54CBA8B3"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auto" w:fill="auto"/>
            <w:noWrap/>
            <w:vAlign w:val="center"/>
            <w:hideMark/>
          </w:tcPr>
          <w:p w14:paraId="2413C427"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Tlalpan</w:t>
            </w:r>
          </w:p>
        </w:tc>
      </w:tr>
      <w:tr w:rsidR="00CB38F2" w:rsidRPr="00CB38F2" w14:paraId="3ACEBF71"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5D93D6DF"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09014</w:t>
            </w:r>
          </w:p>
        </w:tc>
        <w:tc>
          <w:tcPr>
            <w:tcW w:w="1967" w:type="dxa"/>
            <w:tcBorders>
              <w:top w:val="nil"/>
              <w:left w:val="nil"/>
              <w:bottom w:val="single" w:sz="8" w:space="0" w:color="C2D69B"/>
              <w:right w:val="single" w:sz="8" w:space="0" w:color="C2D69B"/>
            </w:tcBorders>
            <w:shd w:val="clear" w:color="000000" w:fill="EAF1DD"/>
            <w:noWrap/>
            <w:vAlign w:val="center"/>
            <w:hideMark/>
          </w:tcPr>
          <w:p w14:paraId="0BA71D4E"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000000" w:fill="EAF1DD"/>
            <w:noWrap/>
            <w:vAlign w:val="center"/>
            <w:hideMark/>
          </w:tcPr>
          <w:p w14:paraId="251BE938"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Benito Juárez</w:t>
            </w:r>
          </w:p>
        </w:tc>
      </w:tr>
      <w:tr w:rsidR="00CB38F2" w:rsidRPr="00CB38F2" w14:paraId="6C52660E"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28933170"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09017</w:t>
            </w:r>
          </w:p>
        </w:tc>
        <w:tc>
          <w:tcPr>
            <w:tcW w:w="1967" w:type="dxa"/>
            <w:tcBorders>
              <w:top w:val="nil"/>
              <w:left w:val="nil"/>
              <w:bottom w:val="single" w:sz="8" w:space="0" w:color="C2D69B"/>
              <w:right w:val="single" w:sz="8" w:space="0" w:color="C2D69B"/>
            </w:tcBorders>
            <w:shd w:val="clear" w:color="auto" w:fill="auto"/>
            <w:noWrap/>
            <w:vAlign w:val="center"/>
            <w:hideMark/>
          </w:tcPr>
          <w:p w14:paraId="31DC51EE"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Ciudad de México</w:t>
            </w:r>
          </w:p>
        </w:tc>
        <w:tc>
          <w:tcPr>
            <w:tcW w:w="1701" w:type="dxa"/>
            <w:tcBorders>
              <w:top w:val="nil"/>
              <w:left w:val="nil"/>
              <w:bottom w:val="single" w:sz="8" w:space="0" w:color="C2D69B"/>
              <w:right w:val="single" w:sz="8" w:space="0" w:color="C2D69B"/>
            </w:tcBorders>
            <w:shd w:val="clear" w:color="auto" w:fill="auto"/>
            <w:noWrap/>
            <w:vAlign w:val="center"/>
            <w:hideMark/>
          </w:tcPr>
          <w:p w14:paraId="6C3FF2CC"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Venustiano Carranza</w:t>
            </w:r>
          </w:p>
        </w:tc>
      </w:tr>
      <w:tr w:rsidR="00CB38F2" w:rsidRPr="00CB38F2" w14:paraId="35F529B7"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3022214C"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13048</w:t>
            </w:r>
          </w:p>
        </w:tc>
        <w:tc>
          <w:tcPr>
            <w:tcW w:w="1967" w:type="dxa"/>
            <w:tcBorders>
              <w:top w:val="nil"/>
              <w:left w:val="nil"/>
              <w:bottom w:val="single" w:sz="8" w:space="0" w:color="C2D69B"/>
              <w:right w:val="single" w:sz="8" w:space="0" w:color="C2D69B"/>
            </w:tcBorders>
            <w:shd w:val="clear" w:color="000000" w:fill="EAF1DD"/>
            <w:noWrap/>
            <w:vAlign w:val="center"/>
            <w:hideMark/>
          </w:tcPr>
          <w:p w14:paraId="28641DFA"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Hidalgo</w:t>
            </w:r>
          </w:p>
        </w:tc>
        <w:tc>
          <w:tcPr>
            <w:tcW w:w="1701" w:type="dxa"/>
            <w:tcBorders>
              <w:top w:val="nil"/>
              <w:left w:val="nil"/>
              <w:bottom w:val="single" w:sz="8" w:space="0" w:color="C2D69B"/>
              <w:right w:val="single" w:sz="8" w:space="0" w:color="C2D69B"/>
            </w:tcBorders>
            <w:shd w:val="clear" w:color="000000" w:fill="EAF1DD"/>
            <w:noWrap/>
            <w:vAlign w:val="center"/>
            <w:hideMark/>
          </w:tcPr>
          <w:p w14:paraId="23DED098"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Pachuca de Soto</w:t>
            </w:r>
          </w:p>
        </w:tc>
      </w:tr>
      <w:tr w:rsidR="00CB38F2" w:rsidRPr="00CB38F2" w14:paraId="5C0BF2C8"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194E2ACC"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14039</w:t>
            </w:r>
          </w:p>
        </w:tc>
        <w:tc>
          <w:tcPr>
            <w:tcW w:w="1967" w:type="dxa"/>
            <w:tcBorders>
              <w:top w:val="nil"/>
              <w:left w:val="nil"/>
              <w:bottom w:val="single" w:sz="8" w:space="0" w:color="C2D69B"/>
              <w:right w:val="single" w:sz="8" w:space="0" w:color="C2D69B"/>
            </w:tcBorders>
            <w:shd w:val="clear" w:color="auto" w:fill="auto"/>
            <w:noWrap/>
            <w:vAlign w:val="center"/>
            <w:hideMark/>
          </w:tcPr>
          <w:p w14:paraId="66CC9B5D"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Jalisco</w:t>
            </w:r>
          </w:p>
        </w:tc>
        <w:tc>
          <w:tcPr>
            <w:tcW w:w="1701" w:type="dxa"/>
            <w:tcBorders>
              <w:top w:val="nil"/>
              <w:left w:val="nil"/>
              <w:bottom w:val="single" w:sz="8" w:space="0" w:color="C2D69B"/>
              <w:right w:val="single" w:sz="8" w:space="0" w:color="C2D69B"/>
            </w:tcBorders>
            <w:shd w:val="clear" w:color="auto" w:fill="auto"/>
            <w:noWrap/>
            <w:vAlign w:val="center"/>
            <w:hideMark/>
          </w:tcPr>
          <w:p w14:paraId="52713505"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Guadalajara</w:t>
            </w:r>
          </w:p>
        </w:tc>
      </w:tr>
      <w:tr w:rsidR="00CB38F2" w:rsidRPr="00CB38F2" w14:paraId="4A4A4ED2"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516DC70F"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14098</w:t>
            </w:r>
          </w:p>
        </w:tc>
        <w:tc>
          <w:tcPr>
            <w:tcW w:w="1967" w:type="dxa"/>
            <w:tcBorders>
              <w:top w:val="nil"/>
              <w:left w:val="nil"/>
              <w:bottom w:val="single" w:sz="8" w:space="0" w:color="C2D69B"/>
              <w:right w:val="single" w:sz="8" w:space="0" w:color="C2D69B"/>
            </w:tcBorders>
            <w:shd w:val="clear" w:color="000000" w:fill="EAF1DD"/>
            <w:noWrap/>
            <w:vAlign w:val="center"/>
            <w:hideMark/>
          </w:tcPr>
          <w:p w14:paraId="7B7A7392"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Jalisco</w:t>
            </w:r>
          </w:p>
        </w:tc>
        <w:tc>
          <w:tcPr>
            <w:tcW w:w="1701" w:type="dxa"/>
            <w:tcBorders>
              <w:top w:val="nil"/>
              <w:left w:val="nil"/>
              <w:bottom w:val="single" w:sz="8" w:space="0" w:color="C2D69B"/>
              <w:right w:val="single" w:sz="8" w:space="0" w:color="C2D69B"/>
            </w:tcBorders>
            <w:shd w:val="clear" w:color="000000" w:fill="EAF1DD"/>
            <w:noWrap/>
            <w:vAlign w:val="center"/>
            <w:hideMark/>
          </w:tcPr>
          <w:p w14:paraId="23B0A22D"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San Pedro Tlaquepaque</w:t>
            </w:r>
          </w:p>
        </w:tc>
      </w:tr>
      <w:tr w:rsidR="00CB38F2" w:rsidRPr="00CB38F2" w14:paraId="607FC1B8"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1FBEAA27"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14120</w:t>
            </w:r>
          </w:p>
        </w:tc>
        <w:tc>
          <w:tcPr>
            <w:tcW w:w="1967" w:type="dxa"/>
            <w:tcBorders>
              <w:top w:val="nil"/>
              <w:left w:val="nil"/>
              <w:bottom w:val="single" w:sz="8" w:space="0" w:color="C2D69B"/>
              <w:right w:val="single" w:sz="8" w:space="0" w:color="C2D69B"/>
            </w:tcBorders>
            <w:shd w:val="clear" w:color="auto" w:fill="auto"/>
            <w:noWrap/>
            <w:vAlign w:val="center"/>
            <w:hideMark/>
          </w:tcPr>
          <w:p w14:paraId="7092682A"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Jalisco</w:t>
            </w:r>
          </w:p>
        </w:tc>
        <w:tc>
          <w:tcPr>
            <w:tcW w:w="1701" w:type="dxa"/>
            <w:tcBorders>
              <w:top w:val="nil"/>
              <w:left w:val="nil"/>
              <w:bottom w:val="single" w:sz="8" w:space="0" w:color="C2D69B"/>
              <w:right w:val="single" w:sz="8" w:space="0" w:color="C2D69B"/>
            </w:tcBorders>
            <w:shd w:val="clear" w:color="auto" w:fill="auto"/>
            <w:noWrap/>
            <w:vAlign w:val="center"/>
            <w:hideMark/>
          </w:tcPr>
          <w:p w14:paraId="3BB316D5"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Zapopan</w:t>
            </w:r>
          </w:p>
        </w:tc>
      </w:tr>
      <w:tr w:rsidR="00CB38F2" w:rsidRPr="00CB38F2" w14:paraId="0E9D640A"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20378F9B"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15020</w:t>
            </w:r>
          </w:p>
        </w:tc>
        <w:tc>
          <w:tcPr>
            <w:tcW w:w="1967" w:type="dxa"/>
            <w:tcBorders>
              <w:top w:val="nil"/>
              <w:left w:val="nil"/>
              <w:bottom w:val="single" w:sz="8" w:space="0" w:color="C2D69B"/>
              <w:right w:val="single" w:sz="8" w:space="0" w:color="C2D69B"/>
            </w:tcBorders>
            <w:shd w:val="clear" w:color="000000" w:fill="EAF1DD"/>
            <w:noWrap/>
            <w:vAlign w:val="center"/>
            <w:hideMark/>
          </w:tcPr>
          <w:p w14:paraId="0E8CE608"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México</w:t>
            </w:r>
          </w:p>
        </w:tc>
        <w:tc>
          <w:tcPr>
            <w:tcW w:w="1701" w:type="dxa"/>
            <w:tcBorders>
              <w:top w:val="nil"/>
              <w:left w:val="nil"/>
              <w:bottom w:val="single" w:sz="8" w:space="0" w:color="C2D69B"/>
              <w:right w:val="single" w:sz="8" w:space="0" w:color="C2D69B"/>
            </w:tcBorders>
            <w:shd w:val="clear" w:color="000000" w:fill="EAF1DD"/>
            <w:noWrap/>
            <w:vAlign w:val="center"/>
            <w:hideMark/>
          </w:tcPr>
          <w:p w14:paraId="4E6187A3"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Coacalco de Berriozábal</w:t>
            </w:r>
          </w:p>
        </w:tc>
      </w:tr>
      <w:tr w:rsidR="00CB38F2" w:rsidRPr="00CB38F2" w14:paraId="2A51D6B0"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471395B8"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15024</w:t>
            </w:r>
          </w:p>
        </w:tc>
        <w:tc>
          <w:tcPr>
            <w:tcW w:w="1967" w:type="dxa"/>
            <w:tcBorders>
              <w:top w:val="nil"/>
              <w:left w:val="nil"/>
              <w:bottom w:val="single" w:sz="8" w:space="0" w:color="C2D69B"/>
              <w:right w:val="single" w:sz="8" w:space="0" w:color="C2D69B"/>
            </w:tcBorders>
            <w:shd w:val="clear" w:color="auto" w:fill="auto"/>
            <w:noWrap/>
            <w:vAlign w:val="center"/>
            <w:hideMark/>
          </w:tcPr>
          <w:p w14:paraId="556395A0"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México</w:t>
            </w:r>
          </w:p>
        </w:tc>
        <w:tc>
          <w:tcPr>
            <w:tcW w:w="1701" w:type="dxa"/>
            <w:tcBorders>
              <w:top w:val="nil"/>
              <w:left w:val="nil"/>
              <w:bottom w:val="single" w:sz="8" w:space="0" w:color="C2D69B"/>
              <w:right w:val="single" w:sz="8" w:space="0" w:color="C2D69B"/>
            </w:tcBorders>
            <w:shd w:val="clear" w:color="auto" w:fill="auto"/>
            <w:noWrap/>
            <w:vAlign w:val="center"/>
            <w:hideMark/>
          </w:tcPr>
          <w:p w14:paraId="686FF689"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Cuautitlán</w:t>
            </w:r>
          </w:p>
        </w:tc>
      </w:tr>
      <w:tr w:rsidR="00CB38F2" w:rsidRPr="00CB38F2" w14:paraId="6C2C9EB5"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20A5ED83"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15039</w:t>
            </w:r>
          </w:p>
        </w:tc>
        <w:tc>
          <w:tcPr>
            <w:tcW w:w="1967" w:type="dxa"/>
            <w:tcBorders>
              <w:top w:val="nil"/>
              <w:left w:val="nil"/>
              <w:bottom w:val="single" w:sz="8" w:space="0" w:color="C2D69B"/>
              <w:right w:val="single" w:sz="8" w:space="0" w:color="C2D69B"/>
            </w:tcBorders>
            <w:shd w:val="clear" w:color="000000" w:fill="EAF1DD"/>
            <w:noWrap/>
            <w:vAlign w:val="center"/>
            <w:hideMark/>
          </w:tcPr>
          <w:p w14:paraId="189590AF"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México</w:t>
            </w:r>
          </w:p>
        </w:tc>
        <w:tc>
          <w:tcPr>
            <w:tcW w:w="1701" w:type="dxa"/>
            <w:tcBorders>
              <w:top w:val="nil"/>
              <w:left w:val="nil"/>
              <w:bottom w:val="single" w:sz="8" w:space="0" w:color="C2D69B"/>
              <w:right w:val="single" w:sz="8" w:space="0" w:color="C2D69B"/>
            </w:tcBorders>
            <w:shd w:val="clear" w:color="000000" w:fill="EAF1DD"/>
            <w:noWrap/>
            <w:vAlign w:val="center"/>
            <w:hideMark/>
          </w:tcPr>
          <w:p w14:paraId="3CDC5819"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Ixtapaluca</w:t>
            </w:r>
          </w:p>
        </w:tc>
      </w:tr>
      <w:tr w:rsidR="00CB38F2" w:rsidRPr="00CB38F2" w14:paraId="32AD330C"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06D1679D"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15053</w:t>
            </w:r>
          </w:p>
        </w:tc>
        <w:tc>
          <w:tcPr>
            <w:tcW w:w="1967" w:type="dxa"/>
            <w:tcBorders>
              <w:top w:val="nil"/>
              <w:left w:val="nil"/>
              <w:bottom w:val="single" w:sz="8" w:space="0" w:color="C2D69B"/>
              <w:right w:val="single" w:sz="8" w:space="0" w:color="C2D69B"/>
            </w:tcBorders>
            <w:shd w:val="clear" w:color="auto" w:fill="auto"/>
            <w:noWrap/>
            <w:vAlign w:val="center"/>
            <w:hideMark/>
          </w:tcPr>
          <w:p w14:paraId="2A80AE34"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México</w:t>
            </w:r>
          </w:p>
        </w:tc>
        <w:tc>
          <w:tcPr>
            <w:tcW w:w="1701" w:type="dxa"/>
            <w:tcBorders>
              <w:top w:val="nil"/>
              <w:left w:val="nil"/>
              <w:bottom w:val="single" w:sz="8" w:space="0" w:color="C2D69B"/>
              <w:right w:val="single" w:sz="8" w:space="0" w:color="C2D69B"/>
            </w:tcBorders>
            <w:shd w:val="clear" w:color="auto" w:fill="auto"/>
            <w:noWrap/>
            <w:vAlign w:val="center"/>
            <w:hideMark/>
          </w:tcPr>
          <w:p w14:paraId="25A7D543"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Melchor Ocampo</w:t>
            </w:r>
          </w:p>
        </w:tc>
      </w:tr>
      <w:tr w:rsidR="00CB38F2" w:rsidRPr="00CB38F2" w14:paraId="7F53B3F4"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398C26AE"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15101</w:t>
            </w:r>
          </w:p>
        </w:tc>
        <w:tc>
          <w:tcPr>
            <w:tcW w:w="1967" w:type="dxa"/>
            <w:tcBorders>
              <w:top w:val="nil"/>
              <w:left w:val="nil"/>
              <w:bottom w:val="single" w:sz="8" w:space="0" w:color="C2D69B"/>
              <w:right w:val="single" w:sz="8" w:space="0" w:color="C2D69B"/>
            </w:tcBorders>
            <w:shd w:val="clear" w:color="000000" w:fill="EAF1DD"/>
            <w:noWrap/>
            <w:vAlign w:val="center"/>
            <w:hideMark/>
          </w:tcPr>
          <w:p w14:paraId="50B4BA73"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México</w:t>
            </w:r>
          </w:p>
        </w:tc>
        <w:tc>
          <w:tcPr>
            <w:tcW w:w="1701" w:type="dxa"/>
            <w:tcBorders>
              <w:top w:val="nil"/>
              <w:left w:val="nil"/>
              <w:bottom w:val="single" w:sz="8" w:space="0" w:color="C2D69B"/>
              <w:right w:val="single" w:sz="8" w:space="0" w:color="C2D69B"/>
            </w:tcBorders>
            <w:shd w:val="clear" w:color="000000" w:fill="EAF1DD"/>
            <w:noWrap/>
            <w:vAlign w:val="center"/>
            <w:hideMark/>
          </w:tcPr>
          <w:p w14:paraId="4061B46E"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Tianguistenco</w:t>
            </w:r>
          </w:p>
        </w:tc>
      </w:tr>
      <w:tr w:rsidR="00CB38F2" w:rsidRPr="00CB38F2" w14:paraId="168EDB48"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492B893B"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15104</w:t>
            </w:r>
          </w:p>
        </w:tc>
        <w:tc>
          <w:tcPr>
            <w:tcW w:w="1967" w:type="dxa"/>
            <w:tcBorders>
              <w:top w:val="nil"/>
              <w:left w:val="nil"/>
              <w:bottom w:val="single" w:sz="8" w:space="0" w:color="C2D69B"/>
              <w:right w:val="single" w:sz="8" w:space="0" w:color="C2D69B"/>
            </w:tcBorders>
            <w:shd w:val="clear" w:color="auto" w:fill="auto"/>
            <w:noWrap/>
            <w:vAlign w:val="center"/>
            <w:hideMark/>
          </w:tcPr>
          <w:p w14:paraId="263C845C"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México</w:t>
            </w:r>
          </w:p>
        </w:tc>
        <w:tc>
          <w:tcPr>
            <w:tcW w:w="1701" w:type="dxa"/>
            <w:tcBorders>
              <w:top w:val="nil"/>
              <w:left w:val="nil"/>
              <w:bottom w:val="single" w:sz="8" w:space="0" w:color="C2D69B"/>
              <w:right w:val="single" w:sz="8" w:space="0" w:color="C2D69B"/>
            </w:tcBorders>
            <w:shd w:val="clear" w:color="auto" w:fill="auto"/>
            <w:noWrap/>
            <w:vAlign w:val="center"/>
            <w:hideMark/>
          </w:tcPr>
          <w:p w14:paraId="7AAE94C9"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Tlalnepantla de Baz</w:t>
            </w:r>
          </w:p>
        </w:tc>
      </w:tr>
      <w:tr w:rsidR="00CB38F2" w:rsidRPr="00CB38F2" w14:paraId="28BAEDD2"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017F212B"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15106</w:t>
            </w:r>
          </w:p>
        </w:tc>
        <w:tc>
          <w:tcPr>
            <w:tcW w:w="1967" w:type="dxa"/>
            <w:tcBorders>
              <w:top w:val="nil"/>
              <w:left w:val="nil"/>
              <w:bottom w:val="single" w:sz="8" w:space="0" w:color="C2D69B"/>
              <w:right w:val="single" w:sz="8" w:space="0" w:color="C2D69B"/>
            </w:tcBorders>
            <w:shd w:val="clear" w:color="000000" w:fill="EAF1DD"/>
            <w:noWrap/>
            <w:vAlign w:val="center"/>
            <w:hideMark/>
          </w:tcPr>
          <w:p w14:paraId="05281118"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México</w:t>
            </w:r>
          </w:p>
        </w:tc>
        <w:tc>
          <w:tcPr>
            <w:tcW w:w="1701" w:type="dxa"/>
            <w:tcBorders>
              <w:top w:val="nil"/>
              <w:left w:val="nil"/>
              <w:bottom w:val="single" w:sz="8" w:space="0" w:color="C2D69B"/>
              <w:right w:val="single" w:sz="8" w:space="0" w:color="C2D69B"/>
            </w:tcBorders>
            <w:shd w:val="clear" w:color="000000" w:fill="EAF1DD"/>
            <w:noWrap/>
            <w:vAlign w:val="center"/>
            <w:hideMark/>
          </w:tcPr>
          <w:p w14:paraId="6D24681C"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Toluca</w:t>
            </w:r>
          </w:p>
        </w:tc>
      </w:tr>
      <w:tr w:rsidR="00CB38F2" w:rsidRPr="00CB38F2" w14:paraId="1A18385F"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26425E3E"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15109</w:t>
            </w:r>
          </w:p>
        </w:tc>
        <w:tc>
          <w:tcPr>
            <w:tcW w:w="1967" w:type="dxa"/>
            <w:tcBorders>
              <w:top w:val="nil"/>
              <w:left w:val="nil"/>
              <w:bottom w:val="single" w:sz="8" w:space="0" w:color="C2D69B"/>
              <w:right w:val="single" w:sz="8" w:space="0" w:color="C2D69B"/>
            </w:tcBorders>
            <w:shd w:val="clear" w:color="auto" w:fill="auto"/>
            <w:noWrap/>
            <w:vAlign w:val="center"/>
            <w:hideMark/>
          </w:tcPr>
          <w:p w14:paraId="5B2638E7" w14:textId="77777777" w:rsidR="003A6DC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México</w:t>
            </w:r>
          </w:p>
        </w:tc>
        <w:tc>
          <w:tcPr>
            <w:tcW w:w="1701" w:type="dxa"/>
            <w:tcBorders>
              <w:top w:val="nil"/>
              <w:left w:val="nil"/>
              <w:bottom w:val="single" w:sz="8" w:space="0" w:color="C2D69B"/>
              <w:right w:val="single" w:sz="8" w:space="0" w:color="C2D69B"/>
            </w:tcBorders>
            <w:shd w:val="clear" w:color="auto" w:fill="auto"/>
            <w:noWrap/>
            <w:vAlign w:val="center"/>
            <w:hideMark/>
          </w:tcPr>
          <w:p w14:paraId="6461E197"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Tultitlán</w:t>
            </w:r>
          </w:p>
        </w:tc>
      </w:tr>
      <w:tr w:rsidR="00CB38F2" w:rsidRPr="00CB38F2" w14:paraId="1F13C87B" w14:textId="77777777" w:rsidTr="00487925">
        <w:trPr>
          <w:trHeight w:val="280"/>
          <w:jc w:val="center"/>
        </w:trPr>
        <w:tc>
          <w:tcPr>
            <w:tcW w:w="585" w:type="dxa"/>
            <w:tcBorders>
              <w:top w:val="nil"/>
              <w:left w:val="nil"/>
              <w:bottom w:val="single" w:sz="8" w:space="0" w:color="C2D69B"/>
              <w:right w:val="single" w:sz="8" w:space="0" w:color="C2D69B"/>
            </w:tcBorders>
            <w:shd w:val="clear" w:color="auto" w:fill="99CC00"/>
            <w:noWrap/>
            <w:vAlign w:val="center"/>
          </w:tcPr>
          <w:p w14:paraId="1E04D84B" w14:textId="476E3668" w:rsidR="00CB38F2" w:rsidRPr="003551FF" w:rsidRDefault="00CB38F2" w:rsidP="00CB38F2">
            <w:pPr>
              <w:spacing w:after="0" w:line="240" w:lineRule="auto"/>
              <w:jc w:val="right"/>
              <w:rPr>
                <w:rFonts w:ascii="Arial" w:eastAsia="Times New Roman" w:hAnsi="Arial" w:cs="Arial"/>
                <w:b/>
                <w:color w:val="000000"/>
                <w:sz w:val="16"/>
                <w:szCs w:val="16"/>
                <w:lang w:val="es-MX" w:eastAsia="es-MX"/>
              </w:rPr>
            </w:pPr>
            <w:r w:rsidRPr="00CB38F2">
              <w:rPr>
                <w:rFonts w:ascii="Arial" w:eastAsia="Times New Roman" w:hAnsi="Arial" w:cs="Arial"/>
                <w:b/>
                <w:bCs/>
                <w:color w:val="000000"/>
                <w:sz w:val="16"/>
                <w:szCs w:val="16"/>
                <w:lang w:val="es-MX" w:eastAsia="es-MX"/>
              </w:rPr>
              <w:t>Clave</w:t>
            </w:r>
          </w:p>
        </w:tc>
        <w:tc>
          <w:tcPr>
            <w:tcW w:w="1967" w:type="dxa"/>
            <w:tcBorders>
              <w:top w:val="nil"/>
              <w:left w:val="nil"/>
              <w:bottom w:val="single" w:sz="8" w:space="0" w:color="C2D69B"/>
              <w:right w:val="single" w:sz="8" w:space="0" w:color="C2D69B"/>
            </w:tcBorders>
            <w:shd w:val="clear" w:color="auto" w:fill="99CC00"/>
            <w:noWrap/>
            <w:vAlign w:val="center"/>
          </w:tcPr>
          <w:p w14:paraId="3AEA72C3" w14:textId="6A2A1782" w:rsidR="00CB38F2" w:rsidRPr="00CB38F2" w:rsidRDefault="00CB38F2" w:rsidP="00CB38F2">
            <w:pPr>
              <w:spacing w:after="0" w:line="240" w:lineRule="auto"/>
              <w:rPr>
                <w:rFonts w:ascii="Arial" w:eastAsia="Times New Roman" w:hAnsi="Arial" w:cs="Arial"/>
                <w:b/>
                <w:bCs/>
                <w:color w:val="000000"/>
                <w:sz w:val="16"/>
                <w:szCs w:val="16"/>
                <w:lang w:val="es-MX" w:eastAsia="es-MX"/>
              </w:rPr>
            </w:pPr>
            <w:r w:rsidRPr="00CB38F2">
              <w:rPr>
                <w:rFonts w:ascii="Arial" w:eastAsia="Times New Roman" w:hAnsi="Arial" w:cs="Arial"/>
                <w:b/>
                <w:bCs/>
                <w:color w:val="000000"/>
                <w:sz w:val="16"/>
                <w:szCs w:val="16"/>
                <w:lang w:val="es-MX" w:eastAsia="es-MX"/>
              </w:rPr>
              <w:t>Estado</w:t>
            </w:r>
          </w:p>
        </w:tc>
        <w:tc>
          <w:tcPr>
            <w:tcW w:w="1701" w:type="dxa"/>
            <w:tcBorders>
              <w:top w:val="nil"/>
              <w:left w:val="nil"/>
              <w:bottom w:val="single" w:sz="8" w:space="0" w:color="C2D69B"/>
              <w:right w:val="single" w:sz="8" w:space="0" w:color="C2D69B"/>
            </w:tcBorders>
            <w:shd w:val="clear" w:color="auto" w:fill="99CC00"/>
            <w:noWrap/>
            <w:vAlign w:val="center"/>
          </w:tcPr>
          <w:p w14:paraId="4F41818C" w14:textId="6BD4CD5C" w:rsidR="00CB38F2" w:rsidRPr="003551FF" w:rsidRDefault="00CB38F2" w:rsidP="00CB38F2">
            <w:pPr>
              <w:spacing w:after="0" w:line="240" w:lineRule="auto"/>
              <w:rPr>
                <w:rFonts w:ascii="Arial" w:eastAsia="Times New Roman" w:hAnsi="Arial" w:cs="Arial"/>
                <w:b/>
                <w:color w:val="000000"/>
                <w:sz w:val="16"/>
                <w:szCs w:val="16"/>
                <w:lang w:val="es-MX" w:eastAsia="es-MX"/>
              </w:rPr>
            </w:pPr>
            <w:r w:rsidRPr="00CB38F2">
              <w:rPr>
                <w:rFonts w:ascii="Arial" w:eastAsia="Times New Roman" w:hAnsi="Arial" w:cs="Arial"/>
                <w:b/>
                <w:bCs/>
                <w:color w:val="000000"/>
                <w:sz w:val="16"/>
                <w:szCs w:val="16"/>
                <w:lang w:val="es-MX" w:eastAsia="es-MX"/>
              </w:rPr>
              <w:t>Municipio</w:t>
            </w:r>
          </w:p>
        </w:tc>
      </w:tr>
      <w:tr w:rsidR="00CB38F2" w:rsidRPr="00CB38F2" w14:paraId="6769F756"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2E37582C"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16069</w:t>
            </w:r>
          </w:p>
        </w:tc>
        <w:tc>
          <w:tcPr>
            <w:tcW w:w="1967" w:type="dxa"/>
            <w:tcBorders>
              <w:top w:val="nil"/>
              <w:left w:val="nil"/>
              <w:bottom w:val="single" w:sz="8" w:space="0" w:color="C2D69B"/>
              <w:right w:val="single" w:sz="8" w:space="0" w:color="C2D69B"/>
            </w:tcBorders>
            <w:shd w:val="clear" w:color="000000" w:fill="EAF1DD"/>
            <w:noWrap/>
            <w:vAlign w:val="center"/>
            <w:hideMark/>
          </w:tcPr>
          <w:p w14:paraId="1C3E6AA6"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Michoacán de Ocampo</w:t>
            </w:r>
          </w:p>
        </w:tc>
        <w:tc>
          <w:tcPr>
            <w:tcW w:w="1701" w:type="dxa"/>
            <w:tcBorders>
              <w:top w:val="nil"/>
              <w:left w:val="nil"/>
              <w:bottom w:val="single" w:sz="8" w:space="0" w:color="C2D69B"/>
              <w:right w:val="single" w:sz="8" w:space="0" w:color="C2D69B"/>
            </w:tcBorders>
            <w:shd w:val="clear" w:color="000000" w:fill="EAF1DD"/>
            <w:noWrap/>
            <w:vAlign w:val="center"/>
            <w:hideMark/>
          </w:tcPr>
          <w:p w14:paraId="218E33E7"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La Piedad</w:t>
            </w:r>
          </w:p>
        </w:tc>
      </w:tr>
      <w:tr w:rsidR="00CB38F2" w:rsidRPr="00CB38F2" w14:paraId="0C6A0F8E"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674296F3"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16108</w:t>
            </w:r>
          </w:p>
        </w:tc>
        <w:tc>
          <w:tcPr>
            <w:tcW w:w="1967" w:type="dxa"/>
            <w:tcBorders>
              <w:top w:val="nil"/>
              <w:left w:val="nil"/>
              <w:bottom w:val="single" w:sz="8" w:space="0" w:color="C2D69B"/>
              <w:right w:val="single" w:sz="8" w:space="0" w:color="C2D69B"/>
            </w:tcBorders>
            <w:shd w:val="clear" w:color="auto" w:fill="auto"/>
            <w:noWrap/>
            <w:vAlign w:val="center"/>
            <w:hideMark/>
          </w:tcPr>
          <w:p w14:paraId="00A5DA06"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Michoacán de Ocampo</w:t>
            </w:r>
          </w:p>
        </w:tc>
        <w:tc>
          <w:tcPr>
            <w:tcW w:w="1701" w:type="dxa"/>
            <w:tcBorders>
              <w:top w:val="nil"/>
              <w:left w:val="nil"/>
              <w:bottom w:val="single" w:sz="8" w:space="0" w:color="C2D69B"/>
              <w:right w:val="single" w:sz="8" w:space="0" w:color="C2D69B"/>
            </w:tcBorders>
            <w:shd w:val="clear" w:color="auto" w:fill="auto"/>
            <w:noWrap/>
            <w:vAlign w:val="center"/>
            <w:hideMark/>
          </w:tcPr>
          <w:p w14:paraId="75A9C150"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Zamora</w:t>
            </w:r>
          </w:p>
        </w:tc>
      </w:tr>
      <w:tr w:rsidR="00CB38F2" w:rsidRPr="00CB38F2" w14:paraId="06150DAD"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5BE37268"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17006</w:t>
            </w:r>
          </w:p>
        </w:tc>
        <w:tc>
          <w:tcPr>
            <w:tcW w:w="1967" w:type="dxa"/>
            <w:tcBorders>
              <w:top w:val="nil"/>
              <w:left w:val="nil"/>
              <w:bottom w:val="single" w:sz="8" w:space="0" w:color="C2D69B"/>
              <w:right w:val="single" w:sz="8" w:space="0" w:color="C2D69B"/>
            </w:tcBorders>
            <w:shd w:val="clear" w:color="000000" w:fill="EAF1DD"/>
            <w:noWrap/>
            <w:vAlign w:val="center"/>
            <w:hideMark/>
          </w:tcPr>
          <w:p w14:paraId="3FA8E5FC"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Morelos</w:t>
            </w:r>
          </w:p>
        </w:tc>
        <w:tc>
          <w:tcPr>
            <w:tcW w:w="1701" w:type="dxa"/>
            <w:tcBorders>
              <w:top w:val="nil"/>
              <w:left w:val="nil"/>
              <w:bottom w:val="single" w:sz="8" w:space="0" w:color="C2D69B"/>
              <w:right w:val="single" w:sz="8" w:space="0" w:color="C2D69B"/>
            </w:tcBorders>
            <w:shd w:val="clear" w:color="000000" w:fill="EAF1DD"/>
            <w:noWrap/>
            <w:vAlign w:val="center"/>
            <w:hideMark/>
          </w:tcPr>
          <w:p w14:paraId="4D8BC518"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Cuautla</w:t>
            </w:r>
          </w:p>
        </w:tc>
      </w:tr>
      <w:tr w:rsidR="00CB38F2" w:rsidRPr="00CB38F2" w14:paraId="2C1C5243"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70BA6529"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17007</w:t>
            </w:r>
          </w:p>
        </w:tc>
        <w:tc>
          <w:tcPr>
            <w:tcW w:w="1967" w:type="dxa"/>
            <w:tcBorders>
              <w:top w:val="nil"/>
              <w:left w:val="nil"/>
              <w:bottom w:val="single" w:sz="8" w:space="0" w:color="C2D69B"/>
              <w:right w:val="single" w:sz="8" w:space="0" w:color="C2D69B"/>
            </w:tcBorders>
            <w:shd w:val="clear" w:color="auto" w:fill="auto"/>
            <w:noWrap/>
            <w:vAlign w:val="center"/>
            <w:hideMark/>
          </w:tcPr>
          <w:p w14:paraId="39C7C264"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Morelos</w:t>
            </w:r>
          </w:p>
        </w:tc>
        <w:tc>
          <w:tcPr>
            <w:tcW w:w="1701" w:type="dxa"/>
            <w:tcBorders>
              <w:top w:val="nil"/>
              <w:left w:val="nil"/>
              <w:bottom w:val="single" w:sz="8" w:space="0" w:color="C2D69B"/>
              <w:right w:val="single" w:sz="8" w:space="0" w:color="C2D69B"/>
            </w:tcBorders>
            <w:shd w:val="clear" w:color="auto" w:fill="auto"/>
            <w:noWrap/>
            <w:vAlign w:val="center"/>
            <w:hideMark/>
          </w:tcPr>
          <w:p w14:paraId="3F7950C4"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Cuernavaca</w:t>
            </w:r>
          </w:p>
        </w:tc>
      </w:tr>
      <w:tr w:rsidR="00CB38F2" w:rsidRPr="00CB38F2" w14:paraId="62F6D810"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558C8CC3"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17017</w:t>
            </w:r>
          </w:p>
        </w:tc>
        <w:tc>
          <w:tcPr>
            <w:tcW w:w="1967" w:type="dxa"/>
            <w:tcBorders>
              <w:top w:val="nil"/>
              <w:left w:val="nil"/>
              <w:bottom w:val="single" w:sz="8" w:space="0" w:color="C2D69B"/>
              <w:right w:val="single" w:sz="8" w:space="0" w:color="C2D69B"/>
            </w:tcBorders>
            <w:shd w:val="clear" w:color="000000" w:fill="EAF1DD"/>
            <w:noWrap/>
            <w:vAlign w:val="center"/>
            <w:hideMark/>
          </w:tcPr>
          <w:p w14:paraId="0C00E611"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Morelos</w:t>
            </w:r>
          </w:p>
        </w:tc>
        <w:tc>
          <w:tcPr>
            <w:tcW w:w="1701" w:type="dxa"/>
            <w:tcBorders>
              <w:top w:val="nil"/>
              <w:left w:val="nil"/>
              <w:bottom w:val="single" w:sz="8" w:space="0" w:color="C2D69B"/>
              <w:right w:val="single" w:sz="8" w:space="0" w:color="C2D69B"/>
            </w:tcBorders>
            <w:shd w:val="clear" w:color="000000" w:fill="EAF1DD"/>
            <w:noWrap/>
            <w:vAlign w:val="center"/>
            <w:hideMark/>
          </w:tcPr>
          <w:p w14:paraId="1986C9C2"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Puente de Ixtla</w:t>
            </w:r>
          </w:p>
        </w:tc>
      </w:tr>
      <w:tr w:rsidR="00CB38F2" w:rsidRPr="00CB38F2" w14:paraId="77EB6579"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32CBCDAE"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18017</w:t>
            </w:r>
          </w:p>
        </w:tc>
        <w:tc>
          <w:tcPr>
            <w:tcW w:w="1967" w:type="dxa"/>
            <w:tcBorders>
              <w:top w:val="nil"/>
              <w:left w:val="nil"/>
              <w:bottom w:val="single" w:sz="8" w:space="0" w:color="C2D69B"/>
              <w:right w:val="single" w:sz="8" w:space="0" w:color="C2D69B"/>
            </w:tcBorders>
            <w:shd w:val="clear" w:color="auto" w:fill="auto"/>
            <w:noWrap/>
            <w:vAlign w:val="center"/>
            <w:hideMark/>
          </w:tcPr>
          <w:p w14:paraId="4F9E6D51"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Nayarit</w:t>
            </w:r>
          </w:p>
        </w:tc>
        <w:tc>
          <w:tcPr>
            <w:tcW w:w="1701" w:type="dxa"/>
            <w:tcBorders>
              <w:top w:val="nil"/>
              <w:left w:val="nil"/>
              <w:bottom w:val="single" w:sz="8" w:space="0" w:color="C2D69B"/>
              <w:right w:val="single" w:sz="8" w:space="0" w:color="C2D69B"/>
            </w:tcBorders>
            <w:shd w:val="clear" w:color="auto" w:fill="auto"/>
            <w:noWrap/>
            <w:vAlign w:val="center"/>
            <w:hideMark/>
          </w:tcPr>
          <w:p w14:paraId="0BD4A5DA"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Tepic</w:t>
            </w:r>
          </w:p>
        </w:tc>
      </w:tr>
      <w:tr w:rsidR="00CB38F2" w:rsidRPr="00CB38F2" w14:paraId="1719C864"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1CA0C586"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19006</w:t>
            </w:r>
          </w:p>
        </w:tc>
        <w:tc>
          <w:tcPr>
            <w:tcW w:w="1967" w:type="dxa"/>
            <w:tcBorders>
              <w:top w:val="nil"/>
              <w:left w:val="nil"/>
              <w:bottom w:val="single" w:sz="8" w:space="0" w:color="C2D69B"/>
              <w:right w:val="single" w:sz="8" w:space="0" w:color="C2D69B"/>
            </w:tcBorders>
            <w:shd w:val="clear" w:color="000000" w:fill="EAF1DD"/>
            <w:noWrap/>
            <w:vAlign w:val="center"/>
            <w:hideMark/>
          </w:tcPr>
          <w:p w14:paraId="5EC6752D"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Nuevo León</w:t>
            </w:r>
          </w:p>
        </w:tc>
        <w:tc>
          <w:tcPr>
            <w:tcW w:w="1701" w:type="dxa"/>
            <w:tcBorders>
              <w:top w:val="nil"/>
              <w:left w:val="nil"/>
              <w:bottom w:val="single" w:sz="8" w:space="0" w:color="C2D69B"/>
              <w:right w:val="single" w:sz="8" w:space="0" w:color="C2D69B"/>
            </w:tcBorders>
            <w:shd w:val="clear" w:color="000000" w:fill="EAF1DD"/>
            <w:noWrap/>
            <w:vAlign w:val="center"/>
            <w:hideMark/>
          </w:tcPr>
          <w:p w14:paraId="7E8A34D5"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Apodaca</w:t>
            </w:r>
          </w:p>
        </w:tc>
      </w:tr>
      <w:tr w:rsidR="00CB38F2" w:rsidRPr="00CB38F2" w14:paraId="1B074733"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5329654A"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19026</w:t>
            </w:r>
          </w:p>
        </w:tc>
        <w:tc>
          <w:tcPr>
            <w:tcW w:w="1967" w:type="dxa"/>
            <w:tcBorders>
              <w:top w:val="nil"/>
              <w:left w:val="nil"/>
              <w:bottom w:val="single" w:sz="8" w:space="0" w:color="C2D69B"/>
              <w:right w:val="single" w:sz="8" w:space="0" w:color="C2D69B"/>
            </w:tcBorders>
            <w:shd w:val="clear" w:color="auto" w:fill="auto"/>
            <w:noWrap/>
            <w:vAlign w:val="center"/>
            <w:hideMark/>
          </w:tcPr>
          <w:p w14:paraId="761FB43A"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Nuevo León</w:t>
            </w:r>
          </w:p>
        </w:tc>
        <w:tc>
          <w:tcPr>
            <w:tcW w:w="1701" w:type="dxa"/>
            <w:tcBorders>
              <w:top w:val="nil"/>
              <w:left w:val="nil"/>
              <w:bottom w:val="single" w:sz="8" w:space="0" w:color="C2D69B"/>
              <w:right w:val="single" w:sz="8" w:space="0" w:color="C2D69B"/>
            </w:tcBorders>
            <w:shd w:val="clear" w:color="auto" w:fill="auto"/>
            <w:noWrap/>
            <w:vAlign w:val="center"/>
            <w:hideMark/>
          </w:tcPr>
          <w:p w14:paraId="395207F0"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Guadalupe</w:t>
            </w:r>
          </w:p>
        </w:tc>
      </w:tr>
      <w:tr w:rsidR="00CB38F2" w:rsidRPr="00CB38F2" w14:paraId="21136C56"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01432E2C"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19039</w:t>
            </w:r>
          </w:p>
        </w:tc>
        <w:tc>
          <w:tcPr>
            <w:tcW w:w="1967" w:type="dxa"/>
            <w:tcBorders>
              <w:top w:val="nil"/>
              <w:left w:val="nil"/>
              <w:bottom w:val="single" w:sz="8" w:space="0" w:color="C2D69B"/>
              <w:right w:val="single" w:sz="8" w:space="0" w:color="C2D69B"/>
            </w:tcBorders>
            <w:shd w:val="clear" w:color="000000" w:fill="EAF1DD"/>
            <w:noWrap/>
            <w:vAlign w:val="center"/>
            <w:hideMark/>
          </w:tcPr>
          <w:p w14:paraId="094EFBC5"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Nuevo León</w:t>
            </w:r>
          </w:p>
        </w:tc>
        <w:tc>
          <w:tcPr>
            <w:tcW w:w="1701" w:type="dxa"/>
            <w:tcBorders>
              <w:top w:val="nil"/>
              <w:left w:val="nil"/>
              <w:bottom w:val="single" w:sz="8" w:space="0" w:color="C2D69B"/>
              <w:right w:val="single" w:sz="8" w:space="0" w:color="C2D69B"/>
            </w:tcBorders>
            <w:shd w:val="clear" w:color="000000" w:fill="EAF1DD"/>
            <w:noWrap/>
            <w:vAlign w:val="center"/>
            <w:hideMark/>
          </w:tcPr>
          <w:p w14:paraId="361D675F"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Monterrey</w:t>
            </w:r>
          </w:p>
        </w:tc>
      </w:tr>
      <w:tr w:rsidR="00CB38F2" w:rsidRPr="00CB38F2" w14:paraId="40F657C6"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012FDFAF"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19046</w:t>
            </w:r>
          </w:p>
        </w:tc>
        <w:tc>
          <w:tcPr>
            <w:tcW w:w="1967" w:type="dxa"/>
            <w:tcBorders>
              <w:top w:val="nil"/>
              <w:left w:val="nil"/>
              <w:bottom w:val="single" w:sz="8" w:space="0" w:color="C2D69B"/>
              <w:right w:val="single" w:sz="8" w:space="0" w:color="C2D69B"/>
            </w:tcBorders>
            <w:shd w:val="clear" w:color="auto" w:fill="auto"/>
            <w:noWrap/>
            <w:vAlign w:val="center"/>
            <w:hideMark/>
          </w:tcPr>
          <w:p w14:paraId="24A4F825"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Nuevo León</w:t>
            </w:r>
          </w:p>
        </w:tc>
        <w:tc>
          <w:tcPr>
            <w:tcW w:w="1701" w:type="dxa"/>
            <w:tcBorders>
              <w:top w:val="nil"/>
              <w:left w:val="nil"/>
              <w:bottom w:val="single" w:sz="8" w:space="0" w:color="C2D69B"/>
              <w:right w:val="single" w:sz="8" w:space="0" w:color="C2D69B"/>
            </w:tcBorders>
            <w:shd w:val="clear" w:color="auto" w:fill="auto"/>
            <w:noWrap/>
            <w:vAlign w:val="center"/>
            <w:hideMark/>
          </w:tcPr>
          <w:p w14:paraId="67D0666D"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San Nicolás de los Garza</w:t>
            </w:r>
          </w:p>
        </w:tc>
      </w:tr>
      <w:tr w:rsidR="00CB38F2" w:rsidRPr="00CB38F2" w14:paraId="7D92656F"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459225F0"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19048</w:t>
            </w:r>
          </w:p>
        </w:tc>
        <w:tc>
          <w:tcPr>
            <w:tcW w:w="1967" w:type="dxa"/>
            <w:tcBorders>
              <w:top w:val="nil"/>
              <w:left w:val="nil"/>
              <w:bottom w:val="single" w:sz="8" w:space="0" w:color="C2D69B"/>
              <w:right w:val="single" w:sz="8" w:space="0" w:color="C2D69B"/>
            </w:tcBorders>
            <w:shd w:val="clear" w:color="000000" w:fill="EAF1DD"/>
            <w:noWrap/>
            <w:vAlign w:val="center"/>
            <w:hideMark/>
          </w:tcPr>
          <w:p w14:paraId="12C64E51"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Nuevo León</w:t>
            </w:r>
          </w:p>
        </w:tc>
        <w:tc>
          <w:tcPr>
            <w:tcW w:w="1701" w:type="dxa"/>
            <w:tcBorders>
              <w:top w:val="nil"/>
              <w:left w:val="nil"/>
              <w:bottom w:val="single" w:sz="8" w:space="0" w:color="C2D69B"/>
              <w:right w:val="single" w:sz="8" w:space="0" w:color="C2D69B"/>
            </w:tcBorders>
            <w:shd w:val="clear" w:color="000000" w:fill="EAF1DD"/>
            <w:noWrap/>
            <w:vAlign w:val="center"/>
            <w:hideMark/>
          </w:tcPr>
          <w:p w14:paraId="5CB74301"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Santa Catarina</w:t>
            </w:r>
          </w:p>
        </w:tc>
      </w:tr>
      <w:tr w:rsidR="00CB38F2" w:rsidRPr="00CB38F2" w14:paraId="51C62421"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744A5EFD"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20067</w:t>
            </w:r>
          </w:p>
        </w:tc>
        <w:tc>
          <w:tcPr>
            <w:tcW w:w="1967" w:type="dxa"/>
            <w:tcBorders>
              <w:top w:val="nil"/>
              <w:left w:val="nil"/>
              <w:bottom w:val="single" w:sz="8" w:space="0" w:color="C2D69B"/>
              <w:right w:val="single" w:sz="8" w:space="0" w:color="C2D69B"/>
            </w:tcBorders>
            <w:shd w:val="clear" w:color="auto" w:fill="auto"/>
            <w:noWrap/>
            <w:vAlign w:val="center"/>
            <w:hideMark/>
          </w:tcPr>
          <w:p w14:paraId="642AFFED"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Oaxaca</w:t>
            </w:r>
          </w:p>
        </w:tc>
        <w:tc>
          <w:tcPr>
            <w:tcW w:w="1701" w:type="dxa"/>
            <w:tcBorders>
              <w:top w:val="nil"/>
              <w:left w:val="nil"/>
              <w:bottom w:val="single" w:sz="8" w:space="0" w:color="C2D69B"/>
              <w:right w:val="single" w:sz="8" w:space="0" w:color="C2D69B"/>
            </w:tcBorders>
            <w:shd w:val="clear" w:color="auto" w:fill="auto"/>
            <w:noWrap/>
            <w:vAlign w:val="center"/>
            <w:hideMark/>
          </w:tcPr>
          <w:p w14:paraId="60A91637"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Oaxaca de Juárez</w:t>
            </w:r>
          </w:p>
        </w:tc>
      </w:tr>
      <w:tr w:rsidR="00CB38F2" w:rsidRPr="00CB38F2" w14:paraId="5B144CB2"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3964F243"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21114</w:t>
            </w:r>
          </w:p>
        </w:tc>
        <w:tc>
          <w:tcPr>
            <w:tcW w:w="1967" w:type="dxa"/>
            <w:tcBorders>
              <w:top w:val="nil"/>
              <w:left w:val="nil"/>
              <w:bottom w:val="single" w:sz="8" w:space="0" w:color="C2D69B"/>
              <w:right w:val="single" w:sz="8" w:space="0" w:color="C2D69B"/>
            </w:tcBorders>
            <w:shd w:val="clear" w:color="000000" w:fill="EAF1DD"/>
            <w:noWrap/>
            <w:vAlign w:val="center"/>
            <w:hideMark/>
          </w:tcPr>
          <w:p w14:paraId="70AEB9DF"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Puebla</w:t>
            </w:r>
          </w:p>
        </w:tc>
        <w:tc>
          <w:tcPr>
            <w:tcW w:w="1701" w:type="dxa"/>
            <w:tcBorders>
              <w:top w:val="nil"/>
              <w:left w:val="nil"/>
              <w:bottom w:val="single" w:sz="8" w:space="0" w:color="C2D69B"/>
              <w:right w:val="single" w:sz="8" w:space="0" w:color="C2D69B"/>
            </w:tcBorders>
            <w:shd w:val="clear" w:color="000000" w:fill="EAF1DD"/>
            <w:noWrap/>
            <w:vAlign w:val="center"/>
            <w:hideMark/>
          </w:tcPr>
          <w:p w14:paraId="7A1D8F6D"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Puebla</w:t>
            </w:r>
          </w:p>
        </w:tc>
      </w:tr>
      <w:tr w:rsidR="00CB38F2" w:rsidRPr="00CB38F2" w14:paraId="39464874"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34CF2B7F"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21119</w:t>
            </w:r>
          </w:p>
        </w:tc>
        <w:tc>
          <w:tcPr>
            <w:tcW w:w="1967" w:type="dxa"/>
            <w:tcBorders>
              <w:top w:val="nil"/>
              <w:left w:val="nil"/>
              <w:bottom w:val="single" w:sz="8" w:space="0" w:color="C2D69B"/>
              <w:right w:val="single" w:sz="8" w:space="0" w:color="C2D69B"/>
            </w:tcBorders>
            <w:shd w:val="clear" w:color="auto" w:fill="auto"/>
            <w:noWrap/>
            <w:vAlign w:val="center"/>
            <w:hideMark/>
          </w:tcPr>
          <w:p w14:paraId="0AC47105"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Puebla</w:t>
            </w:r>
          </w:p>
        </w:tc>
        <w:tc>
          <w:tcPr>
            <w:tcW w:w="1701" w:type="dxa"/>
            <w:tcBorders>
              <w:top w:val="nil"/>
              <w:left w:val="nil"/>
              <w:bottom w:val="single" w:sz="8" w:space="0" w:color="C2D69B"/>
              <w:right w:val="single" w:sz="8" w:space="0" w:color="C2D69B"/>
            </w:tcBorders>
            <w:shd w:val="clear" w:color="auto" w:fill="auto"/>
            <w:noWrap/>
            <w:vAlign w:val="center"/>
            <w:hideMark/>
          </w:tcPr>
          <w:p w14:paraId="2D30840A"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San Andrés Cholula</w:t>
            </w:r>
          </w:p>
        </w:tc>
      </w:tr>
      <w:tr w:rsidR="00CB38F2" w:rsidRPr="00CB38F2" w14:paraId="336CDFC4"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5856554B"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22014</w:t>
            </w:r>
          </w:p>
        </w:tc>
        <w:tc>
          <w:tcPr>
            <w:tcW w:w="1967" w:type="dxa"/>
            <w:tcBorders>
              <w:top w:val="nil"/>
              <w:left w:val="nil"/>
              <w:bottom w:val="single" w:sz="8" w:space="0" w:color="C2D69B"/>
              <w:right w:val="single" w:sz="8" w:space="0" w:color="C2D69B"/>
            </w:tcBorders>
            <w:shd w:val="clear" w:color="000000" w:fill="EAF1DD"/>
            <w:noWrap/>
            <w:vAlign w:val="center"/>
            <w:hideMark/>
          </w:tcPr>
          <w:p w14:paraId="0312FF35"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Querétaro</w:t>
            </w:r>
          </w:p>
        </w:tc>
        <w:tc>
          <w:tcPr>
            <w:tcW w:w="1701" w:type="dxa"/>
            <w:tcBorders>
              <w:top w:val="nil"/>
              <w:left w:val="nil"/>
              <w:bottom w:val="single" w:sz="8" w:space="0" w:color="C2D69B"/>
              <w:right w:val="single" w:sz="8" w:space="0" w:color="C2D69B"/>
            </w:tcBorders>
            <w:shd w:val="clear" w:color="000000" w:fill="EAF1DD"/>
            <w:noWrap/>
            <w:vAlign w:val="center"/>
            <w:hideMark/>
          </w:tcPr>
          <w:p w14:paraId="0AD54962"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Querétaro</w:t>
            </w:r>
          </w:p>
        </w:tc>
      </w:tr>
      <w:tr w:rsidR="00CB38F2" w:rsidRPr="00CB38F2" w14:paraId="2C455277"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72D11E49"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24028</w:t>
            </w:r>
          </w:p>
        </w:tc>
        <w:tc>
          <w:tcPr>
            <w:tcW w:w="1967" w:type="dxa"/>
            <w:tcBorders>
              <w:top w:val="nil"/>
              <w:left w:val="nil"/>
              <w:bottom w:val="single" w:sz="8" w:space="0" w:color="C2D69B"/>
              <w:right w:val="single" w:sz="8" w:space="0" w:color="C2D69B"/>
            </w:tcBorders>
            <w:shd w:val="clear" w:color="auto" w:fill="auto"/>
            <w:noWrap/>
            <w:vAlign w:val="center"/>
            <w:hideMark/>
          </w:tcPr>
          <w:p w14:paraId="5B83BB09"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San Luis Potosí</w:t>
            </w:r>
          </w:p>
        </w:tc>
        <w:tc>
          <w:tcPr>
            <w:tcW w:w="1701" w:type="dxa"/>
            <w:tcBorders>
              <w:top w:val="nil"/>
              <w:left w:val="nil"/>
              <w:bottom w:val="single" w:sz="8" w:space="0" w:color="C2D69B"/>
              <w:right w:val="single" w:sz="8" w:space="0" w:color="C2D69B"/>
            </w:tcBorders>
            <w:shd w:val="clear" w:color="auto" w:fill="auto"/>
            <w:noWrap/>
            <w:vAlign w:val="center"/>
            <w:hideMark/>
          </w:tcPr>
          <w:p w14:paraId="67AB28B3"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San Luis Potosí</w:t>
            </w:r>
          </w:p>
        </w:tc>
      </w:tr>
      <w:tr w:rsidR="00CB38F2" w:rsidRPr="00CB38F2" w14:paraId="320618B2"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7A79673C"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25006</w:t>
            </w:r>
          </w:p>
        </w:tc>
        <w:tc>
          <w:tcPr>
            <w:tcW w:w="1967" w:type="dxa"/>
            <w:tcBorders>
              <w:top w:val="nil"/>
              <w:left w:val="nil"/>
              <w:bottom w:val="single" w:sz="8" w:space="0" w:color="C2D69B"/>
              <w:right w:val="single" w:sz="8" w:space="0" w:color="C2D69B"/>
            </w:tcBorders>
            <w:shd w:val="clear" w:color="000000" w:fill="EAF1DD"/>
            <w:noWrap/>
            <w:vAlign w:val="center"/>
            <w:hideMark/>
          </w:tcPr>
          <w:p w14:paraId="1E7A57FE"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Sinaloa</w:t>
            </w:r>
          </w:p>
        </w:tc>
        <w:tc>
          <w:tcPr>
            <w:tcW w:w="1701" w:type="dxa"/>
            <w:tcBorders>
              <w:top w:val="nil"/>
              <w:left w:val="nil"/>
              <w:bottom w:val="single" w:sz="8" w:space="0" w:color="C2D69B"/>
              <w:right w:val="single" w:sz="8" w:space="0" w:color="C2D69B"/>
            </w:tcBorders>
            <w:shd w:val="clear" w:color="000000" w:fill="EAF1DD"/>
            <w:noWrap/>
            <w:vAlign w:val="center"/>
            <w:hideMark/>
          </w:tcPr>
          <w:p w14:paraId="568E7407"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Culiacán</w:t>
            </w:r>
          </w:p>
        </w:tc>
      </w:tr>
      <w:tr w:rsidR="00CB38F2" w:rsidRPr="00CB38F2" w14:paraId="04B0E631"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2EEE2A93"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25012</w:t>
            </w:r>
          </w:p>
        </w:tc>
        <w:tc>
          <w:tcPr>
            <w:tcW w:w="1967" w:type="dxa"/>
            <w:tcBorders>
              <w:top w:val="nil"/>
              <w:left w:val="nil"/>
              <w:bottom w:val="single" w:sz="8" w:space="0" w:color="C2D69B"/>
              <w:right w:val="single" w:sz="8" w:space="0" w:color="C2D69B"/>
            </w:tcBorders>
            <w:shd w:val="clear" w:color="auto" w:fill="auto"/>
            <w:noWrap/>
            <w:vAlign w:val="center"/>
            <w:hideMark/>
          </w:tcPr>
          <w:p w14:paraId="01E40EF1"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Sinaloa</w:t>
            </w:r>
          </w:p>
        </w:tc>
        <w:tc>
          <w:tcPr>
            <w:tcW w:w="1701" w:type="dxa"/>
            <w:tcBorders>
              <w:top w:val="nil"/>
              <w:left w:val="nil"/>
              <w:bottom w:val="single" w:sz="8" w:space="0" w:color="C2D69B"/>
              <w:right w:val="single" w:sz="8" w:space="0" w:color="C2D69B"/>
            </w:tcBorders>
            <w:shd w:val="clear" w:color="auto" w:fill="auto"/>
            <w:noWrap/>
            <w:vAlign w:val="center"/>
            <w:hideMark/>
          </w:tcPr>
          <w:p w14:paraId="251DD63F"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Mazatlán</w:t>
            </w:r>
          </w:p>
        </w:tc>
      </w:tr>
      <w:tr w:rsidR="00CB38F2" w:rsidRPr="00CB38F2" w14:paraId="187F9DB2"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117B8BDE"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26002</w:t>
            </w:r>
          </w:p>
        </w:tc>
        <w:tc>
          <w:tcPr>
            <w:tcW w:w="1967" w:type="dxa"/>
            <w:tcBorders>
              <w:top w:val="nil"/>
              <w:left w:val="nil"/>
              <w:bottom w:val="single" w:sz="8" w:space="0" w:color="C2D69B"/>
              <w:right w:val="single" w:sz="8" w:space="0" w:color="C2D69B"/>
            </w:tcBorders>
            <w:shd w:val="clear" w:color="000000" w:fill="EAF1DD"/>
            <w:noWrap/>
            <w:vAlign w:val="center"/>
            <w:hideMark/>
          </w:tcPr>
          <w:p w14:paraId="4BB1819D"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Sonora</w:t>
            </w:r>
          </w:p>
        </w:tc>
        <w:tc>
          <w:tcPr>
            <w:tcW w:w="1701" w:type="dxa"/>
            <w:tcBorders>
              <w:top w:val="nil"/>
              <w:left w:val="nil"/>
              <w:bottom w:val="single" w:sz="8" w:space="0" w:color="C2D69B"/>
              <w:right w:val="single" w:sz="8" w:space="0" w:color="C2D69B"/>
            </w:tcBorders>
            <w:shd w:val="clear" w:color="000000" w:fill="EAF1DD"/>
            <w:noWrap/>
            <w:vAlign w:val="center"/>
            <w:hideMark/>
          </w:tcPr>
          <w:p w14:paraId="73C64630"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Agua Prieta</w:t>
            </w:r>
          </w:p>
        </w:tc>
      </w:tr>
      <w:tr w:rsidR="00CB38F2" w:rsidRPr="00CB38F2" w14:paraId="77371032"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72D16BAF"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26030</w:t>
            </w:r>
          </w:p>
        </w:tc>
        <w:tc>
          <w:tcPr>
            <w:tcW w:w="1967" w:type="dxa"/>
            <w:tcBorders>
              <w:top w:val="nil"/>
              <w:left w:val="nil"/>
              <w:bottom w:val="single" w:sz="8" w:space="0" w:color="C2D69B"/>
              <w:right w:val="single" w:sz="8" w:space="0" w:color="C2D69B"/>
            </w:tcBorders>
            <w:shd w:val="clear" w:color="auto" w:fill="auto"/>
            <w:noWrap/>
            <w:vAlign w:val="center"/>
            <w:hideMark/>
          </w:tcPr>
          <w:p w14:paraId="671D175A"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Sonora</w:t>
            </w:r>
          </w:p>
        </w:tc>
        <w:tc>
          <w:tcPr>
            <w:tcW w:w="1701" w:type="dxa"/>
            <w:tcBorders>
              <w:top w:val="nil"/>
              <w:left w:val="nil"/>
              <w:bottom w:val="single" w:sz="8" w:space="0" w:color="C2D69B"/>
              <w:right w:val="single" w:sz="8" w:space="0" w:color="C2D69B"/>
            </w:tcBorders>
            <w:shd w:val="clear" w:color="auto" w:fill="auto"/>
            <w:noWrap/>
            <w:vAlign w:val="center"/>
            <w:hideMark/>
          </w:tcPr>
          <w:p w14:paraId="6215BE6C"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Hermosillo</w:t>
            </w:r>
          </w:p>
        </w:tc>
      </w:tr>
      <w:tr w:rsidR="00CB38F2" w:rsidRPr="00CB38F2" w14:paraId="20EB4AA3"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16753BA3"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26043</w:t>
            </w:r>
          </w:p>
        </w:tc>
        <w:tc>
          <w:tcPr>
            <w:tcW w:w="1967" w:type="dxa"/>
            <w:tcBorders>
              <w:top w:val="nil"/>
              <w:left w:val="nil"/>
              <w:bottom w:val="single" w:sz="8" w:space="0" w:color="C2D69B"/>
              <w:right w:val="single" w:sz="8" w:space="0" w:color="C2D69B"/>
            </w:tcBorders>
            <w:shd w:val="clear" w:color="000000" w:fill="EAF1DD"/>
            <w:noWrap/>
            <w:vAlign w:val="center"/>
            <w:hideMark/>
          </w:tcPr>
          <w:p w14:paraId="2A7D9E3A"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Sonora</w:t>
            </w:r>
          </w:p>
        </w:tc>
        <w:tc>
          <w:tcPr>
            <w:tcW w:w="1701" w:type="dxa"/>
            <w:tcBorders>
              <w:top w:val="nil"/>
              <w:left w:val="nil"/>
              <w:bottom w:val="single" w:sz="8" w:space="0" w:color="C2D69B"/>
              <w:right w:val="single" w:sz="8" w:space="0" w:color="C2D69B"/>
            </w:tcBorders>
            <w:shd w:val="clear" w:color="000000" w:fill="EAF1DD"/>
            <w:noWrap/>
            <w:vAlign w:val="center"/>
            <w:hideMark/>
          </w:tcPr>
          <w:p w14:paraId="302BF1E2"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Nogales</w:t>
            </w:r>
          </w:p>
        </w:tc>
      </w:tr>
      <w:tr w:rsidR="00CB38F2" w:rsidRPr="00CB38F2" w14:paraId="4F875E5E"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7D9B1964"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26055</w:t>
            </w:r>
          </w:p>
        </w:tc>
        <w:tc>
          <w:tcPr>
            <w:tcW w:w="1967" w:type="dxa"/>
            <w:tcBorders>
              <w:top w:val="nil"/>
              <w:left w:val="nil"/>
              <w:bottom w:val="single" w:sz="8" w:space="0" w:color="C2D69B"/>
              <w:right w:val="single" w:sz="8" w:space="0" w:color="C2D69B"/>
            </w:tcBorders>
            <w:shd w:val="clear" w:color="auto" w:fill="auto"/>
            <w:noWrap/>
            <w:vAlign w:val="center"/>
            <w:hideMark/>
          </w:tcPr>
          <w:p w14:paraId="422A0AC9"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Sonora</w:t>
            </w:r>
          </w:p>
        </w:tc>
        <w:tc>
          <w:tcPr>
            <w:tcW w:w="1701" w:type="dxa"/>
            <w:tcBorders>
              <w:top w:val="nil"/>
              <w:left w:val="nil"/>
              <w:bottom w:val="single" w:sz="8" w:space="0" w:color="C2D69B"/>
              <w:right w:val="single" w:sz="8" w:space="0" w:color="C2D69B"/>
            </w:tcBorders>
            <w:shd w:val="clear" w:color="auto" w:fill="auto"/>
            <w:noWrap/>
            <w:vAlign w:val="center"/>
            <w:hideMark/>
          </w:tcPr>
          <w:p w14:paraId="61ECABCA"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San Luis Río Colorado</w:t>
            </w:r>
          </w:p>
        </w:tc>
      </w:tr>
      <w:tr w:rsidR="00CB38F2" w:rsidRPr="00CB38F2" w14:paraId="4EEFF39B"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173C0AE7"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29033</w:t>
            </w:r>
          </w:p>
        </w:tc>
        <w:tc>
          <w:tcPr>
            <w:tcW w:w="1967" w:type="dxa"/>
            <w:tcBorders>
              <w:top w:val="nil"/>
              <w:left w:val="nil"/>
              <w:bottom w:val="single" w:sz="8" w:space="0" w:color="C2D69B"/>
              <w:right w:val="single" w:sz="8" w:space="0" w:color="C2D69B"/>
            </w:tcBorders>
            <w:shd w:val="clear" w:color="000000" w:fill="EAF1DD"/>
            <w:noWrap/>
            <w:vAlign w:val="center"/>
            <w:hideMark/>
          </w:tcPr>
          <w:p w14:paraId="757AEFB8"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Tlaxcala</w:t>
            </w:r>
          </w:p>
        </w:tc>
        <w:tc>
          <w:tcPr>
            <w:tcW w:w="1701" w:type="dxa"/>
            <w:tcBorders>
              <w:top w:val="nil"/>
              <w:left w:val="nil"/>
              <w:bottom w:val="single" w:sz="8" w:space="0" w:color="C2D69B"/>
              <w:right w:val="single" w:sz="8" w:space="0" w:color="C2D69B"/>
            </w:tcBorders>
            <w:shd w:val="clear" w:color="000000" w:fill="EAF1DD"/>
            <w:noWrap/>
            <w:vAlign w:val="center"/>
            <w:hideMark/>
          </w:tcPr>
          <w:p w14:paraId="084B61B4"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Tlaxcala</w:t>
            </w:r>
          </w:p>
        </w:tc>
      </w:tr>
      <w:tr w:rsidR="00CB38F2" w:rsidRPr="00CB38F2" w14:paraId="71B7ECE8"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66616A82"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30016</w:t>
            </w:r>
          </w:p>
        </w:tc>
        <w:tc>
          <w:tcPr>
            <w:tcW w:w="1967" w:type="dxa"/>
            <w:tcBorders>
              <w:top w:val="nil"/>
              <w:left w:val="nil"/>
              <w:bottom w:val="single" w:sz="8" w:space="0" w:color="C2D69B"/>
              <w:right w:val="single" w:sz="8" w:space="0" w:color="C2D69B"/>
            </w:tcBorders>
            <w:shd w:val="clear" w:color="auto" w:fill="auto"/>
            <w:noWrap/>
            <w:vAlign w:val="center"/>
            <w:hideMark/>
          </w:tcPr>
          <w:p w14:paraId="423FD7F7"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Veracruz de Ignacio de la Llave</w:t>
            </w:r>
          </w:p>
        </w:tc>
        <w:tc>
          <w:tcPr>
            <w:tcW w:w="1701" w:type="dxa"/>
            <w:tcBorders>
              <w:top w:val="nil"/>
              <w:left w:val="nil"/>
              <w:bottom w:val="single" w:sz="8" w:space="0" w:color="C2D69B"/>
              <w:right w:val="single" w:sz="8" w:space="0" w:color="C2D69B"/>
            </w:tcBorders>
            <w:shd w:val="clear" w:color="auto" w:fill="auto"/>
            <w:noWrap/>
            <w:vAlign w:val="center"/>
            <w:hideMark/>
          </w:tcPr>
          <w:p w14:paraId="264CF74C"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La Antigua</w:t>
            </w:r>
          </w:p>
        </w:tc>
      </w:tr>
      <w:tr w:rsidR="00CB38F2" w:rsidRPr="00CB38F2" w14:paraId="0F9ADAC3"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3808795E"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30026</w:t>
            </w:r>
          </w:p>
        </w:tc>
        <w:tc>
          <w:tcPr>
            <w:tcW w:w="1967" w:type="dxa"/>
            <w:tcBorders>
              <w:top w:val="nil"/>
              <w:left w:val="nil"/>
              <w:bottom w:val="single" w:sz="8" w:space="0" w:color="C2D69B"/>
              <w:right w:val="single" w:sz="8" w:space="0" w:color="C2D69B"/>
            </w:tcBorders>
            <w:shd w:val="clear" w:color="000000" w:fill="EAF1DD"/>
            <w:noWrap/>
            <w:vAlign w:val="center"/>
            <w:hideMark/>
          </w:tcPr>
          <w:p w14:paraId="3824D301"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Veracruz de Ignacio de la Llave</w:t>
            </w:r>
          </w:p>
        </w:tc>
        <w:tc>
          <w:tcPr>
            <w:tcW w:w="1701" w:type="dxa"/>
            <w:tcBorders>
              <w:top w:val="nil"/>
              <w:left w:val="nil"/>
              <w:bottom w:val="single" w:sz="8" w:space="0" w:color="C2D69B"/>
              <w:right w:val="single" w:sz="8" w:space="0" w:color="C2D69B"/>
            </w:tcBorders>
            <w:shd w:val="clear" w:color="000000" w:fill="EAF1DD"/>
            <w:noWrap/>
            <w:vAlign w:val="center"/>
            <w:hideMark/>
          </w:tcPr>
          <w:p w14:paraId="77BFAE9E"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Banderilla</w:t>
            </w:r>
          </w:p>
        </w:tc>
      </w:tr>
      <w:tr w:rsidR="00CB38F2" w:rsidRPr="00CB38F2" w14:paraId="54C42029"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42C72BF4"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30087</w:t>
            </w:r>
          </w:p>
        </w:tc>
        <w:tc>
          <w:tcPr>
            <w:tcW w:w="1967" w:type="dxa"/>
            <w:tcBorders>
              <w:top w:val="nil"/>
              <w:left w:val="nil"/>
              <w:bottom w:val="single" w:sz="8" w:space="0" w:color="C2D69B"/>
              <w:right w:val="single" w:sz="8" w:space="0" w:color="C2D69B"/>
            </w:tcBorders>
            <w:shd w:val="clear" w:color="auto" w:fill="auto"/>
            <w:noWrap/>
            <w:vAlign w:val="center"/>
            <w:hideMark/>
          </w:tcPr>
          <w:p w14:paraId="6DEE038F"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Veracruz de Ignacio de la Llave</w:t>
            </w:r>
          </w:p>
        </w:tc>
        <w:tc>
          <w:tcPr>
            <w:tcW w:w="1701" w:type="dxa"/>
            <w:tcBorders>
              <w:top w:val="nil"/>
              <w:left w:val="nil"/>
              <w:bottom w:val="single" w:sz="8" w:space="0" w:color="C2D69B"/>
              <w:right w:val="single" w:sz="8" w:space="0" w:color="C2D69B"/>
            </w:tcBorders>
            <w:shd w:val="clear" w:color="auto" w:fill="auto"/>
            <w:noWrap/>
            <w:vAlign w:val="center"/>
            <w:hideMark/>
          </w:tcPr>
          <w:p w14:paraId="5F0B6F92"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Xalapa</w:t>
            </w:r>
          </w:p>
        </w:tc>
      </w:tr>
      <w:tr w:rsidR="00CB38F2" w:rsidRPr="00CB38F2" w14:paraId="4BE68780"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0312A2DC"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30118</w:t>
            </w:r>
          </w:p>
        </w:tc>
        <w:tc>
          <w:tcPr>
            <w:tcW w:w="1967" w:type="dxa"/>
            <w:tcBorders>
              <w:top w:val="nil"/>
              <w:left w:val="nil"/>
              <w:bottom w:val="single" w:sz="8" w:space="0" w:color="C2D69B"/>
              <w:right w:val="single" w:sz="8" w:space="0" w:color="C2D69B"/>
            </w:tcBorders>
            <w:shd w:val="clear" w:color="000000" w:fill="EAF1DD"/>
            <w:noWrap/>
            <w:vAlign w:val="center"/>
            <w:hideMark/>
          </w:tcPr>
          <w:p w14:paraId="7CFE7CDA"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Veracruz de Ignacio de la Llave</w:t>
            </w:r>
          </w:p>
        </w:tc>
        <w:tc>
          <w:tcPr>
            <w:tcW w:w="1701" w:type="dxa"/>
            <w:tcBorders>
              <w:top w:val="nil"/>
              <w:left w:val="nil"/>
              <w:bottom w:val="single" w:sz="8" w:space="0" w:color="C2D69B"/>
              <w:right w:val="single" w:sz="8" w:space="0" w:color="C2D69B"/>
            </w:tcBorders>
            <w:shd w:val="clear" w:color="000000" w:fill="EAF1DD"/>
            <w:noWrap/>
            <w:vAlign w:val="center"/>
            <w:hideMark/>
          </w:tcPr>
          <w:p w14:paraId="4A08BA79"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Orizaba</w:t>
            </w:r>
          </w:p>
        </w:tc>
      </w:tr>
      <w:tr w:rsidR="00CB38F2" w:rsidRPr="00CB38F2" w14:paraId="6D547B3F"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65E927A5"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30131</w:t>
            </w:r>
          </w:p>
        </w:tc>
        <w:tc>
          <w:tcPr>
            <w:tcW w:w="1967" w:type="dxa"/>
            <w:tcBorders>
              <w:top w:val="nil"/>
              <w:left w:val="nil"/>
              <w:bottom w:val="single" w:sz="8" w:space="0" w:color="C2D69B"/>
              <w:right w:val="single" w:sz="8" w:space="0" w:color="C2D69B"/>
            </w:tcBorders>
            <w:shd w:val="clear" w:color="auto" w:fill="auto"/>
            <w:noWrap/>
            <w:vAlign w:val="center"/>
            <w:hideMark/>
          </w:tcPr>
          <w:p w14:paraId="3CA2BF3B"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Veracruz de Ignacio de la Llave</w:t>
            </w:r>
          </w:p>
        </w:tc>
        <w:tc>
          <w:tcPr>
            <w:tcW w:w="1701" w:type="dxa"/>
            <w:tcBorders>
              <w:top w:val="nil"/>
              <w:left w:val="nil"/>
              <w:bottom w:val="single" w:sz="8" w:space="0" w:color="C2D69B"/>
              <w:right w:val="single" w:sz="8" w:space="0" w:color="C2D69B"/>
            </w:tcBorders>
            <w:shd w:val="clear" w:color="auto" w:fill="auto"/>
            <w:noWrap/>
            <w:vAlign w:val="center"/>
            <w:hideMark/>
          </w:tcPr>
          <w:p w14:paraId="4A8F0F8D"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Poza Rica de Hidalgo</w:t>
            </w:r>
          </w:p>
        </w:tc>
      </w:tr>
      <w:tr w:rsidR="00CB38F2" w:rsidRPr="00CB38F2" w14:paraId="0FAB7E7D"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5D0916B9"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30193</w:t>
            </w:r>
          </w:p>
        </w:tc>
        <w:tc>
          <w:tcPr>
            <w:tcW w:w="1967" w:type="dxa"/>
            <w:tcBorders>
              <w:top w:val="nil"/>
              <w:left w:val="nil"/>
              <w:bottom w:val="single" w:sz="8" w:space="0" w:color="C2D69B"/>
              <w:right w:val="single" w:sz="8" w:space="0" w:color="C2D69B"/>
            </w:tcBorders>
            <w:shd w:val="clear" w:color="000000" w:fill="EAF1DD"/>
            <w:noWrap/>
            <w:vAlign w:val="center"/>
            <w:hideMark/>
          </w:tcPr>
          <w:p w14:paraId="40B99458"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Veracruz de Ignacio de la Llave</w:t>
            </w:r>
          </w:p>
        </w:tc>
        <w:tc>
          <w:tcPr>
            <w:tcW w:w="1701" w:type="dxa"/>
            <w:tcBorders>
              <w:top w:val="nil"/>
              <w:left w:val="nil"/>
              <w:bottom w:val="single" w:sz="8" w:space="0" w:color="C2D69B"/>
              <w:right w:val="single" w:sz="8" w:space="0" w:color="C2D69B"/>
            </w:tcBorders>
            <w:shd w:val="clear" w:color="000000" w:fill="EAF1DD"/>
            <w:noWrap/>
            <w:vAlign w:val="center"/>
            <w:hideMark/>
          </w:tcPr>
          <w:p w14:paraId="2A7CC558"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Veracruz</w:t>
            </w:r>
          </w:p>
        </w:tc>
      </w:tr>
      <w:tr w:rsidR="00CB38F2" w:rsidRPr="00CB38F2" w14:paraId="5698F936" w14:textId="77777777" w:rsidTr="00487925">
        <w:trPr>
          <w:trHeight w:val="280"/>
          <w:jc w:val="center"/>
        </w:trPr>
        <w:tc>
          <w:tcPr>
            <w:tcW w:w="585" w:type="dxa"/>
            <w:tcBorders>
              <w:top w:val="nil"/>
              <w:left w:val="nil"/>
              <w:bottom w:val="single" w:sz="8" w:space="0" w:color="C2D69B"/>
              <w:right w:val="single" w:sz="8" w:space="0" w:color="C2D69B"/>
            </w:tcBorders>
            <w:shd w:val="clear" w:color="auto" w:fill="auto"/>
            <w:noWrap/>
            <w:vAlign w:val="center"/>
            <w:hideMark/>
          </w:tcPr>
          <w:p w14:paraId="412039C2"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31050</w:t>
            </w:r>
          </w:p>
        </w:tc>
        <w:tc>
          <w:tcPr>
            <w:tcW w:w="1967" w:type="dxa"/>
            <w:tcBorders>
              <w:top w:val="nil"/>
              <w:left w:val="nil"/>
              <w:bottom w:val="single" w:sz="8" w:space="0" w:color="C2D69B"/>
              <w:right w:val="single" w:sz="8" w:space="0" w:color="C2D69B"/>
            </w:tcBorders>
            <w:shd w:val="clear" w:color="auto" w:fill="auto"/>
            <w:noWrap/>
            <w:vAlign w:val="center"/>
            <w:hideMark/>
          </w:tcPr>
          <w:p w14:paraId="0C5491BC"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Yucatán</w:t>
            </w:r>
          </w:p>
        </w:tc>
        <w:tc>
          <w:tcPr>
            <w:tcW w:w="1701" w:type="dxa"/>
            <w:tcBorders>
              <w:top w:val="nil"/>
              <w:left w:val="nil"/>
              <w:bottom w:val="single" w:sz="8" w:space="0" w:color="C2D69B"/>
              <w:right w:val="single" w:sz="8" w:space="0" w:color="C2D69B"/>
            </w:tcBorders>
            <w:shd w:val="clear" w:color="auto" w:fill="auto"/>
            <w:noWrap/>
            <w:vAlign w:val="center"/>
            <w:hideMark/>
          </w:tcPr>
          <w:p w14:paraId="23678D00"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Mérida</w:t>
            </w:r>
          </w:p>
        </w:tc>
      </w:tr>
      <w:tr w:rsidR="00CB38F2" w:rsidRPr="00CB38F2" w14:paraId="7D617906" w14:textId="77777777" w:rsidTr="00487925">
        <w:trPr>
          <w:trHeight w:val="280"/>
          <w:jc w:val="center"/>
        </w:trPr>
        <w:tc>
          <w:tcPr>
            <w:tcW w:w="585" w:type="dxa"/>
            <w:tcBorders>
              <w:top w:val="nil"/>
              <w:left w:val="nil"/>
              <w:bottom w:val="single" w:sz="8" w:space="0" w:color="C2D69B"/>
              <w:right w:val="single" w:sz="8" w:space="0" w:color="C2D69B"/>
            </w:tcBorders>
            <w:shd w:val="clear" w:color="000000" w:fill="EAF1DD"/>
            <w:noWrap/>
            <w:vAlign w:val="center"/>
            <w:hideMark/>
          </w:tcPr>
          <w:p w14:paraId="459D8002" w14:textId="77777777" w:rsidR="00CB38F2" w:rsidRPr="00CB38F2" w:rsidRDefault="00CB38F2" w:rsidP="00CB38F2">
            <w:pPr>
              <w:spacing w:after="0" w:line="240" w:lineRule="auto"/>
              <w:jc w:val="right"/>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32056</w:t>
            </w:r>
          </w:p>
        </w:tc>
        <w:tc>
          <w:tcPr>
            <w:tcW w:w="1967" w:type="dxa"/>
            <w:tcBorders>
              <w:top w:val="nil"/>
              <w:left w:val="nil"/>
              <w:bottom w:val="single" w:sz="8" w:space="0" w:color="C2D69B"/>
              <w:right w:val="single" w:sz="8" w:space="0" w:color="C2D69B"/>
            </w:tcBorders>
            <w:shd w:val="clear" w:color="000000" w:fill="EAF1DD"/>
            <w:noWrap/>
            <w:vAlign w:val="center"/>
            <w:hideMark/>
          </w:tcPr>
          <w:p w14:paraId="46449C13" w14:textId="77777777" w:rsidR="00CB38F2" w:rsidRPr="003A6DC2" w:rsidRDefault="00CB38F2" w:rsidP="00CB38F2">
            <w:pPr>
              <w:spacing w:after="0" w:line="240" w:lineRule="auto"/>
              <w:rPr>
                <w:rFonts w:ascii="Arial" w:eastAsia="Times New Roman" w:hAnsi="Arial" w:cs="Arial"/>
                <w:bCs/>
                <w:color w:val="000000"/>
                <w:sz w:val="16"/>
                <w:szCs w:val="16"/>
                <w:lang w:val="es-MX" w:eastAsia="es-MX"/>
              </w:rPr>
            </w:pPr>
            <w:r w:rsidRPr="003A6DC2">
              <w:rPr>
                <w:rFonts w:ascii="Arial" w:eastAsia="Times New Roman" w:hAnsi="Arial" w:cs="Arial"/>
                <w:bCs/>
                <w:color w:val="000000"/>
                <w:sz w:val="16"/>
                <w:szCs w:val="16"/>
                <w:lang w:val="es-MX" w:eastAsia="es-MX"/>
              </w:rPr>
              <w:t>Zacatecas</w:t>
            </w:r>
          </w:p>
        </w:tc>
        <w:tc>
          <w:tcPr>
            <w:tcW w:w="1701" w:type="dxa"/>
            <w:tcBorders>
              <w:top w:val="nil"/>
              <w:left w:val="nil"/>
              <w:bottom w:val="single" w:sz="8" w:space="0" w:color="C2D69B"/>
              <w:right w:val="single" w:sz="8" w:space="0" w:color="C2D69B"/>
            </w:tcBorders>
            <w:shd w:val="clear" w:color="000000" w:fill="EAF1DD"/>
            <w:noWrap/>
            <w:vAlign w:val="center"/>
            <w:hideMark/>
          </w:tcPr>
          <w:p w14:paraId="51246C74" w14:textId="77777777" w:rsidR="00CB38F2" w:rsidRPr="00CB38F2" w:rsidRDefault="00CB38F2" w:rsidP="00CB38F2">
            <w:pPr>
              <w:spacing w:after="0" w:line="240" w:lineRule="auto"/>
              <w:rPr>
                <w:rFonts w:ascii="Arial" w:eastAsia="Times New Roman" w:hAnsi="Arial" w:cs="Arial"/>
                <w:color w:val="000000"/>
                <w:sz w:val="16"/>
                <w:szCs w:val="16"/>
                <w:lang w:val="es-MX" w:eastAsia="es-MX"/>
              </w:rPr>
            </w:pPr>
            <w:r w:rsidRPr="00CB38F2">
              <w:rPr>
                <w:rFonts w:ascii="Arial" w:eastAsia="Times New Roman" w:hAnsi="Arial" w:cs="Arial"/>
                <w:color w:val="000000"/>
                <w:sz w:val="16"/>
                <w:szCs w:val="16"/>
                <w:lang w:val="es-MX" w:eastAsia="es-MX"/>
              </w:rPr>
              <w:t>Zacatecas</w:t>
            </w:r>
          </w:p>
        </w:tc>
      </w:tr>
    </w:tbl>
    <w:p w14:paraId="3A588008" w14:textId="77777777" w:rsidR="00CB38F2" w:rsidRDefault="00CB38F2" w:rsidP="00852170">
      <w:pPr>
        <w:spacing w:after="0"/>
        <w:jc w:val="both"/>
        <w:rPr>
          <w:rFonts w:ascii="Arial" w:hAnsi="Arial" w:cs="Arial"/>
          <w:b/>
        </w:rPr>
        <w:sectPr w:rsidR="00CB38F2" w:rsidSect="00CB38F2">
          <w:type w:val="continuous"/>
          <w:pgSz w:w="12240" w:h="15840"/>
          <w:pgMar w:top="2098" w:right="1418" w:bottom="1134" w:left="1418" w:header="709" w:footer="828" w:gutter="0"/>
          <w:cols w:num="2" w:space="708"/>
          <w:docGrid w:linePitch="360"/>
        </w:sectPr>
      </w:pPr>
    </w:p>
    <w:p w14:paraId="69EA2D71" w14:textId="1950FF6D" w:rsidR="00BE68DE" w:rsidRDefault="00BE68DE" w:rsidP="00852170">
      <w:pPr>
        <w:spacing w:after="0"/>
        <w:jc w:val="both"/>
        <w:rPr>
          <w:rFonts w:ascii="Arial" w:hAnsi="Arial" w:cs="Arial"/>
          <w:b/>
        </w:rPr>
      </w:pPr>
    </w:p>
    <w:p w14:paraId="536C7DC1" w14:textId="77777777" w:rsidR="008826EF" w:rsidRDefault="008826EF" w:rsidP="00B600DD">
      <w:pPr>
        <w:spacing w:after="0"/>
        <w:jc w:val="both"/>
        <w:rPr>
          <w:rFonts w:ascii="Arial" w:hAnsi="Arial" w:cs="Arial"/>
          <w:b/>
          <w:bCs/>
          <w:color w:val="000000"/>
          <w:lang w:val="es-ES_tradnl" w:eastAsia="es-ES"/>
        </w:rPr>
      </w:pPr>
    </w:p>
    <w:p w14:paraId="391CBF47" w14:textId="76A1E129" w:rsidR="008826EF" w:rsidRDefault="008826EF" w:rsidP="00B600DD">
      <w:pPr>
        <w:spacing w:after="0"/>
        <w:jc w:val="both"/>
        <w:rPr>
          <w:rFonts w:ascii="Arial" w:hAnsi="Arial" w:cs="Arial"/>
          <w:b/>
          <w:bCs/>
          <w:color w:val="000000"/>
          <w:lang w:val="es-ES_tradnl" w:eastAsia="es-ES"/>
        </w:rPr>
      </w:pPr>
    </w:p>
    <w:p w14:paraId="3B47C9D2" w14:textId="77777777" w:rsidR="008826EF" w:rsidRDefault="008826EF" w:rsidP="00B600DD">
      <w:pPr>
        <w:spacing w:after="0"/>
        <w:jc w:val="both"/>
        <w:rPr>
          <w:rFonts w:ascii="Arial" w:hAnsi="Arial" w:cs="Arial"/>
          <w:b/>
          <w:bCs/>
          <w:color w:val="000000"/>
          <w:lang w:val="es-ES_tradnl" w:eastAsia="es-ES"/>
        </w:rPr>
      </w:pPr>
    </w:p>
    <w:p w14:paraId="4FE9C476" w14:textId="03D26296" w:rsidR="00B600DD" w:rsidRPr="00B600DD" w:rsidRDefault="00B600DD" w:rsidP="00B600DD">
      <w:pPr>
        <w:spacing w:after="0"/>
        <w:jc w:val="both"/>
        <w:rPr>
          <w:rFonts w:ascii="Arial" w:hAnsi="Arial" w:cs="Arial"/>
          <w:color w:val="000000"/>
          <w:lang w:val="es-ES_tradnl" w:eastAsia="es-ES"/>
        </w:rPr>
      </w:pPr>
      <w:r w:rsidRPr="00B600DD">
        <w:rPr>
          <w:rFonts w:ascii="Arial" w:hAnsi="Arial" w:cs="Arial"/>
          <w:b/>
          <w:bCs/>
          <w:color w:val="000000"/>
          <w:lang w:val="es-ES_tradnl" w:eastAsia="es-ES"/>
        </w:rPr>
        <w:lastRenderedPageBreak/>
        <w:t>Cuarto</w:t>
      </w:r>
      <w:r w:rsidR="00D909BC" w:rsidRPr="001B163B">
        <w:rPr>
          <w:rFonts w:ascii="Arial" w:hAnsi="Arial" w:cs="Arial"/>
          <w:b/>
        </w:rPr>
        <w:t>.-</w:t>
      </w:r>
      <w:r w:rsidRPr="00B600DD">
        <w:rPr>
          <w:rFonts w:ascii="Arial" w:hAnsi="Arial" w:cs="Arial"/>
          <w:bCs/>
          <w:color w:val="000000"/>
          <w:lang w:val="es-ES_tradnl" w:eastAsia="es-ES"/>
        </w:rPr>
        <w:t xml:space="preserve"> </w:t>
      </w:r>
      <w:r w:rsidRPr="00B600DD">
        <w:rPr>
          <w:rFonts w:ascii="Arial" w:hAnsi="Arial" w:cs="Arial"/>
          <w:b/>
          <w:bCs/>
          <w:color w:val="000000"/>
          <w:lang w:val="es-ES_tradnl" w:eastAsia="es-ES"/>
        </w:rPr>
        <w:t>Experiencia Internacional</w:t>
      </w:r>
      <w:r w:rsidRPr="00B600DD">
        <w:rPr>
          <w:rFonts w:ascii="Arial" w:eastAsia="Times New Roman" w:hAnsi="Arial" w:cs="Arial"/>
          <w:b/>
          <w:color w:val="000000"/>
          <w:lang w:val="es-ES_tradnl" w:eastAsia="es-ES"/>
        </w:rPr>
        <w:t>.</w:t>
      </w:r>
      <w:r w:rsidRPr="00B600DD">
        <w:rPr>
          <w:rFonts w:ascii="Arial" w:eastAsia="Times New Roman" w:hAnsi="Arial" w:cs="Arial"/>
          <w:color w:val="000000"/>
          <w:lang w:val="es-ES_tradnl" w:eastAsia="es-ES"/>
        </w:rPr>
        <w:t xml:space="preserve"> </w:t>
      </w:r>
      <w:r w:rsidRPr="00B600DD">
        <w:rPr>
          <w:rFonts w:ascii="Arial" w:hAnsi="Arial" w:cs="Arial"/>
          <w:color w:val="000000"/>
          <w:lang w:val="es-ES_tradnl" w:eastAsia="es-ES"/>
        </w:rPr>
        <w:t xml:space="preserve">En complemento al análisis realizado por el Instituto respecto al comportamiento del mercado nacional de BAF, para el diseño de la Medida TRIGÉSIMA NOVENA </w:t>
      </w:r>
      <w:r w:rsidR="00D720FF">
        <w:rPr>
          <w:rFonts w:ascii="Arial" w:hAnsi="Arial" w:cs="Arial"/>
          <w:color w:val="000000"/>
          <w:lang w:val="es-ES_tradnl" w:eastAsia="es-ES"/>
        </w:rPr>
        <w:t>del Anexo 3</w:t>
      </w:r>
      <w:r w:rsidRPr="00B600DD">
        <w:rPr>
          <w:rFonts w:ascii="Arial" w:hAnsi="Arial" w:cs="Arial"/>
          <w:color w:val="000000"/>
          <w:lang w:val="es-ES_tradnl" w:eastAsia="es-ES"/>
        </w:rPr>
        <w:t xml:space="preserve"> de la Segunda </w:t>
      </w:r>
      <w:r w:rsidR="001A7A71">
        <w:rPr>
          <w:rFonts w:ascii="Arial" w:hAnsi="Arial" w:cs="Arial"/>
          <w:color w:val="000000"/>
          <w:lang w:val="es-ES_tradnl" w:eastAsia="es-ES"/>
        </w:rPr>
        <w:t>Resolución</w:t>
      </w:r>
      <w:r w:rsidR="001A7A71" w:rsidRPr="00B600DD">
        <w:rPr>
          <w:rFonts w:ascii="Arial" w:hAnsi="Arial" w:cs="Arial"/>
          <w:color w:val="000000"/>
          <w:lang w:val="es-ES_tradnl" w:eastAsia="es-ES"/>
        </w:rPr>
        <w:t xml:space="preserve"> </w:t>
      </w:r>
      <w:r w:rsidRPr="00B600DD">
        <w:rPr>
          <w:rFonts w:ascii="Arial" w:hAnsi="Arial" w:cs="Arial"/>
          <w:color w:val="000000"/>
          <w:lang w:val="es-ES_tradnl" w:eastAsia="es-ES"/>
        </w:rPr>
        <w:t>Bienal, el Instituto también evaluó la experiencia internacional, de manera particular</w:t>
      </w:r>
      <w:r w:rsidR="00C120B2">
        <w:rPr>
          <w:rFonts w:ascii="Arial" w:hAnsi="Arial" w:cs="Arial"/>
          <w:color w:val="000000"/>
          <w:lang w:val="es-ES_tradnl" w:eastAsia="es-ES"/>
        </w:rPr>
        <w:t>,</w:t>
      </w:r>
      <w:r w:rsidRPr="00B600DD">
        <w:rPr>
          <w:rFonts w:ascii="Arial" w:hAnsi="Arial" w:cs="Arial"/>
          <w:color w:val="000000"/>
          <w:lang w:val="es-ES_tradnl" w:eastAsia="es-ES"/>
        </w:rPr>
        <w:t xml:space="preserve"> </w:t>
      </w:r>
      <w:r w:rsidR="00C120B2">
        <w:rPr>
          <w:rFonts w:ascii="Arial" w:hAnsi="Arial" w:cs="Arial"/>
          <w:color w:val="000000"/>
          <w:lang w:val="es-ES_tradnl" w:eastAsia="es-ES"/>
        </w:rPr>
        <w:t>l</w:t>
      </w:r>
      <w:r w:rsidRPr="00B600DD">
        <w:rPr>
          <w:rFonts w:ascii="Arial" w:hAnsi="Arial" w:cs="Arial"/>
          <w:color w:val="000000"/>
          <w:lang w:val="es-ES_tradnl" w:eastAsia="es-ES"/>
        </w:rPr>
        <w:t xml:space="preserve">a determinación libre de las tarifas en aquellas zonas geográficas en las que se observen condiciones de competencia diferenciadas tiene precedentes a nivel internacional. </w:t>
      </w:r>
      <w:r w:rsidR="00C120B2">
        <w:rPr>
          <w:rFonts w:ascii="Arial" w:hAnsi="Arial" w:cs="Arial"/>
          <w:color w:val="000000"/>
          <w:lang w:val="es-ES_tradnl" w:eastAsia="es-ES"/>
        </w:rPr>
        <w:t>Para ello, se analizan experiencias en</w:t>
      </w:r>
      <w:r w:rsidRPr="00B600DD">
        <w:rPr>
          <w:rFonts w:ascii="Arial" w:hAnsi="Arial" w:cs="Arial"/>
          <w:color w:val="000000"/>
          <w:lang w:val="es-ES_tradnl" w:eastAsia="es-ES"/>
        </w:rPr>
        <w:t xml:space="preserve"> </w:t>
      </w:r>
      <w:r w:rsidR="00C120B2">
        <w:rPr>
          <w:rFonts w:ascii="Arial" w:hAnsi="Arial" w:cs="Arial"/>
          <w:color w:val="000000"/>
          <w:lang w:val="es-ES_tradnl" w:eastAsia="es-ES"/>
        </w:rPr>
        <w:t xml:space="preserve">el </w:t>
      </w:r>
      <w:r w:rsidRPr="00B600DD">
        <w:rPr>
          <w:rFonts w:ascii="Arial" w:hAnsi="Arial" w:cs="Arial"/>
          <w:color w:val="000000"/>
          <w:lang w:val="es-ES_tradnl" w:eastAsia="es-ES"/>
        </w:rPr>
        <w:t>Reino Unido, España, Italia y Portugal</w:t>
      </w:r>
      <w:r w:rsidR="00C120B2">
        <w:rPr>
          <w:rFonts w:ascii="Arial" w:hAnsi="Arial" w:cs="Arial"/>
          <w:color w:val="000000"/>
          <w:lang w:val="es-ES_tradnl" w:eastAsia="es-ES"/>
        </w:rPr>
        <w:t xml:space="preserve"> en los cuales</w:t>
      </w:r>
      <w:r w:rsidRPr="00B600DD">
        <w:rPr>
          <w:rFonts w:ascii="Arial" w:hAnsi="Arial" w:cs="Arial"/>
          <w:color w:val="000000"/>
          <w:lang w:val="es-ES_tradnl" w:eastAsia="es-ES"/>
        </w:rPr>
        <w:t xml:space="preserve"> se han implementado políticas de segmentación geográfica de mercados en relación con los servicios mayoristas de banda ancha, las cuales sirven como referencia directa a la propuesta de criterios que a través del presente Acuerdo se someten a consulta pública.</w:t>
      </w:r>
    </w:p>
    <w:p w14:paraId="5622BD14" w14:textId="77777777" w:rsidR="00B600DD" w:rsidRPr="00B600DD" w:rsidRDefault="00B600DD" w:rsidP="00B600DD">
      <w:pPr>
        <w:spacing w:after="0"/>
        <w:jc w:val="both"/>
        <w:rPr>
          <w:rFonts w:ascii="Arial" w:hAnsi="Arial" w:cs="Arial"/>
          <w:color w:val="000000"/>
          <w:lang w:val="es-ES_tradnl" w:eastAsia="es-ES"/>
        </w:rPr>
      </w:pPr>
    </w:p>
    <w:p w14:paraId="0DBC9CC8" w14:textId="77777777" w:rsidR="00B600DD" w:rsidRPr="00B600DD" w:rsidRDefault="00B600DD" w:rsidP="00B600DD">
      <w:pPr>
        <w:numPr>
          <w:ilvl w:val="0"/>
          <w:numId w:val="17"/>
        </w:numPr>
        <w:spacing w:after="0" w:line="240" w:lineRule="auto"/>
        <w:contextualSpacing/>
        <w:jc w:val="both"/>
        <w:rPr>
          <w:rFonts w:ascii="Arial" w:hAnsi="Arial" w:cs="Arial"/>
          <w:lang w:val="es-MX"/>
        </w:rPr>
      </w:pPr>
      <w:r w:rsidRPr="00B600DD">
        <w:rPr>
          <w:rFonts w:ascii="Arial" w:hAnsi="Arial" w:cs="Arial"/>
          <w:lang w:val="es-MX"/>
        </w:rPr>
        <w:t>Reino Unido es pionero en materia de segmentación geográfica en los mercados mayoristas de banda ancha. En 2008 Ofcom propuso segmentar el mercado relevante en distintas zonas geográficas, según el grado de competencia observado.</w:t>
      </w:r>
      <w:r w:rsidRPr="00B600DD">
        <w:rPr>
          <w:rFonts w:ascii="Arial" w:hAnsi="Arial" w:cs="Arial"/>
          <w:vertAlign w:val="superscript"/>
          <w:lang w:val="es-MX"/>
        </w:rPr>
        <w:footnoteReference w:id="9"/>
      </w:r>
      <w:r w:rsidRPr="00B600DD">
        <w:rPr>
          <w:rFonts w:ascii="Arial" w:hAnsi="Arial" w:cs="Arial"/>
          <w:lang w:val="es-MX"/>
        </w:rPr>
        <w:t xml:space="preserve">. </w:t>
      </w:r>
    </w:p>
    <w:p w14:paraId="17D76971" w14:textId="77777777" w:rsidR="00B600DD" w:rsidRPr="00B600DD" w:rsidRDefault="00B600DD" w:rsidP="00B600DD">
      <w:pPr>
        <w:spacing w:after="0"/>
        <w:ind w:left="720"/>
        <w:contextualSpacing/>
        <w:jc w:val="both"/>
        <w:rPr>
          <w:rFonts w:ascii="Arial" w:hAnsi="Arial" w:cs="Arial"/>
          <w:lang w:val="es-MX"/>
        </w:rPr>
      </w:pPr>
    </w:p>
    <w:p w14:paraId="3DF4E426" w14:textId="77777777" w:rsidR="00B600DD" w:rsidRPr="00B600DD" w:rsidRDefault="00B600DD" w:rsidP="00B600DD">
      <w:pPr>
        <w:numPr>
          <w:ilvl w:val="0"/>
          <w:numId w:val="17"/>
        </w:numPr>
        <w:spacing w:after="0" w:line="240" w:lineRule="auto"/>
        <w:contextualSpacing/>
        <w:jc w:val="both"/>
        <w:rPr>
          <w:rFonts w:ascii="Arial" w:hAnsi="Arial" w:cs="Arial"/>
          <w:lang w:val="es-MX"/>
        </w:rPr>
      </w:pPr>
      <w:r w:rsidRPr="00B600DD">
        <w:rPr>
          <w:rFonts w:ascii="Arial" w:hAnsi="Arial" w:cs="Arial"/>
          <w:lang w:val="es-MX"/>
        </w:rPr>
        <w:t>España introdujo la segmentación geográfica en los mercados mayoristas de acceso local y de acceso indirecto en año 2014</w:t>
      </w:r>
      <w:r w:rsidRPr="00B600DD">
        <w:rPr>
          <w:rFonts w:ascii="Arial" w:hAnsi="Arial" w:cs="Arial"/>
          <w:vertAlign w:val="superscript"/>
          <w:lang w:val="es-MX"/>
        </w:rPr>
        <w:footnoteReference w:id="10"/>
      </w:r>
      <w:r w:rsidRPr="00B600DD">
        <w:rPr>
          <w:rFonts w:ascii="Arial" w:hAnsi="Arial" w:cs="Arial"/>
          <w:lang w:val="es-MX"/>
        </w:rPr>
        <w:t>. La CNMC define mercados geográficos separados para los servicios mayoristas de acceso indirecto, y propone segmentación de remedios en el mercado mayorista de acceso local para los servicios de fibra.</w:t>
      </w:r>
    </w:p>
    <w:p w14:paraId="76E1664F" w14:textId="77777777" w:rsidR="00B600DD" w:rsidRPr="00B600DD" w:rsidRDefault="00B600DD" w:rsidP="00B600DD">
      <w:pPr>
        <w:spacing w:after="0"/>
        <w:ind w:left="720"/>
        <w:contextualSpacing/>
        <w:jc w:val="both"/>
        <w:rPr>
          <w:rFonts w:ascii="Arial" w:hAnsi="Arial" w:cs="Arial"/>
          <w:lang w:val="es-MX"/>
        </w:rPr>
      </w:pPr>
    </w:p>
    <w:p w14:paraId="401EE31B" w14:textId="77777777" w:rsidR="00B600DD" w:rsidRPr="00B600DD" w:rsidRDefault="00B600DD" w:rsidP="009907B9">
      <w:pPr>
        <w:numPr>
          <w:ilvl w:val="0"/>
          <w:numId w:val="17"/>
        </w:numPr>
        <w:spacing w:after="0" w:line="240" w:lineRule="auto"/>
        <w:contextualSpacing/>
        <w:jc w:val="both"/>
        <w:rPr>
          <w:rFonts w:ascii="Arial" w:hAnsi="Arial" w:cs="Arial"/>
          <w:lang w:val="es-MX"/>
        </w:rPr>
      </w:pPr>
      <w:r w:rsidRPr="00B600DD">
        <w:rPr>
          <w:rFonts w:ascii="Arial" w:hAnsi="Arial" w:cs="Arial"/>
          <w:lang w:val="es-MX"/>
        </w:rPr>
        <w:t xml:space="preserve">Italia ha introducido la segmentación geográfica de mercados en la reciente revisión de los mercados mayoristas de banda ancha. El regulador combina la definición de mercados geográficos separados con la imposición de remedios diferenciados dentro de mercados sub-nacionales. </w:t>
      </w:r>
    </w:p>
    <w:p w14:paraId="7BFB46C4" w14:textId="77777777" w:rsidR="00B600DD" w:rsidRPr="00B600DD" w:rsidRDefault="00B600DD" w:rsidP="00B600DD">
      <w:pPr>
        <w:spacing w:after="0"/>
        <w:ind w:left="720"/>
        <w:contextualSpacing/>
        <w:jc w:val="both"/>
        <w:rPr>
          <w:rFonts w:ascii="Arial" w:hAnsi="Arial" w:cs="Arial"/>
          <w:lang w:val="es-MX"/>
        </w:rPr>
      </w:pPr>
    </w:p>
    <w:p w14:paraId="71D6C3BD" w14:textId="77777777" w:rsidR="00B600DD" w:rsidRPr="00B600DD" w:rsidRDefault="00B600DD" w:rsidP="00B600DD">
      <w:pPr>
        <w:numPr>
          <w:ilvl w:val="0"/>
          <w:numId w:val="17"/>
        </w:numPr>
        <w:spacing w:after="0" w:line="240" w:lineRule="auto"/>
        <w:contextualSpacing/>
        <w:jc w:val="both"/>
        <w:rPr>
          <w:rFonts w:ascii="Arial" w:hAnsi="Arial" w:cs="Arial"/>
          <w:lang w:val="es-MX"/>
        </w:rPr>
      </w:pPr>
      <w:r w:rsidRPr="00B600DD">
        <w:rPr>
          <w:rFonts w:ascii="Arial" w:hAnsi="Arial" w:cs="Arial"/>
          <w:lang w:val="es-MX"/>
        </w:rPr>
        <w:t>Portugal  es otro país con tradición en segmentación geográfica, introduciéndola en el análisis de los mercados mayoristas de banda ancha en la revisión llevada a cabo en 2008.</w:t>
      </w:r>
      <w:r w:rsidRPr="00B600DD">
        <w:rPr>
          <w:rFonts w:ascii="Arial" w:hAnsi="Arial" w:cs="Arial"/>
          <w:vertAlign w:val="superscript"/>
          <w:lang w:val="es-MX"/>
        </w:rPr>
        <w:footnoteReference w:id="11"/>
      </w:r>
      <w:r w:rsidRPr="00B600DD">
        <w:rPr>
          <w:rFonts w:ascii="Arial" w:hAnsi="Arial" w:cs="Arial"/>
          <w:lang w:val="es-MX"/>
        </w:rPr>
        <w:t xml:space="preserve">.  </w:t>
      </w:r>
    </w:p>
    <w:p w14:paraId="57201149" w14:textId="77777777" w:rsidR="00B600DD" w:rsidRPr="00B600DD" w:rsidRDefault="00B600DD" w:rsidP="00B600DD">
      <w:pPr>
        <w:spacing w:after="0"/>
        <w:ind w:left="720"/>
        <w:contextualSpacing/>
        <w:jc w:val="both"/>
        <w:rPr>
          <w:rFonts w:ascii="Arial" w:hAnsi="Arial" w:cs="Arial"/>
          <w:lang w:val="es-MX"/>
        </w:rPr>
      </w:pPr>
    </w:p>
    <w:p w14:paraId="0443FF74" w14:textId="2C3D9696" w:rsidR="00B600DD" w:rsidRDefault="00B600DD" w:rsidP="00B600DD">
      <w:pPr>
        <w:spacing w:after="0"/>
        <w:jc w:val="both"/>
        <w:rPr>
          <w:rFonts w:ascii="Arial" w:hAnsi="Arial" w:cs="Arial"/>
          <w:color w:val="000000"/>
          <w:lang w:val="es-ES_tradnl" w:eastAsia="es-ES"/>
        </w:rPr>
      </w:pPr>
      <w:r w:rsidRPr="009907B9">
        <w:rPr>
          <w:rFonts w:ascii="Arial" w:hAnsi="Arial" w:cs="Arial"/>
          <w:color w:val="000000"/>
          <w:lang w:val="es-ES_tradnl" w:eastAsia="es-ES"/>
        </w:rPr>
        <w:t xml:space="preserve">De manera particular el análisis se centra en las revisiones de los mercados mayoristas de acceso central a la red fija para la provisión de servicios de banda ancha para el segmento de masas, donde se incluiría </w:t>
      </w:r>
      <w:r w:rsidR="00C120B2" w:rsidRPr="009907B9">
        <w:rPr>
          <w:rFonts w:ascii="Arial" w:hAnsi="Arial" w:cs="Arial"/>
          <w:color w:val="000000"/>
          <w:lang w:val="es-ES_tradnl" w:eastAsia="es-ES"/>
        </w:rPr>
        <w:t xml:space="preserve">un servicio como el </w:t>
      </w:r>
      <w:r w:rsidRPr="009907B9">
        <w:rPr>
          <w:rFonts w:ascii="Arial" w:hAnsi="Arial" w:cs="Arial"/>
          <w:color w:val="000000"/>
          <w:lang w:val="es-ES_tradnl" w:eastAsia="es-ES"/>
        </w:rPr>
        <w:t xml:space="preserve">SAIB. Este es el mercado 3b según la recomendación de mercados de la </w:t>
      </w:r>
      <w:r w:rsidR="00406830" w:rsidRPr="009907B9">
        <w:rPr>
          <w:rFonts w:ascii="Arial" w:hAnsi="Arial" w:cs="Arial"/>
          <w:color w:val="000000"/>
          <w:lang w:val="es-ES_tradnl" w:eastAsia="es-ES"/>
        </w:rPr>
        <w:t>Comisión Europea</w:t>
      </w:r>
      <w:r w:rsidRPr="009907B9">
        <w:rPr>
          <w:rFonts w:ascii="Arial" w:hAnsi="Arial" w:cs="Arial"/>
          <w:color w:val="000000"/>
          <w:lang w:val="es-ES_tradnl" w:eastAsia="es-ES"/>
        </w:rPr>
        <w:t>. No obstante, también se trata el mercado mayorista de acceso local a la red fija, donde se incluye el servicio de desagregación del bucle local, el cual corresponde al mercado 3a.</w:t>
      </w:r>
      <w:r w:rsidRPr="00B600DD">
        <w:rPr>
          <w:rFonts w:ascii="Arial" w:hAnsi="Arial" w:cs="Arial"/>
          <w:color w:val="000000"/>
          <w:lang w:val="es-ES_tradnl" w:eastAsia="es-ES"/>
        </w:rPr>
        <w:t xml:space="preserve"> </w:t>
      </w:r>
    </w:p>
    <w:p w14:paraId="51C6D0D5" w14:textId="77777777" w:rsidR="00156C3A" w:rsidRPr="00B600DD" w:rsidRDefault="00156C3A" w:rsidP="00B600DD">
      <w:pPr>
        <w:spacing w:after="0"/>
        <w:jc w:val="both"/>
        <w:rPr>
          <w:rFonts w:ascii="Arial" w:hAnsi="Arial" w:cs="Arial"/>
          <w:color w:val="000000"/>
          <w:lang w:val="es-ES_tradnl" w:eastAsia="es-ES"/>
        </w:rPr>
      </w:pPr>
    </w:p>
    <w:p w14:paraId="3FABC820" w14:textId="77777777" w:rsidR="00B600DD" w:rsidRPr="00B600DD" w:rsidRDefault="00B600DD" w:rsidP="00B600DD">
      <w:pPr>
        <w:spacing w:after="0"/>
        <w:jc w:val="both"/>
        <w:rPr>
          <w:rFonts w:ascii="Arial" w:hAnsi="Arial" w:cs="Arial"/>
          <w:lang w:val="es-MX" w:eastAsia="es-MX"/>
        </w:rPr>
      </w:pPr>
    </w:p>
    <w:p w14:paraId="79B220A8" w14:textId="0D5D4642" w:rsidR="00B600DD" w:rsidRPr="00B600DD" w:rsidRDefault="00B600DD" w:rsidP="00B600DD">
      <w:pPr>
        <w:spacing w:after="0"/>
        <w:jc w:val="both"/>
        <w:rPr>
          <w:rFonts w:ascii="Arial" w:hAnsi="Arial" w:cs="Arial"/>
          <w:b/>
          <w:lang w:val="es-MX" w:eastAsia="es-MX"/>
        </w:rPr>
      </w:pPr>
      <w:r w:rsidRPr="00B600DD">
        <w:rPr>
          <w:rFonts w:ascii="Arial" w:hAnsi="Arial" w:cs="Arial"/>
          <w:b/>
          <w:lang w:val="es-MX" w:eastAsia="es-MX"/>
        </w:rPr>
        <w:lastRenderedPageBreak/>
        <w:t xml:space="preserve">Reino Unido </w:t>
      </w:r>
    </w:p>
    <w:p w14:paraId="419BBF13" w14:textId="77777777" w:rsidR="00B600DD" w:rsidRPr="00B600DD" w:rsidRDefault="00B600DD" w:rsidP="00B600DD">
      <w:pPr>
        <w:spacing w:after="0"/>
        <w:jc w:val="both"/>
        <w:rPr>
          <w:rFonts w:ascii="Arial" w:hAnsi="Arial" w:cs="Arial"/>
          <w:lang w:val="es-MX" w:eastAsia="es-MX"/>
        </w:rPr>
      </w:pPr>
    </w:p>
    <w:p w14:paraId="4D717BBA" w14:textId="77777777" w:rsidR="00B600DD" w:rsidRPr="00B600DD" w:rsidRDefault="00B600DD" w:rsidP="00B600DD">
      <w:pPr>
        <w:spacing w:after="0"/>
        <w:jc w:val="both"/>
        <w:rPr>
          <w:rFonts w:ascii="Arial" w:hAnsi="Arial" w:cs="Arial"/>
          <w:color w:val="000000"/>
          <w:lang w:val="es-ES_tradnl" w:eastAsia="es-ES"/>
        </w:rPr>
      </w:pPr>
      <w:r w:rsidRPr="00B600DD">
        <w:rPr>
          <w:rFonts w:ascii="Arial" w:hAnsi="Arial" w:cs="Arial"/>
          <w:color w:val="000000"/>
          <w:lang w:val="es-ES_tradnl" w:eastAsia="es-ES"/>
        </w:rPr>
        <w:t>La última revisión del mercado mayorista de banda ancha para el segmento de masas se llevó a cabo en 2018 [“Decisión de 2018” en adelante]</w:t>
      </w:r>
      <w:r w:rsidRPr="00B600DD">
        <w:rPr>
          <w:rFonts w:ascii="Arial" w:hAnsi="Arial" w:cs="Arial"/>
          <w:color w:val="000000"/>
          <w:vertAlign w:val="superscript"/>
          <w:lang w:val="es-ES_tradnl" w:eastAsia="es-ES"/>
        </w:rPr>
        <w:footnoteReference w:id="12"/>
      </w:r>
      <w:r w:rsidRPr="00B600DD">
        <w:rPr>
          <w:rFonts w:ascii="Arial" w:hAnsi="Arial" w:cs="Arial"/>
          <w:color w:val="000000"/>
          <w:lang w:val="es-ES_tradnl" w:eastAsia="es-ES"/>
        </w:rPr>
        <w:t xml:space="preserve">. Un elemento de discusión en esta revisión, relevante para el caso de México, fue el tratamiento de los despliegues de fibra.  En concreto, (i) cómo evaluar si un operador basado en fibra está presente en la unidad geográfica de análisis; y, (ii) la necesidad de considerar una unidad geográfica distinta a la central local, basada en el despliegue de fibra [por ejemplo el área cubierta por los “gabinetes / cabinas” de fibra]. </w:t>
      </w:r>
    </w:p>
    <w:p w14:paraId="15A45D2C" w14:textId="77777777" w:rsidR="00B600DD" w:rsidRPr="00B600DD" w:rsidRDefault="00B600DD" w:rsidP="00B600DD">
      <w:pPr>
        <w:spacing w:after="0"/>
        <w:jc w:val="both"/>
        <w:rPr>
          <w:rFonts w:ascii="Arial" w:hAnsi="Arial" w:cs="Arial"/>
          <w:color w:val="000000"/>
          <w:lang w:val="es-ES_tradnl" w:eastAsia="es-ES"/>
        </w:rPr>
      </w:pPr>
    </w:p>
    <w:p w14:paraId="5D972937" w14:textId="77777777" w:rsidR="00B600DD" w:rsidRPr="00B600DD" w:rsidRDefault="00B600DD" w:rsidP="00B600DD">
      <w:pPr>
        <w:spacing w:after="0"/>
        <w:jc w:val="both"/>
        <w:rPr>
          <w:rFonts w:ascii="Arial" w:hAnsi="Arial" w:cs="Arial"/>
          <w:color w:val="000000"/>
          <w:lang w:val="es-ES_tradnl" w:eastAsia="es-ES"/>
        </w:rPr>
      </w:pPr>
      <w:r w:rsidRPr="00B600DD">
        <w:rPr>
          <w:rFonts w:ascii="Arial" w:hAnsi="Arial" w:cs="Arial"/>
          <w:color w:val="000000"/>
          <w:lang w:val="es-ES_tradnl" w:eastAsia="es-ES"/>
        </w:rPr>
        <w:t>Esta última revisión mantiene la segmentación geográfica de mercados, distinguiendo entre zonas competitivas y no competitivas y reduce el área geográfica sujeta a regulación. El tamaño de las áreas geográficas reguladas se reduce a un 1% de las instalaciones del Reino Unido.</w:t>
      </w:r>
    </w:p>
    <w:p w14:paraId="0B1500B8" w14:textId="77777777" w:rsidR="00B600DD" w:rsidRPr="00B600DD" w:rsidRDefault="00B600DD" w:rsidP="00B600DD">
      <w:pPr>
        <w:spacing w:after="0"/>
        <w:jc w:val="both"/>
        <w:rPr>
          <w:rFonts w:ascii="Arial" w:hAnsi="Arial" w:cs="Arial"/>
          <w:color w:val="000000"/>
          <w:lang w:val="es-ES_tradnl" w:eastAsia="es-ES"/>
        </w:rPr>
      </w:pPr>
    </w:p>
    <w:p w14:paraId="3FC94F3C" w14:textId="4DA3D8DC" w:rsidR="00B600DD" w:rsidRPr="00B600DD" w:rsidRDefault="00B600DD" w:rsidP="00B600DD">
      <w:pPr>
        <w:spacing w:after="0"/>
        <w:jc w:val="both"/>
        <w:rPr>
          <w:rFonts w:ascii="Arial" w:hAnsi="Arial" w:cs="Arial"/>
          <w:color w:val="000000"/>
          <w:lang w:val="es-ES_tradnl" w:eastAsia="es-ES"/>
        </w:rPr>
      </w:pPr>
      <w:r w:rsidRPr="00B600DD">
        <w:rPr>
          <w:rFonts w:ascii="Arial" w:hAnsi="Arial" w:cs="Arial"/>
          <w:color w:val="000000"/>
          <w:lang w:val="es-ES_tradnl" w:eastAsia="es-ES"/>
        </w:rPr>
        <w:t>La unidad geográfica considerada por Ofcom es el área cubierta por la central local</w:t>
      </w:r>
      <w:r w:rsidR="004B6C3F">
        <w:rPr>
          <w:rFonts w:ascii="Arial" w:hAnsi="Arial" w:cs="Arial"/>
          <w:color w:val="000000"/>
          <w:lang w:val="es-ES_tradnl" w:eastAsia="es-ES"/>
        </w:rPr>
        <w:t>, ya que e</w:t>
      </w:r>
      <w:r w:rsidRPr="00B600DD">
        <w:rPr>
          <w:rFonts w:ascii="Arial" w:hAnsi="Arial" w:cs="Arial"/>
          <w:color w:val="000000"/>
          <w:lang w:val="es-ES_tradnl" w:eastAsia="es-ES"/>
        </w:rPr>
        <w:t>sta es la unidad natural a utilizar debido a la importancia de los operadores de LLU en Reino Unido, como fuente competitiva en los mercados mayoristas de acceso de banda ancha. Así, los operadores de LLU colocan sus propios equipos en las centrales de BT para proporcionar servicios de banda ancha al por mayor y al por menor a los clientes conectados a esa central. Una vez que un operador de LLU ha ingresado en el área de una central en particular, dada la naturaleza de los costos del LLU, tendrá incentivos a competir por todos los clientes conectados a esa central. Esto conduce a una homogeneidad natural de las condiciones competitivas dentro del área de la central, y a una diferencia material con respecto a otras áreas donde la desagregación no ha tenido lugar de manera similar.</w:t>
      </w:r>
    </w:p>
    <w:p w14:paraId="28F19A13" w14:textId="77777777" w:rsidR="00B600DD" w:rsidRPr="00B600DD" w:rsidRDefault="00B600DD" w:rsidP="00B600DD">
      <w:pPr>
        <w:spacing w:after="0"/>
        <w:jc w:val="both"/>
        <w:rPr>
          <w:rFonts w:ascii="Arial" w:hAnsi="Arial" w:cs="Arial"/>
          <w:color w:val="000000"/>
          <w:lang w:val="es-ES_tradnl" w:eastAsia="es-ES"/>
        </w:rPr>
      </w:pPr>
    </w:p>
    <w:p w14:paraId="57B0863F" w14:textId="77777777" w:rsidR="00B600DD" w:rsidRPr="00B600DD" w:rsidRDefault="00B600DD" w:rsidP="00B600DD">
      <w:pPr>
        <w:spacing w:after="0"/>
        <w:jc w:val="both"/>
        <w:rPr>
          <w:rFonts w:ascii="Arial" w:hAnsi="Arial" w:cs="Arial"/>
          <w:color w:val="000000"/>
          <w:lang w:val="es-ES_tradnl" w:eastAsia="es-ES"/>
        </w:rPr>
      </w:pPr>
      <w:r w:rsidRPr="00B600DD">
        <w:rPr>
          <w:rFonts w:ascii="Arial" w:hAnsi="Arial" w:cs="Arial"/>
          <w:color w:val="000000"/>
          <w:lang w:val="es-ES_tradnl" w:eastAsia="es-ES"/>
        </w:rPr>
        <w:t xml:space="preserve">El mayor despliegue de fibra planteó la cuestión de considerar una unidad geográfica alternativa para la revisión de 2018: las áreas de los gabinetes / cabinas de fibra de BT. </w:t>
      </w:r>
    </w:p>
    <w:p w14:paraId="2A1AF355" w14:textId="77777777" w:rsidR="00B600DD" w:rsidRPr="00B600DD" w:rsidRDefault="00B600DD" w:rsidP="00B600DD">
      <w:pPr>
        <w:spacing w:after="0"/>
        <w:jc w:val="both"/>
        <w:rPr>
          <w:rFonts w:ascii="Arial" w:hAnsi="Arial" w:cs="Arial"/>
          <w:color w:val="000000"/>
          <w:lang w:val="es-ES_tradnl" w:eastAsia="es-ES"/>
        </w:rPr>
      </w:pPr>
    </w:p>
    <w:p w14:paraId="66F5D28D" w14:textId="77777777" w:rsidR="00B600DD" w:rsidRPr="00B600DD" w:rsidRDefault="00B600DD" w:rsidP="00B600DD">
      <w:pPr>
        <w:spacing w:after="0"/>
        <w:jc w:val="both"/>
        <w:rPr>
          <w:rFonts w:ascii="Arial" w:hAnsi="Arial" w:cs="Arial"/>
          <w:color w:val="000000"/>
          <w:lang w:val="es-ES_tradnl" w:eastAsia="es-ES"/>
        </w:rPr>
      </w:pPr>
      <w:r w:rsidRPr="00B600DD">
        <w:rPr>
          <w:rFonts w:ascii="Arial" w:hAnsi="Arial" w:cs="Arial"/>
          <w:color w:val="000000"/>
          <w:lang w:val="es-ES_tradnl" w:eastAsia="es-ES"/>
        </w:rPr>
        <w:t>Finalmente, Ofcom optó por mantener el enfoque del área de la central local como unidad geográfica relevante para el análisis. Ello debido a que un enfoque basado en el área de los gabinetes de fibra de BT acarrearía el riesgo de un microanálisis innecesario que llevaría a una fragmentación excesiva de los mercados, con cerca de 90,000 gabinetes en el Reino Unido al momento de la revisión. Esto podría conducir a situaciones poco razonables. Por ejemplo, que hubiera gabinetes con distinta condición (regulados o no regulados) dentro de una misma vecindad, siendo poco práctico de implementar para el proveedor con SMP y sus clientes. Más aún, un enfoque tan desagregado generaría una carga significativa para los operadores en términos de la cantidad de datos que deberían suministrar a Ofcom para su análisis.</w:t>
      </w:r>
    </w:p>
    <w:p w14:paraId="7F9B60C8" w14:textId="77777777" w:rsidR="00B600DD" w:rsidRPr="00B600DD" w:rsidRDefault="00B600DD" w:rsidP="00B600DD">
      <w:pPr>
        <w:spacing w:after="0"/>
        <w:jc w:val="both"/>
        <w:rPr>
          <w:rFonts w:ascii="Arial" w:hAnsi="Arial" w:cs="Arial"/>
          <w:color w:val="000000"/>
          <w:lang w:val="es-ES_tradnl" w:eastAsia="es-ES"/>
        </w:rPr>
      </w:pPr>
    </w:p>
    <w:p w14:paraId="06DCD8A3" w14:textId="72D9961F" w:rsidR="00B600DD" w:rsidRPr="00B600DD" w:rsidRDefault="00B600DD" w:rsidP="00B600DD">
      <w:pPr>
        <w:spacing w:after="0"/>
        <w:jc w:val="both"/>
        <w:rPr>
          <w:rFonts w:ascii="Arial" w:hAnsi="Arial" w:cs="Arial"/>
          <w:color w:val="000000"/>
          <w:lang w:val="es-ES_tradnl" w:eastAsia="es-ES"/>
        </w:rPr>
      </w:pPr>
      <w:r w:rsidRPr="00B600DD">
        <w:rPr>
          <w:rFonts w:ascii="Arial" w:hAnsi="Arial" w:cs="Arial"/>
          <w:color w:val="000000"/>
          <w:lang w:val="es-ES_tradnl" w:eastAsia="es-ES"/>
        </w:rPr>
        <w:t xml:space="preserve">Ofcom ha definido mercados geográficos separados, proponiendo la desregulación de las zonas competitivas. Estas zonas representaban el 69,2% de las instalaciones en Reino Unido en 2008 y el 98,5% en la revisión de 2018. </w:t>
      </w:r>
    </w:p>
    <w:p w14:paraId="616FA1FB" w14:textId="77777777" w:rsidR="00B600DD" w:rsidRPr="00B600DD" w:rsidRDefault="00B600DD" w:rsidP="00B600DD">
      <w:pPr>
        <w:spacing w:after="0"/>
        <w:jc w:val="both"/>
        <w:rPr>
          <w:rFonts w:ascii="Arial" w:hAnsi="Arial" w:cs="Arial"/>
          <w:color w:val="000000"/>
          <w:lang w:val="es-ES_tradnl" w:eastAsia="es-ES"/>
        </w:rPr>
      </w:pPr>
    </w:p>
    <w:p w14:paraId="12A5FFF0" w14:textId="7B05AEC7" w:rsidR="00B600DD" w:rsidRPr="00B600DD" w:rsidRDefault="00B600DD" w:rsidP="00B600DD">
      <w:pPr>
        <w:spacing w:after="0"/>
        <w:jc w:val="both"/>
        <w:rPr>
          <w:rFonts w:ascii="Arial" w:hAnsi="Arial" w:cs="Arial"/>
          <w:color w:val="000000"/>
          <w:lang w:val="es-ES_tradnl" w:eastAsia="es-ES"/>
        </w:rPr>
      </w:pPr>
      <w:r w:rsidRPr="00B600DD">
        <w:rPr>
          <w:rFonts w:ascii="Arial" w:hAnsi="Arial" w:cs="Arial"/>
          <w:color w:val="000000"/>
          <w:lang w:val="es-ES_tradnl" w:eastAsia="es-ES"/>
        </w:rPr>
        <w:t xml:space="preserve">Un elemento clave en la delimitación de las zonas competitivas es el concepto de operador principal [“PO” </w:t>
      </w:r>
      <w:r w:rsidR="009907B9">
        <w:rPr>
          <w:rFonts w:ascii="Arial" w:hAnsi="Arial" w:cs="Arial"/>
          <w:color w:val="000000"/>
          <w:lang w:val="es-ES_tradnl" w:eastAsia="es-ES"/>
        </w:rPr>
        <w:t>por</w:t>
      </w:r>
      <w:r w:rsidRPr="00B600DD">
        <w:rPr>
          <w:rFonts w:ascii="Arial" w:hAnsi="Arial" w:cs="Arial"/>
          <w:color w:val="000000"/>
          <w:lang w:val="es-ES_tradnl" w:eastAsia="es-ES"/>
        </w:rPr>
        <w:t xml:space="preserve"> sus siglas en inglés]. Ofcom considera que un Operador Principal es cualquier operador que se espera que proporcione una restricción material en el mercado, ya sea directa o indirectamente. Todos los operadores identificados como PO por Ofcom se caracterizan por estar activos en la provisión de servicios de acceso de banda ancha al por mayor [ya sea de manera directa o indirecta – a través de la auto-provisión] y contar con una cobertura significativa del Reino Unido (superior al 45%). </w:t>
      </w:r>
    </w:p>
    <w:p w14:paraId="0558674B" w14:textId="77777777" w:rsidR="00B600DD" w:rsidRPr="00B600DD" w:rsidRDefault="00B600DD" w:rsidP="00B600DD">
      <w:pPr>
        <w:spacing w:after="0"/>
        <w:jc w:val="both"/>
        <w:rPr>
          <w:rFonts w:ascii="Arial" w:hAnsi="Arial" w:cs="Arial"/>
          <w:color w:val="000000"/>
          <w:lang w:val="es-ES_tradnl" w:eastAsia="es-ES"/>
        </w:rPr>
      </w:pPr>
    </w:p>
    <w:p w14:paraId="2B7F5834" w14:textId="77777777" w:rsidR="00B600DD" w:rsidRPr="00B600DD" w:rsidRDefault="00B600DD" w:rsidP="00B600DD">
      <w:pPr>
        <w:jc w:val="both"/>
        <w:rPr>
          <w:rFonts w:ascii="Arial" w:hAnsi="Arial" w:cs="Arial"/>
          <w:color w:val="000000"/>
          <w:lang w:val="es-ES_tradnl" w:eastAsia="es-ES"/>
        </w:rPr>
      </w:pPr>
      <w:r w:rsidRPr="00B600DD">
        <w:rPr>
          <w:rFonts w:ascii="Arial" w:hAnsi="Arial" w:cs="Arial"/>
          <w:color w:val="000000"/>
          <w:lang w:val="es-ES_tradnl" w:eastAsia="es-ES"/>
        </w:rPr>
        <w:t>En la revisión de 2018 Ofcom identifica a 4 PO, además de BT – como operador incumbente: Sky, Talk Talk, Virgin Media y Vodafone. La tabla a continuación muestra los rangos para el nivel de cobertura y cuota de mercado en el mercado mayorista de banda ancha a nivel nacional para cada uno de los PO.</w:t>
      </w:r>
    </w:p>
    <w:tbl>
      <w:tblPr>
        <w:tblStyle w:val="Tabladecuadrcula4-nfasis32"/>
        <w:tblW w:w="7940" w:type="dxa"/>
        <w:jc w:val="center"/>
        <w:tblLayout w:type="fixed"/>
        <w:tblLook w:val="0620" w:firstRow="1" w:lastRow="0" w:firstColumn="0" w:lastColumn="0" w:noHBand="1" w:noVBand="1"/>
      </w:tblPr>
      <w:tblGrid>
        <w:gridCol w:w="3544"/>
        <w:gridCol w:w="2126"/>
        <w:gridCol w:w="2270"/>
      </w:tblGrid>
      <w:tr w:rsidR="00B600DD" w:rsidRPr="00B600DD" w14:paraId="554E1564" w14:textId="77777777" w:rsidTr="00B600DD">
        <w:trPr>
          <w:cnfStyle w:val="100000000000" w:firstRow="1" w:lastRow="0" w:firstColumn="0" w:lastColumn="0" w:oddVBand="0" w:evenVBand="0" w:oddHBand="0" w:evenHBand="0" w:firstRowFirstColumn="0" w:firstRowLastColumn="0" w:lastRowFirstColumn="0" w:lastRowLastColumn="0"/>
          <w:jc w:val="center"/>
        </w:trPr>
        <w:tc>
          <w:tcPr>
            <w:tcW w:w="3544" w:type="dxa"/>
            <w:noWrap/>
            <w:hideMark/>
          </w:tcPr>
          <w:p w14:paraId="4F677FF5" w14:textId="77777777" w:rsidR="00B600DD" w:rsidRPr="00B600DD" w:rsidRDefault="00B600DD" w:rsidP="00B600DD">
            <w:pPr>
              <w:spacing w:before="40" w:after="40" w:line="240" w:lineRule="auto"/>
              <w:rPr>
                <w:rFonts w:ascii="Arial" w:hAnsi="Arial" w:cs="Arial"/>
                <w:sz w:val="20"/>
                <w:szCs w:val="22"/>
                <w:lang w:val="en-GB" w:eastAsia="en-GB"/>
              </w:rPr>
            </w:pPr>
            <w:r w:rsidRPr="00B600DD">
              <w:rPr>
                <w:rFonts w:ascii="Arial" w:hAnsi="Arial" w:cs="Arial"/>
                <w:sz w:val="20"/>
                <w:szCs w:val="22"/>
                <w:lang w:val="en-GB" w:eastAsia="en-GB"/>
              </w:rPr>
              <w:t>Proveedor</w:t>
            </w:r>
          </w:p>
        </w:tc>
        <w:tc>
          <w:tcPr>
            <w:tcW w:w="2126" w:type="dxa"/>
            <w:noWrap/>
            <w:hideMark/>
          </w:tcPr>
          <w:p w14:paraId="50A4B544" w14:textId="77777777" w:rsidR="00B600DD" w:rsidRPr="00B600DD" w:rsidRDefault="00B600DD" w:rsidP="00B600DD">
            <w:pPr>
              <w:spacing w:before="40" w:after="40" w:line="240" w:lineRule="auto"/>
              <w:rPr>
                <w:rFonts w:ascii="Arial" w:hAnsi="Arial" w:cs="Arial"/>
                <w:sz w:val="20"/>
                <w:szCs w:val="22"/>
                <w:lang w:eastAsia="en-GB"/>
              </w:rPr>
            </w:pPr>
            <w:r w:rsidRPr="00B600DD">
              <w:rPr>
                <w:rFonts w:ascii="Arial" w:hAnsi="Arial" w:cs="Arial"/>
                <w:sz w:val="20"/>
                <w:szCs w:val="22"/>
                <w:lang w:eastAsia="en-GB"/>
              </w:rPr>
              <w:t>Cobertura del Reino Unido (excluyendo Hull)</w:t>
            </w:r>
          </w:p>
        </w:tc>
        <w:tc>
          <w:tcPr>
            <w:tcW w:w="2270" w:type="dxa"/>
            <w:noWrap/>
            <w:hideMark/>
          </w:tcPr>
          <w:p w14:paraId="59CAD4AF" w14:textId="77777777" w:rsidR="00B600DD" w:rsidRPr="00B600DD" w:rsidRDefault="00B600DD" w:rsidP="00B600DD">
            <w:pPr>
              <w:spacing w:before="40" w:after="40" w:line="240" w:lineRule="auto"/>
              <w:rPr>
                <w:rFonts w:ascii="Arial" w:hAnsi="Arial" w:cs="Arial"/>
                <w:sz w:val="20"/>
                <w:szCs w:val="22"/>
                <w:lang w:eastAsia="en-GB"/>
              </w:rPr>
            </w:pPr>
            <w:r w:rsidRPr="00B600DD">
              <w:rPr>
                <w:rFonts w:ascii="Arial" w:hAnsi="Arial" w:cs="Arial"/>
                <w:sz w:val="20"/>
                <w:szCs w:val="22"/>
                <w:lang w:eastAsia="en-GB"/>
              </w:rPr>
              <w:t>Participación nacional en las conexiones de WBA</w:t>
            </w:r>
          </w:p>
        </w:tc>
      </w:tr>
      <w:tr w:rsidR="00B600DD" w:rsidRPr="00B600DD" w14:paraId="0FCA5B47" w14:textId="77777777" w:rsidTr="007129EC">
        <w:trPr>
          <w:jc w:val="center"/>
        </w:trPr>
        <w:tc>
          <w:tcPr>
            <w:tcW w:w="3544" w:type="dxa"/>
            <w:noWrap/>
            <w:hideMark/>
          </w:tcPr>
          <w:p w14:paraId="2F9772AC" w14:textId="77777777" w:rsidR="00B600DD" w:rsidRPr="00B600DD" w:rsidRDefault="00B600DD" w:rsidP="00B600DD">
            <w:pPr>
              <w:spacing w:before="40" w:after="40" w:line="240" w:lineRule="auto"/>
              <w:rPr>
                <w:rFonts w:ascii="Arial" w:hAnsi="Arial" w:cs="Arial"/>
                <w:sz w:val="20"/>
                <w:szCs w:val="22"/>
                <w:lang w:val="en-GB" w:eastAsia="en-GB"/>
              </w:rPr>
            </w:pPr>
            <w:r w:rsidRPr="00B600DD">
              <w:rPr>
                <w:rFonts w:ascii="Arial" w:hAnsi="Arial" w:cs="Arial"/>
                <w:sz w:val="20"/>
                <w:szCs w:val="22"/>
                <w:lang w:val="en-GB" w:eastAsia="en-GB"/>
              </w:rPr>
              <w:t>BT</w:t>
            </w:r>
          </w:p>
        </w:tc>
        <w:tc>
          <w:tcPr>
            <w:tcW w:w="2126" w:type="dxa"/>
            <w:noWrap/>
            <w:hideMark/>
          </w:tcPr>
          <w:p w14:paraId="6017060D" w14:textId="77777777" w:rsidR="00B600DD" w:rsidRPr="00B600DD" w:rsidRDefault="00B600DD" w:rsidP="00B600DD">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100%</w:t>
            </w:r>
          </w:p>
        </w:tc>
        <w:tc>
          <w:tcPr>
            <w:tcW w:w="2270" w:type="dxa"/>
            <w:noWrap/>
            <w:hideMark/>
          </w:tcPr>
          <w:p w14:paraId="6E500B31" w14:textId="0B392EE9" w:rsidR="00B600DD" w:rsidRPr="00B600DD" w:rsidRDefault="00B600DD" w:rsidP="00B600DD">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 xml:space="preserve"> &lt; 40%</w:t>
            </w:r>
          </w:p>
        </w:tc>
      </w:tr>
      <w:tr w:rsidR="00B600DD" w:rsidRPr="00B600DD" w14:paraId="5FF6B18C" w14:textId="77777777" w:rsidTr="007129EC">
        <w:trPr>
          <w:jc w:val="center"/>
        </w:trPr>
        <w:tc>
          <w:tcPr>
            <w:tcW w:w="3544" w:type="dxa"/>
            <w:noWrap/>
            <w:hideMark/>
          </w:tcPr>
          <w:p w14:paraId="611C6BA9" w14:textId="77777777" w:rsidR="00B600DD" w:rsidRPr="00B600DD" w:rsidRDefault="00B600DD" w:rsidP="00B600DD">
            <w:pPr>
              <w:spacing w:before="40" w:after="40" w:line="240" w:lineRule="auto"/>
              <w:rPr>
                <w:rFonts w:ascii="Arial" w:hAnsi="Arial" w:cs="Arial"/>
                <w:sz w:val="20"/>
                <w:szCs w:val="22"/>
                <w:lang w:val="en-GB" w:eastAsia="en-GB"/>
              </w:rPr>
            </w:pPr>
            <w:r w:rsidRPr="00B600DD">
              <w:rPr>
                <w:rFonts w:ascii="Arial" w:hAnsi="Arial" w:cs="Arial"/>
                <w:sz w:val="20"/>
                <w:szCs w:val="22"/>
                <w:lang w:val="en-GB" w:eastAsia="en-GB"/>
              </w:rPr>
              <w:t>Sky</w:t>
            </w:r>
          </w:p>
        </w:tc>
        <w:tc>
          <w:tcPr>
            <w:tcW w:w="2126" w:type="dxa"/>
            <w:noWrap/>
            <w:hideMark/>
          </w:tcPr>
          <w:p w14:paraId="1A5B2D6E" w14:textId="191295E1" w:rsidR="00B600DD" w:rsidRPr="00B600DD" w:rsidRDefault="00B600DD" w:rsidP="00B600DD">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 xml:space="preserve"> &gt; 95%</w:t>
            </w:r>
          </w:p>
        </w:tc>
        <w:tc>
          <w:tcPr>
            <w:tcW w:w="2270" w:type="dxa"/>
            <w:noWrap/>
            <w:hideMark/>
          </w:tcPr>
          <w:p w14:paraId="36EA922E" w14:textId="460D9020" w:rsidR="00B600DD" w:rsidRPr="00B600DD" w:rsidRDefault="00B600DD" w:rsidP="00B600DD">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 xml:space="preserve"> 15-25%</w:t>
            </w:r>
          </w:p>
        </w:tc>
      </w:tr>
      <w:tr w:rsidR="00B600DD" w:rsidRPr="00B600DD" w14:paraId="60BC7E87" w14:textId="77777777" w:rsidTr="007129EC">
        <w:trPr>
          <w:jc w:val="center"/>
        </w:trPr>
        <w:tc>
          <w:tcPr>
            <w:tcW w:w="3544" w:type="dxa"/>
            <w:noWrap/>
            <w:hideMark/>
          </w:tcPr>
          <w:p w14:paraId="1606229A" w14:textId="77777777" w:rsidR="00B600DD" w:rsidRPr="00B600DD" w:rsidRDefault="00B600DD" w:rsidP="00B600DD">
            <w:pPr>
              <w:spacing w:before="40" w:after="40" w:line="240" w:lineRule="auto"/>
              <w:rPr>
                <w:rFonts w:ascii="Arial" w:hAnsi="Arial" w:cs="Arial"/>
                <w:sz w:val="20"/>
                <w:szCs w:val="22"/>
                <w:lang w:val="en-GB" w:eastAsia="en-GB"/>
              </w:rPr>
            </w:pPr>
            <w:r w:rsidRPr="00B600DD">
              <w:rPr>
                <w:rFonts w:ascii="Arial" w:hAnsi="Arial" w:cs="Arial"/>
                <w:sz w:val="20"/>
                <w:szCs w:val="22"/>
                <w:lang w:val="en-GB" w:eastAsia="en-GB"/>
              </w:rPr>
              <w:t>TalkTalk</w:t>
            </w:r>
          </w:p>
        </w:tc>
        <w:tc>
          <w:tcPr>
            <w:tcW w:w="2126" w:type="dxa"/>
            <w:noWrap/>
            <w:hideMark/>
          </w:tcPr>
          <w:p w14:paraId="046A2027" w14:textId="583942B1" w:rsidR="00B600DD" w:rsidRPr="00B600DD" w:rsidRDefault="00B600DD" w:rsidP="00B600DD">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 xml:space="preserve"> &gt; 95%</w:t>
            </w:r>
          </w:p>
        </w:tc>
        <w:tc>
          <w:tcPr>
            <w:tcW w:w="2270" w:type="dxa"/>
            <w:noWrap/>
            <w:hideMark/>
          </w:tcPr>
          <w:p w14:paraId="7660201A" w14:textId="426514FE" w:rsidR="00B600DD" w:rsidRPr="00B600DD" w:rsidRDefault="00B600DD" w:rsidP="00B600DD">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 xml:space="preserve"> 15-25%</w:t>
            </w:r>
          </w:p>
        </w:tc>
      </w:tr>
      <w:tr w:rsidR="00B600DD" w:rsidRPr="00B600DD" w14:paraId="1613492C" w14:textId="77777777" w:rsidTr="007129EC">
        <w:trPr>
          <w:jc w:val="center"/>
        </w:trPr>
        <w:tc>
          <w:tcPr>
            <w:tcW w:w="3544" w:type="dxa"/>
            <w:noWrap/>
            <w:hideMark/>
          </w:tcPr>
          <w:p w14:paraId="3A4EEF43" w14:textId="77777777" w:rsidR="00B600DD" w:rsidRPr="00B600DD" w:rsidRDefault="00B600DD" w:rsidP="00B600DD">
            <w:pPr>
              <w:spacing w:before="40" w:after="40" w:line="240" w:lineRule="auto"/>
              <w:rPr>
                <w:rFonts w:ascii="Arial" w:hAnsi="Arial" w:cs="Arial"/>
                <w:sz w:val="20"/>
                <w:szCs w:val="22"/>
                <w:lang w:val="en-GB" w:eastAsia="en-GB"/>
              </w:rPr>
            </w:pPr>
            <w:r w:rsidRPr="00B600DD">
              <w:rPr>
                <w:rFonts w:ascii="Arial" w:hAnsi="Arial" w:cs="Arial"/>
                <w:sz w:val="20"/>
                <w:szCs w:val="22"/>
                <w:lang w:val="en-GB" w:eastAsia="en-GB"/>
              </w:rPr>
              <w:t>Virgin Media</w:t>
            </w:r>
          </w:p>
        </w:tc>
        <w:tc>
          <w:tcPr>
            <w:tcW w:w="2126" w:type="dxa"/>
            <w:noWrap/>
            <w:hideMark/>
          </w:tcPr>
          <w:p w14:paraId="013DBE9A" w14:textId="2467A319" w:rsidR="00B600DD" w:rsidRPr="00B600DD" w:rsidRDefault="00B600DD" w:rsidP="00B600DD">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 xml:space="preserve"> 40-50%</w:t>
            </w:r>
          </w:p>
        </w:tc>
        <w:tc>
          <w:tcPr>
            <w:tcW w:w="2270" w:type="dxa"/>
            <w:noWrap/>
            <w:hideMark/>
          </w:tcPr>
          <w:p w14:paraId="38C5C495" w14:textId="7F17970F" w:rsidR="00B600DD" w:rsidRPr="00B600DD" w:rsidRDefault="00B600DD" w:rsidP="00B600DD">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 xml:space="preserve"> 15-25%</w:t>
            </w:r>
          </w:p>
        </w:tc>
      </w:tr>
      <w:tr w:rsidR="00B600DD" w:rsidRPr="00B600DD" w14:paraId="543A69EC" w14:textId="77777777" w:rsidTr="007129EC">
        <w:trPr>
          <w:jc w:val="center"/>
        </w:trPr>
        <w:tc>
          <w:tcPr>
            <w:tcW w:w="3544" w:type="dxa"/>
            <w:noWrap/>
            <w:hideMark/>
          </w:tcPr>
          <w:p w14:paraId="7CEACF08" w14:textId="77777777" w:rsidR="00B600DD" w:rsidRPr="00B600DD" w:rsidRDefault="00B600DD" w:rsidP="00B600DD">
            <w:pPr>
              <w:spacing w:before="40" w:after="40" w:line="240" w:lineRule="auto"/>
              <w:rPr>
                <w:rFonts w:ascii="Arial" w:hAnsi="Arial" w:cs="Arial"/>
                <w:sz w:val="20"/>
                <w:szCs w:val="22"/>
                <w:lang w:val="en-GB" w:eastAsia="en-GB"/>
              </w:rPr>
            </w:pPr>
            <w:r w:rsidRPr="00B600DD">
              <w:rPr>
                <w:rFonts w:ascii="Arial" w:hAnsi="Arial" w:cs="Arial"/>
                <w:sz w:val="20"/>
                <w:szCs w:val="22"/>
                <w:lang w:val="en-GB" w:eastAsia="en-GB"/>
              </w:rPr>
              <w:t>Vodafone</w:t>
            </w:r>
          </w:p>
        </w:tc>
        <w:tc>
          <w:tcPr>
            <w:tcW w:w="2126" w:type="dxa"/>
            <w:noWrap/>
            <w:hideMark/>
          </w:tcPr>
          <w:p w14:paraId="571572FF" w14:textId="0C554798" w:rsidR="00B600DD" w:rsidRPr="00B600DD" w:rsidRDefault="00B600DD" w:rsidP="00B600DD">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 xml:space="preserve"> &gt; 95%</w:t>
            </w:r>
          </w:p>
        </w:tc>
        <w:tc>
          <w:tcPr>
            <w:tcW w:w="2270" w:type="dxa"/>
            <w:noWrap/>
            <w:hideMark/>
          </w:tcPr>
          <w:p w14:paraId="6CE97BAC" w14:textId="65780FD5" w:rsidR="00B600DD" w:rsidRPr="00B600DD" w:rsidRDefault="00B600DD" w:rsidP="006B5BAB">
            <w:pPr>
              <w:spacing w:before="40" w:after="40" w:line="240" w:lineRule="auto"/>
              <w:jc w:val="right"/>
              <w:rPr>
                <w:rFonts w:ascii="Arial" w:hAnsi="Arial" w:cs="Arial"/>
                <w:sz w:val="20"/>
                <w:szCs w:val="22"/>
                <w:lang w:val="en-GB" w:eastAsia="en-GB"/>
              </w:rPr>
            </w:pPr>
            <w:r w:rsidRPr="00B600DD">
              <w:rPr>
                <w:rFonts w:ascii="Arial" w:hAnsi="Arial" w:cs="Arial"/>
                <w:sz w:val="20"/>
                <w:szCs w:val="22"/>
                <w:lang w:val="en-GB" w:eastAsia="en-GB"/>
              </w:rPr>
              <w:t xml:space="preserve"> &lt; 5%</w:t>
            </w:r>
          </w:p>
        </w:tc>
      </w:tr>
    </w:tbl>
    <w:p w14:paraId="5FFE6710" w14:textId="77777777" w:rsidR="00B600DD" w:rsidRPr="00B600DD" w:rsidRDefault="00B600DD" w:rsidP="00156C3A">
      <w:pPr>
        <w:tabs>
          <w:tab w:val="left" w:pos="709"/>
        </w:tabs>
        <w:spacing w:before="60" w:after="60" w:line="240" w:lineRule="auto"/>
        <w:ind w:left="709" w:right="615"/>
        <w:rPr>
          <w:rFonts w:ascii="Arial" w:hAnsi="Arial" w:cs="Arial"/>
          <w:color w:val="000000"/>
          <w:sz w:val="16"/>
          <w:lang w:val="es-ES_tradnl"/>
        </w:rPr>
      </w:pPr>
      <w:r w:rsidRPr="00B600DD">
        <w:rPr>
          <w:rFonts w:ascii="Arial" w:hAnsi="Arial" w:cs="Arial"/>
          <w:b/>
          <w:color w:val="000000"/>
          <w:sz w:val="16"/>
          <w:lang w:val="es-ES_tradnl"/>
        </w:rPr>
        <w:t xml:space="preserve">Tabla 9. </w:t>
      </w:r>
      <w:r w:rsidRPr="00B600DD">
        <w:rPr>
          <w:rFonts w:ascii="Arial" w:hAnsi="Arial" w:cs="Arial"/>
          <w:color w:val="000000"/>
          <w:sz w:val="16"/>
          <w:lang w:val="es-ES_tradnl"/>
        </w:rPr>
        <w:t xml:space="preserve">Cobertura y participación mayorista nacional de las conexiones de banda. </w:t>
      </w:r>
      <w:r w:rsidRPr="00B600DD">
        <w:rPr>
          <w:rFonts w:ascii="Arial" w:hAnsi="Arial" w:cs="Arial"/>
          <w:b/>
          <w:color w:val="000000"/>
          <w:sz w:val="16"/>
          <w:lang w:val="es-ES_tradnl"/>
        </w:rPr>
        <w:t xml:space="preserve">Fuente: </w:t>
      </w:r>
      <w:r w:rsidRPr="00B600DD">
        <w:rPr>
          <w:rFonts w:ascii="Arial" w:hAnsi="Arial" w:cs="Arial"/>
          <w:color w:val="000000"/>
          <w:sz w:val="16"/>
          <w:lang w:val="es-ES_tradnl"/>
        </w:rPr>
        <w:t>Cálculos de Ofcom en base a información provista por BT y Virgin Media</w:t>
      </w:r>
    </w:p>
    <w:p w14:paraId="3DC4B2F8" w14:textId="77777777" w:rsidR="00B600DD" w:rsidRPr="00B600DD" w:rsidRDefault="00B600DD" w:rsidP="00B600DD">
      <w:pPr>
        <w:spacing w:after="0" w:line="240" w:lineRule="auto"/>
        <w:rPr>
          <w:rFonts w:ascii="Arial" w:hAnsi="Arial" w:cs="Arial"/>
          <w:sz w:val="20"/>
          <w:szCs w:val="20"/>
          <w:lang w:val="es-ES_tradnl"/>
        </w:rPr>
      </w:pPr>
    </w:p>
    <w:p w14:paraId="3E12ABFC"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Una cuestión relevante, también para el caso de México, es cómo considerar que un operador de cable está en la unidad geográfica de análisis. Al ser la red de cable independiente de las centrales locales de BT, en algunos casos, solo unas pocas instalaciones dentro del área delimitada por una central dada estarán cubiertas por la red de cable, mientras que en otras áreas la cobertura puede ser total. El criterio seguido por Ofcom para incluir a los operadores de cable en las distintas zonas geográficas se basa en la cobertura observada en el área de central, incluyendo a los PO de cable con una cobertura de al menos el 65%.</w:t>
      </w:r>
    </w:p>
    <w:p w14:paraId="6D5CBEDB" w14:textId="77777777" w:rsidR="00B600DD" w:rsidRPr="00B600DD" w:rsidRDefault="00B600DD" w:rsidP="00B600DD">
      <w:pPr>
        <w:spacing w:after="0"/>
        <w:jc w:val="both"/>
        <w:rPr>
          <w:rFonts w:ascii="Arial" w:hAnsi="Arial" w:cs="Arial"/>
          <w:lang w:val="es-MX" w:eastAsia="es-MX"/>
        </w:rPr>
      </w:pPr>
    </w:p>
    <w:p w14:paraId="1A12CF5F"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Teniendo en cuenta estos criterios, en la revisión de 2008 Ofcom definió los siguientes mercados geográficos</w:t>
      </w:r>
      <w:r w:rsidRPr="00B600DD">
        <w:rPr>
          <w:rFonts w:ascii="Arial" w:hAnsi="Arial" w:cs="Arial"/>
          <w:sz w:val="20"/>
          <w:szCs w:val="20"/>
          <w:vertAlign w:val="superscript"/>
          <w:lang w:val="es-MX" w:eastAsia="es-MX"/>
        </w:rPr>
        <w:footnoteReference w:id="13"/>
      </w:r>
      <w:r w:rsidRPr="00B600DD">
        <w:rPr>
          <w:rFonts w:ascii="Arial" w:hAnsi="Arial" w:cs="Arial"/>
          <w:sz w:val="20"/>
          <w:szCs w:val="20"/>
          <w:lang w:val="es-MX" w:eastAsia="es-MX"/>
        </w:rPr>
        <w:t xml:space="preserve"> </w:t>
      </w:r>
      <w:r w:rsidRPr="00B600DD">
        <w:rPr>
          <w:rFonts w:ascii="Arial" w:hAnsi="Arial" w:cs="Arial"/>
          <w:sz w:val="20"/>
          <w:szCs w:val="20"/>
          <w:vertAlign w:val="superscript"/>
          <w:lang w:val="es-MX" w:eastAsia="es-MX"/>
        </w:rPr>
        <w:footnoteReference w:id="14"/>
      </w:r>
      <w:r w:rsidRPr="00B600DD">
        <w:rPr>
          <w:rFonts w:ascii="Arial" w:hAnsi="Arial" w:cs="Arial"/>
          <w:lang w:val="es-MX" w:eastAsia="es-MX"/>
        </w:rPr>
        <w:t xml:space="preserve">:   </w:t>
      </w:r>
    </w:p>
    <w:p w14:paraId="5EAA3412" w14:textId="77777777" w:rsidR="00B600DD" w:rsidRPr="00B600DD" w:rsidRDefault="00B600DD" w:rsidP="00B600DD">
      <w:pPr>
        <w:spacing w:after="0"/>
        <w:jc w:val="both"/>
        <w:rPr>
          <w:rFonts w:ascii="Arial" w:hAnsi="Arial" w:cs="Arial"/>
          <w:lang w:val="es-MX" w:eastAsia="es-MX"/>
        </w:rPr>
      </w:pPr>
    </w:p>
    <w:p w14:paraId="429C7819" w14:textId="77777777" w:rsidR="00B600DD" w:rsidRPr="00B600DD" w:rsidRDefault="00B600DD" w:rsidP="00B600DD">
      <w:pPr>
        <w:numPr>
          <w:ilvl w:val="0"/>
          <w:numId w:val="18"/>
        </w:numPr>
        <w:spacing w:after="0" w:line="240" w:lineRule="auto"/>
        <w:contextualSpacing/>
        <w:jc w:val="both"/>
        <w:rPr>
          <w:rFonts w:ascii="Arial" w:hAnsi="Arial" w:cs="Arial"/>
          <w:lang w:val="es-MX"/>
        </w:rPr>
      </w:pPr>
      <w:r w:rsidRPr="00B600DD">
        <w:rPr>
          <w:rFonts w:ascii="Arial" w:hAnsi="Arial" w:cs="Arial"/>
          <w:lang w:val="es-MX"/>
        </w:rPr>
        <w:t>Mercado 1: aquellas áreas cubiertas por centrales donde BT era el único operador.</w:t>
      </w:r>
    </w:p>
    <w:p w14:paraId="07B81D98" w14:textId="77777777" w:rsidR="00B600DD" w:rsidRPr="00B600DD" w:rsidRDefault="00B600DD" w:rsidP="00B600DD">
      <w:pPr>
        <w:spacing w:after="0"/>
        <w:ind w:left="720"/>
        <w:contextualSpacing/>
        <w:jc w:val="both"/>
        <w:rPr>
          <w:rFonts w:ascii="Arial" w:hAnsi="Arial" w:cs="Arial"/>
          <w:lang w:val="es-MX"/>
        </w:rPr>
      </w:pPr>
    </w:p>
    <w:p w14:paraId="3D5400C6" w14:textId="5FA7B0D3" w:rsidR="00B600DD" w:rsidRPr="00B600DD" w:rsidRDefault="00B600DD" w:rsidP="00B600DD">
      <w:pPr>
        <w:numPr>
          <w:ilvl w:val="0"/>
          <w:numId w:val="18"/>
        </w:numPr>
        <w:spacing w:after="0" w:line="240" w:lineRule="auto"/>
        <w:contextualSpacing/>
        <w:jc w:val="both"/>
        <w:rPr>
          <w:rFonts w:ascii="Arial" w:hAnsi="Arial" w:cs="Arial"/>
          <w:lang w:val="es-MX"/>
        </w:rPr>
      </w:pPr>
      <w:r w:rsidRPr="00B600DD">
        <w:rPr>
          <w:rFonts w:ascii="Arial" w:hAnsi="Arial" w:cs="Arial"/>
          <w:lang w:val="es-MX"/>
        </w:rPr>
        <w:t xml:space="preserve">Mercado 2: aquellas áreas cubiertas por centrales donde había 2 </w:t>
      </w:r>
      <w:r w:rsidR="006B5BAB">
        <w:rPr>
          <w:rFonts w:ascii="Arial" w:hAnsi="Arial" w:cs="Arial"/>
          <w:lang w:val="es-MX"/>
        </w:rPr>
        <w:t>o</w:t>
      </w:r>
      <w:r w:rsidRPr="00B600DD">
        <w:rPr>
          <w:rFonts w:ascii="Arial" w:hAnsi="Arial" w:cs="Arial"/>
          <w:lang w:val="es-MX"/>
        </w:rPr>
        <w:t xml:space="preserve"> 3 POs presentes (actuales o proyectados) y centrales donde se proyectaban 4 o más POs pero donde dichas centrales atendían a menos de 10,000 instalaciones.</w:t>
      </w:r>
    </w:p>
    <w:p w14:paraId="5AAE7A61" w14:textId="77777777" w:rsidR="00B600DD" w:rsidRPr="00B600DD" w:rsidRDefault="00B600DD" w:rsidP="00B600DD">
      <w:pPr>
        <w:spacing w:after="0"/>
        <w:ind w:left="720"/>
        <w:contextualSpacing/>
        <w:jc w:val="both"/>
        <w:rPr>
          <w:rFonts w:ascii="Arial" w:hAnsi="Arial" w:cs="Arial"/>
          <w:lang w:val="es-MX"/>
        </w:rPr>
      </w:pPr>
    </w:p>
    <w:p w14:paraId="7299BBE5" w14:textId="77777777" w:rsidR="00B600DD" w:rsidRPr="00B600DD" w:rsidRDefault="00B600DD" w:rsidP="00B600DD">
      <w:pPr>
        <w:numPr>
          <w:ilvl w:val="0"/>
          <w:numId w:val="18"/>
        </w:numPr>
        <w:spacing w:after="0" w:line="240" w:lineRule="auto"/>
        <w:contextualSpacing/>
        <w:jc w:val="both"/>
        <w:rPr>
          <w:rFonts w:ascii="Arial" w:hAnsi="Arial" w:cs="Arial"/>
          <w:lang w:val="es-MX"/>
        </w:rPr>
      </w:pPr>
      <w:r w:rsidRPr="00B600DD">
        <w:rPr>
          <w:rFonts w:ascii="Arial" w:hAnsi="Arial" w:cs="Arial"/>
          <w:lang w:val="es-MX"/>
        </w:rPr>
        <w:lastRenderedPageBreak/>
        <w:t>Mercado 3: aquellas áreas cubiertas por centrales donde había 4 o más POs presentes, y centrales donde se proyectaban 4 o más POs pero donde dichas centrales atendían más de 10,000 instalaciones.</w:t>
      </w:r>
    </w:p>
    <w:p w14:paraId="0ECA262C" w14:textId="77777777" w:rsidR="00B600DD" w:rsidRPr="00B600DD" w:rsidRDefault="00B600DD" w:rsidP="00B600DD">
      <w:pPr>
        <w:spacing w:after="0"/>
        <w:ind w:left="720"/>
        <w:contextualSpacing/>
        <w:jc w:val="both"/>
        <w:rPr>
          <w:rFonts w:ascii="Arial" w:hAnsi="Arial" w:cs="Arial"/>
          <w:lang w:val="es-MX"/>
        </w:rPr>
      </w:pPr>
    </w:p>
    <w:p w14:paraId="7C2721B3"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La presencia de los POs como indicador de las condiciones de competencia en cada área geográfica se mantendría en la revisión del año 2018. Sin embargo, la introducción de la fibra plantearía interrogantes similares a los que generaron las redes de cable en la primera revisión. Ofcom consideró de nuevo un umbral de cobertura del 65% para determinar la presencia de los PO de fibra en el área de central</w:t>
      </w:r>
    </w:p>
    <w:p w14:paraId="0444C751" w14:textId="77777777" w:rsidR="00B600DD" w:rsidRPr="00B600DD" w:rsidRDefault="00B600DD" w:rsidP="00B600DD">
      <w:pPr>
        <w:spacing w:after="0"/>
        <w:jc w:val="both"/>
        <w:rPr>
          <w:rFonts w:ascii="Arial" w:hAnsi="Arial" w:cs="Arial"/>
          <w:lang w:val="es-MX" w:eastAsia="es-MX"/>
        </w:rPr>
      </w:pPr>
    </w:p>
    <w:p w14:paraId="5D9F287E"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En 2018, Ofcom identificó dos mercados geográficos separados:  </w:t>
      </w:r>
    </w:p>
    <w:p w14:paraId="3DE16136" w14:textId="77777777" w:rsidR="00B600DD" w:rsidRPr="00B600DD" w:rsidRDefault="00B600DD" w:rsidP="00B600DD">
      <w:pPr>
        <w:spacing w:after="0"/>
        <w:jc w:val="both"/>
        <w:rPr>
          <w:rFonts w:ascii="Arial" w:hAnsi="Arial" w:cs="Arial"/>
          <w:lang w:val="es-MX" w:eastAsia="es-MX"/>
        </w:rPr>
      </w:pPr>
    </w:p>
    <w:p w14:paraId="0A5B1CA0" w14:textId="7485C895" w:rsidR="00B600DD" w:rsidRPr="00F67245" w:rsidRDefault="00B600DD" w:rsidP="00B600DD">
      <w:pPr>
        <w:numPr>
          <w:ilvl w:val="0"/>
          <w:numId w:val="19"/>
        </w:numPr>
        <w:spacing w:after="0" w:line="240" w:lineRule="auto"/>
        <w:contextualSpacing/>
        <w:jc w:val="both"/>
        <w:rPr>
          <w:rFonts w:ascii="Arial" w:hAnsi="Arial" w:cs="Arial"/>
          <w:lang w:val="es-MX"/>
        </w:rPr>
      </w:pPr>
      <w:r w:rsidRPr="00F67245">
        <w:rPr>
          <w:rFonts w:ascii="Arial" w:hAnsi="Arial" w:cs="Arial"/>
          <w:lang w:val="es-MX"/>
        </w:rPr>
        <w:t>Mercado A: áreas de centrales en donde solo BT está presente, o BT más 1 PO. Son áreas en el Reino Unido donde la competencia es limitada o nula.</w:t>
      </w:r>
    </w:p>
    <w:p w14:paraId="6465EEF4" w14:textId="77777777" w:rsidR="00B600DD" w:rsidRPr="00B600DD" w:rsidRDefault="00B600DD" w:rsidP="00B600DD">
      <w:pPr>
        <w:spacing w:after="0"/>
        <w:ind w:left="720"/>
        <w:contextualSpacing/>
        <w:jc w:val="both"/>
        <w:rPr>
          <w:rFonts w:ascii="Arial" w:hAnsi="Arial" w:cs="Arial"/>
          <w:lang w:val="es-MX"/>
        </w:rPr>
      </w:pPr>
    </w:p>
    <w:p w14:paraId="358CF5C3" w14:textId="77777777" w:rsidR="00B600DD" w:rsidRPr="00B600DD" w:rsidRDefault="00B600DD" w:rsidP="00B600DD">
      <w:pPr>
        <w:numPr>
          <w:ilvl w:val="0"/>
          <w:numId w:val="19"/>
        </w:numPr>
        <w:spacing w:after="0" w:line="240" w:lineRule="auto"/>
        <w:contextualSpacing/>
        <w:jc w:val="both"/>
        <w:rPr>
          <w:rFonts w:ascii="Arial" w:hAnsi="Arial" w:cs="Arial"/>
          <w:b/>
          <w:lang w:val="es-MX"/>
        </w:rPr>
      </w:pPr>
      <w:r w:rsidRPr="00B600DD">
        <w:rPr>
          <w:rFonts w:ascii="Arial" w:hAnsi="Arial" w:cs="Arial"/>
          <w:lang w:val="es-MX"/>
        </w:rPr>
        <w:t>Mercado B: áreas de centrales donde se encuentra BT y al menos 2 POs. Consideradas áreas en el Reino Unido donde hay suficiente competencia.</w:t>
      </w:r>
    </w:p>
    <w:p w14:paraId="150608E3" w14:textId="77777777" w:rsidR="00BC2EF1" w:rsidRDefault="00BC2EF1" w:rsidP="00B600DD">
      <w:pPr>
        <w:spacing w:after="0"/>
        <w:jc w:val="both"/>
        <w:rPr>
          <w:rFonts w:ascii="Arial" w:hAnsi="Arial" w:cs="Arial"/>
          <w:lang w:val="es-MX" w:eastAsia="es-MX"/>
        </w:rPr>
      </w:pPr>
    </w:p>
    <w:p w14:paraId="7BBCFBA0"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Ofcom ha ido aumentando el tamaño de la zona desregulada a lo largo de las distintas revisiones del mercado mayorista de banda ancha llevadas a cabo a lo largo del tiempo. </w:t>
      </w:r>
    </w:p>
    <w:p w14:paraId="1C0E1566" w14:textId="77777777" w:rsidR="00B600DD" w:rsidRPr="00B600DD" w:rsidRDefault="00B600DD" w:rsidP="00B600DD">
      <w:pPr>
        <w:spacing w:after="0"/>
        <w:jc w:val="both"/>
        <w:rPr>
          <w:rFonts w:ascii="Arial" w:hAnsi="Arial" w:cs="Arial"/>
          <w:lang w:val="es-MX" w:eastAsia="es-MX"/>
        </w:rPr>
      </w:pPr>
    </w:p>
    <w:p w14:paraId="6357AFA9" w14:textId="77777777" w:rsidR="00B600DD" w:rsidRPr="00B600DD" w:rsidRDefault="00B600DD" w:rsidP="00B600DD">
      <w:pPr>
        <w:numPr>
          <w:ilvl w:val="0"/>
          <w:numId w:val="20"/>
        </w:numPr>
        <w:spacing w:after="0" w:line="240" w:lineRule="auto"/>
        <w:contextualSpacing/>
        <w:jc w:val="both"/>
        <w:rPr>
          <w:rFonts w:ascii="Arial" w:hAnsi="Arial" w:cs="Arial"/>
          <w:lang w:val="es-MX"/>
        </w:rPr>
      </w:pPr>
      <w:r w:rsidRPr="00B600DD">
        <w:rPr>
          <w:rFonts w:ascii="Arial" w:hAnsi="Arial" w:cs="Arial"/>
          <w:lang w:val="es-MX"/>
        </w:rPr>
        <w:t xml:space="preserve">En la revisión de 2008 Ofcom reguló áreas que representan alrededor del 31% de las instalaciones del Reino Unido; </w:t>
      </w:r>
    </w:p>
    <w:p w14:paraId="35FADCC8" w14:textId="77777777" w:rsidR="00B600DD" w:rsidRPr="00B600DD" w:rsidRDefault="00B600DD" w:rsidP="00B600DD">
      <w:pPr>
        <w:spacing w:after="0"/>
        <w:ind w:left="720"/>
        <w:contextualSpacing/>
        <w:jc w:val="both"/>
        <w:rPr>
          <w:rFonts w:ascii="Arial" w:hAnsi="Arial" w:cs="Arial"/>
          <w:lang w:val="es-MX"/>
        </w:rPr>
      </w:pPr>
    </w:p>
    <w:p w14:paraId="73F4BE31" w14:textId="77777777" w:rsidR="00B600DD" w:rsidRPr="00B600DD" w:rsidRDefault="00B600DD" w:rsidP="00B600DD">
      <w:pPr>
        <w:numPr>
          <w:ilvl w:val="0"/>
          <w:numId w:val="20"/>
        </w:numPr>
        <w:spacing w:after="0" w:line="240" w:lineRule="auto"/>
        <w:contextualSpacing/>
        <w:jc w:val="both"/>
        <w:rPr>
          <w:rFonts w:ascii="Arial" w:hAnsi="Arial" w:cs="Arial"/>
          <w:lang w:val="es-MX"/>
        </w:rPr>
      </w:pPr>
      <w:r w:rsidRPr="00B600DD">
        <w:rPr>
          <w:rFonts w:ascii="Arial" w:hAnsi="Arial" w:cs="Arial"/>
          <w:lang w:val="es-MX"/>
        </w:rPr>
        <w:t xml:space="preserve">En la revisión de 2010 las áreas reguladas representaban alrededor del 22% de las instalaciones; </w:t>
      </w:r>
    </w:p>
    <w:p w14:paraId="0F316054" w14:textId="77777777" w:rsidR="00B600DD" w:rsidRPr="00B600DD" w:rsidRDefault="00B600DD" w:rsidP="00B600DD">
      <w:pPr>
        <w:spacing w:after="0"/>
        <w:ind w:left="720"/>
        <w:contextualSpacing/>
        <w:jc w:val="both"/>
        <w:rPr>
          <w:rFonts w:ascii="Arial" w:hAnsi="Arial" w:cs="Arial"/>
          <w:lang w:val="es-MX"/>
        </w:rPr>
      </w:pPr>
    </w:p>
    <w:p w14:paraId="74493A2C" w14:textId="77777777" w:rsidR="00B600DD" w:rsidRPr="00B600DD" w:rsidRDefault="00B600DD" w:rsidP="00B600DD">
      <w:pPr>
        <w:numPr>
          <w:ilvl w:val="0"/>
          <w:numId w:val="20"/>
        </w:numPr>
        <w:spacing w:after="0" w:line="240" w:lineRule="auto"/>
        <w:contextualSpacing/>
        <w:jc w:val="both"/>
        <w:rPr>
          <w:rFonts w:ascii="Arial" w:hAnsi="Arial" w:cs="Arial"/>
          <w:lang w:val="es-MX"/>
        </w:rPr>
      </w:pPr>
      <w:r w:rsidRPr="00B600DD">
        <w:rPr>
          <w:rFonts w:ascii="Arial" w:hAnsi="Arial" w:cs="Arial"/>
          <w:lang w:val="es-MX"/>
        </w:rPr>
        <w:t>En la revisión de 2014 el área regulada suponía menos del 10% de las instalaciones del Reino Unido; y,</w:t>
      </w:r>
    </w:p>
    <w:p w14:paraId="3849AB03" w14:textId="77777777" w:rsidR="00B600DD" w:rsidRPr="00B600DD" w:rsidRDefault="00B600DD" w:rsidP="00B600DD">
      <w:pPr>
        <w:spacing w:after="0"/>
        <w:ind w:left="720"/>
        <w:contextualSpacing/>
        <w:jc w:val="both"/>
        <w:rPr>
          <w:rFonts w:ascii="Arial" w:hAnsi="Arial" w:cs="Arial"/>
          <w:lang w:val="es-MX"/>
        </w:rPr>
      </w:pPr>
    </w:p>
    <w:p w14:paraId="7D3263D5" w14:textId="77777777" w:rsidR="00B600DD" w:rsidRPr="00B600DD" w:rsidRDefault="00B600DD" w:rsidP="00B600DD">
      <w:pPr>
        <w:numPr>
          <w:ilvl w:val="0"/>
          <w:numId w:val="20"/>
        </w:numPr>
        <w:spacing w:after="0" w:line="240" w:lineRule="auto"/>
        <w:contextualSpacing/>
        <w:jc w:val="both"/>
        <w:rPr>
          <w:rFonts w:ascii="Arial" w:hAnsi="Arial" w:cs="Arial"/>
          <w:lang w:val="es-MX"/>
        </w:rPr>
      </w:pPr>
      <w:r w:rsidRPr="00B600DD">
        <w:rPr>
          <w:rFonts w:ascii="Arial" w:hAnsi="Arial" w:cs="Arial"/>
          <w:lang w:val="es-MX"/>
        </w:rPr>
        <w:t>En 2018 las instalaciones dentro del área regulada representaban en torno al 1% de las instalaciones en Reino Unido (Mercado A).</w:t>
      </w:r>
    </w:p>
    <w:p w14:paraId="112CE91A" w14:textId="77777777" w:rsidR="00B600DD" w:rsidRPr="00B600DD" w:rsidRDefault="00B600DD" w:rsidP="00B600DD">
      <w:pPr>
        <w:spacing w:after="0" w:line="240" w:lineRule="auto"/>
        <w:jc w:val="both"/>
        <w:rPr>
          <w:rFonts w:ascii="Arial" w:hAnsi="Arial" w:cs="Arial"/>
          <w:sz w:val="20"/>
          <w:szCs w:val="20"/>
          <w:lang w:val="es-MX" w:eastAsia="es-MX"/>
        </w:rPr>
      </w:pPr>
    </w:p>
    <w:p w14:paraId="02F754B4" w14:textId="77777777" w:rsidR="00B600DD" w:rsidRPr="00B600DD" w:rsidRDefault="00B600DD" w:rsidP="00B600DD">
      <w:pPr>
        <w:spacing w:after="0"/>
        <w:jc w:val="both"/>
        <w:rPr>
          <w:rFonts w:ascii="Arial" w:hAnsi="Arial" w:cs="Arial"/>
          <w:b/>
          <w:lang w:val="es-MX" w:eastAsia="es-MX"/>
        </w:rPr>
      </w:pPr>
      <w:r w:rsidRPr="00B600DD">
        <w:rPr>
          <w:rFonts w:ascii="Arial" w:hAnsi="Arial" w:cs="Arial"/>
          <w:b/>
          <w:lang w:val="es-MX" w:eastAsia="es-MX"/>
        </w:rPr>
        <w:t>España</w:t>
      </w:r>
    </w:p>
    <w:p w14:paraId="65793117" w14:textId="77777777" w:rsidR="00B600DD" w:rsidRPr="00B600DD" w:rsidRDefault="00B600DD" w:rsidP="00B600DD">
      <w:pPr>
        <w:spacing w:after="0"/>
        <w:jc w:val="both"/>
        <w:rPr>
          <w:rFonts w:ascii="Arial" w:hAnsi="Arial" w:cs="Arial"/>
          <w:b/>
          <w:lang w:val="es-MX" w:eastAsia="es-MX"/>
        </w:rPr>
      </w:pPr>
    </w:p>
    <w:p w14:paraId="755D25EF"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España introduce la segmentación geográfica en la revisión de mercados de 2014, adoptada en febrero 2016</w:t>
      </w:r>
      <w:r w:rsidRPr="00B600DD">
        <w:rPr>
          <w:rFonts w:ascii="Arial" w:hAnsi="Arial" w:cs="Arial"/>
          <w:sz w:val="20"/>
          <w:szCs w:val="20"/>
          <w:vertAlign w:val="superscript"/>
          <w:lang w:val="es-MX" w:eastAsia="es-MX"/>
        </w:rPr>
        <w:footnoteReference w:id="15"/>
      </w:r>
      <w:r w:rsidRPr="00B600DD">
        <w:rPr>
          <w:rFonts w:ascii="Arial" w:hAnsi="Arial" w:cs="Arial"/>
          <w:lang w:val="es-MX" w:eastAsia="es-MX"/>
        </w:rPr>
        <w:t>.  En esta revisión, el regulador (la CNMC) analiza en conjunto los mercados 3a, 3b y 4</w:t>
      </w:r>
      <w:r w:rsidRPr="00B600DD">
        <w:rPr>
          <w:rFonts w:ascii="Arial" w:hAnsi="Arial" w:cs="Arial"/>
          <w:sz w:val="20"/>
          <w:szCs w:val="20"/>
          <w:vertAlign w:val="superscript"/>
          <w:lang w:val="es-MX" w:eastAsia="es-MX"/>
        </w:rPr>
        <w:footnoteReference w:id="16"/>
      </w:r>
      <w:r w:rsidRPr="00B600DD">
        <w:rPr>
          <w:rFonts w:ascii="Arial" w:hAnsi="Arial" w:cs="Arial"/>
          <w:sz w:val="20"/>
          <w:szCs w:val="20"/>
          <w:lang w:val="es-MX" w:eastAsia="es-MX"/>
        </w:rPr>
        <w:t xml:space="preserve">, </w:t>
      </w:r>
      <w:r w:rsidRPr="00B600DD">
        <w:rPr>
          <w:rFonts w:ascii="Arial" w:hAnsi="Arial" w:cs="Arial"/>
          <w:lang w:val="es-MX" w:eastAsia="es-MX"/>
        </w:rPr>
        <w:t>definiendo mercados geográficos separados y proponiendo segmentación de remedios, tal y como se concreta a continuación:</w:t>
      </w:r>
    </w:p>
    <w:p w14:paraId="118525DB" w14:textId="77777777" w:rsidR="00B600DD" w:rsidRPr="00B600DD" w:rsidRDefault="00B600DD" w:rsidP="00B600DD">
      <w:pPr>
        <w:spacing w:after="0"/>
        <w:jc w:val="both"/>
        <w:rPr>
          <w:rFonts w:ascii="Arial" w:hAnsi="Arial" w:cs="Arial"/>
          <w:lang w:val="es-MX" w:eastAsia="es-MX"/>
        </w:rPr>
      </w:pPr>
    </w:p>
    <w:p w14:paraId="3C0A08EB" w14:textId="77777777" w:rsidR="00B600DD" w:rsidRPr="00B600DD" w:rsidRDefault="00B600DD" w:rsidP="00B600DD">
      <w:pPr>
        <w:numPr>
          <w:ilvl w:val="0"/>
          <w:numId w:val="21"/>
        </w:numPr>
        <w:spacing w:after="0" w:line="240" w:lineRule="auto"/>
        <w:contextualSpacing/>
        <w:jc w:val="both"/>
        <w:rPr>
          <w:rFonts w:ascii="Arial" w:hAnsi="Arial" w:cs="Arial"/>
          <w:lang w:val="es-MX"/>
        </w:rPr>
      </w:pPr>
      <w:r w:rsidRPr="00B600DD">
        <w:rPr>
          <w:rFonts w:ascii="Arial" w:hAnsi="Arial" w:cs="Arial"/>
          <w:lang w:val="es-MX"/>
        </w:rPr>
        <w:t>El mercado 3a (donde se incluiría LLU) se define a nivel nacional con remedios geográficos segmentados (por municipio).</w:t>
      </w:r>
    </w:p>
    <w:p w14:paraId="6804E859" w14:textId="77777777" w:rsidR="00B600DD" w:rsidRPr="00B600DD" w:rsidRDefault="00B600DD" w:rsidP="00B600DD">
      <w:pPr>
        <w:spacing w:after="0"/>
        <w:ind w:left="720"/>
        <w:contextualSpacing/>
        <w:jc w:val="both"/>
        <w:rPr>
          <w:rFonts w:ascii="Arial" w:hAnsi="Arial" w:cs="Arial"/>
          <w:lang w:val="es-MX"/>
        </w:rPr>
      </w:pPr>
    </w:p>
    <w:p w14:paraId="1F529B64" w14:textId="77777777" w:rsidR="00B600DD" w:rsidRPr="00B600DD" w:rsidRDefault="00B600DD" w:rsidP="00B600DD">
      <w:pPr>
        <w:numPr>
          <w:ilvl w:val="0"/>
          <w:numId w:val="21"/>
        </w:numPr>
        <w:spacing w:after="0" w:line="240" w:lineRule="auto"/>
        <w:contextualSpacing/>
        <w:jc w:val="both"/>
        <w:rPr>
          <w:rFonts w:ascii="Arial" w:hAnsi="Arial" w:cs="Arial"/>
          <w:lang w:val="es-MX"/>
        </w:rPr>
      </w:pPr>
      <w:r w:rsidRPr="00B600DD">
        <w:rPr>
          <w:rFonts w:ascii="Arial" w:hAnsi="Arial" w:cs="Arial"/>
          <w:lang w:val="es-MX"/>
        </w:rPr>
        <w:lastRenderedPageBreak/>
        <w:t>Para el mercado 3b (donde se incluiría el SAIB) se definen dos mercados geográficos, así como remedios diferenciados en esas áreas.</w:t>
      </w:r>
    </w:p>
    <w:p w14:paraId="3F2004E0" w14:textId="77777777" w:rsidR="00B600DD" w:rsidRPr="00B600DD" w:rsidRDefault="00B600DD" w:rsidP="00B600DD">
      <w:pPr>
        <w:spacing w:after="0"/>
        <w:ind w:left="720"/>
        <w:contextualSpacing/>
        <w:jc w:val="both"/>
        <w:rPr>
          <w:rFonts w:ascii="Arial" w:hAnsi="Arial" w:cs="Arial"/>
          <w:lang w:val="es-MX"/>
        </w:rPr>
      </w:pPr>
    </w:p>
    <w:p w14:paraId="4A67CC08" w14:textId="77777777" w:rsidR="00B600DD" w:rsidRPr="00B600DD" w:rsidRDefault="00B600DD" w:rsidP="00B600DD">
      <w:pPr>
        <w:numPr>
          <w:ilvl w:val="0"/>
          <w:numId w:val="21"/>
        </w:numPr>
        <w:spacing w:after="0" w:line="240" w:lineRule="auto"/>
        <w:contextualSpacing/>
        <w:jc w:val="both"/>
        <w:rPr>
          <w:rFonts w:ascii="Arial" w:hAnsi="Arial" w:cs="Arial"/>
          <w:lang w:val="es-MX"/>
        </w:rPr>
      </w:pPr>
      <w:r w:rsidRPr="00B600DD">
        <w:rPr>
          <w:rFonts w:ascii="Arial" w:hAnsi="Arial" w:cs="Arial"/>
          <w:lang w:val="es-MX"/>
        </w:rPr>
        <w:t xml:space="preserve">El mercado 4 (donde se incluiría el servicio de enlaces dedicados) se define con carácter nacional y se imponen obligaciones homogéneas en todo el territorio. </w:t>
      </w:r>
    </w:p>
    <w:p w14:paraId="0B0B33C3" w14:textId="77777777" w:rsidR="00B600DD" w:rsidRPr="00B600DD" w:rsidRDefault="00B600DD" w:rsidP="00B600DD">
      <w:pPr>
        <w:spacing w:after="0"/>
        <w:ind w:left="720"/>
        <w:contextualSpacing/>
        <w:jc w:val="both"/>
        <w:rPr>
          <w:rFonts w:ascii="Arial" w:hAnsi="Arial" w:cs="Arial"/>
          <w:lang w:val="es-MX"/>
        </w:rPr>
      </w:pPr>
    </w:p>
    <w:p w14:paraId="47CD860C" w14:textId="0D599AE1"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En la actualidad, la CNMC está revisando estos mercados, ya que </w:t>
      </w:r>
      <w:r w:rsidR="001D66DC">
        <w:rPr>
          <w:rFonts w:ascii="Arial" w:hAnsi="Arial" w:cs="Arial"/>
          <w:lang w:val="es-MX" w:eastAsia="es-MX"/>
        </w:rPr>
        <w:t xml:space="preserve">recientemente sometió a </w:t>
      </w:r>
      <w:r w:rsidRPr="00B600DD">
        <w:rPr>
          <w:rFonts w:ascii="Arial" w:hAnsi="Arial" w:cs="Arial"/>
          <w:lang w:val="es-MX" w:eastAsia="es-MX"/>
        </w:rPr>
        <w:t>consulta pública una actualización de la regulación de los mercados mayoristas de banda ancha, por lo que se espera que publique un documento al respecto en los próximos meses. De acuerdo con la CNMC, la propuesta “busca un equilibrio entre garantizar la competencia efectiva y promover la inversión en redes de nueva generación (NGA, que permiten disfrutar de conexiones de muy alta velocidad, fundamentalmente de fibra óptica). En el análisis y definición de estos mercados se plantean obligaciones diferenciadas en función del nivel de competencia que existe en las distintas zonas del territorio nacional”.</w:t>
      </w:r>
      <w:r w:rsidRPr="00B600DD">
        <w:rPr>
          <w:rFonts w:ascii="Arial" w:hAnsi="Arial" w:cs="Arial"/>
          <w:vertAlign w:val="superscript"/>
          <w:lang w:val="es-MX" w:eastAsia="es-MX"/>
        </w:rPr>
        <w:footnoteReference w:id="17"/>
      </w:r>
    </w:p>
    <w:p w14:paraId="329C5BC4" w14:textId="77777777" w:rsidR="00B600DD" w:rsidRPr="00B600DD" w:rsidRDefault="00B600DD" w:rsidP="00B600DD">
      <w:pPr>
        <w:spacing w:after="0"/>
        <w:jc w:val="both"/>
        <w:rPr>
          <w:rFonts w:ascii="Arial" w:hAnsi="Arial" w:cs="Arial"/>
          <w:lang w:val="es-MX" w:eastAsia="es-MX"/>
        </w:rPr>
      </w:pPr>
    </w:p>
    <w:p w14:paraId="33794D23"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Algunos de los elementos de la situación competitiva que señala la CNMC que han llevado a esta nueva propuesta son:</w:t>
      </w:r>
    </w:p>
    <w:p w14:paraId="4F9116E0" w14:textId="77777777" w:rsidR="00B600DD" w:rsidRPr="00B600DD" w:rsidRDefault="00B600DD" w:rsidP="00B600DD">
      <w:pPr>
        <w:spacing w:after="0"/>
        <w:jc w:val="both"/>
        <w:rPr>
          <w:rFonts w:ascii="Arial" w:hAnsi="Arial" w:cs="Arial"/>
          <w:lang w:val="es-MX" w:eastAsia="es-MX"/>
        </w:rPr>
      </w:pPr>
    </w:p>
    <w:p w14:paraId="0C275D14"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r w:rsidRPr="00B600DD">
        <w:rPr>
          <w:rFonts w:ascii="Arial" w:eastAsia="Times New Roman" w:hAnsi="Arial" w:cs="Arial"/>
          <w:bCs/>
          <w:i/>
          <w:color w:val="000000"/>
          <w:sz w:val="18"/>
          <w:szCs w:val="18"/>
          <w:lang w:val="es-ES_tradnl" w:eastAsia="es-ES"/>
        </w:rPr>
        <w:t xml:space="preserve">“La regulación vigente data de 2016: la CNMC estableció entonces una zona competitiva en redes NGA de 66 grandes municipios (35% de la población), en los que Telefónica no está obligada a dar acceso mayorista a su red de fibra. </w:t>
      </w:r>
    </w:p>
    <w:p w14:paraId="5D2A899A"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r w:rsidRPr="00B600DD">
        <w:rPr>
          <w:rFonts w:ascii="Arial" w:eastAsia="Times New Roman" w:hAnsi="Arial" w:cs="Arial"/>
          <w:bCs/>
          <w:i/>
          <w:color w:val="000000"/>
          <w:sz w:val="18"/>
          <w:szCs w:val="18"/>
          <w:lang w:val="es-ES_tradnl" w:eastAsia="es-ES"/>
        </w:rPr>
        <w:t>Desde entonces, el número de conexiones de fibra hasta el hogar (FTTH) en España ha pasado de 3,1 millones en 2015 a 10,4 millones en 2020 (CNMCData), lo que representa un incremento del 230%.</w:t>
      </w:r>
    </w:p>
    <w:p w14:paraId="43EDC1C5"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p>
    <w:p w14:paraId="132F80D4"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r w:rsidRPr="00B600DD">
        <w:rPr>
          <w:rFonts w:ascii="Arial" w:eastAsia="Times New Roman" w:hAnsi="Arial" w:cs="Arial"/>
          <w:bCs/>
          <w:i/>
          <w:color w:val="000000"/>
          <w:sz w:val="18"/>
          <w:szCs w:val="18"/>
          <w:lang w:val="es-ES_tradnl" w:eastAsia="es-ES"/>
        </w:rPr>
        <w:t>Es decir, si en 2015 las líneas de fibra FTTH representaban el 23% del mercado, actualmente son la tecnología predominante con cerca del 70% del total de conexiones de banda ancha. La cobertura de esta tecnología supera el 80% de los hogares. Estas cifras sitúan a España como uno de los países líderes europeos tanto en cobertura como en penetración de las conexiones de fibra FTTH.</w:t>
      </w:r>
    </w:p>
    <w:p w14:paraId="206E0BD3"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p>
    <w:p w14:paraId="38C86A14"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r w:rsidRPr="00B600DD">
        <w:rPr>
          <w:rFonts w:ascii="Arial" w:eastAsia="Times New Roman" w:hAnsi="Arial" w:cs="Arial"/>
          <w:bCs/>
          <w:i/>
          <w:color w:val="000000"/>
          <w:sz w:val="18"/>
          <w:szCs w:val="18"/>
          <w:lang w:val="es-ES_tradnl" w:eastAsia="es-ES"/>
        </w:rPr>
        <w:t>[…]</w:t>
      </w:r>
    </w:p>
    <w:p w14:paraId="7B9A6597"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p>
    <w:p w14:paraId="6D385A5F"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r w:rsidRPr="00B600DD">
        <w:rPr>
          <w:rFonts w:ascii="Arial" w:eastAsia="Times New Roman" w:hAnsi="Arial" w:cs="Arial"/>
          <w:bCs/>
          <w:i/>
          <w:color w:val="000000"/>
          <w:sz w:val="18"/>
          <w:szCs w:val="18"/>
          <w:lang w:val="es-ES_tradnl" w:eastAsia="es-ES"/>
        </w:rPr>
        <w:t>En 2020, la CNMC propone ampliar la zona competitiva a 592 municipios, mientras que el resto de municipios formarían parte de la zona no competitiva.</w:t>
      </w:r>
    </w:p>
    <w:p w14:paraId="25EFECEB"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p>
    <w:p w14:paraId="0060B756"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r w:rsidRPr="00B600DD">
        <w:rPr>
          <w:rFonts w:ascii="Arial" w:eastAsia="Times New Roman" w:hAnsi="Arial" w:cs="Arial"/>
          <w:bCs/>
          <w:i/>
          <w:color w:val="000000"/>
          <w:sz w:val="18"/>
          <w:szCs w:val="18"/>
          <w:lang w:val="es-ES_tradnl" w:eastAsia="es-ES"/>
        </w:rPr>
        <w:t>La zona competitiva se caracteriza por una elevada competencia en infraestructuras basada en redes de nueva generación (NGA). En cada uno estos 592 municipios, la cuota de Telefónica en el mercado minorista de banda ancha es inferior al 50% y existen, al menos, tres redes NGA con una cobertura mínima del 20%.</w:t>
      </w:r>
    </w:p>
    <w:p w14:paraId="1966080E" w14:textId="77777777" w:rsidR="00B600DD" w:rsidRPr="00B600DD" w:rsidRDefault="00B600DD" w:rsidP="00B600DD">
      <w:pPr>
        <w:adjustRightInd w:val="0"/>
        <w:spacing w:after="0"/>
        <w:ind w:left="851" w:right="760"/>
        <w:jc w:val="both"/>
        <w:rPr>
          <w:rFonts w:ascii="Arial" w:eastAsia="Times New Roman" w:hAnsi="Arial" w:cs="Arial"/>
          <w:bCs/>
          <w:i/>
          <w:color w:val="000000"/>
          <w:sz w:val="18"/>
          <w:szCs w:val="18"/>
          <w:lang w:val="es-ES_tradnl" w:eastAsia="es-ES"/>
        </w:rPr>
      </w:pPr>
    </w:p>
    <w:p w14:paraId="7A4FC232" w14:textId="0E47B892" w:rsidR="00B600DD" w:rsidRDefault="00B600DD" w:rsidP="00E27FDA">
      <w:pPr>
        <w:adjustRightInd w:val="0"/>
        <w:spacing w:after="0"/>
        <w:ind w:left="851" w:right="760"/>
        <w:jc w:val="both"/>
        <w:rPr>
          <w:rFonts w:ascii="Arial" w:eastAsia="Times New Roman" w:hAnsi="Arial" w:cs="Arial"/>
          <w:bCs/>
          <w:i/>
          <w:color w:val="000000"/>
          <w:sz w:val="18"/>
          <w:szCs w:val="18"/>
          <w:lang w:val="es-ES_tradnl" w:eastAsia="es-ES"/>
        </w:rPr>
      </w:pPr>
      <w:r w:rsidRPr="00E27FDA">
        <w:rPr>
          <w:rFonts w:ascii="Arial" w:eastAsia="Times New Roman" w:hAnsi="Arial" w:cs="Arial"/>
          <w:bCs/>
          <w:i/>
          <w:color w:val="000000"/>
          <w:sz w:val="18"/>
          <w:szCs w:val="18"/>
          <w:lang w:val="es-ES_tradnl" w:eastAsia="es-ES"/>
        </w:rPr>
        <w:t xml:space="preserve">En esta zona competitiva, la CNMC plantea que Telefónica mantenga sus obligaciones de acceso a la infraestructura de obra civil así como las obligaciones de acceso desagregado al par de cobre. Sin embargo, no impone obligaciones de acceso mayorista a su red de fibra. El acceso a la infraestructura civil permite a los operadores alternativos hacer uso de los conductos y postes de </w:t>
      </w:r>
      <w:r w:rsidRPr="00E27FDA">
        <w:rPr>
          <w:rFonts w:ascii="Arial" w:eastAsia="Times New Roman" w:hAnsi="Arial" w:cs="Arial"/>
          <w:bCs/>
          <w:i/>
          <w:color w:val="000000"/>
          <w:sz w:val="18"/>
          <w:szCs w:val="18"/>
          <w:lang w:val="es-ES_tradnl" w:eastAsia="es-ES"/>
        </w:rPr>
        <w:lastRenderedPageBreak/>
        <w:t>la red de Telefónica, de forma que puedan desplegar sus redes de fibra óptica desde las centrales cabecera de Telefónica hasta los domicilios de los usuarios finales.”</w:t>
      </w:r>
    </w:p>
    <w:p w14:paraId="708075E1" w14:textId="77777777" w:rsidR="00E27FDA" w:rsidRPr="00E27FDA" w:rsidRDefault="00E27FDA" w:rsidP="00E27FDA">
      <w:pPr>
        <w:adjustRightInd w:val="0"/>
        <w:spacing w:after="0"/>
        <w:ind w:left="851" w:right="760"/>
        <w:jc w:val="both"/>
        <w:rPr>
          <w:rFonts w:ascii="Arial" w:eastAsia="Times New Roman" w:hAnsi="Arial" w:cs="Arial"/>
          <w:bCs/>
          <w:i/>
          <w:color w:val="000000"/>
          <w:sz w:val="18"/>
          <w:szCs w:val="18"/>
          <w:lang w:val="es-ES_tradnl" w:eastAsia="es-ES"/>
        </w:rPr>
      </w:pPr>
    </w:p>
    <w:p w14:paraId="60DA00D0" w14:textId="77777777" w:rsidR="00B600DD" w:rsidRPr="00A27032" w:rsidRDefault="00B600DD" w:rsidP="00B600DD">
      <w:pPr>
        <w:spacing w:after="0"/>
        <w:jc w:val="both"/>
        <w:rPr>
          <w:rFonts w:ascii="Arial" w:hAnsi="Arial" w:cs="Arial"/>
          <w:lang w:val="es-MX" w:eastAsia="es-MX"/>
        </w:rPr>
      </w:pPr>
      <w:r w:rsidRPr="00B600DD">
        <w:rPr>
          <w:rFonts w:ascii="Arial" w:hAnsi="Arial" w:cs="Arial"/>
          <w:lang w:val="es-MX" w:eastAsia="es-MX"/>
        </w:rPr>
        <w:t>En España, la segmentación geográfica se opera tanto a nivel de municipio (para la segmentación de remedios en el mercado 3a) como a nivel de central local (para la segmentación de mercado en dos</w:t>
      </w:r>
      <w:r w:rsidRPr="00A27032">
        <w:rPr>
          <w:rFonts w:ascii="Arial" w:hAnsi="Arial" w:cs="Arial"/>
          <w:lang w:val="es-MX" w:eastAsia="es-MX"/>
        </w:rPr>
        <w:t xml:space="preserve"> zonas dentro del mercado 3b). </w:t>
      </w:r>
    </w:p>
    <w:p w14:paraId="265E1956" w14:textId="77777777" w:rsidR="00B600DD" w:rsidRPr="00B600DD" w:rsidRDefault="00B600DD" w:rsidP="00B600DD">
      <w:pPr>
        <w:spacing w:after="0"/>
        <w:jc w:val="both"/>
        <w:rPr>
          <w:rFonts w:ascii="Arial" w:hAnsi="Arial" w:cs="Arial"/>
          <w:lang w:val="es-MX" w:eastAsia="es-MX"/>
        </w:rPr>
      </w:pPr>
    </w:p>
    <w:p w14:paraId="7FA6DCA8" w14:textId="462A7282" w:rsidR="00B600DD" w:rsidRPr="00B600DD" w:rsidRDefault="00B600DD" w:rsidP="00B600DD">
      <w:pPr>
        <w:spacing w:after="0"/>
        <w:jc w:val="both"/>
        <w:rPr>
          <w:rFonts w:ascii="Arial" w:hAnsi="Arial" w:cs="Arial"/>
          <w:lang w:val="es-MX" w:eastAsia="es-MX"/>
        </w:rPr>
      </w:pPr>
      <w:r w:rsidRPr="00F67245">
        <w:rPr>
          <w:rFonts w:ascii="Arial" w:hAnsi="Arial" w:cs="Arial"/>
          <w:lang w:val="es-MX" w:eastAsia="es-MX"/>
        </w:rPr>
        <w:t xml:space="preserve">Para el mercado 3a, la CNMC identifica el </w:t>
      </w:r>
      <w:r w:rsidRPr="00F67245">
        <w:rPr>
          <w:rFonts w:ascii="Arial" w:hAnsi="Arial" w:cs="Arial"/>
          <w:b/>
          <w:lang w:val="es-MX" w:eastAsia="es-MX"/>
        </w:rPr>
        <w:t>municipio</w:t>
      </w:r>
      <w:r w:rsidRPr="00F67245">
        <w:rPr>
          <w:rFonts w:ascii="Arial" w:hAnsi="Arial" w:cs="Arial"/>
          <w:sz w:val="20"/>
          <w:szCs w:val="20"/>
          <w:vertAlign w:val="superscript"/>
          <w:lang w:val="es-MX" w:eastAsia="es-MX"/>
        </w:rPr>
        <w:footnoteReference w:id="18"/>
      </w:r>
      <w:r w:rsidRPr="00F67245">
        <w:rPr>
          <w:rFonts w:ascii="Arial" w:hAnsi="Arial" w:cs="Arial"/>
          <w:sz w:val="20"/>
          <w:szCs w:val="20"/>
          <w:lang w:val="es-MX" w:eastAsia="es-MX"/>
        </w:rPr>
        <w:t xml:space="preserve"> </w:t>
      </w:r>
      <w:r w:rsidRPr="00F67245">
        <w:rPr>
          <w:rFonts w:ascii="Arial" w:hAnsi="Arial" w:cs="Arial"/>
          <w:lang w:val="es-MX" w:eastAsia="es-MX"/>
        </w:rPr>
        <w:t>como unidad geográfica relevante, aunque el análisis geográfico preliminar se lleva a cabo a nivel de central local</w:t>
      </w:r>
      <w:r w:rsidRPr="00F67245">
        <w:rPr>
          <w:rFonts w:ascii="Arial" w:hAnsi="Arial" w:cs="Arial"/>
          <w:sz w:val="20"/>
          <w:szCs w:val="20"/>
          <w:vertAlign w:val="superscript"/>
          <w:lang w:val="es-MX" w:eastAsia="es-MX"/>
        </w:rPr>
        <w:footnoteReference w:id="19"/>
      </w:r>
      <w:r w:rsidRPr="00F67245">
        <w:rPr>
          <w:rFonts w:ascii="Arial" w:hAnsi="Arial" w:cs="Arial"/>
          <w:lang w:val="es-MX" w:eastAsia="es-MX"/>
        </w:rPr>
        <w:t>. Una vez llevado el análisis a nivel de central local se identifican los municipios a los que pertenecen las centrales locales.</w:t>
      </w:r>
    </w:p>
    <w:p w14:paraId="6577AD3B" w14:textId="77777777" w:rsidR="00A27032" w:rsidRPr="00B600DD" w:rsidRDefault="00A27032" w:rsidP="00B600DD">
      <w:pPr>
        <w:spacing w:after="0"/>
        <w:jc w:val="both"/>
        <w:rPr>
          <w:rFonts w:ascii="Arial" w:hAnsi="Arial" w:cs="Arial"/>
          <w:lang w:val="es-MX" w:eastAsia="es-MX"/>
        </w:rPr>
      </w:pPr>
    </w:p>
    <w:p w14:paraId="3F6C248D"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El motivo principal por el que se escoge el municipio y no la central local como unidad geográfica es para garantizar el carácter prospectivo de la regulación. En concreto, la CNMC aporta dos razones fundamentales para utilizar los municipios como unidad geográfica de segmentación, ambas relacionadas con las inversiones en redes NGA: </w:t>
      </w:r>
    </w:p>
    <w:p w14:paraId="32C30805" w14:textId="77777777" w:rsidR="00B600DD" w:rsidRPr="00B600DD" w:rsidRDefault="00B600DD" w:rsidP="00B600DD">
      <w:pPr>
        <w:spacing w:after="0"/>
        <w:jc w:val="both"/>
        <w:rPr>
          <w:rFonts w:ascii="Arial" w:hAnsi="Arial" w:cs="Arial"/>
          <w:lang w:val="es-MX" w:eastAsia="es-MX"/>
        </w:rPr>
      </w:pPr>
    </w:p>
    <w:p w14:paraId="7F1776A3" w14:textId="77777777" w:rsidR="00B600DD" w:rsidRPr="00B600DD" w:rsidRDefault="00B600DD" w:rsidP="00B600DD">
      <w:pPr>
        <w:numPr>
          <w:ilvl w:val="0"/>
          <w:numId w:val="22"/>
        </w:numPr>
        <w:spacing w:after="0" w:line="240" w:lineRule="auto"/>
        <w:contextualSpacing/>
        <w:jc w:val="both"/>
        <w:rPr>
          <w:rFonts w:ascii="Arial" w:hAnsi="Arial" w:cs="Arial"/>
          <w:lang w:val="es-MX"/>
        </w:rPr>
      </w:pPr>
      <w:r w:rsidRPr="00B600DD">
        <w:rPr>
          <w:rFonts w:ascii="Arial" w:hAnsi="Arial" w:cs="Arial"/>
          <w:lang w:val="es-MX"/>
        </w:rPr>
        <w:t>Los operadores todavía están acometiendo sus despliegues de red NGA por lo que falta estabilidad y certidumbre para establecer las condiciones de competencia a nivel de central local,</w:t>
      </w:r>
    </w:p>
    <w:p w14:paraId="422F4EB7" w14:textId="77777777" w:rsidR="00B600DD" w:rsidRPr="00B600DD" w:rsidRDefault="00B600DD" w:rsidP="00B600DD">
      <w:pPr>
        <w:spacing w:after="0"/>
        <w:ind w:left="720"/>
        <w:contextualSpacing/>
        <w:jc w:val="both"/>
        <w:rPr>
          <w:rFonts w:ascii="Arial" w:hAnsi="Arial" w:cs="Arial"/>
          <w:lang w:val="es-MX"/>
        </w:rPr>
      </w:pPr>
    </w:p>
    <w:p w14:paraId="2BEB93EE" w14:textId="77777777" w:rsidR="00B600DD" w:rsidRPr="00B600DD" w:rsidRDefault="00B600DD" w:rsidP="00B600DD">
      <w:pPr>
        <w:numPr>
          <w:ilvl w:val="0"/>
          <w:numId w:val="22"/>
        </w:numPr>
        <w:spacing w:after="0" w:line="240" w:lineRule="auto"/>
        <w:contextualSpacing/>
        <w:jc w:val="both"/>
        <w:rPr>
          <w:rFonts w:ascii="Arial" w:hAnsi="Arial" w:cs="Arial"/>
          <w:lang w:val="es-MX"/>
        </w:rPr>
      </w:pPr>
      <w:r w:rsidRPr="00B600DD">
        <w:rPr>
          <w:rFonts w:ascii="Arial" w:hAnsi="Arial" w:cs="Arial"/>
          <w:lang w:val="es-MX"/>
        </w:rPr>
        <w:t xml:space="preserve">Los planes de inversión de NGA previstos por los operadores no presentan desglose geográfico a nivel de central local. Eso es, se podrían identificar las “centrales competitivas” solo en función de los despliegues ya realizados, en vez de futuros, lo que entraría en conflicto con la visión de futuro que tiene que tener la regulación. </w:t>
      </w:r>
    </w:p>
    <w:p w14:paraId="0796D5F3" w14:textId="77777777" w:rsidR="00B600DD" w:rsidRPr="00B600DD" w:rsidRDefault="00B600DD" w:rsidP="00B600DD">
      <w:pPr>
        <w:spacing w:after="0" w:line="240" w:lineRule="auto"/>
        <w:ind w:left="360"/>
        <w:rPr>
          <w:rFonts w:ascii="Arial" w:hAnsi="Arial" w:cs="Arial"/>
          <w:lang w:val="es-MX" w:eastAsia="es-MX"/>
        </w:rPr>
      </w:pPr>
    </w:p>
    <w:p w14:paraId="409A7F81"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Para el mercado 3b, por el contrario, la unidad del análisis geográfico es la </w:t>
      </w:r>
      <w:r w:rsidRPr="00B600DD">
        <w:rPr>
          <w:rFonts w:ascii="Arial" w:hAnsi="Arial" w:cs="Arial"/>
          <w:b/>
          <w:lang w:val="es-MX" w:eastAsia="es-MX"/>
        </w:rPr>
        <w:t>central local</w:t>
      </w:r>
      <w:r w:rsidRPr="00B600DD">
        <w:rPr>
          <w:rFonts w:ascii="Arial" w:hAnsi="Arial" w:cs="Arial"/>
          <w:b/>
          <w:vertAlign w:val="superscript"/>
          <w:lang w:val="es-MX" w:eastAsia="es-MX"/>
        </w:rPr>
        <w:footnoteReference w:id="20"/>
      </w:r>
      <w:r w:rsidRPr="00B600DD">
        <w:rPr>
          <w:rFonts w:ascii="Arial" w:hAnsi="Arial" w:cs="Arial"/>
          <w:lang w:val="es-MX" w:eastAsia="es-MX"/>
        </w:rPr>
        <w:t>.  De modo que el análisis lo que hace es agrupar en un mismo mercado subnacional aquellas centrales locales que tienen características parecidas.</w:t>
      </w:r>
    </w:p>
    <w:p w14:paraId="021A427F" w14:textId="77777777" w:rsidR="00B600DD" w:rsidRPr="00B600DD" w:rsidRDefault="00B600DD" w:rsidP="00B600DD">
      <w:pPr>
        <w:spacing w:after="0"/>
        <w:jc w:val="both"/>
        <w:rPr>
          <w:rFonts w:ascii="Arial" w:hAnsi="Arial" w:cs="Arial"/>
          <w:b/>
          <w:lang w:val="es-MX" w:eastAsia="es-MX"/>
        </w:rPr>
      </w:pPr>
    </w:p>
    <w:p w14:paraId="4475B251"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Dependiendo del mercado relevante analizado, la CNMC propone diferenciación geográfica de remedios o la definición de mercados geográficos separados.</w:t>
      </w:r>
    </w:p>
    <w:p w14:paraId="72469F66" w14:textId="77777777" w:rsidR="00B600DD" w:rsidRPr="00B600DD" w:rsidRDefault="00B600DD" w:rsidP="00B600DD">
      <w:pPr>
        <w:spacing w:after="0"/>
        <w:jc w:val="both"/>
        <w:rPr>
          <w:rFonts w:ascii="Arial" w:hAnsi="Arial" w:cs="Arial"/>
          <w:lang w:val="es-MX" w:eastAsia="es-MX"/>
        </w:rPr>
      </w:pPr>
    </w:p>
    <w:p w14:paraId="1A5DF1F6"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El </w:t>
      </w:r>
      <w:r w:rsidRPr="00B600DD">
        <w:rPr>
          <w:rFonts w:ascii="Arial" w:hAnsi="Arial" w:cs="Arial"/>
          <w:b/>
          <w:lang w:val="es-MX" w:eastAsia="es-MX"/>
        </w:rPr>
        <w:t xml:space="preserve">mercado 3a </w:t>
      </w:r>
      <w:r w:rsidRPr="00B600DD">
        <w:rPr>
          <w:rFonts w:ascii="Arial" w:hAnsi="Arial" w:cs="Arial"/>
          <w:lang w:val="es-MX" w:eastAsia="es-MX"/>
        </w:rPr>
        <w:t>(donde se incluye la desagregación del bucle local) se define como mercado nacional con remedios subnacionales.</w:t>
      </w:r>
    </w:p>
    <w:p w14:paraId="21181F0B" w14:textId="77777777" w:rsidR="00B600DD" w:rsidRPr="00B600DD" w:rsidRDefault="00B600DD" w:rsidP="00B600DD">
      <w:pPr>
        <w:spacing w:after="0"/>
        <w:jc w:val="both"/>
        <w:rPr>
          <w:rFonts w:ascii="Arial" w:hAnsi="Arial" w:cs="Arial"/>
          <w:lang w:val="es-MX" w:eastAsia="es-MX"/>
        </w:rPr>
      </w:pPr>
    </w:p>
    <w:p w14:paraId="356BB713"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La CNMC define el mercado a nivel nacional porque no destaca condiciones de competencia que sean suficientemente heterogéneas en el territorio nacional. En concreto, la CNMC no observa que (en la actualidad o prospectivamente) haya operadores que presten a nivel mayorista el servicio a terceros, alternativos a Telefónica, que cuenta con una red de alcance nacional y un elevado grado de capilaridad.</w:t>
      </w:r>
    </w:p>
    <w:p w14:paraId="005B11B9" w14:textId="77777777" w:rsidR="00B600DD" w:rsidRPr="00B600DD" w:rsidRDefault="00B600DD" w:rsidP="00B600DD">
      <w:pPr>
        <w:spacing w:after="0"/>
        <w:jc w:val="both"/>
        <w:rPr>
          <w:rFonts w:ascii="Arial" w:hAnsi="Arial" w:cs="Arial"/>
          <w:lang w:val="es-MX" w:eastAsia="es-MX"/>
        </w:rPr>
      </w:pPr>
    </w:p>
    <w:p w14:paraId="40C39410" w14:textId="77777777" w:rsidR="00B600DD" w:rsidRPr="00B600DD" w:rsidRDefault="00B600DD" w:rsidP="00B600DD">
      <w:pPr>
        <w:spacing w:after="0"/>
        <w:jc w:val="both"/>
        <w:rPr>
          <w:rFonts w:ascii="Arial" w:hAnsi="Arial" w:cs="Arial"/>
          <w:sz w:val="20"/>
          <w:szCs w:val="20"/>
          <w:lang w:val="es-MX" w:eastAsia="es-MX"/>
        </w:rPr>
      </w:pPr>
      <w:r w:rsidRPr="00B600DD">
        <w:rPr>
          <w:rFonts w:ascii="Arial" w:hAnsi="Arial" w:cs="Arial"/>
          <w:lang w:val="es-MX" w:eastAsia="es-MX"/>
        </w:rPr>
        <w:t>Sin embargo, la CNMC encuentra que ciertos municipios demuestran condiciones de competencia más intensa. Por lo tanto, en este mercado se definen remedios segmentados a nivel geográfico, desregulando las obligaciones de acceso a la red NGA en 66 municipios donde se observa un “mayor nivel de competencia” basado en redes NGA, según criterios detallados más adelante</w:t>
      </w:r>
      <w:r w:rsidRPr="00B600DD">
        <w:rPr>
          <w:rFonts w:ascii="Arial" w:hAnsi="Arial" w:cs="Arial"/>
          <w:sz w:val="20"/>
          <w:szCs w:val="20"/>
          <w:vertAlign w:val="superscript"/>
          <w:lang w:val="es-MX" w:eastAsia="es-MX"/>
        </w:rPr>
        <w:footnoteReference w:id="21"/>
      </w:r>
      <w:r w:rsidRPr="00B600DD">
        <w:rPr>
          <w:rFonts w:ascii="Arial" w:hAnsi="Arial" w:cs="Arial"/>
          <w:lang w:val="es-MX" w:eastAsia="es-MX"/>
        </w:rPr>
        <w:t>.  Estos 66 municipios representan un 34,6% del tot</w:t>
      </w:r>
      <w:r w:rsidRPr="00B600DD">
        <w:rPr>
          <w:rFonts w:ascii="Arial" w:hAnsi="Arial" w:cs="Arial"/>
          <w:sz w:val="20"/>
          <w:szCs w:val="20"/>
          <w:lang w:val="es-MX" w:eastAsia="es-MX"/>
        </w:rPr>
        <w:t>al de la población española.</w:t>
      </w:r>
    </w:p>
    <w:p w14:paraId="2A1409F3" w14:textId="77777777" w:rsidR="00B600DD" w:rsidRPr="00B600DD" w:rsidRDefault="00B600DD" w:rsidP="00B600DD">
      <w:pPr>
        <w:spacing w:after="0"/>
        <w:jc w:val="both"/>
        <w:rPr>
          <w:rFonts w:ascii="Arial" w:hAnsi="Arial" w:cs="Arial"/>
          <w:lang w:val="es-MX" w:eastAsia="es-MX"/>
        </w:rPr>
      </w:pPr>
    </w:p>
    <w:p w14:paraId="5DCE72DC"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En el </w:t>
      </w:r>
      <w:r w:rsidRPr="00B600DD">
        <w:rPr>
          <w:rFonts w:ascii="Arial" w:hAnsi="Arial" w:cs="Arial"/>
          <w:b/>
          <w:lang w:val="es-MX" w:eastAsia="es-MX"/>
        </w:rPr>
        <w:t>mercado 3b</w:t>
      </w:r>
      <w:r w:rsidRPr="00B600DD">
        <w:rPr>
          <w:rFonts w:ascii="Arial" w:hAnsi="Arial" w:cs="Arial"/>
          <w:lang w:val="es-MX" w:eastAsia="es-MX"/>
        </w:rPr>
        <w:t xml:space="preserve"> (donde se incluiría el servicio SAIB), se definen dos mercados geográficos separados:</w:t>
      </w:r>
    </w:p>
    <w:p w14:paraId="54195BFB" w14:textId="77777777" w:rsidR="00B600DD" w:rsidRPr="00B600DD" w:rsidRDefault="00B600DD" w:rsidP="00B600DD">
      <w:pPr>
        <w:spacing w:after="0"/>
        <w:jc w:val="both"/>
        <w:rPr>
          <w:rFonts w:ascii="Arial" w:hAnsi="Arial" w:cs="Arial"/>
          <w:lang w:val="es-MX" w:eastAsia="es-MX"/>
        </w:rPr>
      </w:pPr>
    </w:p>
    <w:p w14:paraId="6BEA81E6" w14:textId="77777777" w:rsidR="00B600DD" w:rsidRPr="00B600DD" w:rsidRDefault="00B600DD" w:rsidP="00B600DD">
      <w:pPr>
        <w:numPr>
          <w:ilvl w:val="0"/>
          <w:numId w:val="23"/>
        </w:numPr>
        <w:spacing w:after="0" w:line="240" w:lineRule="auto"/>
        <w:contextualSpacing/>
        <w:jc w:val="both"/>
        <w:rPr>
          <w:rFonts w:ascii="Arial" w:hAnsi="Arial" w:cs="Arial"/>
          <w:lang w:val="es-MX"/>
        </w:rPr>
      </w:pPr>
      <w:r w:rsidRPr="00B600DD">
        <w:rPr>
          <w:rFonts w:ascii="Arial" w:hAnsi="Arial" w:cs="Arial"/>
          <w:lang w:val="es-MX"/>
        </w:rPr>
        <w:t>3b_1 correspondiente a la zona 1, que agrupa un total de 758 centrales locales, y</w:t>
      </w:r>
    </w:p>
    <w:p w14:paraId="1E864CF8" w14:textId="77777777" w:rsidR="00B600DD" w:rsidRPr="00B600DD" w:rsidRDefault="00B600DD" w:rsidP="00B600DD">
      <w:pPr>
        <w:spacing w:after="0"/>
        <w:ind w:left="720"/>
        <w:contextualSpacing/>
        <w:jc w:val="both"/>
        <w:rPr>
          <w:rFonts w:ascii="Arial" w:hAnsi="Arial" w:cs="Arial"/>
          <w:lang w:val="es-MX"/>
        </w:rPr>
      </w:pPr>
    </w:p>
    <w:p w14:paraId="214375AD" w14:textId="77777777" w:rsidR="00B600DD" w:rsidRPr="00B600DD" w:rsidRDefault="00B600DD" w:rsidP="00B600DD">
      <w:pPr>
        <w:numPr>
          <w:ilvl w:val="0"/>
          <w:numId w:val="23"/>
        </w:numPr>
        <w:spacing w:after="0" w:line="240" w:lineRule="auto"/>
        <w:contextualSpacing/>
        <w:jc w:val="both"/>
        <w:rPr>
          <w:rFonts w:ascii="Arial" w:hAnsi="Arial" w:cs="Arial"/>
          <w:lang w:val="es-MX"/>
        </w:rPr>
      </w:pPr>
      <w:r w:rsidRPr="00B600DD">
        <w:rPr>
          <w:rFonts w:ascii="Arial" w:hAnsi="Arial" w:cs="Arial"/>
          <w:lang w:val="es-MX"/>
        </w:rPr>
        <w:t>3b_2 correspondiente a la zona 2, que agrupa un total de 8,109 centrales locales.</w:t>
      </w:r>
    </w:p>
    <w:p w14:paraId="34062E70" w14:textId="77777777" w:rsidR="00B600DD" w:rsidRPr="00B600DD" w:rsidRDefault="00B600DD" w:rsidP="00B600DD">
      <w:pPr>
        <w:spacing w:after="0"/>
        <w:ind w:left="720"/>
        <w:contextualSpacing/>
        <w:jc w:val="both"/>
        <w:rPr>
          <w:rFonts w:ascii="Arial" w:hAnsi="Arial" w:cs="Arial"/>
          <w:lang w:val="es-MX"/>
        </w:rPr>
      </w:pPr>
    </w:p>
    <w:p w14:paraId="6C304831"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La Tabla 10, contiene un resumen de las medidas impuestas a Telefónica, como operador por posición de dominio, en los distintos mercados identificados.</w:t>
      </w:r>
    </w:p>
    <w:p w14:paraId="134E60E9" w14:textId="77777777" w:rsidR="00B600DD" w:rsidRPr="00B600DD" w:rsidRDefault="00B600DD" w:rsidP="00B600DD">
      <w:pPr>
        <w:spacing w:after="0"/>
        <w:jc w:val="both"/>
        <w:rPr>
          <w:rFonts w:ascii="Arial" w:hAnsi="Arial" w:cs="Arial"/>
          <w:lang w:val="es-MX" w:eastAsia="es-MX"/>
        </w:rPr>
      </w:pPr>
    </w:p>
    <w:p w14:paraId="40E88DB5"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A la hora de evaluar la posible existencia de mercados geográficos separados en el mercado mayorista 3b, la CNMC considera distintas dimensiones del mercado siguiendo la Recomendación de la Comisión</w:t>
      </w:r>
      <w:r w:rsidRPr="00B600DD">
        <w:rPr>
          <w:rFonts w:ascii="Arial" w:hAnsi="Arial" w:cs="Arial"/>
          <w:sz w:val="20"/>
          <w:szCs w:val="20"/>
          <w:vertAlign w:val="superscript"/>
          <w:lang w:val="es-MX" w:eastAsia="es-MX"/>
        </w:rPr>
        <w:footnoteReference w:id="22"/>
      </w:r>
      <w:r w:rsidRPr="00B600DD">
        <w:rPr>
          <w:rFonts w:ascii="Arial" w:hAnsi="Arial" w:cs="Arial"/>
          <w:sz w:val="20"/>
          <w:szCs w:val="20"/>
          <w:lang w:val="es-MX" w:eastAsia="es-MX"/>
        </w:rPr>
        <w:t xml:space="preserve"> y la Posición Común del BEREC</w:t>
      </w:r>
      <w:r w:rsidRPr="00B600DD">
        <w:rPr>
          <w:rFonts w:ascii="Arial" w:hAnsi="Arial" w:cs="Arial"/>
          <w:sz w:val="20"/>
          <w:szCs w:val="20"/>
          <w:vertAlign w:val="superscript"/>
          <w:lang w:val="es-MX" w:eastAsia="es-MX"/>
        </w:rPr>
        <w:footnoteReference w:id="23"/>
      </w:r>
      <w:r w:rsidRPr="00B600DD">
        <w:rPr>
          <w:rFonts w:ascii="Arial" w:hAnsi="Arial" w:cs="Arial"/>
          <w:lang w:val="es-MX" w:eastAsia="es-MX"/>
        </w:rPr>
        <w:t>. En concreto, analiza los siguientes elementos:</w:t>
      </w:r>
    </w:p>
    <w:p w14:paraId="34912209" w14:textId="77777777" w:rsidR="00B600DD" w:rsidRPr="00B600DD" w:rsidRDefault="00B600DD" w:rsidP="00B600DD">
      <w:pPr>
        <w:spacing w:after="0"/>
        <w:jc w:val="both"/>
        <w:rPr>
          <w:rFonts w:ascii="Arial" w:hAnsi="Arial" w:cs="Arial"/>
          <w:lang w:val="es-MX" w:eastAsia="es-MX"/>
        </w:rPr>
      </w:pPr>
    </w:p>
    <w:p w14:paraId="3ED37F79" w14:textId="77777777" w:rsidR="00B600DD" w:rsidRPr="00B600DD" w:rsidRDefault="00B600DD" w:rsidP="00B600DD">
      <w:pPr>
        <w:numPr>
          <w:ilvl w:val="0"/>
          <w:numId w:val="24"/>
        </w:numPr>
        <w:spacing w:after="0" w:line="240" w:lineRule="auto"/>
        <w:contextualSpacing/>
        <w:jc w:val="both"/>
        <w:rPr>
          <w:rFonts w:ascii="Arial" w:hAnsi="Arial" w:cs="Arial"/>
          <w:lang w:val="es-MX"/>
        </w:rPr>
      </w:pPr>
      <w:r w:rsidRPr="00B600DD">
        <w:rPr>
          <w:rFonts w:ascii="Arial" w:hAnsi="Arial" w:cs="Arial"/>
          <w:lang w:val="es-MX"/>
        </w:rPr>
        <w:t>Evolución de las cuotas de mercado y su distribución, encontrando que las cuotas de Telefónica difieren notablemente entre las dos zonas analizadas. Como muestra la Tabla 10, en la zona 1 la cuota de Telefónica no alcanza el 35%, mientras que en la zona 2 su cuota prácticamente se sitúa en el 75%;</w:t>
      </w:r>
    </w:p>
    <w:p w14:paraId="52CE1461" w14:textId="77777777" w:rsidR="00B600DD" w:rsidRPr="00B600DD" w:rsidRDefault="00B600DD" w:rsidP="00B600DD">
      <w:pPr>
        <w:spacing w:after="0"/>
        <w:ind w:left="720"/>
        <w:contextualSpacing/>
        <w:jc w:val="both"/>
        <w:rPr>
          <w:rFonts w:ascii="Arial" w:hAnsi="Arial" w:cs="Arial"/>
          <w:lang w:val="es-MX"/>
        </w:rPr>
      </w:pPr>
    </w:p>
    <w:p w14:paraId="46F0BBC2" w14:textId="77777777" w:rsidR="00B600DD" w:rsidRPr="00B600DD" w:rsidRDefault="00B600DD" w:rsidP="00B600DD">
      <w:pPr>
        <w:numPr>
          <w:ilvl w:val="0"/>
          <w:numId w:val="24"/>
        </w:numPr>
        <w:spacing w:after="0" w:line="240" w:lineRule="auto"/>
        <w:contextualSpacing/>
        <w:jc w:val="both"/>
        <w:rPr>
          <w:rFonts w:ascii="Arial" w:hAnsi="Arial" w:cs="Arial"/>
          <w:lang w:val="es-MX"/>
        </w:rPr>
      </w:pPr>
      <w:r w:rsidRPr="00B600DD">
        <w:rPr>
          <w:rFonts w:ascii="Arial" w:hAnsi="Arial" w:cs="Arial"/>
          <w:lang w:val="es-MX"/>
        </w:rPr>
        <w:t xml:space="preserve">Diferenciación en las condiciones del producto de referencia, encontrando que las funcionalidades en los servicios de banda ancha accesibles a los usuarios finales varían entre las dos zonas analizadas; </w:t>
      </w:r>
    </w:p>
    <w:p w14:paraId="1C5FD83F" w14:textId="77777777" w:rsidR="00B600DD" w:rsidRPr="00B600DD" w:rsidRDefault="00B600DD" w:rsidP="00B600DD">
      <w:pPr>
        <w:spacing w:after="0"/>
        <w:ind w:left="720"/>
        <w:contextualSpacing/>
        <w:jc w:val="both"/>
        <w:rPr>
          <w:rFonts w:ascii="Arial" w:hAnsi="Arial" w:cs="Arial"/>
          <w:lang w:val="es-MX"/>
        </w:rPr>
      </w:pPr>
    </w:p>
    <w:p w14:paraId="23F7A967" w14:textId="77777777" w:rsidR="00B600DD" w:rsidRPr="00B600DD" w:rsidRDefault="00B600DD" w:rsidP="00B600DD">
      <w:pPr>
        <w:numPr>
          <w:ilvl w:val="0"/>
          <w:numId w:val="24"/>
        </w:numPr>
        <w:spacing w:after="0" w:line="240" w:lineRule="auto"/>
        <w:contextualSpacing/>
        <w:jc w:val="both"/>
        <w:rPr>
          <w:rFonts w:ascii="Arial" w:hAnsi="Arial" w:cs="Arial"/>
          <w:lang w:val="es-MX"/>
        </w:rPr>
      </w:pPr>
      <w:r w:rsidRPr="00B600DD">
        <w:rPr>
          <w:rFonts w:ascii="Arial" w:hAnsi="Arial" w:cs="Arial"/>
          <w:lang w:val="es-MX"/>
        </w:rPr>
        <w:t xml:space="preserve">Existencia de precios diferenciados geográficamente, observándose distintos niveles de precios como consecuencia del diferente peso de las modalidades de servicio mayoristas. </w:t>
      </w:r>
    </w:p>
    <w:p w14:paraId="6F2A96F4" w14:textId="77777777" w:rsidR="00B600DD" w:rsidRPr="00B600DD" w:rsidRDefault="00B600DD" w:rsidP="00B600DD">
      <w:pPr>
        <w:spacing w:after="0"/>
        <w:ind w:left="720"/>
        <w:contextualSpacing/>
        <w:jc w:val="both"/>
        <w:rPr>
          <w:rFonts w:ascii="Arial" w:hAnsi="Arial" w:cs="Arial"/>
          <w:lang w:val="es-MX"/>
        </w:rPr>
      </w:pPr>
    </w:p>
    <w:p w14:paraId="4FEDF3DE"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Por dichas razones, la CNMC justifica la definición de mercados geográficos separados.</w:t>
      </w:r>
    </w:p>
    <w:p w14:paraId="76B174C5" w14:textId="77777777" w:rsidR="00B600DD" w:rsidRPr="00B600DD" w:rsidRDefault="00B600DD" w:rsidP="00B600DD">
      <w:pPr>
        <w:spacing w:after="0" w:line="240" w:lineRule="auto"/>
        <w:jc w:val="both"/>
        <w:rPr>
          <w:rFonts w:ascii="Arial" w:hAnsi="Arial" w:cs="Arial"/>
          <w:lang w:val="es-MX" w:eastAsia="es-MX"/>
        </w:rPr>
      </w:pPr>
    </w:p>
    <w:p w14:paraId="10D9A3B4" w14:textId="77777777" w:rsidR="00B600DD" w:rsidRPr="00B600DD" w:rsidRDefault="00B600DD" w:rsidP="00BC2EF1">
      <w:pPr>
        <w:spacing w:after="0" w:line="240" w:lineRule="auto"/>
        <w:jc w:val="center"/>
        <w:rPr>
          <w:rFonts w:ascii="Arial" w:hAnsi="Arial" w:cs="Arial"/>
          <w:lang w:val="es-MX" w:eastAsia="es-MX"/>
        </w:rPr>
      </w:pPr>
      <w:r w:rsidRPr="00B600DD">
        <w:rPr>
          <w:rFonts w:ascii="Arial" w:hAnsi="Arial" w:cs="Arial"/>
          <w:noProof/>
          <w:sz w:val="20"/>
          <w:szCs w:val="20"/>
          <w:lang w:val="es-MX" w:eastAsia="es-MX"/>
        </w:rPr>
        <w:lastRenderedPageBreak/>
        <w:drawing>
          <wp:inline distT="0" distB="0" distL="0" distR="0" wp14:anchorId="5F9A07EE" wp14:editId="332F2D1F">
            <wp:extent cx="5041900" cy="121856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41900" cy="1218565"/>
                    </a:xfrm>
                    <a:prstGeom prst="rect">
                      <a:avLst/>
                    </a:prstGeom>
                  </pic:spPr>
                </pic:pic>
              </a:graphicData>
            </a:graphic>
          </wp:inline>
        </w:drawing>
      </w:r>
    </w:p>
    <w:p w14:paraId="362688B9" w14:textId="77777777" w:rsidR="004D06C1" w:rsidRDefault="00B600DD" w:rsidP="00B600DD">
      <w:pPr>
        <w:spacing w:after="0" w:line="240" w:lineRule="auto"/>
        <w:jc w:val="both"/>
        <w:rPr>
          <w:rFonts w:ascii="Arial" w:hAnsi="Arial" w:cs="Arial"/>
          <w:sz w:val="16"/>
          <w:szCs w:val="16"/>
          <w:lang w:val="es-MX" w:eastAsia="es-MX"/>
        </w:rPr>
      </w:pPr>
      <w:r w:rsidRPr="00B600DD">
        <w:rPr>
          <w:rFonts w:ascii="Arial" w:hAnsi="Arial" w:cs="Arial"/>
          <w:b/>
          <w:sz w:val="16"/>
          <w:szCs w:val="16"/>
          <w:lang w:val="es-MX" w:eastAsia="es-MX"/>
        </w:rPr>
        <w:t>Tabla 10</w:t>
      </w:r>
      <w:r w:rsidRPr="00B600DD">
        <w:rPr>
          <w:rFonts w:ascii="Arial" w:hAnsi="Arial" w:cs="Arial"/>
          <w:b/>
          <w:sz w:val="16"/>
          <w:szCs w:val="16"/>
          <w:lang w:val="es-MX" w:eastAsia="es-MX"/>
        </w:rPr>
        <w:tab/>
      </w:r>
      <w:r w:rsidRPr="00B600DD">
        <w:rPr>
          <w:rFonts w:ascii="Arial" w:hAnsi="Arial" w:cs="Arial"/>
          <w:sz w:val="16"/>
          <w:szCs w:val="16"/>
          <w:lang w:val="es-MX" w:eastAsia="es-MX"/>
        </w:rPr>
        <w:t xml:space="preserve">Cuota de mercado de los operadores en servicio mayorista y minorista de acceso de banda ancha (Junio 2015). </w:t>
      </w:r>
    </w:p>
    <w:p w14:paraId="0869E6DE" w14:textId="70382D16" w:rsidR="00B600DD" w:rsidRPr="00B600DD" w:rsidRDefault="00B600DD" w:rsidP="00B600DD">
      <w:pPr>
        <w:spacing w:after="0" w:line="240" w:lineRule="auto"/>
        <w:jc w:val="both"/>
        <w:rPr>
          <w:rFonts w:ascii="Arial" w:hAnsi="Arial" w:cs="Arial"/>
          <w:sz w:val="16"/>
          <w:szCs w:val="16"/>
          <w:lang w:val="es-MX" w:eastAsia="es-MX"/>
        </w:rPr>
      </w:pPr>
      <w:r w:rsidRPr="00B600DD">
        <w:rPr>
          <w:rFonts w:ascii="Arial" w:hAnsi="Arial" w:cs="Arial"/>
          <w:b/>
          <w:sz w:val="16"/>
          <w:szCs w:val="16"/>
          <w:lang w:val="es-MX" w:eastAsia="es-MX"/>
        </w:rPr>
        <w:t>Fuente:</w:t>
      </w:r>
      <w:r w:rsidR="004D06C1">
        <w:rPr>
          <w:rFonts w:ascii="Arial" w:hAnsi="Arial" w:cs="Arial"/>
          <w:sz w:val="16"/>
          <w:szCs w:val="16"/>
          <w:lang w:val="es-MX" w:eastAsia="es-MX"/>
        </w:rPr>
        <w:t xml:space="preserve"> </w:t>
      </w:r>
      <w:r w:rsidRPr="00B600DD">
        <w:rPr>
          <w:rFonts w:ascii="Arial" w:hAnsi="Arial" w:cs="Arial"/>
          <w:sz w:val="16"/>
          <w:szCs w:val="16"/>
          <w:lang w:val="es-MX" w:eastAsia="es-MX"/>
        </w:rPr>
        <w:t>CNMC, ANME/DTSA/2154/14/MERCADOS</w:t>
      </w:r>
    </w:p>
    <w:p w14:paraId="61CA8825" w14:textId="77777777" w:rsidR="00B600DD" w:rsidRPr="00B600DD" w:rsidRDefault="00B600DD" w:rsidP="00B600DD">
      <w:pPr>
        <w:spacing w:after="0" w:line="240" w:lineRule="auto"/>
        <w:jc w:val="both"/>
        <w:rPr>
          <w:rFonts w:ascii="Arial" w:hAnsi="Arial" w:cs="Arial"/>
          <w:lang w:val="es-MX" w:eastAsia="es-MX"/>
        </w:rPr>
      </w:pPr>
    </w:p>
    <w:p w14:paraId="31D5E7CE"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Se establecen criterios distintos para delimitar las zonas “competitivas” en los mercados 3a (donde estaría incluido LLU) y 3b (donde estaría incluido el SAIB).</w:t>
      </w:r>
    </w:p>
    <w:p w14:paraId="762AA70B" w14:textId="77777777" w:rsidR="00B600DD" w:rsidRPr="00B600DD" w:rsidRDefault="00B600DD" w:rsidP="00B600DD">
      <w:pPr>
        <w:spacing w:after="0"/>
        <w:jc w:val="both"/>
        <w:rPr>
          <w:rFonts w:ascii="Arial" w:hAnsi="Arial" w:cs="Arial"/>
          <w:lang w:val="es-MX" w:eastAsia="es-MX"/>
        </w:rPr>
      </w:pPr>
    </w:p>
    <w:p w14:paraId="5D574FB3"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En el mercado 3a se levantan las obligaciones de acceso sobre la red NGA de fibra de Telefónica (remedios geográficos) en aquellos municipios que tengan centrales locales donde:</w:t>
      </w:r>
    </w:p>
    <w:p w14:paraId="799965DC" w14:textId="77777777" w:rsidR="00B600DD" w:rsidRPr="00B600DD" w:rsidRDefault="00B600DD" w:rsidP="00B600DD">
      <w:pPr>
        <w:spacing w:after="0"/>
        <w:jc w:val="both"/>
        <w:rPr>
          <w:rFonts w:ascii="Arial" w:hAnsi="Arial" w:cs="Arial"/>
          <w:lang w:val="es-MX" w:eastAsia="es-MX"/>
        </w:rPr>
      </w:pPr>
    </w:p>
    <w:p w14:paraId="0CE58EFA" w14:textId="50563572" w:rsidR="00B600DD" w:rsidRPr="00B600DD" w:rsidRDefault="00B600DD" w:rsidP="00B600DD">
      <w:pPr>
        <w:numPr>
          <w:ilvl w:val="0"/>
          <w:numId w:val="25"/>
        </w:numPr>
        <w:spacing w:after="0" w:line="240" w:lineRule="auto"/>
        <w:contextualSpacing/>
        <w:jc w:val="both"/>
        <w:rPr>
          <w:rFonts w:ascii="Arial" w:hAnsi="Arial" w:cs="Arial"/>
          <w:lang w:val="es-MX"/>
        </w:rPr>
      </w:pPr>
      <w:r w:rsidRPr="00B600DD">
        <w:rPr>
          <w:rFonts w:ascii="Arial" w:hAnsi="Arial" w:cs="Arial"/>
          <w:lang w:val="es-MX"/>
        </w:rPr>
        <w:t xml:space="preserve">Haya un mínimo de </w:t>
      </w:r>
      <w:r w:rsidR="004B6C3F">
        <w:rPr>
          <w:rFonts w:ascii="Arial" w:hAnsi="Arial" w:cs="Arial"/>
          <w:lang w:val="es-MX"/>
        </w:rPr>
        <w:t>tres</w:t>
      </w:r>
      <w:r w:rsidRPr="00B600DD">
        <w:rPr>
          <w:rFonts w:ascii="Arial" w:hAnsi="Arial" w:cs="Arial"/>
          <w:lang w:val="es-MX"/>
        </w:rPr>
        <w:t xml:space="preserve"> redes NGA</w:t>
      </w:r>
    </w:p>
    <w:p w14:paraId="5DAACF94" w14:textId="77777777" w:rsidR="00B600DD" w:rsidRPr="00B600DD" w:rsidRDefault="00B600DD" w:rsidP="00B600DD">
      <w:pPr>
        <w:spacing w:after="0"/>
        <w:ind w:left="720"/>
        <w:contextualSpacing/>
        <w:jc w:val="both"/>
        <w:rPr>
          <w:rFonts w:ascii="Arial" w:hAnsi="Arial" w:cs="Arial"/>
          <w:lang w:val="es-MX"/>
        </w:rPr>
      </w:pPr>
    </w:p>
    <w:p w14:paraId="7CEA5AE5" w14:textId="77777777" w:rsidR="00B600DD" w:rsidRPr="00B600DD" w:rsidRDefault="00B600DD" w:rsidP="00B600DD">
      <w:pPr>
        <w:numPr>
          <w:ilvl w:val="0"/>
          <w:numId w:val="25"/>
        </w:numPr>
        <w:spacing w:after="0" w:line="240" w:lineRule="auto"/>
        <w:contextualSpacing/>
        <w:jc w:val="both"/>
        <w:rPr>
          <w:rFonts w:ascii="Arial" w:hAnsi="Arial" w:cs="Arial"/>
          <w:lang w:val="es-MX"/>
        </w:rPr>
      </w:pPr>
      <w:r w:rsidRPr="00B600DD">
        <w:rPr>
          <w:rFonts w:ascii="Arial" w:hAnsi="Arial" w:cs="Arial"/>
          <w:lang w:val="es-MX"/>
        </w:rPr>
        <w:t>Con cobertura individual superior al 20%</w:t>
      </w:r>
    </w:p>
    <w:p w14:paraId="45AE063E" w14:textId="77777777" w:rsidR="00B600DD" w:rsidRPr="00B600DD" w:rsidRDefault="00B600DD" w:rsidP="00B600DD">
      <w:pPr>
        <w:spacing w:after="0"/>
        <w:ind w:left="720"/>
        <w:contextualSpacing/>
        <w:jc w:val="both"/>
        <w:rPr>
          <w:rFonts w:ascii="Arial" w:hAnsi="Arial" w:cs="Arial"/>
          <w:lang w:val="es-MX"/>
        </w:rPr>
      </w:pPr>
    </w:p>
    <w:p w14:paraId="40324686"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Los criterios se entienden como cumulativos. En su análisis la CNMC concluye que a diciembre 2014 quedarían exentos de la regulación un total de 66 municipios, donde se localizan las 191 centrales </w:t>
      </w:r>
      <w:r w:rsidRPr="00B600DD">
        <w:rPr>
          <w:rFonts w:ascii="Arial" w:hAnsi="Arial" w:cs="Arial"/>
          <w:sz w:val="20"/>
          <w:szCs w:val="20"/>
          <w:lang w:val="es-MX" w:eastAsia="es-MX"/>
        </w:rPr>
        <w:t>que cumplen con estos criterios</w:t>
      </w:r>
      <w:r w:rsidRPr="00B600DD">
        <w:rPr>
          <w:rFonts w:ascii="Arial" w:hAnsi="Arial" w:cs="Arial"/>
          <w:sz w:val="20"/>
          <w:szCs w:val="20"/>
          <w:vertAlign w:val="superscript"/>
          <w:lang w:val="es-MX" w:eastAsia="es-MX"/>
        </w:rPr>
        <w:footnoteReference w:id="24"/>
      </w:r>
      <w:r w:rsidRPr="00B600DD">
        <w:rPr>
          <w:rFonts w:ascii="Arial" w:hAnsi="Arial" w:cs="Arial"/>
          <w:lang w:val="es-MX" w:eastAsia="es-MX"/>
        </w:rPr>
        <w:t xml:space="preserve">. </w:t>
      </w:r>
    </w:p>
    <w:p w14:paraId="63C85FE3" w14:textId="77777777" w:rsidR="00B600DD" w:rsidRPr="00B600DD" w:rsidRDefault="00B600DD" w:rsidP="00B600DD">
      <w:pPr>
        <w:spacing w:after="0"/>
        <w:jc w:val="both"/>
        <w:rPr>
          <w:rFonts w:ascii="Arial" w:hAnsi="Arial" w:cs="Arial"/>
          <w:lang w:val="es-MX" w:eastAsia="es-MX"/>
        </w:rPr>
      </w:pPr>
    </w:p>
    <w:p w14:paraId="1913862C"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En cuanto al mercado 3b, se definen mercados (y remedios) geográficos partiendo el país en dos áreas:</w:t>
      </w:r>
    </w:p>
    <w:p w14:paraId="1D0EFF62" w14:textId="77777777" w:rsidR="00B600DD" w:rsidRPr="00B600DD" w:rsidRDefault="00B600DD" w:rsidP="00B600DD">
      <w:pPr>
        <w:spacing w:after="0"/>
        <w:jc w:val="both"/>
        <w:rPr>
          <w:rFonts w:ascii="Arial" w:hAnsi="Arial" w:cs="Arial"/>
          <w:lang w:val="es-MX" w:eastAsia="es-MX"/>
        </w:rPr>
      </w:pPr>
    </w:p>
    <w:p w14:paraId="63680B52" w14:textId="77777777" w:rsidR="00B600DD" w:rsidRPr="00B600DD" w:rsidRDefault="00B600DD" w:rsidP="00B600DD">
      <w:pPr>
        <w:numPr>
          <w:ilvl w:val="0"/>
          <w:numId w:val="26"/>
        </w:numPr>
        <w:spacing w:after="0" w:line="240" w:lineRule="auto"/>
        <w:contextualSpacing/>
        <w:jc w:val="both"/>
        <w:rPr>
          <w:rFonts w:ascii="Arial" w:hAnsi="Arial" w:cs="Arial"/>
          <w:lang w:val="es-MX"/>
        </w:rPr>
      </w:pPr>
      <w:r w:rsidRPr="00B600DD">
        <w:rPr>
          <w:rFonts w:ascii="Arial" w:hAnsi="Arial" w:cs="Arial"/>
          <w:lang w:val="es-MX"/>
        </w:rPr>
        <w:t>El Mercado 3b_1 (zona 1) que se define como el mercado “competitivo” que agrupa aquellas centrales locales de Telefónica donde:</w:t>
      </w:r>
    </w:p>
    <w:p w14:paraId="298735E3" w14:textId="77777777" w:rsidR="00B600DD" w:rsidRPr="00B600DD" w:rsidRDefault="00B600DD" w:rsidP="00B600DD">
      <w:pPr>
        <w:spacing w:after="0"/>
        <w:ind w:left="720"/>
        <w:contextualSpacing/>
        <w:jc w:val="both"/>
        <w:rPr>
          <w:rFonts w:ascii="Arial" w:hAnsi="Arial" w:cs="Arial"/>
          <w:lang w:val="es-MX"/>
        </w:rPr>
      </w:pPr>
    </w:p>
    <w:p w14:paraId="432B0AEC" w14:textId="77777777" w:rsidR="00B600DD" w:rsidRPr="00B600DD" w:rsidRDefault="00B600DD" w:rsidP="00B600DD">
      <w:pPr>
        <w:numPr>
          <w:ilvl w:val="1"/>
          <w:numId w:val="26"/>
        </w:numPr>
        <w:spacing w:after="0" w:line="240" w:lineRule="auto"/>
        <w:contextualSpacing/>
        <w:jc w:val="both"/>
        <w:rPr>
          <w:rFonts w:ascii="Arial" w:hAnsi="Arial" w:cs="Arial"/>
          <w:lang w:val="es-MX"/>
        </w:rPr>
      </w:pPr>
      <w:r w:rsidRPr="00B600DD">
        <w:rPr>
          <w:rFonts w:ascii="Arial" w:hAnsi="Arial" w:cs="Arial"/>
          <w:lang w:val="es-MX"/>
        </w:rPr>
        <w:t>Haya un mínimo de 3 redes NGA con cobertura individual superior al 20% (mismo criterio utilizado en el mercado 3a) o, en alternativa,</w:t>
      </w:r>
    </w:p>
    <w:p w14:paraId="654EE82F" w14:textId="77777777" w:rsidR="00B600DD" w:rsidRPr="00B600DD" w:rsidRDefault="00B600DD" w:rsidP="00B600DD">
      <w:pPr>
        <w:spacing w:after="0"/>
        <w:ind w:left="1440"/>
        <w:contextualSpacing/>
        <w:jc w:val="both"/>
        <w:rPr>
          <w:rFonts w:ascii="Arial" w:hAnsi="Arial" w:cs="Arial"/>
          <w:lang w:val="es-MX"/>
        </w:rPr>
      </w:pPr>
    </w:p>
    <w:p w14:paraId="1F2E34DC" w14:textId="77777777" w:rsidR="00B600DD" w:rsidRPr="00B600DD" w:rsidRDefault="00B600DD" w:rsidP="00B600DD">
      <w:pPr>
        <w:numPr>
          <w:ilvl w:val="1"/>
          <w:numId w:val="26"/>
        </w:numPr>
        <w:spacing w:after="0" w:line="240" w:lineRule="auto"/>
        <w:contextualSpacing/>
        <w:jc w:val="both"/>
        <w:rPr>
          <w:rFonts w:ascii="Arial" w:hAnsi="Arial" w:cs="Arial"/>
          <w:lang w:val="es-MX"/>
        </w:rPr>
      </w:pPr>
      <w:r w:rsidRPr="00B600DD">
        <w:rPr>
          <w:rFonts w:ascii="Arial" w:hAnsi="Arial" w:cs="Arial"/>
          <w:lang w:val="es-MX"/>
        </w:rPr>
        <w:t>Haya al menos dos operadores alternativos con una cuota individual en el mercado minorista de banda ancha de al menos el 10% (basada bien en su red propia bien en el acceso desagregado al bucle) y la cuota de Telefónica en dicho mercado minorista es inferior al 50%.</w:t>
      </w:r>
    </w:p>
    <w:p w14:paraId="4AAE90F9" w14:textId="77777777" w:rsidR="00B600DD" w:rsidRPr="00B600DD" w:rsidRDefault="00B600DD" w:rsidP="00B600DD">
      <w:pPr>
        <w:spacing w:after="0"/>
        <w:ind w:left="1440"/>
        <w:contextualSpacing/>
        <w:jc w:val="both"/>
        <w:rPr>
          <w:rFonts w:ascii="Arial" w:hAnsi="Arial" w:cs="Arial"/>
          <w:lang w:val="es-MX"/>
        </w:rPr>
      </w:pPr>
    </w:p>
    <w:p w14:paraId="25FC6B03" w14:textId="77777777" w:rsidR="00B600DD" w:rsidRPr="00B600DD" w:rsidRDefault="00B600DD" w:rsidP="00B600DD">
      <w:pPr>
        <w:numPr>
          <w:ilvl w:val="0"/>
          <w:numId w:val="26"/>
        </w:numPr>
        <w:spacing w:after="0" w:line="240" w:lineRule="auto"/>
        <w:contextualSpacing/>
        <w:jc w:val="both"/>
        <w:rPr>
          <w:rFonts w:ascii="Arial" w:hAnsi="Arial" w:cs="Arial"/>
          <w:lang w:val="es-MX"/>
        </w:rPr>
      </w:pPr>
      <w:r w:rsidRPr="00B600DD">
        <w:rPr>
          <w:rFonts w:ascii="Arial" w:hAnsi="Arial" w:cs="Arial"/>
          <w:lang w:val="es-MX"/>
        </w:rPr>
        <w:t>El Mercado 3b_2 (zona 2) que agrupa el resto de centrales</w:t>
      </w:r>
      <w:r w:rsidRPr="00B600DD">
        <w:rPr>
          <w:rFonts w:ascii="Arial" w:hAnsi="Arial" w:cs="Arial"/>
          <w:vertAlign w:val="superscript"/>
          <w:lang w:val="es-MX"/>
        </w:rPr>
        <w:footnoteReference w:id="25"/>
      </w:r>
    </w:p>
    <w:p w14:paraId="5FA221A9" w14:textId="77777777" w:rsidR="00B600DD" w:rsidRPr="00B600DD" w:rsidRDefault="00B600DD" w:rsidP="00B600DD">
      <w:pPr>
        <w:spacing w:after="0"/>
        <w:ind w:left="720"/>
        <w:contextualSpacing/>
        <w:jc w:val="both"/>
        <w:rPr>
          <w:rFonts w:ascii="Arial" w:hAnsi="Arial" w:cs="Arial"/>
          <w:lang w:val="es-MX"/>
        </w:rPr>
      </w:pPr>
    </w:p>
    <w:p w14:paraId="69F24CD9"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lastRenderedPageBreak/>
        <w:t xml:space="preserve">El regulador se compromete a revisar periódicamente esta lista, evaluando el cumplimento de dichos criterios y la evolución del perfil geográfico. </w:t>
      </w:r>
    </w:p>
    <w:p w14:paraId="0F7B15B9" w14:textId="77777777" w:rsidR="00B600DD" w:rsidRPr="00B600DD" w:rsidRDefault="00B600DD" w:rsidP="00B600DD">
      <w:pPr>
        <w:spacing w:after="0"/>
        <w:jc w:val="both"/>
        <w:rPr>
          <w:rFonts w:ascii="Arial" w:hAnsi="Arial" w:cs="Arial"/>
          <w:b/>
          <w:lang w:val="es-MX" w:eastAsia="es-MX"/>
        </w:rPr>
      </w:pPr>
    </w:p>
    <w:p w14:paraId="7FFD1B77"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Si bien la CNMC no ha publicado estudios de impacto de las medidas regulatorias tomadas desde la revisión de los mercados relevantes de 2014, el mismo regulador hace un seguimiento periódico de los servicios de banda ancha y despliegue de redes NGA en España, a nivel geográfico. Aun siendo complicado aislar el impacto de la segmentación geográfica sobre los resultados, se puede apreciar que el despliegue de redes de nueva generación (FTTH) se ha incrementado de forma significativa en los años sucesivos a la revisión de 2014.</w:t>
      </w:r>
    </w:p>
    <w:p w14:paraId="2C13AC74" w14:textId="77777777" w:rsidR="00B600DD" w:rsidRPr="00B600DD" w:rsidRDefault="00B600DD" w:rsidP="00B600DD">
      <w:pPr>
        <w:spacing w:after="0"/>
        <w:jc w:val="both"/>
        <w:rPr>
          <w:rFonts w:ascii="Arial" w:hAnsi="Arial" w:cs="Arial"/>
          <w:lang w:val="es-MX" w:eastAsia="es-MX"/>
        </w:rPr>
      </w:pPr>
    </w:p>
    <w:p w14:paraId="09CB9A50"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Por ejemplo, el análisis presentado en el informe más reciente destaca que entre diciembre 2014 (antes de la regulación) y diciembre 2016 (meses después de la publicación de las medidas), tanto las líneas FTTH de acceso activas como el número de municipios con acceso FTTH casi se habían triplicado, como muestra la Figura 4. </w:t>
      </w:r>
    </w:p>
    <w:p w14:paraId="62EB9D11" w14:textId="77777777" w:rsidR="00B600DD" w:rsidRPr="00B600DD" w:rsidRDefault="00B600DD" w:rsidP="00B600DD">
      <w:pPr>
        <w:spacing w:after="0"/>
        <w:jc w:val="both"/>
        <w:rPr>
          <w:rFonts w:ascii="Arial" w:hAnsi="Arial" w:cs="Arial"/>
          <w:lang w:val="es-MX" w:eastAsia="es-MX"/>
        </w:rPr>
      </w:pPr>
    </w:p>
    <w:p w14:paraId="03F58340" w14:textId="77777777" w:rsidR="00B600DD" w:rsidRPr="00B600DD" w:rsidRDefault="00B600DD" w:rsidP="00BC2EF1">
      <w:pPr>
        <w:spacing w:after="0" w:line="240" w:lineRule="auto"/>
        <w:jc w:val="center"/>
        <w:rPr>
          <w:rFonts w:ascii="Arial" w:hAnsi="Arial" w:cs="Arial"/>
          <w:lang w:val="es-MX" w:eastAsia="es-MX"/>
        </w:rPr>
      </w:pPr>
      <w:r w:rsidRPr="00B600DD">
        <w:rPr>
          <w:rFonts w:ascii="Arial" w:hAnsi="Arial" w:cs="Arial"/>
          <w:noProof/>
          <w:sz w:val="20"/>
          <w:szCs w:val="20"/>
          <w:lang w:val="es-MX" w:eastAsia="es-MX"/>
        </w:rPr>
        <w:drawing>
          <wp:inline distT="0" distB="0" distL="0" distR="0" wp14:anchorId="33E2DB2D" wp14:editId="20FF09D1">
            <wp:extent cx="5041900" cy="19691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041900" cy="1969135"/>
                    </a:xfrm>
                    <a:prstGeom prst="rect">
                      <a:avLst/>
                    </a:prstGeom>
                  </pic:spPr>
                </pic:pic>
              </a:graphicData>
            </a:graphic>
          </wp:inline>
        </w:drawing>
      </w:r>
    </w:p>
    <w:p w14:paraId="7CB8DB34" w14:textId="77777777" w:rsidR="00B600DD" w:rsidRPr="00B600DD" w:rsidRDefault="00B600DD" w:rsidP="00B600DD">
      <w:pPr>
        <w:spacing w:after="0" w:line="240" w:lineRule="auto"/>
        <w:jc w:val="both"/>
        <w:rPr>
          <w:rFonts w:ascii="Arial" w:hAnsi="Arial" w:cs="Arial"/>
          <w:sz w:val="16"/>
          <w:szCs w:val="16"/>
          <w:lang w:val="es-MX" w:eastAsia="es-MX"/>
        </w:rPr>
      </w:pPr>
      <w:r w:rsidRPr="00B600DD">
        <w:rPr>
          <w:rFonts w:ascii="Arial" w:hAnsi="Arial" w:cs="Arial"/>
          <w:b/>
          <w:sz w:val="16"/>
          <w:szCs w:val="16"/>
          <w:lang w:val="es-MX" w:eastAsia="es-MX"/>
        </w:rPr>
        <w:t>Figura 4</w:t>
      </w:r>
      <w:r w:rsidRPr="00B600DD">
        <w:rPr>
          <w:rFonts w:ascii="Arial" w:hAnsi="Arial" w:cs="Arial"/>
          <w:sz w:val="16"/>
          <w:szCs w:val="16"/>
          <w:lang w:val="es-MX" w:eastAsia="es-MX"/>
        </w:rPr>
        <w:tab/>
        <w:t>Evolución de accesos activos FTTH y número de municipios con FTTH</w:t>
      </w:r>
    </w:p>
    <w:p w14:paraId="5ABE597E" w14:textId="77777777" w:rsidR="00B600DD" w:rsidRPr="00B600DD" w:rsidRDefault="00B600DD" w:rsidP="00B600DD">
      <w:pPr>
        <w:spacing w:after="0" w:line="240" w:lineRule="auto"/>
        <w:jc w:val="both"/>
        <w:rPr>
          <w:rFonts w:ascii="Arial" w:hAnsi="Arial" w:cs="Arial"/>
          <w:sz w:val="16"/>
          <w:szCs w:val="16"/>
          <w:lang w:val="es-MX" w:eastAsia="es-MX"/>
        </w:rPr>
      </w:pPr>
      <w:r w:rsidRPr="00B600DD">
        <w:rPr>
          <w:rFonts w:ascii="Arial" w:hAnsi="Arial" w:cs="Arial"/>
          <w:b/>
          <w:sz w:val="16"/>
          <w:szCs w:val="16"/>
          <w:lang w:val="es-MX" w:eastAsia="es-MX"/>
        </w:rPr>
        <w:t>Fuente:</w:t>
      </w:r>
      <w:r w:rsidRPr="00B600DD">
        <w:rPr>
          <w:rFonts w:ascii="Arial" w:hAnsi="Arial" w:cs="Arial"/>
          <w:sz w:val="16"/>
          <w:szCs w:val="16"/>
          <w:lang w:val="es-MX" w:eastAsia="es-MX"/>
        </w:rPr>
        <w:tab/>
        <w:t>CNMC, Análisis geográfico de los servicios de banda ancha y despliegue de NGA en España (diciembre 2019)</w:t>
      </w:r>
    </w:p>
    <w:p w14:paraId="537C1D80" w14:textId="77777777" w:rsidR="00B600DD" w:rsidRPr="00B600DD" w:rsidRDefault="00B600DD" w:rsidP="00B600DD">
      <w:pPr>
        <w:spacing w:after="0" w:line="240" w:lineRule="auto"/>
        <w:jc w:val="both"/>
        <w:rPr>
          <w:rFonts w:ascii="Arial" w:hAnsi="Arial" w:cs="Arial"/>
          <w:lang w:val="es-MX" w:eastAsia="es-MX"/>
        </w:rPr>
      </w:pPr>
    </w:p>
    <w:p w14:paraId="5B849276"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También a nivel de central local se destaca un amplio incremento en zonas con acceso a FTTH, si, por ejemplo, se comparan informes de distintos años, como muestra la Figura 5. </w:t>
      </w:r>
    </w:p>
    <w:p w14:paraId="07F3A657" w14:textId="77777777" w:rsidR="00B600DD" w:rsidRPr="00B600DD" w:rsidRDefault="00B600DD" w:rsidP="00B600DD">
      <w:pPr>
        <w:spacing w:after="0" w:line="240" w:lineRule="auto"/>
        <w:jc w:val="both"/>
        <w:rPr>
          <w:rFonts w:ascii="Arial" w:hAnsi="Arial" w:cs="Arial"/>
          <w:lang w:val="es-MX" w:eastAsia="es-MX"/>
        </w:rPr>
      </w:pPr>
      <w:r w:rsidRPr="00B600DD">
        <w:rPr>
          <w:rFonts w:ascii="Arial" w:hAnsi="Arial" w:cs="Arial"/>
          <w:noProof/>
          <w:sz w:val="20"/>
          <w:szCs w:val="20"/>
          <w:lang w:val="es-MX" w:eastAsia="es-MX"/>
        </w:rPr>
        <w:drawing>
          <wp:inline distT="0" distB="0" distL="0" distR="0" wp14:anchorId="732860CD" wp14:editId="6F169C6B">
            <wp:extent cx="5612130" cy="229327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293270"/>
                    </a:xfrm>
                    <a:prstGeom prst="rect">
                      <a:avLst/>
                    </a:prstGeom>
                  </pic:spPr>
                </pic:pic>
              </a:graphicData>
            </a:graphic>
          </wp:inline>
        </w:drawing>
      </w:r>
    </w:p>
    <w:p w14:paraId="16B789C6" w14:textId="77777777" w:rsidR="004D06C1" w:rsidRDefault="00B600DD" w:rsidP="00B600DD">
      <w:pPr>
        <w:spacing w:after="0" w:line="240" w:lineRule="auto"/>
        <w:jc w:val="both"/>
        <w:rPr>
          <w:rFonts w:ascii="Arial" w:hAnsi="Arial" w:cs="Arial"/>
          <w:sz w:val="16"/>
          <w:szCs w:val="16"/>
          <w:lang w:val="es-MX" w:eastAsia="es-MX"/>
        </w:rPr>
      </w:pPr>
      <w:r w:rsidRPr="00B600DD">
        <w:rPr>
          <w:rFonts w:ascii="Arial" w:hAnsi="Arial" w:cs="Arial"/>
          <w:b/>
          <w:sz w:val="16"/>
          <w:szCs w:val="16"/>
          <w:lang w:val="es-MX" w:eastAsia="es-MX"/>
        </w:rPr>
        <w:t>Figura 5</w:t>
      </w:r>
      <w:r w:rsidRPr="00B600DD">
        <w:rPr>
          <w:rFonts w:ascii="Arial" w:hAnsi="Arial" w:cs="Arial"/>
          <w:sz w:val="16"/>
          <w:szCs w:val="16"/>
          <w:lang w:val="es-MX" w:eastAsia="es-MX"/>
        </w:rPr>
        <w:tab/>
        <w:t xml:space="preserve">Mapas de centrales con despliegue FTTH en España, diciembre 2013 (izquierda) y diciembre 2018 (derecha) </w:t>
      </w:r>
    </w:p>
    <w:p w14:paraId="2941198B" w14:textId="1349F137" w:rsidR="00B600DD" w:rsidRPr="00B600DD" w:rsidRDefault="00B600DD" w:rsidP="00B600DD">
      <w:pPr>
        <w:spacing w:after="0" w:line="240" w:lineRule="auto"/>
        <w:jc w:val="both"/>
        <w:rPr>
          <w:rFonts w:ascii="Arial" w:hAnsi="Arial" w:cs="Arial"/>
          <w:sz w:val="16"/>
          <w:szCs w:val="16"/>
          <w:lang w:val="es-MX" w:eastAsia="es-MX"/>
        </w:rPr>
      </w:pPr>
      <w:r w:rsidRPr="00B600DD">
        <w:rPr>
          <w:rFonts w:ascii="Arial" w:hAnsi="Arial" w:cs="Arial"/>
          <w:b/>
          <w:sz w:val="16"/>
          <w:szCs w:val="16"/>
          <w:lang w:val="es-MX" w:eastAsia="es-MX"/>
        </w:rPr>
        <w:lastRenderedPageBreak/>
        <w:t>Fuente:</w:t>
      </w:r>
      <w:r w:rsidRPr="00B600DD">
        <w:rPr>
          <w:rFonts w:ascii="Arial" w:hAnsi="Arial" w:cs="Arial"/>
          <w:b/>
          <w:sz w:val="16"/>
          <w:szCs w:val="16"/>
          <w:lang w:val="es-MX" w:eastAsia="es-MX"/>
        </w:rPr>
        <w:tab/>
      </w:r>
      <w:r w:rsidRPr="00B600DD">
        <w:rPr>
          <w:rFonts w:ascii="Arial" w:hAnsi="Arial" w:cs="Arial"/>
          <w:sz w:val="16"/>
          <w:szCs w:val="16"/>
          <w:lang w:val="es-MX" w:eastAsia="es-MX"/>
        </w:rPr>
        <w:t>CNMC, Análisis geográfico de los servicios de banda ancha y despliegue de NGA en España (diciembre 2019 y diciembre 2014)</w:t>
      </w:r>
    </w:p>
    <w:p w14:paraId="417DBD57" w14:textId="77777777" w:rsidR="00B600DD" w:rsidRPr="00B600DD" w:rsidRDefault="00B600DD" w:rsidP="00B600DD">
      <w:pPr>
        <w:spacing w:after="0" w:line="240" w:lineRule="auto"/>
        <w:jc w:val="both"/>
        <w:rPr>
          <w:rFonts w:ascii="Arial" w:hAnsi="Arial" w:cs="Arial"/>
          <w:sz w:val="16"/>
          <w:szCs w:val="16"/>
          <w:lang w:val="es-MX" w:eastAsia="es-MX"/>
        </w:rPr>
      </w:pPr>
      <w:r w:rsidRPr="00B600DD">
        <w:rPr>
          <w:rFonts w:ascii="Arial" w:hAnsi="Arial" w:cs="Arial"/>
          <w:b/>
          <w:sz w:val="16"/>
          <w:szCs w:val="16"/>
          <w:lang w:val="es-MX" w:eastAsia="es-MX"/>
        </w:rPr>
        <w:t>Nota:</w:t>
      </w:r>
      <w:r w:rsidRPr="00B600DD">
        <w:rPr>
          <w:rFonts w:ascii="Arial" w:hAnsi="Arial" w:cs="Arial"/>
          <w:sz w:val="16"/>
          <w:szCs w:val="16"/>
          <w:lang w:val="es-MX" w:eastAsia="es-MX"/>
        </w:rPr>
        <w:tab/>
        <w:t>En rojo las centrales de cabecera FTTH. En azul las centrales con despliegue FTTH.</w:t>
      </w:r>
    </w:p>
    <w:p w14:paraId="0FD59643" w14:textId="77777777" w:rsidR="00B600DD" w:rsidRPr="00B600DD" w:rsidRDefault="00B600DD" w:rsidP="00B600DD">
      <w:pPr>
        <w:spacing w:after="0" w:line="240" w:lineRule="auto"/>
        <w:jc w:val="both"/>
        <w:rPr>
          <w:rFonts w:ascii="Arial" w:hAnsi="Arial" w:cs="Arial"/>
          <w:lang w:val="es-MX" w:eastAsia="es-MX"/>
        </w:rPr>
      </w:pPr>
      <w:r w:rsidRPr="00B600DD">
        <w:rPr>
          <w:rFonts w:ascii="Arial" w:hAnsi="Arial" w:cs="Arial"/>
          <w:lang w:val="es-MX" w:eastAsia="es-MX"/>
        </w:rPr>
        <w:t xml:space="preserve"> </w:t>
      </w:r>
    </w:p>
    <w:p w14:paraId="0FF25226" w14:textId="77777777" w:rsidR="00B600DD" w:rsidRPr="00B600DD" w:rsidRDefault="00B600DD" w:rsidP="00B600DD">
      <w:pPr>
        <w:spacing w:after="0"/>
        <w:jc w:val="both"/>
        <w:rPr>
          <w:rFonts w:ascii="Arial" w:hAnsi="Arial" w:cs="Arial"/>
          <w:b/>
          <w:lang w:val="es-MX" w:eastAsia="es-MX"/>
        </w:rPr>
      </w:pPr>
      <w:r w:rsidRPr="00B600DD">
        <w:rPr>
          <w:rFonts w:ascii="Arial" w:hAnsi="Arial" w:cs="Arial"/>
          <w:b/>
          <w:lang w:val="es-MX" w:eastAsia="es-MX"/>
        </w:rPr>
        <w:t>Italia</w:t>
      </w:r>
    </w:p>
    <w:p w14:paraId="5E462C0F" w14:textId="77777777" w:rsidR="00B600DD" w:rsidRPr="00B600DD" w:rsidRDefault="00B600DD" w:rsidP="00B600DD">
      <w:pPr>
        <w:spacing w:after="0"/>
        <w:jc w:val="both"/>
        <w:rPr>
          <w:rFonts w:ascii="Arial" w:hAnsi="Arial" w:cs="Arial"/>
          <w:b/>
          <w:lang w:val="es-MX" w:eastAsia="es-MX"/>
        </w:rPr>
      </w:pPr>
    </w:p>
    <w:p w14:paraId="45151464"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La segmentación geográfica en Italia se introdujo en última la revisión de los mercados 3a (donde se incluiría LLU) y 3b (donde se inc</w:t>
      </w:r>
      <w:r w:rsidRPr="00B600DD">
        <w:rPr>
          <w:rFonts w:ascii="Arial" w:hAnsi="Arial" w:cs="Arial"/>
          <w:sz w:val="20"/>
          <w:szCs w:val="20"/>
          <w:lang w:val="es-MX" w:eastAsia="es-MX"/>
        </w:rPr>
        <w:t>luiría el SAIB) en julio 2019</w:t>
      </w:r>
      <w:r w:rsidRPr="00B600DD">
        <w:rPr>
          <w:rFonts w:ascii="Arial" w:hAnsi="Arial" w:cs="Arial"/>
          <w:sz w:val="20"/>
          <w:szCs w:val="20"/>
          <w:vertAlign w:val="superscript"/>
          <w:lang w:val="es-MX" w:eastAsia="es-MX"/>
        </w:rPr>
        <w:footnoteReference w:id="26"/>
      </w:r>
      <w:r w:rsidRPr="00B600DD">
        <w:rPr>
          <w:rFonts w:ascii="Arial" w:hAnsi="Arial" w:cs="Arial"/>
          <w:lang w:val="es-MX" w:eastAsia="es-MX"/>
        </w:rPr>
        <w:t>. En esta revisión el regulador Agcom analiza ambos mercados, concluyendo que:</w:t>
      </w:r>
    </w:p>
    <w:p w14:paraId="54BC0B1B" w14:textId="77777777" w:rsidR="00B600DD" w:rsidRPr="00B600DD" w:rsidRDefault="00B600DD" w:rsidP="00B600DD">
      <w:pPr>
        <w:spacing w:after="0"/>
        <w:jc w:val="both"/>
        <w:rPr>
          <w:rFonts w:ascii="Arial" w:hAnsi="Arial" w:cs="Arial"/>
          <w:lang w:val="es-MX" w:eastAsia="es-MX"/>
        </w:rPr>
      </w:pPr>
    </w:p>
    <w:p w14:paraId="4D02EF49" w14:textId="77777777" w:rsidR="00B600DD" w:rsidRPr="00B600DD" w:rsidRDefault="00B600DD" w:rsidP="00B600DD">
      <w:pPr>
        <w:numPr>
          <w:ilvl w:val="0"/>
          <w:numId w:val="27"/>
        </w:numPr>
        <w:spacing w:after="0" w:line="240" w:lineRule="auto"/>
        <w:contextualSpacing/>
        <w:jc w:val="both"/>
        <w:rPr>
          <w:rFonts w:ascii="Arial" w:hAnsi="Arial" w:cs="Arial"/>
          <w:lang w:val="es-MX"/>
        </w:rPr>
      </w:pPr>
      <w:r w:rsidRPr="00B600DD">
        <w:rPr>
          <w:rFonts w:ascii="Arial" w:hAnsi="Arial" w:cs="Arial"/>
          <w:lang w:val="es-MX"/>
        </w:rPr>
        <w:t xml:space="preserve">Para ambos mercados, se definen dos mercados geográficos separados: el municipio de Milán y el resto del país. </w:t>
      </w:r>
    </w:p>
    <w:p w14:paraId="04A2B39E" w14:textId="77777777" w:rsidR="00B600DD" w:rsidRPr="00B600DD" w:rsidRDefault="00B600DD" w:rsidP="00B600DD">
      <w:pPr>
        <w:spacing w:after="0"/>
        <w:ind w:left="720"/>
        <w:contextualSpacing/>
        <w:jc w:val="both"/>
        <w:rPr>
          <w:rFonts w:ascii="Arial" w:hAnsi="Arial" w:cs="Arial"/>
          <w:lang w:val="es-MX"/>
        </w:rPr>
      </w:pPr>
    </w:p>
    <w:p w14:paraId="70D15DAE" w14:textId="77777777" w:rsidR="00B600DD" w:rsidRPr="00B600DD" w:rsidRDefault="00B600DD" w:rsidP="00B600DD">
      <w:pPr>
        <w:numPr>
          <w:ilvl w:val="0"/>
          <w:numId w:val="27"/>
        </w:numPr>
        <w:spacing w:after="0" w:line="240" w:lineRule="auto"/>
        <w:contextualSpacing/>
        <w:jc w:val="both"/>
        <w:rPr>
          <w:rFonts w:ascii="Arial" w:hAnsi="Arial" w:cs="Arial"/>
          <w:lang w:val="es-MX"/>
        </w:rPr>
      </w:pPr>
      <w:r w:rsidRPr="00B600DD">
        <w:rPr>
          <w:rFonts w:ascii="Arial" w:hAnsi="Arial" w:cs="Arial"/>
          <w:lang w:val="es-MX"/>
        </w:rPr>
        <w:t>Además, dentro de esta última zona geográfica menos competitiva (“resto del país”), se definen unos remedios geográficos distintos, separando entre municipios con una competencia más desarrollada del resto de municipios. Únicamente en las zonas donde se encuentra un mayor nivel de competencia, se establecen remedios más laxos, entre otros, en el control de precios mayoristas.</w:t>
      </w:r>
    </w:p>
    <w:p w14:paraId="2B03DFA3" w14:textId="77777777" w:rsidR="00B600DD" w:rsidRPr="00B600DD" w:rsidRDefault="00B600DD" w:rsidP="00B600DD">
      <w:pPr>
        <w:spacing w:after="0"/>
        <w:ind w:left="720"/>
        <w:contextualSpacing/>
        <w:jc w:val="both"/>
        <w:rPr>
          <w:rFonts w:ascii="Arial" w:hAnsi="Arial" w:cs="Arial"/>
          <w:lang w:val="es-MX"/>
        </w:rPr>
      </w:pPr>
    </w:p>
    <w:p w14:paraId="4EA73AC5" w14:textId="4B1B201F" w:rsidR="00B600DD" w:rsidRPr="00B600DD" w:rsidRDefault="00B600DD" w:rsidP="00B600DD">
      <w:pPr>
        <w:spacing w:after="0"/>
        <w:jc w:val="both"/>
        <w:rPr>
          <w:rFonts w:ascii="Arial" w:hAnsi="Arial" w:cs="Arial"/>
          <w:lang w:val="es-MX" w:eastAsia="es-MX"/>
        </w:rPr>
      </w:pPr>
      <w:r w:rsidRPr="00F67245">
        <w:rPr>
          <w:rFonts w:ascii="Arial" w:hAnsi="Arial" w:cs="Arial"/>
          <w:lang w:val="es-MX" w:eastAsia="es-MX"/>
        </w:rPr>
        <w:t xml:space="preserve">En el análisis de 2019, la unidad geográfica escogida es el municipio para ambos mercados. Aun </w:t>
      </w:r>
      <w:r w:rsidR="00E27FDA" w:rsidRPr="00F67245">
        <w:rPr>
          <w:rFonts w:ascii="Arial" w:hAnsi="Arial" w:cs="Arial"/>
          <w:lang w:val="es-MX" w:eastAsia="es-MX"/>
        </w:rPr>
        <w:t>así,</w:t>
      </w:r>
      <w:r w:rsidRPr="00F67245">
        <w:rPr>
          <w:rFonts w:ascii="Arial" w:hAnsi="Arial" w:cs="Arial"/>
          <w:lang w:val="es-MX" w:eastAsia="es-MX"/>
        </w:rPr>
        <w:t xml:space="preserve"> el análisis previo está hecho a nivel de centrales locales, que luego se localizan en municipios. Hay alrededor de 8000 municipios</w:t>
      </w:r>
      <w:r w:rsidRPr="00F67245">
        <w:rPr>
          <w:rFonts w:ascii="Arial" w:hAnsi="Arial" w:cs="Arial"/>
          <w:sz w:val="20"/>
          <w:szCs w:val="20"/>
          <w:vertAlign w:val="superscript"/>
          <w:lang w:val="es-MX" w:eastAsia="es-MX"/>
        </w:rPr>
        <w:footnoteReference w:id="27"/>
      </w:r>
      <w:r w:rsidRPr="00F67245">
        <w:rPr>
          <w:rFonts w:ascii="Arial" w:hAnsi="Arial" w:cs="Arial"/>
          <w:lang w:val="es-MX" w:eastAsia="es-MX"/>
        </w:rPr>
        <w:t xml:space="preserve"> en Italia.</w:t>
      </w:r>
    </w:p>
    <w:p w14:paraId="00866725" w14:textId="77777777" w:rsidR="00B600DD" w:rsidRPr="00B600DD" w:rsidRDefault="00B600DD" w:rsidP="00B600DD">
      <w:pPr>
        <w:spacing w:after="0"/>
        <w:jc w:val="both"/>
        <w:rPr>
          <w:rFonts w:ascii="Arial" w:hAnsi="Arial" w:cs="Arial"/>
          <w:lang w:val="es-MX" w:eastAsia="es-MX"/>
        </w:rPr>
      </w:pPr>
    </w:p>
    <w:p w14:paraId="3F2FA62C"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Hay dos motivos principales por los que el regulador (Agcom) escoge el municipio como unidad geográfica:</w:t>
      </w:r>
    </w:p>
    <w:p w14:paraId="2206B483" w14:textId="77777777" w:rsidR="00B600DD" w:rsidRPr="00B600DD" w:rsidRDefault="00B600DD" w:rsidP="00B600DD">
      <w:pPr>
        <w:spacing w:after="0"/>
        <w:jc w:val="both"/>
        <w:rPr>
          <w:rFonts w:ascii="Arial" w:hAnsi="Arial" w:cs="Arial"/>
          <w:lang w:val="es-MX" w:eastAsia="es-MX"/>
        </w:rPr>
      </w:pPr>
    </w:p>
    <w:p w14:paraId="7647D250" w14:textId="77777777" w:rsidR="00B600DD" w:rsidRPr="00B600DD" w:rsidRDefault="00B600DD" w:rsidP="00B600DD">
      <w:pPr>
        <w:numPr>
          <w:ilvl w:val="0"/>
          <w:numId w:val="28"/>
        </w:numPr>
        <w:spacing w:after="0" w:line="240" w:lineRule="auto"/>
        <w:contextualSpacing/>
        <w:jc w:val="both"/>
        <w:rPr>
          <w:rFonts w:ascii="Arial" w:hAnsi="Arial" w:cs="Arial"/>
          <w:lang w:val="es-MX"/>
        </w:rPr>
      </w:pPr>
      <w:r w:rsidRPr="00B600DD">
        <w:rPr>
          <w:rFonts w:ascii="Arial" w:hAnsi="Arial" w:cs="Arial"/>
          <w:lang w:val="es-MX"/>
        </w:rPr>
        <w:t xml:space="preserve">Primero, porque simplifica la aplicación de la regulación al implicar fronteras más claras que con centrales locales, y </w:t>
      </w:r>
    </w:p>
    <w:p w14:paraId="3C5C4744" w14:textId="77777777" w:rsidR="00B600DD" w:rsidRPr="00B600DD" w:rsidRDefault="00B600DD" w:rsidP="00B600DD">
      <w:pPr>
        <w:spacing w:after="0"/>
        <w:ind w:left="720"/>
        <w:contextualSpacing/>
        <w:jc w:val="both"/>
        <w:rPr>
          <w:rFonts w:ascii="Arial" w:hAnsi="Arial" w:cs="Arial"/>
          <w:lang w:val="es-MX"/>
        </w:rPr>
      </w:pPr>
    </w:p>
    <w:p w14:paraId="3B26CD73" w14:textId="77777777" w:rsidR="00B600DD" w:rsidRPr="00B600DD" w:rsidRDefault="00B600DD" w:rsidP="00B600DD">
      <w:pPr>
        <w:numPr>
          <w:ilvl w:val="0"/>
          <w:numId w:val="28"/>
        </w:numPr>
        <w:spacing w:after="0" w:line="240" w:lineRule="auto"/>
        <w:contextualSpacing/>
        <w:jc w:val="both"/>
        <w:rPr>
          <w:rFonts w:ascii="Arial" w:hAnsi="Arial" w:cs="Arial"/>
          <w:lang w:val="es-MX"/>
        </w:rPr>
      </w:pPr>
      <w:r w:rsidRPr="00B600DD">
        <w:rPr>
          <w:rFonts w:ascii="Arial" w:hAnsi="Arial" w:cs="Arial"/>
          <w:lang w:val="es-MX"/>
        </w:rPr>
        <w:t xml:space="preserve">Segundo, porque refleja mejor que la central local la unidad geográfica que los operadores utilizan como base de sus planes de inversión. </w:t>
      </w:r>
    </w:p>
    <w:p w14:paraId="5AA49522" w14:textId="77777777" w:rsidR="00B600DD" w:rsidRPr="00B600DD" w:rsidRDefault="00B600DD" w:rsidP="00B600DD">
      <w:pPr>
        <w:spacing w:after="0"/>
        <w:ind w:left="720"/>
        <w:contextualSpacing/>
        <w:jc w:val="both"/>
        <w:rPr>
          <w:rFonts w:ascii="Arial" w:hAnsi="Arial" w:cs="Arial"/>
          <w:lang w:val="es-MX"/>
        </w:rPr>
      </w:pPr>
    </w:p>
    <w:p w14:paraId="76FA29D1"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Agcom evalúa la dimensión geográfica del mercado llevando a cabo un análisis preliminar en todo territorio (basado en centrales locales de TIM -operador incumbente) en el que encuentra que las condiciones de competencia no son homogéneas a nivel nacional. Tras este análisis,  Agcom realiza un segundo análisis geográfico más detallado donde detecta que Milán tiene unas características competitivas específicas y diferentes del rest</w:t>
      </w:r>
      <w:r w:rsidRPr="00B600DD">
        <w:rPr>
          <w:rFonts w:ascii="Arial" w:hAnsi="Arial" w:cs="Arial"/>
          <w:sz w:val="20"/>
          <w:szCs w:val="20"/>
          <w:lang w:val="es-MX" w:eastAsia="es-MX"/>
        </w:rPr>
        <w:t>o del país</w:t>
      </w:r>
      <w:r w:rsidRPr="00B600DD">
        <w:rPr>
          <w:rFonts w:ascii="Arial" w:hAnsi="Arial" w:cs="Arial"/>
          <w:sz w:val="20"/>
          <w:szCs w:val="20"/>
          <w:vertAlign w:val="superscript"/>
          <w:lang w:val="es-MX" w:eastAsia="es-MX"/>
        </w:rPr>
        <w:footnoteReference w:id="28"/>
      </w:r>
      <w:r w:rsidRPr="00B600DD">
        <w:rPr>
          <w:rFonts w:ascii="Arial" w:hAnsi="Arial" w:cs="Arial"/>
          <w:lang w:val="es-MX" w:eastAsia="es-MX"/>
        </w:rPr>
        <w:t>.</w:t>
      </w:r>
    </w:p>
    <w:p w14:paraId="7623296A" w14:textId="77777777" w:rsidR="00B600DD" w:rsidRPr="00B600DD" w:rsidRDefault="00B600DD" w:rsidP="00B600DD">
      <w:pPr>
        <w:spacing w:after="0"/>
        <w:jc w:val="both"/>
        <w:rPr>
          <w:rFonts w:ascii="Arial" w:hAnsi="Arial" w:cs="Arial"/>
          <w:lang w:val="es-MX" w:eastAsia="es-MX"/>
        </w:rPr>
      </w:pPr>
    </w:p>
    <w:p w14:paraId="3DF8B654"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Lo anterior conduce a Agcom a definir dos mercados geográficos separados, para los mercados 3ª y 3b, que resultan también en remedios subnacionales. En concreto, establece que:</w:t>
      </w:r>
    </w:p>
    <w:p w14:paraId="097780DF" w14:textId="77777777" w:rsidR="00B600DD" w:rsidRPr="00B600DD" w:rsidRDefault="00B600DD" w:rsidP="00B600DD">
      <w:pPr>
        <w:spacing w:after="0"/>
        <w:jc w:val="both"/>
        <w:rPr>
          <w:rFonts w:ascii="Arial" w:hAnsi="Arial" w:cs="Arial"/>
          <w:lang w:val="es-MX" w:eastAsia="es-MX"/>
        </w:rPr>
      </w:pPr>
    </w:p>
    <w:p w14:paraId="4897A202" w14:textId="77777777" w:rsidR="00B600DD" w:rsidRPr="00F67245" w:rsidRDefault="00B600DD" w:rsidP="00B600DD">
      <w:pPr>
        <w:numPr>
          <w:ilvl w:val="0"/>
          <w:numId w:val="29"/>
        </w:numPr>
        <w:spacing w:after="0" w:line="240" w:lineRule="auto"/>
        <w:contextualSpacing/>
        <w:jc w:val="both"/>
        <w:rPr>
          <w:rFonts w:ascii="Arial" w:hAnsi="Arial" w:cs="Arial"/>
          <w:lang w:val="es-MX"/>
        </w:rPr>
      </w:pPr>
      <w:r w:rsidRPr="00F67245">
        <w:rPr>
          <w:rFonts w:ascii="Arial" w:hAnsi="Arial" w:cs="Arial"/>
          <w:lang w:val="es-MX"/>
        </w:rPr>
        <w:lastRenderedPageBreak/>
        <w:t>El municipio de Milán</w:t>
      </w:r>
      <w:r w:rsidRPr="00F67245">
        <w:rPr>
          <w:rFonts w:ascii="Arial" w:hAnsi="Arial" w:cs="Arial"/>
          <w:vertAlign w:val="superscript"/>
          <w:lang w:val="es-MX"/>
        </w:rPr>
        <w:footnoteReference w:id="29"/>
      </w:r>
      <w:r w:rsidRPr="00F67245">
        <w:rPr>
          <w:rFonts w:ascii="Arial" w:hAnsi="Arial" w:cs="Arial"/>
          <w:lang w:val="es-MX"/>
        </w:rPr>
        <w:t xml:space="preserve"> se define como la “área competitiva”, encontrando un mayor nivel de competencia debido a la presencia de infraestructuras alternativas a TIM. </w:t>
      </w:r>
    </w:p>
    <w:p w14:paraId="7C2F0D00" w14:textId="77777777" w:rsidR="00B600DD" w:rsidRPr="00B600DD" w:rsidRDefault="00B600DD" w:rsidP="00B600DD">
      <w:pPr>
        <w:spacing w:after="0"/>
        <w:ind w:left="720"/>
        <w:contextualSpacing/>
        <w:jc w:val="both"/>
        <w:rPr>
          <w:rFonts w:ascii="Arial" w:hAnsi="Arial" w:cs="Arial"/>
          <w:lang w:val="es-MX"/>
        </w:rPr>
      </w:pPr>
    </w:p>
    <w:p w14:paraId="3412B6E1" w14:textId="77777777" w:rsidR="00B600DD" w:rsidRPr="00B600DD" w:rsidRDefault="00B600DD" w:rsidP="00B600DD">
      <w:pPr>
        <w:numPr>
          <w:ilvl w:val="0"/>
          <w:numId w:val="29"/>
        </w:numPr>
        <w:spacing w:after="0" w:line="240" w:lineRule="auto"/>
        <w:contextualSpacing/>
        <w:jc w:val="both"/>
        <w:rPr>
          <w:rFonts w:ascii="Arial" w:hAnsi="Arial" w:cs="Arial"/>
          <w:lang w:val="es-MX"/>
        </w:rPr>
      </w:pPr>
      <w:r w:rsidRPr="00B600DD">
        <w:rPr>
          <w:rFonts w:ascii="Arial" w:hAnsi="Arial" w:cs="Arial"/>
          <w:lang w:val="es-MX"/>
        </w:rPr>
        <w:t>En esta área se levantan todas obligaciones de acceso al incumbente (TIM);</w:t>
      </w:r>
    </w:p>
    <w:p w14:paraId="4CFEB592" w14:textId="77777777" w:rsidR="00B600DD" w:rsidRPr="00B600DD" w:rsidRDefault="00B600DD" w:rsidP="00B600DD">
      <w:pPr>
        <w:spacing w:after="0"/>
        <w:ind w:left="720"/>
        <w:contextualSpacing/>
        <w:jc w:val="both"/>
        <w:rPr>
          <w:rFonts w:ascii="Arial" w:hAnsi="Arial" w:cs="Arial"/>
          <w:lang w:val="es-MX"/>
        </w:rPr>
      </w:pPr>
    </w:p>
    <w:p w14:paraId="62888817" w14:textId="77777777" w:rsidR="00B600DD" w:rsidRPr="00B600DD" w:rsidRDefault="00B600DD" w:rsidP="00B600DD">
      <w:pPr>
        <w:numPr>
          <w:ilvl w:val="0"/>
          <w:numId w:val="29"/>
        </w:numPr>
        <w:spacing w:after="0" w:line="240" w:lineRule="auto"/>
        <w:contextualSpacing/>
        <w:jc w:val="both"/>
        <w:rPr>
          <w:rFonts w:ascii="Arial" w:hAnsi="Arial" w:cs="Arial"/>
          <w:lang w:val="es-MX"/>
        </w:rPr>
      </w:pPr>
      <w:r w:rsidRPr="00B600DD">
        <w:rPr>
          <w:rFonts w:ascii="Arial" w:hAnsi="Arial" w:cs="Arial"/>
          <w:lang w:val="es-MX"/>
        </w:rPr>
        <w:t>El resto del país se define como área menos competitiva (comparada con Milán).</w:t>
      </w:r>
    </w:p>
    <w:p w14:paraId="2AD9C355" w14:textId="77777777" w:rsidR="00B600DD" w:rsidRPr="00B600DD" w:rsidRDefault="00B600DD" w:rsidP="00B600DD">
      <w:pPr>
        <w:spacing w:after="0"/>
        <w:ind w:left="720"/>
        <w:contextualSpacing/>
        <w:jc w:val="both"/>
        <w:rPr>
          <w:rFonts w:ascii="Arial" w:hAnsi="Arial" w:cs="Arial"/>
          <w:lang w:val="es-MX"/>
        </w:rPr>
      </w:pPr>
    </w:p>
    <w:p w14:paraId="7F2759B5"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Además, dentro de esta última zona geográfica (“resto del país”), y solo en relación con los productos VULA del mercado 3a y los productos del mercado 3b, se definen remedios geográficos distintos, separando entre dos áreas:</w:t>
      </w:r>
    </w:p>
    <w:p w14:paraId="23A9800C" w14:textId="77777777" w:rsidR="00B600DD" w:rsidRPr="00B600DD" w:rsidRDefault="00B600DD" w:rsidP="00B600DD">
      <w:pPr>
        <w:spacing w:after="0"/>
        <w:jc w:val="both"/>
        <w:rPr>
          <w:rFonts w:ascii="Arial" w:hAnsi="Arial" w:cs="Arial"/>
          <w:lang w:val="es-MX" w:eastAsia="es-MX"/>
        </w:rPr>
      </w:pPr>
    </w:p>
    <w:p w14:paraId="38A2199C" w14:textId="77777777" w:rsidR="00B600DD" w:rsidRPr="00B600DD" w:rsidRDefault="00B600DD" w:rsidP="00B600DD">
      <w:pPr>
        <w:numPr>
          <w:ilvl w:val="0"/>
          <w:numId w:val="30"/>
        </w:numPr>
        <w:spacing w:after="0" w:line="240" w:lineRule="auto"/>
        <w:contextualSpacing/>
        <w:jc w:val="both"/>
        <w:rPr>
          <w:rFonts w:ascii="Arial" w:hAnsi="Arial" w:cs="Arial"/>
          <w:lang w:val="es-MX"/>
        </w:rPr>
      </w:pPr>
      <w:r w:rsidRPr="00B600DD">
        <w:rPr>
          <w:rFonts w:ascii="Arial" w:hAnsi="Arial" w:cs="Arial"/>
          <w:lang w:val="es-MX"/>
        </w:rPr>
        <w:t>“Comuni contendibili”, áreas que presentan condiciones de competencia más desarrollada. En concreto para estas zonas se establecen remedios más laxos, entre otros, en el control de precios mayoristas</w:t>
      </w:r>
      <w:r w:rsidRPr="00B600DD">
        <w:rPr>
          <w:rFonts w:ascii="Arial" w:hAnsi="Arial" w:cs="Arial"/>
          <w:vertAlign w:val="superscript"/>
          <w:lang w:val="es-MX"/>
        </w:rPr>
        <w:footnoteReference w:id="30"/>
      </w:r>
      <w:r w:rsidRPr="00B600DD">
        <w:rPr>
          <w:rFonts w:ascii="Arial" w:hAnsi="Arial" w:cs="Arial"/>
          <w:lang w:val="es-MX"/>
        </w:rPr>
        <w:t>;</w:t>
      </w:r>
    </w:p>
    <w:p w14:paraId="3DBD59ED" w14:textId="77777777" w:rsidR="00B600DD" w:rsidRPr="00B600DD" w:rsidRDefault="00B600DD" w:rsidP="00B600DD">
      <w:pPr>
        <w:spacing w:after="0"/>
        <w:ind w:left="720"/>
        <w:contextualSpacing/>
        <w:jc w:val="both"/>
        <w:rPr>
          <w:rFonts w:ascii="Arial" w:hAnsi="Arial" w:cs="Arial"/>
          <w:lang w:val="es-MX"/>
        </w:rPr>
      </w:pPr>
    </w:p>
    <w:p w14:paraId="242FB44A" w14:textId="77777777" w:rsidR="00B600DD" w:rsidRPr="00B600DD" w:rsidRDefault="00B600DD" w:rsidP="00B600DD">
      <w:pPr>
        <w:numPr>
          <w:ilvl w:val="0"/>
          <w:numId w:val="30"/>
        </w:numPr>
        <w:spacing w:after="0" w:line="240" w:lineRule="auto"/>
        <w:contextualSpacing/>
        <w:jc w:val="both"/>
        <w:rPr>
          <w:rFonts w:ascii="Arial" w:hAnsi="Arial" w:cs="Arial"/>
          <w:lang w:val="es-MX"/>
        </w:rPr>
      </w:pPr>
      <w:r w:rsidRPr="00B600DD">
        <w:rPr>
          <w:rFonts w:ascii="Arial" w:hAnsi="Arial" w:cs="Arial"/>
          <w:lang w:val="es-MX"/>
        </w:rPr>
        <w:t>Resto de municipios, donde la regulación vigente sigue aplicando.</w:t>
      </w:r>
    </w:p>
    <w:p w14:paraId="55243088" w14:textId="77777777" w:rsidR="00B600DD" w:rsidRPr="00B600DD" w:rsidRDefault="00B600DD" w:rsidP="00B600DD">
      <w:pPr>
        <w:spacing w:after="0"/>
        <w:ind w:left="720"/>
        <w:contextualSpacing/>
        <w:jc w:val="both"/>
        <w:rPr>
          <w:rFonts w:ascii="Arial" w:hAnsi="Arial" w:cs="Arial"/>
          <w:lang w:val="es-MX"/>
        </w:rPr>
      </w:pPr>
    </w:p>
    <w:p w14:paraId="6866AD57"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En Milán se encuentran claras condiciones competitivas que justifican la creación de un mercado geográfico separado para esta zona. En el “resto del país”, Agcom aboga por remedios geográficos, argumentando que la definición de mercados geográficos no sería posible en estas áreas por la falta de estabilidad en las fronteras de los mismos.</w:t>
      </w:r>
    </w:p>
    <w:p w14:paraId="4614DDF0" w14:textId="77777777" w:rsidR="00B600DD" w:rsidRPr="00B600DD" w:rsidRDefault="00B600DD" w:rsidP="00B600DD">
      <w:pPr>
        <w:spacing w:after="0"/>
        <w:jc w:val="both"/>
        <w:rPr>
          <w:rFonts w:ascii="Arial" w:hAnsi="Arial" w:cs="Arial"/>
          <w:lang w:val="es-MX" w:eastAsia="es-MX"/>
        </w:rPr>
      </w:pPr>
    </w:p>
    <w:p w14:paraId="29931947"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A continuación, se detallan los criterios empleados para delimitar las distintas zonas.</w:t>
      </w:r>
    </w:p>
    <w:p w14:paraId="0B3D9183" w14:textId="77777777" w:rsidR="00B600DD" w:rsidRPr="00B600DD" w:rsidRDefault="00B600DD" w:rsidP="00B600DD">
      <w:pPr>
        <w:spacing w:after="0"/>
        <w:jc w:val="both"/>
        <w:rPr>
          <w:rFonts w:ascii="Arial" w:hAnsi="Arial" w:cs="Arial"/>
          <w:lang w:val="es-MX" w:eastAsia="es-MX"/>
        </w:rPr>
      </w:pPr>
    </w:p>
    <w:p w14:paraId="54040476"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A la hora de establecer mercados geográficos distintos, Agcom estudia el caso de Milán, observando las siguientes características competitivas en conjunto:</w:t>
      </w:r>
    </w:p>
    <w:p w14:paraId="392C13B6" w14:textId="77777777" w:rsidR="00B600DD" w:rsidRPr="00B600DD" w:rsidRDefault="00B600DD" w:rsidP="00B600DD">
      <w:pPr>
        <w:spacing w:after="0"/>
        <w:jc w:val="both"/>
        <w:rPr>
          <w:rFonts w:ascii="Arial" w:hAnsi="Arial" w:cs="Arial"/>
          <w:lang w:val="es-MX" w:eastAsia="es-MX"/>
        </w:rPr>
      </w:pPr>
    </w:p>
    <w:p w14:paraId="6AFCF5B8" w14:textId="3AFE84D1" w:rsidR="00B600DD" w:rsidRPr="00F67245" w:rsidRDefault="00B600DD" w:rsidP="00B600DD">
      <w:pPr>
        <w:numPr>
          <w:ilvl w:val="0"/>
          <w:numId w:val="31"/>
        </w:numPr>
        <w:spacing w:after="0" w:line="240" w:lineRule="auto"/>
        <w:contextualSpacing/>
        <w:jc w:val="both"/>
        <w:rPr>
          <w:rFonts w:ascii="Arial" w:hAnsi="Arial" w:cs="Arial"/>
          <w:lang w:val="es-MX"/>
        </w:rPr>
      </w:pPr>
      <w:r w:rsidRPr="00F67245">
        <w:rPr>
          <w:rFonts w:ascii="Arial" w:hAnsi="Arial" w:cs="Arial"/>
          <w:lang w:val="es-MX"/>
        </w:rPr>
        <w:t xml:space="preserve">Hay un total de </w:t>
      </w:r>
      <w:r w:rsidR="004B6C3F" w:rsidRPr="00F67245">
        <w:rPr>
          <w:rFonts w:ascii="Arial" w:hAnsi="Arial" w:cs="Arial"/>
          <w:lang w:val="es-MX"/>
        </w:rPr>
        <w:t>tres</w:t>
      </w:r>
      <w:r w:rsidRPr="00F67245">
        <w:rPr>
          <w:rFonts w:ascii="Arial" w:hAnsi="Arial" w:cs="Arial"/>
          <w:lang w:val="es-MX"/>
        </w:rPr>
        <w:t xml:space="preserve"> competidores operando y con su propria red en el municipio (Tim, OpenFiber</w:t>
      </w:r>
      <w:r w:rsidRPr="00F67245">
        <w:rPr>
          <w:rFonts w:ascii="Arial" w:hAnsi="Arial" w:cs="Arial"/>
          <w:vertAlign w:val="superscript"/>
          <w:lang w:val="es-MX"/>
        </w:rPr>
        <w:footnoteReference w:id="31"/>
      </w:r>
      <w:r w:rsidRPr="00F67245">
        <w:rPr>
          <w:rFonts w:ascii="Arial" w:hAnsi="Arial" w:cs="Arial"/>
          <w:lang w:val="es-MX"/>
        </w:rPr>
        <w:t>, Fastweb)</w:t>
      </w:r>
    </w:p>
    <w:p w14:paraId="056B946D" w14:textId="77777777" w:rsidR="00B600DD" w:rsidRPr="00B600DD" w:rsidRDefault="00B600DD" w:rsidP="00B600DD">
      <w:pPr>
        <w:spacing w:after="0"/>
        <w:ind w:left="720"/>
        <w:contextualSpacing/>
        <w:jc w:val="both"/>
        <w:rPr>
          <w:rFonts w:ascii="Arial" w:hAnsi="Arial" w:cs="Arial"/>
          <w:lang w:val="es-MX"/>
        </w:rPr>
      </w:pPr>
    </w:p>
    <w:p w14:paraId="0B29C163" w14:textId="77777777" w:rsidR="00B600DD" w:rsidRPr="00B600DD" w:rsidRDefault="00B600DD" w:rsidP="00B600DD">
      <w:pPr>
        <w:numPr>
          <w:ilvl w:val="0"/>
          <w:numId w:val="31"/>
        </w:numPr>
        <w:spacing w:after="0" w:line="240" w:lineRule="auto"/>
        <w:contextualSpacing/>
        <w:jc w:val="both"/>
        <w:rPr>
          <w:rFonts w:ascii="Arial" w:hAnsi="Arial" w:cs="Arial"/>
          <w:lang w:val="es-MX"/>
        </w:rPr>
      </w:pPr>
      <w:r w:rsidRPr="00B600DD">
        <w:rPr>
          <w:rFonts w:ascii="Arial" w:hAnsi="Arial" w:cs="Arial"/>
          <w:lang w:val="es-MX"/>
        </w:rPr>
        <w:t>De estas tres redes FTTH, dos tienen cobertura de hasta 90% de los hogares individualmente (TIM y OpenFiber) y existe una tercera red con un 40% cobertura (Fastweb).</w:t>
      </w:r>
    </w:p>
    <w:p w14:paraId="5BECB7BF" w14:textId="77777777" w:rsidR="00B600DD" w:rsidRPr="00B600DD" w:rsidRDefault="00B600DD" w:rsidP="00B600DD">
      <w:pPr>
        <w:spacing w:after="0"/>
        <w:ind w:left="720"/>
        <w:contextualSpacing/>
        <w:jc w:val="both"/>
        <w:rPr>
          <w:rFonts w:ascii="Arial" w:hAnsi="Arial" w:cs="Arial"/>
          <w:lang w:val="es-MX"/>
        </w:rPr>
      </w:pPr>
    </w:p>
    <w:p w14:paraId="235210DA" w14:textId="77777777" w:rsidR="00B600DD" w:rsidRPr="00B600DD" w:rsidRDefault="00B600DD" w:rsidP="00B600DD">
      <w:pPr>
        <w:numPr>
          <w:ilvl w:val="0"/>
          <w:numId w:val="31"/>
        </w:numPr>
        <w:spacing w:after="0" w:line="240" w:lineRule="auto"/>
        <w:contextualSpacing/>
        <w:jc w:val="both"/>
        <w:rPr>
          <w:rFonts w:ascii="Arial" w:hAnsi="Arial" w:cs="Arial"/>
          <w:lang w:val="es-MX"/>
        </w:rPr>
      </w:pPr>
      <w:r w:rsidRPr="00B600DD">
        <w:rPr>
          <w:rFonts w:ascii="Arial" w:hAnsi="Arial" w:cs="Arial"/>
          <w:lang w:val="es-MX"/>
        </w:rPr>
        <w:t xml:space="preserve">El primer operador alternativo a Tim, Openfiber, tiene cuota en el mercado 3a de cerca del 40%, incluyendo autoproducción. </w:t>
      </w:r>
    </w:p>
    <w:p w14:paraId="1E5D3558" w14:textId="77777777" w:rsidR="00B600DD" w:rsidRPr="00B600DD" w:rsidRDefault="00B600DD" w:rsidP="00B600DD">
      <w:pPr>
        <w:spacing w:after="0"/>
        <w:ind w:left="720"/>
        <w:contextualSpacing/>
        <w:jc w:val="both"/>
        <w:rPr>
          <w:rFonts w:ascii="Arial" w:hAnsi="Arial" w:cs="Arial"/>
          <w:lang w:val="es-MX"/>
        </w:rPr>
      </w:pPr>
    </w:p>
    <w:p w14:paraId="78D422A5" w14:textId="77777777" w:rsidR="00B600DD" w:rsidRPr="00B600DD" w:rsidRDefault="00B600DD" w:rsidP="00B600DD">
      <w:pPr>
        <w:numPr>
          <w:ilvl w:val="0"/>
          <w:numId w:val="31"/>
        </w:numPr>
        <w:spacing w:after="0" w:line="240" w:lineRule="auto"/>
        <w:contextualSpacing/>
        <w:jc w:val="both"/>
        <w:rPr>
          <w:rFonts w:ascii="Arial" w:hAnsi="Arial" w:cs="Arial"/>
          <w:lang w:val="es-MX"/>
        </w:rPr>
      </w:pPr>
      <w:r w:rsidRPr="00B600DD">
        <w:rPr>
          <w:rFonts w:ascii="Arial" w:hAnsi="Arial" w:cs="Arial"/>
          <w:lang w:val="es-MX"/>
        </w:rPr>
        <w:t>La cuota de mercado de TIM en los mercados 3a y 3b es considerablemente menor en Milán, habiendo experimentado también una fuerte bajada entre 2017-2018.</w:t>
      </w:r>
    </w:p>
    <w:p w14:paraId="7D41FE30" w14:textId="77777777" w:rsidR="00B600DD" w:rsidRPr="00B600DD" w:rsidRDefault="00B600DD" w:rsidP="00B600DD">
      <w:pPr>
        <w:spacing w:after="0"/>
        <w:ind w:left="720"/>
        <w:contextualSpacing/>
        <w:jc w:val="both"/>
        <w:rPr>
          <w:rFonts w:ascii="Arial" w:hAnsi="Arial" w:cs="Arial"/>
          <w:lang w:val="es-MX"/>
        </w:rPr>
      </w:pPr>
    </w:p>
    <w:p w14:paraId="67C16727" w14:textId="5BD2BCF0"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Es importante aclarar que el regulador no define estos criterios como umbrales fijos para futura aplicación en otros municipios. Más bien, éstas son las características destacadas por el regulador como resultado del análisis comparativo de Milán con otros 12 municipios, donde también se comercializan servicios mayoristas de dos operadores alternativos a TIM (Open Fibre y Fastweb). Agcom encuentra que ningún otro municipio iguala Milán, en cuanto a cobertura y cuota de los operadores alternativos, justificando la creación de un mercado geográfico separado. </w:t>
      </w:r>
    </w:p>
    <w:p w14:paraId="019F3CC8" w14:textId="77777777" w:rsidR="00B600DD" w:rsidRPr="00B600DD" w:rsidRDefault="00B600DD" w:rsidP="00B600DD">
      <w:pPr>
        <w:spacing w:after="0" w:line="240" w:lineRule="auto"/>
        <w:jc w:val="both"/>
        <w:rPr>
          <w:rFonts w:ascii="Arial" w:hAnsi="Arial" w:cs="Arial"/>
          <w:lang w:val="es-MX" w:eastAsia="es-MX"/>
        </w:rPr>
      </w:pPr>
    </w:p>
    <w:p w14:paraId="45434BFF"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En relación con la segmentación geográfica de los remedios, para formar parte de aquellas áreas que se definan “Comuni contendibili” que permiten remedios más laxos, Agcom, establece unos umbrales para cumplir: </w:t>
      </w:r>
    </w:p>
    <w:p w14:paraId="41C76175" w14:textId="77777777" w:rsidR="00B600DD" w:rsidRPr="00B600DD" w:rsidRDefault="00B600DD" w:rsidP="00B600DD">
      <w:pPr>
        <w:spacing w:after="0"/>
        <w:jc w:val="both"/>
        <w:rPr>
          <w:rFonts w:ascii="Arial" w:hAnsi="Arial" w:cs="Arial"/>
          <w:lang w:val="es-MX" w:eastAsia="es-MX"/>
        </w:rPr>
      </w:pPr>
    </w:p>
    <w:p w14:paraId="18F2ADF5" w14:textId="5011998D" w:rsidR="00B600DD" w:rsidRPr="00F67245" w:rsidRDefault="00B600DD" w:rsidP="00B600DD">
      <w:pPr>
        <w:numPr>
          <w:ilvl w:val="0"/>
          <w:numId w:val="32"/>
        </w:numPr>
        <w:spacing w:after="0" w:line="240" w:lineRule="auto"/>
        <w:contextualSpacing/>
        <w:jc w:val="both"/>
        <w:rPr>
          <w:rFonts w:ascii="Arial" w:hAnsi="Arial" w:cs="Arial"/>
          <w:lang w:val="es-MX"/>
        </w:rPr>
      </w:pPr>
      <w:r w:rsidRPr="00F67245">
        <w:rPr>
          <w:rFonts w:ascii="Arial" w:hAnsi="Arial" w:cs="Arial"/>
          <w:lang w:val="es-MX"/>
        </w:rPr>
        <w:t xml:space="preserve">Mínimo de </w:t>
      </w:r>
      <w:r w:rsidR="004B6C3F" w:rsidRPr="00F67245">
        <w:rPr>
          <w:rFonts w:ascii="Arial" w:hAnsi="Arial" w:cs="Arial"/>
          <w:lang w:val="es-MX"/>
        </w:rPr>
        <w:t>dos</w:t>
      </w:r>
      <w:r w:rsidRPr="00F67245">
        <w:rPr>
          <w:rFonts w:ascii="Arial" w:hAnsi="Arial" w:cs="Arial"/>
          <w:lang w:val="es-MX"/>
        </w:rPr>
        <w:t xml:space="preserve"> competidores alternativos a TIM que tengan redes NGA desplegadas, con un mínimo del 60% de cobertura individual y superior a 75% en conjunto,</w:t>
      </w:r>
    </w:p>
    <w:p w14:paraId="31084B6C" w14:textId="77777777" w:rsidR="00B600DD" w:rsidRPr="00B600DD" w:rsidRDefault="00B600DD" w:rsidP="00B600DD">
      <w:pPr>
        <w:spacing w:after="0"/>
        <w:ind w:left="720"/>
        <w:contextualSpacing/>
        <w:jc w:val="both"/>
        <w:rPr>
          <w:rFonts w:ascii="Arial" w:hAnsi="Arial" w:cs="Arial"/>
          <w:lang w:val="es-MX"/>
        </w:rPr>
      </w:pPr>
    </w:p>
    <w:p w14:paraId="264249A6" w14:textId="0F171174" w:rsidR="00B600DD" w:rsidRPr="00B600DD" w:rsidRDefault="00B600DD" w:rsidP="00B600DD">
      <w:pPr>
        <w:numPr>
          <w:ilvl w:val="0"/>
          <w:numId w:val="32"/>
        </w:numPr>
        <w:spacing w:after="0" w:line="240" w:lineRule="auto"/>
        <w:contextualSpacing/>
        <w:jc w:val="both"/>
        <w:rPr>
          <w:rFonts w:ascii="Arial" w:hAnsi="Arial" w:cs="Arial"/>
          <w:lang w:val="es-MX"/>
        </w:rPr>
      </w:pPr>
      <w:r w:rsidRPr="00B600DD">
        <w:rPr>
          <w:rFonts w:ascii="Arial" w:hAnsi="Arial" w:cs="Arial"/>
          <w:lang w:val="es-MX"/>
        </w:rPr>
        <w:t xml:space="preserve">Cuota minorista de </w:t>
      </w:r>
      <w:r w:rsidR="006B5BAB">
        <w:rPr>
          <w:rFonts w:ascii="Arial" w:hAnsi="Arial" w:cs="Arial"/>
          <w:lang w:val="es-MX"/>
        </w:rPr>
        <w:t>TIM en líneas NGA de máximo 40%</w:t>
      </w:r>
      <w:r w:rsidRPr="00B600DD">
        <w:rPr>
          <w:rFonts w:ascii="Arial" w:hAnsi="Arial" w:cs="Arial"/>
          <w:lang w:val="es-MX"/>
        </w:rPr>
        <w:t>, y</w:t>
      </w:r>
    </w:p>
    <w:p w14:paraId="58102FDB" w14:textId="77777777" w:rsidR="00B600DD" w:rsidRPr="00B600DD" w:rsidRDefault="00B600DD" w:rsidP="00B600DD">
      <w:pPr>
        <w:spacing w:after="0"/>
        <w:ind w:left="720"/>
        <w:contextualSpacing/>
        <w:jc w:val="both"/>
        <w:rPr>
          <w:rFonts w:ascii="Arial" w:hAnsi="Arial" w:cs="Arial"/>
          <w:lang w:val="es-MX"/>
        </w:rPr>
      </w:pPr>
    </w:p>
    <w:p w14:paraId="0008DA80" w14:textId="0D898A52" w:rsidR="00B600DD" w:rsidRPr="00B600DD" w:rsidRDefault="00B600DD" w:rsidP="00B600DD">
      <w:pPr>
        <w:numPr>
          <w:ilvl w:val="0"/>
          <w:numId w:val="32"/>
        </w:numPr>
        <w:spacing w:after="0" w:line="240" w:lineRule="auto"/>
        <w:contextualSpacing/>
        <w:jc w:val="both"/>
        <w:rPr>
          <w:rFonts w:ascii="Arial" w:hAnsi="Arial" w:cs="Arial"/>
          <w:lang w:val="es-MX"/>
        </w:rPr>
      </w:pPr>
      <w:r w:rsidRPr="00B600DD">
        <w:rPr>
          <w:rFonts w:ascii="Arial" w:hAnsi="Arial" w:cs="Arial"/>
          <w:lang w:val="es-MX"/>
        </w:rPr>
        <w:t>Cuota mayorista de TIM en líneas de acceso NGA por debajo del 80%, incluyendo autoprovisión.</w:t>
      </w:r>
    </w:p>
    <w:p w14:paraId="6EB3103A" w14:textId="77777777" w:rsidR="00B600DD" w:rsidRPr="00B600DD" w:rsidRDefault="00B600DD" w:rsidP="00B600DD">
      <w:pPr>
        <w:spacing w:after="0"/>
        <w:ind w:left="720"/>
        <w:contextualSpacing/>
        <w:jc w:val="both"/>
        <w:rPr>
          <w:rFonts w:ascii="Arial" w:hAnsi="Arial" w:cs="Arial"/>
          <w:lang w:val="es-MX"/>
        </w:rPr>
      </w:pPr>
    </w:p>
    <w:p w14:paraId="668275F5"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Los criterios se entienden como cumulativos. En concreto, los umbrales establecidos en el primer criterio se definen considerando que los siguientes dos factores puedan impulsar un nivel de competencia más intenso:</w:t>
      </w:r>
    </w:p>
    <w:p w14:paraId="35F42D6B" w14:textId="77777777" w:rsidR="00B600DD" w:rsidRPr="00B600DD" w:rsidRDefault="00B600DD" w:rsidP="00B600DD">
      <w:pPr>
        <w:spacing w:after="0"/>
        <w:jc w:val="both"/>
        <w:rPr>
          <w:rFonts w:ascii="Arial" w:hAnsi="Arial" w:cs="Arial"/>
          <w:lang w:val="es-MX" w:eastAsia="es-MX"/>
        </w:rPr>
      </w:pPr>
    </w:p>
    <w:p w14:paraId="737F2D8C" w14:textId="77777777" w:rsidR="00B600DD" w:rsidRPr="00B600DD" w:rsidRDefault="00B600DD" w:rsidP="00B600DD">
      <w:pPr>
        <w:numPr>
          <w:ilvl w:val="0"/>
          <w:numId w:val="33"/>
        </w:numPr>
        <w:spacing w:after="0" w:line="240" w:lineRule="auto"/>
        <w:contextualSpacing/>
        <w:jc w:val="both"/>
        <w:rPr>
          <w:rFonts w:ascii="Arial" w:hAnsi="Arial" w:cs="Arial"/>
          <w:lang w:val="es-MX"/>
        </w:rPr>
      </w:pPr>
      <w:r w:rsidRPr="00B600DD">
        <w:rPr>
          <w:rFonts w:ascii="Arial" w:hAnsi="Arial" w:cs="Arial"/>
          <w:lang w:val="es-MX"/>
        </w:rPr>
        <w:t>La presencia de un operador mayorista con un modelo de negocio de wholesale-only (OpenFiber),</w:t>
      </w:r>
    </w:p>
    <w:p w14:paraId="71033F3B" w14:textId="77777777" w:rsidR="00B600DD" w:rsidRPr="00B600DD" w:rsidRDefault="00B600DD" w:rsidP="00B600DD">
      <w:pPr>
        <w:spacing w:after="0"/>
        <w:ind w:left="720"/>
        <w:contextualSpacing/>
        <w:jc w:val="both"/>
        <w:rPr>
          <w:rFonts w:ascii="Arial" w:hAnsi="Arial" w:cs="Arial"/>
          <w:lang w:val="es-MX"/>
        </w:rPr>
      </w:pPr>
    </w:p>
    <w:p w14:paraId="249D9F84" w14:textId="77777777" w:rsidR="00B600DD" w:rsidRPr="00B600DD" w:rsidRDefault="00B600DD" w:rsidP="00B600DD">
      <w:pPr>
        <w:numPr>
          <w:ilvl w:val="0"/>
          <w:numId w:val="33"/>
        </w:numPr>
        <w:spacing w:after="0" w:line="240" w:lineRule="auto"/>
        <w:contextualSpacing/>
        <w:jc w:val="both"/>
        <w:rPr>
          <w:rFonts w:ascii="Arial" w:hAnsi="Arial" w:cs="Arial"/>
          <w:lang w:val="es-MX"/>
        </w:rPr>
      </w:pPr>
      <w:r w:rsidRPr="00B600DD">
        <w:rPr>
          <w:rFonts w:ascii="Arial" w:hAnsi="Arial" w:cs="Arial"/>
          <w:lang w:val="es-MX"/>
        </w:rPr>
        <w:t>La presencia de otro operador con red FTTH o FTTC (Fastweb) con objetivo de ganar cuota de mercado.</w:t>
      </w:r>
    </w:p>
    <w:p w14:paraId="4DFD3FC7" w14:textId="77777777" w:rsidR="00B600DD" w:rsidRPr="00B600DD" w:rsidRDefault="00B600DD" w:rsidP="00B600DD">
      <w:pPr>
        <w:spacing w:after="0"/>
        <w:ind w:left="720"/>
        <w:contextualSpacing/>
        <w:jc w:val="both"/>
        <w:rPr>
          <w:rFonts w:ascii="Arial" w:hAnsi="Arial" w:cs="Arial"/>
          <w:lang w:val="es-MX"/>
        </w:rPr>
      </w:pPr>
    </w:p>
    <w:p w14:paraId="0784914F" w14:textId="66DA9E39"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En la revisión de 2019 se establece una lista de municipios que hoy en día cumplen con </w:t>
      </w:r>
      <w:r w:rsidR="004B6C3F">
        <w:rPr>
          <w:rFonts w:ascii="Arial" w:hAnsi="Arial" w:cs="Arial"/>
          <w:lang w:val="es-MX" w:eastAsia="es-MX"/>
        </w:rPr>
        <w:t>los tres</w:t>
      </w:r>
      <w:r w:rsidRPr="00B600DD">
        <w:rPr>
          <w:rFonts w:ascii="Arial" w:hAnsi="Arial" w:cs="Arial"/>
          <w:lang w:val="es-MX" w:eastAsia="es-MX"/>
        </w:rPr>
        <w:t xml:space="preserve"> criterios, que estará vigente durante </w:t>
      </w:r>
      <w:r w:rsidR="004B6C3F">
        <w:rPr>
          <w:rFonts w:ascii="Arial" w:hAnsi="Arial" w:cs="Arial"/>
          <w:lang w:val="es-MX" w:eastAsia="es-MX"/>
        </w:rPr>
        <w:t>un</w:t>
      </w:r>
      <w:r w:rsidRPr="00B600DD">
        <w:rPr>
          <w:rFonts w:ascii="Arial" w:hAnsi="Arial" w:cs="Arial"/>
          <w:lang w:val="es-MX" w:eastAsia="es-MX"/>
        </w:rPr>
        <w:t xml:space="preserve"> año (26 municipios). Cada año la Autoridad se compromete a actualizar esta lista, evaluando el cumplimento de dichos criterios por parte de otros municipios y ajustando los criterios de evaluación, si es necesario. </w:t>
      </w:r>
    </w:p>
    <w:p w14:paraId="03C73947" w14:textId="77777777" w:rsidR="00B600DD" w:rsidRPr="00B600DD" w:rsidRDefault="00B600DD" w:rsidP="00B600DD">
      <w:pPr>
        <w:spacing w:after="0"/>
        <w:jc w:val="both"/>
        <w:rPr>
          <w:rFonts w:ascii="Arial" w:hAnsi="Arial" w:cs="Arial"/>
          <w:b/>
          <w:lang w:val="es-MX" w:eastAsia="es-MX"/>
        </w:rPr>
      </w:pPr>
    </w:p>
    <w:p w14:paraId="0CED0767"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La segmentación geográfica en Italia es de muy reciente aplicación y, por lo tanto, no se puede apreciar todavía su impacto de una forma clara.</w:t>
      </w:r>
    </w:p>
    <w:p w14:paraId="7C41AD24" w14:textId="77777777" w:rsidR="00B600DD" w:rsidRPr="00B600DD" w:rsidRDefault="00B600DD" w:rsidP="00B600DD">
      <w:pPr>
        <w:spacing w:after="0"/>
        <w:jc w:val="both"/>
        <w:rPr>
          <w:rFonts w:ascii="Arial" w:hAnsi="Arial" w:cs="Arial"/>
          <w:lang w:val="es-MX" w:eastAsia="es-MX"/>
        </w:rPr>
      </w:pPr>
    </w:p>
    <w:p w14:paraId="7E9C3D27"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Sin embargo, como parte de su revisión de los mercados en 2019, el regulador publica un breve informe sobre la interacción entre el proyecto de separación legal (y voluntaria) de TIM y la misma revisión de los mercados 3a y 3b. La idea es aclarar si dicho proyecto tiene algún impacto sobre el análisis de mercado y las medidas definidas.</w:t>
      </w:r>
    </w:p>
    <w:p w14:paraId="4AE303C5" w14:textId="77777777" w:rsidR="00B600DD" w:rsidRPr="00B600DD" w:rsidRDefault="00B600DD" w:rsidP="00B600DD">
      <w:pPr>
        <w:spacing w:after="0"/>
        <w:jc w:val="both"/>
        <w:rPr>
          <w:rFonts w:ascii="Arial" w:hAnsi="Arial" w:cs="Arial"/>
          <w:lang w:val="es-MX" w:eastAsia="es-MX"/>
        </w:rPr>
      </w:pPr>
    </w:p>
    <w:p w14:paraId="02146720" w14:textId="2AA1A89A" w:rsid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A este propósito, Agcom encuentra que la separación no tiene impacto sobre la definición de los mercados relevantes, incluso sobre la definición de los mercados geográficos. El regulador especifica que esto es porque el proyecto de separación no tiene impacto sobre la homogeneidad de las condiciones competitivas en las distintas áreas del país. </w:t>
      </w:r>
      <w:r w:rsidR="00B866F3" w:rsidRPr="00B600DD">
        <w:rPr>
          <w:rFonts w:ascii="Arial" w:hAnsi="Arial" w:cs="Arial"/>
          <w:lang w:val="es-MX" w:eastAsia="es-MX"/>
        </w:rPr>
        <w:t>Asimismo,</w:t>
      </w:r>
      <w:r w:rsidRPr="00B600DD">
        <w:rPr>
          <w:rFonts w:ascii="Arial" w:hAnsi="Arial" w:cs="Arial"/>
          <w:lang w:val="es-MX" w:eastAsia="es-MX"/>
        </w:rPr>
        <w:t xml:space="preserve"> encuentra que no tiene impacto sobre la definición del operador preponderante (que sigue siendo TIM).</w:t>
      </w:r>
    </w:p>
    <w:p w14:paraId="5AE1EBBE" w14:textId="1AFDA49E" w:rsidR="00156C3A" w:rsidRDefault="00156C3A" w:rsidP="00B600DD">
      <w:pPr>
        <w:spacing w:after="0"/>
        <w:jc w:val="both"/>
        <w:rPr>
          <w:rFonts w:ascii="Arial" w:hAnsi="Arial" w:cs="Arial"/>
          <w:lang w:val="es-MX" w:eastAsia="es-MX"/>
        </w:rPr>
      </w:pPr>
    </w:p>
    <w:p w14:paraId="12CBEAD7" w14:textId="77777777" w:rsidR="00B600DD" w:rsidRPr="00B600DD" w:rsidRDefault="00B600DD" w:rsidP="00B600DD">
      <w:pPr>
        <w:spacing w:after="0"/>
        <w:jc w:val="both"/>
        <w:rPr>
          <w:rFonts w:ascii="Arial" w:hAnsi="Arial" w:cs="Arial"/>
          <w:b/>
          <w:lang w:val="es-MX" w:eastAsia="es-MX"/>
        </w:rPr>
      </w:pPr>
      <w:r w:rsidRPr="00B600DD">
        <w:rPr>
          <w:rFonts w:ascii="Arial" w:hAnsi="Arial" w:cs="Arial"/>
          <w:b/>
          <w:lang w:val="es-MX" w:eastAsia="es-MX"/>
        </w:rPr>
        <w:t>Portugal</w:t>
      </w:r>
    </w:p>
    <w:p w14:paraId="33FCF945" w14:textId="77777777" w:rsidR="00B600DD" w:rsidRPr="00B600DD" w:rsidRDefault="00B600DD" w:rsidP="00B600DD">
      <w:pPr>
        <w:spacing w:after="0"/>
        <w:jc w:val="both"/>
        <w:rPr>
          <w:rFonts w:ascii="Arial" w:hAnsi="Arial" w:cs="Arial"/>
          <w:b/>
          <w:lang w:val="es-MX" w:eastAsia="es-MX"/>
        </w:rPr>
      </w:pPr>
    </w:p>
    <w:p w14:paraId="0AF3AAA1"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La última revisión de los mercados mayoristas de banda ancha se llevó a cabo en 2016-2017</w:t>
      </w:r>
      <w:r w:rsidRPr="00B600DD">
        <w:rPr>
          <w:rFonts w:ascii="Arial" w:hAnsi="Arial" w:cs="Arial"/>
          <w:sz w:val="20"/>
          <w:szCs w:val="20"/>
          <w:vertAlign w:val="superscript"/>
          <w:lang w:val="es-MX" w:eastAsia="es-MX"/>
        </w:rPr>
        <w:footnoteReference w:id="32"/>
      </w:r>
      <w:r w:rsidRPr="00B600DD">
        <w:rPr>
          <w:rFonts w:ascii="Arial" w:hAnsi="Arial" w:cs="Arial"/>
          <w:lang w:val="es-MX" w:eastAsia="es-MX"/>
        </w:rPr>
        <w:t>.</w:t>
      </w:r>
      <w:r w:rsidRPr="00B600DD">
        <w:rPr>
          <w:rFonts w:ascii="Arial" w:hAnsi="Arial" w:cs="Arial"/>
          <w:sz w:val="20"/>
          <w:szCs w:val="20"/>
          <w:lang w:val="es-MX" w:eastAsia="es-MX"/>
        </w:rPr>
        <w:t xml:space="preserve"> </w:t>
      </w:r>
      <w:r w:rsidRPr="00B600DD">
        <w:rPr>
          <w:rFonts w:ascii="Arial" w:hAnsi="Arial" w:cs="Arial"/>
          <w:lang w:val="es-MX" w:eastAsia="es-MX"/>
        </w:rPr>
        <w:t>En esta revisión, el regulador, ANACOM, propuso segmentar geográficamente el mercado mayorista de banda ancha [mercado 3b de la recomendación de la CE, donde se incluiría el SAIB], pero no el mercado mayorista de acceso local a la red fija [mercado 3a de la recomendación de la CE, donde se incluye LLU. Este enfoque es consistente con la revisión anterior del mercado llevada a cabo por Anacom en 2009, en la que también se propuso la segmentación geográfica del mercado mayorista de acceso a banda ancha</w:t>
      </w:r>
      <w:r w:rsidRPr="00B600DD">
        <w:rPr>
          <w:rFonts w:ascii="Arial" w:hAnsi="Arial" w:cs="Arial"/>
          <w:sz w:val="20"/>
          <w:szCs w:val="20"/>
          <w:vertAlign w:val="superscript"/>
          <w:lang w:val="es-MX" w:eastAsia="es-MX"/>
        </w:rPr>
        <w:footnoteReference w:id="33"/>
      </w:r>
      <w:r w:rsidRPr="00B600DD">
        <w:rPr>
          <w:rFonts w:ascii="Arial" w:hAnsi="Arial" w:cs="Arial"/>
          <w:lang w:val="es-MX" w:eastAsia="es-MX"/>
        </w:rPr>
        <w:t xml:space="preserve">. </w:t>
      </w:r>
    </w:p>
    <w:p w14:paraId="40E59ECE" w14:textId="77777777" w:rsidR="00B600DD" w:rsidRPr="00B600DD" w:rsidRDefault="00B600DD" w:rsidP="00B600DD">
      <w:pPr>
        <w:spacing w:after="0"/>
        <w:jc w:val="both"/>
        <w:rPr>
          <w:rFonts w:ascii="Arial" w:hAnsi="Arial" w:cs="Arial"/>
          <w:b/>
          <w:lang w:val="es-MX" w:eastAsia="es-MX"/>
        </w:rPr>
      </w:pPr>
    </w:p>
    <w:p w14:paraId="440A2724"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La ANACOM consideró como unidad geográfica relevante para el análisis a las freguesias, que son las organizaciones administrativas en las que se divide un municipio o concelho. </w:t>
      </w:r>
      <w:r w:rsidRPr="00B866F3">
        <w:rPr>
          <w:rFonts w:ascii="Arial" w:hAnsi="Arial" w:cs="Arial"/>
          <w:lang w:val="es-MX" w:eastAsia="es-MX"/>
        </w:rPr>
        <w:t>En Portugal existen 3.092 freguesias</w:t>
      </w:r>
      <w:r w:rsidRPr="00B600DD">
        <w:rPr>
          <w:rFonts w:ascii="Arial" w:hAnsi="Arial" w:cs="Arial"/>
          <w:sz w:val="20"/>
          <w:szCs w:val="20"/>
          <w:vertAlign w:val="superscript"/>
          <w:lang w:val="es-MX" w:eastAsia="es-MX"/>
        </w:rPr>
        <w:footnoteReference w:id="34"/>
      </w:r>
      <w:r w:rsidRPr="00B600DD">
        <w:rPr>
          <w:rFonts w:ascii="Arial" w:hAnsi="Arial" w:cs="Arial"/>
          <w:lang w:val="es-MX" w:eastAsia="es-MX"/>
        </w:rPr>
        <w:t>.</w:t>
      </w:r>
    </w:p>
    <w:p w14:paraId="548C75E8" w14:textId="77777777" w:rsidR="00B600DD" w:rsidRPr="00B600DD" w:rsidRDefault="00B600DD" w:rsidP="00B600DD">
      <w:pPr>
        <w:spacing w:after="0"/>
        <w:jc w:val="both"/>
        <w:rPr>
          <w:rFonts w:ascii="Arial" w:hAnsi="Arial" w:cs="Arial"/>
          <w:lang w:val="es-MX" w:eastAsia="es-MX"/>
        </w:rPr>
      </w:pPr>
    </w:p>
    <w:p w14:paraId="2B94195A"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ANACOM argumenta que el uso de las freguesias como unidad de análisis en lugar del área delimitada por una central telefónica permitía un análisis más fino dado que, en promedio, el área cubierta por estas unidades administrativas es menor que el área cubierta por el la central (en Portugal hay 3.092 freguesias y 1.852 centrales telefónicas).</w:t>
      </w:r>
    </w:p>
    <w:p w14:paraId="6B9D63E4" w14:textId="77777777" w:rsidR="00B600DD" w:rsidRPr="00B600DD" w:rsidRDefault="00B600DD" w:rsidP="00B600DD">
      <w:pPr>
        <w:spacing w:after="0"/>
        <w:jc w:val="both"/>
        <w:rPr>
          <w:rFonts w:ascii="Arial" w:hAnsi="Arial" w:cs="Arial"/>
          <w:b/>
          <w:lang w:val="es-MX" w:eastAsia="es-MX"/>
        </w:rPr>
      </w:pPr>
    </w:p>
    <w:p w14:paraId="100E05A3" w14:textId="3311EDED"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Tanto en la decisión de 2009 como en la de 2017 A</w:t>
      </w:r>
      <w:r w:rsidR="00B866F3">
        <w:rPr>
          <w:rFonts w:ascii="Arial" w:hAnsi="Arial" w:cs="Arial"/>
          <w:lang w:val="es-MX" w:eastAsia="es-MX"/>
        </w:rPr>
        <w:t>NACOM</w:t>
      </w:r>
      <w:r w:rsidRPr="00B600DD">
        <w:rPr>
          <w:rFonts w:ascii="Arial" w:hAnsi="Arial" w:cs="Arial"/>
          <w:lang w:val="es-MX" w:eastAsia="es-MX"/>
        </w:rPr>
        <w:t xml:space="preserve"> define un mercado nacional para el servicio mayorista de acceso local a la red fija [LLU], imponiendo remedios homogéneos en todas las áreas geográficas. </w:t>
      </w:r>
    </w:p>
    <w:p w14:paraId="04FAEF99" w14:textId="77777777" w:rsidR="00B600DD" w:rsidRPr="00B600DD" w:rsidRDefault="00B600DD" w:rsidP="00B600DD">
      <w:pPr>
        <w:spacing w:after="0"/>
        <w:jc w:val="both"/>
        <w:rPr>
          <w:rFonts w:ascii="Arial" w:hAnsi="Arial" w:cs="Arial"/>
          <w:lang w:val="es-MX" w:eastAsia="es-MX"/>
        </w:rPr>
      </w:pPr>
    </w:p>
    <w:p w14:paraId="29C66898" w14:textId="7B4AD515"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En contraste, en ambos casos se definen dos mercados geográficos </w:t>
      </w:r>
      <w:r w:rsidR="00B866F3" w:rsidRPr="00B600DD">
        <w:rPr>
          <w:rFonts w:ascii="Arial" w:hAnsi="Arial" w:cs="Arial"/>
          <w:lang w:val="es-MX" w:eastAsia="es-MX"/>
        </w:rPr>
        <w:t>separados</w:t>
      </w:r>
      <w:r w:rsidRPr="00B600DD">
        <w:rPr>
          <w:rFonts w:ascii="Arial" w:hAnsi="Arial" w:cs="Arial"/>
          <w:lang w:val="es-MX" w:eastAsia="es-MX"/>
        </w:rPr>
        <w:t xml:space="preserve"> para el servicio mayorista de banda ancha [SAIB], distinguiendo entre un mercado competitivo y otro no competitivo. </w:t>
      </w:r>
    </w:p>
    <w:p w14:paraId="3BA768E9" w14:textId="77777777" w:rsidR="00B600DD" w:rsidRPr="00B600DD" w:rsidRDefault="00B600DD" w:rsidP="00B600DD">
      <w:pPr>
        <w:spacing w:after="0"/>
        <w:jc w:val="both"/>
        <w:rPr>
          <w:rFonts w:ascii="Arial" w:hAnsi="Arial" w:cs="Arial"/>
          <w:lang w:val="es-MX" w:eastAsia="es-MX"/>
        </w:rPr>
      </w:pPr>
    </w:p>
    <w:p w14:paraId="20707662" w14:textId="33DB0C9D"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En la revisión de 2009, A</w:t>
      </w:r>
      <w:r w:rsidR="00B866F3">
        <w:rPr>
          <w:rFonts w:ascii="Arial" w:hAnsi="Arial" w:cs="Arial"/>
          <w:lang w:val="es-MX" w:eastAsia="es-MX"/>
        </w:rPr>
        <w:t>NACOM</w:t>
      </w:r>
      <w:r w:rsidRPr="00B600DD">
        <w:rPr>
          <w:rFonts w:ascii="Arial" w:hAnsi="Arial" w:cs="Arial"/>
          <w:lang w:val="es-MX" w:eastAsia="es-MX"/>
        </w:rPr>
        <w:t xml:space="preserve"> definió los dos mercados geográficos relevantes de acuerdo a los siguientes criterios:</w:t>
      </w:r>
    </w:p>
    <w:p w14:paraId="157A48DF" w14:textId="77777777" w:rsidR="00B600DD" w:rsidRPr="00B600DD" w:rsidRDefault="00B600DD" w:rsidP="00B600DD">
      <w:pPr>
        <w:spacing w:after="0"/>
        <w:jc w:val="both"/>
        <w:rPr>
          <w:rFonts w:ascii="Arial" w:hAnsi="Arial" w:cs="Arial"/>
          <w:lang w:val="es-MX" w:eastAsia="es-MX"/>
        </w:rPr>
      </w:pPr>
    </w:p>
    <w:p w14:paraId="0F4A607E" w14:textId="77777777" w:rsidR="00B600DD" w:rsidRPr="00B600DD" w:rsidRDefault="00B600DD" w:rsidP="00B600DD">
      <w:pPr>
        <w:numPr>
          <w:ilvl w:val="0"/>
          <w:numId w:val="34"/>
        </w:numPr>
        <w:spacing w:after="0" w:line="240" w:lineRule="auto"/>
        <w:contextualSpacing/>
        <w:jc w:val="both"/>
        <w:rPr>
          <w:rFonts w:ascii="Arial" w:hAnsi="Arial" w:cs="Arial"/>
          <w:lang w:val="es-MX"/>
        </w:rPr>
      </w:pPr>
      <w:r w:rsidRPr="00B600DD">
        <w:rPr>
          <w:rFonts w:ascii="Arial" w:hAnsi="Arial" w:cs="Arial"/>
          <w:lang w:val="es-MX"/>
        </w:rPr>
        <w:t>Mercado C: incluye el área cubierta por las áreas centrales, donde existe al menos un operador co-instalado y al menos un operador de cable con una cobertura en el área central superior al 60 por ciento.</w:t>
      </w:r>
    </w:p>
    <w:p w14:paraId="33646E35" w14:textId="77777777" w:rsidR="00B600DD" w:rsidRPr="00B600DD" w:rsidRDefault="00B600DD" w:rsidP="00B600DD">
      <w:pPr>
        <w:spacing w:after="0"/>
        <w:ind w:left="720"/>
        <w:contextualSpacing/>
        <w:jc w:val="both"/>
        <w:rPr>
          <w:rFonts w:ascii="Arial" w:hAnsi="Arial" w:cs="Arial"/>
          <w:lang w:val="es-MX"/>
        </w:rPr>
      </w:pPr>
    </w:p>
    <w:p w14:paraId="2EE4B614" w14:textId="77777777" w:rsidR="00B600DD" w:rsidRPr="00B600DD" w:rsidRDefault="00B600DD" w:rsidP="00B600DD">
      <w:pPr>
        <w:numPr>
          <w:ilvl w:val="0"/>
          <w:numId w:val="34"/>
        </w:numPr>
        <w:spacing w:after="0" w:line="240" w:lineRule="auto"/>
        <w:contextualSpacing/>
        <w:jc w:val="both"/>
        <w:rPr>
          <w:rFonts w:ascii="Arial" w:hAnsi="Arial" w:cs="Arial"/>
          <w:lang w:val="es-MX"/>
        </w:rPr>
      </w:pPr>
      <w:r w:rsidRPr="00B600DD">
        <w:rPr>
          <w:rFonts w:ascii="Arial" w:hAnsi="Arial" w:cs="Arial"/>
          <w:lang w:val="es-MX"/>
        </w:rPr>
        <w:t>Mercado NC: se incluye el área cubierta por las restantes centrales del territorio nacional.</w:t>
      </w:r>
    </w:p>
    <w:p w14:paraId="1729FA68" w14:textId="77777777" w:rsidR="00B600DD" w:rsidRPr="00B600DD" w:rsidRDefault="00B600DD" w:rsidP="00B600DD">
      <w:pPr>
        <w:spacing w:after="0"/>
        <w:ind w:left="720"/>
        <w:contextualSpacing/>
        <w:jc w:val="both"/>
        <w:rPr>
          <w:rFonts w:ascii="Arial" w:hAnsi="Arial" w:cs="Arial"/>
          <w:lang w:val="es-MX"/>
        </w:rPr>
      </w:pPr>
    </w:p>
    <w:p w14:paraId="407812CA"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En la revisión de 2016-2017 se modificó el criterio para delimitar el área de los mercados geográficos, distinguiendo entre los dos mercados descritos abajo:</w:t>
      </w:r>
    </w:p>
    <w:p w14:paraId="5975B343" w14:textId="77777777" w:rsidR="00B600DD" w:rsidRPr="00B600DD" w:rsidRDefault="00B600DD" w:rsidP="00B600DD">
      <w:pPr>
        <w:spacing w:after="0"/>
        <w:jc w:val="both"/>
        <w:rPr>
          <w:rFonts w:ascii="Arial" w:hAnsi="Arial" w:cs="Arial"/>
          <w:lang w:val="es-MX" w:eastAsia="es-MX"/>
        </w:rPr>
      </w:pPr>
    </w:p>
    <w:p w14:paraId="136AF00D" w14:textId="77777777" w:rsidR="00B600DD" w:rsidRPr="00F67245" w:rsidRDefault="00B600DD" w:rsidP="00B600DD">
      <w:pPr>
        <w:numPr>
          <w:ilvl w:val="0"/>
          <w:numId w:val="34"/>
        </w:numPr>
        <w:spacing w:after="0" w:line="240" w:lineRule="auto"/>
        <w:contextualSpacing/>
        <w:jc w:val="both"/>
        <w:rPr>
          <w:rFonts w:ascii="Arial" w:hAnsi="Arial" w:cs="Arial"/>
          <w:lang w:val="es-MX"/>
        </w:rPr>
      </w:pPr>
      <w:r w:rsidRPr="00F67245">
        <w:rPr>
          <w:rFonts w:ascii="Arial" w:hAnsi="Arial" w:cs="Arial"/>
          <w:lang w:val="es-MX"/>
        </w:rPr>
        <w:t xml:space="preserve">Áreas C: freguésias con (i) al menos dos operadores alternativos a MEO (operador incumbente) con una cobertura de NGA superior al 50 por ciento o (ii) un operador alternativo a MEO con una cobertura de NGA superior al 50 por ciento y donde la participación de mercado de MEO en el mercado minorista de acceso a banda ancha es inferior al 50 por ciento (466 freguesias); y </w:t>
      </w:r>
    </w:p>
    <w:p w14:paraId="0887ECFB" w14:textId="77777777" w:rsidR="00B600DD" w:rsidRPr="00B600DD" w:rsidRDefault="00B600DD" w:rsidP="00B600DD">
      <w:pPr>
        <w:spacing w:after="0"/>
        <w:ind w:left="720"/>
        <w:contextualSpacing/>
        <w:jc w:val="both"/>
        <w:rPr>
          <w:rFonts w:ascii="Arial" w:hAnsi="Arial" w:cs="Arial"/>
          <w:lang w:val="es-MX"/>
        </w:rPr>
      </w:pPr>
    </w:p>
    <w:p w14:paraId="619B0CE2" w14:textId="77777777" w:rsidR="00B600DD" w:rsidRPr="00B600DD" w:rsidRDefault="00B600DD" w:rsidP="00B600DD">
      <w:pPr>
        <w:numPr>
          <w:ilvl w:val="0"/>
          <w:numId w:val="34"/>
        </w:numPr>
        <w:spacing w:after="0" w:line="240" w:lineRule="auto"/>
        <w:contextualSpacing/>
        <w:jc w:val="both"/>
        <w:rPr>
          <w:rFonts w:ascii="Arial" w:hAnsi="Arial" w:cs="Arial"/>
          <w:lang w:val="es-MX"/>
        </w:rPr>
      </w:pPr>
      <w:r w:rsidRPr="00B600DD">
        <w:rPr>
          <w:rFonts w:ascii="Arial" w:hAnsi="Arial" w:cs="Arial"/>
          <w:lang w:val="es-MX"/>
        </w:rPr>
        <w:t>Áreas NC: resto de freguesias (2.626 freguesias). En su mayor parte, áreas rurales.</w:t>
      </w:r>
    </w:p>
    <w:p w14:paraId="144A20AE" w14:textId="77777777" w:rsidR="00B600DD" w:rsidRPr="00B600DD" w:rsidRDefault="00B600DD" w:rsidP="00B600DD">
      <w:pPr>
        <w:spacing w:after="0"/>
        <w:ind w:left="720"/>
        <w:contextualSpacing/>
        <w:jc w:val="both"/>
        <w:rPr>
          <w:rFonts w:ascii="Arial" w:hAnsi="Arial" w:cs="Arial"/>
          <w:lang w:val="es-MX"/>
        </w:rPr>
      </w:pPr>
    </w:p>
    <w:p w14:paraId="7AD4803C" w14:textId="56C17B69" w:rsidR="00B600DD" w:rsidRPr="00B600DD" w:rsidRDefault="00B600DD" w:rsidP="00B600DD">
      <w:pPr>
        <w:spacing w:after="0"/>
        <w:jc w:val="both"/>
        <w:rPr>
          <w:rFonts w:ascii="Arial" w:hAnsi="Arial" w:cs="Arial"/>
          <w:lang w:val="es-MX" w:eastAsia="es-MX"/>
        </w:rPr>
      </w:pPr>
      <w:r w:rsidRPr="00F67245">
        <w:rPr>
          <w:rFonts w:ascii="Arial" w:hAnsi="Arial" w:cs="Arial"/>
          <w:lang w:val="es-MX" w:eastAsia="es-MX"/>
        </w:rPr>
        <w:t>En gran medida, las áreas C que ahora se definen corresponden a las áreas C mencionadas en la revisión anterior. En la mayoría de estas áreas hay al menos dos operadores con su propia red (la cobertura promedio de los dos operadores alternativos más grandes a MEO en estas freguesias es del 78</w:t>
      </w:r>
      <w:r w:rsidR="004B6C3F" w:rsidRPr="00F67245">
        <w:rPr>
          <w:rFonts w:ascii="Arial" w:hAnsi="Arial" w:cs="Arial"/>
          <w:lang w:val="es-MX" w:eastAsia="es-MX"/>
        </w:rPr>
        <w:t>%</w:t>
      </w:r>
      <w:r w:rsidRPr="00F67245">
        <w:rPr>
          <w:rFonts w:ascii="Arial" w:hAnsi="Arial" w:cs="Arial"/>
          <w:lang w:val="es-MX" w:eastAsia="es-MX"/>
        </w:rPr>
        <w:t>) y también hay operadores que prestan servicios vía desagregación del bucle local.</w:t>
      </w:r>
    </w:p>
    <w:p w14:paraId="45487382" w14:textId="77777777" w:rsidR="00B600DD" w:rsidRPr="00B600DD" w:rsidRDefault="00B600DD" w:rsidP="00B600DD">
      <w:pPr>
        <w:spacing w:after="0"/>
        <w:jc w:val="both"/>
        <w:rPr>
          <w:rFonts w:ascii="Arial" w:hAnsi="Arial" w:cs="Arial"/>
          <w:lang w:val="es-MX" w:eastAsia="es-MX"/>
        </w:rPr>
      </w:pPr>
    </w:p>
    <w:p w14:paraId="078429DB"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Además, y en vista de estos desarrollos, los principales operadores en este mercado parecen tener las mismas posibilidades de acceso a recursos financieros/mercados de capital y, por lo tanto, no hay situaciones de ventaja significativa de un operador sobre los demás.</w:t>
      </w:r>
    </w:p>
    <w:p w14:paraId="7446720C" w14:textId="77777777" w:rsidR="00B600DD" w:rsidRPr="00B600DD" w:rsidRDefault="00B600DD" w:rsidP="00B600DD">
      <w:pPr>
        <w:spacing w:after="0"/>
        <w:jc w:val="both"/>
        <w:rPr>
          <w:rFonts w:ascii="Arial" w:hAnsi="Arial" w:cs="Arial"/>
          <w:lang w:val="es-MX" w:eastAsia="es-MX"/>
        </w:rPr>
      </w:pPr>
    </w:p>
    <w:p w14:paraId="339AED6B" w14:textId="69CBFDE9"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De la revisión internacional se aprecia que los indicadores utilizados en los países analizados son similares en todos los casos y que los criterios señalados por la Medida TRIGÉSIMA NOVENA </w:t>
      </w:r>
      <w:r w:rsidR="00C120B2">
        <w:rPr>
          <w:rFonts w:ascii="Arial" w:hAnsi="Arial" w:cs="Arial"/>
          <w:lang w:val="es-MX" w:eastAsia="es-MX"/>
        </w:rPr>
        <w:t xml:space="preserve">del Anexo 3 de la Segunda Resolución </w:t>
      </w:r>
      <w:r w:rsidR="001A7A71">
        <w:rPr>
          <w:rFonts w:ascii="Arial" w:hAnsi="Arial" w:cs="Arial"/>
          <w:lang w:val="es-MX" w:eastAsia="es-MX"/>
        </w:rPr>
        <w:t>Bienal</w:t>
      </w:r>
      <w:r w:rsidRPr="00B600DD">
        <w:rPr>
          <w:rFonts w:ascii="Arial" w:hAnsi="Arial" w:cs="Arial"/>
          <w:lang w:val="es-MX" w:eastAsia="es-MX"/>
        </w:rPr>
        <w:t xml:space="preserve"> </w:t>
      </w:r>
      <w:r w:rsidR="000356CD">
        <w:rPr>
          <w:rFonts w:ascii="Arial" w:hAnsi="Arial" w:cs="Arial"/>
          <w:lang w:val="es-MX" w:eastAsia="es-MX"/>
        </w:rPr>
        <w:t xml:space="preserve">son </w:t>
      </w:r>
      <w:r w:rsidRPr="00B600DD">
        <w:rPr>
          <w:rFonts w:ascii="Arial" w:hAnsi="Arial" w:cs="Arial"/>
          <w:lang w:val="es-MX" w:eastAsia="es-MX"/>
        </w:rPr>
        <w:t>congruente</w:t>
      </w:r>
      <w:r w:rsidR="000356CD">
        <w:rPr>
          <w:rFonts w:ascii="Arial" w:hAnsi="Arial" w:cs="Arial"/>
          <w:lang w:val="es-MX" w:eastAsia="es-MX"/>
        </w:rPr>
        <w:t>s</w:t>
      </w:r>
      <w:r w:rsidRPr="00B600DD">
        <w:rPr>
          <w:rFonts w:ascii="Arial" w:hAnsi="Arial" w:cs="Arial"/>
          <w:lang w:val="es-MX" w:eastAsia="es-MX"/>
        </w:rPr>
        <w:t xml:space="preserve"> con </w:t>
      </w:r>
      <w:r w:rsidR="000356CD">
        <w:rPr>
          <w:rFonts w:ascii="Arial" w:hAnsi="Arial" w:cs="Arial"/>
          <w:lang w:val="es-MX" w:eastAsia="es-MX"/>
        </w:rPr>
        <w:t>dichos parámetros en cuanto a</w:t>
      </w:r>
      <w:r w:rsidRPr="00B600DD">
        <w:rPr>
          <w:rFonts w:ascii="Arial" w:hAnsi="Arial" w:cs="Arial"/>
          <w:lang w:val="es-MX" w:eastAsia="es-MX"/>
        </w:rPr>
        <w:t xml:space="preserve">: </w:t>
      </w:r>
    </w:p>
    <w:p w14:paraId="59930287" w14:textId="77777777" w:rsidR="00B600DD" w:rsidRPr="00B600DD" w:rsidRDefault="00B600DD" w:rsidP="00B600DD">
      <w:pPr>
        <w:spacing w:after="0"/>
        <w:jc w:val="both"/>
        <w:rPr>
          <w:rFonts w:ascii="Arial" w:hAnsi="Arial" w:cs="Arial"/>
          <w:lang w:val="es-MX" w:eastAsia="es-MX"/>
        </w:rPr>
      </w:pPr>
    </w:p>
    <w:p w14:paraId="77D4DB04" w14:textId="77777777" w:rsidR="00B600DD" w:rsidRPr="00B600DD" w:rsidRDefault="00B600DD" w:rsidP="00B600DD">
      <w:pPr>
        <w:numPr>
          <w:ilvl w:val="0"/>
          <w:numId w:val="35"/>
        </w:numPr>
        <w:spacing w:after="0" w:line="240" w:lineRule="auto"/>
        <w:contextualSpacing/>
        <w:jc w:val="both"/>
        <w:rPr>
          <w:rFonts w:ascii="Arial" w:hAnsi="Arial" w:cs="Arial"/>
          <w:lang w:val="es-MX"/>
        </w:rPr>
      </w:pPr>
      <w:r w:rsidRPr="00B600DD">
        <w:rPr>
          <w:rFonts w:ascii="Arial" w:hAnsi="Arial" w:cs="Arial"/>
          <w:lang w:val="es-MX"/>
        </w:rPr>
        <w:t>Número de operadores. Se suele requerir la presencia de al menos dos operadores alternativos al incumbente.</w:t>
      </w:r>
    </w:p>
    <w:p w14:paraId="3BE330D3" w14:textId="77777777" w:rsidR="00B600DD" w:rsidRPr="00B600DD" w:rsidRDefault="00B600DD" w:rsidP="00B600DD">
      <w:pPr>
        <w:spacing w:after="0"/>
        <w:ind w:left="720"/>
        <w:contextualSpacing/>
        <w:jc w:val="both"/>
        <w:rPr>
          <w:rFonts w:ascii="Arial" w:hAnsi="Arial" w:cs="Arial"/>
          <w:lang w:val="es-MX"/>
        </w:rPr>
      </w:pPr>
    </w:p>
    <w:p w14:paraId="15D4D89C" w14:textId="77777777" w:rsidR="00B600DD" w:rsidRPr="00B600DD" w:rsidRDefault="00B600DD" w:rsidP="00B600DD">
      <w:pPr>
        <w:numPr>
          <w:ilvl w:val="0"/>
          <w:numId w:val="35"/>
        </w:numPr>
        <w:spacing w:after="0" w:line="240" w:lineRule="auto"/>
        <w:contextualSpacing/>
        <w:jc w:val="both"/>
        <w:rPr>
          <w:rFonts w:ascii="Arial" w:hAnsi="Arial" w:cs="Arial"/>
          <w:lang w:val="es-MX"/>
        </w:rPr>
      </w:pPr>
      <w:r w:rsidRPr="00B600DD">
        <w:rPr>
          <w:rFonts w:ascii="Arial" w:hAnsi="Arial" w:cs="Arial"/>
          <w:lang w:val="es-MX"/>
        </w:rPr>
        <w:t>Nivel de cobertura de los operadores en la zona. No basta con que un operador alternativo esté presente en área geográfica, sino que también se suele exigir que dicho operador sea capaz de imponer una restricción competitiva sobre el operador incumbente. Una forma de medir esta capacidad es a través de la cobertura. El rango considerado en los casos estudio varía entre un 20% [considerado en el mercado mayorista de acceso local en España] y un 65% [considerado por Ofcom en la última decisión del mercado mayorista de banda ancha para evaluar si el PO está presente en el área de central].</w:t>
      </w:r>
    </w:p>
    <w:p w14:paraId="218696DD" w14:textId="77777777" w:rsidR="00B600DD" w:rsidRPr="00B600DD" w:rsidRDefault="00B600DD" w:rsidP="00B600DD">
      <w:pPr>
        <w:spacing w:after="0"/>
        <w:ind w:left="720"/>
        <w:contextualSpacing/>
        <w:jc w:val="both"/>
        <w:rPr>
          <w:rFonts w:ascii="Arial" w:hAnsi="Arial" w:cs="Arial"/>
          <w:lang w:val="es-MX"/>
        </w:rPr>
      </w:pPr>
    </w:p>
    <w:p w14:paraId="43566CFC" w14:textId="77777777" w:rsidR="00B600DD" w:rsidRPr="00B600DD" w:rsidRDefault="00B600DD" w:rsidP="00B600DD">
      <w:pPr>
        <w:spacing w:after="0"/>
        <w:ind w:left="720"/>
        <w:contextualSpacing/>
        <w:jc w:val="both"/>
        <w:rPr>
          <w:rFonts w:ascii="Arial" w:hAnsi="Arial" w:cs="Arial"/>
          <w:lang w:val="es-MX"/>
        </w:rPr>
      </w:pPr>
      <w:r w:rsidRPr="00B600DD">
        <w:rPr>
          <w:rFonts w:ascii="Arial" w:hAnsi="Arial" w:cs="Arial"/>
          <w:lang w:val="es-MX"/>
        </w:rPr>
        <w:t xml:space="preserve">En el caso de España, en lugar de imponer un criterio de cobertura para segmentar el mercado mayorista de acceso indirecto, se exige que los operadores alternativos cuenten con una cuota individual de al menos el 10%. </w:t>
      </w:r>
    </w:p>
    <w:p w14:paraId="659FCB13" w14:textId="77777777" w:rsidR="00B600DD" w:rsidRPr="00B600DD" w:rsidRDefault="00B600DD" w:rsidP="00B600DD">
      <w:pPr>
        <w:spacing w:after="0"/>
        <w:ind w:left="720"/>
        <w:contextualSpacing/>
        <w:jc w:val="both"/>
        <w:rPr>
          <w:rFonts w:ascii="Arial" w:hAnsi="Arial" w:cs="Arial"/>
          <w:lang w:val="es-MX"/>
        </w:rPr>
      </w:pPr>
    </w:p>
    <w:p w14:paraId="3E3E7557" w14:textId="77777777" w:rsidR="00B600DD" w:rsidRPr="00B600DD" w:rsidRDefault="00B600DD" w:rsidP="00B600DD">
      <w:pPr>
        <w:numPr>
          <w:ilvl w:val="0"/>
          <w:numId w:val="36"/>
        </w:numPr>
        <w:spacing w:after="0" w:line="240" w:lineRule="auto"/>
        <w:contextualSpacing/>
        <w:jc w:val="both"/>
        <w:rPr>
          <w:rFonts w:ascii="Arial" w:hAnsi="Arial" w:cs="Arial"/>
          <w:lang w:val="es-MX"/>
        </w:rPr>
      </w:pPr>
      <w:r w:rsidRPr="00B600DD">
        <w:rPr>
          <w:rFonts w:ascii="Arial" w:hAnsi="Arial" w:cs="Arial"/>
          <w:lang w:val="es-MX"/>
        </w:rPr>
        <w:t>Cuotas de mercado. De los cuatro casos evaluados, tres incluyen la cuota de mercado como un criterio explícito a la hora de delimitar los mercados geográficos</w:t>
      </w:r>
      <w:r w:rsidRPr="00B600DD">
        <w:rPr>
          <w:rFonts w:ascii="Arial" w:hAnsi="Arial" w:cs="Arial"/>
          <w:vertAlign w:val="superscript"/>
          <w:lang w:val="es-MX"/>
        </w:rPr>
        <w:footnoteReference w:id="35"/>
      </w:r>
      <w:r w:rsidRPr="00B600DD">
        <w:rPr>
          <w:rFonts w:ascii="Arial" w:hAnsi="Arial" w:cs="Arial"/>
          <w:lang w:val="es-MX"/>
        </w:rPr>
        <w:t>.  Aquí se observa una mayor homogeneidad en cuanto a la cuota máxima para el incumbente, situándose entre el 40% y el 50%.  Por lo que una cuota del operador incumbente por encima del 50% suele conducir a la conclusión de dominancia. Sin embargo, la cuota no es un indicador utilizado por todos los reguladores para segmentar los mercados geográficos</w:t>
      </w:r>
      <w:r w:rsidRPr="00B600DD">
        <w:rPr>
          <w:rFonts w:ascii="Arial" w:hAnsi="Arial" w:cs="Arial"/>
          <w:vertAlign w:val="superscript"/>
          <w:lang w:val="es-MX"/>
        </w:rPr>
        <w:footnoteReference w:id="36"/>
      </w:r>
      <w:r w:rsidRPr="00B600DD">
        <w:rPr>
          <w:rFonts w:ascii="Arial" w:hAnsi="Arial" w:cs="Arial"/>
          <w:lang w:val="es-MX"/>
        </w:rPr>
        <w:t xml:space="preserve"> y, cuando lo hacen, no es un indicador que se evalúe de forma aislada. </w:t>
      </w:r>
    </w:p>
    <w:p w14:paraId="7D28517C" w14:textId="77777777" w:rsidR="00B600DD" w:rsidRPr="00B600DD" w:rsidRDefault="00B600DD" w:rsidP="00B600DD">
      <w:pPr>
        <w:spacing w:after="0"/>
        <w:ind w:left="720"/>
        <w:contextualSpacing/>
        <w:jc w:val="both"/>
        <w:rPr>
          <w:rFonts w:ascii="Arial" w:hAnsi="Arial" w:cs="Arial"/>
          <w:lang w:val="es-MX"/>
        </w:rPr>
      </w:pPr>
    </w:p>
    <w:p w14:paraId="0ECAFBCF" w14:textId="05CE22CF" w:rsidR="00B600DD" w:rsidRPr="00B600DD" w:rsidRDefault="000356CD" w:rsidP="00B600DD">
      <w:pPr>
        <w:spacing w:after="0"/>
        <w:jc w:val="both"/>
        <w:rPr>
          <w:rFonts w:ascii="Arial" w:hAnsi="Arial" w:cs="Arial"/>
          <w:lang w:val="es-MX" w:eastAsia="es-MX"/>
        </w:rPr>
      </w:pPr>
      <w:r>
        <w:rPr>
          <w:rFonts w:ascii="Arial" w:hAnsi="Arial" w:cs="Arial"/>
          <w:lang w:val="es-MX" w:eastAsia="es-MX"/>
        </w:rPr>
        <w:t>Por lo tanto, l</w:t>
      </w:r>
      <w:r w:rsidR="00B600DD" w:rsidRPr="00B600DD">
        <w:rPr>
          <w:rFonts w:ascii="Arial" w:hAnsi="Arial" w:cs="Arial"/>
          <w:lang w:val="es-MX" w:eastAsia="es-MX"/>
        </w:rPr>
        <w:t xml:space="preserve">a propuesta del </w:t>
      </w:r>
      <w:r>
        <w:rPr>
          <w:rFonts w:ascii="Arial" w:hAnsi="Arial" w:cs="Arial"/>
          <w:lang w:val="es-MX" w:eastAsia="es-MX"/>
        </w:rPr>
        <w:t>Instituto</w:t>
      </w:r>
      <w:r w:rsidRPr="00B600DD">
        <w:rPr>
          <w:rFonts w:ascii="Arial" w:hAnsi="Arial" w:cs="Arial"/>
          <w:lang w:val="es-MX" w:eastAsia="es-MX"/>
        </w:rPr>
        <w:t xml:space="preserve"> </w:t>
      </w:r>
      <w:r w:rsidR="00B600DD" w:rsidRPr="00B600DD">
        <w:rPr>
          <w:rFonts w:ascii="Arial" w:hAnsi="Arial" w:cs="Arial"/>
          <w:lang w:val="es-MX" w:eastAsia="es-MX"/>
        </w:rPr>
        <w:t>es consistente con la experiencia</w:t>
      </w:r>
      <w:r>
        <w:rPr>
          <w:rFonts w:ascii="Arial" w:hAnsi="Arial" w:cs="Arial"/>
          <w:lang w:val="es-MX" w:eastAsia="es-MX"/>
        </w:rPr>
        <w:t xml:space="preserve"> internacional</w:t>
      </w:r>
      <w:r w:rsidR="00B600DD" w:rsidRPr="00B600DD">
        <w:rPr>
          <w:rFonts w:ascii="Arial" w:hAnsi="Arial" w:cs="Arial"/>
          <w:lang w:val="es-MX" w:eastAsia="es-MX"/>
        </w:rPr>
        <w:t xml:space="preserve"> analizada. Esto es, los indicadores incluidos en la propuesta de medida son los comúnmente empleados por los reguladores al evaluar el alcance geográfico del mercado.</w:t>
      </w:r>
    </w:p>
    <w:p w14:paraId="1C2AEE1F" w14:textId="77777777" w:rsidR="00B600DD" w:rsidRPr="00B600DD" w:rsidRDefault="00B600DD" w:rsidP="00B600DD">
      <w:pPr>
        <w:spacing w:after="0"/>
        <w:jc w:val="both"/>
        <w:rPr>
          <w:rFonts w:ascii="Arial" w:hAnsi="Arial" w:cs="Arial"/>
          <w:lang w:val="es-MX" w:eastAsia="es-MX"/>
        </w:rPr>
      </w:pPr>
    </w:p>
    <w:p w14:paraId="133CDB6C" w14:textId="77777777" w:rsidR="00B600DD" w:rsidRPr="00BF0878" w:rsidRDefault="00B600DD" w:rsidP="00B600DD">
      <w:pPr>
        <w:spacing w:after="0"/>
        <w:jc w:val="both"/>
        <w:rPr>
          <w:rFonts w:ascii="Arial" w:hAnsi="Arial" w:cs="Arial"/>
          <w:b/>
          <w:lang w:val="es-MX" w:eastAsia="es-MX"/>
        </w:rPr>
      </w:pPr>
      <w:r w:rsidRPr="00BF0878">
        <w:rPr>
          <w:rFonts w:ascii="Arial" w:hAnsi="Arial" w:cs="Arial"/>
          <w:b/>
          <w:lang w:val="es-MX" w:eastAsia="es-MX"/>
        </w:rPr>
        <w:t>Interpretación de los indicadores</w:t>
      </w:r>
    </w:p>
    <w:p w14:paraId="20BA67AC" w14:textId="77777777" w:rsidR="00B600DD" w:rsidRPr="00B600DD" w:rsidRDefault="00B600DD" w:rsidP="00B600DD">
      <w:pPr>
        <w:spacing w:after="0"/>
        <w:jc w:val="both"/>
        <w:rPr>
          <w:rFonts w:ascii="Arial" w:hAnsi="Arial" w:cs="Arial"/>
          <w:b/>
          <w:lang w:val="es-MX" w:eastAsia="es-MX"/>
        </w:rPr>
      </w:pPr>
    </w:p>
    <w:p w14:paraId="2A27F61F" w14:textId="2125F1B2" w:rsidR="00B600DD" w:rsidRPr="00B600DD" w:rsidRDefault="00C62CA6" w:rsidP="00B600DD">
      <w:pPr>
        <w:spacing w:after="0"/>
        <w:jc w:val="both"/>
        <w:rPr>
          <w:rFonts w:ascii="Arial" w:hAnsi="Arial" w:cs="Arial"/>
          <w:lang w:val="es-MX" w:eastAsia="es-MX"/>
        </w:rPr>
      </w:pPr>
      <w:r>
        <w:rPr>
          <w:rFonts w:ascii="Arial" w:hAnsi="Arial" w:cs="Arial"/>
          <w:lang w:val="es-MX" w:eastAsia="es-MX"/>
        </w:rPr>
        <w:t xml:space="preserve">En </w:t>
      </w:r>
      <w:r w:rsidR="002B59BA">
        <w:rPr>
          <w:rFonts w:ascii="Arial" w:hAnsi="Arial" w:cs="Arial"/>
          <w:lang w:val="es-MX" w:eastAsia="es-MX"/>
        </w:rPr>
        <w:t>resumen,</w:t>
      </w:r>
      <w:r>
        <w:rPr>
          <w:rFonts w:ascii="Arial" w:hAnsi="Arial" w:cs="Arial"/>
          <w:lang w:val="es-MX" w:eastAsia="es-MX"/>
        </w:rPr>
        <w:t xml:space="preserve"> s</w:t>
      </w:r>
      <w:r w:rsidR="00B600DD" w:rsidRPr="00B600DD">
        <w:rPr>
          <w:rFonts w:ascii="Arial" w:hAnsi="Arial" w:cs="Arial"/>
          <w:lang w:val="es-MX" w:eastAsia="es-MX"/>
        </w:rPr>
        <w:t xml:space="preserve">e observa </w:t>
      </w:r>
      <w:r>
        <w:rPr>
          <w:rFonts w:ascii="Arial" w:hAnsi="Arial" w:cs="Arial"/>
          <w:lang w:val="es-MX" w:eastAsia="es-MX"/>
        </w:rPr>
        <w:t>que existe</w:t>
      </w:r>
      <w:r w:rsidR="00B600DD" w:rsidRPr="00B600DD">
        <w:rPr>
          <w:rFonts w:ascii="Arial" w:hAnsi="Arial" w:cs="Arial"/>
          <w:lang w:val="es-MX" w:eastAsia="es-MX"/>
        </w:rPr>
        <w:t xml:space="preserve"> mayor grado de discrecionalidad en Portugal y Reino Unido donde se observan criterios más laxos, fundamentalmente basados en número de operadores (2+) y cobertura. Por el contrario, tanto en España como en Italia se establecen criterios de cuota de mercado. Si bien en España el criterio para desregular las redes NGA se basa en el número de operadores (3+) y cobertura. </w:t>
      </w:r>
    </w:p>
    <w:p w14:paraId="5A19C56C" w14:textId="77777777" w:rsidR="00B600DD" w:rsidRPr="00B600DD" w:rsidRDefault="00B600DD" w:rsidP="00B600DD">
      <w:pPr>
        <w:spacing w:after="0"/>
        <w:jc w:val="both"/>
        <w:rPr>
          <w:rFonts w:ascii="Arial" w:hAnsi="Arial" w:cs="Arial"/>
          <w:sz w:val="20"/>
          <w:szCs w:val="20"/>
          <w:lang w:val="es-MX" w:eastAsia="es-MX"/>
        </w:rPr>
      </w:pPr>
    </w:p>
    <w:tbl>
      <w:tblPr>
        <w:tblStyle w:val="Tabladecuadrcula4-nfasis31"/>
        <w:tblW w:w="5000" w:type="pct"/>
        <w:tblLook w:val="0620" w:firstRow="1" w:lastRow="0" w:firstColumn="0" w:lastColumn="0" w:noHBand="1" w:noVBand="1"/>
      </w:tblPr>
      <w:tblGrid>
        <w:gridCol w:w="2362"/>
        <w:gridCol w:w="2350"/>
        <w:gridCol w:w="2343"/>
        <w:gridCol w:w="2339"/>
      </w:tblGrid>
      <w:tr w:rsidR="0038078F" w:rsidRPr="0038078F" w14:paraId="491E27A4" w14:textId="77777777" w:rsidTr="0038078F">
        <w:trPr>
          <w:cnfStyle w:val="100000000000" w:firstRow="1" w:lastRow="0" w:firstColumn="0" w:lastColumn="0" w:oddVBand="0" w:evenVBand="0" w:oddHBand="0" w:evenHBand="0" w:firstRowFirstColumn="0" w:firstRowLastColumn="0" w:lastRowFirstColumn="0" w:lastRowLastColumn="0"/>
          <w:trHeight w:val="20"/>
        </w:trPr>
        <w:tc>
          <w:tcPr>
            <w:tcW w:w="1257" w:type="pct"/>
          </w:tcPr>
          <w:p w14:paraId="29B7A8FC" w14:textId="77777777" w:rsidR="00B600DD" w:rsidRPr="0038078F" w:rsidRDefault="00B600DD" w:rsidP="0038078F">
            <w:pPr>
              <w:spacing w:before="40" w:after="40" w:line="240" w:lineRule="auto"/>
              <w:jc w:val="center"/>
              <w:rPr>
                <w:rFonts w:ascii="Arial" w:hAnsi="Arial" w:cs="Arial"/>
                <w:b w:val="0"/>
                <w:bCs w:val="0"/>
                <w:color w:val="FFFFFF" w:themeColor="background1"/>
                <w:sz w:val="20"/>
                <w:lang w:val="es-ES_tradnl"/>
              </w:rPr>
            </w:pPr>
            <w:r w:rsidRPr="0038078F">
              <w:rPr>
                <w:rFonts w:ascii="Arial" w:hAnsi="Arial" w:cs="Arial"/>
                <w:b w:val="0"/>
                <w:bCs w:val="0"/>
                <w:color w:val="FFFFFF" w:themeColor="background1"/>
                <w:sz w:val="20"/>
                <w:lang w:val="es-ES_tradnl"/>
              </w:rPr>
              <w:t>Portugal</w:t>
            </w:r>
          </w:p>
        </w:tc>
        <w:tc>
          <w:tcPr>
            <w:tcW w:w="1251" w:type="pct"/>
          </w:tcPr>
          <w:p w14:paraId="05DAA2D8" w14:textId="77777777" w:rsidR="00B600DD" w:rsidRPr="0038078F" w:rsidRDefault="00B600DD" w:rsidP="0038078F">
            <w:pPr>
              <w:spacing w:before="40" w:after="40" w:line="240" w:lineRule="auto"/>
              <w:jc w:val="center"/>
              <w:rPr>
                <w:rFonts w:ascii="Arial" w:hAnsi="Arial" w:cs="Arial"/>
                <w:b w:val="0"/>
                <w:bCs w:val="0"/>
                <w:color w:val="FFFFFF" w:themeColor="background1"/>
                <w:sz w:val="20"/>
                <w:lang w:val="es-ES_tradnl"/>
              </w:rPr>
            </w:pPr>
            <w:r w:rsidRPr="0038078F">
              <w:rPr>
                <w:rFonts w:ascii="Arial" w:hAnsi="Arial" w:cs="Arial"/>
                <w:b w:val="0"/>
                <w:bCs w:val="0"/>
                <w:color w:val="FFFFFF" w:themeColor="background1"/>
                <w:sz w:val="20"/>
                <w:lang w:val="es-ES_tradnl"/>
              </w:rPr>
              <w:t>Reino Unido</w:t>
            </w:r>
          </w:p>
        </w:tc>
        <w:tc>
          <w:tcPr>
            <w:tcW w:w="1247" w:type="pct"/>
          </w:tcPr>
          <w:p w14:paraId="2FA5DD09" w14:textId="77777777" w:rsidR="00B600DD" w:rsidRPr="0038078F" w:rsidRDefault="00B600DD" w:rsidP="0038078F">
            <w:pPr>
              <w:spacing w:before="40" w:after="40" w:line="240" w:lineRule="auto"/>
              <w:jc w:val="center"/>
              <w:rPr>
                <w:rFonts w:ascii="Arial" w:hAnsi="Arial" w:cs="Arial"/>
                <w:b w:val="0"/>
                <w:bCs w:val="0"/>
                <w:color w:val="FFFFFF" w:themeColor="background1"/>
                <w:sz w:val="20"/>
                <w:lang w:val="es-ES_tradnl"/>
              </w:rPr>
            </w:pPr>
            <w:r w:rsidRPr="0038078F">
              <w:rPr>
                <w:rFonts w:ascii="Arial" w:hAnsi="Arial" w:cs="Arial"/>
                <w:b w:val="0"/>
                <w:bCs w:val="0"/>
                <w:color w:val="FFFFFF" w:themeColor="background1"/>
                <w:sz w:val="20"/>
                <w:lang w:val="es-ES_tradnl"/>
              </w:rPr>
              <w:t>España</w:t>
            </w:r>
          </w:p>
        </w:tc>
        <w:tc>
          <w:tcPr>
            <w:tcW w:w="1246" w:type="pct"/>
          </w:tcPr>
          <w:p w14:paraId="091D6E53" w14:textId="77777777" w:rsidR="00B600DD" w:rsidRPr="0038078F" w:rsidRDefault="00B600DD" w:rsidP="0038078F">
            <w:pPr>
              <w:spacing w:before="40" w:after="40" w:line="240" w:lineRule="auto"/>
              <w:jc w:val="center"/>
              <w:rPr>
                <w:rFonts w:ascii="Arial" w:hAnsi="Arial" w:cs="Arial"/>
                <w:b w:val="0"/>
                <w:bCs w:val="0"/>
                <w:color w:val="FFFFFF" w:themeColor="background1"/>
                <w:sz w:val="20"/>
                <w:lang w:val="es-ES_tradnl"/>
              </w:rPr>
            </w:pPr>
            <w:r w:rsidRPr="0038078F">
              <w:rPr>
                <w:rFonts w:ascii="Arial" w:hAnsi="Arial" w:cs="Arial"/>
                <w:b w:val="0"/>
                <w:bCs w:val="0"/>
                <w:color w:val="FFFFFF" w:themeColor="background1"/>
                <w:sz w:val="20"/>
                <w:lang w:val="es-ES_tradnl"/>
              </w:rPr>
              <w:t>Italia(*)</w:t>
            </w:r>
          </w:p>
        </w:tc>
      </w:tr>
      <w:tr w:rsidR="00B600DD" w:rsidRPr="00B600DD" w14:paraId="5924F32C" w14:textId="77777777" w:rsidTr="0038078F">
        <w:trPr>
          <w:trHeight w:val="20"/>
        </w:trPr>
        <w:tc>
          <w:tcPr>
            <w:tcW w:w="1257" w:type="pct"/>
          </w:tcPr>
          <w:p w14:paraId="24E38EFA"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 xml:space="preserve">2+ operadores, y </w:t>
            </w:r>
          </w:p>
          <w:p w14:paraId="48F0E2D6"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Cobertura individual NGA ≥ 50%</w:t>
            </w:r>
          </w:p>
          <w:p w14:paraId="5C3B19A9" w14:textId="378423EB" w:rsidR="00B600DD" w:rsidRPr="00B600DD" w:rsidRDefault="00544385" w:rsidP="00B600DD">
            <w:pPr>
              <w:spacing w:before="40" w:after="40" w:line="240" w:lineRule="auto"/>
              <w:rPr>
                <w:rFonts w:ascii="Arial" w:hAnsi="Arial" w:cs="Arial"/>
                <w:sz w:val="18"/>
                <w:szCs w:val="20"/>
                <w:lang w:val="es-ES_tradnl"/>
              </w:rPr>
            </w:pPr>
            <w:r>
              <w:rPr>
                <w:rFonts w:ascii="Arial" w:hAnsi="Arial" w:cs="Arial"/>
                <w:sz w:val="18"/>
                <w:szCs w:val="20"/>
                <w:lang w:val="es-ES_tradnl"/>
              </w:rPr>
              <w:t>o</w:t>
            </w:r>
          </w:p>
          <w:p w14:paraId="62545424"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1+ operador, y</w:t>
            </w:r>
          </w:p>
          <w:p w14:paraId="582CCA8F"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Cobertura individual NGA ≥ 50%, y</w:t>
            </w:r>
          </w:p>
          <w:p w14:paraId="4963B5DA"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Cuota incumbente ≤ 50%</w:t>
            </w:r>
          </w:p>
        </w:tc>
        <w:tc>
          <w:tcPr>
            <w:tcW w:w="1251" w:type="pct"/>
          </w:tcPr>
          <w:p w14:paraId="1144473D"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 xml:space="preserve">2+ PO </w:t>
            </w:r>
          </w:p>
          <w:p w14:paraId="10B4992E" w14:textId="77777777" w:rsidR="00544385" w:rsidRDefault="00544385" w:rsidP="00B600DD">
            <w:pPr>
              <w:tabs>
                <w:tab w:val="num" w:pos="340"/>
              </w:tabs>
              <w:spacing w:before="60" w:after="60" w:line="264" w:lineRule="auto"/>
              <w:ind w:left="340" w:hanging="340"/>
              <w:jc w:val="both"/>
              <w:rPr>
                <w:rFonts w:ascii="Arial" w:hAnsi="Arial" w:cs="Arial"/>
                <w:sz w:val="18"/>
                <w:szCs w:val="20"/>
                <w:lang w:val="es-ES_tradnl"/>
              </w:rPr>
            </w:pPr>
          </w:p>
          <w:p w14:paraId="036D96E0" w14:textId="437F9644" w:rsidR="00B600DD" w:rsidRPr="00B600DD" w:rsidRDefault="00B600DD" w:rsidP="002B59BA">
            <w:pPr>
              <w:tabs>
                <w:tab w:val="num" w:pos="340"/>
              </w:tabs>
              <w:spacing w:before="60" w:after="60" w:line="264" w:lineRule="auto"/>
              <w:jc w:val="both"/>
              <w:rPr>
                <w:rFonts w:ascii="Arial" w:hAnsi="Arial" w:cs="Arial"/>
                <w:sz w:val="18"/>
                <w:szCs w:val="20"/>
                <w:lang w:val="es-ES_tradnl"/>
              </w:rPr>
            </w:pPr>
            <w:r w:rsidRPr="00B600DD">
              <w:rPr>
                <w:rFonts w:ascii="Arial" w:hAnsi="Arial" w:cs="Arial"/>
                <w:sz w:val="18"/>
                <w:szCs w:val="20"/>
                <w:lang w:val="es-ES_tradnl"/>
              </w:rPr>
              <w:t>(implica, para el caso de operadores de fibra / cable) una cobertura individual NGA ≥ 65%</w:t>
            </w:r>
          </w:p>
          <w:p w14:paraId="1E41CD31" w14:textId="77777777" w:rsidR="00B600DD" w:rsidRPr="00B600DD" w:rsidRDefault="00B600DD" w:rsidP="00B600DD">
            <w:pPr>
              <w:spacing w:before="60" w:after="60" w:line="264" w:lineRule="auto"/>
              <w:ind w:left="340"/>
              <w:jc w:val="both"/>
              <w:rPr>
                <w:rFonts w:ascii="Arial" w:hAnsi="Arial" w:cs="Arial"/>
                <w:sz w:val="18"/>
                <w:szCs w:val="20"/>
                <w:lang w:val="es-ES_tradnl"/>
              </w:rPr>
            </w:pPr>
          </w:p>
          <w:p w14:paraId="5D69A505" w14:textId="77777777" w:rsidR="00B600DD" w:rsidRPr="00B600DD" w:rsidRDefault="00B600DD" w:rsidP="00B600DD">
            <w:pPr>
              <w:spacing w:before="40" w:after="40" w:line="240" w:lineRule="auto"/>
              <w:rPr>
                <w:rFonts w:ascii="Arial" w:hAnsi="Arial" w:cs="Arial"/>
                <w:sz w:val="18"/>
                <w:lang w:val="es-ES_tradnl"/>
              </w:rPr>
            </w:pPr>
          </w:p>
        </w:tc>
        <w:tc>
          <w:tcPr>
            <w:tcW w:w="1247" w:type="pct"/>
          </w:tcPr>
          <w:p w14:paraId="38EC90F3"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2+ operadores, y</w:t>
            </w:r>
          </w:p>
          <w:p w14:paraId="668195D6"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Cuota individual ≥ 10%, y</w:t>
            </w:r>
          </w:p>
          <w:p w14:paraId="145E3199"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Cuota de Telefónica &lt; 50%</w:t>
            </w:r>
          </w:p>
          <w:p w14:paraId="7CA181E9" w14:textId="376C783B" w:rsidR="00B600DD" w:rsidRPr="00B600DD" w:rsidRDefault="00544385" w:rsidP="00B600DD">
            <w:pPr>
              <w:spacing w:before="60" w:after="60" w:line="264" w:lineRule="auto"/>
              <w:jc w:val="both"/>
              <w:rPr>
                <w:rFonts w:ascii="Arial" w:hAnsi="Arial" w:cs="Arial"/>
                <w:sz w:val="18"/>
                <w:szCs w:val="20"/>
                <w:lang w:val="es-ES_tradnl"/>
              </w:rPr>
            </w:pPr>
            <w:r>
              <w:rPr>
                <w:rFonts w:ascii="Arial" w:hAnsi="Arial" w:cs="Arial"/>
                <w:sz w:val="18"/>
                <w:szCs w:val="20"/>
                <w:lang w:val="es-ES_tradnl"/>
              </w:rPr>
              <w:t>o</w:t>
            </w:r>
          </w:p>
          <w:p w14:paraId="5B01C4D9" w14:textId="77777777" w:rsidR="00B600DD" w:rsidRPr="00B600DD" w:rsidRDefault="00B600DD" w:rsidP="00B600DD">
            <w:pPr>
              <w:tabs>
                <w:tab w:val="num" w:pos="340"/>
              </w:tabs>
              <w:spacing w:before="60" w:after="60" w:line="264" w:lineRule="auto"/>
              <w:ind w:left="340" w:hanging="340"/>
              <w:jc w:val="both"/>
              <w:rPr>
                <w:rFonts w:ascii="Arial" w:hAnsi="Arial" w:cs="Arial"/>
                <w:sz w:val="18"/>
                <w:lang w:val="es-ES_tradnl"/>
              </w:rPr>
            </w:pPr>
            <w:r w:rsidRPr="00B600DD">
              <w:rPr>
                <w:rFonts w:ascii="Arial" w:hAnsi="Arial" w:cs="Arial"/>
                <w:sz w:val="18"/>
                <w:szCs w:val="20"/>
                <w:lang w:val="es-ES_tradnl"/>
              </w:rPr>
              <w:t xml:space="preserve">3+ redes NGA con </w:t>
            </w:r>
          </w:p>
          <w:p w14:paraId="6DE9A6C0" w14:textId="77777777" w:rsidR="00B600DD" w:rsidRPr="00B600DD" w:rsidRDefault="00B600DD" w:rsidP="00B600DD">
            <w:pPr>
              <w:tabs>
                <w:tab w:val="num" w:pos="340"/>
              </w:tabs>
              <w:spacing w:before="60" w:after="60" w:line="264" w:lineRule="auto"/>
              <w:ind w:left="340" w:hanging="340"/>
              <w:jc w:val="both"/>
              <w:rPr>
                <w:rFonts w:ascii="Arial" w:hAnsi="Arial" w:cs="Arial"/>
                <w:sz w:val="18"/>
                <w:lang w:val="es-ES_tradnl"/>
              </w:rPr>
            </w:pPr>
            <w:r w:rsidRPr="00B600DD">
              <w:rPr>
                <w:rFonts w:ascii="Arial" w:hAnsi="Arial" w:cs="Arial"/>
                <w:sz w:val="18"/>
                <w:szCs w:val="20"/>
                <w:lang w:val="es-ES_tradnl"/>
              </w:rPr>
              <w:t>Cobertura individual superior al 20%</w:t>
            </w:r>
          </w:p>
        </w:tc>
        <w:tc>
          <w:tcPr>
            <w:tcW w:w="1246" w:type="pct"/>
          </w:tcPr>
          <w:p w14:paraId="37AEFF7F"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2+ operadores, y</w:t>
            </w:r>
          </w:p>
          <w:p w14:paraId="4F8C8CC5"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 xml:space="preserve">Cobertura individual ≥ 60%, y conjunta ≥ 75%, y </w:t>
            </w:r>
          </w:p>
          <w:p w14:paraId="5E012F0A" w14:textId="77777777" w:rsidR="00B600DD" w:rsidRPr="00B600DD" w:rsidRDefault="00B600DD" w:rsidP="00B600DD">
            <w:pPr>
              <w:tabs>
                <w:tab w:val="num" w:pos="340"/>
              </w:tabs>
              <w:spacing w:before="60" w:after="60" w:line="264" w:lineRule="auto"/>
              <w:ind w:left="340" w:hanging="340"/>
              <w:jc w:val="both"/>
              <w:rPr>
                <w:rFonts w:ascii="Arial" w:hAnsi="Arial" w:cs="Arial"/>
                <w:sz w:val="18"/>
                <w:szCs w:val="20"/>
                <w:lang w:val="es-ES_tradnl"/>
              </w:rPr>
            </w:pPr>
            <w:r w:rsidRPr="00B600DD">
              <w:rPr>
                <w:rFonts w:ascii="Arial" w:hAnsi="Arial" w:cs="Arial"/>
                <w:sz w:val="18"/>
                <w:szCs w:val="20"/>
                <w:lang w:val="es-ES_tradnl"/>
              </w:rPr>
              <w:t>Cuota de TIM minorista en fibra &lt; 40%, y</w:t>
            </w:r>
          </w:p>
          <w:p w14:paraId="6E768BCA" w14:textId="77777777" w:rsidR="00B600DD" w:rsidRPr="00B600DD" w:rsidRDefault="00B600DD" w:rsidP="00B600DD">
            <w:pPr>
              <w:tabs>
                <w:tab w:val="num" w:pos="340"/>
              </w:tabs>
              <w:spacing w:before="60" w:after="60" w:line="264" w:lineRule="auto"/>
              <w:ind w:left="340" w:hanging="340"/>
              <w:jc w:val="both"/>
              <w:rPr>
                <w:rFonts w:ascii="Arial" w:hAnsi="Arial" w:cs="Arial"/>
                <w:sz w:val="18"/>
                <w:lang w:val="es-ES_tradnl"/>
              </w:rPr>
            </w:pPr>
            <w:r w:rsidRPr="00B600DD">
              <w:rPr>
                <w:rFonts w:ascii="Arial" w:hAnsi="Arial" w:cs="Arial"/>
                <w:sz w:val="18"/>
                <w:szCs w:val="20"/>
                <w:lang w:val="es-ES_tradnl"/>
              </w:rPr>
              <w:t>Cuota de TIM mayorista en fibra &lt; 80%</w:t>
            </w:r>
          </w:p>
          <w:p w14:paraId="54DDB992" w14:textId="77777777" w:rsidR="00B600DD" w:rsidRPr="00B600DD" w:rsidRDefault="00B600DD" w:rsidP="00B600DD">
            <w:pPr>
              <w:spacing w:before="40" w:after="40" w:line="240" w:lineRule="auto"/>
              <w:rPr>
                <w:rFonts w:ascii="Arial" w:hAnsi="Arial" w:cs="Arial"/>
                <w:sz w:val="18"/>
                <w:lang w:val="es-ES_tradnl"/>
              </w:rPr>
            </w:pPr>
          </w:p>
        </w:tc>
      </w:tr>
      <w:tr w:rsidR="00B600DD" w:rsidRPr="00B600DD" w14:paraId="685E061B" w14:textId="77777777" w:rsidTr="0038078F">
        <w:trPr>
          <w:trHeight w:val="20"/>
        </w:trPr>
        <w:tc>
          <w:tcPr>
            <w:tcW w:w="1257" w:type="pct"/>
          </w:tcPr>
          <w:p w14:paraId="7991D6B7" w14:textId="77777777" w:rsidR="00B600DD" w:rsidRPr="00B600DD" w:rsidRDefault="00B600DD" w:rsidP="00B600DD">
            <w:pPr>
              <w:spacing w:before="40" w:after="40" w:line="240" w:lineRule="auto"/>
              <w:rPr>
                <w:rFonts w:ascii="Arial" w:hAnsi="Arial" w:cs="Arial"/>
                <w:sz w:val="18"/>
                <w:lang w:val="es-ES_tradnl"/>
              </w:rPr>
            </w:pPr>
            <w:r w:rsidRPr="00B600DD">
              <w:rPr>
                <w:rFonts w:ascii="Arial" w:hAnsi="Arial" w:cs="Arial"/>
                <w:sz w:val="18"/>
                <w:lang w:val="es-ES_tradnl"/>
              </w:rPr>
              <w:t>La cuota se considera solo en el caso de haber menos  de 2 operadores alternativos con una cobertura NGA suficiente</w:t>
            </w:r>
          </w:p>
        </w:tc>
        <w:tc>
          <w:tcPr>
            <w:tcW w:w="1251" w:type="pct"/>
          </w:tcPr>
          <w:p w14:paraId="6AE734B9" w14:textId="77777777" w:rsidR="00B600DD" w:rsidRPr="00B600DD" w:rsidRDefault="00B600DD" w:rsidP="00B600DD">
            <w:pPr>
              <w:spacing w:before="40" w:after="40" w:line="240" w:lineRule="auto"/>
              <w:rPr>
                <w:rFonts w:ascii="Arial" w:hAnsi="Arial" w:cs="Arial"/>
                <w:sz w:val="18"/>
                <w:lang w:val="es-ES_tradnl"/>
              </w:rPr>
            </w:pPr>
            <w:r w:rsidRPr="00B600DD">
              <w:rPr>
                <w:rFonts w:ascii="Arial" w:hAnsi="Arial" w:cs="Arial"/>
                <w:sz w:val="18"/>
                <w:lang w:val="es-ES_tradnl"/>
              </w:rPr>
              <w:t>No se considera la cuota de mercado como criterio.</w:t>
            </w:r>
          </w:p>
          <w:p w14:paraId="42DE7BFE" w14:textId="77777777" w:rsidR="00B600DD" w:rsidRPr="00B600DD" w:rsidRDefault="00B600DD" w:rsidP="00B600DD">
            <w:pPr>
              <w:spacing w:before="40" w:after="40" w:line="240" w:lineRule="auto"/>
              <w:rPr>
                <w:rFonts w:ascii="Arial" w:hAnsi="Arial" w:cs="Arial"/>
                <w:sz w:val="18"/>
                <w:lang w:val="es-ES_tradnl"/>
              </w:rPr>
            </w:pPr>
            <w:r w:rsidRPr="00B600DD">
              <w:rPr>
                <w:rFonts w:ascii="Arial" w:hAnsi="Arial" w:cs="Arial"/>
                <w:sz w:val="18"/>
                <w:lang w:val="es-ES_tradnl"/>
              </w:rPr>
              <w:t xml:space="preserve">Si bien, la identificación de los PO considera las cuotas de mercado a nivel nacional. </w:t>
            </w:r>
          </w:p>
        </w:tc>
        <w:tc>
          <w:tcPr>
            <w:tcW w:w="1247" w:type="pct"/>
          </w:tcPr>
          <w:p w14:paraId="6C479091" w14:textId="77777777" w:rsidR="00B600DD" w:rsidRPr="00B600DD" w:rsidRDefault="00B600DD" w:rsidP="00B600DD">
            <w:pPr>
              <w:spacing w:before="40" w:after="40" w:line="240" w:lineRule="auto"/>
              <w:rPr>
                <w:rFonts w:ascii="Arial" w:hAnsi="Arial" w:cs="Arial"/>
                <w:sz w:val="18"/>
                <w:lang w:val="es-ES_tradnl"/>
              </w:rPr>
            </w:pPr>
            <w:r w:rsidRPr="00B600DD">
              <w:rPr>
                <w:rFonts w:ascii="Arial" w:hAnsi="Arial" w:cs="Arial"/>
                <w:sz w:val="18"/>
                <w:lang w:val="es-ES_tradnl"/>
              </w:rPr>
              <w:t xml:space="preserve">Se considera tanto la cuota del incumbente como de los alternativos, si bien en el caso de redes NGA el requisito se basa tan solo en el número de operadores y su cobertura. </w:t>
            </w:r>
          </w:p>
        </w:tc>
        <w:tc>
          <w:tcPr>
            <w:tcW w:w="1246" w:type="pct"/>
          </w:tcPr>
          <w:p w14:paraId="10820DF4" w14:textId="77777777" w:rsidR="00B600DD" w:rsidRPr="00B600DD" w:rsidRDefault="00B600DD" w:rsidP="00B600DD">
            <w:pPr>
              <w:spacing w:before="40" w:after="40" w:line="240" w:lineRule="auto"/>
              <w:rPr>
                <w:rFonts w:ascii="Arial" w:hAnsi="Arial" w:cs="Arial"/>
                <w:sz w:val="18"/>
                <w:lang w:val="es-ES_tradnl"/>
              </w:rPr>
            </w:pPr>
            <w:r w:rsidRPr="00B600DD">
              <w:rPr>
                <w:rFonts w:ascii="Arial" w:hAnsi="Arial" w:cs="Arial"/>
                <w:sz w:val="18"/>
                <w:lang w:val="es-ES_tradnl"/>
              </w:rPr>
              <w:t>Se consideran tanto criterios de cuota (minorista y mayorista) como de cobertura.</w:t>
            </w:r>
          </w:p>
        </w:tc>
      </w:tr>
    </w:tbl>
    <w:p w14:paraId="7A1D2A0C" w14:textId="77777777" w:rsidR="00B600DD" w:rsidRPr="00B600DD" w:rsidRDefault="00B600DD" w:rsidP="00B600DD">
      <w:pPr>
        <w:spacing w:after="0" w:line="240" w:lineRule="auto"/>
        <w:jc w:val="both"/>
        <w:rPr>
          <w:rFonts w:ascii="Arial" w:hAnsi="Arial" w:cs="Arial"/>
          <w:sz w:val="16"/>
          <w:szCs w:val="16"/>
          <w:lang w:val="es-MX" w:eastAsia="es-MX"/>
        </w:rPr>
      </w:pPr>
      <w:r w:rsidRPr="00B600DD">
        <w:rPr>
          <w:rFonts w:ascii="Arial" w:hAnsi="Arial" w:cs="Arial"/>
          <w:b/>
          <w:sz w:val="16"/>
          <w:szCs w:val="16"/>
          <w:lang w:val="es-MX" w:eastAsia="es-MX"/>
        </w:rPr>
        <w:t>Tabla 12.</w:t>
      </w:r>
      <w:r w:rsidRPr="00B600DD">
        <w:rPr>
          <w:rFonts w:ascii="Arial" w:hAnsi="Arial" w:cs="Arial"/>
          <w:sz w:val="16"/>
          <w:szCs w:val="16"/>
          <w:lang w:val="es-MX" w:eastAsia="es-MX"/>
        </w:rPr>
        <w:tab/>
        <w:t>Resumen de los criterios considerados en los estudios de caso con el objetivo de separar las distintas áreas geográficas</w:t>
      </w:r>
    </w:p>
    <w:p w14:paraId="4BE3124F" w14:textId="4637E8FE" w:rsidR="00B600DD" w:rsidRPr="00B600DD" w:rsidRDefault="003A2FB9" w:rsidP="00B600DD">
      <w:pPr>
        <w:spacing w:after="0" w:line="240" w:lineRule="auto"/>
        <w:jc w:val="both"/>
        <w:rPr>
          <w:rFonts w:ascii="Arial" w:hAnsi="Arial" w:cs="Arial"/>
          <w:sz w:val="16"/>
          <w:szCs w:val="16"/>
          <w:lang w:val="es-MX" w:eastAsia="es-MX"/>
        </w:rPr>
      </w:pPr>
      <w:r>
        <w:rPr>
          <w:rFonts w:ascii="Arial" w:hAnsi="Arial" w:cs="Arial"/>
          <w:b/>
          <w:sz w:val="16"/>
          <w:szCs w:val="16"/>
          <w:lang w:val="es-MX" w:eastAsia="es-MX"/>
        </w:rPr>
        <w:t>*</w:t>
      </w:r>
      <w:r w:rsidR="00B600DD" w:rsidRPr="00B600DD">
        <w:rPr>
          <w:rFonts w:ascii="Arial" w:hAnsi="Arial" w:cs="Arial"/>
          <w:b/>
          <w:sz w:val="16"/>
          <w:szCs w:val="16"/>
          <w:lang w:val="es-MX" w:eastAsia="es-MX"/>
        </w:rPr>
        <w:t>Nota:</w:t>
      </w:r>
      <w:r w:rsidR="00B600DD" w:rsidRPr="00B600DD">
        <w:rPr>
          <w:rFonts w:ascii="Arial" w:hAnsi="Arial" w:cs="Arial"/>
          <w:b/>
          <w:sz w:val="16"/>
          <w:szCs w:val="16"/>
          <w:lang w:val="es-MX" w:eastAsia="es-MX"/>
        </w:rPr>
        <w:tab/>
      </w:r>
      <w:r w:rsidR="00B600DD" w:rsidRPr="00B600DD">
        <w:rPr>
          <w:rFonts w:ascii="Arial" w:hAnsi="Arial" w:cs="Arial"/>
          <w:sz w:val="16"/>
          <w:szCs w:val="16"/>
          <w:lang w:val="es-MX" w:eastAsia="es-MX"/>
        </w:rPr>
        <w:t xml:space="preserve">En </w:t>
      </w:r>
      <w:r>
        <w:rPr>
          <w:rFonts w:ascii="Arial" w:hAnsi="Arial" w:cs="Arial"/>
          <w:sz w:val="16"/>
          <w:szCs w:val="16"/>
          <w:lang w:val="es-MX" w:eastAsia="es-MX"/>
        </w:rPr>
        <w:t>los casos analizados se consideran</w:t>
      </w:r>
      <w:r w:rsidR="00B600DD" w:rsidRPr="00B600DD">
        <w:rPr>
          <w:rFonts w:ascii="Arial" w:hAnsi="Arial" w:cs="Arial"/>
          <w:sz w:val="16"/>
          <w:szCs w:val="16"/>
          <w:lang w:val="es-MX" w:eastAsia="es-MX"/>
        </w:rPr>
        <w:t xml:space="preserve"> los criterios para segmentar los mercados geográficos empleados en la última revisión de mercado aprobada. En el caso de Italia estos criterios se han utilizado para la segmentación de remedios en la zona fuera de Milán, que se definió como un mercado separado. </w:t>
      </w:r>
    </w:p>
    <w:p w14:paraId="61423597" w14:textId="77777777" w:rsidR="00B600DD" w:rsidRPr="00B600DD" w:rsidRDefault="00B600DD" w:rsidP="00B600DD">
      <w:pPr>
        <w:spacing w:after="0" w:line="240" w:lineRule="auto"/>
        <w:jc w:val="both"/>
        <w:rPr>
          <w:rFonts w:ascii="Arial" w:hAnsi="Arial" w:cs="Arial"/>
          <w:sz w:val="16"/>
          <w:szCs w:val="16"/>
          <w:lang w:val="es-MX" w:eastAsia="es-MX"/>
        </w:rPr>
      </w:pPr>
    </w:p>
    <w:p w14:paraId="440EDA57" w14:textId="77777777" w:rsidR="00B600DD" w:rsidRPr="00B600DD" w:rsidRDefault="00B600DD" w:rsidP="00B600DD">
      <w:pPr>
        <w:spacing w:after="0"/>
        <w:jc w:val="both"/>
        <w:rPr>
          <w:rFonts w:ascii="Arial" w:hAnsi="Arial" w:cs="Arial"/>
          <w:lang w:val="es-MX" w:eastAsia="es-MX"/>
        </w:rPr>
      </w:pPr>
    </w:p>
    <w:p w14:paraId="08DB1872" w14:textId="501A21BC"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Cabe señalar que la principal variable considerada en los países analizados y sobre la que no se tiene información en México sería la cobertura de los operadores alternativos. </w:t>
      </w:r>
    </w:p>
    <w:p w14:paraId="584582E9" w14:textId="77777777" w:rsidR="00B600DD" w:rsidRPr="00B600DD" w:rsidRDefault="00B600DD" w:rsidP="00B600DD">
      <w:pPr>
        <w:spacing w:after="0"/>
        <w:jc w:val="both"/>
        <w:rPr>
          <w:rFonts w:ascii="Arial" w:hAnsi="Arial" w:cs="Arial"/>
          <w:lang w:val="es-MX" w:eastAsia="es-MX"/>
        </w:rPr>
      </w:pPr>
    </w:p>
    <w:p w14:paraId="7DBC1901" w14:textId="77777777" w:rsidR="00B600DD" w:rsidRPr="00BF0878" w:rsidRDefault="00B600DD" w:rsidP="00B600DD">
      <w:pPr>
        <w:spacing w:after="0"/>
        <w:jc w:val="both"/>
        <w:rPr>
          <w:rFonts w:ascii="Arial" w:hAnsi="Arial" w:cs="Arial"/>
          <w:b/>
          <w:lang w:val="es-MX" w:eastAsia="es-MX"/>
        </w:rPr>
      </w:pPr>
      <w:r w:rsidRPr="00BF0878">
        <w:rPr>
          <w:rFonts w:ascii="Arial" w:hAnsi="Arial" w:cs="Arial"/>
          <w:b/>
          <w:lang w:val="es-MX" w:eastAsia="es-MX"/>
        </w:rPr>
        <w:t xml:space="preserve">Unidad geográfica de análisis </w:t>
      </w:r>
    </w:p>
    <w:p w14:paraId="34183EF0" w14:textId="77777777" w:rsidR="00B600DD" w:rsidRPr="00B600DD" w:rsidRDefault="00B600DD" w:rsidP="00B600DD">
      <w:pPr>
        <w:spacing w:after="0"/>
        <w:jc w:val="both"/>
        <w:rPr>
          <w:rFonts w:ascii="Arial" w:hAnsi="Arial" w:cs="Arial"/>
          <w:b/>
          <w:lang w:val="es-MX" w:eastAsia="es-MX"/>
        </w:rPr>
      </w:pPr>
    </w:p>
    <w:p w14:paraId="6B115908" w14:textId="6C30834E"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 xml:space="preserve">Lo que se observa es que dependiendo del caso se emplea la central local, unidad administrativa o una combinación de ambas. La central local es particularmente adecuada en el contexto del mercado de bitstream cuando la competencia proviene fundamentalmente de los operadores LLU, ya que la entrada de estos operadores se produce a este nivel. Si la competencia proviene principalmente de operadores con infraestructura propia, cableros u operadores de fibra, como es el caso de México, </w:t>
      </w:r>
      <w:r w:rsidR="00334753">
        <w:rPr>
          <w:rFonts w:ascii="Arial" w:hAnsi="Arial" w:cs="Arial"/>
          <w:lang w:val="es-MX" w:eastAsia="es-MX"/>
        </w:rPr>
        <w:t xml:space="preserve">el municipio </w:t>
      </w:r>
      <w:r w:rsidRPr="00B600DD">
        <w:rPr>
          <w:rFonts w:ascii="Arial" w:hAnsi="Arial" w:cs="Arial"/>
          <w:lang w:val="es-MX" w:eastAsia="es-MX"/>
        </w:rPr>
        <w:t xml:space="preserve">se presenta como una alternativa razonable. </w:t>
      </w:r>
    </w:p>
    <w:p w14:paraId="1391705C" w14:textId="77777777" w:rsidR="00B600DD" w:rsidRPr="00B600DD" w:rsidRDefault="00B600DD" w:rsidP="00B600DD">
      <w:pPr>
        <w:spacing w:after="0"/>
        <w:jc w:val="both"/>
        <w:rPr>
          <w:rFonts w:ascii="Arial" w:hAnsi="Arial" w:cs="Arial"/>
          <w:lang w:val="es-MX" w:eastAsia="es-MX"/>
        </w:rPr>
      </w:pPr>
    </w:p>
    <w:p w14:paraId="4D9034FD"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En los cuatro casos considerados se propone la desregulación total de las zonas en las que se observa un mayor grado de competencia en relación con los servicios de acceso central a la red fija para la provisión de servicios de banda ancha para el segmento de masas, donde se incluiría el SAIB:</w:t>
      </w:r>
    </w:p>
    <w:p w14:paraId="304DB743" w14:textId="77777777" w:rsidR="00B600DD" w:rsidRPr="00B600DD" w:rsidRDefault="00B600DD" w:rsidP="00B600DD">
      <w:pPr>
        <w:spacing w:after="0"/>
        <w:jc w:val="both"/>
        <w:rPr>
          <w:rFonts w:ascii="Arial" w:hAnsi="Arial" w:cs="Arial"/>
          <w:lang w:val="es-MX" w:eastAsia="es-MX"/>
        </w:rPr>
      </w:pPr>
    </w:p>
    <w:p w14:paraId="307C47A7" w14:textId="77777777" w:rsidR="00B600DD" w:rsidRPr="00B600DD" w:rsidRDefault="00B600DD" w:rsidP="00B600DD">
      <w:pPr>
        <w:numPr>
          <w:ilvl w:val="0"/>
          <w:numId w:val="36"/>
        </w:numPr>
        <w:spacing w:after="0" w:line="240" w:lineRule="auto"/>
        <w:contextualSpacing/>
        <w:jc w:val="both"/>
        <w:rPr>
          <w:rFonts w:ascii="Arial" w:hAnsi="Arial" w:cs="Arial"/>
          <w:lang w:val="es-MX"/>
        </w:rPr>
      </w:pPr>
      <w:r w:rsidRPr="00B600DD">
        <w:rPr>
          <w:rFonts w:ascii="Arial" w:hAnsi="Arial" w:cs="Arial"/>
          <w:lang w:val="es-MX"/>
        </w:rPr>
        <w:t xml:space="preserve">Mercado B en Reino Unido, </w:t>
      </w:r>
    </w:p>
    <w:p w14:paraId="2AD5A1FE" w14:textId="77777777" w:rsidR="00B600DD" w:rsidRPr="00B600DD" w:rsidRDefault="00B600DD" w:rsidP="00B600DD">
      <w:pPr>
        <w:spacing w:after="0"/>
        <w:ind w:left="720"/>
        <w:contextualSpacing/>
        <w:jc w:val="both"/>
        <w:rPr>
          <w:rFonts w:ascii="Arial" w:hAnsi="Arial" w:cs="Arial"/>
          <w:lang w:val="es-MX"/>
        </w:rPr>
      </w:pPr>
    </w:p>
    <w:p w14:paraId="60B45C52" w14:textId="77777777" w:rsidR="00B600DD" w:rsidRPr="00B600DD" w:rsidRDefault="00B600DD" w:rsidP="00B600DD">
      <w:pPr>
        <w:numPr>
          <w:ilvl w:val="0"/>
          <w:numId w:val="36"/>
        </w:numPr>
        <w:spacing w:after="0" w:line="240" w:lineRule="auto"/>
        <w:contextualSpacing/>
        <w:jc w:val="both"/>
        <w:rPr>
          <w:rFonts w:ascii="Arial" w:hAnsi="Arial" w:cs="Arial"/>
          <w:lang w:val="es-MX"/>
        </w:rPr>
      </w:pPr>
      <w:r w:rsidRPr="00B600DD">
        <w:rPr>
          <w:rFonts w:ascii="Arial" w:hAnsi="Arial" w:cs="Arial"/>
          <w:lang w:val="es-MX"/>
        </w:rPr>
        <w:t>El municipio de Milán en Italia,</w:t>
      </w:r>
    </w:p>
    <w:p w14:paraId="0246A7D6" w14:textId="77777777" w:rsidR="00B600DD" w:rsidRPr="00B600DD" w:rsidRDefault="00B600DD" w:rsidP="00B600DD">
      <w:pPr>
        <w:spacing w:after="0"/>
        <w:ind w:left="720"/>
        <w:contextualSpacing/>
        <w:jc w:val="both"/>
        <w:rPr>
          <w:rFonts w:ascii="Arial" w:hAnsi="Arial" w:cs="Arial"/>
          <w:lang w:val="es-MX"/>
        </w:rPr>
      </w:pPr>
    </w:p>
    <w:p w14:paraId="6BA15B63" w14:textId="77777777" w:rsidR="00B600DD" w:rsidRPr="00B600DD" w:rsidRDefault="00B600DD" w:rsidP="00B600DD">
      <w:pPr>
        <w:numPr>
          <w:ilvl w:val="0"/>
          <w:numId w:val="36"/>
        </w:numPr>
        <w:spacing w:after="0" w:line="240" w:lineRule="auto"/>
        <w:contextualSpacing/>
        <w:jc w:val="both"/>
        <w:rPr>
          <w:rFonts w:ascii="Arial" w:hAnsi="Arial" w:cs="Arial"/>
          <w:lang w:val="es-MX"/>
        </w:rPr>
      </w:pPr>
      <w:r w:rsidRPr="00B600DD">
        <w:rPr>
          <w:rFonts w:ascii="Arial" w:hAnsi="Arial" w:cs="Arial"/>
          <w:lang w:val="es-MX"/>
        </w:rPr>
        <w:t>Mercado 3b_1 en España, y</w:t>
      </w:r>
    </w:p>
    <w:p w14:paraId="283BC9F9" w14:textId="77777777" w:rsidR="00B600DD" w:rsidRPr="00B600DD" w:rsidRDefault="00B600DD" w:rsidP="00B600DD">
      <w:pPr>
        <w:spacing w:after="0"/>
        <w:ind w:left="720"/>
        <w:contextualSpacing/>
        <w:jc w:val="both"/>
        <w:rPr>
          <w:rFonts w:ascii="Arial" w:hAnsi="Arial" w:cs="Arial"/>
          <w:lang w:val="es-MX"/>
        </w:rPr>
      </w:pPr>
    </w:p>
    <w:p w14:paraId="18C01A52" w14:textId="77777777" w:rsidR="00B600DD" w:rsidRPr="00B600DD" w:rsidRDefault="00B600DD" w:rsidP="00B600DD">
      <w:pPr>
        <w:numPr>
          <w:ilvl w:val="0"/>
          <w:numId w:val="36"/>
        </w:numPr>
        <w:spacing w:after="0" w:line="240" w:lineRule="auto"/>
        <w:contextualSpacing/>
        <w:jc w:val="both"/>
        <w:rPr>
          <w:rFonts w:ascii="Arial" w:hAnsi="Arial" w:cs="Arial"/>
          <w:lang w:val="es-MX"/>
        </w:rPr>
      </w:pPr>
      <w:r w:rsidRPr="00B600DD">
        <w:rPr>
          <w:rFonts w:ascii="Arial" w:hAnsi="Arial" w:cs="Arial"/>
          <w:lang w:val="es-MX"/>
        </w:rPr>
        <w:t xml:space="preserve">Mercado C en Portugal. </w:t>
      </w:r>
    </w:p>
    <w:p w14:paraId="1CBE6C7F" w14:textId="77777777" w:rsidR="00B600DD" w:rsidRPr="00B600DD" w:rsidRDefault="00B600DD" w:rsidP="00B600DD">
      <w:pPr>
        <w:spacing w:after="0"/>
        <w:ind w:left="720"/>
        <w:contextualSpacing/>
        <w:jc w:val="both"/>
        <w:rPr>
          <w:rFonts w:ascii="Arial" w:hAnsi="Arial" w:cs="Arial"/>
          <w:lang w:val="es-MX"/>
        </w:rPr>
      </w:pPr>
    </w:p>
    <w:p w14:paraId="5054FA29"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Ahora bien, la propuesta de desregulación de estos mercados, salvo en el caso de Milán en Italia, se complementa con el mantenimiento de la regulación del servicio de desagregación de bucle en la mayoría de los casos.</w:t>
      </w:r>
    </w:p>
    <w:p w14:paraId="670DCF4F" w14:textId="77777777" w:rsidR="00B600DD" w:rsidRPr="00B600DD" w:rsidRDefault="00B600DD" w:rsidP="00B600DD">
      <w:pPr>
        <w:spacing w:after="0"/>
        <w:jc w:val="both"/>
        <w:rPr>
          <w:rFonts w:ascii="Arial" w:hAnsi="Arial" w:cs="Arial"/>
          <w:lang w:val="es-MX" w:eastAsia="es-MX"/>
        </w:rPr>
      </w:pPr>
    </w:p>
    <w:p w14:paraId="17D6F06E" w14:textId="6DF47554" w:rsidR="00B600DD" w:rsidRPr="00334753" w:rsidRDefault="00B600DD" w:rsidP="00B600DD">
      <w:pPr>
        <w:numPr>
          <w:ilvl w:val="0"/>
          <w:numId w:val="38"/>
        </w:numPr>
        <w:spacing w:after="0" w:line="240" w:lineRule="auto"/>
        <w:contextualSpacing/>
        <w:jc w:val="both"/>
        <w:rPr>
          <w:rFonts w:ascii="Arial" w:hAnsi="Arial" w:cs="Arial"/>
          <w:lang w:val="es-MX"/>
        </w:rPr>
      </w:pPr>
      <w:r w:rsidRPr="00334753">
        <w:rPr>
          <w:rFonts w:ascii="Arial" w:hAnsi="Arial" w:cs="Arial"/>
          <w:lang w:val="es-MX"/>
        </w:rPr>
        <w:t>En España tan solo se desregulan los servicios de fibra (VULA) en los 66 municipios identificados en el análisis, manteniéndose la obligación de prestar el servicio de desagregación de bucle sobre la red de cobre a precios regulados</w:t>
      </w:r>
      <w:r w:rsidR="00334753" w:rsidRPr="00334753">
        <w:rPr>
          <w:rFonts w:ascii="Arial" w:hAnsi="Arial" w:cs="Arial"/>
          <w:lang w:val="es-MX"/>
        </w:rPr>
        <w:t xml:space="preserve">, con posibilidad de ampliar </w:t>
      </w:r>
      <w:r w:rsidR="00334753">
        <w:rPr>
          <w:rFonts w:ascii="Arial" w:hAnsi="Arial" w:cs="Arial"/>
          <w:lang w:val="es-MX"/>
        </w:rPr>
        <w:t>el número de</w:t>
      </w:r>
      <w:r w:rsidR="00334753" w:rsidRPr="00334753">
        <w:rPr>
          <w:rFonts w:ascii="Arial" w:hAnsi="Arial" w:cs="Arial"/>
          <w:lang w:val="es-MX"/>
        </w:rPr>
        <w:t xml:space="preserve"> municipios desregulados</w:t>
      </w:r>
      <w:r w:rsidRPr="00334753">
        <w:rPr>
          <w:rFonts w:ascii="Arial" w:hAnsi="Arial" w:cs="Arial"/>
          <w:lang w:val="es-MX"/>
        </w:rPr>
        <w:t xml:space="preserve">. </w:t>
      </w:r>
    </w:p>
    <w:p w14:paraId="2BD26090" w14:textId="77777777" w:rsidR="00B600DD" w:rsidRPr="00B600DD" w:rsidRDefault="00B600DD" w:rsidP="00B600DD">
      <w:pPr>
        <w:spacing w:after="0"/>
        <w:ind w:left="720"/>
        <w:contextualSpacing/>
        <w:jc w:val="both"/>
        <w:rPr>
          <w:rFonts w:ascii="Arial" w:hAnsi="Arial" w:cs="Arial"/>
          <w:lang w:val="es-MX"/>
        </w:rPr>
      </w:pPr>
    </w:p>
    <w:p w14:paraId="40CF3B6B" w14:textId="77777777" w:rsidR="00B600DD" w:rsidRPr="00B600DD" w:rsidRDefault="00B600DD" w:rsidP="00B600DD">
      <w:pPr>
        <w:numPr>
          <w:ilvl w:val="0"/>
          <w:numId w:val="38"/>
        </w:numPr>
        <w:spacing w:after="0" w:line="240" w:lineRule="auto"/>
        <w:contextualSpacing/>
        <w:jc w:val="both"/>
        <w:rPr>
          <w:rFonts w:ascii="Arial" w:hAnsi="Arial" w:cs="Arial"/>
          <w:lang w:val="es-MX"/>
        </w:rPr>
      </w:pPr>
      <w:r w:rsidRPr="00B600DD">
        <w:rPr>
          <w:rFonts w:ascii="Arial" w:hAnsi="Arial" w:cs="Arial"/>
          <w:lang w:val="es-MX"/>
        </w:rPr>
        <w:t xml:space="preserve">En Reino Unido el servicio mayorista de acceso local a la red fija prestado por el operador BT se encuentra regulado en todo el territorio (excluyendo la zona de Hull), los insumos mayoristas regulados garantizan que los competidores puedan replicar técnicamente las ofertas minoristas de BT basadas en fibra y cobre, y </w:t>
      </w:r>
    </w:p>
    <w:p w14:paraId="6927602B" w14:textId="77777777" w:rsidR="00B600DD" w:rsidRPr="00B600DD" w:rsidRDefault="00B600DD" w:rsidP="00B600DD">
      <w:pPr>
        <w:spacing w:after="0"/>
        <w:ind w:left="720"/>
        <w:contextualSpacing/>
        <w:jc w:val="both"/>
        <w:rPr>
          <w:rFonts w:ascii="Arial" w:hAnsi="Arial" w:cs="Arial"/>
          <w:lang w:val="es-MX"/>
        </w:rPr>
      </w:pPr>
    </w:p>
    <w:p w14:paraId="26A14BD5" w14:textId="77777777" w:rsidR="00B600DD" w:rsidRPr="00B600DD" w:rsidRDefault="00B600DD" w:rsidP="00B600DD">
      <w:pPr>
        <w:numPr>
          <w:ilvl w:val="0"/>
          <w:numId w:val="38"/>
        </w:numPr>
        <w:spacing w:after="0" w:line="240" w:lineRule="auto"/>
        <w:contextualSpacing/>
        <w:jc w:val="both"/>
        <w:rPr>
          <w:rFonts w:ascii="Arial" w:hAnsi="Arial" w:cs="Arial"/>
          <w:lang w:val="es-MX"/>
        </w:rPr>
      </w:pPr>
      <w:r w:rsidRPr="00B600DD">
        <w:rPr>
          <w:rFonts w:ascii="Arial" w:hAnsi="Arial" w:cs="Arial"/>
          <w:lang w:val="es-MX"/>
        </w:rPr>
        <w:t xml:space="preserve">En Portugal, de manera homogénea en todo el territorio nacional, se regulan el servicio de LLU y acceso a la fibra oscura con precios orientados a costos. </w:t>
      </w:r>
    </w:p>
    <w:p w14:paraId="14E6E7AC" w14:textId="77777777" w:rsidR="00B600DD" w:rsidRPr="00B600DD" w:rsidRDefault="00B600DD" w:rsidP="00B600DD">
      <w:pPr>
        <w:spacing w:after="0"/>
        <w:ind w:left="720"/>
        <w:contextualSpacing/>
        <w:jc w:val="both"/>
        <w:rPr>
          <w:rFonts w:ascii="Arial" w:hAnsi="Arial" w:cs="Arial"/>
          <w:lang w:val="es-MX"/>
        </w:rPr>
      </w:pPr>
    </w:p>
    <w:p w14:paraId="79527B49" w14:textId="77777777" w:rsidR="00B600DD" w:rsidRPr="00B600DD" w:rsidRDefault="00B600DD" w:rsidP="00B600DD">
      <w:pPr>
        <w:spacing w:after="0"/>
        <w:jc w:val="both"/>
        <w:rPr>
          <w:rFonts w:ascii="Arial" w:hAnsi="Arial" w:cs="Arial"/>
          <w:lang w:val="es-MX" w:eastAsia="es-MX"/>
        </w:rPr>
      </w:pPr>
      <w:r w:rsidRPr="00B600DD">
        <w:rPr>
          <w:rFonts w:ascii="Arial" w:hAnsi="Arial" w:cs="Arial"/>
          <w:lang w:val="es-MX" w:eastAsia="es-MX"/>
        </w:rPr>
        <w:t>En el caso de México, teniendo en cuenta que la competencia proviene de operadores de red alternativos y no tanto de operadores basados en el servicio de desagregación del bucle local, la competencia observada en los municipios en los que el AEP tiene una menor cuota se asimilaría más al caso del municipio de Milán en Italia</w:t>
      </w:r>
      <w:r w:rsidRPr="00B600DD">
        <w:rPr>
          <w:rFonts w:ascii="Arial" w:hAnsi="Arial" w:cs="Arial"/>
          <w:sz w:val="20"/>
          <w:szCs w:val="20"/>
          <w:vertAlign w:val="superscript"/>
          <w:lang w:val="es-MX" w:eastAsia="es-MX"/>
        </w:rPr>
        <w:footnoteReference w:id="37"/>
      </w:r>
      <w:r w:rsidRPr="00B600DD">
        <w:rPr>
          <w:rFonts w:ascii="Arial" w:hAnsi="Arial" w:cs="Arial"/>
          <w:sz w:val="20"/>
          <w:szCs w:val="20"/>
          <w:lang w:val="es-MX" w:eastAsia="es-MX"/>
        </w:rPr>
        <w:t xml:space="preserve">, </w:t>
      </w:r>
      <w:r w:rsidRPr="00B600DD">
        <w:rPr>
          <w:rFonts w:ascii="Arial" w:hAnsi="Arial" w:cs="Arial"/>
          <w:lang w:val="es-MX" w:eastAsia="es-MX"/>
        </w:rPr>
        <w:t>donde la competencia proviene fundamentalmente de operadores de red alternativos, que al caso de Reino Unido, donde la presión competitiva por parte de los operadores a través de la desagregación del bucle local ha sido importante.</w:t>
      </w:r>
    </w:p>
    <w:p w14:paraId="6C509C7F" w14:textId="77777777" w:rsidR="00B600DD" w:rsidRPr="00B600DD" w:rsidRDefault="00B600DD" w:rsidP="00B600DD">
      <w:pPr>
        <w:spacing w:after="0"/>
        <w:jc w:val="both"/>
        <w:rPr>
          <w:rFonts w:ascii="Arial" w:hAnsi="Arial" w:cs="Arial"/>
          <w:lang w:val="es-MX" w:eastAsia="es-MX"/>
        </w:rPr>
      </w:pPr>
    </w:p>
    <w:p w14:paraId="37FD7041" w14:textId="3FBE11C2" w:rsidR="00BC7F69" w:rsidRDefault="00B600DD" w:rsidP="00BC7F69">
      <w:pPr>
        <w:spacing w:after="0"/>
        <w:jc w:val="both"/>
        <w:rPr>
          <w:rFonts w:ascii="Arial" w:hAnsi="Arial" w:cs="Arial"/>
          <w:bCs/>
          <w:lang w:val="es-MX" w:eastAsia="es-MX"/>
        </w:rPr>
      </w:pPr>
      <w:r w:rsidRPr="00B600DD">
        <w:rPr>
          <w:rFonts w:ascii="Arial" w:hAnsi="Arial" w:cs="Arial"/>
          <w:b/>
          <w:bCs/>
          <w:lang w:val="es-MX" w:eastAsia="es-MX"/>
        </w:rPr>
        <w:t>Quinto</w:t>
      </w:r>
      <w:r w:rsidR="00D909BC" w:rsidRPr="001B163B">
        <w:rPr>
          <w:rFonts w:ascii="Arial" w:hAnsi="Arial" w:cs="Arial"/>
          <w:b/>
        </w:rPr>
        <w:t>.-</w:t>
      </w:r>
      <w:r w:rsidRPr="00B600DD">
        <w:rPr>
          <w:rFonts w:ascii="Arial" w:hAnsi="Arial" w:cs="Arial"/>
          <w:bCs/>
          <w:lang w:val="es-MX" w:eastAsia="es-MX"/>
        </w:rPr>
        <w:t xml:space="preserve"> </w:t>
      </w:r>
      <w:r w:rsidRPr="00B600DD">
        <w:rPr>
          <w:rFonts w:ascii="Arial" w:hAnsi="Arial" w:cs="Arial"/>
          <w:b/>
          <w:bCs/>
          <w:lang w:val="es-MX" w:eastAsia="es-MX"/>
        </w:rPr>
        <w:t>Parámetros para determinar la libertad tarifaria</w:t>
      </w:r>
      <w:r w:rsidR="00BC7F69">
        <w:rPr>
          <w:rFonts w:ascii="Arial" w:eastAsia="Times New Roman" w:hAnsi="Arial" w:cs="Arial"/>
          <w:b/>
          <w:lang w:val="es-MX" w:eastAsia="es-MX"/>
        </w:rPr>
        <w:t>.</w:t>
      </w:r>
      <w:r w:rsidR="00BC7F69">
        <w:rPr>
          <w:rFonts w:ascii="Arial" w:eastAsia="Times New Roman" w:hAnsi="Arial" w:cs="Arial"/>
          <w:lang w:val="es-MX" w:eastAsia="es-MX"/>
        </w:rPr>
        <w:t xml:space="preserve"> </w:t>
      </w:r>
      <w:r w:rsidR="00BC7F69">
        <w:rPr>
          <w:rFonts w:ascii="Arial" w:hAnsi="Arial" w:cs="Arial"/>
          <w:bCs/>
          <w:lang w:val="es-MX" w:eastAsia="es-MX"/>
        </w:rPr>
        <w:t xml:space="preserve">Como parte del procedimiento para la determinación de zonas geográficas </w:t>
      </w:r>
      <w:r w:rsidR="00572E2C" w:rsidRPr="00572E2C">
        <w:rPr>
          <w:rFonts w:ascii="Arial" w:hAnsi="Arial" w:cs="Arial"/>
          <w:bCs/>
          <w:lang w:val="es-MX" w:eastAsia="es-MX"/>
        </w:rPr>
        <w:t xml:space="preserve">para las cuales las tarifas del servicio de acceso indirecto al bucle local podrán ser determinadas libremente por el </w:t>
      </w:r>
      <w:r w:rsidR="00572E2C">
        <w:rPr>
          <w:rFonts w:ascii="Arial" w:hAnsi="Arial" w:cs="Arial"/>
          <w:bCs/>
          <w:lang w:val="es-MX" w:eastAsia="es-MX"/>
        </w:rPr>
        <w:t>AEP</w:t>
      </w:r>
      <w:r w:rsidR="00BC7F69">
        <w:rPr>
          <w:rFonts w:ascii="Arial" w:hAnsi="Arial" w:cs="Arial"/>
          <w:bCs/>
          <w:lang w:val="es-MX" w:eastAsia="es-MX"/>
        </w:rPr>
        <w:t xml:space="preserve">, el Instituto somete a consulta pública los </w:t>
      </w:r>
      <w:r w:rsidR="00572E2C">
        <w:rPr>
          <w:rFonts w:ascii="Arial" w:hAnsi="Arial" w:cs="Arial"/>
          <w:bCs/>
          <w:lang w:val="es-MX" w:eastAsia="es-MX"/>
        </w:rPr>
        <w:t xml:space="preserve">siguientes </w:t>
      </w:r>
      <w:r w:rsidR="00BC7F69">
        <w:rPr>
          <w:rFonts w:ascii="Arial" w:hAnsi="Arial" w:cs="Arial"/>
          <w:bCs/>
          <w:lang w:val="es-MX" w:eastAsia="es-MX"/>
        </w:rPr>
        <w:t xml:space="preserve">criterios </w:t>
      </w:r>
      <w:r w:rsidR="0045363C">
        <w:rPr>
          <w:rFonts w:ascii="Arial" w:hAnsi="Arial" w:cs="Arial"/>
          <w:bCs/>
          <w:lang w:val="es-MX" w:eastAsia="es-MX"/>
        </w:rPr>
        <w:t>y umbrales</w:t>
      </w:r>
      <w:r w:rsidR="00BC7F69">
        <w:rPr>
          <w:rFonts w:ascii="Arial" w:hAnsi="Arial" w:cs="Arial"/>
          <w:bCs/>
          <w:lang w:val="es-MX" w:eastAsia="es-MX"/>
        </w:rPr>
        <w:t xml:space="preserve"> para identificar aquellas zonas geográficas susceptibles de </w:t>
      </w:r>
      <w:r w:rsidR="00572E2C">
        <w:rPr>
          <w:rFonts w:ascii="Arial" w:hAnsi="Arial" w:cs="Arial"/>
          <w:bCs/>
          <w:lang w:val="es-MX" w:eastAsia="es-MX"/>
        </w:rPr>
        <w:t xml:space="preserve">esta </w:t>
      </w:r>
      <w:r w:rsidR="00BC7F69">
        <w:rPr>
          <w:rFonts w:ascii="Arial" w:hAnsi="Arial" w:cs="Arial"/>
          <w:bCs/>
          <w:lang w:val="es-MX" w:eastAsia="es-MX"/>
        </w:rPr>
        <w:t>flexibilización tarifaria:</w:t>
      </w:r>
    </w:p>
    <w:p w14:paraId="1C6E3430" w14:textId="4BF5D1AA" w:rsidR="00156C3A" w:rsidRDefault="00156C3A" w:rsidP="00B600DD">
      <w:pPr>
        <w:spacing w:after="0"/>
        <w:jc w:val="both"/>
        <w:rPr>
          <w:rFonts w:ascii="Arial" w:hAnsi="Arial" w:cs="Arial"/>
          <w:bCs/>
          <w:lang w:val="es-MX" w:eastAsia="es-MX"/>
        </w:rPr>
      </w:pPr>
    </w:p>
    <w:tbl>
      <w:tblPr>
        <w:tblStyle w:val="Tabladecuadrcula2-nfasis31"/>
        <w:tblW w:w="5000" w:type="pct"/>
        <w:tblLook w:val="0420" w:firstRow="1" w:lastRow="0" w:firstColumn="0" w:lastColumn="0" w:noHBand="0" w:noVBand="1"/>
      </w:tblPr>
      <w:tblGrid>
        <w:gridCol w:w="4702"/>
        <w:gridCol w:w="4702"/>
      </w:tblGrid>
      <w:tr w:rsidR="009651CC" w:rsidRPr="00BC12B4" w14:paraId="3ACFEA8A" w14:textId="77777777" w:rsidTr="00B866F3">
        <w:trPr>
          <w:cnfStyle w:val="100000000000" w:firstRow="1" w:lastRow="0" w:firstColumn="0" w:lastColumn="0" w:oddVBand="0" w:evenVBand="0" w:oddHBand="0" w:evenHBand="0" w:firstRowFirstColumn="0" w:firstRowLastColumn="0" w:lastRowFirstColumn="0" w:lastRowLastColumn="0"/>
          <w:trHeight w:val="584"/>
        </w:trPr>
        <w:tc>
          <w:tcPr>
            <w:tcW w:w="2500" w:type="pct"/>
            <w:vAlign w:val="center"/>
            <w:hideMark/>
          </w:tcPr>
          <w:p w14:paraId="73334F05" w14:textId="1AE69F0B" w:rsidR="009651CC" w:rsidRPr="00BC12B4" w:rsidRDefault="009651CC" w:rsidP="00B866F3">
            <w:pPr>
              <w:spacing w:after="0"/>
              <w:jc w:val="center"/>
              <w:rPr>
                <w:rFonts w:ascii="Arial" w:hAnsi="Arial" w:cs="Arial"/>
                <w:sz w:val="22"/>
                <w:szCs w:val="22"/>
              </w:rPr>
            </w:pPr>
            <w:r w:rsidRPr="00BC12B4">
              <w:rPr>
                <w:rFonts w:ascii="Arial" w:hAnsi="Arial" w:cs="Arial"/>
                <w:sz w:val="22"/>
                <w:szCs w:val="22"/>
              </w:rPr>
              <w:t>C</w:t>
            </w:r>
            <w:r w:rsidRPr="00BC12B4">
              <w:rPr>
                <w:rFonts w:ascii="Arial" w:hAnsi="Arial" w:cs="Arial"/>
                <w:sz w:val="22"/>
                <w:szCs w:val="22"/>
                <w:lang w:val="es-MX" w:eastAsia="es-MX"/>
              </w:rPr>
              <w:t>riterio</w:t>
            </w:r>
            <w:r w:rsidR="00614FFA" w:rsidRPr="00BC12B4">
              <w:rPr>
                <w:rFonts w:ascii="Arial" w:hAnsi="Arial" w:cs="Arial"/>
                <w:sz w:val="22"/>
                <w:szCs w:val="22"/>
                <w:lang w:val="es-MX" w:eastAsia="es-MX"/>
              </w:rPr>
              <w:t>s</w:t>
            </w:r>
            <w:r w:rsidR="00B13964" w:rsidRPr="00BC12B4">
              <w:rPr>
                <w:rFonts w:ascii="Arial" w:hAnsi="Arial" w:cs="Arial"/>
                <w:sz w:val="22"/>
                <w:szCs w:val="22"/>
                <w:lang w:val="es-MX" w:eastAsia="es-MX"/>
              </w:rPr>
              <w:t xml:space="preserve"> señalado</w:t>
            </w:r>
            <w:r w:rsidR="00614FFA" w:rsidRPr="00BC12B4">
              <w:rPr>
                <w:rFonts w:ascii="Arial" w:hAnsi="Arial" w:cs="Arial"/>
                <w:sz w:val="22"/>
                <w:szCs w:val="22"/>
                <w:lang w:val="es-MX" w:eastAsia="es-MX"/>
              </w:rPr>
              <w:t>s</w:t>
            </w:r>
            <w:r w:rsidR="00B13964" w:rsidRPr="00BC12B4">
              <w:rPr>
                <w:rFonts w:ascii="Arial" w:hAnsi="Arial" w:cs="Arial"/>
                <w:sz w:val="22"/>
                <w:szCs w:val="22"/>
                <w:lang w:val="es-MX" w:eastAsia="es-MX"/>
              </w:rPr>
              <w:t xml:space="preserve"> en la Medida TRIGÉSIMA NOVENA del Anexo 3 de la Segunda Resolución Bienal</w:t>
            </w:r>
          </w:p>
        </w:tc>
        <w:tc>
          <w:tcPr>
            <w:tcW w:w="2500" w:type="pct"/>
            <w:vAlign w:val="center"/>
            <w:hideMark/>
          </w:tcPr>
          <w:p w14:paraId="126B5606" w14:textId="320CAFCC" w:rsidR="009651CC" w:rsidRPr="00BC12B4" w:rsidRDefault="009651CC" w:rsidP="00B866F3">
            <w:pPr>
              <w:spacing w:after="0"/>
              <w:jc w:val="center"/>
              <w:rPr>
                <w:rFonts w:ascii="Arial" w:hAnsi="Arial" w:cs="Arial"/>
                <w:sz w:val="22"/>
                <w:szCs w:val="22"/>
                <w:lang w:val="es-MX" w:eastAsia="es-MX"/>
              </w:rPr>
            </w:pPr>
            <w:r w:rsidRPr="00BC12B4">
              <w:rPr>
                <w:rFonts w:ascii="Arial" w:hAnsi="Arial" w:cs="Arial"/>
                <w:sz w:val="22"/>
                <w:szCs w:val="22"/>
                <w:lang w:val="es-MX" w:eastAsia="es-MX"/>
              </w:rPr>
              <w:t>U</w:t>
            </w:r>
            <w:r w:rsidR="00B13964" w:rsidRPr="00BC12B4">
              <w:rPr>
                <w:rFonts w:ascii="Arial" w:hAnsi="Arial" w:cs="Arial"/>
                <w:sz w:val="22"/>
                <w:szCs w:val="22"/>
                <w:lang w:val="es-MX" w:eastAsia="es-MX"/>
              </w:rPr>
              <w:t>mbral propuesto</w:t>
            </w:r>
          </w:p>
        </w:tc>
      </w:tr>
      <w:tr w:rsidR="009651CC" w:rsidRPr="00BC12B4" w14:paraId="3B4EA4FB" w14:textId="77777777" w:rsidTr="00B866F3">
        <w:trPr>
          <w:cnfStyle w:val="000000100000" w:firstRow="0" w:lastRow="0" w:firstColumn="0" w:lastColumn="0" w:oddVBand="0" w:evenVBand="0" w:oddHBand="1" w:evenHBand="0" w:firstRowFirstColumn="0" w:firstRowLastColumn="0" w:lastRowFirstColumn="0" w:lastRowLastColumn="0"/>
          <w:trHeight w:val="584"/>
        </w:trPr>
        <w:tc>
          <w:tcPr>
            <w:tcW w:w="2500" w:type="pct"/>
            <w:hideMark/>
          </w:tcPr>
          <w:p w14:paraId="5565791D" w14:textId="74514FE6" w:rsidR="009651CC" w:rsidRPr="00BC12B4" w:rsidRDefault="009651CC" w:rsidP="00BC12B4">
            <w:pPr>
              <w:pStyle w:val="Prrafodelista"/>
              <w:numPr>
                <w:ilvl w:val="0"/>
                <w:numId w:val="42"/>
              </w:numPr>
              <w:rPr>
                <w:rFonts w:cs="Arial"/>
                <w:bCs/>
                <w:sz w:val="22"/>
                <w:szCs w:val="22"/>
                <w:lang w:val="es-MX" w:eastAsia="es-MX"/>
              </w:rPr>
            </w:pPr>
            <w:r w:rsidRPr="00BC12B4">
              <w:rPr>
                <w:rFonts w:cs="Arial"/>
                <w:bCs/>
                <w:sz w:val="22"/>
                <w:szCs w:val="22"/>
                <w:lang w:val="es-MX" w:eastAsia="es-MX"/>
              </w:rPr>
              <w:t>Penetración de los servicios y cobertura de</w:t>
            </w:r>
            <w:r w:rsidR="00B13964" w:rsidRPr="00BC12B4">
              <w:rPr>
                <w:rFonts w:cs="Arial"/>
                <w:bCs/>
                <w:sz w:val="22"/>
                <w:szCs w:val="22"/>
                <w:lang w:val="es-MX" w:eastAsia="es-MX"/>
              </w:rPr>
              <w:t xml:space="preserve"> las</w:t>
            </w:r>
            <w:r w:rsidRPr="00BC12B4">
              <w:rPr>
                <w:rFonts w:cs="Arial"/>
                <w:bCs/>
                <w:sz w:val="22"/>
                <w:szCs w:val="22"/>
                <w:lang w:val="es-MX" w:eastAsia="es-MX"/>
              </w:rPr>
              <w:t xml:space="preserve"> redes</w:t>
            </w:r>
            <w:r w:rsidR="00B13964" w:rsidRPr="00BC12B4">
              <w:rPr>
                <w:rFonts w:cs="Arial"/>
                <w:bCs/>
                <w:sz w:val="22"/>
                <w:szCs w:val="22"/>
                <w:lang w:val="es-MX" w:eastAsia="es-MX"/>
              </w:rPr>
              <w:t xml:space="preserve"> existentes</w:t>
            </w:r>
          </w:p>
        </w:tc>
        <w:tc>
          <w:tcPr>
            <w:tcW w:w="2500" w:type="pct"/>
            <w:hideMark/>
          </w:tcPr>
          <w:p w14:paraId="30E4243A" w14:textId="7B0BA3A4" w:rsidR="009651CC" w:rsidRPr="00BC12B4" w:rsidRDefault="009651CC" w:rsidP="009651CC">
            <w:pPr>
              <w:spacing w:after="0"/>
              <w:jc w:val="both"/>
              <w:rPr>
                <w:rFonts w:ascii="Arial" w:hAnsi="Arial" w:cs="Arial"/>
                <w:bCs/>
                <w:sz w:val="22"/>
                <w:szCs w:val="22"/>
                <w:lang w:val="es-MX" w:eastAsia="es-MX"/>
              </w:rPr>
            </w:pPr>
            <w:r w:rsidRPr="00BC12B4">
              <w:rPr>
                <w:rFonts w:ascii="Arial" w:hAnsi="Arial" w:cs="Arial"/>
                <w:bCs/>
                <w:sz w:val="22"/>
                <w:szCs w:val="22"/>
                <w:lang w:val="es-MX" w:eastAsia="es-MX"/>
              </w:rPr>
              <w:t>Altos niveles de penetración del servicio de acceso a internet fijo (mayor a 75 accesos por cada 100 hogares</w:t>
            </w:r>
            <w:r w:rsidRPr="00BC12B4">
              <w:rPr>
                <w:rStyle w:val="Refdenotaalpie"/>
                <w:rFonts w:ascii="Arial" w:hAnsi="Arial" w:cs="Arial"/>
                <w:bCs/>
                <w:sz w:val="22"/>
                <w:szCs w:val="22"/>
                <w:lang w:val="es-MX" w:eastAsia="es-MX"/>
              </w:rPr>
              <w:footnoteReference w:id="38"/>
            </w:r>
            <w:r w:rsidRPr="00BC12B4">
              <w:rPr>
                <w:rFonts w:ascii="Arial" w:hAnsi="Arial" w:cs="Arial"/>
                <w:bCs/>
                <w:sz w:val="22"/>
                <w:szCs w:val="22"/>
                <w:lang w:val="es-MX" w:eastAsia="es-MX"/>
              </w:rPr>
              <w:t>)</w:t>
            </w:r>
          </w:p>
        </w:tc>
      </w:tr>
      <w:tr w:rsidR="009651CC" w:rsidRPr="00BC12B4" w14:paraId="5C0CBE93" w14:textId="77777777" w:rsidTr="00B866F3">
        <w:trPr>
          <w:trHeight w:val="584"/>
        </w:trPr>
        <w:tc>
          <w:tcPr>
            <w:tcW w:w="2500" w:type="pct"/>
            <w:hideMark/>
          </w:tcPr>
          <w:p w14:paraId="531BF7D7" w14:textId="77777777" w:rsidR="009651CC" w:rsidRPr="00BC12B4" w:rsidRDefault="009651CC" w:rsidP="00BC12B4">
            <w:pPr>
              <w:pStyle w:val="Prrafodelista"/>
              <w:numPr>
                <w:ilvl w:val="0"/>
                <w:numId w:val="42"/>
              </w:numPr>
              <w:rPr>
                <w:rFonts w:cs="Arial"/>
                <w:bCs/>
                <w:sz w:val="22"/>
                <w:szCs w:val="22"/>
                <w:lang w:val="es-MX" w:eastAsia="es-MX"/>
              </w:rPr>
            </w:pPr>
            <w:r w:rsidRPr="00BC12B4">
              <w:rPr>
                <w:rFonts w:cs="Arial"/>
                <w:bCs/>
                <w:sz w:val="22"/>
                <w:szCs w:val="22"/>
                <w:lang w:val="es-MX" w:eastAsia="es-MX"/>
              </w:rPr>
              <w:t>Número de los operadores en el mercado</w:t>
            </w:r>
          </w:p>
        </w:tc>
        <w:tc>
          <w:tcPr>
            <w:tcW w:w="2500" w:type="pct"/>
            <w:hideMark/>
          </w:tcPr>
          <w:p w14:paraId="72FFD7F5" w14:textId="01BF2D48" w:rsidR="009651CC" w:rsidRPr="00A27032" w:rsidRDefault="009651CC" w:rsidP="00A27032">
            <w:pPr>
              <w:spacing w:after="0" w:line="240" w:lineRule="auto"/>
              <w:rPr>
                <w:rFonts w:ascii="Times New Roman" w:eastAsiaTheme="minorHAnsi" w:hAnsi="Times New Roman"/>
                <w:lang w:val="es-MX" w:eastAsia="es-MX"/>
              </w:rPr>
            </w:pPr>
            <w:r w:rsidRPr="00BC12B4">
              <w:rPr>
                <w:rFonts w:ascii="Arial" w:hAnsi="Arial" w:cs="Arial"/>
                <w:bCs/>
                <w:sz w:val="22"/>
                <w:szCs w:val="22"/>
                <w:lang w:val="es-MX" w:eastAsia="es-MX"/>
              </w:rPr>
              <w:t>3 o más operadores, de los cuales, al menos 2 operadores</w:t>
            </w:r>
            <w:r>
              <w:rPr>
                <w:rFonts w:ascii="Arial" w:hAnsi="Arial" w:cs="Arial"/>
                <w:lang w:val="es-MX" w:eastAsia="es-MX"/>
              </w:rPr>
              <w:t xml:space="preserve"> </w:t>
            </w:r>
            <w:r w:rsidRPr="00BC12B4">
              <w:rPr>
                <w:rFonts w:ascii="Arial" w:hAnsi="Arial" w:cs="Arial"/>
                <w:bCs/>
                <w:sz w:val="22"/>
                <w:szCs w:val="22"/>
                <w:lang w:val="es-MX" w:eastAsia="es-MX"/>
              </w:rPr>
              <w:t>ofrecen servicios a través de fibra óptica.</w:t>
            </w:r>
            <w:r w:rsidR="00A31A14">
              <w:rPr>
                <w:rFonts w:ascii="Arial" w:hAnsi="Arial" w:cs="Arial"/>
                <w:bCs/>
                <w:sz w:val="22"/>
                <w:szCs w:val="22"/>
                <w:lang w:val="es-MX" w:eastAsia="es-MX"/>
              </w:rPr>
              <w:t xml:space="preserve"> </w:t>
            </w:r>
          </w:p>
        </w:tc>
      </w:tr>
      <w:tr w:rsidR="009651CC" w:rsidRPr="00BC12B4" w14:paraId="72821366" w14:textId="77777777" w:rsidTr="00B866F3">
        <w:trPr>
          <w:cnfStyle w:val="000000100000" w:firstRow="0" w:lastRow="0" w:firstColumn="0" w:lastColumn="0" w:oddVBand="0" w:evenVBand="0" w:oddHBand="1" w:evenHBand="0" w:firstRowFirstColumn="0" w:firstRowLastColumn="0" w:lastRowFirstColumn="0" w:lastRowLastColumn="0"/>
          <w:trHeight w:val="584"/>
        </w:trPr>
        <w:tc>
          <w:tcPr>
            <w:tcW w:w="2500" w:type="pct"/>
            <w:hideMark/>
          </w:tcPr>
          <w:p w14:paraId="6FF7EEE2" w14:textId="6BE285EE" w:rsidR="009651CC" w:rsidRPr="00BC12B4" w:rsidRDefault="009651CC" w:rsidP="00BC12B4">
            <w:pPr>
              <w:pStyle w:val="Prrafodelista"/>
              <w:numPr>
                <w:ilvl w:val="0"/>
                <w:numId w:val="42"/>
              </w:numPr>
              <w:rPr>
                <w:rFonts w:cs="Arial"/>
                <w:bCs/>
                <w:sz w:val="22"/>
                <w:szCs w:val="22"/>
                <w:lang w:val="es-MX" w:eastAsia="es-MX"/>
              </w:rPr>
            </w:pPr>
            <w:r w:rsidRPr="00BC12B4">
              <w:rPr>
                <w:rFonts w:cs="Arial"/>
                <w:bCs/>
                <w:sz w:val="22"/>
                <w:szCs w:val="22"/>
                <w:lang w:val="es-MX" w:eastAsia="es-MX"/>
              </w:rPr>
              <w:t>Participación de mercado del AEP y de competidores</w:t>
            </w:r>
          </w:p>
        </w:tc>
        <w:tc>
          <w:tcPr>
            <w:tcW w:w="2500" w:type="pct"/>
            <w:hideMark/>
          </w:tcPr>
          <w:p w14:paraId="15943A02" w14:textId="77777777" w:rsidR="009651CC" w:rsidRPr="00BC12B4" w:rsidRDefault="009651CC" w:rsidP="009651CC">
            <w:pPr>
              <w:spacing w:after="0"/>
              <w:jc w:val="both"/>
              <w:rPr>
                <w:rFonts w:ascii="Arial" w:hAnsi="Arial" w:cs="Arial"/>
                <w:bCs/>
                <w:sz w:val="22"/>
                <w:szCs w:val="22"/>
                <w:lang w:val="es-MX" w:eastAsia="es-MX"/>
              </w:rPr>
            </w:pPr>
            <w:r w:rsidRPr="00BC12B4">
              <w:rPr>
                <w:rFonts w:ascii="Arial" w:hAnsi="Arial" w:cs="Arial"/>
                <w:bCs/>
                <w:sz w:val="22"/>
                <w:szCs w:val="22"/>
                <w:lang w:val="es-MX" w:eastAsia="es-MX"/>
              </w:rPr>
              <w:t>AEP con participación menor a 50% y al menos uno de los operadores presentes cuenta con una participación del mercado mayor al 20%.</w:t>
            </w:r>
          </w:p>
        </w:tc>
      </w:tr>
    </w:tbl>
    <w:p w14:paraId="2A6F2C64" w14:textId="4DF21D08" w:rsidR="00B600DD" w:rsidRDefault="00B600DD" w:rsidP="00B600DD">
      <w:pPr>
        <w:spacing w:after="0"/>
        <w:jc w:val="both"/>
        <w:rPr>
          <w:rFonts w:ascii="Arial" w:hAnsi="Arial" w:cs="Arial"/>
          <w:bCs/>
          <w:lang w:val="es-MX" w:eastAsia="es-MX"/>
        </w:rPr>
      </w:pPr>
    </w:p>
    <w:p w14:paraId="6FCBB2F5" w14:textId="176A9F57" w:rsidR="000C037D" w:rsidRPr="000C037D" w:rsidRDefault="00D75485" w:rsidP="000C037D">
      <w:pPr>
        <w:spacing w:after="0"/>
        <w:jc w:val="both"/>
        <w:rPr>
          <w:rFonts w:ascii="Arial" w:hAnsi="Arial" w:cs="Arial"/>
          <w:bCs/>
          <w:lang w:val="es-MX" w:eastAsia="es-MX"/>
        </w:rPr>
      </w:pPr>
      <w:r>
        <w:rPr>
          <w:rFonts w:ascii="Arial" w:hAnsi="Arial" w:cs="Arial"/>
          <w:bCs/>
          <w:lang w:val="es-MX" w:eastAsia="es-MX"/>
        </w:rPr>
        <w:t>Lo anterior,</w:t>
      </w:r>
      <w:r w:rsidR="00BC7F69">
        <w:rPr>
          <w:rFonts w:ascii="Arial" w:hAnsi="Arial" w:cs="Arial"/>
          <w:bCs/>
          <w:lang w:val="es-MX" w:eastAsia="es-MX"/>
        </w:rPr>
        <w:t xml:space="preserve"> sin menoscabo de la</w:t>
      </w:r>
      <w:r w:rsidR="00BC7F69" w:rsidRPr="00BC7F69">
        <w:rPr>
          <w:rFonts w:ascii="Arial" w:hAnsi="Arial" w:cs="Arial"/>
          <w:bCs/>
          <w:lang w:val="es-MX" w:eastAsia="es-MX"/>
        </w:rPr>
        <w:t xml:space="preserve"> obligación </w:t>
      </w:r>
      <w:r w:rsidR="00572E2C">
        <w:rPr>
          <w:rFonts w:ascii="Arial" w:hAnsi="Arial" w:cs="Arial"/>
          <w:bCs/>
          <w:lang w:val="es-MX" w:eastAsia="es-MX"/>
        </w:rPr>
        <w:t>de</w:t>
      </w:r>
      <w:r w:rsidR="00997CF2">
        <w:rPr>
          <w:rFonts w:ascii="Arial" w:hAnsi="Arial" w:cs="Arial"/>
          <w:bCs/>
          <w:lang w:val="es-MX" w:eastAsia="es-MX"/>
        </w:rPr>
        <w:t>l</w:t>
      </w:r>
      <w:r w:rsidR="00572E2C">
        <w:rPr>
          <w:rFonts w:ascii="Arial" w:hAnsi="Arial" w:cs="Arial"/>
          <w:bCs/>
          <w:lang w:val="es-MX" w:eastAsia="es-MX"/>
        </w:rPr>
        <w:t xml:space="preserve"> AEP </w:t>
      </w:r>
      <w:r w:rsidR="00BC7F69" w:rsidRPr="00BC7F69">
        <w:rPr>
          <w:rFonts w:ascii="Arial" w:hAnsi="Arial" w:cs="Arial"/>
          <w:bCs/>
          <w:lang w:val="es-MX" w:eastAsia="es-MX"/>
        </w:rPr>
        <w:t xml:space="preserve">de prestar los servicios mayoristas regulados </w:t>
      </w:r>
      <w:r w:rsidR="00997CF2">
        <w:rPr>
          <w:rFonts w:ascii="Arial" w:hAnsi="Arial" w:cs="Arial"/>
          <w:bCs/>
          <w:lang w:val="es-MX" w:eastAsia="es-MX"/>
        </w:rPr>
        <w:t xml:space="preserve">de desagregación </w:t>
      </w:r>
      <w:r w:rsidR="00BC7F69" w:rsidRPr="00BC7F69">
        <w:rPr>
          <w:rFonts w:ascii="Arial" w:hAnsi="Arial" w:cs="Arial"/>
          <w:bCs/>
          <w:lang w:val="es-MX" w:eastAsia="es-MX"/>
        </w:rPr>
        <w:t>en términos no discriminatorios</w:t>
      </w:r>
      <w:r>
        <w:rPr>
          <w:rFonts w:ascii="Arial" w:hAnsi="Arial" w:cs="Arial"/>
          <w:bCs/>
          <w:lang w:val="es-MX" w:eastAsia="es-MX"/>
        </w:rPr>
        <w:t xml:space="preserve"> </w:t>
      </w:r>
      <w:r w:rsidR="00BC7F69">
        <w:rPr>
          <w:rFonts w:ascii="Arial" w:hAnsi="Arial" w:cs="Arial"/>
          <w:bCs/>
          <w:lang w:val="es-MX" w:eastAsia="es-MX"/>
        </w:rPr>
        <w:t xml:space="preserve">de acuerdo a lo </w:t>
      </w:r>
      <w:r w:rsidR="0045363C">
        <w:rPr>
          <w:rFonts w:ascii="Arial" w:hAnsi="Arial" w:cs="Arial"/>
          <w:bCs/>
          <w:lang w:val="es-MX" w:eastAsia="es-MX"/>
        </w:rPr>
        <w:t>señalado</w:t>
      </w:r>
      <w:r w:rsidR="00BC7F69">
        <w:rPr>
          <w:rFonts w:ascii="Arial" w:hAnsi="Arial" w:cs="Arial"/>
          <w:bCs/>
          <w:lang w:val="es-MX" w:eastAsia="es-MX"/>
        </w:rPr>
        <w:t xml:space="preserve"> en la Medida TRIGÉSIMA NOVENA del Anexo 3 de la Segunda Resolución Bienal</w:t>
      </w:r>
      <w:r w:rsidR="00997CF2">
        <w:rPr>
          <w:rFonts w:ascii="Arial" w:hAnsi="Arial" w:cs="Arial"/>
          <w:bCs/>
          <w:lang w:val="es-MX" w:eastAsia="es-MX"/>
        </w:rPr>
        <w:t xml:space="preserve">, </w:t>
      </w:r>
      <w:r w:rsidR="0045363C">
        <w:rPr>
          <w:rFonts w:ascii="Arial" w:hAnsi="Arial" w:cs="Arial"/>
          <w:bCs/>
          <w:lang w:val="es-MX" w:eastAsia="es-MX"/>
        </w:rPr>
        <w:t xml:space="preserve">así como del cumplimiento de las demás </w:t>
      </w:r>
      <w:r>
        <w:rPr>
          <w:rFonts w:ascii="Arial" w:hAnsi="Arial" w:cs="Arial"/>
          <w:bCs/>
          <w:lang w:val="es-MX" w:eastAsia="es-MX"/>
        </w:rPr>
        <w:t xml:space="preserve">medidas impuestas a través de dicho anexo, </w:t>
      </w:r>
      <w:r w:rsidR="0045363C">
        <w:rPr>
          <w:rFonts w:ascii="Arial" w:hAnsi="Arial" w:cs="Arial"/>
          <w:bCs/>
          <w:lang w:val="es-MX" w:eastAsia="es-MX"/>
        </w:rPr>
        <w:t>como la</w:t>
      </w:r>
      <w:r>
        <w:rPr>
          <w:rFonts w:ascii="Arial" w:hAnsi="Arial" w:cs="Arial"/>
          <w:bCs/>
          <w:lang w:val="es-MX" w:eastAsia="es-MX"/>
        </w:rPr>
        <w:t xml:space="preserve"> de garantizar </w:t>
      </w:r>
      <w:r w:rsidR="000C037D">
        <w:rPr>
          <w:rFonts w:ascii="Arial" w:hAnsi="Arial" w:cs="Arial"/>
          <w:bCs/>
          <w:lang w:val="es-MX" w:eastAsia="es-MX"/>
        </w:rPr>
        <w:t xml:space="preserve">que las tarifas minoristas puedan ser validadas por el Instituto a través de una prueba de replicabilidad económica.  </w:t>
      </w:r>
      <w:r w:rsidR="000C037D">
        <w:rPr>
          <w:rFonts w:ascii="Times New Roman" w:eastAsiaTheme="minorHAnsi" w:hAnsi="Times New Roman"/>
          <w:sz w:val="24"/>
          <w:szCs w:val="24"/>
          <w:lang w:val="es-MX" w:eastAsia="es-MX"/>
        </w:rPr>
        <w:t xml:space="preserve"> </w:t>
      </w:r>
    </w:p>
    <w:p w14:paraId="27908646" w14:textId="77777777" w:rsidR="000C037D" w:rsidRDefault="000C037D" w:rsidP="00B600DD">
      <w:pPr>
        <w:spacing w:after="0"/>
        <w:jc w:val="both"/>
        <w:rPr>
          <w:rFonts w:ascii="Arial" w:hAnsi="Arial" w:cs="Arial"/>
          <w:bCs/>
          <w:lang w:val="es-MX" w:eastAsia="es-MX"/>
        </w:rPr>
      </w:pPr>
    </w:p>
    <w:p w14:paraId="01FA09C9" w14:textId="1932CD49" w:rsidR="00B600DD" w:rsidRPr="00B600DD" w:rsidRDefault="00544385" w:rsidP="00B600DD">
      <w:pPr>
        <w:spacing w:after="0"/>
        <w:jc w:val="both"/>
        <w:rPr>
          <w:rFonts w:ascii="Arial" w:hAnsi="Arial" w:cs="Arial"/>
          <w:bCs/>
          <w:lang w:val="es-MX" w:eastAsia="es-MX"/>
        </w:rPr>
      </w:pPr>
      <w:r>
        <w:rPr>
          <w:rFonts w:ascii="Arial" w:hAnsi="Arial" w:cs="Arial"/>
          <w:bCs/>
          <w:lang w:val="es-MX" w:eastAsia="es-MX"/>
        </w:rPr>
        <w:t xml:space="preserve">La consulta pública se realiza </w:t>
      </w:r>
      <w:r w:rsidR="00B600DD" w:rsidRPr="00B600DD">
        <w:rPr>
          <w:rFonts w:ascii="Arial" w:hAnsi="Arial" w:cs="Arial"/>
          <w:bCs/>
          <w:lang w:val="es-MX" w:eastAsia="es-MX"/>
        </w:rPr>
        <w:t xml:space="preserve">de conformidad con lo mandatado en el artículo 51 de la LFTR, </w:t>
      </w:r>
      <w:r>
        <w:rPr>
          <w:rFonts w:ascii="Arial" w:hAnsi="Arial" w:cs="Arial"/>
          <w:bCs/>
          <w:lang w:val="es-MX" w:eastAsia="es-MX"/>
        </w:rPr>
        <w:t xml:space="preserve">que </w:t>
      </w:r>
      <w:r w:rsidR="00B600DD" w:rsidRPr="00B600DD">
        <w:rPr>
          <w:rFonts w:ascii="Arial" w:hAnsi="Arial" w:cs="Arial"/>
          <w:bCs/>
          <w:lang w:val="es-MX" w:eastAsia="es-MX"/>
        </w:rPr>
        <w:t xml:space="preserve">establece que para la emisión y modificación de reglas, lineamientos o disposiciones administrativas de carácter general, así como en cualquier caso que determine el Pleno, el Instituto deberá: a) Realizar consultas públicas bajo los principios de transparencia y participación ciudadana, en los términos que determine el Pleno, salvo que la publicidad pudiera comprometer los efectos que se pretenden resolver o prevenir en una situación de emergencia; b) En su caso, realizar y hacer público un análisis de impacto regulatorio, previamente a la emisión de las reglas, lineamientos o disposiciones administrativas de carácter general, </w:t>
      </w:r>
      <w:r w:rsidR="000F7260">
        <w:rPr>
          <w:rFonts w:ascii="Arial" w:hAnsi="Arial" w:cs="Arial"/>
          <w:bCs/>
          <w:lang w:val="es-MX" w:eastAsia="es-MX"/>
        </w:rPr>
        <w:t xml:space="preserve">y </w:t>
      </w:r>
      <w:r w:rsidR="00B600DD" w:rsidRPr="00B600DD">
        <w:rPr>
          <w:rFonts w:ascii="Arial" w:hAnsi="Arial" w:cs="Arial"/>
          <w:bCs/>
          <w:lang w:val="es-MX" w:eastAsia="es-MX"/>
        </w:rPr>
        <w:t>c) Integrar y hacer público un documento que refleje los resultados de la consulta pública. Igualmente, dicho precepto legal establece que el Instituto contará con un espacio dentro de su portal de Internet destinado específicamente a publicar y mantener actualizados los procesos de consultas públicas.</w:t>
      </w:r>
    </w:p>
    <w:p w14:paraId="7056050F" w14:textId="77777777" w:rsidR="00B600DD" w:rsidRPr="00B600DD" w:rsidRDefault="00B600DD" w:rsidP="00B600DD">
      <w:pPr>
        <w:spacing w:after="0"/>
        <w:jc w:val="both"/>
        <w:rPr>
          <w:rFonts w:ascii="Arial" w:hAnsi="Arial" w:cs="Arial"/>
          <w:bCs/>
          <w:lang w:val="es-MX" w:eastAsia="es-MX"/>
        </w:rPr>
      </w:pPr>
    </w:p>
    <w:p w14:paraId="2F0D14A0" w14:textId="561D16F9" w:rsidR="00B600DD" w:rsidRPr="00B600DD" w:rsidRDefault="00B600DD" w:rsidP="00B600DD">
      <w:pPr>
        <w:spacing w:after="0"/>
        <w:jc w:val="both"/>
        <w:rPr>
          <w:rFonts w:ascii="Arial" w:hAnsi="Arial" w:cs="Arial"/>
          <w:bCs/>
          <w:lang w:val="es-MX" w:eastAsia="es-MX"/>
        </w:rPr>
      </w:pPr>
      <w:r w:rsidRPr="00B600DD">
        <w:rPr>
          <w:rFonts w:ascii="Arial" w:hAnsi="Arial" w:cs="Arial"/>
          <w:bCs/>
          <w:lang w:val="es-MX" w:eastAsia="es-MX"/>
        </w:rPr>
        <w:t xml:space="preserve">En ese orden de ideas, la Medida NOVENA </w:t>
      </w:r>
      <w:r w:rsidR="000F7260">
        <w:rPr>
          <w:rFonts w:ascii="Arial" w:hAnsi="Arial" w:cs="Arial"/>
          <w:bCs/>
          <w:lang w:val="es-MX" w:eastAsia="es-MX"/>
        </w:rPr>
        <w:t>Transitoria del Anexo 3 de la Segunda Resolución Bienal</w:t>
      </w:r>
      <w:r w:rsidRPr="00B600DD">
        <w:rPr>
          <w:rFonts w:ascii="Arial" w:hAnsi="Arial" w:cs="Arial"/>
          <w:bCs/>
          <w:lang w:val="es-MX" w:eastAsia="es-MX"/>
        </w:rPr>
        <w:t xml:space="preserve"> establece que el Instituto someterá a consulta pública por un periodo de treinta días hábiles los criterios y umbrales de los parámetros </w:t>
      </w:r>
      <w:r w:rsidR="00406830">
        <w:rPr>
          <w:rFonts w:ascii="Arial" w:hAnsi="Arial" w:cs="Arial"/>
          <w:bCs/>
          <w:lang w:val="es-MX" w:eastAsia="es-MX"/>
        </w:rPr>
        <w:t>a</w:t>
      </w:r>
      <w:r w:rsidRPr="00B600DD">
        <w:rPr>
          <w:rFonts w:ascii="Arial" w:hAnsi="Arial" w:cs="Arial"/>
          <w:bCs/>
          <w:lang w:val="es-MX" w:eastAsia="es-MX"/>
        </w:rPr>
        <w:t xml:space="preserve"> los que se hace referencia en la </w:t>
      </w:r>
      <w:r w:rsidR="000F7260">
        <w:rPr>
          <w:rFonts w:ascii="Arial" w:hAnsi="Arial" w:cs="Arial"/>
          <w:bCs/>
          <w:lang w:val="es-MX" w:eastAsia="es-MX"/>
        </w:rPr>
        <w:t>M</w:t>
      </w:r>
      <w:r w:rsidR="000F7260" w:rsidRPr="00B600DD">
        <w:rPr>
          <w:rFonts w:ascii="Arial" w:hAnsi="Arial" w:cs="Arial"/>
          <w:bCs/>
          <w:lang w:val="es-MX" w:eastAsia="es-MX"/>
        </w:rPr>
        <w:t xml:space="preserve">edida </w:t>
      </w:r>
      <w:r w:rsidR="000F7260">
        <w:rPr>
          <w:rFonts w:ascii="Arial" w:hAnsi="Arial" w:cs="Arial"/>
          <w:bCs/>
          <w:lang w:val="es-MX" w:eastAsia="es-MX"/>
        </w:rPr>
        <w:t>TRIGÉSIMA NOVENA</w:t>
      </w:r>
      <w:r w:rsidRPr="00B600DD">
        <w:rPr>
          <w:rFonts w:ascii="Arial" w:hAnsi="Arial" w:cs="Arial"/>
          <w:bCs/>
          <w:lang w:val="es-MX" w:eastAsia="es-MX"/>
        </w:rPr>
        <w:t xml:space="preserve"> de del Anexo 3 de la </w:t>
      </w:r>
      <w:r w:rsidR="000F7260">
        <w:rPr>
          <w:rFonts w:ascii="Arial" w:hAnsi="Arial" w:cs="Arial"/>
          <w:bCs/>
          <w:lang w:val="es-MX" w:eastAsia="es-MX"/>
        </w:rPr>
        <w:t>Segunda Resolución Bienal</w:t>
      </w:r>
      <w:r w:rsidRPr="00B600DD">
        <w:rPr>
          <w:rFonts w:ascii="Arial" w:hAnsi="Arial" w:cs="Arial"/>
          <w:bCs/>
          <w:lang w:val="es-MX" w:eastAsia="es-MX"/>
        </w:rPr>
        <w:t>.</w:t>
      </w:r>
    </w:p>
    <w:p w14:paraId="23DD1891" w14:textId="77777777" w:rsidR="00B600DD" w:rsidRPr="00B600DD" w:rsidRDefault="00B600DD" w:rsidP="00B600DD">
      <w:pPr>
        <w:spacing w:after="0"/>
        <w:jc w:val="both"/>
        <w:rPr>
          <w:rFonts w:ascii="Arial" w:hAnsi="Arial" w:cs="Arial"/>
          <w:bCs/>
          <w:lang w:val="es-MX" w:eastAsia="es-MX"/>
        </w:rPr>
      </w:pPr>
    </w:p>
    <w:p w14:paraId="32F9F30B" w14:textId="74042F5D" w:rsidR="00B600DD" w:rsidRDefault="00B600DD" w:rsidP="00B600DD">
      <w:pPr>
        <w:spacing w:after="0"/>
        <w:jc w:val="both"/>
        <w:rPr>
          <w:rFonts w:ascii="Arial" w:hAnsi="Arial" w:cs="Arial"/>
          <w:b/>
        </w:rPr>
      </w:pPr>
      <w:r w:rsidRPr="00B600DD">
        <w:rPr>
          <w:rFonts w:ascii="Arial" w:hAnsi="Arial" w:cs="Arial"/>
          <w:bCs/>
          <w:lang w:val="es-MX" w:eastAsia="es-MX"/>
        </w:rPr>
        <w:t>No se omite señalar que la consulta pública es una herramienta básica de política pública que consiste en la interacción entre la autoridad, los ciudadanos y otras partes interesadas en la creación o mejora de la regulación, así como, de cualquier otro asunto de interés del Instituto que le permite obtener mayor información para la toma de decisiones, o bien, contribuya al diagnóstico sobre el impacto de las medidas.</w:t>
      </w:r>
    </w:p>
    <w:p w14:paraId="1EAD6F34" w14:textId="5E1DA269" w:rsidR="00B600DD" w:rsidRDefault="00B600DD" w:rsidP="00852170">
      <w:pPr>
        <w:spacing w:after="0"/>
        <w:jc w:val="both"/>
        <w:rPr>
          <w:rFonts w:ascii="Arial" w:hAnsi="Arial" w:cs="Arial"/>
          <w:b/>
        </w:rPr>
      </w:pPr>
    </w:p>
    <w:p w14:paraId="31EC72AF" w14:textId="204A7EE0" w:rsidR="00B600DD" w:rsidRDefault="00B600DD" w:rsidP="00852170">
      <w:pPr>
        <w:spacing w:after="0"/>
        <w:jc w:val="both"/>
        <w:rPr>
          <w:rFonts w:ascii="Arial" w:hAnsi="Arial" w:cs="Arial"/>
          <w:b/>
        </w:rPr>
      </w:pPr>
      <w:r w:rsidRPr="00B600DD">
        <w:rPr>
          <w:rFonts w:ascii="Arial" w:hAnsi="Arial" w:cs="Arial"/>
          <w:bCs/>
          <w:lang w:val="es-MX" w:eastAsia="es-MX"/>
        </w:rPr>
        <w:t>Por lo anterior, con fundamento en lo dispuesto en los artículos 28, párrafos décimo quinto y décimo sexto de la Constitución Política de los Estados Unidos Mexicanos; 1, 2, 7, 15 fracciones XL y LXIII, 51 de la Ley Federal de Telecomunicaciones y Radiodifusión; 1 y 4, fracción I y 6 fracción XXXVIII del Estatuto Orgánico del Instituto Federal de Telecomunicaciones; y los Lineamientos Primero, Tercero, fracciones I y III, Quinto, Séptimo y Noveno de los Lineamientos de Consulta Pública y Análisis de Impacto Regulatorio del Instituto Federal de Telecomunicaciones, se expiden los siguientes:</w:t>
      </w:r>
    </w:p>
    <w:p w14:paraId="081C377D" w14:textId="19082E5B" w:rsidR="00FA2C42" w:rsidRDefault="00FA2C42" w:rsidP="00852170">
      <w:pPr>
        <w:spacing w:after="0"/>
        <w:jc w:val="both"/>
        <w:rPr>
          <w:rFonts w:ascii="Arial" w:hAnsi="Arial" w:cs="Arial"/>
          <w:b/>
        </w:rPr>
      </w:pPr>
    </w:p>
    <w:p w14:paraId="49FC92F9" w14:textId="77777777" w:rsidR="001B163B" w:rsidRPr="001B163B" w:rsidRDefault="001B163B" w:rsidP="00852170">
      <w:pPr>
        <w:suppressAutoHyphens/>
        <w:spacing w:after="0"/>
        <w:ind w:right="49"/>
        <w:jc w:val="center"/>
        <w:rPr>
          <w:rFonts w:ascii="Arial" w:eastAsia="Times New Roman" w:hAnsi="Arial" w:cs="Arial"/>
          <w:bCs/>
          <w:kern w:val="1"/>
          <w:lang w:eastAsia="ar-SA"/>
        </w:rPr>
      </w:pPr>
    </w:p>
    <w:p w14:paraId="55928260" w14:textId="4F86DD37" w:rsidR="001B163B" w:rsidRPr="001B163B" w:rsidRDefault="001B163B" w:rsidP="001B163B">
      <w:pPr>
        <w:suppressAutoHyphens/>
        <w:spacing w:after="0"/>
        <w:ind w:right="49"/>
        <w:jc w:val="center"/>
        <w:rPr>
          <w:rFonts w:ascii="Arial" w:eastAsia="Times New Roman" w:hAnsi="Arial" w:cs="Arial"/>
          <w:b/>
          <w:kern w:val="1"/>
          <w:sz w:val="26"/>
          <w:szCs w:val="26"/>
          <w:lang w:eastAsia="ar-SA"/>
        </w:rPr>
      </w:pPr>
      <w:r w:rsidRPr="001B163B">
        <w:rPr>
          <w:rFonts w:ascii="Arial" w:eastAsia="Times New Roman" w:hAnsi="Arial" w:cs="Arial"/>
          <w:b/>
          <w:kern w:val="1"/>
          <w:sz w:val="26"/>
          <w:szCs w:val="26"/>
          <w:lang w:eastAsia="ar-SA"/>
        </w:rPr>
        <w:t>Acuerdo</w:t>
      </w:r>
      <w:r w:rsidR="00B600DD">
        <w:rPr>
          <w:rFonts w:ascii="Arial" w:eastAsia="Times New Roman" w:hAnsi="Arial" w:cs="Arial"/>
          <w:b/>
          <w:kern w:val="1"/>
          <w:sz w:val="26"/>
          <w:szCs w:val="26"/>
          <w:lang w:eastAsia="ar-SA"/>
        </w:rPr>
        <w:t>s</w:t>
      </w:r>
    </w:p>
    <w:p w14:paraId="587E0A90" w14:textId="41CEB40C" w:rsidR="001B163B" w:rsidRDefault="001B163B" w:rsidP="001B163B">
      <w:pPr>
        <w:suppressAutoHyphens/>
        <w:spacing w:after="0"/>
        <w:ind w:right="49"/>
        <w:jc w:val="center"/>
        <w:rPr>
          <w:rFonts w:ascii="Arial" w:eastAsia="Times New Roman" w:hAnsi="Arial" w:cs="Arial"/>
          <w:bCs/>
          <w:kern w:val="1"/>
          <w:lang w:eastAsia="ar-SA"/>
        </w:rPr>
      </w:pPr>
    </w:p>
    <w:p w14:paraId="31DDF6B8" w14:textId="77777777" w:rsidR="00D909BC" w:rsidRPr="001B163B" w:rsidRDefault="00D909BC" w:rsidP="001B163B">
      <w:pPr>
        <w:suppressAutoHyphens/>
        <w:spacing w:after="0"/>
        <w:ind w:right="49"/>
        <w:jc w:val="center"/>
        <w:rPr>
          <w:rFonts w:ascii="Arial" w:eastAsia="Times New Roman" w:hAnsi="Arial" w:cs="Arial"/>
          <w:bCs/>
          <w:kern w:val="1"/>
          <w:lang w:eastAsia="ar-SA"/>
        </w:rPr>
      </w:pPr>
    </w:p>
    <w:p w14:paraId="04CEE2BC" w14:textId="783C9621" w:rsidR="00B600DD" w:rsidRPr="00B600DD" w:rsidRDefault="00B600DD" w:rsidP="00B600DD">
      <w:pPr>
        <w:spacing w:after="0"/>
        <w:jc w:val="both"/>
        <w:rPr>
          <w:rFonts w:ascii="Arial" w:hAnsi="Arial" w:cs="Arial"/>
          <w:bCs/>
          <w:lang w:val="es-MX" w:eastAsia="es-MX"/>
        </w:rPr>
      </w:pPr>
      <w:r w:rsidRPr="00B600DD">
        <w:rPr>
          <w:rFonts w:ascii="Arial" w:hAnsi="Arial" w:cs="Arial"/>
          <w:b/>
          <w:bCs/>
          <w:lang w:val="es-MX" w:eastAsia="es-MX"/>
        </w:rPr>
        <w:t>Primero</w:t>
      </w:r>
      <w:r w:rsidR="00D909BC" w:rsidRPr="001B163B">
        <w:rPr>
          <w:rFonts w:ascii="Arial" w:hAnsi="Arial" w:cs="Arial"/>
          <w:b/>
        </w:rPr>
        <w:t>.-</w:t>
      </w:r>
      <w:r w:rsidRPr="00B600DD">
        <w:rPr>
          <w:rFonts w:ascii="Arial" w:hAnsi="Arial" w:cs="Arial"/>
          <w:bCs/>
          <w:lang w:val="es-MX" w:eastAsia="es-MX"/>
        </w:rPr>
        <w:t xml:space="preserve"> Se determina someter a consulta pública por un plazo de 30 (treinta) días hábiles contados a partir del día hábil siguiente al de su publicación en el portal de Internet del Instituto Federal de Telecomunicaciones, </w:t>
      </w:r>
      <w:r w:rsidRPr="00B600DD">
        <w:rPr>
          <w:rFonts w:ascii="Arial" w:hAnsi="Arial" w:cs="Arial"/>
          <w:lang w:val="es-MX" w:eastAsia="es-MX"/>
        </w:rPr>
        <w:t xml:space="preserve">los criterios y umbrales de los parámetros establecidos en el </w:t>
      </w:r>
      <w:r w:rsidR="00E40879">
        <w:rPr>
          <w:rFonts w:ascii="Arial" w:hAnsi="Arial" w:cs="Arial"/>
          <w:lang w:val="es-MX" w:eastAsia="es-MX"/>
        </w:rPr>
        <w:t>Considerando Quinto</w:t>
      </w:r>
      <w:r w:rsidRPr="00B600DD">
        <w:rPr>
          <w:rFonts w:ascii="Arial" w:hAnsi="Arial" w:cs="Arial"/>
          <w:lang w:val="es-MX" w:eastAsia="es-MX"/>
        </w:rPr>
        <w:t xml:space="preserve"> del presente Acuerdo</w:t>
      </w:r>
      <w:r w:rsidRPr="00B600DD">
        <w:rPr>
          <w:rFonts w:ascii="Arial" w:hAnsi="Arial" w:cs="Arial"/>
          <w:bCs/>
          <w:lang w:val="es-MX" w:eastAsia="es-MX"/>
        </w:rPr>
        <w:t>.</w:t>
      </w:r>
    </w:p>
    <w:p w14:paraId="0FDD00BF" w14:textId="77777777" w:rsidR="00B600DD" w:rsidRPr="00B600DD" w:rsidRDefault="00B600DD" w:rsidP="00B600DD">
      <w:pPr>
        <w:widowControl w:val="0"/>
        <w:spacing w:after="0"/>
        <w:jc w:val="both"/>
        <w:rPr>
          <w:rFonts w:ascii="Arial" w:hAnsi="Arial" w:cs="Arial"/>
          <w:bCs/>
          <w:lang w:val="es-MX" w:eastAsia="es-MX"/>
        </w:rPr>
      </w:pPr>
    </w:p>
    <w:p w14:paraId="370A4F2B" w14:textId="2464871D" w:rsidR="00B600DD" w:rsidRPr="00B600DD" w:rsidRDefault="00B600DD" w:rsidP="00B600DD">
      <w:pPr>
        <w:spacing w:after="0"/>
        <w:jc w:val="both"/>
        <w:rPr>
          <w:rFonts w:ascii="Arial" w:hAnsi="Arial" w:cs="Arial"/>
          <w:bCs/>
          <w:lang w:val="es-MX" w:eastAsia="es-MX"/>
        </w:rPr>
      </w:pPr>
      <w:r w:rsidRPr="00B600DD">
        <w:rPr>
          <w:rFonts w:ascii="Arial" w:hAnsi="Arial" w:cs="Arial"/>
          <w:b/>
          <w:bCs/>
          <w:lang w:val="es-MX" w:eastAsia="es-MX"/>
        </w:rPr>
        <w:t>Segundo</w:t>
      </w:r>
      <w:r w:rsidR="00D909BC" w:rsidRPr="001B163B">
        <w:rPr>
          <w:rFonts w:ascii="Arial" w:hAnsi="Arial" w:cs="Arial"/>
          <w:b/>
        </w:rPr>
        <w:t>.-</w:t>
      </w:r>
      <w:r w:rsidRPr="00B600DD">
        <w:rPr>
          <w:rFonts w:ascii="Arial" w:hAnsi="Arial" w:cs="Arial"/>
          <w:bCs/>
          <w:lang w:val="es-MX" w:eastAsia="es-MX"/>
        </w:rPr>
        <w:t xml:space="preserve"> Se instruye a la Unidad de Política Regulatoria a recibir y dar la atención que corresponda a las opiniones que sean vertidas en virtud de la consulta pública materia del presente Acuerdo.</w:t>
      </w:r>
    </w:p>
    <w:p w14:paraId="106920AB" w14:textId="77777777" w:rsidR="00B600DD" w:rsidRPr="00B600DD" w:rsidRDefault="00B600DD" w:rsidP="00B600DD">
      <w:pPr>
        <w:spacing w:after="0"/>
        <w:jc w:val="both"/>
        <w:rPr>
          <w:rFonts w:ascii="Arial" w:hAnsi="Arial" w:cs="Arial"/>
          <w:b/>
          <w:bCs/>
          <w:lang w:val="es-MX" w:eastAsia="es-MX"/>
        </w:rPr>
      </w:pPr>
    </w:p>
    <w:p w14:paraId="52D9C9FA" w14:textId="3881026D" w:rsidR="00BB6A0B" w:rsidRPr="001B163B" w:rsidRDefault="00B600DD" w:rsidP="00B600DD">
      <w:pPr>
        <w:spacing w:after="0"/>
        <w:jc w:val="both"/>
        <w:rPr>
          <w:rFonts w:ascii="Arial" w:hAnsi="Arial" w:cs="Arial"/>
          <w:b/>
        </w:rPr>
      </w:pPr>
      <w:r w:rsidRPr="00B600DD">
        <w:rPr>
          <w:rFonts w:ascii="Arial" w:hAnsi="Arial" w:cs="Arial"/>
          <w:b/>
          <w:bCs/>
          <w:lang w:val="es-MX" w:eastAsia="es-MX"/>
        </w:rPr>
        <w:t>Tercero</w:t>
      </w:r>
      <w:r w:rsidR="00D909BC" w:rsidRPr="001B163B">
        <w:rPr>
          <w:rFonts w:ascii="Arial" w:hAnsi="Arial" w:cs="Arial"/>
          <w:b/>
        </w:rPr>
        <w:t>.-</w:t>
      </w:r>
      <w:r w:rsidRPr="00B600DD">
        <w:rPr>
          <w:rFonts w:ascii="Arial" w:hAnsi="Arial" w:cs="Arial"/>
          <w:bCs/>
          <w:lang w:val="es-MX" w:eastAsia="es-MX"/>
        </w:rPr>
        <w:t xml:space="preserve"> Publíquese el presente Acuerdo y </w:t>
      </w:r>
      <w:r w:rsidRPr="00B600DD">
        <w:rPr>
          <w:rFonts w:ascii="Arial" w:hAnsi="Arial" w:cs="Arial"/>
          <w:lang w:val="es-MX" w:eastAsia="es-MX"/>
        </w:rPr>
        <w:t>los criterios y umbrales de los parámetros establecidos en el Considerando Segundo</w:t>
      </w:r>
      <w:r w:rsidRPr="00B600DD">
        <w:rPr>
          <w:rFonts w:ascii="Arial" w:hAnsi="Arial" w:cs="Arial"/>
          <w:bCs/>
          <w:lang w:val="es-MX" w:eastAsia="es-MX"/>
        </w:rPr>
        <w:t>.</w:t>
      </w:r>
    </w:p>
    <w:sectPr w:rsidR="00BB6A0B" w:rsidRPr="001B163B" w:rsidSect="00CB38F2">
      <w:type w:val="continuous"/>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4D9E0" w14:textId="77777777" w:rsidR="00D00889" w:rsidRDefault="00D00889" w:rsidP="000F1667">
      <w:pPr>
        <w:spacing w:after="0" w:line="240" w:lineRule="auto"/>
      </w:pPr>
      <w:r>
        <w:separator/>
      </w:r>
    </w:p>
  </w:endnote>
  <w:endnote w:type="continuationSeparator" w:id="0">
    <w:p w14:paraId="393D13B9" w14:textId="77777777" w:rsidR="00D00889" w:rsidRDefault="00D00889" w:rsidP="000F1667">
      <w:pPr>
        <w:spacing w:after="0" w:line="240" w:lineRule="auto"/>
      </w:pPr>
      <w:r>
        <w:continuationSeparator/>
      </w:r>
    </w:p>
  </w:endnote>
  <w:endnote w:type="continuationNotice" w:id="1">
    <w:p w14:paraId="2FB93CA6" w14:textId="77777777" w:rsidR="00D00889" w:rsidRDefault="00D008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ITC Avant Garde Std Bk">
    <w:panose1 w:val="020B0502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357977386"/>
      <w:docPartObj>
        <w:docPartGallery w:val="Page Numbers (Bottom of Page)"/>
        <w:docPartUnique/>
      </w:docPartObj>
    </w:sdtPr>
    <w:sdtEndPr/>
    <w:sdtContent>
      <w:sdt>
        <w:sdtPr>
          <w:rPr>
            <w:rFonts w:ascii="Arial" w:hAnsi="Arial" w:cs="Arial"/>
            <w:sz w:val="18"/>
            <w:szCs w:val="18"/>
          </w:rPr>
          <w:id w:val="458229369"/>
          <w:docPartObj>
            <w:docPartGallery w:val="Page Numbers (Top of Page)"/>
            <w:docPartUnique/>
          </w:docPartObj>
        </w:sdtPr>
        <w:sdtEndPr/>
        <w:sdtContent>
          <w:p w14:paraId="1A747952" w14:textId="404EAAE2" w:rsidR="001A77D2" w:rsidRPr="00E50D05" w:rsidRDefault="001A77D2" w:rsidP="00E50D05">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A21FFA">
              <w:rPr>
                <w:rFonts w:ascii="Arial" w:hAnsi="Arial" w:cs="Arial"/>
                <w:bCs/>
                <w:noProof/>
                <w:sz w:val="18"/>
                <w:szCs w:val="18"/>
              </w:rPr>
              <w:t>6</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A21FFA">
              <w:rPr>
                <w:rFonts w:ascii="Arial" w:hAnsi="Arial" w:cs="Arial"/>
                <w:bCs/>
                <w:noProof/>
                <w:sz w:val="18"/>
                <w:szCs w:val="18"/>
              </w:rPr>
              <w:t>29</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F3735" w14:textId="77777777" w:rsidR="00D00889" w:rsidRDefault="00D00889" w:rsidP="000F1667">
      <w:pPr>
        <w:spacing w:after="0" w:line="240" w:lineRule="auto"/>
      </w:pPr>
      <w:r>
        <w:separator/>
      </w:r>
    </w:p>
  </w:footnote>
  <w:footnote w:type="continuationSeparator" w:id="0">
    <w:p w14:paraId="16422587" w14:textId="77777777" w:rsidR="00D00889" w:rsidRDefault="00D00889" w:rsidP="000F1667">
      <w:pPr>
        <w:spacing w:after="0" w:line="240" w:lineRule="auto"/>
      </w:pPr>
      <w:r>
        <w:continuationSeparator/>
      </w:r>
    </w:p>
  </w:footnote>
  <w:footnote w:type="continuationNotice" w:id="1">
    <w:p w14:paraId="466B834E" w14:textId="77777777" w:rsidR="00D00889" w:rsidRDefault="00D00889">
      <w:pPr>
        <w:spacing w:after="0" w:line="240" w:lineRule="auto"/>
      </w:pPr>
    </w:p>
  </w:footnote>
  <w:footnote w:id="2">
    <w:p w14:paraId="3AACDE05" w14:textId="0CD0F80E" w:rsidR="001A77D2" w:rsidRPr="00F86F40" w:rsidRDefault="001A77D2">
      <w:pPr>
        <w:pStyle w:val="Textonotapie"/>
        <w:rPr>
          <w:rFonts w:ascii="Arial" w:hAnsi="Arial" w:cs="Arial"/>
          <w:lang w:val="es-MX"/>
        </w:rPr>
      </w:pPr>
      <w:r w:rsidRPr="00F86F40">
        <w:rPr>
          <w:rStyle w:val="Refdenotaalpie"/>
          <w:rFonts w:ascii="Arial" w:hAnsi="Arial" w:cs="Arial"/>
        </w:rPr>
        <w:footnoteRef/>
      </w:r>
      <w:r w:rsidRPr="00F86F40">
        <w:rPr>
          <w:rFonts w:ascii="Arial" w:hAnsi="Arial" w:cs="Arial"/>
        </w:rPr>
        <w:t xml:space="preserve"> </w:t>
      </w:r>
      <w:r w:rsidRPr="00F86F40">
        <w:rPr>
          <w:rFonts w:ascii="Arial" w:hAnsi="Arial" w:cs="Arial"/>
          <w:lang w:val="es-MX"/>
        </w:rPr>
        <w:t xml:space="preserve">Disponible en la siguiente liga electrónica: </w:t>
      </w:r>
      <w:hyperlink r:id="rId1" w:history="1">
        <w:r w:rsidRPr="00F86F40">
          <w:rPr>
            <w:rStyle w:val="Hipervnculo"/>
            <w:rFonts w:ascii="Arial" w:hAnsi="Arial" w:cs="Arial"/>
            <w:lang w:val="es-MX"/>
          </w:rPr>
          <w:t>https://bit.ift.org.mx/BitWebApp/</w:t>
        </w:r>
      </w:hyperlink>
      <w:r w:rsidRPr="00F86F40">
        <w:rPr>
          <w:rFonts w:ascii="Arial" w:hAnsi="Arial" w:cs="Arial"/>
          <w:lang w:val="es-MX"/>
        </w:rPr>
        <w:t xml:space="preserve"> </w:t>
      </w:r>
    </w:p>
  </w:footnote>
  <w:footnote w:id="3">
    <w:p w14:paraId="741BCB33" w14:textId="77777777" w:rsidR="001A77D2" w:rsidRPr="00776ABC" w:rsidRDefault="001A77D2" w:rsidP="0091654F">
      <w:pPr>
        <w:pStyle w:val="Textonotapie"/>
        <w:jc w:val="both"/>
        <w:rPr>
          <w:rFonts w:ascii="Arial" w:hAnsi="Arial" w:cs="Arial"/>
          <w:lang w:val="es-MX"/>
        </w:rPr>
      </w:pPr>
      <w:r w:rsidRPr="00776ABC">
        <w:rPr>
          <w:rStyle w:val="Refdenotaalpie"/>
          <w:rFonts w:ascii="Arial" w:hAnsi="Arial" w:cs="Arial"/>
          <w:sz w:val="18"/>
        </w:rPr>
        <w:footnoteRef/>
      </w:r>
      <w:r w:rsidRPr="00776ABC">
        <w:rPr>
          <w:rFonts w:ascii="Arial" w:hAnsi="Arial" w:cs="Arial"/>
          <w:sz w:val="18"/>
          <w:lang w:val="es-MX"/>
        </w:rPr>
        <w:t xml:space="preserve"> Con el objetivo de llevar a cabo un análisis especifico de las condiciones de competencia, se utiliza municipio como unidad geo estadística al ser la unidad de mayor desagregación con datos sobre accesos de BAF a través del BIT.</w:t>
      </w:r>
    </w:p>
  </w:footnote>
  <w:footnote w:id="4">
    <w:p w14:paraId="072707B5" w14:textId="145895FD" w:rsidR="001A77D2" w:rsidRPr="007A1E29" w:rsidRDefault="001A77D2" w:rsidP="0091654F">
      <w:pPr>
        <w:pStyle w:val="Textonotapie"/>
        <w:jc w:val="both"/>
      </w:pPr>
      <w:r>
        <w:rPr>
          <w:rStyle w:val="Refdenotaalpie"/>
        </w:rPr>
        <w:footnoteRef/>
      </w:r>
      <w:r>
        <w:t xml:space="preserve"> </w:t>
      </w:r>
      <w:r w:rsidRPr="004B2175">
        <w:rPr>
          <w:rFonts w:ascii="Arial" w:hAnsi="Arial" w:cs="Arial"/>
          <w:sz w:val="18"/>
          <w:lang w:val="es-MX"/>
        </w:rPr>
        <w:t xml:space="preserve">Considerando como operadores a los </w:t>
      </w:r>
      <w:r w:rsidRPr="00202769">
        <w:rPr>
          <w:rFonts w:ascii="Arial" w:hAnsi="Arial" w:cs="Arial"/>
          <w:i/>
          <w:sz w:val="18"/>
          <w:lang w:val="es-MX"/>
        </w:rPr>
        <w:t>“Grupos”</w:t>
      </w:r>
      <w:r w:rsidRPr="004B2175">
        <w:rPr>
          <w:rFonts w:ascii="Arial" w:hAnsi="Arial" w:cs="Arial"/>
          <w:sz w:val="18"/>
          <w:lang w:val="es-MX"/>
        </w:rPr>
        <w:t xml:space="preserve"> registrados en el BIT </w:t>
      </w:r>
      <w:r>
        <w:rPr>
          <w:rFonts w:ascii="Arial" w:hAnsi="Arial" w:cs="Arial"/>
          <w:sz w:val="18"/>
          <w:lang w:val="es-MX"/>
        </w:rPr>
        <w:t xml:space="preserve">denominados </w:t>
      </w:r>
      <w:r w:rsidRPr="004B2175">
        <w:rPr>
          <w:rFonts w:ascii="Arial" w:hAnsi="Arial" w:cs="Arial"/>
          <w:sz w:val="18"/>
          <w:lang w:val="es-MX"/>
        </w:rPr>
        <w:t>como: América Móvil, Grupo Televisa, Megacable y Total Play.</w:t>
      </w:r>
    </w:p>
  </w:footnote>
  <w:footnote w:id="5">
    <w:p w14:paraId="62DAF6B4" w14:textId="2F9E73D5" w:rsidR="001A77D2" w:rsidRPr="00432519" w:rsidRDefault="001A77D2">
      <w:pPr>
        <w:pStyle w:val="Textonotapie"/>
        <w:rPr>
          <w:rFonts w:ascii="Arial" w:hAnsi="Arial" w:cs="Arial"/>
          <w:sz w:val="18"/>
          <w:szCs w:val="18"/>
        </w:rPr>
      </w:pPr>
      <w:r w:rsidRPr="00432519">
        <w:rPr>
          <w:rStyle w:val="Refdenotaalpie"/>
          <w:rFonts w:ascii="Arial" w:hAnsi="Arial" w:cs="Arial"/>
          <w:sz w:val="18"/>
          <w:szCs w:val="18"/>
        </w:rPr>
        <w:footnoteRef/>
      </w:r>
      <w:r w:rsidRPr="00432519">
        <w:rPr>
          <w:rFonts w:ascii="Arial" w:hAnsi="Arial" w:cs="Arial"/>
          <w:sz w:val="18"/>
          <w:szCs w:val="18"/>
        </w:rPr>
        <w:t xml:space="preserve"> </w:t>
      </w:r>
      <w:r>
        <w:rPr>
          <w:rFonts w:ascii="Arial" w:hAnsi="Arial" w:cs="Arial"/>
          <w:sz w:val="18"/>
          <w:szCs w:val="18"/>
        </w:rPr>
        <w:t>Se considera un porcentaje de 0%, en términos prácticos, dado que Axesat</w:t>
      </w:r>
      <w:r w:rsidRPr="00432519">
        <w:rPr>
          <w:rFonts w:ascii="Arial" w:hAnsi="Arial" w:cs="Arial"/>
          <w:sz w:val="18"/>
          <w:szCs w:val="18"/>
        </w:rPr>
        <w:t xml:space="preserve"> </w:t>
      </w:r>
      <w:r>
        <w:rPr>
          <w:rFonts w:ascii="Arial" w:hAnsi="Arial" w:cs="Arial"/>
          <w:sz w:val="18"/>
          <w:szCs w:val="18"/>
        </w:rPr>
        <w:t>solo cuenta con 514 accesos, lo cual representa un porcentaje de alrededor de 0.0025% respecto al total general.</w:t>
      </w:r>
    </w:p>
  </w:footnote>
  <w:footnote w:id="6">
    <w:p w14:paraId="08A5EDF3" w14:textId="4AA4DD62" w:rsidR="001A77D2" w:rsidRPr="005204FC" w:rsidRDefault="001A77D2" w:rsidP="0091654F">
      <w:pPr>
        <w:pStyle w:val="Textonotapie"/>
        <w:jc w:val="both"/>
      </w:pPr>
      <w:r>
        <w:rPr>
          <w:rStyle w:val="Refdenotaalpie"/>
        </w:rPr>
        <w:footnoteRef/>
      </w:r>
      <w:r>
        <w:t xml:space="preserve"> </w:t>
      </w:r>
      <w:r>
        <w:rPr>
          <w:rFonts w:ascii="Arial" w:hAnsi="Arial" w:cs="Arial"/>
          <w:sz w:val="18"/>
          <w:lang w:val="es-MX"/>
        </w:rPr>
        <w:t xml:space="preserve">A partir del </w:t>
      </w:r>
      <w:r w:rsidRPr="006A5305">
        <w:rPr>
          <w:rFonts w:ascii="Arial" w:hAnsi="Arial" w:cs="Arial"/>
          <w:sz w:val="18"/>
          <w:lang w:val="es-MX"/>
        </w:rPr>
        <w:t>Censo</w:t>
      </w:r>
      <w:r>
        <w:rPr>
          <w:rFonts w:ascii="Arial" w:hAnsi="Arial" w:cs="Arial"/>
          <w:sz w:val="18"/>
          <w:lang w:val="es-MX"/>
        </w:rPr>
        <w:t xml:space="preserve"> de Población y Vivienda 2020 publicado por el Instituto Nacional de Estadística y Geografía se registraron 12 nuevos municipios los cuales no están contemplados en los datos del BIT. Estos nuevos municipios se localizan en los siguientes estados: un municipio en Baja California, un municipio en Campeche, 6 municipios en Chiapas, 3 municipios en Morelos y un municipio en Quintana Roo</w:t>
      </w:r>
      <w:r w:rsidRPr="006A5305">
        <w:rPr>
          <w:rFonts w:ascii="Arial" w:hAnsi="Arial" w:cs="Arial"/>
          <w:sz w:val="18"/>
          <w:lang w:val="es-MX"/>
        </w:rPr>
        <w:t>.</w:t>
      </w:r>
    </w:p>
  </w:footnote>
  <w:footnote w:id="7">
    <w:p w14:paraId="694F618E" w14:textId="6AA45633" w:rsidR="001A77D2" w:rsidRPr="00776ABC" w:rsidRDefault="001A77D2" w:rsidP="0091654F">
      <w:pPr>
        <w:pStyle w:val="Textonotapie"/>
        <w:jc w:val="both"/>
        <w:rPr>
          <w:rFonts w:ascii="Arial" w:hAnsi="Arial" w:cs="Arial"/>
          <w:lang w:val="es-MX"/>
        </w:rPr>
      </w:pPr>
      <w:r w:rsidRPr="00776ABC">
        <w:rPr>
          <w:rStyle w:val="Refdenotaalpie"/>
          <w:rFonts w:ascii="Arial" w:hAnsi="Arial" w:cs="Arial"/>
          <w:sz w:val="18"/>
        </w:rPr>
        <w:footnoteRef/>
      </w:r>
      <w:r w:rsidRPr="00776ABC">
        <w:rPr>
          <w:rFonts w:ascii="Arial" w:hAnsi="Arial" w:cs="Arial"/>
          <w:sz w:val="18"/>
          <w:lang w:val="es-MX"/>
        </w:rPr>
        <w:t xml:space="preserve"> Al </w:t>
      </w:r>
      <w:r>
        <w:rPr>
          <w:rFonts w:ascii="Arial" w:hAnsi="Arial" w:cs="Arial"/>
          <w:sz w:val="18"/>
          <w:lang w:val="es-MX"/>
        </w:rPr>
        <w:t>segundo trimestre de 2020,</w:t>
      </w:r>
      <w:r w:rsidRPr="00776ABC">
        <w:rPr>
          <w:rFonts w:ascii="Arial" w:hAnsi="Arial" w:cs="Arial"/>
          <w:sz w:val="18"/>
          <w:lang w:val="es-MX"/>
        </w:rPr>
        <w:t xml:space="preserve"> el BIT tiene información de 1</w:t>
      </w:r>
      <w:r>
        <w:rPr>
          <w:rFonts w:ascii="Arial" w:hAnsi="Arial" w:cs="Arial"/>
          <w:sz w:val="18"/>
          <w:lang w:val="es-MX"/>
        </w:rPr>
        <w:t>5</w:t>
      </w:r>
      <w:r w:rsidRPr="00776ABC">
        <w:rPr>
          <w:rFonts w:ascii="Arial" w:hAnsi="Arial" w:cs="Arial"/>
          <w:sz w:val="18"/>
          <w:lang w:val="es-MX"/>
        </w:rPr>
        <w:t xml:space="preserve"> </w:t>
      </w:r>
      <w:r>
        <w:rPr>
          <w:rFonts w:ascii="Arial" w:hAnsi="Arial" w:cs="Arial"/>
          <w:sz w:val="18"/>
          <w:lang w:val="es-MX"/>
        </w:rPr>
        <w:t>concesionarios</w:t>
      </w:r>
      <w:r w:rsidRPr="00776ABC">
        <w:rPr>
          <w:rFonts w:ascii="Arial" w:hAnsi="Arial" w:cs="Arial"/>
          <w:sz w:val="18"/>
          <w:lang w:val="es-MX"/>
        </w:rPr>
        <w:t xml:space="preserve"> con menos de 200 mil accesos, los cuales no están obligados a reportar información desagregada por municipio de acuerdo a la normativa implementada por la C</w:t>
      </w:r>
      <w:r>
        <w:rPr>
          <w:rFonts w:ascii="Arial" w:hAnsi="Arial" w:cs="Arial"/>
          <w:sz w:val="18"/>
          <w:lang w:val="es-MX"/>
        </w:rPr>
        <w:t xml:space="preserve">oordinación </w:t>
      </w:r>
      <w:r w:rsidRPr="00776ABC">
        <w:rPr>
          <w:rFonts w:ascii="Arial" w:hAnsi="Arial" w:cs="Arial"/>
          <w:sz w:val="18"/>
          <w:lang w:val="es-MX"/>
        </w:rPr>
        <w:t>G</w:t>
      </w:r>
      <w:r>
        <w:rPr>
          <w:rFonts w:ascii="Arial" w:hAnsi="Arial" w:cs="Arial"/>
          <w:sz w:val="18"/>
          <w:lang w:val="es-MX"/>
        </w:rPr>
        <w:t xml:space="preserve">eneral de </w:t>
      </w:r>
      <w:r w:rsidRPr="00776ABC">
        <w:rPr>
          <w:rFonts w:ascii="Arial" w:hAnsi="Arial" w:cs="Arial"/>
          <w:sz w:val="18"/>
          <w:lang w:val="es-MX"/>
        </w:rPr>
        <w:t>P</w:t>
      </w:r>
      <w:r>
        <w:rPr>
          <w:rFonts w:ascii="Arial" w:hAnsi="Arial" w:cs="Arial"/>
          <w:sz w:val="18"/>
          <w:lang w:val="es-MX"/>
        </w:rPr>
        <w:t xml:space="preserve">laneación </w:t>
      </w:r>
      <w:r w:rsidRPr="00776ABC">
        <w:rPr>
          <w:rFonts w:ascii="Arial" w:hAnsi="Arial" w:cs="Arial"/>
          <w:sz w:val="18"/>
          <w:lang w:val="es-MX"/>
        </w:rPr>
        <w:t>E</w:t>
      </w:r>
      <w:r>
        <w:rPr>
          <w:rFonts w:ascii="Arial" w:hAnsi="Arial" w:cs="Arial"/>
          <w:sz w:val="18"/>
          <w:lang w:val="es-MX"/>
        </w:rPr>
        <w:t>stratégica del Instituto</w:t>
      </w:r>
      <w:r w:rsidRPr="00776ABC">
        <w:rPr>
          <w:rFonts w:ascii="Arial" w:hAnsi="Arial" w:cs="Arial"/>
          <w:sz w:val="18"/>
          <w:lang w:val="es-MX"/>
        </w:rPr>
        <w:t>.</w:t>
      </w:r>
    </w:p>
  </w:footnote>
  <w:footnote w:id="8">
    <w:p w14:paraId="255E7282" w14:textId="6577D6E3" w:rsidR="001A77D2" w:rsidRPr="00776ABC" w:rsidRDefault="001A77D2" w:rsidP="0091654F">
      <w:pPr>
        <w:pStyle w:val="Textonotapie"/>
        <w:jc w:val="both"/>
        <w:rPr>
          <w:rFonts w:ascii="Arial" w:hAnsi="Arial" w:cs="Arial"/>
          <w:sz w:val="18"/>
          <w:szCs w:val="18"/>
          <w:lang w:val="es-MX"/>
        </w:rPr>
      </w:pPr>
      <w:r w:rsidRPr="00776ABC">
        <w:rPr>
          <w:rStyle w:val="Refdenotaalpie"/>
          <w:rFonts w:ascii="Arial" w:hAnsi="Arial" w:cs="Arial"/>
          <w:sz w:val="18"/>
          <w:szCs w:val="18"/>
        </w:rPr>
        <w:footnoteRef/>
      </w:r>
      <w:r w:rsidRPr="00776ABC">
        <w:rPr>
          <w:rFonts w:ascii="Arial" w:hAnsi="Arial" w:cs="Arial"/>
          <w:sz w:val="18"/>
          <w:szCs w:val="18"/>
          <w:lang w:val="es-MX"/>
        </w:rPr>
        <w:t xml:space="preserve"> En este caso, se consideró como valor de entrada a la variable “</w:t>
      </w:r>
      <w:r>
        <w:rPr>
          <w:rFonts w:ascii="Arial" w:hAnsi="Arial" w:cs="Arial"/>
          <w:sz w:val="18"/>
          <w:szCs w:val="18"/>
          <w:lang w:val="es-MX"/>
        </w:rPr>
        <w:t>TOTHOG</w:t>
      </w:r>
      <w:r w:rsidRPr="00776ABC">
        <w:rPr>
          <w:rFonts w:ascii="Arial" w:hAnsi="Arial" w:cs="Arial"/>
          <w:sz w:val="18"/>
          <w:szCs w:val="18"/>
          <w:lang w:val="es-MX"/>
        </w:rPr>
        <w:t>” del “</w:t>
      </w:r>
      <w:r w:rsidRPr="00776ABC">
        <w:rPr>
          <w:rFonts w:ascii="Arial" w:hAnsi="Arial" w:cs="Arial"/>
          <w:i/>
          <w:sz w:val="18"/>
          <w:szCs w:val="18"/>
          <w:lang w:val="es-MX"/>
        </w:rPr>
        <w:t>Censo de Población y Vivienda 20</w:t>
      </w:r>
      <w:r>
        <w:rPr>
          <w:rFonts w:ascii="Arial" w:hAnsi="Arial" w:cs="Arial"/>
          <w:i/>
          <w:sz w:val="18"/>
          <w:szCs w:val="18"/>
          <w:lang w:val="es-MX"/>
        </w:rPr>
        <w:t>20</w:t>
      </w:r>
      <w:r w:rsidRPr="00776ABC">
        <w:rPr>
          <w:rFonts w:ascii="Arial" w:hAnsi="Arial" w:cs="Arial"/>
          <w:sz w:val="18"/>
          <w:szCs w:val="18"/>
          <w:lang w:val="es-MX"/>
        </w:rPr>
        <w:t xml:space="preserve">”, misma que corresponde al “Total de </w:t>
      </w:r>
      <w:r>
        <w:rPr>
          <w:rFonts w:ascii="Arial" w:hAnsi="Arial" w:cs="Arial"/>
          <w:sz w:val="18"/>
          <w:szCs w:val="18"/>
          <w:lang w:val="es-MX"/>
        </w:rPr>
        <w:t>hogares censales</w:t>
      </w:r>
      <w:r w:rsidRPr="00776ABC">
        <w:rPr>
          <w:rFonts w:ascii="Arial" w:hAnsi="Arial" w:cs="Arial"/>
          <w:sz w:val="18"/>
          <w:szCs w:val="18"/>
          <w:lang w:val="es-MX"/>
        </w:rPr>
        <w:t>” que refiere a “</w:t>
      </w:r>
      <w:r w:rsidRPr="004842F1">
        <w:rPr>
          <w:rFonts w:ascii="Arial" w:hAnsi="Arial" w:cs="Arial"/>
          <w:i/>
          <w:sz w:val="18"/>
          <w:szCs w:val="18"/>
          <w:lang w:val="es-MX"/>
        </w:rPr>
        <w:t>Hogares en viviendas</w:t>
      </w:r>
      <w:r w:rsidRPr="00BE68DE">
        <w:rPr>
          <w:rFonts w:ascii="Arial" w:hAnsi="Arial" w:cs="Arial"/>
          <w:i/>
          <w:sz w:val="18"/>
          <w:szCs w:val="18"/>
          <w:lang w:val="es-MX"/>
        </w:rPr>
        <w:t xml:space="preserve"> particulares habitadas</w:t>
      </w:r>
      <w:r w:rsidRPr="004842F1">
        <w:rPr>
          <w:rFonts w:ascii="Arial" w:hAnsi="Arial" w:cs="Arial"/>
          <w:i/>
          <w:sz w:val="18"/>
          <w:szCs w:val="18"/>
          <w:lang w:val="es-MX"/>
        </w:rPr>
        <w:t>. Se considera un hogar en cada vivienda particular. Incluye</w:t>
      </w:r>
      <w:r w:rsidRPr="00BE68DE">
        <w:rPr>
          <w:rFonts w:ascii="Arial" w:hAnsi="Arial" w:cs="Arial"/>
          <w:i/>
          <w:sz w:val="18"/>
          <w:szCs w:val="18"/>
          <w:lang w:val="es-MX"/>
        </w:rPr>
        <w:t xml:space="preserve"> casa única en el terreno</w:t>
      </w:r>
      <w:r w:rsidRPr="004842F1">
        <w:rPr>
          <w:rFonts w:ascii="Arial" w:hAnsi="Arial" w:cs="Arial"/>
          <w:i/>
          <w:sz w:val="18"/>
          <w:szCs w:val="18"/>
          <w:lang w:val="es-MX"/>
        </w:rPr>
        <w:t>;</w:t>
      </w:r>
      <w:r w:rsidRPr="00BE68DE">
        <w:rPr>
          <w:rFonts w:ascii="Arial" w:hAnsi="Arial" w:cs="Arial"/>
          <w:i/>
          <w:sz w:val="18"/>
          <w:szCs w:val="18"/>
          <w:lang w:val="es-MX"/>
        </w:rPr>
        <w:t xml:space="preserve"> departamento en edificio</w:t>
      </w:r>
      <w:r w:rsidRPr="004842F1">
        <w:rPr>
          <w:rFonts w:ascii="Arial" w:hAnsi="Arial" w:cs="Arial"/>
          <w:i/>
          <w:sz w:val="18"/>
          <w:szCs w:val="18"/>
          <w:lang w:val="es-MX"/>
        </w:rPr>
        <w:t>;</w:t>
      </w:r>
      <w:r w:rsidRPr="00BE68DE">
        <w:rPr>
          <w:rFonts w:ascii="Arial" w:hAnsi="Arial" w:cs="Arial"/>
          <w:i/>
          <w:sz w:val="18"/>
          <w:szCs w:val="18"/>
          <w:lang w:val="es-MX"/>
        </w:rPr>
        <w:t xml:space="preserve"> vivienda en vecindad</w:t>
      </w:r>
      <w:r w:rsidRPr="004842F1">
        <w:rPr>
          <w:rFonts w:ascii="Arial" w:hAnsi="Arial" w:cs="Arial"/>
          <w:i/>
          <w:sz w:val="18"/>
          <w:szCs w:val="18"/>
          <w:lang w:val="es-MX"/>
        </w:rPr>
        <w:t>;</w:t>
      </w:r>
      <w:r w:rsidRPr="00BE68DE">
        <w:rPr>
          <w:rFonts w:ascii="Arial" w:hAnsi="Arial" w:cs="Arial"/>
          <w:i/>
          <w:sz w:val="18"/>
          <w:szCs w:val="18"/>
          <w:lang w:val="es-MX"/>
        </w:rPr>
        <w:t xml:space="preserve"> vivienda </w:t>
      </w:r>
      <w:r w:rsidRPr="004842F1">
        <w:rPr>
          <w:rFonts w:ascii="Arial" w:hAnsi="Arial" w:cs="Arial"/>
          <w:i/>
          <w:sz w:val="18"/>
          <w:szCs w:val="18"/>
          <w:lang w:val="es-MX"/>
        </w:rPr>
        <w:t>en</w:t>
      </w:r>
      <w:r w:rsidRPr="00BE68DE">
        <w:rPr>
          <w:rFonts w:ascii="Arial" w:hAnsi="Arial" w:cs="Arial"/>
          <w:i/>
          <w:sz w:val="18"/>
          <w:szCs w:val="18"/>
          <w:lang w:val="es-MX"/>
        </w:rPr>
        <w:t xml:space="preserve"> cuarto de azotea</w:t>
      </w:r>
      <w:r w:rsidRPr="004842F1">
        <w:rPr>
          <w:rFonts w:ascii="Arial" w:hAnsi="Arial" w:cs="Arial"/>
          <w:i/>
          <w:sz w:val="18"/>
          <w:szCs w:val="18"/>
          <w:lang w:val="es-MX"/>
        </w:rPr>
        <w:t>;</w:t>
      </w:r>
      <w:r w:rsidRPr="00BE68DE">
        <w:rPr>
          <w:rFonts w:ascii="Arial" w:hAnsi="Arial" w:cs="Arial"/>
          <w:i/>
          <w:sz w:val="18"/>
          <w:szCs w:val="18"/>
          <w:lang w:val="es-MX"/>
        </w:rPr>
        <w:t xml:space="preserve"> local no construido para habitación</w:t>
      </w:r>
      <w:r w:rsidRPr="004842F1">
        <w:rPr>
          <w:rFonts w:ascii="Arial" w:hAnsi="Arial" w:cs="Arial"/>
          <w:i/>
          <w:sz w:val="18"/>
          <w:szCs w:val="18"/>
          <w:lang w:val="es-MX"/>
        </w:rPr>
        <w:t>;</w:t>
      </w:r>
      <w:r w:rsidRPr="00BE68DE">
        <w:rPr>
          <w:rFonts w:ascii="Arial" w:hAnsi="Arial" w:cs="Arial"/>
          <w:i/>
          <w:sz w:val="18"/>
          <w:szCs w:val="18"/>
          <w:lang w:val="es-MX"/>
        </w:rPr>
        <w:t xml:space="preserve"> vivienda móvil</w:t>
      </w:r>
      <w:r w:rsidRPr="004842F1">
        <w:rPr>
          <w:rFonts w:ascii="Arial" w:hAnsi="Arial" w:cs="Arial"/>
          <w:i/>
          <w:sz w:val="18"/>
          <w:szCs w:val="18"/>
          <w:lang w:val="es-MX"/>
        </w:rPr>
        <w:t xml:space="preserve">; </w:t>
      </w:r>
      <w:r>
        <w:rPr>
          <w:rFonts w:ascii="Arial" w:hAnsi="Arial" w:cs="Arial"/>
          <w:i/>
          <w:sz w:val="18"/>
          <w:szCs w:val="18"/>
          <w:lang w:val="es-MX"/>
        </w:rPr>
        <w:t>refugio</w:t>
      </w:r>
      <w:r w:rsidRPr="00BE68DE">
        <w:rPr>
          <w:rFonts w:ascii="Arial" w:hAnsi="Arial" w:cs="Arial"/>
          <w:i/>
          <w:sz w:val="18"/>
          <w:szCs w:val="18"/>
          <w:lang w:val="es-MX"/>
        </w:rPr>
        <w:t xml:space="preserve"> o clase no especificada.</w:t>
      </w:r>
      <w:r w:rsidRPr="00776ABC">
        <w:rPr>
          <w:rFonts w:ascii="Arial" w:hAnsi="Arial" w:cs="Arial"/>
          <w:sz w:val="18"/>
          <w:szCs w:val="18"/>
          <w:lang w:val="es-MX"/>
        </w:rPr>
        <w:t>”</w:t>
      </w:r>
    </w:p>
  </w:footnote>
  <w:footnote w:id="9">
    <w:p w14:paraId="4A51597B" w14:textId="37E904D8" w:rsidR="001A77D2" w:rsidRPr="00776ABC" w:rsidRDefault="001A77D2" w:rsidP="00B600DD">
      <w:pPr>
        <w:pStyle w:val="Textonotapie"/>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Véase el enlace</w:t>
      </w:r>
      <w:r>
        <w:rPr>
          <w:rFonts w:ascii="Arial" w:hAnsi="Arial" w:cs="Arial"/>
          <w:sz w:val="18"/>
          <w:lang w:val="es-MX"/>
        </w:rPr>
        <w:t xml:space="preserve">: </w:t>
      </w:r>
      <w:hyperlink r:id="rId2" w:history="1">
        <w:r w:rsidRPr="00D7126A">
          <w:rPr>
            <w:rStyle w:val="Hipervnculo"/>
            <w:rFonts w:ascii="Arial" w:hAnsi="Arial" w:cs="Arial"/>
            <w:sz w:val="18"/>
            <w:szCs w:val="18"/>
          </w:rPr>
          <w:t>https://www.ofcom.org.uk/__data/assets/pdf_file/0028/42697/statement.pdf</w:t>
        </w:r>
      </w:hyperlink>
      <w:r w:rsidRPr="00776ABC">
        <w:rPr>
          <w:rFonts w:ascii="Arial" w:hAnsi="Arial" w:cs="Arial"/>
          <w:sz w:val="18"/>
          <w:lang w:val="es-MX"/>
        </w:rPr>
        <w:t>.</w:t>
      </w:r>
    </w:p>
  </w:footnote>
  <w:footnote w:id="10">
    <w:p w14:paraId="2DE2920F" w14:textId="7D7E5B17" w:rsidR="001A77D2" w:rsidRPr="00776ABC" w:rsidRDefault="001A77D2" w:rsidP="00B600DD">
      <w:pPr>
        <w:pStyle w:val="Textonotapie"/>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Véase el enlace</w:t>
      </w:r>
      <w:r>
        <w:rPr>
          <w:rFonts w:ascii="Arial" w:hAnsi="Arial" w:cs="Arial"/>
          <w:sz w:val="18"/>
          <w:lang w:val="es-MX"/>
        </w:rPr>
        <w:t xml:space="preserve">: </w:t>
      </w:r>
      <w:hyperlink r:id="rId3" w:history="1">
        <w:r w:rsidRPr="00D7126A">
          <w:rPr>
            <w:rStyle w:val="Hipervnculo"/>
            <w:rFonts w:ascii="Arial" w:hAnsi="Arial" w:cs="Arial"/>
            <w:sz w:val="18"/>
            <w:szCs w:val="18"/>
          </w:rPr>
          <w:t>https://www.cnmc.es/file/170783/download</w:t>
        </w:r>
      </w:hyperlink>
      <w:r w:rsidRPr="00776ABC">
        <w:rPr>
          <w:rFonts w:ascii="Arial" w:hAnsi="Arial" w:cs="Arial"/>
          <w:sz w:val="18"/>
          <w:lang w:val="es-MX"/>
        </w:rPr>
        <w:t xml:space="preserve">. </w:t>
      </w:r>
    </w:p>
  </w:footnote>
  <w:footnote w:id="11">
    <w:p w14:paraId="680A2323" w14:textId="77777777" w:rsidR="001A77D2" w:rsidRPr="00776ABC" w:rsidRDefault="001A77D2" w:rsidP="000F7414">
      <w:pPr>
        <w:pStyle w:val="Textonotapie"/>
        <w:jc w:val="both"/>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n-US"/>
        </w:rPr>
        <w:t xml:space="preserve"> Véase el documento de la CE: COMMISSION RECOMMENDATION of 29.11.2016 in accordance with Article 7a of Directive 2002/21/EC of the European Parliament and of the Council of 7 March 2002 on a common regulatory framework for electronic communications networks and services ("Framework Directive") in Cases PT/2016/1888 and PT/2016/1889: Wholesale local access provided at a fixed location and wholesale central access provided at a fixed location for mass-market products, both in Portugal. </w:t>
      </w:r>
      <w:r w:rsidRPr="00776ABC">
        <w:rPr>
          <w:rFonts w:ascii="Arial" w:hAnsi="Arial" w:cs="Arial"/>
          <w:sz w:val="18"/>
          <w:lang w:val="es-MX"/>
        </w:rPr>
        <w:t>En la sección 2.1.1 se describe la segmentación de mercados geográficos prevalente.</w:t>
      </w:r>
    </w:p>
  </w:footnote>
  <w:footnote w:id="12">
    <w:p w14:paraId="51571BA4" w14:textId="77777777" w:rsidR="001A77D2" w:rsidRPr="00762512" w:rsidRDefault="001A77D2" w:rsidP="000F7414">
      <w:pPr>
        <w:pStyle w:val="Textonotapie"/>
        <w:jc w:val="both"/>
      </w:pPr>
      <w:r w:rsidRPr="00776ABC">
        <w:rPr>
          <w:rStyle w:val="Refdenotaalpie"/>
          <w:rFonts w:ascii="Arial" w:hAnsi="Arial" w:cs="Arial"/>
          <w:sz w:val="18"/>
        </w:rPr>
        <w:footnoteRef/>
      </w:r>
      <w:r w:rsidRPr="004B6C3F">
        <w:rPr>
          <w:rFonts w:ascii="Arial" w:hAnsi="Arial" w:cs="Arial"/>
          <w:sz w:val="18"/>
          <w:lang w:val="es-MX"/>
        </w:rPr>
        <w:t xml:space="preserve"> Véase el documento de Ofcom: “Wholesale Broadband Access Market Review 2018”, publicado el 31 de Julio de 2018. </w:t>
      </w:r>
      <w:r w:rsidRPr="00776ABC">
        <w:rPr>
          <w:rFonts w:ascii="Arial" w:hAnsi="Arial" w:cs="Arial"/>
          <w:sz w:val="18"/>
        </w:rPr>
        <w:t>Este último documento sucede a las revisiones de los años 2010 y 2014.</w:t>
      </w:r>
    </w:p>
  </w:footnote>
  <w:footnote w:id="13">
    <w:p w14:paraId="15CC3587" w14:textId="77777777" w:rsidR="001A77D2" w:rsidRPr="00776ABC" w:rsidRDefault="001A77D2" w:rsidP="00B600DD">
      <w:pPr>
        <w:pStyle w:val="Textonotapie"/>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Ofcom desreguló el mercado geográfico 3.</w:t>
      </w:r>
    </w:p>
  </w:footnote>
  <w:footnote w:id="14">
    <w:p w14:paraId="562E3271" w14:textId="77777777" w:rsidR="001A77D2" w:rsidRPr="00762512" w:rsidRDefault="001A77D2" w:rsidP="00B600DD">
      <w:pPr>
        <w:pStyle w:val="Textonotapie"/>
      </w:pPr>
      <w:r w:rsidRPr="00776ABC">
        <w:rPr>
          <w:rStyle w:val="Refdenotaalpie"/>
          <w:rFonts w:ascii="Arial" w:hAnsi="Arial" w:cs="Arial"/>
          <w:sz w:val="18"/>
        </w:rPr>
        <w:footnoteRef/>
      </w:r>
      <w:r w:rsidRPr="00776ABC">
        <w:rPr>
          <w:rFonts w:ascii="Arial" w:hAnsi="Arial" w:cs="Arial"/>
          <w:sz w:val="18"/>
          <w:lang w:val="es-MX"/>
        </w:rPr>
        <w:t xml:space="preserve"> </w:t>
      </w:r>
      <w:r w:rsidRPr="00776ABC">
        <w:rPr>
          <w:rFonts w:ascii="Arial" w:hAnsi="Arial" w:cs="Arial"/>
          <w:sz w:val="18"/>
        </w:rPr>
        <w:t>Excluyendo la zona Hull, donde KCOM es operador con SMP.</w:t>
      </w:r>
      <w:r w:rsidRPr="00776ABC">
        <w:rPr>
          <w:sz w:val="18"/>
        </w:rPr>
        <w:t xml:space="preserve"> </w:t>
      </w:r>
    </w:p>
  </w:footnote>
  <w:footnote w:id="15">
    <w:p w14:paraId="4551EDF2" w14:textId="77777777" w:rsidR="001A77D2" w:rsidRPr="00776ABC" w:rsidRDefault="001A77D2" w:rsidP="00B600DD">
      <w:pPr>
        <w:pStyle w:val="Textonotapie"/>
        <w:rPr>
          <w:rFonts w:ascii="Arial" w:hAnsi="Arial" w:cs="Arial"/>
          <w:lang w:val="es-MX"/>
        </w:rPr>
      </w:pPr>
      <w:r w:rsidRPr="00776ABC">
        <w:rPr>
          <w:rStyle w:val="Refdenotaalpie"/>
          <w:rFonts w:ascii="Arial" w:hAnsi="Arial" w:cs="Arial"/>
          <w:sz w:val="18"/>
        </w:rPr>
        <w:footnoteRef/>
      </w:r>
      <w:r w:rsidRPr="00776ABC">
        <w:rPr>
          <w:rFonts w:ascii="Arial" w:hAnsi="Arial" w:cs="Arial"/>
          <w:sz w:val="18"/>
          <w:lang w:val="es-MX"/>
        </w:rPr>
        <w:t xml:space="preserve"> Fuente: CNMC, decisión ANME/DTSA/2154/14/MERCADOS</w:t>
      </w:r>
    </w:p>
  </w:footnote>
  <w:footnote w:id="16">
    <w:p w14:paraId="73222F08" w14:textId="77777777" w:rsidR="001A77D2" w:rsidRPr="00776ABC" w:rsidRDefault="001A77D2" w:rsidP="00B600DD">
      <w:pPr>
        <w:pStyle w:val="Textonotapie"/>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El mercado 4 engloba los servicios mayoristas de acceso de alta calidad a la red fija.</w:t>
      </w:r>
    </w:p>
  </w:footnote>
  <w:footnote w:id="17">
    <w:p w14:paraId="0173491C" w14:textId="77777777" w:rsidR="001A77D2" w:rsidRPr="00535199" w:rsidRDefault="001A77D2" w:rsidP="00B600DD">
      <w:pPr>
        <w:pStyle w:val="Textonotapie"/>
        <w:rPr>
          <w:lang w:val="es-MX"/>
        </w:rPr>
      </w:pPr>
      <w:r w:rsidRPr="00776ABC">
        <w:rPr>
          <w:rStyle w:val="Refdenotaalpie"/>
          <w:rFonts w:ascii="Arial" w:hAnsi="Arial" w:cs="Arial"/>
          <w:sz w:val="18"/>
        </w:rPr>
        <w:footnoteRef/>
      </w:r>
      <w:r w:rsidRPr="00776ABC">
        <w:rPr>
          <w:rFonts w:ascii="Arial" w:hAnsi="Arial" w:cs="Arial"/>
          <w:sz w:val="18"/>
          <w:lang w:val="es-MX"/>
        </w:rPr>
        <w:t xml:space="preserve"> https://www.cnmc.es/la-cnmc-lanza-la-consulta-publica-sobre-la-regulacion-de-los-mercados-mayoristas-de-banda-ancha</w:t>
      </w:r>
    </w:p>
  </w:footnote>
  <w:footnote w:id="18">
    <w:p w14:paraId="3EC86CBF" w14:textId="77777777" w:rsidR="001A77D2" w:rsidRPr="00776ABC" w:rsidRDefault="001A77D2" w:rsidP="00B600DD">
      <w:pPr>
        <w:pStyle w:val="Textonotapie"/>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Hay 8,131 municipios en España.</w:t>
      </w:r>
    </w:p>
  </w:footnote>
  <w:footnote w:id="19">
    <w:p w14:paraId="2A00B05C" w14:textId="77777777" w:rsidR="001A77D2" w:rsidRPr="00776ABC" w:rsidRDefault="001A77D2" w:rsidP="00B600DD">
      <w:pPr>
        <w:pStyle w:val="Textonotapie"/>
        <w:rPr>
          <w:rFonts w:ascii="Arial" w:hAnsi="Arial" w:cs="Arial"/>
          <w:sz w:val="18"/>
        </w:rPr>
      </w:pPr>
      <w:r w:rsidRPr="00776ABC">
        <w:rPr>
          <w:rStyle w:val="Refdenotaalpie"/>
          <w:rFonts w:ascii="Arial" w:hAnsi="Arial" w:cs="Arial"/>
          <w:sz w:val="18"/>
        </w:rPr>
        <w:footnoteRef/>
      </w:r>
      <w:r w:rsidRPr="00776ABC">
        <w:rPr>
          <w:rFonts w:ascii="Arial" w:hAnsi="Arial" w:cs="Arial"/>
          <w:sz w:val="18"/>
          <w:lang w:val="es-MX"/>
        </w:rPr>
        <w:t xml:space="preserve"> Por ejemplo, se evalúa el número de operadores alternativos en cada central.</w:t>
      </w:r>
    </w:p>
  </w:footnote>
  <w:footnote w:id="20">
    <w:p w14:paraId="777A779C" w14:textId="77777777" w:rsidR="001A77D2" w:rsidRPr="00EC7843" w:rsidRDefault="001A77D2" w:rsidP="00B600DD">
      <w:pPr>
        <w:pStyle w:val="Textonotapie"/>
        <w:rPr>
          <w:lang w:val="es-MX"/>
        </w:rPr>
      </w:pPr>
      <w:r w:rsidRPr="00776ABC">
        <w:rPr>
          <w:rStyle w:val="Refdenotaalpie"/>
          <w:rFonts w:ascii="Arial" w:hAnsi="Arial" w:cs="Arial"/>
          <w:sz w:val="18"/>
        </w:rPr>
        <w:footnoteRef/>
      </w:r>
      <w:r w:rsidRPr="00776ABC">
        <w:rPr>
          <w:rFonts w:ascii="Arial" w:hAnsi="Arial" w:cs="Arial"/>
          <w:sz w:val="18"/>
          <w:lang w:val="es-MX"/>
        </w:rPr>
        <w:t xml:space="preserve"> En el momento de la revisión de mercado la CNMC reporta un total de 8,867 centrales locales.</w:t>
      </w:r>
      <w:r w:rsidRPr="00776ABC">
        <w:rPr>
          <w:sz w:val="18"/>
          <w:lang w:val="es-MX"/>
        </w:rPr>
        <w:t xml:space="preserve"> </w:t>
      </w:r>
    </w:p>
  </w:footnote>
  <w:footnote w:id="21">
    <w:p w14:paraId="304B92BC" w14:textId="77777777" w:rsidR="001A77D2" w:rsidRPr="00776ABC" w:rsidRDefault="001A77D2" w:rsidP="000F7414">
      <w:pPr>
        <w:pStyle w:val="Textonotapie"/>
        <w:jc w:val="both"/>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w:t>
      </w:r>
      <w:r w:rsidRPr="00776ABC">
        <w:rPr>
          <w:rFonts w:ascii="Arial" w:hAnsi="Arial" w:cs="Arial"/>
          <w:sz w:val="18"/>
        </w:rPr>
        <w:t>Como detallado en el apartado anterior sobre la unidad geográfica, destaca que el análisis está hecho a nivel de central local para luego identificar aquellos municipios donde estén ubicadas dichas centrales.</w:t>
      </w:r>
    </w:p>
  </w:footnote>
  <w:footnote w:id="22">
    <w:p w14:paraId="5E4901E6" w14:textId="77777777" w:rsidR="001A77D2" w:rsidRPr="00776ABC" w:rsidRDefault="001A77D2" w:rsidP="00B600DD">
      <w:pPr>
        <w:pStyle w:val="Textonotapie"/>
        <w:tabs>
          <w:tab w:val="left" w:pos="1335"/>
        </w:tabs>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https://eur-lex.europa.eu/legal-content/ES/TXT/PDF/?uri=CELEX:52018XC0507(01)&amp;from=HU</w:t>
      </w:r>
    </w:p>
  </w:footnote>
  <w:footnote w:id="23">
    <w:p w14:paraId="31DAB8F6" w14:textId="77777777" w:rsidR="001A77D2" w:rsidRPr="00EC7843" w:rsidRDefault="001A77D2" w:rsidP="000F7414">
      <w:pPr>
        <w:pStyle w:val="Textonotapie"/>
        <w:jc w:val="both"/>
        <w:rPr>
          <w:lang w:val="es-MX"/>
        </w:rPr>
      </w:pPr>
      <w:r w:rsidRPr="00776ABC">
        <w:rPr>
          <w:rStyle w:val="Refdenotaalpie"/>
          <w:rFonts w:ascii="Arial" w:hAnsi="Arial" w:cs="Arial"/>
          <w:sz w:val="18"/>
        </w:rPr>
        <w:footnoteRef/>
      </w:r>
      <w:r w:rsidRPr="00776ABC">
        <w:rPr>
          <w:rFonts w:ascii="Arial" w:hAnsi="Arial" w:cs="Arial"/>
          <w:sz w:val="18"/>
          <w:lang w:val="es-MX"/>
        </w:rPr>
        <w:t xml:space="preserve"> https://berec.europa.eu/eng/document_register/subject_matter/berec/download/0/4439-berec-common-position-on-geographic-aspe_0.pdf</w:t>
      </w:r>
    </w:p>
  </w:footnote>
  <w:footnote w:id="24">
    <w:p w14:paraId="2EF67821" w14:textId="77777777" w:rsidR="001A77D2" w:rsidRPr="00776ABC" w:rsidRDefault="001A77D2" w:rsidP="000F7414">
      <w:pPr>
        <w:pStyle w:val="Textonotapie"/>
        <w:jc w:val="both"/>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Por simplicidad, la CNMC levanta las obligaciones de acceso en todas las centrales locales que estén situadas dentro de los 66 municipios donde se localizan las 191 centrales locales, aunque no todas las centrales en los 66 municipios cumplan estrictamente con los criterios establecidos.</w:t>
      </w:r>
    </w:p>
  </w:footnote>
  <w:footnote w:id="25">
    <w:p w14:paraId="406B5DC2" w14:textId="77777777" w:rsidR="001A77D2" w:rsidRPr="00EC7843" w:rsidRDefault="001A77D2" w:rsidP="001D66DC">
      <w:pPr>
        <w:pStyle w:val="Textonotapie"/>
        <w:jc w:val="both"/>
        <w:rPr>
          <w:lang w:val="es-MX"/>
        </w:rPr>
      </w:pPr>
      <w:r w:rsidRPr="00776ABC">
        <w:rPr>
          <w:rStyle w:val="Refdenotaalpie"/>
          <w:rFonts w:ascii="Arial" w:hAnsi="Arial" w:cs="Arial"/>
          <w:sz w:val="18"/>
        </w:rPr>
        <w:footnoteRef/>
      </w:r>
      <w:r w:rsidRPr="00776ABC">
        <w:rPr>
          <w:rFonts w:ascii="Arial" w:hAnsi="Arial" w:cs="Arial"/>
          <w:sz w:val="18"/>
          <w:lang w:val="es-MX"/>
        </w:rPr>
        <w:t xml:space="preserve"> Por consistencia con el enfoque aplicado a los mercados 3a y 4, las centrales del mercado 3b_2 que se sitúen en algunos de los 66 municipios desregulados, están exentas de regulación.</w:t>
      </w:r>
    </w:p>
  </w:footnote>
  <w:footnote w:id="26">
    <w:p w14:paraId="71F8B829" w14:textId="77777777" w:rsidR="001A77D2" w:rsidRPr="00776ABC" w:rsidRDefault="001A77D2" w:rsidP="00B600DD">
      <w:pPr>
        <w:pStyle w:val="Textonotapie"/>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Agcom, </w:t>
      </w:r>
      <w:hyperlink r:id="rId4" w:history="1">
        <w:r w:rsidRPr="00776ABC">
          <w:rPr>
            <w:rFonts w:ascii="Arial" w:hAnsi="Arial" w:cs="Arial"/>
            <w:sz w:val="18"/>
            <w:lang w:val="es-MX"/>
          </w:rPr>
          <w:t>Delibera n. 348/19/CONS</w:t>
        </w:r>
      </w:hyperlink>
      <w:r w:rsidRPr="00776ABC">
        <w:rPr>
          <w:rFonts w:ascii="Arial" w:hAnsi="Arial" w:cs="Arial"/>
          <w:sz w:val="18"/>
          <w:lang w:val="es-MX"/>
        </w:rPr>
        <w:t>.</w:t>
      </w:r>
    </w:p>
  </w:footnote>
  <w:footnote w:id="27">
    <w:p w14:paraId="6DBDF12E" w14:textId="77777777" w:rsidR="001A77D2" w:rsidRPr="00776ABC" w:rsidRDefault="001A77D2" w:rsidP="00B600DD">
      <w:pPr>
        <w:pStyle w:val="Textonotapie"/>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Municipio traduce el termino italiano “comune”.</w:t>
      </w:r>
    </w:p>
  </w:footnote>
  <w:footnote w:id="28">
    <w:p w14:paraId="2ADA6E51" w14:textId="77777777" w:rsidR="001A77D2" w:rsidRPr="00EC7843" w:rsidRDefault="001A77D2" w:rsidP="00B600DD">
      <w:pPr>
        <w:pStyle w:val="Textonotapie"/>
        <w:rPr>
          <w:lang w:val="es-MX"/>
        </w:rPr>
      </w:pPr>
      <w:r w:rsidRPr="00776ABC">
        <w:rPr>
          <w:rStyle w:val="Refdenotaalpie"/>
          <w:rFonts w:ascii="Arial" w:hAnsi="Arial" w:cs="Arial"/>
          <w:sz w:val="18"/>
        </w:rPr>
        <w:footnoteRef/>
      </w:r>
      <w:r w:rsidRPr="00776ABC">
        <w:rPr>
          <w:rFonts w:ascii="Arial" w:hAnsi="Arial" w:cs="Arial"/>
          <w:sz w:val="18"/>
          <w:lang w:val="es-MX"/>
        </w:rPr>
        <w:t xml:space="preserve"> Agcom, Análisis geográfico de los mercados 3a y 3b.</w:t>
      </w:r>
    </w:p>
  </w:footnote>
  <w:footnote w:id="29">
    <w:p w14:paraId="18C6F5F7" w14:textId="77777777" w:rsidR="001A77D2" w:rsidRPr="00776ABC" w:rsidRDefault="001A77D2" w:rsidP="00B600DD">
      <w:pPr>
        <w:pStyle w:val="Textonotapie"/>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Este municipio tiene una población de acerca de 1.6 millones y a una extensión de 18,176 hectáreas.</w:t>
      </w:r>
    </w:p>
  </w:footnote>
  <w:footnote w:id="30">
    <w:p w14:paraId="23D6C4B9" w14:textId="77777777" w:rsidR="001A77D2" w:rsidRPr="00776ABC" w:rsidRDefault="001A77D2" w:rsidP="000F7414">
      <w:pPr>
        <w:pStyle w:val="Textonotapie"/>
        <w:jc w:val="both"/>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En concreto se establece que en dichas áreas: (i) se elimine la orientación a costos para la fijación de precios mayoristas en el mercado 3b y (ii) se proporcione más flexibilidad a TIM a la hora de fijar precios para servicios VULA parte del mercado 3a (a partir de 2021).</w:t>
      </w:r>
    </w:p>
  </w:footnote>
  <w:footnote w:id="31">
    <w:p w14:paraId="0145A555" w14:textId="77777777" w:rsidR="001A77D2" w:rsidRPr="00F958D7" w:rsidRDefault="001A77D2" w:rsidP="001D66DC">
      <w:pPr>
        <w:pStyle w:val="Textonotapie"/>
        <w:jc w:val="both"/>
        <w:rPr>
          <w:lang w:val="en-US"/>
        </w:rPr>
      </w:pPr>
      <w:r w:rsidRPr="00776ABC">
        <w:rPr>
          <w:rStyle w:val="Refdenotaalpie"/>
          <w:rFonts w:ascii="Arial" w:hAnsi="Arial" w:cs="Arial"/>
          <w:sz w:val="18"/>
        </w:rPr>
        <w:footnoteRef/>
      </w:r>
      <w:r w:rsidRPr="00776ABC">
        <w:rPr>
          <w:rFonts w:ascii="Arial" w:hAnsi="Arial" w:cs="Arial"/>
          <w:sz w:val="18"/>
          <w:lang w:val="es-MX"/>
        </w:rPr>
        <w:t xml:space="preserve"> OpenFiber es un operador wholesale-only que se creó en diciembre de 2015 con el objetivo de desplegar redes FTTH en Italia. </w:t>
      </w:r>
      <w:r w:rsidRPr="00776ABC">
        <w:rPr>
          <w:rFonts w:ascii="Arial" w:hAnsi="Arial" w:cs="Arial"/>
          <w:sz w:val="18"/>
          <w:lang w:val="en-US"/>
        </w:rPr>
        <w:t>La compañía tiene participación pública.</w:t>
      </w:r>
    </w:p>
  </w:footnote>
  <w:footnote w:id="32">
    <w:p w14:paraId="67E4633A" w14:textId="77777777" w:rsidR="001A77D2" w:rsidRPr="00776ABC" w:rsidRDefault="001A77D2" w:rsidP="00B600DD">
      <w:pPr>
        <w:pStyle w:val="Textonotapie"/>
        <w:rPr>
          <w:rFonts w:ascii="Arial" w:hAnsi="Arial" w:cs="Arial"/>
          <w:sz w:val="18"/>
          <w:lang w:val="en-US"/>
        </w:rPr>
      </w:pPr>
      <w:r w:rsidRPr="00776ABC">
        <w:rPr>
          <w:rStyle w:val="Refdenotaalpie"/>
          <w:rFonts w:ascii="Arial" w:hAnsi="Arial" w:cs="Arial"/>
          <w:sz w:val="18"/>
        </w:rPr>
        <w:footnoteRef/>
      </w:r>
      <w:r w:rsidRPr="00776ABC">
        <w:rPr>
          <w:rFonts w:ascii="Arial" w:hAnsi="Arial" w:cs="Arial"/>
          <w:sz w:val="18"/>
          <w:lang w:val="en-US"/>
        </w:rPr>
        <w:t xml:space="preserve"> Véase el documento de ANACOM: “Final decision on the analysis of wholesale local access markets at a fixed location and of wholesale central access at a fixed location for mass-market products”, publicado el 13 de Abril de 2017.</w:t>
      </w:r>
    </w:p>
  </w:footnote>
  <w:footnote w:id="33">
    <w:p w14:paraId="3FBF8E80" w14:textId="77777777" w:rsidR="001A77D2" w:rsidRPr="00F958D7" w:rsidRDefault="001A77D2" w:rsidP="00B600DD">
      <w:pPr>
        <w:pStyle w:val="Textonotapie"/>
        <w:rPr>
          <w:lang w:val="en-US"/>
        </w:rPr>
      </w:pPr>
      <w:r w:rsidRPr="00776ABC">
        <w:rPr>
          <w:rStyle w:val="Refdenotaalpie"/>
          <w:rFonts w:ascii="Arial" w:hAnsi="Arial" w:cs="Arial"/>
          <w:sz w:val="18"/>
        </w:rPr>
        <w:footnoteRef/>
      </w:r>
      <w:r w:rsidRPr="00776ABC">
        <w:rPr>
          <w:rFonts w:ascii="Arial" w:hAnsi="Arial" w:cs="Arial"/>
          <w:sz w:val="18"/>
          <w:lang w:val="en-US"/>
        </w:rPr>
        <w:t xml:space="preserve"> Véase el documento de ANACOM: “Markets for the supply of wholesale (physical) network infrastructure access at a fixed location and wholesale broadband access”, publicado el 14 de Enero de 2009.</w:t>
      </w:r>
    </w:p>
  </w:footnote>
  <w:footnote w:id="34">
    <w:p w14:paraId="32CA8F0E" w14:textId="77777777" w:rsidR="001A77D2" w:rsidRPr="00776ABC" w:rsidRDefault="001A77D2" w:rsidP="00B600DD">
      <w:pPr>
        <w:pStyle w:val="Textonotapie"/>
        <w:rPr>
          <w:rFonts w:ascii="Arial" w:hAnsi="Arial" w:cs="Arial"/>
          <w:lang w:val="es-MX"/>
        </w:rPr>
      </w:pPr>
      <w:r w:rsidRPr="00776ABC">
        <w:rPr>
          <w:rStyle w:val="Refdenotaalpie"/>
          <w:rFonts w:ascii="Arial" w:hAnsi="Arial" w:cs="Arial"/>
          <w:sz w:val="18"/>
        </w:rPr>
        <w:footnoteRef/>
      </w:r>
      <w:r w:rsidRPr="00776ABC">
        <w:rPr>
          <w:rFonts w:ascii="Arial" w:hAnsi="Arial" w:cs="Arial"/>
          <w:sz w:val="18"/>
          <w:lang w:val="es-MX"/>
        </w:rPr>
        <w:t xml:space="preserve"> De acuerdo a datos de Portdata, disponibles en el siguiente enlace.</w:t>
      </w:r>
    </w:p>
  </w:footnote>
  <w:footnote w:id="35">
    <w:p w14:paraId="1FDEDBA9" w14:textId="77777777" w:rsidR="001A77D2" w:rsidRPr="00776ABC" w:rsidRDefault="001A77D2" w:rsidP="00B600DD">
      <w:pPr>
        <w:pStyle w:val="Textonotapie"/>
        <w:rPr>
          <w:rFonts w:ascii="Arial" w:hAnsi="Arial" w:cs="Arial"/>
          <w:sz w:val="18"/>
          <w:lang w:val="es-MX"/>
        </w:rPr>
      </w:pPr>
      <w:r w:rsidRPr="00776ABC">
        <w:rPr>
          <w:rStyle w:val="Refdenotaalpie"/>
          <w:rFonts w:ascii="Arial" w:hAnsi="Arial" w:cs="Arial"/>
          <w:sz w:val="18"/>
        </w:rPr>
        <w:footnoteRef/>
      </w:r>
      <w:r w:rsidRPr="00776ABC">
        <w:rPr>
          <w:rFonts w:ascii="Arial" w:hAnsi="Arial" w:cs="Arial"/>
          <w:sz w:val="18"/>
          <w:lang w:val="es-MX"/>
        </w:rPr>
        <w:t xml:space="preserve"> Si bien en el caso de Reino Unido, se evalúan las cuotas de mercado a nivel nacional para identificar los operadores que son PO.</w:t>
      </w:r>
    </w:p>
  </w:footnote>
  <w:footnote w:id="36">
    <w:p w14:paraId="439DB87D" w14:textId="77777777" w:rsidR="001A77D2" w:rsidRPr="00EC7843" w:rsidRDefault="001A77D2" w:rsidP="00B600DD">
      <w:pPr>
        <w:pStyle w:val="Textonotapie"/>
        <w:rPr>
          <w:lang w:val="es-MX"/>
        </w:rPr>
      </w:pPr>
      <w:r w:rsidRPr="00776ABC">
        <w:rPr>
          <w:rStyle w:val="Refdenotaalpie"/>
          <w:rFonts w:ascii="Arial" w:hAnsi="Arial" w:cs="Arial"/>
          <w:sz w:val="18"/>
        </w:rPr>
        <w:footnoteRef/>
      </w:r>
      <w:r w:rsidRPr="00776ABC">
        <w:rPr>
          <w:rFonts w:ascii="Arial" w:hAnsi="Arial" w:cs="Arial"/>
          <w:sz w:val="18"/>
          <w:lang w:val="es-MX"/>
        </w:rPr>
        <w:t xml:space="preserve"> Por ejemplo, Reino Unido y Portugal se basan más en el número de operadores y cobertura.</w:t>
      </w:r>
    </w:p>
  </w:footnote>
  <w:footnote w:id="37">
    <w:p w14:paraId="14BB61F0" w14:textId="3B81DD83" w:rsidR="001A77D2" w:rsidRPr="00776ABC" w:rsidRDefault="001A77D2" w:rsidP="000F7414">
      <w:pPr>
        <w:pStyle w:val="Textonotapie"/>
        <w:jc w:val="both"/>
        <w:rPr>
          <w:rFonts w:ascii="Arial" w:hAnsi="Arial" w:cs="Arial"/>
          <w:lang w:val="en-US"/>
        </w:rPr>
      </w:pPr>
      <w:r w:rsidRPr="00776ABC">
        <w:rPr>
          <w:rStyle w:val="Refdenotaalpie"/>
          <w:rFonts w:ascii="Arial" w:hAnsi="Arial" w:cs="Arial"/>
          <w:sz w:val="18"/>
        </w:rPr>
        <w:footnoteRef/>
      </w:r>
      <w:r w:rsidRPr="00776ABC">
        <w:rPr>
          <w:rFonts w:ascii="Arial" w:hAnsi="Arial" w:cs="Arial"/>
          <w:sz w:val="18"/>
          <w:lang w:val="es-MX"/>
        </w:rPr>
        <w:t xml:space="preserve"> O al caso de Rumanía o </w:t>
      </w:r>
      <w:r w:rsidR="00B47466" w:rsidRPr="00776ABC">
        <w:rPr>
          <w:rFonts w:ascii="Arial" w:hAnsi="Arial" w:cs="Arial"/>
          <w:sz w:val="18"/>
          <w:lang w:val="es-MX"/>
        </w:rPr>
        <w:t>Bulgaria</w:t>
      </w:r>
      <w:r w:rsidRPr="00776ABC">
        <w:rPr>
          <w:rFonts w:ascii="Arial" w:hAnsi="Arial" w:cs="Arial"/>
          <w:sz w:val="18"/>
          <w:lang w:val="es-MX"/>
        </w:rPr>
        <w:t xml:space="preserve">, países que han desregulado el mercado mayorista de acceso </w:t>
      </w:r>
      <w:r w:rsidR="00B47466" w:rsidRPr="00776ABC">
        <w:rPr>
          <w:rFonts w:ascii="Arial" w:hAnsi="Arial" w:cs="Arial"/>
          <w:sz w:val="18"/>
          <w:lang w:val="es-MX"/>
        </w:rPr>
        <w:t>local a</w:t>
      </w:r>
      <w:r w:rsidRPr="00776ABC">
        <w:rPr>
          <w:rFonts w:ascii="Arial" w:hAnsi="Arial" w:cs="Arial"/>
          <w:sz w:val="18"/>
          <w:lang w:val="es-MX"/>
        </w:rPr>
        <w:t xml:space="preserve"> la red fija debido a la competencia observada entre infraestructuras alternativas. </w:t>
      </w:r>
      <w:r w:rsidRPr="00776ABC">
        <w:rPr>
          <w:rFonts w:ascii="Arial" w:hAnsi="Arial" w:cs="Arial"/>
          <w:sz w:val="18"/>
          <w:lang w:val="en-US"/>
        </w:rPr>
        <w:t>Véanse los comentarios de la C</w:t>
      </w:r>
      <w:r>
        <w:rPr>
          <w:rFonts w:ascii="Arial" w:hAnsi="Arial" w:cs="Arial"/>
          <w:sz w:val="18"/>
          <w:lang w:val="en-US"/>
        </w:rPr>
        <w:t xml:space="preserve">omisión </w:t>
      </w:r>
      <w:r w:rsidRPr="00776ABC">
        <w:rPr>
          <w:rFonts w:ascii="Arial" w:hAnsi="Arial" w:cs="Arial"/>
          <w:sz w:val="18"/>
          <w:lang w:val="en-US"/>
        </w:rPr>
        <w:t>E</w:t>
      </w:r>
      <w:r>
        <w:rPr>
          <w:rFonts w:ascii="Arial" w:hAnsi="Arial" w:cs="Arial"/>
          <w:sz w:val="18"/>
          <w:lang w:val="en-US"/>
        </w:rPr>
        <w:t>uropea</w:t>
      </w:r>
      <w:r w:rsidRPr="00776ABC">
        <w:rPr>
          <w:rFonts w:ascii="Arial" w:hAnsi="Arial" w:cs="Arial"/>
          <w:sz w:val="18"/>
          <w:lang w:val="en-US"/>
        </w:rPr>
        <w:t xml:space="preserve"> a los casos: Case RO/2015/1804: Wholesale local access provided at a fixed location in </w:t>
      </w:r>
      <w:r w:rsidR="00B47466" w:rsidRPr="00776ABC">
        <w:rPr>
          <w:rFonts w:ascii="Arial" w:hAnsi="Arial" w:cs="Arial"/>
          <w:sz w:val="18"/>
          <w:lang w:val="en-US"/>
        </w:rPr>
        <w:t>Romania and</w:t>
      </w:r>
      <w:r w:rsidRPr="00776ABC">
        <w:rPr>
          <w:rFonts w:ascii="Arial" w:hAnsi="Arial" w:cs="Arial"/>
          <w:sz w:val="18"/>
          <w:lang w:val="en-US"/>
        </w:rPr>
        <w:t xml:space="preserve"> Case BG/2019/2155: wholesale local access provided at a fixed location – market review – Market 3(a).</w:t>
      </w:r>
    </w:p>
  </w:footnote>
  <w:footnote w:id="38">
    <w:p w14:paraId="0891B5A8" w14:textId="308702CC" w:rsidR="001A77D2" w:rsidRPr="00156C3A" w:rsidRDefault="001A77D2">
      <w:pPr>
        <w:pStyle w:val="Textonotapie"/>
        <w:rPr>
          <w:lang w:val="es-MX"/>
        </w:rPr>
      </w:pPr>
      <w:r>
        <w:rPr>
          <w:rStyle w:val="Refdenotaalpie"/>
        </w:rPr>
        <w:footnoteRef/>
      </w:r>
      <w:r>
        <w:t xml:space="preserve"> </w:t>
      </w:r>
      <w:r w:rsidRPr="00776ABC">
        <w:rPr>
          <w:rFonts w:ascii="Arial" w:hAnsi="Arial" w:cs="Arial"/>
          <w:sz w:val="18"/>
          <w:lang w:val="es-MX"/>
        </w:rPr>
        <w:t xml:space="preserve">Actualizado con la cifra total de hogares registrada </w:t>
      </w:r>
      <w:r>
        <w:rPr>
          <w:rFonts w:ascii="Arial" w:hAnsi="Arial" w:cs="Arial"/>
          <w:sz w:val="18"/>
          <w:lang w:val="es-MX"/>
        </w:rPr>
        <w:t>en el Censo de Población y Vivienda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0B478" w14:textId="77777777" w:rsidR="001A77D2" w:rsidRDefault="00D00889">
    <w:pPr>
      <w:pStyle w:val="Encabezado"/>
    </w:pPr>
    <w:r>
      <w:rPr>
        <w:noProof/>
        <w:lang w:eastAsia="es-MX"/>
      </w:rPr>
      <w:pict w14:anchorId="44EDAE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0" type="#_x0000_t75" alt="hoja membretada s dir-01" style="position:absolute;margin-left:-74pt;margin-top:-116.0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F48"/>
    <w:multiLevelType w:val="hybridMultilevel"/>
    <w:tmpl w:val="6CF685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876B86"/>
    <w:multiLevelType w:val="hybridMultilevel"/>
    <w:tmpl w:val="7B6EC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5A0E14"/>
    <w:multiLevelType w:val="hybridMultilevel"/>
    <w:tmpl w:val="A7666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8840FF"/>
    <w:multiLevelType w:val="hybridMultilevel"/>
    <w:tmpl w:val="840647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7"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8" w15:restartNumberingAfterBreak="0">
    <w:nsid w:val="231C1AE0"/>
    <w:multiLevelType w:val="hybridMultilevel"/>
    <w:tmpl w:val="14009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7C6127"/>
    <w:multiLevelType w:val="hybridMultilevel"/>
    <w:tmpl w:val="E418FE22"/>
    <w:lvl w:ilvl="0" w:tplc="671AC4DA">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974B6D"/>
    <w:multiLevelType w:val="hybridMultilevel"/>
    <w:tmpl w:val="6712B1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160E820E">
      <w:numFmt w:val="bullet"/>
      <w:lvlText w:val="-"/>
      <w:lvlJc w:val="left"/>
      <w:pPr>
        <w:ind w:left="2160" w:hanging="360"/>
      </w:pPr>
      <w:rPr>
        <w:rFonts w:ascii="ITC Avant Garde" w:eastAsia="Calibri" w:hAnsi="ITC Avant Garde"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4F5981"/>
    <w:multiLevelType w:val="multilevel"/>
    <w:tmpl w:val="2ADA3A96"/>
    <w:name w:val="ListBulletList"/>
    <w:lvl w:ilvl="0">
      <w:start w:val="1"/>
      <w:numFmt w:val="bullet"/>
      <w:pStyle w:val="ListBullet1"/>
      <w:lvlText w:val=""/>
      <w:lvlJc w:val="left"/>
      <w:pPr>
        <w:tabs>
          <w:tab w:val="num" w:pos="340"/>
        </w:tabs>
        <w:ind w:left="340" w:hanging="340"/>
      </w:pPr>
      <w:rPr>
        <w:rFonts w:ascii="Wingdings 2" w:hAnsi="Wingdings 2" w:hint="default"/>
        <w:color w:val="5B9BD5" w:themeColor="accent1"/>
      </w:rPr>
    </w:lvl>
    <w:lvl w:ilvl="1">
      <w:start w:val="1"/>
      <w:numFmt w:val="bullet"/>
      <w:pStyle w:val="ListBullet2"/>
      <w:lvlText w:val="□"/>
      <w:lvlJc w:val="left"/>
      <w:pPr>
        <w:tabs>
          <w:tab w:val="num" w:pos="680"/>
        </w:tabs>
        <w:ind w:left="680" w:hanging="340"/>
      </w:pPr>
      <w:rPr>
        <w:rFonts w:ascii="Calibri" w:hAnsi="Calibri" w:hint="default"/>
        <w:color w:val="5B9BD5" w:themeColor="accent1"/>
      </w:rPr>
    </w:lvl>
    <w:lvl w:ilvl="2">
      <w:start w:val="1"/>
      <w:numFmt w:val="bullet"/>
      <w:pStyle w:val="ListBullet3"/>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3" w15:restartNumberingAfterBreak="0">
    <w:nsid w:val="2D88770D"/>
    <w:multiLevelType w:val="hybridMultilevel"/>
    <w:tmpl w:val="F4AC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15" w15:restartNumberingAfterBreak="0">
    <w:nsid w:val="366571E2"/>
    <w:multiLevelType w:val="hybridMultilevel"/>
    <w:tmpl w:val="76842B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6F6659"/>
    <w:multiLevelType w:val="hybridMultilevel"/>
    <w:tmpl w:val="45A2D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CA6E07"/>
    <w:multiLevelType w:val="hybridMultilevel"/>
    <w:tmpl w:val="A720F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19" w15:restartNumberingAfterBreak="0">
    <w:nsid w:val="3DE546E4"/>
    <w:multiLevelType w:val="hybridMultilevel"/>
    <w:tmpl w:val="CA188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FD1FD8"/>
    <w:multiLevelType w:val="hybridMultilevel"/>
    <w:tmpl w:val="4AA048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3A0089"/>
    <w:multiLevelType w:val="hybridMultilevel"/>
    <w:tmpl w:val="7A243E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A7A79E7"/>
    <w:multiLevelType w:val="hybridMultilevel"/>
    <w:tmpl w:val="42285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2E6D9B"/>
    <w:multiLevelType w:val="hybridMultilevel"/>
    <w:tmpl w:val="640A5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EC01ED"/>
    <w:multiLevelType w:val="hybridMultilevel"/>
    <w:tmpl w:val="144037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970227"/>
    <w:multiLevelType w:val="hybridMultilevel"/>
    <w:tmpl w:val="76CE3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F52322"/>
    <w:multiLevelType w:val="hybridMultilevel"/>
    <w:tmpl w:val="AFD61A8E"/>
    <w:lvl w:ilvl="0" w:tplc="93CA4DDE">
      <w:numFmt w:val="bullet"/>
      <w:lvlText w:val="•"/>
      <w:lvlJc w:val="left"/>
      <w:pPr>
        <w:ind w:left="927" w:hanging="360"/>
      </w:pPr>
      <w:rPr>
        <w:rFonts w:ascii="Arial" w:eastAsiaTheme="minorHAnsi" w:hAnsi="Arial" w:cs="Aria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8" w15:restartNumberingAfterBreak="0">
    <w:nsid w:val="5CB60ADE"/>
    <w:multiLevelType w:val="hybridMultilevel"/>
    <w:tmpl w:val="4F8C2B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8F4AE6"/>
    <w:multiLevelType w:val="hybridMultilevel"/>
    <w:tmpl w:val="1B6A3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CE4DA4"/>
    <w:multiLevelType w:val="hybridMultilevel"/>
    <w:tmpl w:val="01706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C635B9"/>
    <w:multiLevelType w:val="hybridMultilevel"/>
    <w:tmpl w:val="5D227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99006ED"/>
    <w:multiLevelType w:val="hybridMultilevel"/>
    <w:tmpl w:val="A86261B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3" w15:restartNumberingAfterBreak="0">
    <w:nsid w:val="6A4641C8"/>
    <w:multiLevelType w:val="hybridMultilevel"/>
    <w:tmpl w:val="94945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6D5486"/>
    <w:multiLevelType w:val="hybridMultilevel"/>
    <w:tmpl w:val="C6A2B89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35"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E494529"/>
    <w:multiLevelType w:val="hybridMultilevel"/>
    <w:tmpl w:val="D0005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8426CF"/>
    <w:multiLevelType w:val="hybridMultilevel"/>
    <w:tmpl w:val="2C2874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391DD2"/>
    <w:multiLevelType w:val="hybridMultilevel"/>
    <w:tmpl w:val="7C287E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B891807"/>
    <w:multiLevelType w:val="hybridMultilevel"/>
    <w:tmpl w:val="F4AE7A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AA61E0"/>
    <w:multiLevelType w:val="hybridMultilevel"/>
    <w:tmpl w:val="2E943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EAE34B4"/>
    <w:multiLevelType w:val="hybridMultilevel"/>
    <w:tmpl w:val="228CB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6"/>
  </w:num>
  <w:num w:numId="4">
    <w:abstractNumId w:val="7"/>
  </w:num>
  <w:num w:numId="5">
    <w:abstractNumId w:val="9"/>
  </w:num>
  <w:num w:numId="6">
    <w:abstractNumId w:val="35"/>
  </w:num>
  <w:num w:numId="7">
    <w:abstractNumId w:val="18"/>
  </w:num>
  <w:num w:numId="8">
    <w:abstractNumId w:val="14"/>
  </w:num>
  <w:num w:numId="9">
    <w:abstractNumId w:val="2"/>
  </w:num>
  <w:num w:numId="10">
    <w:abstractNumId w:val="27"/>
  </w:num>
  <w:num w:numId="11">
    <w:abstractNumId w:val="10"/>
  </w:num>
  <w:num w:numId="12">
    <w:abstractNumId w:val="30"/>
  </w:num>
  <w:num w:numId="13">
    <w:abstractNumId w:val="34"/>
  </w:num>
  <w:num w:numId="14">
    <w:abstractNumId w:val="23"/>
  </w:num>
  <w:num w:numId="15">
    <w:abstractNumId w:val="11"/>
  </w:num>
  <w:num w:numId="16">
    <w:abstractNumId w:val="13"/>
  </w:num>
  <w:num w:numId="17">
    <w:abstractNumId w:val="4"/>
  </w:num>
  <w:num w:numId="18">
    <w:abstractNumId w:val="16"/>
  </w:num>
  <w:num w:numId="19">
    <w:abstractNumId w:val="15"/>
  </w:num>
  <w:num w:numId="20">
    <w:abstractNumId w:val="19"/>
  </w:num>
  <w:num w:numId="21">
    <w:abstractNumId w:val="28"/>
  </w:num>
  <w:num w:numId="22">
    <w:abstractNumId w:val="39"/>
  </w:num>
  <w:num w:numId="23">
    <w:abstractNumId w:val="40"/>
  </w:num>
  <w:num w:numId="24">
    <w:abstractNumId w:val="26"/>
  </w:num>
  <w:num w:numId="25">
    <w:abstractNumId w:val="1"/>
  </w:num>
  <w:num w:numId="26">
    <w:abstractNumId w:val="38"/>
  </w:num>
  <w:num w:numId="27">
    <w:abstractNumId w:val="5"/>
  </w:num>
  <w:num w:numId="28">
    <w:abstractNumId w:val="36"/>
  </w:num>
  <w:num w:numId="29">
    <w:abstractNumId w:val="41"/>
  </w:num>
  <w:num w:numId="30">
    <w:abstractNumId w:val="29"/>
  </w:num>
  <w:num w:numId="31">
    <w:abstractNumId w:val="17"/>
  </w:num>
  <w:num w:numId="32">
    <w:abstractNumId w:val="24"/>
  </w:num>
  <w:num w:numId="33">
    <w:abstractNumId w:val="0"/>
  </w:num>
  <w:num w:numId="34">
    <w:abstractNumId w:val="21"/>
  </w:num>
  <w:num w:numId="35">
    <w:abstractNumId w:val="25"/>
  </w:num>
  <w:num w:numId="36">
    <w:abstractNumId w:val="8"/>
  </w:num>
  <w:num w:numId="37">
    <w:abstractNumId w:val="12"/>
  </w:num>
  <w:num w:numId="38">
    <w:abstractNumId w:val="37"/>
  </w:num>
  <w:num w:numId="39">
    <w:abstractNumId w:val="31"/>
  </w:num>
  <w:num w:numId="40">
    <w:abstractNumId w:val="33"/>
  </w:num>
  <w:num w:numId="41">
    <w:abstractNumId w:val="3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1DD"/>
    <w:rsid w:val="00011227"/>
    <w:rsid w:val="00015C2E"/>
    <w:rsid w:val="0001666F"/>
    <w:rsid w:val="00020809"/>
    <w:rsid w:val="000228B3"/>
    <w:rsid w:val="00024EF0"/>
    <w:rsid w:val="0002613A"/>
    <w:rsid w:val="00031310"/>
    <w:rsid w:val="000356CD"/>
    <w:rsid w:val="00036160"/>
    <w:rsid w:val="000448C5"/>
    <w:rsid w:val="0004749E"/>
    <w:rsid w:val="00050A90"/>
    <w:rsid w:val="000577B5"/>
    <w:rsid w:val="00064285"/>
    <w:rsid w:val="00064DF2"/>
    <w:rsid w:val="00070560"/>
    <w:rsid w:val="00074491"/>
    <w:rsid w:val="000805CA"/>
    <w:rsid w:val="00081414"/>
    <w:rsid w:val="00086F4B"/>
    <w:rsid w:val="00094A6E"/>
    <w:rsid w:val="000A7A3C"/>
    <w:rsid w:val="000B31CC"/>
    <w:rsid w:val="000B33AD"/>
    <w:rsid w:val="000B377E"/>
    <w:rsid w:val="000B58EC"/>
    <w:rsid w:val="000C037D"/>
    <w:rsid w:val="000C569A"/>
    <w:rsid w:val="000D7623"/>
    <w:rsid w:val="000E09AA"/>
    <w:rsid w:val="000F1280"/>
    <w:rsid w:val="000F1667"/>
    <w:rsid w:val="000F40CA"/>
    <w:rsid w:val="000F7260"/>
    <w:rsid w:val="000F7414"/>
    <w:rsid w:val="0010495D"/>
    <w:rsid w:val="0011347F"/>
    <w:rsid w:val="00114F1F"/>
    <w:rsid w:val="00117439"/>
    <w:rsid w:val="00123DFF"/>
    <w:rsid w:val="0012455D"/>
    <w:rsid w:val="001250CB"/>
    <w:rsid w:val="00142C05"/>
    <w:rsid w:val="001461F4"/>
    <w:rsid w:val="00156C3A"/>
    <w:rsid w:val="00173F38"/>
    <w:rsid w:val="00175CBF"/>
    <w:rsid w:val="00177529"/>
    <w:rsid w:val="0018695B"/>
    <w:rsid w:val="001904F8"/>
    <w:rsid w:val="00192767"/>
    <w:rsid w:val="001A77D2"/>
    <w:rsid w:val="001A7A71"/>
    <w:rsid w:val="001B163B"/>
    <w:rsid w:val="001D66DC"/>
    <w:rsid w:val="001E0DF4"/>
    <w:rsid w:val="001E53F8"/>
    <w:rsid w:val="001E6D2D"/>
    <w:rsid w:val="001F07C6"/>
    <w:rsid w:val="001F31EE"/>
    <w:rsid w:val="00202769"/>
    <w:rsid w:val="00206387"/>
    <w:rsid w:val="00226E7E"/>
    <w:rsid w:val="002322A9"/>
    <w:rsid w:val="00232648"/>
    <w:rsid w:val="00233A27"/>
    <w:rsid w:val="00235EBE"/>
    <w:rsid w:val="00253747"/>
    <w:rsid w:val="00273B98"/>
    <w:rsid w:val="002778B4"/>
    <w:rsid w:val="0028334D"/>
    <w:rsid w:val="0028705D"/>
    <w:rsid w:val="0029078F"/>
    <w:rsid w:val="00290BDC"/>
    <w:rsid w:val="00297A60"/>
    <w:rsid w:val="002A3C3A"/>
    <w:rsid w:val="002B11CD"/>
    <w:rsid w:val="002B59BA"/>
    <w:rsid w:val="002C152D"/>
    <w:rsid w:val="002D796B"/>
    <w:rsid w:val="002F23BA"/>
    <w:rsid w:val="00301288"/>
    <w:rsid w:val="0031638B"/>
    <w:rsid w:val="00317527"/>
    <w:rsid w:val="00326E5C"/>
    <w:rsid w:val="00326E73"/>
    <w:rsid w:val="0033402E"/>
    <w:rsid w:val="00334753"/>
    <w:rsid w:val="003352AD"/>
    <w:rsid w:val="00336DD5"/>
    <w:rsid w:val="00340F7D"/>
    <w:rsid w:val="00341730"/>
    <w:rsid w:val="00345440"/>
    <w:rsid w:val="00352933"/>
    <w:rsid w:val="003551FF"/>
    <w:rsid w:val="0035604B"/>
    <w:rsid w:val="00357BD0"/>
    <w:rsid w:val="00360E01"/>
    <w:rsid w:val="00362076"/>
    <w:rsid w:val="00371F6B"/>
    <w:rsid w:val="003731F4"/>
    <w:rsid w:val="00377CBA"/>
    <w:rsid w:val="0038078F"/>
    <w:rsid w:val="003839ED"/>
    <w:rsid w:val="003904C5"/>
    <w:rsid w:val="003953DA"/>
    <w:rsid w:val="003A2FB9"/>
    <w:rsid w:val="003A35DA"/>
    <w:rsid w:val="003A3AF9"/>
    <w:rsid w:val="003A50DE"/>
    <w:rsid w:val="003A6DC2"/>
    <w:rsid w:val="003C7773"/>
    <w:rsid w:val="003D127A"/>
    <w:rsid w:val="003D353A"/>
    <w:rsid w:val="003E1EF7"/>
    <w:rsid w:val="003E4E7F"/>
    <w:rsid w:val="003E6265"/>
    <w:rsid w:val="003E6D2C"/>
    <w:rsid w:val="003F1F15"/>
    <w:rsid w:val="003F3252"/>
    <w:rsid w:val="003F51DE"/>
    <w:rsid w:val="003F5473"/>
    <w:rsid w:val="00401260"/>
    <w:rsid w:val="00403758"/>
    <w:rsid w:val="00403B04"/>
    <w:rsid w:val="00404C0B"/>
    <w:rsid w:val="004054F6"/>
    <w:rsid w:val="0040628E"/>
    <w:rsid w:val="00406830"/>
    <w:rsid w:val="00414F55"/>
    <w:rsid w:val="00425A2D"/>
    <w:rsid w:val="00431EF8"/>
    <w:rsid w:val="00432519"/>
    <w:rsid w:val="004351E0"/>
    <w:rsid w:val="004451BF"/>
    <w:rsid w:val="004454F8"/>
    <w:rsid w:val="0045363C"/>
    <w:rsid w:val="004565DE"/>
    <w:rsid w:val="00457A8B"/>
    <w:rsid w:val="0048389E"/>
    <w:rsid w:val="004842F1"/>
    <w:rsid w:val="004864D4"/>
    <w:rsid w:val="004873B4"/>
    <w:rsid w:val="00487925"/>
    <w:rsid w:val="00493105"/>
    <w:rsid w:val="004A68B7"/>
    <w:rsid w:val="004B0302"/>
    <w:rsid w:val="004B2175"/>
    <w:rsid w:val="004B3A84"/>
    <w:rsid w:val="004B6229"/>
    <w:rsid w:val="004B6C3F"/>
    <w:rsid w:val="004C699A"/>
    <w:rsid w:val="004D06C1"/>
    <w:rsid w:val="004D3BA7"/>
    <w:rsid w:val="004D458D"/>
    <w:rsid w:val="004E207F"/>
    <w:rsid w:val="004E2287"/>
    <w:rsid w:val="004E343B"/>
    <w:rsid w:val="004F2F41"/>
    <w:rsid w:val="004F5342"/>
    <w:rsid w:val="005002AA"/>
    <w:rsid w:val="005105C3"/>
    <w:rsid w:val="00511DA9"/>
    <w:rsid w:val="005204FC"/>
    <w:rsid w:val="00520AB6"/>
    <w:rsid w:val="00522D16"/>
    <w:rsid w:val="00526064"/>
    <w:rsid w:val="00542C18"/>
    <w:rsid w:val="00544385"/>
    <w:rsid w:val="005501CC"/>
    <w:rsid w:val="00560FEF"/>
    <w:rsid w:val="005616B6"/>
    <w:rsid w:val="00561F60"/>
    <w:rsid w:val="005642DD"/>
    <w:rsid w:val="0056495E"/>
    <w:rsid w:val="0056741E"/>
    <w:rsid w:val="005705D9"/>
    <w:rsid w:val="00572E2C"/>
    <w:rsid w:val="00574425"/>
    <w:rsid w:val="00590E8F"/>
    <w:rsid w:val="00594F1F"/>
    <w:rsid w:val="00595151"/>
    <w:rsid w:val="00597108"/>
    <w:rsid w:val="00597231"/>
    <w:rsid w:val="00597D32"/>
    <w:rsid w:val="005B03CA"/>
    <w:rsid w:val="005B2336"/>
    <w:rsid w:val="005B76EE"/>
    <w:rsid w:val="005C3F5E"/>
    <w:rsid w:val="005C765A"/>
    <w:rsid w:val="005D1983"/>
    <w:rsid w:val="005D42A5"/>
    <w:rsid w:val="005E7BBE"/>
    <w:rsid w:val="005F28F9"/>
    <w:rsid w:val="006051DD"/>
    <w:rsid w:val="00610F2A"/>
    <w:rsid w:val="00614FFA"/>
    <w:rsid w:val="00626B37"/>
    <w:rsid w:val="00631169"/>
    <w:rsid w:val="006314C5"/>
    <w:rsid w:val="0063343A"/>
    <w:rsid w:val="0063527F"/>
    <w:rsid w:val="00635534"/>
    <w:rsid w:val="00646089"/>
    <w:rsid w:val="00646E23"/>
    <w:rsid w:val="00652EDD"/>
    <w:rsid w:val="00663B54"/>
    <w:rsid w:val="00667BF1"/>
    <w:rsid w:val="00672D0A"/>
    <w:rsid w:val="0067713B"/>
    <w:rsid w:val="00680725"/>
    <w:rsid w:val="00681C66"/>
    <w:rsid w:val="0068753C"/>
    <w:rsid w:val="006963CF"/>
    <w:rsid w:val="006A313C"/>
    <w:rsid w:val="006A5305"/>
    <w:rsid w:val="006A61BB"/>
    <w:rsid w:val="006B5BAB"/>
    <w:rsid w:val="006B77FA"/>
    <w:rsid w:val="006C0722"/>
    <w:rsid w:val="006C201A"/>
    <w:rsid w:val="006C4DD2"/>
    <w:rsid w:val="006D0975"/>
    <w:rsid w:val="006D3688"/>
    <w:rsid w:val="006D7003"/>
    <w:rsid w:val="006E2278"/>
    <w:rsid w:val="006E4BE7"/>
    <w:rsid w:val="006F3FDF"/>
    <w:rsid w:val="006F6820"/>
    <w:rsid w:val="007002C0"/>
    <w:rsid w:val="00704F51"/>
    <w:rsid w:val="00710653"/>
    <w:rsid w:val="007129EC"/>
    <w:rsid w:val="007167E0"/>
    <w:rsid w:val="00721257"/>
    <w:rsid w:val="007238A7"/>
    <w:rsid w:val="007243B7"/>
    <w:rsid w:val="00725692"/>
    <w:rsid w:val="00730CB3"/>
    <w:rsid w:val="00734AD3"/>
    <w:rsid w:val="007448D0"/>
    <w:rsid w:val="00754E21"/>
    <w:rsid w:val="00757884"/>
    <w:rsid w:val="007659C8"/>
    <w:rsid w:val="007667CF"/>
    <w:rsid w:val="00771EB8"/>
    <w:rsid w:val="007752A9"/>
    <w:rsid w:val="00776ABC"/>
    <w:rsid w:val="0078795B"/>
    <w:rsid w:val="00792241"/>
    <w:rsid w:val="007A1E29"/>
    <w:rsid w:val="007A3E2F"/>
    <w:rsid w:val="007B3168"/>
    <w:rsid w:val="007B7CBA"/>
    <w:rsid w:val="007C1E57"/>
    <w:rsid w:val="007C453E"/>
    <w:rsid w:val="007D0161"/>
    <w:rsid w:val="007D107D"/>
    <w:rsid w:val="007D31FF"/>
    <w:rsid w:val="007E23F2"/>
    <w:rsid w:val="007F2CC2"/>
    <w:rsid w:val="007F5D2B"/>
    <w:rsid w:val="007F6A11"/>
    <w:rsid w:val="007F7ECC"/>
    <w:rsid w:val="00812D26"/>
    <w:rsid w:val="00814FE3"/>
    <w:rsid w:val="00824A3E"/>
    <w:rsid w:val="008253F1"/>
    <w:rsid w:val="00825FF2"/>
    <w:rsid w:val="0082755C"/>
    <w:rsid w:val="008347CE"/>
    <w:rsid w:val="0083646A"/>
    <w:rsid w:val="00837DA3"/>
    <w:rsid w:val="008420C6"/>
    <w:rsid w:val="00844F43"/>
    <w:rsid w:val="00850584"/>
    <w:rsid w:val="00852082"/>
    <w:rsid w:val="00852170"/>
    <w:rsid w:val="00852362"/>
    <w:rsid w:val="008557B7"/>
    <w:rsid w:val="00872FB9"/>
    <w:rsid w:val="008826EF"/>
    <w:rsid w:val="00884DDC"/>
    <w:rsid w:val="00887EEB"/>
    <w:rsid w:val="00891918"/>
    <w:rsid w:val="0089210D"/>
    <w:rsid w:val="008A3E40"/>
    <w:rsid w:val="008B1307"/>
    <w:rsid w:val="008B1FA2"/>
    <w:rsid w:val="008C5D54"/>
    <w:rsid w:val="008E5017"/>
    <w:rsid w:val="008E70A6"/>
    <w:rsid w:val="008F1503"/>
    <w:rsid w:val="008F6593"/>
    <w:rsid w:val="00903576"/>
    <w:rsid w:val="0091654F"/>
    <w:rsid w:val="009254F2"/>
    <w:rsid w:val="00940E31"/>
    <w:rsid w:val="00941C94"/>
    <w:rsid w:val="00942F61"/>
    <w:rsid w:val="009516D0"/>
    <w:rsid w:val="009558CF"/>
    <w:rsid w:val="00956C73"/>
    <w:rsid w:val="00964CCC"/>
    <w:rsid w:val="009651CC"/>
    <w:rsid w:val="0097529C"/>
    <w:rsid w:val="0098224D"/>
    <w:rsid w:val="00985CB7"/>
    <w:rsid w:val="009907B9"/>
    <w:rsid w:val="00997CF2"/>
    <w:rsid w:val="009A501B"/>
    <w:rsid w:val="009B3D25"/>
    <w:rsid w:val="009B6BE5"/>
    <w:rsid w:val="009C096A"/>
    <w:rsid w:val="009D595D"/>
    <w:rsid w:val="009D6439"/>
    <w:rsid w:val="009E60BD"/>
    <w:rsid w:val="00A13A15"/>
    <w:rsid w:val="00A1421C"/>
    <w:rsid w:val="00A21FFA"/>
    <w:rsid w:val="00A23DCE"/>
    <w:rsid w:val="00A27032"/>
    <w:rsid w:val="00A2761E"/>
    <w:rsid w:val="00A31A14"/>
    <w:rsid w:val="00A33702"/>
    <w:rsid w:val="00A360D0"/>
    <w:rsid w:val="00A37C29"/>
    <w:rsid w:val="00A41A77"/>
    <w:rsid w:val="00A503B4"/>
    <w:rsid w:val="00A54135"/>
    <w:rsid w:val="00A555A5"/>
    <w:rsid w:val="00A57E24"/>
    <w:rsid w:val="00A62562"/>
    <w:rsid w:val="00A7368E"/>
    <w:rsid w:val="00A80263"/>
    <w:rsid w:val="00A84E27"/>
    <w:rsid w:val="00AB03A7"/>
    <w:rsid w:val="00AB3419"/>
    <w:rsid w:val="00AB649A"/>
    <w:rsid w:val="00AD5294"/>
    <w:rsid w:val="00AE0DEA"/>
    <w:rsid w:val="00AE155A"/>
    <w:rsid w:val="00AF21CE"/>
    <w:rsid w:val="00AF42A4"/>
    <w:rsid w:val="00B025D1"/>
    <w:rsid w:val="00B05771"/>
    <w:rsid w:val="00B11EEF"/>
    <w:rsid w:val="00B13964"/>
    <w:rsid w:val="00B145C3"/>
    <w:rsid w:val="00B213B7"/>
    <w:rsid w:val="00B21853"/>
    <w:rsid w:val="00B231CE"/>
    <w:rsid w:val="00B2336B"/>
    <w:rsid w:val="00B23523"/>
    <w:rsid w:val="00B25979"/>
    <w:rsid w:val="00B30BEE"/>
    <w:rsid w:val="00B343D7"/>
    <w:rsid w:val="00B40514"/>
    <w:rsid w:val="00B44F9C"/>
    <w:rsid w:val="00B45D81"/>
    <w:rsid w:val="00B4708D"/>
    <w:rsid w:val="00B47466"/>
    <w:rsid w:val="00B5481F"/>
    <w:rsid w:val="00B550D6"/>
    <w:rsid w:val="00B550DB"/>
    <w:rsid w:val="00B600DD"/>
    <w:rsid w:val="00B66062"/>
    <w:rsid w:val="00B70BD3"/>
    <w:rsid w:val="00B7567C"/>
    <w:rsid w:val="00B77794"/>
    <w:rsid w:val="00B866F3"/>
    <w:rsid w:val="00B8725F"/>
    <w:rsid w:val="00BA7954"/>
    <w:rsid w:val="00BB6A0B"/>
    <w:rsid w:val="00BC12B4"/>
    <w:rsid w:val="00BC2262"/>
    <w:rsid w:val="00BC2EF1"/>
    <w:rsid w:val="00BC39A3"/>
    <w:rsid w:val="00BC7F69"/>
    <w:rsid w:val="00BD4B2D"/>
    <w:rsid w:val="00BE4E2A"/>
    <w:rsid w:val="00BE5385"/>
    <w:rsid w:val="00BE68DE"/>
    <w:rsid w:val="00BF05B1"/>
    <w:rsid w:val="00BF0878"/>
    <w:rsid w:val="00BF4737"/>
    <w:rsid w:val="00C02E18"/>
    <w:rsid w:val="00C03B58"/>
    <w:rsid w:val="00C04F5B"/>
    <w:rsid w:val="00C10CB4"/>
    <w:rsid w:val="00C120B2"/>
    <w:rsid w:val="00C14D90"/>
    <w:rsid w:val="00C16992"/>
    <w:rsid w:val="00C35182"/>
    <w:rsid w:val="00C50920"/>
    <w:rsid w:val="00C529A2"/>
    <w:rsid w:val="00C62585"/>
    <w:rsid w:val="00C62CA6"/>
    <w:rsid w:val="00C639F5"/>
    <w:rsid w:val="00C72747"/>
    <w:rsid w:val="00C73249"/>
    <w:rsid w:val="00C73676"/>
    <w:rsid w:val="00C85E81"/>
    <w:rsid w:val="00C8657F"/>
    <w:rsid w:val="00C87F46"/>
    <w:rsid w:val="00C905E6"/>
    <w:rsid w:val="00C9799C"/>
    <w:rsid w:val="00CA4F0D"/>
    <w:rsid w:val="00CB38F2"/>
    <w:rsid w:val="00CB5BAB"/>
    <w:rsid w:val="00CC1C8F"/>
    <w:rsid w:val="00CD49BA"/>
    <w:rsid w:val="00CD5F9E"/>
    <w:rsid w:val="00CE11DD"/>
    <w:rsid w:val="00CE4425"/>
    <w:rsid w:val="00CE7A10"/>
    <w:rsid w:val="00D00889"/>
    <w:rsid w:val="00D024A4"/>
    <w:rsid w:val="00D21CFB"/>
    <w:rsid w:val="00D2471F"/>
    <w:rsid w:val="00D269EB"/>
    <w:rsid w:val="00D276F9"/>
    <w:rsid w:val="00D403CE"/>
    <w:rsid w:val="00D44C9C"/>
    <w:rsid w:val="00D4513B"/>
    <w:rsid w:val="00D60CCE"/>
    <w:rsid w:val="00D6486F"/>
    <w:rsid w:val="00D669AB"/>
    <w:rsid w:val="00D67FC6"/>
    <w:rsid w:val="00D720FF"/>
    <w:rsid w:val="00D75485"/>
    <w:rsid w:val="00D82951"/>
    <w:rsid w:val="00D84BF8"/>
    <w:rsid w:val="00D85108"/>
    <w:rsid w:val="00D909BC"/>
    <w:rsid w:val="00D91FCA"/>
    <w:rsid w:val="00D9220C"/>
    <w:rsid w:val="00DC2310"/>
    <w:rsid w:val="00DC3BA0"/>
    <w:rsid w:val="00DD3C46"/>
    <w:rsid w:val="00DD5A0B"/>
    <w:rsid w:val="00DD5E68"/>
    <w:rsid w:val="00DE14C9"/>
    <w:rsid w:val="00DE1945"/>
    <w:rsid w:val="00DF365C"/>
    <w:rsid w:val="00E013E9"/>
    <w:rsid w:val="00E06B1E"/>
    <w:rsid w:val="00E11369"/>
    <w:rsid w:val="00E113B2"/>
    <w:rsid w:val="00E14561"/>
    <w:rsid w:val="00E147DB"/>
    <w:rsid w:val="00E159A5"/>
    <w:rsid w:val="00E27787"/>
    <w:rsid w:val="00E27FDA"/>
    <w:rsid w:val="00E3668D"/>
    <w:rsid w:val="00E40879"/>
    <w:rsid w:val="00E44A4D"/>
    <w:rsid w:val="00E47B82"/>
    <w:rsid w:val="00E50129"/>
    <w:rsid w:val="00E50D05"/>
    <w:rsid w:val="00E5151A"/>
    <w:rsid w:val="00E56CF7"/>
    <w:rsid w:val="00E575B6"/>
    <w:rsid w:val="00E5768B"/>
    <w:rsid w:val="00E612D5"/>
    <w:rsid w:val="00E621CB"/>
    <w:rsid w:val="00E64094"/>
    <w:rsid w:val="00E76EDC"/>
    <w:rsid w:val="00E77963"/>
    <w:rsid w:val="00E77C19"/>
    <w:rsid w:val="00E92433"/>
    <w:rsid w:val="00E96E86"/>
    <w:rsid w:val="00EB2BA2"/>
    <w:rsid w:val="00EB35B6"/>
    <w:rsid w:val="00EB7A55"/>
    <w:rsid w:val="00EC000D"/>
    <w:rsid w:val="00EC7FC4"/>
    <w:rsid w:val="00ED614A"/>
    <w:rsid w:val="00EE07AC"/>
    <w:rsid w:val="00EE33AB"/>
    <w:rsid w:val="00EE35FE"/>
    <w:rsid w:val="00EE3732"/>
    <w:rsid w:val="00EE4D5A"/>
    <w:rsid w:val="00EE5181"/>
    <w:rsid w:val="00EF0443"/>
    <w:rsid w:val="00F0365F"/>
    <w:rsid w:val="00F16B2A"/>
    <w:rsid w:val="00F17D0A"/>
    <w:rsid w:val="00F20A3A"/>
    <w:rsid w:val="00F25421"/>
    <w:rsid w:val="00F25C90"/>
    <w:rsid w:val="00F2718F"/>
    <w:rsid w:val="00F33CBE"/>
    <w:rsid w:val="00F55C92"/>
    <w:rsid w:val="00F61171"/>
    <w:rsid w:val="00F62537"/>
    <w:rsid w:val="00F67245"/>
    <w:rsid w:val="00F70474"/>
    <w:rsid w:val="00F73233"/>
    <w:rsid w:val="00F76D2C"/>
    <w:rsid w:val="00F86F40"/>
    <w:rsid w:val="00F87C7C"/>
    <w:rsid w:val="00F955BF"/>
    <w:rsid w:val="00FA2C42"/>
    <w:rsid w:val="00FA3EBC"/>
    <w:rsid w:val="00FA48EF"/>
    <w:rsid w:val="00FA500F"/>
    <w:rsid w:val="00FB58CB"/>
    <w:rsid w:val="00FC672E"/>
    <w:rsid w:val="00FD5317"/>
    <w:rsid w:val="00FE1689"/>
    <w:rsid w:val="00FF2C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588ABE"/>
  <w15:chartTrackingRefBased/>
  <w15:docId w15:val="{940A767E-8933-487C-844C-835A2EC6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semiHidden/>
    <w:unhideWhenUsed/>
    <w:qFormat/>
    <w:rsid w:val="007C1E5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Pie de Pagina DGDTR,~FootnoteText,SF píe,Pie depágina,Footnote Text Char1,Footnote Text Char Char1,Footnote Text Char4 Char Char,Footnote Text Char1 Char1 Char1 Char,Footnote Text Char Char1 Char1 Char Char,fn,Footnote Text Char,Ca,Car"/>
    <w:basedOn w:val="Normal"/>
    <w:link w:val="TextonotapieCar"/>
    <w:uiPriority w:val="99"/>
    <w:unhideWhenUsed/>
    <w:qFormat/>
    <w:rsid w:val="000F1667"/>
    <w:pPr>
      <w:spacing w:after="0" w:line="240" w:lineRule="auto"/>
    </w:pPr>
    <w:rPr>
      <w:sz w:val="20"/>
      <w:szCs w:val="20"/>
    </w:rPr>
  </w:style>
  <w:style w:type="character" w:customStyle="1" w:styleId="TextonotapieCar">
    <w:name w:val="Texto nota pie Car"/>
    <w:aliases w:val="Pie de Pagina DGDTR Car,~FootnoteText Car,SF píe Car,Pie depágina Car,Footnote Text Char1 Car,Footnote Text Char Char1 Car,Footnote Text Char4 Char Char Car,Footnote Text Char1 Char1 Char1 Char Car,fn Car,Footnote Text Char Car,Ca Car"/>
    <w:basedOn w:val="Fuentedeprrafopredeter"/>
    <w:link w:val="Textonotapie"/>
    <w:uiPriority w:val="99"/>
    <w:rsid w:val="000F1667"/>
    <w:rPr>
      <w:rFonts w:ascii="Calibri" w:eastAsia="Calibri" w:hAnsi="Calibri" w:cs="Times New Roman"/>
      <w:sz w:val="20"/>
      <w:szCs w:val="20"/>
    </w:rPr>
  </w:style>
  <w:style w:type="character" w:styleId="Refdenotaalpie">
    <w:name w:val="footnote reference"/>
    <w:aliases w:val="#Ref DGDTR,~FootnoteRef,Ref,de nota al pie,Ref. de nota al pie 2,Footnotes refss,Texto de nota al pie,Appel note de bas de page,referencia nota al pie,BVI fnr,Footnote number,f,4_G,16 Point,Superscript 6 Point,Texto nota al pie,o,fr"/>
    <w:basedOn w:val="Fuentedeprrafopredeter"/>
    <w:uiPriority w:val="99"/>
    <w:unhideWhenUsed/>
    <w:qFormat/>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styleId="Refdecomentario">
    <w:name w:val="annotation reference"/>
    <w:basedOn w:val="Fuentedeprrafopredeter"/>
    <w:uiPriority w:val="99"/>
    <w:semiHidden/>
    <w:unhideWhenUsed/>
    <w:rsid w:val="00852170"/>
    <w:rPr>
      <w:sz w:val="16"/>
      <w:szCs w:val="16"/>
    </w:rPr>
  </w:style>
  <w:style w:type="paragraph" w:styleId="Textocomentario">
    <w:name w:val="annotation text"/>
    <w:basedOn w:val="Normal"/>
    <w:link w:val="TextocomentarioCar"/>
    <w:uiPriority w:val="99"/>
    <w:unhideWhenUsed/>
    <w:rsid w:val="00852170"/>
    <w:pPr>
      <w:spacing w:after="0" w:line="240" w:lineRule="auto"/>
    </w:pPr>
    <w:rPr>
      <w:sz w:val="20"/>
      <w:szCs w:val="20"/>
      <w:lang w:val="es-MX" w:eastAsia="es-MX"/>
    </w:rPr>
  </w:style>
  <w:style w:type="character" w:customStyle="1" w:styleId="TextocomentarioCar">
    <w:name w:val="Texto comentario Car"/>
    <w:basedOn w:val="Fuentedeprrafopredeter"/>
    <w:link w:val="Textocomentario"/>
    <w:uiPriority w:val="99"/>
    <w:rsid w:val="00852170"/>
    <w:rPr>
      <w:rFonts w:ascii="Calibri" w:eastAsia="Calibri" w:hAnsi="Calibri" w:cs="Times New Roman"/>
      <w:sz w:val="20"/>
      <w:szCs w:val="20"/>
      <w:lang w:eastAsia="es-MX"/>
    </w:rPr>
  </w:style>
  <w:style w:type="paragraph" w:customStyle="1" w:styleId="CitaTextual">
    <w:name w:val="* Cita Textual"/>
    <w:basedOn w:val="Normal"/>
    <w:link w:val="CitaTextualCar"/>
    <w:qFormat/>
    <w:rsid w:val="00852170"/>
    <w:pPr>
      <w:spacing w:before="40"/>
      <w:ind w:left="567" w:right="567"/>
      <w:jc w:val="both"/>
    </w:pPr>
    <w:rPr>
      <w:rFonts w:ascii="Arial" w:eastAsiaTheme="minorHAnsi" w:hAnsi="Arial" w:cstheme="minorBidi"/>
      <w:i/>
      <w:sz w:val="18"/>
      <w:lang w:val="es-MX"/>
    </w:rPr>
  </w:style>
  <w:style w:type="character" w:customStyle="1" w:styleId="CitaTextualCar">
    <w:name w:val="* Cita Textual Car"/>
    <w:basedOn w:val="Fuentedeprrafopredeter"/>
    <w:link w:val="CitaTextual"/>
    <w:rsid w:val="00852170"/>
    <w:rPr>
      <w:rFonts w:ascii="Arial" w:hAnsi="Arial"/>
      <w:i/>
      <w:sz w:val="18"/>
    </w:rPr>
  </w:style>
  <w:style w:type="paragraph" w:customStyle="1" w:styleId="IFTnormal">
    <w:name w:val="IFT normal"/>
    <w:basedOn w:val="Normal"/>
    <w:link w:val="IFTnormalCar"/>
    <w:qFormat/>
    <w:rsid w:val="00852170"/>
    <w:pPr>
      <w:jc w:val="both"/>
    </w:pPr>
    <w:rPr>
      <w:rFonts w:ascii="ITC Avant Garde" w:hAnsi="ITC Avant Garde" w:cs="Arial"/>
      <w:color w:val="000000"/>
      <w:lang w:val="es-ES_tradnl" w:eastAsia="es-ES"/>
    </w:rPr>
  </w:style>
  <w:style w:type="character" w:customStyle="1" w:styleId="IFTnormalCar">
    <w:name w:val="IFT normal Car"/>
    <w:basedOn w:val="Fuentedeprrafopredeter"/>
    <w:link w:val="IFTnormal"/>
    <w:qFormat/>
    <w:rsid w:val="00852170"/>
    <w:rPr>
      <w:rFonts w:ascii="ITC Avant Garde" w:eastAsia="Calibri" w:hAnsi="ITC Avant Garde" w:cs="Arial"/>
      <w:color w:val="000000"/>
      <w:lang w:val="es-ES_tradnl" w:eastAsia="es-ES"/>
    </w:rPr>
  </w:style>
  <w:style w:type="numbering" w:customStyle="1" w:styleId="Sinlista1">
    <w:name w:val="Sin lista1"/>
    <w:next w:val="Sinlista"/>
    <w:uiPriority w:val="99"/>
    <w:semiHidden/>
    <w:unhideWhenUsed/>
    <w:rsid w:val="00FA2C42"/>
  </w:style>
  <w:style w:type="paragraph" w:customStyle="1" w:styleId="Leyenda">
    <w:name w:val="Leyenda"/>
    <w:basedOn w:val="Sangra3detindependiente"/>
    <w:rsid w:val="00FA2C42"/>
    <w:pPr>
      <w:spacing w:after="0"/>
      <w:ind w:left="3260" w:right="28"/>
      <w:jc w:val="both"/>
    </w:pPr>
    <w:rPr>
      <w:rFonts w:ascii="Arial" w:eastAsia="Times New Roman" w:hAnsi="Arial" w:cs="Arial"/>
      <w:sz w:val="12"/>
      <w:szCs w:val="20"/>
      <w:lang w:eastAsia="es-ES"/>
    </w:rPr>
  </w:style>
  <w:style w:type="paragraph" w:styleId="Sangra3detindependiente">
    <w:name w:val="Body Text Indent 3"/>
    <w:basedOn w:val="Normal"/>
    <w:link w:val="Sangra3detindependienteCar"/>
    <w:uiPriority w:val="99"/>
    <w:semiHidden/>
    <w:unhideWhenUsed/>
    <w:rsid w:val="00FA2C42"/>
    <w:pPr>
      <w:spacing w:after="120" w:line="240" w:lineRule="auto"/>
      <w:ind w:left="283"/>
    </w:pPr>
    <w:rPr>
      <w:sz w:val="16"/>
      <w:szCs w:val="16"/>
      <w:lang w:val="es-MX" w:eastAsia="es-MX"/>
    </w:rPr>
  </w:style>
  <w:style w:type="character" w:customStyle="1" w:styleId="Sangra3detindependienteCar">
    <w:name w:val="Sangría 3 de t. independiente Car"/>
    <w:basedOn w:val="Fuentedeprrafopredeter"/>
    <w:link w:val="Sangra3detindependiente"/>
    <w:uiPriority w:val="99"/>
    <w:semiHidden/>
    <w:rsid w:val="00FA2C42"/>
    <w:rPr>
      <w:rFonts w:ascii="Calibri" w:eastAsia="Calibri" w:hAnsi="Calibri" w:cs="Times New Roman"/>
      <w:sz w:val="16"/>
      <w:szCs w:val="16"/>
      <w:lang w:eastAsia="es-MX"/>
    </w:rPr>
  </w:style>
  <w:style w:type="paragraph" w:customStyle="1" w:styleId="Texto">
    <w:name w:val="Texto"/>
    <w:basedOn w:val="Normal"/>
    <w:link w:val="TextoCar"/>
    <w:rsid w:val="00FA2C42"/>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FA2C42"/>
    <w:rPr>
      <w:rFonts w:ascii="Arial" w:eastAsia="Times New Roman" w:hAnsi="Arial" w:cs="Arial"/>
      <w:sz w:val="18"/>
      <w:szCs w:val="20"/>
      <w:lang w:val="es-ES" w:eastAsia="es-ES"/>
    </w:rPr>
  </w:style>
  <w:style w:type="paragraph" w:customStyle="1" w:styleId="Citaift">
    <w:name w:val="Cita ift"/>
    <w:basedOn w:val="Normal"/>
    <w:link w:val="CitaiftCar"/>
    <w:qFormat/>
    <w:rsid w:val="00FA2C42"/>
    <w:pPr>
      <w:adjustRightInd w:val="0"/>
      <w:ind w:left="851" w:right="760"/>
      <w:jc w:val="both"/>
    </w:pPr>
    <w:rPr>
      <w:rFonts w:ascii="ITC Avant Garde" w:eastAsia="Times New Roman" w:hAnsi="ITC Avant Garde" w:cs="Arial"/>
      <w:i/>
      <w:color w:val="000000"/>
      <w:sz w:val="18"/>
      <w:szCs w:val="18"/>
      <w:lang w:val="es-MX" w:eastAsia="es-ES"/>
    </w:rPr>
  </w:style>
  <w:style w:type="character" w:customStyle="1" w:styleId="CitaiftCar">
    <w:name w:val="Cita ift Car"/>
    <w:link w:val="Citaift"/>
    <w:rsid w:val="00FA2C42"/>
    <w:rPr>
      <w:rFonts w:ascii="ITC Avant Garde" w:eastAsia="Times New Roman" w:hAnsi="ITC Avant Garde" w:cs="Arial"/>
      <w:i/>
      <w:color w:val="000000"/>
      <w:sz w:val="18"/>
      <w:szCs w:val="18"/>
      <w:lang w:eastAsia="es-ES"/>
    </w:rPr>
  </w:style>
  <w:style w:type="paragraph" w:styleId="Asuntodelcomentario">
    <w:name w:val="annotation subject"/>
    <w:basedOn w:val="Textocomentario"/>
    <w:next w:val="Textocomentario"/>
    <w:link w:val="AsuntodelcomentarioCar"/>
    <w:uiPriority w:val="99"/>
    <w:semiHidden/>
    <w:unhideWhenUsed/>
    <w:rsid w:val="00FA2C42"/>
    <w:rPr>
      <w:b/>
      <w:bCs/>
    </w:rPr>
  </w:style>
  <w:style w:type="character" w:customStyle="1" w:styleId="AsuntodelcomentarioCar">
    <w:name w:val="Asunto del comentario Car"/>
    <w:basedOn w:val="TextocomentarioCar"/>
    <w:link w:val="Asuntodelcomentario"/>
    <w:uiPriority w:val="99"/>
    <w:semiHidden/>
    <w:rsid w:val="00FA2C42"/>
    <w:rPr>
      <w:rFonts w:ascii="Calibri" w:eastAsia="Calibri" w:hAnsi="Calibri" w:cs="Times New Roman"/>
      <w:b/>
      <w:bCs/>
      <w:sz w:val="20"/>
      <w:szCs w:val="20"/>
      <w:lang w:eastAsia="es-MX"/>
    </w:rPr>
  </w:style>
  <w:style w:type="paragraph" w:customStyle="1" w:styleId="TtuloTDC1">
    <w:name w:val="Título TDC1"/>
    <w:basedOn w:val="Ttulo1"/>
    <w:next w:val="Normal"/>
    <w:uiPriority w:val="39"/>
    <w:unhideWhenUsed/>
    <w:qFormat/>
    <w:rsid w:val="00FA2C42"/>
    <w:pPr>
      <w:widowControl w:val="0"/>
      <w:adjustRightInd w:val="0"/>
      <w:spacing w:before="480" w:after="60"/>
      <w:contextualSpacing/>
      <w:jc w:val="both"/>
      <w:textAlignment w:val="baseline"/>
      <w:outlineLvl w:val="9"/>
    </w:pPr>
    <w:rPr>
      <w:b/>
      <w:bCs/>
      <w:color w:val="984806"/>
      <w:sz w:val="28"/>
      <w:szCs w:val="28"/>
      <w:lang w:val="es-ES_tradnl" w:eastAsia="es-ES"/>
    </w:rPr>
  </w:style>
  <w:style w:type="table" w:customStyle="1" w:styleId="Tablaconcuadrcula1">
    <w:name w:val="Tabla con cuadrícula1"/>
    <w:basedOn w:val="Tablanormal"/>
    <w:next w:val="Tablaconcuadrcula"/>
    <w:rsid w:val="00FA2C4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IFT0">
    <w:name w:val="Cita IFT"/>
    <w:basedOn w:val="Normal"/>
    <w:link w:val="CitaIFTCar0"/>
    <w:qFormat/>
    <w:rsid w:val="00FA2C42"/>
    <w:pPr>
      <w:adjustRightInd w:val="0"/>
      <w:ind w:left="851" w:right="760"/>
      <w:jc w:val="both"/>
    </w:pPr>
    <w:rPr>
      <w:rFonts w:ascii="ITC Avant Garde" w:eastAsia="Times New Roman" w:hAnsi="ITC Avant Garde" w:cs="Arial"/>
      <w:bCs/>
      <w:i/>
      <w:color w:val="000000"/>
      <w:sz w:val="18"/>
      <w:szCs w:val="18"/>
      <w:lang w:val="es-ES_tradnl" w:eastAsia="es-ES"/>
    </w:rPr>
  </w:style>
  <w:style w:type="character" w:customStyle="1" w:styleId="CitaIFTCar0">
    <w:name w:val="Cita IFT Car"/>
    <w:link w:val="CitaIFT0"/>
    <w:qFormat/>
    <w:rsid w:val="00FA2C42"/>
    <w:rPr>
      <w:rFonts w:ascii="ITC Avant Garde" w:eastAsia="Times New Roman" w:hAnsi="ITC Avant Garde" w:cs="Arial"/>
      <w:bCs/>
      <w:i/>
      <w:color w:val="000000"/>
      <w:sz w:val="18"/>
      <w:szCs w:val="18"/>
      <w:lang w:val="es-ES_tradnl" w:eastAsia="es-ES"/>
    </w:rPr>
  </w:style>
  <w:style w:type="paragraph" w:customStyle="1" w:styleId="Default">
    <w:name w:val="Default"/>
    <w:rsid w:val="00FA2C42"/>
    <w:pPr>
      <w:autoSpaceDE w:val="0"/>
      <w:autoSpaceDN w:val="0"/>
      <w:adjustRightInd w:val="0"/>
      <w:spacing w:after="0" w:line="240" w:lineRule="auto"/>
    </w:pPr>
    <w:rPr>
      <w:rFonts w:ascii="ITC Avant Garde" w:eastAsia="Calibri" w:hAnsi="ITC Avant Garde" w:cs="ITC Avant Garde"/>
      <w:color w:val="000000"/>
      <w:sz w:val="24"/>
      <w:szCs w:val="24"/>
    </w:rPr>
  </w:style>
  <w:style w:type="character" w:customStyle="1" w:styleId="AntecedentesDGDTRCar">
    <w:name w:val="Antecedentes DGDTR Car"/>
    <w:basedOn w:val="Fuentedeprrafopredeter"/>
    <w:link w:val="AntecedentesDGDTR"/>
    <w:locked/>
    <w:rsid w:val="00FA2C42"/>
    <w:rPr>
      <w:rFonts w:ascii="ITC Avant Garde" w:eastAsia="Times New Roman" w:hAnsi="ITC Avant Garde"/>
      <w:color w:val="000000"/>
      <w:lang w:val="es-ES_tradnl" w:eastAsia="es-ES"/>
    </w:rPr>
  </w:style>
  <w:style w:type="paragraph" w:customStyle="1" w:styleId="AntecedentesDGDTR">
    <w:name w:val="Antecedentes DGDTR"/>
    <w:basedOn w:val="Normal"/>
    <w:link w:val="AntecedentesDGDTRCar"/>
    <w:qFormat/>
    <w:rsid w:val="00FA2C42"/>
    <w:pPr>
      <w:spacing w:after="0" w:line="288" w:lineRule="auto"/>
      <w:ind w:left="426" w:hanging="360"/>
      <w:jc w:val="both"/>
    </w:pPr>
    <w:rPr>
      <w:rFonts w:ascii="ITC Avant Garde" w:eastAsia="Times New Roman" w:hAnsi="ITC Avant Garde" w:cstheme="minorBidi"/>
      <w:color w:val="000000"/>
      <w:lang w:val="es-ES_tradnl" w:eastAsia="es-ES"/>
    </w:rPr>
  </w:style>
  <w:style w:type="character" w:customStyle="1" w:styleId="TextonotapieCar1">
    <w:name w:val="Texto nota pie Car1"/>
    <w:basedOn w:val="Fuentedeprrafopredeter"/>
    <w:uiPriority w:val="99"/>
    <w:semiHidden/>
    <w:rsid w:val="00FA2C42"/>
    <w:rPr>
      <w:rFonts w:ascii="Calibri" w:hAnsi="Calibri" w:cs="Times New Roman"/>
      <w:sz w:val="20"/>
      <w:szCs w:val="20"/>
      <w:lang w:eastAsia="es-MX"/>
    </w:rPr>
  </w:style>
  <w:style w:type="paragraph" w:customStyle="1" w:styleId="Tablecells">
    <w:name w:val="Table: cells"/>
    <w:qFormat/>
    <w:rsid w:val="00FA2C42"/>
    <w:pPr>
      <w:spacing w:before="40" w:after="40" w:line="240" w:lineRule="exact"/>
      <w:ind w:right="113"/>
    </w:pPr>
    <w:rPr>
      <w:rFonts w:ascii="Arial" w:hAnsi="Arial"/>
      <w:sz w:val="18"/>
      <w:lang w:val="en-GB"/>
    </w:rPr>
  </w:style>
  <w:style w:type="table" w:customStyle="1" w:styleId="Tabladecuadrcula2-nfasis61">
    <w:name w:val="Tabla de cuadrícula 2 - Énfasis 61"/>
    <w:basedOn w:val="Tablanormal"/>
    <w:next w:val="Tabladecuadrcula2-nfasis6"/>
    <w:uiPriority w:val="47"/>
    <w:rsid w:val="00FA2C42"/>
    <w:pPr>
      <w:spacing w:after="0" w:line="240" w:lineRule="auto"/>
    </w:pPr>
    <w:tblPr>
      <w:tblStyleRowBandSize w:val="1"/>
      <w:tblStyleColBandSize w:val="1"/>
      <w:tblBorders>
        <w:top w:val="single" w:sz="2" w:space="0" w:color="FABF8F"/>
        <w:bottom w:val="single" w:sz="2" w:space="0" w:color="FABF8F"/>
        <w:insideH w:val="single" w:sz="2" w:space="0" w:color="FABF8F"/>
        <w:insideV w:val="single" w:sz="2" w:space="0" w:color="FABF8F"/>
      </w:tblBorders>
    </w:tblPr>
    <w:tblStylePr w:type="firstRow">
      <w:rPr>
        <w:b/>
        <w:bCs/>
      </w:rPr>
      <w:tblPr/>
      <w:tcPr>
        <w:tcBorders>
          <w:top w:val="nil"/>
          <w:bottom w:val="single" w:sz="12" w:space="0" w:color="FABF8F"/>
          <w:insideH w:val="nil"/>
          <w:insideV w:val="nil"/>
        </w:tcBorders>
        <w:shd w:val="clear" w:color="auto" w:fill="FFFFFF"/>
      </w:tcPr>
    </w:tblStylePr>
    <w:tblStylePr w:type="lastRow">
      <w:rPr>
        <w:b/>
        <w:bCs/>
      </w:rPr>
      <w:tblPr/>
      <w:tcPr>
        <w:tcBorders>
          <w:top w:val="double" w:sz="2" w:space="0" w:color="FABF8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2-nfasis31">
    <w:name w:val="Tabla de cuadrícula 2 - Énfasis 31"/>
    <w:basedOn w:val="Tablanormal"/>
    <w:next w:val="Tabladecuadrcula2-nfasis3"/>
    <w:uiPriority w:val="47"/>
    <w:rsid w:val="00FA2C42"/>
    <w:pPr>
      <w:spacing w:after="0" w:line="240" w:lineRule="auto"/>
    </w:pPr>
    <w:rPr>
      <w:rFonts w:ascii="Arial" w:eastAsia="Calibri" w:hAnsi="Arial" w:cs="Arial"/>
      <w:sz w:val="24"/>
      <w:szCs w:val="24"/>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heading">
    <w:name w:val="Table: heading"/>
    <w:basedOn w:val="Tablecells"/>
    <w:next w:val="Tablecells"/>
    <w:qFormat/>
    <w:rsid w:val="00FA2C42"/>
    <w:pPr>
      <w:keepNext/>
    </w:pPr>
    <w:rPr>
      <w:b/>
      <w:color w:val="FFFFFF"/>
    </w:rPr>
  </w:style>
  <w:style w:type="table" w:customStyle="1" w:styleId="Tabladecuadrcula7concolores-nfasis61">
    <w:name w:val="Tabla de cuadrícula 7 con colores - Énfasis 61"/>
    <w:basedOn w:val="Tablanormal"/>
    <w:next w:val="Tabladecuadrcula7concolores-nfasis6"/>
    <w:uiPriority w:val="52"/>
    <w:rsid w:val="00FA2C42"/>
    <w:pPr>
      <w:spacing w:after="0" w:line="240" w:lineRule="auto"/>
    </w:pPr>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9D9"/>
      </w:tcPr>
    </w:tblStylePr>
    <w:tblStylePr w:type="band1Horz">
      <w:tblPr/>
      <w:tcPr>
        <w:shd w:val="clear" w:color="auto" w:fill="FDE9D9"/>
      </w:tcPr>
    </w:tblStylePr>
    <w:tblStylePr w:type="neCell">
      <w:tblPr/>
      <w:tcPr>
        <w:tcBorders>
          <w:bottom w:val="single" w:sz="4" w:space="0" w:color="FABF8F"/>
        </w:tcBorders>
      </w:tcPr>
    </w:tblStylePr>
    <w:tblStylePr w:type="nwCell">
      <w:tblPr/>
      <w:tcPr>
        <w:tcBorders>
          <w:bottom w:val="single" w:sz="4" w:space="0" w:color="FABF8F"/>
        </w:tcBorders>
      </w:tcPr>
    </w:tblStylePr>
    <w:tblStylePr w:type="seCell">
      <w:tblPr/>
      <w:tcPr>
        <w:tcBorders>
          <w:top w:val="single" w:sz="4" w:space="0" w:color="FABF8F"/>
        </w:tcBorders>
      </w:tcPr>
    </w:tblStylePr>
    <w:tblStylePr w:type="swCell">
      <w:tblPr/>
      <w:tcPr>
        <w:tcBorders>
          <w:top w:val="single" w:sz="4" w:space="0" w:color="FABF8F"/>
        </w:tcBorders>
      </w:tcPr>
    </w:tblStylePr>
  </w:style>
  <w:style w:type="table" w:customStyle="1" w:styleId="Tabladecuadrcula7concolores-nfasis31">
    <w:name w:val="Tabla de cuadrícula 7 con colores - Énfasis 31"/>
    <w:basedOn w:val="Tablanormal"/>
    <w:next w:val="Tabladecuadrcula7concolores-nfasis3"/>
    <w:uiPriority w:val="52"/>
    <w:rsid w:val="00FA2C42"/>
    <w:pPr>
      <w:spacing w:after="0" w:line="240" w:lineRule="auto"/>
    </w:pPr>
    <w:rPr>
      <w:rFonts w:ascii="Arial" w:eastAsia="Calibri" w:hAnsi="Arial" w:cs="Arial"/>
      <w:color w:val="76923C"/>
      <w:sz w:val="24"/>
      <w:szCs w:val="24"/>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cuadrcula4-nfasis31">
    <w:name w:val="Tabla de cuadrícula 4 - Énfasis 31"/>
    <w:basedOn w:val="Tablanormal"/>
    <w:next w:val="Tabladecuadrcula4-nfasis3"/>
    <w:uiPriority w:val="49"/>
    <w:rsid w:val="00FA2C42"/>
    <w:pPr>
      <w:spacing w:after="0" w:line="240" w:lineRule="auto"/>
    </w:pPr>
    <w:rPr>
      <w:rFonts w:ascii="Arial" w:eastAsia="Calibri" w:hAnsi="Arial" w:cs="Arial"/>
      <w:sz w:val="24"/>
      <w:szCs w:val="24"/>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ableTextLeft">
    <w:name w:val="~TableTextLeft"/>
    <w:basedOn w:val="Normal"/>
    <w:qFormat/>
    <w:rsid w:val="00FA2C42"/>
    <w:pPr>
      <w:spacing w:before="40" w:after="40" w:line="240" w:lineRule="auto"/>
    </w:pPr>
    <w:rPr>
      <w:rFonts w:cs="Arial"/>
      <w:color w:val="000000"/>
      <w:sz w:val="20"/>
      <w:lang w:val="es-ES_tradnl"/>
    </w:rPr>
  </w:style>
  <w:style w:type="paragraph" w:customStyle="1" w:styleId="TableHeadingLeft">
    <w:name w:val="~TableHeadingLeft"/>
    <w:basedOn w:val="TableTextLeft"/>
    <w:qFormat/>
    <w:rsid w:val="00FA2C42"/>
    <w:rPr>
      <w:b/>
      <w:bCs/>
      <w:color w:val="9BBB59"/>
    </w:rPr>
  </w:style>
  <w:style w:type="paragraph" w:customStyle="1" w:styleId="TableHeadingRight">
    <w:name w:val="~TableHeadingRight"/>
    <w:basedOn w:val="TableHeadingLeft"/>
    <w:qFormat/>
    <w:rsid w:val="00FA2C42"/>
    <w:pPr>
      <w:jc w:val="right"/>
    </w:pPr>
  </w:style>
  <w:style w:type="paragraph" w:customStyle="1" w:styleId="TableTextRight">
    <w:name w:val="~TableTextRight"/>
    <w:basedOn w:val="TableTextLeft"/>
    <w:qFormat/>
    <w:rsid w:val="00FA2C42"/>
    <w:pPr>
      <w:jc w:val="right"/>
    </w:pPr>
  </w:style>
  <w:style w:type="table" w:customStyle="1" w:styleId="Frontier">
    <w:name w:val="~Frontier"/>
    <w:basedOn w:val="Tablanormal"/>
    <w:uiPriority w:val="99"/>
    <w:rsid w:val="00FA2C42"/>
    <w:pPr>
      <w:spacing w:after="0" w:line="240" w:lineRule="auto"/>
    </w:pPr>
    <w:rPr>
      <w:rFonts w:cs="Arial"/>
      <w:color w:val="000000"/>
      <w:lang w:val="en-GB"/>
    </w:rPr>
    <w:tblPr>
      <w:tblStyleRowBandSize w:val="1"/>
      <w:tblBorders>
        <w:top w:val="single" w:sz="2" w:space="0" w:color="9BBB59"/>
        <w:bottom w:val="single" w:sz="2" w:space="0" w:color="9BBB59"/>
        <w:insideH w:val="single" w:sz="2" w:space="0" w:color="EEECE1"/>
      </w:tblBorders>
    </w:tblPr>
    <w:trPr>
      <w:cantSplit/>
    </w:trPr>
    <w:tblStylePr w:type="firstRow">
      <w:tblPr/>
      <w:tcPr>
        <w:tcBorders>
          <w:top w:val="single" w:sz="2" w:space="0" w:color="9BBB59"/>
          <w:left w:val="nil"/>
          <w:bottom w:val="single" w:sz="2" w:space="0" w:color="9BBB59"/>
          <w:right w:val="nil"/>
          <w:insideH w:val="nil"/>
          <w:insideV w:val="nil"/>
          <w:tl2br w:val="nil"/>
          <w:tr2bl w:val="nil"/>
        </w:tcBorders>
      </w:tcPr>
    </w:tblStylePr>
    <w:tblStylePr w:type="lastRow">
      <w:rPr>
        <w:b/>
        <w:i w:val="0"/>
        <w:color w:val="9BBB59"/>
      </w:rPr>
      <w:tblPr/>
      <w:tcPr>
        <w:tcBorders>
          <w:top w:val="single" w:sz="2" w:space="0" w:color="9BBB59"/>
          <w:left w:val="nil"/>
          <w:bottom w:val="single" w:sz="2" w:space="0" w:color="9BBB59"/>
          <w:right w:val="nil"/>
          <w:insideH w:val="nil"/>
          <w:insideV w:val="nil"/>
          <w:tl2br w:val="nil"/>
          <w:tr2bl w:val="nil"/>
        </w:tcBorders>
      </w:tcPr>
    </w:tblStylePr>
    <w:tblStylePr w:type="band1Horz">
      <w:tblPr/>
      <w:tcPr>
        <w:shd w:val="clear" w:color="auto" w:fill="F2F2F2"/>
      </w:tcPr>
    </w:tblStylePr>
  </w:style>
  <w:style w:type="paragraph" w:customStyle="1" w:styleId="Source">
    <w:name w:val="~Source"/>
    <w:basedOn w:val="Normal"/>
    <w:next w:val="Normal"/>
    <w:uiPriority w:val="2"/>
    <w:qFormat/>
    <w:rsid w:val="00FA2C42"/>
    <w:pPr>
      <w:tabs>
        <w:tab w:val="left" w:pos="709"/>
      </w:tabs>
      <w:spacing w:before="60" w:after="60" w:line="240" w:lineRule="auto"/>
      <w:ind w:left="709" w:hanging="709"/>
    </w:pPr>
    <w:rPr>
      <w:rFonts w:cs="Arial"/>
      <w:i/>
      <w:color w:val="000000"/>
      <w:sz w:val="16"/>
      <w:lang w:val="es-ES_tradnl"/>
    </w:rPr>
  </w:style>
  <w:style w:type="table" w:customStyle="1" w:styleId="Tabladecuadrcula4-nfasis61">
    <w:name w:val="Tabla de cuadrícula 4 - Énfasis 61"/>
    <w:basedOn w:val="Tablanormal"/>
    <w:next w:val="Tabladecuadrcula4-nfasis6"/>
    <w:uiPriority w:val="49"/>
    <w:rsid w:val="00FA2C42"/>
    <w:pPr>
      <w:spacing w:after="0" w:line="240" w:lineRule="auto"/>
    </w:p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ListBullet1">
    <w:name w:val="~ListBullet1"/>
    <w:basedOn w:val="Normal"/>
    <w:uiPriority w:val="3"/>
    <w:qFormat/>
    <w:rsid w:val="00FA2C42"/>
    <w:pPr>
      <w:numPr>
        <w:numId w:val="37"/>
      </w:numPr>
      <w:spacing w:before="60" w:after="60" w:line="264" w:lineRule="auto"/>
      <w:jc w:val="both"/>
    </w:pPr>
    <w:rPr>
      <w:rFonts w:cs="Arial"/>
      <w:color w:val="000000"/>
      <w:lang w:val="es-ES_tradnl"/>
    </w:rPr>
  </w:style>
  <w:style w:type="paragraph" w:customStyle="1" w:styleId="ListBullet2">
    <w:name w:val="~ListBullet2"/>
    <w:basedOn w:val="ListBullet1"/>
    <w:uiPriority w:val="3"/>
    <w:qFormat/>
    <w:rsid w:val="00FA2C42"/>
    <w:pPr>
      <w:numPr>
        <w:ilvl w:val="1"/>
      </w:numPr>
    </w:pPr>
  </w:style>
  <w:style w:type="paragraph" w:customStyle="1" w:styleId="ListBullet3">
    <w:name w:val="~ListBullet3"/>
    <w:basedOn w:val="ListBullet2"/>
    <w:uiPriority w:val="3"/>
    <w:qFormat/>
    <w:rsid w:val="00FA2C42"/>
    <w:pPr>
      <w:numPr>
        <w:ilvl w:val="2"/>
      </w:numPr>
      <w:tabs>
        <w:tab w:val="clear" w:pos="1021"/>
      </w:tabs>
      <w:ind w:left="2160" w:hanging="360"/>
    </w:pPr>
  </w:style>
  <w:style w:type="table" w:styleId="Tabladecuadrcula2-nfasis6">
    <w:name w:val="Grid Table 2 Accent 6"/>
    <w:basedOn w:val="Tablanormal"/>
    <w:uiPriority w:val="47"/>
    <w:rsid w:val="00FA2C4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2-nfasis3">
    <w:name w:val="Grid Table 2 Accent 3"/>
    <w:basedOn w:val="Tablanormal"/>
    <w:uiPriority w:val="47"/>
    <w:rsid w:val="00FA2C4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7concolores-nfasis6">
    <w:name w:val="Grid Table 7 Colorful Accent 6"/>
    <w:basedOn w:val="Tablanormal"/>
    <w:uiPriority w:val="52"/>
    <w:rsid w:val="00FA2C4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7concolores-nfasis3">
    <w:name w:val="Grid Table 7 Colorful Accent 3"/>
    <w:basedOn w:val="Tablanormal"/>
    <w:uiPriority w:val="52"/>
    <w:rsid w:val="00FA2C4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decuadrcula4-nfasis3">
    <w:name w:val="Grid Table 4 Accent 3"/>
    <w:basedOn w:val="Tablanormal"/>
    <w:uiPriority w:val="49"/>
    <w:rsid w:val="00FA2C4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nfasis6">
    <w:name w:val="Grid Table 4 Accent 6"/>
    <w:basedOn w:val="Tablanormal"/>
    <w:uiPriority w:val="49"/>
    <w:rsid w:val="00FA2C4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32">
    <w:name w:val="Tabla de cuadrícula 4 - Énfasis 32"/>
    <w:basedOn w:val="Tablanormal"/>
    <w:next w:val="Tabladecuadrcula4-nfasis3"/>
    <w:uiPriority w:val="49"/>
    <w:rsid w:val="00B600DD"/>
    <w:pPr>
      <w:spacing w:after="0" w:line="240" w:lineRule="auto"/>
    </w:pPr>
    <w:rPr>
      <w:rFonts w:ascii="Arial" w:eastAsia="Calibri" w:hAnsi="Arial" w:cs="Arial"/>
      <w:sz w:val="24"/>
      <w:szCs w:val="24"/>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Frontier1">
    <w:name w:val="~Frontier1"/>
    <w:basedOn w:val="Tablanormal"/>
    <w:uiPriority w:val="99"/>
    <w:rsid w:val="00B600DD"/>
    <w:pPr>
      <w:spacing w:after="0" w:line="240" w:lineRule="auto"/>
    </w:pPr>
    <w:rPr>
      <w:rFonts w:cs="Arial"/>
      <w:color w:val="000000"/>
      <w:lang w:val="en-GB"/>
    </w:rPr>
    <w:tblPr>
      <w:tblStyleRowBandSize w:val="1"/>
      <w:tblBorders>
        <w:top w:val="single" w:sz="2" w:space="0" w:color="9BBB59"/>
        <w:bottom w:val="single" w:sz="2" w:space="0" w:color="9BBB59"/>
        <w:insideH w:val="single" w:sz="2" w:space="0" w:color="EEECE1"/>
      </w:tblBorders>
    </w:tblPr>
    <w:trPr>
      <w:cantSplit/>
    </w:trPr>
    <w:tblStylePr w:type="firstRow">
      <w:tblPr/>
      <w:tcPr>
        <w:tcBorders>
          <w:top w:val="single" w:sz="2" w:space="0" w:color="9BBB59"/>
          <w:left w:val="nil"/>
          <w:bottom w:val="single" w:sz="2" w:space="0" w:color="9BBB59"/>
          <w:right w:val="nil"/>
          <w:insideH w:val="nil"/>
          <w:insideV w:val="nil"/>
          <w:tl2br w:val="nil"/>
          <w:tr2bl w:val="nil"/>
        </w:tcBorders>
      </w:tcPr>
    </w:tblStylePr>
    <w:tblStylePr w:type="lastRow">
      <w:rPr>
        <w:b/>
        <w:i w:val="0"/>
        <w:color w:val="9BBB59"/>
      </w:rPr>
      <w:tblPr/>
      <w:tcPr>
        <w:tcBorders>
          <w:top w:val="single" w:sz="2" w:space="0" w:color="9BBB59"/>
          <w:left w:val="nil"/>
          <w:bottom w:val="single" w:sz="2" w:space="0" w:color="9BBB59"/>
          <w:right w:val="nil"/>
          <w:insideH w:val="nil"/>
          <w:insideV w:val="nil"/>
          <w:tl2br w:val="nil"/>
          <w:tr2bl w:val="nil"/>
        </w:tcBorders>
      </w:tcPr>
    </w:tblStylePr>
    <w:tblStylePr w:type="band1Horz">
      <w:tblPr/>
      <w:tcPr>
        <w:shd w:val="clear" w:color="auto" w:fill="F2F2F2"/>
      </w:tcPr>
    </w:tblStylePr>
  </w:style>
  <w:style w:type="character" w:styleId="Hipervnculovisitado">
    <w:name w:val="FollowedHyperlink"/>
    <w:basedOn w:val="Fuentedeprrafopredeter"/>
    <w:uiPriority w:val="99"/>
    <w:semiHidden/>
    <w:unhideWhenUsed/>
    <w:rsid w:val="007129EC"/>
    <w:rPr>
      <w:color w:val="954F72" w:themeColor="followedHyperlink"/>
      <w:u w:val="single"/>
    </w:rPr>
  </w:style>
  <w:style w:type="paragraph" w:styleId="NormalWeb">
    <w:name w:val="Normal (Web)"/>
    <w:basedOn w:val="Normal"/>
    <w:uiPriority w:val="99"/>
    <w:semiHidden/>
    <w:unhideWhenUsed/>
    <w:rsid w:val="009651CC"/>
    <w:pPr>
      <w:spacing w:before="100" w:beforeAutospacing="1" w:after="100" w:afterAutospacing="1" w:line="240" w:lineRule="auto"/>
    </w:pPr>
    <w:rPr>
      <w:rFonts w:ascii="Times New Roman" w:eastAsia="Times New Roman" w:hAnsi="Times New Roman"/>
      <w:sz w:val="24"/>
      <w:szCs w:val="24"/>
      <w:lang w:val="es-MX" w:eastAsia="es-MX"/>
    </w:rPr>
  </w:style>
  <w:style w:type="table" w:styleId="Tabladecuadrcula4">
    <w:name w:val="Grid Table 4"/>
    <w:basedOn w:val="Tablanormal"/>
    <w:uiPriority w:val="49"/>
    <w:rsid w:val="009651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tulo3Car">
    <w:name w:val="Título 3 Car"/>
    <w:basedOn w:val="Fuentedeprrafopredeter"/>
    <w:link w:val="Ttulo3"/>
    <w:uiPriority w:val="9"/>
    <w:semiHidden/>
    <w:rsid w:val="007C1E57"/>
    <w:rPr>
      <w:rFonts w:asciiTheme="majorHAnsi" w:eastAsiaTheme="majorEastAsia" w:hAnsiTheme="majorHAnsi" w:cstheme="majorBidi"/>
      <w:color w:val="1F4D78"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127">
      <w:bodyDiv w:val="1"/>
      <w:marLeft w:val="0"/>
      <w:marRight w:val="0"/>
      <w:marTop w:val="0"/>
      <w:marBottom w:val="0"/>
      <w:divBdr>
        <w:top w:val="none" w:sz="0" w:space="0" w:color="auto"/>
        <w:left w:val="none" w:sz="0" w:space="0" w:color="auto"/>
        <w:bottom w:val="none" w:sz="0" w:space="0" w:color="auto"/>
        <w:right w:val="none" w:sz="0" w:space="0" w:color="auto"/>
      </w:divBdr>
    </w:div>
    <w:div w:id="205339924">
      <w:bodyDiv w:val="1"/>
      <w:marLeft w:val="0"/>
      <w:marRight w:val="0"/>
      <w:marTop w:val="0"/>
      <w:marBottom w:val="0"/>
      <w:divBdr>
        <w:top w:val="none" w:sz="0" w:space="0" w:color="auto"/>
        <w:left w:val="none" w:sz="0" w:space="0" w:color="auto"/>
        <w:bottom w:val="none" w:sz="0" w:space="0" w:color="auto"/>
        <w:right w:val="none" w:sz="0" w:space="0" w:color="auto"/>
      </w:divBdr>
    </w:div>
    <w:div w:id="262808400">
      <w:bodyDiv w:val="1"/>
      <w:marLeft w:val="0"/>
      <w:marRight w:val="0"/>
      <w:marTop w:val="0"/>
      <w:marBottom w:val="0"/>
      <w:divBdr>
        <w:top w:val="none" w:sz="0" w:space="0" w:color="auto"/>
        <w:left w:val="none" w:sz="0" w:space="0" w:color="auto"/>
        <w:bottom w:val="none" w:sz="0" w:space="0" w:color="auto"/>
        <w:right w:val="none" w:sz="0" w:space="0" w:color="auto"/>
      </w:divBdr>
    </w:div>
    <w:div w:id="628434757">
      <w:bodyDiv w:val="1"/>
      <w:marLeft w:val="0"/>
      <w:marRight w:val="0"/>
      <w:marTop w:val="0"/>
      <w:marBottom w:val="0"/>
      <w:divBdr>
        <w:top w:val="none" w:sz="0" w:space="0" w:color="auto"/>
        <w:left w:val="none" w:sz="0" w:space="0" w:color="auto"/>
        <w:bottom w:val="none" w:sz="0" w:space="0" w:color="auto"/>
        <w:right w:val="none" w:sz="0" w:space="0" w:color="auto"/>
      </w:divBdr>
    </w:div>
    <w:div w:id="661353651">
      <w:bodyDiv w:val="1"/>
      <w:marLeft w:val="0"/>
      <w:marRight w:val="0"/>
      <w:marTop w:val="0"/>
      <w:marBottom w:val="0"/>
      <w:divBdr>
        <w:top w:val="none" w:sz="0" w:space="0" w:color="auto"/>
        <w:left w:val="none" w:sz="0" w:space="0" w:color="auto"/>
        <w:bottom w:val="none" w:sz="0" w:space="0" w:color="auto"/>
        <w:right w:val="none" w:sz="0" w:space="0" w:color="auto"/>
      </w:divBdr>
    </w:div>
    <w:div w:id="751853321">
      <w:bodyDiv w:val="1"/>
      <w:marLeft w:val="0"/>
      <w:marRight w:val="0"/>
      <w:marTop w:val="0"/>
      <w:marBottom w:val="0"/>
      <w:divBdr>
        <w:top w:val="none" w:sz="0" w:space="0" w:color="auto"/>
        <w:left w:val="none" w:sz="0" w:space="0" w:color="auto"/>
        <w:bottom w:val="none" w:sz="0" w:space="0" w:color="auto"/>
        <w:right w:val="none" w:sz="0" w:space="0" w:color="auto"/>
      </w:divBdr>
    </w:div>
    <w:div w:id="1085301026">
      <w:bodyDiv w:val="1"/>
      <w:marLeft w:val="0"/>
      <w:marRight w:val="0"/>
      <w:marTop w:val="0"/>
      <w:marBottom w:val="0"/>
      <w:divBdr>
        <w:top w:val="none" w:sz="0" w:space="0" w:color="auto"/>
        <w:left w:val="none" w:sz="0" w:space="0" w:color="auto"/>
        <w:bottom w:val="none" w:sz="0" w:space="0" w:color="auto"/>
        <w:right w:val="none" w:sz="0" w:space="0" w:color="auto"/>
      </w:divBdr>
    </w:div>
    <w:div w:id="1160997420">
      <w:bodyDiv w:val="1"/>
      <w:marLeft w:val="0"/>
      <w:marRight w:val="0"/>
      <w:marTop w:val="0"/>
      <w:marBottom w:val="0"/>
      <w:divBdr>
        <w:top w:val="none" w:sz="0" w:space="0" w:color="auto"/>
        <w:left w:val="none" w:sz="0" w:space="0" w:color="auto"/>
        <w:bottom w:val="none" w:sz="0" w:space="0" w:color="auto"/>
        <w:right w:val="none" w:sz="0" w:space="0" w:color="auto"/>
      </w:divBdr>
    </w:div>
    <w:div w:id="1355494300">
      <w:bodyDiv w:val="1"/>
      <w:marLeft w:val="0"/>
      <w:marRight w:val="0"/>
      <w:marTop w:val="0"/>
      <w:marBottom w:val="0"/>
      <w:divBdr>
        <w:top w:val="none" w:sz="0" w:space="0" w:color="auto"/>
        <w:left w:val="none" w:sz="0" w:space="0" w:color="auto"/>
        <w:bottom w:val="none" w:sz="0" w:space="0" w:color="auto"/>
        <w:right w:val="none" w:sz="0" w:space="0" w:color="auto"/>
      </w:divBdr>
    </w:div>
    <w:div w:id="1504121419">
      <w:bodyDiv w:val="1"/>
      <w:marLeft w:val="0"/>
      <w:marRight w:val="0"/>
      <w:marTop w:val="0"/>
      <w:marBottom w:val="0"/>
      <w:divBdr>
        <w:top w:val="none" w:sz="0" w:space="0" w:color="auto"/>
        <w:left w:val="none" w:sz="0" w:space="0" w:color="auto"/>
        <w:bottom w:val="none" w:sz="0" w:space="0" w:color="auto"/>
        <w:right w:val="none" w:sz="0" w:space="0" w:color="auto"/>
      </w:divBdr>
    </w:div>
    <w:div w:id="1555315458">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605115845">
      <w:bodyDiv w:val="1"/>
      <w:marLeft w:val="0"/>
      <w:marRight w:val="0"/>
      <w:marTop w:val="0"/>
      <w:marBottom w:val="0"/>
      <w:divBdr>
        <w:top w:val="none" w:sz="0" w:space="0" w:color="auto"/>
        <w:left w:val="none" w:sz="0" w:space="0" w:color="auto"/>
        <w:bottom w:val="none" w:sz="0" w:space="0" w:color="auto"/>
        <w:right w:val="none" w:sz="0" w:space="0" w:color="auto"/>
      </w:divBdr>
    </w:div>
    <w:div w:id="1815098207">
      <w:bodyDiv w:val="1"/>
      <w:marLeft w:val="0"/>
      <w:marRight w:val="0"/>
      <w:marTop w:val="0"/>
      <w:marBottom w:val="0"/>
      <w:divBdr>
        <w:top w:val="none" w:sz="0" w:space="0" w:color="auto"/>
        <w:left w:val="none" w:sz="0" w:space="0" w:color="auto"/>
        <w:bottom w:val="none" w:sz="0" w:space="0" w:color="auto"/>
        <w:right w:val="none" w:sz="0" w:space="0" w:color="auto"/>
      </w:divBdr>
    </w:div>
    <w:div w:id="1855537405">
      <w:bodyDiv w:val="1"/>
      <w:marLeft w:val="0"/>
      <w:marRight w:val="0"/>
      <w:marTop w:val="0"/>
      <w:marBottom w:val="0"/>
      <w:divBdr>
        <w:top w:val="none" w:sz="0" w:space="0" w:color="auto"/>
        <w:left w:val="none" w:sz="0" w:space="0" w:color="auto"/>
        <w:bottom w:val="none" w:sz="0" w:space="0" w:color="auto"/>
        <w:right w:val="none" w:sz="0" w:space="0" w:color="auto"/>
      </w:divBdr>
    </w:div>
    <w:div w:id="1875190922">
      <w:bodyDiv w:val="1"/>
      <w:marLeft w:val="0"/>
      <w:marRight w:val="0"/>
      <w:marTop w:val="0"/>
      <w:marBottom w:val="0"/>
      <w:divBdr>
        <w:top w:val="none" w:sz="0" w:space="0" w:color="auto"/>
        <w:left w:val="none" w:sz="0" w:space="0" w:color="auto"/>
        <w:bottom w:val="none" w:sz="0" w:space="0" w:color="auto"/>
        <w:right w:val="none" w:sz="0" w:space="0" w:color="auto"/>
      </w:divBdr>
    </w:div>
    <w:div w:id="1916039749">
      <w:bodyDiv w:val="1"/>
      <w:marLeft w:val="0"/>
      <w:marRight w:val="0"/>
      <w:marTop w:val="0"/>
      <w:marBottom w:val="0"/>
      <w:divBdr>
        <w:top w:val="none" w:sz="0" w:space="0" w:color="auto"/>
        <w:left w:val="none" w:sz="0" w:space="0" w:color="auto"/>
        <w:bottom w:val="none" w:sz="0" w:space="0" w:color="auto"/>
        <w:right w:val="none" w:sz="0" w:space="0" w:color="auto"/>
      </w:divBdr>
    </w:div>
    <w:div w:id="1935361963">
      <w:bodyDiv w:val="1"/>
      <w:marLeft w:val="0"/>
      <w:marRight w:val="0"/>
      <w:marTop w:val="0"/>
      <w:marBottom w:val="0"/>
      <w:divBdr>
        <w:top w:val="none" w:sz="0" w:space="0" w:color="auto"/>
        <w:left w:val="none" w:sz="0" w:space="0" w:color="auto"/>
        <w:bottom w:val="none" w:sz="0" w:space="0" w:color="auto"/>
        <w:right w:val="none" w:sz="0" w:space="0" w:color="auto"/>
      </w:divBdr>
    </w:div>
    <w:div w:id="20415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nmc.es/file/170783/download" TargetMode="External"/><Relationship Id="rId2" Type="http://schemas.openxmlformats.org/officeDocument/2006/relationships/hyperlink" Target="https://www.ofcom.org.uk/__data/assets/pdf_file/0028/42697/statement.pdf" TargetMode="External"/><Relationship Id="rId1" Type="http://schemas.openxmlformats.org/officeDocument/2006/relationships/hyperlink" Target="https://bit.ift.org.mx/BitWebApp/" TargetMode="External"/><Relationship Id="rId4" Type="http://schemas.openxmlformats.org/officeDocument/2006/relationships/hyperlink" Target="https://www.agcom.it/documentazione/documento?p_p_auth=fLw7zRht&amp;p_p_id=101_INSTANCE_FnOw5lVOIXoE&amp;p_p_lifecycle=0&amp;p_p_col_id=column-1&amp;p_p_col_count=1&amp;_101_INSTANCE_FnOw5lVOIXoE_struts_action=%2Fasset_publisher%2Fview_content&amp;_101_INSTANCE_FnOw5lVOIXoE_assetEntryId=16028737&amp;_101_INSTANCE_FnOw5lVOIXoE_type=docu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D:\Users\anaid.limon\Desktop\BIT%202T%2020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anaid.limon\Desktop\BIT%202T%2020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1,619 municipios cuentan con al menos un acceso para servicios fijos de internet</a:t>
            </a:r>
            <a:endParaRPr lang="es-MX"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barChart>
        <c:barDir val="col"/>
        <c:grouping val="clustered"/>
        <c:varyColors val="0"/>
        <c:ser>
          <c:idx val="0"/>
          <c:order val="0"/>
          <c:tx>
            <c:strRef>
              <c:f>'Gráficas y Tablas '!$D$77</c:f>
              <c:strCache>
                <c:ptCount val="1"/>
                <c:pt idx="0">
                  <c:v>Número de Municipios </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'Gráficas y Tablas '!$C$78:$C$84</c:f>
              <c:strCache>
                <c:ptCount val="7"/>
                <c:pt idx="0">
                  <c:v>Sin Penetración</c:v>
                </c:pt>
                <c:pt idx="1">
                  <c:v>1 - 5 
accesos</c:v>
                </c:pt>
                <c:pt idx="2">
                  <c:v>6 - 100 
accesos</c:v>
                </c:pt>
                <c:pt idx="3">
                  <c:v>101 - 300 accesos</c:v>
                </c:pt>
                <c:pt idx="4">
                  <c:v>301 - 1,000 accesos</c:v>
                </c:pt>
                <c:pt idx="5">
                  <c:v>1,001 - 3,500 accesos</c:v>
                </c:pt>
                <c:pt idx="6">
                  <c:v>Más de 3,500 accesos</c:v>
                </c:pt>
              </c:strCache>
            </c:strRef>
          </c:cat>
          <c:val>
            <c:numRef>
              <c:f>'Gráficas y Tablas '!$D$78:$D$84</c:f>
              <c:numCache>
                <c:formatCode>General</c:formatCode>
                <c:ptCount val="7"/>
                <c:pt idx="0">
                  <c:v>838</c:v>
                </c:pt>
                <c:pt idx="1">
                  <c:v>61</c:v>
                </c:pt>
                <c:pt idx="2">
                  <c:v>130</c:v>
                </c:pt>
                <c:pt idx="3">
                  <c:v>224</c:v>
                </c:pt>
                <c:pt idx="4">
                  <c:v>380</c:v>
                </c:pt>
                <c:pt idx="5">
                  <c:v>378</c:v>
                </c:pt>
                <c:pt idx="6">
                  <c:v>446</c:v>
                </c:pt>
              </c:numCache>
            </c:numRef>
          </c:val>
          <c:extLst>
            <c:ext xmlns:c16="http://schemas.microsoft.com/office/drawing/2014/chart" uri="{C3380CC4-5D6E-409C-BE32-E72D297353CC}">
              <c16:uniqueId val="{00000000-4C6F-49DD-874E-1EAF3E27CE07}"/>
            </c:ext>
          </c:extLst>
        </c:ser>
        <c:dLbls>
          <c:showLegendKey val="0"/>
          <c:showVal val="0"/>
          <c:showCatName val="0"/>
          <c:showSerName val="0"/>
          <c:showPercent val="0"/>
          <c:showBubbleSize val="0"/>
        </c:dLbls>
        <c:gapWidth val="75"/>
        <c:overlap val="-27"/>
        <c:axId val="1988926607"/>
        <c:axId val="1988921615"/>
      </c:barChart>
      <c:catAx>
        <c:axId val="1988926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988921615"/>
        <c:crosses val="autoZero"/>
        <c:auto val="1"/>
        <c:lblAlgn val="ctr"/>
        <c:lblOffset val="100"/>
        <c:noMultiLvlLbl val="0"/>
      </c:catAx>
      <c:valAx>
        <c:axId val="1988921615"/>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MX" sz="1000"/>
                  <a:t>Número de municipios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crossAx val="19889266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19277426560629643"/>
          <c:w val="0.93888888888888888"/>
          <c:h val="0.62595720841965696"/>
        </c:manualLayout>
      </c:layout>
      <c:barChart>
        <c:barDir val="col"/>
        <c:grouping val="clustered"/>
        <c:varyColors val="0"/>
        <c:ser>
          <c:idx val="0"/>
          <c:order val="0"/>
          <c:tx>
            <c:strRef>
              <c:f>'Gráficas y Tablas '!$E$130</c:f>
              <c:strCache>
                <c:ptCount val="1"/>
                <c:pt idx="0">
                  <c:v>Municipios con 1 operador</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'Gráficas y Tablas '!$D$131:$D$136</c:f>
              <c:strCache>
                <c:ptCount val="6"/>
                <c:pt idx="0">
                  <c:v>1 - 5 
accesos</c:v>
                </c:pt>
                <c:pt idx="1">
                  <c:v>6 - 100 
accesos</c:v>
                </c:pt>
                <c:pt idx="2">
                  <c:v>101 - 300
accesos</c:v>
                </c:pt>
                <c:pt idx="3">
                  <c:v>301 - 1,000
accesos</c:v>
                </c:pt>
                <c:pt idx="4">
                  <c:v>1,001 - 3,500
accesos</c:v>
                </c:pt>
                <c:pt idx="5">
                  <c:v>Más de 3,500
accesos</c:v>
                </c:pt>
              </c:strCache>
            </c:strRef>
          </c:cat>
          <c:val>
            <c:numRef>
              <c:f>'Gráficas y Tablas '!$E$131:$E$136</c:f>
              <c:numCache>
                <c:formatCode>General</c:formatCode>
                <c:ptCount val="6"/>
                <c:pt idx="0">
                  <c:v>60</c:v>
                </c:pt>
                <c:pt idx="1">
                  <c:v>125</c:v>
                </c:pt>
                <c:pt idx="2">
                  <c:v>204</c:v>
                </c:pt>
                <c:pt idx="3">
                  <c:v>334</c:v>
                </c:pt>
                <c:pt idx="4">
                  <c:v>225</c:v>
                </c:pt>
                <c:pt idx="5">
                  <c:v>46</c:v>
                </c:pt>
              </c:numCache>
            </c:numRef>
          </c:val>
          <c:extLst>
            <c:ext xmlns:c16="http://schemas.microsoft.com/office/drawing/2014/chart" uri="{C3380CC4-5D6E-409C-BE32-E72D297353CC}">
              <c16:uniqueId val="{00000000-0E5B-4022-A412-49FF30EF315D}"/>
            </c:ext>
          </c:extLst>
        </c:ser>
        <c:ser>
          <c:idx val="1"/>
          <c:order val="1"/>
          <c:tx>
            <c:strRef>
              <c:f>'Gráficas y Tablas '!$F$130</c:f>
              <c:strCache>
                <c:ptCount val="1"/>
                <c:pt idx="0">
                  <c:v>Municipios con 2 operadores</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'Gráficas y Tablas '!$D$131:$D$136</c:f>
              <c:strCache>
                <c:ptCount val="6"/>
                <c:pt idx="0">
                  <c:v>1 - 5 
accesos</c:v>
                </c:pt>
                <c:pt idx="1">
                  <c:v>6 - 100 
accesos</c:v>
                </c:pt>
                <c:pt idx="2">
                  <c:v>101 - 300
accesos</c:v>
                </c:pt>
                <c:pt idx="3">
                  <c:v>301 - 1,000
accesos</c:v>
                </c:pt>
                <c:pt idx="4">
                  <c:v>1,001 - 3,500
accesos</c:v>
                </c:pt>
                <c:pt idx="5">
                  <c:v>Más de 3,500
accesos</c:v>
                </c:pt>
              </c:strCache>
            </c:strRef>
          </c:cat>
          <c:val>
            <c:numRef>
              <c:f>'Gráficas y Tablas '!$F$131:$F$136</c:f>
              <c:numCache>
                <c:formatCode>General</c:formatCode>
                <c:ptCount val="6"/>
                <c:pt idx="0">
                  <c:v>1</c:v>
                </c:pt>
                <c:pt idx="1">
                  <c:v>5</c:v>
                </c:pt>
                <c:pt idx="2">
                  <c:v>20</c:v>
                </c:pt>
                <c:pt idx="3">
                  <c:v>45</c:v>
                </c:pt>
                <c:pt idx="4">
                  <c:v>144</c:v>
                </c:pt>
                <c:pt idx="5">
                  <c:v>133</c:v>
                </c:pt>
              </c:numCache>
            </c:numRef>
          </c:val>
          <c:extLst>
            <c:ext xmlns:c16="http://schemas.microsoft.com/office/drawing/2014/chart" uri="{C3380CC4-5D6E-409C-BE32-E72D297353CC}">
              <c16:uniqueId val="{00000001-0E5B-4022-A412-49FF30EF315D}"/>
            </c:ext>
          </c:extLst>
        </c:ser>
        <c:ser>
          <c:idx val="2"/>
          <c:order val="2"/>
          <c:tx>
            <c:strRef>
              <c:f>'Gráficas y Tablas '!$G$130</c:f>
              <c:strCache>
                <c:ptCount val="1"/>
                <c:pt idx="0">
                  <c:v>Municipios con 3 o más operadores </c:v>
                </c:pt>
              </c:strCache>
            </c:strRef>
          </c:tx>
          <c:spPr>
            <a:solidFill>
              <a:schemeClr val="accent6">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'Gráficas y Tablas '!$D$131:$D$136</c:f>
              <c:strCache>
                <c:ptCount val="6"/>
                <c:pt idx="0">
                  <c:v>1 - 5 
accesos</c:v>
                </c:pt>
                <c:pt idx="1">
                  <c:v>6 - 100 
accesos</c:v>
                </c:pt>
                <c:pt idx="2">
                  <c:v>101 - 300
accesos</c:v>
                </c:pt>
                <c:pt idx="3">
                  <c:v>301 - 1,000
accesos</c:v>
                </c:pt>
                <c:pt idx="4">
                  <c:v>1,001 - 3,500
accesos</c:v>
                </c:pt>
                <c:pt idx="5">
                  <c:v>Más de 3,500
accesos</c:v>
                </c:pt>
              </c:strCache>
            </c:strRef>
          </c:cat>
          <c:val>
            <c:numRef>
              <c:f>'Gráficas y Tablas '!$G$131:$G$136</c:f>
              <c:numCache>
                <c:formatCode>General</c:formatCode>
                <c:ptCount val="6"/>
                <c:pt idx="3">
                  <c:v>1</c:v>
                </c:pt>
                <c:pt idx="4">
                  <c:v>9</c:v>
                </c:pt>
                <c:pt idx="5">
                  <c:v>267</c:v>
                </c:pt>
              </c:numCache>
            </c:numRef>
          </c:val>
          <c:extLst>
            <c:ext xmlns:c16="http://schemas.microsoft.com/office/drawing/2014/chart" uri="{C3380CC4-5D6E-409C-BE32-E72D297353CC}">
              <c16:uniqueId val="{00000002-0E5B-4022-A412-49FF30EF315D}"/>
            </c:ext>
          </c:extLst>
        </c:ser>
        <c:dLbls>
          <c:showLegendKey val="0"/>
          <c:showVal val="0"/>
          <c:showCatName val="0"/>
          <c:showSerName val="0"/>
          <c:showPercent val="0"/>
          <c:showBubbleSize val="0"/>
        </c:dLbls>
        <c:gapWidth val="75"/>
        <c:overlap val="-27"/>
        <c:axId val="1988914959"/>
        <c:axId val="1988923279"/>
      </c:barChart>
      <c:catAx>
        <c:axId val="1988914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crossAx val="1988923279"/>
        <c:crosses val="autoZero"/>
        <c:auto val="1"/>
        <c:lblAlgn val="ctr"/>
        <c:lblOffset val="100"/>
        <c:noMultiLvlLbl val="0"/>
      </c:catAx>
      <c:valAx>
        <c:axId val="1988923279"/>
        <c:scaling>
          <c:orientation val="minMax"/>
        </c:scaling>
        <c:delete val="1"/>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MX"/>
                  <a:t>Cantidad de municipios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numFmt formatCode="General" sourceLinked="1"/>
        <c:majorTickMark val="none"/>
        <c:minorTickMark val="none"/>
        <c:tickLblPos val="nextTo"/>
        <c:crossAx val="1988914959"/>
        <c:crosses val="autoZero"/>
        <c:crossBetween val="between"/>
      </c:valAx>
      <c:spPr>
        <a:noFill/>
        <a:ln>
          <a:noFill/>
        </a:ln>
        <a:effectLst/>
      </c:spPr>
    </c:plotArea>
    <c:legend>
      <c:legendPos val="b"/>
      <c:layout>
        <c:manualLayout>
          <c:xMode val="edge"/>
          <c:yMode val="edge"/>
          <c:x val="0.13776814691017727"/>
          <c:y val="3.8514992216230844E-2"/>
          <c:w val="0.78354193390649662"/>
          <c:h val="0.125268725363484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rial" panose="020B0604020202020204" pitchFamily="34" charset="0"/>
          <a:cs typeface="Arial" panose="020B0604020202020204" pitchFamily="34" charset="0"/>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1" ma:contentTypeDescription="Crear nuevo documento." ma:contentTypeScope="" ma:versionID="10a285d05eabe3576fb8e716121d3e29">
  <xsd:schema xmlns:xsd="http://www.w3.org/2001/XMLSchema" xmlns:xs="http://www.w3.org/2001/XMLSchema" xmlns:p="http://schemas.microsoft.com/office/2006/metadata/properties" xmlns:ns2="http://schemas.microsoft.com/sharepoint/v4" targetNamespace="http://schemas.microsoft.com/office/2006/metadata/properties" ma:root="true" ma:fieldsID="c526553497af1c683f996bc84309ef35"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2375-11F7-4F11-A4F5-1C1E67C4B751}">
  <ds:schemaRefs>
    <ds:schemaRef ds:uri="http://schemas.microsoft.com/sharepoint/v3/contenttype/forms"/>
  </ds:schemaRefs>
</ds:datastoreItem>
</file>

<file path=customXml/itemProps2.xml><?xml version="1.0" encoding="utf-8"?>
<ds:datastoreItem xmlns:ds="http://schemas.openxmlformats.org/officeDocument/2006/customXml" ds:itemID="{243F8FFF-16A8-407B-B11D-3EA3DF7B5643}">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76D678CB-00A6-4FCB-82F1-59A4B7A25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F44F6-A7C3-4728-A8BA-D0A1D7ED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13158</Words>
  <Characters>72370</Characters>
  <Application>Microsoft Office Word</Application>
  <DocSecurity>0</DocSecurity>
  <Lines>603</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Ignacio Reyes Sanchez</dc:creator>
  <cp:keywords/>
  <dc:description/>
  <cp:lastModifiedBy>Anaid Karina Limon Rivera</cp:lastModifiedBy>
  <cp:revision>2</cp:revision>
  <dcterms:created xsi:type="dcterms:W3CDTF">2021-03-12T18:42:00Z</dcterms:created>
  <dcterms:modified xsi:type="dcterms:W3CDTF">2021-03-12T18:42:00Z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