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E83C" w14:textId="77777777" w:rsidR="00091971" w:rsidRPr="00091971" w:rsidRDefault="00091971" w:rsidP="005E0959">
      <w:pPr>
        <w:spacing w:after="0" w:line="276" w:lineRule="auto"/>
        <w:rPr>
          <w:rFonts w:ascii="ITC Avant Garde" w:eastAsiaTheme="minorHAnsi" w:hAnsi="ITC Avant Garde" w:cstheme="minorBidi"/>
          <w:b/>
          <w:color w:val="auto"/>
          <w:sz w:val="24"/>
          <w:szCs w:val="24"/>
          <w:lang w:eastAsia="en-US"/>
        </w:rPr>
      </w:pPr>
      <w:r w:rsidRPr="00091971">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 LAS “</w:t>
      </w:r>
      <w:r w:rsidRPr="00091971">
        <w:rPr>
          <w:rFonts w:ascii="ITC Avant Garde" w:eastAsiaTheme="minorHAnsi" w:hAnsi="ITC Avant Garde" w:cstheme="minorBidi"/>
          <w:b/>
          <w:i/>
          <w:iCs/>
          <w:color w:val="auto"/>
          <w:sz w:val="24"/>
          <w:szCs w:val="24"/>
          <w:lang w:eastAsia="en-US"/>
        </w:rPr>
        <w:t>PROPUESTAS DE OFERTAS DE REFERENCIA DE LOS SERVICIOS MAYORISTAS DE USUARIO VISITANTE; DE REVENTA DE SERVICIOS; DE ACCESO Y USO COMPARTIDO DE INFRAESTRUCTURA PRESENTADOS POR EL AEP EN EL SECTOR DE LAS TELECOMUNICACIONES</w:t>
      </w:r>
      <w:r w:rsidRPr="00091971">
        <w:rPr>
          <w:rFonts w:ascii="ITC Avant Garde" w:eastAsiaTheme="minorHAnsi" w:hAnsi="ITC Avant Garde" w:cstheme="minorBidi"/>
          <w:b/>
          <w:color w:val="auto"/>
          <w:sz w:val="24"/>
          <w:szCs w:val="24"/>
          <w:lang w:eastAsia="en-US"/>
        </w:rPr>
        <w:t>”.</w:t>
      </w:r>
    </w:p>
    <w:p w14:paraId="49502C39" w14:textId="77777777" w:rsidR="00091971" w:rsidRPr="00091971" w:rsidRDefault="00091971" w:rsidP="005E0959">
      <w:pPr>
        <w:spacing w:after="0" w:line="276" w:lineRule="auto"/>
        <w:rPr>
          <w:rFonts w:ascii="ITC Avant Garde" w:eastAsiaTheme="minorHAnsi" w:hAnsi="ITC Avant Garde" w:cstheme="minorBidi"/>
          <w:bCs/>
          <w:color w:val="auto"/>
          <w:sz w:val="24"/>
          <w:szCs w:val="24"/>
          <w:lang w:eastAsia="en-US"/>
        </w:rPr>
      </w:pPr>
    </w:p>
    <w:p w14:paraId="23BD6C29"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hAnsi="ITC Avant Garde" w:cs="ITC Avant Garde"/>
          <w:b/>
        </w:rPr>
        <w:t xml:space="preserve">Fecha de Elaboración del Informe de Consideraciones sobre los comentarios, opiniones y aportaciones recibidos </w:t>
      </w:r>
      <w:proofErr w:type="gramStart"/>
      <w:r w:rsidRPr="00091971">
        <w:rPr>
          <w:rFonts w:ascii="ITC Avant Garde" w:hAnsi="ITC Avant Garde" w:cs="ITC Avant Garde"/>
          <w:b/>
        </w:rPr>
        <w:t>en relación a</w:t>
      </w:r>
      <w:proofErr w:type="gramEnd"/>
      <w:r w:rsidRPr="00091971">
        <w:rPr>
          <w:rFonts w:ascii="ITC Avant Garde" w:hAnsi="ITC Avant Garde" w:cs="ITC Avant Garde"/>
          <w:b/>
        </w:rPr>
        <w:t xml:space="preserve"> la presente Consulta Pública:</w:t>
      </w:r>
      <w:r w:rsidRPr="00091971">
        <w:rPr>
          <w:rFonts w:ascii="ITC Avant Garde" w:eastAsiaTheme="minorHAnsi" w:hAnsi="ITC Avant Garde" w:cstheme="minorBidi"/>
          <w:bCs/>
          <w:color w:val="auto"/>
          <w:lang w:eastAsia="en-US"/>
        </w:rPr>
        <w:t xml:space="preserve"> 10 de diciembre del 2021.</w:t>
      </w:r>
    </w:p>
    <w:p w14:paraId="34EB387D"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EE2D3D9"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Descripción de la Consulta Pública:</w:t>
      </w:r>
    </w:p>
    <w:p w14:paraId="1EE60DC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El Instituto Federal de Telecomunicaciones (en lo sucesivo, “Instituto”) recibió los comentarios, opiniones y aportaciones que se tuvieron con relación al contenido de las “</w:t>
      </w:r>
      <w:r w:rsidRPr="00091971">
        <w:rPr>
          <w:rFonts w:ascii="ITC Avant Garde" w:eastAsiaTheme="minorHAnsi" w:hAnsi="ITC Avant Garde" w:cstheme="minorBidi"/>
          <w:b/>
          <w:i/>
          <w:iCs/>
          <w:color w:val="auto"/>
          <w:lang w:eastAsia="en-US"/>
        </w:rPr>
        <w:t>Propuestas de Ofertas de Referencia para la prestación de los Servicios Mayoristas de Usuario Visitante; de Reventa de Servicios; de Acceso y Uso Compartido de Infraestructura presentadas por el Agente Económico Preponderante en el sector de las telecomunicaciones</w:t>
      </w:r>
      <w:r w:rsidRPr="00091971">
        <w:rPr>
          <w:rFonts w:ascii="ITC Avant Garde" w:eastAsiaTheme="minorHAnsi" w:hAnsi="ITC Avant Garde" w:cstheme="minorBidi"/>
          <w:bCs/>
          <w:color w:val="auto"/>
          <w:lang w:eastAsia="en-US"/>
        </w:rPr>
        <w:t>” (en lo sucesivo, las “Propuestas de Ofertas”) materia de la consulta pública de mérito, recibidas durante el periodo comprendido del 09 de agosto al 07 de septiembre de 2021 a través de la dirección de correo electrónico </w:t>
      </w:r>
      <w:hyperlink r:id="rId8" w:history="1">
        <w:r w:rsidRPr="00091971">
          <w:rPr>
            <w:rStyle w:val="Hipervnculo"/>
            <w:rFonts w:ascii="ITC Avant Garde" w:eastAsiaTheme="minorHAnsi" w:hAnsi="ITC Avant Garde" w:cstheme="minorBidi"/>
            <w:bCs/>
            <w:lang w:eastAsia="en-US"/>
          </w:rPr>
          <w:t>ofertas.referencia@ift.org.mx</w:t>
        </w:r>
      </w:hyperlink>
      <w:r w:rsidRPr="00091971">
        <w:rPr>
          <w:rFonts w:ascii="ITC Avant Garde" w:eastAsiaTheme="minorHAnsi" w:hAnsi="ITC Avant Garde" w:cstheme="minorBidi"/>
          <w:bCs/>
          <w:color w:val="auto"/>
          <w:lang w:eastAsia="en-US"/>
        </w:rPr>
        <w:t>, o bien, mediante escrito presentado en la Oficialía de Partes Común del Instituto ubicada en Insurgentes Sur 1143, colonia Nochebuena, Delegación Benito Juárez, C.P. 03720, Ciudad de México.</w:t>
      </w:r>
    </w:p>
    <w:p w14:paraId="7AAADB3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7A7A91E"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Objetivo de la Consulta Pública:</w:t>
      </w:r>
    </w:p>
    <w:p w14:paraId="460F8DEF"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El Instituto convencido de la importancia y relevancia de transparentar su proceso de elaboración de nuevas regulaciones, a través de la consulta pública recibió los comentarios, opiniones y aportaciones de cualquier interesado a propósito de las Propuestas de Ofertas, las cuales se proponen con base en lo establecido en los artículos 1, 2, 7, 15, fracción XL y LXIII, 51, 268 y 269 fracción III de la Ley Federal de Telecomunicaciones y Radiodifusión (en lo sucesivo, la “LFTR”), así como los artículos  1, 4, fracción I, 6, fracción XXXVIII y 25, fracción XI del Estatuto Orgánico del Instituto Federal de Telecomunicaciones, y la “</w:t>
      </w:r>
      <w:r w:rsidRPr="00091971">
        <w:rPr>
          <w:rFonts w:ascii="ITC Avant Garde" w:eastAsiaTheme="minorHAnsi" w:hAnsi="ITC Avant Garde" w:cstheme="minorBidi"/>
          <w:bCs/>
          <w:i/>
          <w:iCs/>
          <w:color w:val="auto"/>
          <w:lang w:eastAsia="en-US"/>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091971">
        <w:rPr>
          <w:rFonts w:ascii="ITC Avant Garde" w:eastAsiaTheme="minorHAnsi" w:hAnsi="ITC Avant Garde" w:cstheme="minorBidi"/>
          <w:bCs/>
          <w:i/>
          <w:iCs/>
          <w:color w:val="auto"/>
          <w:lang w:eastAsia="en-US"/>
        </w:rPr>
        <w:t>Radiomóvil</w:t>
      </w:r>
      <w:proofErr w:type="spellEnd"/>
      <w:r w:rsidRPr="00091971">
        <w:rPr>
          <w:rFonts w:ascii="ITC Avant Garde" w:eastAsiaTheme="minorHAnsi" w:hAnsi="ITC Avant Garde" w:cstheme="minorBidi"/>
          <w:bCs/>
          <w:i/>
          <w:iCs/>
          <w:color w:val="auto"/>
          <w:lang w:eastAsia="en-US"/>
        </w:rPr>
        <w:t xml:space="preserve"> Dipsa, S.A.B. de C. V., Grupo Carso, S.A.B. de C.V., y Grupo Financiero Inbursa, S.A.B. de C.V., como Agente Económico Preponderante en el sector de telecomunicaciones y le impone las medidas necesarias para evitar que se afecte la competencia y la libre </w:t>
      </w:r>
      <w:r w:rsidRPr="00091971">
        <w:rPr>
          <w:rFonts w:ascii="ITC Avant Garde" w:eastAsiaTheme="minorHAnsi" w:hAnsi="ITC Avant Garde" w:cstheme="minorBidi"/>
          <w:bCs/>
          <w:i/>
          <w:iCs/>
          <w:color w:val="auto"/>
          <w:lang w:eastAsia="en-US"/>
        </w:rPr>
        <w:lastRenderedPageBreak/>
        <w:t>concurrencia</w:t>
      </w:r>
      <w:r w:rsidRPr="00091971">
        <w:rPr>
          <w:rFonts w:ascii="ITC Avant Garde" w:eastAsiaTheme="minorHAnsi" w:hAnsi="ITC Avant Garde" w:cstheme="minorBidi"/>
          <w:bCs/>
          <w:color w:val="auto"/>
          <w:lang w:eastAsia="en-US"/>
        </w:rPr>
        <w:t>”, aprobada mediante Acuerdo P/IFT/EXT/060314/76, y la “</w:t>
      </w:r>
      <w:r w:rsidRPr="00091971">
        <w:rPr>
          <w:rFonts w:ascii="ITC Avant Garde" w:eastAsiaTheme="minorHAnsi" w:hAnsi="ITC Avant Garde" w:cstheme="minorBidi"/>
          <w:bCs/>
          <w:i/>
          <w:iCs/>
          <w:color w:val="auto"/>
          <w:lang w:eastAsia="en-US"/>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091971">
        <w:rPr>
          <w:rFonts w:ascii="ITC Avant Garde" w:eastAsiaTheme="minorHAnsi" w:hAnsi="ITC Avant Garde" w:cstheme="minorBidi"/>
          <w:bCs/>
          <w:color w:val="auto"/>
          <w:lang w:eastAsia="en-US"/>
        </w:rPr>
        <w:t>”, aprobada mediante acuerdo P/IFT/021220/488 (en lo sucesivo, las “Medidas Móviles”).</w:t>
      </w:r>
    </w:p>
    <w:p w14:paraId="5DC4DFD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64CC2906"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Los objetivos principales de la consulta pública consistieron en: i) contar con mayores elementos para determinar las condiciones bajo las cuales se deberán aprobar las Propuestas de Ofertas; </w:t>
      </w:r>
      <w:proofErr w:type="spellStart"/>
      <w:r w:rsidRPr="00091971">
        <w:rPr>
          <w:rFonts w:ascii="ITC Avant Garde" w:eastAsiaTheme="minorHAnsi" w:hAnsi="ITC Avant Garde" w:cstheme="minorBidi"/>
          <w:bCs/>
          <w:color w:val="auto"/>
          <w:lang w:eastAsia="en-US"/>
        </w:rPr>
        <w:t>ii</w:t>
      </w:r>
      <w:proofErr w:type="spellEnd"/>
      <w:r w:rsidRPr="00091971">
        <w:rPr>
          <w:rFonts w:ascii="ITC Avant Garde" w:eastAsiaTheme="minorHAnsi" w:hAnsi="ITC Avant Garde" w:cstheme="minorBidi"/>
          <w:bCs/>
          <w:color w:val="auto"/>
          <w:lang w:eastAsia="en-US"/>
        </w:rPr>
        <w:t>) favorecer la transparencia y participación ciudadana con el fin de recibir los comentarios y opiniones de regulados, cámaras industriales, usuarios y audiencias sobre las Propuestas de Ofertas; y </w:t>
      </w:r>
      <w:proofErr w:type="spellStart"/>
      <w:r w:rsidRPr="00091971">
        <w:rPr>
          <w:rFonts w:ascii="ITC Avant Garde" w:eastAsiaTheme="minorHAnsi" w:hAnsi="ITC Avant Garde" w:cstheme="minorBidi"/>
          <w:bCs/>
          <w:color w:val="auto"/>
          <w:lang w:eastAsia="en-US"/>
        </w:rPr>
        <w:t>iii</w:t>
      </w:r>
      <w:proofErr w:type="spellEnd"/>
      <w:r w:rsidRPr="00091971">
        <w:rPr>
          <w:rFonts w:ascii="ITC Avant Garde" w:eastAsiaTheme="minorHAnsi" w:hAnsi="ITC Avant Garde" w:cstheme="minorBidi"/>
          <w:bCs/>
          <w:color w:val="auto"/>
          <w:lang w:eastAsia="en-US"/>
        </w:rPr>
        <w:t>) establecer las bases para aprobar o modificar las mismas.</w:t>
      </w:r>
    </w:p>
    <w:p w14:paraId="074EB6EE"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1CC839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
          <w:color w:val="auto"/>
          <w:lang w:eastAsia="en-US"/>
        </w:rPr>
        <w:t>Unidad Administrativa que promueve el proyecto</w:t>
      </w:r>
      <w:r w:rsidRPr="00091971">
        <w:rPr>
          <w:rFonts w:ascii="ITC Avant Garde" w:eastAsiaTheme="minorHAnsi" w:hAnsi="ITC Avant Garde" w:cstheme="minorBidi"/>
          <w:bCs/>
          <w:color w:val="auto"/>
          <w:lang w:eastAsia="en-US"/>
        </w:rPr>
        <w:t>: Unidad de Política Regulatoria.</w:t>
      </w:r>
    </w:p>
    <w:p w14:paraId="4DE0AAAB"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F003D29"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Participantes de la Consulta Pública:</w:t>
      </w:r>
    </w:p>
    <w:p w14:paraId="07371BF9"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Durante el periodo de la consulta pública de mérito, se recibieron 2 participaciones por parte de las siguientes personas morales:</w:t>
      </w:r>
    </w:p>
    <w:p w14:paraId="6838DD45"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688D9AA6" w14:textId="0419FB05" w:rsidR="00091971" w:rsidRPr="00091971" w:rsidRDefault="00091971" w:rsidP="005E0959">
      <w:pPr>
        <w:numPr>
          <w:ilvl w:val="0"/>
          <w:numId w:val="19"/>
        </w:numPr>
        <w:spacing w:after="0" w:line="276" w:lineRule="auto"/>
        <w:rPr>
          <w:rFonts w:ascii="ITC Avant Garde" w:eastAsiaTheme="minorHAnsi" w:hAnsi="ITC Avant Garde" w:cstheme="minorBidi"/>
          <w:bCs/>
          <w:color w:val="auto"/>
          <w:lang w:eastAsia="en-US"/>
        </w:rPr>
      </w:pPr>
      <w:proofErr w:type="spellStart"/>
      <w:r w:rsidRPr="00091971">
        <w:rPr>
          <w:rFonts w:ascii="ITC Avant Garde" w:eastAsiaTheme="minorHAnsi" w:hAnsi="ITC Avant Garde" w:cstheme="minorBidi"/>
          <w:bCs/>
          <w:color w:val="auto"/>
          <w:lang w:eastAsia="en-US"/>
        </w:rPr>
        <w:t>Operbes</w:t>
      </w:r>
      <w:proofErr w:type="spellEnd"/>
      <w:r w:rsidRPr="00091971">
        <w:rPr>
          <w:rFonts w:ascii="ITC Avant Garde" w:eastAsiaTheme="minorHAnsi" w:hAnsi="ITC Avant Garde" w:cstheme="minorBidi"/>
          <w:bCs/>
          <w:color w:val="auto"/>
          <w:lang w:eastAsia="en-US"/>
        </w:rPr>
        <w:t>, S.A. de C.V, Cablevisión, S.A. de C.V., Cablemás Telecomunicaciones, S.A. de C.V., Cablevisión Red, S.A. de C.V., Televisión Internacional, S.A. de C.V., México Red de Telecomunicaciones, S. de R.L. de C.V. y TV Cable de Oriente, S.A. de C.V. (en lo sucesivo “Televisa”)</w:t>
      </w:r>
    </w:p>
    <w:p w14:paraId="1A344E41" w14:textId="77777777" w:rsidR="00091971" w:rsidRPr="00091971" w:rsidRDefault="00091971" w:rsidP="005E0959">
      <w:pPr>
        <w:numPr>
          <w:ilvl w:val="0"/>
          <w:numId w:val="19"/>
        </w:num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Alestra Servicios Móviles, S.A. de C.V. (en lo sucesivo, “Alestra”)</w:t>
      </w:r>
    </w:p>
    <w:p w14:paraId="63AAC5BD"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2970D15B" w14:textId="6B021C75" w:rsid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Respuestas y posicionamientos por parte del Instituto:</w:t>
      </w:r>
    </w:p>
    <w:p w14:paraId="4B0A99A8" w14:textId="77777777" w:rsidR="00073DB1" w:rsidRPr="00091971" w:rsidRDefault="00073DB1" w:rsidP="005E0959">
      <w:pPr>
        <w:spacing w:after="0" w:line="276" w:lineRule="auto"/>
        <w:rPr>
          <w:rFonts w:ascii="ITC Avant Garde" w:eastAsiaTheme="minorHAnsi" w:hAnsi="ITC Avant Garde" w:cstheme="minorBidi"/>
          <w:b/>
          <w:color w:val="auto"/>
          <w:lang w:eastAsia="en-US"/>
        </w:rPr>
      </w:pPr>
    </w:p>
    <w:p w14:paraId="681C66E6"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Se señala que el orden en el que son abordados cada uno de los temas y numerales genéricos mencionados, obedece primordialmente al orden en que cada uno de éstos aparecen en la Propuesta de</w:t>
      </w:r>
      <w:r w:rsidRPr="00091971">
        <w:rPr>
          <w:rFonts w:ascii="ITC Avant Garde" w:eastAsiaTheme="minorHAnsi" w:hAnsi="ITC Avant Garde" w:cstheme="minorBidi"/>
          <w:b/>
          <w:color w:val="auto"/>
          <w:lang w:eastAsia="en-US"/>
        </w:rPr>
        <w:t xml:space="preserve"> Oferta de Referencia para la Prestación del Servicio Mayorista de Comercialización o Reventa de Servicios</w:t>
      </w:r>
      <w:r w:rsidRPr="00091971">
        <w:rPr>
          <w:rFonts w:ascii="ITC Avant Garde" w:eastAsiaTheme="minorHAnsi" w:hAnsi="ITC Avant Garde" w:cstheme="minorBidi"/>
          <w:bCs/>
          <w:color w:val="auto"/>
          <w:lang w:eastAsia="en-US"/>
        </w:rPr>
        <w:t xml:space="preserve"> </w:t>
      </w:r>
      <w:r w:rsidRPr="00091971">
        <w:rPr>
          <w:rFonts w:ascii="ITC Avant Garde" w:eastAsiaTheme="minorHAnsi" w:hAnsi="ITC Avant Garde" w:cstheme="minorBidi"/>
          <w:b/>
          <w:color w:val="auto"/>
          <w:lang w:eastAsia="en-US"/>
        </w:rPr>
        <w:t>prestado por el Agente Económico Preponderante en el Sector de las Telecomunicaciones</w:t>
      </w:r>
      <w:r w:rsidRPr="00091971">
        <w:rPr>
          <w:rFonts w:ascii="ITC Avant Garde" w:eastAsiaTheme="minorHAnsi" w:hAnsi="ITC Avant Garde" w:cstheme="minorBidi"/>
          <w:bCs/>
          <w:color w:val="auto"/>
          <w:lang w:eastAsia="en-US"/>
        </w:rPr>
        <w:t xml:space="preserve"> (en los sucesivo, la “Oferta”) prestado por </w:t>
      </w:r>
      <w:proofErr w:type="spellStart"/>
      <w:r w:rsidRPr="00091971">
        <w:rPr>
          <w:rFonts w:ascii="ITC Avant Garde" w:eastAsiaTheme="minorHAnsi" w:hAnsi="ITC Avant Garde" w:cstheme="minorBidi"/>
          <w:bCs/>
          <w:color w:val="auto"/>
          <w:lang w:eastAsia="en-US"/>
        </w:rPr>
        <w:t>Radiomóvil</w:t>
      </w:r>
      <w:proofErr w:type="spellEnd"/>
      <w:r w:rsidRPr="00091971">
        <w:rPr>
          <w:rFonts w:ascii="ITC Avant Garde" w:eastAsiaTheme="minorHAnsi" w:hAnsi="ITC Avant Garde" w:cstheme="minorBidi"/>
          <w:bCs/>
          <w:color w:val="auto"/>
          <w:lang w:eastAsia="en-US"/>
        </w:rPr>
        <w:t xml:space="preserve"> Dipsa, S.A. de C.V., (en lo sucesivo, “Telcel”) integrante del Agente Económico Preponderante (en lo sucesivo, el “AEP”) en el Sector de las Telecomunicaciones.</w:t>
      </w:r>
    </w:p>
    <w:p w14:paraId="24A4736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53EBF4D5"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Por lo anterior, el Instituto emite las siguientes respuestas y consideraciones para cada una de las participaciones recibidas:  </w:t>
      </w:r>
    </w:p>
    <w:p w14:paraId="1E1C74FC"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44C0A6B6" w14:textId="10CE7109" w:rsidR="00091971" w:rsidRDefault="00091971" w:rsidP="005E0959">
      <w:pPr>
        <w:spacing w:after="0" w:line="276" w:lineRule="auto"/>
        <w:rPr>
          <w:rFonts w:ascii="ITC Avant Garde" w:eastAsiaTheme="minorHAnsi" w:hAnsi="ITC Avant Garde" w:cstheme="minorBidi"/>
          <w:b/>
          <w:color w:val="auto"/>
          <w:u w:val="single"/>
          <w:lang w:eastAsia="en-US"/>
        </w:rPr>
      </w:pPr>
      <w:r w:rsidRPr="00091971">
        <w:rPr>
          <w:rFonts w:ascii="ITC Avant Garde" w:eastAsiaTheme="minorHAnsi" w:hAnsi="ITC Avant Garde" w:cstheme="minorBidi"/>
          <w:b/>
          <w:color w:val="auto"/>
          <w:u w:val="single"/>
          <w:lang w:eastAsia="en-US"/>
        </w:rPr>
        <w:t>ANEXO I OFERTA DE SERVICIOS</w:t>
      </w:r>
    </w:p>
    <w:p w14:paraId="5AD318D8" w14:textId="77777777" w:rsidR="001D69BF" w:rsidRPr="00091971" w:rsidRDefault="001D69BF" w:rsidP="005E0959">
      <w:pPr>
        <w:spacing w:after="0" w:line="276" w:lineRule="auto"/>
        <w:rPr>
          <w:rFonts w:ascii="ITC Avant Garde" w:eastAsiaTheme="minorHAnsi" w:hAnsi="ITC Avant Garde" w:cstheme="minorBidi"/>
          <w:b/>
          <w:color w:val="auto"/>
          <w:u w:val="single"/>
          <w:lang w:eastAsia="en-US"/>
        </w:rPr>
      </w:pPr>
    </w:p>
    <w:p w14:paraId="377FD25A"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3DB58629"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Solicita eliminar la garantía por el monto total de la implementación, ya que dificultará la utilización de los servicios de la Oferta y aumentará los costos para su implementación.</w:t>
      </w:r>
    </w:p>
    <w:p w14:paraId="77E8A6F6"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35A23EE"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24211EFB" w14:textId="5CC7E54A"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Toda vez que ya </w:t>
      </w:r>
      <w:r w:rsidR="00396EF6">
        <w:rPr>
          <w:rFonts w:ascii="ITC Avant Garde" w:eastAsiaTheme="minorHAnsi" w:hAnsi="ITC Avant Garde" w:cstheme="minorBidi"/>
          <w:bCs/>
          <w:color w:val="auto"/>
          <w:lang w:eastAsia="en-US"/>
        </w:rPr>
        <w:t xml:space="preserve">se </w:t>
      </w:r>
      <w:r w:rsidRPr="00091971">
        <w:rPr>
          <w:rFonts w:ascii="ITC Avant Garde" w:eastAsiaTheme="minorHAnsi" w:hAnsi="ITC Avant Garde" w:cstheme="minorBidi"/>
          <w:bCs/>
          <w:color w:val="auto"/>
          <w:lang w:eastAsia="en-US"/>
        </w:rPr>
        <w:t xml:space="preserve">considera un pago inicial </w:t>
      </w:r>
      <w:r w:rsidR="00396EF6">
        <w:rPr>
          <w:rFonts w:ascii="ITC Avant Garde" w:eastAsiaTheme="minorHAnsi" w:hAnsi="ITC Avant Garde" w:cstheme="minorBidi"/>
          <w:bCs/>
          <w:color w:val="auto"/>
          <w:lang w:eastAsia="en-US"/>
        </w:rPr>
        <w:t xml:space="preserve">el cual </w:t>
      </w:r>
      <w:r w:rsidRPr="00091971">
        <w:rPr>
          <w:rFonts w:ascii="ITC Avant Garde" w:eastAsiaTheme="minorHAnsi" w:hAnsi="ITC Avant Garde" w:cstheme="minorBidi"/>
          <w:bCs/>
          <w:color w:val="auto"/>
          <w:lang w:eastAsia="en-US"/>
        </w:rPr>
        <w:t xml:space="preserve">el OMV de pagar en su totalidad previo a que culminen los trabajos relacionados con la </w:t>
      </w:r>
      <w:r w:rsidR="00396EF6">
        <w:rPr>
          <w:rFonts w:ascii="ITC Avant Garde" w:eastAsiaTheme="minorHAnsi" w:hAnsi="ITC Avant Garde" w:cstheme="minorBidi"/>
          <w:bCs/>
          <w:color w:val="auto"/>
          <w:lang w:eastAsia="en-US"/>
        </w:rPr>
        <w:t>implementación</w:t>
      </w:r>
      <w:r w:rsidRPr="00091971">
        <w:rPr>
          <w:rFonts w:ascii="ITC Avant Garde" w:eastAsiaTheme="minorHAnsi" w:hAnsi="ITC Avant Garde" w:cstheme="minorBidi"/>
          <w:bCs/>
          <w:color w:val="auto"/>
          <w:lang w:eastAsia="en-US"/>
        </w:rPr>
        <w:t>, se eliminó la obligación del OMV de establecer una garantía a favor de Telcel por el monto total de la implementación en los términos siguientes:</w:t>
      </w:r>
    </w:p>
    <w:p w14:paraId="25AE3B88"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F42039D" w14:textId="77777777" w:rsidR="00A976B8" w:rsidRDefault="00A976B8" w:rsidP="00A976B8">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 xml:space="preserve">“V. Plazo para la liberación comercial de los Servicios de la Oferta para el OMV Completo y/o Habilitador de Red, así como el OMV Revendedor y/o Telcel como Habilitador de Red, y los esquemas intermedios. </w:t>
      </w:r>
    </w:p>
    <w:p w14:paraId="72915062" w14:textId="77777777" w:rsidR="00A976B8" w:rsidRDefault="00A976B8" w:rsidP="00A976B8">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BC5C234" w14:textId="77777777" w:rsidR="00A976B8" w:rsidRDefault="00A976B8" w:rsidP="00A976B8">
      <w:pPr>
        <w:spacing w:after="0" w:line="276" w:lineRule="auto"/>
        <w:ind w:left="426" w:right="615" w:firstLine="0"/>
        <w:contextualSpacing/>
        <w:mirrorIndents/>
        <w:rPr>
          <w:rFonts w:ascii="ITC Avant Garde" w:eastAsia="Calibri" w:hAnsi="ITC Avant Garde" w:cs="Arial"/>
          <w:i/>
          <w:strike/>
          <w:color w:val="auto"/>
          <w:sz w:val="18"/>
          <w:szCs w:val="18"/>
          <w:lang w:eastAsia="en-US"/>
        </w:rPr>
      </w:pPr>
      <w:r>
        <w:rPr>
          <w:rFonts w:ascii="ITC Avant Garde" w:eastAsia="Calibri" w:hAnsi="ITC Avant Garde" w:cs="Arial"/>
          <w:i/>
          <w:strike/>
          <w:color w:val="auto"/>
          <w:sz w:val="18"/>
          <w:szCs w:val="18"/>
          <w:lang w:eastAsia="en-US"/>
        </w:rPr>
        <w:t>El OMV deberá establecer una garantía a favor de Telcel por el monto total de la implementación, dentro de los 10 (diez) días hábiles siguientes a que Telcel le notifique dicho monto y estará vigente hasta que el OMV liquide el costo total de la implementación. La garantía podrá constituirse mediante cualquiera de los medios y mecanismos que se mencionan a continuación y previa satisfacción de Telcel:</w:t>
      </w:r>
    </w:p>
    <w:p w14:paraId="7CB80F71" w14:textId="77777777" w:rsidR="00A976B8" w:rsidRDefault="00A976B8" w:rsidP="00A976B8">
      <w:pPr>
        <w:spacing w:after="0" w:line="276" w:lineRule="auto"/>
        <w:ind w:left="426" w:right="615" w:firstLine="0"/>
        <w:contextualSpacing/>
        <w:mirrorIndents/>
        <w:rPr>
          <w:rFonts w:ascii="ITC Avant Garde" w:eastAsia="Calibri" w:hAnsi="ITC Avant Garde" w:cs="Arial"/>
          <w:i/>
          <w:strike/>
          <w:color w:val="auto"/>
          <w:sz w:val="18"/>
          <w:szCs w:val="18"/>
          <w:lang w:eastAsia="en-US"/>
        </w:rPr>
      </w:pPr>
    </w:p>
    <w:p w14:paraId="3C3557FD" w14:textId="77777777" w:rsidR="00A976B8" w:rsidRDefault="00A976B8" w:rsidP="00A976B8">
      <w:pPr>
        <w:spacing w:after="0" w:line="276" w:lineRule="auto"/>
        <w:ind w:left="426" w:right="615" w:firstLine="0"/>
        <w:contextualSpacing/>
        <w:mirrorIndents/>
        <w:rPr>
          <w:rFonts w:ascii="ITC Avant Garde" w:eastAsia="Calibri" w:hAnsi="ITC Avant Garde" w:cs="Arial"/>
          <w:i/>
          <w:strike/>
          <w:color w:val="auto"/>
          <w:sz w:val="18"/>
          <w:szCs w:val="18"/>
          <w:lang w:eastAsia="en-US"/>
        </w:rPr>
      </w:pPr>
      <w:r>
        <w:rPr>
          <w:rFonts w:ascii="ITC Avant Garde" w:eastAsia="Calibri" w:hAnsi="ITC Avant Garde" w:cs="Arial"/>
          <w:i/>
          <w:strike/>
          <w:color w:val="auto"/>
          <w:sz w:val="18"/>
          <w:szCs w:val="18"/>
          <w:lang w:eastAsia="en-US"/>
        </w:rPr>
        <w:t>i.</w:t>
      </w:r>
      <w:r>
        <w:rPr>
          <w:rFonts w:ascii="ITC Avant Garde" w:eastAsia="Calibri" w:hAnsi="ITC Avant Garde" w:cs="Arial"/>
          <w:i/>
          <w:strike/>
          <w:color w:val="auto"/>
          <w:sz w:val="18"/>
          <w:szCs w:val="18"/>
          <w:lang w:eastAsia="en-US"/>
        </w:rPr>
        <w:tab/>
        <w:t xml:space="preserve">Carta de crédito o “Stand </w:t>
      </w:r>
      <w:proofErr w:type="spellStart"/>
      <w:r>
        <w:rPr>
          <w:rFonts w:ascii="ITC Avant Garde" w:eastAsia="Calibri" w:hAnsi="ITC Avant Garde" w:cs="Arial"/>
          <w:i/>
          <w:strike/>
          <w:color w:val="auto"/>
          <w:sz w:val="18"/>
          <w:szCs w:val="18"/>
          <w:lang w:eastAsia="en-US"/>
        </w:rPr>
        <w:t>by</w:t>
      </w:r>
      <w:proofErr w:type="spellEnd"/>
      <w:r>
        <w:rPr>
          <w:rFonts w:ascii="ITC Avant Garde" w:eastAsia="Calibri" w:hAnsi="ITC Avant Garde" w:cs="Arial"/>
          <w:i/>
          <w:strike/>
          <w:color w:val="auto"/>
          <w:sz w:val="18"/>
          <w:szCs w:val="18"/>
          <w:lang w:eastAsia="en-US"/>
        </w:rPr>
        <w:t xml:space="preserve">” irrevocable (emitida por banco o una institución de crédito mexicana con una calificación AAA, y en forma y fondo aceptable por Telcel); </w:t>
      </w:r>
    </w:p>
    <w:p w14:paraId="657D5B27" w14:textId="77777777" w:rsidR="00A976B8" w:rsidRDefault="00A976B8" w:rsidP="00A976B8">
      <w:pPr>
        <w:spacing w:after="0" w:line="276" w:lineRule="auto"/>
        <w:ind w:left="426" w:right="615" w:firstLine="0"/>
        <w:contextualSpacing/>
        <w:mirrorIndents/>
        <w:rPr>
          <w:rFonts w:ascii="ITC Avant Garde" w:eastAsia="Calibri" w:hAnsi="ITC Avant Garde" w:cs="Arial"/>
          <w:i/>
          <w:strike/>
          <w:color w:val="auto"/>
          <w:sz w:val="18"/>
          <w:szCs w:val="18"/>
          <w:lang w:eastAsia="en-US"/>
        </w:rPr>
      </w:pPr>
      <w:proofErr w:type="spellStart"/>
      <w:r>
        <w:rPr>
          <w:rFonts w:ascii="ITC Avant Garde" w:eastAsia="Calibri" w:hAnsi="ITC Avant Garde" w:cs="Arial"/>
          <w:i/>
          <w:strike/>
          <w:color w:val="auto"/>
          <w:sz w:val="18"/>
          <w:szCs w:val="18"/>
          <w:lang w:eastAsia="en-US"/>
        </w:rPr>
        <w:t>ii</w:t>
      </w:r>
      <w:proofErr w:type="spellEnd"/>
      <w:r>
        <w:rPr>
          <w:rFonts w:ascii="ITC Avant Garde" w:eastAsia="Calibri" w:hAnsi="ITC Avant Garde" w:cs="Arial"/>
          <w:i/>
          <w:strike/>
          <w:color w:val="auto"/>
          <w:sz w:val="18"/>
          <w:szCs w:val="18"/>
          <w:lang w:eastAsia="en-US"/>
        </w:rPr>
        <w:t>.</w:t>
      </w:r>
      <w:r>
        <w:rPr>
          <w:rFonts w:ascii="ITC Avant Garde" w:eastAsia="Calibri" w:hAnsi="ITC Avant Garde" w:cs="Arial"/>
          <w:i/>
          <w:strike/>
          <w:color w:val="auto"/>
          <w:sz w:val="18"/>
          <w:szCs w:val="18"/>
          <w:lang w:eastAsia="en-US"/>
        </w:rPr>
        <w:tab/>
        <w:t xml:space="preserve">Depósito en </w:t>
      </w:r>
      <w:proofErr w:type="gramStart"/>
      <w:r>
        <w:rPr>
          <w:rFonts w:ascii="ITC Avant Garde" w:eastAsia="Calibri" w:hAnsi="ITC Avant Garde" w:cs="Arial"/>
          <w:i/>
          <w:strike/>
          <w:color w:val="auto"/>
          <w:sz w:val="18"/>
          <w:szCs w:val="18"/>
          <w:lang w:eastAsia="en-US"/>
        </w:rPr>
        <w:t>garantía  (</w:t>
      </w:r>
      <w:proofErr w:type="gramEnd"/>
      <w:r>
        <w:rPr>
          <w:rFonts w:ascii="ITC Avant Garde" w:eastAsia="Calibri" w:hAnsi="ITC Avant Garde" w:cs="Arial"/>
          <w:i/>
          <w:strike/>
          <w:color w:val="auto"/>
          <w:sz w:val="18"/>
          <w:szCs w:val="18"/>
          <w:lang w:eastAsia="en-US"/>
        </w:rPr>
        <w:t>que no generará interés o rendimiento alguno en favor del OMV); y</w:t>
      </w:r>
    </w:p>
    <w:p w14:paraId="151EC3A2" w14:textId="77777777" w:rsidR="00A976B8" w:rsidRDefault="00A976B8" w:rsidP="00A976B8">
      <w:pPr>
        <w:spacing w:after="0" w:line="276" w:lineRule="auto"/>
        <w:ind w:left="426" w:right="615" w:firstLine="0"/>
        <w:contextualSpacing/>
        <w:mirrorIndents/>
        <w:rPr>
          <w:rFonts w:ascii="ITC Avant Garde" w:eastAsia="Calibri" w:hAnsi="ITC Avant Garde" w:cs="Arial"/>
          <w:i/>
          <w:color w:val="auto"/>
          <w:sz w:val="18"/>
          <w:szCs w:val="18"/>
          <w:lang w:eastAsia="en-US"/>
        </w:rPr>
      </w:pPr>
      <w:proofErr w:type="spellStart"/>
      <w:r>
        <w:rPr>
          <w:rFonts w:ascii="ITC Avant Garde" w:eastAsia="Calibri" w:hAnsi="ITC Avant Garde" w:cs="Arial"/>
          <w:i/>
          <w:strike/>
          <w:color w:val="auto"/>
          <w:sz w:val="18"/>
          <w:szCs w:val="18"/>
          <w:lang w:eastAsia="en-US"/>
        </w:rPr>
        <w:t>iii</w:t>
      </w:r>
      <w:proofErr w:type="spellEnd"/>
      <w:r>
        <w:rPr>
          <w:rFonts w:ascii="ITC Avant Garde" w:eastAsia="Calibri" w:hAnsi="ITC Avant Garde" w:cs="Arial"/>
          <w:i/>
          <w:strike/>
          <w:color w:val="auto"/>
          <w:sz w:val="18"/>
          <w:szCs w:val="18"/>
          <w:lang w:eastAsia="en-US"/>
        </w:rPr>
        <w:t>.</w:t>
      </w:r>
      <w:r>
        <w:rPr>
          <w:rFonts w:ascii="ITC Avant Garde" w:eastAsia="Calibri" w:hAnsi="ITC Avant Garde" w:cs="Arial"/>
          <w:i/>
          <w:strike/>
          <w:color w:val="auto"/>
          <w:sz w:val="18"/>
          <w:szCs w:val="18"/>
          <w:lang w:eastAsia="en-US"/>
        </w:rPr>
        <w:tab/>
        <w:t>Cualquier otra garantía que sea previamente autorizada y aceptada por Telcel, quien deberá dar su consentimiento por escrito respecto del tipo y características de la Garantía que se pretenda constituir en su favor</w:t>
      </w:r>
      <w:r>
        <w:rPr>
          <w:rFonts w:ascii="ITC Avant Garde" w:eastAsia="Calibri" w:hAnsi="ITC Avant Garde" w:cs="Arial"/>
          <w:i/>
          <w:color w:val="auto"/>
          <w:sz w:val="18"/>
          <w:szCs w:val="18"/>
          <w:lang w:eastAsia="en-US"/>
        </w:rPr>
        <w:t>.”</w:t>
      </w:r>
    </w:p>
    <w:p w14:paraId="5843D6DF" w14:textId="77777777" w:rsidR="00A976B8" w:rsidRDefault="00A976B8" w:rsidP="00A976B8">
      <w:pPr>
        <w:spacing w:after="0" w:line="276" w:lineRule="auto"/>
        <w:ind w:left="426" w:right="615" w:firstLine="0"/>
        <w:contextualSpacing/>
        <w:mirrorIndents/>
        <w:rPr>
          <w:rFonts w:ascii="ITC Avant Garde" w:eastAsia="Calibri" w:hAnsi="ITC Avant Garde" w:cs="Arial"/>
          <w:i/>
          <w:color w:val="auto"/>
          <w:sz w:val="18"/>
          <w:szCs w:val="18"/>
          <w:lang w:eastAsia="en-US"/>
        </w:rPr>
      </w:pPr>
    </w:p>
    <w:p w14:paraId="3D970B9E" w14:textId="77777777" w:rsidR="00A976B8" w:rsidRDefault="00A976B8" w:rsidP="00A976B8">
      <w:pPr>
        <w:spacing w:after="0" w:line="276" w:lineRule="auto"/>
        <w:ind w:left="426" w:right="615" w:firstLine="0"/>
        <w:contextualSpacing/>
        <w:mirrorIndents/>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665BBA8D" w14:textId="77777777" w:rsidR="00091971" w:rsidRPr="00091971" w:rsidRDefault="00091971" w:rsidP="005E0959">
      <w:pPr>
        <w:spacing w:after="0" w:line="276" w:lineRule="auto"/>
        <w:rPr>
          <w:rFonts w:ascii="ITC Avant Garde" w:eastAsiaTheme="minorHAnsi" w:hAnsi="ITC Avant Garde" w:cstheme="minorBidi"/>
          <w:bCs/>
          <w:color w:val="auto"/>
          <w:u w:val="single"/>
          <w:lang w:eastAsia="en-US"/>
        </w:rPr>
      </w:pPr>
    </w:p>
    <w:p w14:paraId="68109A66"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ANEXO II ACUERDOS TÉCNICOS</w:t>
      </w:r>
    </w:p>
    <w:p w14:paraId="4E6D7E81" w14:textId="77777777" w:rsidR="00A976B8" w:rsidRDefault="00A976B8" w:rsidP="005E0959">
      <w:pPr>
        <w:spacing w:after="0" w:line="276" w:lineRule="auto"/>
        <w:rPr>
          <w:rFonts w:ascii="ITC Avant Garde" w:eastAsiaTheme="minorHAnsi" w:hAnsi="ITC Avant Garde" w:cstheme="minorBidi"/>
          <w:b/>
          <w:color w:val="auto"/>
          <w:lang w:eastAsia="en-US"/>
        </w:rPr>
      </w:pPr>
    </w:p>
    <w:p w14:paraId="7EDDBEF9" w14:textId="3FCA495E"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1BF44102" w14:textId="2FD1AA46"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Solicitan la inclusión del servicio de “</w:t>
      </w:r>
      <w:proofErr w:type="spellStart"/>
      <w:r w:rsidRPr="00091971">
        <w:rPr>
          <w:rFonts w:ascii="ITC Avant Garde" w:eastAsiaTheme="minorHAnsi" w:hAnsi="ITC Avant Garde" w:cstheme="minorBidi"/>
          <w:bCs/>
          <w:color w:val="auto"/>
          <w:lang w:eastAsia="en-US"/>
        </w:rPr>
        <w:t>Fixed</w:t>
      </w:r>
      <w:proofErr w:type="spellEnd"/>
      <w:r w:rsidRPr="00091971">
        <w:rPr>
          <w:rFonts w:ascii="ITC Avant Garde" w:eastAsiaTheme="minorHAnsi" w:hAnsi="ITC Avant Garde" w:cstheme="minorBidi"/>
          <w:bCs/>
          <w:color w:val="auto"/>
          <w:lang w:eastAsia="en-US"/>
        </w:rPr>
        <w:t>-Wireless” dentro de las Medidas Móviles como un servicio de la Oferta el cual deberá incluir los procedimientos, tarifas y m</w:t>
      </w:r>
      <w:r w:rsidR="00673AEB">
        <w:rPr>
          <w:rFonts w:ascii="ITC Avant Garde" w:eastAsiaTheme="minorHAnsi" w:hAnsi="ITC Avant Garde" w:cstheme="minorBidi"/>
          <w:bCs/>
          <w:color w:val="auto"/>
          <w:lang w:eastAsia="en-US"/>
        </w:rPr>
        <w:t>ó</w:t>
      </w:r>
      <w:r w:rsidRPr="00091971">
        <w:rPr>
          <w:rFonts w:ascii="ITC Avant Garde" w:eastAsiaTheme="minorHAnsi" w:hAnsi="ITC Avant Garde" w:cstheme="minorBidi"/>
          <w:bCs/>
          <w:color w:val="auto"/>
          <w:lang w:eastAsia="en-US"/>
        </w:rPr>
        <w:t xml:space="preserve">dulo dentro del modelo de costos con el fin de dar cumplimiento a los principios de replicabilidad económica, técnica y la equivalencia de insumos. Asimismo, solicita que este servicio sea sometido a </w:t>
      </w:r>
      <w:proofErr w:type="gramStart"/>
      <w:r w:rsidRPr="00091971">
        <w:rPr>
          <w:rFonts w:ascii="ITC Avant Garde" w:eastAsiaTheme="minorHAnsi" w:hAnsi="ITC Avant Garde" w:cstheme="minorBidi"/>
          <w:bCs/>
          <w:color w:val="auto"/>
          <w:lang w:eastAsia="en-US"/>
        </w:rPr>
        <w:t>un test</w:t>
      </w:r>
      <w:proofErr w:type="gramEnd"/>
      <w:r w:rsidRPr="00091971">
        <w:rPr>
          <w:rFonts w:ascii="ITC Avant Garde" w:eastAsiaTheme="minorHAnsi" w:hAnsi="ITC Avant Garde" w:cstheme="minorBidi"/>
          <w:bCs/>
          <w:color w:val="auto"/>
          <w:lang w:eastAsia="en-US"/>
        </w:rPr>
        <w:t xml:space="preserve"> de replicabilidad comercial ex ante para garantizar que los concesionarios puedan replicarlo.</w:t>
      </w:r>
    </w:p>
    <w:p w14:paraId="046EA898"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244691E8"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0C355F55" w14:textId="7B200734" w:rsidR="00091971" w:rsidRPr="00091971" w:rsidRDefault="00673AEB" w:rsidP="00673AEB">
      <w:pPr>
        <w:spacing w:after="0" w:line="276" w:lineRule="auto"/>
        <w:rPr>
          <w:rFonts w:ascii="ITC Avant Garde" w:eastAsiaTheme="minorHAnsi" w:hAnsi="ITC Avant Garde" w:cstheme="minorBidi"/>
          <w:bCs/>
          <w:color w:val="auto"/>
          <w:sz w:val="18"/>
          <w:szCs w:val="18"/>
          <w:lang w:eastAsia="en-US"/>
        </w:rPr>
      </w:pPr>
      <w:r>
        <w:rPr>
          <w:rFonts w:ascii="ITC Avant Garde" w:eastAsiaTheme="minorHAnsi" w:hAnsi="ITC Avant Garde" w:cstheme="minorBidi"/>
          <w:bCs/>
          <w:color w:val="auto"/>
          <w:lang w:eastAsia="en-US"/>
        </w:rPr>
        <w:lastRenderedPageBreak/>
        <w:t>L</w:t>
      </w:r>
      <w:r w:rsidR="00091971" w:rsidRPr="00091971">
        <w:rPr>
          <w:rFonts w:ascii="ITC Avant Garde" w:eastAsiaTheme="minorHAnsi" w:hAnsi="ITC Avant Garde" w:cstheme="minorBidi"/>
          <w:bCs/>
          <w:color w:val="auto"/>
          <w:lang w:eastAsia="en-US"/>
        </w:rPr>
        <w:t xml:space="preserve">a oferta contempla la prestación de servicios como </w:t>
      </w:r>
      <w:proofErr w:type="spellStart"/>
      <w:r w:rsidR="00091971" w:rsidRPr="00091971">
        <w:rPr>
          <w:rFonts w:ascii="ITC Avant Garde" w:eastAsiaTheme="minorHAnsi" w:hAnsi="ITC Avant Garde" w:cstheme="minorBidi"/>
          <w:bCs/>
          <w:color w:val="auto"/>
          <w:lang w:eastAsia="en-US"/>
        </w:rPr>
        <w:t>IoT</w:t>
      </w:r>
      <w:proofErr w:type="spellEnd"/>
      <w:r w:rsidR="00091971" w:rsidRPr="00091971">
        <w:rPr>
          <w:rFonts w:ascii="ITC Avant Garde" w:eastAsiaTheme="minorHAnsi" w:hAnsi="ITC Avant Garde" w:cstheme="minorBidi"/>
          <w:bCs/>
          <w:color w:val="auto"/>
          <w:lang w:eastAsia="en-US"/>
        </w:rPr>
        <w:t>, M2M y servicios de internet en el hogar o “</w:t>
      </w:r>
      <w:proofErr w:type="spellStart"/>
      <w:r w:rsidR="00091971" w:rsidRPr="00091971">
        <w:rPr>
          <w:rFonts w:ascii="ITC Avant Garde" w:eastAsiaTheme="minorHAnsi" w:hAnsi="ITC Avant Garde" w:cstheme="minorBidi"/>
          <w:bCs/>
          <w:color w:val="auto"/>
          <w:lang w:eastAsia="en-US"/>
        </w:rPr>
        <w:t>Fixed</w:t>
      </w:r>
      <w:proofErr w:type="spellEnd"/>
      <w:r w:rsidR="00091971" w:rsidRPr="00091971">
        <w:rPr>
          <w:rFonts w:ascii="ITC Avant Garde" w:eastAsiaTheme="minorHAnsi" w:hAnsi="ITC Avant Garde" w:cstheme="minorBidi"/>
          <w:bCs/>
          <w:color w:val="auto"/>
          <w:lang w:eastAsia="en-US"/>
        </w:rPr>
        <w:t>-Wireless”, tal como establece la definición de “Funcionalidades o aplicaciones para servicios de datos</w:t>
      </w:r>
      <w:r>
        <w:rPr>
          <w:rFonts w:ascii="ITC Avant Garde" w:eastAsiaTheme="minorHAnsi" w:hAnsi="ITC Avant Garde" w:cstheme="minorBidi"/>
          <w:bCs/>
          <w:color w:val="auto"/>
          <w:lang w:eastAsia="en-US"/>
        </w:rPr>
        <w:t>.</w:t>
      </w:r>
    </w:p>
    <w:p w14:paraId="7696FA3F"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77DAE5D" w14:textId="5C461D74" w:rsidR="00091971" w:rsidRDefault="00091971" w:rsidP="00673AEB">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Asimismo, el numeral 6 “Funcionalidades o aplicaciones para datos” </w:t>
      </w:r>
      <w:r w:rsidR="004A5C41">
        <w:rPr>
          <w:rFonts w:ascii="ITC Avant Garde" w:eastAsiaTheme="minorHAnsi" w:hAnsi="ITC Avant Garde" w:cstheme="minorBidi"/>
          <w:bCs/>
          <w:color w:val="auto"/>
          <w:lang w:eastAsia="en-US"/>
        </w:rPr>
        <w:t xml:space="preserve">del Anexo II, </w:t>
      </w:r>
      <w:r w:rsidRPr="00091971">
        <w:rPr>
          <w:rFonts w:ascii="ITC Avant Garde" w:eastAsiaTheme="minorHAnsi" w:hAnsi="ITC Avant Garde" w:cstheme="minorBidi"/>
          <w:bCs/>
          <w:color w:val="auto"/>
          <w:lang w:eastAsia="en-US"/>
        </w:rPr>
        <w:t>establece que las partes deberán acordar las condiciones y tarifas para la prestación de estos servicios</w:t>
      </w:r>
      <w:r w:rsidR="00673AEB">
        <w:rPr>
          <w:rFonts w:ascii="ITC Avant Garde" w:eastAsiaTheme="minorHAnsi" w:hAnsi="ITC Avant Garde" w:cstheme="minorBidi"/>
          <w:bCs/>
          <w:color w:val="auto"/>
          <w:lang w:eastAsia="en-US"/>
        </w:rPr>
        <w:t>.</w:t>
      </w:r>
    </w:p>
    <w:p w14:paraId="08E4C967" w14:textId="4C0F3B3A" w:rsidR="00673AEB" w:rsidRDefault="00673AEB" w:rsidP="00673AEB">
      <w:pPr>
        <w:spacing w:after="0" w:line="276" w:lineRule="auto"/>
        <w:rPr>
          <w:rFonts w:ascii="ITC Avant Garde" w:eastAsiaTheme="minorHAnsi" w:hAnsi="ITC Avant Garde" w:cstheme="minorBidi"/>
          <w:bCs/>
          <w:color w:val="auto"/>
          <w:lang w:eastAsia="en-US"/>
        </w:rPr>
      </w:pPr>
    </w:p>
    <w:p w14:paraId="7F5FEC7E" w14:textId="062C0D23" w:rsidR="00673AEB" w:rsidRDefault="00673AEB" w:rsidP="00673AEB">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Con respecto a los comentarios sobre replicabilidad técnica, la misma no es objeto de la presente consulta pública.</w:t>
      </w:r>
    </w:p>
    <w:p w14:paraId="5B3606CA" w14:textId="77777777" w:rsidR="00673AEB" w:rsidRPr="00091971" w:rsidRDefault="00673AEB" w:rsidP="00673AEB">
      <w:pPr>
        <w:spacing w:after="0" w:line="276" w:lineRule="auto"/>
        <w:rPr>
          <w:rFonts w:ascii="ITC Avant Garde" w:eastAsiaTheme="minorHAnsi" w:hAnsi="ITC Avant Garde" w:cstheme="minorBidi"/>
          <w:bCs/>
          <w:color w:val="auto"/>
          <w:lang w:eastAsia="en-US"/>
        </w:rPr>
      </w:pPr>
    </w:p>
    <w:p w14:paraId="6B9705C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
          <w:color w:val="auto"/>
          <w:lang w:eastAsia="en-US"/>
        </w:rPr>
        <w:t>Alestra</w:t>
      </w:r>
      <w:r w:rsidRPr="00091971">
        <w:rPr>
          <w:rFonts w:ascii="ITC Avant Garde" w:eastAsiaTheme="minorHAnsi" w:hAnsi="ITC Avant Garde" w:cstheme="minorBidi"/>
          <w:bCs/>
          <w:color w:val="auto"/>
          <w:lang w:eastAsia="en-US"/>
        </w:rPr>
        <w:t>:</w:t>
      </w:r>
    </w:p>
    <w:p w14:paraId="1BC52432"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Referente a las Funcionalidades o Aplicaciones para Servicios de Datos, señala que se está dejando de considerar el alcance para las redes con tecnología 2G/3G. Además, solicita que se especifiquen las tarifas para estas funcionalidades con base en la equivalencia de insumos.</w:t>
      </w:r>
    </w:p>
    <w:p w14:paraId="750A4C88"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2726EA5B"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1AF95CBC" w14:textId="3CB8372C"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Se considera que los posibles esquemas de prestación de servicios de datos aplicados a soluciones M2M e </w:t>
      </w:r>
      <w:proofErr w:type="spellStart"/>
      <w:r w:rsidRPr="00091971">
        <w:rPr>
          <w:rFonts w:ascii="ITC Avant Garde" w:eastAsiaTheme="minorHAnsi" w:hAnsi="ITC Avant Garde" w:cstheme="minorBidi"/>
          <w:bCs/>
          <w:color w:val="auto"/>
          <w:lang w:eastAsia="en-US"/>
        </w:rPr>
        <w:t>IoT</w:t>
      </w:r>
      <w:proofErr w:type="spellEnd"/>
      <w:r w:rsidRPr="00091971">
        <w:rPr>
          <w:rFonts w:ascii="ITC Avant Garde" w:eastAsiaTheme="minorHAnsi" w:hAnsi="ITC Avant Garde" w:cstheme="minorBidi"/>
          <w:bCs/>
          <w:color w:val="auto"/>
          <w:lang w:eastAsia="en-US"/>
        </w:rPr>
        <w:t xml:space="preserve"> deben encontrarse apegados a las posibilidades de las tecnologías de red con las que cuenta Telcel, por lo que </w:t>
      </w:r>
      <w:r w:rsidR="004A5C41" w:rsidRPr="00091971">
        <w:rPr>
          <w:rFonts w:ascii="ITC Avant Garde" w:eastAsiaTheme="minorHAnsi" w:hAnsi="ITC Avant Garde" w:cstheme="minorBidi"/>
          <w:bCs/>
          <w:color w:val="auto"/>
          <w:lang w:eastAsia="en-US"/>
        </w:rPr>
        <w:t>se modific</w:t>
      </w:r>
      <w:r w:rsidR="001215C2">
        <w:rPr>
          <w:rFonts w:ascii="ITC Avant Garde" w:eastAsiaTheme="minorHAnsi" w:hAnsi="ITC Avant Garde" w:cstheme="minorBidi"/>
          <w:bCs/>
          <w:color w:val="auto"/>
          <w:lang w:eastAsia="en-US"/>
        </w:rPr>
        <w:t>ó</w:t>
      </w:r>
      <w:r w:rsidRPr="00091971">
        <w:rPr>
          <w:rFonts w:ascii="ITC Avant Garde" w:eastAsiaTheme="minorHAnsi" w:hAnsi="ITC Avant Garde" w:cstheme="minorBidi"/>
          <w:bCs/>
          <w:color w:val="auto"/>
          <w:lang w:eastAsia="en-US"/>
        </w:rPr>
        <w:t xml:space="preserve"> el numeral 6 del Anexo II Acuerdos Técnicos en los siguientes términos:</w:t>
      </w:r>
    </w:p>
    <w:p w14:paraId="6B674A32"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51C57D78" w14:textId="77777777" w:rsidR="00317C97" w:rsidRDefault="00317C97" w:rsidP="00317C97">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6. FUNCIONALIDADES O APLICACIONES PARA SERVICIOS DE DATOS.</w:t>
      </w:r>
    </w:p>
    <w:p w14:paraId="206B4BFF" w14:textId="77777777" w:rsidR="00317C97" w:rsidRDefault="00317C97" w:rsidP="00317C97">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F4F4296" w14:textId="77777777" w:rsidR="00317C97" w:rsidRDefault="00317C97" w:rsidP="00317C97">
      <w:pPr>
        <w:spacing w:after="0" w:line="276" w:lineRule="auto"/>
        <w:ind w:left="426" w:right="615" w:firstLine="0"/>
        <w:contextualSpacing/>
        <w:mirrorIndents/>
        <w:rPr>
          <w:rFonts w:ascii="ITC Avant Garde" w:eastAsia="Calibri" w:hAnsi="ITC Avant Garde" w:cs="Arial"/>
          <w:i/>
          <w:color w:val="auto"/>
          <w:sz w:val="18"/>
          <w:szCs w:val="18"/>
          <w:u w:val="single"/>
          <w:lang w:eastAsia="en-US"/>
        </w:rPr>
      </w:pPr>
      <w:r>
        <w:rPr>
          <w:rFonts w:ascii="ITC Avant Garde" w:eastAsia="Calibri" w:hAnsi="ITC Avant Garde" w:cs="Arial"/>
          <w:i/>
          <w:color w:val="auto"/>
          <w:sz w:val="18"/>
          <w:szCs w:val="18"/>
          <w:lang w:eastAsia="en-US"/>
        </w:rPr>
        <w:t xml:space="preserve">Las funcionalidades o aplicaciones para servicios de datos como Internet de las Cosas y/o Máquina a Máquina deberán apegarse, de manera no limitativa, a los estándares y recomendaciones de la GSMA, permitiendo al menos esquemas de baja tasa de transmisión de datos, alta tasa de transmisión de datos y bajos niveles latencia, mediante el uso de las tecnologías LTE y LTE-M (LTE-MTC </w:t>
      </w:r>
      <w:proofErr w:type="spellStart"/>
      <w:r>
        <w:rPr>
          <w:rFonts w:ascii="ITC Avant Garde" w:eastAsia="Calibri" w:hAnsi="ITC Avant Garde" w:cs="Arial"/>
          <w:i/>
          <w:color w:val="auto"/>
          <w:sz w:val="18"/>
          <w:szCs w:val="18"/>
          <w:lang w:eastAsia="en-US"/>
        </w:rPr>
        <w:t>low</w:t>
      </w:r>
      <w:proofErr w:type="spellEnd"/>
      <w:r>
        <w:rPr>
          <w:rFonts w:ascii="ITC Avant Garde" w:eastAsia="Calibri" w:hAnsi="ITC Avant Garde" w:cs="Arial"/>
          <w:i/>
          <w:color w:val="auto"/>
          <w:sz w:val="18"/>
          <w:szCs w:val="18"/>
          <w:lang w:eastAsia="en-US"/>
        </w:rPr>
        <w:t xml:space="preserve"> </w:t>
      </w:r>
      <w:proofErr w:type="spellStart"/>
      <w:r>
        <w:rPr>
          <w:rFonts w:ascii="ITC Avant Garde" w:eastAsia="Calibri" w:hAnsi="ITC Avant Garde" w:cs="Arial"/>
          <w:i/>
          <w:color w:val="auto"/>
          <w:sz w:val="18"/>
          <w:szCs w:val="18"/>
          <w:lang w:eastAsia="en-US"/>
        </w:rPr>
        <w:t>power</w:t>
      </w:r>
      <w:proofErr w:type="spellEnd"/>
      <w:r>
        <w:rPr>
          <w:rFonts w:ascii="ITC Avant Garde" w:eastAsia="Calibri" w:hAnsi="ITC Avant Garde" w:cs="Arial"/>
          <w:i/>
          <w:color w:val="auto"/>
          <w:sz w:val="18"/>
          <w:szCs w:val="18"/>
          <w:lang w:eastAsia="en-US"/>
        </w:rPr>
        <w:t xml:space="preserve"> </w:t>
      </w:r>
      <w:proofErr w:type="spellStart"/>
      <w:r>
        <w:rPr>
          <w:rFonts w:ascii="ITC Avant Garde" w:eastAsia="Calibri" w:hAnsi="ITC Avant Garde" w:cs="Arial"/>
          <w:i/>
          <w:color w:val="auto"/>
          <w:sz w:val="18"/>
          <w:szCs w:val="18"/>
          <w:lang w:eastAsia="en-US"/>
        </w:rPr>
        <w:t>wide</w:t>
      </w:r>
      <w:proofErr w:type="spellEnd"/>
      <w:r>
        <w:rPr>
          <w:rFonts w:ascii="ITC Avant Garde" w:eastAsia="Calibri" w:hAnsi="ITC Avant Garde" w:cs="Arial"/>
          <w:i/>
          <w:color w:val="auto"/>
          <w:sz w:val="18"/>
          <w:szCs w:val="18"/>
          <w:lang w:eastAsia="en-US"/>
        </w:rPr>
        <w:t xml:space="preserve"> </w:t>
      </w:r>
      <w:proofErr w:type="spellStart"/>
      <w:r>
        <w:rPr>
          <w:rFonts w:ascii="ITC Avant Garde" w:eastAsia="Calibri" w:hAnsi="ITC Avant Garde" w:cs="Arial"/>
          <w:i/>
          <w:color w:val="auto"/>
          <w:sz w:val="18"/>
          <w:szCs w:val="18"/>
          <w:lang w:eastAsia="en-US"/>
        </w:rPr>
        <w:t>area</w:t>
      </w:r>
      <w:proofErr w:type="spellEnd"/>
      <w:r>
        <w:rPr>
          <w:rFonts w:ascii="ITC Avant Garde" w:eastAsia="Calibri" w:hAnsi="ITC Avant Garde" w:cs="Arial"/>
          <w:i/>
          <w:color w:val="auto"/>
          <w:sz w:val="18"/>
          <w:szCs w:val="18"/>
          <w:lang w:eastAsia="en-US"/>
        </w:rPr>
        <w:t xml:space="preserve">) </w:t>
      </w:r>
      <w:r>
        <w:rPr>
          <w:rFonts w:ascii="ITC Avant Garde" w:eastAsia="Calibri" w:hAnsi="ITC Avant Garde" w:cs="Arial"/>
          <w:i/>
          <w:strike/>
          <w:color w:val="auto"/>
          <w:sz w:val="18"/>
          <w:szCs w:val="18"/>
          <w:lang w:eastAsia="en-US"/>
        </w:rPr>
        <w:t>y NB-</w:t>
      </w:r>
      <w:proofErr w:type="spellStart"/>
      <w:r>
        <w:rPr>
          <w:rFonts w:ascii="ITC Avant Garde" w:eastAsia="Calibri" w:hAnsi="ITC Avant Garde" w:cs="Arial"/>
          <w:i/>
          <w:strike/>
          <w:color w:val="auto"/>
          <w:sz w:val="18"/>
          <w:szCs w:val="18"/>
          <w:lang w:eastAsia="en-US"/>
        </w:rPr>
        <w:t>IoT</w:t>
      </w:r>
      <w:proofErr w:type="spellEnd"/>
      <w:r>
        <w:rPr>
          <w:rFonts w:ascii="ITC Avant Garde" w:eastAsia="Calibri" w:hAnsi="ITC Avant Garde" w:cs="Arial"/>
          <w:i/>
          <w:strike/>
          <w:color w:val="auto"/>
          <w:sz w:val="18"/>
          <w:szCs w:val="18"/>
          <w:lang w:eastAsia="en-US"/>
        </w:rPr>
        <w:t xml:space="preserve"> (“Narrow Band </w:t>
      </w:r>
      <w:proofErr w:type="spellStart"/>
      <w:r>
        <w:rPr>
          <w:rFonts w:ascii="ITC Avant Garde" w:eastAsia="Calibri" w:hAnsi="ITC Avant Garde" w:cs="Arial"/>
          <w:i/>
          <w:strike/>
          <w:color w:val="auto"/>
          <w:sz w:val="18"/>
          <w:szCs w:val="18"/>
          <w:lang w:eastAsia="en-US"/>
        </w:rPr>
        <w:t>IoT</w:t>
      </w:r>
      <w:proofErr w:type="spellEnd"/>
      <w:r>
        <w:rPr>
          <w:rFonts w:ascii="ITC Avant Garde" w:eastAsia="Calibri" w:hAnsi="ITC Avant Garde" w:cs="Arial"/>
          <w:i/>
          <w:strike/>
          <w:color w:val="auto"/>
          <w:sz w:val="18"/>
          <w:szCs w:val="18"/>
          <w:lang w:eastAsia="en-US"/>
        </w:rPr>
        <w:t>”)</w:t>
      </w:r>
      <w:r>
        <w:rPr>
          <w:rFonts w:ascii="ITC Avant Garde" w:eastAsia="Calibri" w:hAnsi="ITC Avant Garde" w:cs="Arial"/>
          <w:i/>
          <w:color w:val="auto"/>
          <w:sz w:val="18"/>
          <w:szCs w:val="18"/>
          <w:lang w:eastAsia="en-US"/>
        </w:rPr>
        <w:t xml:space="preserve"> </w:t>
      </w:r>
      <w:r>
        <w:rPr>
          <w:rFonts w:ascii="ITC Avant Garde" w:eastAsia="Calibri" w:hAnsi="ITC Avant Garde" w:cs="Arial"/>
          <w:i/>
          <w:color w:val="auto"/>
          <w:sz w:val="18"/>
          <w:szCs w:val="18"/>
          <w:u w:val="single"/>
          <w:lang w:eastAsia="en-US"/>
        </w:rPr>
        <w:t>así como cualquier otra tecnología disponible en su red, para lo cual  las partes deberán suscribir la modificación correspondiente del documento Términos y Lineamientos Técnicos.</w:t>
      </w:r>
    </w:p>
    <w:p w14:paraId="2EBA633D" w14:textId="77777777" w:rsidR="00317C97" w:rsidRDefault="00317C97" w:rsidP="00317C97">
      <w:pPr>
        <w:spacing w:after="0" w:line="276" w:lineRule="auto"/>
        <w:ind w:left="426" w:right="615" w:firstLine="0"/>
        <w:contextualSpacing/>
        <w:mirrorIndents/>
        <w:rPr>
          <w:rFonts w:ascii="ITC Avant Garde" w:hAnsi="ITC Avant Garde" w:cs="Arial"/>
          <w:i/>
          <w:sz w:val="18"/>
          <w:szCs w:val="18"/>
        </w:rPr>
      </w:pPr>
      <w:r>
        <w:rPr>
          <w:rFonts w:ascii="ITC Avant Garde" w:eastAsia="Calibri" w:hAnsi="ITC Avant Garde" w:cs="Arial"/>
          <w:i/>
          <w:color w:val="auto"/>
          <w:sz w:val="18"/>
          <w:szCs w:val="18"/>
          <w:lang w:eastAsia="en-US"/>
        </w:rPr>
        <w:t>(…)”</w:t>
      </w:r>
    </w:p>
    <w:p w14:paraId="3F7DE078" w14:textId="77777777" w:rsidR="00317C97" w:rsidRDefault="00317C97" w:rsidP="00317C97">
      <w:pPr>
        <w:spacing w:after="0" w:line="276" w:lineRule="auto"/>
        <w:ind w:left="426" w:right="615" w:firstLine="0"/>
        <w:contextualSpacing/>
        <w:mirrorIndents/>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2D91B2E9"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498969B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7A864FF"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Referente a que se especifiquen las tarifas para estas funcionalidades, se señala que el numeral 6 “Funcionalidades o aplicaciones para servicios de datos” del Anexo II Acuerdos Técnicos, permite la integración de servicios máquina a máquina (M2M), Internet de las Cosas (</w:t>
      </w:r>
      <w:proofErr w:type="spellStart"/>
      <w:r w:rsidRPr="00091971">
        <w:rPr>
          <w:rFonts w:ascii="ITC Avant Garde" w:eastAsiaTheme="minorHAnsi" w:hAnsi="ITC Avant Garde" w:cstheme="minorBidi"/>
          <w:bCs/>
          <w:color w:val="auto"/>
          <w:lang w:eastAsia="en-US"/>
        </w:rPr>
        <w:t>IoT</w:t>
      </w:r>
      <w:proofErr w:type="spellEnd"/>
      <w:r w:rsidRPr="00091971">
        <w:rPr>
          <w:rFonts w:ascii="ITC Avant Garde" w:eastAsiaTheme="minorHAnsi" w:hAnsi="ITC Avant Garde" w:cstheme="minorBidi"/>
          <w:bCs/>
          <w:color w:val="auto"/>
          <w:lang w:eastAsia="en-US"/>
        </w:rPr>
        <w:t xml:space="preserve">) así como de servicios de Internet en el hogar, privilegiando el acuerdo entre las partes en virtud de las diversas soluciones y esquemas de tasación que pudieran existir. </w:t>
      </w:r>
    </w:p>
    <w:p w14:paraId="52375F3B"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14D370C"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lastRenderedPageBreak/>
        <w:t>Asimismo, en caso de desacuerdo respecto a la tarifa aplicable a los servicios prestados a través de la Oferta, el OMV podrá solicitar al Instituto que resuelva sobre los términos, condiciones y tarifas que no lograron acordar con base en lo establecido en la Medida Sexagésima Primera de las Medidas Móviles.</w:t>
      </w:r>
    </w:p>
    <w:p w14:paraId="7A458E5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53F889E" w14:textId="0A4F8DE3"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2169063E"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Solicita permitir la señalización de los elementos de Core que tiene Telcel y que está ofreciendo como parte del servicio, entre los que se deberá incluir el MME, indicando que la funcionalidad </w:t>
      </w:r>
      <w:proofErr w:type="spellStart"/>
      <w:r w:rsidRPr="00091971">
        <w:rPr>
          <w:rFonts w:ascii="ITC Avant Garde" w:eastAsiaTheme="minorHAnsi" w:hAnsi="ITC Avant Garde" w:cstheme="minorBidi"/>
          <w:bCs/>
          <w:color w:val="auto"/>
          <w:lang w:eastAsia="en-US"/>
        </w:rPr>
        <w:t>Circuit</w:t>
      </w:r>
      <w:proofErr w:type="spellEnd"/>
      <w:r w:rsidRPr="00091971">
        <w:rPr>
          <w:rFonts w:ascii="ITC Avant Garde" w:eastAsiaTheme="minorHAnsi" w:hAnsi="ITC Avant Garde" w:cstheme="minorBidi"/>
          <w:bCs/>
          <w:color w:val="auto"/>
          <w:lang w:eastAsia="en-US"/>
        </w:rPr>
        <w:t xml:space="preserve"> </w:t>
      </w:r>
      <w:proofErr w:type="spellStart"/>
      <w:r w:rsidRPr="00091971">
        <w:rPr>
          <w:rFonts w:ascii="ITC Avant Garde" w:eastAsiaTheme="minorHAnsi" w:hAnsi="ITC Avant Garde" w:cstheme="minorBidi"/>
          <w:bCs/>
          <w:color w:val="auto"/>
          <w:lang w:eastAsia="en-US"/>
        </w:rPr>
        <w:t>Switched</w:t>
      </w:r>
      <w:proofErr w:type="spellEnd"/>
      <w:r w:rsidRPr="00091971">
        <w:rPr>
          <w:rFonts w:ascii="ITC Avant Garde" w:eastAsiaTheme="minorHAnsi" w:hAnsi="ITC Avant Garde" w:cstheme="minorBidi"/>
          <w:bCs/>
          <w:color w:val="auto"/>
          <w:lang w:eastAsia="en-US"/>
        </w:rPr>
        <w:t xml:space="preserve"> </w:t>
      </w:r>
      <w:proofErr w:type="spellStart"/>
      <w:r w:rsidRPr="00091971">
        <w:rPr>
          <w:rFonts w:ascii="ITC Avant Garde" w:eastAsiaTheme="minorHAnsi" w:hAnsi="ITC Avant Garde" w:cstheme="minorBidi"/>
          <w:bCs/>
          <w:color w:val="auto"/>
          <w:lang w:eastAsia="en-US"/>
        </w:rPr>
        <w:t>Fallback</w:t>
      </w:r>
      <w:proofErr w:type="spellEnd"/>
      <w:r w:rsidRPr="00091971">
        <w:rPr>
          <w:rFonts w:ascii="ITC Avant Garde" w:eastAsiaTheme="minorHAnsi" w:hAnsi="ITC Avant Garde" w:cstheme="minorBidi"/>
          <w:bCs/>
          <w:color w:val="auto"/>
          <w:lang w:eastAsia="en-US"/>
        </w:rPr>
        <w:t xml:space="preserve"> (CSFB, por sus siglas en inglés) debe ser considerada en la Oferta.  Asimismo, señala que se debe incluir el modelo Multi IMSI dentro de las adecuaciones que deberá realizar Telcel en la habilitación del servicio </w:t>
      </w:r>
      <w:proofErr w:type="gramStart"/>
      <w:r w:rsidRPr="00091971">
        <w:rPr>
          <w:rFonts w:ascii="ITC Avant Garde" w:eastAsiaTheme="minorHAnsi" w:hAnsi="ITC Avant Garde" w:cstheme="minorBidi"/>
          <w:bCs/>
          <w:color w:val="auto"/>
          <w:lang w:eastAsia="en-US"/>
        </w:rPr>
        <w:t xml:space="preserve">de </w:t>
      </w:r>
      <w:proofErr w:type="spellStart"/>
      <w:r w:rsidRPr="00091971">
        <w:rPr>
          <w:rFonts w:ascii="ITC Avant Garde" w:eastAsiaTheme="minorHAnsi" w:hAnsi="ITC Avant Garde" w:cstheme="minorBidi"/>
          <w:bCs/>
          <w:color w:val="auto"/>
          <w:lang w:eastAsia="en-US"/>
        </w:rPr>
        <w:t>Roaming</w:t>
      </w:r>
      <w:proofErr w:type="spellEnd"/>
      <w:proofErr w:type="gramEnd"/>
      <w:r w:rsidRPr="00091971">
        <w:rPr>
          <w:rFonts w:ascii="ITC Avant Garde" w:eastAsiaTheme="minorHAnsi" w:hAnsi="ITC Avant Garde" w:cstheme="minorBidi"/>
          <w:bCs/>
          <w:color w:val="auto"/>
          <w:lang w:eastAsia="en-US"/>
        </w:rPr>
        <w:t xml:space="preserve"> Internacional.</w:t>
      </w:r>
    </w:p>
    <w:p w14:paraId="5521414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56DC1142"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0A5111F1" w14:textId="4D7161ED" w:rsidR="00C52C0C" w:rsidRPr="00C52C0C" w:rsidRDefault="00F54E77" w:rsidP="00C52C0C">
      <w:pPr>
        <w:spacing w:after="0" w:line="276" w:lineRule="auto"/>
        <w:rPr>
          <w:rFonts w:ascii="ITC Avant Garde" w:eastAsiaTheme="minorHAnsi" w:hAnsi="ITC Avant Garde" w:cstheme="minorBidi"/>
          <w:bCs/>
          <w:color w:val="auto"/>
          <w:lang w:eastAsia="en-US"/>
        </w:rPr>
      </w:pPr>
      <w:r w:rsidRPr="00F54E77">
        <w:rPr>
          <w:rFonts w:ascii="ITC Avant Garde" w:eastAsiaTheme="minorHAnsi" w:hAnsi="ITC Avant Garde" w:cstheme="minorBidi"/>
          <w:bCs/>
          <w:color w:val="auto"/>
          <w:lang w:eastAsia="en-US"/>
        </w:rPr>
        <w:t xml:space="preserve">La </w:t>
      </w:r>
      <w:r w:rsidR="00C52C0C">
        <w:rPr>
          <w:rFonts w:ascii="ITC Avant Garde" w:eastAsiaTheme="minorHAnsi" w:hAnsi="ITC Avant Garde" w:cstheme="minorBidi"/>
          <w:bCs/>
          <w:color w:val="auto"/>
          <w:lang w:eastAsia="en-US"/>
        </w:rPr>
        <w:t>Oferta</w:t>
      </w:r>
      <w:r w:rsidRPr="00F54E77">
        <w:rPr>
          <w:rFonts w:ascii="ITC Avant Garde" w:eastAsiaTheme="minorHAnsi" w:hAnsi="ITC Avant Garde" w:cstheme="minorBidi"/>
          <w:bCs/>
          <w:color w:val="auto"/>
          <w:lang w:eastAsia="en-US"/>
        </w:rPr>
        <w:t xml:space="preserve"> </w:t>
      </w:r>
      <w:r w:rsidR="00F379BA">
        <w:rPr>
          <w:rFonts w:ascii="ITC Avant Garde" w:eastAsiaTheme="minorHAnsi" w:hAnsi="ITC Avant Garde" w:cstheme="minorBidi"/>
          <w:bCs/>
          <w:color w:val="auto"/>
          <w:lang w:eastAsia="en-US"/>
        </w:rPr>
        <w:t>permit</w:t>
      </w:r>
      <w:r w:rsidR="001215C2">
        <w:rPr>
          <w:rFonts w:ascii="ITC Avant Garde" w:eastAsiaTheme="minorHAnsi" w:hAnsi="ITC Avant Garde" w:cstheme="minorBidi"/>
          <w:bCs/>
          <w:color w:val="auto"/>
          <w:lang w:eastAsia="en-US"/>
        </w:rPr>
        <w:t>e</w:t>
      </w:r>
      <w:r w:rsidRPr="00F54E77">
        <w:rPr>
          <w:rFonts w:ascii="ITC Avant Garde" w:eastAsiaTheme="minorHAnsi" w:hAnsi="ITC Avant Garde" w:cstheme="minorBidi"/>
          <w:bCs/>
          <w:color w:val="auto"/>
          <w:lang w:eastAsia="en-US"/>
        </w:rPr>
        <w:t xml:space="preserve"> </w:t>
      </w:r>
      <w:r w:rsidR="00F379BA" w:rsidRPr="00F54E77">
        <w:rPr>
          <w:rFonts w:ascii="ITC Avant Garde" w:eastAsiaTheme="minorHAnsi" w:hAnsi="ITC Avant Garde" w:cstheme="minorBidi"/>
          <w:bCs/>
          <w:color w:val="auto"/>
          <w:lang w:eastAsia="en-US"/>
        </w:rPr>
        <w:t>al OMV</w:t>
      </w:r>
      <w:r w:rsidRPr="00F54E77">
        <w:rPr>
          <w:rFonts w:ascii="ITC Avant Garde" w:eastAsiaTheme="minorHAnsi" w:hAnsi="ITC Avant Garde" w:cstheme="minorBidi"/>
          <w:bCs/>
          <w:color w:val="auto"/>
          <w:lang w:eastAsia="en-US"/>
        </w:rPr>
        <w:t xml:space="preserve"> solicitar </w:t>
      </w:r>
      <w:r w:rsidR="00C52C0C">
        <w:rPr>
          <w:rFonts w:ascii="ITC Avant Garde" w:eastAsiaTheme="minorHAnsi" w:hAnsi="ITC Avant Garde" w:cstheme="minorBidi"/>
          <w:bCs/>
          <w:color w:val="auto"/>
          <w:lang w:eastAsia="en-US"/>
        </w:rPr>
        <w:t xml:space="preserve">de manera específica </w:t>
      </w:r>
      <w:r w:rsidRPr="00F54E77">
        <w:rPr>
          <w:rFonts w:ascii="ITC Avant Garde" w:eastAsiaTheme="minorHAnsi" w:hAnsi="ITC Avant Garde" w:cstheme="minorBidi"/>
          <w:bCs/>
          <w:color w:val="auto"/>
          <w:lang w:eastAsia="en-US"/>
        </w:rPr>
        <w:t xml:space="preserve">la incorporación de elementos </w:t>
      </w:r>
      <w:r w:rsidR="00C52C0C">
        <w:rPr>
          <w:rFonts w:ascii="ITC Avant Garde" w:eastAsiaTheme="minorHAnsi" w:hAnsi="ITC Avant Garde" w:cstheme="minorBidi"/>
          <w:bCs/>
          <w:color w:val="auto"/>
          <w:lang w:eastAsia="en-US"/>
        </w:rPr>
        <w:t>necesarios</w:t>
      </w:r>
      <w:r w:rsidRPr="00F54E77">
        <w:rPr>
          <w:rFonts w:ascii="ITC Avant Garde" w:eastAsiaTheme="minorHAnsi" w:hAnsi="ITC Avant Garde" w:cstheme="minorBidi"/>
          <w:bCs/>
          <w:color w:val="auto"/>
          <w:lang w:eastAsia="en-US"/>
        </w:rPr>
        <w:t xml:space="preserve"> para la provisión del servicio</w:t>
      </w:r>
      <w:r w:rsidR="00C52C0C">
        <w:rPr>
          <w:rFonts w:ascii="ITC Avant Garde" w:eastAsiaTheme="minorHAnsi" w:hAnsi="ITC Avant Garde" w:cstheme="minorBidi"/>
          <w:bCs/>
          <w:color w:val="auto"/>
          <w:lang w:eastAsia="en-US"/>
        </w:rPr>
        <w:t xml:space="preserve">, para lo cual Telcel </w:t>
      </w:r>
      <w:r w:rsidR="00C52C0C" w:rsidRPr="00C52C0C">
        <w:rPr>
          <w:rFonts w:ascii="ITC Avant Garde" w:eastAsiaTheme="minorHAnsi" w:hAnsi="ITC Avant Garde" w:cstheme="minorBidi"/>
          <w:bCs/>
          <w:color w:val="auto"/>
          <w:lang w:eastAsia="en-US"/>
        </w:rPr>
        <w:t>notificará al OMV los plazos y costos que se generen por la integración del elemento al esquema solicitado por el OMV.</w:t>
      </w:r>
    </w:p>
    <w:p w14:paraId="5DFD38F6" w14:textId="77777777" w:rsidR="00C52C0C" w:rsidRPr="00091971" w:rsidRDefault="00C52C0C" w:rsidP="005E0959">
      <w:pPr>
        <w:spacing w:after="0" w:line="276" w:lineRule="auto"/>
        <w:rPr>
          <w:rFonts w:ascii="ITC Avant Garde" w:eastAsiaTheme="minorHAnsi" w:hAnsi="ITC Avant Garde" w:cstheme="minorBidi"/>
          <w:bCs/>
          <w:color w:val="auto"/>
          <w:lang w:eastAsia="en-US"/>
        </w:rPr>
      </w:pPr>
    </w:p>
    <w:p w14:paraId="5A21D05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Asimismo, el numeral 3.1.6.2.2 del Anexo II establece que Telcel brindará la solución de Dual IMSI para prestar el servicio </w:t>
      </w:r>
      <w:proofErr w:type="gramStart"/>
      <w:r w:rsidRPr="00091971">
        <w:rPr>
          <w:rFonts w:ascii="ITC Avant Garde" w:eastAsiaTheme="minorHAnsi" w:hAnsi="ITC Avant Garde" w:cstheme="minorBidi"/>
          <w:bCs/>
          <w:color w:val="auto"/>
          <w:lang w:eastAsia="en-US"/>
        </w:rPr>
        <w:t xml:space="preserve">de </w:t>
      </w:r>
      <w:proofErr w:type="spellStart"/>
      <w:r w:rsidRPr="00091971">
        <w:rPr>
          <w:rFonts w:ascii="ITC Avant Garde" w:eastAsiaTheme="minorHAnsi" w:hAnsi="ITC Avant Garde" w:cstheme="minorBidi"/>
          <w:bCs/>
          <w:color w:val="auto"/>
          <w:lang w:eastAsia="en-US"/>
        </w:rPr>
        <w:t>Roaming</w:t>
      </w:r>
      <w:proofErr w:type="spellEnd"/>
      <w:proofErr w:type="gramEnd"/>
      <w:r w:rsidRPr="00091971">
        <w:rPr>
          <w:rFonts w:ascii="ITC Avant Garde" w:eastAsiaTheme="minorHAnsi" w:hAnsi="ITC Avant Garde" w:cstheme="minorBidi"/>
          <w:bCs/>
          <w:color w:val="auto"/>
          <w:lang w:eastAsia="en-US"/>
        </w:rPr>
        <w:t xml:space="preserve"> Internacional:</w:t>
      </w:r>
    </w:p>
    <w:p w14:paraId="2C08C181" w14:textId="77777777" w:rsidR="00091971" w:rsidRPr="00091971" w:rsidRDefault="00091971" w:rsidP="001215C2">
      <w:pPr>
        <w:spacing w:after="0" w:line="276" w:lineRule="auto"/>
        <w:ind w:left="0" w:firstLine="0"/>
        <w:rPr>
          <w:rFonts w:ascii="ITC Avant Garde" w:eastAsiaTheme="minorHAnsi" w:hAnsi="ITC Avant Garde" w:cstheme="minorBidi"/>
          <w:bCs/>
          <w:color w:val="auto"/>
          <w:lang w:eastAsia="en-US"/>
        </w:rPr>
      </w:pPr>
    </w:p>
    <w:p w14:paraId="44F7CAD7"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ANEXO XIII PENAS CONVENCIONALES</w:t>
      </w:r>
    </w:p>
    <w:p w14:paraId="712D65DB"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p>
    <w:p w14:paraId="75A974E5"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Alestra:</w:t>
      </w:r>
    </w:p>
    <w:p w14:paraId="00F67C9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Señala que no se justifica establecer el 98% de disponibilidad para el caso de los Enlaces propuesto por el AEP, indicando que la misma afecta la calidad del servicio frente a los usuarios finales, limitando la responsabilidad del AEP, por lo que señala que el porcentaje de disponibilidad tanto de la plataforma como del Enlace debe ser al menos del 99.5%.</w:t>
      </w:r>
    </w:p>
    <w:p w14:paraId="0B16690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5C7DF8C"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24E5542E" w14:textId="0CBF6904" w:rsidR="00FC35FB" w:rsidRDefault="00091971" w:rsidP="001215C2">
      <w:pPr>
        <w:spacing w:after="0" w:line="276" w:lineRule="auto"/>
        <w:rPr>
          <w:rFonts w:ascii="ITC Avant Garde" w:eastAsia="Calibri" w:hAnsi="ITC Avant Garde" w:cs="Arial"/>
          <w:iCs/>
          <w:color w:val="auto"/>
          <w:sz w:val="18"/>
          <w:szCs w:val="18"/>
          <w:lang w:eastAsia="en-US"/>
        </w:rPr>
      </w:pPr>
      <w:r w:rsidRPr="00091971">
        <w:rPr>
          <w:rFonts w:ascii="ITC Avant Garde" w:eastAsiaTheme="minorHAnsi" w:hAnsi="ITC Avant Garde" w:cstheme="minorBidi"/>
          <w:bCs/>
          <w:color w:val="auto"/>
          <w:lang w:eastAsia="en-US"/>
        </w:rPr>
        <w:t>Se señala que la Oferta establece en el numeral II del Anexo XIII que los enlaces serán solicitados por el OMV con el proveedor de su elección</w:t>
      </w:r>
      <w:r w:rsidR="001215C2">
        <w:rPr>
          <w:rFonts w:ascii="ITC Avant Garde" w:eastAsiaTheme="minorHAnsi" w:hAnsi="ITC Avant Garde" w:cstheme="minorBidi"/>
          <w:bCs/>
          <w:color w:val="auto"/>
          <w:lang w:eastAsia="en-US"/>
        </w:rPr>
        <w:t>.</w:t>
      </w:r>
    </w:p>
    <w:p w14:paraId="42DB386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4642C34D" w14:textId="57291F82" w:rsidR="00091971" w:rsidRPr="00091971" w:rsidRDefault="00091971" w:rsidP="001215C2">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Asimismo, la afectación atribuible a Telcel es por la incapacidad de cursar tráfico una vez que la capacidad del enlace ha sido comprobada</w:t>
      </w:r>
      <w:r w:rsidR="001215C2">
        <w:rPr>
          <w:rFonts w:ascii="ITC Avant Garde" w:eastAsiaTheme="minorHAnsi" w:hAnsi="ITC Avant Garde" w:cstheme="minorBidi"/>
          <w:bCs/>
          <w:color w:val="auto"/>
          <w:lang w:eastAsia="en-US"/>
        </w:rPr>
        <w:t xml:space="preserve">. </w:t>
      </w:r>
      <w:r w:rsidRPr="00091971">
        <w:rPr>
          <w:rFonts w:ascii="ITC Avant Garde" w:eastAsiaTheme="minorHAnsi" w:hAnsi="ITC Avant Garde" w:cstheme="minorBidi"/>
          <w:bCs/>
          <w:color w:val="auto"/>
          <w:lang w:eastAsia="en-US"/>
        </w:rPr>
        <w:t xml:space="preserve">En tal sentido, la compensación establecida en el numeral II Enlace del Anexo XIII, no se refiere a la disponibilidad de un servicio en sí mismo prestado por Telcel, y atiende al caso en que por acción u omisión, Telcel imposibilitara que se cursara tráfico a través de un enlace cuya capacidad operativa ya ha sido validada y que no es provisto por Telcel, pues </w:t>
      </w:r>
      <w:r w:rsidRPr="00091971">
        <w:rPr>
          <w:rFonts w:ascii="ITC Avant Garde" w:eastAsiaTheme="minorHAnsi" w:hAnsi="ITC Avant Garde" w:cstheme="minorBidi"/>
          <w:bCs/>
          <w:color w:val="auto"/>
          <w:lang w:eastAsia="en-US"/>
        </w:rPr>
        <w:lastRenderedPageBreak/>
        <w:t xml:space="preserve">el mismo puede ser aprovisionado por el proveedor que seleccione el OMV, por lo que el porcentaje al que se refiere dicho numeral no puede ser equiparable al de un servicio prestado directamente por Telcel como es el caso de la Plataforma de Habilitación de los Servicios. </w:t>
      </w:r>
    </w:p>
    <w:p w14:paraId="0A4B3D23"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3752B3B"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ANEXO XVI CONVENIO MARCO</w:t>
      </w:r>
    </w:p>
    <w:p w14:paraId="41081CCC" w14:textId="77777777" w:rsidR="00091971" w:rsidRPr="00091971" w:rsidRDefault="00091971" w:rsidP="005E0959">
      <w:pPr>
        <w:spacing w:after="0" w:line="276" w:lineRule="auto"/>
        <w:rPr>
          <w:rFonts w:ascii="ITC Avant Garde" w:eastAsiaTheme="minorHAnsi" w:hAnsi="ITC Avant Garde" w:cstheme="minorBidi"/>
          <w:b/>
          <w:color w:val="auto"/>
          <w:u w:val="single"/>
          <w:lang w:eastAsia="en-US"/>
        </w:rPr>
      </w:pPr>
      <w:bookmarkStart w:id="0" w:name="Lugarformadepago4_4_1"/>
      <w:r w:rsidRPr="00091971">
        <w:rPr>
          <w:rFonts w:ascii="ITC Avant Garde" w:eastAsiaTheme="minorHAnsi" w:hAnsi="ITC Avant Garde" w:cstheme="minorBidi"/>
          <w:b/>
          <w:color w:val="auto"/>
          <w:u w:val="single"/>
          <w:lang w:eastAsia="en-US"/>
        </w:rPr>
        <w:t>4.4.1 Lugar y Forma de Pago de las Facturas.</w:t>
      </w:r>
      <w:bookmarkEnd w:id="0"/>
    </w:p>
    <w:p w14:paraId="5B708583" w14:textId="77777777" w:rsidR="00FC35FB" w:rsidRDefault="00FC35FB" w:rsidP="005E0959">
      <w:pPr>
        <w:spacing w:after="0" w:line="276" w:lineRule="auto"/>
        <w:rPr>
          <w:rFonts w:ascii="ITC Avant Garde" w:eastAsiaTheme="minorHAnsi" w:hAnsi="ITC Avant Garde" w:cstheme="minorBidi"/>
          <w:b/>
          <w:color w:val="auto"/>
          <w:lang w:eastAsia="en-US"/>
        </w:rPr>
      </w:pPr>
    </w:p>
    <w:p w14:paraId="6F4597F2" w14:textId="5FC31E5B"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5BE316F3"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Solicita que la cotización y la facturación de los servicios prestados se establezcan en la misma moneda a efecto de evitar retrasos por situaciones externas a los Concesionarios Solicitantes en el momento de realizar los pagos, tales como al momento de realizar el cambio de divisas. </w:t>
      </w:r>
    </w:p>
    <w:p w14:paraId="31F441D1"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28DCB1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Asimismo, solicita aumentar el plazo para los pagos por la prestación de los servicios de 18 días naturales a 30 días naturales.</w:t>
      </w:r>
    </w:p>
    <w:p w14:paraId="14B4F4DE"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D22B560"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7CDF14C0" w14:textId="7351D579" w:rsidR="00091971" w:rsidRDefault="00091971" w:rsidP="00B25B21">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La cláusula 4.2 de la Oferta establece que cualquier contraprestación, gasto o reembolso será pagada en pesos</w:t>
      </w:r>
      <w:r w:rsidR="00B25B21">
        <w:rPr>
          <w:rFonts w:ascii="ITC Avant Garde" w:eastAsiaTheme="minorHAnsi" w:hAnsi="ITC Avant Garde" w:cstheme="minorBidi"/>
          <w:bCs/>
          <w:color w:val="auto"/>
          <w:lang w:eastAsia="en-US"/>
        </w:rPr>
        <w:t>.</w:t>
      </w:r>
    </w:p>
    <w:p w14:paraId="25777A52" w14:textId="77777777" w:rsidR="00B25B21" w:rsidRPr="00091971" w:rsidRDefault="00B25B21" w:rsidP="00B25B21">
      <w:pPr>
        <w:spacing w:after="0" w:line="276" w:lineRule="auto"/>
        <w:rPr>
          <w:rFonts w:ascii="ITC Avant Garde" w:eastAsiaTheme="minorHAnsi" w:hAnsi="ITC Avant Garde" w:cstheme="minorBidi"/>
          <w:bCs/>
          <w:color w:val="auto"/>
          <w:lang w:eastAsia="en-US"/>
        </w:rPr>
      </w:pPr>
    </w:p>
    <w:p w14:paraId="152C04DC" w14:textId="50A4DDD6"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Por otra parte, el ampliar los plazos de 18 a 30 días implicaría postergar hasta 30 días naturales los procesos de revisión de facturas y pago de </w:t>
      </w:r>
      <w:r w:rsidR="00B25B21" w:rsidRPr="00091971">
        <w:rPr>
          <w:rFonts w:ascii="ITC Avant Garde" w:eastAsiaTheme="minorHAnsi" w:hAnsi="ITC Avant Garde" w:cstheme="minorBidi"/>
          <w:bCs/>
          <w:color w:val="auto"/>
          <w:lang w:eastAsia="en-US"/>
        </w:rPr>
        <w:t>estas</w:t>
      </w:r>
      <w:r w:rsidRPr="00091971">
        <w:rPr>
          <w:rFonts w:ascii="ITC Avant Garde" w:eastAsiaTheme="minorHAnsi" w:hAnsi="ITC Avant Garde" w:cstheme="minorBidi"/>
          <w:bCs/>
          <w:color w:val="auto"/>
          <w:lang w:eastAsia="en-US"/>
        </w:rPr>
        <w:t xml:space="preserve">, lo cual retrasa </w:t>
      </w:r>
      <w:r w:rsidR="00D203FD">
        <w:rPr>
          <w:rFonts w:ascii="ITC Avant Garde" w:eastAsiaTheme="minorHAnsi" w:hAnsi="ITC Avant Garde" w:cstheme="minorBidi"/>
          <w:bCs/>
          <w:color w:val="auto"/>
          <w:lang w:eastAsia="en-US"/>
        </w:rPr>
        <w:t>injustificadamente</w:t>
      </w:r>
      <w:r w:rsidRPr="00091971">
        <w:rPr>
          <w:rFonts w:ascii="ITC Avant Garde" w:eastAsiaTheme="minorHAnsi" w:hAnsi="ITC Avant Garde" w:cstheme="minorBidi"/>
          <w:bCs/>
          <w:color w:val="auto"/>
          <w:lang w:eastAsia="en-US"/>
        </w:rPr>
        <w:t xml:space="preserve"> el proceso de facturación</w:t>
      </w:r>
    </w:p>
    <w:p w14:paraId="54C3302E" w14:textId="77777777" w:rsidR="00091971" w:rsidRPr="00091971" w:rsidRDefault="00091971" w:rsidP="005E0959">
      <w:pPr>
        <w:spacing w:after="0" w:line="276" w:lineRule="auto"/>
        <w:rPr>
          <w:rFonts w:ascii="ITC Avant Garde" w:eastAsiaTheme="minorHAnsi" w:hAnsi="ITC Avant Garde" w:cstheme="minorBidi"/>
          <w:bCs/>
          <w:color w:val="auto"/>
          <w:u w:val="single"/>
          <w:lang w:eastAsia="en-US"/>
        </w:rPr>
      </w:pPr>
    </w:p>
    <w:p w14:paraId="5F1C40C2" w14:textId="77777777" w:rsidR="00091971" w:rsidRPr="00091971" w:rsidRDefault="00091971" w:rsidP="005E0959">
      <w:pPr>
        <w:spacing w:after="0" w:line="276" w:lineRule="auto"/>
        <w:rPr>
          <w:rFonts w:ascii="ITC Avant Garde" w:eastAsiaTheme="minorHAnsi" w:hAnsi="ITC Avant Garde" w:cstheme="minorBidi"/>
          <w:b/>
          <w:color w:val="auto"/>
          <w:u w:val="single"/>
          <w:lang w:eastAsia="en-US"/>
        </w:rPr>
      </w:pPr>
      <w:r w:rsidRPr="00091971">
        <w:rPr>
          <w:rFonts w:ascii="ITC Avant Garde" w:eastAsiaTheme="minorHAnsi" w:hAnsi="ITC Avant Garde" w:cstheme="minorBidi"/>
          <w:b/>
          <w:color w:val="auto"/>
          <w:u w:val="single"/>
          <w:lang w:eastAsia="en-US"/>
        </w:rPr>
        <w:t>Cláusula Séptima. Continuidad y Suspensión de los Servicios de Comercialización o Reventa de Servicios.</w:t>
      </w:r>
    </w:p>
    <w:p w14:paraId="59ED2978"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A5CB602"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51BF6DA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Solicita la separación entre las suspensiones aplicadas por el AEP frente a incumplimientos por el pago, para que no aplique la suspensión total de todos los servicios en caso de presentarse inconvenientes en algún pago.</w:t>
      </w:r>
    </w:p>
    <w:p w14:paraId="37DD798E"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468CFBAD"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Asimismo, solicita la creación de un sistema o plataforma en la que se determine qué servicio presenta una falta de pago, la cual puede ser incluida en el SEG, con el fin de facilitar la implementación y los trámites para las partes.</w:t>
      </w:r>
    </w:p>
    <w:p w14:paraId="299FF371"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84AF67C"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También solicita aumentar el plazo que reciben los OMV de 10 a 30 días hábiles si omiten realizar el pago del monto total adeudado. Además, solicita incluir en la solicitud de servicios los plazos para la liberación comercial de los servicios que no cuentan con esta información.</w:t>
      </w:r>
    </w:p>
    <w:p w14:paraId="6EDEFB5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B5D2207"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46B941D5" w14:textId="4C32D7EE" w:rsidR="00091971" w:rsidRPr="00091971" w:rsidRDefault="00091971" w:rsidP="00B25B21">
      <w:pPr>
        <w:spacing w:after="0" w:line="276" w:lineRule="auto"/>
        <w:rPr>
          <w:rFonts w:ascii="ITC Avant Garde" w:eastAsiaTheme="minorHAnsi" w:hAnsi="ITC Avant Garde" w:cstheme="minorBidi"/>
          <w:bCs/>
          <w:color w:val="auto"/>
          <w:sz w:val="18"/>
          <w:szCs w:val="18"/>
          <w:lang w:eastAsia="en-US"/>
        </w:rPr>
      </w:pPr>
      <w:r w:rsidRPr="00091971">
        <w:rPr>
          <w:rFonts w:ascii="ITC Avant Garde" w:eastAsiaTheme="minorHAnsi" w:hAnsi="ITC Avant Garde" w:cstheme="minorBidi"/>
          <w:bCs/>
          <w:color w:val="auto"/>
          <w:lang w:eastAsia="en-US"/>
        </w:rPr>
        <w:t>Se señala que, en el esquema de pago anticipado, se contempla que el OMV recibirá un primer aviso a través del SEG una vez que éste haya consumido el 60% de la Bolsa Revolvente para evitar la suspensión parcial o total de los servicios. Además, el OMV recibirá un segundo aviso a través del SEG una vez que haya consumido el 95% de la Bolsa Revolvente</w:t>
      </w:r>
      <w:r w:rsidR="00B25B21">
        <w:rPr>
          <w:rFonts w:ascii="ITC Avant Garde" w:eastAsiaTheme="minorHAnsi" w:hAnsi="ITC Avant Garde" w:cstheme="minorBidi"/>
          <w:bCs/>
          <w:color w:val="auto"/>
          <w:lang w:eastAsia="en-US"/>
        </w:rPr>
        <w:t>.</w:t>
      </w:r>
    </w:p>
    <w:p w14:paraId="4C1F7553"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14B6755" w14:textId="31E180B8" w:rsidR="00091971" w:rsidRDefault="00091971" w:rsidP="00B25B21">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Asimismo, la </w:t>
      </w:r>
      <w:r w:rsidR="00B25B21" w:rsidRPr="00091971">
        <w:rPr>
          <w:rFonts w:ascii="ITC Avant Garde" w:eastAsiaTheme="minorHAnsi" w:hAnsi="ITC Avant Garde" w:cstheme="minorBidi"/>
          <w:bCs/>
          <w:color w:val="auto"/>
          <w:lang w:eastAsia="en-US"/>
        </w:rPr>
        <w:t>cláusula</w:t>
      </w:r>
      <w:r w:rsidRPr="00091971">
        <w:rPr>
          <w:rFonts w:ascii="ITC Avant Garde" w:eastAsiaTheme="minorHAnsi" w:hAnsi="ITC Avant Garde" w:cstheme="minorBidi"/>
          <w:bCs/>
          <w:color w:val="auto"/>
          <w:lang w:eastAsia="en-US"/>
        </w:rPr>
        <w:t xml:space="preserve"> 4.4.1 establece que el OMV podrá presentar las objeciones a través del SEG dentro de los 18 días naturales siguientes a la fecha en que Telcel haga disponibles las facturas</w:t>
      </w:r>
      <w:r w:rsidR="00B25B21">
        <w:rPr>
          <w:rFonts w:ascii="ITC Avant Garde" w:eastAsiaTheme="minorHAnsi" w:hAnsi="ITC Avant Garde" w:cstheme="minorBidi"/>
          <w:bCs/>
          <w:color w:val="auto"/>
          <w:lang w:eastAsia="en-US"/>
        </w:rPr>
        <w:t>.</w:t>
      </w:r>
    </w:p>
    <w:p w14:paraId="3313CDD0" w14:textId="77777777" w:rsidR="00B25B21" w:rsidRPr="00091971" w:rsidRDefault="00B25B21" w:rsidP="00B25B21">
      <w:pPr>
        <w:spacing w:after="0" w:line="276" w:lineRule="auto"/>
        <w:rPr>
          <w:rFonts w:ascii="ITC Avant Garde" w:eastAsiaTheme="minorHAnsi" w:hAnsi="ITC Avant Garde" w:cstheme="minorBidi"/>
          <w:bCs/>
          <w:color w:val="auto"/>
          <w:u w:val="single"/>
          <w:lang w:eastAsia="en-US"/>
        </w:rPr>
      </w:pPr>
    </w:p>
    <w:p w14:paraId="44C7E40C" w14:textId="19CB7C88" w:rsid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Por lo anterior, el OMV cuenta con plazos razonables para realizar la sustitución del monto de la Bolsa Revolvente y así evitar la suspensión de los servicios. Además, cuenta con un proceso para la realizar la objeción de las facturas no reconocidas.</w:t>
      </w:r>
    </w:p>
    <w:p w14:paraId="2E752A53" w14:textId="5FE57F7A" w:rsidR="00B25B21" w:rsidRDefault="00B25B21" w:rsidP="005E0959">
      <w:pPr>
        <w:spacing w:after="0" w:line="276" w:lineRule="auto"/>
        <w:rPr>
          <w:rFonts w:ascii="ITC Avant Garde" w:eastAsiaTheme="minorHAnsi" w:hAnsi="ITC Avant Garde" w:cstheme="minorBidi"/>
          <w:bCs/>
          <w:color w:val="auto"/>
          <w:lang w:eastAsia="en-US"/>
        </w:rPr>
      </w:pPr>
    </w:p>
    <w:p w14:paraId="0258568C" w14:textId="5A9C2D65" w:rsidR="00B25B21" w:rsidRPr="00091971" w:rsidRDefault="00B25B21" w:rsidP="005E0959">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 xml:space="preserve">Finalmente, no es posible diferenciar por servicios para evitar la suspensión de </w:t>
      </w:r>
      <w:proofErr w:type="gramStart"/>
      <w:r>
        <w:rPr>
          <w:rFonts w:ascii="ITC Avant Garde" w:eastAsiaTheme="minorHAnsi" w:hAnsi="ITC Avant Garde" w:cstheme="minorBidi"/>
          <w:bCs/>
          <w:color w:val="auto"/>
          <w:lang w:eastAsia="en-US"/>
        </w:rPr>
        <w:t>los mismos</w:t>
      </w:r>
      <w:proofErr w:type="gramEnd"/>
      <w:r>
        <w:rPr>
          <w:rFonts w:ascii="ITC Avant Garde" w:eastAsiaTheme="minorHAnsi" w:hAnsi="ITC Avant Garde" w:cstheme="minorBidi"/>
          <w:bCs/>
          <w:color w:val="auto"/>
          <w:lang w:eastAsia="en-US"/>
        </w:rPr>
        <w:t>.</w:t>
      </w:r>
    </w:p>
    <w:p w14:paraId="438474BB"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4B7EFD1B" w14:textId="77777777" w:rsidR="00091971" w:rsidRPr="00091971" w:rsidRDefault="00091971" w:rsidP="005E0959">
      <w:pPr>
        <w:spacing w:after="0" w:line="276" w:lineRule="auto"/>
        <w:rPr>
          <w:rFonts w:ascii="ITC Avant Garde" w:eastAsiaTheme="minorHAnsi" w:hAnsi="ITC Avant Garde" w:cstheme="minorBidi"/>
          <w:b/>
          <w:color w:val="auto"/>
          <w:u w:val="single"/>
          <w:lang w:eastAsia="en-US"/>
        </w:rPr>
      </w:pPr>
      <w:r w:rsidRPr="00091971">
        <w:rPr>
          <w:rFonts w:ascii="ITC Avant Garde" w:eastAsiaTheme="minorHAnsi" w:hAnsi="ITC Avant Garde" w:cstheme="minorBidi"/>
          <w:b/>
          <w:color w:val="auto"/>
          <w:u w:val="single"/>
          <w:lang w:eastAsia="en-US"/>
        </w:rPr>
        <w:t>Cláusula Décima Cuarta. Causas de Terminación Anticipada.</w:t>
      </w:r>
    </w:p>
    <w:p w14:paraId="0CE63A89" w14:textId="77777777" w:rsidR="00D21DF2" w:rsidRDefault="00D21DF2" w:rsidP="005E0959">
      <w:pPr>
        <w:spacing w:after="0" w:line="276" w:lineRule="auto"/>
        <w:rPr>
          <w:rFonts w:ascii="ITC Avant Garde" w:eastAsiaTheme="minorHAnsi" w:hAnsi="ITC Avant Garde" w:cstheme="minorBidi"/>
          <w:b/>
          <w:color w:val="auto"/>
          <w:lang w:eastAsia="en-US"/>
        </w:rPr>
      </w:pPr>
    </w:p>
    <w:p w14:paraId="61C0C01C" w14:textId="7BB5EA30"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Axtel:</w:t>
      </w:r>
    </w:p>
    <w:p w14:paraId="3A96E111" w14:textId="3BE6F82B"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Señala que, en caso de </w:t>
      </w:r>
      <w:r w:rsidR="00CE4EE7" w:rsidRPr="00091971">
        <w:rPr>
          <w:rFonts w:ascii="ITC Avant Garde" w:eastAsiaTheme="minorHAnsi" w:hAnsi="ITC Avant Garde" w:cstheme="minorBidi"/>
          <w:bCs/>
          <w:color w:val="auto"/>
          <w:lang w:eastAsia="en-US"/>
        </w:rPr>
        <w:t>que,</w:t>
      </w:r>
      <w:r w:rsidRPr="00091971">
        <w:rPr>
          <w:rFonts w:ascii="ITC Avant Garde" w:eastAsiaTheme="minorHAnsi" w:hAnsi="ITC Avant Garde" w:cstheme="minorBidi"/>
          <w:bCs/>
          <w:color w:val="auto"/>
          <w:lang w:eastAsia="en-US"/>
        </w:rPr>
        <w:t xml:space="preserve"> durante la vigencia del Convenio y la Oferta, exista una resolución del Instituto o autoridad competente para dar por terminadas las medidas impuestas al AEP, se debe considerar la obligación de mantener las condiciones, precios y tarifas establecidas hasta que no se cubra el 100% de la vigencia establecida. </w:t>
      </w:r>
    </w:p>
    <w:p w14:paraId="49451C6C"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B602D81"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3E15585D" w14:textId="46FE8E55" w:rsidR="00091971" w:rsidRPr="00091971" w:rsidRDefault="00091971" w:rsidP="004976D7">
      <w:pPr>
        <w:spacing w:after="0" w:line="276" w:lineRule="auto"/>
        <w:rPr>
          <w:rFonts w:ascii="ITC Avant Garde" w:eastAsiaTheme="minorHAnsi" w:hAnsi="ITC Avant Garde" w:cstheme="minorBidi"/>
          <w:bCs/>
          <w:i/>
          <w:iCs/>
          <w:color w:val="auto"/>
          <w:sz w:val="18"/>
          <w:szCs w:val="18"/>
          <w:lang w:eastAsia="en-US"/>
        </w:rPr>
      </w:pPr>
      <w:r w:rsidRPr="00091971">
        <w:rPr>
          <w:rFonts w:ascii="ITC Avant Garde" w:eastAsiaTheme="minorHAnsi" w:hAnsi="ITC Avant Garde" w:cstheme="minorBidi"/>
          <w:bCs/>
          <w:color w:val="auto"/>
          <w:lang w:eastAsia="en-US"/>
        </w:rPr>
        <w:t xml:space="preserve">La fracción </w:t>
      </w:r>
      <w:proofErr w:type="spellStart"/>
      <w:r w:rsidRPr="00091971">
        <w:rPr>
          <w:rFonts w:ascii="ITC Avant Garde" w:eastAsiaTheme="minorHAnsi" w:hAnsi="ITC Avant Garde" w:cstheme="minorBidi"/>
          <w:bCs/>
          <w:color w:val="auto"/>
          <w:lang w:eastAsia="en-US"/>
        </w:rPr>
        <w:t>iii</w:t>
      </w:r>
      <w:proofErr w:type="spellEnd"/>
      <w:r w:rsidRPr="00091971">
        <w:rPr>
          <w:rFonts w:ascii="ITC Avant Garde" w:eastAsiaTheme="minorHAnsi" w:hAnsi="ITC Avant Garde" w:cstheme="minorBidi"/>
          <w:bCs/>
          <w:color w:val="auto"/>
          <w:lang w:eastAsia="en-US"/>
        </w:rPr>
        <w:t xml:space="preserve"> de la Cláusula Décima Cuarta otorga 120 días naturales para la negociación de las nuevas condiciones, plazo durante el cual permanecerán vigentes las anteriormente pactadas. Asimismo, este plazo se podrá prorrogar cuantas veces sea necesario</w:t>
      </w:r>
      <w:r w:rsidR="004976D7">
        <w:rPr>
          <w:rFonts w:ascii="ITC Avant Garde" w:eastAsiaTheme="minorHAnsi" w:hAnsi="ITC Avant Garde" w:cstheme="minorBidi"/>
          <w:bCs/>
          <w:color w:val="auto"/>
          <w:lang w:eastAsia="en-US"/>
        </w:rPr>
        <w:t>.</w:t>
      </w:r>
    </w:p>
    <w:p w14:paraId="53EBB9D5" w14:textId="77777777" w:rsidR="00091971" w:rsidRPr="00091971" w:rsidRDefault="00091971" w:rsidP="00D21DF2">
      <w:pPr>
        <w:spacing w:after="0" w:line="276" w:lineRule="auto"/>
        <w:ind w:left="851" w:right="850"/>
        <w:rPr>
          <w:rFonts w:ascii="ITC Avant Garde" w:eastAsiaTheme="minorHAnsi" w:hAnsi="ITC Avant Garde" w:cstheme="minorBidi"/>
          <w:bCs/>
          <w:i/>
          <w:iCs/>
          <w:color w:val="auto"/>
          <w:sz w:val="18"/>
          <w:szCs w:val="18"/>
          <w:lang w:eastAsia="en-US"/>
        </w:rPr>
      </w:pPr>
    </w:p>
    <w:p w14:paraId="515D43F2"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ANEXO C ACUERDO DE PRESTACIÓN DE SERVICIOS DE GESTIÓN</w:t>
      </w:r>
    </w:p>
    <w:p w14:paraId="020487DD"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02DCE0D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Solicita compartir el inventario de la localización de las </w:t>
      </w:r>
      <w:proofErr w:type="spellStart"/>
      <w:r w:rsidRPr="00091971">
        <w:rPr>
          <w:rFonts w:ascii="ITC Avant Garde" w:eastAsiaTheme="minorHAnsi" w:hAnsi="ITC Avant Garde" w:cstheme="minorBidi"/>
          <w:bCs/>
          <w:color w:val="auto"/>
          <w:lang w:eastAsia="en-US"/>
        </w:rPr>
        <w:t>radiobases</w:t>
      </w:r>
      <w:proofErr w:type="spellEnd"/>
      <w:r w:rsidRPr="00091971">
        <w:rPr>
          <w:rFonts w:ascii="ITC Avant Garde" w:eastAsiaTheme="minorHAnsi" w:hAnsi="ITC Avant Garde" w:cstheme="minorBidi"/>
          <w:bCs/>
          <w:color w:val="auto"/>
          <w:lang w:eastAsia="en-US"/>
        </w:rPr>
        <w:t xml:space="preserve"> con los OMV para poder dar cumplimiento a los requerimientos de geolocalización de dispositivos por parte del Gobierno. Asimismo, indica que se debe mantener actualizado el inventario conforme se realicen modificaciones, crezca la capacidad o cambie la tecnología. </w:t>
      </w:r>
    </w:p>
    <w:p w14:paraId="6EA92F8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6B914612"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lastRenderedPageBreak/>
        <w:t xml:space="preserve">Consideraciones del Instituto </w:t>
      </w:r>
    </w:p>
    <w:p w14:paraId="2D689EE8" w14:textId="17065C8F" w:rsidR="00091971" w:rsidRPr="00091971" w:rsidRDefault="00091971" w:rsidP="00C66937">
      <w:pPr>
        <w:spacing w:after="0" w:line="276" w:lineRule="auto"/>
        <w:rPr>
          <w:rFonts w:ascii="ITC Avant Garde" w:eastAsiaTheme="minorHAnsi" w:hAnsi="ITC Avant Garde" w:cstheme="minorBidi"/>
          <w:bCs/>
          <w:color w:val="auto"/>
          <w:sz w:val="18"/>
          <w:szCs w:val="18"/>
          <w:lang w:eastAsia="en-US"/>
        </w:rPr>
      </w:pPr>
      <w:r w:rsidRPr="00091971">
        <w:rPr>
          <w:rFonts w:ascii="ITC Avant Garde" w:eastAsiaTheme="minorHAnsi" w:hAnsi="ITC Avant Garde" w:cstheme="minorBidi"/>
          <w:bCs/>
          <w:color w:val="auto"/>
          <w:lang w:eastAsia="en-US"/>
        </w:rPr>
        <w:t>La Oferta establece en su numeral 5.1.9 que, en caso de que el OMV no cuente con la infraestructura para dar cumplimiento a las disposiciones en materia de procuración de justicia, se subscribirá el Anexo C a través del cual Telcel proveerá toda la información relativa a la localización en tiempo real</w:t>
      </w:r>
      <w:r w:rsidR="00C66937">
        <w:rPr>
          <w:rFonts w:ascii="ITC Avant Garde" w:eastAsiaTheme="minorHAnsi" w:hAnsi="ITC Avant Garde" w:cstheme="minorBidi"/>
          <w:bCs/>
          <w:color w:val="auto"/>
          <w:lang w:eastAsia="en-US"/>
        </w:rPr>
        <w:t>.</w:t>
      </w:r>
    </w:p>
    <w:p w14:paraId="21A4F05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5DC4E7E" w14:textId="425DC437" w:rsidR="00D21DF2" w:rsidRDefault="00091971" w:rsidP="00D21DF2">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Asimismo, la información de cobertura provista por las </w:t>
      </w:r>
      <w:proofErr w:type="spellStart"/>
      <w:r w:rsidRPr="00091971">
        <w:rPr>
          <w:rFonts w:ascii="ITC Avant Garde" w:eastAsiaTheme="minorHAnsi" w:hAnsi="ITC Avant Garde" w:cstheme="minorBidi"/>
          <w:bCs/>
          <w:color w:val="auto"/>
          <w:lang w:eastAsia="en-US"/>
        </w:rPr>
        <w:t>radiobases</w:t>
      </w:r>
      <w:proofErr w:type="spellEnd"/>
      <w:r w:rsidRPr="00091971">
        <w:rPr>
          <w:rFonts w:ascii="ITC Avant Garde" w:eastAsiaTheme="minorHAnsi" w:hAnsi="ITC Avant Garde" w:cstheme="minorBidi"/>
          <w:bCs/>
          <w:color w:val="auto"/>
          <w:lang w:eastAsia="en-US"/>
        </w:rPr>
        <w:t xml:space="preserve"> de Telcel ya está disponible en el SEG para todos los OMV conforme a la medida Vigésima Séptima de las Medidas Móviles</w:t>
      </w:r>
      <w:r w:rsidR="00D21DF2">
        <w:rPr>
          <w:rFonts w:ascii="ITC Avant Garde" w:eastAsiaTheme="minorHAnsi" w:hAnsi="ITC Avant Garde" w:cstheme="minorBidi"/>
          <w:bCs/>
          <w:color w:val="auto"/>
          <w:lang w:eastAsia="en-US"/>
        </w:rPr>
        <w:t>.</w:t>
      </w:r>
    </w:p>
    <w:p w14:paraId="223D454E" w14:textId="77777777" w:rsidR="00D21DF2" w:rsidRPr="00091971" w:rsidRDefault="00D21DF2" w:rsidP="00D21DF2">
      <w:pPr>
        <w:spacing w:after="0" w:line="276" w:lineRule="auto"/>
        <w:rPr>
          <w:rFonts w:ascii="ITC Avant Garde" w:eastAsiaTheme="minorHAnsi" w:hAnsi="ITC Avant Garde" w:cstheme="minorBidi"/>
          <w:b/>
          <w:color w:val="auto"/>
          <w:lang w:eastAsia="en-US"/>
        </w:rPr>
      </w:pPr>
    </w:p>
    <w:p w14:paraId="6246894B" w14:textId="77777777" w:rsidR="00091971" w:rsidRPr="00091971" w:rsidRDefault="00091971" w:rsidP="005E0959">
      <w:pPr>
        <w:spacing w:after="0" w:line="276" w:lineRule="auto"/>
        <w:rPr>
          <w:rFonts w:ascii="ITC Avant Garde" w:eastAsiaTheme="minorHAnsi" w:hAnsi="ITC Avant Garde" w:cstheme="minorBidi"/>
          <w:b/>
          <w:color w:val="auto"/>
          <w:u w:val="single"/>
          <w:lang w:eastAsia="en-US"/>
        </w:rPr>
      </w:pPr>
      <w:r w:rsidRPr="00091971">
        <w:rPr>
          <w:rFonts w:ascii="ITC Avant Garde" w:eastAsiaTheme="minorHAnsi" w:hAnsi="ITC Avant Garde" w:cstheme="minorBidi"/>
          <w:b/>
          <w:color w:val="auto"/>
          <w:lang w:eastAsia="en-US"/>
        </w:rPr>
        <w:t>COMENTARIOS GENERALES</w:t>
      </w:r>
    </w:p>
    <w:p w14:paraId="15A7861C" w14:textId="77777777" w:rsidR="00D47DF6" w:rsidRDefault="00D47DF6" w:rsidP="005E0959">
      <w:pPr>
        <w:spacing w:after="0" w:line="276" w:lineRule="auto"/>
        <w:rPr>
          <w:rFonts w:ascii="ITC Avant Garde" w:eastAsiaTheme="minorHAnsi" w:hAnsi="ITC Avant Garde" w:cstheme="minorBidi"/>
          <w:b/>
          <w:color w:val="auto"/>
          <w:lang w:eastAsia="en-US"/>
        </w:rPr>
      </w:pPr>
    </w:p>
    <w:p w14:paraId="470DE24E" w14:textId="2D118EFF"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7AAF9EED" w14:textId="2398743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Señala que el AEP debe ofrecer servicios a los concesionarios de manera que estos puedan replicar cualquiera de las ofertas minoristas de éste, obteniendo márgenes razonables.</w:t>
      </w:r>
    </w:p>
    <w:p w14:paraId="3E70ED13"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D43B8DD"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También indica que todos los paquetes que ofrece el AEP a sus usuarios finales se deben encontrar precargados en el sistema. </w:t>
      </w:r>
    </w:p>
    <w:p w14:paraId="7A17AA48"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8EC8E9A"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Expresa que las pruebas de replicabilidad económica deben realizarse de manera ex ante sobre las tarifas unitarias y sobre los paquetes. Además, indica que las pruebas de replicabilidad económica deben realizarse sobre todos los paquetes comerciales de manera individual, incluyendo las promociones del AEP, las cuales deberán ser aprobadas por el Instituto antes de su lanzamiento comercial. </w:t>
      </w:r>
    </w:p>
    <w:p w14:paraId="2627B34A"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5C15F5C6"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5182893E"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Se señala que la definición de las pruebas de replicabilidad económica excede el alcance de la presente consulta. No obstante, se indica que la medida Sexagésima cuarta de las Medidas Móviles establece que el Instituto validará de manera ex post la replicabilidad económica de las tarifas de los servicios mayoristas regulados y, en caso de que estas no pasen la prueba, el AEP podrá modificar las tarifas de los servicios mayoristas regulados o las del usuario final.</w:t>
      </w:r>
    </w:p>
    <w:p w14:paraId="75B18DF5" w14:textId="77777777" w:rsidR="00C66937" w:rsidRDefault="00C66937" w:rsidP="005E0959">
      <w:pPr>
        <w:spacing w:after="0" w:line="276" w:lineRule="auto"/>
        <w:rPr>
          <w:rFonts w:ascii="ITC Avant Garde" w:eastAsiaTheme="minorHAnsi" w:hAnsi="ITC Avant Garde" w:cstheme="minorBidi"/>
          <w:bCs/>
          <w:color w:val="auto"/>
          <w:lang w:eastAsia="en-US"/>
        </w:rPr>
      </w:pPr>
    </w:p>
    <w:p w14:paraId="4FDE74F1" w14:textId="6A19AA92"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lastRenderedPageBreak/>
        <w:t>Asimismo, el Acuerdo de Replicabilidad Económica</w:t>
      </w:r>
      <w:r w:rsidRPr="00091971">
        <w:rPr>
          <w:rFonts w:ascii="ITC Avant Garde" w:eastAsiaTheme="minorHAnsi" w:hAnsi="ITC Avant Garde" w:cstheme="minorBidi"/>
          <w:bCs/>
          <w:color w:val="auto"/>
          <w:vertAlign w:val="superscript"/>
          <w:lang w:eastAsia="en-US"/>
        </w:rPr>
        <w:footnoteReference w:id="1"/>
      </w:r>
      <w:r w:rsidRPr="00091971">
        <w:rPr>
          <w:rFonts w:ascii="ITC Avant Garde" w:eastAsiaTheme="minorHAnsi" w:hAnsi="ITC Avant Garde" w:cstheme="minorBidi"/>
          <w:bCs/>
          <w:color w:val="auto"/>
          <w:lang w:eastAsia="en-US"/>
        </w:rPr>
        <w:t xml:space="preserve"> establece que esta prueba se realizará de manera ex post cada tres meses, aplicándose de manera separada tanto a la cartera de Prepago como a la de Pospago, así como a las ofertas insignia, tal como se muestra a continuación.</w:t>
      </w:r>
    </w:p>
    <w:p w14:paraId="24391C2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DF95BB5"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Axtel:</w:t>
      </w:r>
    </w:p>
    <w:p w14:paraId="2240054C"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Señala que la replicabilidad técnica no se evalúa mediante indicadores clave de desempeño para servicios no contemplados en la Oferta. Indica que deben incluirse los insumos mayoristas para replicar los servicios que Telcel ofrece en marcados minoristas:</w:t>
      </w:r>
    </w:p>
    <w:p w14:paraId="0D180696"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6DC15107" w14:textId="77777777" w:rsidR="00091971" w:rsidRPr="00091971" w:rsidRDefault="00091971" w:rsidP="00D21DF2">
      <w:pPr>
        <w:spacing w:after="0" w:line="276" w:lineRule="auto"/>
        <w:ind w:left="520"/>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i. Servicios especializados para el “Internet de las cosas” (</w:t>
      </w:r>
      <w:proofErr w:type="spellStart"/>
      <w:r w:rsidRPr="00091971">
        <w:rPr>
          <w:rFonts w:ascii="ITC Avant Garde" w:eastAsiaTheme="minorHAnsi" w:hAnsi="ITC Avant Garde" w:cstheme="minorBidi"/>
          <w:bCs/>
          <w:color w:val="auto"/>
          <w:lang w:eastAsia="en-US"/>
        </w:rPr>
        <w:t>IoT</w:t>
      </w:r>
      <w:proofErr w:type="spellEnd"/>
      <w:r w:rsidRPr="00091971">
        <w:rPr>
          <w:rFonts w:ascii="ITC Avant Garde" w:eastAsiaTheme="minorHAnsi" w:hAnsi="ITC Avant Garde" w:cstheme="minorBidi"/>
          <w:bCs/>
          <w:color w:val="auto"/>
          <w:lang w:eastAsia="en-US"/>
        </w:rPr>
        <w:t xml:space="preserve">) o las comunicaciones entre máquinas (M2M). </w:t>
      </w:r>
    </w:p>
    <w:p w14:paraId="2C4E5DA6" w14:textId="77777777" w:rsidR="00091971" w:rsidRPr="00091971" w:rsidRDefault="00091971" w:rsidP="00D21DF2">
      <w:pPr>
        <w:spacing w:after="0" w:line="276" w:lineRule="auto"/>
        <w:ind w:left="520"/>
        <w:rPr>
          <w:rFonts w:ascii="ITC Avant Garde" w:eastAsiaTheme="minorHAnsi" w:hAnsi="ITC Avant Garde" w:cstheme="minorBidi"/>
          <w:bCs/>
          <w:color w:val="auto"/>
          <w:lang w:eastAsia="en-US"/>
        </w:rPr>
      </w:pPr>
      <w:proofErr w:type="spellStart"/>
      <w:r w:rsidRPr="00091971">
        <w:rPr>
          <w:rFonts w:ascii="ITC Avant Garde" w:eastAsiaTheme="minorHAnsi" w:hAnsi="ITC Avant Garde" w:cstheme="minorBidi"/>
          <w:bCs/>
          <w:color w:val="auto"/>
          <w:lang w:eastAsia="en-US"/>
        </w:rPr>
        <w:t>ii</w:t>
      </w:r>
      <w:proofErr w:type="spellEnd"/>
      <w:r w:rsidRPr="00091971">
        <w:rPr>
          <w:rFonts w:ascii="ITC Avant Garde" w:eastAsiaTheme="minorHAnsi" w:hAnsi="ITC Avant Garde" w:cstheme="minorBidi"/>
          <w:bCs/>
          <w:color w:val="auto"/>
          <w:lang w:eastAsia="en-US"/>
        </w:rPr>
        <w:t xml:space="preserve">. Integración con sistemas de datos para aplicaciones de seguridad pública y privada. </w:t>
      </w:r>
    </w:p>
    <w:p w14:paraId="556B768E" w14:textId="77777777" w:rsidR="00091971" w:rsidRPr="00091971" w:rsidRDefault="00091971" w:rsidP="00D21DF2">
      <w:pPr>
        <w:spacing w:after="0" w:line="276" w:lineRule="auto"/>
        <w:ind w:left="520"/>
        <w:rPr>
          <w:rFonts w:ascii="ITC Avant Garde" w:eastAsiaTheme="minorHAnsi" w:hAnsi="ITC Avant Garde" w:cstheme="minorBidi"/>
          <w:bCs/>
          <w:color w:val="auto"/>
          <w:lang w:eastAsia="en-US"/>
        </w:rPr>
      </w:pPr>
      <w:proofErr w:type="spellStart"/>
      <w:r w:rsidRPr="00091971">
        <w:rPr>
          <w:rFonts w:ascii="ITC Avant Garde" w:eastAsiaTheme="minorHAnsi" w:hAnsi="ITC Avant Garde" w:cstheme="minorBidi"/>
          <w:bCs/>
          <w:color w:val="auto"/>
          <w:lang w:eastAsia="en-US"/>
        </w:rPr>
        <w:t>iii</w:t>
      </w:r>
      <w:proofErr w:type="spellEnd"/>
      <w:r w:rsidRPr="00091971">
        <w:rPr>
          <w:rFonts w:ascii="ITC Avant Garde" w:eastAsiaTheme="minorHAnsi" w:hAnsi="ITC Avant Garde" w:cstheme="minorBidi"/>
          <w:bCs/>
          <w:color w:val="auto"/>
          <w:lang w:eastAsia="en-US"/>
        </w:rPr>
        <w:t xml:space="preserve">. Acceso fijo a Internet a través de recursos y frecuencias de su red móvil. </w:t>
      </w:r>
    </w:p>
    <w:p w14:paraId="16B009D8" w14:textId="77777777" w:rsidR="00091971" w:rsidRPr="00091971" w:rsidRDefault="00091971" w:rsidP="00D21DF2">
      <w:pPr>
        <w:spacing w:after="0" w:line="276" w:lineRule="auto"/>
        <w:ind w:left="520"/>
        <w:rPr>
          <w:rFonts w:ascii="ITC Avant Garde" w:eastAsiaTheme="minorHAnsi" w:hAnsi="ITC Avant Garde" w:cstheme="minorBidi"/>
          <w:bCs/>
          <w:color w:val="auto"/>
          <w:lang w:eastAsia="en-US"/>
        </w:rPr>
      </w:pPr>
      <w:proofErr w:type="spellStart"/>
      <w:r w:rsidRPr="00091971">
        <w:rPr>
          <w:rFonts w:ascii="ITC Avant Garde" w:eastAsiaTheme="minorHAnsi" w:hAnsi="ITC Avant Garde" w:cstheme="minorBidi"/>
          <w:bCs/>
          <w:color w:val="auto"/>
          <w:lang w:eastAsia="en-US"/>
        </w:rPr>
        <w:t>iv</w:t>
      </w:r>
      <w:proofErr w:type="spellEnd"/>
      <w:r w:rsidRPr="00091971">
        <w:rPr>
          <w:rFonts w:ascii="ITC Avant Garde" w:eastAsiaTheme="minorHAnsi" w:hAnsi="ITC Avant Garde" w:cstheme="minorBidi"/>
          <w:bCs/>
          <w:color w:val="auto"/>
          <w:lang w:eastAsia="en-US"/>
        </w:rPr>
        <w:t xml:space="preserve">. Servicios de comunicaciones integrados para clientes empresariales, con redes y plataformas proporcionadas por otras empresas relacionadas. </w:t>
      </w:r>
    </w:p>
    <w:p w14:paraId="7A76584A"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29261142"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7BD38264" w14:textId="07E66D4E" w:rsidR="00091971" w:rsidRPr="00091971" w:rsidRDefault="00091971" w:rsidP="00C66937">
      <w:pPr>
        <w:spacing w:after="0" w:line="276" w:lineRule="auto"/>
        <w:rPr>
          <w:rFonts w:ascii="ITC Avant Garde" w:eastAsiaTheme="minorHAnsi" w:hAnsi="ITC Avant Garde" w:cstheme="minorBidi"/>
          <w:bCs/>
          <w:i/>
          <w:iCs/>
          <w:color w:val="auto"/>
          <w:sz w:val="18"/>
          <w:szCs w:val="18"/>
          <w:lang w:eastAsia="en-US"/>
        </w:rPr>
      </w:pPr>
      <w:r w:rsidRPr="00091971">
        <w:rPr>
          <w:rFonts w:ascii="ITC Avant Garde" w:eastAsiaTheme="minorHAnsi" w:hAnsi="ITC Avant Garde" w:cstheme="minorBidi"/>
          <w:bCs/>
          <w:color w:val="auto"/>
          <w:lang w:eastAsia="en-US"/>
        </w:rPr>
        <w:t>Se señala que la definición de las pruebas de replicabilidad técnica excede el alcance de la presente consulta. No obstante, se señala que la Medida Septuagésima Séptima de las Medidas Móviles establece que el Instituto definirá los elementos a analizar para valorar si se cumple la replicabilidad técnica</w:t>
      </w:r>
      <w:r w:rsidR="00C66937">
        <w:rPr>
          <w:rFonts w:ascii="ITC Avant Garde" w:eastAsiaTheme="minorHAnsi" w:hAnsi="ITC Avant Garde" w:cstheme="minorBidi"/>
          <w:bCs/>
          <w:color w:val="auto"/>
          <w:lang w:eastAsia="en-US"/>
        </w:rPr>
        <w:t>.</w:t>
      </w:r>
    </w:p>
    <w:p w14:paraId="3859BCEA" w14:textId="77777777" w:rsidR="00091971" w:rsidRPr="00091971" w:rsidRDefault="00091971" w:rsidP="00C66937">
      <w:pPr>
        <w:spacing w:after="0" w:line="276" w:lineRule="auto"/>
        <w:ind w:left="0" w:firstLine="0"/>
        <w:rPr>
          <w:rFonts w:ascii="ITC Avant Garde" w:eastAsiaTheme="minorHAnsi" w:hAnsi="ITC Avant Garde" w:cstheme="minorBidi"/>
          <w:bCs/>
          <w:color w:val="auto"/>
          <w:lang w:eastAsia="en-US"/>
        </w:rPr>
      </w:pPr>
    </w:p>
    <w:p w14:paraId="04E7B492" w14:textId="262B99BC"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En tal sentido, el Instituto definió los elementos a analizar para asegurar la replicabilidad técnica mediante el Acuerdo P/IFT/120917/550, en cuyo considerando sexto se establece que los insumos mayoristas que el AEP deberá ofrecer a los OMV solicitantes de servicios móviles son los servicios de voz, datos y mensajes.</w:t>
      </w:r>
    </w:p>
    <w:p w14:paraId="4806F64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572F8FDD" w14:textId="77777777" w:rsidR="001352EA" w:rsidRPr="005E0959" w:rsidRDefault="001352EA" w:rsidP="005E0959">
      <w:pPr>
        <w:spacing w:after="0" w:line="276" w:lineRule="auto"/>
        <w:rPr>
          <w:rFonts w:ascii="ITC Avant Garde" w:hAnsi="ITC Avant Garde"/>
          <w:bCs/>
        </w:rPr>
      </w:pPr>
    </w:p>
    <w:sectPr w:rsidR="001352EA" w:rsidRPr="005E0959" w:rsidSect="006B068D">
      <w:footerReference w:type="default" r:id="rId9"/>
      <w:pgSz w:w="12240" w:h="15840"/>
      <w:pgMar w:top="1417" w:right="160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89C5" w14:textId="77777777" w:rsidR="003A3305" w:rsidRDefault="003A3305" w:rsidP="00493685">
      <w:pPr>
        <w:spacing w:after="0" w:line="240" w:lineRule="auto"/>
      </w:pPr>
      <w:r>
        <w:separator/>
      </w:r>
    </w:p>
  </w:endnote>
  <w:endnote w:type="continuationSeparator" w:id="0">
    <w:p w14:paraId="1221BED2" w14:textId="77777777" w:rsidR="003A3305" w:rsidRDefault="003A3305"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927181"/>
      <w:docPartObj>
        <w:docPartGallery w:val="Page Numbers (Bottom of Page)"/>
        <w:docPartUnique/>
      </w:docPartObj>
    </w:sdtPr>
    <w:sdtEndPr/>
    <w:sdtContent>
      <w:p w14:paraId="2C1FCB72" w14:textId="77ABC85F" w:rsidR="00571517" w:rsidRDefault="00571517">
        <w:pPr>
          <w:pStyle w:val="Piedepgina"/>
          <w:jc w:val="right"/>
        </w:pPr>
        <w:r>
          <w:fldChar w:fldCharType="begin"/>
        </w:r>
        <w:r>
          <w:instrText>PAGE   \* MERGEFORMAT</w:instrText>
        </w:r>
        <w:r>
          <w:fldChar w:fldCharType="separate"/>
        </w:r>
        <w:r w:rsidR="00347968" w:rsidRPr="00347968">
          <w:rPr>
            <w:noProof/>
            <w:lang w:val="es-ES"/>
          </w:rPr>
          <w:t>5</w:t>
        </w:r>
        <w:r>
          <w:fldChar w:fldCharType="end"/>
        </w:r>
      </w:p>
    </w:sdtContent>
  </w:sdt>
  <w:p w14:paraId="17CF8DEA" w14:textId="77777777" w:rsidR="00571517" w:rsidRDefault="005715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78829" w14:textId="77777777" w:rsidR="003A3305" w:rsidRDefault="003A3305" w:rsidP="00493685">
      <w:pPr>
        <w:spacing w:after="0" w:line="240" w:lineRule="auto"/>
      </w:pPr>
      <w:r>
        <w:separator/>
      </w:r>
    </w:p>
  </w:footnote>
  <w:footnote w:type="continuationSeparator" w:id="0">
    <w:p w14:paraId="27CAECD2" w14:textId="77777777" w:rsidR="003A3305" w:rsidRDefault="003A3305" w:rsidP="00493685">
      <w:pPr>
        <w:spacing w:after="0" w:line="240" w:lineRule="auto"/>
      </w:pPr>
      <w:r>
        <w:continuationSeparator/>
      </w:r>
    </w:p>
  </w:footnote>
  <w:footnote w:id="1">
    <w:p w14:paraId="4E227581" w14:textId="77777777" w:rsidR="00091971" w:rsidRDefault="00091971" w:rsidP="00CE4EE7">
      <w:pPr>
        <w:pStyle w:val="Ttulo1"/>
        <w:spacing w:line="276" w:lineRule="auto"/>
        <w:ind w:left="0" w:hanging="11"/>
        <w:jc w:val="both"/>
        <w:rPr>
          <w:rFonts w:ascii="ITC Avant Garde" w:eastAsia="Times New Roman" w:hAnsi="ITC Avant Garde" w:cs="Times New Roman"/>
          <w:i/>
          <w:color w:val="auto"/>
          <w:sz w:val="18"/>
          <w:szCs w:val="18"/>
          <w:lang w:val="es-ES" w:eastAsia="es-ES"/>
        </w:rPr>
      </w:pPr>
      <w:r>
        <w:rPr>
          <w:rFonts w:ascii="ITC Avant Garde" w:eastAsia="Times New Roman" w:hAnsi="ITC Avant Garde" w:cs="Times New Roman"/>
          <w:i/>
          <w:color w:val="auto"/>
          <w:sz w:val="18"/>
          <w:szCs w:val="18"/>
          <w:vertAlign w:val="superscript"/>
          <w:lang w:val="es-ES" w:eastAsia="es-ES"/>
        </w:rPr>
        <w:footnoteRef/>
      </w:r>
      <w:r>
        <w:rPr>
          <w:rFonts w:ascii="ITC Avant Garde" w:eastAsia="Times New Roman" w:hAnsi="ITC Avant Garde" w:cs="Times New Roman"/>
          <w:i/>
          <w:color w:val="auto"/>
          <w:sz w:val="18"/>
          <w:szCs w:val="18"/>
          <w:lang w:val="es-ES" w:eastAsia="es-ES"/>
        </w:rPr>
        <w:t xml:space="preserve"> “METODOLOGÍA, TÉRMINOS Y CONDICIONES PARA LLEVAR A CABO LAS PRUEBAS DE REPLICABILIDAD ECONÓMICA APLICABLES A LOS SERVICIOS DEL AGENTE ECONÓMICO PREPONDERANTE EN TELECOMUNICACIONES A QUE SE REFIERE LA MEDIDA SEXAGÉSIMA CUARTA DEL ANEXO 1 DE LA RESOLUCIÓN DE FECHA 27 DE FEBRERO DE 2017 APROBADA MEDIANTE ACUERDO P/IFT/EXT/270217/119”, </w:t>
      </w:r>
      <w:r>
        <w:rPr>
          <w:rFonts w:ascii="ITC Avant Garde" w:eastAsia="Times New Roman" w:hAnsi="ITC Avant Garde" w:cs="Times New Roman"/>
          <w:color w:val="auto"/>
          <w:sz w:val="18"/>
          <w:szCs w:val="18"/>
          <w:lang w:val="es-ES" w:eastAsia="es-ES"/>
        </w:rPr>
        <w:t>aprobado mediante Acuerdo P/IFT/120917/548.</w:t>
      </w:r>
    </w:p>
    <w:p w14:paraId="1B02B7CC" w14:textId="77777777" w:rsidR="00091971" w:rsidRDefault="00091971" w:rsidP="00091971">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1A61741"/>
    <w:multiLevelType w:val="hybridMultilevel"/>
    <w:tmpl w:val="90126C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8"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F07648"/>
    <w:multiLevelType w:val="hybridMultilevel"/>
    <w:tmpl w:val="17DA67A8"/>
    <w:lvl w:ilvl="0" w:tplc="D7240C52">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0" w15:restartNumberingAfterBreak="0">
    <w:nsid w:val="55630A5C"/>
    <w:multiLevelType w:val="multilevel"/>
    <w:tmpl w:val="07768C44"/>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59124C12"/>
    <w:multiLevelType w:val="hybridMultilevel"/>
    <w:tmpl w:val="0F847D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4"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5"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E96E0E"/>
    <w:multiLevelType w:val="multilevel"/>
    <w:tmpl w:val="A1E6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
  </w:num>
  <w:num w:numId="4">
    <w:abstractNumId w:val="4"/>
  </w:num>
  <w:num w:numId="5">
    <w:abstractNumId w:val="2"/>
  </w:num>
  <w:num w:numId="6">
    <w:abstractNumId w:val="3"/>
  </w:num>
  <w:num w:numId="7">
    <w:abstractNumId w:val="14"/>
  </w:num>
  <w:num w:numId="8">
    <w:abstractNumId w:val="13"/>
  </w:num>
  <w:num w:numId="9">
    <w:abstractNumId w:val="15"/>
  </w:num>
  <w:num w:numId="10">
    <w:abstractNumId w:val="11"/>
  </w:num>
  <w:num w:numId="11">
    <w:abstractNumId w:val="8"/>
  </w:num>
  <w:num w:numId="12">
    <w:abstractNumId w:val="7"/>
  </w:num>
  <w:num w:numId="13">
    <w:abstractNumId w:val="5"/>
  </w:num>
  <w:num w:numId="14">
    <w:abstractNumId w:val="17"/>
  </w:num>
  <w:num w:numId="15">
    <w:abstractNumId w:val="9"/>
  </w:num>
  <w:num w:numId="16">
    <w:abstractNumId w:val="10"/>
  </w:num>
  <w:num w:numId="17">
    <w:abstractNumId w:val="6"/>
  </w:num>
  <w:num w:numId="18">
    <w:abstractNumId w:val="12"/>
  </w:num>
  <w:num w:numId="19">
    <w:abstractNumId w:val="1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654"/>
    <w:rsid w:val="000006E1"/>
    <w:rsid w:val="000020FA"/>
    <w:rsid w:val="00002499"/>
    <w:rsid w:val="000025BB"/>
    <w:rsid w:val="00002981"/>
    <w:rsid w:val="00002ED7"/>
    <w:rsid w:val="00002F50"/>
    <w:rsid w:val="0000372C"/>
    <w:rsid w:val="000074F3"/>
    <w:rsid w:val="000075FB"/>
    <w:rsid w:val="0000795B"/>
    <w:rsid w:val="00007D66"/>
    <w:rsid w:val="00007DEB"/>
    <w:rsid w:val="00010FAF"/>
    <w:rsid w:val="00011146"/>
    <w:rsid w:val="00011186"/>
    <w:rsid w:val="000117B8"/>
    <w:rsid w:val="000118E7"/>
    <w:rsid w:val="00011B34"/>
    <w:rsid w:val="00011FD2"/>
    <w:rsid w:val="000120B1"/>
    <w:rsid w:val="000121FF"/>
    <w:rsid w:val="0001331B"/>
    <w:rsid w:val="00013BAC"/>
    <w:rsid w:val="000146B8"/>
    <w:rsid w:val="00014926"/>
    <w:rsid w:val="00014D42"/>
    <w:rsid w:val="00015889"/>
    <w:rsid w:val="00015958"/>
    <w:rsid w:val="00015EB9"/>
    <w:rsid w:val="0001660E"/>
    <w:rsid w:val="00017027"/>
    <w:rsid w:val="0002034F"/>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0F3E"/>
    <w:rsid w:val="0003166F"/>
    <w:rsid w:val="000318C7"/>
    <w:rsid w:val="00031A90"/>
    <w:rsid w:val="00033962"/>
    <w:rsid w:val="00034189"/>
    <w:rsid w:val="000346C1"/>
    <w:rsid w:val="00034F2E"/>
    <w:rsid w:val="000363CC"/>
    <w:rsid w:val="00036AD3"/>
    <w:rsid w:val="00036D35"/>
    <w:rsid w:val="00037219"/>
    <w:rsid w:val="00037DC7"/>
    <w:rsid w:val="000400AF"/>
    <w:rsid w:val="0004079A"/>
    <w:rsid w:val="00040829"/>
    <w:rsid w:val="000410EF"/>
    <w:rsid w:val="00041A70"/>
    <w:rsid w:val="000426D2"/>
    <w:rsid w:val="000427ED"/>
    <w:rsid w:val="00044709"/>
    <w:rsid w:val="00045847"/>
    <w:rsid w:val="00045A86"/>
    <w:rsid w:val="00045D23"/>
    <w:rsid w:val="00045FF3"/>
    <w:rsid w:val="0004645C"/>
    <w:rsid w:val="0004667E"/>
    <w:rsid w:val="00046703"/>
    <w:rsid w:val="00046706"/>
    <w:rsid w:val="00046B10"/>
    <w:rsid w:val="00046E7F"/>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B29"/>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DDC"/>
    <w:rsid w:val="00060EEF"/>
    <w:rsid w:val="000611EE"/>
    <w:rsid w:val="00062045"/>
    <w:rsid w:val="000624F5"/>
    <w:rsid w:val="0006278F"/>
    <w:rsid w:val="000627D7"/>
    <w:rsid w:val="00062BC4"/>
    <w:rsid w:val="0006356F"/>
    <w:rsid w:val="000660A0"/>
    <w:rsid w:val="00066E87"/>
    <w:rsid w:val="00067B66"/>
    <w:rsid w:val="00067CCA"/>
    <w:rsid w:val="00067D53"/>
    <w:rsid w:val="00067F68"/>
    <w:rsid w:val="000702E6"/>
    <w:rsid w:val="0007113B"/>
    <w:rsid w:val="000713B2"/>
    <w:rsid w:val="00071815"/>
    <w:rsid w:val="00072D92"/>
    <w:rsid w:val="00072DA7"/>
    <w:rsid w:val="00073DB1"/>
    <w:rsid w:val="0007404A"/>
    <w:rsid w:val="000740E0"/>
    <w:rsid w:val="00074422"/>
    <w:rsid w:val="00074C2F"/>
    <w:rsid w:val="00075BCA"/>
    <w:rsid w:val="00076180"/>
    <w:rsid w:val="00076D97"/>
    <w:rsid w:val="00076DA6"/>
    <w:rsid w:val="0007752D"/>
    <w:rsid w:val="00077DE8"/>
    <w:rsid w:val="00077E39"/>
    <w:rsid w:val="00080AD0"/>
    <w:rsid w:val="000816D2"/>
    <w:rsid w:val="00081CBE"/>
    <w:rsid w:val="00081DCB"/>
    <w:rsid w:val="00082E6E"/>
    <w:rsid w:val="00083962"/>
    <w:rsid w:val="00084050"/>
    <w:rsid w:val="00084072"/>
    <w:rsid w:val="000842B6"/>
    <w:rsid w:val="00085382"/>
    <w:rsid w:val="00085C21"/>
    <w:rsid w:val="000860A2"/>
    <w:rsid w:val="0008643B"/>
    <w:rsid w:val="000869C7"/>
    <w:rsid w:val="00086FC2"/>
    <w:rsid w:val="0008739D"/>
    <w:rsid w:val="00087545"/>
    <w:rsid w:val="00090469"/>
    <w:rsid w:val="00091971"/>
    <w:rsid w:val="00091B17"/>
    <w:rsid w:val="00091DAF"/>
    <w:rsid w:val="00093566"/>
    <w:rsid w:val="00093D2F"/>
    <w:rsid w:val="0009499D"/>
    <w:rsid w:val="00095187"/>
    <w:rsid w:val="0009533F"/>
    <w:rsid w:val="00095421"/>
    <w:rsid w:val="0009562E"/>
    <w:rsid w:val="000962FD"/>
    <w:rsid w:val="00096849"/>
    <w:rsid w:val="00097866"/>
    <w:rsid w:val="00097AE9"/>
    <w:rsid w:val="00097B7E"/>
    <w:rsid w:val="00097CD0"/>
    <w:rsid w:val="000A0137"/>
    <w:rsid w:val="000A0646"/>
    <w:rsid w:val="000A18EA"/>
    <w:rsid w:val="000A2D8A"/>
    <w:rsid w:val="000A2FE6"/>
    <w:rsid w:val="000A352E"/>
    <w:rsid w:val="000A381D"/>
    <w:rsid w:val="000A3F9A"/>
    <w:rsid w:val="000A4328"/>
    <w:rsid w:val="000A4462"/>
    <w:rsid w:val="000A59DD"/>
    <w:rsid w:val="000A5F65"/>
    <w:rsid w:val="000A631B"/>
    <w:rsid w:val="000A7644"/>
    <w:rsid w:val="000B03AD"/>
    <w:rsid w:val="000B0DDB"/>
    <w:rsid w:val="000B24A7"/>
    <w:rsid w:val="000B2B19"/>
    <w:rsid w:val="000B30D0"/>
    <w:rsid w:val="000B3495"/>
    <w:rsid w:val="000B34D2"/>
    <w:rsid w:val="000B3A7A"/>
    <w:rsid w:val="000B435A"/>
    <w:rsid w:val="000B4616"/>
    <w:rsid w:val="000B4642"/>
    <w:rsid w:val="000B46AC"/>
    <w:rsid w:val="000B46CF"/>
    <w:rsid w:val="000B46EA"/>
    <w:rsid w:val="000B4BB5"/>
    <w:rsid w:val="000B4F36"/>
    <w:rsid w:val="000B53BD"/>
    <w:rsid w:val="000B5810"/>
    <w:rsid w:val="000B5D25"/>
    <w:rsid w:val="000B652D"/>
    <w:rsid w:val="000B7A04"/>
    <w:rsid w:val="000C01BA"/>
    <w:rsid w:val="000C04F7"/>
    <w:rsid w:val="000C18A7"/>
    <w:rsid w:val="000C191C"/>
    <w:rsid w:val="000C30F1"/>
    <w:rsid w:val="000C39B2"/>
    <w:rsid w:val="000C436F"/>
    <w:rsid w:val="000C4AA9"/>
    <w:rsid w:val="000C5059"/>
    <w:rsid w:val="000D151D"/>
    <w:rsid w:val="000D1B51"/>
    <w:rsid w:val="000D20BC"/>
    <w:rsid w:val="000D25F9"/>
    <w:rsid w:val="000D2D00"/>
    <w:rsid w:val="000D3E6A"/>
    <w:rsid w:val="000D4068"/>
    <w:rsid w:val="000D4690"/>
    <w:rsid w:val="000D4B7D"/>
    <w:rsid w:val="000D4EC6"/>
    <w:rsid w:val="000D5105"/>
    <w:rsid w:val="000D51FD"/>
    <w:rsid w:val="000D5954"/>
    <w:rsid w:val="000D5F43"/>
    <w:rsid w:val="000D6C71"/>
    <w:rsid w:val="000D6D9E"/>
    <w:rsid w:val="000E014D"/>
    <w:rsid w:val="000E106A"/>
    <w:rsid w:val="000E1EAD"/>
    <w:rsid w:val="000E223D"/>
    <w:rsid w:val="000E23EA"/>
    <w:rsid w:val="000E2576"/>
    <w:rsid w:val="000E2672"/>
    <w:rsid w:val="000E32A8"/>
    <w:rsid w:val="000E353D"/>
    <w:rsid w:val="000E3E0E"/>
    <w:rsid w:val="000E47CD"/>
    <w:rsid w:val="000E5B37"/>
    <w:rsid w:val="000E64F4"/>
    <w:rsid w:val="000E66E7"/>
    <w:rsid w:val="000E6A0C"/>
    <w:rsid w:val="000E6FE7"/>
    <w:rsid w:val="000E7E46"/>
    <w:rsid w:val="000F0D5D"/>
    <w:rsid w:val="000F13C8"/>
    <w:rsid w:val="000F216A"/>
    <w:rsid w:val="000F22F2"/>
    <w:rsid w:val="000F23FD"/>
    <w:rsid w:val="000F25B0"/>
    <w:rsid w:val="000F2A96"/>
    <w:rsid w:val="000F3095"/>
    <w:rsid w:val="000F3283"/>
    <w:rsid w:val="000F347C"/>
    <w:rsid w:val="000F39E4"/>
    <w:rsid w:val="000F4004"/>
    <w:rsid w:val="000F40ED"/>
    <w:rsid w:val="000F43AD"/>
    <w:rsid w:val="000F5C39"/>
    <w:rsid w:val="000F5C83"/>
    <w:rsid w:val="000F6034"/>
    <w:rsid w:val="000F6E14"/>
    <w:rsid w:val="000F77F9"/>
    <w:rsid w:val="000F7BAF"/>
    <w:rsid w:val="000F7DAE"/>
    <w:rsid w:val="001000C0"/>
    <w:rsid w:val="00100519"/>
    <w:rsid w:val="00102408"/>
    <w:rsid w:val="00102828"/>
    <w:rsid w:val="001035CC"/>
    <w:rsid w:val="00104651"/>
    <w:rsid w:val="00104F67"/>
    <w:rsid w:val="00105207"/>
    <w:rsid w:val="0010577B"/>
    <w:rsid w:val="00105BED"/>
    <w:rsid w:val="00105EBA"/>
    <w:rsid w:val="0010649B"/>
    <w:rsid w:val="00106D8A"/>
    <w:rsid w:val="00107206"/>
    <w:rsid w:val="00107A7F"/>
    <w:rsid w:val="00110D96"/>
    <w:rsid w:val="00110F3C"/>
    <w:rsid w:val="00111F64"/>
    <w:rsid w:val="001121F9"/>
    <w:rsid w:val="00112282"/>
    <w:rsid w:val="00112D38"/>
    <w:rsid w:val="00112DDF"/>
    <w:rsid w:val="00114092"/>
    <w:rsid w:val="0011414C"/>
    <w:rsid w:val="001144FF"/>
    <w:rsid w:val="00114CCB"/>
    <w:rsid w:val="00115579"/>
    <w:rsid w:val="00115FF1"/>
    <w:rsid w:val="00116D92"/>
    <w:rsid w:val="0011794D"/>
    <w:rsid w:val="001215C2"/>
    <w:rsid w:val="00121796"/>
    <w:rsid w:val="0012200F"/>
    <w:rsid w:val="001222D3"/>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DD7"/>
    <w:rsid w:val="00130F75"/>
    <w:rsid w:val="0013172A"/>
    <w:rsid w:val="0013185B"/>
    <w:rsid w:val="001318EA"/>
    <w:rsid w:val="00131916"/>
    <w:rsid w:val="001323BC"/>
    <w:rsid w:val="00132D1A"/>
    <w:rsid w:val="00133669"/>
    <w:rsid w:val="00133A30"/>
    <w:rsid w:val="001352EA"/>
    <w:rsid w:val="00135B8B"/>
    <w:rsid w:val="001368EC"/>
    <w:rsid w:val="00136D1D"/>
    <w:rsid w:val="001378A7"/>
    <w:rsid w:val="00143024"/>
    <w:rsid w:val="00143996"/>
    <w:rsid w:val="00143A99"/>
    <w:rsid w:val="00145020"/>
    <w:rsid w:val="00145573"/>
    <w:rsid w:val="00145B79"/>
    <w:rsid w:val="00146A15"/>
    <w:rsid w:val="00146AD2"/>
    <w:rsid w:val="001475AC"/>
    <w:rsid w:val="00147EED"/>
    <w:rsid w:val="00151228"/>
    <w:rsid w:val="0015142D"/>
    <w:rsid w:val="0015149B"/>
    <w:rsid w:val="00151B3B"/>
    <w:rsid w:val="001523D2"/>
    <w:rsid w:val="00152517"/>
    <w:rsid w:val="00152D44"/>
    <w:rsid w:val="001532B7"/>
    <w:rsid w:val="001532BB"/>
    <w:rsid w:val="00153AE3"/>
    <w:rsid w:val="00153E95"/>
    <w:rsid w:val="00154285"/>
    <w:rsid w:val="001546E4"/>
    <w:rsid w:val="001549AF"/>
    <w:rsid w:val="00154B61"/>
    <w:rsid w:val="00155155"/>
    <w:rsid w:val="001551A8"/>
    <w:rsid w:val="0015580F"/>
    <w:rsid w:val="00155F3E"/>
    <w:rsid w:val="00156451"/>
    <w:rsid w:val="00156804"/>
    <w:rsid w:val="00157048"/>
    <w:rsid w:val="00157C35"/>
    <w:rsid w:val="00160E90"/>
    <w:rsid w:val="00160F50"/>
    <w:rsid w:val="00162151"/>
    <w:rsid w:val="001632EF"/>
    <w:rsid w:val="001646A0"/>
    <w:rsid w:val="00164F64"/>
    <w:rsid w:val="00166A7B"/>
    <w:rsid w:val="00170BCA"/>
    <w:rsid w:val="00172482"/>
    <w:rsid w:val="00173372"/>
    <w:rsid w:val="00173460"/>
    <w:rsid w:val="00173A99"/>
    <w:rsid w:val="00174C34"/>
    <w:rsid w:val="0017518D"/>
    <w:rsid w:val="0017539B"/>
    <w:rsid w:val="0017613E"/>
    <w:rsid w:val="00176D5A"/>
    <w:rsid w:val="00177681"/>
    <w:rsid w:val="00177B38"/>
    <w:rsid w:val="00180209"/>
    <w:rsid w:val="00180690"/>
    <w:rsid w:val="001813B4"/>
    <w:rsid w:val="00181646"/>
    <w:rsid w:val="001817AE"/>
    <w:rsid w:val="00181847"/>
    <w:rsid w:val="00181965"/>
    <w:rsid w:val="00182545"/>
    <w:rsid w:val="00182EDF"/>
    <w:rsid w:val="0018339C"/>
    <w:rsid w:val="00183694"/>
    <w:rsid w:val="0018389D"/>
    <w:rsid w:val="00184791"/>
    <w:rsid w:val="00184811"/>
    <w:rsid w:val="00184EE0"/>
    <w:rsid w:val="0018652B"/>
    <w:rsid w:val="0018652E"/>
    <w:rsid w:val="0018654C"/>
    <w:rsid w:val="0018673E"/>
    <w:rsid w:val="00186BED"/>
    <w:rsid w:val="0019000D"/>
    <w:rsid w:val="00190066"/>
    <w:rsid w:val="00190D5C"/>
    <w:rsid w:val="0019208E"/>
    <w:rsid w:val="001929AB"/>
    <w:rsid w:val="00192F9F"/>
    <w:rsid w:val="00193042"/>
    <w:rsid w:val="00193095"/>
    <w:rsid w:val="001945D8"/>
    <w:rsid w:val="00194FC8"/>
    <w:rsid w:val="001959A6"/>
    <w:rsid w:val="00195BED"/>
    <w:rsid w:val="00195E3D"/>
    <w:rsid w:val="00196E1F"/>
    <w:rsid w:val="001A0303"/>
    <w:rsid w:val="001A04B7"/>
    <w:rsid w:val="001A0A83"/>
    <w:rsid w:val="001A0E2F"/>
    <w:rsid w:val="001A11A2"/>
    <w:rsid w:val="001A11C5"/>
    <w:rsid w:val="001A16D0"/>
    <w:rsid w:val="001A4642"/>
    <w:rsid w:val="001A48E1"/>
    <w:rsid w:val="001A64F3"/>
    <w:rsid w:val="001A6C30"/>
    <w:rsid w:val="001A6CC9"/>
    <w:rsid w:val="001A6DE0"/>
    <w:rsid w:val="001A7828"/>
    <w:rsid w:val="001A7FCB"/>
    <w:rsid w:val="001B03A4"/>
    <w:rsid w:val="001B0D9E"/>
    <w:rsid w:val="001B2F10"/>
    <w:rsid w:val="001B31B0"/>
    <w:rsid w:val="001B3B3B"/>
    <w:rsid w:val="001B3B8E"/>
    <w:rsid w:val="001B3C65"/>
    <w:rsid w:val="001B4318"/>
    <w:rsid w:val="001B560B"/>
    <w:rsid w:val="001B5AD9"/>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5CC5"/>
    <w:rsid w:val="001C6AD8"/>
    <w:rsid w:val="001C7D24"/>
    <w:rsid w:val="001D0569"/>
    <w:rsid w:val="001D1731"/>
    <w:rsid w:val="001D1BA6"/>
    <w:rsid w:val="001D1EF0"/>
    <w:rsid w:val="001D1FAF"/>
    <w:rsid w:val="001D2D3A"/>
    <w:rsid w:val="001D2D8A"/>
    <w:rsid w:val="001D476E"/>
    <w:rsid w:val="001D4C66"/>
    <w:rsid w:val="001D4D08"/>
    <w:rsid w:val="001D4F6E"/>
    <w:rsid w:val="001D50AC"/>
    <w:rsid w:val="001D5AEB"/>
    <w:rsid w:val="001D69BF"/>
    <w:rsid w:val="001D7A9C"/>
    <w:rsid w:val="001E09BF"/>
    <w:rsid w:val="001E0AA4"/>
    <w:rsid w:val="001E0C9C"/>
    <w:rsid w:val="001E0D4E"/>
    <w:rsid w:val="001E1182"/>
    <w:rsid w:val="001E11B3"/>
    <w:rsid w:val="001E20F2"/>
    <w:rsid w:val="001E27D8"/>
    <w:rsid w:val="001E462C"/>
    <w:rsid w:val="001E5E2F"/>
    <w:rsid w:val="001E5E93"/>
    <w:rsid w:val="001E607F"/>
    <w:rsid w:val="001E6314"/>
    <w:rsid w:val="001E635C"/>
    <w:rsid w:val="001E673A"/>
    <w:rsid w:val="001F10C3"/>
    <w:rsid w:val="001F1968"/>
    <w:rsid w:val="001F1BCC"/>
    <w:rsid w:val="001F2635"/>
    <w:rsid w:val="001F33A2"/>
    <w:rsid w:val="001F4098"/>
    <w:rsid w:val="001F4605"/>
    <w:rsid w:val="001F48F6"/>
    <w:rsid w:val="001F4C39"/>
    <w:rsid w:val="001F628F"/>
    <w:rsid w:val="001F78C1"/>
    <w:rsid w:val="002000A2"/>
    <w:rsid w:val="002002F1"/>
    <w:rsid w:val="00201EAD"/>
    <w:rsid w:val="0020202A"/>
    <w:rsid w:val="0020219B"/>
    <w:rsid w:val="00202EFC"/>
    <w:rsid w:val="002038F5"/>
    <w:rsid w:val="00203BF7"/>
    <w:rsid w:val="002041A9"/>
    <w:rsid w:val="0020457B"/>
    <w:rsid w:val="00205399"/>
    <w:rsid w:val="0020547F"/>
    <w:rsid w:val="002056A3"/>
    <w:rsid w:val="00206023"/>
    <w:rsid w:val="00206D64"/>
    <w:rsid w:val="00206DF8"/>
    <w:rsid w:val="00207956"/>
    <w:rsid w:val="00207D97"/>
    <w:rsid w:val="00210065"/>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3ED1"/>
    <w:rsid w:val="002258D1"/>
    <w:rsid w:val="0022799A"/>
    <w:rsid w:val="00227A48"/>
    <w:rsid w:val="0023025E"/>
    <w:rsid w:val="00231441"/>
    <w:rsid w:val="00231A96"/>
    <w:rsid w:val="00231E1E"/>
    <w:rsid w:val="00232295"/>
    <w:rsid w:val="002340B9"/>
    <w:rsid w:val="00234A35"/>
    <w:rsid w:val="002351B6"/>
    <w:rsid w:val="00237428"/>
    <w:rsid w:val="00237B45"/>
    <w:rsid w:val="00237B6E"/>
    <w:rsid w:val="00240574"/>
    <w:rsid w:val="00241391"/>
    <w:rsid w:val="00241474"/>
    <w:rsid w:val="00242644"/>
    <w:rsid w:val="002427AB"/>
    <w:rsid w:val="00242A75"/>
    <w:rsid w:val="00243709"/>
    <w:rsid w:val="002439E1"/>
    <w:rsid w:val="00243FEA"/>
    <w:rsid w:val="002448ED"/>
    <w:rsid w:val="0024504B"/>
    <w:rsid w:val="00245509"/>
    <w:rsid w:val="00247051"/>
    <w:rsid w:val="00247864"/>
    <w:rsid w:val="002506E4"/>
    <w:rsid w:val="00250912"/>
    <w:rsid w:val="00250D0C"/>
    <w:rsid w:val="00250D72"/>
    <w:rsid w:val="00252099"/>
    <w:rsid w:val="00252A34"/>
    <w:rsid w:val="00253DB4"/>
    <w:rsid w:val="00253DED"/>
    <w:rsid w:val="00254B5F"/>
    <w:rsid w:val="00254EC9"/>
    <w:rsid w:val="00254EE8"/>
    <w:rsid w:val="002551C4"/>
    <w:rsid w:val="002561F0"/>
    <w:rsid w:val="002562C4"/>
    <w:rsid w:val="002566F4"/>
    <w:rsid w:val="00256900"/>
    <w:rsid w:val="00256D40"/>
    <w:rsid w:val="00257C25"/>
    <w:rsid w:val="00262859"/>
    <w:rsid w:val="0026320C"/>
    <w:rsid w:val="0026402D"/>
    <w:rsid w:val="00266777"/>
    <w:rsid w:val="002668B7"/>
    <w:rsid w:val="0026755E"/>
    <w:rsid w:val="002702AE"/>
    <w:rsid w:val="002710E0"/>
    <w:rsid w:val="00271552"/>
    <w:rsid w:val="00271A36"/>
    <w:rsid w:val="00271B7F"/>
    <w:rsid w:val="0027218B"/>
    <w:rsid w:val="0027248F"/>
    <w:rsid w:val="002725D4"/>
    <w:rsid w:val="00272D78"/>
    <w:rsid w:val="00272EDE"/>
    <w:rsid w:val="002732E2"/>
    <w:rsid w:val="00273AE5"/>
    <w:rsid w:val="00273B26"/>
    <w:rsid w:val="00273EF6"/>
    <w:rsid w:val="002742E3"/>
    <w:rsid w:val="002746A9"/>
    <w:rsid w:val="002746EB"/>
    <w:rsid w:val="00274CEF"/>
    <w:rsid w:val="00275308"/>
    <w:rsid w:val="00276697"/>
    <w:rsid w:val="00277614"/>
    <w:rsid w:val="00280421"/>
    <w:rsid w:val="00280780"/>
    <w:rsid w:val="00280C75"/>
    <w:rsid w:val="00281DFC"/>
    <w:rsid w:val="0028208B"/>
    <w:rsid w:val="0028353C"/>
    <w:rsid w:val="002847BD"/>
    <w:rsid w:val="00284828"/>
    <w:rsid w:val="0028567D"/>
    <w:rsid w:val="002856EC"/>
    <w:rsid w:val="00285A94"/>
    <w:rsid w:val="0028705A"/>
    <w:rsid w:val="0028789C"/>
    <w:rsid w:val="002878F1"/>
    <w:rsid w:val="002907B0"/>
    <w:rsid w:val="00291A24"/>
    <w:rsid w:val="00291AB7"/>
    <w:rsid w:val="0029262E"/>
    <w:rsid w:val="002928B2"/>
    <w:rsid w:val="00292DCA"/>
    <w:rsid w:val="00293C6A"/>
    <w:rsid w:val="00294DDC"/>
    <w:rsid w:val="00294F88"/>
    <w:rsid w:val="00295195"/>
    <w:rsid w:val="0029526D"/>
    <w:rsid w:val="00295449"/>
    <w:rsid w:val="002959C1"/>
    <w:rsid w:val="00296904"/>
    <w:rsid w:val="00296E04"/>
    <w:rsid w:val="002A0167"/>
    <w:rsid w:val="002A0455"/>
    <w:rsid w:val="002A0831"/>
    <w:rsid w:val="002A1151"/>
    <w:rsid w:val="002A1A41"/>
    <w:rsid w:val="002A355F"/>
    <w:rsid w:val="002A38B3"/>
    <w:rsid w:val="002A3FCE"/>
    <w:rsid w:val="002A41A0"/>
    <w:rsid w:val="002A48BC"/>
    <w:rsid w:val="002A4B71"/>
    <w:rsid w:val="002A50FC"/>
    <w:rsid w:val="002A52F9"/>
    <w:rsid w:val="002A5610"/>
    <w:rsid w:val="002A5B98"/>
    <w:rsid w:val="002A67C9"/>
    <w:rsid w:val="002A70BE"/>
    <w:rsid w:val="002A71BB"/>
    <w:rsid w:val="002A7903"/>
    <w:rsid w:val="002A7B8E"/>
    <w:rsid w:val="002A7D9F"/>
    <w:rsid w:val="002A7E0A"/>
    <w:rsid w:val="002B016A"/>
    <w:rsid w:val="002B0353"/>
    <w:rsid w:val="002B058F"/>
    <w:rsid w:val="002B1C11"/>
    <w:rsid w:val="002B1C47"/>
    <w:rsid w:val="002B1ECF"/>
    <w:rsid w:val="002B2435"/>
    <w:rsid w:val="002B2933"/>
    <w:rsid w:val="002B4812"/>
    <w:rsid w:val="002B5DAC"/>
    <w:rsid w:val="002B64C9"/>
    <w:rsid w:val="002B68FA"/>
    <w:rsid w:val="002B6EEA"/>
    <w:rsid w:val="002B6F88"/>
    <w:rsid w:val="002B7021"/>
    <w:rsid w:val="002B7719"/>
    <w:rsid w:val="002B79B8"/>
    <w:rsid w:val="002B7F7A"/>
    <w:rsid w:val="002C0F11"/>
    <w:rsid w:val="002C14DB"/>
    <w:rsid w:val="002C1740"/>
    <w:rsid w:val="002C21AF"/>
    <w:rsid w:val="002C2F35"/>
    <w:rsid w:val="002C3451"/>
    <w:rsid w:val="002C366C"/>
    <w:rsid w:val="002C375C"/>
    <w:rsid w:val="002C3A95"/>
    <w:rsid w:val="002C3EAC"/>
    <w:rsid w:val="002C433A"/>
    <w:rsid w:val="002C4C54"/>
    <w:rsid w:val="002C50D0"/>
    <w:rsid w:val="002C6703"/>
    <w:rsid w:val="002C6811"/>
    <w:rsid w:val="002C7ECB"/>
    <w:rsid w:val="002C7F0F"/>
    <w:rsid w:val="002D083F"/>
    <w:rsid w:val="002D2268"/>
    <w:rsid w:val="002D2818"/>
    <w:rsid w:val="002D4A1C"/>
    <w:rsid w:val="002D4BE8"/>
    <w:rsid w:val="002D55B8"/>
    <w:rsid w:val="002D5906"/>
    <w:rsid w:val="002D5A80"/>
    <w:rsid w:val="002D5FE4"/>
    <w:rsid w:val="002D6486"/>
    <w:rsid w:val="002D64D5"/>
    <w:rsid w:val="002D75B1"/>
    <w:rsid w:val="002D76C9"/>
    <w:rsid w:val="002D7EAD"/>
    <w:rsid w:val="002E06EC"/>
    <w:rsid w:val="002E07D7"/>
    <w:rsid w:val="002E0860"/>
    <w:rsid w:val="002E09C8"/>
    <w:rsid w:val="002E0CB1"/>
    <w:rsid w:val="002E13D4"/>
    <w:rsid w:val="002E144E"/>
    <w:rsid w:val="002E1DF9"/>
    <w:rsid w:val="002E1EB4"/>
    <w:rsid w:val="002E23A9"/>
    <w:rsid w:val="002E2868"/>
    <w:rsid w:val="002E2B95"/>
    <w:rsid w:val="002E2C9D"/>
    <w:rsid w:val="002E3889"/>
    <w:rsid w:val="002E3CDD"/>
    <w:rsid w:val="002E4014"/>
    <w:rsid w:val="002E45B0"/>
    <w:rsid w:val="002E4DC8"/>
    <w:rsid w:val="002E4F6E"/>
    <w:rsid w:val="002E5677"/>
    <w:rsid w:val="002E615F"/>
    <w:rsid w:val="002E61A3"/>
    <w:rsid w:val="002E62FE"/>
    <w:rsid w:val="002E6853"/>
    <w:rsid w:val="002E6A32"/>
    <w:rsid w:val="002E6DE0"/>
    <w:rsid w:val="002E76F2"/>
    <w:rsid w:val="002F0087"/>
    <w:rsid w:val="002F0471"/>
    <w:rsid w:val="002F06CB"/>
    <w:rsid w:val="002F074E"/>
    <w:rsid w:val="002F1284"/>
    <w:rsid w:val="002F143D"/>
    <w:rsid w:val="002F1CC1"/>
    <w:rsid w:val="002F339F"/>
    <w:rsid w:val="002F3457"/>
    <w:rsid w:val="002F3CB2"/>
    <w:rsid w:val="002F3D01"/>
    <w:rsid w:val="002F4FC7"/>
    <w:rsid w:val="002F6DDF"/>
    <w:rsid w:val="002F71F0"/>
    <w:rsid w:val="002F7BB7"/>
    <w:rsid w:val="002F7D35"/>
    <w:rsid w:val="002F7F2F"/>
    <w:rsid w:val="0030018B"/>
    <w:rsid w:val="003006F2"/>
    <w:rsid w:val="003014DB"/>
    <w:rsid w:val="00301EA8"/>
    <w:rsid w:val="0030210E"/>
    <w:rsid w:val="0030245D"/>
    <w:rsid w:val="003033BB"/>
    <w:rsid w:val="00303986"/>
    <w:rsid w:val="00304815"/>
    <w:rsid w:val="003051CB"/>
    <w:rsid w:val="003053DE"/>
    <w:rsid w:val="0030545A"/>
    <w:rsid w:val="0030587E"/>
    <w:rsid w:val="0030627E"/>
    <w:rsid w:val="00307709"/>
    <w:rsid w:val="00307B3C"/>
    <w:rsid w:val="00307CAA"/>
    <w:rsid w:val="00310917"/>
    <w:rsid w:val="00310A51"/>
    <w:rsid w:val="00311C2C"/>
    <w:rsid w:val="00311C7B"/>
    <w:rsid w:val="003120D8"/>
    <w:rsid w:val="0031216F"/>
    <w:rsid w:val="0031249A"/>
    <w:rsid w:val="00313105"/>
    <w:rsid w:val="003141BE"/>
    <w:rsid w:val="003141D7"/>
    <w:rsid w:val="003146CE"/>
    <w:rsid w:val="00315149"/>
    <w:rsid w:val="003152E6"/>
    <w:rsid w:val="0031565E"/>
    <w:rsid w:val="00315CEB"/>
    <w:rsid w:val="00315E64"/>
    <w:rsid w:val="00315E81"/>
    <w:rsid w:val="00316096"/>
    <w:rsid w:val="0031757D"/>
    <w:rsid w:val="0031766B"/>
    <w:rsid w:val="00317713"/>
    <w:rsid w:val="00317763"/>
    <w:rsid w:val="00317C97"/>
    <w:rsid w:val="003203AE"/>
    <w:rsid w:val="00321D9D"/>
    <w:rsid w:val="00322348"/>
    <w:rsid w:val="003225F8"/>
    <w:rsid w:val="00322EC6"/>
    <w:rsid w:val="00323632"/>
    <w:rsid w:val="0032366D"/>
    <w:rsid w:val="00323C80"/>
    <w:rsid w:val="00323F4A"/>
    <w:rsid w:val="003243D8"/>
    <w:rsid w:val="00324C88"/>
    <w:rsid w:val="00324E4C"/>
    <w:rsid w:val="00325E77"/>
    <w:rsid w:val="003260DF"/>
    <w:rsid w:val="003265C3"/>
    <w:rsid w:val="00327B44"/>
    <w:rsid w:val="003310CC"/>
    <w:rsid w:val="003328AF"/>
    <w:rsid w:val="00333176"/>
    <w:rsid w:val="00333A7C"/>
    <w:rsid w:val="00333ED4"/>
    <w:rsid w:val="003340CA"/>
    <w:rsid w:val="00334E2D"/>
    <w:rsid w:val="00334E75"/>
    <w:rsid w:val="0033532F"/>
    <w:rsid w:val="00335E1A"/>
    <w:rsid w:val="00335E1C"/>
    <w:rsid w:val="00335F0E"/>
    <w:rsid w:val="00336A1C"/>
    <w:rsid w:val="00336D48"/>
    <w:rsid w:val="0033732E"/>
    <w:rsid w:val="00337D5D"/>
    <w:rsid w:val="00337FD0"/>
    <w:rsid w:val="0034000A"/>
    <w:rsid w:val="00340185"/>
    <w:rsid w:val="0034096C"/>
    <w:rsid w:val="003413AF"/>
    <w:rsid w:val="00341DBC"/>
    <w:rsid w:val="00342A96"/>
    <w:rsid w:val="00342C06"/>
    <w:rsid w:val="00342C6D"/>
    <w:rsid w:val="0034368A"/>
    <w:rsid w:val="00343A4F"/>
    <w:rsid w:val="00343D3E"/>
    <w:rsid w:val="0034423E"/>
    <w:rsid w:val="0034470D"/>
    <w:rsid w:val="00344D7E"/>
    <w:rsid w:val="00344F53"/>
    <w:rsid w:val="00344F58"/>
    <w:rsid w:val="003457A4"/>
    <w:rsid w:val="00345B1C"/>
    <w:rsid w:val="00345D31"/>
    <w:rsid w:val="003461F9"/>
    <w:rsid w:val="00347178"/>
    <w:rsid w:val="00347968"/>
    <w:rsid w:val="00347B01"/>
    <w:rsid w:val="00350010"/>
    <w:rsid w:val="00350666"/>
    <w:rsid w:val="003508B6"/>
    <w:rsid w:val="00350AE0"/>
    <w:rsid w:val="00350D18"/>
    <w:rsid w:val="0035148F"/>
    <w:rsid w:val="00352184"/>
    <w:rsid w:val="00352A0E"/>
    <w:rsid w:val="00352EEF"/>
    <w:rsid w:val="00352FC2"/>
    <w:rsid w:val="003535F8"/>
    <w:rsid w:val="00353B69"/>
    <w:rsid w:val="00354744"/>
    <w:rsid w:val="00354A65"/>
    <w:rsid w:val="00354D78"/>
    <w:rsid w:val="00355E21"/>
    <w:rsid w:val="00355E50"/>
    <w:rsid w:val="00355FE5"/>
    <w:rsid w:val="00356FBC"/>
    <w:rsid w:val="00356FDD"/>
    <w:rsid w:val="00357CEA"/>
    <w:rsid w:val="00357E91"/>
    <w:rsid w:val="003602B7"/>
    <w:rsid w:val="003602F1"/>
    <w:rsid w:val="003605DF"/>
    <w:rsid w:val="003606A1"/>
    <w:rsid w:val="00360BE0"/>
    <w:rsid w:val="00361B88"/>
    <w:rsid w:val="00362618"/>
    <w:rsid w:val="00363C01"/>
    <w:rsid w:val="00363D3E"/>
    <w:rsid w:val="00363E43"/>
    <w:rsid w:val="00365566"/>
    <w:rsid w:val="003665A4"/>
    <w:rsid w:val="00366BD6"/>
    <w:rsid w:val="00366DFE"/>
    <w:rsid w:val="00366E31"/>
    <w:rsid w:val="0036712A"/>
    <w:rsid w:val="00367EF4"/>
    <w:rsid w:val="00370CE1"/>
    <w:rsid w:val="003722E4"/>
    <w:rsid w:val="003726DF"/>
    <w:rsid w:val="0037286C"/>
    <w:rsid w:val="00372EB8"/>
    <w:rsid w:val="00372EE1"/>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66F"/>
    <w:rsid w:val="00381D83"/>
    <w:rsid w:val="00381FE2"/>
    <w:rsid w:val="00382010"/>
    <w:rsid w:val="0038206F"/>
    <w:rsid w:val="00382F0C"/>
    <w:rsid w:val="0038327C"/>
    <w:rsid w:val="00383F45"/>
    <w:rsid w:val="00384310"/>
    <w:rsid w:val="00384835"/>
    <w:rsid w:val="003849A1"/>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93"/>
    <w:rsid w:val="0039228A"/>
    <w:rsid w:val="00392711"/>
    <w:rsid w:val="003927A0"/>
    <w:rsid w:val="00392B8C"/>
    <w:rsid w:val="00393DDF"/>
    <w:rsid w:val="00393FEC"/>
    <w:rsid w:val="0039472B"/>
    <w:rsid w:val="00395A83"/>
    <w:rsid w:val="00395AB5"/>
    <w:rsid w:val="00395D87"/>
    <w:rsid w:val="00396EF6"/>
    <w:rsid w:val="0039790F"/>
    <w:rsid w:val="003A0208"/>
    <w:rsid w:val="003A1610"/>
    <w:rsid w:val="003A17EA"/>
    <w:rsid w:val="003A1ABA"/>
    <w:rsid w:val="003A1D1D"/>
    <w:rsid w:val="003A251C"/>
    <w:rsid w:val="003A3015"/>
    <w:rsid w:val="003A3305"/>
    <w:rsid w:val="003A33DA"/>
    <w:rsid w:val="003A3583"/>
    <w:rsid w:val="003A39F1"/>
    <w:rsid w:val="003A4377"/>
    <w:rsid w:val="003A4568"/>
    <w:rsid w:val="003A4D98"/>
    <w:rsid w:val="003A4E43"/>
    <w:rsid w:val="003A4FC9"/>
    <w:rsid w:val="003A60A5"/>
    <w:rsid w:val="003A69F1"/>
    <w:rsid w:val="003A6C45"/>
    <w:rsid w:val="003A6C97"/>
    <w:rsid w:val="003A72B3"/>
    <w:rsid w:val="003A72BF"/>
    <w:rsid w:val="003A7FB4"/>
    <w:rsid w:val="003B07BE"/>
    <w:rsid w:val="003B091D"/>
    <w:rsid w:val="003B2488"/>
    <w:rsid w:val="003B30E0"/>
    <w:rsid w:val="003B3BD8"/>
    <w:rsid w:val="003B4034"/>
    <w:rsid w:val="003B504B"/>
    <w:rsid w:val="003B56CC"/>
    <w:rsid w:val="003B5ACF"/>
    <w:rsid w:val="003B5CF5"/>
    <w:rsid w:val="003B5E47"/>
    <w:rsid w:val="003B6BEE"/>
    <w:rsid w:val="003B7045"/>
    <w:rsid w:val="003B7672"/>
    <w:rsid w:val="003B783E"/>
    <w:rsid w:val="003B7D21"/>
    <w:rsid w:val="003C03B7"/>
    <w:rsid w:val="003C13CC"/>
    <w:rsid w:val="003C1926"/>
    <w:rsid w:val="003C287F"/>
    <w:rsid w:val="003C3A19"/>
    <w:rsid w:val="003C4331"/>
    <w:rsid w:val="003C5374"/>
    <w:rsid w:val="003C5837"/>
    <w:rsid w:val="003C678D"/>
    <w:rsid w:val="003C6815"/>
    <w:rsid w:val="003C6E8E"/>
    <w:rsid w:val="003C7090"/>
    <w:rsid w:val="003C742D"/>
    <w:rsid w:val="003C7BB1"/>
    <w:rsid w:val="003D004D"/>
    <w:rsid w:val="003D07B4"/>
    <w:rsid w:val="003D0922"/>
    <w:rsid w:val="003D0936"/>
    <w:rsid w:val="003D11ED"/>
    <w:rsid w:val="003D1EB1"/>
    <w:rsid w:val="003D1FA8"/>
    <w:rsid w:val="003D203A"/>
    <w:rsid w:val="003D2935"/>
    <w:rsid w:val="003D3458"/>
    <w:rsid w:val="003D3749"/>
    <w:rsid w:val="003D3885"/>
    <w:rsid w:val="003D3886"/>
    <w:rsid w:val="003D3931"/>
    <w:rsid w:val="003D3EA0"/>
    <w:rsid w:val="003D4494"/>
    <w:rsid w:val="003D484F"/>
    <w:rsid w:val="003D4A06"/>
    <w:rsid w:val="003D5155"/>
    <w:rsid w:val="003D5459"/>
    <w:rsid w:val="003D5965"/>
    <w:rsid w:val="003D5CC0"/>
    <w:rsid w:val="003D76A1"/>
    <w:rsid w:val="003D7F08"/>
    <w:rsid w:val="003E0258"/>
    <w:rsid w:val="003E0B47"/>
    <w:rsid w:val="003E0D98"/>
    <w:rsid w:val="003E10D3"/>
    <w:rsid w:val="003E1D25"/>
    <w:rsid w:val="003E1D46"/>
    <w:rsid w:val="003E2252"/>
    <w:rsid w:val="003E28EA"/>
    <w:rsid w:val="003E2BA4"/>
    <w:rsid w:val="003E2D3B"/>
    <w:rsid w:val="003E3AA6"/>
    <w:rsid w:val="003E3E34"/>
    <w:rsid w:val="003E4A67"/>
    <w:rsid w:val="003E500C"/>
    <w:rsid w:val="003E74B1"/>
    <w:rsid w:val="003F031C"/>
    <w:rsid w:val="003F08F6"/>
    <w:rsid w:val="003F0A7E"/>
    <w:rsid w:val="003F25A9"/>
    <w:rsid w:val="003F305C"/>
    <w:rsid w:val="003F3995"/>
    <w:rsid w:val="003F41BC"/>
    <w:rsid w:val="003F59DD"/>
    <w:rsid w:val="003F6159"/>
    <w:rsid w:val="003F62D3"/>
    <w:rsid w:val="003F734F"/>
    <w:rsid w:val="003F7C53"/>
    <w:rsid w:val="003F7F76"/>
    <w:rsid w:val="0040024E"/>
    <w:rsid w:val="00400B78"/>
    <w:rsid w:val="00400E24"/>
    <w:rsid w:val="004012C2"/>
    <w:rsid w:val="0040178A"/>
    <w:rsid w:val="00401C06"/>
    <w:rsid w:val="00401CDC"/>
    <w:rsid w:val="0040203F"/>
    <w:rsid w:val="00402FD6"/>
    <w:rsid w:val="00403461"/>
    <w:rsid w:val="00404E7F"/>
    <w:rsid w:val="004055AD"/>
    <w:rsid w:val="00405674"/>
    <w:rsid w:val="00405A85"/>
    <w:rsid w:val="00405F8D"/>
    <w:rsid w:val="00406DAD"/>
    <w:rsid w:val="004072C6"/>
    <w:rsid w:val="00407B24"/>
    <w:rsid w:val="00407EF7"/>
    <w:rsid w:val="004100DF"/>
    <w:rsid w:val="004106BA"/>
    <w:rsid w:val="00410CB3"/>
    <w:rsid w:val="00411D3A"/>
    <w:rsid w:val="00412378"/>
    <w:rsid w:val="0041297C"/>
    <w:rsid w:val="00412AEF"/>
    <w:rsid w:val="00412D46"/>
    <w:rsid w:val="00413693"/>
    <w:rsid w:val="0041506B"/>
    <w:rsid w:val="00415934"/>
    <w:rsid w:val="00415C8F"/>
    <w:rsid w:val="004161EA"/>
    <w:rsid w:val="004164AC"/>
    <w:rsid w:val="004171B1"/>
    <w:rsid w:val="004174A4"/>
    <w:rsid w:val="00420047"/>
    <w:rsid w:val="004223DC"/>
    <w:rsid w:val="004225BE"/>
    <w:rsid w:val="00422A14"/>
    <w:rsid w:val="004232D8"/>
    <w:rsid w:val="004245DD"/>
    <w:rsid w:val="00424AB3"/>
    <w:rsid w:val="0042514D"/>
    <w:rsid w:val="00425D07"/>
    <w:rsid w:val="00426811"/>
    <w:rsid w:val="0043012E"/>
    <w:rsid w:val="00430C44"/>
    <w:rsid w:val="00431032"/>
    <w:rsid w:val="004315E5"/>
    <w:rsid w:val="00431F67"/>
    <w:rsid w:val="00431F9F"/>
    <w:rsid w:val="0043268A"/>
    <w:rsid w:val="00432B9B"/>
    <w:rsid w:val="00432C0D"/>
    <w:rsid w:val="00433000"/>
    <w:rsid w:val="004333AD"/>
    <w:rsid w:val="004338C4"/>
    <w:rsid w:val="00435337"/>
    <w:rsid w:val="00435BD5"/>
    <w:rsid w:val="00435D92"/>
    <w:rsid w:val="00436656"/>
    <w:rsid w:val="00436837"/>
    <w:rsid w:val="004377BA"/>
    <w:rsid w:val="00437E58"/>
    <w:rsid w:val="00440430"/>
    <w:rsid w:val="0044160B"/>
    <w:rsid w:val="00441776"/>
    <w:rsid w:val="00441C6C"/>
    <w:rsid w:val="00442091"/>
    <w:rsid w:val="0044348D"/>
    <w:rsid w:val="0044395D"/>
    <w:rsid w:val="00443E15"/>
    <w:rsid w:val="00444990"/>
    <w:rsid w:val="004455B6"/>
    <w:rsid w:val="004455C8"/>
    <w:rsid w:val="004461CF"/>
    <w:rsid w:val="0044659A"/>
    <w:rsid w:val="00446D69"/>
    <w:rsid w:val="004501D8"/>
    <w:rsid w:val="00450526"/>
    <w:rsid w:val="0045196C"/>
    <w:rsid w:val="00451D40"/>
    <w:rsid w:val="00451DA7"/>
    <w:rsid w:val="00452433"/>
    <w:rsid w:val="004560A0"/>
    <w:rsid w:val="00456437"/>
    <w:rsid w:val="004565FA"/>
    <w:rsid w:val="0045679C"/>
    <w:rsid w:val="00456882"/>
    <w:rsid w:val="00456AA1"/>
    <w:rsid w:val="00456B75"/>
    <w:rsid w:val="00456FDA"/>
    <w:rsid w:val="00461905"/>
    <w:rsid w:val="00462304"/>
    <w:rsid w:val="00462311"/>
    <w:rsid w:val="004626A8"/>
    <w:rsid w:val="004639A5"/>
    <w:rsid w:val="00463CD3"/>
    <w:rsid w:val="00463F6E"/>
    <w:rsid w:val="004641C1"/>
    <w:rsid w:val="004645FA"/>
    <w:rsid w:val="0046463F"/>
    <w:rsid w:val="00464910"/>
    <w:rsid w:val="00466BB7"/>
    <w:rsid w:val="0047077B"/>
    <w:rsid w:val="004709B2"/>
    <w:rsid w:val="00470BE2"/>
    <w:rsid w:val="0047148D"/>
    <w:rsid w:val="00472630"/>
    <w:rsid w:val="00472780"/>
    <w:rsid w:val="00473857"/>
    <w:rsid w:val="00473DF9"/>
    <w:rsid w:val="00474155"/>
    <w:rsid w:val="00474E85"/>
    <w:rsid w:val="00474EA6"/>
    <w:rsid w:val="0047507D"/>
    <w:rsid w:val="00475107"/>
    <w:rsid w:val="00475645"/>
    <w:rsid w:val="00475994"/>
    <w:rsid w:val="00475E49"/>
    <w:rsid w:val="004763DA"/>
    <w:rsid w:val="00476734"/>
    <w:rsid w:val="00476CDA"/>
    <w:rsid w:val="004772D3"/>
    <w:rsid w:val="004800B2"/>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2308"/>
    <w:rsid w:val="00493001"/>
    <w:rsid w:val="004930E5"/>
    <w:rsid w:val="00493685"/>
    <w:rsid w:val="00493BA3"/>
    <w:rsid w:val="00494096"/>
    <w:rsid w:val="004953E0"/>
    <w:rsid w:val="00495B56"/>
    <w:rsid w:val="00495C6B"/>
    <w:rsid w:val="004962D3"/>
    <w:rsid w:val="004966B4"/>
    <w:rsid w:val="0049671D"/>
    <w:rsid w:val="0049711A"/>
    <w:rsid w:val="00497632"/>
    <w:rsid w:val="004976D7"/>
    <w:rsid w:val="004A089B"/>
    <w:rsid w:val="004A0F1B"/>
    <w:rsid w:val="004A0F43"/>
    <w:rsid w:val="004A2DF1"/>
    <w:rsid w:val="004A30A3"/>
    <w:rsid w:val="004A3202"/>
    <w:rsid w:val="004A4078"/>
    <w:rsid w:val="004A43EB"/>
    <w:rsid w:val="004A4882"/>
    <w:rsid w:val="004A59A7"/>
    <w:rsid w:val="004A5C41"/>
    <w:rsid w:val="004A624B"/>
    <w:rsid w:val="004A72AC"/>
    <w:rsid w:val="004A73A8"/>
    <w:rsid w:val="004A74D2"/>
    <w:rsid w:val="004B07AC"/>
    <w:rsid w:val="004B07E9"/>
    <w:rsid w:val="004B1E82"/>
    <w:rsid w:val="004B24A5"/>
    <w:rsid w:val="004B2AFF"/>
    <w:rsid w:val="004B300D"/>
    <w:rsid w:val="004B4628"/>
    <w:rsid w:val="004B49AE"/>
    <w:rsid w:val="004B504F"/>
    <w:rsid w:val="004B50E4"/>
    <w:rsid w:val="004B5491"/>
    <w:rsid w:val="004B5964"/>
    <w:rsid w:val="004B68CA"/>
    <w:rsid w:val="004B7E72"/>
    <w:rsid w:val="004C04DA"/>
    <w:rsid w:val="004C05D6"/>
    <w:rsid w:val="004C12AE"/>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317E"/>
    <w:rsid w:val="004D3EA0"/>
    <w:rsid w:val="004D4214"/>
    <w:rsid w:val="004D45ED"/>
    <w:rsid w:val="004D47C9"/>
    <w:rsid w:val="004D50D7"/>
    <w:rsid w:val="004D5451"/>
    <w:rsid w:val="004D5CCF"/>
    <w:rsid w:val="004D5E34"/>
    <w:rsid w:val="004D6A4A"/>
    <w:rsid w:val="004D6D41"/>
    <w:rsid w:val="004D7385"/>
    <w:rsid w:val="004D7623"/>
    <w:rsid w:val="004D7CE3"/>
    <w:rsid w:val="004D7FC7"/>
    <w:rsid w:val="004E0A17"/>
    <w:rsid w:val="004E1B05"/>
    <w:rsid w:val="004E1DFF"/>
    <w:rsid w:val="004E2586"/>
    <w:rsid w:val="004E2828"/>
    <w:rsid w:val="004E361A"/>
    <w:rsid w:val="004E36F1"/>
    <w:rsid w:val="004E48E0"/>
    <w:rsid w:val="004E4B10"/>
    <w:rsid w:val="004E5B94"/>
    <w:rsid w:val="004E5C86"/>
    <w:rsid w:val="004E647C"/>
    <w:rsid w:val="004E6A51"/>
    <w:rsid w:val="004E6AB0"/>
    <w:rsid w:val="004E7363"/>
    <w:rsid w:val="004E7A65"/>
    <w:rsid w:val="004F039B"/>
    <w:rsid w:val="004F0D68"/>
    <w:rsid w:val="004F10CB"/>
    <w:rsid w:val="004F26E3"/>
    <w:rsid w:val="004F3310"/>
    <w:rsid w:val="004F3CD9"/>
    <w:rsid w:val="004F3D93"/>
    <w:rsid w:val="004F42EA"/>
    <w:rsid w:val="004F7124"/>
    <w:rsid w:val="004F7238"/>
    <w:rsid w:val="004F79BB"/>
    <w:rsid w:val="004F7B34"/>
    <w:rsid w:val="004F7CC5"/>
    <w:rsid w:val="00500100"/>
    <w:rsid w:val="00500315"/>
    <w:rsid w:val="0050135A"/>
    <w:rsid w:val="005014C4"/>
    <w:rsid w:val="00501643"/>
    <w:rsid w:val="005016BA"/>
    <w:rsid w:val="00501E30"/>
    <w:rsid w:val="00502674"/>
    <w:rsid w:val="00502743"/>
    <w:rsid w:val="00502CF7"/>
    <w:rsid w:val="00502F82"/>
    <w:rsid w:val="00504D46"/>
    <w:rsid w:val="00504EC8"/>
    <w:rsid w:val="0050524B"/>
    <w:rsid w:val="00505A4C"/>
    <w:rsid w:val="005060F4"/>
    <w:rsid w:val="0050625F"/>
    <w:rsid w:val="00506EC6"/>
    <w:rsid w:val="00507513"/>
    <w:rsid w:val="005078D4"/>
    <w:rsid w:val="00507F62"/>
    <w:rsid w:val="005106BB"/>
    <w:rsid w:val="00511664"/>
    <w:rsid w:val="00512408"/>
    <w:rsid w:val="00512E29"/>
    <w:rsid w:val="00513F54"/>
    <w:rsid w:val="00514765"/>
    <w:rsid w:val="00514928"/>
    <w:rsid w:val="00515031"/>
    <w:rsid w:val="005150F0"/>
    <w:rsid w:val="00515E11"/>
    <w:rsid w:val="00515F51"/>
    <w:rsid w:val="00516C4B"/>
    <w:rsid w:val="005202DF"/>
    <w:rsid w:val="0052134B"/>
    <w:rsid w:val="00522091"/>
    <w:rsid w:val="00522DCF"/>
    <w:rsid w:val="00523100"/>
    <w:rsid w:val="0052352F"/>
    <w:rsid w:val="00523794"/>
    <w:rsid w:val="00524F8A"/>
    <w:rsid w:val="00524FAB"/>
    <w:rsid w:val="005250D6"/>
    <w:rsid w:val="00525677"/>
    <w:rsid w:val="00525CBD"/>
    <w:rsid w:val="00525E2C"/>
    <w:rsid w:val="00526172"/>
    <w:rsid w:val="00526613"/>
    <w:rsid w:val="0053062A"/>
    <w:rsid w:val="00530CDE"/>
    <w:rsid w:val="005312F2"/>
    <w:rsid w:val="00531658"/>
    <w:rsid w:val="005318ED"/>
    <w:rsid w:val="00532911"/>
    <w:rsid w:val="00533C41"/>
    <w:rsid w:val="00533D88"/>
    <w:rsid w:val="0053526B"/>
    <w:rsid w:val="00535898"/>
    <w:rsid w:val="005363AD"/>
    <w:rsid w:val="00536401"/>
    <w:rsid w:val="00536C44"/>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41F"/>
    <w:rsid w:val="0054654B"/>
    <w:rsid w:val="00547375"/>
    <w:rsid w:val="005475E3"/>
    <w:rsid w:val="005479B7"/>
    <w:rsid w:val="00547F30"/>
    <w:rsid w:val="00550ED3"/>
    <w:rsid w:val="005514E2"/>
    <w:rsid w:val="0055177F"/>
    <w:rsid w:val="00553673"/>
    <w:rsid w:val="00555209"/>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B2E"/>
    <w:rsid w:val="00564F21"/>
    <w:rsid w:val="00565491"/>
    <w:rsid w:val="005661B9"/>
    <w:rsid w:val="00566239"/>
    <w:rsid w:val="00566F61"/>
    <w:rsid w:val="00567260"/>
    <w:rsid w:val="005674D8"/>
    <w:rsid w:val="00570149"/>
    <w:rsid w:val="005701CA"/>
    <w:rsid w:val="00571517"/>
    <w:rsid w:val="00574C37"/>
    <w:rsid w:val="0057502A"/>
    <w:rsid w:val="00575349"/>
    <w:rsid w:val="00575A1F"/>
    <w:rsid w:val="00576029"/>
    <w:rsid w:val="00576E3E"/>
    <w:rsid w:val="005770D2"/>
    <w:rsid w:val="00577FD6"/>
    <w:rsid w:val="00580D17"/>
    <w:rsid w:val="005812E0"/>
    <w:rsid w:val="0058160F"/>
    <w:rsid w:val="00582FE8"/>
    <w:rsid w:val="005831A5"/>
    <w:rsid w:val="0058351D"/>
    <w:rsid w:val="00583623"/>
    <w:rsid w:val="005836B4"/>
    <w:rsid w:val="0058425C"/>
    <w:rsid w:val="005843E9"/>
    <w:rsid w:val="00584F2D"/>
    <w:rsid w:val="00584F62"/>
    <w:rsid w:val="0058531C"/>
    <w:rsid w:val="005857DA"/>
    <w:rsid w:val="005857E0"/>
    <w:rsid w:val="00586279"/>
    <w:rsid w:val="0058797B"/>
    <w:rsid w:val="00590CF3"/>
    <w:rsid w:val="00590D4B"/>
    <w:rsid w:val="00591300"/>
    <w:rsid w:val="0059155B"/>
    <w:rsid w:val="005936AD"/>
    <w:rsid w:val="005939A3"/>
    <w:rsid w:val="005945A4"/>
    <w:rsid w:val="005954FA"/>
    <w:rsid w:val="0059556E"/>
    <w:rsid w:val="0059575D"/>
    <w:rsid w:val="005962F2"/>
    <w:rsid w:val="00596C42"/>
    <w:rsid w:val="00597188"/>
    <w:rsid w:val="00597C08"/>
    <w:rsid w:val="00597C71"/>
    <w:rsid w:val="00597DD4"/>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8EA"/>
    <w:rsid w:val="005B0C61"/>
    <w:rsid w:val="005B0CCD"/>
    <w:rsid w:val="005B1077"/>
    <w:rsid w:val="005B265A"/>
    <w:rsid w:val="005B27DE"/>
    <w:rsid w:val="005B2A79"/>
    <w:rsid w:val="005B33CB"/>
    <w:rsid w:val="005B35BE"/>
    <w:rsid w:val="005B36F9"/>
    <w:rsid w:val="005B4724"/>
    <w:rsid w:val="005B4B5E"/>
    <w:rsid w:val="005B5EB5"/>
    <w:rsid w:val="005B5EE4"/>
    <w:rsid w:val="005B78EE"/>
    <w:rsid w:val="005B7955"/>
    <w:rsid w:val="005B7968"/>
    <w:rsid w:val="005C038E"/>
    <w:rsid w:val="005C05E7"/>
    <w:rsid w:val="005C0C70"/>
    <w:rsid w:val="005C0D72"/>
    <w:rsid w:val="005C1E2A"/>
    <w:rsid w:val="005C2139"/>
    <w:rsid w:val="005C2456"/>
    <w:rsid w:val="005C2AF9"/>
    <w:rsid w:val="005C2EA8"/>
    <w:rsid w:val="005C3AC1"/>
    <w:rsid w:val="005C3D3E"/>
    <w:rsid w:val="005C4650"/>
    <w:rsid w:val="005C4B4F"/>
    <w:rsid w:val="005C4DFF"/>
    <w:rsid w:val="005C5B1A"/>
    <w:rsid w:val="005C5DB7"/>
    <w:rsid w:val="005C616B"/>
    <w:rsid w:val="005C63EC"/>
    <w:rsid w:val="005C687D"/>
    <w:rsid w:val="005C6D2D"/>
    <w:rsid w:val="005C6E03"/>
    <w:rsid w:val="005C741B"/>
    <w:rsid w:val="005D0FBC"/>
    <w:rsid w:val="005D1042"/>
    <w:rsid w:val="005D1171"/>
    <w:rsid w:val="005D1252"/>
    <w:rsid w:val="005D1811"/>
    <w:rsid w:val="005D200F"/>
    <w:rsid w:val="005D268B"/>
    <w:rsid w:val="005D3A88"/>
    <w:rsid w:val="005D42A4"/>
    <w:rsid w:val="005D46D5"/>
    <w:rsid w:val="005D5FAF"/>
    <w:rsid w:val="005D61A6"/>
    <w:rsid w:val="005D6594"/>
    <w:rsid w:val="005D676C"/>
    <w:rsid w:val="005D7C9B"/>
    <w:rsid w:val="005E0959"/>
    <w:rsid w:val="005E1E12"/>
    <w:rsid w:val="005E1FF9"/>
    <w:rsid w:val="005E2651"/>
    <w:rsid w:val="005E29F7"/>
    <w:rsid w:val="005E3815"/>
    <w:rsid w:val="005E3AF7"/>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618"/>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234"/>
    <w:rsid w:val="005F7268"/>
    <w:rsid w:val="006007A0"/>
    <w:rsid w:val="00600E31"/>
    <w:rsid w:val="00602665"/>
    <w:rsid w:val="006031BB"/>
    <w:rsid w:val="006041D9"/>
    <w:rsid w:val="006049AB"/>
    <w:rsid w:val="00604C63"/>
    <w:rsid w:val="006051D9"/>
    <w:rsid w:val="0060527B"/>
    <w:rsid w:val="00605E1F"/>
    <w:rsid w:val="00605FEF"/>
    <w:rsid w:val="00606A0F"/>
    <w:rsid w:val="00606B4E"/>
    <w:rsid w:val="00607983"/>
    <w:rsid w:val="00607D53"/>
    <w:rsid w:val="00610396"/>
    <w:rsid w:val="00610611"/>
    <w:rsid w:val="00610D2B"/>
    <w:rsid w:val="00610F9E"/>
    <w:rsid w:val="0061285E"/>
    <w:rsid w:val="00612A1C"/>
    <w:rsid w:val="006136F4"/>
    <w:rsid w:val="00613F1C"/>
    <w:rsid w:val="00614061"/>
    <w:rsid w:val="00614ACF"/>
    <w:rsid w:val="00614D30"/>
    <w:rsid w:val="00614DD3"/>
    <w:rsid w:val="00615291"/>
    <w:rsid w:val="00615805"/>
    <w:rsid w:val="006158C1"/>
    <w:rsid w:val="00616000"/>
    <w:rsid w:val="006160CF"/>
    <w:rsid w:val="006163CD"/>
    <w:rsid w:val="00616B11"/>
    <w:rsid w:val="00617FA8"/>
    <w:rsid w:val="00621D97"/>
    <w:rsid w:val="00621F81"/>
    <w:rsid w:val="00623045"/>
    <w:rsid w:val="00623633"/>
    <w:rsid w:val="00624558"/>
    <w:rsid w:val="00624F7E"/>
    <w:rsid w:val="006262A8"/>
    <w:rsid w:val="006266BE"/>
    <w:rsid w:val="006270DE"/>
    <w:rsid w:val="006279FF"/>
    <w:rsid w:val="00627BC7"/>
    <w:rsid w:val="00627C5A"/>
    <w:rsid w:val="006300F5"/>
    <w:rsid w:val="00631456"/>
    <w:rsid w:val="0063175E"/>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2CD"/>
    <w:rsid w:val="00643C5D"/>
    <w:rsid w:val="00644C9C"/>
    <w:rsid w:val="00644DF4"/>
    <w:rsid w:val="00645C6F"/>
    <w:rsid w:val="006469F8"/>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C6D"/>
    <w:rsid w:val="00656D24"/>
    <w:rsid w:val="006570B7"/>
    <w:rsid w:val="006575A4"/>
    <w:rsid w:val="00657AD5"/>
    <w:rsid w:val="006602DA"/>
    <w:rsid w:val="006610E5"/>
    <w:rsid w:val="00661271"/>
    <w:rsid w:val="006613C5"/>
    <w:rsid w:val="006622E9"/>
    <w:rsid w:val="00662CEF"/>
    <w:rsid w:val="00663000"/>
    <w:rsid w:val="00663DA7"/>
    <w:rsid w:val="00663E31"/>
    <w:rsid w:val="00663E94"/>
    <w:rsid w:val="006641CC"/>
    <w:rsid w:val="006645E3"/>
    <w:rsid w:val="00665A6A"/>
    <w:rsid w:val="00665D70"/>
    <w:rsid w:val="00666B73"/>
    <w:rsid w:val="00667610"/>
    <w:rsid w:val="0066764D"/>
    <w:rsid w:val="00667A94"/>
    <w:rsid w:val="00670617"/>
    <w:rsid w:val="00670B76"/>
    <w:rsid w:val="00671BBC"/>
    <w:rsid w:val="00671EB0"/>
    <w:rsid w:val="00672082"/>
    <w:rsid w:val="006732C7"/>
    <w:rsid w:val="00673AEB"/>
    <w:rsid w:val="00673CD5"/>
    <w:rsid w:val="00674871"/>
    <w:rsid w:val="006751FC"/>
    <w:rsid w:val="00675895"/>
    <w:rsid w:val="0067601C"/>
    <w:rsid w:val="006761D8"/>
    <w:rsid w:val="006764DC"/>
    <w:rsid w:val="00676584"/>
    <w:rsid w:val="00676C3A"/>
    <w:rsid w:val="006776ED"/>
    <w:rsid w:val="00677A1C"/>
    <w:rsid w:val="00677D20"/>
    <w:rsid w:val="0068006E"/>
    <w:rsid w:val="0068020E"/>
    <w:rsid w:val="006809CB"/>
    <w:rsid w:val="00680C7E"/>
    <w:rsid w:val="00681E83"/>
    <w:rsid w:val="006826E6"/>
    <w:rsid w:val="00682A19"/>
    <w:rsid w:val="00682F41"/>
    <w:rsid w:val="006830C1"/>
    <w:rsid w:val="006835E8"/>
    <w:rsid w:val="00684056"/>
    <w:rsid w:val="006843F9"/>
    <w:rsid w:val="00684BD3"/>
    <w:rsid w:val="00684CCA"/>
    <w:rsid w:val="00685B0F"/>
    <w:rsid w:val="006862B8"/>
    <w:rsid w:val="00686568"/>
    <w:rsid w:val="00687E40"/>
    <w:rsid w:val="00690B0F"/>
    <w:rsid w:val="00691EEB"/>
    <w:rsid w:val="00692297"/>
    <w:rsid w:val="0069247E"/>
    <w:rsid w:val="00693982"/>
    <w:rsid w:val="00693B7A"/>
    <w:rsid w:val="00694303"/>
    <w:rsid w:val="006943B3"/>
    <w:rsid w:val="006948D6"/>
    <w:rsid w:val="00694A02"/>
    <w:rsid w:val="00695418"/>
    <w:rsid w:val="00696EE6"/>
    <w:rsid w:val="00697172"/>
    <w:rsid w:val="006A0378"/>
    <w:rsid w:val="006A08E0"/>
    <w:rsid w:val="006A0EB6"/>
    <w:rsid w:val="006A0F7A"/>
    <w:rsid w:val="006A20A0"/>
    <w:rsid w:val="006A33DE"/>
    <w:rsid w:val="006A3840"/>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48C4"/>
    <w:rsid w:val="006B5074"/>
    <w:rsid w:val="006B56ED"/>
    <w:rsid w:val="006B5D28"/>
    <w:rsid w:val="006B5E6B"/>
    <w:rsid w:val="006B68D9"/>
    <w:rsid w:val="006B6E59"/>
    <w:rsid w:val="006B7697"/>
    <w:rsid w:val="006B7994"/>
    <w:rsid w:val="006C04F6"/>
    <w:rsid w:val="006C051A"/>
    <w:rsid w:val="006C06C8"/>
    <w:rsid w:val="006C1381"/>
    <w:rsid w:val="006C152C"/>
    <w:rsid w:val="006C1F2D"/>
    <w:rsid w:val="006C321C"/>
    <w:rsid w:val="006C47C3"/>
    <w:rsid w:val="006C49A3"/>
    <w:rsid w:val="006C4E80"/>
    <w:rsid w:val="006C5444"/>
    <w:rsid w:val="006C654A"/>
    <w:rsid w:val="006C675A"/>
    <w:rsid w:val="006C70E7"/>
    <w:rsid w:val="006C7F2B"/>
    <w:rsid w:val="006D0499"/>
    <w:rsid w:val="006D0E13"/>
    <w:rsid w:val="006D0FCB"/>
    <w:rsid w:val="006D27BA"/>
    <w:rsid w:val="006D3806"/>
    <w:rsid w:val="006D3E3C"/>
    <w:rsid w:val="006D4083"/>
    <w:rsid w:val="006D435A"/>
    <w:rsid w:val="006D4C22"/>
    <w:rsid w:val="006D5781"/>
    <w:rsid w:val="006D62C4"/>
    <w:rsid w:val="006D6D9E"/>
    <w:rsid w:val="006D704D"/>
    <w:rsid w:val="006D7263"/>
    <w:rsid w:val="006D72D6"/>
    <w:rsid w:val="006D72E7"/>
    <w:rsid w:val="006E0CD7"/>
    <w:rsid w:val="006E1597"/>
    <w:rsid w:val="006E3510"/>
    <w:rsid w:val="006E3C57"/>
    <w:rsid w:val="006E4678"/>
    <w:rsid w:val="006E4C40"/>
    <w:rsid w:val="006E55B8"/>
    <w:rsid w:val="006E5922"/>
    <w:rsid w:val="006E657D"/>
    <w:rsid w:val="006E6CBC"/>
    <w:rsid w:val="006E6F98"/>
    <w:rsid w:val="006E7F30"/>
    <w:rsid w:val="006F0A2E"/>
    <w:rsid w:val="006F1011"/>
    <w:rsid w:val="006F10E4"/>
    <w:rsid w:val="006F36C6"/>
    <w:rsid w:val="006F37B1"/>
    <w:rsid w:val="006F3F8F"/>
    <w:rsid w:val="006F40A1"/>
    <w:rsid w:val="006F4A61"/>
    <w:rsid w:val="006F4D51"/>
    <w:rsid w:val="006F50AF"/>
    <w:rsid w:val="006F5CB8"/>
    <w:rsid w:val="006F5FBB"/>
    <w:rsid w:val="006F6416"/>
    <w:rsid w:val="006F6553"/>
    <w:rsid w:val="006F6B4B"/>
    <w:rsid w:val="006F6C3C"/>
    <w:rsid w:val="006F7E03"/>
    <w:rsid w:val="006F7ECF"/>
    <w:rsid w:val="007001E9"/>
    <w:rsid w:val="00700273"/>
    <w:rsid w:val="00700B5E"/>
    <w:rsid w:val="007014FF"/>
    <w:rsid w:val="0070156B"/>
    <w:rsid w:val="00701D00"/>
    <w:rsid w:val="00704004"/>
    <w:rsid w:val="00704FB2"/>
    <w:rsid w:val="00705989"/>
    <w:rsid w:val="00706DB4"/>
    <w:rsid w:val="0070751D"/>
    <w:rsid w:val="00710AE8"/>
    <w:rsid w:val="00710D28"/>
    <w:rsid w:val="0071123F"/>
    <w:rsid w:val="00711355"/>
    <w:rsid w:val="007119D3"/>
    <w:rsid w:val="007124C7"/>
    <w:rsid w:val="00712F80"/>
    <w:rsid w:val="00713635"/>
    <w:rsid w:val="00713B6C"/>
    <w:rsid w:val="00713DB7"/>
    <w:rsid w:val="007150CD"/>
    <w:rsid w:val="00715AE9"/>
    <w:rsid w:val="00716400"/>
    <w:rsid w:val="00716890"/>
    <w:rsid w:val="00716B63"/>
    <w:rsid w:val="00717369"/>
    <w:rsid w:val="00720775"/>
    <w:rsid w:val="00721BD9"/>
    <w:rsid w:val="007223FC"/>
    <w:rsid w:val="007227D6"/>
    <w:rsid w:val="007229F6"/>
    <w:rsid w:val="0072389C"/>
    <w:rsid w:val="007238E9"/>
    <w:rsid w:val="00723C8F"/>
    <w:rsid w:val="0072427F"/>
    <w:rsid w:val="00724AC7"/>
    <w:rsid w:val="00726128"/>
    <w:rsid w:val="0072622F"/>
    <w:rsid w:val="00726486"/>
    <w:rsid w:val="0072652F"/>
    <w:rsid w:val="00726896"/>
    <w:rsid w:val="00726B0D"/>
    <w:rsid w:val="0072756C"/>
    <w:rsid w:val="00730458"/>
    <w:rsid w:val="00730E37"/>
    <w:rsid w:val="007310D9"/>
    <w:rsid w:val="00732359"/>
    <w:rsid w:val="0073261A"/>
    <w:rsid w:val="0073333B"/>
    <w:rsid w:val="00733735"/>
    <w:rsid w:val="007343C9"/>
    <w:rsid w:val="00734659"/>
    <w:rsid w:val="00734718"/>
    <w:rsid w:val="00734C32"/>
    <w:rsid w:val="00735E4E"/>
    <w:rsid w:val="00735F36"/>
    <w:rsid w:val="0073766E"/>
    <w:rsid w:val="007378CE"/>
    <w:rsid w:val="00740B17"/>
    <w:rsid w:val="007418D6"/>
    <w:rsid w:val="007433D6"/>
    <w:rsid w:val="00743653"/>
    <w:rsid w:val="00743BE2"/>
    <w:rsid w:val="00743F5F"/>
    <w:rsid w:val="00745783"/>
    <w:rsid w:val="007459F9"/>
    <w:rsid w:val="0074780B"/>
    <w:rsid w:val="00747C82"/>
    <w:rsid w:val="00747D9E"/>
    <w:rsid w:val="00750FF4"/>
    <w:rsid w:val="00751457"/>
    <w:rsid w:val="00751493"/>
    <w:rsid w:val="007516F5"/>
    <w:rsid w:val="00752E32"/>
    <w:rsid w:val="0075329C"/>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9A"/>
    <w:rsid w:val="00764DD4"/>
    <w:rsid w:val="00764ED9"/>
    <w:rsid w:val="007660DA"/>
    <w:rsid w:val="0076614C"/>
    <w:rsid w:val="00766183"/>
    <w:rsid w:val="00766603"/>
    <w:rsid w:val="007670C5"/>
    <w:rsid w:val="00767491"/>
    <w:rsid w:val="00767B60"/>
    <w:rsid w:val="00767B61"/>
    <w:rsid w:val="00767F7A"/>
    <w:rsid w:val="007702AE"/>
    <w:rsid w:val="0077051C"/>
    <w:rsid w:val="00771EC4"/>
    <w:rsid w:val="00774037"/>
    <w:rsid w:val="0077410B"/>
    <w:rsid w:val="00774395"/>
    <w:rsid w:val="00774CD6"/>
    <w:rsid w:val="007752B8"/>
    <w:rsid w:val="00776085"/>
    <w:rsid w:val="007767A0"/>
    <w:rsid w:val="00776907"/>
    <w:rsid w:val="00776A94"/>
    <w:rsid w:val="00776DD1"/>
    <w:rsid w:val="00777758"/>
    <w:rsid w:val="00780182"/>
    <w:rsid w:val="0078035D"/>
    <w:rsid w:val="0078141F"/>
    <w:rsid w:val="007816C1"/>
    <w:rsid w:val="0078278F"/>
    <w:rsid w:val="00782DBD"/>
    <w:rsid w:val="00783320"/>
    <w:rsid w:val="00783AAD"/>
    <w:rsid w:val="007840AF"/>
    <w:rsid w:val="00784BFD"/>
    <w:rsid w:val="0078503E"/>
    <w:rsid w:val="00785C21"/>
    <w:rsid w:val="00785D45"/>
    <w:rsid w:val="0078733A"/>
    <w:rsid w:val="00787791"/>
    <w:rsid w:val="0078795A"/>
    <w:rsid w:val="00787CDB"/>
    <w:rsid w:val="00790323"/>
    <w:rsid w:val="007903BD"/>
    <w:rsid w:val="00791328"/>
    <w:rsid w:val="00791C3F"/>
    <w:rsid w:val="00792628"/>
    <w:rsid w:val="00792E3A"/>
    <w:rsid w:val="007930BF"/>
    <w:rsid w:val="0079413F"/>
    <w:rsid w:val="00794527"/>
    <w:rsid w:val="0079473A"/>
    <w:rsid w:val="007947C9"/>
    <w:rsid w:val="00796767"/>
    <w:rsid w:val="00796C3A"/>
    <w:rsid w:val="00797066"/>
    <w:rsid w:val="00797824"/>
    <w:rsid w:val="007A016B"/>
    <w:rsid w:val="007A068D"/>
    <w:rsid w:val="007A0FCA"/>
    <w:rsid w:val="007A17B1"/>
    <w:rsid w:val="007A17E7"/>
    <w:rsid w:val="007A236F"/>
    <w:rsid w:val="007A2802"/>
    <w:rsid w:val="007A29C3"/>
    <w:rsid w:val="007A2C24"/>
    <w:rsid w:val="007A2E8C"/>
    <w:rsid w:val="007A4E67"/>
    <w:rsid w:val="007A688C"/>
    <w:rsid w:val="007A70A3"/>
    <w:rsid w:val="007A70D6"/>
    <w:rsid w:val="007A7764"/>
    <w:rsid w:val="007B0E47"/>
    <w:rsid w:val="007B1555"/>
    <w:rsid w:val="007B1608"/>
    <w:rsid w:val="007B1A17"/>
    <w:rsid w:val="007B31DC"/>
    <w:rsid w:val="007B41C6"/>
    <w:rsid w:val="007B4671"/>
    <w:rsid w:val="007B53A6"/>
    <w:rsid w:val="007B5D3A"/>
    <w:rsid w:val="007B656B"/>
    <w:rsid w:val="007B73AB"/>
    <w:rsid w:val="007B7735"/>
    <w:rsid w:val="007B7E52"/>
    <w:rsid w:val="007C013D"/>
    <w:rsid w:val="007C1E41"/>
    <w:rsid w:val="007C227F"/>
    <w:rsid w:val="007C2B54"/>
    <w:rsid w:val="007C3292"/>
    <w:rsid w:val="007C3939"/>
    <w:rsid w:val="007C3DB5"/>
    <w:rsid w:val="007C40E7"/>
    <w:rsid w:val="007C4BF3"/>
    <w:rsid w:val="007C7179"/>
    <w:rsid w:val="007C763E"/>
    <w:rsid w:val="007D02CE"/>
    <w:rsid w:val="007D05A6"/>
    <w:rsid w:val="007D2650"/>
    <w:rsid w:val="007D26E0"/>
    <w:rsid w:val="007D3019"/>
    <w:rsid w:val="007D36B5"/>
    <w:rsid w:val="007D3FC8"/>
    <w:rsid w:val="007D47D4"/>
    <w:rsid w:val="007D4BEE"/>
    <w:rsid w:val="007D5396"/>
    <w:rsid w:val="007D57EC"/>
    <w:rsid w:val="007D5B30"/>
    <w:rsid w:val="007D5BCF"/>
    <w:rsid w:val="007D6112"/>
    <w:rsid w:val="007D6805"/>
    <w:rsid w:val="007D6886"/>
    <w:rsid w:val="007D6A67"/>
    <w:rsid w:val="007D7377"/>
    <w:rsid w:val="007D75F9"/>
    <w:rsid w:val="007D7A78"/>
    <w:rsid w:val="007E0059"/>
    <w:rsid w:val="007E006A"/>
    <w:rsid w:val="007E0152"/>
    <w:rsid w:val="007E0215"/>
    <w:rsid w:val="007E155B"/>
    <w:rsid w:val="007E17BF"/>
    <w:rsid w:val="007E1C06"/>
    <w:rsid w:val="007E2A9E"/>
    <w:rsid w:val="007E2E74"/>
    <w:rsid w:val="007E35AA"/>
    <w:rsid w:val="007E3BB0"/>
    <w:rsid w:val="007E3E5E"/>
    <w:rsid w:val="007E462F"/>
    <w:rsid w:val="007E5C19"/>
    <w:rsid w:val="007E6191"/>
    <w:rsid w:val="007E6C94"/>
    <w:rsid w:val="007E7C1F"/>
    <w:rsid w:val="007F0C5D"/>
    <w:rsid w:val="007F1DC9"/>
    <w:rsid w:val="007F2C37"/>
    <w:rsid w:val="007F3006"/>
    <w:rsid w:val="007F3A30"/>
    <w:rsid w:val="007F3E0B"/>
    <w:rsid w:val="007F465A"/>
    <w:rsid w:val="007F5FF4"/>
    <w:rsid w:val="007F69AB"/>
    <w:rsid w:val="007F718C"/>
    <w:rsid w:val="008002EB"/>
    <w:rsid w:val="00800C09"/>
    <w:rsid w:val="008015E0"/>
    <w:rsid w:val="00801C97"/>
    <w:rsid w:val="0080206D"/>
    <w:rsid w:val="00802408"/>
    <w:rsid w:val="00802E6D"/>
    <w:rsid w:val="008039B6"/>
    <w:rsid w:val="00803E83"/>
    <w:rsid w:val="00804090"/>
    <w:rsid w:val="00804AD4"/>
    <w:rsid w:val="00804E73"/>
    <w:rsid w:val="00804F1A"/>
    <w:rsid w:val="0080577D"/>
    <w:rsid w:val="00805C39"/>
    <w:rsid w:val="008060D0"/>
    <w:rsid w:val="008064E7"/>
    <w:rsid w:val="00806705"/>
    <w:rsid w:val="00807310"/>
    <w:rsid w:val="00810D4F"/>
    <w:rsid w:val="00812E1E"/>
    <w:rsid w:val="008138FB"/>
    <w:rsid w:val="0081408A"/>
    <w:rsid w:val="00814444"/>
    <w:rsid w:val="00815FFB"/>
    <w:rsid w:val="00816448"/>
    <w:rsid w:val="00816AE5"/>
    <w:rsid w:val="00817D79"/>
    <w:rsid w:val="0082015A"/>
    <w:rsid w:val="00820AC6"/>
    <w:rsid w:val="00820DA5"/>
    <w:rsid w:val="008219CA"/>
    <w:rsid w:val="00822C19"/>
    <w:rsid w:val="0082361D"/>
    <w:rsid w:val="008237D0"/>
    <w:rsid w:val="00823BFA"/>
    <w:rsid w:val="0082414B"/>
    <w:rsid w:val="0082421B"/>
    <w:rsid w:val="0082610F"/>
    <w:rsid w:val="00826115"/>
    <w:rsid w:val="00826397"/>
    <w:rsid w:val="00826B47"/>
    <w:rsid w:val="00827665"/>
    <w:rsid w:val="00827B67"/>
    <w:rsid w:val="00827E0C"/>
    <w:rsid w:val="00830B1D"/>
    <w:rsid w:val="00830E34"/>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17E5"/>
    <w:rsid w:val="008424E1"/>
    <w:rsid w:val="00842FF0"/>
    <w:rsid w:val="008439D9"/>
    <w:rsid w:val="008442E0"/>
    <w:rsid w:val="008447D0"/>
    <w:rsid w:val="008448ED"/>
    <w:rsid w:val="00844A37"/>
    <w:rsid w:val="00844D8D"/>
    <w:rsid w:val="00844FE2"/>
    <w:rsid w:val="00846CAB"/>
    <w:rsid w:val="00847466"/>
    <w:rsid w:val="008501C8"/>
    <w:rsid w:val="00850224"/>
    <w:rsid w:val="008512D7"/>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5878"/>
    <w:rsid w:val="0085613F"/>
    <w:rsid w:val="00856862"/>
    <w:rsid w:val="00856CB3"/>
    <w:rsid w:val="00856FFD"/>
    <w:rsid w:val="00857929"/>
    <w:rsid w:val="00857A19"/>
    <w:rsid w:val="00860EE1"/>
    <w:rsid w:val="00861FA6"/>
    <w:rsid w:val="00862066"/>
    <w:rsid w:val="0086312B"/>
    <w:rsid w:val="008641E7"/>
    <w:rsid w:val="008647FC"/>
    <w:rsid w:val="00864990"/>
    <w:rsid w:val="0086569E"/>
    <w:rsid w:val="00865999"/>
    <w:rsid w:val="00867A79"/>
    <w:rsid w:val="00867D37"/>
    <w:rsid w:val="00870E6F"/>
    <w:rsid w:val="00870EBF"/>
    <w:rsid w:val="00871407"/>
    <w:rsid w:val="00871AD5"/>
    <w:rsid w:val="00871D62"/>
    <w:rsid w:val="0087208B"/>
    <w:rsid w:val="008729E4"/>
    <w:rsid w:val="0087300A"/>
    <w:rsid w:val="00873543"/>
    <w:rsid w:val="00873ACC"/>
    <w:rsid w:val="008748FB"/>
    <w:rsid w:val="00874B3A"/>
    <w:rsid w:val="00874CBE"/>
    <w:rsid w:val="00875071"/>
    <w:rsid w:val="00875484"/>
    <w:rsid w:val="0087578E"/>
    <w:rsid w:val="008765FF"/>
    <w:rsid w:val="00876737"/>
    <w:rsid w:val="008768C2"/>
    <w:rsid w:val="00880005"/>
    <w:rsid w:val="00880B5A"/>
    <w:rsid w:val="00880F91"/>
    <w:rsid w:val="0088174B"/>
    <w:rsid w:val="00881DA2"/>
    <w:rsid w:val="00882205"/>
    <w:rsid w:val="008832D9"/>
    <w:rsid w:val="00883AA5"/>
    <w:rsid w:val="00884A2C"/>
    <w:rsid w:val="008852F2"/>
    <w:rsid w:val="00885523"/>
    <w:rsid w:val="00885968"/>
    <w:rsid w:val="0088597B"/>
    <w:rsid w:val="00886533"/>
    <w:rsid w:val="00886848"/>
    <w:rsid w:val="008879CF"/>
    <w:rsid w:val="00891335"/>
    <w:rsid w:val="0089180C"/>
    <w:rsid w:val="00891F39"/>
    <w:rsid w:val="00893211"/>
    <w:rsid w:val="0089372D"/>
    <w:rsid w:val="008938A6"/>
    <w:rsid w:val="00894965"/>
    <w:rsid w:val="008954E4"/>
    <w:rsid w:val="00895A11"/>
    <w:rsid w:val="0089634A"/>
    <w:rsid w:val="0089635F"/>
    <w:rsid w:val="00896C55"/>
    <w:rsid w:val="00896C61"/>
    <w:rsid w:val="00897764"/>
    <w:rsid w:val="00897A87"/>
    <w:rsid w:val="008A02EE"/>
    <w:rsid w:val="008A0801"/>
    <w:rsid w:val="008A1544"/>
    <w:rsid w:val="008A2BCC"/>
    <w:rsid w:val="008A3D8D"/>
    <w:rsid w:val="008A3DDC"/>
    <w:rsid w:val="008A55D2"/>
    <w:rsid w:val="008A7091"/>
    <w:rsid w:val="008A7DF5"/>
    <w:rsid w:val="008B0AAD"/>
    <w:rsid w:val="008B1648"/>
    <w:rsid w:val="008B1B3B"/>
    <w:rsid w:val="008B2C45"/>
    <w:rsid w:val="008B2ED4"/>
    <w:rsid w:val="008B48DB"/>
    <w:rsid w:val="008B496B"/>
    <w:rsid w:val="008B508B"/>
    <w:rsid w:val="008B5B27"/>
    <w:rsid w:val="008B6125"/>
    <w:rsid w:val="008B74DD"/>
    <w:rsid w:val="008B77C5"/>
    <w:rsid w:val="008B7869"/>
    <w:rsid w:val="008C0079"/>
    <w:rsid w:val="008C0A51"/>
    <w:rsid w:val="008C0C3D"/>
    <w:rsid w:val="008C2218"/>
    <w:rsid w:val="008C295E"/>
    <w:rsid w:val="008C2F28"/>
    <w:rsid w:val="008C36A3"/>
    <w:rsid w:val="008C37E4"/>
    <w:rsid w:val="008C39B0"/>
    <w:rsid w:val="008C3F90"/>
    <w:rsid w:val="008C45F5"/>
    <w:rsid w:val="008C499F"/>
    <w:rsid w:val="008C4BDF"/>
    <w:rsid w:val="008C515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E7E"/>
    <w:rsid w:val="008D4388"/>
    <w:rsid w:val="008D45E9"/>
    <w:rsid w:val="008D4EBE"/>
    <w:rsid w:val="008D5D65"/>
    <w:rsid w:val="008D61CE"/>
    <w:rsid w:val="008D6C35"/>
    <w:rsid w:val="008E0250"/>
    <w:rsid w:val="008E058E"/>
    <w:rsid w:val="008E072B"/>
    <w:rsid w:val="008E0FAB"/>
    <w:rsid w:val="008E27D0"/>
    <w:rsid w:val="008E3071"/>
    <w:rsid w:val="008E495F"/>
    <w:rsid w:val="008E5F21"/>
    <w:rsid w:val="008E6A63"/>
    <w:rsid w:val="008E6A7D"/>
    <w:rsid w:val="008E6CF8"/>
    <w:rsid w:val="008E722E"/>
    <w:rsid w:val="008E7CFA"/>
    <w:rsid w:val="008F02D0"/>
    <w:rsid w:val="008F0CC0"/>
    <w:rsid w:val="008F1201"/>
    <w:rsid w:val="008F12C1"/>
    <w:rsid w:val="008F1CCF"/>
    <w:rsid w:val="008F20D8"/>
    <w:rsid w:val="008F21D7"/>
    <w:rsid w:val="008F341F"/>
    <w:rsid w:val="008F370D"/>
    <w:rsid w:val="008F38F4"/>
    <w:rsid w:val="008F4D11"/>
    <w:rsid w:val="008F561E"/>
    <w:rsid w:val="008F5CE9"/>
    <w:rsid w:val="008F6B1D"/>
    <w:rsid w:val="00900D11"/>
    <w:rsid w:val="00900DC6"/>
    <w:rsid w:val="0090287F"/>
    <w:rsid w:val="00902AAC"/>
    <w:rsid w:val="00902DF2"/>
    <w:rsid w:val="00902F38"/>
    <w:rsid w:val="00902FA1"/>
    <w:rsid w:val="00903410"/>
    <w:rsid w:val="0090383A"/>
    <w:rsid w:val="00903EBE"/>
    <w:rsid w:val="009059D8"/>
    <w:rsid w:val="00906176"/>
    <w:rsid w:val="009063DB"/>
    <w:rsid w:val="009074D4"/>
    <w:rsid w:val="00907E56"/>
    <w:rsid w:val="00907E99"/>
    <w:rsid w:val="00907EA3"/>
    <w:rsid w:val="009113E5"/>
    <w:rsid w:val="00912394"/>
    <w:rsid w:val="00912C69"/>
    <w:rsid w:val="00912D7C"/>
    <w:rsid w:val="0091304E"/>
    <w:rsid w:val="009138DD"/>
    <w:rsid w:val="009139A5"/>
    <w:rsid w:val="0091467C"/>
    <w:rsid w:val="009148AE"/>
    <w:rsid w:val="00914ACD"/>
    <w:rsid w:val="0091524F"/>
    <w:rsid w:val="009153EA"/>
    <w:rsid w:val="009154C0"/>
    <w:rsid w:val="00915EE1"/>
    <w:rsid w:val="00916B7A"/>
    <w:rsid w:val="009176B3"/>
    <w:rsid w:val="009200AF"/>
    <w:rsid w:val="00920590"/>
    <w:rsid w:val="00921FCD"/>
    <w:rsid w:val="00924971"/>
    <w:rsid w:val="00924F5E"/>
    <w:rsid w:val="009252E5"/>
    <w:rsid w:val="00926594"/>
    <w:rsid w:val="0092695B"/>
    <w:rsid w:val="00926A46"/>
    <w:rsid w:val="0092736B"/>
    <w:rsid w:val="00927B1E"/>
    <w:rsid w:val="00930669"/>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186A"/>
    <w:rsid w:val="00943E10"/>
    <w:rsid w:val="00944855"/>
    <w:rsid w:val="009448F1"/>
    <w:rsid w:val="00945E65"/>
    <w:rsid w:val="00946D0E"/>
    <w:rsid w:val="0094705A"/>
    <w:rsid w:val="009507AF"/>
    <w:rsid w:val="00950E79"/>
    <w:rsid w:val="0095142F"/>
    <w:rsid w:val="0095184D"/>
    <w:rsid w:val="009529C5"/>
    <w:rsid w:val="00953139"/>
    <w:rsid w:val="009537D9"/>
    <w:rsid w:val="00953C3F"/>
    <w:rsid w:val="0095435A"/>
    <w:rsid w:val="00954FA4"/>
    <w:rsid w:val="0095546E"/>
    <w:rsid w:val="00955B31"/>
    <w:rsid w:val="00955B80"/>
    <w:rsid w:val="00955F59"/>
    <w:rsid w:val="009563C8"/>
    <w:rsid w:val="00957203"/>
    <w:rsid w:val="00957CA8"/>
    <w:rsid w:val="00960C8B"/>
    <w:rsid w:val="00961394"/>
    <w:rsid w:val="00961864"/>
    <w:rsid w:val="009618D8"/>
    <w:rsid w:val="00962056"/>
    <w:rsid w:val="00962B42"/>
    <w:rsid w:val="00962B47"/>
    <w:rsid w:val="009631BF"/>
    <w:rsid w:val="009638A6"/>
    <w:rsid w:val="0096403F"/>
    <w:rsid w:val="00964B4E"/>
    <w:rsid w:val="0096656D"/>
    <w:rsid w:val="009667DE"/>
    <w:rsid w:val="00966D5B"/>
    <w:rsid w:val="00967B50"/>
    <w:rsid w:val="00967EDC"/>
    <w:rsid w:val="009717F0"/>
    <w:rsid w:val="00971B99"/>
    <w:rsid w:val="00971B9B"/>
    <w:rsid w:val="00971E06"/>
    <w:rsid w:val="00972349"/>
    <w:rsid w:val="0097271B"/>
    <w:rsid w:val="0097286D"/>
    <w:rsid w:val="0097305A"/>
    <w:rsid w:val="00973212"/>
    <w:rsid w:val="00973823"/>
    <w:rsid w:val="0097390B"/>
    <w:rsid w:val="009756AB"/>
    <w:rsid w:val="0097589E"/>
    <w:rsid w:val="00976729"/>
    <w:rsid w:val="0097686A"/>
    <w:rsid w:val="00980170"/>
    <w:rsid w:val="00981087"/>
    <w:rsid w:val="00981326"/>
    <w:rsid w:val="009818EE"/>
    <w:rsid w:val="00981B05"/>
    <w:rsid w:val="00982047"/>
    <w:rsid w:val="00983BE8"/>
    <w:rsid w:val="00983CD6"/>
    <w:rsid w:val="00983E28"/>
    <w:rsid w:val="00984902"/>
    <w:rsid w:val="009852C8"/>
    <w:rsid w:val="00985F3B"/>
    <w:rsid w:val="00986CA0"/>
    <w:rsid w:val="009873A6"/>
    <w:rsid w:val="00990115"/>
    <w:rsid w:val="0099011B"/>
    <w:rsid w:val="0099177C"/>
    <w:rsid w:val="00991EBE"/>
    <w:rsid w:val="0099207D"/>
    <w:rsid w:val="00992506"/>
    <w:rsid w:val="009928D9"/>
    <w:rsid w:val="009929E5"/>
    <w:rsid w:val="009936C3"/>
    <w:rsid w:val="00993C93"/>
    <w:rsid w:val="00994065"/>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0E59"/>
    <w:rsid w:val="009A1664"/>
    <w:rsid w:val="009A25A4"/>
    <w:rsid w:val="009A2734"/>
    <w:rsid w:val="009A2805"/>
    <w:rsid w:val="009A2CF1"/>
    <w:rsid w:val="009A2E1D"/>
    <w:rsid w:val="009A3EE4"/>
    <w:rsid w:val="009A449F"/>
    <w:rsid w:val="009A4527"/>
    <w:rsid w:val="009A45F7"/>
    <w:rsid w:val="009A4AF0"/>
    <w:rsid w:val="009A5FFB"/>
    <w:rsid w:val="009A608C"/>
    <w:rsid w:val="009A62EA"/>
    <w:rsid w:val="009A65EB"/>
    <w:rsid w:val="009A68E8"/>
    <w:rsid w:val="009B109B"/>
    <w:rsid w:val="009B1302"/>
    <w:rsid w:val="009B136D"/>
    <w:rsid w:val="009B1639"/>
    <w:rsid w:val="009B1E7E"/>
    <w:rsid w:val="009B1F0E"/>
    <w:rsid w:val="009B2680"/>
    <w:rsid w:val="009B2CDB"/>
    <w:rsid w:val="009B5892"/>
    <w:rsid w:val="009B5958"/>
    <w:rsid w:val="009B597F"/>
    <w:rsid w:val="009B63D5"/>
    <w:rsid w:val="009C0B95"/>
    <w:rsid w:val="009C0ECF"/>
    <w:rsid w:val="009C1954"/>
    <w:rsid w:val="009C2177"/>
    <w:rsid w:val="009C231C"/>
    <w:rsid w:val="009C23F0"/>
    <w:rsid w:val="009C2A14"/>
    <w:rsid w:val="009C2C83"/>
    <w:rsid w:val="009C31D6"/>
    <w:rsid w:val="009C3BF9"/>
    <w:rsid w:val="009C4FE5"/>
    <w:rsid w:val="009C61DB"/>
    <w:rsid w:val="009C6451"/>
    <w:rsid w:val="009D07C2"/>
    <w:rsid w:val="009D2C65"/>
    <w:rsid w:val="009D2FB0"/>
    <w:rsid w:val="009D3358"/>
    <w:rsid w:val="009D38AE"/>
    <w:rsid w:val="009D3F05"/>
    <w:rsid w:val="009D5CAD"/>
    <w:rsid w:val="009D637F"/>
    <w:rsid w:val="009D6703"/>
    <w:rsid w:val="009D6713"/>
    <w:rsid w:val="009D6F74"/>
    <w:rsid w:val="009D74EB"/>
    <w:rsid w:val="009D7CC1"/>
    <w:rsid w:val="009D7E51"/>
    <w:rsid w:val="009E04D2"/>
    <w:rsid w:val="009E0A3F"/>
    <w:rsid w:val="009E0D5C"/>
    <w:rsid w:val="009E1C4A"/>
    <w:rsid w:val="009E1C61"/>
    <w:rsid w:val="009E1E06"/>
    <w:rsid w:val="009E20E5"/>
    <w:rsid w:val="009E2317"/>
    <w:rsid w:val="009E360E"/>
    <w:rsid w:val="009E3733"/>
    <w:rsid w:val="009E3D70"/>
    <w:rsid w:val="009E3D91"/>
    <w:rsid w:val="009E3FCC"/>
    <w:rsid w:val="009E461F"/>
    <w:rsid w:val="009E5325"/>
    <w:rsid w:val="009E5744"/>
    <w:rsid w:val="009E6BFE"/>
    <w:rsid w:val="009F034C"/>
    <w:rsid w:val="009F0449"/>
    <w:rsid w:val="009F065A"/>
    <w:rsid w:val="009F10C3"/>
    <w:rsid w:val="009F1151"/>
    <w:rsid w:val="009F12B2"/>
    <w:rsid w:val="009F1314"/>
    <w:rsid w:val="009F15CB"/>
    <w:rsid w:val="009F1AAB"/>
    <w:rsid w:val="009F1ABA"/>
    <w:rsid w:val="009F23F9"/>
    <w:rsid w:val="009F29DF"/>
    <w:rsid w:val="009F5B63"/>
    <w:rsid w:val="009F6D92"/>
    <w:rsid w:val="00A00E27"/>
    <w:rsid w:val="00A013E1"/>
    <w:rsid w:val="00A01693"/>
    <w:rsid w:val="00A01729"/>
    <w:rsid w:val="00A01DB4"/>
    <w:rsid w:val="00A0305E"/>
    <w:rsid w:val="00A0354D"/>
    <w:rsid w:val="00A04888"/>
    <w:rsid w:val="00A05D55"/>
    <w:rsid w:val="00A0648D"/>
    <w:rsid w:val="00A07557"/>
    <w:rsid w:val="00A0760D"/>
    <w:rsid w:val="00A1042A"/>
    <w:rsid w:val="00A1047B"/>
    <w:rsid w:val="00A10F85"/>
    <w:rsid w:val="00A1143A"/>
    <w:rsid w:val="00A11E98"/>
    <w:rsid w:val="00A120C0"/>
    <w:rsid w:val="00A121AB"/>
    <w:rsid w:val="00A12761"/>
    <w:rsid w:val="00A1309B"/>
    <w:rsid w:val="00A1309F"/>
    <w:rsid w:val="00A13461"/>
    <w:rsid w:val="00A14A58"/>
    <w:rsid w:val="00A14CB2"/>
    <w:rsid w:val="00A1533A"/>
    <w:rsid w:val="00A208E0"/>
    <w:rsid w:val="00A20ADE"/>
    <w:rsid w:val="00A2258E"/>
    <w:rsid w:val="00A225EE"/>
    <w:rsid w:val="00A22897"/>
    <w:rsid w:val="00A22DFE"/>
    <w:rsid w:val="00A26BC2"/>
    <w:rsid w:val="00A27434"/>
    <w:rsid w:val="00A306B4"/>
    <w:rsid w:val="00A317EF"/>
    <w:rsid w:val="00A32372"/>
    <w:rsid w:val="00A324D0"/>
    <w:rsid w:val="00A33261"/>
    <w:rsid w:val="00A3353E"/>
    <w:rsid w:val="00A336C6"/>
    <w:rsid w:val="00A345FE"/>
    <w:rsid w:val="00A348D5"/>
    <w:rsid w:val="00A34D2F"/>
    <w:rsid w:val="00A36106"/>
    <w:rsid w:val="00A364E6"/>
    <w:rsid w:val="00A36C1B"/>
    <w:rsid w:val="00A37D5D"/>
    <w:rsid w:val="00A40194"/>
    <w:rsid w:val="00A41457"/>
    <w:rsid w:val="00A42214"/>
    <w:rsid w:val="00A42E4C"/>
    <w:rsid w:val="00A42EA0"/>
    <w:rsid w:val="00A45013"/>
    <w:rsid w:val="00A45CA9"/>
    <w:rsid w:val="00A4663B"/>
    <w:rsid w:val="00A466D2"/>
    <w:rsid w:val="00A46DF5"/>
    <w:rsid w:val="00A47D82"/>
    <w:rsid w:val="00A502AB"/>
    <w:rsid w:val="00A5054B"/>
    <w:rsid w:val="00A51210"/>
    <w:rsid w:val="00A51243"/>
    <w:rsid w:val="00A51826"/>
    <w:rsid w:val="00A5203F"/>
    <w:rsid w:val="00A524E1"/>
    <w:rsid w:val="00A526EB"/>
    <w:rsid w:val="00A5321A"/>
    <w:rsid w:val="00A53334"/>
    <w:rsid w:val="00A53AA8"/>
    <w:rsid w:val="00A53E29"/>
    <w:rsid w:val="00A53E48"/>
    <w:rsid w:val="00A54DC4"/>
    <w:rsid w:val="00A5502B"/>
    <w:rsid w:val="00A55BC8"/>
    <w:rsid w:val="00A55E0B"/>
    <w:rsid w:val="00A5684D"/>
    <w:rsid w:val="00A569A4"/>
    <w:rsid w:val="00A56EF8"/>
    <w:rsid w:val="00A5713C"/>
    <w:rsid w:val="00A574BC"/>
    <w:rsid w:val="00A57AF8"/>
    <w:rsid w:val="00A61538"/>
    <w:rsid w:val="00A62960"/>
    <w:rsid w:val="00A63102"/>
    <w:rsid w:val="00A647C5"/>
    <w:rsid w:val="00A64C58"/>
    <w:rsid w:val="00A65DB6"/>
    <w:rsid w:val="00A664C2"/>
    <w:rsid w:val="00A66A5E"/>
    <w:rsid w:val="00A66C26"/>
    <w:rsid w:val="00A703D4"/>
    <w:rsid w:val="00A70475"/>
    <w:rsid w:val="00A70B83"/>
    <w:rsid w:val="00A70FC2"/>
    <w:rsid w:val="00A71872"/>
    <w:rsid w:val="00A71AE7"/>
    <w:rsid w:val="00A72068"/>
    <w:rsid w:val="00A7263F"/>
    <w:rsid w:val="00A72EBA"/>
    <w:rsid w:val="00A73A88"/>
    <w:rsid w:val="00A745BA"/>
    <w:rsid w:val="00A747E4"/>
    <w:rsid w:val="00A74CE9"/>
    <w:rsid w:val="00A7534A"/>
    <w:rsid w:val="00A7537A"/>
    <w:rsid w:val="00A758C1"/>
    <w:rsid w:val="00A76128"/>
    <w:rsid w:val="00A81473"/>
    <w:rsid w:val="00A822B1"/>
    <w:rsid w:val="00A82836"/>
    <w:rsid w:val="00A82BD8"/>
    <w:rsid w:val="00A83546"/>
    <w:rsid w:val="00A835AA"/>
    <w:rsid w:val="00A844E9"/>
    <w:rsid w:val="00A849CA"/>
    <w:rsid w:val="00A87B9E"/>
    <w:rsid w:val="00A87DB0"/>
    <w:rsid w:val="00A9003E"/>
    <w:rsid w:val="00A91A35"/>
    <w:rsid w:val="00A91AF0"/>
    <w:rsid w:val="00A9206A"/>
    <w:rsid w:val="00A92369"/>
    <w:rsid w:val="00A926BE"/>
    <w:rsid w:val="00A9334E"/>
    <w:rsid w:val="00A93C15"/>
    <w:rsid w:val="00A93E0C"/>
    <w:rsid w:val="00A93EF8"/>
    <w:rsid w:val="00A9403F"/>
    <w:rsid w:val="00A944E0"/>
    <w:rsid w:val="00A953BC"/>
    <w:rsid w:val="00A95CCD"/>
    <w:rsid w:val="00A95D52"/>
    <w:rsid w:val="00A95E7C"/>
    <w:rsid w:val="00A964B3"/>
    <w:rsid w:val="00A9664F"/>
    <w:rsid w:val="00A96801"/>
    <w:rsid w:val="00A96B18"/>
    <w:rsid w:val="00A976B8"/>
    <w:rsid w:val="00A97FEA"/>
    <w:rsid w:val="00AA0013"/>
    <w:rsid w:val="00AA027D"/>
    <w:rsid w:val="00AA02C2"/>
    <w:rsid w:val="00AA04C9"/>
    <w:rsid w:val="00AA0AF4"/>
    <w:rsid w:val="00AA1361"/>
    <w:rsid w:val="00AA144E"/>
    <w:rsid w:val="00AA1E7D"/>
    <w:rsid w:val="00AA27D6"/>
    <w:rsid w:val="00AA3A87"/>
    <w:rsid w:val="00AA46AD"/>
    <w:rsid w:val="00AA472F"/>
    <w:rsid w:val="00AA4A2F"/>
    <w:rsid w:val="00AA59F9"/>
    <w:rsid w:val="00AA5AE6"/>
    <w:rsid w:val="00AA70C4"/>
    <w:rsid w:val="00AB070A"/>
    <w:rsid w:val="00AB0AD1"/>
    <w:rsid w:val="00AB1F30"/>
    <w:rsid w:val="00AB26C9"/>
    <w:rsid w:val="00AB2785"/>
    <w:rsid w:val="00AB2A36"/>
    <w:rsid w:val="00AB3411"/>
    <w:rsid w:val="00AB34D7"/>
    <w:rsid w:val="00AB4179"/>
    <w:rsid w:val="00AB5CA1"/>
    <w:rsid w:val="00AB798D"/>
    <w:rsid w:val="00AC0D2A"/>
    <w:rsid w:val="00AC1A4D"/>
    <w:rsid w:val="00AC200A"/>
    <w:rsid w:val="00AC2531"/>
    <w:rsid w:val="00AC408E"/>
    <w:rsid w:val="00AC478D"/>
    <w:rsid w:val="00AC4ED3"/>
    <w:rsid w:val="00AD02E0"/>
    <w:rsid w:val="00AD067A"/>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81E"/>
    <w:rsid w:val="00AE2B57"/>
    <w:rsid w:val="00AE2E25"/>
    <w:rsid w:val="00AE30F9"/>
    <w:rsid w:val="00AE32ED"/>
    <w:rsid w:val="00AE365B"/>
    <w:rsid w:val="00AE397C"/>
    <w:rsid w:val="00AE41C1"/>
    <w:rsid w:val="00AE5A69"/>
    <w:rsid w:val="00AE66E5"/>
    <w:rsid w:val="00AE6827"/>
    <w:rsid w:val="00AE7D04"/>
    <w:rsid w:val="00AE7D0F"/>
    <w:rsid w:val="00AE7D37"/>
    <w:rsid w:val="00AE7FB0"/>
    <w:rsid w:val="00AF130F"/>
    <w:rsid w:val="00AF1380"/>
    <w:rsid w:val="00AF1EAF"/>
    <w:rsid w:val="00AF24D0"/>
    <w:rsid w:val="00AF285E"/>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6F5C"/>
    <w:rsid w:val="00B078F1"/>
    <w:rsid w:val="00B07F37"/>
    <w:rsid w:val="00B10774"/>
    <w:rsid w:val="00B10B14"/>
    <w:rsid w:val="00B11E3F"/>
    <w:rsid w:val="00B12419"/>
    <w:rsid w:val="00B12C3E"/>
    <w:rsid w:val="00B13906"/>
    <w:rsid w:val="00B1436A"/>
    <w:rsid w:val="00B14396"/>
    <w:rsid w:val="00B148CC"/>
    <w:rsid w:val="00B15103"/>
    <w:rsid w:val="00B1663C"/>
    <w:rsid w:val="00B16EA0"/>
    <w:rsid w:val="00B16F42"/>
    <w:rsid w:val="00B175EE"/>
    <w:rsid w:val="00B17814"/>
    <w:rsid w:val="00B17BB0"/>
    <w:rsid w:val="00B17BF4"/>
    <w:rsid w:val="00B2129A"/>
    <w:rsid w:val="00B215D4"/>
    <w:rsid w:val="00B2180D"/>
    <w:rsid w:val="00B22AB2"/>
    <w:rsid w:val="00B23C45"/>
    <w:rsid w:val="00B2513D"/>
    <w:rsid w:val="00B259DE"/>
    <w:rsid w:val="00B25A82"/>
    <w:rsid w:val="00B25B21"/>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083"/>
    <w:rsid w:val="00B351B8"/>
    <w:rsid w:val="00B3529C"/>
    <w:rsid w:val="00B358D9"/>
    <w:rsid w:val="00B367B5"/>
    <w:rsid w:val="00B37455"/>
    <w:rsid w:val="00B37891"/>
    <w:rsid w:val="00B37B41"/>
    <w:rsid w:val="00B400CA"/>
    <w:rsid w:val="00B40AFF"/>
    <w:rsid w:val="00B41A92"/>
    <w:rsid w:val="00B421E5"/>
    <w:rsid w:val="00B4266B"/>
    <w:rsid w:val="00B42840"/>
    <w:rsid w:val="00B42C0C"/>
    <w:rsid w:val="00B43A91"/>
    <w:rsid w:val="00B44224"/>
    <w:rsid w:val="00B443A6"/>
    <w:rsid w:val="00B44803"/>
    <w:rsid w:val="00B4562D"/>
    <w:rsid w:val="00B45D81"/>
    <w:rsid w:val="00B46622"/>
    <w:rsid w:val="00B4689B"/>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2B0"/>
    <w:rsid w:val="00B616D6"/>
    <w:rsid w:val="00B61B33"/>
    <w:rsid w:val="00B62850"/>
    <w:rsid w:val="00B62F5A"/>
    <w:rsid w:val="00B632C3"/>
    <w:rsid w:val="00B63ABC"/>
    <w:rsid w:val="00B6412B"/>
    <w:rsid w:val="00B64552"/>
    <w:rsid w:val="00B658BA"/>
    <w:rsid w:val="00B66EDF"/>
    <w:rsid w:val="00B67A7F"/>
    <w:rsid w:val="00B707AB"/>
    <w:rsid w:val="00B70C34"/>
    <w:rsid w:val="00B71141"/>
    <w:rsid w:val="00B71C05"/>
    <w:rsid w:val="00B71D1C"/>
    <w:rsid w:val="00B724C6"/>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5FA"/>
    <w:rsid w:val="00B87705"/>
    <w:rsid w:val="00B87FF8"/>
    <w:rsid w:val="00B90778"/>
    <w:rsid w:val="00B9090C"/>
    <w:rsid w:val="00B912FA"/>
    <w:rsid w:val="00B91642"/>
    <w:rsid w:val="00B91781"/>
    <w:rsid w:val="00B918AB"/>
    <w:rsid w:val="00B919DE"/>
    <w:rsid w:val="00B91C1B"/>
    <w:rsid w:val="00B92C61"/>
    <w:rsid w:val="00B92F64"/>
    <w:rsid w:val="00B93110"/>
    <w:rsid w:val="00B931B5"/>
    <w:rsid w:val="00B933DD"/>
    <w:rsid w:val="00B93861"/>
    <w:rsid w:val="00B93B09"/>
    <w:rsid w:val="00B94762"/>
    <w:rsid w:val="00B95532"/>
    <w:rsid w:val="00B95892"/>
    <w:rsid w:val="00B95BB7"/>
    <w:rsid w:val="00B9723D"/>
    <w:rsid w:val="00B975E1"/>
    <w:rsid w:val="00B977CA"/>
    <w:rsid w:val="00B97FDB"/>
    <w:rsid w:val="00BA0166"/>
    <w:rsid w:val="00BA0172"/>
    <w:rsid w:val="00BA03D4"/>
    <w:rsid w:val="00BA0575"/>
    <w:rsid w:val="00BA1981"/>
    <w:rsid w:val="00BA1D6E"/>
    <w:rsid w:val="00BA21F8"/>
    <w:rsid w:val="00BA24AA"/>
    <w:rsid w:val="00BA26AD"/>
    <w:rsid w:val="00BA2BBD"/>
    <w:rsid w:val="00BA39A8"/>
    <w:rsid w:val="00BA3C80"/>
    <w:rsid w:val="00BA56E3"/>
    <w:rsid w:val="00BA5A57"/>
    <w:rsid w:val="00BA5C92"/>
    <w:rsid w:val="00BA60A4"/>
    <w:rsid w:val="00BA6491"/>
    <w:rsid w:val="00BA6A9A"/>
    <w:rsid w:val="00BA6D48"/>
    <w:rsid w:val="00BA7435"/>
    <w:rsid w:val="00BB0862"/>
    <w:rsid w:val="00BB163B"/>
    <w:rsid w:val="00BB1AE8"/>
    <w:rsid w:val="00BB2237"/>
    <w:rsid w:val="00BB24DA"/>
    <w:rsid w:val="00BB25D9"/>
    <w:rsid w:val="00BB2B9D"/>
    <w:rsid w:val="00BB2EDC"/>
    <w:rsid w:val="00BB383D"/>
    <w:rsid w:val="00BB3CE5"/>
    <w:rsid w:val="00BB3EA5"/>
    <w:rsid w:val="00BB4049"/>
    <w:rsid w:val="00BB5136"/>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C1B"/>
    <w:rsid w:val="00BD2F8F"/>
    <w:rsid w:val="00BD31B8"/>
    <w:rsid w:val="00BD3408"/>
    <w:rsid w:val="00BD5502"/>
    <w:rsid w:val="00BD5801"/>
    <w:rsid w:val="00BD58E0"/>
    <w:rsid w:val="00BD5F8D"/>
    <w:rsid w:val="00BD60CB"/>
    <w:rsid w:val="00BD6B4C"/>
    <w:rsid w:val="00BD750C"/>
    <w:rsid w:val="00BD7D12"/>
    <w:rsid w:val="00BE07E0"/>
    <w:rsid w:val="00BE1C7B"/>
    <w:rsid w:val="00BE1F7D"/>
    <w:rsid w:val="00BE30BC"/>
    <w:rsid w:val="00BE323E"/>
    <w:rsid w:val="00BE35EE"/>
    <w:rsid w:val="00BE3706"/>
    <w:rsid w:val="00BE39AA"/>
    <w:rsid w:val="00BE3A35"/>
    <w:rsid w:val="00BE3B56"/>
    <w:rsid w:val="00BE433B"/>
    <w:rsid w:val="00BE468A"/>
    <w:rsid w:val="00BE46D0"/>
    <w:rsid w:val="00BE48F9"/>
    <w:rsid w:val="00BE4A90"/>
    <w:rsid w:val="00BE53BA"/>
    <w:rsid w:val="00BE6EDD"/>
    <w:rsid w:val="00BE7E7F"/>
    <w:rsid w:val="00BF02DC"/>
    <w:rsid w:val="00BF1106"/>
    <w:rsid w:val="00BF129D"/>
    <w:rsid w:val="00BF13DA"/>
    <w:rsid w:val="00BF16A8"/>
    <w:rsid w:val="00BF2CD1"/>
    <w:rsid w:val="00BF4193"/>
    <w:rsid w:val="00BF4720"/>
    <w:rsid w:val="00BF4BD1"/>
    <w:rsid w:val="00BF50EF"/>
    <w:rsid w:val="00BF6506"/>
    <w:rsid w:val="00BF6B90"/>
    <w:rsid w:val="00BF6DAE"/>
    <w:rsid w:val="00BF7C11"/>
    <w:rsid w:val="00BF7E27"/>
    <w:rsid w:val="00C01C5C"/>
    <w:rsid w:val="00C01E01"/>
    <w:rsid w:val="00C02001"/>
    <w:rsid w:val="00C03880"/>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07D"/>
    <w:rsid w:val="00C13139"/>
    <w:rsid w:val="00C1333A"/>
    <w:rsid w:val="00C13923"/>
    <w:rsid w:val="00C13E68"/>
    <w:rsid w:val="00C140F9"/>
    <w:rsid w:val="00C15506"/>
    <w:rsid w:val="00C16D9B"/>
    <w:rsid w:val="00C177D3"/>
    <w:rsid w:val="00C17ABA"/>
    <w:rsid w:val="00C214C9"/>
    <w:rsid w:val="00C21BB8"/>
    <w:rsid w:val="00C227F2"/>
    <w:rsid w:val="00C2297F"/>
    <w:rsid w:val="00C235BF"/>
    <w:rsid w:val="00C24AF9"/>
    <w:rsid w:val="00C25232"/>
    <w:rsid w:val="00C253FD"/>
    <w:rsid w:val="00C25F88"/>
    <w:rsid w:val="00C26EF8"/>
    <w:rsid w:val="00C27223"/>
    <w:rsid w:val="00C27A82"/>
    <w:rsid w:val="00C30207"/>
    <w:rsid w:val="00C30288"/>
    <w:rsid w:val="00C302E3"/>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404"/>
    <w:rsid w:val="00C40A9A"/>
    <w:rsid w:val="00C40D96"/>
    <w:rsid w:val="00C4150E"/>
    <w:rsid w:val="00C41C71"/>
    <w:rsid w:val="00C4290C"/>
    <w:rsid w:val="00C430AB"/>
    <w:rsid w:val="00C43365"/>
    <w:rsid w:val="00C43C6A"/>
    <w:rsid w:val="00C44CF8"/>
    <w:rsid w:val="00C45DBE"/>
    <w:rsid w:val="00C46E1A"/>
    <w:rsid w:val="00C50554"/>
    <w:rsid w:val="00C505B0"/>
    <w:rsid w:val="00C50977"/>
    <w:rsid w:val="00C509EB"/>
    <w:rsid w:val="00C513C7"/>
    <w:rsid w:val="00C51A43"/>
    <w:rsid w:val="00C521C0"/>
    <w:rsid w:val="00C52709"/>
    <w:rsid w:val="00C5272E"/>
    <w:rsid w:val="00C528BB"/>
    <w:rsid w:val="00C52C0C"/>
    <w:rsid w:val="00C531DC"/>
    <w:rsid w:val="00C5349F"/>
    <w:rsid w:val="00C55C3C"/>
    <w:rsid w:val="00C562A5"/>
    <w:rsid w:val="00C578D8"/>
    <w:rsid w:val="00C6042B"/>
    <w:rsid w:val="00C608D3"/>
    <w:rsid w:val="00C60FA1"/>
    <w:rsid w:val="00C61077"/>
    <w:rsid w:val="00C612F2"/>
    <w:rsid w:val="00C61EF8"/>
    <w:rsid w:val="00C625C8"/>
    <w:rsid w:val="00C6286E"/>
    <w:rsid w:val="00C62B78"/>
    <w:rsid w:val="00C62FD9"/>
    <w:rsid w:val="00C6359B"/>
    <w:rsid w:val="00C63D92"/>
    <w:rsid w:val="00C641EC"/>
    <w:rsid w:val="00C64739"/>
    <w:rsid w:val="00C648E8"/>
    <w:rsid w:val="00C64CB7"/>
    <w:rsid w:val="00C6593D"/>
    <w:rsid w:val="00C65C1C"/>
    <w:rsid w:val="00C66530"/>
    <w:rsid w:val="00C66937"/>
    <w:rsid w:val="00C673F7"/>
    <w:rsid w:val="00C70084"/>
    <w:rsid w:val="00C702C5"/>
    <w:rsid w:val="00C7076B"/>
    <w:rsid w:val="00C711FA"/>
    <w:rsid w:val="00C719FC"/>
    <w:rsid w:val="00C720DA"/>
    <w:rsid w:val="00C72A1E"/>
    <w:rsid w:val="00C74DC7"/>
    <w:rsid w:val="00C76E5F"/>
    <w:rsid w:val="00C77792"/>
    <w:rsid w:val="00C77AFC"/>
    <w:rsid w:val="00C8041E"/>
    <w:rsid w:val="00C80479"/>
    <w:rsid w:val="00C805EB"/>
    <w:rsid w:val="00C806DD"/>
    <w:rsid w:val="00C80798"/>
    <w:rsid w:val="00C8168A"/>
    <w:rsid w:val="00C819C7"/>
    <w:rsid w:val="00C82779"/>
    <w:rsid w:val="00C833E7"/>
    <w:rsid w:val="00C83613"/>
    <w:rsid w:val="00C8365B"/>
    <w:rsid w:val="00C83E6D"/>
    <w:rsid w:val="00C84205"/>
    <w:rsid w:val="00C848A5"/>
    <w:rsid w:val="00C84EE1"/>
    <w:rsid w:val="00C85952"/>
    <w:rsid w:val="00C85B18"/>
    <w:rsid w:val="00C8684B"/>
    <w:rsid w:val="00C86C13"/>
    <w:rsid w:val="00C86ED0"/>
    <w:rsid w:val="00C870D1"/>
    <w:rsid w:val="00C876EF"/>
    <w:rsid w:val="00C90127"/>
    <w:rsid w:val="00C901EE"/>
    <w:rsid w:val="00C90A67"/>
    <w:rsid w:val="00C9202E"/>
    <w:rsid w:val="00C9400F"/>
    <w:rsid w:val="00C9477B"/>
    <w:rsid w:val="00C9514C"/>
    <w:rsid w:val="00C95585"/>
    <w:rsid w:val="00C958AC"/>
    <w:rsid w:val="00C96A15"/>
    <w:rsid w:val="00C97CDD"/>
    <w:rsid w:val="00C97F3E"/>
    <w:rsid w:val="00CA004F"/>
    <w:rsid w:val="00CA0ACF"/>
    <w:rsid w:val="00CA1B99"/>
    <w:rsid w:val="00CA28FA"/>
    <w:rsid w:val="00CA295E"/>
    <w:rsid w:val="00CA357F"/>
    <w:rsid w:val="00CA391F"/>
    <w:rsid w:val="00CA3D26"/>
    <w:rsid w:val="00CA3F8E"/>
    <w:rsid w:val="00CA4E7E"/>
    <w:rsid w:val="00CA5512"/>
    <w:rsid w:val="00CA5739"/>
    <w:rsid w:val="00CA5B26"/>
    <w:rsid w:val="00CA5EDF"/>
    <w:rsid w:val="00CA6515"/>
    <w:rsid w:val="00CA67F7"/>
    <w:rsid w:val="00CA70A4"/>
    <w:rsid w:val="00CA73A7"/>
    <w:rsid w:val="00CA7657"/>
    <w:rsid w:val="00CA7B14"/>
    <w:rsid w:val="00CA7CF3"/>
    <w:rsid w:val="00CA7FC7"/>
    <w:rsid w:val="00CB04EF"/>
    <w:rsid w:val="00CB0C2E"/>
    <w:rsid w:val="00CB11F8"/>
    <w:rsid w:val="00CB1308"/>
    <w:rsid w:val="00CB16F9"/>
    <w:rsid w:val="00CB1C1F"/>
    <w:rsid w:val="00CB1C20"/>
    <w:rsid w:val="00CB1EE3"/>
    <w:rsid w:val="00CB2E8A"/>
    <w:rsid w:val="00CB2F66"/>
    <w:rsid w:val="00CB3106"/>
    <w:rsid w:val="00CB43F2"/>
    <w:rsid w:val="00CB4587"/>
    <w:rsid w:val="00CB5CAF"/>
    <w:rsid w:val="00CB6153"/>
    <w:rsid w:val="00CB6253"/>
    <w:rsid w:val="00CB6FD5"/>
    <w:rsid w:val="00CB70C4"/>
    <w:rsid w:val="00CB7632"/>
    <w:rsid w:val="00CB77C1"/>
    <w:rsid w:val="00CC0048"/>
    <w:rsid w:val="00CC0407"/>
    <w:rsid w:val="00CC0A10"/>
    <w:rsid w:val="00CC0A17"/>
    <w:rsid w:val="00CC0CFA"/>
    <w:rsid w:val="00CC0E2A"/>
    <w:rsid w:val="00CC206D"/>
    <w:rsid w:val="00CC24AA"/>
    <w:rsid w:val="00CC3A82"/>
    <w:rsid w:val="00CC42CE"/>
    <w:rsid w:val="00CC4857"/>
    <w:rsid w:val="00CC5564"/>
    <w:rsid w:val="00CC55EF"/>
    <w:rsid w:val="00CC5F56"/>
    <w:rsid w:val="00CC6714"/>
    <w:rsid w:val="00CC67C5"/>
    <w:rsid w:val="00CC6F12"/>
    <w:rsid w:val="00CC72B9"/>
    <w:rsid w:val="00CC7339"/>
    <w:rsid w:val="00CD0B8B"/>
    <w:rsid w:val="00CD1697"/>
    <w:rsid w:val="00CD16E2"/>
    <w:rsid w:val="00CD1A2B"/>
    <w:rsid w:val="00CD1CBD"/>
    <w:rsid w:val="00CD2DF3"/>
    <w:rsid w:val="00CD371E"/>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5F5"/>
    <w:rsid w:val="00CE1652"/>
    <w:rsid w:val="00CE1CFC"/>
    <w:rsid w:val="00CE2EEE"/>
    <w:rsid w:val="00CE34FE"/>
    <w:rsid w:val="00CE35B2"/>
    <w:rsid w:val="00CE40A2"/>
    <w:rsid w:val="00CE4144"/>
    <w:rsid w:val="00CE48BE"/>
    <w:rsid w:val="00CE4949"/>
    <w:rsid w:val="00CE4A00"/>
    <w:rsid w:val="00CE4EE7"/>
    <w:rsid w:val="00CE50AF"/>
    <w:rsid w:val="00CE58E1"/>
    <w:rsid w:val="00CE5E24"/>
    <w:rsid w:val="00CE6ADB"/>
    <w:rsid w:val="00CE70AB"/>
    <w:rsid w:val="00CE74AD"/>
    <w:rsid w:val="00CE76D3"/>
    <w:rsid w:val="00CE7D0F"/>
    <w:rsid w:val="00CF0247"/>
    <w:rsid w:val="00CF0855"/>
    <w:rsid w:val="00CF1A56"/>
    <w:rsid w:val="00CF275A"/>
    <w:rsid w:val="00CF2F08"/>
    <w:rsid w:val="00CF32E1"/>
    <w:rsid w:val="00CF3888"/>
    <w:rsid w:val="00CF417A"/>
    <w:rsid w:val="00CF41A7"/>
    <w:rsid w:val="00CF48D9"/>
    <w:rsid w:val="00CF5B16"/>
    <w:rsid w:val="00CF6318"/>
    <w:rsid w:val="00CF6C78"/>
    <w:rsid w:val="00CF6FC8"/>
    <w:rsid w:val="00CF704C"/>
    <w:rsid w:val="00D006AB"/>
    <w:rsid w:val="00D008EA"/>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07A45"/>
    <w:rsid w:val="00D110FB"/>
    <w:rsid w:val="00D11763"/>
    <w:rsid w:val="00D119AB"/>
    <w:rsid w:val="00D11BD2"/>
    <w:rsid w:val="00D1241C"/>
    <w:rsid w:val="00D12671"/>
    <w:rsid w:val="00D12DAE"/>
    <w:rsid w:val="00D12EAF"/>
    <w:rsid w:val="00D13FD7"/>
    <w:rsid w:val="00D1421B"/>
    <w:rsid w:val="00D144ED"/>
    <w:rsid w:val="00D14B0F"/>
    <w:rsid w:val="00D14D08"/>
    <w:rsid w:val="00D158E3"/>
    <w:rsid w:val="00D15A93"/>
    <w:rsid w:val="00D15C03"/>
    <w:rsid w:val="00D16316"/>
    <w:rsid w:val="00D173BF"/>
    <w:rsid w:val="00D17F2E"/>
    <w:rsid w:val="00D203FD"/>
    <w:rsid w:val="00D20517"/>
    <w:rsid w:val="00D20E2A"/>
    <w:rsid w:val="00D21DF2"/>
    <w:rsid w:val="00D2221E"/>
    <w:rsid w:val="00D223B5"/>
    <w:rsid w:val="00D22775"/>
    <w:rsid w:val="00D22B3E"/>
    <w:rsid w:val="00D2316F"/>
    <w:rsid w:val="00D2373C"/>
    <w:rsid w:val="00D24269"/>
    <w:rsid w:val="00D24344"/>
    <w:rsid w:val="00D24C71"/>
    <w:rsid w:val="00D24D8B"/>
    <w:rsid w:val="00D24DB6"/>
    <w:rsid w:val="00D25C98"/>
    <w:rsid w:val="00D25DD9"/>
    <w:rsid w:val="00D260C4"/>
    <w:rsid w:val="00D26540"/>
    <w:rsid w:val="00D272C5"/>
    <w:rsid w:val="00D2731A"/>
    <w:rsid w:val="00D27524"/>
    <w:rsid w:val="00D27C25"/>
    <w:rsid w:val="00D27EFA"/>
    <w:rsid w:val="00D3001E"/>
    <w:rsid w:val="00D30723"/>
    <w:rsid w:val="00D3128F"/>
    <w:rsid w:val="00D3241E"/>
    <w:rsid w:val="00D326DD"/>
    <w:rsid w:val="00D32EC6"/>
    <w:rsid w:val="00D35169"/>
    <w:rsid w:val="00D35C12"/>
    <w:rsid w:val="00D362BA"/>
    <w:rsid w:val="00D36E45"/>
    <w:rsid w:val="00D3742A"/>
    <w:rsid w:val="00D37E18"/>
    <w:rsid w:val="00D4006D"/>
    <w:rsid w:val="00D400AF"/>
    <w:rsid w:val="00D401CD"/>
    <w:rsid w:val="00D4028C"/>
    <w:rsid w:val="00D40E9E"/>
    <w:rsid w:val="00D40FDA"/>
    <w:rsid w:val="00D4197D"/>
    <w:rsid w:val="00D41D16"/>
    <w:rsid w:val="00D41FA7"/>
    <w:rsid w:val="00D42A72"/>
    <w:rsid w:val="00D42E2C"/>
    <w:rsid w:val="00D43A38"/>
    <w:rsid w:val="00D43B16"/>
    <w:rsid w:val="00D43EFC"/>
    <w:rsid w:val="00D43FB4"/>
    <w:rsid w:val="00D44461"/>
    <w:rsid w:val="00D44DFC"/>
    <w:rsid w:val="00D44E13"/>
    <w:rsid w:val="00D44E2F"/>
    <w:rsid w:val="00D450C5"/>
    <w:rsid w:val="00D45527"/>
    <w:rsid w:val="00D45631"/>
    <w:rsid w:val="00D461AA"/>
    <w:rsid w:val="00D46F98"/>
    <w:rsid w:val="00D47A23"/>
    <w:rsid w:val="00D47CF7"/>
    <w:rsid w:val="00D47DF6"/>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C38"/>
    <w:rsid w:val="00D57F8E"/>
    <w:rsid w:val="00D604DC"/>
    <w:rsid w:val="00D60672"/>
    <w:rsid w:val="00D61A6D"/>
    <w:rsid w:val="00D61BF6"/>
    <w:rsid w:val="00D628F9"/>
    <w:rsid w:val="00D630D9"/>
    <w:rsid w:val="00D635B2"/>
    <w:rsid w:val="00D636C6"/>
    <w:rsid w:val="00D63860"/>
    <w:rsid w:val="00D63CBA"/>
    <w:rsid w:val="00D647A3"/>
    <w:rsid w:val="00D647AC"/>
    <w:rsid w:val="00D65646"/>
    <w:rsid w:val="00D6606A"/>
    <w:rsid w:val="00D66B01"/>
    <w:rsid w:val="00D677EE"/>
    <w:rsid w:val="00D67877"/>
    <w:rsid w:val="00D7075F"/>
    <w:rsid w:val="00D70792"/>
    <w:rsid w:val="00D70C4F"/>
    <w:rsid w:val="00D71083"/>
    <w:rsid w:val="00D72A98"/>
    <w:rsid w:val="00D72CF9"/>
    <w:rsid w:val="00D72DC5"/>
    <w:rsid w:val="00D73060"/>
    <w:rsid w:val="00D735A7"/>
    <w:rsid w:val="00D73BAE"/>
    <w:rsid w:val="00D7407B"/>
    <w:rsid w:val="00D74416"/>
    <w:rsid w:val="00D748C5"/>
    <w:rsid w:val="00D74D4C"/>
    <w:rsid w:val="00D74F67"/>
    <w:rsid w:val="00D74F73"/>
    <w:rsid w:val="00D7547D"/>
    <w:rsid w:val="00D75548"/>
    <w:rsid w:val="00D75AE1"/>
    <w:rsid w:val="00D77BA4"/>
    <w:rsid w:val="00D77E38"/>
    <w:rsid w:val="00D81657"/>
    <w:rsid w:val="00D81EA4"/>
    <w:rsid w:val="00D82287"/>
    <w:rsid w:val="00D82A59"/>
    <w:rsid w:val="00D82B84"/>
    <w:rsid w:val="00D837CB"/>
    <w:rsid w:val="00D83AE3"/>
    <w:rsid w:val="00D8450B"/>
    <w:rsid w:val="00D84610"/>
    <w:rsid w:val="00D84A39"/>
    <w:rsid w:val="00D85357"/>
    <w:rsid w:val="00D85561"/>
    <w:rsid w:val="00D857D4"/>
    <w:rsid w:val="00D87560"/>
    <w:rsid w:val="00D87CF7"/>
    <w:rsid w:val="00D90D99"/>
    <w:rsid w:val="00D9189B"/>
    <w:rsid w:val="00D91C72"/>
    <w:rsid w:val="00D91D88"/>
    <w:rsid w:val="00D93948"/>
    <w:rsid w:val="00D93DA7"/>
    <w:rsid w:val="00D945F6"/>
    <w:rsid w:val="00D9541E"/>
    <w:rsid w:val="00D9547F"/>
    <w:rsid w:val="00D95568"/>
    <w:rsid w:val="00D9678C"/>
    <w:rsid w:val="00DA0260"/>
    <w:rsid w:val="00DA046C"/>
    <w:rsid w:val="00DA0A6C"/>
    <w:rsid w:val="00DA0F6F"/>
    <w:rsid w:val="00DA0FFE"/>
    <w:rsid w:val="00DA1394"/>
    <w:rsid w:val="00DA1780"/>
    <w:rsid w:val="00DA2289"/>
    <w:rsid w:val="00DA2D4A"/>
    <w:rsid w:val="00DA2E0B"/>
    <w:rsid w:val="00DA42C2"/>
    <w:rsid w:val="00DA4876"/>
    <w:rsid w:val="00DA4C57"/>
    <w:rsid w:val="00DA4E40"/>
    <w:rsid w:val="00DA5E33"/>
    <w:rsid w:val="00DA6233"/>
    <w:rsid w:val="00DA6EBA"/>
    <w:rsid w:val="00DA6F11"/>
    <w:rsid w:val="00DB03E4"/>
    <w:rsid w:val="00DB0B9B"/>
    <w:rsid w:val="00DB104F"/>
    <w:rsid w:val="00DB1198"/>
    <w:rsid w:val="00DB13A8"/>
    <w:rsid w:val="00DB17E6"/>
    <w:rsid w:val="00DB20AF"/>
    <w:rsid w:val="00DB21FE"/>
    <w:rsid w:val="00DB2F0A"/>
    <w:rsid w:val="00DB3473"/>
    <w:rsid w:val="00DB3A63"/>
    <w:rsid w:val="00DB5E1E"/>
    <w:rsid w:val="00DB644D"/>
    <w:rsid w:val="00DB6EAA"/>
    <w:rsid w:val="00DC0D3E"/>
    <w:rsid w:val="00DC16C1"/>
    <w:rsid w:val="00DC1BFB"/>
    <w:rsid w:val="00DC3582"/>
    <w:rsid w:val="00DC364A"/>
    <w:rsid w:val="00DC59F0"/>
    <w:rsid w:val="00DC65AB"/>
    <w:rsid w:val="00DC675A"/>
    <w:rsid w:val="00DC7B9F"/>
    <w:rsid w:val="00DD060C"/>
    <w:rsid w:val="00DD075B"/>
    <w:rsid w:val="00DD111C"/>
    <w:rsid w:val="00DD112A"/>
    <w:rsid w:val="00DD13FA"/>
    <w:rsid w:val="00DD178D"/>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2A4"/>
    <w:rsid w:val="00DE2335"/>
    <w:rsid w:val="00DE2962"/>
    <w:rsid w:val="00DE2BF5"/>
    <w:rsid w:val="00DE327C"/>
    <w:rsid w:val="00DE3758"/>
    <w:rsid w:val="00DE465D"/>
    <w:rsid w:val="00DE4EF1"/>
    <w:rsid w:val="00DE5013"/>
    <w:rsid w:val="00DE5239"/>
    <w:rsid w:val="00DE595A"/>
    <w:rsid w:val="00DE5D2F"/>
    <w:rsid w:val="00DE6A62"/>
    <w:rsid w:val="00DE794E"/>
    <w:rsid w:val="00DF0E7F"/>
    <w:rsid w:val="00DF1DCF"/>
    <w:rsid w:val="00DF2DCF"/>
    <w:rsid w:val="00DF34D0"/>
    <w:rsid w:val="00DF3EA7"/>
    <w:rsid w:val="00DF453C"/>
    <w:rsid w:val="00DF4B5F"/>
    <w:rsid w:val="00DF5023"/>
    <w:rsid w:val="00DF533B"/>
    <w:rsid w:val="00DF55DD"/>
    <w:rsid w:val="00DF5689"/>
    <w:rsid w:val="00DF6158"/>
    <w:rsid w:val="00DF67E6"/>
    <w:rsid w:val="00DF6AD0"/>
    <w:rsid w:val="00DF6BF7"/>
    <w:rsid w:val="00E00218"/>
    <w:rsid w:val="00E01101"/>
    <w:rsid w:val="00E01162"/>
    <w:rsid w:val="00E0153B"/>
    <w:rsid w:val="00E01D54"/>
    <w:rsid w:val="00E0217C"/>
    <w:rsid w:val="00E0283B"/>
    <w:rsid w:val="00E02875"/>
    <w:rsid w:val="00E03F29"/>
    <w:rsid w:val="00E04FA1"/>
    <w:rsid w:val="00E05285"/>
    <w:rsid w:val="00E0568F"/>
    <w:rsid w:val="00E05EDF"/>
    <w:rsid w:val="00E06B53"/>
    <w:rsid w:val="00E06C2F"/>
    <w:rsid w:val="00E06C8C"/>
    <w:rsid w:val="00E07387"/>
    <w:rsid w:val="00E0750E"/>
    <w:rsid w:val="00E10D05"/>
    <w:rsid w:val="00E10D93"/>
    <w:rsid w:val="00E115B1"/>
    <w:rsid w:val="00E125CE"/>
    <w:rsid w:val="00E13616"/>
    <w:rsid w:val="00E15AC3"/>
    <w:rsid w:val="00E161CE"/>
    <w:rsid w:val="00E1641B"/>
    <w:rsid w:val="00E1649E"/>
    <w:rsid w:val="00E167F2"/>
    <w:rsid w:val="00E167F4"/>
    <w:rsid w:val="00E17309"/>
    <w:rsid w:val="00E17719"/>
    <w:rsid w:val="00E17917"/>
    <w:rsid w:val="00E17A06"/>
    <w:rsid w:val="00E17A48"/>
    <w:rsid w:val="00E2081A"/>
    <w:rsid w:val="00E20822"/>
    <w:rsid w:val="00E214A5"/>
    <w:rsid w:val="00E23E51"/>
    <w:rsid w:val="00E241F6"/>
    <w:rsid w:val="00E24241"/>
    <w:rsid w:val="00E2507A"/>
    <w:rsid w:val="00E25AB3"/>
    <w:rsid w:val="00E26017"/>
    <w:rsid w:val="00E27163"/>
    <w:rsid w:val="00E276EA"/>
    <w:rsid w:val="00E27AFE"/>
    <w:rsid w:val="00E30D7D"/>
    <w:rsid w:val="00E30EA8"/>
    <w:rsid w:val="00E313C4"/>
    <w:rsid w:val="00E322F6"/>
    <w:rsid w:val="00E3235C"/>
    <w:rsid w:val="00E32604"/>
    <w:rsid w:val="00E32F8E"/>
    <w:rsid w:val="00E333AF"/>
    <w:rsid w:val="00E33883"/>
    <w:rsid w:val="00E3432C"/>
    <w:rsid w:val="00E348AE"/>
    <w:rsid w:val="00E3593E"/>
    <w:rsid w:val="00E35CF0"/>
    <w:rsid w:val="00E35FFB"/>
    <w:rsid w:val="00E36FBF"/>
    <w:rsid w:val="00E37389"/>
    <w:rsid w:val="00E378BD"/>
    <w:rsid w:val="00E37CD6"/>
    <w:rsid w:val="00E40C33"/>
    <w:rsid w:val="00E41149"/>
    <w:rsid w:val="00E4118F"/>
    <w:rsid w:val="00E41585"/>
    <w:rsid w:val="00E415AE"/>
    <w:rsid w:val="00E41AE2"/>
    <w:rsid w:val="00E423B3"/>
    <w:rsid w:val="00E4242E"/>
    <w:rsid w:val="00E424E0"/>
    <w:rsid w:val="00E425B9"/>
    <w:rsid w:val="00E42EAC"/>
    <w:rsid w:val="00E4389A"/>
    <w:rsid w:val="00E4400C"/>
    <w:rsid w:val="00E44A5B"/>
    <w:rsid w:val="00E45043"/>
    <w:rsid w:val="00E45554"/>
    <w:rsid w:val="00E46106"/>
    <w:rsid w:val="00E476AA"/>
    <w:rsid w:val="00E47DF4"/>
    <w:rsid w:val="00E50803"/>
    <w:rsid w:val="00E50A07"/>
    <w:rsid w:val="00E50BE7"/>
    <w:rsid w:val="00E51A73"/>
    <w:rsid w:val="00E51DC2"/>
    <w:rsid w:val="00E51EAE"/>
    <w:rsid w:val="00E522F7"/>
    <w:rsid w:val="00E5335C"/>
    <w:rsid w:val="00E545B3"/>
    <w:rsid w:val="00E54D7C"/>
    <w:rsid w:val="00E55BF8"/>
    <w:rsid w:val="00E55E0E"/>
    <w:rsid w:val="00E5691B"/>
    <w:rsid w:val="00E56C37"/>
    <w:rsid w:val="00E57262"/>
    <w:rsid w:val="00E60044"/>
    <w:rsid w:val="00E61D00"/>
    <w:rsid w:val="00E62CB9"/>
    <w:rsid w:val="00E6322A"/>
    <w:rsid w:val="00E634EB"/>
    <w:rsid w:val="00E6359E"/>
    <w:rsid w:val="00E635C5"/>
    <w:rsid w:val="00E63713"/>
    <w:rsid w:val="00E63CBD"/>
    <w:rsid w:val="00E63D03"/>
    <w:rsid w:val="00E663D6"/>
    <w:rsid w:val="00E663DD"/>
    <w:rsid w:val="00E66C34"/>
    <w:rsid w:val="00E70081"/>
    <w:rsid w:val="00E709CC"/>
    <w:rsid w:val="00E71B98"/>
    <w:rsid w:val="00E71BD6"/>
    <w:rsid w:val="00E722E5"/>
    <w:rsid w:val="00E724B2"/>
    <w:rsid w:val="00E72684"/>
    <w:rsid w:val="00E738E5"/>
    <w:rsid w:val="00E73AD4"/>
    <w:rsid w:val="00E73BDF"/>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005"/>
    <w:rsid w:val="00E80802"/>
    <w:rsid w:val="00E80C9D"/>
    <w:rsid w:val="00E80F8E"/>
    <w:rsid w:val="00E82137"/>
    <w:rsid w:val="00E82982"/>
    <w:rsid w:val="00E84A16"/>
    <w:rsid w:val="00E854F1"/>
    <w:rsid w:val="00E85509"/>
    <w:rsid w:val="00E85DB7"/>
    <w:rsid w:val="00E86259"/>
    <w:rsid w:val="00E86357"/>
    <w:rsid w:val="00E871D0"/>
    <w:rsid w:val="00E87379"/>
    <w:rsid w:val="00E8740E"/>
    <w:rsid w:val="00E90E96"/>
    <w:rsid w:val="00E91533"/>
    <w:rsid w:val="00E9287A"/>
    <w:rsid w:val="00E92A36"/>
    <w:rsid w:val="00E9460D"/>
    <w:rsid w:val="00E94660"/>
    <w:rsid w:val="00E94E05"/>
    <w:rsid w:val="00E95242"/>
    <w:rsid w:val="00E9542B"/>
    <w:rsid w:val="00E95BB5"/>
    <w:rsid w:val="00E95F6E"/>
    <w:rsid w:val="00E96FE8"/>
    <w:rsid w:val="00E97BEA"/>
    <w:rsid w:val="00EA0261"/>
    <w:rsid w:val="00EA03A7"/>
    <w:rsid w:val="00EA0B7F"/>
    <w:rsid w:val="00EA0D99"/>
    <w:rsid w:val="00EA10D9"/>
    <w:rsid w:val="00EA14C0"/>
    <w:rsid w:val="00EA16EE"/>
    <w:rsid w:val="00EA1D37"/>
    <w:rsid w:val="00EA29D4"/>
    <w:rsid w:val="00EA29F2"/>
    <w:rsid w:val="00EA2CD3"/>
    <w:rsid w:val="00EA381B"/>
    <w:rsid w:val="00EA38B3"/>
    <w:rsid w:val="00EA38C4"/>
    <w:rsid w:val="00EA3C99"/>
    <w:rsid w:val="00EA45A9"/>
    <w:rsid w:val="00EA45FF"/>
    <w:rsid w:val="00EA51A1"/>
    <w:rsid w:val="00EA5EC0"/>
    <w:rsid w:val="00EA622E"/>
    <w:rsid w:val="00EA6263"/>
    <w:rsid w:val="00EA6BE3"/>
    <w:rsid w:val="00EA7344"/>
    <w:rsid w:val="00EA7749"/>
    <w:rsid w:val="00EA7B1F"/>
    <w:rsid w:val="00EB0EE4"/>
    <w:rsid w:val="00EB27E8"/>
    <w:rsid w:val="00EB29FF"/>
    <w:rsid w:val="00EB2BB8"/>
    <w:rsid w:val="00EB4547"/>
    <w:rsid w:val="00EB4990"/>
    <w:rsid w:val="00EB5374"/>
    <w:rsid w:val="00EB550A"/>
    <w:rsid w:val="00EB59E0"/>
    <w:rsid w:val="00EB68AC"/>
    <w:rsid w:val="00EB6CED"/>
    <w:rsid w:val="00EC0804"/>
    <w:rsid w:val="00EC09C8"/>
    <w:rsid w:val="00EC1101"/>
    <w:rsid w:val="00EC114A"/>
    <w:rsid w:val="00EC18E0"/>
    <w:rsid w:val="00EC1F39"/>
    <w:rsid w:val="00EC2495"/>
    <w:rsid w:val="00EC2612"/>
    <w:rsid w:val="00EC266D"/>
    <w:rsid w:val="00EC28BE"/>
    <w:rsid w:val="00EC390C"/>
    <w:rsid w:val="00EC3C07"/>
    <w:rsid w:val="00EC3DE1"/>
    <w:rsid w:val="00EC409E"/>
    <w:rsid w:val="00EC40CE"/>
    <w:rsid w:val="00EC45B6"/>
    <w:rsid w:val="00EC4F13"/>
    <w:rsid w:val="00EC54EC"/>
    <w:rsid w:val="00EC578A"/>
    <w:rsid w:val="00EC6436"/>
    <w:rsid w:val="00EC67A0"/>
    <w:rsid w:val="00EC692E"/>
    <w:rsid w:val="00EC6E74"/>
    <w:rsid w:val="00EC7138"/>
    <w:rsid w:val="00ED020C"/>
    <w:rsid w:val="00ED0DAE"/>
    <w:rsid w:val="00ED1058"/>
    <w:rsid w:val="00ED194C"/>
    <w:rsid w:val="00ED31FF"/>
    <w:rsid w:val="00ED37D8"/>
    <w:rsid w:val="00ED412B"/>
    <w:rsid w:val="00ED57FE"/>
    <w:rsid w:val="00ED5DF4"/>
    <w:rsid w:val="00ED68CC"/>
    <w:rsid w:val="00ED712A"/>
    <w:rsid w:val="00ED75CF"/>
    <w:rsid w:val="00ED7679"/>
    <w:rsid w:val="00ED7961"/>
    <w:rsid w:val="00ED79A9"/>
    <w:rsid w:val="00ED7EFE"/>
    <w:rsid w:val="00EE0823"/>
    <w:rsid w:val="00EE082F"/>
    <w:rsid w:val="00EE22A0"/>
    <w:rsid w:val="00EE2EDC"/>
    <w:rsid w:val="00EE39EF"/>
    <w:rsid w:val="00EE3D59"/>
    <w:rsid w:val="00EE42A7"/>
    <w:rsid w:val="00EE4BD1"/>
    <w:rsid w:val="00EE4CD7"/>
    <w:rsid w:val="00EE50C5"/>
    <w:rsid w:val="00EE6FCF"/>
    <w:rsid w:val="00EE72DC"/>
    <w:rsid w:val="00EE73C5"/>
    <w:rsid w:val="00EF01AC"/>
    <w:rsid w:val="00EF17E0"/>
    <w:rsid w:val="00EF1EB8"/>
    <w:rsid w:val="00EF23C2"/>
    <w:rsid w:val="00EF23EE"/>
    <w:rsid w:val="00EF5085"/>
    <w:rsid w:val="00EF54EB"/>
    <w:rsid w:val="00EF55A5"/>
    <w:rsid w:val="00EF59C9"/>
    <w:rsid w:val="00EF5F0E"/>
    <w:rsid w:val="00EF623C"/>
    <w:rsid w:val="00EF6CF2"/>
    <w:rsid w:val="00EF6D14"/>
    <w:rsid w:val="00EF6D65"/>
    <w:rsid w:val="00EF70A8"/>
    <w:rsid w:val="00EF7E76"/>
    <w:rsid w:val="00F00A1A"/>
    <w:rsid w:val="00F0265C"/>
    <w:rsid w:val="00F038A8"/>
    <w:rsid w:val="00F06613"/>
    <w:rsid w:val="00F070CB"/>
    <w:rsid w:val="00F071ED"/>
    <w:rsid w:val="00F07B6A"/>
    <w:rsid w:val="00F10909"/>
    <w:rsid w:val="00F11EBE"/>
    <w:rsid w:val="00F11F36"/>
    <w:rsid w:val="00F11F75"/>
    <w:rsid w:val="00F11F9F"/>
    <w:rsid w:val="00F12A63"/>
    <w:rsid w:val="00F12AF0"/>
    <w:rsid w:val="00F12F4C"/>
    <w:rsid w:val="00F133AD"/>
    <w:rsid w:val="00F142B6"/>
    <w:rsid w:val="00F143CA"/>
    <w:rsid w:val="00F15B48"/>
    <w:rsid w:val="00F16C8B"/>
    <w:rsid w:val="00F16F9B"/>
    <w:rsid w:val="00F17A2E"/>
    <w:rsid w:val="00F208D3"/>
    <w:rsid w:val="00F20B38"/>
    <w:rsid w:val="00F20D46"/>
    <w:rsid w:val="00F21266"/>
    <w:rsid w:val="00F214C0"/>
    <w:rsid w:val="00F219E7"/>
    <w:rsid w:val="00F22A94"/>
    <w:rsid w:val="00F22FE6"/>
    <w:rsid w:val="00F23339"/>
    <w:rsid w:val="00F24D82"/>
    <w:rsid w:val="00F252F6"/>
    <w:rsid w:val="00F25B2D"/>
    <w:rsid w:val="00F25ECF"/>
    <w:rsid w:val="00F263B7"/>
    <w:rsid w:val="00F274E1"/>
    <w:rsid w:val="00F3094C"/>
    <w:rsid w:val="00F309AB"/>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54D"/>
    <w:rsid w:val="00F35706"/>
    <w:rsid w:val="00F35808"/>
    <w:rsid w:val="00F35A65"/>
    <w:rsid w:val="00F374A5"/>
    <w:rsid w:val="00F374C6"/>
    <w:rsid w:val="00F379BA"/>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27FC"/>
    <w:rsid w:val="00F537A6"/>
    <w:rsid w:val="00F53F23"/>
    <w:rsid w:val="00F5450A"/>
    <w:rsid w:val="00F54E77"/>
    <w:rsid w:val="00F55242"/>
    <w:rsid w:val="00F557E6"/>
    <w:rsid w:val="00F55D04"/>
    <w:rsid w:val="00F570C6"/>
    <w:rsid w:val="00F570FA"/>
    <w:rsid w:val="00F60BE6"/>
    <w:rsid w:val="00F61DD4"/>
    <w:rsid w:val="00F639BA"/>
    <w:rsid w:val="00F639FC"/>
    <w:rsid w:val="00F64F4A"/>
    <w:rsid w:val="00F650E7"/>
    <w:rsid w:val="00F65423"/>
    <w:rsid w:val="00F65CFA"/>
    <w:rsid w:val="00F66015"/>
    <w:rsid w:val="00F66959"/>
    <w:rsid w:val="00F70B13"/>
    <w:rsid w:val="00F71A34"/>
    <w:rsid w:val="00F71B22"/>
    <w:rsid w:val="00F71E57"/>
    <w:rsid w:val="00F72413"/>
    <w:rsid w:val="00F72874"/>
    <w:rsid w:val="00F731AF"/>
    <w:rsid w:val="00F73470"/>
    <w:rsid w:val="00F73F02"/>
    <w:rsid w:val="00F74628"/>
    <w:rsid w:val="00F74A45"/>
    <w:rsid w:val="00F74D41"/>
    <w:rsid w:val="00F75FBD"/>
    <w:rsid w:val="00F7671F"/>
    <w:rsid w:val="00F76999"/>
    <w:rsid w:val="00F76C00"/>
    <w:rsid w:val="00F76CED"/>
    <w:rsid w:val="00F77090"/>
    <w:rsid w:val="00F7775A"/>
    <w:rsid w:val="00F77D7B"/>
    <w:rsid w:val="00F804EC"/>
    <w:rsid w:val="00F80E34"/>
    <w:rsid w:val="00F8194D"/>
    <w:rsid w:val="00F81AA6"/>
    <w:rsid w:val="00F82023"/>
    <w:rsid w:val="00F821E6"/>
    <w:rsid w:val="00F83091"/>
    <w:rsid w:val="00F84A3D"/>
    <w:rsid w:val="00F84A4E"/>
    <w:rsid w:val="00F84FA1"/>
    <w:rsid w:val="00F854B2"/>
    <w:rsid w:val="00F85C53"/>
    <w:rsid w:val="00F86A5C"/>
    <w:rsid w:val="00F86EA1"/>
    <w:rsid w:val="00F87465"/>
    <w:rsid w:val="00F90C6D"/>
    <w:rsid w:val="00F91A8B"/>
    <w:rsid w:val="00F91EFB"/>
    <w:rsid w:val="00F9244B"/>
    <w:rsid w:val="00F93307"/>
    <w:rsid w:val="00F94080"/>
    <w:rsid w:val="00F94224"/>
    <w:rsid w:val="00F9422F"/>
    <w:rsid w:val="00F94826"/>
    <w:rsid w:val="00F9582C"/>
    <w:rsid w:val="00F95896"/>
    <w:rsid w:val="00F96FDE"/>
    <w:rsid w:val="00F97E50"/>
    <w:rsid w:val="00FA003B"/>
    <w:rsid w:val="00FA020F"/>
    <w:rsid w:val="00FA0E23"/>
    <w:rsid w:val="00FA1C0B"/>
    <w:rsid w:val="00FA30BF"/>
    <w:rsid w:val="00FA3480"/>
    <w:rsid w:val="00FA4128"/>
    <w:rsid w:val="00FA4E0E"/>
    <w:rsid w:val="00FA5A70"/>
    <w:rsid w:val="00FA73A0"/>
    <w:rsid w:val="00FB0740"/>
    <w:rsid w:val="00FB1245"/>
    <w:rsid w:val="00FB18C9"/>
    <w:rsid w:val="00FB19F4"/>
    <w:rsid w:val="00FB1A31"/>
    <w:rsid w:val="00FB26F0"/>
    <w:rsid w:val="00FB2A72"/>
    <w:rsid w:val="00FB3B3B"/>
    <w:rsid w:val="00FB5146"/>
    <w:rsid w:val="00FB52B2"/>
    <w:rsid w:val="00FB5C65"/>
    <w:rsid w:val="00FB60DF"/>
    <w:rsid w:val="00FB6259"/>
    <w:rsid w:val="00FB6C6B"/>
    <w:rsid w:val="00FB7168"/>
    <w:rsid w:val="00FB7266"/>
    <w:rsid w:val="00FB73F5"/>
    <w:rsid w:val="00FB746D"/>
    <w:rsid w:val="00FB7C82"/>
    <w:rsid w:val="00FC031A"/>
    <w:rsid w:val="00FC050D"/>
    <w:rsid w:val="00FC0B38"/>
    <w:rsid w:val="00FC0C44"/>
    <w:rsid w:val="00FC119E"/>
    <w:rsid w:val="00FC14E8"/>
    <w:rsid w:val="00FC1DD3"/>
    <w:rsid w:val="00FC236B"/>
    <w:rsid w:val="00FC28DA"/>
    <w:rsid w:val="00FC293E"/>
    <w:rsid w:val="00FC3152"/>
    <w:rsid w:val="00FC35B2"/>
    <w:rsid w:val="00FC35FB"/>
    <w:rsid w:val="00FC3A88"/>
    <w:rsid w:val="00FC3BA8"/>
    <w:rsid w:val="00FC4BA0"/>
    <w:rsid w:val="00FC61E6"/>
    <w:rsid w:val="00FC711D"/>
    <w:rsid w:val="00FC74FC"/>
    <w:rsid w:val="00FC7C50"/>
    <w:rsid w:val="00FD0549"/>
    <w:rsid w:val="00FD0851"/>
    <w:rsid w:val="00FD2737"/>
    <w:rsid w:val="00FD2A58"/>
    <w:rsid w:val="00FD397A"/>
    <w:rsid w:val="00FD4701"/>
    <w:rsid w:val="00FD4EF6"/>
    <w:rsid w:val="00FD56D6"/>
    <w:rsid w:val="00FD5FEC"/>
    <w:rsid w:val="00FD6B4C"/>
    <w:rsid w:val="00FD782C"/>
    <w:rsid w:val="00FE0BDF"/>
    <w:rsid w:val="00FE11EE"/>
    <w:rsid w:val="00FE215C"/>
    <w:rsid w:val="00FE216E"/>
    <w:rsid w:val="00FE2B7C"/>
    <w:rsid w:val="00FE2F4C"/>
    <w:rsid w:val="00FE44DF"/>
    <w:rsid w:val="00FE45BC"/>
    <w:rsid w:val="00FE4D25"/>
    <w:rsid w:val="00FE4D2E"/>
    <w:rsid w:val="00FE54EA"/>
    <w:rsid w:val="00FE5AF8"/>
    <w:rsid w:val="00FE60B2"/>
    <w:rsid w:val="00FE613B"/>
    <w:rsid w:val="00FE67A2"/>
    <w:rsid w:val="00FE78CA"/>
    <w:rsid w:val="00FE7C16"/>
    <w:rsid w:val="00FF0299"/>
    <w:rsid w:val="00FF0692"/>
    <w:rsid w:val="00FF0C54"/>
    <w:rsid w:val="00FF1148"/>
    <w:rsid w:val="00FF1497"/>
    <w:rsid w:val="00FF22E3"/>
    <w:rsid w:val="00FF32E4"/>
    <w:rsid w:val="00FF3E9A"/>
    <w:rsid w:val="00FF4BF4"/>
    <w:rsid w:val="00FF533B"/>
    <w:rsid w:val="00FF6795"/>
    <w:rsid w:val="00FF6F31"/>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Bullet List Car,FooterText Car,numbered Car,List Paragraph1 Car,Paragraphe de liste1 Car,Bulletr List Paragraph Car,列出段落 Car,列出段落1 Car,Cuadros Car,Lista general Car,Párrafo de tabl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qFormat/>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 w:type="table" w:styleId="Tablaconcuadrculaclara">
    <w:name w:val="Grid Table Light"/>
    <w:basedOn w:val="Tablanormal"/>
    <w:uiPriority w:val="40"/>
    <w:rsid w:val="00CE4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6D4083"/>
    <w:pPr>
      <w:spacing w:after="200" w:line="276" w:lineRule="auto"/>
      <w:ind w:left="0" w:right="0" w:firstLine="0"/>
    </w:pPr>
    <w:rPr>
      <w:rFonts w:ascii="ITC Avant Garde" w:eastAsia="Calibri" w:hAnsi="ITC Avant Garde" w:cs="Times New Roman"/>
      <w:b/>
      <w:color w:val="auto"/>
      <w:lang w:eastAsia="en-US"/>
    </w:rPr>
  </w:style>
  <w:style w:type="character" w:customStyle="1" w:styleId="SubttuloCar">
    <w:name w:val="Subtítulo Car"/>
    <w:basedOn w:val="Fuentedeprrafopredeter"/>
    <w:link w:val="Subttulo"/>
    <w:uiPriority w:val="99"/>
    <w:rsid w:val="006D4083"/>
    <w:rPr>
      <w:rFonts w:ascii="ITC Avant Garde" w:eastAsia="Calibri" w:hAnsi="ITC Avant Garde" w:cs="Times New Roman"/>
      <w:b/>
    </w:rPr>
  </w:style>
  <w:style w:type="paragraph" w:customStyle="1" w:styleId="Listavistosa-nfasis11">
    <w:name w:val="Lista vistosa - Énfasis 11"/>
    <w:basedOn w:val="Normal"/>
    <w:link w:val="Listavistosa-nfasis1Car"/>
    <w:uiPriority w:val="34"/>
    <w:qFormat/>
    <w:rsid w:val="00D40E9E"/>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D40E9E"/>
    <w:rPr>
      <w:rFonts w:ascii="Arial" w:eastAsia="Calibri" w:hAnsi="Arial" w:cs="Times New Roman"/>
      <w:sz w:val="24"/>
      <w:szCs w:val="24"/>
      <w:lang w:eastAsia="es-MX"/>
    </w:rPr>
  </w:style>
  <w:style w:type="character" w:styleId="nfasis">
    <w:name w:val="Emphasis"/>
    <w:basedOn w:val="Fuentedeprrafopredeter"/>
    <w:uiPriority w:val="20"/>
    <w:qFormat/>
    <w:rsid w:val="0066764D"/>
    <w:rPr>
      <w:i/>
      <w:iCs/>
    </w:rPr>
  </w:style>
  <w:style w:type="character" w:styleId="Mencinsinresolver">
    <w:name w:val="Unresolved Mention"/>
    <w:basedOn w:val="Fuentedeprrafopredeter"/>
    <w:uiPriority w:val="99"/>
    <w:semiHidden/>
    <w:unhideWhenUsed/>
    <w:rsid w:val="0009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3736">
      <w:bodyDiv w:val="1"/>
      <w:marLeft w:val="0"/>
      <w:marRight w:val="0"/>
      <w:marTop w:val="0"/>
      <w:marBottom w:val="0"/>
      <w:divBdr>
        <w:top w:val="none" w:sz="0" w:space="0" w:color="auto"/>
        <w:left w:val="none" w:sz="0" w:space="0" w:color="auto"/>
        <w:bottom w:val="none" w:sz="0" w:space="0" w:color="auto"/>
        <w:right w:val="none" w:sz="0" w:space="0" w:color="auto"/>
      </w:divBdr>
    </w:div>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16059541">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910970956">
      <w:bodyDiv w:val="1"/>
      <w:marLeft w:val="0"/>
      <w:marRight w:val="0"/>
      <w:marTop w:val="0"/>
      <w:marBottom w:val="0"/>
      <w:divBdr>
        <w:top w:val="none" w:sz="0" w:space="0" w:color="auto"/>
        <w:left w:val="none" w:sz="0" w:space="0" w:color="auto"/>
        <w:bottom w:val="none" w:sz="0" w:space="0" w:color="auto"/>
        <w:right w:val="none" w:sz="0" w:space="0" w:color="auto"/>
      </w:divBdr>
    </w:div>
    <w:div w:id="938947229">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72718887">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44768628">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6571833">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047370272">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041D-63A2-49BD-A670-12B08688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2956</Words>
  <Characters>16263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Adriana Williams Hernandez</cp:lastModifiedBy>
  <cp:revision>31</cp:revision>
  <cp:lastPrinted>2014-12-10T22:16:00Z</cp:lastPrinted>
  <dcterms:created xsi:type="dcterms:W3CDTF">2022-01-17T13:51:00Z</dcterms:created>
  <dcterms:modified xsi:type="dcterms:W3CDTF">2022-01-18T16:23:00Z</dcterms:modified>
</cp:coreProperties>
</file>