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58B7" w14:textId="1A225D6D" w:rsidR="00F811F5" w:rsidRDefault="00C56520" w:rsidP="004C4941">
      <w:pPr>
        <w:jc w:val="both"/>
        <w:rPr>
          <w:rFonts w:ascii="ITC Avant Garde" w:hAnsi="ITC Avant Garde"/>
          <w:b/>
          <w:i/>
          <w:sz w:val="20"/>
          <w:szCs w:val="20"/>
        </w:rPr>
      </w:pPr>
      <w:bookmarkStart w:id="0" w:name="_GoBack"/>
      <w:bookmarkEnd w:id="0"/>
      <w:r w:rsidRPr="009F0089">
        <w:rPr>
          <w:rFonts w:ascii="ITC Avant Garde" w:hAnsi="ITC Avant Garde"/>
          <w:b/>
          <w:sz w:val="20"/>
          <w:szCs w:val="20"/>
        </w:rPr>
        <w:t xml:space="preserve">INFORME DE </w:t>
      </w:r>
      <w:r w:rsidR="008D6904" w:rsidRPr="009F0089">
        <w:rPr>
          <w:rFonts w:ascii="ITC Avant Garde" w:hAnsi="ITC Avant Garde"/>
          <w:b/>
          <w:sz w:val="20"/>
          <w:szCs w:val="20"/>
        </w:rPr>
        <w:t xml:space="preserve">CONSIDERACIONES DE LOS COMENTARIOS, OBSERVACIONES, PROPOUESTAS Y/O APORTACIONES RECIBIDAS DURANTE LA CONSULTA PÚBLICA SOBRE EL </w:t>
      </w:r>
      <w:r w:rsidR="00776E04" w:rsidRPr="00ED3C8B">
        <w:rPr>
          <w:rFonts w:ascii="ITC Avant Garde" w:hAnsi="ITC Avant Garde"/>
          <w:b/>
          <w:sz w:val="20"/>
          <w:szCs w:val="20"/>
        </w:rPr>
        <w:t xml:space="preserve">ANTEPROYECTO DE </w:t>
      </w:r>
      <w:r w:rsidR="00ED3C8B" w:rsidRPr="00ED3C8B">
        <w:rPr>
          <w:rFonts w:ascii="ITC Avant Garde" w:hAnsi="ITC Avant Garde"/>
          <w:b/>
          <w:sz w:val="20"/>
          <w:szCs w:val="20"/>
        </w:rPr>
        <w:t>“ACUERDO MEDIANTE EL CUAL EL PLENO DEL INSTITUTO FEDERAL DE TELECOMUNICACIONES ACTUALIZA LAS CONDICIONES TÉCNICAS DE OPERACIÓN DE LA BANDA DE FRECUENCIAS 57-64 GHZ, CLASIFICADA COMO ESPECTRO LIBRE”</w:t>
      </w:r>
      <w:r w:rsidR="00ED3C8B">
        <w:rPr>
          <w:rFonts w:ascii="ITC Avant Garde" w:hAnsi="ITC Avant Garde"/>
          <w:b/>
          <w:sz w:val="20"/>
          <w:szCs w:val="20"/>
        </w:rPr>
        <w:t>.</w:t>
      </w:r>
    </w:p>
    <w:p w14:paraId="374C4C70" w14:textId="77777777" w:rsidR="00692C5F" w:rsidRPr="009F0089" w:rsidRDefault="00692C5F" w:rsidP="004C4941">
      <w:pPr>
        <w:spacing w:after="0"/>
        <w:jc w:val="both"/>
        <w:rPr>
          <w:rFonts w:ascii="ITC Avant Garde" w:hAnsi="ITC Avant Garde"/>
          <w:b/>
          <w:i/>
          <w:sz w:val="20"/>
          <w:szCs w:val="20"/>
        </w:rPr>
      </w:pPr>
    </w:p>
    <w:p w14:paraId="50B74906" w14:textId="77777777" w:rsidR="00835C6F" w:rsidRDefault="008D6904" w:rsidP="004C4941">
      <w:pPr>
        <w:pStyle w:val="Prrafodelista"/>
        <w:numPr>
          <w:ilvl w:val="0"/>
          <w:numId w:val="1"/>
        </w:numPr>
        <w:spacing w:after="0"/>
        <w:ind w:left="567"/>
        <w:jc w:val="both"/>
        <w:rPr>
          <w:rFonts w:ascii="ITC Avant Garde" w:hAnsi="ITC Avant Garde"/>
          <w:b/>
          <w:sz w:val="20"/>
          <w:szCs w:val="20"/>
        </w:rPr>
      </w:pPr>
      <w:r w:rsidRPr="00835C6F">
        <w:rPr>
          <w:rFonts w:ascii="ITC Avant Garde" w:hAnsi="ITC Avant Garde"/>
          <w:b/>
          <w:sz w:val="20"/>
          <w:szCs w:val="20"/>
        </w:rPr>
        <w:t xml:space="preserve">Fecha de </w:t>
      </w:r>
      <w:r w:rsidR="004558C5" w:rsidRPr="00835C6F">
        <w:rPr>
          <w:rFonts w:ascii="ITC Avant Garde" w:hAnsi="ITC Avant Garde"/>
          <w:b/>
          <w:sz w:val="20"/>
          <w:szCs w:val="20"/>
        </w:rPr>
        <w:t>elaboración del presente Informe</w:t>
      </w:r>
      <w:r w:rsidR="009F0089" w:rsidRPr="00835C6F">
        <w:rPr>
          <w:rFonts w:ascii="ITC Avant Garde" w:hAnsi="ITC Avant Garde"/>
          <w:b/>
          <w:sz w:val="20"/>
          <w:szCs w:val="20"/>
        </w:rPr>
        <w:t xml:space="preserve"> </w:t>
      </w:r>
    </w:p>
    <w:p w14:paraId="6C6D049D" w14:textId="5036953A" w:rsidR="009F0089" w:rsidRDefault="00572DB3" w:rsidP="004C4941">
      <w:pPr>
        <w:spacing w:after="0"/>
        <w:jc w:val="both"/>
        <w:rPr>
          <w:rFonts w:ascii="ITC Avant Garde" w:hAnsi="ITC Avant Garde"/>
          <w:color w:val="000000"/>
          <w:sz w:val="20"/>
          <w:szCs w:val="20"/>
          <w:shd w:val="clear" w:color="auto" w:fill="FFFFFF"/>
        </w:rPr>
      </w:pPr>
      <w:r w:rsidRPr="00572DB3">
        <w:rPr>
          <w:rFonts w:ascii="ITC Avant Garde" w:hAnsi="ITC Avant Garde"/>
          <w:color w:val="000000"/>
          <w:sz w:val="20"/>
          <w:szCs w:val="20"/>
          <w:shd w:val="clear" w:color="auto" w:fill="FFFFFF"/>
        </w:rPr>
        <w:t>16</w:t>
      </w:r>
      <w:r w:rsidR="005B7A9F" w:rsidRPr="00572DB3">
        <w:rPr>
          <w:rFonts w:ascii="ITC Avant Garde" w:hAnsi="ITC Avant Garde"/>
          <w:color w:val="000000"/>
          <w:sz w:val="20"/>
          <w:szCs w:val="20"/>
          <w:shd w:val="clear" w:color="auto" w:fill="FFFFFF"/>
        </w:rPr>
        <w:t xml:space="preserve"> </w:t>
      </w:r>
      <w:r w:rsidR="002926B0" w:rsidRPr="00572DB3">
        <w:rPr>
          <w:rFonts w:ascii="ITC Avant Garde" w:hAnsi="ITC Avant Garde"/>
          <w:color w:val="000000"/>
          <w:sz w:val="20"/>
          <w:szCs w:val="20"/>
          <w:shd w:val="clear" w:color="auto" w:fill="FFFFFF"/>
        </w:rPr>
        <w:t xml:space="preserve">de </w:t>
      </w:r>
      <w:r w:rsidRPr="00572DB3">
        <w:rPr>
          <w:rFonts w:ascii="ITC Avant Garde" w:hAnsi="ITC Avant Garde"/>
          <w:color w:val="000000"/>
          <w:sz w:val="20"/>
          <w:szCs w:val="20"/>
          <w:shd w:val="clear" w:color="auto" w:fill="FFFFFF"/>
        </w:rPr>
        <w:t>diciembre</w:t>
      </w:r>
      <w:r w:rsidR="005B7A9F" w:rsidRPr="00572DB3">
        <w:rPr>
          <w:rFonts w:ascii="ITC Avant Garde" w:hAnsi="ITC Avant Garde"/>
          <w:color w:val="000000"/>
          <w:sz w:val="20"/>
          <w:szCs w:val="20"/>
          <w:shd w:val="clear" w:color="auto" w:fill="FFFFFF"/>
        </w:rPr>
        <w:t xml:space="preserve"> </w:t>
      </w:r>
      <w:r w:rsidR="002926B0" w:rsidRPr="00572DB3">
        <w:rPr>
          <w:rFonts w:ascii="ITC Avant Garde" w:hAnsi="ITC Avant Garde"/>
          <w:color w:val="000000"/>
          <w:sz w:val="20"/>
          <w:szCs w:val="20"/>
          <w:shd w:val="clear" w:color="auto" w:fill="FFFFFF"/>
        </w:rPr>
        <w:t>de 2021</w:t>
      </w:r>
      <w:r w:rsidR="00E368E7" w:rsidRPr="00572DB3">
        <w:rPr>
          <w:rFonts w:ascii="ITC Avant Garde" w:hAnsi="ITC Avant Garde"/>
          <w:color w:val="000000"/>
          <w:sz w:val="20"/>
          <w:szCs w:val="20"/>
          <w:shd w:val="clear" w:color="auto" w:fill="FFFFFF"/>
        </w:rPr>
        <w:t>.</w:t>
      </w:r>
    </w:p>
    <w:p w14:paraId="6B09BC16" w14:textId="77777777" w:rsidR="00E368E7" w:rsidRDefault="00E368E7" w:rsidP="004C4941">
      <w:pPr>
        <w:pStyle w:val="Prrafodelista"/>
        <w:spacing w:after="0"/>
        <w:ind w:left="142"/>
        <w:jc w:val="both"/>
        <w:rPr>
          <w:rFonts w:ascii="ITC Avant Garde" w:hAnsi="ITC Avant Garde"/>
          <w:color w:val="000000"/>
          <w:sz w:val="20"/>
          <w:szCs w:val="20"/>
          <w:shd w:val="clear" w:color="auto" w:fill="FFFFFF"/>
        </w:rPr>
      </w:pPr>
    </w:p>
    <w:p w14:paraId="61E13EEA" w14:textId="2C4EFDD1" w:rsidR="009F0089" w:rsidRPr="009F0089" w:rsidRDefault="009F0089" w:rsidP="004C4941">
      <w:pPr>
        <w:pStyle w:val="Prrafodelista"/>
        <w:numPr>
          <w:ilvl w:val="0"/>
          <w:numId w:val="1"/>
        </w:numPr>
        <w:spacing w:after="0"/>
        <w:ind w:left="567"/>
        <w:jc w:val="both"/>
        <w:rPr>
          <w:rFonts w:ascii="ITC Avant Garde" w:hAnsi="ITC Avant Garde"/>
          <w:b/>
          <w:sz w:val="20"/>
          <w:szCs w:val="20"/>
        </w:rPr>
      </w:pPr>
      <w:r>
        <w:rPr>
          <w:rFonts w:ascii="ITC Avant Garde" w:hAnsi="ITC Avant Garde"/>
          <w:b/>
          <w:sz w:val="20"/>
          <w:szCs w:val="20"/>
        </w:rPr>
        <w:t>Área responsable de la</w:t>
      </w:r>
      <w:r w:rsidR="004645B6">
        <w:rPr>
          <w:rFonts w:ascii="ITC Avant Garde" w:hAnsi="ITC Avant Garde"/>
          <w:b/>
          <w:sz w:val="20"/>
          <w:szCs w:val="20"/>
        </w:rPr>
        <w:t xml:space="preserve"> Consulta Pública y de la </w:t>
      </w:r>
      <w:r>
        <w:rPr>
          <w:rFonts w:ascii="ITC Avant Garde" w:hAnsi="ITC Avant Garde"/>
          <w:b/>
          <w:sz w:val="20"/>
          <w:szCs w:val="20"/>
        </w:rPr>
        <w:t>elaboración del presente Informe.</w:t>
      </w:r>
    </w:p>
    <w:p w14:paraId="3BE3F6BB" w14:textId="58407A26" w:rsidR="004558C5" w:rsidRDefault="00692C5F" w:rsidP="004C4941">
      <w:pPr>
        <w:spacing w:after="0"/>
        <w:jc w:val="both"/>
        <w:rPr>
          <w:rFonts w:ascii="ITC Avant Garde" w:hAnsi="ITC Avant Garde"/>
          <w:color w:val="000000"/>
          <w:sz w:val="20"/>
          <w:szCs w:val="20"/>
          <w:shd w:val="clear" w:color="auto" w:fill="FFFFFF"/>
        </w:rPr>
      </w:pPr>
      <w:r w:rsidRPr="00E835EB">
        <w:rPr>
          <w:rFonts w:ascii="ITC Avant Garde" w:hAnsi="ITC Avant Garde"/>
          <w:color w:val="000000"/>
          <w:sz w:val="20"/>
          <w:szCs w:val="20"/>
          <w:shd w:val="clear" w:color="auto" w:fill="FFFFFF"/>
        </w:rPr>
        <w:t xml:space="preserve">Dirección General de Planeación del Espectro Radioeléctrico adscrita a la </w:t>
      </w:r>
      <w:r w:rsidR="009F0089" w:rsidRPr="00E835EB">
        <w:rPr>
          <w:rFonts w:ascii="ITC Avant Garde" w:hAnsi="ITC Avant Garde"/>
          <w:color w:val="000000"/>
          <w:sz w:val="20"/>
          <w:szCs w:val="20"/>
          <w:shd w:val="clear" w:color="auto" w:fill="FFFFFF"/>
        </w:rPr>
        <w:t>Unidad de Espectro Radioeléctrico</w:t>
      </w:r>
      <w:r w:rsidR="00E368E7">
        <w:rPr>
          <w:rFonts w:ascii="ITC Avant Garde" w:hAnsi="ITC Avant Garde"/>
          <w:color w:val="000000"/>
          <w:sz w:val="20"/>
          <w:szCs w:val="20"/>
          <w:shd w:val="clear" w:color="auto" w:fill="FFFFFF"/>
        </w:rPr>
        <w:t>.</w:t>
      </w:r>
    </w:p>
    <w:p w14:paraId="3C9AE211" w14:textId="77777777" w:rsidR="00E368E7" w:rsidRDefault="00E368E7" w:rsidP="004C4941">
      <w:pPr>
        <w:pStyle w:val="Prrafodelista"/>
        <w:spacing w:after="0"/>
        <w:ind w:left="142"/>
        <w:jc w:val="both"/>
        <w:rPr>
          <w:rFonts w:ascii="ITC Avant Garde" w:hAnsi="ITC Avant Garde"/>
          <w:color w:val="000000"/>
          <w:sz w:val="20"/>
          <w:szCs w:val="20"/>
          <w:shd w:val="clear" w:color="auto" w:fill="FFFFFF"/>
        </w:rPr>
      </w:pPr>
    </w:p>
    <w:p w14:paraId="40DDE1E7" w14:textId="5EBC4C4E" w:rsidR="00E368E7" w:rsidRPr="00E368E7" w:rsidRDefault="00E368E7" w:rsidP="004C4941">
      <w:pPr>
        <w:pStyle w:val="Prrafodelista"/>
        <w:numPr>
          <w:ilvl w:val="0"/>
          <w:numId w:val="1"/>
        </w:numPr>
        <w:spacing w:after="0"/>
        <w:ind w:left="567"/>
        <w:jc w:val="both"/>
        <w:rPr>
          <w:rFonts w:ascii="ITC Avant Garde" w:hAnsi="ITC Avant Garde"/>
          <w:b/>
          <w:color w:val="000000"/>
          <w:sz w:val="20"/>
          <w:szCs w:val="20"/>
          <w:shd w:val="clear" w:color="auto" w:fill="FFFFFF"/>
        </w:rPr>
      </w:pPr>
      <w:r w:rsidRPr="00E368E7">
        <w:rPr>
          <w:rFonts w:ascii="ITC Avant Garde" w:hAnsi="ITC Avant Garde"/>
          <w:b/>
          <w:color w:val="000000"/>
          <w:sz w:val="20"/>
          <w:szCs w:val="20"/>
          <w:shd w:val="clear" w:color="auto" w:fill="FFFFFF"/>
        </w:rPr>
        <w:t>Antecedentes de la Consulta Pública</w:t>
      </w:r>
      <w:r>
        <w:rPr>
          <w:rFonts w:ascii="ITC Avant Garde" w:hAnsi="ITC Avant Garde"/>
          <w:b/>
          <w:color w:val="000000"/>
          <w:sz w:val="20"/>
          <w:szCs w:val="20"/>
          <w:shd w:val="clear" w:color="auto" w:fill="FFFFFF"/>
        </w:rPr>
        <w:t>:</w:t>
      </w:r>
    </w:p>
    <w:p w14:paraId="2C2439C7" w14:textId="3210E598" w:rsidR="00647C22" w:rsidRPr="00647C22" w:rsidRDefault="00647C22" w:rsidP="004C4941">
      <w:pPr>
        <w:spacing w:after="0" w:line="240" w:lineRule="auto"/>
        <w:jc w:val="both"/>
        <w:rPr>
          <w:rFonts w:ascii="ITC Avant Garde" w:hAnsi="ITC Avant Garde"/>
          <w:color w:val="000000"/>
          <w:sz w:val="20"/>
          <w:szCs w:val="20"/>
          <w:shd w:val="clear" w:color="auto" w:fill="FFFFFF"/>
        </w:rPr>
      </w:pPr>
      <w:r w:rsidRPr="00647C22">
        <w:rPr>
          <w:rFonts w:ascii="ITC Avant Garde" w:hAnsi="ITC Avant Garde"/>
          <w:color w:val="000000"/>
          <w:sz w:val="20"/>
          <w:szCs w:val="20"/>
          <w:shd w:val="clear" w:color="auto" w:fill="FFFFFF"/>
        </w:rPr>
        <w:t xml:space="preserve">El 09 de mayo de 2017 se publicó </w:t>
      </w:r>
      <w:r w:rsidR="005071F3">
        <w:rPr>
          <w:rFonts w:ascii="ITC Avant Garde" w:hAnsi="ITC Avant Garde"/>
          <w:color w:val="000000"/>
          <w:sz w:val="20"/>
          <w:szCs w:val="20"/>
          <w:shd w:val="clear" w:color="auto" w:fill="FFFFFF"/>
        </w:rPr>
        <w:t>en el Diario Oficial de la Federación</w:t>
      </w:r>
      <w:r w:rsidR="00903952">
        <w:rPr>
          <w:rFonts w:ascii="ITC Avant Garde" w:hAnsi="ITC Avant Garde"/>
          <w:color w:val="000000"/>
          <w:sz w:val="20"/>
          <w:szCs w:val="20"/>
          <w:shd w:val="clear" w:color="auto" w:fill="FFFFFF"/>
        </w:rPr>
        <w:t xml:space="preserve"> (“DOF”)</w:t>
      </w:r>
      <w:r w:rsidR="005071F3">
        <w:rPr>
          <w:rFonts w:ascii="ITC Avant Garde" w:hAnsi="ITC Avant Garde"/>
          <w:color w:val="000000"/>
          <w:sz w:val="20"/>
          <w:szCs w:val="20"/>
          <w:shd w:val="clear" w:color="auto" w:fill="FFFFFF"/>
        </w:rPr>
        <w:t xml:space="preserve"> </w:t>
      </w:r>
      <w:r w:rsidRPr="00647C22">
        <w:rPr>
          <w:rFonts w:ascii="ITC Avant Garde" w:hAnsi="ITC Avant Garde"/>
          <w:color w:val="000000"/>
          <w:sz w:val="20"/>
          <w:szCs w:val="20"/>
          <w:shd w:val="clear" w:color="auto" w:fill="FFFFFF"/>
        </w:rPr>
        <w:t>el “</w:t>
      </w:r>
      <w:r w:rsidRPr="00683399">
        <w:rPr>
          <w:rFonts w:ascii="ITC Avant Garde" w:hAnsi="ITC Avant Garde"/>
          <w:i/>
          <w:color w:val="000000"/>
          <w:sz w:val="20"/>
          <w:szCs w:val="20"/>
          <w:shd w:val="clear" w:color="auto" w:fill="FFFFFF"/>
        </w:rPr>
        <w:t>Acuerdo mediante el cual el Pleno del Instituto Federal de Telecomunicaciones clasifica la banda de frecuencias de 57-64 GHz como espectro libre y expide las condiciones técnicas de operación</w:t>
      </w:r>
      <w:r w:rsidRPr="00647C22">
        <w:rPr>
          <w:rFonts w:ascii="ITC Avant Garde" w:hAnsi="ITC Avant Garde"/>
          <w:color w:val="000000"/>
          <w:sz w:val="20"/>
          <w:szCs w:val="20"/>
          <w:shd w:val="clear" w:color="auto" w:fill="FFFFFF"/>
        </w:rPr>
        <w:t>” (</w:t>
      </w:r>
      <w:r w:rsidR="005071F3">
        <w:rPr>
          <w:rFonts w:ascii="ITC Avant Garde" w:hAnsi="ITC Avant Garde"/>
          <w:color w:val="000000"/>
          <w:sz w:val="20"/>
          <w:szCs w:val="20"/>
          <w:shd w:val="clear" w:color="auto" w:fill="FFFFFF"/>
        </w:rPr>
        <w:t>“</w:t>
      </w:r>
      <w:r w:rsidRPr="00647C22">
        <w:rPr>
          <w:rFonts w:ascii="ITC Avant Garde" w:hAnsi="ITC Avant Garde"/>
          <w:color w:val="000000"/>
          <w:sz w:val="20"/>
          <w:szCs w:val="20"/>
          <w:shd w:val="clear" w:color="auto" w:fill="FFFFFF"/>
        </w:rPr>
        <w:t xml:space="preserve">Acuerdo </w:t>
      </w:r>
      <w:r w:rsidR="005071F3">
        <w:rPr>
          <w:rFonts w:ascii="ITC Avant Garde" w:hAnsi="ITC Avant Garde"/>
          <w:color w:val="000000"/>
          <w:sz w:val="20"/>
          <w:szCs w:val="20"/>
          <w:shd w:val="clear" w:color="auto" w:fill="FFFFFF"/>
        </w:rPr>
        <w:t>de</w:t>
      </w:r>
      <w:r w:rsidRPr="00647C22">
        <w:rPr>
          <w:rFonts w:ascii="ITC Avant Garde" w:hAnsi="ITC Avant Garde"/>
          <w:color w:val="000000"/>
          <w:sz w:val="20"/>
          <w:szCs w:val="20"/>
          <w:shd w:val="clear" w:color="auto" w:fill="FFFFFF"/>
        </w:rPr>
        <w:t xml:space="preserve"> la banda 57-64 GHz</w:t>
      </w:r>
      <w:r w:rsidR="005071F3">
        <w:rPr>
          <w:rFonts w:ascii="ITC Avant Garde" w:hAnsi="ITC Avant Garde"/>
          <w:color w:val="000000"/>
          <w:sz w:val="20"/>
          <w:szCs w:val="20"/>
          <w:shd w:val="clear" w:color="auto" w:fill="FFFFFF"/>
        </w:rPr>
        <w:t>”</w:t>
      </w:r>
      <w:r w:rsidRPr="00647C22">
        <w:rPr>
          <w:rFonts w:ascii="ITC Avant Garde" w:hAnsi="ITC Avant Garde"/>
          <w:color w:val="000000"/>
          <w:sz w:val="20"/>
          <w:szCs w:val="20"/>
          <w:shd w:val="clear" w:color="auto" w:fill="FFFFFF"/>
        </w:rPr>
        <w:t>), por medio del cual la banda 57-64 GHz se clasificó como espectro libre a nivel nacional</w:t>
      </w:r>
      <w:r w:rsidR="005071F3">
        <w:rPr>
          <w:rFonts w:ascii="ITC Avant Garde" w:hAnsi="ITC Avant Garde"/>
          <w:color w:val="000000"/>
          <w:sz w:val="20"/>
          <w:szCs w:val="20"/>
          <w:shd w:val="clear" w:color="auto" w:fill="FFFFFF"/>
        </w:rPr>
        <w:t xml:space="preserve"> y se establecieron las condiciones técnicas de operación que deben cumplir los sistemas, dispositivos o productos que utilicen dicha banda de frecuencias</w:t>
      </w:r>
      <w:r w:rsidRPr="00647C22">
        <w:rPr>
          <w:rFonts w:ascii="ITC Avant Garde" w:hAnsi="ITC Avant Garde"/>
          <w:color w:val="000000"/>
          <w:sz w:val="20"/>
          <w:szCs w:val="20"/>
          <w:shd w:val="clear" w:color="auto" w:fill="FFFFFF"/>
        </w:rPr>
        <w:t>.</w:t>
      </w:r>
    </w:p>
    <w:p w14:paraId="04C9567F" w14:textId="77777777" w:rsidR="00647C22" w:rsidRPr="00647C22" w:rsidRDefault="00647C22" w:rsidP="004C4941">
      <w:pPr>
        <w:spacing w:after="0" w:line="240" w:lineRule="auto"/>
        <w:jc w:val="both"/>
        <w:rPr>
          <w:rFonts w:ascii="ITC Avant Garde" w:hAnsi="ITC Avant Garde"/>
          <w:color w:val="000000"/>
          <w:sz w:val="20"/>
          <w:szCs w:val="20"/>
          <w:shd w:val="clear" w:color="auto" w:fill="FFFFFF"/>
        </w:rPr>
      </w:pPr>
    </w:p>
    <w:p w14:paraId="3B07F963" w14:textId="75BBE488" w:rsidR="00647C22" w:rsidRPr="00647C22" w:rsidRDefault="00647C22" w:rsidP="004C4941">
      <w:pPr>
        <w:spacing w:after="0" w:line="240" w:lineRule="auto"/>
        <w:jc w:val="both"/>
        <w:rPr>
          <w:rFonts w:ascii="ITC Avant Garde" w:hAnsi="ITC Avant Garde"/>
          <w:color w:val="000000"/>
          <w:sz w:val="20"/>
          <w:szCs w:val="20"/>
          <w:shd w:val="clear" w:color="auto" w:fill="FFFFFF"/>
        </w:rPr>
      </w:pPr>
      <w:r w:rsidRPr="00647C22">
        <w:rPr>
          <w:rFonts w:ascii="ITC Avant Garde" w:hAnsi="ITC Avant Garde"/>
          <w:color w:val="000000"/>
          <w:sz w:val="20"/>
          <w:szCs w:val="20"/>
          <w:shd w:val="clear" w:color="auto" w:fill="FFFFFF"/>
        </w:rPr>
        <w:t xml:space="preserve">Por otro lado, en el marco de las actividades que se realizan en el </w:t>
      </w:r>
      <w:r w:rsidR="00891D82">
        <w:rPr>
          <w:rFonts w:ascii="ITC Avant Garde" w:hAnsi="ITC Avant Garde"/>
          <w:color w:val="000000"/>
          <w:sz w:val="20"/>
          <w:szCs w:val="20"/>
          <w:shd w:val="clear" w:color="auto" w:fill="FFFFFF"/>
        </w:rPr>
        <w:t>Comité Técnico en materia de Espectro Radioeléctrico (</w:t>
      </w:r>
      <w:r w:rsidR="001F69EC">
        <w:rPr>
          <w:rFonts w:ascii="ITC Avant Garde" w:hAnsi="ITC Avant Garde"/>
          <w:color w:val="000000"/>
          <w:sz w:val="20"/>
          <w:szCs w:val="20"/>
          <w:shd w:val="clear" w:color="auto" w:fill="FFFFFF"/>
        </w:rPr>
        <w:t>“</w:t>
      </w:r>
      <w:r w:rsidR="00BD0645" w:rsidRPr="00647C22">
        <w:rPr>
          <w:rFonts w:ascii="ITC Avant Garde" w:hAnsi="ITC Avant Garde"/>
          <w:color w:val="000000"/>
          <w:sz w:val="20"/>
          <w:szCs w:val="20"/>
          <w:shd w:val="clear" w:color="auto" w:fill="FFFFFF"/>
        </w:rPr>
        <w:t>CTER</w:t>
      </w:r>
      <w:r w:rsidR="001F69EC">
        <w:rPr>
          <w:rFonts w:ascii="ITC Avant Garde" w:hAnsi="ITC Avant Garde"/>
          <w:color w:val="000000"/>
          <w:sz w:val="20"/>
          <w:szCs w:val="20"/>
          <w:shd w:val="clear" w:color="auto" w:fill="FFFFFF"/>
        </w:rPr>
        <w:t>”</w:t>
      </w:r>
      <w:r w:rsidR="00891D82">
        <w:rPr>
          <w:rFonts w:ascii="ITC Avant Garde" w:hAnsi="ITC Avant Garde"/>
          <w:color w:val="000000"/>
          <w:sz w:val="20"/>
          <w:szCs w:val="20"/>
          <w:shd w:val="clear" w:color="auto" w:fill="FFFFFF"/>
        </w:rPr>
        <w:t>)</w:t>
      </w:r>
      <w:r w:rsidR="00BD0645" w:rsidRPr="00647C22">
        <w:rPr>
          <w:rFonts w:ascii="ITC Avant Garde" w:hAnsi="ITC Avant Garde"/>
          <w:color w:val="000000"/>
          <w:sz w:val="20"/>
          <w:szCs w:val="20"/>
          <w:shd w:val="clear" w:color="auto" w:fill="FFFFFF"/>
        </w:rPr>
        <w:t>,</w:t>
      </w:r>
      <w:r w:rsidRPr="00647C22">
        <w:rPr>
          <w:rFonts w:ascii="ITC Avant Garde" w:hAnsi="ITC Avant Garde"/>
          <w:color w:val="000000"/>
          <w:sz w:val="20"/>
          <w:szCs w:val="20"/>
          <w:shd w:val="clear" w:color="auto" w:fill="FFFFFF"/>
        </w:rPr>
        <w:t xml:space="preserve"> específicamente en el Grupo de Trabajo de Aspectos Generales del Espectro Radioeléctrico, la Industria (proveedores de servicio y fabricantes de equipos)</w:t>
      </w:r>
      <w:r w:rsidR="00891D82">
        <w:rPr>
          <w:rFonts w:ascii="ITC Avant Garde" w:hAnsi="ITC Avant Garde"/>
          <w:color w:val="000000"/>
          <w:sz w:val="20"/>
          <w:szCs w:val="20"/>
          <w:shd w:val="clear" w:color="auto" w:fill="FFFFFF"/>
        </w:rPr>
        <w:t xml:space="preserve"> y el resto de los integrantes de dicho Grupo de Trabajo</w:t>
      </w:r>
      <w:r w:rsidRPr="00647C22">
        <w:rPr>
          <w:rFonts w:ascii="ITC Avant Garde" w:hAnsi="ITC Avant Garde"/>
          <w:color w:val="000000"/>
          <w:sz w:val="20"/>
          <w:szCs w:val="20"/>
          <w:shd w:val="clear" w:color="auto" w:fill="FFFFFF"/>
        </w:rPr>
        <w:t xml:space="preserve"> </w:t>
      </w:r>
      <w:r w:rsidR="007751EB">
        <w:rPr>
          <w:rFonts w:ascii="ITC Avant Garde" w:hAnsi="ITC Avant Garde"/>
          <w:color w:val="000000"/>
          <w:sz w:val="20"/>
          <w:szCs w:val="20"/>
          <w:shd w:val="clear" w:color="auto" w:fill="FFFFFF"/>
        </w:rPr>
        <w:t xml:space="preserve">manifestaron </w:t>
      </w:r>
      <w:r w:rsidRPr="00647C22">
        <w:rPr>
          <w:rFonts w:ascii="ITC Avant Garde" w:hAnsi="ITC Avant Garde"/>
          <w:color w:val="000000"/>
          <w:sz w:val="20"/>
          <w:szCs w:val="20"/>
          <w:shd w:val="clear" w:color="auto" w:fill="FFFFFF"/>
        </w:rPr>
        <w:t xml:space="preserve">interés respecto a la actualización del Acuerdo </w:t>
      </w:r>
      <w:r w:rsidR="007751EB">
        <w:rPr>
          <w:rFonts w:ascii="ITC Avant Garde" w:hAnsi="ITC Avant Garde"/>
          <w:color w:val="000000"/>
          <w:sz w:val="20"/>
          <w:szCs w:val="20"/>
          <w:shd w:val="clear" w:color="auto" w:fill="FFFFFF"/>
        </w:rPr>
        <w:t>de</w:t>
      </w:r>
      <w:r w:rsidRPr="00647C22">
        <w:rPr>
          <w:rFonts w:ascii="ITC Avant Garde" w:hAnsi="ITC Avant Garde"/>
          <w:color w:val="000000"/>
          <w:sz w:val="20"/>
          <w:szCs w:val="20"/>
          <w:shd w:val="clear" w:color="auto" w:fill="FFFFFF"/>
        </w:rPr>
        <w:t xml:space="preserve"> la banda 57-64 GHz con el objeto de adicionar condiciones técnicas de operación </w:t>
      </w:r>
      <w:r w:rsidR="007751EB">
        <w:rPr>
          <w:rFonts w:ascii="ITC Avant Garde" w:hAnsi="ITC Avant Garde"/>
          <w:color w:val="000000"/>
          <w:sz w:val="20"/>
          <w:szCs w:val="20"/>
          <w:shd w:val="clear" w:color="auto" w:fill="FFFFFF"/>
        </w:rPr>
        <w:t xml:space="preserve">para habilitar los sensores de </w:t>
      </w:r>
      <w:r w:rsidR="007751EB" w:rsidRPr="00B817AC">
        <w:rPr>
          <w:rFonts w:ascii="ITC Avant Garde" w:hAnsi="ITC Avant Garde"/>
          <w:color w:val="000000"/>
          <w:sz w:val="20"/>
          <w:szCs w:val="20"/>
          <w:shd w:val="clear" w:color="auto" w:fill="FFFFFF"/>
        </w:rPr>
        <w:t>perturbación de campo</w:t>
      </w:r>
      <w:r w:rsidR="00B817AC" w:rsidRPr="00B817AC">
        <w:rPr>
          <w:rFonts w:ascii="ITC Avant Garde" w:hAnsi="ITC Avant Garde"/>
          <w:color w:val="000000"/>
          <w:sz w:val="20"/>
          <w:szCs w:val="20"/>
          <w:shd w:val="clear" w:color="auto" w:fill="FFFFFF"/>
        </w:rPr>
        <w:t xml:space="preserve"> para la detección de movimiento</w:t>
      </w:r>
      <w:r w:rsidR="00B817AC">
        <w:rPr>
          <w:rFonts w:ascii="ITC Avant Garde" w:hAnsi="ITC Avant Garde"/>
          <w:color w:val="000000"/>
          <w:sz w:val="20"/>
          <w:szCs w:val="20"/>
          <w:shd w:val="clear" w:color="auto" w:fill="FFFFFF"/>
        </w:rPr>
        <w:t>s</w:t>
      </w:r>
      <w:r w:rsidR="009F2A0E">
        <w:rPr>
          <w:rFonts w:ascii="ITC Avant Garde" w:hAnsi="ITC Avant Garde"/>
          <w:color w:val="000000"/>
          <w:sz w:val="20"/>
          <w:szCs w:val="20"/>
          <w:shd w:val="clear" w:color="auto" w:fill="FFFFFF"/>
        </w:rPr>
        <w:t xml:space="preserve"> (sensores de movimiento)</w:t>
      </w:r>
      <w:r w:rsidR="007751EB">
        <w:rPr>
          <w:rFonts w:ascii="ITC Avant Garde" w:hAnsi="ITC Avant Garde"/>
          <w:color w:val="000000"/>
          <w:sz w:val="20"/>
          <w:szCs w:val="20"/>
          <w:shd w:val="clear" w:color="auto" w:fill="FFFFFF"/>
        </w:rPr>
        <w:t xml:space="preserve"> </w:t>
      </w:r>
      <w:r w:rsidRPr="00647C22">
        <w:rPr>
          <w:rFonts w:ascii="ITC Avant Garde" w:hAnsi="ITC Avant Garde"/>
          <w:color w:val="000000"/>
          <w:sz w:val="20"/>
          <w:szCs w:val="20"/>
          <w:shd w:val="clear" w:color="auto" w:fill="FFFFFF"/>
        </w:rPr>
        <w:t>toma</w:t>
      </w:r>
      <w:r w:rsidR="007751EB">
        <w:rPr>
          <w:rFonts w:ascii="ITC Avant Garde" w:hAnsi="ITC Avant Garde"/>
          <w:color w:val="000000"/>
          <w:sz w:val="20"/>
          <w:szCs w:val="20"/>
          <w:shd w:val="clear" w:color="auto" w:fill="FFFFFF"/>
        </w:rPr>
        <w:t>ndo como</w:t>
      </w:r>
      <w:r w:rsidRPr="00647C22">
        <w:rPr>
          <w:rFonts w:ascii="ITC Avant Garde" w:hAnsi="ITC Avant Garde"/>
          <w:color w:val="000000"/>
          <w:sz w:val="20"/>
          <w:szCs w:val="20"/>
          <w:shd w:val="clear" w:color="auto" w:fill="FFFFFF"/>
        </w:rPr>
        <w:t xml:space="preserve"> referencia </w:t>
      </w:r>
      <w:r w:rsidR="007751EB">
        <w:rPr>
          <w:rFonts w:ascii="ITC Avant Garde" w:hAnsi="ITC Avant Garde"/>
          <w:color w:val="000000"/>
          <w:sz w:val="20"/>
          <w:szCs w:val="20"/>
          <w:shd w:val="clear" w:color="auto" w:fill="FFFFFF"/>
        </w:rPr>
        <w:t>acciones similares</w:t>
      </w:r>
      <w:r w:rsidRPr="00647C22">
        <w:rPr>
          <w:rFonts w:ascii="ITC Avant Garde" w:hAnsi="ITC Avant Garde"/>
          <w:color w:val="000000"/>
          <w:sz w:val="20"/>
          <w:szCs w:val="20"/>
          <w:shd w:val="clear" w:color="auto" w:fill="FFFFFF"/>
        </w:rPr>
        <w:t xml:space="preserve"> por </w:t>
      </w:r>
      <w:r w:rsidR="007751EB">
        <w:rPr>
          <w:rFonts w:ascii="ITC Avant Garde" w:hAnsi="ITC Avant Garde"/>
          <w:color w:val="000000"/>
          <w:sz w:val="20"/>
          <w:szCs w:val="20"/>
          <w:shd w:val="clear" w:color="auto" w:fill="FFFFFF"/>
        </w:rPr>
        <w:t xml:space="preserve">parte de </w:t>
      </w:r>
      <w:r w:rsidRPr="00647C22">
        <w:rPr>
          <w:rFonts w:ascii="ITC Avant Garde" w:hAnsi="ITC Avant Garde"/>
          <w:color w:val="000000"/>
          <w:sz w:val="20"/>
          <w:szCs w:val="20"/>
          <w:shd w:val="clear" w:color="auto" w:fill="FFFFFF"/>
        </w:rPr>
        <w:t xml:space="preserve">la </w:t>
      </w:r>
      <w:r w:rsidRPr="00A12BFA">
        <w:rPr>
          <w:rFonts w:ascii="ITC Avant Garde" w:hAnsi="ITC Avant Garde"/>
          <w:i/>
          <w:color w:val="000000"/>
          <w:sz w:val="20"/>
          <w:szCs w:val="20"/>
          <w:shd w:val="clear" w:color="auto" w:fill="FFFFFF"/>
        </w:rPr>
        <w:t>FCC</w:t>
      </w:r>
      <w:r w:rsidR="00AE751B">
        <w:rPr>
          <w:rFonts w:ascii="ITC Avant Garde" w:hAnsi="ITC Avant Garde"/>
          <w:color w:val="000000"/>
          <w:sz w:val="20"/>
          <w:szCs w:val="20"/>
          <w:shd w:val="clear" w:color="auto" w:fill="FFFFFF"/>
        </w:rPr>
        <w:t xml:space="preserve"> (por sus siglas en inglés,</w:t>
      </w:r>
      <w:r w:rsidR="00AE751B" w:rsidRPr="00AE751B">
        <w:t xml:space="preserve"> </w:t>
      </w:r>
      <w:r w:rsidR="00AE751B" w:rsidRPr="001D6A26">
        <w:rPr>
          <w:rFonts w:ascii="ITC Avant Garde" w:hAnsi="ITC Avant Garde"/>
          <w:i/>
          <w:color w:val="000000"/>
          <w:sz w:val="20"/>
          <w:szCs w:val="20"/>
          <w:shd w:val="clear" w:color="auto" w:fill="FFFFFF"/>
        </w:rPr>
        <w:t xml:space="preserve">Federal </w:t>
      </w:r>
      <w:proofErr w:type="spellStart"/>
      <w:r w:rsidR="00AE751B" w:rsidRPr="001D6A26">
        <w:rPr>
          <w:rFonts w:ascii="ITC Avant Garde" w:hAnsi="ITC Avant Garde"/>
          <w:i/>
          <w:color w:val="000000"/>
          <w:sz w:val="20"/>
          <w:szCs w:val="20"/>
          <w:shd w:val="clear" w:color="auto" w:fill="FFFFFF"/>
        </w:rPr>
        <w:t>Communications</w:t>
      </w:r>
      <w:proofErr w:type="spellEnd"/>
      <w:r w:rsidR="00AE751B" w:rsidRPr="001D6A26">
        <w:rPr>
          <w:rFonts w:ascii="ITC Avant Garde" w:hAnsi="ITC Avant Garde"/>
          <w:i/>
          <w:color w:val="000000"/>
          <w:sz w:val="20"/>
          <w:szCs w:val="20"/>
          <w:shd w:val="clear" w:color="auto" w:fill="FFFFFF"/>
        </w:rPr>
        <w:t xml:space="preserve"> </w:t>
      </w:r>
      <w:proofErr w:type="spellStart"/>
      <w:r w:rsidR="00AE751B" w:rsidRPr="001D6A26">
        <w:rPr>
          <w:rFonts w:ascii="ITC Avant Garde" w:hAnsi="ITC Avant Garde"/>
          <w:i/>
          <w:color w:val="000000"/>
          <w:sz w:val="20"/>
          <w:szCs w:val="20"/>
          <w:shd w:val="clear" w:color="auto" w:fill="FFFFFF"/>
        </w:rPr>
        <w:t>Commission</w:t>
      </w:r>
      <w:proofErr w:type="spellEnd"/>
      <w:r w:rsidR="00AE751B">
        <w:rPr>
          <w:rFonts w:ascii="ITC Avant Garde" w:hAnsi="ITC Avant Garde"/>
          <w:color w:val="000000"/>
          <w:sz w:val="20"/>
          <w:szCs w:val="20"/>
          <w:shd w:val="clear" w:color="auto" w:fill="FFFFFF"/>
        </w:rPr>
        <w:t>)</w:t>
      </w:r>
      <w:r w:rsidRPr="00647C22">
        <w:rPr>
          <w:rFonts w:ascii="ITC Avant Garde" w:hAnsi="ITC Avant Garde"/>
          <w:color w:val="000000"/>
          <w:sz w:val="20"/>
          <w:szCs w:val="20"/>
          <w:shd w:val="clear" w:color="auto" w:fill="FFFFFF"/>
        </w:rPr>
        <w:t xml:space="preserve"> en EE. UU. (</w:t>
      </w:r>
      <w:proofErr w:type="spellStart"/>
      <w:r w:rsidRPr="00647C22">
        <w:rPr>
          <w:rFonts w:ascii="ITC Avant Garde" w:hAnsi="ITC Avant Garde"/>
          <w:color w:val="000000"/>
          <w:sz w:val="20"/>
          <w:szCs w:val="20"/>
          <w:shd w:val="clear" w:color="auto" w:fill="FFFFFF"/>
        </w:rPr>
        <w:t>Waiver</w:t>
      </w:r>
      <w:proofErr w:type="spellEnd"/>
      <w:r w:rsidRPr="00647C22">
        <w:rPr>
          <w:rFonts w:ascii="ITC Avant Garde" w:hAnsi="ITC Avant Garde"/>
          <w:color w:val="000000"/>
          <w:sz w:val="20"/>
          <w:szCs w:val="20"/>
          <w:shd w:val="clear" w:color="auto" w:fill="FFFFFF"/>
        </w:rPr>
        <w:t xml:space="preserve"> DA 18-1308), la </w:t>
      </w:r>
      <w:r w:rsidRPr="00A12BFA">
        <w:rPr>
          <w:rFonts w:ascii="ITC Avant Garde" w:hAnsi="ITC Avant Garde"/>
          <w:i/>
          <w:color w:val="000000"/>
          <w:sz w:val="20"/>
          <w:szCs w:val="20"/>
          <w:shd w:val="clear" w:color="auto" w:fill="FFFFFF"/>
        </w:rPr>
        <w:t>ISED</w:t>
      </w:r>
      <w:r w:rsidRPr="00647C22">
        <w:rPr>
          <w:rFonts w:ascii="ITC Avant Garde" w:hAnsi="ITC Avant Garde"/>
          <w:color w:val="000000"/>
          <w:sz w:val="20"/>
          <w:szCs w:val="20"/>
          <w:shd w:val="clear" w:color="auto" w:fill="FFFFFF"/>
        </w:rPr>
        <w:t xml:space="preserve"> </w:t>
      </w:r>
      <w:r w:rsidR="00AE751B">
        <w:rPr>
          <w:rFonts w:ascii="ITC Avant Garde" w:hAnsi="ITC Avant Garde"/>
          <w:color w:val="000000"/>
          <w:sz w:val="20"/>
          <w:szCs w:val="20"/>
          <w:shd w:val="clear" w:color="auto" w:fill="FFFFFF"/>
        </w:rPr>
        <w:t>(por sus siglas en inglés,</w:t>
      </w:r>
      <w:r w:rsidR="00AE751B" w:rsidRPr="00AE751B">
        <w:t xml:space="preserve"> </w:t>
      </w:r>
      <w:proofErr w:type="spellStart"/>
      <w:r w:rsidR="00AE751B" w:rsidRPr="001D6A26">
        <w:rPr>
          <w:rFonts w:ascii="ITC Avant Garde" w:hAnsi="ITC Avant Garde"/>
          <w:i/>
          <w:color w:val="000000"/>
          <w:sz w:val="20"/>
          <w:szCs w:val="20"/>
          <w:shd w:val="clear" w:color="auto" w:fill="FFFFFF"/>
        </w:rPr>
        <w:t>Innovation</w:t>
      </w:r>
      <w:proofErr w:type="spellEnd"/>
      <w:r w:rsidR="00AE751B" w:rsidRPr="001D6A26">
        <w:rPr>
          <w:rFonts w:ascii="ITC Avant Garde" w:hAnsi="ITC Avant Garde"/>
          <w:i/>
          <w:color w:val="000000"/>
          <w:sz w:val="20"/>
          <w:szCs w:val="20"/>
          <w:shd w:val="clear" w:color="auto" w:fill="FFFFFF"/>
        </w:rPr>
        <w:t xml:space="preserve">, </w:t>
      </w:r>
      <w:proofErr w:type="spellStart"/>
      <w:r w:rsidR="00AE751B" w:rsidRPr="001D6A26">
        <w:rPr>
          <w:rFonts w:ascii="ITC Avant Garde" w:hAnsi="ITC Avant Garde"/>
          <w:i/>
          <w:color w:val="000000"/>
          <w:sz w:val="20"/>
          <w:szCs w:val="20"/>
          <w:shd w:val="clear" w:color="auto" w:fill="FFFFFF"/>
        </w:rPr>
        <w:t>Science</w:t>
      </w:r>
      <w:proofErr w:type="spellEnd"/>
      <w:r w:rsidR="00AE751B" w:rsidRPr="001D6A26">
        <w:rPr>
          <w:rFonts w:ascii="ITC Avant Garde" w:hAnsi="ITC Avant Garde"/>
          <w:i/>
          <w:color w:val="000000"/>
          <w:sz w:val="20"/>
          <w:szCs w:val="20"/>
          <w:shd w:val="clear" w:color="auto" w:fill="FFFFFF"/>
        </w:rPr>
        <w:t xml:space="preserve"> and </w:t>
      </w:r>
      <w:proofErr w:type="spellStart"/>
      <w:r w:rsidR="00AE751B" w:rsidRPr="001D6A26">
        <w:rPr>
          <w:rFonts w:ascii="ITC Avant Garde" w:hAnsi="ITC Avant Garde"/>
          <w:i/>
          <w:color w:val="000000"/>
          <w:sz w:val="20"/>
          <w:szCs w:val="20"/>
          <w:shd w:val="clear" w:color="auto" w:fill="FFFFFF"/>
        </w:rPr>
        <w:t>Economic</w:t>
      </w:r>
      <w:proofErr w:type="spellEnd"/>
      <w:r w:rsidR="00AE751B" w:rsidRPr="001D6A26">
        <w:rPr>
          <w:rFonts w:ascii="ITC Avant Garde" w:hAnsi="ITC Avant Garde"/>
          <w:i/>
          <w:color w:val="000000"/>
          <w:sz w:val="20"/>
          <w:szCs w:val="20"/>
          <w:shd w:val="clear" w:color="auto" w:fill="FFFFFF"/>
        </w:rPr>
        <w:t xml:space="preserve"> </w:t>
      </w:r>
      <w:proofErr w:type="spellStart"/>
      <w:r w:rsidR="00AE751B" w:rsidRPr="001D6A26">
        <w:rPr>
          <w:rFonts w:ascii="ITC Avant Garde" w:hAnsi="ITC Avant Garde"/>
          <w:i/>
          <w:color w:val="000000"/>
          <w:sz w:val="20"/>
          <w:szCs w:val="20"/>
          <w:shd w:val="clear" w:color="auto" w:fill="FFFFFF"/>
        </w:rPr>
        <w:t>Development</w:t>
      </w:r>
      <w:proofErr w:type="spellEnd"/>
      <w:r w:rsidR="00AE751B" w:rsidRPr="001D6A26">
        <w:rPr>
          <w:rFonts w:ascii="ITC Avant Garde" w:hAnsi="ITC Avant Garde"/>
          <w:i/>
          <w:color w:val="000000"/>
          <w:sz w:val="20"/>
          <w:szCs w:val="20"/>
          <w:shd w:val="clear" w:color="auto" w:fill="FFFFFF"/>
        </w:rPr>
        <w:t xml:space="preserve"> </w:t>
      </w:r>
      <w:proofErr w:type="spellStart"/>
      <w:r w:rsidR="00AE751B" w:rsidRPr="001D6A26">
        <w:rPr>
          <w:rFonts w:ascii="ITC Avant Garde" w:hAnsi="ITC Avant Garde"/>
          <w:i/>
          <w:color w:val="000000"/>
          <w:sz w:val="20"/>
          <w:szCs w:val="20"/>
          <w:shd w:val="clear" w:color="auto" w:fill="FFFFFF"/>
        </w:rPr>
        <w:t>Canada</w:t>
      </w:r>
      <w:proofErr w:type="spellEnd"/>
      <w:r w:rsidR="00AE751B">
        <w:rPr>
          <w:rFonts w:ascii="ITC Avant Garde" w:hAnsi="ITC Avant Garde"/>
          <w:color w:val="000000"/>
          <w:sz w:val="20"/>
          <w:szCs w:val="20"/>
          <w:shd w:val="clear" w:color="auto" w:fill="FFFFFF"/>
        </w:rPr>
        <w:t xml:space="preserve">) </w:t>
      </w:r>
      <w:r w:rsidRPr="00647C22">
        <w:rPr>
          <w:rFonts w:ascii="ITC Avant Garde" w:hAnsi="ITC Avant Garde"/>
          <w:color w:val="000000"/>
          <w:sz w:val="20"/>
          <w:szCs w:val="20"/>
          <w:shd w:val="clear" w:color="auto" w:fill="FFFFFF"/>
        </w:rPr>
        <w:t xml:space="preserve">en Canadá (RSS-210), el Gobierno de Australia (Regulación 9- </w:t>
      </w:r>
      <w:proofErr w:type="spellStart"/>
      <w:r w:rsidRPr="00647C22">
        <w:rPr>
          <w:rFonts w:ascii="ITC Avant Garde" w:hAnsi="ITC Avant Garde"/>
          <w:color w:val="000000"/>
          <w:sz w:val="20"/>
          <w:szCs w:val="20"/>
          <w:shd w:val="clear" w:color="auto" w:fill="FFFFFF"/>
        </w:rPr>
        <w:t>SRDs</w:t>
      </w:r>
      <w:proofErr w:type="spellEnd"/>
      <w:r w:rsidRPr="00647C22">
        <w:rPr>
          <w:rFonts w:ascii="ITC Avant Garde" w:hAnsi="ITC Avant Garde"/>
          <w:color w:val="000000"/>
          <w:sz w:val="20"/>
          <w:szCs w:val="20"/>
          <w:shd w:val="clear" w:color="auto" w:fill="FFFFFF"/>
        </w:rPr>
        <w:t xml:space="preserve">) y el </w:t>
      </w:r>
      <w:r w:rsidRPr="00A12BFA">
        <w:rPr>
          <w:rFonts w:ascii="ITC Avant Garde" w:hAnsi="ITC Avant Garde"/>
          <w:i/>
          <w:color w:val="000000"/>
          <w:sz w:val="20"/>
          <w:szCs w:val="20"/>
          <w:shd w:val="clear" w:color="auto" w:fill="FFFFFF"/>
        </w:rPr>
        <w:t>MIC</w:t>
      </w:r>
      <w:r w:rsidR="00C96960">
        <w:rPr>
          <w:rFonts w:ascii="ITC Avant Garde" w:hAnsi="ITC Avant Garde"/>
          <w:color w:val="000000"/>
          <w:sz w:val="20"/>
          <w:szCs w:val="20"/>
          <w:shd w:val="clear" w:color="auto" w:fill="FFFFFF"/>
        </w:rPr>
        <w:t xml:space="preserve"> (por sus siglas en inglés,</w:t>
      </w:r>
      <w:r w:rsidR="00C96960" w:rsidRPr="00C96960">
        <w:t xml:space="preserve"> </w:t>
      </w:r>
      <w:proofErr w:type="spellStart"/>
      <w:r w:rsidR="00C96960" w:rsidRPr="001D6A26">
        <w:rPr>
          <w:rFonts w:ascii="ITC Avant Garde" w:hAnsi="ITC Avant Garde"/>
          <w:i/>
          <w:color w:val="000000"/>
          <w:sz w:val="20"/>
          <w:szCs w:val="20"/>
          <w:shd w:val="clear" w:color="auto" w:fill="FFFFFF"/>
        </w:rPr>
        <w:t>Ministry</w:t>
      </w:r>
      <w:proofErr w:type="spellEnd"/>
      <w:r w:rsidR="00C96960" w:rsidRPr="001D6A26">
        <w:rPr>
          <w:rFonts w:ascii="ITC Avant Garde" w:hAnsi="ITC Avant Garde"/>
          <w:i/>
          <w:color w:val="000000"/>
          <w:sz w:val="20"/>
          <w:szCs w:val="20"/>
          <w:shd w:val="clear" w:color="auto" w:fill="FFFFFF"/>
        </w:rPr>
        <w:t xml:space="preserve"> </w:t>
      </w:r>
      <w:proofErr w:type="spellStart"/>
      <w:r w:rsidR="00C96960" w:rsidRPr="001D6A26">
        <w:rPr>
          <w:rFonts w:ascii="ITC Avant Garde" w:hAnsi="ITC Avant Garde"/>
          <w:i/>
          <w:color w:val="000000"/>
          <w:sz w:val="20"/>
          <w:szCs w:val="20"/>
          <w:shd w:val="clear" w:color="auto" w:fill="FFFFFF"/>
        </w:rPr>
        <w:t>of</w:t>
      </w:r>
      <w:proofErr w:type="spellEnd"/>
      <w:r w:rsidR="00C96960" w:rsidRPr="001D6A26">
        <w:rPr>
          <w:rFonts w:ascii="ITC Avant Garde" w:hAnsi="ITC Avant Garde"/>
          <w:i/>
          <w:color w:val="000000"/>
          <w:sz w:val="20"/>
          <w:szCs w:val="20"/>
          <w:shd w:val="clear" w:color="auto" w:fill="FFFFFF"/>
        </w:rPr>
        <w:t xml:space="preserve"> </w:t>
      </w:r>
      <w:proofErr w:type="spellStart"/>
      <w:r w:rsidR="00C96960" w:rsidRPr="001D6A26">
        <w:rPr>
          <w:rFonts w:ascii="ITC Avant Garde" w:hAnsi="ITC Avant Garde"/>
          <w:i/>
          <w:color w:val="000000"/>
          <w:sz w:val="20"/>
          <w:szCs w:val="20"/>
          <w:shd w:val="clear" w:color="auto" w:fill="FFFFFF"/>
        </w:rPr>
        <w:t>Internal</w:t>
      </w:r>
      <w:proofErr w:type="spellEnd"/>
      <w:r w:rsidR="00C96960" w:rsidRPr="001D6A26">
        <w:rPr>
          <w:rFonts w:ascii="ITC Avant Garde" w:hAnsi="ITC Avant Garde"/>
          <w:i/>
          <w:color w:val="000000"/>
          <w:sz w:val="20"/>
          <w:szCs w:val="20"/>
          <w:shd w:val="clear" w:color="auto" w:fill="FFFFFF"/>
        </w:rPr>
        <w:t xml:space="preserve"> </w:t>
      </w:r>
      <w:proofErr w:type="spellStart"/>
      <w:r w:rsidR="00C96960" w:rsidRPr="001D6A26">
        <w:rPr>
          <w:rFonts w:ascii="ITC Avant Garde" w:hAnsi="ITC Avant Garde"/>
          <w:i/>
          <w:color w:val="000000"/>
          <w:sz w:val="20"/>
          <w:szCs w:val="20"/>
          <w:shd w:val="clear" w:color="auto" w:fill="FFFFFF"/>
        </w:rPr>
        <w:t>Affairs</w:t>
      </w:r>
      <w:proofErr w:type="spellEnd"/>
      <w:r w:rsidR="00C96960" w:rsidRPr="001D6A26">
        <w:rPr>
          <w:rFonts w:ascii="ITC Avant Garde" w:hAnsi="ITC Avant Garde"/>
          <w:i/>
          <w:color w:val="000000"/>
          <w:sz w:val="20"/>
          <w:szCs w:val="20"/>
          <w:shd w:val="clear" w:color="auto" w:fill="FFFFFF"/>
        </w:rPr>
        <w:t xml:space="preserve"> and </w:t>
      </w:r>
      <w:proofErr w:type="spellStart"/>
      <w:r w:rsidR="00C96960" w:rsidRPr="001D6A26">
        <w:rPr>
          <w:rFonts w:ascii="ITC Avant Garde" w:hAnsi="ITC Avant Garde"/>
          <w:i/>
          <w:color w:val="000000"/>
          <w:sz w:val="20"/>
          <w:szCs w:val="20"/>
          <w:shd w:val="clear" w:color="auto" w:fill="FFFFFF"/>
        </w:rPr>
        <w:t>Communications</w:t>
      </w:r>
      <w:proofErr w:type="spellEnd"/>
      <w:r w:rsidR="00C96960">
        <w:rPr>
          <w:rFonts w:ascii="ITC Avant Garde" w:hAnsi="ITC Avant Garde"/>
          <w:color w:val="000000"/>
          <w:sz w:val="20"/>
          <w:szCs w:val="20"/>
          <w:shd w:val="clear" w:color="auto" w:fill="FFFFFF"/>
        </w:rPr>
        <w:t>)</w:t>
      </w:r>
      <w:r w:rsidRPr="00647C22">
        <w:rPr>
          <w:rFonts w:ascii="ITC Avant Garde" w:hAnsi="ITC Avant Garde"/>
          <w:color w:val="000000"/>
          <w:sz w:val="20"/>
          <w:szCs w:val="20"/>
          <w:shd w:val="clear" w:color="auto" w:fill="FFFFFF"/>
        </w:rPr>
        <w:t xml:space="preserve"> en Japón.</w:t>
      </w:r>
    </w:p>
    <w:p w14:paraId="3BF72E18" w14:textId="77777777" w:rsidR="00647C22" w:rsidRPr="00647C22" w:rsidRDefault="00647C22" w:rsidP="004C4941">
      <w:pPr>
        <w:spacing w:after="0" w:line="240" w:lineRule="auto"/>
        <w:jc w:val="both"/>
        <w:rPr>
          <w:rFonts w:ascii="ITC Avant Garde" w:hAnsi="ITC Avant Garde"/>
          <w:color w:val="000000"/>
          <w:sz w:val="20"/>
          <w:szCs w:val="20"/>
          <w:shd w:val="clear" w:color="auto" w:fill="FFFFFF"/>
        </w:rPr>
      </w:pPr>
    </w:p>
    <w:p w14:paraId="7C5C56E8" w14:textId="0AE82911" w:rsidR="00647C22" w:rsidRDefault="00647C22" w:rsidP="004C4941">
      <w:pPr>
        <w:spacing w:after="0" w:line="240" w:lineRule="auto"/>
        <w:jc w:val="both"/>
        <w:rPr>
          <w:rFonts w:ascii="ITC Avant Garde" w:hAnsi="ITC Avant Garde"/>
          <w:color w:val="000000"/>
          <w:sz w:val="20"/>
          <w:szCs w:val="20"/>
          <w:shd w:val="clear" w:color="auto" w:fill="FFFFFF"/>
        </w:rPr>
      </w:pPr>
      <w:r w:rsidRPr="00647C22">
        <w:rPr>
          <w:rFonts w:ascii="ITC Avant Garde" w:hAnsi="ITC Avant Garde"/>
          <w:color w:val="000000"/>
          <w:sz w:val="20"/>
          <w:szCs w:val="20"/>
          <w:shd w:val="clear" w:color="auto" w:fill="FFFFFF"/>
        </w:rPr>
        <w:t xml:space="preserve">Con base en lo anterior, se llevó a cabo un análisis integral </w:t>
      </w:r>
      <w:r w:rsidR="005B7A9F">
        <w:rPr>
          <w:rFonts w:ascii="ITC Avant Garde" w:hAnsi="ITC Avant Garde"/>
          <w:color w:val="000000"/>
          <w:sz w:val="20"/>
          <w:szCs w:val="20"/>
          <w:shd w:val="clear" w:color="auto" w:fill="FFFFFF"/>
        </w:rPr>
        <w:t>respecto</w:t>
      </w:r>
      <w:r w:rsidR="005B7A9F" w:rsidRPr="00647C22">
        <w:rPr>
          <w:rFonts w:ascii="ITC Avant Garde" w:hAnsi="ITC Avant Garde"/>
          <w:color w:val="000000"/>
          <w:sz w:val="20"/>
          <w:szCs w:val="20"/>
          <w:shd w:val="clear" w:color="auto" w:fill="FFFFFF"/>
        </w:rPr>
        <w:t xml:space="preserve"> </w:t>
      </w:r>
      <w:r w:rsidRPr="00647C22">
        <w:rPr>
          <w:rFonts w:ascii="ITC Avant Garde" w:hAnsi="ITC Avant Garde"/>
          <w:color w:val="000000"/>
          <w:sz w:val="20"/>
          <w:szCs w:val="20"/>
          <w:shd w:val="clear" w:color="auto" w:fill="FFFFFF"/>
        </w:rPr>
        <w:t xml:space="preserve">de la banda 57-64 GHz, a fin de evaluar la factibilidad de una posible actualización de las condiciones </w:t>
      </w:r>
      <w:r w:rsidR="007751EB">
        <w:rPr>
          <w:rFonts w:ascii="ITC Avant Garde" w:hAnsi="ITC Avant Garde"/>
          <w:color w:val="000000"/>
          <w:sz w:val="20"/>
          <w:szCs w:val="20"/>
          <w:shd w:val="clear" w:color="auto" w:fill="FFFFFF"/>
        </w:rPr>
        <w:t xml:space="preserve">técnicas </w:t>
      </w:r>
      <w:r w:rsidRPr="00647C22">
        <w:rPr>
          <w:rFonts w:ascii="ITC Avant Garde" w:hAnsi="ITC Avant Garde"/>
          <w:color w:val="000000"/>
          <w:sz w:val="20"/>
          <w:szCs w:val="20"/>
          <w:shd w:val="clear" w:color="auto" w:fill="FFFFFF"/>
        </w:rPr>
        <w:t>de operación a l</w:t>
      </w:r>
      <w:r w:rsidR="007751EB">
        <w:rPr>
          <w:rFonts w:ascii="ITC Avant Garde" w:hAnsi="ITC Avant Garde"/>
          <w:color w:val="000000"/>
          <w:sz w:val="20"/>
          <w:szCs w:val="20"/>
          <w:shd w:val="clear" w:color="auto" w:fill="FFFFFF"/>
        </w:rPr>
        <w:t>a</w:t>
      </w:r>
      <w:r w:rsidRPr="00647C22">
        <w:rPr>
          <w:rFonts w:ascii="ITC Avant Garde" w:hAnsi="ITC Avant Garde"/>
          <w:color w:val="000000"/>
          <w:sz w:val="20"/>
          <w:szCs w:val="20"/>
          <w:shd w:val="clear" w:color="auto" w:fill="FFFFFF"/>
        </w:rPr>
        <w:t>s que deberían sujetarse los sensores de movimiento</w:t>
      </w:r>
      <w:r w:rsidR="007751EB">
        <w:rPr>
          <w:rFonts w:ascii="ITC Avant Garde" w:hAnsi="ITC Avant Garde"/>
          <w:color w:val="000000"/>
          <w:sz w:val="20"/>
          <w:szCs w:val="20"/>
          <w:shd w:val="clear" w:color="auto" w:fill="FFFFFF"/>
        </w:rPr>
        <w:t>, así como</w:t>
      </w:r>
      <w:r w:rsidRPr="00647C22">
        <w:rPr>
          <w:rFonts w:ascii="ITC Avant Garde" w:hAnsi="ITC Avant Garde"/>
          <w:color w:val="000000"/>
          <w:sz w:val="20"/>
          <w:szCs w:val="20"/>
          <w:shd w:val="clear" w:color="auto" w:fill="FFFFFF"/>
        </w:rPr>
        <w:t xml:space="preserve"> dispositivos, equipos y/o sistemas de comunicación para su operación en dicha banda de frecuencia.</w:t>
      </w:r>
    </w:p>
    <w:p w14:paraId="14E0CF54" w14:textId="194BC788" w:rsidR="00762EBA" w:rsidRDefault="00762EBA" w:rsidP="004C4941">
      <w:pPr>
        <w:spacing w:after="0" w:line="240" w:lineRule="auto"/>
        <w:jc w:val="both"/>
        <w:rPr>
          <w:rFonts w:ascii="ITC Avant Garde" w:hAnsi="ITC Avant Garde"/>
          <w:color w:val="000000"/>
          <w:sz w:val="20"/>
          <w:szCs w:val="20"/>
          <w:shd w:val="clear" w:color="auto" w:fill="FFFFFF"/>
        </w:rPr>
      </w:pPr>
    </w:p>
    <w:p w14:paraId="0B327025" w14:textId="4F31244F" w:rsidR="00762EBA" w:rsidRDefault="00762EBA" w:rsidP="00762EBA">
      <w:pPr>
        <w:spacing w:after="0" w:line="240" w:lineRule="auto"/>
        <w:jc w:val="both"/>
        <w:rPr>
          <w:rFonts w:ascii="ITC Avant Garde" w:hAnsi="ITC Avant Garde"/>
          <w:color w:val="000000"/>
          <w:sz w:val="20"/>
          <w:szCs w:val="20"/>
          <w:shd w:val="clear" w:color="auto" w:fill="FFFFFF"/>
        </w:rPr>
      </w:pPr>
      <w:r w:rsidRPr="00762EBA">
        <w:rPr>
          <w:rFonts w:ascii="ITC Avant Garde" w:hAnsi="ITC Avant Garde"/>
          <w:color w:val="000000"/>
          <w:sz w:val="20"/>
          <w:szCs w:val="20"/>
          <w:shd w:val="clear" w:color="auto" w:fill="FFFFFF"/>
        </w:rPr>
        <w:t xml:space="preserve">Como resultado de los trabajos realizados, el pasado </w:t>
      </w:r>
      <w:r w:rsidR="00FE4E54">
        <w:rPr>
          <w:rFonts w:ascii="ITC Avant Garde" w:hAnsi="ITC Avant Garde"/>
          <w:color w:val="000000"/>
          <w:sz w:val="20"/>
          <w:szCs w:val="20"/>
          <w:shd w:val="clear" w:color="auto" w:fill="FFFFFF"/>
        </w:rPr>
        <w:t>10</w:t>
      </w:r>
      <w:r w:rsidRPr="00762EBA">
        <w:rPr>
          <w:rFonts w:ascii="ITC Avant Garde" w:hAnsi="ITC Avant Garde"/>
          <w:color w:val="000000"/>
          <w:sz w:val="20"/>
          <w:szCs w:val="20"/>
          <w:shd w:val="clear" w:color="auto" w:fill="FFFFFF"/>
        </w:rPr>
        <w:t xml:space="preserve"> de </w:t>
      </w:r>
      <w:r w:rsidR="00FE4E54">
        <w:rPr>
          <w:rFonts w:ascii="ITC Avant Garde" w:hAnsi="ITC Avant Garde"/>
          <w:color w:val="000000"/>
          <w:sz w:val="20"/>
          <w:szCs w:val="20"/>
          <w:shd w:val="clear" w:color="auto" w:fill="FFFFFF"/>
        </w:rPr>
        <w:t>marzo</w:t>
      </w:r>
      <w:r w:rsidRPr="00762EBA">
        <w:rPr>
          <w:rFonts w:ascii="ITC Avant Garde" w:hAnsi="ITC Avant Garde"/>
          <w:color w:val="000000"/>
          <w:sz w:val="20"/>
          <w:szCs w:val="20"/>
          <w:shd w:val="clear" w:color="auto" w:fill="FFFFFF"/>
        </w:rPr>
        <w:t xml:space="preserve"> de 202</w:t>
      </w:r>
      <w:r>
        <w:rPr>
          <w:rFonts w:ascii="ITC Avant Garde" w:hAnsi="ITC Avant Garde"/>
          <w:color w:val="000000"/>
          <w:sz w:val="20"/>
          <w:szCs w:val="20"/>
          <w:shd w:val="clear" w:color="auto" w:fill="FFFFFF"/>
        </w:rPr>
        <w:t>1,</w:t>
      </w:r>
      <w:r w:rsidRPr="00762EBA">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e</w:t>
      </w:r>
      <w:r w:rsidRPr="00762EBA">
        <w:rPr>
          <w:rFonts w:ascii="ITC Avant Garde" w:hAnsi="ITC Avant Garde"/>
          <w:color w:val="000000"/>
          <w:sz w:val="20"/>
          <w:szCs w:val="20"/>
          <w:shd w:val="clear" w:color="auto" w:fill="FFFFFF"/>
        </w:rPr>
        <w:t>l Pleno del</w:t>
      </w:r>
      <w:r>
        <w:rPr>
          <w:rFonts w:ascii="ITC Avant Garde" w:hAnsi="ITC Avant Garde"/>
          <w:color w:val="000000"/>
          <w:sz w:val="20"/>
          <w:szCs w:val="20"/>
          <w:shd w:val="clear" w:color="auto" w:fill="FFFFFF"/>
        </w:rPr>
        <w:t xml:space="preserve"> </w:t>
      </w:r>
      <w:r w:rsidRPr="00762EBA">
        <w:rPr>
          <w:rFonts w:ascii="ITC Avant Garde" w:hAnsi="ITC Avant Garde"/>
          <w:color w:val="000000"/>
          <w:sz w:val="20"/>
          <w:szCs w:val="20"/>
          <w:shd w:val="clear" w:color="auto" w:fill="FFFFFF"/>
        </w:rPr>
        <w:t>Instituto aprobó someter a Consulta Pública el</w:t>
      </w:r>
      <w:r>
        <w:rPr>
          <w:rFonts w:ascii="ITC Avant Garde" w:hAnsi="ITC Avant Garde"/>
          <w:color w:val="000000"/>
          <w:sz w:val="20"/>
          <w:szCs w:val="20"/>
          <w:shd w:val="clear" w:color="auto" w:fill="FFFFFF"/>
        </w:rPr>
        <w:t xml:space="preserve"> “</w:t>
      </w:r>
      <w:r w:rsidRPr="00FE4E54">
        <w:rPr>
          <w:rFonts w:ascii="ITC Avant Garde" w:hAnsi="ITC Avant Garde"/>
          <w:i/>
          <w:color w:val="000000"/>
          <w:sz w:val="20"/>
          <w:szCs w:val="20"/>
          <w:shd w:val="clear" w:color="auto" w:fill="FFFFFF"/>
        </w:rPr>
        <w:t xml:space="preserve">Anteproyecto </w:t>
      </w:r>
      <w:r w:rsidR="00A12BFA">
        <w:rPr>
          <w:rFonts w:ascii="ITC Avant Garde" w:hAnsi="ITC Avant Garde"/>
          <w:i/>
          <w:color w:val="000000"/>
          <w:sz w:val="20"/>
          <w:szCs w:val="20"/>
          <w:shd w:val="clear" w:color="auto" w:fill="FFFFFF"/>
        </w:rPr>
        <w:t xml:space="preserve">de </w:t>
      </w:r>
      <w:r w:rsidRPr="00FE4E54">
        <w:rPr>
          <w:rFonts w:ascii="ITC Avant Garde" w:hAnsi="ITC Avant Garde"/>
          <w:i/>
          <w:color w:val="000000"/>
          <w:sz w:val="20"/>
          <w:szCs w:val="20"/>
          <w:shd w:val="clear" w:color="auto" w:fill="FFFFFF"/>
        </w:rPr>
        <w:t>Acuerdo mediante el cual el Pleno del Instituto Federal de Telecomunicaciones actualiza las condiciones técnicas de operación de la banda de frecuencias 57-64 GHz, clasificada como espectro libre</w:t>
      </w:r>
      <w:r>
        <w:rPr>
          <w:rFonts w:ascii="ITC Avant Garde" w:hAnsi="ITC Avant Garde"/>
          <w:color w:val="000000"/>
          <w:sz w:val="20"/>
          <w:szCs w:val="20"/>
          <w:shd w:val="clear" w:color="auto" w:fill="FFFFFF"/>
        </w:rPr>
        <w:t>” (“</w:t>
      </w:r>
      <w:r w:rsidRPr="00647C22">
        <w:rPr>
          <w:rFonts w:ascii="ITC Avant Garde" w:hAnsi="ITC Avant Garde"/>
          <w:color w:val="000000"/>
          <w:sz w:val="20"/>
          <w:szCs w:val="20"/>
          <w:shd w:val="clear" w:color="auto" w:fill="FFFFFF"/>
        </w:rPr>
        <w:t>Anteproyecto de Acuerdo</w:t>
      </w:r>
      <w:r>
        <w:rPr>
          <w:rFonts w:ascii="ITC Avant Garde" w:hAnsi="ITC Avant Garde"/>
          <w:color w:val="000000"/>
          <w:sz w:val="20"/>
          <w:szCs w:val="20"/>
          <w:shd w:val="clear" w:color="auto" w:fill="FFFFFF"/>
        </w:rPr>
        <w:t>”).</w:t>
      </w:r>
    </w:p>
    <w:p w14:paraId="353F5E9E" w14:textId="3A60B5E9" w:rsidR="00647C22" w:rsidRDefault="00647C22" w:rsidP="004C4941">
      <w:pPr>
        <w:spacing w:after="0" w:line="240" w:lineRule="auto"/>
        <w:jc w:val="both"/>
        <w:rPr>
          <w:rFonts w:ascii="ITC Avant Garde" w:hAnsi="ITC Avant Garde"/>
          <w:color w:val="000000"/>
          <w:sz w:val="20"/>
          <w:szCs w:val="20"/>
          <w:shd w:val="clear" w:color="auto" w:fill="FFFFFF"/>
        </w:rPr>
      </w:pPr>
    </w:p>
    <w:p w14:paraId="679ABC62" w14:textId="35281431" w:rsidR="004558C5" w:rsidRPr="009F0089" w:rsidRDefault="004558C5" w:rsidP="004C4941">
      <w:pPr>
        <w:pStyle w:val="Prrafodelista"/>
        <w:numPr>
          <w:ilvl w:val="0"/>
          <w:numId w:val="1"/>
        </w:numPr>
        <w:spacing w:after="0"/>
        <w:ind w:left="567"/>
        <w:jc w:val="both"/>
        <w:rPr>
          <w:rFonts w:ascii="ITC Avant Garde" w:hAnsi="ITC Avant Garde"/>
          <w:b/>
          <w:sz w:val="20"/>
          <w:szCs w:val="20"/>
        </w:rPr>
      </w:pPr>
      <w:r w:rsidRPr="009F0089">
        <w:rPr>
          <w:rFonts w:ascii="ITC Avant Garde" w:hAnsi="ITC Avant Garde"/>
          <w:b/>
          <w:sz w:val="20"/>
          <w:szCs w:val="20"/>
        </w:rPr>
        <w:t>Descr</w:t>
      </w:r>
      <w:r w:rsidR="009F0089" w:rsidRPr="009F0089">
        <w:rPr>
          <w:rFonts w:ascii="ITC Avant Garde" w:hAnsi="ITC Avant Garde"/>
          <w:b/>
          <w:sz w:val="20"/>
          <w:szCs w:val="20"/>
        </w:rPr>
        <w:t>ipción de la Consulta Pública</w:t>
      </w:r>
      <w:r w:rsidR="004552F6">
        <w:rPr>
          <w:rFonts w:ascii="ITC Avant Garde" w:hAnsi="ITC Avant Garde"/>
          <w:b/>
          <w:sz w:val="20"/>
          <w:szCs w:val="20"/>
        </w:rPr>
        <w:t>:</w:t>
      </w:r>
    </w:p>
    <w:p w14:paraId="66A0E07C" w14:textId="746C8F34" w:rsidR="004558C5" w:rsidRDefault="004D5E42" w:rsidP="004C4941">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w:t>
      </w:r>
      <w:r w:rsidR="005D207B" w:rsidRPr="000A225E">
        <w:rPr>
          <w:rFonts w:ascii="ITC Avant Garde" w:hAnsi="ITC Avant Garde"/>
          <w:color w:val="000000"/>
          <w:sz w:val="20"/>
          <w:szCs w:val="20"/>
          <w:shd w:val="clear" w:color="auto" w:fill="FFFFFF"/>
        </w:rPr>
        <w:t xml:space="preserve">l </w:t>
      </w:r>
      <w:r w:rsidR="00647C22">
        <w:rPr>
          <w:rFonts w:ascii="ITC Avant Garde" w:hAnsi="ITC Avant Garde"/>
          <w:color w:val="000000"/>
          <w:sz w:val="20"/>
          <w:szCs w:val="20"/>
          <w:shd w:val="clear" w:color="auto" w:fill="FFFFFF"/>
        </w:rPr>
        <w:t xml:space="preserve">16 de marzo de 2021 </w:t>
      </w:r>
      <w:r>
        <w:rPr>
          <w:rFonts w:ascii="ITC Avant Garde" w:hAnsi="ITC Avant Garde"/>
          <w:color w:val="000000"/>
          <w:sz w:val="20"/>
          <w:szCs w:val="20"/>
          <w:shd w:val="clear" w:color="auto" w:fill="FFFFFF"/>
        </w:rPr>
        <w:t xml:space="preserve">el Instituto publicó </w:t>
      </w:r>
      <w:r w:rsidR="005D207B" w:rsidRPr="000A225E">
        <w:rPr>
          <w:rFonts w:ascii="ITC Avant Garde" w:hAnsi="ITC Avant Garde"/>
          <w:color w:val="000000"/>
          <w:sz w:val="20"/>
          <w:szCs w:val="20"/>
          <w:shd w:val="clear" w:color="auto" w:fill="FFFFFF"/>
        </w:rPr>
        <w:t xml:space="preserve">a través de su página de Internet </w:t>
      </w:r>
      <w:r>
        <w:rPr>
          <w:rFonts w:ascii="ITC Avant Garde" w:hAnsi="ITC Avant Garde"/>
          <w:color w:val="000000"/>
          <w:sz w:val="20"/>
          <w:szCs w:val="20"/>
          <w:shd w:val="clear" w:color="auto" w:fill="FFFFFF"/>
        </w:rPr>
        <w:t xml:space="preserve">el proceso de </w:t>
      </w:r>
      <w:r w:rsidR="00692C5F" w:rsidRPr="000A225E">
        <w:rPr>
          <w:rFonts w:ascii="ITC Avant Garde" w:hAnsi="ITC Avant Garde"/>
          <w:color w:val="000000"/>
          <w:sz w:val="20"/>
          <w:szCs w:val="20"/>
          <w:shd w:val="clear" w:color="auto" w:fill="FFFFFF"/>
        </w:rPr>
        <w:t>Consulta Pública</w:t>
      </w:r>
      <w:r w:rsidR="00715E42" w:rsidRPr="000A225E">
        <w:rPr>
          <w:rFonts w:ascii="ITC Avant Garde" w:hAnsi="ITC Avant Garde"/>
          <w:color w:val="000000"/>
          <w:sz w:val="20"/>
          <w:szCs w:val="20"/>
          <w:shd w:val="clear" w:color="auto" w:fill="FFFFFF"/>
        </w:rPr>
        <w:t xml:space="preserve"> sobre el </w:t>
      </w:r>
      <w:r w:rsidR="00647C22" w:rsidRPr="00647C22">
        <w:rPr>
          <w:rFonts w:ascii="ITC Avant Garde" w:hAnsi="ITC Avant Garde"/>
          <w:color w:val="000000"/>
          <w:sz w:val="20"/>
          <w:szCs w:val="20"/>
          <w:shd w:val="clear" w:color="auto" w:fill="FFFFFF"/>
        </w:rPr>
        <w:t>Anteproyecto de Acuerdo</w:t>
      </w:r>
      <w:r w:rsidR="003A164F">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el</w:t>
      </w:r>
      <w:r w:rsidR="00F667B4" w:rsidRPr="000A225E">
        <w:rPr>
          <w:rFonts w:ascii="ITC Avant Garde" w:hAnsi="ITC Avant Garde"/>
          <w:color w:val="000000"/>
          <w:sz w:val="20"/>
          <w:szCs w:val="20"/>
          <w:shd w:val="clear" w:color="auto" w:fill="FFFFFF"/>
        </w:rPr>
        <w:t xml:space="preserve"> cual tuvo </w:t>
      </w:r>
      <w:r w:rsidR="005D207B" w:rsidRPr="000A225E">
        <w:rPr>
          <w:rFonts w:ascii="ITC Avant Garde" w:hAnsi="ITC Avant Garde"/>
          <w:color w:val="000000"/>
          <w:sz w:val="20"/>
          <w:szCs w:val="20"/>
          <w:shd w:val="clear" w:color="auto" w:fill="FFFFFF"/>
        </w:rPr>
        <w:t xml:space="preserve">un periodo </w:t>
      </w:r>
      <w:r w:rsidR="009C3579">
        <w:rPr>
          <w:rFonts w:ascii="ITC Avant Garde" w:hAnsi="ITC Avant Garde"/>
          <w:color w:val="000000"/>
          <w:sz w:val="20"/>
          <w:szCs w:val="20"/>
          <w:shd w:val="clear" w:color="auto" w:fill="FFFFFF"/>
        </w:rPr>
        <w:t>abierto a la</w:t>
      </w:r>
      <w:r w:rsidR="00AD13DF" w:rsidRPr="000A225E">
        <w:rPr>
          <w:rFonts w:ascii="ITC Avant Garde" w:hAnsi="ITC Avant Garde"/>
          <w:color w:val="000000"/>
          <w:sz w:val="20"/>
          <w:szCs w:val="20"/>
          <w:shd w:val="clear" w:color="auto" w:fill="FFFFFF"/>
        </w:rPr>
        <w:t xml:space="preserve"> participación del 1</w:t>
      </w:r>
      <w:r w:rsidR="00647C22">
        <w:rPr>
          <w:rFonts w:ascii="ITC Avant Garde" w:hAnsi="ITC Avant Garde"/>
          <w:color w:val="000000"/>
          <w:sz w:val="20"/>
          <w:szCs w:val="20"/>
          <w:shd w:val="clear" w:color="auto" w:fill="FFFFFF"/>
        </w:rPr>
        <w:t>7 de marzo al 20 de abril de 2021</w:t>
      </w:r>
      <w:r w:rsidR="00F667B4" w:rsidRPr="000A225E">
        <w:rPr>
          <w:rFonts w:ascii="ITC Avant Garde" w:hAnsi="ITC Avant Garde"/>
          <w:color w:val="000000"/>
          <w:sz w:val="20"/>
          <w:szCs w:val="20"/>
          <w:shd w:val="clear" w:color="auto" w:fill="FFFFFF"/>
        </w:rPr>
        <w:t xml:space="preserve"> (20 días hábiles)</w:t>
      </w:r>
      <w:r w:rsidR="00080333" w:rsidRPr="000A225E">
        <w:rPr>
          <w:rFonts w:ascii="ITC Avant Garde" w:hAnsi="ITC Avant Garde"/>
          <w:color w:val="000000"/>
          <w:sz w:val="20"/>
          <w:szCs w:val="20"/>
          <w:shd w:val="clear" w:color="auto" w:fill="FFFFFF"/>
        </w:rPr>
        <w:t>,</w:t>
      </w:r>
      <w:r w:rsidR="00F667B4" w:rsidRPr="000A225E">
        <w:rPr>
          <w:rFonts w:ascii="ITC Avant Garde" w:hAnsi="ITC Avant Garde"/>
          <w:color w:val="000000"/>
          <w:sz w:val="20"/>
          <w:szCs w:val="20"/>
          <w:shd w:val="clear" w:color="auto" w:fill="FFFFFF"/>
        </w:rPr>
        <w:t xml:space="preserve"> </w:t>
      </w:r>
      <w:r w:rsidR="00AD13DF" w:rsidRPr="000A225E">
        <w:rPr>
          <w:rFonts w:ascii="ITC Avant Garde" w:hAnsi="ITC Avant Garde"/>
          <w:color w:val="000000"/>
          <w:sz w:val="20"/>
          <w:szCs w:val="20"/>
          <w:shd w:val="clear" w:color="auto" w:fill="FFFFFF"/>
        </w:rPr>
        <w:t xml:space="preserve">para la recepción de </w:t>
      </w:r>
      <w:r w:rsidR="00F667B4" w:rsidRPr="000A225E">
        <w:rPr>
          <w:rFonts w:ascii="ITC Avant Garde" w:hAnsi="ITC Avant Garde"/>
          <w:color w:val="000000"/>
          <w:sz w:val="20"/>
          <w:szCs w:val="20"/>
          <w:shd w:val="clear" w:color="auto" w:fill="FFFFFF"/>
        </w:rPr>
        <w:t xml:space="preserve">comentarios, </w:t>
      </w:r>
      <w:r w:rsidR="00175436">
        <w:rPr>
          <w:rFonts w:ascii="ITC Avant Garde" w:hAnsi="ITC Avant Garde"/>
          <w:color w:val="000000"/>
          <w:sz w:val="20"/>
          <w:szCs w:val="20"/>
          <w:shd w:val="clear" w:color="auto" w:fill="FFFFFF"/>
        </w:rPr>
        <w:t>observaciones, propuestas</w:t>
      </w:r>
      <w:r w:rsidR="00F667B4" w:rsidRPr="000A225E">
        <w:rPr>
          <w:rFonts w:ascii="ITC Avant Garde" w:hAnsi="ITC Avant Garde"/>
          <w:color w:val="000000"/>
          <w:sz w:val="20"/>
          <w:szCs w:val="20"/>
          <w:shd w:val="clear" w:color="auto" w:fill="FFFFFF"/>
        </w:rPr>
        <w:t xml:space="preserve"> y</w:t>
      </w:r>
      <w:r>
        <w:rPr>
          <w:rFonts w:ascii="ITC Avant Garde" w:hAnsi="ITC Avant Garde"/>
          <w:color w:val="000000"/>
          <w:sz w:val="20"/>
          <w:szCs w:val="20"/>
          <w:shd w:val="clear" w:color="auto" w:fill="FFFFFF"/>
        </w:rPr>
        <w:t>/o</w:t>
      </w:r>
      <w:r w:rsidR="00F667B4" w:rsidRPr="000A225E">
        <w:rPr>
          <w:rFonts w:ascii="ITC Avant Garde" w:hAnsi="ITC Avant Garde"/>
          <w:color w:val="000000"/>
          <w:sz w:val="20"/>
          <w:szCs w:val="20"/>
          <w:shd w:val="clear" w:color="auto" w:fill="FFFFFF"/>
        </w:rPr>
        <w:t xml:space="preserve"> aportaciones </w:t>
      </w:r>
      <w:r>
        <w:rPr>
          <w:rFonts w:ascii="ITC Avant Garde" w:hAnsi="ITC Avant Garde"/>
          <w:color w:val="000000"/>
          <w:sz w:val="20"/>
          <w:szCs w:val="20"/>
          <w:shd w:val="clear" w:color="auto" w:fill="FFFFFF"/>
        </w:rPr>
        <w:t xml:space="preserve">sobre el </w:t>
      </w:r>
      <w:r w:rsidR="00F667B4" w:rsidRPr="000A225E">
        <w:rPr>
          <w:rFonts w:ascii="ITC Avant Garde" w:hAnsi="ITC Avant Garde"/>
          <w:color w:val="000000"/>
          <w:sz w:val="20"/>
          <w:szCs w:val="20"/>
          <w:shd w:val="clear" w:color="auto" w:fill="FFFFFF"/>
        </w:rPr>
        <w:t xml:space="preserve">contenido del </w:t>
      </w:r>
      <w:r w:rsidR="00F667B4" w:rsidRPr="000A225E">
        <w:rPr>
          <w:rFonts w:ascii="ITC Avant Garde" w:hAnsi="ITC Avant Garde"/>
          <w:color w:val="000000"/>
          <w:sz w:val="20"/>
          <w:szCs w:val="20"/>
          <w:shd w:val="clear" w:color="auto" w:fill="FFFFFF"/>
        </w:rPr>
        <w:lastRenderedPageBreak/>
        <w:t>Anteproyecto</w:t>
      </w:r>
      <w:r w:rsidR="00C359C8">
        <w:rPr>
          <w:rFonts w:ascii="ITC Avant Garde" w:hAnsi="ITC Avant Garde"/>
          <w:color w:val="000000"/>
          <w:sz w:val="20"/>
          <w:szCs w:val="20"/>
          <w:shd w:val="clear" w:color="auto" w:fill="FFFFFF"/>
        </w:rPr>
        <w:t xml:space="preserve"> de Acuerdo</w:t>
      </w:r>
      <w:r w:rsidR="00F667B4" w:rsidRPr="000A225E">
        <w:rPr>
          <w:rFonts w:ascii="ITC Avant Garde" w:hAnsi="ITC Avant Garde"/>
          <w:color w:val="000000"/>
          <w:sz w:val="20"/>
          <w:szCs w:val="20"/>
          <w:shd w:val="clear" w:color="auto" w:fill="FFFFFF"/>
        </w:rPr>
        <w:t xml:space="preserve">, </w:t>
      </w:r>
      <w:r w:rsidR="00080333" w:rsidRPr="000A225E">
        <w:rPr>
          <w:rFonts w:ascii="ITC Avant Garde" w:hAnsi="ITC Avant Garde"/>
          <w:color w:val="000000"/>
          <w:sz w:val="20"/>
          <w:szCs w:val="20"/>
          <w:shd w:val="clear" w:color="auto" w:fill="FFFFFF"/>
        </w:rPr>
        <w:t xml:space="preserve">mediante </w:t>
      </w:r>
      <w:r w:rsidR="00AD13DF" w:rsidRPr="000A225E">
        <w:rPr>
          <w:rFonts w:ascii="ITC Avant Garde" w:hAnsi="ITC Avant Garde"/>
          <w:color w:val="000000"/>
          <w:sz w:val="20"/>
          <w:szCs w:val="20"/>
          <w:shd w:val="clear" w:color="auto" w:fill="FFFFFF"/>
        </w:rPr>
        <w:t>correo</w:t>
      </w:r>
      <w:r w:rsidR="00F667B4" w:rsidRPr="000A225E">
        <w:rPr>
          <w:rFonts w:ascii="ITC Avant Garde" w:hAnsi="ITC Avant Garde"/>
          <w:color w:val="000000"/>
          <w:sz w:val="20"/>
          <w:szCs w:val="20"/>
          <w:shd w:val="clear" w:color="auto" w:fill="FFFFFF"/>
        </w:rPr>
        <w:t xml:space="preserve"> electrónic</w:t>
      </w:r>
      <w:r w:rsidR="00080333" w:rsidRPr="000A225E">
        <w:rPr>
          <w:rFonts w:ascii="ITC Avant Garde" w:hAnsi="ITC Avant Garde"/>
          <w:color w:val="000000"/>
          <w:sz w:val="20"/>
          <w:szCs w:val="20"/>
          <w:shd w:val="clear" w:color="auto" w:fill="FFFFFF"/>
        </w:rPr>
        <w:t>o</w:t>
      </w:r>
      <w:r w:rsidR="00AD13DF" w:rsidRPr="000A225E">
        <w:rPr>
          <w:rFonts w:ascii="ITC Avant Garde" w:hAnsi="ITC Avant Garde"/>
          <w:color w:val="000000"/>
          <w:sz w:val="20"/>
          <w:szCs w:val="20"/>
          <w:shd w:val="clear" w:color="auto" w:fill="FFFFFF"/>
        </w:rPr>
        <w:t xml:space="preserve"> </w:t>
      </w:r>
      <w:r w:rsidR="001D08A5" w:rsidRPr="000A225E">
        <w:rPr>
          <w:rFonts w:ascii="ITC Avant Garde" w:hAnsi="ITC Avant Garde"/>
          <w:color w:val="000000"/>
          <w:sz w:val="20"/>
          <w:szCs w:val="20"/>
          <w:shd w:val="clear" w:color="auto" w:fill="FFFFFF"/>
        </w:rPr>
        <w:t xml:space="preserve">a la cuenta </w:t>
      </w:r>
      <w:hyperlink r:id="rId11" w:history="1">
        <w:r w:rsidRPr="001371B6">
          <w:rPr>
            <w:rStyle w:val="Hipervnculo"/>
            <w:rFonts w:ascii="ITC Avant Garde" w:hAnsi="ITC Avant Garde"/>
            <w:sz w:val="20"/>
            <w:szCs w:val="20"/>
            <w:shd w:val="clear" w:color="auto" w:fill="FFFFFF"/>
          </w:rPr>
          <w:t>planeacion.espectro@ift.org.mx</w:t>
        </w:r>
      </w:hyperlink>
      <w:r w:rsidR="00F667B4" w:rsidRPr="000A225E">
        <w:rPr>
          <w:rFonts w:ascii="ITC Avant Garde" w:hAnsi="ITC Avant Garde"/>
          <w:color w:val="000000"/>
          <w:sz w:val="20"/>
          <w:szCs w:val="20"/>
          <w:shd w:val="clear" w:color="auto" w:fill="FFFFFF"/>
        </w:rPr>
        <w:t xml:space="preserve">, </w:t>
      </w:r>
      <w:r w:rsidR="00647C22" w:rsidRPr="00647C22">
        <w:rPr>
          <w:rFonts w:ascii="ITC Avant Garde" w:hAnsi="ITC Avant Garde"/>
          <w:color w:val="000000"/>
          <w:sz w:val="20"/>
          <w:szCs w:val="20"/>
          <w:shd w:val="clear" w:color="auto" w:fill="FFFFFF"/>
        </w:rPr>
        <w:t>o bien, mediante escrito presentado en la Oficialía de Partes Común del Instituto ubicada en Insurgentes Sur 1143, colonia Nochebuena, Demarcación Territorial Benito Juárez, C.P. 03720, Ciudad de México</w:t>
      </w:r>
      <w:r w:rsidR="00647C22">
        <w:rPr>
          <w:rFonts w:ascii="ITC Avant Garde" w:hAnsi="ITC Avant Garde"/>
          <w:color w:val="000000"/>
          <w:sz w:val="20"/>
          <w:szCs w:val="20"/>
          <w:shd w:val="clear" w:color="auto" w:fill="FFFFFF"/>
        </w:rPr>
        <w:t>.</w:t>
      </w:r>
    </w:p>
    <w:p w14:paraId="4D207EEF" w14:textId="77777777" w:rsidR="00D807DD" w:rsidRDefault="00D807DD" w:rsidP="004C4941">
      <w:pPr>
        <w:spacing w:after="0"/>
        <w:jc w:val="both"/>
        <w:rPr>
          <w:rFonts w:ascii="ITC Avant Garde" w:hAnsi="ITC Avant Garde"/>
          <w:color w:val="000000"/>
          <w:sz w:val="20"/>
          <w:szCs w:val="20"/>
          <w:shd w:val="clear" w:color="auto" w:fill="FFFFFF"/>
        </w:rPr>
      </w:pPr>
    </w:p>
    <w:p w14:paraId="44D0DD7F" w14:textId="5B5A860F" w:rsidR="004558C5" w:rsidRPr="009F0089" w:rsidRDefault="004558C5" w:rsidP="004C4941">
      <w:pPr>
        <w:pStyle w:val="Prrafodelista"/>
        <w:numPr>
          <w:ilvl w:val="0"/>
          <w:numId w:val="1"/>
        </w:numPr>
        <w:spacing w:after="0"/>
        <w:ind w:left="567"/>
        <w:jc w:val="both"/>
        <w:rPr>
          <w:rFonts w:ascii="ITC Avant Garde" w:hAnsi="ITC Avant Garde"/>
          <w:b/>
          <w:sz w:val="20"/>
          <w:szCs w:val="20"/>
        </w:rPr>
      </w:pPr>
      <w:r w:rsidRPr="009F0089">
        <w:rPr>
          <w:rFonts w:ascii="ITC Avant Garde" w:hAnsi="ITC Avant Garde"/>
          <w:b/>
          <w:sz w:val="20"/>
          <w:szCs w:val="20"/>
        </w:rPr>
        <w:t>Objetivo de la Consulta Pública:</w:t>
      </w:r>
    </w:p>
    <w:p w14:paraId="6DA3C416" w14:textId="262979C0" w:rsidR="004C4941" w:rsidRDefault="00EF164D" w:rsidP="004C4941">
      <w:pPr>
        <w:spacing w:after="0"/>
        <w:jc w:val="both"/>
        <w:rPr>
          <w:rFonts w:ascii="ITC Avant Garde" w:hAnsi="ITC Avant Garde"/>
          <w:color w:val="000000"/>
          <w:sz w:val="20"/>
          <w:szCs w:val="20"/>
          <w:shd w:val="clear" w:color="auto" w:fill="FFFFFF"/>
        </w:rPr>
      </w:pPr>
      <w:r w:rsidRPr="00EF164D">
        <w:rPr>
          <w:rFonts w:ascii="ITC Avant Garde" w:hAnsi="ITC Avant Garde"/>
          <w:color w:val="000000"/>
          <w:sz w:val="20"/>
          <w:szCs w:val="20"/>
          <w:shd w:val="clear" w:color="auto" w:fill="FFFFFF"/>
        </w:rPr>
        <w:t>El Instituto convencido de la importancia y relevancia de transparentar su proceso de elaboración de nuevas regulaciones, recibi</w:t>
      </w:r>
      <w:r w:rsidR="005B7A9F">
        <w:rPr>
          <w:rFonts w:ascii="ITC Avant Garde" w:hAnsi="ITC Avant Garde"/>
          <w:color w:val="000000"/>
          <w:sz w:val="20"/>
          <w:szCs w:val="20"/>
          <w:shd w:val="clear" w:color="auto" w:fill="FFFFFF"/>
        </w:rPr>
        <w:t>ó</w:t>
      </w:r>
      <w:r w:rsidRPr="00EF164D">
        <w:rPr>
          <w:rFonts w:ascii="ITC Avant Garde" w:hAnsi="ITC Avant Garde"/>
          <w:color w:val="000000"/>
          <w:sz w:val="20"/>
          <w:szCs w:val="20"/>
          <w:shd w:val="clear" w:color="auto" w:fill="FFFFFF"/>
        </w:rPr>
        <w:t xml:space="preserve"> comentarios, opiniones y aportaciones de persona</w:t>
      </w:r>
      <w:r w:rsidR="005B7A9F">
        <w:rPr>
          <w:rFonts w:ascii="ITC Avant Garde" w:hAnsi="ITC Avant Garde"/>
          <w:color w:val="000000"/>
          <w:sz w:val="20"/>
          <w:szCs w:val="20"/>
          <w:shd w:val="clear" w:color="auto" w:fill="FFFFFF"/>
        </w:rPr>
        <w:t>s</w:t>
      </w:r>
      <w:r w:rsidRPr="00EF164D">
        <w:rPr>
          <w:rFonts w:ascii="ITC Avant Garde" w:hAnsi="ITC Avant Garde"/>
          <w:color w:val="000000"/>
          <w:sz w:val="20"/>
          <w:szCs w:val="20"/>
          <w:shd w:val="clear" w:color="auto" w:fill="FFFFFF"/>
        </w:rPr>
        <w:t xml:space="preserve"> (física</w:t>
      </w:r>
      <w:r w:rsidR="005B7A9F">
        <w:rPr>
          <w:rFonts w:ascii="ITC Avant Garde" w:hAnsi="ITC Avant Garde"/>
          <w:color w:val="000000"/>
          <w:sz w:val="20"/>
          <w:szCs w:val="20"/>
          <w:shd w:val="clear" w:color="auto" w:fill="FFFFFF"/>
        </w:rPr>
        <w:t>s</w:t>
      </w:r>
      <w:r w:rsidRPr="00EF164D">
        <w:rPr>
          <w:rFonts w:ascii="ITC Avant Garde" w:hAnsi="ITC Avant Garde"/>
          <w:color w:val="000000"/>
          <w:sz w:val="20"/>
          <w:szCs w:val="20"/>
          <w:shd w:val="clear" w:color="auto" w:fill="FFFFFF"/>
        </w:rPr>
        <w:t xml:space="preserve"> o moral</w:t>
      </w:r>
      <w:r w:rsidR="005B7A9F">
        <w:rPr>
          <w:rFonts w:ascii="ITC Avant Garde" w:hAnsi="ITC Avant Garde"/>
          <w:color w:val="000000"/>
          <w:sz w:val="20"/>
          <w:szCs w:val="20"/>
          <w:shd w:val="clear" w:color="auto" w:fill="FFFFFF"/>
        </w:rPr>
        <w:t>es</w:t>
      </w:r>
      <w:r w:rsidRPr="00EF164D">
        <w:rPr>
          <w:rFonts w:ascii="ITC Avant Garde" w:hAnsi="ITC Avant Garde"/>
          <w:color w:val="000000"/>
          <w:sz w:val="20"/>
          <w:szCs w:val="20"/>
          <w:shd w:val="clear" w:color="auto" w:fill="FFFFFF"/>
        </w:rPr>
        <w:t>) interesada</w:t>
      </w:r>
      <w:r w:rsidR="00DC6338">
        <w:rPr>
          <w:rFonts w:ascii="ITC Avant Garde" w:hAnsi="ITC Avant Garde"/>
          <w:color w:val="000000"/>
          <w:sz w:val="20"/>
          <w:szCs w:val="20"/>
          <w:shd w:val="clear" w:color="auto" w:fill="FFFFFF"/>
        </w:rPr>
        <w:t>s</w:t>
      </w:r>
      <w:r w:rsidRPr="00EF164D">
        <w:rPr>
          <w:rFonts w:ascii="ITC Avant Garde" w:hAnsi="ITC Avant Garde"/>
          <w:color w:val="000000"/>
          <w:sz w:val="20"/>
          <w:szCs w:val="20"/>
          <w:shd w:val="clear" w:color="auto" w:fill="FFFFFF"/>
        </w:rPr>
        <w:t xml:space="preserve"> a propósito del Anteproyecto de Acuerdo, el cual se </w:t>
      </w:r>
      <w:r w:rsidR="005B7A9F" w:rsidRPr="00EF164D">
        <w:rPr>
          <w:rFonts w:ascii="ITC Avant Garde" w:hAnsi="ITC Avant Garde"/>
          <w:color w:val="000000"/>
          <w:sz w:val="20"/>
          <w:szCs w:val="20"/>
          <w:shd w:val="clear" w:color="auto" w:fill="FFFFFF"/>
        </w:rPr>
        <w:t>prop</w:t>
      </w:r>
      <w:r w:rsidR="005B7A9F">
        <w:rPr>
          <w:rFonts w:ascii="ITC Avant Garde" w:hAnsi="ITC Avant Garde"/>
          <w:color w:val="000000"/>
          <w:sz w:val="20"/>
          <w:szCs w:val="20"/>
          <w:shd w:val="clear" w:color="auto" w:fill="FFFFFF"/>
        </w:rPr>
        <w:t>uso</w:t>
      </w:r>
      <w:r w:rsidR="005B7A9F" w:rsidRPr="00EF164D">
        <w:rPr>
          <w:rFonts w:ascii="ITC Avant Garde" w:hAnsi="ITC Avant Garde"/>
          <w:color w:val="000000"/>
          <w:sz w:val="20"/>
          <w:szCs w:val="20"/>
          <w:shd w:val="clear" w:color="auto" w:fill="FFFFFF"/>
        </w:rPr>
        <w:t xml:space="preserve"> </w:t>
      </w:r>
      <w:r w:rsidRPr="00EF164D">
        <w:rPr>
          <w:rFonts w:ascii="ITC Avant Garde" w:hAnsi="ITC Avant Garde"/>
          <w:color w:val="000000"/>
          <w:sz w:val="20"/>
          <w:szCs w:val="20"/>
          <w:shd w:val="clear" w:color="auto" w:fill="FFFFFF"/>
        </w:rPr>
        <w:t>con base en lo establecido en los artículos 1, 2, 7, 15, fracciones I y XL, 51, 54, 55, fracción II, y 64 de la Ley Federal de Telecomunicaciones y Radiodifusión; 1, 4, fracción I, 6, fracciones I y XXXVIII, 27 y 30, fracciones IV y XI, del Estatuto Orgánico del Instituto Federal de Telecomunicaciones; así como en los Lineamientos Primero, Tercero, fracción II, Séptimo, Octavo, Noveno, Décimo Primero y Vigésimo Primero de los Lineamientos de Consulta Pública y Análisis de Impacto Regulatorio del Instituto Federal de Telecomunicaciones</w:t>
      </w:r>
    </w:p>
    <w:p w14:paraId="581BB7AA" w14:textId="77777777" w:rsidR="00EF164D" w:rsidRPr="003C224B" w:rsidRDefault="00EF164D" w:rsidP="004C4941">
      <w:pPr>
        <w:spacing w:after="0"/>
        <w:jc w:val="both"/>
        <w:rPr>
          <w:rFonts w:ascii="ITC Avant Garde" w:hAnsi="ITC Avant Garde"/>
          <w:color w:val="000000"/>
          <w:sz w:val="20"/>
          <w:szCs w:val="20"/>
          <w:shd w:val="clear" w:color="auto" w:fill="FFFFFF"/>
        </w:rPr>
      </w:pPr>
    </w:p>
    <w:p w14:paraId="5BC8084D" w14:textId="2109604B" w:rsidR="009F0089" w:rsidRDefault="00E62709" w:rsidP="004C4941">
      <w:pPr>
        <w:spacing w:after="0"/>
        <w:jc w:val="both"/>
        <w:rPr>
          <w:rFonts w:ascii="ITC Avant Garde" w:hAnsi="ITC Avant Garde"/>
          <w:color w:val="000000"/>
          <w:sz w:val="20"/>
          <w:szCs w:val="20"/>
        </w:rPr>
      </w:pPr>
      <w:r>
        <w:rPr>
          <w:rFonts w:ascii="ITC Avant Garde" w:hAnsi="ITC Avant Garde"/>
          <w:color w:val="000000"/>
          <w:sz w:val="20"/>
          <w:szCs w:val="20"/>
          <w:shd w:val="clear" w:color="auto" w:fill="FFFFFF"/>
        </w:rPr>
        <w:t>Cabe mencionar que, l</w:t>
      </w:r>
      <w:r w:rsidR="00835C6F">
        <w:rPr>
          <w:rFonts w:ascii="ITC Avant Garde" w:hAnsi="ITC Avant Garde"/>
          <w:color w:val="000000"/>
          <w:sz w:val="20"/>
          <w:szCs w:val="20"/>
          <w:shd w:val="clear" w:color="auto" w:fill="FFFFFF"/>
        </w:rPr>
        <w:t>a</w:t>
      </w:r>
      <w:r w:rsidR="00692C5F" w:rsidRPr="00692C5F">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 xml:space="preserve">Consulta Pública tuvo como </w:t>
      </w:r>
      <w:r w:rsidR="00692C5F" w:rsidRPr="00F667B4">
        <w:rPr>
          <w:rFonts w:ascii="ITC Avant Garde" w:hAnsi="ITC Avant Garde"/>
          <w:color w:val="000000"/>
          <w:sz w:val="20"/>
          <w:szCs w:val="20"/>
          <w:shd w:val="clear" w:color="auto" w:fill="FFFFFF"/>
        </w:rPr>
        <w:t>objeto transparentar y d</w:t>
      </w:r>
      <w:r w:rsidR="00EF164D" w:rsidRPr="00EF164D">
        <w:rPr>
          <w:rFonts w:ascii="ITC Avant Garde" w:hAnsi="ITC Avant Garde"/>
          <w:color w:val="000000"/>
          <w:sz w:val="20"/>
          <w:szCs w:val="20"/>
          <w:shd w:val="clear" w:color="auto" w:fill="FFFFFF"/>
        </w:rPr>
        <w:t xml:space="preserve">ar a conocer la presente propuesta de regulación y su </w:t>
      </w:r>
      <w:r w:rsidR="00762EBA">
        <w:rPr>
          <w:rFonts w:ascii="ITC Avant Garde" w:hAnsi="ITC Avant Garde"/>
          <w:color w:val="000000"/>
          <w:sz w:val="20"/>
          <w:szCs w:val="20"/>
          <w:shd w:val="clear" w:color="auto" w:fill="FFFFFF"/>
        </w:rPr>
        <w:t>A</w:t>
      </w:r>
      <w:r w:rsidR="00EF164D" w:rsidRPr="00EF164D">
        <w:rPr>
          <w:rFonts w:ascii="ITC Avant Garde" w:hAnsi="ITC Avant Garde"/>
          <w:color w:val="000000"/>
          <w:sz w:val="20"/>
          <w:szCs w:val="20"/>
          <w:shd w:val="clear" w:color="auto" w:fill="FFFFFF"/>
        </w:rPr>
        <w:t xml:space="preserve">nálisis de </w:t>
      </w:r>
      <w:r w:rsidR="00762EBA">
        <w:rPr>
          <w:rFonts w:ascii="ITC Avant Garde" w:hAnsi="ITC Avant Garde"/>
          <w:color w:val="000000"/>
          <w:sz w:val="20"/>
          <w:szCs w:val="20"/>
          <w:shd w:val="clear" w:color="auto" w:fill="FFFFFF"/>
        </w:rPr>
        <w:t>I</w:t>
      </w:r>
      <w:r w:rsidR="00EF164D" w:rsidRPr="00EF164D">
        <w:rPr>
          <w:rFonts w:ascii="ITC Avant Garde" w:hAnsi="ITC Avant Garde"/>
          <w:color w:val="000000"/>
          <w:sz w:val="20"/>
          <w:szCs w:val="20"/>
          <w:shd w:val="clear" w:color="auto" w:fill="FFFFFF"/>
        </w:rPr>
        <w:t xml:space="preserve">mpacto </w:t>
      </w:r>
      <w:r w:rsidR="00762EBA">
        <w:rPr>
          <w:rFonts w:ascii="ITC Avant Garde" w:hAnsi="ITC Avant Garde"/>
          <w:color w:val="000000"/>
          <w:sz w:val="20"/>
          <w:szCs w:val="20"/>
          <w:shd w:val="clear" w:color="auto" w:fill="FFFFFF"/>
        </w:rPr>
        <w:t>R</w:t>
      </w:r>
      <w:r w:rsidR="00EF164D" w:rsidRPr="00EF164D">
        <w:rPr>
          <w:rFonts w:ascii="ITC Avant Garde" w:hAnsi="ITC Avant Garde"/>
          <w:color w:val="000000"/>
          <w:sz w:val="20"/>
          <w:szCs w:val="20"/>
          <w:shd w:val="clear" w:color="auto" w:fill="FFFFFF"/>
        </w:rPr>
        <w:t>egulatorio, así como un documento de referencia que contiene la versión integral de las condiciones técnicas de operación de la banda 57-64 GHz, el cual no se enc</w:t>
      </w:r>
      <w:r w:rsidR="00762EBA">
        <w:rPr>
          <w:rFonts w:ascii="ITC Avant Garde" w:hAnsi="ITC Avant Garde"/>
          <w:color w:val="000000"/>
          <w:sz w:val="20"/>
          <w:szCs w:val="20"/>
          <w:shd w:val="clear" w:color="auto" w:fill="FFFFFF"/>
        </w:rPr>
        <w:t>o</w:t>
      </w:r>
      <w:r w:rsidR="00EF164D" w:rsidRPr="00EF164D">
        <w:rPr>
          <w:rFonts w:ascii="ITC Avant Garde" w:hAnsi="ITC Avant Garde"/>
          <w:color w:val="000000"/>
          <w:sz w:val="20"/>
          <w:szCs w:val="20"/>
          <w:shd w:val="clear" w:color="auto" w:fill="FFFFFF"/>
        </w:rPr>
        <w:t>ntr</w:t>
      </w:r>
      <w:r w:rsidR="00762EBA">
        <w:rPr>
          <w:rFonts w:ascii="ITC Avant Garde" w:hAnsi="ITC Avant Garde"/>
          <w:color w:val="000000"/>
          <w:sz w:val="20"/>
          <w:szCs w:val="20"/>
          <w:shd w:val="clear" w:color="auto" w:fill="FFFFFF"/>
        </w:rPr>
        <w:t>ó</w:t>
      </w:r>
      <w:r w:rsidR="00EF164D" w:rsidRPr="00EF164D">
        <w:rPr>
          <w:rFonts w:ascii="ITC Avant Garde" w:hAnsi="ITC Avant Garde"/>
          <w:color w:val="000000"/>
          <w:sz w:val="20"/>
          <w:szCs w:val="20"/>
          <w:shd w:val="clear" w:color="auto" w:fill="FFFFFF"/>
        </w:rPr>
        <w:t xml:space="preserve"> propiamente en consulta</w:t>
      </w:r>
      <w:r w:rsidR="00762EBA">
        <w:rPr>
          <w:rFonts w:ascii="ITC Avant Garde" w:hAnsi="ITC Avant Garde"/>
          <w:color w:val="000000"/>
          <w:sz w:val="20"/>
          <w:szCs w:val="20"/>
          <w:shd w:val="clear" w:color="auto" w:fill="FFFFFF"/>
        </w:rPr>
        <w:t xml:space="preserve"> pública</w:t>
      </w:r>
      <w:r w:rsidR="00EF164D" w:rsidRPr="00EF164D">
        <w:rPr>
          <w:rFonts w:ascii="ITC Avant Garde" w:hAnsi="ITC Avant Garde"/>
          <w:color w:val="000000"/>
          <w:sz w:val="20"/>
          <w:szCs w:val="20"/>
          <w:shd w:val="clear" w:color="auto" w:fill="FFFFFF"/>
        </w:rPr>
        <w:t xml:space="preserve">, </w:t>
      </w:r>
      <w:r w:rsidR="00762EBA">
        <w:rPr>
          <w:rFonts w:ascii="ITC Avant Garde" w:hAnsi="ITC Avant Garde"/>
          <w:color w:val="000000"/>
          <w:sz w:val="20"/>
          <w:szCs w:val="20"/>
          <w:shd w:val="clear" w:color="auto" w:fill="FFFFFF"/>
        </w:rPr>
        <w:t xml:space="preserve">sino que a través del mismo </w:t>
      </w:r>
      <w:r w:rsidR="00EF164D" w:rsidRPr="00EF164D">
        <w:rPr>
          <w:rFonts w:ascii="ITC Avant Garde" w:hAnsi="ITC Avant Garde"/>
          <w:color w:val="000000"/>
          <w:sz w:val="20"/>
          <w:szCs w:val="20"/>
          <w:shd w:val="clear" w:color="auto" w:fill="FFFFFF"/>
        </w:rPr>
        <w:t xml:space="preserve">los interesados </w:t>
      </w:r>
      <w:r w:rsidR="00762EBA">
        <w:rPr>
          <w:rFonts w:ascii="ITC Avant Garde" w:hAnsi="ITC Avant Garde"/>
          <w:color w:val="000000"/>
          <w:sz w:val="20"/>
          <w:szCs w:val="20"/>
          <w:shd w:val="clear" w:color="auto" w:fill="FFFFFF"/>
        </w:rPr>
        <w:t>pudieran</w:t>
      </w:r>
      <w:r w:rsidR="00762EBA" w:rsidRPr="00EF164D">
        <w:rPr>
          <w:rFonts w:ascii="ITC Avant Garde" w:hAnsi="ITC Avant Garde"/>
          <w:color w:val="000000"/>
          <w:sz w:val="20"/>
          <w:szCs w:val="20"/>
          <w:shd w:val="clear" w:color="auto" w:fill="FFFFFF"/>
        </w:rPr>
        <w:t xml:space="preserve"> </w:t>
      </w:r>
      <w:r w:rsidR="00EF164D" w:rsidRPr="00EF164D">
        <w:rPr>
          <w:rFonts w:ascii="ITC Avant Garde" w:hAnsi="ITC Avant Garde"/>
          <w:color w:val="000000"/>
          <w:sz w:val="20"/>
          <w:szCs w:val="20"/>
          <w:shd w:val="clear" w:color="auto" w:fill="FFFFFF"/>
        </w:rPr>
        <w:t>tener un mejor entendimiento de las medidas propuestas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50749729" w14:textId="77777777" w:rsidR="00F71AB7" w:rsidRDefault="00F71AB7" w:rsidP="004C4941">
      <w:pPr>
        <w:spacing w:after="0"/>
        <w:jc w:val="both"/>
        <w:rPr>
          <w:rFonts w:ascii="ITC Avant Garde" w:hAnsi="ITC Avant Garde"/>
          <w:color w:val="000000"/>
          <w:sz w:val="20"/>
          <w:szCs w:val="20"/>
          <w:shd w:val="clear" w:color="auto" w:fill="FFFFFF"/>
        </w:rPr>
      </w:pPr>
    </w:p>
    <w:p w14:paraId="76C1EA40" w14:textId="44A1A1BE" w:rsidR="004645B6" w:rsidRDefault="00E835EB" w:rsidP="004C4941">
      <w:pPr>
        <w:pStyle w:val="Prrafodelista"/>
        <w:numPr>
          <w:ilvl w:val="0"/>
          <w:numId w:val="1"/>
        </w:numPr>
        <w:spacing w:after="0"/>
        <w:jc w:val="both"/>
        <w:rPr>
          <w:rFonts w:ascii="ITC Avant Garde" w:hAnsi="ITC Avant Garde"/>
          <w:b/>
          <w:color w:val="000000"/>
          <w:sz w:val="20"/>
          <w:szCs w:val="20"/>
          <w:shd w:val="clear" w:color="auto" w:fill="FFFFFF"/>
        </w:rPr>
      </w:pPr>
      <w:r>
        <w:rPr>
          <w:rFonts w:ascii="ITC Avant Garde" w:hAnsi="ITC Avant Garde"/>
          <w:b/>
          <w:color w:val="000000"/>
          <w:sz w:val="20"/>
          <w:szCs w:val="20"/>
          <w:shd w:val="clear" w:color="auto" w:fill="FFFFFF"/>
        </w:rPr>
        <w:t>Participaciones recibidas durante la Consulta Pública</w:t>
      </w:r>
      <w:r w:rsidR="004552F6">
        <w:rPr>
          <w:rFonts w:ascii="ITC Avant Garde" w:hAnsi="ITC Avant Garde"/>
          <w:b/>
          <w:color w:val="000000"/>
          <w:sz w:val="20"/>
          <w:szCs w:val="20"/>
          <w:shd w:val="clear" w:color="auto" w:fill="FFFFFF"/>
        </w:rPr>
        <w:t>:</w:t>
      </w:r>
    </w:p>
    <w:p w14:paraId="6D19BA65" w14:textId="16DCA999" w:rsidR="004552F6" w:rsidRDefault="004552F6" w:rsidP="004C4941">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 el marco del proceso c</w:t>
      </w:r>
      <w:r w:rsidR="00E62709">
        <w:rPr>
          <w:rFonts w:ascii="ITC Avant Garde" w:hAnsi="ITC Avant Garde"/>
          <w:color w:val="000000"/>
          <w:sz w:val="20"/>
          <w:szCs w:val="20"/>
          <w:shd w:val="clear" w:color="auto" w:fill="FFFFFF"/>
        </w:rPr>
        <w:t xml:space="preserve">onsultivo, </w:t>
      </w:r>
      <w:r w:rsidR="004A38AD">
        <w:rPr>
          <w:rFonts w:ascii="ITC Avant Garde" w:hAnsi="ITC Avant Garde"/>
          <w:color w:val="000000"/>
          <w:sz w:val="20"/>
          <w:szCs w:val="20"/>
          <w:shd w:val="clear" w:color="auto" w:fill="FFFFFF"/>
        </w:rPr>
        <w:t xml:space="preserve">durante el </w:t>
      </w:r>
      <w:r w:rsidR="004A38AD" w:rsidRPr="004A38AD">
        <w:rPr>
          <w:rFonts w:ascii="ITC Avant Garde" w:hAnsi="ITC Avant Garde"/>
          <w:color w:val="000000"/>
          <w:sz w:val="20"/>
          <w:szCs w:val="20"/>
          <w:shd w:val="clear" w:color="auto" w:fill="FFFFFF"/>
        </w:rPr>
        <w:t>periodo de 20 días hábiles</w:t>
      </w:r>
      <w:r w:rsidR="00BC39E4">
        <w:rPr>
          <w:rFonts w:ascii="ITC Avant Garde" w:hAnsi="ITC Avant Garde"/>
          <w:color w:val="000000"/>
          <w:sz w:val="20"/>
          <w:szCs w:val="20"/>
          <w:shd w:val="clear" w:color="auto" w:fill="FFFFFF"/>
        </w:rPr>
        <w:t xml:space="preserve"> (del </w:t>
      </w:r>
      <w:r w:rsidR="00BC39E4" w:rsidRPr="004A38AD">
        <w:rPr>
          <w:rFonts w:ascii="ITC Avant Garde" w:hAnsi="ITC Avant Garde"/>
          <w:color w:val="000000"/>
          <w:sz w:val="20"/>
          <w:szCs w:val="20"/>
          <w:shd w:val="clear" w:color="auto" w:fill="FFFFFF"/>
        </w:rPr>
        <w:t>1</w:t>
      </w:r>
      <w:r w:rsidR="003C224B">
        <w:rPr>
          <w:rFonts w:ascii="ITC Avant Garde" w:hAnsi="ITC Avant Garde"/>
          <w:color w:val="000000"/>
          <w:sz w:val="20"/>
          <w:szCs w:val="20"/>
          <w:shd w:val="clear" w:color="auto" w:fill="FFFFFF"/>
        </w:rPr>
        <w:t>7 de marzo al 20 de abri</w:t>
      </w:r>
      <w:r w:rsidR="003C224B" w:rsidRPr="006E37CA">
        <w:rPr>
          <w:rFonts w:ascii="ITC Avant Garde" w:hAnsi="ITC Avant Garde"/>
          <w:color w:val="000000"/>
          <w:sz w:val="20"/>
          <w:szCs w:val="20"/>
          <w:shd w:val="clear" w:color="auto" w:fill="FFFFFF"/>
        </w:rPr>
        <w:t>l de 2021</w:t>
      </w:r>
      <w:r w:rsidR="003F483F" w:rsidRPr="006E37CA">
        <w:rPr>
          <w:rFonts w:ascii="ITC Avant Garde" w:hAnsi="ITC Avant Garde"/>
          <w:color w:val="000000"/>
          <w:sz w:val="20"/>
          <w:szCs w:val="20"/>
          <w:shd w:val="clear" w:color="auto" w:fill="FFFFFF"/>
        </w:rPr>
        <w:t xml:space="preserve">) </w:t>
      </w:r>
      <w:r w:rsidR="00E62709" w:rsidRPr="006E37CA">
        <w:rPr>
          <w:rFonts w:ascii="ITC Avant Garde" w:hAnsi="ITC Avant Garde"/>
          <w:color w:val="000000"/>
          <w:sz w:val="20"/>
          <w:szCs w:val="20"/>
          <w:shd w:val="clear" w:color="auto" w:fill="FFFFFF"/>
        </w:rPr>
        <w:t>fueron presentadas ante el Institut</w:t>
      </w:r>
      <w:r w:rsidR="004A38AD" w:rsidRPr="006E37CA">
        <w:rPr>
          <w:rFonts w:ascii="ITC Avant Garde" w:hAnsi="ITC Avant Garde"/>
          <w:color w:val="000000"/>
          <w:sz w:val="20"/>
          <w:szCs w:val="20"/>
          <w:shd w:val="clear" w:color="auto" w:fill="FFFFFF"/>
        </w:rPr>
        <w:t xml:space="preserve">o un total de </w:t>
      </w:r>
      <w:r w:rsidR="00EF164D" w:rsidRPr="006E37CA">
        <w:rPr>
          <w:rFonts w:ascii="ITC Avant Garde" w:hAnsi="ITC Avant Garde"/>
          <w:color w:val="000000"/>
          <w:sz w:val="20"/>
          <w:szCs w:val="20"/>
          <w:shd w:val="clear" w:color="auto" w:fill="FFFFFF"/>
        </w:rPr>
        <w:t xml:space="preserve">3 (tres) </w:t>
      </w:r>
      <w:r w:rsidR="004A38AD" w:rsidRPr="006E37CA">
        <w:rPr>
          <w:rFonts w:ascii="ITC Avant Garde" w:hAnsi="ITC Avant Garde"/>
          <w:color w:val="000000"/>
          <w:sz w:val="20"/>
          <w:szCs w:val="20"/>
          <w:shd w:val="clear" w:color="auto" w:fill="FFFFFF"/>
        </w:rPr>
        <w:t>participaciones</w:t>
      </w:r>
      <w:r w:rsidR="003F483F" w:rsidRPr="006E37CA">
        <w:rPr>
          <w:rFonts w:ascii="ITC Avant Garde" w:hAnsi="ITC Avant Garde"/>
          <w:color w:val="000000"/>
          <w:sz w:val="20"/>
          <w:szCs w:val="20"/>
          <w:shd w:val="clear" w:color="auto" w:fill="FFFFFF"/>
        </w:rPr>
        <w:t>,</w:t>
      </w:r>
      <w:r w:rsidR="004A38AD" w:rsidRPr="006E37CA">
        <w:rPr>
          <w:rFonts w:ascii="ITC Avant Garde" w:hAnsi="ITC Avant Garde"/>
          <w:color w:val="000000"/>
          <w:sz w:val="20"/>
          <w:szCs w:val="20"/>
          <w:shd w:val="clear" w:color="auto" w:fill="FFFFFF"/>
        </w:rPr>
        <w:t xml:space="preserve"> </w:t>
      </w:r>
      <w:r w:rsidR="00E62709" w:rsidRPr="006E37CA">
        <w:rPr>
          <w:rFonts w:ascii="ITC Avant Garde" w:hAnsi="ITC Avant Garde"/>
          <w:color w:val="000000"/>
          <w:sz w:val="20"/>
          <w:szCs w:val="20"/>
          <w:shd w:val="clear" w:color="auto" w:fill="FFFFFF"/>
        </w:rPr>
        <w:t>las cuales se encuentra</w:t>
      </w:r>
      <w:r w:rsidR="00E8533A" w:rsidRPr="006E37CA">
        <w:rPr>
          <w:rFonts w:ascii="ITC Avant Garde" w:hAnsi="ITC Avant Garde"/>
          <w:color w:val="000000"/>
          <w:sz w:val="20"/>
          <w:szCs w:val="20"/>
          <w:shd w:val="clear" w:color="auto" w:fill="FFFFFF"/>
        </w:rPr>
        <w:t>n</w:t>
      </w:r>
      <w:r w:rsidR="00E62709" w:rsidRPr="006E37CA">
        <w:rPr>
          <w:rFonts w:ascii="ITC Avant Garde" w:hAnsi="ITC Avant Garde"/>
          <w:color w:val="000000"/>
          <w:sz w:val="20"/>
          <w:szCs w:val="20"/>
          <w:shd w:val="clear" w:color="auto" w:fill="FFFFFF"/>
        </w:rPr>
        <w:t xml:space="preserve"> publicadas </w:t>
      </w:r>
      <w:r w:rsidR="004B0FC6" w:rsidRPr="006E37CA">
        <w:rPr>
          <w:rFonts w:ascii="ITC Avant Garde" w:hAnsi="ITC Avant Garde"/>
          <w:color w:val="000000"/>
          <w:sz w:val="20"/>
          <w:szCs w:val="20"/>
          <w:shd w:val="clear" w:color="auto" w:fill="FFFFFF"/>
        </w:rPr>
        <w:t xml:space="preserve">íntegramente </w:t>
      </w:r>
      <w:r w:rsidR="00E62709" w:rsidRPr="006E37CA">
        <w:rPr>
          <w:rFonts w:ascii="ITC Avant Garde" w:hAnsi="ITC Avant Garde"/>
          <w:color w:val="000000"/>
          <w:sz w:val="20"/>
          <w:szCs w:val="20"/>
          <w:shd w:val="clear" w:color="auto" w:fill="FFFFFF"/>
        </w:rPr>
        <w:t xml:space="preserve">en la página </w:t>
      </w:r>
      <w:r w:rsidR="00EF164D" w:rsidRPr="006E37CA">
        <w:rPr>
          <w:rFonts w:ascii="ITC Avant Garde" w:hAnsi="ITC Avant Garde"/>
          <w:color w:val="000000"/>
          <w:sz w:val="20"/>
          <w:szCs w:val="20"/>
          <w:shd w:val="clear" w:color="auto" w:fill="FFFFFF"/>
        </w:rPr>
        <w:t>oficial</w:t>
      </w:r>
      <w:r w:rsidR="00E62709" w:rsidRPr="006E37CA">
        <w:rPr>
          <w:rFonts w:ascii="ITC Avant Garde" w:hAnsi="ITC Avant Garde"/>
          <w:color w:val="000000"/>
          <w:sz w:val="20"/>
          <w:szCs w:val="20"/>
          <w:shd w:val="clear" w:color="auto" w:fill="FFFFFF"/>
        </w:rPr>
        <w:t xml:space="preserve"> del Instituto</w:t>
      </w:r>
      <w:r w:rsidR="00BC39E4" w:rsidRPr="006E37CA">
        <w:rPr>
          <w:rFonts w:ascii="ITC Avant Garde" w:hAnsi="ITC Avant Garde"/>
          <w:color w:val="000000"/>
          <w:sz w:val="20"/>
          <w:szCs w:val="20"/>
          <w:shd w:val="clear" w:color="auto" w:fill="FFFFFF"/>
        </w:rPr>
        <w:t xml:space="preserve"> en la </w:t>
      </w:r>
      <w:r w:rsidR="004B0FC6" w:rsidRPr="006E37CA">
        <w:rPr>
          <w:rFonts w:ascii="ITC Avant Garde" w:hAnsi="ITC Avant Garde"/>
          <w:color w:val="000000"/>
          <w:sz w:val="20"/>
          <w:szCs w:val="20"/>
          <w:shd w:val="clear" w:color="auto" w:fill="FFFFFF"/>
        </w:rPr>
        <w:t xml:space="preserve">sección de </w:t>
      </w:r>
      <w:r w:rsidR="00BC39E4" w:rsidRPr="006E37CA">
        <w:rPr>
          <w:rFonts w:ascii="ITC Avant Garde" w:hAnsi="ITC Avant Garde"/>
          <w:color w:val="000000"/>
          <w:sz w:val="20"/>
          <w:szCs w:val="20"/>
          <w:shd w:val="clear" w:color="auto" w:fill="FFFFFF"/>
        </w:rPr>
        <w:t>C</w:t>
      </w:r>
      <w:r w:rsidR="004B0FC6" w:rsidRPr="006E37CA">
        <w:rPr>
          <w:rFonts w:ascii="ITC Avant Garde" w:hAnsi="ITC Avant Garde"/>
          <w:color w:val="000000"/>
          <w:sz w:val="20"/>
          <w:szCs w:val="20"/>
          <w:shd w:val="clear" w:color="auto" w:fill="FFFFFF"/>
        </w:rPr>
        <w:t>onsulta</w:t>
      </w:r>
      <w:r w:rsidR="00BC39E4" w:rsidRPr="006E37CA">
        <w:rPr>
          <w:rFonts w:ascii="ITC Avant Garde" w:hAnsi="ITC Avant Garde"/>
          <w:color w:val="000000"/>
          <w:sz w:val="20"/>
          <w:szCs w:val="20"/>
          <w:shd w:val="clear" w:color="auto" w:fill="FFFFFF"/>
        </w:rPr>
        <w:t>s</w:t>
      </w:r>
      <w:r w:rsidR="004B0FC6" w:rsidRPr="006E37CA">
        <w:rPr>
          <w:rFonts w:ascii="ITC Avant Garde" w:hAnsi="ITC Avant Garde"/>
          <w:color w:val="000000"/>
          <w:sz w:val="20"/>
          <w:szCs w:val="20"/>
          <w:shd w:val="clear" w:color="auto" w:fill="FFFFFF"/>
        </w:rPr>
        <w:t xml:space="preserve"> </w:t>
      </w:r>
      <w:r w:rsidR="00BC39E4" w:rsidRPr="006E37CA">
        <w:rPr>
          <w:rFonts w:ascii="ITC Avant Garde" w:hAnsi="ITC Avant Garde"/>
          <w:color w:val="000000"/>
          <w:sz w:val="20"/>
          <w:szCs w:val="20"/>
          <w:shd w:val="clear" w:color="auto" w:fill="FFFFFF"/>
        </w:rPr>
        <w:t>P</w:t>
      </w:r>
      <w:r w:rsidR="004B0FC6" w:rsidRPr="006E37CA">
        <w:rPr>
          <w:rFonts w:ascii="ITC Avant Garde" w:hAnsi="ITC Avant Garde"/>
          <w:color w:val="000000"/>
          <w:sz w:val="20"/>
          <w:szCs w:val="20"/>
          <w:shd w:val="clear" w:color="auto" w:fill="FFFFFF"/>
        </w:rPr>
        <w:t>úblicas</w:t>
      </w:r>
      <w:r w:rsidR="00E62709" w:rsidRPr="006E37CA">
        <w:rPr>
          <w:rFonts w:ascii="ITC Avant Garde" w:hAnsi="ITC Avant Garde"/>
          <w:sz w:val="20"/>
          <w:vertAlign w:val="superscript"/>
        </w:rPr>
        <w:footnoteReference w:id="2"/>
      </w:r>
      <w:r w:rsidR="00E62709" w:rsidRPr="006E37CA">
        <w:rPr>
          <w:rFonts w:ascii="ITC Avant Garde" w:hAnsi="ITC Avant Garde"/>
          <w:color w:val="000000"/>
          <w:sz w:val="20"/>
          <w:szCs w:val="20"/>
          <w:shd w:val="clear" w:color="auto" w:fill="FFFFFF"/>
        </w:rPr>
        <w:t>.</w:t>
      </w:r>
      <w:r w:rsidR="00E62709">
        <w:rPr>
          <w:rFonts w:ascii="ITC Avant Garde" w:hAnsi="ITC Avant Garde"/>
          <w:color w:val="000000"/>
          <w:sz w:val="20"/>
          <w:szCs w:val="20"/>
          <w:shd w:val="clear" w:color="auto" w:fill="FFFFFF"/>
        </w:rPr>
        <w:t xml:space="preserve"> </w:t>
      </w:r>
    </w:p>
    <w:p w14:paraId="2A6314D2" w14:textId="77777777" w:rsidR="00E117FE" w:rsidRDefault="00E117FE" w:rsidP="004C4941">
      <w:pPr>
        <w:spacing w:after="0"/>
        <w:jc w:val="both"/>
        <w:rPr>
          <w:rFonts w:ascii="ITC Avant Garde" w:hAnsi="ITC Avant Garde"/>
          <w:color w:val="000000"/>
          <w:sz w:val="20"/>
          <w:szCs w:val="20"/>
          <w:shd w:val="clear" w:color="auto" w:fill="FFFFFF"/>
        </w:rPr>
      </w:pPr>
    </w:p>
    <w:p w14:paraId="32560C95" w14:textId="775F1175" w:rsidR="00E62709" w:rsidRDefault="00E62709" w:rsidP="004C4941">
      <w:pPr>
        <w:spacing w:after="0"/>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A continuación, </w:t>
      </w:r>
      <w:r w:rsidR="004A38AD">
        <w:rPr>
          <w:rFonts w:ascii="ITC Avant Garde" w:hAnsi="ITC Avant Garde"/>
          <w:color w:val="000000"/>
          <w:sz w:val="20"/>
          <w:szCs w:val="20"/>
          <w:shd w:val="clear" w:color="auto" w:fill="FFFFFF"/>
        </w:rPr>
        <w:t xml:space="preserve">se presenta </w:t>
      </w:r>
      <w:r w:rsidR="00DD0CED">
        <w:rPr>
          <w:rFonts w:ascii="ITC Avant Garde" w:hAnsi="ITC Avant Garde"/>
          <w:color w:val="000000"/>
          <w:sz w:val="20"/>
          <w:szCs w:val="20"/>
          <w:shd w:val="clear" w:color="auto" w:fill="FFFFFF"/>
        </w:rPr>
        <w:t xml:space="preserve">una relación del </w:t>
      </w:r>
      <w:r w:rsidR="00E8533A">
        <w:rPr>
          <w:rFonts w:ascii="ITC Avant Garde" w:hAnsi="ITC Avant Garde"/>
          <w:color w:val="000000"/>
          <w:sz w:val="20"/>
          <w:szCs w:val="20"/>
          <w:shd w:val="clear" w:color="auto" w:fill="FFFFFF"/>
        </w:rPr>
        <w:t>t</w:t>
      </w:r>
      <w:r w:rsidR="00DD0CED">
        <w:rPr>
          <w:rFonts w:ascii="ITC Avant Garde" w:hAnsi="ITC Avant Garde"/>
          <w:color w:val="000000"/>
          <w:sz w:val="20"/>
          <w:szCs w:val="20"/>
          <w:shd w:val="clear" w:color="auto" w:fill="FFFFFF"/>
        </w:rPr>
        <w:t xml:space="preserve">otal de participaciones recibidas en la Consulta Pública y que se encuentran resumidas en la Tabla 1 </w:t>
      </w:r>
      <w:r w:rsidR="004A38AD">
        <w:rPr>
          <w:rFonts w:ascii="ITC Avant Garde" w:hAnsi="ITC Avant Garde"/>
          <w:color w:val="000000"/>
          <w:sz w:val="20"/>
          <w:szCs w:val="20"/>
          <w:shd w:val="clear" w:color="auto" w:fill="FFFFFF"/>
        </w:rPr>
        <w:t>siguiente:</w:t>
      </w:r>
    </w:p>
    <w:p w14:paraId="152DAE24" w14:textId="77777777" w:rsidR="00E117FE" w:rsidRDefault="00E117FE" w:rsidP="004C4941">
      <w:pPr>
        <w:spacing w:after="0"/>
        <w:jc w:val="both"/>
        <w:rPr>
          <w:rFonts w:ascii="ITC Avant Garde" w:hAnsi="ITC Avant Garde"/>
          <w:color w:val="000000"/>
          <w:sz w:val="20"/>
          <w:szCs w:val="20"/>
          <w:shd w:val="clear" w:color="auto" w:fill="FFFFFF"/>
        </w:rPr>
      </w:pPr>
    </w:p>
    <w:tbl>
      <w:tblPr>
        <w:tblStyle w:val="Tabladelista4-nfasis6"/>
        <w:tblW w:w="8904" w:type="dxa"/>
        <w:jc w:val="center"/>
        <w:tblLook w:val="04A0" w:firstRow="1" w:lastRow="0" w:firstColumn="1" w:lastColumn="0" w:noHBand="0" w:noVBand="1"/>
      </w:tblPr>
      <w:tblGrid>
        <w:gridCol w:w="797"/>
        <w:gridCol w:w="2117"/>
        <w:gridCol w:w="2314"/>
        <w:gridCol w:w="1872"/>
        <w:gridCol w:w="1804"/>
      </w:tblGrid>
      <w:tr w:rsidR="00D80C18" w:rsidRPr="00E835EB" w14:paraId="0F625DE1" w14:textId="77777777" w:rsidTr="00572DB3">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70AD47" w:themeColor="accent6"/>
            </w:tcBorders>
            <w:vAlign w:val="center"/>
          </w:tcPr>
          <w:p w14:paraId="4724B6F5" w14:textId="1E487CFF" w:rsidR="00D80C18" w:rsidRPr="00F169DF" w:rsidRDefault="00D80C18" w:rsidP="004C4941">
            <w:pPr>
              <w:jc w:val="center"/>
              <w:rPr>
                <w:rFonts w:ascii="ITC Avant Garde" w:eastAsia="Times New Roman" w:hAnsi="ITC Avant Garde" w:cs="Calibri"/>
                <w:bCs w:val="0"/>
                <w:color w:val="FFFFFF"/>
                <w:sz w:val="18"/>
                <w:szCs w:val="16"/>
                <w:lang w:eastAsia="es-MX"/>
              </w:rPr>
            </w:pPr>
            <w:r w:rsidRPr="00F169DF">
              <w:rPr>
                <w:rFonts w:ascii="ITC Avant Garde" w:eastAsia="Times New Roman" w:hAnsi="ITC Avant Garde" w:cs="Calibri"/>
                <w:bCs w:val="0"/>
                <w:color w:val="FFFFFF"/>
                <w:sz w:val="18"/>
                <w:szCs w:val="16"/>
                <w:lang w:eastAsia="es-MX"/>
              </w:rPr>
              <w:t>No.</w:t>
            </w:r>
          </w:p>
        </w:tc>
        <w:tc>
          <w:tcPr>
            <w:tcW w:w="0" w:type="dxa"/>
            <w:tcBorders>
              <w:right w:val="single" w:sz="4" w:space="0" w:color="70AD47" w:themeColor="accent6"/>
            </w:tcBorders>
            <w:noWrap/>
            <w:vAlign w:val="center"/>
            <w:hideMark/>
          </w:tcPr>
          <w:p w14:paraId="03E67320" w14:textId="14B0366D" w:rsidR="00D80C18" w:rsidRPr="00F169DF" w:rsidRDefault="00D80C18" w:rsidP="004C494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6"/>
                <w:lang w:eastAsia="es-MX"/>
              </w:rPr>
            </w:pPr>
            <w:r w:rsidRPr="00F169DF">
              <w:rPr>
                <w:rFonts w:ascii="ITC Avant Garde" w:eastAsia="Times New Roman" w:hAnsi="ITC Avant Garde" w:cs="Calibri"/>
                <w:color w:val="FFFFFF"/>
                <w:sz w:val="18"/>
                <w:szCs w:val="16"/>
                <w:lang w:eastAsia="es-MX"/>
              </w:rPr>
              <w:t>Folio</w:t>
            </w:r>
          </w:p>
        </w:tc>
        <w:tc>
          <w:tcPr>
            <w:tcW w:w="0" w:type="dxa"/>
            <w:tcBorders>
              <w:left w:val="single" w:sz="4" w:space="0" w:color="70AD47" w:themeColor="accent6"/>
              <w:right w:val="single" w:sz="4" w:space="0" w:color="70AD47" w:themeColor="accent6"/>
            </w:tcBorders>
            <w:noWrap/>
            <w:vAlign w:val="center"/>
            <w:hideMark/>
          </w:tcPr>
          <w:p w14:paraId="3ADB352B" w14:textId="77777777" w:rsidR="00D80C18" w:rsidRPr="00F169DF" w:rsidRDefault="00D80C18" w:rsidP="004C494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6"/>
                <w:lang w:eastAsia="es-MX"/>
              </w:rPr>
            </w:pPr>
            <w:r w:rsidRPr="00F169DF">
              <w:rPr>
                <w:rFonts w:ascii="ITC Avant Garde" w:eastAsia="Times New Roman" w:hAnsi="ITC Avant Garde" w:cs="Calibri"/>
                <w:color w:val="FFFFFF"/>
                <w:sz w:val="18"/>
                <w:szCs w:val="16"/>
                <w:lang w:eastAsia="es-MX"/>
              </w:rPr>
              <w:t>Nombre, razón o denominación social</w:t>
            </w:r>
          </w:p>
        </w:tc>
        <w:tc>
          <w:tcPr>
            <w:tcW w:w="1216" w:type="dxa"/>
            <w:tcBorders>
              <w:left w:val="single" w:sz="4" w:space="0" w:color="70AD47" w:themeColor="accent6"/>
              <w:right w:val="single" w:sz="4" w:space="0" w:color="70AD47" w:themeColor="accent6"/>
            </w:tcBorders>
            <w:vAlign w:val="center"/>
            <w:hideMark/>
          </w:tcPr>
          <w:p w14:paraId="61491C48" w14:textId="77777777" w:rsidR="00D80C18" w:rsidRPr="00F169DF" w:rsidRDefault="00D80C18" w:rsidP="004C494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6"/>
                <w:lang w:eastAsia="es-MX"/>
              </w:rPr>
            </w:pPr>
            <w:r w:rsidRPr="00F169DF">
              <w:rPr>
                <w:rFonts w:ascii="ITC Avant Garde" w:eastAsia="Times New Roman" w:hAnsi="ITC Avant Garde" w:cs="Calibri"/>
                <w:color w:val="FFFFFF"/>
                <w:sz w:val="18"/>
                <w:szCs w:val="16"/>
                <w:lang w:eastAsia="es-MX"/>
              </w:rPr>
              <w:t>Medio de recepción</w:t>
            </w:r>
          </w:p>
        </w:tc>
        <w:tc>
          <w:tcPr>
            <w:tcW w:w="0" w:type="dxa"/>
            <w:tcBorders>
              <w:left w:val="single" w:sz="4" w:space="0" w:color="70AD47" w:themeColor="accent6"/>
            </w:tcBorders>
            <w:vAlign w:val="center"/>
            <w:hideMark/>
          </w:tcPr>
          <w:p w14:paraId="4CCEDE88" w14:textId="77777777" w:rsidR="00D80C18" w:rsidRPr="00F169DF" w:rsidRDefault="00D80C18" w:rsidP="004C494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FFFFFF"/>
                <w:sz w:val="18"/>
                <w:szCs w:val="16"/>
                <w:lang w:eastAsia="es-MX"/>
              </w:rPr>
            </w:pPr>
            <w:r w:rsidRPr="00F169DF">
              <w:rPr>
                <w:rFonts w:ascii="ITC Avant Garde" w:eastAsia="Times New Roman" w:hAnsi="ITC Avant Garde" w:cs="Calibri"/>
                <w:color w:val="FFFFFF"/>
                <w:sz w:val="18"/>
                <w:szCs w:val="16"/>
                <w:lang w:eastAsia="es-MX"/>
              </w:rPr>
              <w:t>Fecha de recepción</w:t>
            </w:r>
          </w:p>
        </w:tc>
      </w:tr>
      <w:tr w:rsidR="00D80C18" w:rsidRPr="00E835EB" w14:paraId="2A371A9F" w14:textId="77777777" w:rsidTr="00572DB3">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70AD47" w:themeColor="accent6"/>
              <w:right w:val="single" w:sz="4" w:space="0" w:color="70AD47" w:themeColor="accent6"/>
            </w:tcBorders>
            <w:vAlign w:val="center"/>
          </w:tcPr>
          <w:p w14:paraId="1971729D" w14:textId="5DF01582" w:rsidR="00D80C18" w:rsidRPr="00F169DF" w:rsidRDefault="00D80C18" w:rsidP="004C4941">
            <w:pPr>
              <w:jc w:val="center"/>
              <w:rPr>
                <w:rFonts w:ascii="ITC Avant Garde" w:eastAsia="Times New Roman" w:hAnsi="ITC Avant Garde" w:cs="Calibri"/>
                <w:b w:val="0"/>
                <w:sz w:val="18"/>
                <w:szCs w:val="16"/>
                <w:u w:val="single"/>
                <w:lang w:eastAsia="es-MX"/>
              </w:rPr>
            </w:pPr>
            <w:r w:rsidRPr="00F169DF">
              <w:rPr>
                <w:rFonts w:ascii="ITC Avant Garde" w:eastAsia="Times New Roman" w:hAnsi="ITC Avant Garde" w:cs="Calibri"/>
                <w:b w:val="0"/>
                <w:sz w:val="18"/>
                <w:szCs w:val="16"/>
                <w:u w:val="single"/>
                <w:lang w:eastAsia="es-MX"/>
              </w:rPr>
              <w:t>1</w:t>
            </w:r>
          </w:p>
        </w:tc>
        <w:tc>
          <w:tcPr>
            <w:tcW w:w="0" w:type="dxa"/>
            <w:tcBorders>
              <w:left w:val="single" w:sz="4" w:space="0" w:color="70AD47" w:themeColor="accent6"/>
              <w:right w:val="single" w:sz="4" w:space="0" w:color="70AD47" w:themeColor="accent6"/>
            </w:tcBorders>
            <w:noWrap/>
            <w:vAlign w:val="center"/>
          </w:tcPr>
          <w:p w14:paraId="4BB84AEB" w14:textId="01972E41"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6"/>
                <w:lang w:eastAsia="es-MX"/>
              </w:rPr>
            </w:pPr>
            <w:r w:rsidRPr="00F169DF">
              <w:rPr>
                <w:rFonts w:ascii="ITC Avant Garde" w:eastAsia="Times New Roman" w:hAnsi="ITC Avant Garde" w:cs="Calibri"/>
                <w:sz w:val="18"/>
                <w:szCs w:val="16"/>
                <w:lang w:eastAsia="es-MX"/>
              </w:rPr>
              <w:t>20210420-CP57_64GHz-001</w:t>
            </w:r>
          </w:p>
        </w:tc>
        <w:tc>
          <w:tcPr>
            <w:tcW w:w="0" w:type="dxa"/>
            <w:tcBorders>
              <w:left w:val="single" w:sz="4" w:space="0" w:color="70AD47" w:themeColor="accent6"/>
              <w:right w:val="single" w:sz="4" w:space="0" w:color="70AD47" w:themeColor="accent6"/>
            </w:tcBorders>
            <w:vAlign w:val="center"/>
          </w:tcPr>
          <w:p w14:paraId="781EEC77" w14:textId="503BD445"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Nancy Bárbara Jáuregui Liberato, Sony de México, SA. de C.V.</w:t>
            </w:r>
          </w:p>
        </w:tc>
        <w:tc>
          <w:tcPr>
            <w:tcW w:w="1216" w:type="dxa"/>
            <w:tcBorders>
              <w:left w:val="single" w:sz="4" w:space="0" w:color="70AD47" w:themeColor="accent6"/>
              <w:right w:val="single" w:sz="4" w:space="0" w:color="70AD47" w:themeColor="accent6"/>
            </w:tcBorders>
            <w:noWrap/>
            <w:vAlign w:val="center"/>
          </w:tcPr>
          <w:p w14:paraId="3177F968" w14:textId="50D8CC9A"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Correo electrónico</w:t>
            </w:r>
          </w:p>
        </w:tc>
        <w:tc>
          <w:tcPr>
            <w:tcW w:w="0" w:type="dxa"/>
            <w:tcBorders>
              <w:left w:val="single" w:sz="4" w:space="0" w:color="70AD47" w:themeColor="accent6"/>
              <w:right w:val="single" w:sz="4" w:space="0" w:color="70AD47" w:themeColor="accent6"/>
            </w:tcBorders>
            <w:noWrap/>
            <w:vAlign w:val="center"/>
          </w:tcPr>
          <w:p w14:paraId="62A7E093" w14:textId="7DBE312D"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20/04/2021</w:t>
            </w:r>
          </w:p>
        </w:tc>
      </w:tr>
      <w:tr w:rsidR="00D80C18" w:rsidRPr="00E835EB" w14:paraId="576286EC" w14:textId="77777777" w:rsidTr="00572DB3">
        <w:trPr>
          <w:trHeight w:val="593"/>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70AD47" w:themeColor="accent6"/>
              <w:right w:val="single" w:sz="4" w:space="0" w:color="70AD47" w:themeColor="accent6"/>
            </w:tcBorders>
            <w:vAlign w:val="center"/>
          </w:tcPr>
          <w:p w14:paraId="258BB470" w14:textId="5E75F205" w:rsidR="00D80C18" w:rsidRPr="00F169DF" w:rsidRDefault="00D80C18" w:rsidP="004C4941">
            <w:pPr>
              <w:jc w:val="center"/>
              <w:rPr>
                <w:rFonts w:ascii="ITC Avant Garde" w:eastAsia="Times New Roman" w:hAnsi="ITC Avant Garde" w:cs="Calibri"/>
                <w:b w:val="0"/>
                <w:sz w:val="18"/>
                <w:szCs w:val="16"/>
                <w:u w:val="single"/>
                <w:lang w:eastAsia="es-MX"/>
              </w:rPr>
            </w:pPr>
            <w:r w:rsidRPr="00F169DF">
              <w:rPr>
                <w:rFonts w:ascii="ITC Avant Garde" w:eastAsia="Times New Roman" w:hAnsi="ITC Avant Garde" w:cs="Calibri"/>
                <w:b w:val="0"/>
                <w:sz w:val="18"/>
                <w:szCs w:val="16"/>
                <w:u w:val="single"/>
                <w:lang w:eastAsia="es-MX"/>
              </w:rPr>
              <w:t>2</w:t>
            </w:r>
          </w:p>
        </w:tc>
        <w:tc>
          <w:tcPr>
            <w:tcW w:w="0" w:type="dxa"/>
            <w:tcBorders>
              <w:left w:val="single" w:sz="4" w:space="0" w:color="70AD47" w:themeColor="accent6"/>
              <w:right w:val="single" w:sz="4" w:space="0" w:color="70AD47" w:themeColor="accent6"/>
            </w:tcBorders>
            <w:noWrap/>
            <w:vAlign w:val="center"/>
          </w:tcPr>
          <w:p w14:paraId="1F04FFC2" w14:textId="3ADB5112" w:rsidR="00D80C18" w:rsidRPr="00F169DF" w:rsidRDefault="00D80C18" w:rsidP="004C494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6"/>
                <w:lang w:eastAsia="es-MX"/>
              </w:rPr>
            </w:pPr>
            <w:r w:rsidRPr="00F169DF">
              <w:rPr>
                <w:rFonts w:ascii="ITC Avant Garde" w:eastAsia="Times New Roman" w:hAnsi="ITC Avant Garde" w:cs="Calibri"/>
                <w:sz w:val="18"/>
                <w:szCs w:val="16"/>
                <w:lang w:eastAsia="es-MX"/>
              </w:rPr>
              <w:t>20210420-CP57_64GHz-002</w:t>
            </w:r>
          </w:p>
        </w:tc>
        <w:tc>
          <w:tcPr>
            <w:tcW w:w="0" w:type="dxa"/>
            <w:tcBorders>
              <w:left w:val="single" w:sz="4" w:space="0" w:color="70AD47" w:themeColor="accent6"/>
              <w:right w:val="single" w:sz="4" w:space="0" w:color="70AD47" w:themeColor="accent6"/>
            </w:tcBorders>
            <w:vAlign w:val="center"/>
          </w:tcPr>
          <w:p w14:paraId="1DD47F95" w14:textId="0C4AB7C8" w:rsidR="00D80C18" w:rsidRPr="00F169DF" w:rsidRDefault="00D80C18" w:rsidP="004C494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Philipp Schindler, Google LLC</w:t>
            </w:r>
          </w:p>
        </w:tc>
        <w:tc>
          <w:tcPr>
            <w:tcW w:w="1216" w:type="dxa"/>
            <w:tcBorders>
              <w:left w:val="single" w:sz="4" w:space="0" w:color="70AD47" w:themeColor="accent6"/>
              <w:right w:val="single" w:sz="4" w:space="0" w:color="70AD47" w:themeColor="accent6"/>
            </w:tcBorders>
            <w:noWrap/>
            <w:vAlign w:val="center"/>
          </w:tcPr>
          <w:p w14:paraId="327485AD" w14:textId="0983FD71" w:rsidR="00D80C18" w:rsidRPr="00F169DF" w:rsidRDefault="00D80C18" w:rsidP="004C494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Correo electrónico</w:t>
            </w:r>
          </w:p>
        </w:tc>
        <w:tc>
          <w:tcPr>
            <w:tcW w:w="0" w:type="dxa"/>
            <w:tcBorders>
              <w:left w:val="single" w:sz="4" w:space="0" w:color="70AD47" w:themeColor="accent6"/>
              <w:right w:val="single" w:sz="4" w:space="0" w:color="70AD47" w:themeColor="accent6"/>
            </w:tcBorders>
            <w:noWrap/>
            <w:vAlign w:val="center"/>
          </w:tcPr>
          <w:p w14:paraId="3B391B35" w14:textId="21F3762E" w:rsidR="00D80C18" w:rsidRPr="00F169DF" w:rsidRDefault="00D80C18" w:rsidP="004C494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20/04/2021</w:t>
            </w:r>
          </w:p>
        </w:tc>
      </w:tr>
      <w:tr w:rsidR="00D80C18" w:rsidRPr="00E835EB" w14:paraId="2B3A0E4E" w14:textId="77777777" w:rsidTr="00572DB3">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70AD47" w:themeColor="accent6"/>
              <w:right w:val="single" w:sz="4" w:space="0" w:color="70AD47" w:themeColor="accent6"/>
            </w:tcBorders>
            <w:vAlign w:val="center"/>
          </w:tcPr>
          <w:p w14:paraId="01E908D1" w14:textId="0C226BC5" w:rsidR="00D80C18" w:rsidRPr="00F169DF" w:rsidRDefault="00D80C18" w:rsidP="004C4941">
            <w:pPr>
              <w:jc w:val="center"/>
              <w:rPr>
                <w:rFonts w:ascii="ITC Avant Garde" w:eastAsia="Times New Roman" w:hAnsi="ITC Avant Garde" w:cs="Calibri"/>
                <w:b w:val="0"/>
                <w:sz w:val="18"/>
                <w:szCs w:val="16"/>
                <w:u w:val="single"/>
                <w:lang w:eastAsia="es-MX"/>
              </w:rPr>
            </w:pPr>
            <w:r w:rsidRPr="00F169DF">
              <w:rPr>
                <w:rFonts w:ascii="ITC Avant Garde" w:eastAsia="Times New Roman" w:hAnsi="ITC Avant Garde" w:cs="Calibri"/>
                <w:b w:val="0"/>
                <w:sz w:val="18"/>
                <w:szCs w:val="16"/>
                <w:u w:val="single"/>
                <w:lang w:eastAsia="es-MX"/>
              </w:rPr>
              <w:t>3</w:t>
            </w:r>
          </w:p>
        </w:tc>
        <w:tc>
          <w:tcPr>
            <w:tcW w:w="0" w:type="dxa"/>
            <w:tcBorders>
              <w:left w:val="single" w:sz="4" w:space="0" w:color="70AD47" w:themeColor="accent6"/>
              <w:right w:val="single" w:sz="4" w:space="0" w:color="70AD47" w:themeColor="accent6"/>
            </w:tcBorders>
            <w:noWrap/>
            <w:vAlign w:val="center"/>
          </w:tcPr>
          <w:p w14:paraId="6403DD11" w14:textId="2D074D04"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6"/>
                <w:lang w:eastAsia="es-MX"/>
              </w:rPr>
            </w:pPr>
            <w:r w:rsidRPr="00F169DF">
              <w:rPr>
                <w:rFonts w:ascii="ITC Avant Garde" w:eastAsia="Times New Roman" w:hAnsi="ITC Avant Garde" w:cs="Calibri"/>
                <w:sz w:val="18"/>
                <w:szCs w:val="16"/>
                <w:lang w:eastAsia="es-MX"/>
              </w:rPr>
              <w:t>20210420-CP57_64GHz-003</w:t>
            </w:r>
          </w:p>
        </w:tc>
        <w:tc>
          <w:tcPr>
            <w:tcW w:w="0" w:type="dxa"/>
            <w:tcBorders>
              <w:left w:val="single" w:sz="4" w:space="0" w:color="70AD47" w:themeColor="accent6"/>
              <w:right w:val="single" w:sz="4" w:space="0" w:color="70AD47" w:themeColor="accent6"/>
            </w:tcBorders>
            <w:vAlign w:val="center"/>
          </w:tcPr>
          <w:p w14:paraId="0344B64A" w14:textId="7F7E32FB"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 xml:space="preserve">Enrique Espejel Caso, Facebook </w:t>
            </w:r>
            <w:proofErr w:type="spellStart"/>
            <w:r w:rsidRPr="00F169DF">
              <w:rPr>
                <w:rFonts w:ascii="ITC Avant Garde" w:eastAsia="Times New Roman" w:hAnsi="ITC Avant Garde" w:cs="Calibri"/>
                <w:color w:val="000000"/>
                <w:sz w:val="18"/>
                <w:szCs w:val="16"/>
                <w:lang w:eastAsia="es-MX"/>
              </w:rPr>
              <w:t>Inc</w:t>
            </w:r>
            <w:proofErr w:type="spellEnd"/>
          </w:p>
        </w:tc>
        <w:tc>
          <w:tcPr>
            <w:tcW w:w="1216" w:type="dxa"/>
            <w:tcBorders>
              <w:left w:val="single" w:sz="4" w:space="0" w:color="70AD47" w:themeColor="accent6"/>
              <w:right w:val="single" w:sz="4" w:space="0" w:color="70AD47" w:themeColor="accent6"/>
            </w:tcBorders>
            <w:noWrap/>
            <w:vAlign w:val="center"/>
          </w:tcPr>
          <w:p w14:paraId="7E11E894" w14:textId="05DF028C"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Correo electrónico</w:t>
            </w:r>
          </w:p>
        </w:tc>
        <w:tc>
          <w:tcPr>
            <w:tcW w:w="0" w:type="dxa"/>
            <w:tcBorders>
              <w:left w:val="single" w:sz="4" w:space="0" w:color="70AD47" w:themeColor="accent6"/>
              <w:right w:val="single" w:sz="4" w:space="0" w:color="70AD47" w:themeColor="accent6"/>
            </w:tcBorders>
            <w:noWrap/>
            <w:vAlign w:val="center"/>
          </w:tcPr>
          <w:p w14:paraId="101482B6" w14:textId="28B235DC" w:rsidR="00D80C18" w:rsidRPr="00F169DF" w:rsidRDefault="00D80C18" w:rsidP="004C494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6"/>
                <w:lang w:eastAsia="es-MX"/>
              </w:rPr>
            </w:pPr>
            <w:r w:rsidRPr="00F169DF">
              <w:rPr>
                <w:rFonts w:ascii="ITC Avant Garde" w:eastAsia="Times New Roman" w:hAnsi="ITC Avant Garde" w:cs="Calibri"/>
                <w:color w:val="000000"/>
                <w:sz w:val="18"/>
                <w:szCs w:val="16"/>
                <w:lang w:eastAsia="es-MX"/>
              </w:rPr>
              <w:t>20/04/2021</w:t>
            </w:r>
          </w:p>
        </w:tc>
      </w:tr>
    </w:tbl>
    <w:p w14:paraId="310A7B58" w14:textId="455BF7AC" w:rsidR="00E62709" w:rsidRPr="003C224B" w:rsidRDefault="000A225E" w:rsidP="004C4941">
      <w:pPr>
        <w:pStyle w:val="Prrafodelista"/>
        <w:ind w:left="567"/>
        <w:contextualSpacing w:val="0"/>
        <w:jc w:val="center"/>
        <w:rPr>
          <w:rFonts w:ascii="ITC Avant Garde" w:hAnsi="ITC Avant Garde"/>
          <w:i/>
          <w:color w:val="000000"/>
          <w:sz w:val="20"/>
          <w:szCs w:val="20"/>
          <w:shd w:val="clear" w:color="auto" w:fill="FFFFFF"/>
        </w:rPr>
      </w:pPr>
      <w:r w:rsidRPr="00022433">
        <w:rPr>
          <w:rFonts w:ascii="ITC Avant Garde" w:hAnsi="ITC Avant Garde"/>
          <w:i/>
          <w:color w:val="000000"/>
          <w:sz w:val="18"/>
          <w:szCs w:val="20"/>
          <w:shd w:val="clear" w:color="auto" w:fill="FFFFFF"/>
        </w:rPr>
        <w:t xml:space="preserve">Tabla 1. </w:t>
      </w:r>
      <w:proofErr w:type="gramStart"/>
      <w:r w:rsidR="00022433" w:rsidRPr="00022433">
        <w:rPr>
          <w:rFonts w:ascii="ITC Avant Garde" w:hAnsi="ITC Avant Garde"/>
          <w:i/>
          <w:color w:val="000000"/>
          <w:sz w:val="18"/>
          <w:szCs w:val="20"/>
          <w:shd w:val="clear" w:color="auto" w:fill="FFFFFF"/>
        </w:rPr>
        <w:t>Total</w:t>
      </w:r>
      <w:proofErr w:type="gramEnd"/>
      <w:r w:rsidRPr="00022433">
        <w:rPr>
          <w:rFonts w:ascii="ITC Avant Garde" w:hAnsi="ITC Avant Garde"/>
          <w:i/>
          <w:color w:val="000000"/>
          <w:sz w:val="18"/>
          <w:szCs w:val="20"/>
          <w:shd w:val="clear" w:color="auto" w:fill="FFFFFF"/>
        </w:rPr>
        <w:t xml:space="preserve"> de participantes en la Consulta Pública</w:t>
      </w:r>
    </w:p>
    <w:p w14:paraId="049547EF" w14:textId="10E6A611" w:rsidR="00E62709" w:rsidRPr="00E835EB" w:rsidRDefault="00E835EB" w:rsidP="004C4941">
      <w:pPr>
        <w:pStyle w:val="Prrafodelista"/>
        <w:numPr>
          <w:ilvl w:val="0"/>
          <w:numId w:val="1"/>
        </w:numPr>
        <w:spacing w:before="160"/>
        <w:ind w:left="714" w:hanging="357"/>
        <w:contextualSpacing w:val="0"/>
        <w:jc w:val="both"/>
        <w:rPr>
          <w:rFonts w:ascii="ITC Avant Garde" w:hAnsi="ITC Avant Garde"/>
          <w:color w:val="000000"/>
          <w:sz w:val="20"/>
          <w:szCs w:val="20"/>
          <w:shd w:val="clear" w:color="auto" w:fill="FFFFFF"/>
        </w:rPr>
      </w:pPr>
      <w:r w:rsidRPr="004552F6">
        <w:rPr>
          <w:rFonts w:ascii="ITC Avant Garde" w:hAnsi="ITC Avant Garde"/>
          <w:b/>
          <w:color w:val="000000"/>
          <w:sz w:val="20"/>
          <w:szCs w:val="20"/>
          <w:shd w:val="clear" w:color="auto" w:fill="FFFFFF"/>
        </w:rPr>
        <w:lastRenderedPageBreak/>
        <w:t>Comentarios, observaciones, propuestas y/o aportaciones específicas sobre el Anteproyecto</w:t>
      </w:r>
      <w:r w:rsidR="00C359C8">
        <w:rPr>
          <w:rFonts w:ascii="ITC Avant Garde" w:hAnsi="ITC Avant Garde"/>
          <w:b/>
          <w:color w:val="000000"/>
          <w:sz w:val="20"/>
          <w:szCs w:val="20"/>
          <w:shd w:val="clear" w:color="auto" w:fill="FFFFFF"/>
        </w:rPr>
        <w:t xml:space="preserve"> de Acuerdo</w:t>
      </w:r>
      <w:r>
        <w:rPr>
          <w:rFonts w:ascii="ITC Avant Garde" w:hAnsi="ITC Avant Garde"/>
          <w:b/>
          <w:color w:val="000000"/>
          <w:sz w:val="20"/>
          <w:szCs w:val="20"/>
          <w:shd w:val="clear" w:color="auto" w:fill="FFFFFF"/>
        </w:rPr>
        <w:t>:</w:t>
      </w:r>
    </w:p>
    <w:p w14:paraId="450F292B" w14:textId="2B0D83AD" w:rsidR="006B3AD9" w:rsidRDefault="006B3AD9" w:rsidP="004C4941">
      <w:pPr>
        <w:jc w:val="both"/>
        <w:rPr>
          <w:rFonts w:ascii="ITC Avant Garde" w:hAnsi="ITC Avant Garde"/>
          <w:color w:val="000000"/>
          <w:sz w:val="20"/>
          <w:szCs w:val="20"/>
          <w:shd w:val="clear" w:color="auto" w:fill="FFFFFF"/>
        </w:rPr>
      </w:pPr>
      <w:r w:rsidRPr="006B3AD9">
        <w:rPr>
          <w:rFonts w:ascii="ITC Avant Garde" w:hAnsi="ITC Avant Garde"/>
          <w:color w:val="000000"/>
          <w:sz w:val="20"/>
          <w:szCs w:val="20"/>
          <w:shd w:val="clear" w:color="auto" w:fill="FFFFFF"/>
        </w:rPr>
        <w:t xml:space="preserve">En la </w:t>
      </w:r>
      <w:r>
        <w:rPr>
          <w:rFonts w:ascii="ITC Avant Garde" w:hAnsi="ITC Avant Garde"/>
          <w:color w:val="000000"/>
          <w:sz w:val="20"/>
          <w:szCs w:val="20"/>
          <w:shd w:val="clear" w:color="auto" w:fill="FFFFFF"/>
        </w:rPr>
        <w:t>presente</w:t>
      </w:r>
      <w:r w:rsidRPr="006B3AD9">
        <w:rPr>
          <w:rFonts w:ascii="ITC Avant Garde" w:hAnsi="ITC Avant Garde"/>
          <w:color w:val="000000"/>
          <w:sz w:val="20"/>
          <w:szCs w:val="20"/>
          <w:shd w:val="clear" w:color="auto" w:fill="FFFFFF"/>
        </w:rPr>
        <w:t xml:space="preserve"> sección se hace una descripción general de los temas que fueron de interés </w:t>
      </w:r>
      <w:r w:rsidRPr="001D6A26">
        <w:rPr>
          <w:rFonts w:ascii="ITC Avant Garde" w:hAnsi="ITC Avant Garde"/>
          <w:color w:val="000000"/>
          <w:sz w:val="20"/>
          <w:szCs w:val="20"/>
          <w:shd w:val="clear" w:color="auto" w:fill="FFFFFF"/>
        </w:rPr>
        <w:t>para las personas participantes</w:t>
      </w:r>
      <w:r w:rsidR="00AA0D0A" w:rsidRPr="001D6A26">
        <w:rPr>
          <w:rFonts w:ascii="ITC Avant Garde" w:hAnsi="ITC Avant Garde"/>
          <w:color w:val="000000"/>
          <w:sz w:val="20"/>
          <w:szCs w:val="20"/>
          <w:shd w:val="clear" w:color="auto" w:fill="FFFFFF"/>
        </w:rPr>
        <w:t xml:space="preserve"> </w:t>
      </w:r>
      <w:r w:rsidR="00494259">
        <w:rPr>
          <w:rFonts w:ascii="ITC Avant Garde" w:hAnsi="ITC Avant Garde"/>
          <w:color w:val="000000"/>
          <w:sz w:val="20"/>
          <w:szCs w:val="20"/>
          <w:shd w:val="clear" w:color="auto" w:fill="FFFFFF"/>
        </w:rPr>
        <w:t xml:space="preserve">y, </w:t>
      </w:r>
      <w:r w:rsidR="00507B2B">
        <w:rPr>
          <w:rFonts w:ascii="ITC Avant Garde" w:hAnsi="ITC Avant Garde"/>
          <w:color w:val="000000"/>
          <w:sz w:val="20"/>
          <w:szCs w:val="20"/>
          <w:shd w:val="clear" w:color="auto" w:fill="FFFFFF"/>
        </w:rPr>
        <w:t>expuestos</w:t>
      </w:r>
      <w:r w:rsidR="00695BBD">
        <w:rPr>
          <w:rFonts w:ascii="ITC Avant Garde" w:hAnsi="ITC Avant Garde"/>
          <w:color w:val="000000"/>
          <w:sz w:val="20"/>
          <w:szCs w:val="20"/>
          <w:shd w:val="clear" w:color="auto" w:fill="FFFFFF"/>
        </w:rPr>
        <w:t xml:space="preserve"> </w:t>
      </w:r>
      <w:r w:rsidR="00AA0D0A" w:rsidRPr="001D6A26">
        <w:rPr>
          <w:rFonts w:ascii="ITC Avant Garde" w:hAnsi="ITC Avant Garde"/>
          <w:color w:val="000000"/>
          <w:sz w:val="20"/>
          <w:szCs w:val="20"/>
          <w:shd w:val="clear" w:color="auto" w:fill="FFFFFF"/>
        </w:rPr>
        <w:t>en el</w:t>
      </w:r>
      <w:r w:rsidRPr="001D6A26">
        <w:rPr>
          <w:rFonts w:ascii="ITC Avant Garde" w:hAnsi="ITC Avant Garde"/>
          <w:color w:val="000000"/>
          <w:sz w:val="20"/>
          <w:szCs w:val="20"/>
          <w:shd w:val="clear" w:color="auto" w:fill="FFFFFF"/>
        </w:rPr>
        <w:t xml:space="preserve"> orden en que cada uno de estos fueron </w:t>
      </w:r>
      <w:proofErr w:type="gramStart"/>
      <w:r w:rsidRPr="001D6A26">
        <w:rPr>
          <w:rFonts w:ascii="ITC Avant Garde" w:hAnsi="ITC Avant Garde"/>
          <w:color w:val="000000"/>
          <w:sz w:val="20"/>
          <w:szCs w:val="20"/>
          <w:shd w:val="clear" w:color="auto" w:fill="FFFFFF"/>
        </w:rPr>
        <w:t>presentados</w:t>
      </w:r>
      <w:proofErr w:type="gramEnd"/>
      <w:r w:rsidRPr="001D6A26">
        <w:rPr>
          <w:rFonts w:ascii="ITC Avant Garde" w:hAnsi="ITC Avant Garde"/>
          <w:color w:val="000000"/>
          <w:sz w:val="20"/>
          <w:szCs w:val="20"/>
          <w:shd w:val="clear" w:color="auto" w:fill="FFFFFF"/>
        </w:rPr>
        <w:t>. Así mismo, conforme</w:t>
      </w:r>
      <w:r w:rsidRPr="006B3AD9">
        <w:rPr>
          <w:rFonts w:ascii="ITC Avant Garde" w:hAnsi="ITC Avant Garde"/>
          <w:color w:val="000000"/>
          <w:sz w:val="20"/>
          <w:szCs w:val="20"/>
          <w:shd w:val="clear" w:color="auto" w:fill="FFFFFF"/>
        </w:rPr>
        <w:t xml:space="preserve"> a lo establecido en el numeral NOVENO de los “Lineamientos de Consulta Pública y Análisis de Impacto Regulatorio del Instituto”, publicados en el D</w:t>
      </w:r>
      <w:r w:rsidR="00903952">
        <w:rPr>
          <w:rFonts w:ascii="ITC Avant Garde" w:hAnsi="ITC Avant Garde"/>
          <w:color w:val="000000"/>
          <w:sz w:val="20"/>
          <w:szCs w:val="20"/>
          <w:shd w:val="clear" w:color="auto" w:fill="FFFFFF"/>
        </w:rPr>
        <w:t>OF</w:t>
      </w:r>
      <w:r w:rsidRPr="006B3AD9">
        <w:rPr>
          <w:rFonts w:ascii="ITC Avant Garde" w:hAnsi="ITC Avant Garde"/>
          <w:color w:val="000000"/>
          <w:sz w:val="20"/>
          <w:szCs w:val="20"/>
          <w:shd w:val="clear" w:color="auto" w:fill="FFFFFF"/>
        </w:rPr>
        <w:t xml:space="preserve"> el 8 de noviembre de 2017, se presenta una respuesta o posicionamiento de manera agrupada acerca de la información que los participantes hayan aportado.</w:t>
      </w:r>
    </w:p>
    <w:p w14:paraId="5C839EA3" w14:textId="53A5A027" w:rsidR="00572E4F" w:rsidRDefault="00E835EB" w:rsidP="004C4941">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El Instituto agradece </w:t>
      </w:r>
      <w:r w:rsidR="00DD0CED">
        <w:rPr>
          <w:rFonts w:ascii="ITC Avant Garde" w:hAnsi="ITC Avant Garde"/>
          <w:color w:val="000000"/>
          <w:sz w:val="20"/>
          <w:szCs w:val="20"/>
          <w:shd w:val="clear" w:color="auto" w:fill="FFFFFF"/>
        </w:rPr>
        <w:t>la parti</w:t>
      </w:r>
      <w:r w:rsidR="005B2EBA">
        <w:rPr>
          <w:rFonts w:ascii="ITC Avant Garde" w:hAnsi="ITC Avant Garde"/>
          <w:color w:val="000000"/>
          <w:sz w:val="20"/>
          <w:szCs w:val="20"/>
          <w:shd w:val="clear" w:color="auto" w:fill="FFFFFF"/>
        </w:rPr>
        <w:t>ci</w:t>
      </w:r>
      <w:r w:rsidR="00DD0CED">
        <w:rPr>
          <w:rFonts w:ascii="ITC Avant Garde" w:hAnsi="ITC Avant Garde"/>
          <w:color w:val="000000"/>
          <w:sz w:val="20"/>
          <w:szCs w:val="20"/>
          <w:shd w:val="clear" w:color="auto" w:fill="FFFFFF"/>
        </w:rPr>
        <w:t xml:space="preserve">pación de </w:t>
      </w:r>
      <w:r w:rsidR="00D80C18">
        <w:rPr>
          <w:rFonts w:ascii="ITC Avant Garde" w:hAnsi="ITC Avant Garde"/>
          <w:color w:val="000000"/>
          <w:sz w:val="20"/>
          <w:szCs w:val="20"/>
          <w:shd w:val="clear" w:color="auto" w:fill="FFFFFF"/>
        </w:rPr>
        <w:t>todas las personas</w:t>
      </w:r>
      <w:r w:rsidR="005B2EBA">
        <w:rPr>
          <w:rFonts w:ascii="ITC Avant Garde" w:hAnsi="ITC Avant Garde"/>
          <w:color w:val="000000"/>
          <w:sz w:val="20"/>
          <w:szCs w:val="20"/>
          <w:shd w:val="clear" w:color="auto" w:fill="FFFFFF"/>
        </w:rPr>
        <w:t xml:space="preserve"> interesad</w:t>
      </w:r>
      <w:r w:rsidR="00D80C18">
        <w:rPr>
          <w:rFonts w:ascii="ITC Avant Garde" w:hAnsi="ITC Avant Garde"/>
          <w:color w:val="000000"/>
          <w:sz w:val="20"/>
          <w:szCs w:val="20"/>
          <w:shd w:val="clear" w:color="auto" w:fill="FFFFFF"/>
        </w:rPr>
        <w:t>a</w:t>
      </w:r>
      <w:r w:rsidR="005B2EBA">
        <w:rPr>
          <w:rFonts w:ascii="ITC Avant Garde" w:hAnsi="ITC Avant Garde"/>
          <w:color w:val="000000"/>
          <w:sz w:val="20"/>
          <w:szCs w:val="20"/>
          <w:shd w:val="clear" w:color="auto" w:fill="FFFFFF"/>
        </w:rPr>
        <w:t>s en la Consulta Pública</w:t>
      </w:r>
      <w:r w:rsidR="00572E4F">
        <w:rPr>
          <w:rFonts w:ascii="ITC Avant Garde" w:hAnsi="ITC Avant Garde"/>
          <w:color w:val="000000"/>
          <w:sz w:val="20"/>
          <w:szCs w:val="20"/>
          <w:shd w:val="clear" w:color="auto" w:fill="FFFFFF"/>
        </w:rPr>
        <w:t xml:space="preserve"> </w:t>
      </w:r>
      <w:r w:rsidR="00252850">
        <w:rPr>
          <w:rFonts w:ascii="ITC Avant Garde" w:hAnsi="ITC Avant Garde"/>
          <w:color w:val="000000"/>
          <w:sz w:val="20"/>
          <w:szCs w:val="20"/>
          <w:shd w:val="clear" w:color="auto" w:fill="FFFFFF"/>
        </w:rPr>
        <w:t>respecto del Anteproyecto</w:t>
      </w:r>
      <w:r w:rsidR="00572E4F">
        <w:rPr>
          <w:rFonts w:ascii="ITC Avant Garde" w:hAnsi="ITC Avant Garde"/>
          <w:color w:val="000000"/>
          <w:sz w:val="20"/>
          <w:szCs w:val="20"/>
          <w:shd w:val="clear" w:color="auto" w:fill="FFFFFF"/>
        </w:rPr>
        <w:t xml:space="preserve"> </w:t>
      </w:r>
      <w:r w:rsidR="00C359C8">
        <w:rPr>
          <w:rFonts w:ascii="ITC Avant Garde" w:hAnsi="ITC Avant Garde"/>
          <w:color w:val="000000"/>
          <w:sz w:val="20"/>
          <w:szCs w:val="20"/>
          <w:shd w:val="clear" w:color="auto" w:fill="FFFFFF"/>
        </w:rPr>
        <w:t>d</w:t>
      </w:r>
      <w:r w:rsidR="004F1D58" w:rsidRPr="004F1D58">
        <w:rPr>
          <w:rFonts w:ascii="ITC Avant Garde" w:hAnsi="ITC Avant Garde"/>
          <w:color w:val="000000"/>
          <w:sz w:val="20"/>
          <w:szCs w:val="20"/>
          <w:shd w:val="clear" w:color="auto" w:fill="FFFFFF"/>
        </w:rPr>
        <w:t xml:space="preserve">e </w:t>
      </w:r>
      <w:r w:rsidR="00494259" w:rsidRPr="00494259">
        <w:rPr>
          <w:rFonts w:ascii="ITC Avant Garde" w:hAnsi="ITC Avant Garde"/>
          <w:color w:val="000000"/>
          <w:sz w:val="20"/>
          <w:szCs w:val="20"/>
          <w:shd w:val="clear" w:color="auto" w:fill="FFFFFF"/>
        </w:rPr>
        <w:t>Acuerdo mediante el cual el Pleno del Instituto Federal de Telecomunicaciones determina someter a Consulta Pública el Anteproyecto de “Acuerdo mediante el cual el Pleno del Instituto Federal de Telecomunicaciones actualiza las condiciones técnicas de operación de la banda de frecuencias 57-64 GHz, clasificada como espectro libre”</w:t>
      </w:r>
      <w:r w:rsidR="00572E4F">
        <w:rPr>
          <w:rFonts w:ascii="ITC Avant Garde" w:hAnsi="ITC Avant Garde"/>
          <w:color w:val="000000"/>
          <w:sz w:val="20"/>
          <w:szCs w:val="20"/>
          <w:shd w:val="clear" w:color="auto" w:fill="FFFFFF"/>
        </w:rPr>
        <w:t xml:space="preserve">. </w:t>
      </w:r>
    </w:p>
    <w:p w14:paraId="76BE36D9" w14:textId="07C2BDA7" w:rsidR="00534F4B" w:rsidRDefault="00534F4B" w:rsidP="00534F4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Es preciso señalar los objetivos principales del Anteproyecto</w:t>
      </w:r>
      <w:r w:rsidR="00A12BFA">
        <w:rPr>
          <w:rFonts w:ascii="ITC Avant Garde" w:hAnsi="ITC Avant Garde"/>
          <w:color w:val="000000"/>
          <w:sz w:val="20"/>
          <w:szCs w:val="20"/>
          <w:shd w:val="clear" w:color="auto" w:fill="FFFFFF"/>
        </w:rPr>
        <w:t xml:space="preserve"> de Acuerdo</w:t>
      </w:r>
      <w:r w:rsidR="006979FE">
        <w:rPr>
          <w:rFonts w:ascii="ITC Avant Garde" w:hAnsi="ITC Avant Garde"/>
          <w:color w:val="000000"/>
          <w:sz w:val="20"/>
          <w:szCs w:val="20"/>
          <w:shd w:val="clear" w:color="auto" w:fill="FFFFFF"/>
        </w:rPr>
        <w:t xml:space="preserve">, estos </w:t>
      </w:r>
      <w:r>
        <w:rPr>
          <w:rFonts w:ascii="ITC Avant Garde" w:hAnsi="ITC Avant Garde"/>
          <w:color w:val="000000"/>
          <w:sz w:val="20"/>
          <w:szCs w:val="20"/>
          <w:shd w:val="clear" w:color="auto" w:fill="FFFFFF"/>
        </w:rPr>
        <w:t xml:space="preserve">consisten en: </w:t>
      </w:r>
      <w:r w:rsidRPr="00695BBD">
        <w:rPr>
          <w:rFonts w:ascii="ITC Avant Garde" w:hAnsi="ITC Avant Garde"/>
          <w:b/>
          <w:bCs/>
          <w:color w:val="000000"/>
          <w:sz w:val="20"/>
          <w:szCs w:val="20"/>
          <w:shd w:val="clear" w:color="auto" w:fill="FFFFFF"/>
        </w:rPr>
        <w:t>i)</w:t>
      </w:r>
      <w:r>
        <w:rPr>
          <w:rFonts w:ascii="ITC Avant Garde" w:hAnsi="ITC Avant Garde"/>
          <w:b/>
          <w:bCs/>
          <w:color w:val="000000"/>
          <w:sz w:val="20"/>
          <w:szCs w:val="20"/>
          <w:shd w:val="clear" w:color="auto" w:fill="FFFFFF"/>
        </w:rPr>
        <w:t xml:space="preserve"> </w:t>
      </w:r>
      <w:r>
        <w:rPr>
          <w:rFonts w:ascii="ITC Avant Garde" w:hAnsi="ITC Avant Garde"/>
          <w:color w:val="000000"/>
          <w:sz w:val="20"/>
          <w:szCs w:val="20"/>
          <w:shd w:val="clear" w:color="auto" w:fill="FFFFFF"/>
        </w:rPr>
        <w:t>establecer</w:t>
      </w:r>
      <w:r w:rsidRPr="00695BBD">
        <w:rPr>
          <w:rFonts w:ascii="ITC Avant Garde" w:hAnsi="ITC Avant Garde"/>
          <w:color w:val="000000"/>
          <w:sz w:val="20"/>
          <w:szCs w:val="20"/>
          <w:shd w:val="clear" w:color="auto" w:fill="FFFFFF"/>
        </w:rPr>
        <w:t xml:space="preserve"> las condiciones técnicas de operación para sensores de movimiento que podrían hacer uso de la banda 57-64 GHz, con el fin de propiciar el despliegue de nueva tecnología referente a sensores de movimiento en nuestro país y en consecuencia beneficiar al público en general</w:t>
      </w:r>
      <w:r>
        <w:rPr>
          <w:rFonts w:ascii="ITC Avant Garde" w:hAnsi="ITC Avant Garde"/>
          <w:color w:val="000000"/>
          <w:sz w:val="20"/>
          <w:szCs w:val="20"/>
          <w:shd w:val="clear" w:color="auto" w:fill="FFFFFF"/>
        </w:rPr>
        <w:t xml:space="preserve">; </w:t>
      </w:r>
      <w:proofErr w:type="spellStart"/>
      <w:r w:rsidRPr="006C00D5">
        <w:rPr>
          <w:rFonts w:ascii="ITC Avant Garde" w:hAnsi="ITC Avant Garde"/>
          <w:b/>
          <w:bCs/>
          <w:color w:val="000000"/>
          <w:sz w:val="20"/>
          <w:szCs w:val="20"/>
          <w:shd w:val="clear" w:color="auto" w:fill="FFFFFF"/>
        </w:rPr>
        <w:t>ii</w:t>
      </w:r>
      <w:proofErr w:type="spellEnd"/>
      <w:r w:rsidRPr="006C00D5">
        <w:rPr>
          <w:rFonts w:ascii="ITC Avant Garde" w:hAnsi="ITC Avant Garde"/>
          <w:b/>
          <w:bCs/>
          <w:color w:val="000000"/>
          <w:sz w:val="20"/>
          <w:szCs w:val="20"/>
          <w:shd w:val="clear" w:color="auto" w:fill="FFFFFF"/>
        </w:rPr>
        <w:t>)</w:t>
      </w:r>
      <w:r>
        <w:rPr>
          <w:rFonts w:ascii="ITC Avant Garde" w:hAnsi="ITC Avant Garde"/>
          <w:color w:val="000000"/>
          <w:sz w:val="20"/>
          <w:szCs w:val="20"/>
          <w:shd w:val="clear" w:color="auto" w:fill="FFFFFF"/>
        </w:rPr>
        <w:t xml:space="preserve"> a</w:t>
      </w:r>
      <w:r w:rsidRPr="00695BBD">
        <w:rPr>
          <w:rFonts w:ascii="ITC Avant Garde" w:hAnsi="ITC Avant Garde"/>
          <w:color w:val="000000"/>
          <w:sz w:val="20"/>
          <w:szCs w:val="20"/>
          <w:shd w:val="clear" w:color="auto" w:fill="FFFFFF"/>
        </w:rPr>
        <w:t>dministrar y fomentar el uso eficiente del espectro radioeléctrico en la banda 57-64 GHz</w:t>
      </w:r>
      <w:r>
        <w:rPr>
          <w:rFonts w:ascii="ITC Avant Garde" w:hAnsi="ITC Avant Garde"/>
          <w:color w:val="000000"/>
          <w:sz w:val="20"/>
          <w:szCs w:val="20"/>
          <w:shd w:val="clear" w:color="auto" w:fill="FFFFFF"/>
        </w:rPr>
        <w:t xml:space="preserve">; </w:t>
      </w:r>
      <w:proofErr w:type="spellStart"/>
      <w:r w:rsidRPr="006C00D5">
        <w:rPr>
          <w:rFonts w:ascii="ITC Avant Garde" w:hAnsi="ITC Avant Garde"/>
          <w:b/>
          <w:bCs/>
          <w:color w:val="000000"/>
          <w:sz w:val="20"/>
          <w:szCs w:val="20"/>
          <w:shd w:val="clear" w:color="auto" w:fill="FFFFFF"/>
        </w:rPr>
        <w:t>iii</w:t>
      </w:r>
      <w:proofErr w:type="spellEnd"/>
      <w:r w:rsidRPr="006C00D5">
        <w:rPr>
          <w:rFonts w:ascii="ITC Avant Garde" w:hAnsi="ITC Avant Garde"/>
          <w:b/>
          <w:bCs/>
          <w:color w:val="000000"/>
          <w:sz w:val="20"/>
          <w:szCs w:val="20"/>
          <w:shd w:val="clear" w:color="auto" w:fill="FFFFFF"/>
        </w:rPr>
        <w:t>)</w:t>
      </w:r>
      <w:r>
        <w:rPr>
          <w:rFonts w:ascii="ITC Avant Garde" w:hAnsi="ITC Avant Garde"/>
          <w:color w:val="000000"/>
          <w:sz w:val="20"/>
          <w:szCs w:val="20"/>
          <w:shd w:val="clear" w:color="auto" w:fill="FFFFFF"/>
        </w:rPr>
        <w:t xml:space="preserve"> p</w:t>
      </w:r>
      <w:r w:rsidRPr="00695BBD">
        <w:rPr>
          <w:rFonts w:ascii="ITC Avant Garde" w:hAnsi="ITC Avant Garde"/>
          <w:color w:val="000000"/>
          <w:sz w:val="20"/>
          <w:szCs w:val="20"/>
          <w:shd w:val="clear" w:color="auto" w:fill="FFFFFF"/>
        </w:rPr>
        <w:t>romover e impulsar condiciones para que el público en general tenga acceso a nuevas tecnologías y servicios de telecomunicaciones mediante el uso de la banda 57-64 GHz</w:t>
      </w:r>
      <w:r>
        <w:rPr>
          <w:rFonts w:ascii="ITC Avant Garde" w:hAnsi="ITC Avant Garde"/>
          <w:color w:val="000000"/>
          <w:sz w:val="20"/>
          <w:szCs w:val="20"/>
          <w:shd w:val="clear" w:color="auto" w:fill="FFFFFF"/>
        </w:rPr>
        <w:t xml:space="preserve">; </w:t>
      </w:r>
      <w:proofErr w:type="spellStart"/>
      <w:r w:rsidRPr="006C00D5">
        <w:rPr>
          <w:rFonts w:ascii="ITC Avant Garde" w:hAnsi="ITC Avant Garde"/>
          <w:b/>
          <w:bCs/>
          <w:color w:val="000000"/>
          <w:sz w:val="20"/>
          <w:szCs w:val="20"/>
          <w:shd w:val="clear" w:color="auto" w:fill="FFFFFF"/>
        </w:rPr>
        <w:t>iv</w:t>
      </w:r>
      <w:proofErr w:type="spellEnd"/>
      <w:r w:rsidRPr="006C00D5">
        <w:rPr>
          <w:rFonts w:ascii="ITC Avant Garde" w:hAnsi="ITC Avant Garde"/>
          <w:b/>
          <w:bCs/>
          <w:color w:val="000000"/>
          <w:sz w:val="20"/>
          <w:szCs w:val="20"/>
          <w:shd w:val="clear" w:color="auto" w:fill="FFFFFF"/>
        </w:rPr>
        <w:t>)</w:t>
      </w:r>
      <w:r>
        <w:rPr>
          <w:rFonts w:ascii="ITC Avant Garde" w:hAnsi="ITC Avant Garde"/>
          <w:color w:val="000000"/>
          <w:sz w:val="20"/>
          <w:szCs w:val="20"/>
          <w:shd w:val="clear" w:color="auto" w:fill="FFFFFF"/>
        </w:rPr>
        <w:t xml:space="preserve"> a</w:t>
      </w:r>
      <w:r w:rsidRPr="00695BBD">
        <w:rPr>
          <w:rFonts w:ascii="ITC Avant Garde" w:hAnsi="ITC Avant Garde"/>
          <w:color w:val="000000"/>
          <w:sz w:val="20"/>
          <w:szCs w:val="20"/>
          <w:shd w:val="clear" w:color="auto" w:fill="FFFFFF"/>
        </w:rPr>
        <w:t>crecentar la armonización en el uso del espectro radioeléctrico para los sensores de movimiento en la banda 57-64 GHz, con base en las mejores prácticas internacionales y los avances tecnológicos existentes</w:t>
      </w:r>
      <w:r>
        <w:rPr>
          <w:rFonts w:ascii="ITC Avant Garde" w:hAnsi="ITC Avant Garde"/>
          <w:color w:val="000000"/>
          <w:sz w:val="20"/>
          <w:szCs w:val="20"/>
          <w:shd w:val="clear" w:color="auto" w:fill="FFFFFF"/>
        </w:rPr>
        <w:t xml:space="preserve">; </w:t>
      </w:r>
      <w:r w:rsidRPr="006C00D5">
        <w:rPr>
          <w:rFonts w:ascii="ITC Avant Garde" w:hAnsi="ITC Avant Garde"/>
          <w:b/>
          <w:bCs/>
          <w:color w:val="000000"/>
          <w:sz w:val="20"/>
          <w:szCs w:val="20"/>
          <w:shd w:val="clear" w:color="auto" w:fill="FFFFFF"/>
        </w:rPr>
        <w:t>v)</w:t>
      </w:r>
      <w:r>
        <w:rPr>
          <w:rFonts w:ascii="ITC Avant Garde" w:hAnsi="ITC Avant Garde"/>
          <w:color w:val="000000"/>
          <w:sz w:val="20"/>
          <w:szCs w:val="20"/>
          <w:shd w:val="clear" w:color="auto" w:fill="FFFFFF"/>
        </w:rPr>
        <w:t xml:space="preserve"> i</w:t>
      </w:r>
      <w:r w:rsidRPr="00695BBD">
        <w:rPr>
          <w:rFonts w:ascii="ITC Avant Garde" w:hAnsi="ITC Avant Garde"/>
          <w:color w:val="000000"/>
          <w:sz w:val="20"/>
          <w:szCs w:val="20"/>
          <w:shd w:val="clear" w:color="auto" w:fill="FFFFFF"/>
        </w:rPr>
        <w:t>ncentivar la innovación tecnológica en el país al adicionar el acceso al espectro radioeléctrico para pruebas y experimentación de nuevos equipos o tecnologías relacionados con sensores de movimiento en la banda 57-64 GHz, sin necesidad de contar con una concesión para estos fines, y</w:t>
      </w:r>
      <w:r>
        <w:rPr>
          <w:rFonts w:ascii="ITC Avant Garde" w:hAnsi="ITC Avant Garde"/>
          <w:color w:val="000000"/>
          <w:sz w:val="20"/>
          <w:szCs w:val="20"/>
          <w:shd w:val="clear" w:color="auto" w:fill="FFFFFF"/>
        </w:rPr>
        <w:t xml:space="preserve"> </w:t>
      </w:r>
      <w:r w:rsidRPr="006C00D5">
        <w:rPr>
          <w:rFonts w:ascii="ITC Avant Garde" w:hAnsi="ITC Avant Garde"/>
          <w:b/>
          <w:bCs/>
          <w:color w:val="000000"/>
          <w:sz w:val="20"/>
          <w:szCs w:val="20"/>
          <w:shd w:val="clear" w:color="auto" w:fill="FFFFFF"/>
        </w:rPr>
        <w:t>vi)</w:t>
      </w:r>
      <w:r>
        <w:rPr>
          <w:rFonts w:ascii="ITC Avant Garde" w:hAnsi="ITC Avant Garde"/>
          <w:color w:val="000000"/>
          <w:sz w:val="20"/>
          <w:szCs w:val="20"/>
          <w:shd w:val="clear" w:color="auto" w:fill="FFFFFF"/>
        </w:rPr>
        <w:t xml:space="preserve"> f</w:t>
      </w:r>
      <w:r w:rsidRPr="00695BBD">
        <w:rPr>
          <w:rFonts w:ascii="ITC Avant Garde" w:hAnsi="ITC Avant Garde"/>
          <w:color w:val="000000"/>
          <w:sz w:val="20"/>
          <w:szCs w:val="20"/>
          <w:shd w:val="clear" w:color="auto" w:fill="FFFFFF"/>
        </w:rPr>
        <w:t>omentar la competencia en el mercado de las telecomunicaciones para la banda 57-64 GHz, con el objeto de lograr un mayor desarrollo en el sector.</w:t>
      </w:r>
    </w:p>
    <w:p w14:paraId="51903669" w14:textId="5B8914EB" w:rsidR="00005C5A" w:rsidRDefault="00B15F21" w:rsidP="004C4941">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En este sentido, los comentarios, observaciones, propuestas y/o aportaciones recibidos en el proceso de Consulta Pública</w:t>
      </w:r>
      <w:r w:rsidR="003347AE">
        <w:rPr>
          <w:rFonts w:ascii="ITC Avant Garde" w:hAnsi="ITC Avant Garde"/>
          <w:color w:val="000000"/>
          <w:sz w:val="20"/>
          <w:szCs w:val="20"/>
          <w:shd w:val="clear" w:color="auto" w:fill="FFFFFF"/>
        </w:rPr>
        <w:t xml:space="preserve"> podrán servir </w:t>
      </w:r>
      <w:r>
        <w:rPr>
          <w:rFonts w:ascii="ITC Avant Garde" w:hAnsi="ITC Avant Garde"/>
          <w:color w:val="000000"/>
          <w:sz w:val="20"/>
          <w:szCs w:val="20"/>
          <w:shd w:val="clear" w:color="auto" w:fill="FFFFFF"/>
        </w:rPr>
        <w:t xml:space="preserve">de apoyo para </w:t>
      </w:r>
      <w:r w:rsidR="003347AE">
        <w:rPr>
          <w:rFonts w:ascii="ITC Avant Garde" w:hAnsi="ITC Avant Garde"/>
          <w:color w:val="000000"/>
          <w:sz w:val="20"/>
          <w:szCs w:val="20"/>
          <w:shd w:val="clear" w:color="auto" w:fill="FFFFFF"/>
        </w:rPr>
        <w:t xml:space="preserve">que el </w:t>
      </w:r>
      <w:r>
        <w:rPr>
          <w:rFonts w:ascii="ITC Avant Garde" w:hAnsi="ITC Avant Garde"/>
          <w:color w:val="000000"/>
          <w:sz w:val="20"/>
          <w:szCs w:val="20"/>
          <w:shd w:val="clear" w:color="auto" w:fill="FFFFFF"/>
        </w:rPr>
        <w:t xml:space="preserve">Instituto pueda </w:t>
      </w:r>
      <w:r w:rsidR="001B550F">
        <w:rPr>
          <w:rFonts w:ascii="ITC Avant Garde" w:hAnsi="ITC Avant Garde"/>
          <w:color w:val="000000"/>
          <w:sz w:val="20"/>
          <w:szCs w:val="20"/>
          <w:shd w:val="clear" w:color="auto" w:fill="FFFFFF"/>
        </w:rPr>
        <w:t>fortalecer</w:t>
      </w:r>
      <w:r w:rsidR="0091784E">
        <w:rPr>
          <w:rFonts w:ascii="ITC Avant Garde" w:hAnsi="ITC Avant Garde"/>
          <w:color w:val="000000"/>
          <w:sz w:val="20"/>
          <w:szCs w:val="20"/>
          <w:shd w:val="clear" w:color="auto" w:fill="FFFFFF"/>
        </w:rPr>
        <w:t xml:space="preserve"> </w:t>
      </w:r>
      <w:r w:rsidR="001B550F">
        <w:rPr>
          <w:rFonts w:ascii="ITC Avant Garde" w:hAnsi="ITC Avant Garde"/>
          <w:color w:val="000000"/>
          <w:sz w:val="20"/>
          <w:szCs w:val="20"/>
          <w:shd w:val="clear" w:color="auto" w:fill="FFFFFF"/>
        </w:rPr>
        <w:t>e</w:t>
      </w:r>
      <w:r>
        <w:rPr>
          <w:rFonts w:ascii="ITC Avant Garde" w:hAnsi="ITC Avant Garde"/>
          <w:color w:val="000000"/>
          <w:sz w:val="20"/>
          <w:szCs w:val="20"/>
          <w:shd w:val="clear" w:color="auto" w:fill="FFFFFF"/>
        </w:rPr>
        <w:t xml:space="preserve">l Anteproyecto </w:t>
      </w:r>
      <w:r w:rsidR="00C359C8">
        <w:rPr>
          <w:rFonts w:ascii="ITC Avant Garde" w:hAnsi="ITC Avant Garde"/>
          <w:color w:val="000000"/>
          <w:sz w:val="20"/>
          <w:szCs w:val="20"/>
          <w:shd w:val="clear" w:color="auto" w:fill="FFFFFF"/>
        </w:rPr>
        <w:t xml:space="preserve">de Acuerdo </w:t>
      </w:r>
      <w:r>
        <w:rPr>
          <w:rFonts w:ascii="ITC Avant Garde" w:hAnsi="ITC Avant Garde"/>
          <w:color w:val="000000"/>
          <w:sz w:val="20"/>
          <w:szCs w:val="20"/>
          <w:shd w:val="clear" w:color="auto" w:fill="FFFFFF"/>
        </w:rPr>
        <w:t xml:space="preserve">antes mencionado y con ello </w:t>
      </w:r>
      <w:r w:rsidR="001B550F">
        <w:rPr>
          <w:rFonts w:ascii="ITC Avant Garde" w:hAnsi="ITC Avant Garde"/>
          <w:color w:val="000000"/>
          <w:sz w:val="20"/>
          <w:szCs w:val="20"/>
          <w:shd w:val="clear" w:color="auto" w:fill="FFFFFF"/>
        </w:rPr>
        <w:t>continuar con</w:t>
      </w:r>
      <w:r>
        <w:rPr>
          <w:rFonts w:ascii="ITC Avant Garde" w:hAnsi="ITC Avant Garde"/>
          <w:color w:val="000000"/>
          <w:sz w:val="20"/>
          <w:szCs w:val="20"/>
          <w:shd w:val="clear" w:color="auto" w:fill="FFFFFF"/>
        </w:rPr>
        <w:t xml:space="preserve"> una adecuada planeación, administración y control del espectro radioeléctrico </w:t>
      </w:r>
      <w:r w:rsidR="00055F0E">
        <w:rPr>
          <w:rFonts w:ascii="ITC Avant Garde" w:hAnsi="ITC Avant Garde"/>
          <w:color w:val="000000"/>
          <w:sz w:val="20"/>
          <w:szCs w:val="20"/>
          <w:shd w:val="clear" w:color="auto" w:fill="FFFFFF"/>
        </w:rPr>
        <w:t xml:space="preserve">que permita </w:t>
      </w:r>
      <w:r>
        <w:rPr>
          <w:rFonts w:ascii="ITC Avant Garde" w:hAnsi="ITC Avant Garde"/>
          <w:color w:val="000000"/>
          <w:sz w:val="20"/>
          <w:szCs w:val="20"/>
          <w:shd w:val="clear" w:color="auto" w:fill="FFFFFF"/>
        </w:rPr>
        <w:t>su uso y aprovechamien</w:t>
      </w:r>
      <w:r w:rsidR="00005C5A">
        <w:rPr>
          <w:rFonts w:ascii="ITC Avant Garde" w:hAnsi="ITC Avant Garde"/>
          <w:color w:val="000000"/>
          <w:sz w:val="20"/>
          <w:szCs w:val="20"/>
          <w:shd w:val="clear" w:color="auto" w:fill="FFFFFF"/>
        </w:rPr>
        <w:t>to eficiente.</w:t>
      </w:r>
    </w:p>
    <w:p w14:paraId="5B58E03D" w14:textId="27350BDD" w:rsidR="00A73240" w:rsidRDefault="00A73240" w:rsidP="004C4941">
      <w:pPr>
        <w:jc w:val="both"/>
        <w:rPr>
          <w:rFonts w:ascii="ITC Avant Garde" w:hAnsi="ITC Avant Garde"/>
          <w:color w:val="000000"/>
          <w:sz w:val="20"/>
          <w:szCs w:val="20"/>
          <w:shd w:val="clear" w:color="auto" w:fill="FFFFFF"/>
        </w:rPr>
      </w:pPr>
    </w:p>
    <w:p w14:paraId="1212AE2F" w14:textId="77777777" w:rsidR="00115250" w:rsidRDefault="00115250" w:rsidP="004C4941">
      <w:pPr>
        <w:jc w:val="center"/>
        <w:rPr>
          <w:rFonts w:ascii="ITC Avant Garde" w:hAnsi="ITC Avant Garde"/>
          <w:b/>
          <w:color w:val="000000"/>
          <w:sz w:val="20"/>
          <w:szCs w:val="20"/>
          <w:shd w:val="clear" w:color="auto" w:fill="FFFFFF"/>
        </w:rPr>
        <w:sectPr w:rsidR="00115250" w:rsidSect="00115250">
          <w:pgSz w:w="12240" w:h="15840"/>
          <w:pgMar w:top="1134" w:right="1701" w:bottom="1417" w:left="1701" w:header="708" w:footer="708" w:gutter="0"/>
          <w:cols w:space="708"/>
          <w:docGrid w:linePitch="360"/>
        </w:sectPr>
      </w:pPr>
    </w:p>
    <w:p w14:paraId="6C007875" w14:textId="2CC200C4" w:rsidR="003347AE" w:rsidRPr="00175436" w:rsidRDefault="00A73240" w:rsidP="004C4941">
      <w:pPr>
        <w:jc w:val="both"/>
        <w:rPr>
          <w:rFonts w:ascii="ITC Avant Garde" w:hAnsi="ITC Avant Garde"/>
          <w:b/>
          <w:i/>
          <w:color w:val="000000"/>
          <w:szCs w:val="20"/>
          <w:u w:val="single"/>
          <w:shd w:val="clear" w:color="auto" w:fill="FFFFFF"/>
        </w:rPr>
      </w:pPr>
      <w:r w:rsidRPr="00175436">
        <w:rPr>
          <w:rFonts w:ascii="ITC Avant Garde" w:hAnsi="ITC Avant Garde"/>
          <w:b/>
          <w:color w:val="000000"/>
          <w:szCs w:val="20"/>
          <w:u w:val="single"/>
          <w:shd w:val="clear" w:color="auto" w:fill="FFFFFF"/>
        </w:rPr>
        <w:lastRenderedPageBreak/>
        <w:t xml:space="preserve">Concentrado de comentarios, </w:t>
      </w:r>
      <w:r w:rsidR="00175436" w:rsidRPr="00175436">
        <w:rPr>
          <w:rFonts w:ascii="ITC Avant Garde" w:hAnsi="ITC Avant Garde"/>
          <w:b/>
          <w:color w:val="000000"/>
          <w:szCs w:val="20"/>
          <w:u w:val="single"/>
          <w:shd w:val="clear" w:color="auto" w:fill="FFFFFF"/>
        </w:rPr>
        <w:t xml:space="preserve">observaciones, propuestas </w:t>
      </w:r>
      <w:r w:rsidRPr="00175436">
        <w:rPr>
          <w:rFonts w:ascii="ITC Avant Garde" w:hAnsi="ITC Avant Garde"/>
          <w:b/>
          <w:color w:val="000000"/>
          <w:szCs w:val="20"/>
          <w:u w:val="single"/>
          <w:shd w:val="clear" w:color="auto" w:fill="FFFFFF"/>
        </w:rPr>
        <w:t xml:space="preserve">y/o aportaciones específicas </w:t>
      </w:r>
      <w:r w:rsidR="00175436">
        <w:rPr>
          <w:rFonts w:ascii="ITC Avant Garde" w:hAnsi="ITC Avant Garde"/>
          <w:b/>
          <w:color w:val="000000"/>
          <w:szCs w:val="20"/>
          <w:u w:val="single"/>
          <w:shd w:val="clear" w:color="auto" w:fill="FFFFFF"/>
        </w:rPr>
        <w:t>o</w:t>
      </w:r>
      <w:r w:rsidRPr="00175436">
        <w:rPr>
          <w:rFonts w:ascii="ITC Avant Garde" w:hAnsi="ITC Avant Garde"/>
          <w:b/>
          <w:color w:val="000000"/>
          <w:szCs w:val="20"/>
          <w:u w:val="single"/>
          <w:shd w:val="clear" w:color="auto" w:fill="FFFFFF"/>
        </w:rPr>
        <w:t xml:space="preserve"> generales</w:t>
      </w:r>
      <w:r w:rsidR="0032692C" w:rsidRPr="00175436">
        <w:rPr>
          <w:rFonts w:ascii="ITC Avant Garde" w:hAnsi="ITC Avant Garde"/>
          <w:b/>
          <w:color w:val="000000"/>
          <w:szCs w:val="20"/>
          <w:u w:val="single"/>
          <w:shd w:val="clear" w:color="auto" w:fill="FFFFFF"/>
        </w:rPr>
        <w:t xml:space="preserve"> de los participantes</w:t>
      </w:r>
      <w:r w:rsidR="00175436" w:rsidRPr="00175436">
        <w:rPr>
          <w:rFonts w:ascii="ITC Avant Garde" w:hAnsi="ITC Avant Garde"/>
          <w:b/>
          <w:color w:val="000000"/>
          <w:szCs w:val="20"/>
          <w:u w:val="single"/>
          <w:shd w:val="clear" w:color="auto" w:fill="FFFFFF"/>
        </w:rPr>
        <w:t xml:space="preserve"> a la Consulta Pública sobre el</w:t>
      </w:r>
      <w:r w:rsidR="00175436" w:rsidRPr="00175436">
        <w:rPr>
          <w:rFonts w:ascii="ITC Avant Garde" w:hAnsi="ITC Avant Garde"/>
          <w:b/>
          <w:i/>
          <w:color w:val="000000"/>
          <w:szCs w:val="20"/>
          <w:u w:val="single"/>
          <w:shd w:val="clear" w:color="auto" w:fill="FFFFFF"/>
        </w:rPr>
        <w:t xml:space="preserve"> Anteproyecto de </w:t>
      </w:r>
      <w:r w:rsidR="003C224B" w:rsidRPr="003C224B">
        <w:rPr>
          <w:rFonts w:ascii="ITC Avant Garde" w:hAnsi="ITC Avant Garde"/>
          <w:b/>
          <w:i/>
          <w:color w:val="000000"/>
          <w:szCs w:val="20"/>
          <w:u w:val="single"/>
          <w:shd w:val="clear" w:color="auto" w:fill="FFFFFF"/>
        </w:rPr>
        <w:t>“Anteproyecto de Acuerdo mediante el cual el Pleno del Instituto Federal de Telecomunicaciones actualiza las condiciones técnicas de operación de la banda de frecuencias 57-64 GHz, clasificada como espectro libre</w:t>
      </w:r>
      <w:r w:rsidR="00E91376" w:rsidRPr="003C224B">
        <w:rPr>
          <w:rFonts w:ascii="ITC Avant Garde" w:hAnsi="ITC Avant Garde"/>
          <w:b/>
          <w:i/>
          <w:color w:val="000000"/>
          <w:szCs w:val="20"/>
          <w:u w:val="single"/>
          <w:shd w:val="clear" w:color="auto" w:fill="FFFFFF"/>
        </w:rPr>
        <w:t>”.</w:t>
      </w:r>
    </w:p>
    <w:tbl>
      <w:tblPr>
        <w:tblStyle w:val="Tablaconcuadrcula"/>
        <w:tblW w:w="0" w:type="auto"/>
        <w:jc w:val="right"/>
        <w:tblBorders>
          <w:insideH w:val="none" w:sz="0" w:space="0" w:color="auto"/>
          <w:insideV w:val="none" w:sz="0" w:space="0" w:color="auto"/>
        </w:tblBorders>
        <w:tblLook w:val="04A0" w:firstRow="1" w:lastRow="0" w:firstColumn="1" w:lastColumn="0" w:noHBand="0" w:noVBand="1"/>
      </w:tblPr>
      <w:tblGrid>
        <w:gridCol w:w="11441"/>
      </w:tblGrid>
      <w:tr w:rsidR="00320FC1" w:rsidRPr="00D345AB" w14:paraId="77AEC6BB" w14:textId="77777777" w:rsidTr="007D6A4F">
        <w:trPr>
          <w:jc w:val="right"/>
        </w:trPr>
        <w:tc>
          <w:tcPr>
            <w:tcW w:w="11441" w:type="dxa"/>
          </w:tcPr>
          <w:p w14:paraId="6D552D11" w14:textId="039D21DC" w:rsidR="0003237E" w:rsidRPr="005B54AF" w:rsidRDefault="00320FC1" w:rsidP="0003237E">
            <w:pPr>
              <w:jc w:val="both"/>
              <w:rPr>
                <w:rFonts w:ascii="ITC Avant Garde" w:hAnsi="ITC Avant Garde"/>
                <w:color w:val="000000"/>
                <w:sz w:val="16"/>
                <w:szCs w:val="16"/>
                <w:shd w:val="clear" w:color="auto" w:fill="FFFFFF"/>
              </w:rPr>
            </w:pPr>
            <w:r w:rsidRPr="00D345AB">
              <w:rPr>
                <w:rFonts w:ascii="ITC Avant Garde" w:hAnsi="ITC Avant Garde"/>
                <w:color w:val="000000"/>
                <w:sz w:val="16"/>
                <w:szCs w:val="16"/>
                <w:shd w:val="clear" w:color="auto" w:fill="FFFFFF"/>
              </w:rPr>
              <w:t>Los comentarios</w:t>
            </w:r>
            <w:r w:rsidR="00175436" w:rsidRPr="00D345AB">
              <w:rPr>
                <w:rFonts w:ascii="ITC Avant Garde" w:hAnsi="ITC Avant Garde"/>
                <w:color w:val="000000"/>
                <w:sz w:val="16"/>
                <w:szCs w:val="16"/>
                <w:shd w:val="clear" w:color="auto" w:fill="FFFFFF"/>
              </w:rPr>
              <w:t>, observaciones, propuesta</w:t>
            </w:r>
            <w:r w:rsidR="0003237E">
              <w:rPr>
                <w:rFonts w:ascii="ITC Avant Garde" w:hAnsi="ITC Avant Garde"/>
                <w:color w:val="000000"/>
                <w:sz w:val="16"/>
                <w:szCs w:val="16"/>
                <w:shd w:val="clear" w:color="auto" w:fill="FFFFFF"/>
              </w:rPr>
              <w:t>s</w:t>
            </w:r>
            <w:r w:rsidR="0032692C" w:rsidRPr="00D345AB">
              <w:rPr>
                <w:rFonts w:ascii="ITC Avant Garde" w:hAnsi="ITC Avant Garde"/>
                <w:color w:val="000000"/>
                <w:sz w:val="16"/>
                <w:szCs w:val="16"/>
                <w:shd w:val="clear" w:color="auto" w:fill="FFFFFF"/>
              </w:rPr>
              <w:t xml:space="preserve"> y/o aportaciones específicas </w:t>
            </w:r>
            <w:r w:rsidR="00175436" w:rsidRPr="00D345AB">
              <w:rPr>
                <w:rFonts w:ascii="ITC Avant Garde" w:hAnsi="ITC Avant Garde"/>
                <w:color w:val="000000"/>
                <w:sz w:val="16"/>
                <w:szCs w:val="16"/>
                <w:shd w:val="clear" w:color="auto" w:fill="FFFFFF"/>
              </w:rPr>
              <w:t xml:space="preserve">o </w:t>
            </w:r>
            <w:r w:rsidR="0032692C" w:rsidRPr="00D345AB">
              <w:rPr>
                <w:rFonts w:ascii="ITC Avant Garde" w:hAnsi="ITC Avant Garde"/>
                <w:color w:val="000000"/>
                <w:sz w:val="16"/>
                <w:szCs w:val="16"/>
                <w:shd w:val="clear" w:color="auto" w:fill="FFFFFF"/>
              </w:rPr>
              <w:t>generales</w:t>
            </w:r>
            <w:r w:rsidRPr="00D345AB">
              <w:rPr>
                <w:rFonts w:ascii="ITC Avant Garde" w:hAnsi="ITC Avant Garde"/>
                <w:color w:val="000000"/>
                <w:sz w:val="16"/>
                <w:szCs w:val="16"/>
                <w:shd w:val="clear" w:color="auto" w:fill="FFFFFF"/>
              </w:rPr>
              <w:t xml:space="preserve"> contenidos en la presente tabla son extractos relevantes de los proporcionados por los participantes con relación </w:t>
            </w:r>
            <w:r w:rsidR="00175436" w:rsidRPr="00D345AB">
              <w:rPr>
                <w:rFonts w:ascii="ITC Avant Garde" w:hAnsi="ITC Avant Garde"/>
                <w:color w:val="000000"/>
                <w:sz w:val="16"/>
                <w:szCs w:val="16"/>
                <w:shd w:val="clear" w:color="auto" w:fill="FFFFFF"/>
              </w:rPr>
              <w:t>a los documentos e información materia del proceso consultivo.</w:t>
            </w:r>
            <w:r w:rsidRPr="00D345AB">
              <w:rPr>
                <w:rFonts w:ascii="ITC Avant Garde" w:hAnsi="ITC Avant Garde"/>
                <w:color w:val="000000"/>
                <w:sz w:val="16"/>
                <w:szCs w:val="16"/>
                <w:shd w:val="clear" w:color="auto" w:fill="FFFFFF"/>
              </w:rPr>
              <w:t xml:space="preserve"> La versión co</w:t>
            </w:r>
            <w:r w:rsidRPr="000B1706">
              <w:rPr>
                <w:rFonts w:ascii="ITC Avant Garde" w:hAnsi="ITC Avant Garde"/>
                <w:color w:val="000000"/>
                <w:sz w:val="16"/>
                <w:szCs w:val="16"/>
                <w:shd w:val="clear" w:color="auto" w:fill="FFFFFF"/>
              </w:rPr>
              <w:t xml:space="preserve">mpleta de los comentarios de cada uno de los participantes puede consultarse en el enlace web siguiente: </w:t>
            </w:r>
            <w:hyperlink r:id="rId12" w:history="1">
              <w:r w:rsidR="0003237E" w:rsidRPr="00AE69F2">
                <w:rPr>
                  <w:rStyle w:val="Hipervnculo"/>
                  <w:rFonts w:ascii="ITC Avant Garde" w:hAnsi="ITC Avant Garde"/>
                  <w:sz w:val="16"/>
                  <w:szCs w:val="16"/>
                  <w:shd w:val="clear" w:color="auto" w:fill="FFFFFF"/>
                </w:rPr>
                <w:t>http://www.ift.org.mx/industria/consultas-publicas/acuerdo-mediante-el-cual-el-pleno-del-ift-actualiza-el-acuerdo-mediante-el-cual-el-pleno-del</w:t>
              </w:r>
            </w:hyperlink>
          </w:p>
        </w:tc>
      </w:tr>
    </w:tbl>
    <w:p w14:paraId="71136060" w14:textId="030F36C1" w:rsidR="00E03B5F" w:rsidRPr="00115250" w:rsidRDefault="00E03B5F" w:rsidP="004C4941">
      <w:pPr>
        <w:spacing w:after="0"/>
        <w:jc w:val="center"/>
        <w:rPr>
          <w:rFonts w:ascii="ITC Avant Garde" w:hAnsi="ITC Avant Garde"/>
          <w:b/>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E91376" w:rsidRPr="00585F73" w14:paraId="2BA788F2" w14:textId="77777777" w:rsidTr="009C2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79FC8796" w14:textId="3A494A4E" w:rsidR="00E91376" w:rsidRPr="00585F73" w:rsidRDefault="00E91376" w:rsidP="00E91376">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sz w:val="18"/>
                <w:szCs w:val="16"/>
                <w:lang w:eastAsia="es-MX"/>
              </w:rPr>
              <w:t>Folio</w:t>
            </w:r>
          </w:p>
        </w:tc>
        <w:tc>
          <w:tcPr>
            <w:tcW w:w="4361" w:type="pct"/>
            <w:gridSpan w:val="4"/>
            <w:shd w:val="clear" w:color="auto" w:fill="FFFFFF" w:themeFill="background1"/>
            <w:vAlign w:val="center"/>
          </w:tcPr>
          <w:p w14:paraId="67EA8970" w14:textId="044A5657" w:rsidR="00E91376" w:rsidRPr="00585F73" w:rsidRDefault="00E73F08" w:rsidP="00E91376">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8"/>
                <w:szCs w:val="16"/>
                <w:lang w:eastAsia="es-MX"/>
              </w:rPr>
            </w:pPr>
            <w:r w:rsidRPr="00585F73">
              <w:rPr>
                <w:rFonts w:ascii="ITC Avant Garde" w:eastAsia="Times New Roman" w:hAnsi="ITC Avant Garde" w:cstheme="minorHAnsi"/>
                <w:color w:val="auto"/>
                <w:sz w:val="18"/>
                <w:szCs w:val="16"/>
                <w:lang w:eastAsia="es-MX"/>
              </w:rPr>
              <w:t>20210420-CP57_64GHz-001</w:t>
            </w:r>
          </w:p>
        </w:tc>
      </w:tr>
      <w:tr w:rsidR="00E91376" w:rsidRPr="00585F73" w14:paraId="608C73AB" w14:textId="77777777" w:rsidTr="009C2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553D7E09" w14:textId="28B459AB" w:rsidR="00E91376" w:rsidRPr="00585F73" w:rsidRDefault="00E91376" w:rsidP="00E91376">
            <w:pPr>
              <w:rPr>
                <w:rFonts w:ascii="ITC Avant Garde" w:eastAsia="Times New Roman" w:hAnsi="ITC Avant Garde" w:cs="Calibri"/>
                <w:bCs w:val="0"/>
                <w:color w:val="FFFFFF"/>
                <w:sz w:val="18"/>
                <w:szCs w:val="16"/>
                <w:lang w:eastAsia="es-MX"/>
              </w:rPr>
            </w:pPr>
            <w:r w:rsidRPr="00585F73">
              <w:rPr>
                <w:rFonts w:ascii="ITC Avant Garde" w:eastAsia="Times New Roman" w:hAnsi="ITC Avant Garde" w:cs="Calibri"/>
                <w:bCs w:val="0"/>
                <w:color w:val="FFFFFF"/>
                <w:sz w:val="18"/>
                <w:szCs w:val="16"/>
                <w:lang w:eastAsia="es-MX"/>
              </w:rPr>
              <w:t>Participante:</w:t>
            </w:r>
          </w:p>
        </w:tc>
        <w:tc>
          <w:tcPr>
            <w:tcW w:w="4361" w:type="pct"/>
            <w:gridSpan w:val="4"/>
            <w:vAlign w:val="center"/>
          </w:tcPr>
          <w:p w14:paraId="3318FC1B" w14:textId="25DE2A99" w:rsidR="00E91376" w:rsidRPr="00585F73" w:rsidRDefault="00E73F08" w:rsidP="00E91376">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8"/>
                <w:szCs w:val="16"/>
                <w:lang w:eastAsia="es-MX"/>
              </w:rPr>
            </w:pPr>
            <w:r w:rsidRPr="00585F73">
              <w:rPr>
                <w:rFonts w:ascii="ITC Avant Garde" w:eastAsia="Times New Roman" w:hAnsi="ITC Avant Garde" w:cstheme="minorHAnsi"/>
                <w:b/>
                <w:color w:val="000000"/>
                <w:sz w:val="18"/>
                <w:szCs w:val="16"/>
                <w:lang w:eastAsia="es-MX"/>
              </w:rPr>
              <w:t>Sony de México, SA. de C.V.</w:t>
            </w:r>
          </w:p>
        </w:tc>
      </w:tr>
      <w:tr w:rsidR="00E91376" w:rsidRPr="00585F73" w14:paraId="6A770207" w14:textId="77777777" w:rsidTr="00E91376">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tcPr>
          <w:p w14:paraId="073E5B7D" w14:textId="04F91CDD" w:rsidR="00E91376" w:rsidRPr="00585F73" w:rsidRDefault="00E91376" w:rsidP="00E91376">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Documento en consulta pública:</w:t>
            </w:r>
          </w:p>
        </w:tc>
        <w:tc>
          <w:tcPr>
            <w:tcW w:w="1295" w:type="pct"/>
            <w:tcBorders>
              <w:bottom w:val="single" w:sz="4" w:space="0" w:color="A8D08D" w:themeColor="accent6" w:themeTint="99"/>
            </w:tcBorders>
            <w:vAlign w:val="center"/>
          </w:tcPr>
          <w:p w14:paraId="7E488141" w14:textId="0C7C9C3F" w:rsidR="00E91376" w:rsidRPr="00585F73" w:rsidRDefault="0043779A" w:rsidP="00585F73">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Anteproyecto de Acuerdo</w:t>
            </w:r>
          </w:p>
        </w:tc>
        <w:tc>
          <w:tcPr>
            <w:tcW w:w="724" w:type="pct"/>
            <w:gridSpan w:val="2"/>
            <w:tcBorders>
              <w:bottom w:val="single" w:sz="4" w:space="0" w:color="A8D08D" w:themeColor="accent6" w:themeTint="99"/>
            </w:tcBorders>
            <w:shd w:val="clear" w:color="auto" w:fill="70AD47" w:themeFill="accent6"/>
            <w:vAlign w:val="center"/>
          </w:tcPr>
          <w:p w14:paraId="3E939951" w14:textId="7E82FB64" w:rsidR="00E91376" w:rsidRPr="00585F73" w:rsidRDefault="00E91376" w:rsidP="00E9137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A</w:t>
            </w:r>
            <w:r w:rsidRPr="00585F73">
              <w:rPr>
                <w:rFonts w:ascii="ITC Avant Garde" w:eastAsia="Times New Roman" w:hAnsi="ITC Avant Garde" w:cstheme="minorHAnsi"/>
                <w:b/>
                <w:color w:val="FFFFFF" w:themeColor="background1"/>
                <w:sz w:val="18"/>
                <w:szCs w:val="16"/>
                <w:lang w:eastAsia="es-MX"/>
              </w:rPr>
              <w:t>rtículo o apartad</w:t>
            </w:r>
            <w:r w:rsidRPr="00585F73">
              <w:rPr>
                <w:rFonts w:ascii="ITC Avant Garde" w:eastAsia="Times New Roman" w:hAnsi="ITC Avant Garde" w:cstheme="minorHAnsi"/>
                <w:color w:val="FFFFFF" w:themeColor="background1"/>
                <w:sz w:val="18"/>
                <w:szCs w:val="16"/>
                <w:lang w:eastAsia="es-MX"/>
              </w:rPr>
              <w:t>o</w:t>
            </w:r>
          </w:p>
        </w:tc>
        <w:tc>
          <w:tcPr>
            <w:tcW w:w="2342" w:type="pct"/>
            <w:tcBorders>
              <w:bottom w:val="single" w:sz="4" w:space="0" w:color="A8D08D" w:themeColor="accent6" w:themeTint="99"/>
            </w:tcBorders>
            <w:vAlign w:val="center"/>
          </w:tcPr>
          <w:p w14:paraId="3F6D9842" w14:textId="34632E8E" w:rsidR="00E91376" w:rsidRPr="00585F73" w:rsidRDefault="00E73F08" w:rsidP="00E9137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sidRPr="00585F73">
              <w:rPr>
                <w:rFonts w:ascii="ITC Avant Garde" w:eastAsia="Times New Roman" w:hAnsi="ITC Avant Garde" w:cstheme="minorHAnsi"/>
                <w:sz w:val="18"/>
                <w:szCs w:val="16"/>
                <w:lang w:eastAsia="es-MX"/>
              </w:rPr>
              <w:t>2.16</w:t>
            </w:r>
          </w:p>
        </w:tc>
      </w:tr>
      <w:tr w:rsidR="00E91376" w:rsidRPr="00585F73" w14:paraId="5B6561BB" w14:textId="77777777" w:rsidTr="00CB0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vAlign w:val="center"/>
          </w:tcPr>
          <w:p w14:paraId="7295AF84" w14:textId="3752449B" w:rsidR="00E91376" w:rsidRPr="00585F73" w:rsidRDefault="00585F73" w:rsidP="00E91376">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específicos de la persona</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participante sobre el asunto en consulta pública</w:t>
            </w:r>
          </w:p>
        </w:tc>
        <w:tc>
          <w:tcPr>
            <w:tcW w:w="2493" w:type="pct"/>
            <w:gridSpan w:val="2"/>
            <w:tcBorders>
              <w:left w:val="single" w:sz="4" w:space="0" w:color="A8D08D" w:themeColor="accent6" w:themeTint="99"/>
            </w:tcBorders>
            <w:shd w:val="clear" w:color="auto" w:fill="70AD47" w:themeFill="accent6"/>
            <w:vAlign w:val="center"/>
          </w:tcPr>
          <w:p w14:paraId="737B4726" w14:textId="08BAE221" w:rsidR="00E91376" w:rsidRPr="00585F73" w:rsidRDefault="00E91376" w:rsidP="00E9137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8"/>
                <w:szCs w:val="16"/>
                <w:lang w:eastAsia="es-MX"/>
              </w:rPr>
            </w:pPr>
            <w:r w:rsidRPr="00585F73">
              <w:rPr>
                <w:rFonts w:ascii="ITC Avant Garde" w:eastAsia="Times New Roman" w:hAnsi="ITC Avant Garde" w:cstheme="minorHAnsi"/>
                <w:b/>
                <w:color w:val="FFFFFF" w:themeColor="background1"/>
                <w:sz w:val="18"/>
                <w:szCs w:val="16"/>
                <w:lang w:eastAsia="es-MX"/>
              </w:rPr>
              <w:t>Respuesta del Instituto</w:t>
            </w:r>
          </w:p>
        </w:tc>
      </w:tr>
      <w:tr w:rsidR="00D807DD" w:rsidRPr="00585F73" w14:paraId="473C9CB9" w14:textId="77777777" w:rsidTr="00F939ED">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tcPr>
          <w:p w14:paraId="5DAC917A" w14:textId="617A1FC3" w:rsidR="00D807DD" w:rsidRPr="00585F73" w:rsidRDefault="00D807DD" w:rsidP="00E73F08">
            <w:pPr>
              <w:jc w:val="both"/>
              <w:rPr>
                <w:rFonts w:ascii="ITC Avant Garde" w:eastAsia="Times New Roman" w:hAnsi="ITC Avant Garde" w:cstheme="minorHAnsi"/>
                <w:b w:val="0"/>
                <w:color w:val="000000"/>
                <w:sz w:val="18"/>
                <w:szCs w:val="16"/>
                <w:lang w:eastAsia="es-MX"/>
              </w:rPr>
            </w:pPr>
            <w:r w:rsidRPr="00585F73">
              <w:rPr>
                <w:rFonts w:ascii="ITC Avant Garde" w:eastAsia="Times New Roman" w:hAnsi="ITC Avant Garde" w:cstheme="minorHAnsi"/>
                <w:b w:val="0"/>
                <w:color w:val="000000"/>
                <w:sz w:val="18"/>
                <w:szCs w:val="16"/>
                <w:lang w:eastAsia="es-MX"/>
              </w:rPr>
              <w:t xml:space="preserve">Se propone modificar el inciso 2.16 añadiendo la parte indicada en </w:t>
            </w:r>
            <w:r w:rsidRPr="00585F73">
              <w:rPr>
                <w:rFonts w:ascii="ITC Avant Garde" w:eastAsia="Times New Roman" w:hAnsi="ITC Avant Garde" w:cstheme="minorHAnsi"/>
                <w:b w:val="0"/>
                <w:color w:val="0070C0"/>
                <w:sz w:val="18"/>
                <w:szCs w:val="16"/>
                <w:lang w:eastAsia="es-MX"/>
              </w:rPr>
              <w:t>azul:</w:t>
            </w:r>
          </w:p>
          <w:p w14:paraId="35E37884" w14:textId="138BAF85" w:rsidR="00D807DD" w:rsidRPr="00585F73" w:rsidRDefault="00D807DD" w:rsidP="00E73F08">
            <w:pPr>
              <w:jc w:val="both"/>
              <w:rPr>
                <w:rFonts w:ascii="ITC Avant Garde" w:eastAsia="Times New Roman" w:hAnsi="ITC Avant Garde" w:cstheme="minorHAnsi"/>
                <w:b w:val="0"/>
                <w:color w:val="000000"/>
                <w:sz w:val="18"/>
                <w:szCs w:val="16"/>
                <w:lang w:eastAsia="es-MX"/>
              </w:rPr>
            </w:pPr>
            <w:r w:rsidRPr="00585F73">
              <w:rPr>
                <w:rFonts w:ascii="ITC Avant Garde" w:eastAsia="Times New Roman" w:hAnsi="ITC Avant Garde" w:cstheme="minorHAnsi"/>
                <w:b w:val="0"/>
                <w:color w:val="000000"/>
                <w:sz w:val="18"/>
                <w:szCs w:val="16"/>
                <w:lang w:eastAsia="es-MX"/>
              </w:rPr>
              <w:t>Los sensores de movimiento que operen con un ciclo de trabajo máximo del 10% en cualquier intervalo de 33 milisegundos (transmisión máxima de 3.3 milisegundos en cualquier periodo de 33 milisegundos), no deberán exceder una potencia pico de salida del transmisor de 10 dBm, una PIRE máxima de 13 dBm y una densidad espectral de potencia de 13 dBm/MHz.</w:t>
            </w:r>
          </w:p>
          <w:p w14:paraId="70D93D7B" w14:textId="77777777" w:rsidR="00D807DD" w:rsidRPr="00585F73" w:rsidRDefault="00D807DD" w:rsidP="00E73F08">
            <w:pPr>
              <w:jc w:val="both"/>
              <w:rPr>
                <w:rFonts w:ascii="ITC Avant Garde" w:eastAsia="Times New Roman" w:hAnsi="ITC Avant Garde" w:cstheme="minorHAnsi"/>
                <w:b w:val="0"/>
                <w:color w:val="000000"/>
                <w:sz w:val="18"/>
                <w:szCs w:val="16"/>
                <w:lang w:eastAsia="es-MX"/>
              </w:rPr>
            </w:pPr>
          </w:p>
          <w:p w14:paraId="5B63368C" w14:textId="2536A4CB" w:rsidR="00D807DD" w:rsidRPr="00585F73" w:rsidRDefault="00D807DD" w:rsidP="00E73F08">
            <w:pPr>
              <w:jc w:val="both"/>
              <w:rPr>
                <w:rFonts w:ascii="ITC Avant Garde" w:eastAsia="Times New Roman" w:hAnsi="ITC Avant Garde" w:cstheme="minorHAnsi"/>
                <w:b w:val="0"/>
                <w:color w:val="000000"/>
                <w:sz w:val="18"/>
                <w:szCs w:val="16"/>
                <w:lang w:eastAsia="es-MX"/>
              </w:rPr>
            </w:pPr>
            <w:r w:rsidRPr="00585F73">
              <w:rPr>
                <w:rFonts w:ascii="ITC Avant Garde" w:eastAsia="Times New Roman" w:hAnsi="ITC Avant Garde" w:cstheme="minorHAnsi"/>
                <w:b w:val="0"/>
                <w:color w:val="0070C0"/>
                <w:sz w:val="18"/>
                <w:szCs w:val="16"/>
                <w:lang w:eastAsia="es-MX"/>
              </w:rPr>
              <w:t>Los sensores de movimiento que operen con una densidad espectral de potencia máxima de 3 dBm/MHz están autorizados a operar sin ninguna limitación en los ciclos de trabajo.</w:t>
            </w:r>
          </w:p>
        </w:tc>
        <w:tc>
          <w:tcPr>
            <w:tcW w:w="2493" w:type="pct"/>
            <w:gridSpan w:val="2"/>
            <w:vMerge w:val="restart"/>
            <w:tcBorders>
              <w:left w:val="single" w:sz="4" w:space="0" w:color="A8D08D" w:themeColor="accent6" w:themeTint="99"/>
            </w:tcBorders>
          </w:tcPr>
          <w:p w14:paraId="74AFBF74" w14:textId="28609433" w:rsidR="00D807DD" w:rsidRDefault="00D807DD" w:rsidP="00417505">
            <w:pPr>
              <w:jc w:val="both"/>
              <w:cnfStyle w:val="000000000000" w:firstRow="0" w:lastRow="0" w:firstColumn="0" w:lastColumn="0" w:oddVBand="0" w:evenVBand="0" w:oddHBand="0" w:evenHBand="0" w:firstRowFirstColumn="0" w:firstRowLastColumn="0" w:lastRowFirstColumn="0" w:lastRowLastColumn="0"/>
            </w:pPr>
            <w:r>
              <w:rPr>
                <w:rFonts w:ascii="ITC Avant Garde" w:eastAsia="Times New Roman" w:hAnsi="ITC Avant Garde" w:cstheme="minorHAnsi"/>
                <w:color w:val="000000"/>
                <w:sz w:val="18"/>
                <w:szCs w:val="16"/>
                <w:lang w:eastAsia="es-MX"/>
              </w:rPr>
              <w:t xml:space="preserve">El Instituto agradece los comentarios realizados a nombre de </w:t>
            </w:r>
            <w:r w:rsidRPr="00417505">
              <w:rPr>
                <w:rFonts w:ascii="ITC Avant Garde" w:eastAsia="Times New Roman" w:hAnsi="ITC Avant Garde" w:cstheme="minorHAnsi"/>
                <w:color w:val="000000"/>
                <w:sz w:val="18"/>
                <w:szCs w:val="16"/>
                <w:lang w:eastAsia="es-MX"/>
              </w:rPr>
              <w:t>Sony de México, SA. de C.V.</w:t>
            </w:r>
            <w:r>
              <w:rPr>
                <w:rFonts w:ascii="ITC Avant Garde" w:eastAsia="Times New Roman" w:hAnsi="ITC Avant Garde" w:cstheme="minorHAnsi"/>
                <w:color w:val="000000"/>
                <w:sz w:val="18"/>
                <w:szCs w:val="16"/>
                <w:lang w:eastAsia="es-MX"/>
              </w:rPr>
              <w:t xml:space="preserve">, </w:t>
            </w:r>
            <w:r w:rsidRPr="00417505">
              <w:rPr>
                <w:rFonts w:ascii="ITC Avant Garde" w:eastAsia="Times New Roman" w:hAnsi="ITC Avant Garde" w:cstheme="minorHAnsi"/>
                <w:color w:val="000000"/>
                <w:sz w:val="18"/>
                <w:szCs w:val="16"/>
                <w:lang w:eastAsia="es-MX"/>
              </w:rPr>
              <w:t>l</w:t>
            </w:r>
            <w:r w:rsidR="00806676">
              <w:rPr>
                <w:rFonts w:ascii="ITC Avant Garde" w:eastAsia="Times New Roman" w:hAnsi="ITC Avant Garde" w:cstheme="minorHAnsi"/>
                <w:color w:val="000000"/>
                <w:sz w:val="18"/>
                <w:szCs w:val="16"/>
                <w:lang w:eastAsia="es-MX"/>
              </w:rPr>
              <w:t>os</w:t>
            </w:r>
            <w:r w:rsidRPr="00417505">
              <w:rPr>
                <w:rFonts w:ascii="ITC Avant Garde" w:eastAsia="Times New Roman" w:hAnsi="ITC Avant Garde" w:cstheme="minorHAnsi"/>
                <w:color w:val="000000"/>
                <w:sz w:val="18"/>
                <w:szCs w:val="16"/>
                <w:lang w:eastAsia="es-MX"/>
              </w:rPr>
              <w:t xml:space="preserve"> cual</w:t>
            </w:r>
            <w:r w:rsidR="00806676">
              <w:rPr>
                <w:rFonts w:ascii="ITC Avant Garde" w:eastAsia="Times New Roman" w:hAnsi="ITC Avant Garde" w:cstheme="minorHAnsi"/>
                <w:color w:val="000000"/>
                <w:sz w:val="18"/>
                <w:szCs w:val="16"/>
                <w:lang w:eastAsia="es-MX"/>
              </w:rPr>
              <w:t>es</w:t>
            </w:r>
            <w:r w:rsidRPr="00417505">
              <w:rPr>
                <w:rFonts w:ascii="ITC Avant Garde" w:eastAsia="Times New Roman" w:hAnsi="ITC Avant Garde" w:cstheme="minorHAnsi"/>
                <w:color w:val="000000"/>
                <w:sz w:val="18"/>
                <w:szCs w:val="16"/>
                <w:lang w:eastAsia="es-MX"/>
              </w:rPr>
              <w:t xml:space="preserve"> contiene</w:t>
            </w:r>
            <w:r w:rsidR="006657BB">
              <w:rPr>
                <w:rFonts w:ascii="ITC Avant Garde" w:eastAsia="Times New Roman" w:hAnsi="ITC Avant Garde" w:cstheme="minorHAnsi"/>
                <w:color w:val="000000"/>
                <w:sz w:val="18"/>
                <w:szCs w:val="16"/>
                <w:lang w:eastAsia="es-MX"/>
              </w:rPr>
              <w:t>n</w:t>
            </w:r>
            <w:r w:rsidRPr="00417505">
              <w:rPr>
                <w:rFonts w:ascii="ITC Avant Garde" w:eastAsia="Times New Roman" w:hAnsi="ITC Avant Garde" w:cstheme="minorHAnsi"/>
                <w:color w:val="000000"/>
                <w:sz w:val="18"/>
                <w:szCs w:val="16"/>
                <w:lang w:eastAsia="es-MX"/>
              </w:rPr>
              <w:t xml:space="preserve"> una propuesta de</w:t>
            </w:r>
            <w:r>
              <w:rPr>
                <w:rFonts w:ascii="ITC Avant Garde" w:eastAsia="Times New Roman" w:hAnsi="ITC Avant Garde" w:cstheme="minorHAnsi"/>
                <w:color w:val="000000"/>
                <w:sz w:val="18"/>
                <w:szCs w:val="16"/>
                <w:lang w:eastAsia="es-MX"/>
              </w:rPr>
              <w:t xml:space="preserve"> modificación al documento materia de este </w:t>
            </w:r>
            <w:r w:rsidRPr="00417505">
              <w:rPr>
                <w:rFonts w:ascii="ITC Avant Garde" w:eastAsia="Times New Roman" w:hAnsi="ITC Avant Garde" w:cstheme="minorHAnsi"/>
                <w:color w:val="000000"/>
                <w:sz w:val="18"/>
                <w:szCs w:val="16"/>
                <w:lang w:eastAsia="es-MX"/>
              </w:rPr>
              <w:t>proceso consultivo.</w:t>
            </w:r>
            <w:r>
              <w:t xml:space="preserve"> </w:t>
            </w:r>
          </w:p>
          <w:p w14:paraId="532EBB10" w14:textId="77777777" w:rsidR="00D807DD" w:rsidRDefault="00D807DD" w:rsidP="00417505">
            <w:pPr>
              <w:jc w:val="both"/>
              <w:cnfStyle w:val="000000000000" w:firstRow="0" w:lastRow="0" w:firstColumn="0" w:lastColumn="0" w:oddVBand="0" w:evenVBand="0" w:oddHBand="0" w:evenHBand="0" w:firstRowFirstColumn="0" w:firstRowLastColumn="0" w:lastRowFirstColumn="0" w:lastRowLastColumn="0"/>
            </w:pPr>
          </w:p>
          <w:p w14:paraId="555D2151" w14:textId="747417E6" w:rsidR="00D807DD" w:rsidRDefault="00534D75" w:rsidP="0041750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 xml:space="preserve">A este respecto, </w:t>
            </w:r>
            <w:r w:rsidR="00191EBE">
              <w:rPr>
                <w:rFonts w:ascii="ITC Avant Garde" w:eastAsia="Times New Roman" w:hAnsi="ITC Avant Garde" w:cstheme="minorHAnsi"/>
                <w:color w:val="000000"/>
                <w:sz w:val="18"/>
                <w:szCs w:val="16"/>
                <w:lang w:eastAsia="es-MX"/>
              </w:rPr>
              <w:t>se</w:t>
            </w:r>
            <w:r>
              <w:rPr>
                <w:rFonts w:ascii="ITC Avant Garde" w:eastAsia="Times New Roman" w:hAnsi="ITC Avant Garde" w:cstheme="minorHAnsi"/>
                <w:color w:val="000000"/>
                <w:sz w:val="18"/>
                <w:szCs w:val="16"/>
                <w:lang w:eastAsia="es-MX"/>
              </w:rPr>
              <w:t xml:space="preserve"> </w:t>
            </w:r>
            <w:r w:rsidR="007D6A4F">
              <w:rPr>
                <w:rFonts w:ascii="ITC Avant Garde" w:eastAsia="Times New Roman" w:hAnsi="ITC Avant Garde" w:cstheme="minorHAnsi"/>
                <w:color w:val="000000"/>
                <w:sz w:val="18"/>
                <w:szCs w:val="16"/>
                <w:lang w:eastAsia="es-MX"/>
              </w:rPr>
              <w:t>realiza</w:t>
            </w:r>
            <w:r w:rsidR="00191EBE">
              <w:rPr>
                <w:rFonts w:ascii="ITC Avant Garde" w:eastAsia="Times New Roman" w:hAnsi="ITC Avant Garde" w:cstheme="minorHAnsi"/>
                <w:color w:val="000000"/>
                <w:sz w:val="18"/>
                <w:szCs w:val="16"/>
                <w:lang w:eastAsia="es-MX"/>
              </w:rPr>
              <w:t>n</w:t>
            </w:r>
            <w:r w:rsidR="007D6A4F">
              <w:rPr>
                <w:rFonts w:ascii="ITC Avant Garde" w:eastAsia="Times New Roman" w:hAnsi="ITC Avant Garde" w:cstheme="minorHAnsi"/>
                <w:color w:val="000000"/>
                <w:sz w:val="18"/>
                <w:szCs w:val="16"/>
                <w:lang w:eastAsia="es-MX"/>
              </w:rPr>
              <w:t xml:space="preserve"> los</w:t>
            </w:r>
            <w:r w:rsidR="001216FB">
              <w:rPr>
                <w:rFonts w:ascii="ITC Avant Garde" w:eastAsia="Times New Roman" w:hAnsi="ITC Avant Garde" w:cstheme="minorHAnsi"/>
                <w:color w:val="000000"/>
                <w:sz w:val="18"/>
                <w:szCs w:val="16"/>
                <w:lang w:eastAsia="es-MX"/>
              </w:rPr>
              <w:t xml:space="preserve"> </w:t>
            </w:r>
            <w:r>
              <w:rPr>
                <w:rFonts w:ascii="ITC Avant Garde" w:eastAsia="Times New Roman" w:hAnsi="ITC Avant Garde" w:cstheme="minorHAnsi"/>
                <w:color w:val="000000"/>
                <w:sz w:val="18"/>
                <w:szCs w:val="16"/>
                <w:lang w:eastAsia="es-MX"/>
              </w:rPr>
              <w:t>comentario</w:t>
            </w:r>
            <w:r w:rsidR="006657BB">
              <w:rPr>
                <w:rFonts w:ascii="ITC Avant Garde" w:eastAsia="Times New Roman" w:hAnsi="ITC Avant Garde" w:cstheme="minorHAnsi"/>
                <w:color w:val="000000"/>
                <w:sz w:val="18"/>
                <w:szCs w:val="16"/>
                <w:lang w:eastAsia="es-MX"/>
              </w:rPr>
              <w:t>s siguientes</w:t>
            </w:r>
            <w:r>
              <w:rPr>
                <w:rFonts w:ascii="ITC Avant Garde" w:eastAsia="Times New Roman" w:hAnsi="ITC Avant Garde" w:cstheme="minorHAnsi"/>
                <w:color w:val="000000"/>
                <w:sz w:val="18"/>
                <w:szCs w:val="16"/>
                <w:lang w:eastAsia="es-MX"/>
              </w:rPr>
              <w:t>:</w:t>
            </w:r>
            <w:r w:rsidRPr="00417505" w:rsidDel="00534D75">
              <w:rPr>
                <w:rFonts w:ascii="ITC Avant Garde" w:eastAsia="Times New Roman" w:hAnsi="ITC Avant Garde" w:cstheme="minorHAnsi"/>
                <w:color w:val="000000"/>
                <w:sz w:val="18"/>
                <w:szCs w:val="16"/>
                <w:lang w:eastAsia="es-MX"/>
              </w:rPr>
              <w:t xml:space="preserve"> </w:t>
            </w:r>
          </w:p>
          <w:p w14:paraId="582D8B12" w14:textId="5F4D71DF" w:rsidR="00D807DD" w:rsidRDefault="00D807DD" w:rsidP="0041750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p>
          <w:p w14:paraId="0C2858FC" w14:textId="70073B99" w:rsidR="00CF04C9" w:rsidRPr="001F5B9E" w:rsidRDefault="00F169DF" w:rsidP="001F5B9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sidRPr="001F5B9E">
              <w:rPr>
                <w:rFonts w:ascii="ITC Avant Garde" w:eastAsia="Times New Roman" w:hAnsi="ITC Avant Garde" w:cstheme="minorHAnsi"/>
                <w:color w:val="000000"/>
                <w:sz w:val="18"/>
                <w:szCs w:val="16"/>
                <w:lang w:eastAsia="es-MX"/>
              </w:rPr>
              <w:t>Los sensores de movimiento</w:t>
            </w:r>
            <w:r w:rsidR="00DF5269" w:rsidRPr="001F5B9E">
              <w:rPr>
                <w:rFonts w:ascii="ITC Avant Garde" w:eastAsia="Times New Roman" w:hAnsi="ITC Avant Garde" w:cstheme="minorHAnsi"/>
                <w:color w:val="000000"/>
                <w:sz w:val="18"/>
                <w:szCs w:val="16"/>
                <w:lang w:eastAsia="es-MX"/>
              </w:rPr>
              <w:t xml:space="preserve"> </w:t>
            </w:r>
            <w:r w:rsidR="006657BB" w:rsidRPr="001F5B9E">
              <w:rPr>
                <w:rFonts w:ascii="ITC Avant Garde" w:eastAsia="Times New Roman" w:hAnsi="ITC Avant Garde" w:cstheme="minorHAnsi"/>
                <w:color w:val="000000"/>
                <w:sz w:val="18"/>
                <w:szCs w:val="16"/>
                <w:lang w:eastAsia="es-MX"/>
              </w:rPr>
              <w:t xml:space="preserve">que se definen en el </w:t>
            </w:r>
            <w:r w:rsidR="006657BB" w:rsidRPr="001F5B9E">
              <w:rPr>
                <w:rFonts w:ascii="ITC Avant Garde" w:eastAsia="Times New Roman" w:hAnsi="ITC Avant Garde" w:cstheme="minorHAnsi"/>
                <w:b/>
                <w:bCs/>
                <w:color w:val="000000"/>
                <w:sz w:val="18"/>
                <w:szCs w:val="16"/>
                <w:lang w:eastAsia="es-MX"/>
              </w:rPr>
              <w:t>numeral 1.1.14</w:t>
            </w:r>
            <w:r w:rsidR="006657BB" w:rsidRPr="001F5B9E">
              <w:rPr>
                <w:rFonts w:ascii="ITC Avant Garde" w:eastAsia="Times New Roman" w:hAnsi="ITC Avant Garde" w:cstheme="minorHAnsi"/>
                <w:color w:val="000000"/>
                <w:sz w:val="18"/>
                <w:szCs w:val="16"/>
                <w:lang w:eastAsia="es-MX"/>
              </w:rPr>
              <w:t xml:space="preserve"> del Anteproyecto</w:t>
            </w:r>
            <w:r w:rsidR="00A12BFA">
              <w:rPr>
                <w:rFonts w:ascii="ITC Avant Garde" w:eastAsia="Times New Roman" w:hAnsi="ITC Avant Garde" w:cstheme="minorHAnsi"/>
                <w:color w:val="000000"/>
                <w:sz w:val="18"/>
                <w:szCs w:val="16"/>
                <w:lang w:eastAsia="es-MX"/>
              </w:rPr>
              <w:t xml:space="preserve"> de Acuerdo</w:t>
            </w:r>
            <w:r w:rsidR="006657BB" w:rsidRPr="001F5B9E">
              <w:rPr>
                <w:rFonts w:ascii="ITC Avant Garde" w:eastAsia="Times New Roman" w:hAnsi="ITC Avant Garde" w:cstheme="minorHAnsi"/>
                <w:color w:val="000000"/>
                <w:sz w:val="18"/>
                <w:szCs w:val="16"/>
                <w:lang w:eastAsia="es-MX"/>
              </w:rPr>
              <w:t xml:space="preserve"> </w:t>
            </w:r>
            <w:r w:rsidR="00D96FA2" w:rsidRPr="001F5B9E">
              <w:rPr>
                <w:rFonts w:ascii="ITC Avant Garde" w:eastAsia="Times New Roman" w:hAnsi="ITC Avant Garde" w:cstheme="minorHAnsi"/>
                <w:color w:val="000000"/>
                <w:sz w:val="18"/>
                <w:szCs w:val="16"/>
                <w:lang w:eastAsia="es-MX"/>
              </w:rPr>
              <w:t xml:space="preserve">que </w:t>
            </w:r>
            <w:r w:rsidR="006F2C89" w:rsidRPr="001F5B9E">
              <w:rPr>
                <w:rFonts w:ascii="ITC Avant Garde" w:eastAsia="Times New Roman" w:hAnsi="ITC Avant Garde" w:cstheme="minorHAnsi"/>
                <w:color w:val="000000"/>
                <w:sz w:val="18"/>
                <w:szCs w:val="16"/>
                <w:lang w:eastAsia="es-MX"/>
              </w:rPr>
              <w:t xml:space="preserve">operen con el ciclo de trabajo máximo del 10% en un intervalo de 33 milisegundos </w:t>
            </w:r>
            <w:r w:rsidR="007B0086" w:rsidRPr="001F5B9E">
              <w:rPr>
                <w:rFonts w:ascii="ITC Avant Garde" w:eastAsia="Times New Roman" w:hAnsi="ITC Avant Garde" w:cstheme="minorHAnsi"/>
                <w:color w:val="000000"/>
                <w:sz w:val="18"/>
                <w:szCs w:val="16"/>
                <w:lang w:eastAsia="es-MX"/>
              </w:rPr>
              <w:t>deberán operar</w:t>
            </w:r>
            <w:r w:rsidR="00CF04C9" w:rsidRPr="001F5B9E">
              <w:rPr>
                <w:rFonts w:ascii="ITC Avant Garde" w:eastAsia="Times New Roman" w:hAnsi="ITC Avant Garde" w:cstheme="minorHAnsi"/>
                <w:color w:val="000000"/>
                <w:sz w:val="18"/>
                <w:szCs w:val="16"/>
                <w:lang w:eastAsia="es-MX"/>
              </w:rPr>
              <w:t xml:space="preserve"> bajo las condiciones técnicas de operación expuestas en </w:t>
            </w:r>
            <w:r w:rsidR="007B0086" w:rsidRPr="001F5B9E">
              <w:rPr>
                <w:rFonts w:ascii="ITC Avant Garde" w:eastAsia="Times New Roman" w:hAnsi="ITC Avant Garde" w:cstheme="minorHAnsi"/>
                <w:color w:val="000000"/>
                <w:sz w:val="18"/>
                <w:szCs w:val="16"/>
                <w:lang w:eastAsia="es-MX"/>
              </w:rPr>
              <w:t xml:space="preserve">el </w:t>
            </w:r>
            <w:r w:rsidR="007B0086" w:rsidRPr="001F5B9E">
              <w:rPr>
                <w:rFonts w:ascii="ITC Avant Garde" w:eastAsia="Times New Roman" w:hAnsi="ITC Avant Garde" w:cstheme="minorHAnsi"/>
                <w:b/>
                <w:bCs/>
                <w:color w:val="000000"/>
                <w:sz w:val="18"/>
                <w:szCs w:val="16"/>
                <w:lang w:eastAsia="es-MX"/>
              </w:rPr>
              <w:t xml:space="preserve">numeral </w:t>
            </w:r>
            <w:r w:rsidR="00524EA3" w:rsidRPr="001F5B9E">
              <w:rPr>
                <w:rFonts w:ascii="ITC Avant Garde" w:eastAsia="Times New Roman" w:hAnsi="ITC Avant Garde" w:cstheme="minorHAnsi"/>
                <w:b/>
                <w:bCs/>
                <w:color w:val="000000"/>
                <w:sz w:val="18"/>
                <w:szCs w:val="16"/>
                <w:lang w:eastAsia="es-MX"/>
              </w:rPr>
              <w:t>2.1</w:t>
            </w:r>
            <w:r w:rsidR="006F2C89" w:rsidRPr="001F5B9E">
              <w:rPr>
                <w:rFonts w:ascii="ITC Avant Garde" w:eastAsia="Times New Roman" w:hAnsi="ITC Avant Garde" w:cstheme="minorHAnsi"/>
                <w:b/>
                <w:bCs/>
                <w:color w:val="000000"/>
                <w:sz w:val="18"/>
                <w:szCs w:val="16"/>
                <w:lang w:eastAsia="es-MX"/>
              </w:rPr>
              <w:t>.</w:t>
            </w:r>
            <w:r w:rsidR="00524EA3" w:rsidRPr="001F5B9E">
              <w:rPr>
                <w:rFonts w:ascii="ITC Avant Garde" w:eastAsia="Times New Roman" w:hAnsi="ITC Avant Garde" w:cstheme="minorHAnsi"/>
                <w:b/>
                <w:bCs/>
                <w:color w:val="000000"/>
                <w:sz w:val="18"/>
                <w:szCs w:val="16"/>
                <w:lang w:eastAsia="es-MX"/>
              </w:rPr>
              <w:t>6</w:t>
            </w:r>
            <w:r w:rsidR="00290006">
              <w:rPr>
                <w:rFonts w:ascii="ITC Avant Garde" w:eastAsia="Times New Roman" w:hAnsi="ITC Avant Garde" w:cstheme="minorHAnsi"/>
                <w:color w:val="000000"/>
                <w:sz w:val="18"/>
                <w:szCs w:val="16"/>
                <w:lang w:eastAsia="es-MX"/>
              </w:rPr>
              <w:t xml:space="preserve"> del Anteproyecto</w:t>
            </w:r>
            <w:r w:rsidR="00A12BFA">
              <w:rPr>
                <w:rFonts w:ascii="ITC Avant Garde" w:eastAsia="Times New Roman" w:hAnsi="ITC Avant Garde" w:cstheme="minorHAnsi"/>
                <w:color w:val="000000"/>
                <w:sz w:val="18"/>
                <w:szCs w:val="16"/>
                <w:lang w:eastAsia="es-MX"/>
              </w:rPr>
              <w:t xml:space="preserve"> de Acuerdo</w:t>
            </w:r>
            <w:r w:rsidR="00CF04C9" w:rsidRPr="001F5B9E">
              <w:rPr>
                <w:rFonts w:ascii="ITC Avant Garde" w:eastAsia="Times New Roman" w:hAnsi="ITC Avant Garde" w:cstheme="minorHAnsi"/>
                <w:color w:val="000000"/>
                <w:sz w:val="18"/>
                <w:szCs w:val="16"/>
                <w:lang w:eastAsia="es-MX"/>
              </w:rPr>
              <w:t xml:space="preserve">. </w:t>
            </w:r>
            <w:r w:rsidR="006F2C89" w:rsidRPr="001F5B9E">
              <w:rPr>
                <w:rFonts w:ascii="ITC Avant Garde" w:eastAsia="Times New Roman" w:hAnsi="ITC Avant Garde" w:cstheme="minorHAnsi"/>
                <w:color w:val="000000"/>
                <w:sz w:val="18"/>
                <w:szCs w:val="16"/>
                <w:lang w:eastAsia="es-MX"/>
              </w:rPr>
              <w:t>L</w:t>
            </w:r>
            <w:r w:rsidR="00CF04C9" w:rsidRPr="001F5B9E">
              <w:rPr>
                <w:rFonts w:ascii="ITC Avant Garde" w:eastAsia="Times New Roman" w:hAnsi="ITC Avant Garde" w:cstheme="minorHAnsi"/>
                <w:color w:val="000000"/>
                <w:sz w:val="18"/>
                <w:szCs w:val="16"/>
                <w:lang w:eastAsia="es-MX"/>
              </w:rPr>
              <w:t xml:space="preserve">os sensores </w:t>
            </w:r>
            <w:r w:rsidR="006F2C89" w:rsidRPr="001F5B9E">
              <w:rPr>
                <w:rFonts w:ascii="ITC Avant Garde" w:eastAsia="Times New Roman" w:hAnsi="ITC Avant Garde" w:cstheme="minorHAnsi"/>
                <w:color w:val="000000"/>
                <w:sz w:val="18"/>
                <w:szCs w:val="16"/>
                <w:lang w:eastAsia="es-MX"/>
              </w:rPr>
              <w:t xml:space="preserve">diferentes a los referidos anteriormente </w:t>
            </w:r>
            <w:r w:rsidR="00CF04C9" w:rsidRPr="001F5B9E">
              <w:rPr>
                <w:rFonts w:ascii="ITC Avant Garde" w:eastAsia="Times New Roman" w:hAnsi="ITC Avant Garde" w:cstheme="minorHAnsi"/>
                <w:color w:val="000000"/>
                <w:sz w:val="18"/>
                <w:szCs w:val="16"/>
                <w:lang w:eastAsia="es-MX"/>
              </w:rPr>
              <w:t xml:space="preserve">deberán </w:t>
            </w:r>
            <w:r w:rsidR="005069EC" w:rsidRPr="001F5B9E">
              <w:rPr>
                <w:rFonts w:ascii="ITC Avant Garde" w:eastAsia="Times New Roman" w:hAnsi="ITC Avant Garde" w:cstheme="minorHAnsi"/>
                <w:color w:val="000000"/>
                <w:sz w:val="18"/>
                <w:szCs w:val="16"/>
                <w:lang w:eastAsia="es-MX"/>
              </w:rPr>
              <w:t xml:space="preserve">considerar las condiciones expuestas en el </w:t>
            </w:r>
            <w:r w:rsidR="006F2C89" w:rsidRPr="001F5B9E">
              <w:rPr>
                <w:rFonts w:ascii="ITC Avant Garde" w:eastAsia="Times New Roman" w:hAnsi="ITC Avant Garde" w:cstheme="minorHAnsi"/>
                <w:color w:val="000000"/>
                <w:sz w:val="18"/>
                <w:szCs w:val="16"/>
                <w:lang w:eastAsia="es-MX"/>
              </w:rPr>
              <w:t>numeral</w:t>
            </w:r>
            <w:r w:rsidR="005069EC" w:rsidRPr="001F5B9E">
              <w:rPr>
                <w:rFonts w:ascii="ITC Avant Garde" w:eastAsia="Times New Roman" w:hAnsi="ITC Avant Garde" w:cstheme="minorHAnsi"/>
                <w:color w:val="000000"/>
                <w:sz w:val="18"/>
                <w:szCs w:val="16"/>
                <w:lang w:eastAsia="es-MX"/>
              </w:rPr>
              <w:t xml:space="preserve"> 2.1</w:t>
            </w:r>
            <w:r w:rsidR="006F2C89" w:rsidRPr="001F5B9E">
              <w:rPr>
                <w:rFonts w:ascii="ITC Avant Garde" w:eastAsia="Times New Roman" w:hAnsi="ITC Avant Garde" w:cstheme="minorHAnsi"/>
                <w:color w:val="000000"/>
                <w:sz w:val="18"/>
                <w:szCs w:val="16"/>
                <w:lang w:eastAsia="es-MX"/>
              </w:rPr>
              <w:t>.7</w:t>
            </w:r>
            <w:r w:rsidR="005069EC" w:rsidRPr="001F5B9E">
              <w:rPr>
                <w:rFonts w:ascii="ITC Avant Garde" w:eastAsia="Times New Roman" w:hAnsi="ITC Avant Garde" w:cstheme="minorHAnsi"/>
                <w:color w:val="000000"/>
                <w:sz w:val="18"/>
                <w:szCs w:val="16"/>
                <w:lang w:eastAsia="es-MX"/>
              </w:rPr>
              <w:t xml:space="preserve"> del Acuerdo</w:t>
            </w:r>
            <w:r w:rsidR="00290006">
              <w:rPr>
                <w:rFonts w:ascii="ITC Avant Garde" w:eastAsia="Times New Roman" w:hAnsi="ITC Avant Garde" w:cstheme="minorHAnsi"/>
                <w:color w:val="000000"/>
                <w:sz w:val="18"/>
                <w:szCs w:val="16"/>
                <w:lang w:eastAsia="es-MX"/>
              </w:rPr>
              <w:t xml:space="preserve"> vigente</w:t>
            </w:r>
            <w:r w:rsidR="005069EC" w:rsidRPr="001F5B9E">
              <w:rPr>
                <w:rFonts w:ascii="ITC Avant Garde" w:eastAsia="Times New Roman" w:hAnsi="ITC Avant Garde" w:cstheme="minorHAnsi"/>
                <w:color w:val="000000"/>
                <w:sz w:val="18"/>
                <w:szCs w:val="16"/>
                <w:lang w:eastAsia="es-MX"/>
              </w:rPr>
              <w:t>.</w:t>
            </w:r>
            <w:r w:rsidR="00CF04C9" w:rsidRPr="001F5B9E" w:rsidDel="00CF04C9">
              <w:rPr>
                <w:rFonts w:ascii="ITC Avant Garde" w:eastAsia="Times New Roman" w:hAnsi="ITC Avant Garde" w:cstheme="minorHAnsi"/>
                <w:color w:val="000000"/>
                <w:sz w:val="18"/>
                <w:szCs w:val="16"/>
                <w:lang w:eastAsia="es-MX"/>
              </w:rPr>
              <w:t xml:space="preserve"> </w:t>
            </w:r>
          </w:p>
          <w:p w14:paraId="08307D1E" w14:textId="3951ACC6" w:rsidR="00D807DD" w:rsidRPr="00585F73" w:rsidRDefault="00D807DD" w:rsidP="00191EBE">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p>
        </w:tc>
      </w:tr>
      <w:tr w:rsidR="00D807DD" w:rsidRPr="00585F73" w14:paraId="5F3CE833" w14:textId="77777777" w:rsidTr="00F939E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70AD47" w:themeFill="accent6"/>
            <w:vAlign w:val="center"/>
          </w:tcPr>
          <w:p w14:paraId="7B554137" w14:textId="3BCD1547" w:rsidR="00D807DD" w:rsidRPr="00585F73" w:rsidRDefault="00D807DD" w:rsidP="00E91376">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generales de la persona participante</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sobre el asunto en consulta pública</w:t>
            </w:r>
          </w:p>
        </w:tc>
        <w:tc>
          <w:tcPr>
            <w:tcW w:w="2493" w:type="pct"/>
            <w:gridSpan w:val="2"/>
            <w:vMerge/>
            <w:tcBorders>
              <w:left w:val="single" w:sz="4" w:space="0" w:color="A8D08D" w:themeColor="accent6" w:themeTint="99"/>
            </w:tcBorders>
            <w:shd w:val="clear" w:color="auto" w:fill="70AD47" w:themeFill="accent6"/>
            <w:vAlign w:val="center"/>
          </w:tcPr>
          <w:p w14:paraId="10B3DD49" w14:textId="1721F280" w:rsidR="00D807DD" w:rsidRPr="00585F73" w:rsidRDefault="00D807DD" w:rsidP="00E9137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8"/>
                <w:szCs w:val="16"/>
                <w:lang w:eastAsia="es-MX"/>
              </w:rPr>
            </w:pPr>
          </w:p>
        </w:tc>
      </w:tr>
      <w:tr w:rsidR="00D807DD" w:rsidRPr="00585F73" w14:paraId="32EA6F7E" w14:textId="77777777" w:rsidTr="003655DB">
        <w:trPr>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auto"/>
            <w:vAlign w:val="center"/>
          </w:tcPr>
          <w:p w14:paraId="6FD2C09B"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Justificación para nuestra propuesta:</w:t>
            </w:r>
          </w:p>
          <w:p w14:paraId="0333E396"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Si el ciclo de trabajo (tiempo de transmisión) requerido es 10% para una densidad de potencia espectral de 13 dBm/MHz, los productos que operen con una densidad espectral de potencia igual o menor a 3 dBm/MHz, la cual está reducida en 10 dBm/MHz en relación a 13 dBm/MHz, deberían estar permitidos a transmitir a tiempo completo.</w:t>
            </w:r>
          </w:p>
          <w:p w14:paraId="78AEACE8"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7E953E17" w14:textId="602C420F" w:rsidR="00D807DD" w:rsidRPr="00585F73" w:rsidRDefault="00D807DD" w:rsidP="003655DB">
            <w:pPr>
              <w:jc w:val="both"/>
              <w:rPr>
                <w:rFonts w:ascii="ITC Avant Garde" w:eastAsia="Times New Roman" w:hAnsi="ITC Avant Garde" w:cstheme="minorHAnsi"/>
                <w:color w:val="FFFFFF" w:themeColor="background1"/>
                <w:sz w:val="18"/>
                <w:szCs w:val="16"/>
                <w:lang w:eastAsia="es-MX"/>
              </w:rPr>
            </w:pPr>
            <w:r w:rsidRPr="003655DB">
              <w:rPr>
                <w:rFonts w:ascii="ITC Avant Garde" w:eastAsia="Times New Roman" w:hAnsi="ITC Avant Garde" w:cstheme="minorHAnsi"/>
                <w:b w:val="0"/>
                <w:color w:val="000000" w:themeColor="text1"/>
                <w:sz w:val="18"/>
                <w:szCs w:val="16"/>
                <w:lang w:eastAsia="es-MX"/>
              </w:rPr>
              <w:t>Nuestra propuesta dará mayor flexibilidad en el diseño de productos sin deteriorar el nivel de interferencia.</w:t>
            </w:r>
          </w:p>
        </w:tc>
        <w:tc>
          <w:tcPr>
            <w:tcW w:w="2493"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3E7BEAC5" w14:textId="1A7ED652" w:rsidR="00D807DD" w:rsidRPr="00585F73" w:rsidRDefault="00D807DD" w:rsidP="003655DB">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
                <w:bCs/>
                <w:color w:val="FFFFFF" w:themeColor="background1"/>
                <w:sz w:val="18"/>
                <w:szCs w:val="16"/>
                <w:lang w:eastAsia="es-MX"/>
              </w:rPr>
            </w:pPr>
          </w:p>
        </w:tc>
      </w:tr>
    </w:tbl>
    <w:p w14:paraId="08161A85" w14:textId="43595955" w:rsidR="00D345AB" w:rsidRDefault="00D345AB" w:rsidP="004C4941">
      <w:pPr>
        <w:jc w:val="both"/>
        <w:rPr>
          <w:rFonts w:ascii="ITC Avant Garde" w:hAnsi="ITC Avant Garde"/>
          <w:color w:val="000000"/>
          <w:sz w:val="20"/>
          <w:szCs w:val="20"/>
          <w:shd w:val="clear" w:color="auto" w:fill="FFFFFF"/>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585F73" w:rsidRPr="00585F73" w14:paraId="5074D730" w14:textId="77777777" w:rsidTr="00F9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050069AF" w14:textId="77777777" w:rsidR="00585F73" w:rsidRPr="00585F73" w:rsidRDefault="00585F73" w:rsidP="00F939ED">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sz w:val="18"/>
                <w:szCs w:val="16"/>
                <w:lang w:eastAsia="es-MX"/>
              </w:rPr>
              <w:lastRenderedPageBreak/>
              <w:t>Folio</w:t>
            </w:r>
          </w:p>
        </w:tc>
        <w:tc>
          <w:tcPr>
            <w:tcW w:w="4361" w:type="pct"/>
            <w:gridSpan w:val="4"/>
            <w:shd w:val="clear" w:color="auto" w:fill="FFFFFF" w:themeFill="background1"/>
            <w:vAlign w:val="center"/>
          </w:tcPr>
          <w:p w14:paraId="7BE30CF4" w14:textId="187606DE" w:rsidR="00585F73" w:rsidRPr="00585F73" w:rsidRDefault="00585F73" w:rsidP="00F939ED">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8"/>
                <w:szCs w:val="16"/>
                <w:lang w:eastAsia="es-MX"/>
              </w:rPr>
            </w:pPr>
            <w:r>
              <w:rPr>
                <w:rFonts w:ascii="ITC Avant Garde" w:eastAsia="Times New Roman" w:hAnsi="ITC Avant Garde" w:cstheme="minorHAnsi"/>
                <w:color w:val="auto"/>
                <w:sz w:val="18"/>
                <w:szCs w:val="16"/>
                <w:lang w:eastAsia="es-MX"/>
              </w:rPr>
              <w:t>20210420-CP57_64GHz-002</w:t>
            </w:r>
          </w:p>
        </w:tc>
      </w:tr>
      <w:tr w:rsidR="00585F73" w:rsidRPr="00585F73" w14:paraId="3AECE500" w14:textId="77777777" w:rsidTr="00F9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2D7031AB" w14:textId="77777777" w:rsidR="00585F73" w:rsidRPr="00585F73" w:rsidRDefault="00585F73" w:rsidP="00F939ED">
            <w:pPr>
              <w:rPr>
                <w:rFonts w:ascii="ITC Avant Garde" w:eastAsia="Times New Roman" w:hAnsi="ITC Avant Garde" w:cs="Calibri"/>
                <w:bCs w:val="0"/>
                <w:color w:val="FFFFFF"/>
                <w:sz w:val="18"/>
                <w:szCs w:val="16"/>
                <w:lang w:eastAsia="es-MX"/>
              </w:rPr>
            </w:pPr>
            <w:r w:rsidRPr="00585F73">
              <w:rPr>
                <w:rFonts w:ascii="ITC Avant Garde" w:eastAsia="Times New Roman" w:hAnsi="ITC Avant Garde" w:cs="Calibri"/>
                <w:bCs w:val="0"/>
                <w:color w:val="FFFFFF"/>
                <w:sz w:val="18"/>
                <w:szCs w:val="16"/>
                <w:lang w:eastAsia="es-MX"/>
              </w:rPr>
              <w:t>Participante:</w:t>
            </w:r>
          </w:p>
        </w:tc>
        <w:tc>
          <w:tcPr>
            <w:tcW w:w="4361" w:type="pct"/>
            <w:gridSpan w:val="4"/>
            <w:vAlign w:val="center"/>
          </w:tcPr>
          <w:p w14:paraId="442E2FCF" w14:textId="149615B7" w:rsidR="00585F73" w:rsidRPr="00585F73" w:rsidRDefault="00585F73" w:rsidP="00F939ED">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8"/>
                <w:szCs w:val="16"/>
                <w:lang w:eastAsia="es-MX"/>
              </w:rPr>
            </w:pPr>
            <w:r w:rsidRPr="00585F73">
              <w:rPr>
                <w:rFonts w:ascii="ITC Avant Garde" w:eastAsia="Times New Roman" w:hAnsi="ITC Avant Garde" w:cstheme="minorHAnsi"/>
                <w:b/>
                <w:color w:val="000000"/>
                <w:sz w:val="18"/>
                <w:szCs w:val="16"/>
                <w:lang w:eastAsia="es-MX"/>
              </w:rPr>
              <w:t>Google</w:t>
            </w:r>
            <w:r>
              <w:rPr>
                <w:rFonts w:ascii="ITC Avant Garde" w:eastAsia="Times New Roman" w:hAnsi="ITC Avant Garde" w:cstheme="minorHAnsi"/>
                <w:b/>
                <w:color w:val="000000"/>
                <w:sz w:val="18"/>
                <w:szCs w:val="16"/>
                <w:lang w:eastAsia="es-MX"/>
              </w:rPr>
              <w:t>,</w:t>
            </w:r>
            <w:r w:rsidRPr="00585F73">
              <w:rPr>
                <w:rFonts w:ascii="ITC Avant Garde" w:eastAsia="Times New Roman" w:hAnsi="ITC Avant Garde" w:cstheme="minorHAnsi"/>
                <w:b/>
                <w:color w:val="000000"/>
                <w:sz w:val="18"/>
                <w:szCs w:val="16"/>
                <w:lang w:eastAsia="es-MX"/>
              </w:rPr>
              <w:t xml:space="preserve"> LLC</w:t>
            </w:r>
            <w:r>
              <w:rPr>
                <w:rFonts w:ascii="ITC Avant Garde" w:eastAsia="Times New Roman" w:hAnsi="ITC Avant Garde" w:cstheme="minorHAnsi"/>
                <w:b/>
                <w:color w:val="000000"/>
                <w:sz w:val="18"/>
                <w:szCs w:val="16"/>
                <w:lang w:eastAsia="es-MX"/>
              </w:rPr>
              <w:t>.</w:t>
            </w:r>
          </w:p>
        </w:tc>
      </w:tr>
      <w:tr w:rsidR="00585F73" w:rsidRPr="00585F73" w14:paraId="43C1E68B" w14:textId="77777777" w:rsidTr="00F939ED">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tcPr>
          <w:p w14:paraId="2D1A11CF" w14:textId="77777777" w:rsidR="00585F73" w:rsidRPr="00585F73" w:rsidRDefault="00585F73" w:rsidP="00F939ED">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Documento en consulta pública:</w:t>
            </w:r>
          </w:p>
        </w:tc>
        <w:tc>
          <w:tcPr>
            <w:tcW w:w="1295" w:type="pct"/>
            <w:tcBorders>
              <w:bottom w:val="single" w:sz="4" w:space="0" w:color="A8D08D" w:themeColor="accent6" w:themeTint="99"/>
            </w:tcBorders>
            <w:vAlign w:val="center"/>
          </w:tcPr>
          <w:p w14:paraId="5C29FFC0" w14:textId="2382CC2B" w:rsidR="00585F73" w:rsidRPr="00585F73" w:rsidRDefault="0043779A" w:rsidP="00F939E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Anteproyecto de Acuerdo</w:t>
            </w:r>
          </w:p>
        </w:tc>
        <w:tc>
          <w:tcPr>
            <w:tcW w:w="724" w:type="pct"/>
            <w:gridSpan w:val="2"/>
            <w:tcBorders>
              <w:bottom w:val="single" w:sz="4" w:space="0" w:color="A8D08D" w:themeColor="accent6" w:themeTint="99"/>
            </w:tcBorders>
            <w:shd w:val="clear" w:color="auto" w:fill="70AD47" w:themeFill="accent6"/>
            <w:vAlign w:val="center"/>
          </w:tcPr>
          <w:p w14:paraId="52454283" w14:textId="77777777" w:rsidR="00585F73" w:rsidRPr="00585F73" w:rsidRDefault="00585F73" w:rsidP="00F939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A</w:t>
            </w:r>
            <w:r w:rsidRPr="00585F73">
              <w:rPr>
                <w:rFonts w:ascii="ITC Avant Garde" w:eastAsia="Times New Roman" w:hAnsi="ITC Avant Garde" w:cstheme="minorHAnsi"/>
                <w:b/>
                <w:color w:val="FFFFFF" w:themeColor="background1"/>
                <w:sz w:val="18"/>
                <w:szCs w:val="16"/>
                <w:lang w:eastAsia="es-MX"/>
              </w:rPr>
              <w:t>rtículo o apartad</w:t>
            </w:r>
            <w:r w:rsidRPr="00585F73">
              <w:rPr>
                <w:rFonts w:ascii="ITC Avant Garde" w:eastAsia="Times New Roman" w:hAnsi="ITC Avant Garde" w:cstheme="minorHAnsi"/>
                <w:color w:val="FFFFFF" w:themeColor="background1"/>
                <w:sz w:val="18"/>
                <w:szCs w:val="16"/>
                <w:lang w:eastAsia="es-MX"/>
              </w:rPr>
              <w:t>o</w:t>
            </w:r>
          </w:p>
        </w:tc>
        <w:tc>
          <w:tcPr>
            <w:tcW w:w="2342" w:type="pct"/>
            <w:tcBorders>
              <w:bottom w:val="single" w:sz="4" w:space="0" w:color="A8D08D" w:themeColor="accent6" w:themeTint="99"/>
            </w:tcBorders>
            <w:vAlign w:val="center"/>
          </w:tcPr>
          <w:p w14:paraId="46158CA8" w14:textId="21BA507D" w:rsidR="00585F73" w:rsidRPr="00585F73" w:rsidRDefault="00ED5BC3" w:rsidP="00F939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Pr>
                <w:rFonts w:ascii="ITC Avant Garde" w:eastAsia="Times New Roman" w:hAnsi="ITC Avant Garde" w:cstheme="minorHAnsi"/>
                <w:sz w:val="18"/>
                <w:szCs w:val="16"/>
                <w:lang w:eastAsia="es-MX"/>
              </w:rPr>
              <w:t>N/A</w:t>
            </w:r>
          </w:p>
        </w:tc>
      </w:tr>
      <w:tr w:rsidR="00585F73" w:rsidRPr="00585F73" w14:paraId="359D3BE5" w14:textId="77777777" w:rsidTr="00F9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vAlign w:val="center"/>
          </w:tcPr>
          <w:p w14:paraId="00B6305A" w14:textId="5E9BA033" w:rsidR="00585F73" w:rsidRPr="00585F73" w:rsidRDefault="00585F73" w:rsidP="00585F73">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específicos de la persona</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participante sobre el asunto en consulta pública</w:t>
            </w:r>
          </w:p>
        </w:tc>
        <w:tc>
          <w:tcPr>
            <w:tcW w:w="2493" w:type="pct"/>
            <w:gridSpan w:val="2"/>
            <w:tcBorders>
              <w:left w:val="single" w:sz="4" w:space="0" w:color="A8D08D" w:themeColor="accent6" w:themeTint="99"/>
            </w:tcBorders>
            <w:shd w:val="clear" w:color="auto" w:fill="70AD47" w:themeFill="accent6"/>
            <w:vAlign w:val="center"/>
          </w:tcPr>
          <w:p w14:paraId="6869959B" w14:textId="77777777" w:rsidR="00585F73" w:rsidRPr="00585F73" w:rsidRDefault="00585F73" w:rsidP="00F939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8"/>
                <w:szCs w:val="16"/>
                <w:lang w:eastAsia="es-MX"/>
              </w:rPr>
            </w:pPr>
            <w:r w:rsidRPr="00585F73">
              <w:rPr>
                <w:rFonts w:ascii="ITC Avant Garde" w:eastAsia="Times New Roman" w:hAnsi="ITC Avant Garde" w:cstheme="minorHAnsi"/>
                <w:b/>
                <w:color w:val="FFFFFF" w:themeColor="background1"/>
                <w:sz w:val="18"/>
                <w:szCs w:val="16"/>
                <w:lang w:eastAsia="es-MX"/>
              </w:rPr>
              <w:t>Respuesta del Instituto</w:t>
            </w:r>
          </w:p>
        </w:tc>
      </w:tr>
      <w:tr w:rsidR="00D807DD" w:rsidRPr="00585F73" w14:paraId="1283A38C" w14:textId="77777777" w:rsidTr="00F939ED">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tcPr>
          <w:p w14:paraId="3AF6A2F4" w14:textId="2AF6196D" w:rsidR="00D807DD" w:rsidRPr="00585F73" w:rsidRDefault="00D807DD" w:rsidP="00F939ED">
            <w:pPr>
              <w:jc w:val="both"/>
              <w:rPr>
                <w:rFonts w:ascii="ITC Avant Garde" w:eastAsia="Times New Roman" w:hAnsi="ITC Avant Garde" w:cstheme="minorHAnsi"/>
                <w:b w:val="0"/>
                <w:color w:val="000000"/>
                <w:sz w:val="18"/>
                <w:szCs w:val="16"/>
                <w:lang w:eastAsia="es-MX"/>
              </w:rPr>
            </w:pPr>
            <w:r>
              <w:rPr>
                <w:rFonts w:ascii="ITC Avant Garde" w:eastAsia="Times New Roman" w:hAnsi="ITC Avant Garde" w:cstheme="minorHAnsi"/>
                <w:b w:val="0"/>
                <w:color w:val="000000"/>
                <w:sz w:val="18"/>
                <w:szCs w:val="16"/>
                <w:lang w:eastAsia="es-MX"/>
              </w:rPr>
              <w:t>N</w:t>
            </w:r>
            <w:r w:rsidR="00807B2A">
              <w:rPr>
                <w:rFonts w:ascii="ITC Avant Garde" w:eastAsia="Times New Roman" w:hAnsi="ITC Avant Garde" w:cstheme="minorHAnsi"/>
                <w:b w:val="0"/>
                <w:color w:val="000000"/>
                <w:sz w:val="18"/>
                <w:szCs w:val="16"/>
                <w:lang w:eastAsia="es-MX"/>
              </w:rPr>
              <w:t>/A</w:t>
            </w:r>
          </w:p>
        </w:tc>
        <w:tc>
          <w:tcPr>
            <w:tcW w:w="2493" w:type="pct"/>
            <w:gridSpan w:val="2"/>
            <w:vMerge w:val="restart"/>
            <w:tcBorders>
              <w:left w:val="single" w:sz="4" w:space="0" w:color="A8D08D" w:themeColor="accent6" w:themeTint="99"/>
            </w:tcBorders>
          </w:tcPr>
          <w:p w14:paraId="22D64E39" w14:textId="02378DCE" w:rsidR="00D807DD" w:rsidRPr="00585F73" w:rsidRDefault="00534D75" w:rsidP="00807B2A">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 xml:space="preserve">El Instituto agradece los comentarios y aportaciones realizados a nombre de </w:t>
            </w:r>
            <w:r w:rsidRPr="00534D75">
              <w:rPr>
                <w:rFonts w:ascii="ITC Avant Garde" w:eastAsia="Times New Roman" w:hAnsi="ITC Avant Garde" w:cstheme="minorHAnsi"/>
                <w:color w:val="000000"/>
                <w:sz w:val="18"/>
                <w:szCs w:val="16"/>
                <w:lang w:eastAsia="es-MX"/>
              </w:rPr>
              <w:t>Google, LLC.</w:t>
            </w:r>
          </w:p>
        </w:tc>
      </w:tr>
      <w:tr w:rsidR="00D807DD" w:rsidRPr="00585F73" w14:paraId="795D1215" w14:textId="77777777" w:rsidTr="00F939E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70AD47" w:themeFill="accent6"/>
            <w:vAlign w:val="center"/>
          </w:tcPr>
          <w:p w14:paraId="5F25E63C" w14:textId="2708CBBD" w:rsidR="00D807DD" w:rsidRPr="00585F73" w:rsidRDefault="00D807DD" w:rsidP="00585F73">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generales de la persona participante</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sobre el asunto en consulta pública</w:t>
            </w:r>
          </w:p>
        </w:tc>
        <w:tc>
          <w:tcPr>
            <w:tcW w:w="2493" w:type="pct"/>
            <w:gridSpan w:val="2"/>
            <w:vMerge/>
            <w:tcBorders>
              <w:left w:val="single" w:sz="4" w:space="0" w:color="A8D08D" w:themeColor="accent6" w:themeTint="99"/>
            </w:tcBorders>
            <w:shd w:val="clear" w:color="auto" w:fill="70AD47" w:themeFill="accent6"/>
            <w:vAlign w:val="center"/>
          </w:tcPr>
          <w:p w14:paraId="4BFE645D" w14:textId="0562A520" w:rsidR="00D807DD" w:rsidRPr="00585F73" w:rsidRDefault="00D807DD" w:rsidP="00F939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8"/>
                <w:szCs w:val="16"/>
                <w:lang w:eastAsia="es-MX"/>
              </w:rPr>
            </w:pPr>
          </w:p>
        </w:tc>
      </w:tr>
      <w:tr w:rsidR="00D807DD" w:rsidRPr="00585F73" w14:paraId="726AD0FA" w14:textId="77777777" w:rsidTr="003655DB">
        <w:trPr>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auto"/>
            <w:vAlign w:val="center"/>
          </w:tcPr>
          <w:p w14:paraId="5D7F0C71" w14:textId="30EA65C8" w:rsidR="00D807DD" w:rsidRPr="003655DB" w:rsidRDefault="00D807DD" w:rsidP="0039333C">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Google LLC felicita al Instituto Federal de Telecomunicaciones (“IFT”) con motivo del presente proceso de consulta pública para actualizar el Numeral 2.1.6 del “Acuerdo mediante el cual el Pleno del Instituto Federal de Telecomunicaciones clasifica la banda de frecuencias 57-64 GHz como espectro libre y expide las condiciones técnicas de operación” (el “Acuerdo”). </w:t>
            </w:r>
          </w:p>
          <w:p w14:paraId="4DAF4751"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584FBDC6" w14:textId="33EEEE33"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Al actualizar el Numeral 2.1.6 del Acuerdo, el IFT armonizaría sus regulaciones para dispositivos de radar de detección de movimiento de 60 GHz en concordancia con una exención de las reglas por parte de la Comisión Federal de Comunicaciones de los Estados Unidos de América (U.S. Federal </w:t>
            </w:r>
            <w:proofErr w:type="spellStart"/>
            <w:r w:rsidRPr="003655DB">
              <w:rPr>
                <w:rFonts w:ascii="ITC Avant Garde" w:eastAsia="Times New Roman" w:hAnsi="ITC Avant Garde" w:cstheme="minorHAnsi"/>
                <w:b w:val="0"/>
                <w:color w:val="000000" w:themeColor="text1"/>
                <w:sz w:val="18"/>
                <w:szCs w:val="16"/>
                <w:lang w:eastAsia="es-MX"/>
              </w:rPr>
              <w:t>Communications</w:t>
            </w:r>
            <w:proofErr w:type="spellEnd"/>
            <w:r w:rsidRPr="003655DB">
              <w:rPr>
                <w:rFonts w:ascii="ITC Avant Garde" w:eastAsia="Times New Roman" w:hAnsi="ITC Avant Garde" w:cstheme="minorHAnsi"/>
                <w:b w:val="0"/>
                <w:color w:val="000000" w:themeColor="text1"/>
                <w:sz w:val="18"/>
                <w:szCs w:val="16"/>
                <w:lang w:eastAsia="es-MX"/>
              </w:rPr>
              <w:t xml:space="preserve"> </w:t>
            </w:r>
            <w:proofErr w:type="spellStart"/>
            <w:r w:rsidRPr="003655DB">
              <w:rPr>
                <w:rFonts w:ascii="ITC Avant Garde" w:eastAsia="Times New Roman" w:hAnsi="ITC Avant Garde" w:cstheme="minorHAnsi"/>
                <w:b w:val="0"/>
                <w:color w:val="000000" w:themeColor="text1"/>
                <w:sz w:val="18"/>
                <w:szCs w:val="16"/>
                <w:lang w:eastAsia="es-MX"/>
              </w:rPr>
              <w:t>Commission</w:t>
            </w:r>
            <w:proofErr w:type="spellEnd"/>
            <w:r w:rsidRPr="003655DB">
              <w:rPr>
                <w:rFonts w:ascii="ITC Avant Garde" w:eastAsia="Times New Roman" w:hAnsi="ITC Avant Garde" w:cstheme="minorHAnsi"/>
                <w:b w:val="0"/>
                <w:color w:val="000000" w:themeColor="text1"/>
                <w:sz w:val="18"/>
                <w:szCs w:val="16"/>
                <w:lang w:eastAsia="es-MX"/>
              </w:rPr>
              <w:t xml:space="preserve"> – “FCC”) para los dispositivos de Google que contienen sensores de </w:t>
            </w:r>
            <w:proofErr w:type="spellStart"/>
            <w:r w:rsidRPr="003655DB">
              <w:rPr>
                <w:rFonts w:ascii="ITC Avant Garde" w:eastAsia="Times New Roman" w:hAnsi="ITC Avant Garde" w:cstheme="minorHAnsi"/>
                <w:b w:val="0"/>
                <w:color w:val="000000" w:themeColor="text1"/>
                <w:sz w:val="18"/>
                <w:szCs w:val="16"/>
                <w:lang w:eastAsia="es-MX"/>
              </w:rPr>
              <w:t>Montion</w:t>
            </w:r>
            <w:proofErr w:type="spellEnd"/>
            <w:r w:rsidRPr="003655DB">
              <w:rPr>
                <w:rFonts w:ascii="ITC Avant Garde" w:eastAsia="Times New Roman" w:hAnsi="ITC Avant Garde" w:cstheme="minorHAnsi"/>
                <w:b w:val="0"/>
                <w:color w:val="000000" w:themeColor="text1"/>
                <w:sz w:val="18"/>
                <w:szCs w:val="16"/>
                <w:lang w:eastAsia="es-MX"/>
              </w:rPr>
              <w:t xml:space="preserve"> </w:t>
            </w:r>
            <w:proofErr w:type="spellStart"/>
            <w:r w:rsidRPr="003655DB">
              <w:rPr>
                <w:rFonts w:ascii="ITC Avant Garde" w:eastAsia="Times New Roman" w:hAnsi="ITC Avant Garde" w:cstheme="minorHAnsi"/>
                <w:b w:val="0"/>
                <w:color w:val="000000" w:themeColor="text1"/>
                <w:sz w:val="18"/>
                <w:szCs w:val="16"/>
                <w:lang w:eastAsia="es-MX"/>
              </w:rPr>
              <w:t>Sense</w:t>
            </w:r>
            <w:proofErr w:type="spellEnd"/>
            <w:r w:rsidRPr="003655DB">
              <w:rPr>
                <w:rFonts w:ascii="ITC Avant Garde" w:eastAsia="Times New Roman" w:hAnsi="ITC Avant Garde" w:cstheme="minorHAnsi"/>
                <w:b w:val="0"/>
                <w:color w:val="000000" w:themeColor="text1"/>
                <w:sz w:val="18"/>
                <w:szCs w:val="16"/>
                <w:lang w:eastAsia="es-MX"/>
              </w:rPr>
              <w:t xml:space="preserve"> para operar a todos los niveles de potencia (sujeta a un límite de ciclo de trabajo de transmisión), así como con los límites de radar de banda de 60 GHz que fueron actualizados en otros países incluyendo Canadá y Japón. En particular, el incremento en la potencia de transmisión establecido en las actualizaciones al Numeral 2.1.6 significaría una mejora significativa en la experiencia del usuario de estos dispositivos de radar de detección de movimiento.</w:t>
            </w:r>
          </w:p>
          <w:p w14:paraId="06303C7C"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038D1593"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Las actualizaciones propuestas al Numeral 2.1.6 del Acuerdo derivan de un proceso conducido dentro del Comité Técnico en materia de Espectro Radioeléctrico (CTER), en el que casi todos los Grupos de Trabajo (en los que la industria se encuentra involucrada) participaron activamente y discutieron las actualizaciones, y todas las sugerencias y comentarios fueron considerados en la propuesta del CTER al IFT.</w:t>
            </w:r>
          </w:p>
          <w:p w14:paraId="0095B50F"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0A4FC144"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Las características de propagación de las emisiones en la banda de 60 GHz garantizan que las transmisiones de los dispositivos de consumidores únicamente viajen distancias limitadas. Por lo tanto, las transmisiones </w:t>
            </w:r>
            <w:r w:rsidRPr="003655DB">
              <w:rPr>
                <w:rFonts w:ascii="ITC Avant Garde" w:eastAsia="Times New Roman" w:hAnsi="ITC Avant Garde" w:cstheme="minorHAnsi"/>
                <w:b w:val="0"/>
                <w:color w:val="000000" w:themeColor="text1"/>
                <w:sz w:val="18"/>
                <w:szCs w:val="16"/>
                <w:lang w:eastAsia="es-MX"/>
              </w:rPr>
              <w:lastRenderedPageBreak/>
              <w:t>tienen un bajo potencial de interferencia y, en consecuencia, diferentes tecnologías pueden compartir con éxito este espectro. Particularmente, de acuerdo con las actualizaciones propuestas al Numeral 2.1.6, los sensores de radar de baja potencia podrán igualmente coexistir con otros dispositivos (con o sin licencia) que operen en la banda de 60 GHz.</w:t>
            </w:r>
          </w:p>
          <w:p w14:paraId="5EC4E00B" w14:textId="77777777" w:rsidR="0039333C" w:rsidRDefault="0039333C" w:rsidP="003655DB">
            <w:pPr>
              <w:jc w:val="both"/>
              <w:rPr>
                <w:rFonts w:ascii="ITC Avant Garde" w:eastAsia="Times New Roman" w:hAnsi="ITC Avant Garde" w:cstheme="minorHAnsi"/>
                <w:bCs w:val="0"/>
                <w:color w:val="000000" w:themeColor="text1"/>
                <w:sz w:val="18"/>
                <w:szCs w:val="16"/>
                <w:lang w:eastAsia="es-MX"/>
              </w:rPr>
            </w:pPr>
          </w:p>
          <w:p w14:paraId="520776FF" w14:textId="4A725EEA"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La falta de interferencia es consistente con los análisis de coexistencia realizados para Google antes del lanzamiento de </w:t>
            </w:r>
            <w:proofErr w:type="spellStart"/>
            <w:r w:rsidRPr="003655DB">
              <w:rPr>
                <w:rFonts w:ascii="ITC Avant Garde" w:eastAsia="Times New Roman" w:hAnsi="ITC Avant Garde" w:cstheme="minorHAnsi"/>
                <w:b w:val="0"/>
                <w:color w:val="000000" w:themeColor="text1"/>
                <w:sz w:val="18"/>
                <w:szCs w:val="16"/>
                <w:lang w:eastAsia="es-MX"/>
              </w:rPr>
              <w:t>Motion</w:t>
            </w:r>
            <w:proofErr w:type="spellEnd"/>
            <w:r w:rsidRPr="003655DB">
              <w:rPr>
                <w:rFonts w:ascii="ITC Avant Garde" w:eastAsia="Times New Roman" w:hAnsi="ITC Avant Garde" w:cstheme="minorHAnsi"/>
                <w:b w:val="0"/>
                <w:color w:val="000000" w:themeColor="text1"/>
                <w:sz w:val="18"/>
                <w:szCs w:val="16"/>
                <w:lang w:eastAsia="es-MX"/>
              </w:rPr>
              <w:t xml:space="preserve"> </w:t>
            </w:r>
            <w:proofErr w:type="spellStart"/>
            <w:r w:rsidRPr="003655DB">
              <w:rPr>
                <w:rFonts w:ascii="ITC Avant Garde" w:eastAsia="Times New Roman" w:hAnsi="ITC Avant Garde" w:cstheme="minorHAnsi"/>
                <w:b w:val="0"/>
                <w:color w:val="000000" w:themeColor="text1"/>
                <w:sz w:val="18"/>
                <w:szCs w:val="16"/>
                <w:lang w:eastAsia="es-MX"/>
              </w:rPr>
              <w:t>Sense</w:t>
            </w:r>
            <w:proofErr w:type="spellEnd"/>
            <w:r w:rsidRPr="003655DB">
              <w:rPr>
                <w:rFonts w:ascii="ITC Avant Garde" w:eastAsia="Times New Roman" w:hAnsi="ITC Avant Garde" w:cstheme="minorHAnsi"/>
                <w:b w:val="0"/>
                <w:color w:val="000000" w:themeColor="text1"/>
                <w:sz w:val="18"/>
                <w:szCs w:val="16"/>
                <w:lang w:eastAsia="es-MX"/>
              </w:rPr>
              <w:t xml:space="preserve">, mismos que concluyen que el funcionamiento del radar </w:t>
            </w:r>
            <w:proofErr w:type="spellStart"/>
            <w:r w:rsidRPr="003655DB">
              <w:rPr>
                <w:rFonts w:ascii="ITC Avant Garde" w:eastAsia="Times New Roman" w:hAnsi="ITC Avant Garde" w:cstheme="minorHAnsi"/>
                <w:b w:val="0"/>
                <w:color w:val="000000" w:themeColor="text1"/>
                <w:sz w:val="18"/>
                <w:szCs w:val="16"/>
                <w:lang w:eastAsia="es-MX"/>
              </w:rPr>
              <w:t>Soli</w:t>
            </w:r>
            <w:proofErr w:type="spellEnd"/>
            <w:r w:rsidRPr="003655DB">
              <w:rPr>
                <w:rFonts w:ascii="ITC Avant Garde" w:eastAsia="Times New Roman" w:hAnsi="ITC Avant Garde" w:cstheme="minorHAnsi"/>
                <w:b w:val="0"/>
                <w:color w:val="000000" w:themeColor="text1"/>
                <w:sz w:val="18"/>
                <w:szCs w:val="16"/>
                <w:lang w:eastAsia="es-MX"/>
              </w:rPr>
              <w:t xml:space="preserve"> tuvo poco impacto en el rendimiento de </w:t>
            </w:r>
            <w:proofErr w:type="spellStart"/>
            <w:r w:rsidRPr="003655DB">
              <w:rPr>
                <w:rFonts w:ascii="ITC Avant Garde" w:eastAsia="Times New Roman" w:hAnsi="ITC Avant Garde" w:cstheme="minorHAnsi"/>
                <w:b w:val="0"/>
                <w:color w:val="000000" w:themeColor="text1"/>
                <w:sz w:val="18"/>
                <w:szCs w:val="16"/>
                <w:lang w:eastAsia="es-MX"/>
              </w:rPr>
              <w:t>WiGig</w:t>
            </w:r>
            <w:proofErr w:type="spellEnd"/>
            <w:r w:rsidRPr="003655DB">
              <w:rPr>
                <w:rFonts w:ascii="ITC Avant Garde" w:eastAsia="Times New Roman" w:hAnsi="ITC Avant Garde" w:cstheme="minorHAnsi"/>
                <w:b w:val="0"/>
                <w:color w:val="000000" w:themeColor="text1"/>
                <w:sz w:val="18"/>
                <w:szCs w:val="16"/>
                <w:lang w:eastAsia="es-MX"/>
              </w:rPr>
              <w:t xml:space="preserve"> (</w:t>
            </w:r>
            <w:proofErr w:type="spellStart"/>
            <w:r w:rsidRPr="003655DB">
              <w:rPr>
                <w:rFonts w:ascii="ITC Avant Garde" w:eastAsia="Times New Roman" w:hAnsi="ITC Avant Garde" w:cstheme="minorHAnsi"/>
                <w:b w:val="0"/>
                <w:color w:val="000000" w:themeColor="text1"/>
                <w:sz w:val="18"/>
                <w:szCs w:val="16"/>
                <w:lang w:eastAsia="es-MX"/>
              </w:rPr>
              <w:t>Wi</w:t>
            </w:r>
            <w:proofErr w:type="spellEnd"/>
            <w:r w:rsidRPr="003655DB">
              <w:rPr>
                <w:rFonts w:ascii="ITC Avant Garde" w:eastAsia="Times New Roman" w:hAnsi="ITC Avant Garde" w:cstheme="minorHAnsi"/>
                <w:b w:val="0"/>
                <w:color w:val="000000" w:themeColor="text1"/>
                <w:sz w:val="18"/>
                <w:szCs w:val="16"/>
                <w:lang w:eastAsia="es-MX"/>
              </w:rPr>
              <w:t>-Fi en 60 GHz, es decir,</w:t>
            </w:r>
            <w:r w:rsidR="0039333C">
              <w:rPr>
                <w:rFonts w:ascii="ITC Avant Garde" w:eastAsia="Times New Roman" w:hAnsi="ITC Avant Garde" w:cstheme="minorHAnsi"/>
                <w:b w:val="0"/>
                <w:color w:val="000000" w:themeColor="text1"/>
                <w:sz w:val="18"/>
                <w:szCs w:val="16"/>
                <w:lang w:eastAsia="es-MX"/>
              </w:rPr>
              <w:t xml:space="preserve"> </w:t>
            </w:r>
            <w:r w:rsidRPr="003655DB">
              <w:rPr>
                <w:rFonts w:ascii="ITC Avant Garde" w:eastAsia="Times New Roman" w:hAnsi="ITC Avant Garde" w:cstheme="minorHAnsi"/>
                <w:b w:val="0"/>
                <w:color w:val="000000" w:themeColor="text1"/>
                <w:sz w:val="18"/>
                <w:szCs w:val="16"/>
                <w:lang w:eastAsia="es-MX"/>
              </w:rPr>
              <w:t xml:space="preserve">IEEE 802.11ad). Especialmente, las mediciones de laboratorio confirmaron la capacidad de los sistemas de radar </w:t>
            </w:r>
            <w:proofErr w:type="spellStart"/>
            <w:r w:rsidRPr="003655DB">
              <w:rPr>
                <w:rFonts w:ascii="ITC Avant Garde" w:eastAsia="Times New Roman" w:hAnsi="ITC Avant Garde" w:cstheme="minorHAnsi"/>
                <w:b w:val="0"/>
                <w:color w:val="000000" w:themeColor="text1"/>
                <w:sz w:val="18"/>
                <w:szCs w:val="16"/>
                <w:lang w:eastAsia="es-MX"/>
              </w:rPr>
              <w:t>Soli</w:t>
            </w:r>
            <w:proofErr w:type="spellEnd"/>
            <w:r w:rsidRPr="003655DB">
              <w:rPr>
                <w:rFonts w:ascii="ITC Avant Garde" w:eastAsia="Times New Roman" w:hAnsi="ITC Avant Garde" w:cstheme="minorHAnsi"/>
                <w:b w:val="0"/>
                <w:color w:val="000000" w:themeColor="text1"/>
                <w:sz w:val="18"/>
                <w:szCs w:val="16"/>
                <w:lang w:eastAsia="es-MX"/>
              </w:rPr>
              <w:t xml:space="preserve"> para coexistir con equipos IEEE 802.11ad disponibles en el mercado. Los estudios de simulación también mostraron que el porcentaje de casos en os que se degradaba el rendimiento de Wi-Fi era bajo considerando escenarios extremos (</w:t>
            </w:r>
            <w:proofErr w:type="spellStart"/>
            <w:r w:rsidRPr="003655DB">
              <w:rPr>
                <w:rFonts w:ascii="ITC Avant Garde" w:eastAsia="Times New Roman" w:hAnsi="ITC Avant Garde" w:cstheme="minorHAnsi"/>
                <w:b w:val="0"/>
                <w:color w:val="000000" w:themeColor="text1"/>
                <w:sz w:val="18"/>
                <w:szCs w:val="16"/>
                <w:lang w:eastAsia="es-MX"/>
              </w:rPr>
              <w:t>vgr</w:t>
            </w:r>
            <w:proofErr w:type="spellEnd"/>
            <w:r w:rsidRPr="003655DB">
              <w:rPr>
                <w:rFonts w:ascii="ITC Avant Garde" w:eastAsia="Times New Roman" w:hAnsi="ITC Avant Garde" w:cstheme="minorHAnsi"/>
                <w:b w:val="0"/>
                <w:color w:val="000000" w:themeColor="text1"/>
                <w:sz w:val="18"/>
                <w:szCs w:val="16"/>
                <w:lang w:eastAsia="es-MX"/>
              </w:rPr>
              <w:t>., aproximadamente un 8% cuando el análisis utilizaba el supuesto de que el radar actuaría al 100% del ciclo de trabajo) e insignificante a inexistente en escenarios más realistas.</w:t>
            </w:r>
          </w:p>
          <w:p w14:paraId="036CE779"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03F8CC0D" w14:textId="7EF6F0AF"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Asimismo, un estudio de Google realizado en 2018 indicó que el impacto potencial de los sensores </w:t>
            </w:r>
            <w:proofErr w:type="spellStart"/>
            <w:r w:rsidRPr="003655DB">
              <w:rPr>
                <w:rFonts w:ascii="ITC Avant Garde" w:eastAsia="Times New Roman" w:hAnsi="ITC Avant Garde" w:cstheme="minorHAnsi"/>
                <w:b w:val="0"/>
                <w:color w:val="000000" w:themeColor="text1"/>
                <w:sz w:val="18"/>
                <w:szCs w:val="16"/>
                <w:lang w:eastAsia="es-MX"/>
              </w:rPr>
              <w:t>Soli</w:t>
            </w:r>
            <w:proofErr w:type="spellEnd"/>
            <w:r w:rsidRPr="003655DB">
              <w:rPr>
                <w:rFonts w:ascii="ITC Avant Garde" w:eastAsia="Times New Roman" w:hAnsi="ITC Avant Garde" w:cstheme="minorHAnsi"/>
                <w:b w:val="0"/>
                <w:color w:val="000000" w:themeColor="text1"/>
                <w:sz w:val="18"/>
                <w:szCs w:val="16"/>
                <w:lang w:eastAsia="es-MX"/>
              </w:rPr>
              <w:t xml:space="preserve"> en las operaciones del Servicio de Exploración de la Tierra por Satélite (SETS) era insignificante o inexistente. El resultado neto de los estudios mostró que la cantidad de energía que llega a los satélites, suponiendo 100 millones de dispositivos emisores en el haz de la antena de SETS al mismo tiempo, y todos a 8,000 pies (2,438.4 m) de altura, sigue siendo unas 1,000 veces (30 dB) inferior al criterio de interferencia de SETS establecido por la UIT. Los estudios de dispositivos </w:t>
            </w:r>
            <w:proofErr w:type="spellStart"/>
            <w:r w:rsidRPr="003655DB">
              <w:rPr>
                <w:rFonts w:ascii="ITC Avant Garde" w:eastAsia="Times New Roman" w:hAnsi="ITC Avant Garde" w:cstheme="minorHAnsi"/>
                <w:b w:val="0"/>
                <w:color w:val="000000" w:themeColor="text1"/>
                <w:sz w:val="18"/>
                <w:szCs w:val="16"/>
                <w:lang w:eastAsia="es-MX"/>
              </w:rPr>
              <w:t>Soli</w:t>
            </w:r>
            <w:proofErr w:type="spellEnd"/>
            <w:r w:rsidRPr="003655DB">
              <w:rPr>
                <w:rFonts w:ascii="ITC Avant Garde" w:eastAsia="Times New Roman" w:hAnsi="ITC Avant Garde" w:cstheme="minorHAnsi"/>
                <w:b w:val="0"/>
                <w:color w:val="000000" w:themeColor="text1"/>
                <w:sz w:val="18"/>
                <w:szCs w:val="16"/>
                <w:lang w:eastAsia="es-MX"/>
              </w:rPr>
              <w:t xml:space="preserve"> de uso aéreo mostraron que no habría un impacto similar. Estos estudios se confirman por la ausencia de problemas de interferencia del mundo real durante las operaciones en los Estados Unidos de América,</w:t>
            </w:r>
          </w:p>
          <w:p w14:paraId="7AB8BFF3"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Canadá y otros países.</w:t>
            </w:r>
          </w:p>
          <w:p w14:paraId="24987884" w14:textId="7777777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p>
          <w:p w14:paraId="040D003C" w14:textId="1EB35B07" w:rsidR="00D807DD" w:rsidRPr="003655DB" w:rsidRDefault="00D807DD" w:rsidP="003655DB">
            <w:pPr>
              <w:jc w:val="both"/>
              <w:rPr>
                <w:rFonts w:ascii="ITC Avant Garde" w:eastAsia="Times New Roman" w:hAnsi="ITC Avant Garde" w:cstheme="minorHAnsi"/>
                <w:b w:val="0"/>
                <w:color w:val="000000" w:themeColor="text1"/>
                <w:sz w:val="18"/>
                <w:szCs w:val="16"/>
                <w:lang w:eastAsia="es-MX"/>
              </w:rPr>
            </w:pPr>
            <w:r w:rsidRPr="003655DB">
              <w:rPr>
                <w:rFonts w:ascii="ITC Avant Garde" w:eastAsia="Times New Roman" w:hAnsi="ITC Avant Garde" w:cstheme="minorHAnsi"/>
                <w:b w:val="0"/>
                <w:color w:val="000000" w:themeColor="text1"/>
                <w:sz w:val="18"/>
                <w:szCs w:val="16"/>
                <w:lang w:eastAsia="es-MX"/>
              </w:rPr>
              <w:t xml:space="preserve">El IFT debería adoptar las actualizaciones propuestas al Numeral 2.1.6 del Acuerdo en su totalidad y lo antes posible. Hacerlo permitirá el despliegue de nuevas aplicaciones de tecnología en México y alineará las regulaciones de México con los acuerdos de espectro dentro de América del Norte y en el extranjero, beneficiando a los consumidores y mejorando la competitividad global de México. Especialmente, realizar las actualizaciones propuestas al Numeral 2.1.6 permitirá a los desarrolladores y fabricantes llevar productos con tecnologías innovadoras como </w:t>
            </w:r>
            <w:proofErr w:type="spellStart"/>
            <w:r w:rsidRPr="003655DB">
              <w:rPr>
                <w:rFonts w:ascii="ITC Avant Garde" w:eastAsia="Times New Roman" w:hAnsi="ITC Avant Garde" w:cstheme="minorHAnsi"/>
                <w:b w:val="0"/>
                <w:color w:val="000000" w:themeColor="text1"/>
                <w:sz w:val="18"/>
                <w:szCs w:val="16"/>
                <w:lang w:eastAsia="es-MX"/>
              </w:rPr>
              <w:t>Motion</w:t>
            </w:r>
            <w:proofErr w:type="spellEnd"/>
            <w:r w:rsidRPr="003655DB">
              <w:rPr>
                <w:rFonts w:ascii="ITC Avant Garde" w:eastAsia="Times New Roman" w:hAnsi="ITC Avant Garde" w:cstheme="minorHAnsi"/>
                <w:b w:val="0"/>
                <w:color w:val="000000" w:themeColor="text1"/>
                <w:sz w:val="18"/>
                <w:szCs w:val="16"/>
                <w:lang w:eastAsia="es-MX"/>
              </w:rPr>
              <w:t xml:space="preserve"> </w:t>
            </w:r>
            <w:proofErr w:type="spellStart"/>
            <w:r w:rsidRPr="003655DB">
              <w:rPr>
                <w:rFonts w:ascii="ITC Avant Garde" w:eastAsia="Times New Roman" w:hAnsi="ITC Avant Garde" w:cstheme="minorHAnsi"/>
                <w:b w:val="0"/>
                <w:color w:val="000000" w:themeColor="text1"/>
                <w:sz w:val="18"/>
                <w:szCs w:val="16"/>
                <w:lang w:eastAsia="es-MX"/>
              </w:rPr>
              <w:t>Sense</w:t>
            </w:r>
            <w:proofErr w:type="spellEnd"/>
            <w:r w:rsidRPr="003655DB">
              <w:rPr>
                <w:rFonts w:ascii="ITC Avant Garde" w:eastAsia="Times New Roman" w:hAnsi="ITC Avant Garde" w:cstheme="minorHAnsi"/>
                <w:b w:val="0"/>
                <w:color w:val="000000" w:themeColor="text1"/>
                <w:sz w:val="18"/>
                <w:szCs w:val="16"/>
                <w:lang w:eastAsia="es-MX"/>
              </w:rPr>
              <w:t xml:space="preserve"> a los usuarios mexicanos en un corto plazo.</w:t>
            </w:r>
          </w:p>
        </w:tc>
        <w:tc>
          <w:tcPr>
            <w:tcW w:w="2493"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01CEB7B8" w14:textId="77777777" w:rsidR="00D807DD" w:rsidRPr="003655DB" w:rsidRDefault="00D807DD" w:rsidP="003655DB">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color w:val="000000" w:themeColor="text1"/>
                <w:sz w:val="18"/>
                <w:szCs w:val="16"/>
                <w:lang w:eastAsia="es-MX"/>
              </w:rPr>
            </w:pPr>
          </w:p>
        </w:tc>
      </w:tr>
    </w:tbl>
    <w:p w14:paraId="27275BD7" w14:textId="77777777" w:rsidR="00ED5BC3" w:rsidRPr="00BB0576" w:rsidRDefault="00ED5BC3" w:rsidP="00ED5BC3">
      <w:pPr>
        <w:spacing w:after="0"/>
        <w:jc w:val="both"/>
        <w:rPr>
          <w:rFonts w:ascii="ITC Avant Garde" w:eastAsia="Times New Roman" w:hAnsi="ITC Avant Garde" w:cstheme="minorHAnsi"/>
          <w:bCs/>
          <w:color w:val="000000"/>
          <w:sz w:val="16"/>
          <w:szCs w:val="16"/>
          <w:lang w:eastAsia="es-MX"/>
        </w:rPr>
      </w:pPr>
    </w:p>
    <w:tbl>
      <w:tblPr>
        <w:tblStyle w:val="Tabladelista4-nfasis6"/>
        <w:tblW w:w="5000" w:type="pct"/>
        <w:tblLayout w:type="fixed"/>
        <w:tblLook w:val="04A0" w:firstRow="1" w:lastRow="0" w:firstColumn="1" w:lastColumn="0" w:noHBand="0" w:noVBand="1"/>
      </w:tblPr>
      <w:tblGrid>
        <w:gridCol w:w="1697"/>
        <w:gridCol w:w="3439"/>
        <w:gridCol w:w="1522"/>
        <w:gridCol w:w="401"/>
        <w:gridCol w:w="6220"/>
      </w:tblGrid>
      <w:tr w:rsidR="00585F73" w:rsidRPr="00585F73" w14:paraId="07AD37E0" w14:textId="77777777" w:rsidTr="00F9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vAlign w:val="center"/>
          </w:tcPr>
          <w:p w14:paraId="099C2844" w14:textId="77777777" w:rsidR="00585F73" w:rsidRPr="00585F73" w:rsidRDefault="00585F73" w:rsidP="00F939ED">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sz w:val="18"/>
                <w:szCs w:val="16"/>
                <w:lang w:eastAsia="es-MX"/>
              </w:rPr>
              <w:t>Folio</w:t>
            </w:r>
          </w:p>
        </w:tc>
        <w:tc>
          <w:tcPr>
            <w:tcW w:w="4361" w:type="pct"/>
            <w:gridSpan w:val="4"/>
            <w:shd w:val="clear" w:color="auto" w:fill="FFFFFF" w:themeFill="background1"/>
            <w:vAlign w:val="center"/>
          </w:tcPr>
          <w:p w14:paraId="46C17B8A" w14:textId="237D309A" w:rsidR="00585F73" w:rsidRPr="00585F73" w:rsidRDefault="00585F73" w:rsidP="00F939ED">
            <w:pP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auto"/>
                <w:sz w:val="18"/>
                <w:szCs w:val="16"/>
                <w:lang w:eastAsia="es-MX"/>
              </w:rPr>
            </w:pPr>
            <w:r>
              <w:rPr>
                <w:rFonts w:ascii="ITC Avant Garde" w:eastAsia="Times New Roman" w:hAnsi="ITC Avant Garde" w:cstheme="minorHAnsi"/>
                <w:color w:val="auto"/>
                <w:sz w:val="18"/>
                <w:szCs w:val="16"/>
                <w:lang w:eastAsia="es-MX"/>
              </w:rPr>
              <w:t>20210420-CP57_64GHz-003</w:t>
            </w:r>
          </w:p>
        </w:tc>
      </w:tr>
      <w:tr w:rsidR="00585F73" w:rsidRPr="00585F73" w14:paraId="725098E5" w14:textId="77777777" w:rsidTr="00F9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shd w:val="clear" w:color="auto" w:fill="70AD47" w:themeFill="accent6"/>
            <w:vAlign w:val="center"/>
          </w:tcPr>
          <w:p w14:paraId="1B453E94" w14:textId="77777777" w:rsidR="00585F73" w:rsidRPr="00585F73" w:rsidRDefault="00585F73" w:rsidP="00F939ED">
            <w:pPr>
              <w:rPr>
                <w:rFonts w:ascii="ITC Avant Garde" w:eastAsia="Times New Roman" w:hAnsi="ITC Avant Garde" w:cs="Calibri"/>
                <w:bCs w:val="0"/>
                <w:color w:val="FFFFFF"/>
                <w:sz w:val="18"/>
                <w:szCs w:val="16"/>
                <w:lang w:eastAsia="es-MX"/>
              </w:rPr>
            </w:pPr>
            <w:r w:rsidRPr="00585F73">
              <w:rPr>
                <w:rFonts w:ascii="ITC Avant Garde" w:eastAsia="Times New Roman" w:hAnsi="ITC Avant Garde" w:cs="Calibri"/>
                <w:bCs w:val="0"/>
                <w:color w:val="FFFFFF"/>
                <w:sz w:val="18"/>
                <w:szCs w:val="16"/>
                <w:lang w:eastAsia="es-MX"/>
              </w:rPr>
              <w:t>Participante:</w:t>
            </w:r>
          </w:p>
        </w:tc>
        <w:tc>
          <w:tcPr>
            <w:tcW w:w="4361" w:type="pct"/>
            <w:gridSpan w:val="4"/>
            <w:vAlign w:val="center"/>
          </w:tcPr>
          <w:p w14:paraId="4A7E8211" w14:textId="56D9A5D4" w:rsidR="00585F73" w:rsidRPr="00585F73" w:rsidRDefault="00585F73" w:rsidP="00F939ED">
            <w:pP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000000"/>
                <w:sz w:val="18"/>
                <w:szCs w:val="16"/>
                <w:lang w:eastAsia="es-MX"/>
              </w:rPr>
            </w:pPr>
            <w:r w:rsidRPr="00585F73">
              <w:rPr>
                <w:rFonts w:ascii="ITC Avant Garde" w:eastAsia="Times New Roman" w:hAnsi="ITC Avant Garde" w:cstheme="minorHAnsi"/>
                <w:b/>
                <w:color w:val="000000"/>
                <w:sz w:val="18"/>
                <w:szCs w:val="16"/>
                <w:lang w:eastAsia="es-MX"/>
              </w:rPr>
              <w:t xml:space="preserve">Facebook </w:t>
            </w:r>
            <w:proofErr w:type="spellStart"/>
            <w:r w:rsidRPr="00585F73">
              <w:rPr>
                <w:rFonts w:ascii="ITC Avant Garde" w:eastAsia="Times New Roman" w:hAnsi="ITC Avant Garde" w:cstheme="minorHAnsi"/>
                <w:b/>
                <w:color w:val="000000"/>
                <w:sz w:val="18"/>
                <w:szCs w:val="16"/>
                <w:lang w:eastAsia="es-MX"/>
              </w:rPr>
              <w:t>Inc</w:t>
            </w:r>
            <w:proofErr w:type="spellEnd"/>
          </w:p>
        </w:tc>
      </w:tr>
      <w:tr w:rsidR="00585F73" w:rsidRPr="00585F73" w14:paraId="539484CC" w14:textId="77777777" w:rsidTr="00F939ED">
        <w:tc>
          <w:tcPr>
            <w:cnfStyle w:val="001000000000" w:firstRow="0" w:lastRow="0" w:firstColumn="1" w:lastColumn="0" w:oddVBand="0" w:evenVBand="0" w:oddHBand="0" w:evenHBand="0" w:firstRowFirstColumn="0" w:firstRowLastColumn="0" w:lastRowFirstColumn="0" w:lastRowLastColumn="0"/>
            <w:tcW w:w="639" w:type="pct"/>
            <w:tcBorders>
              <w:bottom w:val="single" w:sz="4" w:space="0" w:color="A8D08D" w:themeColor="accent6" w:themeTint="99"/>
            </w:tcBorders>
            <w:shd w:val="clear" w:color="auto" w:fill="70AD47" w:themeFill="accent6"/>
            <w:vAlign w:val="center"/>
          </w:tcPr>
          <w:p w14:paraId="1906776A" w14:textId="77777777" w:rsidR="00585F73" w:rsidRPr="00585F73" w:rsidRDefault="00585F73" w:rsidP="00F939ED">
            <w:pPr>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Documento en consulta pública:</w:t>
            </w:r>
          </w:p>
        </w:tc>
        <w:tc>
          <w:tcPr>
            <w:tcW w:w="1295" w:type="pct"/>
            <w:tcBorders>
              <w:bottom w:val="single" w:sz="4" w:space="0" w:color="A8D08D" w:themeColor="accent6" w:themeTint="99"/>
            </w:tcBorders>
            <w:vAlign w:val="center"/>
          </w:tcPr>
          <w:p w14:paraId="281FD87A" w14:textId="6BDF58B2" w:rsidR="00585F73" w:rsidRPr="00585F73" w:rsidRDefault="0043779A" w:rsidP="00F939ED">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Anteproyecto de Acuerdo</w:t>
            </w:r>
          </w:p>
        </w:tc>
        <w:tc>
          <w:tcPr>
            <w:tcW w:w="724" w:type="pct"/>
            <w:gridSpan w:val="2"/>
            <w:tcBorders>
              <w:bottom w:val="single" w:sz="4" w:space="0" w:color="A8D08D" w:themeColor="accent6" w:themeTint="99"/>
            </w:tcBorders>
            <w:shd w:val="clear" w:color="auto" w:fill="70AD47" w:themeFill="accent6"/>
            <w:vAlign w:val="center"/>
          </w:tcPr>
          <w:p w14:paraId="68C09849" w14:textId="77777777" w:rsidR="00585F73" w:rsidRPr="00585F73" w:rsidRDefault="00585F73" w:rsidP="00F939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sidRPr="00585F73">
              <w:rPr>
                <w:rFonts w:ascii="ITC Avant Garde" w:eastAsia="Times New Roman" w:hAnsi="ITC Avant Garde" w:cstheme="minorHAnsi"/>
                <w:color w:val="FFFFFF" w:themeColor="background1"/>
                <w:sz w:val="18"/>
                <w:szCs w:val="16"/>
                <w:lang w:eastAsia="es-MX"/>
              </w:rPr>
              <w:t>A</w:t>
            </w:r>
            <w:r w:rsidRPr="00585F73">
              <w:rPr>
                <w:rFonts w:ascii="ITC Avant Garde" w:eastAsia="Times New Roman" w:hAnsi="ITC Avant Garde" w:cstheme="minorHAnsi"/>
                <w:b/>
                <w:color w:val="FFFFFF" w:themeColor="background1"/>
                <w:sz w:val="18"/>
                <w:szCs w:val="16"/>
                <w:lang w:eastAsia="es-MX"/>
              </w:rPr>
              <w:t>rtículo o apartad</w:t>
            </w:r>
            <w:r w:rsidRPr="00585F73">
              <w:rPr>
                <w:rFonts w:ascii="ITC Avant Garde" w:eastAsia="Times New Roman" w:hAnsi="ITC Avant Garde" w:cstheme="minorHAnsi"/>
                <w:color w:val="FFFFFF" w:themeColor="background1"/>
                <w:sz w:val="18"/>
                <w:szCs w:val="16"/>
                <w:lang w:eastAsia="es-MX"/>
              </w:rPr>
              <w:t>o</w:t>
            </w:r>
          </w:p>
        </w:tc>
        <w:tc>
          <w:tcPr>
            <w:tcW w:w="2342" w:type="pct"/>
            <w:tcBorders>
              <w:bottom w:val="single" w:sz="4" w:space="0" w:color="A8D08D" w:themeColor="accent6" w:themeTint="99"/>
            </w:tcBorders>
            <w:vAlign w:val="center"/>
          </w:tcPr>
          <w:p w14:paraId="3F9F0BCD" w14:textId="77777777" w:rsidR="00585F73" w:rsidRPr="00585F73" w:rsidRDefault="00585F73" w:rsidP="00F939ED">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sz w:val="18"/>
                <w:szCs w:val="16"/>
                <w:lang w:eastAsia="es-MX"/>
              </w:rPr>
            </w:pPr>
            <w:r w:rsidRPr="00585F73">
              <w:rPr>
                <w:rFonts w:ascii="ITC Avant Garde" w:eastAsia="Times New Roman" w:hAnsi="ITC Avant Garde" w:cstheme="minorHAnsi"/>
                <w:sz w:val="18"/>
                <w:szCs w:val="16"/>
                <w:lang w:eastAsia="es-MX"/>
              </w:rPr>
              <w:t>2.16</w:t>
            </w:r>
          </w:p>
        </w:tc>
      </w:tr>
      <w:tr w:rsidR="00585F73" w:rsidRPr="00585F73" w14:paraId="67C2404C" w14:textId="77777777" w:rsidTr="00F9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pct"/>
            <w:gridSpan w:val="3"/>
            <w:tcBorders>
              <w:right w:val="single" w:sz="4" w:space="0" w:color="A8D08D" w:themeColor="accent6" w:themeTint="99"/>
            </w:tcBorders>
            <w:shd w:val="clear" w:color="auto" w:fill="70AD47" w:themeFill="accent6"/>
            <w:vAlign w:val="center"/>
          </w:tcPr>
          <w:p w14:paraId="03B77156" w14:textId="50E5365A" w:rsidR="00585F73" w:rsidRPr="00585F73" w:rsidRDefault="00585F73" w:rsidP="00F939ED">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específicos de la persona</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participante sobre el asunto en consulta pública</w:t>
            </w:r>
          </w:p>
        </w:tc>
        <w:tc>
          <w:tcPr>
            <w:tcW w:w="2493" w:type="pct"/>
            <w:gridSpan w:val="2"/>
            <w:tcBorders>
              <w:left w:val="single" w:sz="4" w:space="0" w:color="A8D08D" w:themeColor="accent6" w:themeTint="99"/>
            </w:tcBorders>
            <w:shd w:val="clear" w:color="auto" w:fill="70AD47" w:themeFill="accent6"/>
            <w:vAlign w:val="center"/>
          </w:tcPr>
          <w:p w14:paraId="2F83A0F2" w14:textId="77777777" w:rsidR="00585F73" w:rsidRPr="00585F73" w:rsidRDefault="00585F73" w:rsidP="00F939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color w:val="FFFFFF" w:themeColor="background1"/>
                <w:sz w:val="18"/>
                <w:szCs w:val="16"/>
                <w:lang w:eastAsia="es-MX"/>
              </w:rPr>
            </w:pPr>
            <w:r w:rsidRPr="00585F73">
              <w:rPr>
                <w:rFonts w:ascii="ITC Avant Garde" w:eastAsia="Times New Roman" w:hAnsi="ITC Avant Garde" w:cstheme="minorHAnsi"/>
                <w:b/>
                <w:color w:val="FFFFFF" w:themeColor="background1"/>
                <w:sz w:val="18"/>
                <w:szCs w:val="16"/>
                <w:lang w:eastAsia="es-MX"/>
              </w:rPr>
              <w:t>Respuesta del Instituto</w:t>
            </w:r>
          </w:p>
        </w:tc>
      </w:tr>
      <w:tr w:rsidR="00D807DD" w:rsidRPr="00585F73" w14:paraId="0EBDFAD0" w14:textId="77777777" w:rsidTr="00F939ED">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tcPr>
          <w:p w14:paraId="0405EE5B" w14:textId="77777777" w:rsidR="00D807DD" w:rsidRPr="007A2EFE"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b w:val="0"/>
                <w:color w:val="000000"/>
                <w:sz w:val="18"/>
                <w:szCs w:val="16"/>
                <w:lang w:eastAsia="es-MX"/>
              </w:rPr>
              <w:t xml:space="preserve">No obstante que Facebook apoya la introducción de nuevas tecnologías en la banda de 60 GHz, creemos que las condiciones técnicas propuestas en la Sección 2.1.6 del documento a consulta no permitirían una coexistencia razonable entre sensores de movimiento (o tecnologías basadas en radares) y tecnologías de comunicaciones en la banda de 60 GHz. En su caso, bajo las condiciones propuestas, los sensores de movimiento podrían bloquear potencialmente los dispositivos de comunicaciones basados en </w:t>
            </w:r>
            <w:proofErr w:type="spellStart"/>
            <w:r w:rsidRPr="007A2EFE">
              <w:rPr>
                <w:rFonts w:ascii="ITC Avant Garde" w:eastAsia="Times New Roman" w:hAnsi="ITC Avant Garde" w:cstheme="minorHAnsi"/>
                <w:b w:val="0"/>
                <w:color w:val="000000"/>
                <w:sz w:val="18"/>
                <w:szCs w:val="16"/>
                <w:lang w:eastAsia="es-MX"/>
              </w:rPr>
              <w:t>WiGig</w:t>
            </w:r>
            <w:proofErr w:type="spellEnd"/>
            <w:r w:rsidRPr="007A2EFE">
              <w:rPr>
                <w:rFonts w:ascii="ITC Avant Garde" w:eastAsia="Times New Roman" w:hAnsi="ITC Avant Garde" w:cstheme="minorHAnsi"/>
                <w:b w:val="0"/>
                <w:color w:val="000000"/>
                <w:sz w:val="18"/>
                <w:szCs w:val="16"/>
                <w:lang w:eastAsia="es-MX"/>
              </w:rPr>
              <w:t xml:space="preserve"> que operen en la misma ubicación. </w:t>
            </w:r>
          </w:p>
          <w:p w14:paraId="5BB65A66" w14:textId="77777777" w:rsidR="00DA2376" w:rsidRDefault="00DA2376" w:rsidP="007A2EFE">
            <w:pPr>
              <w:jc w:val="both"/>
              <w:rPr>
                <w:rFonts w:ascii="ITC Avant Garde" w:eastAsia="Times New Roman" w:hAnsi="ITC Avant Garde" w:cstheme="minorHAnsi"/>
                <w:bCs w:val="0"/>
                <w:color w:val="000000"/>
                <w:sz w:val="18"/>
                <w:szCs w:val="16"/>
                <w:lang w:eastAsia="es-MX"/>
              </w:rPr>
            </w:pPr>
          </w:p>
          <w:p w14:paraId="4034D401" w14:textId="1FE2D29B" w:rsidR="00D807DD"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b w:val="0"/>
                <w:color w:val="000000"/>
                <w:sz w:val="18"/>
                <w:szCs w:val="16"/>
                <w:lang w:eastAsia="es-MX"/>
              </w:rPr>
              <w:t xml:space="preserve">Estas condiciones técnicas se desarrollaron originalmente cuando la Comisión Federal de Comunicaciones de los Estados Unidos (FCC) concedió a Google, </w:t>
            </w:r>
            <w:proofErr w:type="spellStart"/>
            <w:r w:rsidRPr="007A2EFE">
              <w:rPr>
                <w:rFonts w:ascii="ITC Avant Garde" w:eastAsia="Times New Roman" w:hAnsi="ITC Avant Garde" w:cstheme="minorHAnsi"/>
                <w:b w:val="0"/>
                <w:color w:val="000000"/>
                <w:sz w:val="18"/>
                <w:szCs w:val="16"/>
                <w:lang w:eastAsia="es-MX"/>
              </w:rPr>
              <w:t>lnc</w:t>
            </w:r>
            <w:proofErr w:type="spellEnd"/>
            <w:r w:rsidRPr="007A2EFE">
              <w:rPr>
                <w:rFonts w:ascii="ITC Avant Garde" w:eastAsia="Times New Roman" w:hAnsi="ITC Avant Garde" w:cstheme="minorHAnsi"/>
                <w:b w:val="0"/>
                <w:color w:val="000000"/>
                <w:sz w:val="18"/>
                <w:szCs w:val="16"/>
                <w:lang w:eastAsia="es-MX"/>
              </w:rPr>
              <w:t xml:space="preserve">. una exención para operar su Proyecto </w:t>
            </w:r>
            <w:proofErr w:type="spellStart"/>
            <w:r w:rsidRPr="007A2EFE">
              <w:rPr>
                <w:rFonts w:ascii="ITC Avant Garde" w:eastAsia="Times New Roman" w:hAnsi="ITC Avant Garde" w:cstheme="minorHAnsi"/>
                <w:b w:val="0"/>
                <w:color w:val="000000"/>
                <w:sz w:val="18"/>
                <w:szCs w:val="16"/>
                <w:lang w:eastAsia="es-MX"/>
              </w:rPr>
              <w:t>Soli</w:t>
            </w:r>
            <w:proofErr w:type="spellEnd"/>
            <w:r w:rsidRPr="007A2EFE">
              <w:rPr>
                <w:rFonts w:ascii="ITC Avant Garde" w:eastAsia="Times New Roman" w:hAnsi="ITC Avant Garde" w:cstheme="minorHAnsi"/>
                <w:b w:val="0"/>
                <w:color w:val="000000"/>
                <w:sz w:val="18"/>
                <w:szCs w:val="16"/>
                <w:lang w:eastAsia="es-MX"/>
              </w:rPr>
              <w:t xml:space="preserve"> (Exención </w:t>
            </w:r>
            <w:proofErr w:type="spellStart"/>
            <w:r w:rsidRPr="007A2EFE">
              <w:rPr>
                <w:rFonts w:ascii="ITC Avant Garde" w:eastAsia="Times New Roman" w:hAnsi="ITC Avant Garde" w:cstheme="minorHAnsi"/>
                <w:b w:val="0"/>
                <w:color w:val="000000"/>
                <w:sz w:val="18"/>
                <w:szCs w:val="16"/>
                <w:lang w:eastAsia="es-MX"/>
              </w:rPr>
              <w:t>Soli</w:t>
            </w:r>
            <w:proofErr w:type="spellEnd"/>
            <w:r w:rsidRPr="007A2EFE">
              <w:rPr>
                <w:rFonts w:ascii="ITC Avant Garde" w:eastAsia="Times New Roman" w:hAnsi="ITC Avant Garde" w:cstheme="minorHAnsi"/>
                <w:b w:val="0"/>
                <w:color w:val="000000"/>
                <w:sz w:val="18"/>
                <w:szCs w:val="16"/>
                <w:lang w:eastAsia="es-MX"/>
              </w:rPr>
              <w:t xml:space="preserve">) (Véase </w:t>
            </w:r>
            <w:proofErr w:type="spellStart"/>
            <w:r w:rsidRPr="007A2EFE">
              <w:rPr>
                <w:rFonts w:ascii="ITC Avant Garde" w:eastAsia="Times New Roman" w:hAnsi="ITC Avant Garde" w:cstheme="minorHAnsi"/>
                <w:b w:val="0"/>
                <w:color w:val="0070C0"/>
                <w:sz w:val="18"/>
                <w:szCs w:val="16"/>
                <w:u w:val="single"/>
                <w:lang w:eastAsia="es-MX"/>
              </w:rPr>
              <w:t>Excención</w:t>
            </w:r>
            <w:proofErr w:type="spellEnd"/>
            <w:r w:rsidRPr="007A2EFE">
              <w:rPr>
                <w:rFonts w:ascii="ITC Avant Garde" w:eastAsia="Times New Roman" w:hAnsi="ITC Avant Garde" w:cstheme="minorHAnsi"/>
                <w:b w:val="0"/>
                <w:color w:val="0070C0"/>
                <w:sz w:val="18"/>
                <w:szCs w:val="16"/>
                <w:u w:val="single"/>
                <w:lang w:eastAsia="es-MX"/>
              </w:rPr>
              <w:t xml:space="preserve"> </w:t>
            </w:r>
            <w:proofErr w:type="spellStart"/>
            <w:r w:rsidRPr="007A2EFE">
              <w:rPr>
                <w:rFonts w:ascii="ITC Avant Garde" w:eastAsia="Times New Roman" w:hAnsi="ITC Avant Garde" w:cstheme="minorHAnsi"/>
                <w:b w:val="0"/>
                <w:color w:val="0070C0"/>
                <w:sz w:val="18"/>
                <w:szCs w:val="16"/>
                <w:u w:val="single"/>
                <w:lang w:eastAsia="es-MX"/>
              </w:rPr>
              <w:t>Soli</w:t>
            </w:r>
            <w:proofErr w:type="spellEnd"/>
            <w:r w:rsidRPr="007A2EFE">
              <w:rPr>
                <w:rFonts w:ascii="ITC Avant Garde" w:eastAsia="Times New Roman" w:hAnsi="ITC Avant Garde" w:cstheme="minorHAnsi"/>
                <w:b w:val="0"/>
                <w:color w:val="0070C0"/>
                <w:sz w:val="18"/>
                <w:szCs w:val="16"/>
                <w:u w:val="single"/>
                <w:lang w:eastAsia="es-MX"/>
              </w:rPr>
              <w:t>)</w:t>
            </w:r>
            <w:r w:rsidRPr="007A2EFE">
              <w:rPr>
                <w:rFonts w:ascii="ITC Avant Garde" w:eastAsia="Times New Roman" w:hAnsi="ITC Avant Garde" w:cstheme="minorHAnsi"/>
                <w:b w:val="0"/>
                <w:color w:val="000000"/>
                <w:sz w:val="18"/>
                <w:szCs w:val="16"/>
                <w:lang w:eastAsia="es-MX"/>
              </w:rPr>
              <w:t>. La FCC también ha concedido recientemente una exención limitada en estas condiciones para la operación dentro de vehículos. Pero la FCC también reconoce que esta exención limitada "no intenta resolver asuntos relacionados con la definición de detección de movimiento interactivo de corto alcance u operación fija bajo las reglas en su forma actual. Estas cuestiones continúan listas para un análisis posterior, incluso como parte de un examen exhaustivo por parte de la Comisión mediante el proceso de elaboración de normas." (párr. 52,</w:t>
            </w:r>
            <w:r w:rsidRPr="007A2EFE">
              <w:rPr>
                <w:rFonts w:ascii="ITC Avant Garde" w:eastAsia="Times New Roman" w:hAnsi="ITC Avant Garde" w:cstheme="minorHAnsi"/>
                <w:b w:val="0"/>
                <w:color w:val="0070C0"/>
                <w:sz w:val="18"/>
                <w:szCs w:val="16"/>
                <w:u w:val="single"/>
                <w:lang w:eastAsia="es-MX"/>
              </w:rPr>
              <w:t xml:space="preserve"> DA 21-407</w:t>
            </w:r>
            <w:r w:rsidRPr="007A2EFE">
              <w:rPr>
                <w:rFonts w:ascii="ITC Avant Garde" w:eastAsia="Times New Roman" w:hAnsi="ITC Avant Garde" w:cstheme="minorHAnsi"/>
                <w:b w:val="0"/>
                <w:color w:val="000000"/>
                <w:sz w:val="18"/>
                <w:szCs w:val="16"/>
                <w:lang w:eastAsia="es-MX"/>
              </w:rPr>
              <w:t>).</w:t>
            </w:r>
          </w:p>
          <w:p w14:paraId="7050CD24" w14:textId="77777777" w:rsidR="00D807DD" w:rsidRDefault="00D807DD" w:rsidP="007A2EFE">
            <w:pPr>
              <w:jc w:val="both"/>
              <w:rPr>
                <w:rFonts w:ascii="ITC Avant Garde" w:eastAsia="Times New Roman" w:hAnsi="ITC Avant Garde" w:cstheme="minorHAnsi"/>
                <w:b w:val="0"/>
                <w:color w:val="000000"/>
                <w:sz w:val="18"/>
                <w:szCs w:val="16"/>
                <w:lang w:eastAsia="es-MX"/>
              </w:rPr>
            </w:pPr>
          </w:p>
          <w:p w14:paraId="5BDDFA82" w14:textId="77777777" w:rsidR="00D807DD"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b w:val="0"/>
                <w:color w:val="000000"/>
                <w:sz w:val="18"/>
                <w:szCs w:val="16"/>
                <w:lang w:eastAsia="es-MX"/>
              </w:rPr>
              <w:t xml:space="preserve">Desde que se emitió la Exención </w:t>
            </w:r>
            <w:proofErr w:type="spellStart"/>
            <w:r w:rsidRPr="007A2EFE">
              <w:rPr>
                <w:rFonts w:ascii="ITC Avant Garde" w:eastAsia="Times New Roman" w:hAnsi="ITC Avant Garde" w:cstheme="minorHAnsi"/>
                <w:b w:val="0"/>
                <w:color w:val="000000"/>
                <w:sz w:val="18"/>
                <w:szCs w:val="16"/>
                <w:lang w:eastAsia="es-MX"/>
              </w:rPr>
              <w:t>Soli</w:t>
            </w:r>
            <w:proofErr w:type="spellEnd"/>
            <w:r w:rsidRPr="007A2EFE">
              <w:rPr>
                <w:rFonts w:ascii="ITC Avant Garde" w:eastAsia="Times New Roman" w:hAnsi="ITC Avant Garde" w:cstheme="minorHAnsi"/>
                <w:b w:val="0"/>
                <w:color w:val="000000"/>
                <w:sz w:val="18"/>
                <w:szCs w:val="16"/>
                <w:lang w:eastAsia="es-MX"/>
              </w:rPr>
              <w:t xml:space="preserve">, Facebook, junto con </w:t>
            </w:r>
            <w:proofErr w:type="spellStart"/>
            <w:r w:rsidRPr="007A2EFE">
              <w:rPr>
                <w:rFonts w:ascii="ITC Avant Garde" w:eastAsia="Times New Roman" w:hAnsi="ITC Avant Garde" w:cstheme="minorHAnsi"/>
                <w:b w:val="0"/>
                <w:color w:val="000000"/>
                <w:sz w:val="18"/>
                <w:szCs w:val="16"/>
                <w:lang w:eastAsia="es-MX"/>
              </w:rPr>
              <w:t>lntel</w:t>
            </w:r>
            <w:proofErr w:type="spellEnd"/>
            <w:r w:rsidRPr="007A2EFE">
              <w:rPr>
                <w:rFonts w:ascii="ITC Avant Garde" w:eastAsia="Times New Roman" w:hAnsi="ITC Avant Garde" w:cstheme="minorHAnsi"/>
                <w:b w:val="0"/>
                <w:color w:val="000000"/>
                <w:sz w:val="18"/>
                <w:szCs w:val="16"/>
                <w:lang w:eastAsia="es-MX"/>
              </w:rPr>
              <w:t xml:space="preserve">, Qualcomm y otros, han estado trabajando en una solución de coexistencia tecnológica a largo plazo para permitir que tanto las aplicaciones de radar como las aplicaciones de comunicaciones coexistan en la banda de 60 GHz. (Véase </w:t>
            </w:r>
            <w:r w:rsidRPr="007A2EFE">
              <w:rPr>
                <w:rFonts w:ascii="ITC Avant Garde" w:eastAsia="Times New Roman" w:hAnsi="ITC Avant Garde" w:cstheme="minorHAnsi"/>
                <w:b w:val="0"/>
                <w:color w:val="0070C0"/>
                <w:sz w:val="18"/>
                <w:szCs w:val="16"/>
                <w:u w:val="single"/>
                <w:lang w:eastAsia="es-MX"/>
              </w:rPr>
              <w:t xml:space="preserve">Ex Parte </w:t>
            </w:r>
            <w:proofErr w:type="spellStart"/>
            <w:r w:rsidRPr="007A2EFE">
              <w:rPr>
                <w:rFonts w:ascii="ITC Avant Garde" w:eastAsia="Times New Roman" w:hAnsi="ITC Avant Garde" w:cstheme="minorHAnsi"/>
                <w:b w:val="0"/>
                <w:color w:val="0070C0"/>
                <w:sz w:val="18"/>
                <w:szCs w:val="16"/>
                <w:u w:val="single"/>
                <w:lang w:eastAsia="es-MX"/>
              </w:rPr>
              <w:t>Letter</w:t>
            </w:r>
            <w:proofErr w:type="spellEnd"/>
            <w:r w:rsidRPr="007A2EFE">
              <w:rPr>
                <w:rFonts w:ascii="ITC Avant Garde" w:eastAsia="Times New Roman" w:hAnsi="ITC Avant Garde" w:cstheme="minorHAnsi"/>
                <w:b w:val="0"/>
                <w:color w:val="000000"/>
                <w:sz w:val="18"/>
                <w:szCs w:val="16"/>
                <w:lang w:eastAsia="es-MX"/>
              </w:rPr>
              <w:t>). En el transcurso de estas discusiones, Facebook se ha preocupado cada vez más por el posible impacto a largo plazo de las condiciones técnicas propuestas en las aplicaciones de comunicaciones, especialmente las aplicaciones de realidad virtual y aumentada (AR/VR) que tienen tasas de datos muy altas y requisitos de latencia muy bajos.</w:t>
            </w:r>
          </w:p>
          <w:p w14:paraId="4C9D9975" w14:textId="77777777" w:rsidR="00D807DD" w:rsidRDefault="00D807DD" w:rsidP="007A2EFE">
            <w:pPr>
              <w:jc w:val="both"/>
              <w:rPr>
                <w:rFonts w:ascii="ITC Avant Garde" w:eastAsia="Times New Roman" w:hAnsi="ITC Avant Garde" w:cstheme="minorHAnsi"/>
                <w:b w:val="0"/>
                <w:color w:val="000000"/>
                <w:sz w:val="18"/>
                <w:szCs w:val="16"/>
                <w:lang w:eastAsia="es-MX"/>
              </w:rPr>
            </w:pPr>
          </w:p>
          <w:p w14:paraId="777AFD5A" w14:textId="77777777" w:rsidR="00D807DD"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b w:val="0"/>
                <w:color w:val="000000"/>
                <w:sz w:val="18"/>
                <w:szCs w:val="16"/>
                <w:lang w:eastAsia="es-MX"/>
              </w:rPr>
              <w:lastRenderedPageBreak/>
              <w:t xml:space="preserve">Desde esta perspectiva, existen dos problemas con las condiciones técnicas propuestas: </w:t>
            </w:r>
            <w:r w:rsidRPr="007A2EFE">
              <w:rPr>
                <w:rFonts w:ascii="ITC Avant Garde" w:eastAsia="Times New Roman" w:hAnsi="ITC Avant Garde" w:cstheme="minorHAnsi"/>
                <w:color w:val="000000"/>
                <w:sz w:val="18"/>
                <w:szCs w:val="16"/>
                <w:lang w:eastAsia="es-MX"/>
              </w:rPr>
              <w:t>en primer lugar</w:t>
            </w:r>
            <w:r w:rsidRPr="007A2EFE">
              <w:rPr>
                <w:rFonts w:ascii="ITC Avant Garde" w:eastAsia="Times New Roman" w:hAnsi="ITC Avant Garde" w:cstheme="minorHAnsi"/>
                <w:b w:val="0"/>
                <w:color w:val="000000"/>
                <w:sz w:val="18"/>
                <w:szCs w:val="16"/>
                <w:lang w:eastAsia="es-MX"/>
              </w:rPr>
              <w:t>, la duración máxima de la transmisión, que permite hasta 3,3 milisegundos de tiempo de transmisión no interrumpido - un 10% de ciclo de trabajo superior a 33 ms- es un problema, porque permite a los sensores de movimiento/sistemas de radar interrumpir las comunicaciones activas y aumentar la latencia de las comunicaciones, pues, a diferencia de los sistemas de comunicaciones, estos sistemas de sensores de movimiento/radar transmiten sin necesidad de detección de canales.</w:t>
            </w:r>
          </w:p>
          <w:p w14:paraId="3D7C892C" w14:textId="77777777" w:rsidR="00D807DD" w:rsidRDefault="00D807DD" w:rsidP="007A2EFE">
            <w:pPr>
              <w:jc w:val="both"/>
              <w:rPr>
                <w:rFonts w:ascii="ITC Avant Garde" w:eastAsia="Times New Roman" w:hAnsi="ITC Avant Garde" w:cstheme="minorHAnsi"/>
                <w:b w:val="0"/>
                <w:color w:val="000000"/>
                <w:sz w:val="18"/>
                <w:szCs w:val="16"/>
                <w:lang w:eastAsia="es-MX"/>
              </w:rPr>
            </w:pPr>
          </w:p>
          <w:p w14:paraId="51600505" w14:textId="323289E4" w:rsidR="00D807DD" w:rsidRPr="007A2EFE"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color w:val="000000"/>
                <w:sz w:val="18"/>
                <w:szCs w:val="16"/>
                <w:lang w:eastAsia="es-MX"/>
              </w:rPr>
              <w:t>En segundo lugar</w:t>
            </w:r>
            <w:r w:rsidRPr="007A2EFE">
              <w:rPr>
                <w:rFonts w:ascii="ITC Avant Garde" w:eastAsia="Times New Roman" w:hAnsi="ITC Avant Garde" w:cstheme="minorHAnsi"/>
                <w:b w:val="0"/>
                <w:color w:val="000000"/>
                <w:sz w:val="18"/>
                <w:szCs w:val="16"/>
                <w:lang w:eastAsia="es-MX"/>
              </w:rPr>
              <w:t>, existen lagunas en la definición del ciclo de trabajo (</w:t>
            </w:r>
            <w:proofErr w:type="spellStart"/>
            <w:r w:rsidRPr="007A2EFE">
              <w:rPr>
                <w:rFonts w:ascii="ITC Avant Garde" w:eastAsia="Times New Roman" w:hAnsi="ITC Avant Garde" w:cstheme="minorHAnsi"/>
                <w:b w:val="0"/>
                <w:color w:val="000000"/>
                <w:sz w:val="18"/>
                <w:szCs w:val="16"/>
                <w:lang w:eastAsia="es-MX"/>
              </w:rPr>
              <w:t>duty</w:t>
            </w:r>
            <w:proofErr w:type="spellEnd"/>
            <w:r w:rsidRPr="007A2EFE">
              <w:rPr>
                <w:rFonts w:ascii="ITC Avant Garde" w:eastAsia="Times New Roman" w:hAnsi="ITC Avant Garde" w:cstheme="minorHAnsi"/>
                <w:b w:val="0"/>
                <w:color w:val="000000"/>
                <w:sz w:val="18"/>
                <w:szCs w:val="16"/>
                <w:lang w:eastAsia="es-MX"/>
              </w:rPr>
              <w:t xml:space="preserve"> </w:t>
            </w:r>
            <w:proofErr w:type="spellStart"/>
            <w:r w:rsidRPr="007A2EFE">
              <w:rPr>
                <w:rFonts w:ascii="ITC Avant Garde" w:eastAsia="Times New Roman" w:hAnsi="ITC Avant Garde" w:cstheme="minorHAnsi"/>
                <w:b w:val="0"/>
                <w:color w:val="000000"/>
                <w:sz w:val="18"/>
                <w:szCs w:val="16"/>
                <w:lang w:eastAsia="es-MX"/>
              </w:rPr>
              <w:t>cycle</w:t>
            </w:r>
            <w:proofErr w:type="spellEnd"/>
            <w:r w:rsidRPr="007A2EFE">
              <w:rPr>
                <w:rFonts w:ascii="ITC Avant Garde" w:eastAsia="Times New Roman" w:hAnsi="ITC Avant Garde" w:cstheme="minorHAnsi"/>
                <w:b w:val="0"/>
                <w:color w:val="000000"/>
                <w:sz w:val="18"/>
                <w:szCs w:val="16"/>
                <w:lang w:eastAsia="es-MX"/>
              </w:rPr>
              <w:t>). En las condiciones técnicas propuestas, un dispositivo de sensor de</w:t>
            </w:r>
            <w:r>
              <w:rPr>
                <w:rFonts w:ascii="ITC Avant Garde" w:eastAsia="Times New Roman" w:hAnsi="ITC Avant Garde" w:cstheme="minorHAnsi"/>
                <w:b w:val="0"/>
                <w:color w:val="000000"/>
                <w:sz w:val="18"/>
                <w:szCs w:val="16"/>
                <w:lang w:eastAsia="es-MX"/>
              </w:rPr>
              <w:t xml:space="preserve"> </w:t>
            </w:r>
            <w:r w:rsidRPr="007A2EFE">
              <w:rPr>
                <w:rFonts w:ascii="ITC Avant Garde" w:eastAsia="Times New Roman" w:hAnsi="ITC Avant Garde" w:cstheme="minorHAnsi"/>
                <w:b w:val="0"/>
                <w:color w:val="000000"/>
                <w:sz w:val="18"/>
                <w:szCs w:val="16"/>
                <w:lang w:eastAsia="es-MX"/>
              </w:rPr>
              <w:t>movimiento puede cumplir el límite del ciclo de trabajo del 10% con, por</w:t>
            </w:r>
            <w:r>
              <w:rPr>
                <w:rFonts w:ascii="ITC Avant Garde" w:eastAsia="Times New Roman" w:hAnsi="ITC Avant Garde" w:cstheme="minorHAnsi"/>
                <w:b w:val="0"/>
                <w:color w:val="000000"/>
                <w:sz w:val="18"/>
                <w:szCs w:val="16"/>
                <w:lang w:eastAsia="es-MX"/>
              </w:rPr>
              <w:t xml:space="preserve"> </w:t>
            </w:r>
            <w:r w:rsidRPr="007A2EFE">
              <w:rPr>
                <w:rFonts w:ascii="ITC Avant Garde" w:eastAsia="Times New Roman" w:hAnsi="ITC Avant Garde" w:cstheme="minorHAnsi"/>
                <w:b w:val="0"/>
                <w:color w:val="000000"/>
                <w:sz w:val="18"/>
                <w:szCs w:val="16"/>
                <w:lang w:eastAsia="es-MX"/>
              </w:rPr>
              <w:t xml:space="preserve">ejemplo, un tiempo de transmisión de 10 microsegundos y un período de "tiempo de espera" de 90 microsegundos. Un período tan pequeño de "tiempo libre" no es utilizable por los sistemas de comunicaciones </w:t>
            </w:r>
            <w:proofErr w:type="spellStart"/>
            <w:r w:rsidRPr="007A2EFE">
              <w:rPr>
                <w:rFonts w:ascii="ITC Avant Garde" w:eastAsia="Times New Roman" w:hAnsi="ITC Avant Garde" w:cstheme="minorHAnsi"/>
                <w:b w:val="0"/>
                <w:color w:val="000000"/>
                <w:sz w:val="18"/>
                <w:szCs w:val="16"/>
                <w:lang w:eastAsia="es-MX"/>
              </w:rPr>
              <w:t>WiGig</w:t>
            </w:r>
            <w:proofErr w:type="spellEnd"/>
            <w:r w:rsidRPr="007A2EFE">
              <w:rPr>
                <w:rFonts w:ascii="ITC Avant Garde" w:eastAsia="Times New Roman" w:hAnsi="ITC Avant Garde" w:cstheme="minorHAnsi"/>
                <w:b w:val="0"/>
                <w:color w:val="000000"/>
                <w:sz w:val="18"/>
                <w:szCs w:val="16"/>
                <w:lang w:eastAsia="es-MX"/>
              </w:rPr>
              <w:t xml:space="preserve">, y el resultado final es que los sensores de movimiento terminan con un ciclo de trabajo efectivo más alto que bloquea otras comunicaciones en la banda. En última instancia, dependiendo de cómo se implementen los sistemas de sensores de movimiento, el ciclo de trabajo del 10% tal como está escrito en las condiciones técnicas propuestas, tiene el potencial de tener un impacto cada vez más dañino en los sistemas de comunicaciones de la banda. </w:t>
            </w:r>
          </w:p>
          <w:p w14:paraId="324796B1" w14:textId="6BAD80FB" w:rsidR="00D807DD" w:rsidRPr="00585F73" w:rsidRDefault="00D807DD" w:rsidP="007A2EFE">
            <w:pPr>
              <w:jc w:val="both"/>
              <w:rPr>
                <w:rFonts w:ascii="ITC Avant Garde" w:eastAsia="Times New Roman" w:hAnsi="ITC Avant Garde" w:cstheme="minorHAnsi"/>
                <w:b w:val="0"/>
                <w:color w:val="000000"/>
                <w:sz w:val="18"/>
                <w:szCs w:val="16"/>
                <w:lang w:eastAsia="es-MX"/>
              </w:rPr>
            </w:pPr>
            <w:r w:rsidRPr="007A2EFE">
              <w:rPr>
                <w:rFonts w:ascii="ITC Avant Garde" w:eastAsia="Times New Roman" w:hAnsi="ITC Avant Garde" w:cstheme="minorHAnsi"/>
                <w:b w:val="0"/>
                <w:color w:val="000000"/>
                <w:sz w:val="18"/>
                <w:szCs w:val="16"/>
                <w:lang w:eastAsia="es-MX"/>
              </w:rPr>
              <w:t>Por lo tanto, solicitamos respetuosamente que la IFT defina un período mínimo de "tiempo de espera" de al menos 2 milisegundos entre la transmisión del sensor de movimiento, además de las condiciones técnicas propuestas. Esta restricción adicional ayudará a garantizar la coexistencia entre los sensores de movimiento y los muchos otros dispositivos de comunicaciones de la banda.</w:t>
            </w:r>
          </w:p>
        </w:tc>
        <w:tc>
          <w:tcPr>
            <w:tcW w:w="2493" w:type="pct"/>
            <w:gridSpan w:val="2"/>
            <w:vMerge w:val="restart"/>
            <w:tcBorders>
              <w:left w:val="single" w:sz="4" w:space="0" w:color="A8D08D" w:themeColor="accent6" w:themeTint="99"/>
            </w:tcBorders>
          </w:tcPr>
          <w:p w14:paraId="7693E8E3" w14:textId="766CD4DC" w:rsidR="00D807DD" w:rsidRDefault="00D807DD" w:rsidP="00AF1968">
            <w:pPr>
              <w:jc w:val="both"/>
              <w:cnfStyle w:val="000000000000" w:firstRow="0" w:lastRow="0" w:firstColumn="0" w:lastColumn="0" w:oddVBand="0" w:evenVBand="0" w:oddHBand="0" w:evenHBand="0" w:firstRowFirstColumn="0" w:firstRowLastColumn="0" w:lastRowFirstColumn="0" w:lastRowLastColumn="0"/>
            </w:pPr>
            <w:r>
              <w:rPr>
                <w:rFonts w:ascii="ITC Avant Garde" w:eastAsia="Times New Roman" w:hAnsi="ITC Avant Garde" w:cstheme="minorHAnsi"/>
                <w:color w:val="000000"/>
                <w:sz w:val="18"/>
                <w:szCs w:val="16"/>
                <w:lang w:eastAsia="es-MX"/>
              </w:rPr>
              <w:lastRenderedPageBreak/>
              <w:t xml:space="preserve">El Instituto agradece los comentarios y aportaciones realizados a nombre de </w:t>
            </w:r>
            <w:r w:rsidRPr="00AF1968">
              <w:rPr>
                <w:rFonts w:ascii="ITC Avant Garde" w:eastAsia="Times New Roman" w:hAnsi="ITC Avant Garde" w:cstheme="minorHAnsi"/>
                <w:color w:val="000000"/>
                <w:sz w:val="18"/>
                <w:szCs w:val="16"/>
                <w:lang w:eastAsia="es-MX"/>
              </w:rPr>
              <w:t>Facebook Inc</w:t>
            </w:r>
            <w:r w:rsidRPr="00417505">
              <w:rPr>
                <w:rFonts w:ascii="ITC Avant Garde" w:eastAsia="Times New Roman" w:hAnsi="ITC Avant Garde" w:cstheme="minorHAnsi"/>
                <w:color w:val="000000"/>
                <w:sz w:val="18"/>
                <w:szCs w:val="16"/>
                <w:lang w:eastAsia="es-MX"/>
              </w:rPr>
              <w:t>.</w:t>
            </w:r>
            <w:r>
              <w:rPr>
                <w:rFonts w:ascii="ITC Avant Garde" w:eastAsia="Times New Roman" w:hAnsi="ITC Avant Garde" w:cstheme="minorHAnsi"/>
                <w:color w:val="000000"/>
                <w:sz w:val="18"/>
                <w:szCs w:val="16"/>
                <w:lang w:eastAsia="es-MX"/>
              </w:rPr>
              <w:t xml:space="preserve">, </w:t>
            </w:r>
            <w:r w:rsidRPr="00417505">
              <w:rPr>
                <w:rFonts w:ascii="ITC Avant Garde" w:eastAsia="Times New Roman" w:hAnsi="ITC Avant Garde" w:cstheme="minorHAnsi"/>
                <w:color w:val="000000"/>
                <w:sz w:val="18"/>
                <w:szCs w:val="16"/>
                <w:lang w:eastAsia="es-MX"/>
              </w:rPr>
              <w:t>la cual contiene una propuesta de</w:t>
            </w:r>
            <w:r>
              <w:rPr>
                <w:rFonts w:ascii="ITC Avant Garde" w:eastAsia="Times New Roman" w:hAnsi="ITC Avant Garde" w:cstheme="minorHAnsi"/>
                <w:color w:val="000000"/>
                <w:sz w:val="18"/>
                <w:szCs w:val="16"/>
                <w:lang w:eastAsia="es-MX"/>
              </w:rPr>
              <w:t xml:space="preserve"> modificación al documento materia de este </w:t>
            </w:r>
            <w:r w:rsidRPr="00417505">
              <w:rPr>
                <w:rFonts w:ascii="ITC Avant Garde" w:eastAsia="Times New Roman" w:hAnsi="ITC Avant Garde" w:cstheme="minorHAnsi"/>
                <w:color w:val="000000"/>
                <w:sz w:val="18"/>
                <w:szCs w:val="16"/>
                <w:lang w:eastAsia="es-MX"/>
              </w:rPr>
              <w:t>proceso consultivo.</w:t>
            </w:r>
            <w:r>
              <w:t xml:space="preserve"> </w:t>
            </w:r>
          </w:p>
          <w:p w14:paraId="235A35E4" w14:textId="77777777" w:rsidR="00D807DD" w:rsidRDefault="00D807DD" w:rsidP="00AF1968">
            <w:pPr>
              <w:jc w:val="both"/>
              <w:cnfStyle w:val="000000000000" w:firstRow="0" w:lastRow="0" w:firstColumn="0" w:lastColumn="0" w:oddVBand="0" w:evenVBand="0" w:oddHBand="0" w:evenHBand="0" w:firstRowFirstColumn="0" w:firstRowLastColumn="0" w:lastRowFirstColumn="0" w:lastRowLastColumn="0"/>
            </w:pPr>
          </w:p>
          <w:p w14:paraId="128AFC69" w14:textId="0093A9ED" w:rsidR="00534D75" w:rsidRDefault="00534D75" w:rsidP="00534D7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 xml:space="preserve">A este respecto, </w:t>
            </w:r>
            <w:r w:rsidR="00191EBE">
              <w:rPr>
                <w:rFonts w:ascii="ITC Avant Garde" w:eastAsia="Times New Roman" w:hAnsi="ITC Avant Garde" w:cstheme="minorHAnsi"/>
                <w:color w:val="000000"/>
                <w:sz w:val="18"/>
                <w:szCs w:val="16"/>
                <w:lang w:eastAsia="es-MX"/>
              </w:rPr>
              <w:t>se</w:t>
            </w:r>
            <w:r>
              <w:rPr>
                <w:rFonts w:ascii="ITC Avant Garde" w:eastAsia="Times New Roman" w:hAnsi="ITC Avant Garde" w:cstheme="minorHAnsi"/>
                <w:color w:val="000000"/>
                <w:sz w:val="18"/>
                <w:szCs w:val="16"/>
                <w:lang w:eastAsia="es-MX"/>
              </w:rPr>
              <w:t xml:space="preserve"> realiza</w:t>
            </w:r>
            <w:r w:rsidR="00191EBE">
              <w:rPr>
                <w:rFonts w:ascii="ITC Avant Garde" w:eastAsia="Times New Roman" w:hAnsi="ITC Avant Garde" w:cstheme="minorHAnsi"/>
                <w:color w:val="000000"/>
                <w:sz w:val="18"/>
                <w:szCs w:val="16"/>
                <w:lang w:eastAsia="es-MX"/>
              </w:rPr>
              <w:t>n</w:t>
            </w:r>
            <w:r>
              <w:rPr>
                <w:rFonts w:ascii="ITC Avant Garde" w:eastAsia="Times New Roman" w:hAnsi="ITC Avant Garde" w:cstheme="minorHAnsi"/>
                <w:color w:val="000000"/>
                <w:sz w:val="18"/>
                <w:szCs w:val="16"/>
                <w:lang w:eastAsia="es-MX"/>
              </w:rPr>
              <w:t xml:space="preserve"> </w:t>
            </w:r>
            <w:r w:rsidR="001216FB">
              <w:rPr>
                <w:rFonts w:ascii="ITC Avant Garde" w:eastAsia="Times New Roman" w:hAnsi="ITC Avant Garde" w:cstheme="minorHAnsi"/>
                <w:color w:val="000000"/>
                <w:sz w:val="18"/>
                <w:szCs w:val="16"/>
                <w:lang w:eastAsia="es-MX"/>
              </w:rPr>
              <w:t xml:space="preserve">los </w:t>
            </w:r>
            <w:r>
              <w:rPr>
                <w:rFonts w:ascii="ITC Avant Garde" w:eastAsia="Times New Roman" w:hAnsi="ITC Avant Garde" w:cstheme="minorHAnsi"/>
                <w:color w:val="000000"/>
                <w:sz w:val="18"/>
                <w:szCs w:val="16"/>
                <w:lang w:eastAsia="es-MX"/>
              </w:rPr>
              <w:t xml:space="preserve">comentarios </w:t>
            </w:r>
            <w:r w:rsidR="001216FB">
              <w:rPr>
                <w:rFonts w:ascii="ITC Avant Garde" w:eastAsia="Times New Roman" w:hAnsi="ITC Avant Garde" w:cstheme="minorHAnsi"/>
                <w:color w:val="000000"/>
                <w:sz w:val="18"/>
                <w:szCs w:val="16"/>
                <w:lang w:eastAsia="es-MX"/>
              </w:rPr>
              <w:t>siguientes</w:t>
            </w:r>
            <w:r>
              <w:rPr>
                <w:rFonts w:ascii="ITC Avant Garde" w:eastAsia="Times New Roman" w:hAnsi="ITC Avant Garde" w:cstheme="minorHAnsi"/>
                <w:color w:val="000000"/>
                <w:sz w:val="18"/>
                <w:szCs w:val="16"/>
                <w:lang w:eastAsia="es-MX"/>
              </w:rPr>
              <w:t>:</w:t>
            </w:r>
            <w:r w:rsidRPr="00417505" w:rsidDel="00534D75">
              <w:rPr>
                <w:rFonts w:ascii="ITC Avant Garde" w:eastAsia="Times New Roman" w:hAnsi="ITC Avant Garde" w:cstheme="minorHAnsi"/>
                <w:color w:val="000000"/>
                <w:sz w:val="18"/>
                <w:szCs w:val="16"/>
                <w:lang w:eastAsia="es-MX"/>
              </w:rPr>
              <w:t xml:space="preserve"> </w:t>
            </w:r>
          </w:p>
          <w:p w14:paraId="7901FDB7" w14:textId="6FC0F3B0" w:rsidR="00534D75" w:rsidRDefault="00534D75" w:rsidP="00534D75">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p>
          <w:p w14:paraId="5BEFB786" w14:textId="5C6E923C" w:rsidR="001216FB" w:rsidRDefault="001216FB" w:rsidP="00F939ED">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sidRPr="00191EBE">
              <w:rPr>
                <w:rFonts w:ascii="ITC Avant Garde" w:eastAsia="Times New Roman" w:hAnsi="ITC Avant Garde" w:cstheme="minorHAnsi"/>
                <w:color w:val="000000"/>
                <w:sz w:val="18"/>
                <w:szCs w:val="16"/>
                <w:lang w:eastAsia="es-MX"/>
              </w:rPr>
              <w:t>Actualmente existe</w:t>
            </w:r>
            <w:r w:rsidR="007E6E50" w:rsidRPr="00191EBE">
              <w:rPr>
                <w:rFonts w:ascii="ITC Avant Garde" w:eastAsia="Times New Roman" w:hAnsi="ITC Avant Garde" w:cstheme="minorHAnsi"/>
                <w:color w:val="000000"/>
                <w:sz w:val="18"/>
                <w:szCs w:val="16"/>
                <w:lang w:eastAsia="es-MX"/>
              </w:rPr>
              <w:t xml:space="preserve"> disponibilidad tecnológica </w:t>
            </w:r>
            <w:r w:rsidRPr="00191EBE">
              <w:rPr>
                <w:rFonts w:ascii="ITC Avant Garde" w:eastAsia="Times New Roman" w:hAnsi="ITC Avant Garde" w:cstheme="minorHAnsi"/>
                <w:color w:val="000000"/>
                <w:sz w:val="18"/>
                <w:szCs w:val="16"/>
                <w:lang w:eastAsia="es-MX"/>
              </w:rPr>
              <w:t xml:space="preserve">para los </w:t>
            </w:r>
            <w:r w:rsidR="007E6E50" w:rsidRPr="00191EBE">
              <w:rPr>
                <w:rFonts w:ascii="ITC Avant Garde" w:eastAsia="Times New Roman" w:hAnsi="ITC Avant Garde" w:cstheme="minorHAnsi"/>
                <w:color w:val="000000"/>
                <w:sz w:val="18"/>
                <w:szCs w:val="16"/>
                <w:lang w:eastAsia="es-MX"/>
              </w:rPr>
              <w:t xml:space="preserve">sensores de movimiento </w:t>
            </w:r>
            <w:r w:rsidR="00191EBE">
              <w:rPr>
                <w:rFonts w:ascii="ITC Avant Garde" w:eastAsia="Times New Roman" w:hAnsi="ITC Avant Garde" w:cstheme="minorHAnsi"/>
                <w:color w:val="000000"/>
                <w:sz w:val="18"/>
                <w:szCs w:val="16"/>
                <w:lang w:eastAsia="es-MX"/>
              </w:rPr>
              <w:t>que pueden ser empleados</w:t>
            </w:r>
            <w:r w:rsidR="007E6E50" w:rsidRPr="00191EBE">
              <w:rPr>
                <w:rFonts w:ascii="ITC Avant Garde" w:eastAsia="Times New Roman" w:hAnsi="ITC Avant Garde" w:cstheme="minorHAnsi"/>
                <w:color w:val="000000"/>
                <w:sz w:val="18"/>
                <w:szCs w:val="16"/>
                <w:lang w:eastAsia="es-MX"/>
              </w:rPr>
              <w:t xml:space="preserve"> en di</w:t>
            </w:r>
            <w:r w:rsidR="006D6ECD" w:rsidRPr="00191EBE">
              <w:rPr>
                <w:rFonts w:ascii="ITC Avant Garde" w:eastAsia="Times New Roman" w:hAnsi="ITC Avant Garde" w:cstheme="minorHAnsi"/>
                <w:color w:val="000000"/>
                <w:sz w:val="18"/>
                <w:szCs w:val="16"/>
                <w:lang w:eastAsia="es-MX"/>
              </w:rPr>
              <w:t xml:space="preserve">ferentes </w:t>
            </w:r>
            <w:r w:rsidR="007E6E50" w:rsidRPr="00191EBE">
              <w:rPr>
                <w:rFonts w:ascii="ITC Avant Garde" w:eastAsia="Times New Roman" w:hAnsi="ITC Avant Garde" w:cstheme="minorHAnsi"/>
                <w:color w:val="000000"/>
                <w:sz w:val="18"/>
                <w:szCs w:val="16"/>
                <w:lang w:eastAsia="es-MX"/>
              </w:rPr>
              <w:t xml:space="preserve">aplicaciones </w:t>
            </w:r>
            <w:r w:rsidR="006D6ECD" w:rsidRPr="00191EBE">
              <w:rPr>
                <w:rFonts w:ascii="ITC Avant Garde" w:eastAsia="Times New Roman" w:hAnsi="ITC Avant Garde" w:cstheme="minorHAnsi"/>
                <w:color w:val="000000"/>
                <w:sz w:val="18"/>
                <w:szCs w:val="16"/>
                <w:lang w:eastAsia="es-MX"/>
              </w:rPr>
              <w:t xml:space="preserve">para cubrir </w:t>
            </w:r>
            <w:r w:rsidR="008E3BFD" w:rsidRPr="00191EBE">
              <w:rPr>
                <w:rFonts w:ascii="ITC Avant Garde" w:eastAsia="Times New Roman" w:hAnsi="ITC Avant Garde" w:cstheme="minorHAnsi"/>
                <w:color w:val="000000"/>
                <w:sz w:val="18"/>
                <w:szCs w:val="16"/>
                <w:lang w:eastAsia="es-MX"/>
              </w:rPr>
              <w:t>necesidades de los usuarios finales</w:t>
            </w:r>
            <w:r w:rsidR="00BE134C">
              <w:rPr>
                <w:rFonts w:ascii="ITC Avant Garde" w:eastAsia="Times New Roman" w:hAnsi="ITC Avant Garde" w:cstheme="minorHAnsi"/>
                <w:color w:val="000000"/>
                <w:sz w:val="18"/>
                <w:szCs w:val="16"/>
                <w:lang w:eastAsia="es-MX"/>
              </w:rPr>
              <w:t xml:space="preserve">, </w:t>
            </w:r>
            <w:r w:rsidR="00A12BFA">
              <w:rPr>
                <w:rFonts w:ascii="ITC Avant Garde" w:eastAsia="Times New Roman" w:hAnsi="ITC Avant Garde" w:cstheme="minorHAnsi"/>
                <w:color w:val="000000"/>
                <w:sz w:val="18"/>
                <w:szCs w:val="16"/>
                <w:lang w:eastAsia="es-MX"/>
              </w:rPr>
              <w:t xml:space="preserve">entre los que se encuentran </w:t>
            </w:r>
            <w:r w:rsidR="00BE134C">
              <w:rPr>
                <w:rFonts w:ascii="ITC Avant Garde" w:eastAsia="Times New Roman" w:hAnsi="ITC Avant Garde" w:cstheme="minorHAnsi"/>
                <w:color w:val="000000"/>
                <w:sz w:val="18"/>
                <w:szCs w:val="16"/>
                <w:lang w:eastAsia="es-MX"/>
              </w:rPr>
              <w:t xml:space="preserve">personas que cuentan con un impedimento físico para interactuar con dispositivos </w:t>
            </w:r>
            <w:r w:rsidR="0043779A">
              <w:rPr>
                <w:rFonts w:ascii="ITC Avant Garde" w:eastAsia="Times New Roman" w:hAnsi="ITC Avant Garde" w:cstheme="minorHAnsi"/>
                <w:color w:val="000000"/>
                <w:sz w:val="18"/>
                <w:szCs w:val="16"/>
                <w:lang w:eastAsia="es-MX"/>
              </w:rPr>
              <w:t xml:space="preserve">inalámbricos </w:t>
            </w:r>
            <w:r w:rsidR="00BE134C">
              <w:rPr>
                <w:rFonts w:ascii="ITC Avant Garde" w:eastAsia="Times New Roman" w:hAnsi="ITC Avant Garde" w:cstheme="minorHAnsi"/>
                <w:color w:val="000000"/>
                <w:sz w:val="18"/>
                <w:szCs w:val="16"/>
                <w:lang w:eastAsia="es-MX"/>
              </w:rPr>
              <w:t>o equipos de radiocomunicaci</w:t>
            </w:r>
            <w:r w:rsidR="0043779A">
              <w:rPr>
                <w:rFonts w:ascii="ITC Avant Garde" w:eastAsia="Times New Roman" w:hAnsi="ITC Avant Garde" w:cstheme="minorHAnsi"/>
                <w:color w:val="000000"/>
                <w:sz w:val="18"/>
                <w:szCs w:val="16"/>
                <w:lang w:eastAsia="es-MX"/>
              </w:rPr>
              <w:t>ó</w:t>
            </w:r>
            <w:r w:rsidR="00BE134C">
              <w:rPr>
                <w:rFonts w:ascii="ITC Avant Garde" w:eastAsia="Times New Roman" w:hAnsi="ITC Avant Garde" w:cstheme="minorHAnsi"/>
                <w:color w:val="000000"/>
                <w:sz w:val="18"/>
                <w:szCs w:val="16"/>
                <w:lang w:eastAsia="es-MX"/>
              </w:rPr>
              <w:t>n</w:t>
            </w:r>
            <w:r w:rsidR="008E3BFD" w:rsidRPr="00191EBE">
              <w:rPr>
                <w:rFonts w:ascii="ITC Avant Garde" w:eastAsia="Times New Roman" w:hAnsi="ITC Avant Garde" w:cstheme="minorHAnsi"/>
                <w:color w:val="000000"/>
                <w:sz w:val="18"/>
                <w:szCs w:val="16"/>
                <w:lang w:eastAsia="es-MX"/>
              </w:rPr>
              <w:t>.</w:t>
            </w:r>
          </w:p>
          <w:p w14:paraId="3E35FF9A" w14:textId="71689A8A" w:rsidR="006D6ECD" w:rsidRPr="001F5B9E" w:rsidRDefault="006D6ECD" w:rsidP="001F5B9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sidRPr="001F5B9E">
              <w:rPr>
                <w:rFonts w:ascii="ITC Avant Garde" w:eastAsia="Times New Roman" w:hAnsi="ITC Avant Garde" w:cstheme="minorHAnsi"/>
                <w:color w:val="000000"/>
                <w:sz w:val="18"/>
                <w:szCs w:val="16"/>
                <w:lang w:eastAsia="es-MX"/>
              </w:rPr>
              <w:t>El tiempo de espera</w:t>
            </w:r>
            <w:r w:rsidR="00CD755A" w:rsidRPr="001F5B9E">
              <w:rPr>
                <w:rFonts w:ascii="ITC Avant Garde" w:eastAsia="Times New Roman" w:hAnsi="ITC Avant Garde" w:cstheme="minorHAnsi"/>
                <w:color w:val="000000"/>
                <w:sz w:val="18"/>
                <w:szCs w:val="16"/>
                <w:lang w:eastAsia="es-MX"/>
              </w:rPr>
              <w:t xml:space="preserve">, </w:t>
            </w:r>
            <w:r w:rsidR="00F80938" w:rsidRPr="001F5B9E">
              <w:rPr>
                <w:rFonts w:ascii="ITC Avant Garde" w:eastAsia="Times New Roman" w:hAnsi="ITC Avant Garde" w:cstheme="minorHAnsi"/>
                <w:color w:val="000000"/>
                <w:sz w:val="18"/>
                <w:szCs w:val="16"/>
                <w:lang w:eastAsia="es-MX"/>
              </w:rPr>
              <w:t xml:space="preserve">es </w:t>
            </w:r>
            <w:r w:rsidRPr="001F5B9E">
              <w:rPr>
                <w:rFonts w:ascii="ITC Avant Garde" w:eastAsia="Times New Roman" w:hAnsi="ITC Avant Garde" w:cstheme="minorHAnsi"/>
                <w:color w:val="000000"/>
                <w:sz w:val="18"/>
                <w:szCs w:val="16"/>
                <w:lang w:eastAsia="es-MX"/>
              </w:rPr>
              <w:t>el</w:t>
            </w:r>
            <w:r w:rsidR="00F80938" w:rsidRPr="001F5B9E">
              <w:rPr>
                <w:rFonts w:ascii="ITC Avant Garde" w:eastAsia="Times New Roman" w:hAnsi="ITC Avant Garde" w:cstheme="minorHAnsi"/>
                <w:color w:val="000000"/>
                <w:sz w:val="18"/>
                <w:szCs w:val="16"/>
                <w:lang w:eastAsia="es-MX"/>
              </w:rPr>
              <w:t xml:space="preserve"> tiempo</w:t>
            </w:r>
            <w:r w:rsidRPr="001F5B9E">
              <w:rPr>
                <w:rFonts w:ascii="ITC Avant Garde" w:eastAsia="Times New Roman" w:hAnsi="ITC Avant Garde" w:cstheme="minorHAnsi"/>
                <w:color w:val="000000"/>
                <w:sz w:val="18"/>
                <w:szCs w:val="16"/>
                <w:lang w:eastAsia="es-MX"/>
              </w:rPr>
              <w:t xml:space="preserve"> </w:t>
            </w:r>
            <w:r w:rsidR="00191EBE">
              <w:rPr>
                <w:rFonts w:ascii="ITC Avant Garde" w:eastAsia="Times New Roman" w:hAnsi="ITC Avant Garde" w:cstheme="minorHAnsi"/>
                <w:color w:val="000000"/>
                <w:sz w:val="18"/>
                <w:szCs w:val="16"/>
                <w:lang w:eastAsia="es-MX"/>
              </w:rPr>
              <w:t xml:space="preserve">en el que no existe una </w:t>
            </w:r>
            <w:r w:rsidR="003013A4" w:rsidRPr="001F5B9E">
              <w:rPr>
                <w:rFonts w:ascii="ITC Avant Garde" w:eastAsia="Times New Roman" w:hAnsi="ITC Avant Garde" w:cstheme="minorHAnsi"/>
                <w:color w:val="000000"/>
                <w:sz w:val="18"/>
                <w:szCs w:val="16"/>
                <w:lang w:eastAsia="es-MX"/>
              </w:rPr>
              <w:t>transmisión</w:t>
            </w:r>
            <w:r w:rsidR="00F80938" w:rsidRPr="00191EBE">
              <w:rPr>
                <w:rFonts w:ascii="ITC Avant Garde" w:eastAsia="Times New Roman" w:hAnsi="ITC Avant Garde" w:cstheme="minorHAnsi"/>
                <w:color w:val="000000"/>
                <w:sz w:val="18"/>
                <w:szCs w:val="16"/>
                <w:lang w:eastAsia="es-MX"/>
              </w:rPr>
              <w:t xml:space="preserve"> </w:t>
            </w:r>
            <w:r w:rsidR="00191EBE" w:rsidRPr="00191EBE">
              <w:rPr>
                <w:rFonts w:ascii="ITC Avant Garde" w:eastAsia="Times New Roman" w:hAnsi="ITC Avant Garde" w:cstheme="minorHAnsi"/>
                <w:color w:val="000000"/>
                <w:sz w:val="18"/>
                <w:szCs w:val="16"/>
                <w:lang w:eastAsia="es-MX"/>
              </w:rPr>
              <w:t>del sensor</w:t>
            </w:r>
            <w:r w:rsidR="0010629E">
              <w:rPr>
                <w:rFonts w:ascii="ITC Avant Garde" w:eastAsia="Times New Roman" w:hAnsi="ITC Avant Garde" w:cstheme="minorHAnsi"/>
                <w:color w:val="000000"/>
                <w:sz w:val="18"/>
                <w:szCs w:val="16"/>
                <w:lang w:eastAsia="es-MX"/>
              </w:rPr>
              <w:t>. El tiempo de transmisión</w:t>
            </w:r>
            <w:r w:rsidR="00191EBE">
              <w:rPr>
                <w:rFonts w:ascii="ITC Avant Garde" w:eastAsia="Times New Roman" w:hAnsi="ITC Avant Garde" w:cstheme="minorHAnsi"/>
                <w:color w:val="000000"/>
                <w:sz w:val="18"/>
                <w:szCs w:val="16"/>
                <w:lang w:eastAsia="es-MX"/>
              </w:rPr>
              <w:t xml:space="preserve"> </w:t>
            </w:r>
            <w:r w:rsidRPr="00191EBE">
              <w:rPr>
                <w:rFonts w:ascii="ITC Avant Garde" w:eastAsia="Times New Roman" w:hAnsi="ITC Avant Garde" w:cstheme="minorHAnsi"/>
                <w:color w:val="000000"/>
                <w:sz w:val="18"/>
                <w:szCs w:val="16"/>
                <w:lang w:eastAsia="es-MX"/>
              </w:rPr>
              <w:t>se</w:t>
            </w:r>
            <w:r w:rsidRPr="001F5B9E">
              <w:rPr>
                <w:rFonts w:ascii="ITC Avant Garde" w:eastAsia="Times New Roman" w:hAnsi="ITC Avant Garde" w:cstheme="minorHAnsi"/>
                <w:color w:val="000000"/>
                <w:sz w:val="18"/>
                <w:szCs w:val="16"/>
                <w:lang w:eastAsia="es-MX"/>
              </w:rPr>
              <w:t xml:space="preserve"> encuentra determinado por las condiciones </w:t>
            </w:r>
            <w:r w:rsidR="00CD755A" w:rsidRPr="001F5B9E">
              <w:rPr>
                <w:rFonts w:ascii="ITC Avant Garde" w:eastAsia="Times New Roman" w:hAnsi="ITC Avant Garde" w:cstheme="minorHAnsi"/>
                <w:color w:val="000000"/>
                <w:sz w:val="18"/>
                <w:szCs w:val="16"/>
                <w:lang w:eastAsia="es-MX"/>
              </w:rPr>
              <w:t>establecidas</w:t>
            </w:r>
            <w:r w:rsidRPr="001F5B9E">
              <w:rPr>
                <w:rFonts w:ascii="ITC Avant Garde" w:eastAsia="Times New Roman" w:hAnsi="ITC Avant Garde" w:cstheme="minorHAnsi"/>
                <w:color w:val="000000"/>
                <w:sz w:val="18"/>
                <w:szCs w:val="16"/>
                <w:lang w:eastAsia="es-MX"/>
              </w:rPr>
              <w:t xml:space="preserve"> en el </w:t>
            </w:r>
            <w:r w:rsidR="00507B2B" w:rsidRPr="001F5B9E">
              <w:rPr>
                <w:rFonts w:ascii="ITC Avant Garde" w:eastAsia="Times New Roman" w:hAnsi="ITC Avant Garde" w:cstheme="minorHAnsi"/>
                <w:b/>
                <w:bCs/>
                <w:color w:val="000000"/>
                <w:sz w:val="18"/>
                <w:szCs w:val="16"/>
                <w:lang w:eastAsia="es-MX"/>
              </w:rPr>
              <w:t>numeral</w:t>
            </w:r>
            <w:r w:rsidRPr="001F5B9E">
              <w:rPr>
                <w:rFonts w:ascii="ITC Avant Garde" w:eastAsia="Times New Roman" w:hAnsi="ITC Avant Garde" w:cstheme="minorHAnsi"/>
                <w:b/>
                <w:bCs/>
                <w:color w:val="000000"/>
                <w:sz w:val="18"/>
                <w:szCs w:val="16"/>
                <w:lang w:eastAsia="es-MX"/>
              </w:rPr>
              <w:t xml:space="preserve"> 2.1</w:t>
            </w:r>
            <w:r w:rsidR="003013A4" w:rsidRPr="001F5B9E">
              <w:rPr>
                <w:rFonts w:ascii="ITC Avant Garde" w:eastAsia="Times New Roman" w:hAnsi="ITC Avant Garde" w:cstheme="minorHAnsi"/>
                <w:b/>
                <w:bCs/>
                <w:color w:val="000000"/>
                <w:sz w:val="18"/>
                <w:szCs w:val="16"/>
                <w:lang w:eastAsia="es-MX"/>
              </w:rPr>
              <w:t>.</w:t>
            </w:r>
            <w:r w:rsidRPr="001F5B9E">
              <w:rPr>
                <w:rFonts w:ascii="ITC Avant Garde" w:eastAsia="Times New Roman" w:hAnsi="ITC Avant Garde" w:cstheme="minorHAnsi"/>
                <w:b/>
                <w:bCs/>
                <w:color w:val="000000"/>
                <w:sz w:val="18"/>
                <w:szCs w:val="16"/>
                <w:lang w:eastAsia="es-MX"/>
              </w:rPr>
              <w:t>6</w:t>
            </w:r>
            <w:r w:rsidR="008010BE">
              <w:rPr>
                <w:rFonts w:ascii="ITC Avant Garde" w:eastAsia="Times New Roman" w:hAnsi="ITC Avant Garde" w:cstheme="minorHAnsi"/>
                <w:color w:val="000000"/>
                <w:sz w:val="18"/>
                <w:szCs w:val="16"/>
                <w:lang w:eastAsia="es-MX"/>
              </w:rPr>
              <w:t xml:space="preserve"> del Anteproyecto</w:t>
            </w:r>
            <w:r w:rsidR="00A12BFA">
              <w:rPr>
                <w:rFonts w:ascii="ITC Avant Garde" w:eastAsia="Times New Roman" w:hAnsi="ITC Avant Garde" w:cstheme="minorHAnsi"/>
                <w:color w:val="000000"/>
                <w:sz w:val="18"/>
                <w:szCs w:val="16"/>
                <w:lang w:eastAsia="es-MX"/>
              </w:rPr>
              <w:t xml:space="preserve"> de Acuerdo</w:t>
            </w:r>
            <w:r w:rsidR="003013A4" w:rsidRPr="001F5B9E">
              <w:rPr>
                <w:rFonts w:ascii="ITC Avant Garde" w:eastAsia="Times New Roman" w:hAnsi="ITC Avant Garde" w:cstheme="minorHAnsi"/>
                <w:color w:val="000000"/>
                <w:sz w:val="18"/>
                <w:szCs w:val="16"/>
                <w:lang w:eastAsia="es-MX"/>
              </w:rPr>
              <w:t>,</w:t>
            </w:r>
            <w:r w:rsidRPr="001F5B9E">
              <w:rPr>
                <w:rFonts w:ascii="ITC Avant Garde" w:eastAsia="Times New Roman" w:hAnsi="ITC Avant Garde" w:cstheme="minorHAnsi"/>
                <w:color w:val="000000"/>
                <w:sz w:val="18"/>
                <w:szCs w:val="16"/>
                <w:lang w:eastAsia="es-MX"/>
              </w:rPr>
              <w:t xml:space="preserve"> </w:t>
            </w:r>
            <w:r w:rsidR="00CD755A" w:rsidRPr="001F5B9E">
              <w:rPr>
                <w:rFonts w:ascii="ITC Avant Garde" w:eastAsia="Times New Roman" w:hAnsi="ITC Avant Garde" w:cstheme="minorHAnsi"/>
                <w:color w:val="000000"/>
                <w:sz w:val="18"/>
                <w:szCs w:val="16"/>
                <w:lang w:eastAsia="es-MX"/>
              </w:rPr>
              <w:t xml:space="preserve">lo que </w:t>
            </w:r>
            <w:r w:rsidR="003013A4" w:rsidRPr="001F5B9E">
              <w:rPr>
                <w:rFonts w:ascii="ITC Avant Garde" w:eastAsia="Times New Roman" w:hAnsi="ITC Avant Garde" w:cstheme="minorHAnsi"/>
                <w:color w:val="000000"/>
                <w:sz w:val="18"/>
                <w:szCs w:val="16"/>
                <w:lang w:eastAsia="es-MX"/>
              </w:rPr>
              <w:t>corresponde a</w:t>
            </w:r>
            <w:r w:rsidR="00CD755A" w:rsidRPr="001F5B9E">
              <w:rPr>
                <w:rFonts w:ascii="ITC Avant Garde" w:eastAsia="Times New Roman" w:hAnsi="ITC Avant Garde" w:cstheme="minorHAnsi"/>
                <w:color w:val="000000"/>
                <w:sz w:val="18"/>
                <w:szCs w:val="16"/>
                <w:lang w:eastAsia="es-MX"/>
              </w:rPr>
              <w:t xml:space="preserve"> un</w:t>
            </w:r>
            <w:r w:rsidRPr="001F5B9E">
              <w:rPr>
                <w:rFonts w:ascii="ITC Avant Garde" w:eastAsia="Times New Roman" w:hAnsi="ITC Avant Garde" w:cstheme="minorHAnsi"/>
                <w:color w:val="000000"/>
                <w:sz w:val="18"/>
                <w:szCs w:val="16"/>
                <w:lang w:eastAsia="es-MX"/>
              </w:rPr>
              <w:t xml:space="preserve"> ciclo de trabajo de</w:t>
            </w:r>
            <w:r w:rsidR="00CD755A" w:rsidRPr="001F5B9E">
              <w:rPr>
                <w:rFonts w:ascii="ITC Avant Garde" w:eastAsia="Times New Roman" w:hAnsi="ITC Avant Garde" w:cstheme="minorHAnsi"/>
                <w:color w:val="000000"/>
                <w:sz w:val="18"/>
                <w:szCs w:val="16"/>
                <w:lang w:eastAsia="es-MX"/>
              </w:rPr>
              <w:t>l</w:t>
            </w:r>
            <w:r w:rsidRPr="001F5B9E">
              <w:rPr>
                <w:rFonts w:ascii="ITC Avant Garde" w:eastAsia="Times New Roman" w:hAnsi="ITC Avant Garde" w:cstheme="minorHAnsi"/>
                <w:color w:val="000000"/>
                <w:sz w:val="18"/>
                <w:szCs w:val="16"/>
                <w:lang w:eastAsia="es-MX"/>
              </w:rPr>
              <w:t xml:space="preserve"> 10%</w:t>
            </w:r>
            <w:r w:rsidR="00CD755A" w:rsidRPr="001F5B9E">
              <w:rPr>
                <w:rFonts w:ascii="ITC Avant Garde" w:eastAsia="Times New Roman" w:hAnsi="ITC Avant Garde" w:cstheme="minorHAnsi"/>
                <w:color w:val="000000"/>
                <w:sz w:val="18"/>
                <w:szCs w:val="16"/>
                <w:lang w:eastAsia="es-MX"/>
              </w:rPr>
              <w:t>.</w:t>
            </w:r>
            <w:r w:rsidRPr="001F5B9E">
              <w:rPr>
                <w:rFonts w:ascii="ITC Avant Garde" w:eastAsia="Times New Roman" w:hAnsi="ITC Avant Garde" w:cstheme="minorHAnsi"/>
                <w:color w:val="000000"/>
                <w:sz w:val="18"/>
                <w:szCs w:val="16"/>
                <w:lang w:eastAsia="es-MX"/>
              </w:rPr>
              <w:t xml:space="preserve"> </w:t>
            </w:r>
          </w:p>
          <w:p w14:paraId="4683FD07" w14:textId="588B5275" w:rsidR="0010629E" w:rsidRDefault="00171AC5" w:rsidP="00CD755A">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sidRPr="001F5B9E">
              <w:rPr>
                <w:rFonts w:ascii="ITC Avant Garde" w:eastAsia="Times New Roman" w:hAnsi="ITC Avant Garde" w:cstheme="minorHAnsi"/>
                <w:color w:val="000000"/>
                <w:sz w:val="18"/>
                <w:szCs w:val="16"/>
                <w:lang w:eastAsia="es-MX"/>
              </w:rPr>
              <w:t>El ciclo de trabajo de los sensores de movimiento se encuentra limitado al 10</w:t>
            </w:r>
            <w:r w:rsidR="003013A4" w:rsidRPr="001F5B9E">
              <w:rPr>
                <w:rFonts w:ascii="ITC Avant Garde" w:eastAsia="Times New Roman" w:hAnsi="ITC Avant Garde" w:cstheme="minorHAnsi"/>
                <w:color w:val="000000"/>
                <w:sz w:val="18"/>
                <w:szCs w:val="16"/>
                <w:lang w:eastAsia="es-MX"/>
              </w:rPr>
              <w:t xml:space="preserve"> </w:t>
            </w:r>
            <w:r w:rsidRPr="001F5B9E">
              <w:rPr>
                <w:rFonts w:ascii="ITC Avant Garde" w:eastAsia="Times New Roman" w:hAnsi="ITC Avant Garde" w:cstheme="minorHAnsi"/>
                <w:color w:val="000000"/>
                <w:sz w:val="18"/>
                <w:szCs w:val="16"/>
                <w:lang w:eastAsia="es-MX"/>
              </w:rPr>
              <w:t xml:space="preserve">% durante </w:t>
            </w:r>
            <w:r w:rsidR="00BE134C">
              <w:rPr>
                <w:rFonts w:ascii="ITC Avant Garde" w:eastAsia="Times New Roman" w:hAnsi="ITC Avant Garde" w:cstheme="minorHAnsi"/>
                <w:color w:val="000000"/>
                <w:sz w:val="18"/>
                <w:szCs w:val="16"/>
                <w:lang w:eastAsia="es-MX"/>
              </w:rPr>
              <w:t>un</w:t>
            </w:r>
            <w:r w:rsidRPr="001F5B9E">
              <w:rPr>
                <w:rFonts w:ascii="ITC Avant Garde" w:eastAsia="Times New Roman" w:hAnsi="ITC Avant Garde" w:cstheme="minorHAnsi"/>
                <w:color w:val="000000"/>
                <w:sz w:val="18"/>
                <w:szCs w:val="16"/>
                <w:lang w:eastAsia="es-MX"/>
              </w:rPr>
              <w:t xml:space="preserve"> intervalo de 33 m</w:t>
            </w:r>
            <w:r w:rsidR="00F939ED">
              <w:rPr>
                <w:rFonts w:ascii="ITC Avant Garde" w:eastAsia="Times New Roman" w:hAnsi="ITC Avant Garde" w:cstheme="minorHAnsi"/>
                <w:color w:val="000000"/>
                <w:sz w:val="18"/>
                <w:szCs w:val="16"/>
                <w:lang w:eastAsia="es-MX"/>
              </w:rPr>
              <w:t>ilisegundo</w:t>
            </w:r>
            <w:r w:rsidRPr="001F5B9E">
              <w:rPr>
                <w:rFonts w:ascii="ITC Avant Garde" w:eastAsia="Times New Roman" w:hAnsi="ITC Avant Garde" w:cstheme="minorHAnsi"/>
                <w:color w:val="000000"/>
                <w:sz w:val="18"/>
                <w:szCs w:val="16"/>
                <w:lang w:eastAsia="es-MX"/>
              </w:rPr>
              <w:t xml:space="preserve">s con </w:t>
            </w:r>
            <w:r w:rsidR="0010629E">
              <w:rPr>
                <w:rFonts w:ascii="ITC Avant Garde" w:eastAsia="Times New Roman" w:hAnsi="ITC Avant Garde" w:cstheme="minorHAnsi"/>
                <w:color w:val="000000"/>
                <w:sz w:val="18"/>
                <w:szCs w:val="16"/>
                <w:lang w:eastAsia="es-MX"/>
              </w:rPr>
              <w:t xml:space="preserve">una </w:t>
            </w:r>
            <w:r w:rsidRPr="001F5B9E">
              <w:rPr>
                <w:rFonts w:ascii="ITC Avant Garde" w:eastAsia="Times New Roman" w:hAnsi="ITC Avant Garde" w:cstheme="minorHAnsi"/>
                <w:color w:val="000000"/>
                <w:sz w:val="18"/>
                <w:szCs w:val="16"/>
                <w:lang w:eastAsia="es-MX"/>
              </w:rPr>
              <w:t xml:space="preserve">densidad espectral de potencia máxima y la potencia pico de salida del sensor </w:t>
            </w:r>
            <w:r w:rsidR="003013A4" w:rsidRPr="001F5B9E">
              <w:rPr>
                <w:rFonts w:ascii="ITC Avant Garde" w:eastAsia="Times New Roman" w:hAnsi="ITC Avant Garde" w:cstheme="minorHAnsi"/>
                <w:color w:val="000000"/>
                <w:sz w:val="18"/>
                <w:szCs w:val="16"/>
                <w:lang w:eastAsia="es-MX"/>
              </w:rPr>
              <w:t xml:space="preserve">indicadas en el numeral </w:t>
            </w:r>
            <w:r w:rsidR="003013A4" w:rsidRPr="0010629E">
              <w:rPr>
                <w:rFonts w:ascii="ITC Avant Garde" w:eastAsia="Times New Roman" w:hAnsi="ITC Avant Garde" w:cstheme="minorHAnsi"/>
                <w:b/>
                <w:color w:val="000000"/>
                <w:sz w:val="18"/>
                <w:szCs w:val="16"/>
                <w:lang w:eastAsia="es-MX"/>
              </w:rPr>
              <w:t>2.1.6</w:t>
            </w:r>
            <w:r w:rsidR="008010BE">
              <w:rPr>
                <w:rFonts w:ascii="ITC Avant Garde" w:eastAsia="Times New Roman" w:hAnsi="ITC Avant Garde" w:cstheme="minorHAnsi"/>
                <w:b/>
                <w:color w:val="000000"/>
                <w:sz w:val="18"/>
                <w:szCs w:val="16"/>
                <w:lang w:eastAsia="es-MX"/>
              </w:rPr>
              <w:t xml:space="preserve"> </w:t>
            </w:r>
            <w:r w:rsidR="008010BE">
              <w:rPr>
                <w:rFonts w:ascii="ITC Avant Garde" w:eastAsia="Times New Roman" w:hAnsi="ITC Avant Garde" w:cstheme="minorHAnsi"/>
                <w:bCs/>
                <w:color w:val="000000"/>
                <w:sz w:val="18"/>
                <w:szCs w:val="16"/>
                <w:lang w:eastAsia="es-MX"/>
              </w:rPr>
              <w:t>del Anteproyecto</w:t>
            </w:r>
            <w:r w:rsidR="00A12BFA">
              <w:rPr>
                <w:rFonts w:ascii="ITC Avant Garde" w:eastAsia="Times New Roman" w:hAnsi="ITC Avant Garde" w:cstheme="minorHAnsi"/>
                <w:bCs/>
                <w:color w:val="000000"/>
                <w:sz w:val="18"/>
                <w:szCs w:val="16"/>
                <w:lang w:eastAsia="es-MX"/>
              </w:rPr>
              <w:t xml:space="preserve"> de Acuerdo</w:t>
            </w:r>
            <w:r w:rsidR="00583398" w:rsidRPr="001F5B9E">
              <w:rPr>
                <w:rFonts w:ascii="ITC Avant Garde" w:eastAsia="Times New Roman" w:hAnsi="ITC Avant Garde" w:cstheme="minorHAnsi"/>
                <w:color w:val="000000"/>
                <w:sz w:val="18"/>
                <w:szCs w:val="16"/>
                <w:lang w:eastAsia="es-MX"/>
              </w:rPr>
              <w:t>.</w:t>
            </w:r>
          </w:p>
          <w:p w14:paraId="7F6CDF43" w14:textId="314A417A" w:rsidR="003013A4" w:rsidRPr="0010629E" w:rsidRDefault="0010629E" w:rsidP="00CD755A">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color w:val="000000"/>
                <w:sz w:val="18"/>
                <w:szCs w:val="16"/>
                <w:lang w:eastAsia="es-MX"/>
              </w:rPr>
            </w:pPr>
            <w:r>
              <w:rPr>
                <w:rFonts w:ascii="ITC Avant Garde" w:eastAsia="Times New Roman" w:hAnsi="ITC Avant Garde" w:cstheme="minorHAnsi"/>
                <w:color w:val="000000"/>
                <w:sz w:val="18"/>
                <w:szCs w:val="16"/>
                <w:lang w:eastAsia="es-MX"/>
              </w:rPr>
              <w:t>C</w:t>
            </w:r>
            <w:r w:rsidR="003013A4" w:rsidRPr="0010629E">
              <w:rPr>
                <w:rFonts w:ascii="ITC Avant Garde" w:eastAsia="Times New Roman" w:hAnsi="ITC Avant Garde" w:cstheme="minorHAnsi"/>
                <w:color w:val="000000"/>
                <w:sz w:val="18"/>
                <w:szCs w:val="16"/>
                <w:lang w:eastAsia="es-MX"/>
              </w:rPr>
              <w:t xml:space="preserve">on el fin de </w:t>
            </w:r>
            <w:r w:rsidR="00367538">
              <w:rPr>
                <w:rFonts w:ascii="ITC Avant Garde" w:eastAsia="Times New Roman" w:hAnsi="ITC Avant Garde" w:cstheme="minorHAnsi"/>
                <w:color w:val="000000"/>
                <w:sz w:val="18"/>
                <w:szCs w:val="16"/>
                <w:lang w:eastAsia="es-MX"/>
              </w:rPr>
              <w:t>especificar</w:t>
            </w:r>
            <w:r w:rsidR="00F939ED" w:rsidRPr="0010629E">
              <w:rPr>
                <w:rFonts w:ascii="ITC Avant Garde" w:eastAsia="Times New Roman" w:hAnsi="ITC Avant Garde" w:cstheme="minorHAnsi"/>
                <w:color w:val="000000"/>
                <w:sz w:val="18"/>
                <w:szCs w:val="16"/>
                <w:lang w:eastAsia="es-MX"/>
              </w:rPr>
              <w:t xml:space="preserve"> </w:t>
            </w:r>
            <w:r w:rsidR="003013A4" w:rsidRPr="0010629E">
              <w:rPr>
                <w:rFonts w:ascii="ITC Avant Garde" w:eastAsia="Times New Roman" w:hAnsi="ITC Avant Garde" w:cstheme="minorHAnsi"/>
                <w:color w:val="000000"/>
                <w:sz w:val="18"/>
                <w:szCs w:val="16"/>
                <w:lang w:eastAsia="es-MX"/>
              </w:rPr>
              <w:t xml:space="preserve">el ciclo de trabajo de los sensores de movimiento que puedan operar en la banda de frecuencias 57-64 </w:t>
            </w:r>
            <w:r w:rsidR="00BE134C">
              <w:rPr>
                <w:rFonts w:ascii="ITC Avant Garde" w:eastAsia="Times New Roman" w:hAnsi="ITC Avant Garde" w:cstheme="minorHAnsi"/>
                <w:color w:val="000000"/>
                <w:sz w:val="18"/>
                <w:szCs w:val="16"/>
                <w:lang w:eastAsia="es-MX"/>
              </w:rPr>
              <w:t>G</w:t>
            </w:r>
            <w:r w:rsidR="003013A4" w:rsidRPr="0010629E">
              <w:rPr>
                <w:rFonts w:ascii="ITC Avant Garde" w:eastAsia="Times New Roman" w:hAnsi="ITC Avant Garde" w:cstheme="minorHAnsi"/>
                <w:color w:val="000000"/>
                <w:sz w:val="18"/>
                <w:szCs w:val="16"/>
                <w:lang w:eastAsia="es-MX"/>
              </w:rPr>
              <w:t xml:space="preserve">Hz, se considera </w:t>
            </w:r>
            <w:r>
              <w:rPr>
                <w:rFonts w:ascii="ITC Avant Garde" w:eastAsia="Times New Roman" w:hAnsi="ITC Avant Garde" w:cstheme="minorHAnsi"/>
                <w:color w:val="000000"/>
                <w:sz w:val="18"/>
                <w:szCs w:val="16"/>
                <w:lang w:eastAsia="es-MX"/>
              </w:rPr>
              <w:t xml:space="preserve">factible </w:t>
            </w:r>
            <w:r w:rsidR="00572DB3">
              <w:rPr>
                <w:rFonts w:ascii="ITC Avant Garde" w:eastAsia="Times New Roman" w:hAnsi="ITC Avant Garde" w:cstheme="minorHAnsi"/>
                <w:color w:val="000000"/>
                <w:sz w:val="18"/>
                <w:szCs w:val="16"/>
                <w:lang w:eastAsia="es-MX"/>
              </w:rPr>
              <w:t>incluir información</w:t>
            </w:r>
            <w:r w:rsidR="003013A4" w:rsidRPr="0010629E">
              <w:rPr>
                <w:rFonts w:ascii="ITC Avant Garde" w:eastAsia="Times New Roman" w:hAnsi="ITC Avant Garde" w:cstheme="minorHAnsi"/>
                <w:color w:val="000000"/>
                <w:sz w:val="18"/>
                <w:szCs w:val="16"/>
                <w:lang w:eastAsia="es-MX"/>
              </w:rPr>
              <w:t xml:space="preserve"> </w:t>
            </w:r>
            <w:r w:rsidR="00572DB3">
              <w:rPr>
                <w:rFonts w:ascii="ITC Avant Garde" w:eastAsia="Times New Roman" w:hAnsi="ITC Avant Garde" w:cstheme="minorHAnsi"/>
                <w:color w:val="000000"/>
                <w:sz w:val="18"/>
                <w:szCs w:val="16"/>
                <w:lang w:eastAsia="es-MX"/>
              </w:rPr>
              <w:t xml:space="preserve">adicional </w:t>
            </w:r>
            <w:r w:rsidR="003013A4" w:rsidRPr="0010629E">
              <w:rPr>
                <w:rFonts w:ascii="ITC Avant Garde" w:eastAsia="Times New Roman" w:hAnsi="ITC Avant Garde" w:cstheme="minorHAnsi"/>
                <w:color w:val="000000"/>
                <w:sz w:val="18"/>
                <w:szCs w:val="16"/>
                <w:lang w:eastAsia="es-MX"/>
              </w:rPr>
              <w:t xml:space="preserve">que tome en consideración </w:t>
            </w:r>
            <w:r w:rsidR="00507B2B" w:rsidRPr="0010629E">
              <w:rPr>
                <w:rFonts w:ascii="ITC Avant Garde" w:eastAsia="Times New Roman" w:hAnsi="ITC Avant Garde" w:cstheme="minorHAnsi"/>
                <w:color w:val="000000"/>
                <w:sz w:val="18"/>
                <w:szCs w:val="16"/>
                <w:lang w:eastAsia="es-MX"/>
              </w:rPr>
              <w:t>este</w:t>
            </w:r>
            <w:r w:rsidR="003013A4" w:rsidRPr="0010629E">
              <w:rPr>
                <w:rFonts w:ascii="ITC Avant Garde" w:eastAsia="Times New Roman" w:hAnsi="ITC Avant Garde" w:cstheme="minorHAnsi"/>
                <w:color w:val="000000"/>
                <w:sz w:val="18"/>
                <w:szCs w:val="16"/>
                <w:lang w:eastAsia="es-MX"/>
              </w:rPr>
              <w:t xml:space="preserve"> concepto.</w:t>
            </w:r>
          </w:p>
        </w:tc>
      </w:tr>
      <w:tr w:rsidR="00D807DD" w:rsidRPr="00585F73" w14:paraId="7DC92E83" w14:textId="77777777" w:rsidTr="00F939E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70AD47" w:themeFill="accent6"/>
            <w:vAlign w:val="center"/>
          </w:tcPr>
          <w:p w14:paraId="294BBF93" w14:textId="78BCDC00" w:rsidR="00D807DD" w:rsidRPr="00585F73" w:rsidRDefault="00D807DD" w:rsidP="00F939ED">
            <w:pPr>
              <w:jc w:val="center"/>
              <w:rPr>
                <w:rFonts w:ascii="ITC Avant Garde" w:eastAsia="Times New Roman" w:hAnsi="ITC Avant Garde" w:cstheme="minorHAnsi"/>
                <w:color w:val="FFFFFF" w:themeColor="background1"/>
                <w:sz w:val="18"/>
                <w:szCs w:val="16"/>
                <w:lang w:eastAsia="es-MX"/>
              </w:rPr>
            </w:pPr>
            <w:r w:rsidRPr="00585F73">
              <w:rPr>
                <w:rFonts w:ascii="ITC Avant Garde" w:eastAsia="Times New Roman" w:hAnsi="ITC Avant Garde" w:cstheme="minorHAnsi"/>
                <w:color w:val="FFFFFF" w:themeColor="background1"/>
                <w:sz w:val="18"/>
                <w:szCs w:val="16"/>
                <w:lang w:eastAsia="es-MX"/>
              </w:rPr>
              <w:t>Comentarios, opiniones, propuestas y aportaciones generales de la persona participante</w:t>
            </w:r>
            <w:r>
              <w:rPr>
                <w:rFonts w:ascii="ITC Avant Garde" w:eastAsia="Times New Roman" w:hAnsi="ITC Avant Garde" w:cstheme="minorHAnsi"/>
                <w:color w:val="FFFFFF" w:themeColor="background1"/>
                <w:sz w:val="18"/>
                <w:szCs w:val="16"/>
                <w:lang w:eastAsia="es-MX"/>
              </w:rPr>
              <w:t xml:space="preserve"> </w:t>
            </w:r>
            <w:r w:rsidRPr="00585F73">
              <w:rPr>
                <w:rFonts w:ascii="ITC Avant Garde" w:eastAsia="Times New Roman" w:hAnsi="ITC Avant Garde" w:cstheme="minorHAnsi"/>
                <w:color w:val="FFFFFF" w:themeColor="background1"/>
                <w:sz w:val="18"/>
                <w:szCs w:val="16"/>
                <w:lang w:eastAsia="es-MX"/>
              </w:rPr>
              <w:t>sobre el asunto en consulta pública</w:t>
            </w:r>
          </w:p>
        </w:tc>
        <w:tc>
          <w:tcPr>
            <w:tcW w:w="2493" w:type="pct"/>
            <w:gridSpan w:val="2"/>
            <w:vMerge/>
            <w:tcBorders>
              <w:left w:val="single" w:sz="4" w:space="0" w:color="A8D08D" w:themeColor="accent6" w:themeTint="99"/>
            </w:tcBorders>
            <w:shd w:val="clear" w:color="auto" w:fill="70AD47" w:themeFill="accent6"/>
            <w:vAlign w:val="center"/>
          </w:tcPr>
          <w:p w14:paraId="5A014537" w14:textId="0245BCCC" w:rsidR="00D807DD" w:rsidRPr="00585F73" w:rsidRDefault="00D807DD" w:rsidP="00F939ED">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heme="minorHAnsi"/>
                <w:b/>
                <w:bCs/>
                <w:color w:val="FFFFFF" w:themeColor="background1"/>
                <w:sz w:val="18"/>
                <w:szCs w:val="16"/>
                <w:lang w:eastAsia="es-MX"/>
              </w:rPr>
            </w:pPr>
          </w:p>
        </w:tc>
      </w:tr>
      <w:tr w:rsidR="00D807DD" w:rsidRPr="00585F73" w14:paraId="6BAC34C9" w14:textId="77777777" w:rsidTr="00AF1968">
        <w:trPr>
          <w:trHeight w:val="77"/>
        </w:trPr>
        <w:tc>
          <w:tcPr>
            <w:cnfStyle w:val="001000000000" w:firstRow="0" w:lastRow="0" w:firstColumn="1" w:lastColumn="0" w:oddVBand="0" w:evenVBand="0" w:oddHBand="0" w:evenHBand="0" w:firstRowFirstColumn="0" w:firstRowLastColumn="0" w:lastRowFirstColumn="0" w:lastRowLastColumn="0"/>
            <w:tcW w:w="2507" w:type="pct"/>
            <w:gridSpan w:val="3"/>
            <w:tcBorders>
              <w:bottom w:val="single" w:sz="4" w:space="0" w:color="A8D08D" w:themeColor="accent6" w:themeTint="99"/>
              <w:right w:val="single" w:sz="4" w:space="0" w:color="A8D08D" w:themeColor="accent6" w:themeTint="99"/>
            </w:tcBorders>
            <w:shd w:val="clear" w:color="auto" w:fill="auto"/>
            <w:vAlign w:val="center"/>
          </w:tcPr>
          <w:p w14:paraId="36C6968B" w14:textId="77777777" w:rsidR="00D807DD" w:rsidRPr="00AF1968" w:rsidRDefault="00D807DD" w:rsidP="00AF1968">
            <w:pPr>
              <w:jc w:val="both"/>
              <w:rPr>
                <w:rFonts w:ascii="ITC Avant Garde" w:eastAsia="Times New Roman" w:hAnsi="ITC Avant Garde" w:cstheme="minorHAnsi"/>
                <w:b w:val="0"/>
                <w:color w:val="000000" w:themeColor="text1"/>
                <w:sz w:val="18"/>
                <w:szCs w:val="16"/>
                <w:lang w:eastAsia="es-MX"/>
              </w:rPr>
            </w:pPr>
            <w:r w:rsidRPr="00AF1968">
              <w:rPr>
                <w:rFonts w:ascii="ITC Avant Garde" w:eastAsia="Times New Roman" w:hAnsi="ITC Avant Garde" w:cstheme="minorHAnsi"/>
                <w:b w:val="0"/>
                <w:color w:val="000000" w:themeColor="text1"/>
                <w:sz w:val="18"/>
                <w:szCs w:val="16"/>
                <w:lang w:eastAsia="es-MX"/>
              </w:rPr>
              <w:t xml:space="preserve">La identificación como espectro libre de la banda de 60 GHz en México, y en otros países, ha atraído una cantidad considerable de inversión, la cual ha permitido la innovación, desarrollo e implementación de servicios y aplicaciones avanzadas, que van desde enlaces inalámbricos al aire libre - que amplían el alcance de las redes de fibra - hasta tecnologías de redes personales basadas en los estándares de </w:t>
            </w:r>
            <w:proofErr w:type="spellStart"/>
            <w:r w:rsidRPr="00AF1968">
              <w:rPr>
                <w:rFonts w:ascii="ITC Avant Garde" w:eastAsia="Times New Roman" w:hAnsi="ITC Avant Garde" w:cstheme="minorHAnsi"/>
                <w:b w:val="0"/>
                <w:color w:val="000000" w:themeColor="text1"/>
                <w:sz w:val="18"/>
                <w:szCs w:val="16"/>
                <w:lang w:eastAsia="es-MX"/>
              </w:rPr>
              <w:t>WiGig</w:t>
            </w:r>
            <w:proofErr w:type="spellEnd"/>
            <w:r w:rsidRPr="00AF1968">
              <w:rPr>
                <w:rFonts w:ascii="ITC Avant Garde" w:eastAsia="Times New Roman" w:hAnsi="ITC Avant Garde" w:cstheme="minorHAnsi"/>
                <w:b w:val="0"/>
                <w:color w:val="000000" w:themeColor="text1"/>
                <w:sz w:val="18"/>
                <w:szCs w:val="16"/>
                <w:lang w:eastAsia="es-MX"/>
              </w:rPr>
              <w:t xml:space="preserve"> IEEE 802.llad y 802.llay (que ofrecen velocidades </w:t>
            </w:r>
            <w:proofErr w:type="spellStart"/>
            <w:r w:rsidRPr="00AF1968">
              <w:rPr>
                <w:rFonts w:ascii="ITC Avant Garde" w:eastAsia="Times New Roman" w:hAnsi="ITC Avant Garde" w:cstheme="minorHAnsi"/>
                <w:b w:val="0"/>
                <w:color w:val="000000" w:themeColor="text1"/>
                <w:sz w:val="18"/>
                <w:szCs w:val="16"/>
                <w:lang w:eastAsia="es-MX"/>
              </w:rPr>
              <w:t>multi-gigabit</w:t>
            </w:r>
            <w:proofErr w:type="spellEnd"/>
            <w:r w:rsidRPr="00AF1968">
              <w:rPr>
                <w:rFonts w:ascii="ITC Avant Garde" w:eastAsia="Times New Roman" w:hAnsi="ITC Avant Garde" w:cstheme="minorHAnsi"/>
                <w:b w:val="0"/>
                <w:color w:val="000000" w:themeColor="text1"/>
                <w:sz w:val="18"/>
                <w:szCs w:val="16"/>
                <w:lang w:eastAsia="es-MX"/>
              </w:rPr>
              <w:t xml:space="preserve"> entre dispositivos). El estándar IEEE 802.llad permite velocidades de datos de hasta 8 Gbps en canales de 2,16 GHz. IEEE 802.llay amplía las capacidades del estándar </w:t>
            </w:r>
            <w:proofErr w:type="spellStart"/>
            <w:r w:rsidRPr="00AF1968">
              <w:rPr>
                <w:rFonts w:ascii="ITC Avant Garde" w:eastAsia="Times New Roman" w:hAnsi="ITC Avant Garde" w:cstheme="minorHAnsi"/>
                <w:b w:val="0"/>
                <w:color w:val="000000" w:themeColor="text1"/>
                <w:sz w:val="18"/>
                <w:szCs w:val="16"/>
                <w:lang w:eastAsia="es-MX"/>
              </w:rPr>
              <w:t>llad</w:t>
            </w:r>
            <w:proofErr w:type="spellEnd"/>
            <w:r w:rsidRPr="00AF1968">
              <w:rPr>
                <w:rFonts w:ascii="ITC Avant Garde" w:eastAsia="Times New Roman" w:hAnsi="ITC Avant Garde" w:cstheme="minorHAnsi"/>
                <w:b w:val="0"/>
                <w:color w:val="000000" w:themeColor="text1"/>
                <w:sz w:val="18"/>
                <w:szCs w:val="16"/>
                <w:lang w:eastAsia="es-MX"/>
              </w:rPr>
              <w:t xml:space="preserve"> a 200 Gbps, en canales de hasta 8,64 GHz. La Wi-Fi Alliance cuenta </w:t>
            </w:r>
            <w:r w:rsidRPr="00AF1968">
              <w:rPr>
                <w:rFonts w:ascii="ITC Avant Garde" w:eastAsia="Times New Roman" w:hAnsi="ITC Avant Garde" w:cstheme="minorHAnsi"/>
                <w:b w:val="0"/>
                <w:color w:val="000000" w:themeColor="text1"/>
                <w:sz w:val="18"/>
                <w:szCs w:val="16"/>
                <w:lang w:eastAsia="es-MX"/>
              </w:rPr>
              <w:lastRenderedPageBreak/>
              <w:t xml:space="preserve">con un programa de certificación </w:t>
            </w:r>
            <w:proofErr w:type="spellStart"/>
            <w:r w:rsidRPr="00AF1968">
              <w:rPr>
                <w:rFonts w:ascii="ITC Avant Garde" w:eastAsia="Times New Roman" w:hAnsi="ITC Avant Garde" w:cstheme="minorHAnsi"/>
                <w:b w:val="0"/>
                <w:color w:val="000000" w:themeColor="text1"/>
                <w:sz w:val="18"/>
                <w:szCs w:val="16"/>
                <w:lang w:eastAsia="es-MX"/>
              </w:rPr>
              <w:t>WiGig</w:t>
            </w:r>
            <w:proofErr w:type="spellEnd"/>
            <w:r w:rsidRPr="00AF1968">
              <w:rPr>
                <w:rFonts w:ascii="ITC Avant Garde" w:eastAsia="Times New Roman" w:hAnsi="ITC Avant Garde" w:cstheme="minorHAnsi"/>
                <w:b w:val="0"/>
                <w:color w:val="000000" w:themeColor="text1"/>
                <w:sz w:val="18"/>
                <w:szCs w:val="16"/>
                <w:lang w:eastAsia="es-MX"/>
              </w:rPr>
              <w:t xml:space="preserve"> en curso y está trabajando en la certificación de productos inalámbricos fijos de 60 GHz. La 3GPP, con amplia participación en la industria, también están avanzando en el desarrollo de SG NR para 60 GHz no licenciado. </w:t>
            </w:r>
          </w:p>
          <w:p w14:paraId="7B8A1674" w14:textId="77777777" w:rsidR="00D807DD" w:rsidRPr="00AF1968" w:rsidRDefault="00D807DD" w:rsidP="00AF1968">
            <w:pPr>
              <w:jc w:val="both"/>
              <w:rPr>
                <w:rFonts w:ascii="ITC Avant Garde" w:eastAsia="Times New Roman" w:hAnsi="ITC Avant Garde" w:cstheme="minorHAnsi"/>
                <w:b w:val="0"/>
                <w:color w:val="000000" w:themeColor="text1"/>
                <w:sz w:val="18"/>
                <w:szCs w:val="16"/>
                <w:lang w:eastAsia="es-MX"/>
              </w:rPr>
            </w:pPr>
          </w:p>
          <w:p w14:paraId="7B8C56AD" w14:textId="77777777" w:rsidR="00D807DD" w:rsidRPr="00AF1968" w:rsidRDefault="00D807DD" w:rsidP="00AF1968">
            <w:pPr>
              <w:jc w:val="both"/>
              <w:rPr>
                <w:rFonts w:ascii="ITC Avant Garde" w:eastAsia="Times New Roman" w:hAnsi="ITC Avant Garde" w:cstheme="minorHAnsi"/>
                <w:b w:val="0"/>
                <w:color w:val="000000" w:themeColor="text1"/>
                <w:sz w:val="18"/>
                <w:szCs w:val="16"/>
                <w:lang w:eastAsia="es-MX"/>
              </w:rPr>
            </w:pPr>
            <w:r w:rsidRPr="00AF1968">
              <w:rPr>
                <w:rFonts w:ascii="ITC Avant Garde" w:eastAsia="Times New Roman" w:hAnsi="ITC Avant Garde" w:cstheme="minorHAnsi"/>
                <w:b w:val="0"/>
                <w:color w:val="000000" w:themeColor="text1"/>
                <w:sz w:val="18"/>
                <w:szCs w:val="16"/>
                <w:lang w:eastAsia="es-MX"/>
              </w:rPr>
              <w:t xml:space="preserve">Aunque en la WRC-19, la parte superior de la banda de 60 GHz (66-71 GHz) fue designada para las IMT-2020, la nota 5.559AAA deja claro que la designación IMT no impide que la banda sea no licenciada para los casos de uso de </w:t>
            </w:r>
            <w:proofErr w:type="spellStart"/>
            <w:r w:rsidRPr="00AF1968">
              <w:rPr>
                <w:rFonts w:ascii="ITC Avant Garde" w:eastAsia="Times New Roman" w:hAnsi="ITC Avant Garde" w:cstheme="minorHAnsi"/>
                <w:b w:val="0"/>
                <w:color w:val="000000" w:themeColor="text1"/>
                <w:sz w:val="18"/>
                <w:szCs w:val="16"/>
                <w:lang w:eastAsia="es-MX"/>
              </w:rPr>
              <w:t>WiGig</w:t>
            </w:r>
            <w:proofErr w:type="spellEnd"/>
            <w:r w:rsidRPr="00AF1968">
              <w:rPr>
                <w:rFonts w:ascii="ITC Avant Garde" w:eastAsia="Times New Roman" w:hAnsi="ITC Avant Garde" w:cstheme="minorHAnsi"/>
                <w:b w:val="0"/>
                <w:color w:val="000000" w:themeColor="text1"/>
                <w:sz w:val="18"/>
                <w:szCs w:val="16"/>
                <w:lang w:eastAsia="es-MX"/>
              </w:rPr>
              <w:t>. La nota estipula que: "Esta identificación no excluye el uso de esta banda de frecuencias mediante la aplicación de los servicios a los que se asigna esta banda de frecuencia y no establece prioridad en el Reglamento de Radio. Se aplica la Resolución 241 (WRC-19)."</w:t>
            </w:r>
          </w:p>
          <w:p w14:paraId="51E61279" w14:textId="77777777" w:rsidR="00D807DD" w:rsidRPr="00AF1968" w:rsidRDefault="00D807DD" w:rsidP="00AF1968">
            <w:pPr>
              <w:jc w:val="both"/>
              <w:rPr>
                <w:rFonts w:ascii="ITC Avant Garde" w:eastAsia="Times New Roman" w:hAnsi="ITC Avant Garde" w:cstheme="minorHAnsi"/>
                <w:b w:val="0"/>
                <w:color w:val="000000" w:themeColor="text1"/>
                <w:sz w:val="18"/>
                <w:szCs w:val="16"/>
                <w:lang w:eastAsia="es-MX"/>
              </w:rPr>
            </w:pPr>
          </w:p>
          <w:p w14:paraId="5DFE5330" w14:textId="025F8DE4" w:rsidR="00D807DD" w:rsidRPr="00AF1968" w:rsidRDefault="00D807DD" w:rsidP="00AF1968">
            <w:pPr>
              <w:jc w:val="both"/>
              <w:rPr>
                <w:rFonts w:ascii="ITC Avant Garde" w:eastAsia="Times New Roman" w:hAnsi="ITC Avant Garde" w:cstheme="minorHAnsi"/>
                <w:b w:val="0"/>
                <w:color w:val="000000" w:themeColor="text1"/>
                <w:sz w:val="18"/>
                <w:szCs w:val="16"/>
                <w:lang w:eastAsia="es-MX"/>
              </w:rPr>
            </w:pPr>
            <w:r w:rsidRPr="00AF1968">
              <w:rPr>
                <w:rFonts w:ascii="ITC Avant Garde" w:eastAsia="Times New Roman" w:hAnsi="ITC Avant Garde" w:cstheme="minorHAnsi"/>
                <w:b w:val="0"/>
                <w:color w:val="000000" w:themeColor="text1"/>
                <w:sz w:val="18"/>
                <w:szCs w:val="16"/>
                <w:lang w:eastAsia="es-MX"/>
              </w:rPr>
              <w:t xml:space="preserve">Por lo tanto, recomendamos respetuosamente que la IFT considere, al igual que lo han hecho los Estados Unidos, Canadá, Europa y otros países, ampliar el </w:t>
            </w:r>
            <w:proofErr w:type="spellStart"/>
            <w:r w:rsidRPr="00AF1968">
              <w:rPr>
                <w:rFonts w:ascii="ITC Avant Garde" w:eastAsia="Times New Roman" w:hAnsi="ITC Avant Garde" w:cstheme="minorHAnsi"/>
                <w:b w:val="0"/>
                <w:color w:val="000000" w:themeColor="text1"/>
                <w:sz w:val="18"/>
                <w:szCs w:val="16"/>
                <w:lang w:eastAsia="es-MX"/>
              </w:rPr>
              <w:t>acces</w:t>
            </w:r>
            <w:proofErr w:type="spellEnd"/>
            <w:r w:rsidRPr="00AF1968">
              <w:rPr>
                <w:rFonts w:ascii="ITC Avant Garde" w:eastAsia="Times New Roman" w:hAnsi="ITC Avant Garde" w:cstheme="minorHAnsi"/>
                <w:b w:val="0"/>
                <w:color w:val="000000" w:themeColor="text1"/>
                <w:sz w:val="18"/>
                <w:szCs w:val="16"/>
                <w:lang w:eastAsia="es-MX"/>
              </w:rPr>
              <w:t xml:space="preserve"> e </w:t>
            </w:r>
            <w:proofErr w:type="spellStart"/>
            <w:r w:rsidRPr="00AF1968">
              <w:rPr>
                <w:rFonts w:ascii="ITC Avant Garde" w:eastAsia="Times New Roman" w:hAnsi="ITC Avant Garde" w:cstheme="minorHAnsi"/>
                <w:b w:val="0"/>
                <w:color w:val="000000" w:themeColor="text1"/>
                <w:sz w:val="18"/>
                <w:szCs w:val="16"/>
                <w:lang w:eastAsia="es-MX"/>
              </w:rPr>
              <w:t>us</w:t>
            </w:r>
            <w:proofErr w:type="spellEnd"/>
            <w:r w:rsidRPr="00AF1968">
              <w:rPr>
                <w:rFonts w:ascii="ITC Avant Garde" w:eastAsia="Times New Roman" w:hAnsi="ITC Avant Garde" w:cstheme="minorHAnsi"/>
                <w:b w:val="0"/>
                <w:color w:val="000000" w:themeColor="text1"/>
                <w:sz w:val="18"/>
                <w:szCs w:val="16"/>
                <w:lang w:eastAsia="es-MX"/>
              </w:rPr>
              <w:t xml:space="preserve"> libre de la </w:t>
            </w:r>
            <w:proofErr w:type="spellStart"/>
            <w:r w:rsidRPr="00AF1968">
              <w:rPr>
                <w:rFonts w:ascii="ITC Avant Garde" w:eastAsia="Times New Roman" w:hAnsi="ITC Avant Garde" w:cstheme="minorHAnsi"/>
                <w:b w:val="0"/>
                <w:color w:val="000000" w:themeColor="text1"/>
                <w:sz w:val="18"/>
                <w:szCs w:val="16"/>
                <w:lang w:eastAsia="es-MX"/>
              </w:rPr>
              <w:t>ba</w:t>
            </w:r>
            <w:proofErr w:type="spellEnd"/>
            <w:r w:rsidRPr="00AF1968">
              <w:rPr>
                <w:rFonts w:ascii="ITC Avant Garde" w:eastAsia="Times New Roman" w:hAnsi="ITC Avant Garde" w:cstheme="minorHAnsi"/>
                <w:b w:val="0"/>
                <w:color w:val="000000" w:themeColor="text1"/>
                <w:sz w:val="18"/>
                <w:szCs w:val="16"/>
                <w:lang w:eastAsia="es-MX"/>
              </w:rPr>
              <w:t xml:space="preserve"> e 60 GHz a la parte superior de la banda, es decir, de 66-71 GHz.</w:t>
            </w:r>
          </w:p>
        </w:tc>
        <w:tc>
          <w:tcPr>
            <w:tcW w:w="2493" w:type="pct"/>
            <w:gridSpan w:val="2"/>
            <w:vMerge/>
            <w:tcBorders>
              <w:left w:val="single" w:sz="4" w:space="0" w:color="A8D08D" w:themeColor="accent6" w:themeTint="99"/>
              <w:bottom w:val="single" w:sz="4" w:space="0" w:color="A8D08D" w:themeColor="accent6" w:themeTint="99"/>
            </w:tcBorders>
            <w:shd w:val="clear" w:color="auto" w:fill="auto"/>
            <w:vAlign w:val="center"/>
          </w:tcPr>
          <w:p w14:paraId="00CA4B02" w14:textId="77777777" w:rsidR="00D807DD" w:rsidRPr="00AF1968" w:rsidRDefault="00D807DD" w:rsidP="00AF1968">
            <w:pPr>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heme="minorHAnsi"/>
                <w:bCs/>
                <w:color w:val="000000" w:themeColor="text1"/>
                <w:sz w:val="18"/>
                <w:szCs w:val="16"/>
                <w:lang w:eastAsia="es-MX"/>
              </w:rPr>
            </w:pPr>
          </w:p>
        </w:tc>
      </w:tr>
    </w:tbl>
    <w:p w14:paraId="031BBE1B" w14:textId="77777777" w:rsidR="00585F73" w:rsidRDefault="00585F73" w:rsidP="004C4941">
      <w:pPr>
        <w:jc w:val="both"/>
        <w:rPr>
          <w:rFonts w:ascii="ITC Avant Garde" w:hAnsi="ITC Avant Garde"/>
          <w:color w:val="000000"/>
          <w:sz w:val="20"/>
          <w:szCs w:val="20"/>
          <w:shd w:val="clear" w:color="auto" w:fill="FFFFFF"/>
        </w:rPr>
      </w:pPr>
    </w:p>
    <w:sectPr w:rsidR="00585F73" w:rsidSect="008A2DF6">
      <w:pgSz w:w="15840" w:h="12240" w:orient="landscape"/>
      <w:pgMar w:top="1276" w:right="113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EE41" w14:textId="77777777" w:rsidR="00CC2829" w:rsidRDefault="00CC2829" w:rsidP="00E62709">
      <w:pPr>
        <w:spacing w:after="0" w:line="240" w:lineRule="auto"/>
      </w:pPr>
      <w:r>
        <w:separator/>
      </w:r>
    </w:p>
  </w:endnote>
  <w:endnote w:type="continuationSeparator" w:id="0">
    <w:p w14:paraId="107893C8" w14:textId="77777777" w:rsidR="00CC2829" w:rsidRDefault="00CC2829" w:rsidP="00E62709">
      <w:pPr>
        <w:spacing w:after="0" w:line="240" w:lineRule="auto"/>
      </w:pPr>
      <w:r>
        <w:continuationSeparator/>
      </w:r>
    </w:p>
  </w:endnote>
  <w:endnote w:type="continuationNotice" w:id="1">
    <w:p w14:paraId="72D64848" w14:textId="77777777" w:rsidR="00CC2829" w:rsidRDefault="00CC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B73F" w14:textId="77777777" w:rsidR="00CC2829" w:rsidRDefault="00CC2829" w:rsidP="00E62709">
      <w:pPr>
        <w:spacing w:after="0" w:line="240" w:lineRule="auto"/>
      </w:pPr>
      <w:r>
        <w:separator/>
      </w:r>
    </w:p>
  </w:footnote>
  <w:footnote w:type="continuationSeparator" w:id="0">
    <w:p w14:paraId="003EC907" w14:textId="77777777" w:rsidR="00CC2829" w:rsidRDefault="00CC2829" w:rsidP="00E62709">
      <w:pPr>
        <w:spacing w:after="0" w:line="240" w:lineRule="auto"/>
      </w:pPr>
      <w:r>
        <w:continuationSeparator/>
      </w:r>
    </w:p>
  </w:footnote>
  <w:footnote w:type="continuationNotice" w:id="1">
    <w:p w14:paraId="7C797FC5" w14:textId="77777777" w:rsidR="00CC2829" w:rsidRDefault="00CC2829">
      <w:pPr>
        <w:spacing w:after="0" w:line="240" w:lineRule="auto"/>
      </w:pPr>
    </w:p>
  </w:footnote>
  <w:footnote w:id="2">
    <w:p w14:paraId="05136274" w14:textId="0116C06E" w:rsidR="00F939ED" w:rsidRPr="00E62709" w:rsidRDefault="00F939ED">
      <w:pPr>
        <w:pStyle w:val="Textonotapie"/>
        <w:rPr>
          <w:rFonts w:ascii="ITC Avant Garde" w:hAnsi="ITC Avant Garde"/>
          <w:sz w:val="16"/>
          <w:szCs w:val="16"/>
        </w:rPr>
      </w:pPr>
      <w:r w:rsidRPr="00E62709">
        <w:rPr>
          <w:rStyle w:val="Refdenotaalpie"/>
          <w:rFonts w:ascii="ITC Avant Garde" w:hAnsi="ITC Avant Garde"/>
          <w:sz w:val="16"/>
          <w:szCs w:val="16"/>
        </w:rPr>
        <w:footnoteRef/>
      </w:r>
      <w:r w:rsidRPr="00E62709">
        <w:rPr>
          <w:rFonts w:ascii="ITC Avant Garde" w:hAnsi="ITC Avant Garde"/>
          <w:sz w:val="16"/>
          <w:szCs w:val="16"/>
        </w:rPr>
        <w:t xml:space="preserve"> Consultable en:</w:t>
      </w:r>
      <w:r>
        <w:rPr>
          <w:rFonts w:ascii="ITC Avant Garde" w:hAnsi="ITC Avant Garde"/>
          <w:sz w:val="16"/>
          <w:szCs w:val="16"/>
        </w:rPr>
        <w:t xml:space="preserve"> </w:t>
      </w:r>
      <w:r w:rsidRPr="00E62709">
        <w:rPr>
          <w:rFonts w:ascii="ITC Avant Garde" w:hAnsi="ITC Avant Garde"/>
          <w:sz w:val="16"/>
          <w:szCs w:val="16"/>
        </w:rPr>
        <w:t xml:space="preserve"> </w:t>
      </w:r>
      <w:hyperlink r:id="rId1" w:history="1">
        <w:r w:rsidRPr="00EF164D">
          <w:rPr>
            <w:rStyle w:val="Hipervnculo"/>
            <w:rFonts w:ascii="ITC Avant Garde" w:hAnsi="ITC Avant Garde"/>
            <w:sz w:val="16"/>
            <w:szCs w:val="16"/>
          </w:rPr>
          <w:t>http://www.ift.org.mx/industria/consultas-publicas/acuerdo-mediante-el-cual-el-pleno-del-ift-actualiza-el-acuerdo-mediante-el-cual-el-pleno-del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D29F2"/>
    <w:multiLevelType w:val="hybridMultilevel"/>
    <w:tmpl w:val="2F2AD246"/>
    <w:lvl w:ilvl="0" w:tplc="F9F0226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24390"/>
    <w:multiLevelType w:val="hybridMultilevel"/>
    <w:tmpl w:val="C42EB582"/>
    <w:lvl w:ilvl="0" w:tplc="C14E4E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86BAC"/>
    <w:multiLevelType w:val="hybridMultilevel"/>
    <w:tmpl w:val="F1C25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C04133"/>
    <w:multiLevelType w:val="hybridMultilevel"/>
    <w:tmpl w:val="E5E637B4"/>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55280"/>
    <w:multiLevelType w:val="hybridMultilevel"/>
    <w:tmpl w:val="66008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60F10"/>
    <w:multiLevelType w:val="hybridMultilevel"/>
    <w:tmpl w:val="B2109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E35D5A"/>
    <w:multiLevelType w:val="hybridMultilevel"/>
    <w:tmpl w:val="C42EB582"/>
    <w:lvl w:ilvl="0" w:tplc="C14E4E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3433"/>
    <w:multiLevelType w:val="hybridMultilevel"/>
    <w:tmpl w:val="0396F2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53205"/>
    <w:multiLevelType w:val="hybridMultilevel"/>
    <w:tmpl w:val="5A54E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4"/>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6" w:nlCheck="1" w:checkStyle="0"/>
  <w:activeWritingStyle w:appName="MSWord" w:lang="es-CO" w:vendorID="64" w:dllVersion="6" w:nlCheck="1" w:checkStyle="0"/>
  <w:activeWritingStyle w:appName="MSWord" w:lang="es-ES" w:vendorID="64" w:dllVersion="6" w:nlCheck="1" w:checkStyle="0"/>
  <w:activeWritingStyle w:appName="MSWord" w:lang="en-GB" w:vendorID="64" w:dllVersion="6" w:nlCheck="1" w:checkStyle="1"/>
  <w:activeWritingStyle w:appName="MSWord" w:lang="es-MX" w:vendorID="64" w:dllVersion="0"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0"/>
    <w:rsid w:val="000027E1"/>
    <w:rsid w:val="000029B9"/>
    <w:rsid w:val="00005C5A"/>
    <w:rsid w:val="0001196B"/>
    <w:rsid w:val="0001794F"/>
    <w:rsid w:val="000179CC"/>
    <w:rsid w:val="00022433"/>
    <w:rsid w:val="000248AD"/>
    <w:rsid w:val="00024A74"/>
    <w:rsid w:val="000254FB"/>
    <w:rsid w:val="0003237E"/>
    <w:rsid w:val="00034DEA"/>
    <w:rsid w:val="00037C1F"/>
    <w:rsid w:val="00041F6A"/>
    <w:rsid w:val="00043EAB"/>
    <w:rsid w:val="00046AC8"/>
    <w:rsid w:val="000503A9"/>
    <w:rsid w:val="000532A8"/>
    <w:rsid w:val="00055C46"/>
    <w:rsid w:val="00055F0E"/>
    <w:rsid w:val="00057E9D"/>
    <w:rsid w:val="00066131"/>
    <w:rsid w:val="00072645"/>
    <w:rsid w:val="0007663D"/>
    <w:rsid w:val="00076B21"/>
    <w:rsid w:val="00076FDC"/>
    <w:rsid w:val="00077DDC"/>
    <w:rsid w:val="00080333"/>
    <w:rsid w:val="00084DA4"/>
    <w:rsid w:val="00090ECF"/>
    <w:rsid w:val="0009274A"/>
    <w:rsid w:val="000959B1"/>
    <w:rsid w:val="000A225E"/>
    <w:rsid w:val="000A2C59"/>
    <w:rsid w:val="000A5962"/>
    <w:rsid w:val="000B1706"/>
    <w:rsid w:val="000C2646"/>
    <w:rsid w:val="000C27F1"/>
    <w:rsid w:val="000C3B82"/>
    <w:rsid w:val="000C400B"/>
    <w:rsid w:val="000C7171"/>
    <w:rsid w:val="000D4F3C"/>
    <w:rsid w:val="000E0235"/>
    <w:rsid w:val="000E0744"/>
    <w:rsid w:val="000E2097"/>
    <w:rsid w:val="000E2835"/>
    <w:rsid w:val="000E4E11"/>
    <w:rsid w:val="000E6776"/>
    <w:rsid w:val="000E69C0"/>
    <w:rsid w:val="000E7110"/>
    <w:rsid w:val="000F2B97"/>
    <w:rsid w:val="000F5E69"/>
    <w:rsid w:val="000F6C7B"/>
    <w:rsid w:val="00100DBA"/>
    <w:rsid w:val="001032CA"/>
    <w:rsid w:val="0010629E"/>
    <w:rsid w:val="00107960"/>
    <w:rsid w:val="00114C1E"/>
    <w:rsid w:val="00115250"/>
    <w:rsid w:val="001216FB"/>
    <w:rsid w:val="001222CE"/>
    <w:rsid w:val="00124CE4"/>
    <w:rsid w:val="00124EEE"/>
    <w:rsid w:val="00127AA4"/>
    <w:rsid w:val="001312B7"/>
    <w:rsid w:val="00131A5E"/>
    <w:rsid w:val="00132CD5"/>
    <w:rsid w:val="00134A82"/>
    <w:rsid w:val="00134BBD"/>
    <w:rsid w:val="00136FED"/>
    <w:rsid w:val="00141A22"/>
    <w:rsid w:val="00145C83"/>
    <w:rsid w:val="0014632C"/>
    <w:rsid w:val="0015542D"/>
    <w:rsid w:val="00155AA8"/>
    <w:rsid w:val="00157B1C"/>
    <w:rsid w:val="00164CF8"/>
    <w:rsid w:val="00166604"/>
    <w:rsid w:val="00171AC5"/>
    <w:rsid w:val="00173102"/>
    <w:rsid w:val="00175436"/>
    <w:rsid w:val="00175711"/>
    <w:rsid w:val="001775BF"/>
    <w:rsid w:val="00182AF1"/>
    <w:rsid w:val="0018312D"/>
    <w:rsid w:val="00185F86"/>
    <w:rsid w:val="00190E74"/>
    <w:rsid w:val="00191EBE"/>
    <w:rsid w:val="00196258"/>
    <w:rsid w:val="001A27ED"/>
    <w:rsid w:val="001A46E2"/>
    <w:rsid w:val="001A59A9"/>
    <w:rsid w:val="001A5F02"/>
    <w:rsid w:val="001A6A5C"/>
    <w:rsid w:val="001A7568"/>
    <w:rsid w:val="001B550F"/>
    <w:rsid w:val="001C06FA"/>
    <w:rsid w:val="001C5687"/>
    <w:rsid w:val="001D083A"/>
    <w:rsid w:val="001D08A5"/>
    <w:rsid w:val="001D56F2"/>
    <w:rsid w:val="001D6383"/>
    <w:rsid w:val="001D6A26"/>
    <w:rsid w:val="001E1C33"/>
    <w:rsid w:val="001F1489"/>
    <w:rsid w:val="001F3024"/>
    <w:rsid w:val="001F3DBE"/>
    <w:rsid w:val="001F5B9E"/>
    <w:rsid w:val="001F69EC"/>
    <w:rsid w:val="00202488"/>
    <w:rsid w:val="00205F12"/>
    <w:rsid w:val="00211313"/>
    <w:rsid w:val="00212AB5"/>
    <w:rsid w:val="00214D1A"/>
    <w:rsid w:val="00216ADD"/>
    <w:rsid w:val="002223D8"/>
    <w:rsid w:val="0022388E"/>
    <w:rsid w:val="00223CC4"/>
    <w:rsid w:val="00224BEE"/>
    <w:rsid w:val="0022658F"/>
    <w:rsid w:val="00227766"/>
    <w:rsid w:val="00234806"/>
    <w:rsid w:val="0024324B"/>
    <w:rsid w:val="00243E8B"/>
    <w:rsid w:val="00245497"/>
    <w:rsid w:val="00246ED8"/>
    <w:rsid w:val="00252850"/>
    <w:rsid w:val="002600FF"/>
    <w:rsid w:val="00263911"/>
    <w:rsid w:val="002642C0"/>
    <w:rsid w:val="00264DED"/>
    <w:rsid w:val="002672A5"/>
    <w:rsid w:val="00270E6D"/>
    <w:rsid w:val="0027119E"/>
    <w:rsid w:val="00274BE6"/>
    <w:rsid w:val="0028292B"/>
    <w:rsid w:val="0028564C"/>
    <w:rsid w:val="00290006"/>
    <w:rsid w:val="002925D2"/>
    <w:rsid w:val="002926B0"/>
    <w:rsid w:val="002A32C7"/>
    <w:rsid w:val="002A678A"/>
    <w:rsid w:val="002A67DB"/>
    <w:rsid w:val="002A7171"/>
    <w:rsid w:val="002B1455"/>
    <w:rsid w:val="002B3A3E"/>
    <w:rsid w:val="002B65D4"/>
    <w:rsid w:val="002C479A"/>
    <w:rsid w:val="002C666E"/>
    <w:rsid w:val="002D4752"/>
    <w:rsid w:val="002E21E7"/>
    <w:rsid w:val="002E30F8"/>
    <w:rsid w:val="002E39A8"/>
    <w:rsid w:val="002E3CC7"/>
    <w:rsid w:val="002E3DD6"/>
    <w:rsid w:val="002E3E72"/>
    <w:rsid w:val="002F11D2"/>
    <w:rsid w:val="002F1F41"/>
    <w:rsid w:val="002F279D"/>
    <w:rsid w:val="002F3CAF"/>
    <w:rsid w:val="002F5A54"/>
    <w:rsid w:val="002F7F32"/>
    <w:rsid w:val="003013A4"/>
    <w:rsid w:val="00301AE4"/>
    <w:rsid w:val="00320660"/>
    <w:rsid w:val="00320FC1"/>
    <w:rsid w:val="00321C6E"/>
    <w:rsid w:val="003233E9"/>
    <w:rsid w:val="003234E0"/>
    <w:rsid w:val="0032692C"/>
    <w:rsid w:val="00332919"/>
    <w:rsid w:val="00332B7E"/>
    <w:rsid w:val="00333071"/>
    <w:rsid w:val="003347AE"/>
    <w:rsid w:val="00335E61"/>
    <w:rsid w:val="00336B97"/>
    <w:rsid w:val="003429CA"/>
    <w:rsid w:val="00342B31"/>
    <w:rsid w:val="00345103"/>
    <w:rsid w:val="00346252"/>
    <w:rsid w:val="003463C7"/>
    <w:rsid w:val="003529DB"/>
    <w:rsid w:val="003655DB"/>
    <w:rsid w:val="00366FF8"/>
    <w:rsid w:val="0036708B"/>
    <w:rsid w:val="00367538"/>
    <w:rsid w:val="003722F2"/>
    <w:rsid w:val="00372B2B"/>
    <w:rsid w:val="00374264"/>
    <w:rsid w:val="003810BD"/>
    <w:rsid w:val="00381A29"/>
    <w:rsid w:val="0038277C"/>
    <w:rsid w:val="003827E9"/>
    <w:rsid w:val="003841D3"/>
    <w:rsid w:val="0038731A"/>
    <w:rsid w:val="0039333C"/>
    <w:rsid w:val="003940ED"/>
    <w:rsid w:val="00395DF3"/>
    <w:rsid w:val="00395F8E"/>
    <w:rsid w:val="003A0C8C"/>
    <w:rsid w:val="003A164F"/>
    <w:rsid w:val="003A2FCE"/>
    <w:rsid w:val="003A3DAC"/>
    <w:rsid w:val="003A49A0"/>
    <w:rsid w:val="003A7770"/>
    <w:rsid w:val="003B07B2"/>
    <w:rsid w:val="003B3D11"/>
    <w:rsid w:val="003C0C8A"/>
    <w:rsid w:val="003C0CBB"/>
    <w:rsid w:val="003C224B"/>
    <w:rsid w:val="003C3C65"/>
    <w:rsid w:val="003C500C"/>
    <w:rsid w:val="003C6820"/>
    <w:rsid w:val="003C75D4"/>
    <w:rsid w:val="003C7AFE"/>
    <w:rsid w:val="003D248A"/>
    <w:rsid w:val="003D496F"/>
    <w:rsid w:val="003D5A72"/>
    <w:rsid w:val="003E03BB"/>
    <w:rsid w:val="003E1F2F"/>
    <w:rsid w:val="003F099F"/>
    <w:rsid w:val="003F483F"/>
    <w:rsid w:val="003F7A29"/>
    <w:rsid w:val="004019FA"/>
    <w:rsid w:val="00402501"/>
    <w:rsid w:val="004046CD"/>
    <w:rsid w:val="004053DD"/>
    <w:rsid w:val="00406F01"/>
    <w:rsid w:val="00410274"/>
    <w:rsid w:val="00410B7B"/>
    <w:rsid w:val="00411175"/>
    <w:rsid w:val="004138AA"/>
    <w:rsid w:val="00417505"/>
    <w:rsid w:val="0042005B"/>
    <w:rsid w:val="0042275D"/>
    <w:rsid w:val="004234C8"/>
    <w:rsid w:val="0042745E"/>
    <w:rsid w:val="00430596"/>
    <w:rsid w:val="00432095"/>
    <w:rsid w:val="00433C55"/>
    <w:rsid w:val="004358D6"/>
    <w:rsid w:val="0043594C"/>
    <w:rsid w:val="00436127"/>
    <w:rsid w:val="0043779A"/>
    <w:rsid w:val="00440483"/>
    <w:rsid w:val="00442E7E"/>
    <w:rsid w:val="004430E6"/>
    <w:rsid w:val="0044341C"/>
    <w:rsid w:val="00444AC5"/>
    <w:rsid w:val="00446141"/>
    <w:rsid w:val="004509DF"/>
    <w:rsid w:val="0045163B"/>
    <w:rsid w:val="004552F6"/>
    <w:rsid w:val="004558C5"/>
    <w:rsid w:val="00461FB9"/>
    <w:rsid w:val="00463877"/>
    <w:rsid w:val="004645B6"/>
    <w:rsid w:val="00465F7F"/>
    <w:rsid w:val="004661F1"/>
    <w:rsid w:val="00470177"/>
    <w:rsid w:val="004710C2"/>
    <w:rsid w:val="004722EB"/>
    <w:rsid w:val="004730B8"/>
    <w:rsid w:val="00476E99"/>
    <w:rsid w:val="00485070"/>
    <w:rsid w:val="004877ED"/>
    <w:rsid w:val="00492A9C"/>
    <w:rsid w:val="00494259"/>
    <w:rsid w:val="004A38AD"/>
    <w:rsid w:val="004A3B58"/>
    <w:rsid w:val="004A4AF8"/>
    <w:rsid w:val="004B0FC6"/>
    <w:rsid w:val="004B3648"/>
    <w:rsid w:val="004C08D2"/>
    <w:rsid w:val="004C1564"/>
    <w:rsid w:val="004C2E06"/>
    <w:rsid w:val="004C4941"/>
    <w:rsid w:val="004C67D3"/>
    <w:rsid w:val="004C6CCC"/>
    <w:rsid w:val="004D05E1"/>
    <w:rsid w:val="004D176C"/>
    <w:rsid w:val="004D1F09"/>
    <w:rsid w:val="004D4616"/>
    <w:rsid w:val="004D4C0D"/>
    <w:rsid w:val="004D54AD"/>
    <w:rsid w:val="004D5E42"/>
    <w:rsid w:val="004E1436"/>
    <w:rsid w:val="004E183E"/>
    <w:rsid w:val="004E20A1"/>
    <w:rsid w:val="004E20C5"/>
    <w:rsid w:val="004E37E0"/>
    <w:rsid w:val="004F0BC1"/>
    <w:rsid w:val="004F1D58"/>
    <w:rsid w:val="004F371E"/>
    <w:rsid w:val="004F495B"/>
    <w:rsid w:val="004F4BC0"/>
    <w:rsid w:val="004F4CF4"/>
    <w:rsid w:val="004F7349"/>
    <w:rsid w:val="004F7F09"/>
    <w:rsid w:val="00501977"/>
    <w:rsid w:val="005069EC"/>
    <w:rsid w:val="005071F3"/>
    <w:rsid w:val="0050746A"/>
    <w:rsid w:val="00507B2B"/>
    <w:rsid w:val="00520AFB"/>
    <w:rsid w:val="00524EA3"/>
    <w:rsid w:val="0052595F"/>
    <w:rsid w:val="005317A9"/>
    <w:rsid w:val="0053200F"/>
    <w:rsid w:val="00534728"/>
    <w:rsid w:val="00534D75"/>
    <w:rsid w:val="00534F4B"/>
    <w:rsid w:val="00537026"/>
    <w:rsid w:val="00543614"/>
    <w:rsid w:val="00546F50"/>
    <w:rsid w:val="0054790A"/>
    <w:rsid w:val="005540DB"/>
    <w:rsid w:val="00554147"/>
    <w:rsid w:val="005548E8"/>
    <w:rsid w:val="00557864"/>
    <w:rsid w:val="005639C2"/>
    <w:rsid w:val="005640B5"/>
    <w:rsid w:val="00572DB3"/>
    <w:rsid w:val="00572E4F"/>
    <w:rsid w:val="00580979"/>
    <w:rsid w:val="00583398"/>
    <w:rsid w:val="00585F73"/>
    <w:rsid w:val="005875DA"/>
    <w:rsid w:val="00590DFC"/>
    <w:rsid w:val="00591E48"/>
    <w:rsid w:val="00593B54"/>
    <w:rsid w:val="005A1D0F"/>
    <w:rsid w:val="005A6E27"/>
    <w:rsid w:val="005A7F39"/>
    <w:rsid w:val="005B2EBA"/>
    <w:rsid w:val="005B54AF"/>
    <w:rsid w:val="005B5E67"/>
    <w:rsid w:val="005B601E"/>
    <w:rsid w:val="005B76D8"/>
    <w:rsid w:val="005B7A9F"/>
    <w:rsid w:val="005D207B"/>
    <w:rsid w:val="005D4618"/>
    <w:rsid w:val="005D7037"/>
    <w:rsid w:val="005E49EF"/>
    <w:rsid w:val="005E626B"/>
    <w:rsid w:val="005E677E"/>
    <w:rsid w:val="005E744F"/>
    <w:rsid w:val="005E7D64"/>
    <w:rsid w:val="005F0A21"/>
    <w:rsid w:val="005F5A8E"/>
    <w:rsid w:val="005F7980"/>
    <w:rsid w:val="0060168F"/>
    <w:rsid w:val="0060649E"/>
    <w:rsid w:val="00606517"/>
    <w:rsid w:val="00610995"/>
    <w:rsid w:val="00614354"/>
    <w:rsid w:val="00617320"/>
    <w:rsid w:val="00621994"/>
    <w:rsid w:val="00624D54"/>
    <w:rsid w:val="00633B1C"/>
    <w:rsid w:val="00640D16"/>
    <w:rsid w:val="006459C7"/>
    <w:rsid w:val="00646424"/>
    <w:rsid w:val="00647C22"/>
    <w:rsid w:val="0065095F"/>
    <w:rsid w:val="00650DC5"/>
    <w:rsid w:val="0065245D"/>
    <w:rsid w:val="00652475"/>
    <w:rsid w:val="00653ABC"/>
    <w:rsid w:val="006546EF"/>
    <w:rsid w:val="0065664F"/>
    <w:rsid w:val="0066040B"/>
    <w:rsid w:val="006633C1"/>
    <w:rsid w:val="00663E4E"/>
    <w:rsid w:val="006642F0"/>
    <w:rsid w:val="006657BB"/>
    <w:rsid w:val="00665BFF"/>
    <w:rsid w:val="006664E4"/>
    <w:rsid w:val="00666C01"/>
    <w:rsid w:val="00667F3C"/>
    <w:rsid w:val="006725AC"/>
    <w:rsid w:val="0068193D"/>
    <w:rsid w:val="00682933"/>
    <w:rsid w:val="00682D09"/>
    <w:rsid w:val="00683399"/>
    <w:rsid w:val="00684F57"/>
    <w:rsid w:val="00691596"/>
    <w:rsid w:val="0069286B"/>
    <w:rsid w:val="00692C5F"/>
    <w:rsid w:val="00695BBD"/>
    <w:rsid w:val="00696585"/>
    <w:rsid w:val="00696641"/>
    <w:rsid w:val="006979FE"/>
    <w:rsid w:val="00697DE1"/>
    <w:rsid w:val="006A1F4E"/>
    <w:rsid w:val="006A5C54"/>
    <w:rsid w:val="006A5C73"/>
    <w:rsid w:val="006A7CA1"/>
    <w:rsid w:val="006B3AD9"/>
    <w:rsid w:val="006B520E"/>
    <w:rsid w:val="006B6C5C"/>
    <w:rsid w:val="006C00D5"/>
    <w:rsid w:val="006C162C"/>
    <w:rsid w:val="006C5B67"/>
    <w:rsid w:val="006C6577"/>
    <w:rsid w:val="006C7228"/>
    <w:rsid w:val="006C7F47"/>
    <w:rsid w:val="006D6ECD"/>
    <w:rsid w:val="006D7029"/>
    <w:rsid w:val="006E0198"/>
    <w:rsid w:val="006E37CA"/>
    <w:rsid w:val="006E4B26"/>
    <w:rsid w:val="006F0B1B"/>
    <w:rsid w:val="006F0CA6"/>
    <w:rsid w:val="006F2C89"/>
    <w:rsid w:val="006F3919"/>
    <w:rsid w:val="006F70E4"/>
    <w:rsid w:val="00700D6D"/>
    <w:rsid w:val="0070184D"/>
    <w:rsid w:val="007026EF"/>
    <w:rsid w:val="00715E42"/>
    <w:rsid w:val="007161D5"/>
    <w:rsid w:val="00716726"/>
    <w:rsid w:val="007225D0"/>
    <w:rsid w:val="007236DF"/>
    <w:rsid w:val="0072769D"/>
    <w:rsid w:val="00731A0F"/>
    <w:rsid w:val="00734C8C"/>
    <w:rsid w:val="007423A2"/>
    <w:rsid w:val="00745708"/>
    <w:rsid w:val="0074721E"/>
    <w:rsid w:val="00752F09"/>
    <w:rsid w:val="007567D5"/>
    <w:rsid w:val="00760413"/>
    <w:rsid w:val="00762EBA"/>
    <w:rsid w:val="007750BB"/>
    <w:rsid w:val="007751EB"/>
    <w:rsid w:val="00775918"/>
    <w:rsid w:val="00776E04"/>
    <w:rsid w:val="0077720A"/>
    <w:rsid w:val="00780CEC"/>
    <w:rsid w:val="00783130"/>
    <w:rsid w:val="0079183E"/>
    <w:rsid w:val="007A0ACD"/>
    <w:rsid w:val="007A1C03"/>
    <w:rsid w:val="007A2EFE"/>
    <w:rsid w:val="007A5707"/>
    <w:rsid w:val="007A6705"/>
    <w:rsid w:val="007B0086"/>
    <w:rsid w:val="007B46BB"/>
    <w:rsid w:val="007B4E52"/>
    <w:rsid w:val="007B64FA"/>
    <w:rsid w:val="007C5FB5"/>
    <w:rsid w:val="007D4CA8"/>
    <w:rsid w:val="007D6A4F"/>
    <w:rsid w:val="007E1377"/>
    <w:rsid w:val="007E4D98"/>
    <w:rsid w:val="007E5DB4"/>
    <w:rsid w:val="007E6E50"/>
    <w:rsid w:val="007F3647"/>
    <w:rsid w:val="007F3D8E"/>
    <w:rsid w:val="007F46B5"/>
    <w:rsid w:val="007F5B46"/>
    <w:rsid w:val="007F6EBE"/>
    <w:rsid w:val="008010BE"/>
    <w:rsid w:val="008048E0"/>
    <w:rsid w:val="00806676"/>
    <w:rsid w:val="00806CE2"/>
    <w:rsid w:val="00807B2A"/>
    <w:rsid w:val="00811657"/>
    <w:rsid w:val="00813778"/>
    <w:rsid w:val="0082568B"/>
    <w:rsid w:val="00835C6F"/>
    <w:rsid w:val="008368B8"/>
    <w:rsid w:val="00836C0F"/>
    <w:rsid w:val="00837493"/>
    <w:rsid w:val="00837AFE"/>
    <w:rsid w:val="00847D5B"/>
    <w:rsid w:val="00850973"/>
    <w:rsid w:val="00853A23"/>
    <w:rsid w:val="00856BFB"/>
    <w:rsid w:val="00857E2F"/>
    <w:rsid w:val="00862247"/>
    <w:rsid w:val="008752D5"/>
    <w:rsid w:val="00875D37"/>
    <w:rsid w:val="00880FF5"/>
    <w:rsid w:val="00881D8E"/>
    <w:rsid w:val="00881EDC"/>
    <w:rsid w:val="00882A08"/>
    <w:rsid w:val="00884391"/>
    <w:rsid w:val="00886D19"/>
    <w:rsid w:val="0088712D"/>
    <w:rsid w:val="00891D82"/>
    <w:rsid w:val="00896D14"/>
    <w:rsid w:val="00897EEB"/>
    <w:rsid w:val="008A0048"/>
    <w:rsid w:val="008A1BD4"/>
    <w:rsid w:val="008A2DF6"/>
    <w:rsid w:val="008A5D46"/>
    <w:rsid w:val="008B2CC5"/>
    <w:rsid w:val="008B4C2D"/>
    <w:rsid w:val="008C16CF"/>
    <w:rsid w:val="008C1F82"/>
    <w:rsid w:val="008C361D"/>
    <w:rsid w:val="008C3670"/>
    <w:rsid w:val="008C4409"/>
    <w:rsid w:val="008C6961"/>
    <w:rsid w:val="008D6904"/>
    <w:rsid w:val="008E17C5"/>
    <w:rsid w:val="008E3BFD"/>
    <w:rsid w:val="008E583B"/>
    <w:rsid w:val="008E7AFC"/>
    <w:rsid w:val="008F2266"/>
    <w:rsid w:val="008F2D72"/>
    <w:rsid w:val="008F5434"/>
    <w:rsid w:val="008F64D2"/>
    <w:rsid w:val="008F655D"/>
    <w:rsid w:val="00903952"/>
    <w:rsid w:val="00903A91"/>
    <w:rsid w:val="009108EB"/>
    <w:rsid w:val="009112D0"/>
    <w:rsid w:val="009123BB"/>
    <w:rsid w:val="00913CBC"/>
    <w:rsid w:val="00914E56"/>
    <w:rsid w:val="00915BEF"/>
    <w:rsid w:val="0091784E"/>
    <w:rsid w:val="00921578"/>
    <w:rsid w:val="009231A5"/>
    <w:rsid w:val="00923C62"/>
    <w:rsid w:val="00924C57"/>
    <w:rsid w:val="009260A8"/>
    <w:rsid w:val="00926DAD"/>
    <w:rsid w:val="00933B94"/>
    <w:rsid w:val="009342F1"/>
    <w:rsid w:val="00937AF2"/>
    <w:rsid w:val="0094064F"/>
    <w:rsid w:val="0094759F"/>
    <w:rsid w:val="00947E99"/>
    <w:rsid w:val="00950E1A"/>
    <w:rsid w:val="009519F4"/>
    <w:rsid w:val="009530AC"/>
    <w:rsid w:val="00953E4C"/>
    <w:rsid w:val="009560A7"/>
    <w:rsid w:val="00963AAD"/>
    <w:rsid w:val="0096476A"/>
    <w:rsid w:val="0096488A"/>
    <w:rsid w:val="009652A2"/>
    <w:rsid w:val="009659FA"/>
    <w:rsid w:val="00965A85"/>
    <w:rsid w:val="0097003D"/>
    <w:rsid w:val="00970316"/>
    <w:rsid w:val="009703C1"/>
    <w:rsid w:val="00971DFB"/>
    <w:rsid w:val="0097268F"/>
    <w:rsid w:val="009753BE"/>
    <w:rsid w:val="0098201E"/>
    <w:rsid w:val="00984FCE"/>
    <w:rsid w:val="009858E2"/>
    <w:rsid w:val="00987E58"/>
    <w:rsid w:val="00990E1D"/>
    <w:rsid w:val="009A16DD"/>
    <w:rsid w:val="009A1CAF"/>
    <w:rsid w:val="009A2911"/>
    <w:rsid w:val="009A3710"/>
    <w:rsid w:val="009A5F81"/>
    <w:rsid w:val="009B1CEC"/>
    <w:rsid w:val="009B5D4C"/>
    <w:rsid w:val="009B7DB5"/>
    <w:rsid w:val="009C0146"/>
    <w:rsid w:val="009C2617"/>
    <w:rsid w:val="009C3478"/>
    <w:rsid w:val="009C3579"/>
    <w:rsid w:val="009C6898"/>
    <w:rsid w:val="009D1AD1"/>
    <w:rsid w:val="009D2C1A"/>
    <w:rsid w:val="009D7178"/>
    <w:rsid w:val="009E1E09"/>
    <w:rsid w:val="009E58DC"/>
    <w:rsid w:val="009F0089"/>
    <w:rsid w:val="009F040C"/>
    <w:rsid w:val="009F08CA"/>
    <w:rsid w:val="009F2599"/>
    <w:rsid w:val="009F2A0E"/>
    <w:rsid w:val="009F6ACB"/>
    <w:rsid w:val="00A01674"/>
    <w:rsid w:val="00A057FF"/>
    <w:rsid w:val="00A101D4"/>
    <w:rsid w:val="00A12111"/>
    <w:rsid w:val="00A12BFA"/>
    <w:rsid w:val="00A15444"/>
    <w:rsid w:val="00A17905"/>
    <w:rsid w:val="00A17B92"/>
    <w:rsid w:val="00A216A8"/>
    <w:rsid w:val="00A21C65"/>
    <w:rsid w:val="00A21E42"/>
    <w:rsid w:val="00A22EDF"/>
    <w:rsid w:val="00A27948"/>
    <w:rsid w:val="00A27FA0"/>
    <w:rsid w:val="00A30A0D"/>
    <w:rsid w:val="00A315F2"/>
    <w:rsid w:val="00A43489"/>
    <w:rsid w:val="00A4496E"/>
    <w:rsid w:val="00A44BFD"/>
    <w:rsid w:val="00A45EA6"/>
    <w:rsid w:val="00A54B03"/>
    <w:rsid w:val="00A73240"/>
    <w:rsid w:val="00A75563"/>
    <w:rsid w:val="00A760E9"/>
    <w:rsid w:val="00A77DBB"/>
    <w:rsid w:val="00A80B88"/>
    <w:rsid w:val="00A855CE"/>
    <w:rsid w:val="00A870CC"/>
    <w:rsid w:val="00A8756E"/>
    <w:rsid w:val="00A90C52"/>
    <w:rsid w:val="00A92C51"/>
    <w:rsid w:val="00A95410"/>
    <w:rsid w:val="00AA0D0A"/>
    <w:rsid w:val="00AA1488"/>
    <w:rsid w:val="00AA649D"/>
    <w:rsid w:val="00AA649E"/>
    <w:rsid w:val="00AA6E4B"/>
    <w:rsid w:val="00AA6EE6"/>
    <w:rsid w:val="00AB3BED"/>
    <w:rsid w:val="00AB58F4"/>
    <w:rsid w:val="00AB5DCD"/>
    <w:rsid w:val="00AB6034"/>
    <w:rsid w:val="00AD13DF"/>
    <w:rsid w:val="00AD2D6E"/>
    <w:rsid w:val="00AD3819"/>
    <w:rsid w:val="00AD4451"/>
    <w:rsid w:val="00AD7436"/>
    <w:rsid w:val="00AE2228"/>
    <w:rsid w:val="00AE5021"/>
    <w:rsid w:val="00AE751B"/>
    <w:rsid w:val="00AE7ACA"/>
    <w:rsid w:val="00AE7CF8"/>
    <w:rsid w:val="00AF1968"/>
    <w:rsid w:val="00AF6EEB"/>
    <w:rsid w:val="00B034DA"/>
    <w:rsid w:val="00B0367D"/>
    <w:rsid w:val="00B069FC"/>
    <w:rsid w:val="00B07420"/>
    <w:rsid w:val="00B1109E"/>
    <w:rsid w:val="00B15F21"/>
    <w:rsid w:val="00B21935"/>
    <w:rsid w:val="00B27184"/>
    <w:rsid w:val="00B305B3"/>
    <w:rsid w:val="00B32119"/>
    <w:rsid w:val="00B45A3E"/>
    <w:rsid w:val="00B54DE6"/>
    <w:rsid w:val="00B55E02"/>
    <w:rsid w:val="00B57C97"/>
    <w:rsid w:val="00B60FB6"/>
    <w:rsid w:val="00B63A32"/>
    <w:rsid w:val="00B651A0"/>
    <w:rsid w:val="00B67120"/>
    <w:rsid w:val="00B71504"/>
    <w:rsid w:val="00B71958"/>
    <w:rsid w:val="00B71A6B"/>
    <w:rsid w:val="00B72C19"/>
    <w:rsid w:val="00B73A7D"/>
    <w:rsid w:val="00B73F38"/>
    <w:rsid w:val="00B76AA3"/>
    <w:rsid w:val="00B774B5"/>
    <w:rsid w:val="00B80402"/>
    <w:rsid w:val="00B817AC"/>
    <w:rsid w:val="00B87AB5"/>
    <w:rsid w:val="00B909A6"/>
    <w:rsid w:val="00B935CD"/>
    <w:rsid w:val="00B93D11"/>
    <w:rsid w:val="00B9546E"/>
    <w:rsid w:val="00BA1EC1"/>
    <w:rsid w:val="00BA4CA3"/>
    <w:rsid w:val="00BA757F"/>
    <w:rsid w:val="00BA7DFD"/>
    <w:rsid w:val="00BB0164"/>
    <w:rsid w:val="00BB0576"/>
    <w:rsid w:val="00BB2F18"/>
    <w:rsid w:val="00BB2F29"/>
    <w:rsid w:val="00BB4C28"/>
    <w:rsid w:val="00BC2096"/>
    <w:rsid w:val="00BC3710"/>
    <w:rsid w:val="00BC39E4"/>
    <w:rsid w:val="00BC47BE"/>
    <w:rsid w:val="00BC5D6B"/>
    <w:rsid w:val="00BD0257"/>
    <w:rsid w:val="00BD034B"/>
    <w:rsid w:val="00BD04EE"/>
    <w:rsid w:val="00BD0645"/>
    <w:rsid w:val="00BD2D9A"/>
    <w:rsid w:val="00BD5000"/>
    <w:rsid w:val="00BD544C"/>
    <w:rsid w:val="00BD6842"/>
    <w:rsid w:val="00BE134C"/>
    <w:rsid w:val="00BF01FB"/>
    <w:rsid w:val="00BF17C7"/>
    <w:rsid w:val="00C0575A"/>
    <w:rsid w:val="00C10CAA"/>
    <w:rsid w:val="00C111E5"/>
    <w:rsid w:val="00C163E1"/>
    <w:rsid w:val="00C24315"/>
    <w:rsid w:val="00C33C17"/>
    <w:rsid w:val="00C359C8"/>
    <w:rsid w:val="00C36060"/>
    <w:rsid w:val="00C36B63"/>
    <w:rsid w:val="00C370B1"/>
    <w:rsid w:val="00C4187F"/>
    <w:rsid w:val="00C43E3F"/>
    <w:rsid w:val="00C447C7"/>
    <w:rsid w:val="00C45F9B"/>
    <w:rsid w:val="00C5341F"/>
    <w:rsid w:val="00C55BCF"/>
    <w:rsid w:val="00C56520"/>
    <w:rsid w:val="00C57F78"/>
    <w:rsid w:val="00C620CD"/>
    <w:rsid w:val="00C644EB"/>
    <w:rsid w:val="00C64A09"/>
    <w:rsid w:val="00C655FB"/>
    <w:rsid w:val="00C65EFF"/>
    <w:rsid w:val="00C73A12"/>
    <w:rsid w:val="00C7488D"/>
    <w:rsid w:val="00C77278"/>
    <w:rsid w:val="00C83667"/>
    <w:rsid w:val="00C865F5"/>
    <w:rsid w:val="00C87B79"/>
    <w:rsid w:val="00C87CF4"/>
    <w:rsid w:val="00C904E7"/>
    <w:rsid w:val="00C9183E"/>
    <w:rsid w:val="00C968EC"/>
    <w:rsid w:val="00C96960"/>
    <w:rsid w:val="00CA1181"/>
    <w:rsid w:val="00CA4478"/>
    <w:rsid w:val="00CA6FB4"/>
    <w:rsid w:val="00CA7C48"/>
    <w:rsid w:val="00CA7EEC"/>
    <w:rsid w:val="00CB079D"/>
    <w:rsid w:val="00CB2AB8"/>
    <w:rsid w:val="00CB35AB"/>
    <w:rsid w:val="00CB775D"/>
    <w:rsid w:val="00CC1D14"/>
    <w:rsid w:val="00CC2829"/>
    <w:rsid w:val="00CC43DA"/>
    <w:rsid w:val="00CC75A2"/>
    <w:rsid w:val="00CC7E91"/>
    <w:rsid w:val="00CD755A"/>
    <w:rsid w:val="00CE1E9A"/>
    <w:rsid w:val="00CE47AA"/>
    <w:rsid w:val="00CE543A"/>
    <w:rsid w:val="00CE7BFF"/>
    <w:rsid w:val="00CF04C9"/>
    <w:rsid w:val="00CF13DB"/>
    <w:rsid w:val="00CF413D"/>
    <w:rsid w:val="00CF4AB6"/>
    <w:rsid w:val="00D001A9"/>
    <w:rsid w:val="00D02947"/>
    <w:rsid w:val="00D0776C"/>
    <w:rsid w:val="00D14E5F"/>
    <w:rsid w:val="00D1591A"/>
    <w:rsid w:val="00D20A93"/>
    <w:rsid w:val="00D26128"/>
    <w:rsid w:val="00D31D82"/>
    <w:rsid w:val="00D345AB"/>
    <w:rsid w:val="00D42AB3"/>
    <w:rsid w:val="00D44A9D"/>
    <w:rsid w:val="00D55251"/>
    <w:rsid w:val="00D5593C"/>
    <w:rsid w:val="00D56581"/>
    <w:rsid w:val="00D57AC1"/>
    <w:rsid w:val="00D606F0"/>
    <w:rsid w:val="00D6316F"/>
    <w:rsid w:val="00D732A8"/>
    <w:rsid w:val="00D73CAC"/>
    <w:rsid w:val="00D762F3"/>
    <w:rsid w:val="00D76F9D"/>
    <w:rsid w:val="00D76FC2"/>
    <w:rsid w:val="00D7780A"/>
    <w:rsid w:val="00D807DD"/>
    <w:rsid w:val="00D80C18"/>
    <w:rsid w:val="00D9191B"/>
    <w:rsid w:val="00D96FA2"/>
    <w:rsid w:val="00DA0573"/>
    <w:rsid w:val="00DA1A37"/>
    <w:rsid w:val="00DA1F58"/>
    <w:rsid w:val="00DA2376"/>
    <w:rsid w:val="00DA2930"/>
    <w:rsid w:val="00DA3F91"/>
    <w:rsid w:val="00DA49C9"/>
    <w:rsid w:val="00DA55D3"/>
    <w:rsid w:val="00DA70D2"/>
    <w:rsid w:val="00DB6A14"/>
    <w:rsid w:val="00DC0021"/>
    <w:rsid w:val="00DC1A43"/>
    <w:rsid w:val="00DC3CC3"/>
    <w:rsid w:val="00DC44AA"/>
    <w:rsid w:val="00DC44C3"/>
    <w:rsid w:val="00DC52D8"/>
    <w:rsid w:val="00DC6338"/>
    <w:rsid w:val="00DD0CED"/>
    <w:rsid w:val="00DD22D8"/>
    <w:rsid w:val="00DD2662"/>
    <w:rsid w:val="00DD6022"/>
    <w:rsid w:val="00DE2758"/>
    <w:rsid w:val="00DE2A83"/>
    <w:rsid w:val="00DE5520"/>
    <w:rsid w:val="00DF0BA2"/>
    <w:rsid w:val="00DF1B90"/>
    <w:rsid w:val="00DF33DC"/>
    <w:rsid w:val="00DF5269"/>
    <w:rsid w:val="00E00186"/>
    <w:rsid w:val="00E01AB7"/>
    <w:rsid w:val="00E03B5F"/>
    <w:rsid w:val="00E03B67"/>
    <w:rsid w:val="00E07DE0"/>
    <w:rsid w:val="00E10874"/>
    <w:rsid w:val="00E10B8B"/>
    <w:rsid w:val="00E117FE"/>
    <w:rsid w:val="00E118CB"/>
    <w:rsid w:val="00E12EEF"/>
    <w:rsid w:val="00E17521"/>
    <w:rsid w:val="00E2153D"/>
    <w:rsid w:val="00E241CC"/>
    <w:rsid w:val="00E256D7"/>
    <w:rsid w:val="00E32B1F"/>
    <w:rsid w:val="00E33BC0"/>
    <w:rsid w:val="00E368E7"/>
    <w:rsid w:val="00E403AB"/>
    <w:rsid w:val="00E44A41"/>
    <w:rsid w:val="00E45581"/>
    <w:rsid w:val="00E46CA1"/>
    <w:rsid w:val="00E47E3B"/>
    <w:rsid w:val="00E507D2"/>
    <w:rsid w:val="00E50F56"/>
    <w:rsid w:val="00E62709"/>
    <w:rsid w:val="00E643FE"/>
    <w:rsid w:val="00E65CF1"/>
    <w:rsid w:val="00E66004"/>
    <w:rsid w:val="00E676F5"/>
    <w:rsid w:val="00E7308E"/>
    <w:rsid w:val="00E73F08"/>
    <w:rsid w:val="00E76D55"/>
    <w:rsid w:val="00E7719D"/>
    <w:rsid w:val="00E835EB"/>
    <w:rsid w:val="00E8533A"/>
    <w:rsid w:val="00E8649F"/>
    <w:rsid w:val="00E8700B"/>
    <w:rsid w:val="00E901DE"/>
    <w:rsid w:val="00E90E25"/>
    <w:rsid w:val="00E91376"/>
    <w:rsid w:val="00E91FB4"/>
    <w:rsid w:val="00E92C9E"/>
    <w:rsid w:val="00E9637A"/>
    <w:rsid w:val="00E96A1D"/>
    <w:rsid w:val="00E96F32"/>
    <w:rsid w:val="00E97B40"/>
    <w:rsid w:val="00EA23D2"/>
    <w:rsid w:val="00EA4131"/>
    <w:rsid w:val="00EA519C"/>
    <w:rsid w:val="00EA7C58"/>
    <w:rsid w:val="00EB06AD"/>
    <w:rsid w:val="00EB1DA3"/>
    <w:rsid w:val="00EB3F40"/>
    <w:rsid w:val="00EB58AD"/>
    <w:rsid w:val="00EB799A"/>
    <w:rsid w:val="00EC34A3"/>
    <w:rsid w:val="00EC49EF"/>
    <w:rsid w:val="00ED007E"/>
    <w:rsid w:val="00ED34B1"/>
    <w:rsid w:val="00ED3C11"/>
    <w:rsid w:val="00ED3C8B"/>
    <w:rsid w:val="00ED5819"/>
    <w:rsid w:val="00ED5BC3"/>
    <w:rsid w:val="00ED5F40"/>
    <w:rsid w:val="00ED60DB"/>
    <w:rsid w:val="00ED72EA"/>
    <w:rsid w:val="00EE0752"/>
    <w:rsid w:val="00EF0CEF"/>
    <w:rsid w:val="00EF164D"/>
    <w:rsid w:val="00EF2BA4"/>
    <w:rsid w:val="00EF4244"/>
    <w:rsid w:val="00F00FA2"/>
    <w:rsid w:val="00F011BB"/>
    <w:rsid w:val="00F0773C"/>
    <w:rsid w:val="00F07858"/>
    <w:rsid w:val="00F10026"/>
    <w:rsid w:val="00F11712"/>
    <w:rsid w:val="00F13C4E"/>
    <w:rsid w:val="00F142B5"/>
    <w:rsid w:val="00F16025"/>
    <w:rsid w:val="00F169DF"/>
    <w:rsid w:val="00F2043D"/>
    <w:rsid w:val="00F21715"/>
    <w:rsid w:val="00F23146"/>
    <w:rsid w:val="00F27EF3"/>
    <w:rsid w:val="00F30E49"/>
    <w:rsid w:val="00F30EE9"/>
    <w:rsid w:val="00F361CD"/>
    <w:rsid w:val="00F37A71"/>
    <w:rsid w:val="00F4318F"/>
    <w:rsid w:val="00F434F3"/>
    <w:rsid w:val="00F44B75"/>
    <w:rsid w:val="00F57CB2"/>
    <w:rsid w:val="00F622C4"/>
    <w:rsid w:val="00F667B4"/>
    <w:rsid w:val="00F70ED4"/>
    <w:rsid w:val="00F71AB7"/>
    <w:rsid w:val="00F74677"/>
    <w:rsid w:val="00F74CD5"/>
    <w:rsid w:val="00F76A92"/>
    <w:rsid w:val="00F77FA9"/>
    <w:rsid w:val="00F80938"/>
    <w:rsid w:val="00F811F5"/>
    <w:rsid w:val="00F82117"/>
    <w:rsid w:val="00F8241A"/>
    <w:rsid w:val="00F84F0B"/>
    <w:rsid w:val="00F865BF"/>
    <w:rsid w:val="00F92C7D"/>
    <w:rsid w:val="00F939ED"/>
    <w:rsid w:val="00F978E7"/>
    <w:rsid w:val="00FA144A"/>
    <w:rsid w:val="00FA1870"/>
    <w:rsid w:val="00FB2B1D"/>
    <w:rsid w:val="00FB5129"/>
    <w:rsid w:val="00FC1347"/>
    <w:rsid w:val="00FC1A64"/>
    <w:rsid w:val="00FC3D92"/>
    <w:rsid w:val="00FC6F0F"/>
    <w:rsid w:val="00FD49BA"/>
    <w:rsid w:val="00FE251D"/>
    <w:rsid w:val="00FE31AA"/>
    <w:rsid w:val="00FE4E54"/>
    <w:rsid w:val="00FE7A75"/>
    <w:rsid w:val="00FF16C4"/>
    <w:rsid w:val="00FF3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CEFD"/>
  <w15:chartTrackingRefBased/>
  <w15:docId w15:val="{5AE30967-ED5E-4C3C-ACF7-B0B620D4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904"/>
    <w:pPr>
      <w:ind w:left="720"/>
      <w:contextualSpacing/>
    </w:pPr>
  </w:style>
  <w:style w:type="character" w:styleId="Textoennegrita">
    <w:name w:val="Strong"/>
    <w:basedOn w:val="Fuentedeprrafopredeter"/>
    <w:uiPriority w:val="22"/>
    <w:qFormat/>
    <w:rsid w:val="009F0089"/>
    <w:rPr>
      <w:b/>
      <w:bCs/>
    </w:rPr>
  </w:style>
  <w:style w:type="character" w:styleId="Hipervnculo">
    <w:name w:val="Hyperlink"/>
    <w:basedOn w:val="Fuentedeprrafopredeter"/>
    <w:uiPriority w:val="99"/>
    <w:unhideWhenUsed/>
    <w:rsid w:val="00AD13DF"/>
    <w:rPr>
      <w:color w:val="0563C1" w:themeColor="hyperlink"/>
      <w:u w:val="single"/>
    </w:rPr>
  </w:style>
  <w:style w:type="paragraph" w:styleId="Textonotapie">
    <w:name w:val="footnote text"/>
    <w:basedOn w:val="Normal"/>
    <w:link w:val="TextonotapieCar"/>
    <w:uiPriority w:val="99"/>
    <w:semiHidden/>
    <w:unhideWhenUsed/>
    <w:rsid w:val="00E627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70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E62709"/>
    <w:rPr>
      <w:vertAlign w:val="superscript"/>
    </w:rPr>
  </w:style>
  <w:style w:type="table" w:styleId="Tabladelista4-nfasis6">
    <w:name w:val="List Table 4 Accent 6"/>
    <w:basedOn w:val="Tablanormal"/>
    <w:uiPriority w:val="49"/>
    <w:rsid w:val="00E835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15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250"/>
  </w:style>
  <w:style w:type="paragraph" w:styleId="Piedepgina">
    <w:name w:val="footer"/>
    <w:basedOn w:val="Normal"/>
    <w:link w:val="PiedepginaCar"/>
    <w:uiPriority w:val="99"/>
    <w:unhideWhenUsed/>
    <w:rsid w:val="00115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250"/>
  </w:style>
  <w:style w:type="table" w:styleId="Tablaconcuadrcula">
    <w:name w:val="Table Grid"/>
    <w:basedOn w:val="Tablanormal"/>
    <w:uiPriority w:val="39"/>
    <w:rsid w:val="0011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30596"/>
    <w:pPr>
      <w:spacing w:after="0" w:line="240" w:lineRule="auto"/>
      <w:jc w:val="center"/>
    </w:pPr>
    <w:rPr>
      <w:rFonts w:ascii="ITC Avant Garde" w:hAnsi="ITC Avant Garde"/>
      <w:b/>
      <w:i/>
      <w:iCs/>
      <w:color w:val="70AD47" w:themeColor="accent6"/>
      <w:sz w:val="18"/>
      <w:szCs w:val="18"/>
    </w:rPr>
  </w:style>
  <w:style w:type="paragraph" w:customStyle="1" w:styleId="Notasalpie">
    <w:name w:val="Notas al pie"/>
    <w:basedOn w:val="Textonotapie"/>
    <w:link w:val="NotasalpieCar"/>
    <w:qFormat/>
    <w:rsid w:val="00430596"/>
    <w:rPr>
      <w:rFonts w:ascii="Arial" w:hAnsi="Arial" w:cs="Arial"/>
      <w:sz w:val="14"/>
      <w:szCs w:val="14"/>
    </w:rPr>
  </w:style>
  <w:style w:type="character" w:customStyle="1" w:styleId="NotasalpieCar">
    <w:name w:val="Notas al pie Car"/>
    <w:basedOn w:val="Fuentedeprrafopredeter"/>
    <w:link w:val="Notasalpie"/>
    <w:rsid w:val="00430596"/>
    <w:rPr>
      <w:rFonts w:ascii="Arial" w:hAnsi="Arial" w:cs="Arial"/>
      <w:sz w:val="14"/>
      <w:szCs w:val="14"/>
    </w:rPr>
  </w:style>
  <w:style w:type="paragraph" w:styleId="Textodeglobo">
    <w:name w:val="Balloon Text"/>
    <w:basedOn w:val="Normal"/>
    <w:link w:val="TextodegloboCar"/>
    <w:uiPriority w:val="99"/>
    <w:semiHidden/>
    <w:unhideWhenUsed/>
    <w:rsid w:val="00CB0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9D"/>
    <w:rPr>
      <w:rFonts w:ascii="Segoe UI" w:hAnsi="Segoe UI" w:cs="Segoe UI"/>
      <w:sz w:val="18"/>
      <w:szCs w:val="18"/>
    </w:rPr>
  </w:style>
  <w:style w:type="character" w:styleId="Refdecomentario">
    <w:name w:val="annotation reference"/>
    <w:basedOn w:val="Fuentedeprrafopredeter"/>
    <w:uiPriority w:val="99"/>
    <w:semiHidden/>
    <w:unhideWhenUsed/>
    <w:rsid w:val="00537026"/>
    <w:rPr>
      <w:sz w:val="16"/>
      <w:szCs w:val="16"/>
    </w:rPr>
  </w:style>
  <w:style w:type="paragraph" w:styleId="Textocomentario">
    <w:name w:val="annotation text"/>
    <w:basedOn w:val="Normal"/>
    <w:link w:val="TextocomentarioCar"/>
    <w:uiPriority w:val="99"/>
    <w:semiHidden/>
    <w:unhideWhenUsed/>
    <w:rsid w:val="005370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7026"/>
    <w:rPr>
      <w:sz w:val="20"/>
      <w:szCs w:val="20"/>
    </w:rPr>
  </w:style>
  <w:style w:type="paragraph" w:styleId="Asuntodelcomentario">
    <w:name w:val="annotation subject"/>
    <w:basedOn w:val="Textocomentario"/>
    <w:next w:val="Textocomentario"/>
    <w:link w:val="AsuntodelcomentarioCar"/>
    <w:uiPriority w:val="99"/>
    <w:semiHidden/>
    <w:unhideWhenUsed/>
    <w:rsid w:val="00537026"/>
    <w:rPr>
      <w:b/>
      <w:bCs/>
    </w:rPr>
  </w:style>
  <w:style w:type="character" w:customStyle="1" w:styleId="AsuntodelcomentarioCar">
    <w:name w:val="Asunto del comentario Car"/>
    <w:basedOn w:val="TextocomentarioCar"/>
    <w:link w:val="Asuntodelcomentario"/>
    <w:uiPriority w:val="99"/>
    <w:semiHidden/>
    <w:rsid w:val="00537026"/>
    <w:rPr>
      <w:b/>
      <w:bCs/>
      <w:sz w:val="20"/>
      <w:szCs w:val="20"/>
    </w:rPr>
  </w:style>
  <w:style w:type="character" w:styleId="Hipervnculovisitado">
    <w:name w:val="FollowedHyperlink"/>
    <w:basedOn w:val="Fuentedeprrafopredeter"/>
    <w:uiPriority w:val="99"/>
    <w:semiHidden/>
    <w:unhideWhenUsed/>
    <w:rsid w:val="00EF164D"/>
    <w:rPr>
      <w:color w:val="954F72" w:themeColor="followedHyperlink"/>
      <w:u w:val="single"/>
    </w:rPr>
  </w:style>
  <w:style w:type="paragraph" w:customStyle="1" w:styleId="texto">
    <w:name w:val="texto"/>
    <w:basedOn w:val="Normal"/>
    <w:rsid w:val="004F1D58"/>
    <w:pPr>
      <w:snapToGrid w:val="0"/>
      <w:spacing w:after="101" w:line="216" w:lineRule="exact"/>
      <w:ind w:firstLine="288"/>
      <w:jc w:val="both"/>
    </w:pPr>
    <w:rPr>
      <w:rFonts w:ascii="Arial" w:eastAsia="Times New Roman" w:hAnsi="Arial" w:cs="Arial"/>
      <w:sz w:val="18"/>
      <w:szCs w:val="18"/>
      <w:lang w:eastAsia="zh-CN"/>
    </w:rPr>
  </w:style>
  <w:style w:type="paragraph" w:styleId="Textonotaalfinal">
    <w:name w:val="endnote text"/>
    <w:basedOn w:val="Normal"/>
    <w:link w:val="TextonotaalfinalCar"/>
    <w:uiPriority w:val="99"/>
    <w:semiHidden/>
    <w:unhideWhenUsed/>
    <w:rsid w:val="00ED5BC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5BC3"/>
    <w:rPr>
      <w:sz w:val="20"/>
      <w:szCs w:val="20"/>
    </w:rPr>
  </w:style>
  <w:style w:type="character" w:styleId="Refdenotaalfinal">
    <w:name w:val="endnote reference"/>
    <w:basedOn w:val="Fuentedeprrafopredeter"/>
    <w:uiPriority w:val="99"/>
    <w:semiHidden/>
    <w:unhideWhenUsed/>
    <w:rsid w:val="00ED5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6972">
      <w:bodyDiv w:val="1"/>
      <w:marLeft w:val="0"/>
      <w:marRight w:val="0"/>
      <w:marTop w:val="0"/>
      <w:marBottom w:val="0"/>
      <w:divBdr>
        <w:top w:val="none" w:sz="0" w:space="0" w:color="auto"/>
        <w:left w:val="none" w:sz="0" w:space="0" w:color="auto"/>
        <w:bottom w:val="none" w:sz="0" w:space="0" w:color="auto"/>
        <w:right w:val="none" w:sz="0" w:space="0" w:color="auto"/>
      </w:divBdr>
    </w:div>
    <w:div w:id="548953189">
      <w:bodyDiv w:val="1"/>
      <w:marLeft w:val="0"/>
      <w:marRight w:val="0"/>
      <w:marTop w:val="0"/>
      <w:marBottom w:val="0"/>
      <w:divBdr>
        <w:top w:val="none" w:sz="0" w:space="0" w:color="auto"/>
        <w:left w:val="none" w:sz="0" w:space="0" w:color="auto"/>
        <w:bottom w:val="none" w:sz="0" w:space="0" w:color="auto"/>
        <w:right w:val="none" w:sz="0" w:space="0" w:color="auto"/>
      </w:divBdr>
    </w:div>
    <w:div w:id="19124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acuerdo-mediante-el-cual-el-pleno-del-ift-actualiza-el-acuerdo-mediante-el-cual-el-pleno-d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acuerdo-mediante-el-cual-el-pleno-del-ift-actualiza-el-acuerdo-mediante-el-cual-el-pleno-d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FFB7-3BD7-4D44-8940-7327DE713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9F15F-CDF2-4ADF-95DA-D6CA903D219C}">
  <ds:schemaRefs>
    <ds:schemaRef ds:uri="http://schemas.microsoft.com/sharepoint/v3/contenttype/forms"/>
  </ds:schemaRefs>
</ds:datastoreItem>
</file>

<file path=customXml/itemProps3.xml><?xml version="1.0" encoding="utf-8"?>
<ds:datastoreItem xmlns:ds="http://schemas.openxmlformats.org/officeDocument/2006/customXml" ds:itemID="{9A1F209F-2BC5-4C24-A49D-E267CC8B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09CDF6-36B3-48F2-91A1-D90FED99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3771</Words>
  <Characters>20743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Alvarez</dc:creator>
  <cp:keywords/>
  <dc:description/>
  <cp:lastModifiedBy>Josue Teoyotl Calderon</cp:lastModifiedBy>
  <cp:revision>2</cp:revision>
  <dcterms:created xsi:type="dcterms:W3CDTF">2022-02-23T19:30:00Z</dcterms:created>
  <dcterms:modified xsi:type="dcterms:W3CDTF">2022-02-23T19:30:00Z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