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A5AAD" w14:textId="77777777" w:rsidR="00EE240A" w:rsidRPr="00351EBE" w:rsidRDefault="00EE240A" w:rsidP="000A7A88">
      <w:pPr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</w:p>
    <w:p w14:paraId="74F1115C" w14:textId="3E1E8793" w:rsidR="00174CEF" w:rsidRPr="00351EBE" w:rsidRDefault="002D6C04" w:rsidP="000A7A88">
      <w:pPr>
        <w:keepNext/>
        <w:keepLines/>
        <w:spacing w:line="276" w:lineRule="auto"/>
        <w:jc w:val="both"/>
        <w:outlineLvl w:val="0"/>
        <w:rPr>
          <w:rFonts w:ascii="Arial" w:eastAsia="Times New Roman" w:hAnsi="Arial" w:cs="Arial"/>
          <w:b/>
          <w:bCs/>
          <w:sz w:val="26"/>
          <w:szCs w:val="26"/>
          <w:lang w:eastAsia="es-MX"/>
        </w:rPr>
      </w:pPr>
      <w:r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Acuerdo mediante el cual el Pleno del Instituto Federal de Telecomunicaciones determina someter a Consulta Pública el </w:t>
      </w:r>
      <w:r w:rsidR="000B3030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Anteproyecto de </w:t>
      </w:r>
      <w:r w:rsidR="00D545DB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“</w:t>
      </w:r>
      <w:r w:rsidR="005970F9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Acuerdo mediante el cual el Pleno del Instituto Federal de Telecomunicaciones </w:t>
      </w:r>
      <w:r w:rsidR="00110A58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actualiza</w:t>
      </w:r>
      <w:r w:rsidR="000E3DBA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 </w:t>
      </w:r>
      <w:r w:rsidR="00B87B7B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las condiciones técnicas de operación</w:t>
      </w:r>
      <w:r w:rsidR="005970F9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 </w:t>
      </w:r>
      <w:r w:rsidR="00B87B7B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de</w:t>
      </w:r>
      <w:r w:rsidR="005970F9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 </w:t>
      </w:r>
      <w:r w:rsidR="003D6897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la</w:t>
      </w:r>
      <w:r w:rsidR="00D807CC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 banda de</w:t>
      </w:r>
      <w:r w:rsidR="003D6897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 frecuencias </w:t>
      </w:r>
      <w:r w:rsidR="00511CB7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57-</w:t>
      </w:r>
      <w:r w:rsidR="00D807CC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64 GHz</w:t>
      </w:r>
      <w:r w:rsidR="006D0BCE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,</w:t>
      </w:r>
      <w:r w:rsidR="00D807CC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 </w:t>
      </w:r>
      <w:r w:rsidR="008B72A2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clasificada </w:t>
      </w:r>
      <w:r w:rsidR="005970F9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como espectro </w:t>
      </w:r>
      <w:r w:rsidR="00D807CC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libre</w:t>
      </w:r>
      <w:r w:rsidR="005970F9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”</w:t>
      </w:r>
      <w:r w:rsidR="001E70C0" w:rsidRPr="00351EBE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.</w:t>
      </w:r>
    </w:p>
    <w:p w14:paraId="10B677BF" w14:textId="60A801B7" w:rsidR="00E8418D" w:rsidRPr="00351EBE" w:rsidRDefault="00E8418D" w:rsidP="000A7A88">
      <w:pPr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</w:p>
    <w:p w14:paraId="6372D8F2" w14:textId="3289BCF6" w:rsidR="00174CEF" w:rsidRPr="00351EBE" w:rsidRDefault="002D6C04" w:rsidP="000A7A88">
      <w:pPr>
        <w:spacing w:line="276" w:lineRule="auto"/>
        <w:rPr>
          <w:rFonts w:ascii="Arial" w:eastAsia="Times New Roman" w:hAnsi="Arial" w:cs="Arial"/>
          <w:b/>
          <w:sz w:val="26"/>
          <w:szCs w:val="26"/>
        </w:rPr>
      </w:pPr>
      <w:r w:rsidRPr="00351EBE">
        <w:rPr>
          <w:rFonts w:ascii="Arial" w:eastAsia="Times New Roman" w:hAnsi="Arial" w:cs="Arial"/>
          <w:b/>
          <w:sz w:val="26"/>
          <w:szCs w:val="26"/>
        </w:rPr>
        <w:t>Antecedentes</w:t>
      </w:r>
    </w:p>
    <w:p w14:paraId="56398A6A" w14:textId="77777777" w:rsidR="00E8418D" w:rsidRPr="00351EBE" w:rsidRDefault="00E8418D" w:rsidP="000A7A88">
      <w:pPr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</w:p>
    <w:p w14:paraId="775B42D8" w14:textId="4EDC4550" w:rsidR="00CB5B82" w:rsidRPr="00351EBE" w:rsidRDefault="008D6F53" w:rsidP="008D6F53">
      <w:pPr>
        <w:pStyle w:val="Prrafodelista"/>
        <w:tabs>
          <w:tab w:val="left" w:pos="1276"/>
        </w:tabs>
        <w:suppressAutoHyphens/>
        <w:spacing w:line="276" w:lineRule="auto"/>
        <w:ind w:left="0" w:right="49"/>
        <w:contextualSpacing w:val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hAnsi="Arial" w:cs="Arial"/>
          <w:b/>
          <w:kern w:val="1"/>
          <w:sz w:val="22"/>
          <w:szCs w:val="22"/>
          <w:lang w:eastAsia="ar-SA"/>
        </w:rPr>
        <w:t>Primero.-</w:t>
      </w:r>
      <w:r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El 11 de junio de 2013 se publicó en el Diario Oficial de la Federación (</w:t>
      </w:r>
      <w:r w:rsidR="00A752FC" w:rsidRPr="00351EBE">
        <w:rPr>
          <w:rFonts w:ascii="Arial" w:hAnsi="Arial" w:cs="Arial"/>
          <w:kern w:val="1"/>
          <w:sz w:val="22"/>
          <w:szCs w:val="22"/>
          <w:lang w:eastAsia="ar-SA"/>
        </w:rPr>
        <w:t>“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DOF</w:t>
      </w:r>
      <w:r w:rsidR="00A752FC" w:rsidRPr="00351EBE">
        <w:rPr>
          <w:rFonts w:ascii="Arial" w:hAnsi="Arial" w:cs="Arial"/>
          <w:kern w:val="1"/>
          <w:sz w:val="22"/>
          <w:szCs w:val="22"/>
          <w:lang w:eastAsia="ar-SA"/>
        </w:rPr>
        <w:t>”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) el </w:t>
      </w:r>
      <w:r w:rsidR="00D807CC" w:rsidRPr="00351EBE">
        <w:rPr>
          <w:rFonts w:ascii="Arial" w:hAnsi="Arial" w:cs="Arial"/>
          <w:i/>
          <w:kern w:val="1"/>
          <w:sz w:val="22"/>
          <w:szCs w:val="22"/>
          <w:lang w:eastAsia="ar-SA"/>
        </w:rPr>
        <w:t>“DECRETO por el que se reforman y adicionan diversas disposiciones de los artículos 6o., 7o., 27, 28, 73, 78, 94 y 105 de la Constitución Política de los Estados Unidos Mexicanos, en materia de telecomunicaciones”,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 mediante el cual se creó al Instituto Federal de Telecomunicaciones (</w:t>
      </w:r>
      <w:r w:rsidR="00A752FC" w:rsidRPr="00351EBE">
        <w:rPr>
          <w:rFonts w:ascii="Arial" w:hAnsi="Arial" w:cs="Arial"/>
          <w:kern w:val="1"/>
          <w:sz w:val="22"/>
          <w:szCs w:val="22"/>
          <w:lang w:eastAsia="ar-SA"/>
        </w:rPr>
        <w:t>“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Instituto</w:t>
      </w:r>
      <w:r w:rsidR="00A752FC" w:rsidRPr="00351EBE">
        <w:rPr>
          <w:rFonts w:ascii="Arial" w:hAnsi="Arial" w:cs="Arial"/>
          <w:kern w:val="1"/>
          <w:sz w:val="22"/>
          <w:szCs w:val="22"/>
          <w:lang w:eastAsia="ar-SA"/>
        </w:rPr>
        <w:t>”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) como un órgano autónomo, con personalid</w:t>
      </w:r>
      <w:r w:rsidR="00CB5B82" w:rsidRPr="00351EBE">
        <w:rPr>
          <w:rFonts w:ascii="Arial" w:hAnsi="Arial" w:cs="Arial"/>
          <w:kern w:val="1"/>
          <w:sz w:val="22"/>
          <w:szCs w:val="22"/>
          <w:lang w:eastAsia="ar-SA"/>
        </w:rPr>
        <w:t>ad jurídica y patrimonio propio.</w:t>
      </w:r>
    </w:p>
    <w:p w14:paraId="09BEA7DE" w14:textId="77777777" w:rsidR="00CB5B82" w:rsidRPr="00351EBE" w:rsidRDefault="00CB5B82" w:rsidP="000A7A88">
      <w:pPr>
        <w:pStyle w:val="Prrafodelista"/>
        <w:spacing w:line="276" w:lineRule="auto"/>
        <w:ind w:left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12E7AA86" w14:textId="6E10F281" w:rsidR="00CB5B82" w:rsidRPr="00351EBE" w:rsidRDefault="008D6F53" w:rsidP="008D6F53">
      <w:pPr>
        <w:pStyle w:val="Prrafodelista"/>
        <w:tabs>
          <w:tab w:val="left" w:pos="1276"/>
        </w:tabs>
        <w:suppressAutoHyphens/>
        <w:spacing w:line="276" w:lineRule="auto"/>
        <w:ind w:left="0" w:right="49"/>
        <w:contextualSpacing w:val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hAnsi="Arial" w:cs="Arial"/>
          <w:b/>
          <w:kern w:val="1"/>
          <w:sz w:val="22"/>
          <w:szCs w:val="22"/>
          <w:lang w:eastAsia="ar-SA"/>
        </w:rPr>
        <w:t>Segundo.-</w:t>
      </w:r>
      <w:r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El 14 de julio de 2014 se publicó en el DOF el </w:t>
      </w:r>
      <w:r w:rsidR="00D807CC" w:rsidRPr="00351EBE">
        <w:rPr>
          <w:rFonts w:ascii="Arial" w:hAnsi="Arial" w:cs="Arial"/>
          <w:i/>
          <w:kern w:val="1"/>
          <w:sz w:val="22"/>
          <w:szCs w:val="22"/>
          <w:lang w:eastAsia="ar-SA"/>
        </w:rPr>
        <w:t xml:space="preserve">“DECRETO por el que se expiden la Ley Federal de Telecomunicaciones y Radiodifusión, y la Ley del Sistema Público de Radiodifusión del Estado Mexicano; y se reforman, adicionan y derogan diversas disposiciones en materia de telecomunicaciones y radiodifusión”, 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entrando en vigor la Ley Federal de Telecomunicaciones y Radiodifusión (</w:t>
      </w:r>
      <w:r w:rsidR="002839CD" w:rsidRPr="00351EBE">
        <w:rPr>
          <w:rFonts w:ascii="Arial" w:hAnsi="Arial" w:cs="Arial"/>
          <w:kern w:val="1"/>
          <w:sz w:val="22"/>
          <w:szCs w:val="22"/>
          <w:lang w:eastAsia="ar-SA"/>
        </w:rPr>
        <w:t>“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Ley</w:t>
      </w:r>
      <w:r w:rsidR="002839CD" w:rsidRPr="00351EBE">
        <w:rPr>
          <w:rFonts w:ascii="Arial" w:hAnsi="Arial" w:cs="Arial"/>
          <w:kern w:val="1"/>
          <w:sz w:val="22"/>
          <w:szCs w:val="22"/>
          <w:lang w:eastAsia="ar-SA"/>
        </w:rPr>
        <w:t>”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) el 13 de agosto de 2014</w:t>
      </w:r>
      <w:r w:rsidR="002839CD" w:rsidRPr="00351EBE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14:paraId="3D2C0FB2" w14:textId="77777777" w:rsidR="00CB5B82" w:rsidRPr="00351EBE" w:rsidRDefault="00CB5B82" w:rsidP="000A7A88">
      <w:pPr>
        <w:pStyle w:val="Prrafodelista"/>
        <w:spacing w:line="276" w:lineRule="auto"/>
        <w:ind w:left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255324CB" w14:textId="68BCE5ED" w:rsidR="00511CB7" w:rsidRPr="00351EBE" w:rsidRDefault="008D6F53" w:rsidP="008D6F53">
      <w:pPr>
        <w:pStyle w:val="Prrafodelista"/>
        <w:tabs>
          <w:tab w:val="left" w:pos="1276"/>
        </w:tabs>
        <w:suppressAutoHyphens/>
        <w:spacing w:line="276" w:lineRule="auto"/>
        <w:ind w:left="0" w:right="49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Tercero.-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D807C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El 4 de septiembre de 2014 se publicó en el DOF el </w:t>
      </w:r>
      <w:r w:rsidR="00D807CC" w:rsidRPr="00351EBE">
        <w:rPr>
          <w:rFonts w:ascii="Arial" w:eastAsia="Times New Roman" w:hAnsi="Arial" w:cs="Arial"/>
          <w:i/>
          <w:kern w:val="1"/>
          <w:sz w:val="22"/>
          <w:szCs w:val="22"/>
          <w:lang w:eastAsia="ar-SA"/>
        </w:rPr>
        <w:t>“Estatuto Orgánico del Instituto Federal de Telecomunicaciones”</w:t>
      </w:r>
      <w:r w:rsidR="00D807C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(</w:t>
      </w:r>
      <w:r w:rsidR="002839C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“</w:t>
      </w:r>
      <w:r w:rsidR="00D807C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Estatuto Orgánico</w:t>
      </w:r>
      <w:r w:rsidR="002839C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”</w:t>
      </w:r>
      <w:r w:rsidR="00D807C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), el cual entró en vigor el 26 de septiembre de 2014.</w:t>
      </w:r>
    </w:p>
    <w:p w14:paraId="429C1031" w14:textId="77777777" w:rsidR="00511CB7" w:rsidRPr="00351EBE" w:rsidRDefault="00511CB7" w:rsidP="000A7A88">
      <w:pPr>
        <w:spacing w:line="276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FEC2282" w14:textId="5B079497" w:rsidR="00511CB7" w:rsidRPr="00351EBE" w:rsidRDefault="008D6F53" w:rsidP="008D6F53">
      <w:pPr>
        <w:pStyle w:val="Prrafodelista"/>
        <w:tabs>
          <w:tab w:val="left" w:pos="1276"/>
        </w:tabs>
        <w:suppressAutoHyphens/>
        <w:spacing w:line="276" w:lineRule="auto"/>
        <w:ind w:left="0" w:right="49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hAnsi="Arial" w:cs="Arial"/>
          <w:b/>
          <w:kern w:val="1"/>
          <w:sz w:val="22"/>
          <w:szCs w:val="22"/>
          <w:lang w:eastAsia="ar-SA"/>
        </w:rPr>
        <w:t>Cuarto.-</w:t>
      </w:r>
      <w:r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="00511CB7"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El 9 de mayo de 2017 se publicó en el DOF </w:t>
      </w:r>
      <w:r w:rsidR="00511CB7" w:rsidRPr="00351EBE">
        <w:rPr>
          <w:rFonts w:ascii="Arial" w:hAnsi="Arial" w:cs="Arial"/>
          <w:i/>
          <w:kern w:val="1"/>
          <w:sz w:val="22"/>
          <w:szCs w:val="22"/>
          <w:lang w:eastAsia="ar-SA"/>
        </w:rPr>
        <w:t xml:space="preserve">el </w:t>
      </w:r>
      <w:r w:rsidR="00B75874" w:rsidRPr="00351EBE">
        <w:rPr>
          <w:rFonts w:ascii="Arial" w:hAnsi="Arial" w:cs="Arial"/>
          <w:i/>
          <w:kern w:val="1"/>
          <w:sz w:val="22"/>
          <w:szCs w:val="22"/>
          <w:lang w:eastAsia="ar-SA"/>
        </w:rPr>
        <w:t>“</w:t>
      </w:r>
      <w:r w:rsidR="00511CB7" w:rsidRPr="00351EBE">
        <w:rPr>
          <w:rFonts w:ascii="Arial" w:hAnsi="Arial" w:cs="Arial"/>
          <w:i/>
          <w:kern w:val="1"/>
          <w:sz w:val="22"/>
          <w:szCs w:val="22"/>
          <w:lang w:eastAsia="ar-SA"/>
        </w:rPr>
        <w:t>Acuerdo mediante el cual el Pleno del Instituto Federal de Telecomunicaciones clasifica la banda de frecuencias 57-64 GHz como espectro libre y expide las condiciones técnicas de operación</w:t>
      </w:r>
      <w:r w:rsidR="00B75874" w:rsidRPr="00351EBE">
        <w:rPr>
          <w:rFonts w:ascii="Arial" w:hAnsi="Arial" w:cs="Arial"/>
          <w:i/>
          <w:kern w:val="1"/>
          <w:sz w:val="22"/>
          <w:szCs w:val="22"/>
          <w:lang w:eastAsia="ar-SA"/>
        </w:rPr>
        <w:t>”</w:t>
      </w:r>
      <w:r w:rsidR="00AD0843" w:rsidRPr="00351EBE">
        <w:rPr>
          <w:rFonts w:cs="Arial"/>
          <w:i/>
          <w:kern w:val="1"/>
          <w:sz w:val="22"/>
          <w:szCs w:val="22"/>
          <w:lang w:eastAsia="ar-SA"/>
        </w:rPr>
        <w:t xml:space="preserve"> </w:t>
      </w:r>
      <w:r w:rsidR="00AD0843" w:rsidRPr="00351EBE">
        <w:rPr>
          <w:rStyle w:val="Refdenotaalpie"/>
          <w:rFonts w:cs="Arial"/>
          <w:i/>
          <w:kern w:val="1"/>
          <w:sz w:val="22"/>
          <w:szCs w:val="22"/>
          <w:lang w:eastAsia="ar-SA"/>
        </w:rPr>
        <w:footnoteReference w:id="2"/>
      </w:r>
      <w:r w:rsidR="00B75874"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="00DA4331" w:rsidRPr="00351EBE">
        <w:rPr>
          <w:rFonts w:ascii="Arial" w:hAnsi="Arial" w:cs="Arial"/>
          <w:kern w:val="1"/>
          <w:sz w:val="22"/>
          <w:szCs w:val="22"/>
          <w:lang w:eastAsia="ar-SA"/>
        </w:rPr>
        <w:t>(Acuerdo que clasifica la banda 57-64 GHz)</w:t>
      </w:r>
      <w:r w:rsidR="00511CB7"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 el cual entró en vigor el 10 de mayo de 2017.</w:t>
      </w:r>
    </w:p>
    <w:p w14:paraId="5B091A89" w14:textId="7EF25AB2" w:rsidR="00511CB7" w:rsidRPr="00351EBE" w:rsidRDefault="00511CB7" w:rsidP="000A7A88">
      <w:pPr>
        <w:pStyle w:val="Prrafodelista"/>
        <w:suppressAutoHyphens/>
        <w:spacing w:line="276" w:lineRule="auto"/>
        <w:ind w:left="0" w:right="49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03D5BB4F" w14:textId="70071FDF" w:rsidR="00D807CC" w:rsidRPr="00351EBE" w:rsidRDefault="008D6F53" w:rsidP="008D6F53">
      <w:pPr>
        <w:pStyle w:val="Prrafodelista"/>
        <w:tabs>
          <w:tab w:val="left" w:pos="1276"/>
        </w:tabs>
        <w:suppressAutoHyphens/>
        <w:spacing w:line="276" w:lineRule="auto"/>
        <w:ind w:left="0" w:right="49"/>
        <w:contextualSpacing w:val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hAnsi="Arial" w:cs="Arial"/>
          <w:b/>
          <w:kern w:val="1"/>
          <w:sz w:val="22"/>
          <w:szCs w:val="22"/>
          <w:lang w:eastAsia="ar-SA"/>
        </w:rPr>
        <w:t>Quinto.-</w:t>
      </w:r>
      <w:r w:rsidRPr="00351EBE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El 8 de noviembre de 2017 se publicó en el DOF el “</w:t>
      </w:r>
      <w:r w:rsidR="00D807CC" w:rsidRPr="00351EBE">
        <w:rPr>
          <w:rFonts w:ascii="Arial" w:hAnsi="Arial" w:cs="Arial"/>
          <w:i/>
          <w:kern w:val="1"/>
          <w:sz w:val="22"/>
          <w:szCs w:val="22"/>
          <w:lang w:eastAsia="ar-SA"/>
        </w:rPr>
        <w:t xml:space="preserve">Acuerdo mediante el cual el Pleno del Instituto Federal de Telecomunicaciones aprueba y emite los Lineamientos </w:t>
      </w:r>
      <w:r w:rsidR="00D807CC" w:rsidRPr="00351EBE">
        <w:rPr>
          <w:rFonts w:ascii="Arial" w:hAnsi="Arial" w:cs="Arial"/>
          <w:i/>
          <w:kern w:val="1"/>
          <w:sz w:val="22"/>
          <w:szCs w:val="22"/>
          <w:lang w:eastAsia="ar-SA"/>
        </w:rPr>
        <w:lastRenderedPageBreak/>
        <w:t xml:space="preserve">de Consulta Pública y Análisis de Impacto Regulatorio del Instituto Federal de Telecomunicaciones” 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(</w:t>
      </w:r>
      <w:r w:rsidR="006E0782" w:rsidRPr="00351EBE">
        <w:rPr>
          <w:rFonts w:ascii="Arial" w:hAnsi="Arial" w:cs="Arial"/>
          <w:kern w:val="1"/>
          <w:sz w:val="22"/>
          <w:szCs w:val="22"/>
          <w:lang w:eastAsia="ar-SA"/>
        </w:rPr>
        <w:t>“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Lineamientos de Consulta Pública</w:t>
      </w:r>
      <w:r w:rsidR="006E0782" w:rsidRPr="00351EBE">
        <w:rPr>
          <w:rFonts w:ascii="Arial" w:hAnsi="Arial" w:cs="Arial"/>
          <w:kern w:val="1"/>
          <w:sz w:val="22"/>
          <w:szCs w:val="22"/>
          <w:lang w:eastAsia="ar-SA"/>
        </w:rPr>
        <w:t>”</w:t>
      </w:r>
      <w:r w:rsidR="00D807CC" w:rsidRPr="00351EBE">
        <w:rPr>
          <w:rFonts w:ascii="Arial" w:hAnsi="Arial" w:cs="Arial"/>
          <w:kern w:val="1"/>
          <w:sz w:val="22"/>
          <w:szCs w:val="22"/>
          <w:lang w:eastAsia="ar-SA"/>
        </w:rPr>
        <w:t>), mismos que entraron en vigor el 1 de enero de 2018.</w:t>
      </w:r>
    </w:p>
    <w:p w14:paraId="2FDBA19E" w14:textId="77777777" w:rsidR="00D807CC" w:rsidRPr="00351EBE" w:rsidRDefault="00D807CC" w:rsidP="000A7A88">
      <w:pPr>
        <w:pStyle w:val="Prrafodelista"/>
        <w:spacing w:line="276" w:lineRule="auto"/>
        <w:ind w:left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548F5426" w14:textId="5E9CDFB3" w:rsidR="00174CEF" w:rsidRPr="00351EBE" w:rsidRDefault="00174CEF" w:rsidP="000A7A88">
      <w:pPr>
        <w:pStyle w:val="Default"/>
        <w:tabs>
          <w:tab w:val="left" w:pos="0"/>
        </w:tabs>
        <w:spacing w:line="276" w:lineRule="auto"/>
        <w:ind w:left="426" w:hanging="426"/>
        <w:jc w:val="both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 w:rsidRPr="00351EBE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En </w:t>
      </w:r>
      <w:r w:rsidR="00400F1D" w:rsidRPr="00351EBE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virtud de</w:t>
      </w:r>
      <w:r w:rsidRPr="00351EBE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 los </w:t>
      </w:r>
      <w:r w:rsidR="00AD0843" w:rsidRPr="00351EBE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A</w:t>
      </w:r>
      <w:r w:rsidRPr="00351EBE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ntecedentes </w:t>
      </w:r>
      <w:r w:rsidR="00400F1D" w:rsidRPr="00351EBE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señalados</w:t>
      </w:r>
      <w:r w:rsidR="006228A5" w:rsidRPr="00351EBE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,</w:t>
      </w:r>
      <w:r w:rsidRPr="00351EBE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 y </w:t>
      </w:r>
    </w:p>
    <w:p w14:paraId="69D220ED" w14:textId="77777777" w:rsidR="00A1090B" w:rsidRPr="00351EBE" w:rsidRDefault="00A1090B" w:rsidP="000A7A88">
      <w:pPr>
        <w:pStyle w:val="Default"/>
        <w:tabs>
          <w:tab w:val="left" w:pos="0"/>
        </w:tabs>
        <w:spacing w:line="276" w:lineRule="auto"/>
        <w:ind w:left="426" w:hanging="426"/>
        <w:rPr>
          <w:rFonts w:ascii="Arial" w:eastAsiaTheme="minorHAnsi" w:hAnsi="Arial" w:cs="Arial"/>
          <w:bCs/>
          <w:color w:val="auto"/>
          <w:sz w:val="22"/>
          <w:szCs w:val="22"/>
        </w:rPr>
      </w:pPr>
    </w:p>
    <w:p w14:paraId="649E93CC" w14:textId="6CFE1AC4" w:rsidR="00174CEF" w:rsidRPr="00351EBE" w:rsidRDefault="00717F2B" w:rsidP="000A7A88">
      <w:pPr>
        <w:spacing w:line="276" w:lineRule="auto"/>
        <w:rPr>
          <w:rFonts w:ascii="Arial" w:eastAsia="Times New Roman" w:hAnsi="Arial" w:cs="Arial"/>
          <w:b/>
          <w:sz w:val="26"/>
          <w:szCs w:val="26"/>
          <w:lang w:eastAsia="es-MX"/>
        </w:rPr>
      </w:pPr>
      <w:r w:rsidRPr="00351EBE">
        <w:rPr>
          <w:rFonts w:ascii="Arial" w:eastAsia="Times New Roman" w:hAnsi="Arial" w:cs="Arial"/>
          <w:b/>
          <w:sz w:val="26"/>
          <w:szCs w:val="26"/>
          <w:lang w:eastAsia="es-MX"/>
        </w:rPr>
        <w:t>C</w:t>
      </w:r>
      <w:r w:rsidR="002D6C04" w:rsidRPr="00351EBE">
        <w:rPr>
          <w:rFonts w:ascii="Arial" w:eastAsia="Times New Roman" w:hAnsi="Arial" w:cs="Arial"/>
          <w:b/>
          <w:sz w:val="26"/>
          <w:szCs w:val="26"/>
          <w:lang w:eastAsia="es-MX"/>
        </w:rPr>
        <w:t>onsidera</w:t>
      </w:r>
      <w:r w:rsidR="00CC3EBD" w:rsidRPr="00351EBE">
        <w:rPr>
          <w:rFonts w:ascii="Arial" w:eastAsia="Times New Roman" w:hAnsi="Arial" w:cs="Arial"/>
          <w:b/>
          <w:sz w:val="26"/>
          <w:szCs w:val="26"/>
          <w:lang w:eastAsia="es-MX"/>
        </w:rPr>
        <w:t>nd</w:t>
      </w:r>
      <w:r w:rsidR="002D6C04" w:rsidRPr="00351EBE">
        <w:rPr>
          <w:rFonts w:ascii="Arial" w:eastAsia="Times New Roman" w:hAnsi="Arial" w:cs="Arial"/>
          <w:b/>
          <w:sz w:val="26"/>
          <w:szCs w:val="26"/>
          <w:lang w:eastAsia="es-MX"/>
        </w:rPr>
        <w:t>o</w:t>
      </w:r>
    </w:p>
    <w:p w14:paraId="6B55B35B" w14:textId="77777777" w:rsidR="007A59DD" w:rsidRPr="00351EBE" w:rsidRDefault="007A59DD" w:rsidP="000A0856">
      <w:pPr>
        <w:pStyle w:val="Default"/>
        <w:tabs>
          <w:tab w:val="left" w:pos="0"/>
        </w:tabs>
        <w:spacing w:line="276" w:lineRule="auto"/>
        <w:ind w:left="426" w:hanging="426"/>
        <w:rPr>
          <w:rFonts w:ascii="Arial" w:eastAsiaTheme="minorHAnsi" w:hAnsi="Arial" w:cs="Arial"/>
          <w:bCs/>
          <w:color w:val="auto"/>
          <w:sz w:val="22"/>
          <w:szCs w:val="22"/>
        </w:rPr>
      </w:pPr>
    </w:p>
    <w:p w14:paraId="2997132A" w14:textId="77777777" w:rsidR="00DD1920" w:rsidRPr="00351EBE" w:rsidRDefault="00DD1920" w:rsidP="000A7A88">
      <w:pPr>
        <w:pStyle w:val="Prrafodelista"/>
        <w:spacing w:line="276" w:lineRule="auto"/>
        <w:ind w:left="0"/>
        <w:contextualSpacing w:val="0"/>
        <w:jc w:val="both"/>
        <w:rPr>
          <w:rFonts w:ascii="Arial" w:eastAsia="Times New Roman" w:hAnsi="Arial" w:cs="Times New Roman"/>
          <w:b/>
          <w:sz w:val="22"/>
          <w:szCs w:val="22"/>
          <w:lang w:eastAsia="ar-SA"/>
        </w:rPr>
      </w:pPr>
      <w:bookmarkStart w:id="0" w:name="_Toc413840356"/>
      <w:bookmarkStart w:id="1" w:name="_Toc413918669"/>
    </w:p>
    <w:p w14:paraId="189466F5" w14:textId="2B19AB85" w:rsidR="00296A8C" w:rsidRPr="00351EBE" w:rsidRDefault="001301BC" w:rsidP="000A7A88">
      <w:pPr>
        <w:pStyle w:val="Prrafodelista"/>
        <w:spacing w:line="276" w:lineRule="auto"/>
        <w:ind w:left="0"/>
        <w:contextualSpacing w:val="0"/>
        <w:jc w:val="both"/>
        <w:rPr>
          <w:rFonts w:ascii="Arial" w:eastAsia="Times New Roman" w:hAnsi="Arial" w:cs="Times New Roman"/>
          <w:sz w:val="22"/>
          <w:szCs w:val="22"/>
          <w:lang w:eastAsia="ar-SA"/>
        </w:rPr>
      </w:pPr>
      <w:r w:rsidRPr="00351EBE">
        <w:rPr>
          <w:rFonts w:ascii="Arial" w:eastAsia="Times New Roman" w:hAnsi="Arial" w:cs="Times New Roman"/>
          <w:b/>
          <w:sz w:val="22"/>
          <w:szCs w:val="22"/>
          <w:lang w:eastAsia="ar-SA"/>
        </w:rPr>
        <w:t>Primero.-</w:t>
      </w:r>
      <w:r w:rsidR="006143F2" w:rsidRPr="00351EBE">
        <w:rPr>
          <w:rFonts w:ascii="Arial" w:eastAsia="Times New Roman" w:hAnsi="Arial" w:cs="Times New Roman"/>
          <w:b/>
          <w:sz w:val="22"/>
          <w:szCs w:val="22"/>
          <w:lang w:eastAsia="ar-SA"/>
        </w:rPr>
        <w:t xml:space="preserve"> </w:t>
      </w:r>
      <w:r w:rsidR="00296A8C" w:rsidRPr="00351EBE">
        <w:rPr>
          <w:rFonts w:ascii="Arial" w:eastAsia="Times New Roman" w:hAnsi="Arial" w:cs="Times New Roman"/>
          <w:b/>
          <w:sz w:val="22"/>
          <w:szCs w:val="22"/>
          <w:lang w:eastAsia="ar-SA"/>
        </w:rPr>
        <w:t>Competencia del Instituto.</w:t>
      </w:r>
      <w:bookmarkEnd w:id="0"/>
      <w:bookmarkEnd w:id="1"/>
      <w:r w:rsidR="00296A8C" w:rsidRPr="00351EBE">
        <w:rPr>
          <w:rFonts w:ascii="Arial" w:eastAsia="Times New Roman" w:hAnsi="Arial" w:cs="Times New Roman"/>
          <w:b/>
          <w:sz w:val="22"/>
          <w:szCs w:val="22"/>
          <w:lang w:eastAsia="ar-SA"/>
        </w:rPr>
        <w:t xml:space="preserve"> </w:t>
      </w:r>
      <w:r w:rsidR="00296A8C" w:rsidRPr="00351EBE">
        <w:rPr>
          <w:rFonts w:ascii="Arial" w:eastAsia="Times New Roman" w:hAnsi="Arial" w:cs="Times New Roman"/>
          <w:sz w:val="22"/>
          <w:szCs w:val="22"/>
          <w:lang w:eastAsia="ar-SA"/>
        </w:rPr>
        <w:t>De conformidad con lo dispuesto en los artículos 6o., párrafo tercero y apartado B, fracci</w:t>
      </w:r>
      <w:r w:rsidR="006E0782" w:rsidRPr="00351EBE">
        <w:rPr>
          <w:rFonts w:ascii="Arial" w:eastAsia="Times New Roman" w:hAnsi="Arial" w:cs="Times New Roman"/>
          <w:sz w:val="22"/>
          <w:szCs w:val="22"/>
          <w:lang w:eastAsia="ar-SA"/>
        </w:rPr>
        <w:t>ó</w:t>
      </w:r>
      <w:r w:rsidR="00296A8C" w:rsidRPr="00351EBE">
        <w:rPr>
          <w:rFonts w:ascii="Arial" w:eastAsia="Times New Roman" w:hAnsi="Arial" w:cs="Times New Roman"/>
          <w:sz w:val="22"/>
          <w:szCs w:val="22"/>
          <w:lang w:eastAsia="ar-SA"/>
        </w:rPr>
        <w:t>n II; 7o., 27, párrafos cuarto y sexto y 28, párrafos</w:t>
      </w:r>
      <w:r w:rsidR="00845485" w:rsidRPr="00351EBE">
        <w:rPr>
          <w:rFonts w:ascii="Arial" w:eastAsia="Times New Roman" w:hAnsi="Arial" w:cs="Times New Roman"/>
          <w:sz w:val="22"/>
          <w:szCs w:val="22"/>
          <w:lang w:eastAsia="ar-SA"/>
        </w:rPr>
        <w:t xml:space="preserve"> </w:t>
      </w:r>
      <w:r w:rsidR="00296A8C" w:rsidRPr="00351EBE">
        <w:rPr>
          <w:rFonts w:ascii="Arial" w:eastAsia="Times New Roman" w:hAnsi="Arial" w:cs="Times New Roman"/>
          <w:sz w:val="22"/>
          <w:szCs w:val="22"/>
          <w:lang w:eastAsia="ar-SA"/>
        </w:rPr>
        <w:t>décimo quinto</w:t>
      </w:r>
      <w:r w:rsidR="00653953" w:rsidRPr="00351EBE">
        <w:rPr>
          <w:rFonts w:ascii="Arial" w:eastAsia="Times New Roman" w:hAnsi="Arial" w:cs="Times New Roman"/>
          <w:sz w:val="22"/>
          <w:szCs w:val="22"/>
          <w:lang w:eastAsia="ar-SA"/>
        </w:rPr>
        <w:t xml:space="preserve"> y</w:t>
      </w:r>
      <w:r w:rsidR="00296A8C" w:rsidRPr="00351EBE">
        <w:rPr>
          <w:rFonts w:ascii="Arial" w:eastAsia="Times New Roman" w:hAnsi="Arial" w:cs="Times New Roman"/>
          <w:sz w:val="22"/>
          <w:szCs w:val="22"/>
          <w:lang w:eastAsia="ar-SA"/>
        </w:rPr>
        <w:t xml:space="preserve"> décimo sexto</w:t>
      </w:r>
      <w:r w:rsidR="00845485" w:rsidRPr="00351EBE">
        <w:rPr>
          <w:rFonts w:ascii="Arial" w:eastAsia="Times New Roman" w:hAnsi="Arial" w:cs="Times New Roman"/>
          <w:sz w:val="22"/>
          <w:szCs w:val="22"/>
          <w:lang w:eastAsia="ar-SA"/>
        </w:rPr>
        <w:t xml:space="preserve"> </w:t>
      </w:r>
      <w:r w:rsidR="00296A8C" w:rsidRPr="00351EBE">
        <w:rPr>
          <w:rFonts w:ascii="Arial" w:eastAsia="Times New Roman" w:hAnsi="Arial" w:cs="Times New Roman"/>
          <w:sz w:val="22"/>
          <w:szCs w:val="22"/>
          <w:lang w:eastAsia="ar-SA"/>
        </w:rPr>
        <w:t>de la Constitución Política de los Estad</w:t>
      </w:r>
      <w:r w:rsidR="00845485" w:rsidRPr="00351EBE">
        <w:rPr>
          <w:rFonts w:ascii="Arial" w:eastAsia="Times New Roman" w:hAnsi="Arial" w:cs="Times New Roman"/>
          <w:sz w:val="22"/>
          <w:szCs w:val="22"/>
          <w:lang w:eastAsia="ar-SA"/>
        </w:rPr>
        <w:t>os Unidos Mexicanos</w:t>
      </w:r>
      <w:r w:rsidR="00C97F72" w:rsidRPr="00351EBE">
        <w:rPr>
          <w:rFonts w:ascii="Arial" w:eastAsia="Times New Roman" w:hAnsi="Arial" w:cs="Times New Roman"/>
          <w:sz w:val="22"/>
          <w:szCs w:val="22"/>
          <w:lang w:eastAsia="ar-SA"/>
        </w:rPr>
        <w:t xml:space="preserve"> </w:t>
      </w:r>
      <w:r w:rsidR="00AC2BB4" w:rsidRPr="00351EBE">
        <w:rPr>
          <w:rFonts w:ascii="Arial" w:eastAsia="Times New Roman" w:hAnsi="Arial" w:cs="Times New Roman"/>
          <w:sz w:val="22"/>
          <w:szCs w:val="22"/>
          <w:lang w:eastAsia="ar-SA"/>
        </w:rPr>
        <w:t>(</w:t>
      </w:r>
      <w:r w:rsidR="001348E8" w:rsidRPr="00351EBE">
        <w:rPr>
          <w:rFonts w:ascii="Arial" w:eastAsia="Times New Roman" w:hAnsi="Arial" w:cs="Times New Roman"/>
          <w:sz w:val="22"/>
          <w:szCs w:val="22"/>
          <w:lang w:eastAsia="ar-SA"/>
        </w:rPr>
        <w:t>“</w:t>
      </w:r>
      <w:r w:rsidR="00AC2BB4" w:rsidRPr="00351EBE">
        <w:rPr>
          <w:rFonts w:ascii="Arial" w:eastAsia="Times New Roman" w:hAnsi="Arial" w:cs="Times New Roman"/>
          <w:sz w:val="22"/>
          <w:szCs w:val="22"/>
          <w:lang w:eastAsia="ar-SA"/>
        </w:rPr>
        <w:t>Constitución</w:t>
      </w:r>
      <w:r w:rsidR="001348E8" w:rsidRPr="00351EBE">
        <w:rPr>
          <w:rFonts w:ascii="Arial" w:eastAsia="Times New Roman" w:hAnsi="Arial" w:cs="Times New Roman"/>
          <w:sz w:val="22"/>
          <w:szCs w:val="22"/>
          <w:lang w:eastAsia="ar-SA"/>
        </w:rPr>
        <w:t>”</w:t>
      </w:r>
      <w:r w:rsidR="00AC2BB4" w:rsidRPr="00351EBE">
        <w:rPr>
          <w:rFonts w:ascii="Arial" w:eastAsia="Times New Roman" w:hAnsi="Arial" w:cs="Times New Roman"/>
          <w:sz w:val="22"/>
          <w:szCs w:val="22"/>
          <w:lang w:eastAsia="ar-SA"/>
        </w:rPr>
        <w:t>)</w:t>
      </w:r>
      <w:r w:rsidR="00783ECD" w:rsidRPr="00351EBE">
        <w:rPr>
          <w:rFonts w:ascii="Arial" w:eastAsia="Times New Roman" w:hAnsi="Arial" w:cs="Times New Roman"/>
          <w:sz w:val="22"/>
          <w:szCs w:val="22"/>
          <w:lang w:eastAsia="ar-SA"/>
        </w:rPr>
        <w:t>,</w:t>
      </w:r>
      <w:r w:rsidR="00845485" w:rsidRPr="00351EBE">
        <w:rPr>
          <w:rFonts w:ascii="Arial" w:eastAsia="Times New Roman" w:hAnsi="Arial" w:cs="Times New Roman"/>
          <w:sz w:val="22"/>
          <w:szCs w:val="22"/>
          <w:lang w:eastAsia="ar-SA"/>
        </w:rPr>
        <w:t xml:space="preserve"> y 1, 2</w:t>
      </w:r>
      <w:r w:rsidR="00587A71" w:rsidRPr="00351EBE">
        <w:rPr>
          <w:rFonts w:ascii="Arial" w:eastAsia="Times New Roman" w:hAnsi="Arial" w:cs="Times New Roman"/>
          <w:sz w:val="22"/>
          <w:szCs w:val="22"/>
          <w:lang w:eastAsia="ar-SA"/>
        </w:rPr>
        <w:t>,</w:t>
      </w:r>
      <w:r w:rsidR="00845485" w:rsidRPr="00351EBE">
        <w:rPr>
          <w:rFonts w:ascii="Arial" w:eastAsia="Times New Roman" w:hAnsi="Arial" w:cs="Times New Roman"/>
          <w:sz w:val="22"/>
          <w:szCs w:val="22"/>
          <w:lang w:eastAsia="ar-SA"/>
        </w:rPr>
        <w:t xml:space="preserve"> 7</w:t>
      </w:r>
      <w:r w:rsidR="00587A71" w:rsidRPr="00351EBE">
        <w:rPr>
          <w:rFonts w:ascii="Arial" w:eastAsia="Times New Roman" w:hAnsi="Arial" w:cs="Times New Roman"/>
          <w:sz w:val="22"/>
          <w:szCs w:val="22"/>
          <w:lang w:eastAsia="ar-SA"/>
        </w:rPr>
        <w:t xml:space="preserve">, 54, 55, fracción II, 57 y 64 </w:t>
      </w:r>
      <w:r w:rsidR="00296A8C" w:rsidRPr="00351EBE">
        <w:rPr>
          <w:rFonts w:ascii="Arial" w:eastAsia="Times New Roman" w:hAnsi="Arial" w:cs="Times New Roman"/>
          <w:sz w:val="22"/>
          <w:szCs w:val="22"/>
          <w:lang w:eastAsia="ar-SA"/>
        </w:rPr>
        <w:t>de la Ley, el Instituto es un órgano autónomo con personalidad jurídica y patrimonio propio que tiene por objeto el desarrollo eficiente de la radiodifusión y las telecomunicaciones, además de ser también la autoridad en materia de competencia económica de los sectores de radiodifusión y telecomunicaciones.</w:t>
      </w:r>
    </w:p>
    <w:p w14:paraId="103E8931" w14:textId="77777777" w:rsidR="00296A8C" w:rsidRPr="00351EBE" w:rsidRDefault="00296A8C" w:rsidP="000A7A8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</w:p>
    <w:p w14:paraId="4A21DB84" w14:textId="103B38A7" w:rsidR="00296A8C" w:rsidRPr="00351EBE" w:rsidRDefault="00296A8C" w:rsidP="000A7A88">
      <w:pPr>
        <w:pStyle w:val="ANOTACION"/>
        <w:spacing w:before="0" w:after="0" w:line="276" w:lineRule="auto"/>
        <w:jc w:val="both"/>
        <w:rPr>
          <w:rFonts w:ascii="Arial" w:hAnsi="Arial" w:cs="Arial"/>
          <w:b w:val="0"/>
          <w:bCs/>
          <w:sz w:val="22"/>
          <w:szCs w:val="22"/>
          <w:lang w:val="es-MX" w:eastAsia="es-MX"/>
        </w:rPr>
      </w:pP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Para tal efecto, tiene a su cargo la regulación, promoción y supervisión del uso, aprovechamiento y explotación del espectro radioeléctrico, los recursos orbitales, los servicios satelitales, las redes públicas de telecomunicaciones y la prestación de los servicios de radiodifusión y de telecomunicaciones, así como del acceso a la infraestructura activa y pasiva y otros insumos esenciales.</w:t>
      </w:r>
      <w:r w:rsidR="00457B1B" w:rsidRPr="00351EBE">
        <w:rPr>
          <w:lang w:val="es-MX"/>
        </w:rPr>
        <w:t xml:space="preserve"> </w:t>
      </w:r>
    </w:p>
    <w:p w14:paraId="497F77DC" w14:textId="77777777" w:rsidR="00243DD1" w:rsidRPr="00351EBE" w:rsidRDefault="00243DD1" w:rsidP="000A7A88">
      <w:pPr>
        <w:pStyle w:val="ANOTACION"/>
        <w:spacing w:before="0" w:after="0"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14:paraId="5CD09551" w14:textId="70E156EE" w:rsidR="00465889" w:rsidRPr="00351EBE" w:rsidRDefault="00CE4C02" w:rsidP="000A7A88">
      <w:pPr>
        <w:pStyle w:val="ANOTACION"/>
        <w:spacing w:before="0" w:after="0" w:line="276" w:lineRule="auto"/>
        <w:jc w:val="both"/>
        <w:rPr>
          <w:rFonts w:ascii="Arial" w:eastAsia="Times New Roman" w:hAnsi="Arial" w:cs="Arial"/>
          <w:b w:val="0"/>
          <w:bCs/>
          <w:sz w:val="22"/>
          <w:lang w:val="es-MX"/>
        </w:rPr>
      </w:pPr>
      <w:r w:rsidRPr="00351EBE">
        <w:rPr>
          <w:rFonts w:ascii="Arial" w:eastAsia="Times New Roman" w:hAnsi="Arial" w:cs="Arial"/>
          <w:b w:val="0"/>
          <w:bCs/>
          <w:sz w:val="22"/>
          <w:lang w:val="es-MX"/>
        </w:rPr>
        <w:t>A</w:t>
      </w:r>
      <w:r w:rsidR="001A6DDB" w:rsidRPr="00351EBE">
        <w:rPr>
          <w:rFonts w:ascii="Arial" w:eastAsia="Times New Roman" w:hAnsi="Arial" w:cs="Arial"/>
          <w:b w:val="0"/>
          <w:bCs/>
          <w:sz w:val="22"/>
          <w:lang w:val="es-MX"/>
        </w:rPr>
        <w:t>hora bien</w:t>
      </w:r>
      <w:r w:rsidRPr="00351EBE">
        <w:rPr>
          <w:rFonts w:ascii="Arial" w:eastAsia="Times New Roman" w:hAnsi="Arial" w:cs="Arial"/>
          <w:b w:val="0"/>
          <w:bCs/>
          <w:sz w:val="22"/>
          <w:lang w:val="es-MX"/>
        </w:rPr>
        <w:t>,</w:t>
      </w:r>
      <w:r w:rsidRPr="00351EBE">
        <w:rPr>
          <w:rFonts w:eastAsia="Times New Roman"/>
          <w:b w:val="0"/>
          <w:bCs/>
          <w:sz w:val="22"/>
          <w:lang w:val="es-MX"/>
        </w:rPr>
        <w:t xml:space="preserve"> </w:t>
      </w:r>
      <w:r w:rsidRPr="00351EBE">
        <w:rPr>
          <w:rFonts w:ascii="Arial" w:eastAsia="Times New Roman" w:hAnsi="Arial" w:cs="Arial"/>
          <w:b w:val="0"/>
          <w:bCs/>
          <w:sz w:val="22"/>
          <w:lang w:val="es-MX"/>
        </w:rPr>
        <w:t xml:space="preserve">de conformidad con los artículos 28, párrafo vigésimo, fracción IV </w:t>
      </w:r>
      <w:r w:rsidR="00C3675E" w:rsidRPr="00351EBE">
        <w:rPr>
          <w:rFonts w:ascii="Arial" w:eastAsia="Times New Roman" w:hAnsi="Arial" w:cs="Arial"/>
          <w:b w:val="0"/>
          <w:bCs/>
          <w:sz w:val="22"/>
          <w:lang w:val="es-MX"/>
        </w:rPr>
        <w:t xml:space="preserve">de la </w:t>
      </w:r>
      <w:r w:rsidRPr="00351EBE">
        <w:rPr>
          <w:rFonts w:ascii="Arial" w:eastAsia="Times New Roman" w:hAnsi="Arial" w:cs="Times New Roman"/>
          <w:b w:val="0"/>
          <w:sz w:val="22"/>
          <w:szCs w:val="22"/>
          <w:lang w:val="es-MX" w:eastAsia="ar-SA"/>
        </w:rPr>
        <w:t>Constitución</w:t>
      </w:r>
      <w:r w:rsidR="00C3675E" w:rsidRPr="00351EBE">
        <w:rPr>
          <w:rFonts w:ascii="Arial" w:eastAsia="Times New Roman" w:hAnsi="Arial" w:cs="Times New Roman"/>
          <w:b w:val="0"/>
          <w:sz w:val="22"/>
          <w:szCs w:val="22"/>
          <w:lang w:val="es-MX" w:eastAsia="ar-SA"/>
        </w:rPr>
        <w:t xml:space="preserve"> y</w:t>
      </w:r>
      <w:r w:rsidRPr="00351EBE">
        <w:rPr>
          <w:rFonts w:ascii="Arial" w:eastAsia="Times New Roman" w:hAnsi="Arial" w:cs="Arial"/>
          <w:b w:val="0"/>
          <w:bCs/>
          <w:sz w:val="22"/>
          <w:lang w:val="es-MX"/>
        </w:rPr>
        <w:t xml:space="preserve"> 15, fracciones I y LVI de la Ley, el Pleno del Instituto tiene la facultad de emitir disposiciones administrativas de carácter general para el cumplimiento </w:t>
      </w:r>
      <w:r w:rsidR="00C27F99" w:rsidRPr="00351EBE">
        <w:rPr>
          <w:rFonts w:ascii="Arial" w:eastAsia="Times New Roman" w:hAnsi="Arial" w:cs="Arial"/>
          <w:b w:val="0"/>
          <w:bCs/>
          <w:sz w:val="22"/>
          <w:lang w:val="es-MX"/>
        </w:rPr>
        <w:t>de sus funciones de regulación</w:t>
      </w:r>
      <w:r w:rsidRPr="00351EBE">
        <w:rPr>
          <w:rFonts w:ascii="Arial" w:eastAsia="Times New Roman" w:hAnsi="Arial" w:cs="Arial"/>
          <w:b w:val="0"/>
          <w:bCs/>
          <w:sz w:val="22"/>
          <w:lang w:val="es-MX"/>
        </w:rPr>
        <w:t>, es decir, para la promoción, supervisión y administración del uso, aprovechamiento y explotación del espectro radioeléctrico; así como interpretar la Ley y las disposiciones administrativas en materia de telecomunicaciones y radiodifusión, conforme a lo dispuesto en el artículo 15, fracción LVII de la Ley.</w:t>
      </w:r>
    </w:p>
    <w:p w14:paraId="1243F92E" w14:textId="77777777" w:rsidR="00CE4C02" w:rsidRPr="00351EBE" w:rsidRDefault="00CE4C02" w:rsidP="000A7A88">
      <w:pPr>
        <w:pStyle w:val="ANOTACION"/>
        <w:spacing w:before="0" w:after="0" w:line="276" w:lineRule="auto"/>
        <w:jc w:val="both"/>
        <w:rPr>
          <w:rFonts w:ascii="Arial" w:hAnsi="Arial" w:cs="Arial"/>
          <w:b w:val="0"/>
          <w:bCs/>
          <w:sz w:val="22"/>
          <w:szCs w:val="22"/>
          <w:highlight w:val="yellow"/>
          <w:lang w:val="es-MX" w:eastAsia="es-MX"/>
        </w:rPr>
      </w:pPr>
    </w:p>
    <w:p w14:paraId="66608B38" w14:textId="4C1D1E02" w:rsidR="00296A8C" w:rsidRPr="00351EBE" w:rsidRDefault="00296A8C" w:rsidP="000A7A88">
      <w:pPr>
        <w:pStyle w:val="ANOTACION"/>
        <w:spacing w:before="0" w:after="0"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Asimismo, el Instituto tiene la facultad para llevar a cabo consultas públicas, tal como lo disponen los artículos 15, fracción XL y 51, primer párrafo de la Ley, los cuales señalan</w:t>
      </w:r>
      <w:r w:rsidR="00FE6ACA"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 xml:space="preserve"> </w:t>
      </w:r>
      <w:r w:rsidR="00CE4C02"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lo siguiente:</w:t>
      </w:r>
    </w:p>
    <w:p w14:paraId="20C9C367" w14:textId="77777777" w:rsidR="00296A8C" w:rsidRPr="00351EBE" w:rsidRDefault="00296A8C" w:rsidP="000A7A88">
      <w:pPr>
        <w:spacing w:line="276" w:lineRule="auto"/>
        <w:ind w:left="851" w:right="1040"/>
        <w:jc w:val="both"/>
        <w:rPr>
          <w:rFonts w:ascii="Arial" w:eastAsia="Times New Roman" w:hAnsi="Arial" w:cs="Arial"/>
          <w:sz w:val="20"/>
          <w:szCs w:val="22"/>
          <w:lang w:eastAsia="es-MX"/>
        </w:rPr>
      </w:pPr>
    </w:p>
    <w:p w14:paraId="775A1B02" w14:textId="77777777" w:rsidR="00296A8C" w:rsidRPr="00351EBE" w:rsidRDefault="00296A8C" w:rsidP="000A7A88">
      <w:pPr>
        <w:widowControl w:val="0"/>
        <w:spacing w:line="276" w:lineRule="auto"/>
        <w:ind w:left="567" w:right="612"/>
        <w:jc w:val="both"/>
        <w:rPr>
          <w:rFonts w:ascii="Arial" w:eastAsia="ITC Avant Garde" w:hAnsi="Arial" w:cs="Arial"/>
          <w:i/>
          <w:sz w:val="20"/>
          <w:szCs w:val="22"/>
        </w:rPr>
      </w:pPr>
      <w:r w:rsidRPr="00351EBE">
        <w:rPr>
          <w:rFonts w:ascii="Arial" w:eastAsia="ITC Avant Garde" w:hAnsi="Arial" w:cs="Arial"/>
          <w:i/>
          <w:sz w:val="20"/>
          <w:szCs w:val="22"/>
        </w:rPr>
        <w:t>“</w:t>
      </w:r>
      <w:r w:rsidRPr="00351EBE">
        <w:rPr>
          <w:rFonts w:ascii="Arial" w:eastAsia="ITC Avant Garde" w:hAnsi="Arial" w:cs="Arial"/>
          <w:b/>
          <w:i/>
          <w:sz w:val="20"/>
          <w:szCs w:val="22"/>
        </w:rPr>
        <w:t>Artículo 15.</w:t>
      </w:r>
      <w:r w:rsidRPr="00351EBE">
        <w:rPr>
          <w:rFonts w:ascii="Arial" w:eastAsia="ITC Avant Garde" w:hAnsi="Arial" w:cs="Arial"/>
          <w:i/>
          <w:sz w:val="20"/>
          <w:szCs w:val="22"/>
        </w:rPr>
        <w:t xml:space="preserve"> Para el ejercicio de sus atribuciones corresponde al Instituto:</w:t>
      </w:r>
    </w:p>
    <w:p w14:paraId="1A9AF6B5" w14:textId="77777777" w:rsidR="00CB5B82" w:rsidRPr="00351EBE" w:rsidRDefault="00296A8C" w:rsidP="000A7A88">
      <w:pPr>
        <w:widowControl w:val="0"/>
        <w:spacing w:line="276" w:lineRule="auto"/>
        <w:ind w:left="567" w:right="612"/>
        <w:jc w:val="both"/>
        <w:rPr>
          <w:rFonts w:ascii="Arial" w:eastAsia="ITC Avant Garde" w:hAnsi="Arial" w:cs="Arial"/>
          <w:i/>
          <w:sz w:val="20"/>
          <w:szCs w:val="22"/>
        </w:rPr>
      </w:pPr>
      <w:r w:rsidRPr="00351EBE">
        <w:rPr>
          <w:rFonts w:ascii="Arial" w:eastAsia="ITC Avant Garde" w:hAnsi="Arial" w:cs="Arial"/>
          <w:i/>
          <w:sz w:val="20"/>
          <w:szCs w:val="22"/>
        </w:rPr>
        <w:t>(…)</w:t>
      </w:r>
    </w:p>
    <w:p w14:paraId="4965A659" w14:textId="7ECD7549" w:rsidR="00296A8C" w:rsidRPr="00351EBE" w:rsidRDefault="00296A8C" w:rsidP="000A7A88">
      <w:pPr>
        <w:widowControl w:val="0"/>
        <w:spacing w:line="276" w:lineRule="auto"/>
        <w:ind w:left="567" w:right="612"/>
        <w:jc w:val="both"/>
        <w:rPr>
          <w:rFonts w:ascii="Arial" w:eastAsia="ITC Avant Garde" w:hAnsi="Arial" w:cs="Arial"/>
          <w:i/>
          <w:sz w:val="20"/>
          <w:szCs w:val="22"/>
        </w:rPr>
      </w:pPr>
      <w:r w:rsidRPr="00351EBE">
        <w:rPr>
          <w:rFonts w:ascii="Arial" w:eastAsia="ITC Avant Garde" w:hAnsi="Arial" w:cs="Arial"/>
          <w:b/>
          <w:i/>
          <w:sz w:val="20"/>
          <w:szCs w:val="22"/>
        </w:rPr>
        <w:lastRenderedPageBreak/>
        <w:t>XL.</w:t>
      </w:r>
      <w:r w:rsidRPr="00351EBE">
        <w:rPr>
          <w:rFonts w:ascii="Arial" w:eastAsia="ITC Avant Garde" w:hAnsi="Arial" w:cs="Arial"/>
          <w:i/>
          <w:sz w:val="20"/>
          <w:szCs w:val="22"/>
        </w:rPr>
        <w:t xml:space="preserve"> Formular, de considerarlo necesario para el ejercicio de sus funciones, consultas públicas no vinculatorias, en las materias de su competencia;</w:t>
      </w:r>
    </w:p>
    <w:p w14:paraId="5BAB7EB2" w14:textId="431BAB0C" w:rsidR="00296A8C" w:rsidRPr="00351EBE" w:rsidRDefault="00296A8C" w:rsidP="000A7A88">
      <w:pPr>
        <w:widowControl w:val="0"/>
        <w:spacing w:line="276" w:lineRule="auto"/>
        <w:ind w:left="567" w:right="612"/>
        <w:jc w:val="both"/>
        <w:rPr>
          <w:rFonts w:ascii="Arial" w:eastAsia="ITC Avant Garde" w:hAnsi="Arial" w:cs="Arial"/>
          <w:i/>
          <w:sz w:val="20"/>
          <w:szCs w:val="22"/>
        </w:rPr>
      </w:pPr>
      <w:r w:rsidRPr="00351EBE">
        <w:rPr>
          <w:rFonts w:ascii="Arial" w:eastAsia="ITC Avant Garde" w:hAnsi="Arial" w:cs="Arial"/>
          <w:i/>
          <w:sz w:val="20"/>
          <w:szCs w:val="22"/>
        </w:rPr>
        <w:t>(…)”</w:t>
      </w:r>
    </w:p>
    <w:p w14:paraId="177DB5E1" w14:textId="77777777" w:rsidR="00CB5B82" w:rsidRPr="00351EBE" w:rsidRDefault="00CB5B82" w:rsidP="000A7A88">
      <w:pPr>
        <w:spacing w:line="276" w:lineRule="auto"/>
        <w:ind w:left="567" w:right="757"/>
        <w:jc w:val="both"/>
        <w:rPr>
          <w:rFonts w:ascii="Arial" w:eastAsia="ITC Avant Garde" w:hAnsi="Arial" w:cs="Arial"/>
          <w:i/>
          <w:sz w:val="20"/>
          <w:szCs w:val="22"/>
        </w:rPr>
      </w:pPr>
    </w:p>
    <w:p w14:paraId="044B26AE" w14:textId="5BA8B1BF" w:rsidR="00427B81" w:rsidRPr="00351EBE" w:rsidRDefault="00296A8C" w:rsidP="000A7A88">
      <w:pPr>
        <w:widowControl w:val="0"/>
        <w:spacing w:line="276" w:lineRule="auto"/>
        <w:ind w:left="567" w:right="612"/>
        <w:jc w:val="both"/>
        <w:rPr>
          <w:rFonts w:ascii="Arial" w:eastAsia="ITC Avant Garde" w:hAnsi="Arial" w:cs="Arial"/>
          <w:i/>
          <w:sz w:val="20"/>
          <w:szCs w:val="22"/>
        </w:rPr>
      </w:pPr>
      <w:r w:rsidRPr="00351EBE">
        <w:rPr>
          <w:rFonts w:ascii="Arial" w:eastAsia="ITC Avant Garde" w:hAnsi="Arial" w:cs="Arial"/>
          <w:i/>
          <w:sz w:val="20"/>
          <w:szCs w:val="22"/>
        </w:rPr>
        <w:t>“</w:t>
      </w:r>
      <w:r w:rsidRPr="00351EBE">
        <w:rPr>
          <w:rFonts w:ascii="Arial" w:eastAsia="ITC Avant Garde" w:hAnsi="Arial" w:cs="Arial"/>
          <w:b/>
          <w:i/>
          <w:sz w:val="20"/>
          <w:szCs w:val="22"/>
        </w:rPr>
        <w:t>Artículo 51.</w:t>
      </w:r>
      <w:r w:rsidRPr="00351EBE">
        <w:rPr>
          <w:rFonts w:ascii="Arial" w:eastAsia="ITC Avant Garde" w:hAnsi="Arial" w:cs="Arial"/>
          <w:i/>
          <w:sz w:val="20"/>
          <w:szCs w:val="22"/>
        </w:rPr>
        <w:t xml:space="preserve"> </w:t>
      </w:r>
      <w:r w:rsidR="001B1E4C" w:rsidRPr="00351EBE">
        <w:rPr>
          <w:rFonts w:ascii="Arial" w:eastAsia="ITC Avant Garde" w:hAnsi="Arial" w:cs="Arial"/>
          <w:i/>
          <w:sz w:val="20"/>
          <w:szCs w:val="22"/>
        </w:rPr>
        <w:t>P</w:t>
      </w:r>
      <w:r w:rsidR="001B1E4C" w:rsidRPr="00351EBE">
        <w:rPr>
          <w:rFonts w:ascii="Arial" w:eastAsia="ITC Avant Garde" w:hAnsi="Arial" w:cs="Arial"/>
          <w:i/>
          <w:sz w:val="20"/>
          <w:szCs w:val="22"/>
          <w:u w:val="single"/>
        </w:rPr>
        <w:t>ara la emisión y modificación de reglas, lineamientos o disposiciones administrativas de carácter general</w:t>
      </w:r>
      <w:r w:rsidR="001B1E4C" w:rsidRPr="00351EBE">
        <w:rPr>
          <w:rFonts w:ascii="Arial" w:eastAsia="ITC Avant Garde" w:hAnsi="Arial" w:cs="Arial"/>
          <w:i/>
          <w:sz w:val="20"/>
          <w:szCs w:val="22"/>
        </w:rPr>
        <w:t xml:space="preserve">, así como en cualquier caso que determine el Pleno, </w:t>
      </w:r>
      <w:r w:rsidR="001B1E4C" w:rsidRPr="00351EBE">
        <w:rPr>
          <w:rFonts w:ascii="Arial" w:eastAsia="ITC Avant Garde" w:hAnsi="Arial" w:cs="Arial"/>
          <w:i/>
          <w:sz w:val="20"/>
          <w:szCs w:val="22"/>
          <w:u w:val="single"/>
        </w:rPr>
        <w:t>el Instituto deberá realizar consultas públicas bajo principios de transparencia y participación ciudadana, en los términos que determine el Pleno</w:t>
      </w:r>
      <w:r w:rsidR="001B1E4C" w:rsidRPr="00351EBE">
        <w:rPr>
          <w:rFonts w:ascii="Arial" w:eastAsia="ITC Avant Garde" w:hAnsi="Arial" w:cs="Arial"/>
          <w:i/>
          <w:sz w:val="20"/>
          <w:szCs w:val="22"/>
        </w:rPr>
        <w:t xml:space="preserve">, </w:t>
      </w:r>
      <w:r w:rsidR="00CE4C02" w:rsidRPr="00351EBE">
        <w:rPr>
          <w:rFonts w:ascii="Arial" w:hAnsi="Arial" w:cs="Arial"/>
          <w:i/>
          <w:sz w:val="20"/>
          <w:szCs w:val="22"/>
        </w:rPr>
        <w:t>salvo que la publicidad pudiera comprometer lo</w:t>
      </w:r>
      <w:r w:rsidR="00CE4C02" w:rsidRPr="00351EBE">
        <w:rPr>
          <w:rFonts w:ascii="Arial" w:eastAsia="ITC Avant Garde" w:hAnsi="Arial" w:cs="Arial"/>
          <w:i/>
          <w:sz w:val="20"/>
          <w:szCs w:val="22"/>
        </w:rPr>
        <w:t xml:space="preserve"> </w:t>
      </w:r>
      <w:r w:rsidR="00CE4C02" w:rsidRPr="00351EBE">
        <w:rPr>
          <w:rFonts w:ascii="Arial" w:hAnsi="Arial" w:cs="Arial"/>
          <w:i/>
          <w:sz w:val="20"/>
          <w:szCs w:val="22"/>
        </w:rPr>
        <w:t>los efectos que se pretenden resolver o prevenir en una situación de emergencia.</w:t>
      </w:r>
    </w:p>
    <w:p w14:paraId="5D284EC0" w14:textId="000D701A" w:rsidR="00296A8C" w:rsidRPr="00351EBE" w:rsidRDefault="001B1E4C" w:rsidP="000A7A88">
      <w:pPr>
        <w:widowControl w:val="0"/>
        <w:spacing w:line="276" w:lineRule="auto"/>
        <w:ind w:left="567" w:right="612"/>
        <w:jc w:val="both"/>
        <w:rPr>
          <w:rFonts w:ascii="Arial" w:eastAsia="ITC Avant Garde" w:hAnsi="Arial" w:cs="Arial"/>
          <w:i/>
          <w:sz w:val="20"/>
          <w:szCs w:val="22"/>
        </w:rPr>
      </w:pPr>
      <w:r w:rsidRPr="00351EBE">
        <w:rPr>
          <w:rFonts w:ascii="Arial" w:eastAsia="ITC Avant Garde" w:hAnsi="Arial" w:cs="Arial"/>
          <w:i/>
          <w:sz w:val="20"/>
          <w:szCs w:val="22"/>
        </w:rPr>
        <w:t>(…)”</w:t>
      </w:r>
    </w:p>
    <w:p w14:paraId="04AFB310" w14:textId="77777777" w:rsidR="00435657" w:rsidRPr="00351EBE" w:rsidRDefault="00435657" w:rsidP="000A7A88">
      <w:pPr>
        <w:pStyle w:val="ANOTACION"/>
        <w:spacing w:before="0" w:after="0" w:line="276" w:lineRule="auto"/>
        <w:jc w:val="both"/>
        <w:rPr>
          <w:rFonts w:ascii="Arial" w:hAnsi="Arial" w:cs="Arial"/>
          <w:b w:val="0"/>
          <w:bCs/>
          <w:sz w:val="22"/>
          <w:szCs w:val="22"/>
          <w:lang w:val="es-MX" w:eastAsia="es-MX"/>
        </w:rPr>
      </w:pPr>
    </w:p>
    <w:p w14:paraId="407343E1" w14:textId="7AD83C06" w:rsidR="00296A8C" w:rsidRPr="00351EBE" w:rsidRDefault="00296A8C" w:rsidP="000A7A88">
      <w:pPr>
        <w:pStyle w:val="ANOTACION"/>
        <w:spacing w:before="0" w:after="0" w:line="276" w:lineRule="auto"/>
        <w:jc w:val="both"/>
        <w:rPr>
          <w:rFonts w:ascii="Arial" w:hAnsi="Arial" w:cs="Arial"/>
          <w:b w:val="0"/>
          <w:bCs/>
          <w:sz w:val="22"/>
          <w:szCs w:val="22"/>
          <w:lang w:val="es-MX" w:eastAsia="es-MX"/>
        </w:rPr>
      </w:pP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 xml:space="preserve">En ese sentido, el Pleno del Instituto, como órgano máximo de gobierno </w:t>
      </w:r>
      <w:r w:rsidR="006A4292"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del Instituto</w:t>
      </w: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 xml:space="preserve">, </w:t>
      </w:r>
      <w:r w:rsidR="00452CE4"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es</w:t>
      </w:r>
      <w:r w:rsidR="00982F84"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 xml:space="preserve"> </w:t>
      </w: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competente para emitir el presente Acuerdo, con fundamento en los artículos 16 y 17 fracción I de la Ley, y</w:t>
      </w:r>
      <w:r w:rsidRPr="00351EBE" w:rsidDel="00422A84">
        <w:rPr>
          <w:rFonts w:ascii="Arial" w:hAnsi="Arial" w:cs="Arial"/>
          <w:b w:val="0"/>
          <w:bCs/>
          <w:sz w:val="22"/>
          <w:szCs w:val="22"/>
          <w:lang w:val="es-MX" w:eastAsia="es-MX"/>
        </w:rPr>
        <w:t xml:space="preserve"> 4 fracción I y 6</w:t>
      </w: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 xml:space="preserve"> fracciones I </w:t>
      </w:r>
      <w:r w:rsidRPr="00351EBE" w:rsidDel="00422A84">
        <w:rPr>
          <w:rFonts w:ascii="Arial" w:hAnsi="Arial" w:cs="Arial"/>
          <w:b w:val="0"/>
          <w:bCs/>
          <w:sz w:val="22"/>
          <w:szCs w:val="22"/>
          <w:lang w:val="es-MX" w:eastAsia="es-MX"/>
        </w:rPr>
        <w:t>y XXXVIII del Estatuto Orgánico</w:t>
      </w: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.</w:t>
      </w:r>
    </w:p>
    <w:p w14:paraId="5483BA2C" w14:textId="77777777" w:rsidR="008328F9" w:rsidRPr="00351EBE" w:rsidRDefault="008328F9" w:rsidP="000A7A88">
      <w:pPr>
        <w:pStyle w:val="ANOTACION"/>
        <w:spacing w:before="0" w:after="0"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14:paraId="725E41BF" w14:textId="29C286BF" w:rsidR="00296A8C" w:rsidRPr="00351EBE" w:rsidRDefault="00674FE1" w:rsidP="000A7A88">
      <w:pPr>
        <w:pStyle w:val="Prrafodelista"/>
        <w:spacing w:line="276" w:lineRule="auto"/>
        <w:ind w:left="0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Segundo</w:t>
      </w:r>
      <w:r w:rsidR="004A0896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.-</w:t>
      </w:r>
      <w:r w:rsidR="006143F2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 xml:space="preserve"> </w:t>
      </w:r>
      <w:r w:rsidR="00620997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Objeto y co</w:t>
      </w:r>
      <w:r w:rsidR="00B149AA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 xml:space="preserve">ntenido </w:t>
      </w:r>
      <w:r w:rsidR="00620997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de</w:t>
      </w:r>
      <w:r w:rsidR="00174CEF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 xml:space="preserve">l </w:t>
      </w:r>
      <w:r w:rsidR="00FD6682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 xml:space="preserve">Anteproyecto. </w:t>
      </w:r>
      <w:r w:rsidR="0023275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El Anteproyecto constituye una disposición administrativa de carácter general que tiene </w:t>
      </w:r>
      <w:r w:rsidR="000B3030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por objeto </w:t>
      </w:r>
      <w:r w:rsidR="00625C6A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actualizar </w:t>
      </w:r>
      <w:r w:rsidR="00730A0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las condiciones técnicas de operaci</w:t>
      </w:r>
      <w:r w:rsidR="008E4C6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ón de </w:t>
      </w:r>
      <w:r w:rsidR="00625C6A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la banda</w:t>
      </w:r>
      <w:r w:rsidR="00B173A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de frecuencias</w:t>
      </w:r>
      <w:r w:rsidR="00625C6A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57-64 GHz</w:t>
      </w:r>
      <w:r w:rsidR="00B173A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(“banda 57-64 GHz”)</w:t>
      </w:r>
      <w:r w:rsidR="00625C6A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="00C84625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clasificada como espectro libre,</w:t>
      </w:r>
      <w:r w:rsidR="00625C6A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a efecto de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F426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incluir </w:t>
      </w:r>
      <w:r w:rsidR="00307B2F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a</w:t>
      </w:r>
      <w:r w:rsidR="00554A6F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l Anexo 1 del </w:t>
      </w:r>
      <w:r w:rsidR="00554A6F" w:rsidRPr="00351EBE">
        <w:rPr>
          <w:rFonts w:ascii="Arial" w:hAnsi="Arial" w:cs="Arial"/>
          <w:kern w:val="1"/>
          <w:sz w:val="22"/>
          <w:szCs w:val="22"/>
          <w:lang w:eastAsia="ar-SA"/>
        </w:rPr>
        <w:t>Acuerdo que clasifica la banda 57-64 GHz</w:t>
      </w:r>
      <w:r w:rsidR="006B10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la</w:t>
      </w:r>
      <w:r w:rsidR="00141E08">
        <w:rPr>
          <w:rFonts w:ascii="Arial" w:eastAsia="Times New Roman" w:hAnsi="Arial" w:cs="Arial"/>
          <w:kern w:val="1"/>
          <w:sz w:val="22"/>
          <w:szCs w:val="22"/>
          <w:lang w:eastAsia="ar-SA"/>
        </w:rPr>
        <w:t>s</w:t>
      </w:r>
      <w:r w:rsidR="006B10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8328F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condici</w:t>
      </w:r>
      <w:r w:rsidR="00141E08">
        <w:rPr>
          <w:rFonts w:ascii="Arial" w:eastAsia="Times New Roman" w:hAnsi="Arial" w:cs="Arial"/>
          <w:kern w:val="1"/>
          <w:sz w:val="22"/>
          <w:szCs w:val="22"/>
          <w:lang w:eastAsia="ar-SA"/>
        </w:rPr>
        <w:t>ones</w:t>
      </w:r>
      <w:r w:rsidR="008328F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técnica</w:t>
      </w:r>
      <w:r w:rsidR="00141E08">
        <w:rPr>
          <w:rFonts w:ascii="Arial" w:eastAsia="Times New Roman" w:hAnsi="Arial" w:cs="Arial"/>
          <w:kern w:val="1"/>
          <w:sz w:val="22"/>
          <w:szCs w:val="22"/>
          <w:lang w:eastAsia="ar-SA"/>
        </w:rPr>
        <w:t>s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882E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de operación </w:t>
      </w:r>
      <w:r w:rsidR="00141E08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en el nuevo numeral </w:t>
      </w:r>
      <w:r w:rsidR="00275D1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2.1.6 y </w:t>
      </w:r>
      <w:r w:rsidR="008328F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modificar </w:t>
      </w:r>
      <w:r w:rsidR="00141E08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el numeral </w:t>
      </w:r>
      <w:r w:rsidR="00275D1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2.1.7 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para </w:t>
      </w:r>
      <w:r w:rsidR="008328F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los </w:t>
      </w:r>
      <w:r w:rsidR="00243DD1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sensores de movimiento que </w:t>
      </w:r>
      <w:r w:rsidR="006143F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pudiera</w:t>
      </w:r>
      <w:r w:rsidR="00F426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 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opera</w:t>
      </w:r>
      <w:r w:rsidR="00F426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r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dentro de</w:t>
      </w:r>
      <w:r w:rsidR="006143F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l</w:t>
      </w:r>
      <w:r w:rsidR="006143F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a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6143F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banda</w:t>
      </w:r>
      <w:r w:rsidR="00243DD1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511CB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57-</w:t>
      </w:r>
      <w:r w:rsidR="00353E5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64</w:t>
      </w:r>
      <w:r w:rsidR="00511CB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GHz</w:t>
      </w:r>
      <w:r w:rsidR="00296A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882E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con la</w:t>
      </w:r>
      <w:r w:rsidR="00FE634F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finalidad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882E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de 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brindar alternativas a los usuarios al interactuar con nuev</w:t>
      </w:r>
      <w:r w:rsidR="00FE634F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as tecnologías y dispositiv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os.</w:t>
      </w:r>
    </w:p>
    <w:p w14:paraId="250D4150" w14:textId="22435AA3" w:rsidR="00296A8C" w:rsidRPr="00351EBE" w:rsidRDefault="00296A8C" w:rsidP="000A7A88">
      <w:pPr>
        <w:spacing w:line="276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0579E479" w14:textId="6E93FBE4" w:rsidR="007A4247" w:rsidRPr="00351EBE" w:rsidRDefault="00C23930" w:rsidP="000A7A88">
      <w:pPr>
        <w:spacing w:line="276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La </w:t>
      </w:r>
      <w:r w:rsidR="00C364E8" w:rsidRPr="00351EBE" w:rsidDel="00A6019F">
        <w:rPr>
          <w:rFonts w:ascii="Arial" w:eastAsia="Times New Roman" w:hAnsi="Arial" w:cs="Arial"/>
          <w:kern w:val="1"/>
          <w:sz w:val="22"/>
          <w:szCs w:val="22"/>
          <w:lang w:eastAsia="ar-SA"/>
        </w:rPr>
        <w:t>adición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de c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ondiciones técnicas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de operación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para sensores de movimiento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882E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podrá</w:t>
      </w:r>
      <w:r w:rsidR="000A1B55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incentivar el desarrollo de nueva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s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tecnología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s,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B173A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y 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la fabricación </w:t>
      </w:r>
      <w:r w:rsidR="00B173A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y comercialización 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de </w:t>
      </w:r>
      <w:r w:rsidR="007A424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dispositivos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que permitan </w:t>
      </w:r>
      <w:r w:rsidR="000A1B55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cubrir </w:t>
      </w:r>
      <w:r w:rsidR="006E078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ciertas </w:t>
      </w:r>
      <w:r w:rsidR="000A1B55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necesidades de comunicación</w:t>
      </w:r>
      <w:r w:rsidR="00B173A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="000A1B55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sin la necesidad de que se tenga contacto físico con los dispositivos</w:t>
      </w:r>
      <w:r w:rsidR="00CF4AF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;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lo anterior </w:t>
      </w:r>
      <w:r w:rsidR="00F12C9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potencialmente </w:t>
      </w:r>
      <w:r w:rsidR="00A91F4F">
        <w:rPr>
          <w:rFonts w:ascii="Arial" w:eastAsia="Times New Roman" w:hAnsi="Arial" w:cs="Arial"/>
          <w:kern w:val="1"/>
          <w:sz w:val="22"/>
          <w:szCs w:val="22"/>
          <w:lang w:eastAsia="ar-SA"/>
        </w:rPr>
        <w:t>podr</w:t>
      </w:r>
      <w:r w:rsidR="00F12C9B">
        <w:rPr>
          <w:rFonts w:ascii="Arial" w:eastAsia="Times New Roman" w:hAnsi="Arial" w:cs="Arial"/>
          <w:kern w:val="1"/>
          <w:sz w:val="22"/>
          <w:szCs w:val="22"/>
          <w:lang w:eastAsia="ar-SA"/>
        </w:rPr>
        <w:t>ía</w:t>
      </w:r>
      <w:r w:rsidR="00A91F4F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882E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beneficiar 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 personas con </w:t>
      </w:r>
      <w:r w:rsidR="00882E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alguna 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discapacidad </w:t>
      </w:r>
      <w:r w:rsidR="00026C4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al </w:t>
      </w:r>
      <w:r w:rsidR="00CF4AF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permitir contar con </w:t>
      </w:r>
      <w:r w:rsidR="00882E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accesib</w:t>
      </w:r>
      <w:r w:rsidR="00026C4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i</w:t>
      </w:r>
      <w:r w:rsidR="00882E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l</w:t>
      </w:r>
      <w:r w:rsidR="00026C4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idad e</w:t>
      </w:r>
      <w:r w:rsidR="00882E5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9A09E9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interacción con sus dispositivos y facilitar comunicación</w:t>
      </w:r>
      <w:r w:rsidR="00026C4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79DA3D28" w14:textId="77777777" w:rsidR="00CB5EAE" w:rsidRPr="00351EBE" w:rsidRDefault="00CB5EAE" w:rsidP="000A7A88">
      <w:pPr>
        <w:spacing w:line="276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6EA0F0DB" w14:textId="35E54D2A" w:rsidR="0057093B" w:rsidRPr="00351EBE" w:rsidRDefault="00746E13" w:rsidP="000A7A88">
      <w:pPr>
        <w:spacing w:line="276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En este sentido, en el Anteproyecto se analiz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ó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la 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adición </w:t>
      </w:r>
      <w:r w:rsidR="007A424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de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7A424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condiciones técnicas </w:t>
      </w:r>
      <w:r w:rsidR="00FE634F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específicas para la operación de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7A424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sensores de movimiento que hacen uso de la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banda</w:t>
      </w:r>
      <w:r w:rsidR="00CB5EA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A024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57</w:t>
      </w:r>
      <w:r w:rsidR="0092250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-64 GHz</w:t>
      </w:r>
      <w:r w:rsidR="00423D0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A024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como espectro libre</w:t>
      </w:r>
      <w:r w:rsidR="00B173A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="00A024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423D0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tanto e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 el ámbito nacional 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como en el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internacional</w:t>
      </w:r>
      <w:r w:rsidR="00CB5EA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los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s</w:t>
      </w:r>
      <w:r w:rsidR="007A424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ensores de movimiento 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que </w:t>
      </w:r>
      <w:r w:rsidR="006E078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pudieran 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s</w:t>
      </w:r>
      <w:r w:rsidR="006E078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er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empleado</w:t>
      </w:r>
      <w:r w:rsidR="00423D0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s 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en la banda, las diversas formas de asignación 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lastRenderedPageBreak/>
        <w:t xml:space="preserve">y </w:t>
      </w:r>
      <w:r w:rsidR="00423D0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regulación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existentes, </w:t>
      </w:r>
      <w:r w:rsidR="00CB5EA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las mejores prácticas internacionales, 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además de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puntualiza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r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las recomendaciones y estándares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CB5EA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internacionales provenientes de organismos especializados en la materia, 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que </w:t>
      </w:r>
      <w:r w:rsidR="00657F5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incluyen mecanismos que promueve</w:t>
      </w:r>
      <w:r w:rsidR="00591A23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n un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uso</w:t>
      </w:r>
      <w:r w:rsidR="00423D0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CB5EA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más eficiente </w:t>
      </w:r>
      <w:r w:rsidR="00423D0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de l</w:t>
      </w:r>
      <w:r w:rsidR="007A424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os dispositivos que hacen uso de l</w:t>
      </w:r>
      <w:r w:rsidR="00423D0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 banda </w:t>
      </w:r>
      <w:r w:rsidR="00132C2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de frecuencias</w:t>
      </w:r>
      <w:r w:rsidR="0057093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que nos ocupa</w:t>
      </w:r>
      <w:r w:rsidR="001A304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7ED2034E" w14:textId="28DEA6CA" w:rsidR="00E4164B" w:rsidRPr="00351EBE" w:rsidRDefault="00E4164B" w:rsidP="000A7A88">
      <w:pPr>
        <w:spacing w:line="276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00B1540D" w14:textId="4A5C0A69" w:rsidR="008461AA" w:rsidRPr="00351EBE" w:rsidRDefault="008461AA" w:rsidP="000A7A88">
      <w:pPr>
        <w:spacing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351EBE">
        <w:rPr>
          <w:rFonts w:ascii="Arial" w:eastAsia="Times New Roman" w:hAnsi="Arial" w:cs="Arial"/>
          <w:kern w:val="1"/>
          <w:lang w:eastAsia="ar-SA"/>
        </w:rPr>
        <w:t>Aunado a lo anterior, se considera oportuno actualizar los términos y definiciones de los numerales 1.1.5 y 1.1.12, así como adicionar los numerales 1.1.4 y 1.1.8 y 1.1.14</w:t>
      </w:r>
      <w:r w:rsidR="00362155">
        <w:rPr>
          <w:rFonts w:ascii="Arial" w:eastAsia="Times New Roman" w:hAnsi="Arial" w:cs="Arial"/>
          <w:kern w:val="1"/>
          <w:lang w:eastAsia="ar-SA"/>
        </w:rPr>
        <w:t xml:space="preserve">, </w:t>
      </w:r>
      <w:r w:rsidRPr="00351EBE">
        <w:rPr>
          <w:rFonts w:ascii="Arial" w:eastAsia="Times New Roman" w:hAnsi="Arial" w:cs="Arial"/>
          <w:kern w:val="1"/>
          <w:lang w:eastAsia="ar-SA"/>
        </w:rPr>
        <w:t xml:space="preserve">con el objeto de brindar consistencia y claridad respecto de las características técnicas de operación contenidas en el </w:t>
      </w:r>
      <w:r w:rsidR="00275D1D" w:rsidRPr="00351EBE">
        <w:rPr>
          <w:rFonts w:ascii="Arial" w:eastAsia="Times New Roman" w:hAnsi="Arial" w:cs="Arial"/>
          <w:kern w:val="1"/>
          <w:lang w:eastAsia="ar-SA"/>
        </w:rPr>
        <w:t xml:space="preserve">Anexo 1 del </w:t>
      </w:r>
      <w:r w:rsidR="008328F9" w:rsidRPr="00351EBE">
        <w:rPr>
          <w:rFonts w:ascii="Arial" w:hAnsi="Arial" w:cs="Arial"/>
          <w:kern w:val="1"/>
          <w:sz w:val="22"/>
          <w:szCs w:val="22"/>
          <w:lang w:eastAsia="ar-SA"/>
        </w:rPr>
        <w:t>Acuerdo que clasifica la banda 57-64 GHz</w:t>
      </w:r>
      <w:r w:rsidRPr="00351EBE">
        <w:rPr>
          <w:rFonts w:ascii="Arial" w:eastAsia="Times New Roman" w:hAnsi="Arial" w:cs="Arial"/>
          <w:kern w:val="1"/>
          <w:lang w:eastAsia="ar-SA"/>
        </w:rPr>
        <w:t>.</w:t>
      </w:r>
    </w:p>
    <w:p w14:paraId="53F06C1C" w14:textId="03150BD0" w:rsidR="00275D1D" w:rsidRPr="00351EBE" w:rsidRDefault="00275D1D" w:rsidP="000A7A88">
      <w:pPr>
        <w:spacing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14:paraId="5972CFBA" w14:textId="6EAFA74C" w:rsidR="00275D1D" w:rsidRPr="00351EBE" w:rsidRDefault="00275D1D" w:rsidP="000A7A88">
      <w:pPr>
        <w:spacing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351EBE">
        <w:rPr>
          <w:rFonts w:ascii="Arial" w:eastAsia="Times New Roman" w:hAnsi="Arial" w:cs="Arial"/>
          <w:kern w:val="1"/>
          <w:lang w:eastAsia="ar-SA"/>
        </w:rPr>
        <w:t>Finalmente, se agrega al propio Anexo 1 del Anteproyecto el título del mismo: “CONDICIONES TÉCNICAS DE OPERACIÓN DE LA BANDA DE FRECUENCIAS 57-64 GHZ” a efecto de identificar con certeza el contenido y alcance del documento.</w:t>
      </w:r>
    </w:p>
    <w:p w14:paraId="1C3F086F" w14:textId="77777777" w:rsidR="008461AA" w:rsidRPr="00351EBE" w:rsidRDefault="008461AA" w:rsidP="000A7A88">
      <w:pPr>
        <w:spacing w:line="276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3551A80C" w14:textId="536EBE07" w:rsidR="00B81A4A" w:rsidRPr="00351EBE" w:rsidRDefault="00B81A4A" w:rsidP="000A7A88">
      <w:pPr>
        <w:spacing w:line="276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En este orden de ideas, el Anteproyecto persigue los objetivos siguientes:</w:t>
      </w:r>
    </w:p>
    <w:p w14:paraId="7C1DE372" w14:textId="02C82906" w:rsidR="00B7689E" w:rsidRPr="00351EBE" w:rsidRDefault="00B7689E" w:rsidP="000A7A88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6C4701A" w14:textId="03C8F4F5" w:rsidR="0035158E" w:rsidRDefault="00B7344E" w:rsidP="000A7A88">
      <w:pPr>
        <w:numPr>
          <w:ilvl w:val="0"/>
          <w:numId w:val="37"/>
        </w:numPr>
        <w:spacing w:line="276" w:lineRule="auto"/>
        <w:ind w:left="720" w:hanging="436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Actualizar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8B7A8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las 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condiciones técnicas de operación para </w:t>
      </w:r>
      <w:r w:rsidR="00982631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sensores de movimiento que podrían hacer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uso de l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a banda 57-64 GHz</w:t>
      </w:r>
      <w:r w:rsidR="00A5130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con el fin de </w:t>
      </w:r>
      <w:r w:rsidR="00CF1033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propiciar 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el 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despliegue de nueva tecnología referente a sensores de movimiento en nuestro país y </w:t>
      </w:r>
      <w:r w:rsidR="00AC2411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en </w:t>
      </w:r>
      <w:r w:rsidR="00F12C9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consecuencia </w:t>
      </w:r>
      <w:r w:rsidR="00AC2411">
        <w:rPr>
          <w:rFonts w:ascii="Arial" w:eastAsia="Times New Roman" w:hAnsi="Arial" w:cs="Arial"/>
          <w:kern w:val="1"/>
          <w:sz w:val="22"/>
          <w:szCs w:val="22"/>
          <w:lang w:eastAsia="ar-SA"/>
        </w:rPr>
        <w:t>benefici</w:t>
      </w:r>
      <w:r w:rsidR="00F12C9B">
        <w:rPr>
          <w:rFonts w:ascii="Arial" w:eastAsia="Times New Roman" w:hAnsi="Arial" w:cs="Arial"/>
          <w:kern w:val="1"/>
          <w:sz w:val="22"/>
          <w:szCs w:val="22"/>
          <w:lang w:eastAsia="ar-SA"/>
        </w:rPr>
        <w:t>ar</w:t>
      </w:r>
      <w:r w:rsidR="00AC2411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F12C9B">
        <w:rPr>
          <w:rFonts w:ascii="Arial" w:eastAsia="Times New Roman" w:hAnsi="Arial" w:cs="Arial"/>
          <w:kern w:val="1"/>
          <w:sz w:val="22"/>
          <w:szCs w:val="22"/>
          <w:lang w:eastAsia="ar-SA"/>
        </w:rPr>
        <w:t>al</w:t>
      </w:r>
      <w:r w:rsidR="00F12C9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A96369">
        <w:rPr>
          <w:rFonts w:ascii="Arial" w:eastAsia="Times New Roman" w:hAnsi="Arial" w:cs="Arial"/>
          <w:kern w:val="1"/>
          <w:sz w:val="22"/>
          <w:szCs w:val="22"/>
          <w:lang w:eastAsia="ar-SA"/>
        </w:rPr>
        <w:t>público en general.</w:t>
      </w:r>
    </w:p>
    <w:p w14:paraId="21386DDA" w14:textId="77777777" w:rsidR="00AC2411" w:rsidRDefault="00AC2411" w:rsidP="00AC2411">
      <w:pPr>
        <w:spacing w:line="276" w:lineRule="auto"/>
        <w:ind w:left="72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56684A7B" w14:textId="460E5A23" w:rsidR="00437FFA" w:rsidRPr="00351EBE" w:rsidRDefault="00925B8E" w:rsidP="000A7A88">
      <w:pPr>
        <w:numPr>
          <w:ilvl w:val="0"/>
          <w:numId w:val="37"/>
        </w:numPr>
        <w:spacing w:line="276" w:lineRule="auto"/>
        <w:ind w:left="720" w:hanging="36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Administrar y f</w:t>
      </w:r>
      <w:r w:rsidR="00296A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omentar el uso eficiente del espectro radioeléctrico </w:t>
      </w:r>
      <w:r w:rsidR="00671406">
        <w:rPr>
          <w:rFonts w:ascii="Arial" w:eastAsia="Times New Roman" w:hAnsi="Arial" w:cs="Arial"/>
          <w:kern w:val="1"/>
          <w:sz w:val="22"/>
          <w:szCs w:val="22"/>
          <w:lang w:eastAsia="ar-SA"/>
        </w:rPr>
        <w:t>en</w:t>
      </w:r>
      <w:r w:rsidR="00296A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la banda</w:t>
      </w:r>
      <w:r w:rsidR="00194795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A024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57</w:t>
      </w:r>
      <w:r w:rsidR="00296A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-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64</w:t>
      </w:r>
      <w:r w:rsidR="00296A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GHz</w:t>
      </w:r>
      <w:r w:rsidR="0067140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63D03CB5" w14:textId="01B281F3" w:rsidR="00721C8C" w:rsidRPr="00351EBE" w:rsidRDefault="00721C8C" w:rsidP="000A7A88">
      <w:pPr>
        <w:spacing w:line="276" w:lineRule="auto"/>
        <w:ind w:left="72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7BAB56E9" w14:textId="2208711E" w:rsidR="00925B8E" w:rsidRPr="00351EBE" w:rsidRDefault="00925B8E" w:rsidP="000A7A88">
      <w:pPr>
        <w:numPr>
          <w:ilvl w:val="0"/>
          <w:numId w:val="37"/>
        </w:numPr>
        <w:spacing w:line="276" w:lineRule="auto"/>
        <w:ind w:left="720" w:hanging="36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Promover e impulsar condiciones para que el público en general tenga acceso a </w:t>
      </w:r>
      <w:r w:rsidR="00126A2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nuevas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tecnologías y servicios de telecomunicaciones </w:t>
      </w:r>
      <w:r w:rsidR="00126A2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mediante el uso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de la banda </w:t>
      </w:r>
      <w:r w:rsidR="00A024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57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-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64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GHz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BB2B280" w14:textId="77777777" w:rsidR="00EE240A" w:rsidRPr="00351EBE" w:rsidRDefault="00EE240A" w:rsidP="000A7A88">
      <w:pPr>
        <w:spacing w:line="276" w:lineRule="auto"/>
        <w:ind w:left="72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5E3565E6" w14:textId="58441B2D" w:rsidR="00B7689E" w:rsidRPr="00351EBE" w:rsidRDefault="001B1E4C" w:rsidP="000A7A88">
      <w:pPr>
        <w:numPr>
          <w:ilvl w:val="0"/>
          <w:numId w:val="37"/>
        </w:numPr>
        <w:spacing w:line="276" w:lineRule="auto"/>
        <w:ind w:left="720" w:hanging="36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Acrecentar</w:t>
      </w:r>
      <w:r w:rsidR="00925B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la a</w:t>
      </w:r>
      <w:r w:rsidR="00296A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rmoniza</w:t>
      </w:r>
      <w:r w:rsidR="00925B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ción </w:t>
      </w:r>
      <w:r w:rsidR="00126A2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en </w:t>
      </w:r>
      <w:r w:rsidR="00296A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el uso </w:t>
      </w:r>
      <w:r w:rsidR="00925B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del espectro radioeléctrico</w:t>
      </w:r>
      <w:r w:rsidR="00126A2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D42CE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para los sensores de movimiento </w:t>
      </w:r>
      <w:r w:rsidR="00126A2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en la banda</w:t>
      </w:r>
      <w:r w:rsidR="00194795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A024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57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-64</w:t>
      </w:r>
      <w:r w:rsidR="00126A2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GHz</w:t>
      </w:r>
      <w:r w:rsidR="00296A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</w:t>
      </w:r>
      <w:r w:rsidR="00925B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con base en</w:t>
      </w:r>
      <w:r w:rsidR="00296A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las mejores prácticas internacionales y los avances tecnol</w:t>
      </w:r>
      <w:r w:rsidR="00721C8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ógicos </w:t>
      </w:r>
      <w:r w:rsidR="00126A2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existentes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64E0E6E0" w14:textId="75871E70" w:rsidR="00721C8C" w:rsidRPr="00351EBE" w:rsidRDefault="00721C8C" w:rsidP="000A7A88">
      <w:pPr>
        <w:spacing w:line="276" w:lineRule="auto"/>
        <w:ind w:left="72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38BA3AC4" w14:textId="7332DCB4" w:rsidR="001B1E4C" w:rsidRPr="00351EBE" w:rsidRDefault="001B1E4C" w:rsidP="000A7A88">
      <w:pPr>
        <w:numPr>
          <w:ilvl w:val="0"/>
          <w:numId w:val="37"/>
        </w:numPr>
        <w:spacing w:line="276" w:lineRule="auto"/>
        <w:ind w:left="720" w:hanging="36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Incentivar la innovación tecnológica en el país al </w:t>
      </w:r>
      <w:r w:rsidR="00C364E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adicionar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el acceso al espectro radioeléctrico para pruebas y experimentación de nuevos equipos o tecnologías </w:t>
      </w:r>
      <w:r w:rsidR="00AF4D75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relacionados con sensores de movimiento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en la banda </w:t>
      </w:r>
      <w:r w:rsidR="00A0246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57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-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64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GHz, sin necesidad de contar con una concesión para estos fines</w:t>
      </w:r>
      <w:r w:rsidR="0016377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126A2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y</w:t>
      </w:r>
    </w:p>
    <w:p w14:paraId="5C86648B" w14:textId="65D28FE7" w:rsidR="001B1E4C" w:rsidRPr="00351EBE" w:rsidRDefault="001B1E4C" w:rsidP="000A7A88">
      <w:pPr>
        <w:spacing w:line="276" w:lineRule="auto"/>
        <w:ind w:left="72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41157C19" w14:textId="52B23301" w:rsidR="00296A8C" w:rsidRPr="00351EBE" w:rsidRDefault="00296A8C" w:rsidP="000A7A88">
      <w:pPr>
        <w:numPr>
          <w:ilvl w:val="0"/>
          <w:numId w:val="37"/>
        </w:numPr>
        <w:spacing w:line="276" w:lineRule="auto"/>
        <w:ind w:left="714" w:hanging="357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Fomentar </w:t>
      </w:r>
      <w:r w:rsidR="00126A24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la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competencia en el </w:t>
      </w:r>
      <w:r w:rsidR="00845485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mercado de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1B1E4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las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telecomunicaciones para </w:t>
      </w:r>
      <w:r w:rsidR="001B1E4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la banda </w:t>
      </w:r>
      <w:r w:rsidR="00D16721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57</w:t>
      </w:r>
      <w:r w:rsidR="001B1E4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-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64</w:t>
      </w:r>
      <w:r w:rsidR="001B1E4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GHz, con el objeto de lograr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un mayor desarrollo en </w:t>
      </w:r>
      <w:r w:rsidR="001B1E4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el sector</w:t>
      </w:r>
      <w:r w:rsidR="0035158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079200C" w14:textId="249F7C32" w:rsidR="00296A8C" w:rsidRPr="00351EBE" w:rsidRDefault="00296A8C" w:rsidP="000A7A88">
      <w:pPr>
        <w:pStyle w:val="Prrafodelista"/>
        <w:spacing w:line="276" w:lineRule="auto"/>
        <w:ind w:left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54E7EB64" w14:textId="628A5B1C" w:rsidR="00296A8C" w:rsidRPr="00351EBE" w:rsidRDefault="00674FE1" w:rsidP="000A7A8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2" w:name="_GoBack"/>
      <w:r>
        <w:rPr>
          <w:rFonts w:ascii="Arial" w:eastAsia="Calibri" w:hAnsi="Arial" w:cs="Arial"/>
          <w:b/>
          <w:sz w:val="22"/>
          <w:szCs w:val="22"/>
        </w:rPr>
        <w:t>Tercero</w:t>
      </w:r>
      <w:bookmarkEnd w:id="2"/>
      <w:r w:rsidR="0085104A" w:rsidRPr="00351EBE">
        <w:rPr>
          <w:rFonts w:ascii="Arial" w:eastAsia="Calibri" w:hAnsi="Arial" w:cs="Arial"/>
          <w:b/>
          <w:sz w:val="22"/>
          <w:szCs w:val="22"/>
        </w:rPr>
        <w:t>.-</w:t>
      </w:r>
      <w:r w:rsidR="00A90CBC" w:rsidRPr="00351EBE">
        <w:rPr>
          <w:rFonts w:ascii="Arial" w:eastAsia="Calibri" w:hAnsi="Arial" w:cs="Arial"/>
          <w:b/>
          <w:sz w:val="22"/>
          <w:szCs w:val="22"/>
        </w:rPr>
        <w:t xml:space="preserve"> </w:t>
      </w:r>
      <w:r w:rsidR="00296A8C" w:rsidRPr="00351EBE">
        <w:rPr>
          <w:rFonts w:ascii="Arial" w:eastAsia="Calibri" w:hAnsi="Arial" w:cs="Arial"/>
          <w:b/>
          <w:sz w:val="22"/>
          <w:szCs w:val="22"/>
        </w:rPr>
        <w:t>Consulta Pública.</w:t>
      </w:r>
      <w:r w:rsidR="00296A8C" w:rsidRPr="00351EBE">
        <w:rPr>
          <w:rFonts w:ascii="Arial" w:eastAsia="Calibri" w:hAnsi="Arial" w:cs="Arial"/>
          <w:sz w:val="22"/>
          <w:szCs w:val="22"/>
        </w:rPr>
        <w:t xml:space="preserve"> El artículo 51 de la Ley señala que, para la emisión y modificación de reglas, lineamientos o disposiciones administrativas de carácter general, así como en cualquier caso que determine el Pleno, el Instituto deberá realizar consultas públicas bajo los principios de transparencia y participación ciudadana, salvo que la publicidad pudiera comprometer los efectos que se pretenden resolver o prevenir en una situación de emergencia.</w:t>
      </w:r>
    </w:p>
    <w:p w14:paraId="603E4B58" w14:textId="77777777" w:rsidR="00296A8C" w:rsidRPr="00351EBE" w:rsidRDefault="00296A8C" w:rsidP="000A7A8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</w:p>
    <w:p w14:paraId="50DD5E03" w14:textId="7430C065" w:rsidR="00296A8C" w:rsidRPr="00351EBE" w:rsidRDefault="00296A8C" w:rsidP="000A7A88">
      <w:pPr>
        <w:pStyle w:val="ANOTACION"/>
        <w:spacing w:before="0" w:after="0"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Por su parte, los Lineamientos de Consulta Pública precisan</w:t>
      </w:r>
      <w:r w:rsidR="00B173A6"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,</w:t>
      </w: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 xml:space="preserve"> en su </w:t>
      </w:r>
      <w:r w:rsidR="00E411D6"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l</w:t>
      </w: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 xml:space="preserve">ineamiento Tercero, fracción II, la facultad del Instituto para realizar consultas públicas de un </w:t>
      </w:r>
      <w:r w:rsidR="006E0782"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ante</w:t>
      </w: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 xml:space="preserve">proyecto de regulación, acompañado de su respectivo Análisis de Impacto Regulatorio o Análisis de Nulo Impacto Regulatorio, con la finalidad de obtener información, comentarios, opiniones, aportaciones u otros elementos de análisis por parte de cualquier persona, a efecto de enriquecer el contenido de la regulación a emitir. Asimismo, el </w:t>
      </w:r>
      <w:r w:rsidR="00E411D6"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l</w:t>
      </w:r>
      <w:r w:rsidRPr="00351EBE">
        <w:rPr>
          <w:rFonts w:ascii="Arial" w:hAnsi="Arial" w:cs="Arial"/>
          <w:b w:val="0"/>
          <w:bCs/>
          <w:sz w:val="22"/>
          <w:szCs w:val="22"/>
          <w:lang w:val="es-MX" w:eastAsia="es-MX"/>
        </w:rPr>
        <w:t>ineamiento Décimo Cuarto de los Lineamientos de Consulta Pública establece que el Pleno del Instituto podrá exceptuar la realización de una consulta pública bajo los siguientes supuestos:</w:t>
      </w:r>
    </w:p>
    <w:p w14:paraId="12F4AE91" w14:textId="77777777" w:rsidR="00842E73" w:rsidRPr="00351EBE" w:rsidRDefault="00842E73" w:rsidP="000A7A8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</w:p>
    <w:p w14:paraId="779B9975" w14:textId="5C751E0E" w:rsidR="00296A8C" w:rsidRPr="00351EBE" w:rsidRDefault="00296A8C" w:rsidP="000A7A88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09" w:right="49" w:hanging="283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351EBE">
        <w:rPr>
          <w:rFonts w:ascii="Arial" w:eastAsia="Times New Roman" w:hAnsi="Arial" w:cs="Arial"/>
          <w:sz w:val="22"/>
          <w:szCs w:val="22"/>
        </w:rPr>
        <w:t xml:space="preserve">Que la publicidad del </w:t>
      </w:r>
      <w:r w:rsidR="00CE043E" w:rsidRPr="00351EBE">
        <w:rPr>
          <w:rFonts w:ascii="Arial" w:eastAsia="Times New Roman" w:hAnsi="Arial" w:cs="Arial"/>
          <w:sz w:val="22"/>
          <w:szCs w:val="22"/>
        </w:rPr>
        <w:t>A</w:t>
      </w:r>
      <w:r w:rsidRPr="00351EBE">
        <w:rPr>
          <w:rFonts w:ascii="Arial" w:eastAsia="Times New Roman" w:hAnsi="Arial" w:cs="Arial"/>
          <w:sz w:val="22"/>
          <w:szCs w:val="22"/>
        </w:rPr>
        <w:t>nteproyecto de regulación pudiera comprometer los efectos que se pretenden resolver o lograr con el mismo, o</w:t>
      </w:r>
    </w:p>
    <w:p w14:paraId="3A194F5E" w14:textId="77777777" w:rsidR="000D030A" w:rsidRPr="00351EBE" w:rsidRDefault="000D030A" w:rsidP="000A7A88">
      <w:pPr>
        <w:pStyle w:val="Prrafodelista"/>
        <w:spacing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</w:p>
    <w:p w14:paraId="275B0907" w14:textId="39D47365" w:rsidR="00296A8C" w:rsidRPr="00351EBE" w:rsidRDefault="00296A8C" w:rsidP="000A7A88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09" w:right="49" w:hanging="283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351EBE">
        <w:rPr>
          <w:rFonts w:ascii="Arial" w:eastAsia="Times New Roman" w:hAnsi="Arial" w:cs="Arial"/>
          <w:sz w:val="22"/>
          <w:szCs w:val="22"/>
        </w:rPr>
        <w:t xml:space="preserve">Que a través de </w:t>
      </w:r>
      <w:r w:rsidR="008D23CA" w:rsidRPr="00351EBE">
        <w:rPr>
          <w:rFonts w:ascii="Arial" w:eastAsia="Times New Roman" w:hAnsi="Arial" w:cs="Arial"/>
          <w:sz w:val="22"/>
          <w:szCs w:val="22"/>
        </w:rPr>
        <w:t>e</w:t>
      </w:r>
      <w:r w:rsidRPr="00351EBE">
        <w:rPr>
          <w:rFonts w:ascii="Arial" w:eastAsia="Times New Roman" w:hAnsi="Arial" w:cs="Arial"/>
          <w:sz w:val="22"/>
          <w:szCs w:val="22"/>
        </w:rPr>
        <w:t>ste se pretenda resolver una situación de emergencia</w:t>
      </w:r>
    </w:p>
    <w:p w14:paraId="6A761E31" w14:textId="77777777" w:rsidR="00296A8C" w:rsidRPr="00351EBE" w:rsidRDefault="00296A8C" w:rsidP="000A7A8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</w:p>
    <w:p w14:paraId="5D6A5194" w14:textId="13132C0A" w:rsidR="002D50EF" w:rsidRPr="00351EBE" w:rsidRDefault="00296A8C" w:rsidP="000A7A88">
      <w:pPr>
        <w:pStyle w:val="Default"/>
        <w:tabs>
          <w:tab w:val="left" w:pos="0"/>
        </w:tabs>
        <w:spacing w:line="276" w:lineRule="auto"/>
        <w:jc w:val="both"/>
        <w:rPr>
          <w:rFonts w:ascii="Arial" w:hAnsi="Arial" w:cs="Arial"/>
          <w:color w:val="auto"/>
          <w:kern w:val="2"/>
          <w:sz w:val="22"/>
          <w:szCs w:val="22"/>
          <w:lang w:eastAsia="ar-SA"/>
        </w:rPr>
      </w:pPr>
      <w:r w:rsidRPr="00351EBE">
        <w:rPr>
          <w:rFonts w:ascii="Arial" w:hAnsi="Arial" w:cs="Arial"/>
          <w:bCs/>
          <w:sz w:val="22"/>
          <w:szCs w:val="22"/>
        </w:rPr>
        <w:t xml:space="preserve">En este sentido, el Pleno del Instituto estima que el Anteproyecto, al no actualizar ninguna de las causales de excepción anteriormente señaladas, estará sujeto, por un periodo </w:t>
      </w:r>
      <w:r w:rsidR="0085071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de 20 (veinte) días hábiles</w:t>
      </w:r>
      <w:r w:rsidRPr="00351EBE">
        <w:rPr>
          <w:rFonts w:ascii="Arial" w:hAnsi="Arial" w:cs="Arial"/>
          <w:bCs/>
          <w:sz w:val="22"/>
          <w:szCs w:val="22"/>
        </w:rPr>
        <w:t>, al proceso de consulta pública referido tanto por la Ley como por los Lineamientos de Consulta Pública, a fin de transparentar y promover la participación ciudadana en el proceso de emisión de disposiciones de carácter general a cargo del Instituto</w:t>
      </w:r>
      <w:r w:rsidR="008302B2" w:rsidRPr="00351EBE">
        <w:rPr>
          <w:rFonts w:ascii="Arial" w:hAnsi="Arial" w:cs="Arial"/>
          <w:bCs/>
          <w:sz w:val="22"/>
          <w:szCs w:val="22"/>
        </w:rPr>
        <w:t>, considerando</w:t>
      </w:r>
      <w:r w:rsidR="008302B2" w:rsidRPr="00351EBE">
        <w:rPr>
          <w:rFonts w:ascii="Arial" w:hAnsi="Arial" w:cs="Arial"/>
          <w:color w:val="auto"/>
          <w:kern w:val="2"/>
          <w:sz w:val="22"/>
          <w:szCs w:val="22"/>
          <w:lang w:eastAsia="ar-SA"/>
        </w:rPr>
        <w:t xml:space="preserve"> que </w:t>
      </w:r>
      <w:r w:rsidR="008D23CA" w:rsidRPr="00351EBE">
        <w:rPr>
          <w:rFonts w:ascii="Arial" w:hAnsi="Arial" w:cs="Arial"/>
          <w:color w:val="auto"/>
          <w:kern w:val="2"/>
          <w:sz w:val="22"/>
          <w:szCs w:val="22"/>
          <w:lang w:eastAsia="ar-SA"/>
        </w:rPr>
        <w:t>e</w:t>
      </w:r>
      <w:r w:rsidR="008302B2" w:rsidRPr="00351EBE">
        <w:rPr>
          <w:rFonts w:ascii="Arial" w:hAnsi="Arial" w:cs="Arial"/>
          <w:color w:val="auto"/>
          <w:kern w:val="2"/>
          <w:sz w:val="22"/>
          <w:szCs w:val="22"/>
          <w:lang w:eastAsia="ar-SA"/>
        </w:rPr>
        <w:t>ste es un periodo razonable, en atención a la naturaleza el Anteproyecto.</w:t>
      </w:r>
    </w:p>
    <w:p w14:paraId="55B0F601" w14:textId="77777777" w:rsidR="00EE240A" w:rsidRPr="00351EBE" w:rsidRDefault="00EE240A" w:rsidP="000A7A88">
      <w:pPr>
        <w:pStyle w:val="Default"/>
        <w:tabs>
          <w:tab w:val="left" w:pos="0"/>
        </w:tabs>
        <w:spacing w:line="276" w:lineRule="auto"/>
        <w:jc w:val="both"/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</w:pPr>
    </w:p>
    <w:p w14:paraId="032DDED8" w14:textId="6A63BF7C" w:rsidR="00316A84" w:rsidRPr="00351EBE" w:rsidRDefault="00296A8C" w:rsidP="000A7A88">
      <w:pPr>
        <w:pStyle w:val="Default"/>
        <w:tabs>
          <w:tab w:val="left" w:pos="0"/>
        </w:tabs>
        <w:spacing w:line="276" w:lineRule="auto"/>
        <w:jc w:val="both"/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</w:pPr>
      <w:r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 xml:space="preserve">Asimismo, el </w:t>
      </w:r>
      <w:r w:rsidR="00E411D6"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>l</w:t>
      </w:r>
      <w:r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>ineamiento Vigésimo Primero</w:t>
      </w:r>
      <w:r w:rsidR="00CB52D4"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 xml:space="preserve">, </w:t>
      </w:r>
      <w:r w:rsidR="00937574"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 xml:space="preserve">primer </w:t>
      </w:r>
      <w:r w:rsidR="00CB52D4"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>párrafo</w:t>
      </w:r>
      <w:r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 xml:space="preserve"> de los Lineamientos de Consulta Pública </w:t>
      </w:r>
      <w:r w:rsidR="00CB52D4"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 xml:space="preserve">refiere que, si a la entrada en vigor de un anteproyecto </w:t>
      </w:r>
      <w:r w:rsidR="008D23CA"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>e</w:t>
      </w:r>
      <w:r w:rsidR="00CB52D4"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 xml:space="preserve">ste genera nuevos </w:t>
      </w:r>
      <w:r w:rsidR="00CB52D4"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lastRenderedPageBreak/>
        <w:t>costos de cumplimiento, deberá ir acompañado de un Análisis de Impacto Regulatorio.</w:t>
      </w:r>
    </w:p>
    <w:p w14:paraId="79CF906D" w14:textId="63EECF1A" w:rsidR="00804B9D" w:rsidRPr="00351EBE" w:rsidRDefault="00804B9D" w:rsidP="000A7A88">
      <w:pPr>
        <w:pStyle w:val="Default"/>
        <w:tabs>
          <w:tab w:val="left" w:pos="0"/>
        </w:tabs>
        <w:spacing w:line="276" w:lineRule="auto"/>
        <w:jc w:val="both"/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</w:pPr>
    </w:p>
    <w:p w14:paraId="2F965A9A" w14:textId="3481FEE9" w:rsidR="00AA2CEB" w:rsidRPr="00351EBE" w:rsidRDefault="004051B4" w:rsidP="000A7A88">
      <w:pPr>
        <w:pStyle w:val="Default"/>
        <w:tabs>
          <w:tab w:val="left" w:pos="0"/>
          <w:tab w:val="center" w:pos="4702"/>
        </w:tabs>
        <w:spacing w:line="276" w:lineRule="auto"/>
        <w:jc w:val="both"/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</w:pPr>
      <w:r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 xml:space="preserve">Ahora bien, el Anteproyecto genera nuevos costos de cumplimiento, al actualizarse </w:t>
      </w:r>
      <w:r w:rsidR="00643531"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 xml:space="preserve">alguno de </w:t>
      </w:r>
      <w:r w:rsidRPr="00351EBE">
        <w:rPr>
          <w:rFonts w:ascii="Arial" w:eastAsiaTheme="minorHAnsi" w:hAnsi="Arial" w:cs="Arial"/>
          <w:color w:val="auto"/>
          <w:kern w:val="2"/>
          <w:sz w:val="22"/>
          <w:szCs w:val="22"/>
          <w:lang w:eastAsia="ar-SA"/>
        </w:rPr>
        <w:t>los supuestos previstos en el Lineamiento Vigésimo Primero, primer párrafo de los Lineamientos de Consulta Pública, a saber, i) crea nuevas obligaciones o hace más estrictas las obligaciones existentes; ii) crea o modifica trámites; iii) reduce o restringe derechos o prestaciones, o iv) establece definiciones, clasificaciones, caracterizaciones o cualquier otro término de referencia, que conjuntamente con otra disposición en vigor, o con una disposición futura, afecten o puedan afectar los derechos, obligaciones, prestaciones o trámites.</w:t>
      </w:r>
    </w:p>
    <w:p w14:paraId="48A3E6CC" w14:textId="77777777" w:rsidR="004051B4" w:rsidRPr="00351EBE" w:rsidRDefault="004051B4" w:rsidP="000A7A88">
      <w:pPr>
        <w:pStyle w:val="Default"/>
        <w:tabs>
          <w:tab w:val="left" w:pos="0"/>
          <w:tab w:val="center" w:pos="4702"/>
        </w:tabs>
        <w:spacing w:line="276" w:lineRule="auto"/>
        <w:jc w:val="both"/>
        <w:rPr>
          <w:rFonts w:ascii="Arial" w:hAnsi="Arial" w:cs="Arial"/>
          <w:color w:val="auto"/>
          <w:kern w:val="2"/>
          <w:sz w:val="22"/>
          <w:szCs w:val="22"/>
          <w:lang w:eastAsia="ar-SA"/>
        </w:rPr>
      </w:pPr>
    </w:p>
    <w:p w14:paraId="79D2C016" w14:textId="13201A3A" w:rsidR="00296A8C" w:rsidRPr="00351EBE" w:rsidRDefault="00643531" w:rsidP="000A7A88">
      <w:pPr>
        <w:suppressAutoHyphens/>
        <w:spacing w:line="276" w:lineRule="auto"/>
        <w:ind w:right="51"/>
        <w:jc w:val="both"/>
        <w:rPr>
          <w:rFonts w:ascii="Arial" w:eastAsia="Calibri" w:hAnsi="Arial" w:cs="Arial"/>
          <w:kern w:val="2"/>
          <w:sz w:val="22"/>
          <w:szCs w:val="22"/>
          <w:lang w:eastAsia="ar-SA"/>
        </w:rPr>
      </w:pPr>
      <w:r w:rsidRPr="00351EBE">
        <w:rPr>
          <w:rFonts w:ascii="Arial" w:eastAsia="Calibri" w:hAnsi="Arial" w:cs="Arial"/>
          <w:kern w:val="2"/>
          <w:sz w:val="22"/>
          <w:szCs w:val="22"/>
          <w:lang w:eastAsia="ar-SA"/>
        </w:rPr>
        <w:t xml:space="preserve">Para tal efecto, </w:t>
      </w:r>
      <w:r w:rsidR="00D0207F" w:rsidRPr="00351EBE">
        <w:rPr>
          <w:rFonts w:ascii="Arial" w:eastAsia="Calibri" w:hAnsi="Arial" w:cs="Arial"/>
          <w:kern w:val="2"/>
          <w:sz w:val="22"/>
          <w:szCs w:val="22"/>
          <w:lang w:eastAsia="ar-SA"/>
        </w:rPr>
        <w:t>el</w:t>
      </w:r>
      <w:r w:rsidR="00D142D2" w:rsidRPr="00351EBE">
        <w:rPr>
          <w:rFonts w:ascii="Arial" w:eastAsia="Calibri" w:hAnsi="Arial" w:cs="Arial"/>
          <w:kern w:val="2"/>
          <w:sz w:val="22"/>
          <w:szCs w:val="22"/>
          <w:lang w:eastAsia="ar-SA"/>
        </w:rPr>
        <w:t xml:space="preserve"> Anteproyecto se acompaña del Análisis de Impacto Regulatorio lo que permitirá transparentar y dar a conocer anticipadamente, cuando menos, el objeto del mismo, la problemática que at</w:t>
      </w:r>
      <w:r w:rsidR="000A0856" w:rsidRPr="00351EBE">
        <w:rPr>
          <w:rFonts w:ascii="Arial" w:eastAsia="Calibri" w:hAnsi="Arial" w:cs="Arial"/>
          <w:kern w:val="2"/>
          <w:sz w:val="22"/>
          <w:szCs w:val="22"/>
          <w:lang w:eastAsia="ar-SA"/>
        </w:rPr>
        <w:t>iende y el impacto de la misma.</w:t>
      </w:r>
    </w:p>
    <w:p w14:paraId="1FD84297" w14:textId="77777777" w:rsidR="00D142D2" w:rsidRPr="00351EBE" w:rsidRDefault="00D142D2" w:rsidP="000A7A88">
      <w:pPr>
        <w:suppressAutoHyphens/>
        <w:spacing w:line="276" w:lineRule="auto"/>
        <w:ind w:right="51"/>
        <w:jc w:val="both"/>
        <w:rPr>
          <w:rFonts w:ascii="Arial" w:eastAsia="Calibri" w:hAnsi="Arial" w:cs="Arial"/>
          <w:kern w:val="2"/>
          <w:sz w:val="22"/>
          <w:szCs w:val="22"/>
          <w:lang w:eastAsia="ar-SA"/>
        </w:rPr>
      </w:pPr>
    </w:p>
    <w:p w14:paraId="25200A19" w14:textId="26B02594" w:rsidR="00296A8C" w:rsidRPr="00351EBE" w:rsidRDefault="00D142D2" w:rsidP="000A7A8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  <w:r w:rsidRPr="00351EBE">
        <w:rPr>
          <w:rFonts w:ascii="Arial" w:eastAsia="Times New Roman" w:hAnsi="Arial" w:cs="Arial"/>
          <w:sz w:val="22"/>
          <w:szCs w:val="22"/>
          <w:lang w:eastAsia="es-MX"/>
        </w:rPr>
        <w:t>A este respecto, se considera que el Anteproyecto debe ser sometido al proceso de consulta pública acompañado de un Análisis de Impacto Regulatorio, toda vez que</w:t>
      </w:r>
      <w:r w:rsidR="00643531" w:rsidRPr="00351EBE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Pr="00351EB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643531" w:rsidRPr="00351EBE">
        <w:rPr>
          <w:rFonts w:ascii="Arial" w:eastAsia="Times New Roman" w:hAnsi="Arial" w:cs="Arial"/>
          <w:sz w:val="22"/>
          <w:szCs w:val="22"/>
          <w:lang w:eastAsia="es-MX"/>
        </w:rPr>
        <w:t xml:space="preserve">a la entrada en vigor de </w:t>
      </w:r>
      <w:r w:rsidR="008D23CA" w:rsidRPr="00351EBE">
        <w:rPr>
          <w:rFonts w:ascii="Arial" w:eastAsia="Times New Roman" w:hAnsi="Arial" w:cs="Arial"/>
          <w:sz w:val="22"/>
          <w:szCs w:val="22"/>
          <w:lang w:eastAsia="es-MX"/>
        </w:rPr>
        <w:t>e</w:t>
      </w:r>
      <w:r w:rsidRPr="00351EBE">
        <w:rPr>
          <w:rFonts w:ascii="Arial" w:eastAsia="Times New Roman" w:hAnsi="Arial" w:cs="Arial"/>
          <w:sz w:val="22"/>
          <w:szCs w:val="22"/>
          <w:lang w:eastAsia="es-MX"/>
        </w:rPr>
        <w:t xml:space="preserve">ste actualiza </w:t>
      </w:r>
      <w:r w:rsidR="00643531" w:rsidRPr="00351EBE">
        <w:rPr>
          <w:rFonts w:ascii="Arial" w:eastAsia="Times New Roman" w:hAnsi="Arial" w:cs="Arial"/>
          <w:sz w:val="22"/>
          <w:szCs w:val="22"/>
          <w:lang w:eastAsia="es-MX"/>
        </w:rPr>
        <w:t>alg</w:t>
      </w:r>
      <w:r w:rsidR="00AA54D1" w:rsidRPr="00351EBE">
        <w:rPr>
          <w:rFonts w:ascii="Arial" w:eastAsia="Times New Roman" w:hAnsi="Arial" w:cs="Arial"/>
          <w:sz w:val="22"/>
          <w:szCs w:val="22"/>
          <w:lang w:eastAsia="es-MX"/>
        </w:rPr>
        <w:t xml:space="preserve">uno de </w:t>
      </w:r>
      <w:r w:rsidRPr="00351EBE">
        <w:rPr>
          <w:rFonts w:ascii="Arial" w:eastAsia="Times New Roman" w:hAnsi="Arial" w:cs="Arial"/>
          <w:sz w:val="22"/>
          <w:szCs w:val="22"/>
          <w:lang w:eastAsia="es-MX"/>
        </w:rPr>
        <w:t xml:space="preserve">los supuestos antes referidos </w:t>
      </w:r>
      <w:r w:rsidR="00DE7925" w:rsidRPr="00351EBE">
        <w:rPr>
          <w:rFonts w:ascii="Arial" w:eastAsia="Times New Roman" w:hAnsi="Arial" w:cs="Arial"/>
          <w:sz w:val="22"/>
          <w:szCs w:val="22"/>
          <w:lang w:eastAsia="es-MX"/>
        </w:rPr>
        <w:t>de generar nuevos costos de cumplimiento</w:t>
      </w:r>
      <w:r w:rsidRPr="00351EBE">
        <w:rPr>
          <w:rFonts w:ascii="Arial" w:eastAsia="Times New Roman" w:hAnsi="Arial" w:cs="Arial"/>
          <w:sz w:val="22"/>
          <w:szCs w:val="22"/>
          <w:lang w:eastAsia="es-MX"/>
        </w:rPr>
        <w:t>.</w:t>
      </w:r>
    </w:p>
    <w:p w14:paraId="57825C10" w14:textId="77777777" w:rsidR="00D142D2" w:rsidRPr="00351EBE" w:rsidRDefault="00D142D2" w:rsidP="000A7A8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</w:p>
    <w:p w14:paraId="2D018D32" w14:textId="043D16D0" w:rsidR="008144E4" w:rsidRPr="00351EBE" w:rsidRDefault="00AA2CEB" w:rsidP="000A7A88">
      <w:pPr>
        <w:spacing w:line="276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Por lo anterior, con fundamento en los artículos </w:t>
      </w:r>
      <w:r w:rsidR="00FD3AB1" w:rsidRPr="00351EBE">
        <w:rPr>
          <w:rFonts w:ascii="Arial" w:eastAsia="Times New Roman" w:hAnsi="Arial" w:cs="Arial"/>
          <w:sz w:val="22"/>
          <w:szCs w:val="22"/>
          <w:lang w:eastAsia="ar-SA"/>
        </w:rPr>
        <w:t xml:space="preserve">6o., párrafo tercero y apartado B, fracción II; 7o., 27, párrafos cuarto y sexto y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28, párrafos décimo quinto, décimo sexto y vigésimo, fracción IV de la Constitución Política de los Estados Unidos Mexicanos; 1, 2, 7, 15 fracciones I, XL y LVI, 16, 17 fracción I</w:t>
      </w:r>
      <w:r w:rsidR="00BC137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y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51 de la Ley Federal de Telecomunicaciones y Radiodifusión; lineamientos Tercero fracción II, </w:t>
      </w:r>
      <w:r w:rsidR="009E6C9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Cuarto,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Séptimo, Octavo, Noveno, Décimo Primero y Vigésimo Primero de los Lineamientos de Consulta Pública y Análisis de Impacto Regulatorio del Instituto Federal de Telecomunicaciones; así como 1, 4 fracción I y 6 fracciones I y XXXVIII del Estatuto Orgánico del Instituto Federal de Telecomunicaciones, el Pleno de este Instituto </w:t>
      </w:r>
      <w:r w:rsidRPr="00794BA4">
        <w:rPr>
          <w:rFonts w:ascii="Arial" w:eastAsia="Times New Roman" w:hAnsi="Arial" w:cs="Arial"/>
          <w:kern w:val="1"/>
          <w:sz w:val="22"/>
          <w:szCs w:val="22"/>
          <w:lang w:eastAsia="ar-SA"/>
        </w:rPr>
        <w:t>expide el siguiente</w:t>
      </w:r>
      <w:r w:rsidR="00A13200">
        <w:rPr>
          <w:rFonts w:ascii="Arial" w:eastAsia="Times New Roman" w:hAnsi="Arial" w:cs="Arial"/>
          <w:kern w:val="1"/>
          <w:sz w:val="22"/>
          <w:szCs w:val="22"/>
          <w:lang w:eastAsia="ar-SA"/>
        </w:rPr>
        <w:t>:</w:t>
      </w:r>
    </w:p>
    <w:p w14:paraId="39D0ED5F" w14:textId="6F8BCC36" w:rsidR="00B53191" w:rsidRPr="00351EBE" w:rsidRDefault="00B53191" w:rsidP="000A7A88">
      <w:pPr>
        <w:spacing w:line="276" w:lineRule="auto"/>
        <w:rPr>
          <w:rFonts w:ascii="Arial" w:hAnsi="Arial" w:cs="Arial"/>
          <w:b/>
          <w:sz w:val="22"/>
          <w:szCs w:val="26"/>
        </w:rPr>
      </w:pPr>
    </w:p>
    <w:p w14:paraId="61262EF3" w14:textId="77777777" w:rsidR="00DD1920" w:rsidRPr="00351EBE" w:rsidRDefault="00DD1920" w:rsidP="000A7A88">
      <w:pPr>
        <w:spacing w:line="276" w:lineRule="auto"/>
        <w:rPr>
          <w:rFonts w:ascii="Arial" w:hAnsi="Arial" w:cs="Arial"/>
          <w:b/>
          <w:sz w:val="22"/>
          <w:szCs w:val="26"/>
        </w:rPr>
      </w:pPr>
    </w:p>
    <w:p w14:paraId="6C877959" w14:textId="0A2147EC" w:rsidR="007F01DB" w:rsidRPr="00351EBE" w:rsidRDefault="00EA2C72" w:rsidP="000A7A88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351EBE">
        <w:rPr>
          <w:rFonts w:ascii="Arial" w:hAnsi="Arial" w:cs="Arial"/>
          <w:b/>
          <w:sz w:val="26"/>
          <w:szCs w:val="26"/>
        </w:rPr>
        <w:t>A</w:t>
      </w:r>
      <w:r w:rsidR="00EF55F6" w:rsidRPr="00351EBE">
        <w:rPr>
          <w:rFonts w:ascii="Arial" w:hAnsi="Arial" w:cs="Arial"/>
          <w:b/>
          <w:sz w:val="26"/>
          <w:szCs w:val="26"/>
        </w:rPr>
        <w:t>cuerdo</w:t>
      </w:r>
    </w:p>
    <w:p w14:paraId="74AF4382" w14:textId="4C1ED8E7" w:rsidR="00E8418D" w:rsidRPr="00351EBE" w:rsidRDefault="00E8418D" w:rsidP="000A7A88">
      <w:pPr>
        <w:spacing w:line="276" w:lineRule="auto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3C59C7B0" w14:textId="77670B9A" w:rsidR="00B7689E" w:rsidRPr="00351EBE" w:rsidRDefault="00E70253" w:rsidP="000A7A88">
      <w:pPr>
        <w:pStyle w:val="Prrafodelista"/>
        <w:numPr>
          <w:ilvl w:val="0"/>
          <w:numId w:val="39"/>
        </w:numPr>
        <w:suppressAutoHyphens/>
        <w:spacing w:line="276" w:lineRule="auto"/>
        <w:ind w:left="0" w:right="51" w:firstLine="0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Se determina someter a consulta pública por un </w:t>
      </w:r>
      <w:r w:rsidR="003928E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período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de </w:t>
      </w:r>
      <w:r w:rsidR="00D11C0F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20 (veinte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) días hábiles, contados a partir del día hábil siguiente al de su publicación en el por</w:t>
      </w:r>
      <w:r w:rsidR="007B3A9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tal de Internet del Instituto, </w:t>
      </w:r>
      <w:r w:rsidR="0029618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el </w:t>
      </w:r>
      <w:r w:rsidR="00B04B16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 xml:space="preserve">Anteproyecto de </w:t>
      </w:r>
      <w:r w:rsidR="00C30308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 xml:space="preserve">“Acuerdo mediante el cual el Pleno del Instituto Federal de </w:t>
      </w:r>
      <w:r w:rsidR="00C30308" w:rsidRPr="00351EBE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lastRenderedPageBreak/>
        <w:t>Telecomunicaciones actualiza las condiciones técnicas de operación de la banda de frecuencias 57-64 GHz, clasificada como espectro libre”</w:t>
      </w:r>
      <w:r w:rsidR="00BC307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="0029618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7B3A9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q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ue acompaña al presente como Anexo </w:t>
      </w:r>
      <w:r w:rsidR="00B04B16" w:rsidRPr="00351EBE" w:rsidDel="007103C4">
        <w:rPr>
          <w:rFonts w:ascii="Arial" w:eastAsia="Times New Roman" w:hAnsi="Arial" w:cs="Arial"/>
          <w:kern w:val="1"/>
          <w:sz w:val="22"/>
          <w:szCs w:val="22"/>
          <w:lang w:eastAsia="ar-SA"/>
        </w:rPr>
        <w:t>I</w:t>
      </w:r>
      <w:r w:rsidR="0010159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</w:t>
      </w:r>
      <w:r w:rsidR="00EA2C7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junto con su respectivo Análisis de Impacto Regulatorio, </w:t>
      </w:r>
      <w:r w:rsidR="00E924BE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con la finalidad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de que </w:t>
      </w:r>
      <w:r w:rsidR="0087233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cualquier </w:t>
      </w:r>
      <w:r w:rsidR="003400E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persona</w:t>
      </w:r>
      <w:r w:rsidR="0087233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conozca la </w:t>
      </w:r>
      <w:r w:rsidR="0032112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propuesta de </w:t>
      </w:r>
      <w:r w:rsidR="00B869D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modificación a la </w:t>
      </w:r>
      <w:r w:rsidR="0032112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regulación</w:t>
      </w:r>
      <w:r w:rsidR="00EA2C72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de carácter general</w:t>
      </w:r>
      <w:r w:rsidR="0087233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que se </w:t>
      </w:r>
      <w:r w:rsidR="00B869D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presenta</w:t>
      </w:r>
      <w:r w:rsidR="00872338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y </w:t>
      </w:r>
      <w:r w:rsidR="003928E7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esté en condiciones de emitir sus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comentarios, </w:t>
      </w:r>
      <w:r w:rsidR="005444F0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información,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opiniones</w:t>
      </w:r>
      <w:r w:rsidR="003400ED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 aportaciones u otros elementos de análisis</w:t>
      </w:r>
      <w:r w:rsidR="00A4223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6A9B4A04" w14:textId="77777777" w:rsidR="00EE240A" w:rsidRPr="00351EBE" w:rsidRDefault="00EE240A" w:rsidP="000A7A88">
      <w:pPr>
        <w:pStyle w:val="Prrafodelista"/>
        <w:tabs>
          <w:tab w:val="left" w:pos="207"/>
        </w:tabs>
        <w:spacing w:line="276" w:lineRule="auto"/>
        <w:ind w:left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2D065BB5" w14:textId="4E4B792A" w:rsidR="00B7689E" w:rsidRPr="00351EBE" w:rsidRDefault="00872338" w:rsidP="000A7A88">
      <w:pPr>
        <w:pStyle w:val="Prrafodelista"/>
        <w:numPr>
          <w:ilvl w:val="0"/>
          <w:numId w:val="39"/>
        </w:numPr>
        <w:suppressAutoHyphens/>
        <w:spacing w:line="276" w:lineRule="auto"/>
        <w:ind w:left="0" w:right="49" w:hanging="11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Se instruye a la Unidad de Espectro Radioeléctrico atender el presente proceso consultivo, así como recibir</w:t>
      </w:r>
      <w:r w:rsidR="00340A9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 analizar, ponderar y presentar una respuesta o posicionamiento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a l</w:t>
      </w:r>
      <w:r w:rsidR="00340A9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 información,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comentarios, opiniones</w:t>
      </w:r>
      <w:r w:rsidR="00340A9B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aportaciones u otros elementos de análisis que los participantes presenten al Instituto, derivado 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de la consulta pública materia del presente Acuerdo.</w:t>
      </w:r>
    </w:p>
    <w:p w14:paraId="7412B4C1" w14:textId="77777777" w:rsidR="00B7689E" w:rsidRPr="00351EBE" w:rsidRDefault="00B7689E" w:rsidP="000A7A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6EC21A" w14:textId="3953FB5A" w:rsidR="00D0207F" w:rsidRPr="00351EBE" w:rsidRDefault="00E70253" w:rsidP="000A7A88">
      <w:pPr>
        <w:pStyle w:val="Prrafodelista"/>
        <w:numPr>
          <w:ilvl w:val="0"/>
          <w:numId w:val="39"/>
        </w:numPr>
        <w:suppressAutoHyphens/>
        <w:spacing w:line="276" w:lineRule="auto"/>
        <w:ind w:left="0" w:right="49" w:hanging="11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P</w:t>
      </w:r>
      <w:r w:rsidR="00A4223C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ublíquese el presente Acuerdo</w:t>
      </w:r>
      <w:r w:rsidR="004033B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</w:t>
      </w:r>
      <w:r w:rsidR="00B04B1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el Anexo </w:t>
      </w:r>
      <w:r w:rsidR="00B04B16" w:rsidRPr="00351EBE" w:rsidDel="00024E50">
        <w:rPr>
          <w:rFonts w:ascii="Arial" w:eastAsia="Times New Roman" w:hAnsi="Arial" w:cs="Arial"/>
          <w:kern w:val="1"/>
          <w:sz w:val="22"/>
          <w:szCs w:val="22"/>
          <w:lang w:eastAsia="ar-SA"/>
        </w:rPr>
        <w:t>I</w:t>
      </w:r>
      <w:r w:rsidR="00B04B1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y </w:t>
      </w:r>
      <w:r w:rsidR="004033B6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el Análisis de Impacto Regulatorio</w:t>
      </w:r>
      <w:r w:rsidR="00FF51A0"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Pr="00351EBE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en el portal de Internet del Instituto.</w:t>
      </w:r>
    </w:p>
    <w:sectPr w:rsidR="00D0207F" w:rsidRPr="00351EBE" w:rsidSect="0019279B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AB618" w14:textId="77777777" w:rsidR="00B60AE3" w:rsidRDefault="00B60AE3" w:rsidP="009F523F">
      <w:r>
        <w:separator/>
      </w:r>
    </w:p>
  </w:endnote>
  <w:endnote w:type="continuationSeparator" w:id="0">
    <w:p w14:paraId="67803ABE" w14:textId="77777777" w:rsidR="00B60AE3" w:rsidRDefault="00B60AE3" w:rsidP="009F523F">
      <w:r>
        <w:continuationSeparator/>
      </w:r>
    </w:p>
  </w:endnote>
  <w:endnote w:type="continuationNotice" w:id="1">
    <w:p w14:paraId="5445F122" w14:textId="77777777" w:rsidR="00B60AE3" w:rsidRDefault="00B60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  <w:szCs w:val="16"/>
      </w:rPr>
      <w:id w:val="3309497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FA227B" w14:textId="77777777" w:rsidR="00F5261C" w:rsidRDefault="00F5261C" w:rsidP="009A6E0C">
            <w:pPr>
              <w:pStyle w:val="Piedepgina"/>
              <w:jc w:val="right"/>
              <w:rPr>
                <w:rFonts w:ascii="ITC Avant Garde" w:hAnsi="ITC Avant Garde"/>
                <w:sz w:val="18"/>
                <w:szCs w:val="16"/>
              </w:rPr>
            </w:pPr>
          </w:p>
          <w:p w14:paraId="618BA11A" w14:textId="430A11AD" w:rsidR="00F5261C" w:rsidRPr="00DA5ADA" w:rsidRDefault="00F5261C" w:rsidP="009A6E0C">
            <w:pPr>
              <w:pStyle w:val="Piedepgina"/>
              <w:jc w:val="right"/>
              <w:rPr>
                <w:rFonts w:ascii="Arial" w:hAnsi="Arial" w:cs="Arial"/>
                <w:bCs/>
                <w:sz w:val="18"/>
                <w:szCs w:val="16"/>
              </w:rPr>
            </w:pPr>
            <w:r w:rsidRPr="00DA5ADA">
              <w:rPr>
                <w:rFonts w:ascii="Arial" w:hAnsi="Arial" w:cs="Arial"/>
                <w:sz w:val="18"/>
                <w:szCs w:val="16"/>
                <w:lang w:val="es-ES"/>
              </w:rPr>
              <w:t xml:space="preserve">Página </w:t>
            </w:r>
            <w:r w:rsidRPr="00DA5ADA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DA5ADA">
              <w:rPr>
                <w:rFonts w:ascii="Arial" w:hAnsi="Arial" w:cs="Arial"/>
                <w:bCs/>
                <w:sz w:val="18"/>
                <w:szCs w:val="16"/>
              </w:rPr>
              <w:instrText>PAGE</w:instrText>
            </w:r>
            <w:r w:rsidRPr="00DA5ADA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922FD8">
              <w:rPr>
                <w:rFonts w:ascii="Arial" w:hAnsi="Arial" w:cs="Arial"/>
                <w:bCs/>
                <w:noProof/>
                <w:sz w:val="18"/>
                <w:szCs w:val="16"/>
              </w:rPr>
              <w:t>6</w:t>
            </w:r>
            <w:r w:rsidRPr="00DA5ADA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DA5ADA">
              <w:rPr>
                <w:rFonts w:ascii="Arial" w:hAnsi="Arial" w:cs="Arial"/>
                <w:sz w:val="18"/>
                <w:szCs w:val="16"/>
                <w:lang w:val="es-ES"/>
              </w:rPr>
              <w:t xml:space="preserve"> de </w:t>
            </w:r>
            <w:r w:rsidRPr="00DA5ADA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DA5ADA">
              <w:rPr>
                <w:rFonts w:ascii="Arial" w:hAnsi="Arial" w:cs="Arial"/>
                <w:bCs/>
                <w:sz w:val="18"/>
                <w:szCs w:val="16"/>
              </w:rPr>
              <w:instrText>NUMPAGES</w:instrText>
            </w:r>
            <w:r w:rsidRPr="00DA5ADA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922FD8">
              <w:rPr>
                <w:rFonts w:ascii="Arial" w:hAnsi="Arial" w:cs="Arial"/>
                <w:bCs/>
                <w:noProof/>
                <w:sz w:val="18"/>
                <w:szCs w:val="16"/>
              </w:rPr>
              <w:t>6</w:t>
            </w:r>
            <w:r w:rsidRPr="00DA5ADA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  <w:p w14:paraId="6F81C62A" w14:textId="036C01BF" w:rsidR="00F5261C" w:rsidRPr="009A6E0C" w:rsidRDefault="00922FD8" w:rsidP="009A6E0C">
            <w:pPr>
              <w:pStyle w:val="Piedepgina"/>
              <w:jc w:val="right"/>
              <w:rPr>
                <w:rFonts w:ascii="ITC Avant Garde" w:hAnsi="ITC Avant Garde"/>
                <w:sz w:val="18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C589" w14:textId="77777777" w:rsidR="00B60AE3" w:rsidRDefault="00B60AE3" w:rsidP="000A7A88">
      <w:pPr>
        <w:jc w:val="both"/>
      </w:pPr>
      <w:r>
        <w:separator/>
      </w:r>
    </w:p>
  </w:footnote>
  <w:footnote w:type="continuationSeparator" w:id="0">
    <w:p w14:paraId="0ADF7EDC" w14:textId="77777777" w:rsidR="00B60AE3" w:rsidRDefault="00B60AE3" w:rsidP="009F523F">
      <w:r>
        <w:continuationSeparator/>
      </w:r>
    </w:p>
  </w:footnote>
  <w:footnote w:type="continuationNotice" w:id="1">
    <w:p w14:paraId="506F46E1" w14:textId="77777777" w:rsidR="00B60AE3" w:rsidRDefault="00B60AE3"/>
  </w:footnote>
  <w:footnote w:id="2">
    <w:p w14:paraId="3764A210" w14:textId="2FA4B9EC" w:rsidR="00F5261C" w:rsidRPr="00DF0804" w:rsidRDefault="00F5261C" w:rsidP="00237795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  <w:r w:rsidRPr="00490AB7"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Acuerdo, DOF 10-05-2017, </w:t>
      </w:r>
      <w:r w:rsidR="00B93D90"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isponible para consulta en:</w:t>
      </w:r>
      <w:r w:rsidRPr="00490AB7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Pr="00490AB7">
          <w:rPr>
            <w:rStyle w:val="Hipervnculo"/>
            <w:rFonts w:ascii="Arial" w:hAnsi="Arial" w:cs="Arial"/>
            <w:sz w:val="14"/>
            <w:szCs w:val="14"/>
          </w:rPr>
          <w:t>http://www.dof.gob.mx/nota_detalle.php?codigo=5481920&amp;fecha=09/05/2017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C9B7" w14:textId="721B3B30" w:rsidR="00F5261C" w:rsidRDefault="00922FD8">
    <w:pPr>
      <w:pStyle w:val="Encabezado"/>
    </w:pPr>
    <w:r>
      <w:rPr>
        <w:noProof/>
      </w:rPr>
      <w:pict w14:anchorId="519592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534.05pt;height:8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ITC Avant Garde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82CFA" w14:textId="45EF824A" w:rsidR="00F5261C" w:rsidRDefault="00922FD8" w:rsidP="0019279B">
    <w:pPr>
      <w:pStyle w:val="Encabezado"/>
      <w:jc w:val="both"/>
    </w:pPr>
    <w:r>
      <w:rPr>
        <w:rFonts w:ascii="Arial" w:hAnsi="Arial" w:cs="Arial"/>
        <w:noProof/>
        <w:sz w:val="18"/>
        <w:szCs w:val="16"/>
        <w:lang w:val="en-GB" w:eastAsia="en-GB"/>
      </w:rPr>
      <w:pict w14:anchorId="44ED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1" type="#_x0000_t75" alt="hoja membretada s dir-01" style="position:absolute;left:0;text-align:left;margin-left:-71pt;margin-top:-115.65pt;width:612pt;height:808pt;z-index:-251658238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E155" w14:textId="53C3A7D2" w:rsidR="00F5261C" w:rsidRDefault="00922FD8">
    <w:pPr>
      <w:pStyle w:val="Encabezado"/>
    </w:pPr>
    <w:r>
      <w:rPr>
        <w:noProof/>
      </w:rPr>
      <w:pict w14:anchorId="7D08C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534.05pt;height:8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ITC Avant Garde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FFE"/>
      </v:shape>
    </w:pict>
  </w:numPicBullet>
  <w:abstractNum w:abstractNumId="0" w15:restartNumberingAfterBreak="0">
    <w:nsid w:val="00B726D3"/>
    <w:multiLevelType w:val="hybridMultilevel"/>
    <w:tmpl w:val="50F64532"/>
    <w:lvl w:ilvl="0" w:tplc="080A0019">
      <w:start w:val="1"/>
      <w:numFmt w:val="lowerLetter"/>
      <w:lvlText w:val="%1."/>
      <w:lvlJc w:val="left"/>
      <w:pPr>
        <w:ind w:left="4188" w:hanging="360"/>
      </w:pPr>
    </w:lvl>
    <w:lvl w:ilvl="1" w:tplc="080A0019" w:tentative="1">
      <w:start w:val="1"/>
      <w:numFmt w:val="lowerLetter"/>
      <w:lvlText w:val="%2."/>
      <w:lvlJc w:val="left"/>
      <w:pPr>
        <w:ind w:left="4908" w:hanging="360"/>
      </w:pPr>
    </w:lvl>
    <w:lvl w:ilvl="2" w:tplc="080A001B" w:tentative="1">
      <w:start w:val="1"/>
      <w:numFmt w:val="lowerRoman"/>
      <w:lvlText w:val="%3."/>
      <w:lvlJc w:val="right"/>
      <w:pPr>
        <w:ind w:left="5628" w:hanging="180"/>
      </w:pPr>
    </w:lvl>
    <w:lvl w:ilvl="3" w:tplc="080A000F" w:tentative="1">
      <w:start w:val="1"/>
      <w:numFmt w:val="decimal"/>
      <w:lvlText w:val="%4."/>
      <w:lvlJc w:val="left"/>
      <w:pPr>
        <w:ind w:left="6348" w:hanging="360"/>
      </w:pPr>
    </w:lvl>
    <w:lvl w:ilvl="4" w:tplc="080A0019" w:tentative="1">
      <w:start w:val="1"/>
      <w:numFmt w:val="lowerLetter"/>
      <w:lvlText w:val="%5."/>
      <w:lvlJc w:val="left"/>
      <w:pPr>
        <w:ind w:left="7068" w:hanging="360"/>
      </w:pPr>
    </w:lvl>
    <w:lvl w:ilvl="5" w:tplc="080A001B" w:tentative="1">
      <w:start w:val="1"/>
      <w:numFmt w:val="lowerRoman"/>
      <w:lvlText w:val="%6."/>
      <w:lvlJc w:val="right"/>
      <w:pPr>
        <w:ind w:left="7788" w:hanging="180"/>
      </w:pPr>
    </w:lvl>
    <w:lvl w:ilvl="6" w:tplc="080A000F" w:tentative="1">
      <w:start w:val="1"/>
      <w:numFmt w:val="decimal"/>
      <w:lvlText w:val="%7."/>
      <w:lvlJc w:val="left"/>
      <w:pPr>
        <w:ind w:left="8508" w:hanging="360"/>
      </w:pPr>
    </w:lvl>
    <w:lvl w:ilvl="7" w:tplc="080A0019" w:tentative="1">
      <w:start w:val="1"/>
      <w:numFmt w:val="lowerLetter"/>
      <w:lvlText w:val="%8."/>
      <w:lvlJc w:val="left"/>
      <w:pPr>
        <w:ind w:left="9228" w:hanging="360"/>
      </w:pPr>
    </w:lvl>
    <w:lvl w:ilvl="8" w:tplc="08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5513701"/>
    <w:multiLevelType w:val="hybridMultilevel"/>
    <w:tmpl w:val="25CC7962"/>
    <w:lvl w:ilvl="0" w:tplc="22D2150C">
      <w:start w:val="1"/>
      <w:numFmt w:val="upperRoman"/>
      <w:lvlText w:val="%1."/>
      <w:lvlJc w:val="right"/>
      <w:pPr>
        <w:ind w:left="720" w:hanging="360"/>
      </w:pPr>
      <w:rPr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1EAA"/>
    <w:multiLevelType w:val="hybridMultilevel"/>
    <w:tmpl w:val="C70221B6"/>
    <w:lvl w:ilvl="0" w:tplc="90269180">
      <w:start w:val="1"/>
      <w:numFmt w:val="ordinalText"/>
      <w:lvlText w:val="%1.-"/>
      <w:lvlJc w:val="left"/>
      <w:pPr>
        <w:ind w:left="2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7AD7B7E"/>
    <w:multiLevelType w:val="hybridMultilevel"/>
    <w:tmpl w:val="B628BB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22BB0"/>
    <w:multiLevelType w:val="hybridMultilevel"/>
    <w:tmpl w:val="FB720750"/>
    <w:lvl w:ilvl="0" w:tplc="4DBED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1918"/>
    <w:multiLevelType w:val="hybridMultilevel"/>
    <w:tmpl w:val="4DFAC6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473E"/>
    <w:multiLevelType w:val="hybridMultilevel"/>
    <w:tmpl w:val="E4CAB178"/>
    <w:lvl w:ilvl="0" w:tplc="21307D86">
      <w:start w:val="1"/>
      <w:numFmt w:val="ordinalText"/>
      <w:pStyle w:val="Ttulo3"/>
      <w:lvlText w:val="%1.-"/>
      <w:lvlJc w:val="left"/>
      <w:pPr>
        <w:ind w:left="786" w:hanging="360"/>
      </w:pPr>
      <w:rPr>
        <w:rFonts w:ascii="Arial" w:hAnsi="Arial" w:cs="Arial" w:hint="default"/>
        <w:b/>
        <w:i w:val="0"/>
        <w:cap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4368A6"/>
    <w:multiLevelType w:val="hybridMultilevel"/>
    <w:tmpl w:val="F1E81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90562"/>
    <w:multiLevelType w:val="multilevel"/>
    <w:tmpl w:val="FE6C22E8"/>
    <w:lvl w:ilvl="0">
      <w:start w:val="2"/>
      <w:numFmt w:val="upperRoman"/>
      <w:lvlText w:val="%1."/>
      <w:lvlJc w:val="left"/>
      <w:pPr>
        <w:ind w:left="313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9" w15:restartNumberingAfterBreak="0">
    <w:nsid w:val="35163D8C"/>
    <w:multiLevelType w:val="hybridMultilevel"/>
    <w:tmpl w:val="D7B8345E"/>
    <w:lvl w:ilvl="0" w:tplc="55ECBD9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C03BE7"/>
    <w:multiLevelType w:val="hybridMultilevel"/>
    <w:tmpl w:val="84703C22"/>
    <w:lvl w:ilvl="0" w:tplc="080A0013">
      <w:start w:val="1"/>
      <w:numFmt w:val="upperRoman"/>
      <w:lvlText w:val="%1."/>
      <w:lvlJc w:val="right"/>
      <w:pPr>
        <w:ind w:left="77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C7E6F5A"/>
    <w:multiLevelType w:val="hybridMultilevel"/>
    <w:tmpl w:val="C1F43D14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352E9"/>
    <w:multiLevelType w:val="hybridMultilevel"/>
    <w:tmpl w:val="1A6A996C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3CE55261"/>
    <w:multiLevelType w:val="hybridMultilevel"/>
    <w:tmpl w:val="4DFAC6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90B77"/>
    <w:multiLevelType w:val="multilevel"/>
    <w:tmpl w:val="9D52BE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Theme="minorHAnsi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Theme="minorHAnsi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Theme="minorHAnsi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Theme="minorHAnsi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Theme="minorHAnsi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Theme="minorHAnsi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Theme="minorHAnsi" w:hint="default"/>
        <w:b w:val="0"/>
        <w:color w:val="000000" w:themeColor="text1"/>
      </w:rPr>
    </w:lvl>
  </w:abstractNum>
  <w:abstractNum w:abstractNumId="15" w15:restartNumberingAfterBreak="0">
    <w:nsid w:val="4E461D25"/>
    <w:multiLevelType w:val="hybridMultilevel"/>
    <w:tmpl w:val="7A601C06"/>
    <w:lvl w:ilvl="0" w:tplc="5750190C">
      <w:start w:val="1"/>
      <w:numFmt w:val="ordinalText"/>
      <w:lvlText w:val="%1."/>
      <w:lvlJc w:val="left"/>
      <w:pPr>
        <w:ind w:left="3479" w:hanging="360"/>
      </w:pPr>
      <w:rPr>
        <w:rFonts w:hint="default"/>
        <w:b/>
        <w:caps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93BD1"/>
    <w:multiLevelType w:val="hybridMultilevel"/>
    <w:tmpl w:val="05444094"/>
    <w:lvl w:ilvl="0" w:tplc="6054F768">
      <w:start w:val="1"/>
      <w:numFmt w:val="ordinalText"/>
      <w:lvlText w:val="%1.-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" w:hanging="360"/>
      </w:pPr>
    </w:lvl>
    <w:lvl w:ilvl="2" w:tplc="0809001B" w:tentative="1">
      <w:start w:val="1"/>
      <w:numFmt w:val="lowerRoman"/>
      <w:lvlText w:val="%3."/>
      <w:lvlJc w:val="right"/>
      <w:pPr>
        <w:ind w:left="884" w:hanging="180"/>
      </w:pPr>
    </w:lvl>
    <w:lvl w:ilvl="3" w:tplc="0809000F" w:tentative="1">
      <w:start w:val="1"/>
      <w:numFmt w:val="decimal"/>
      <w:lvlText w:val="%4."/>
      <w:lvlJc w:val="left"/>
      <w:pPr>
        <w:ind w:left="1604" w:hanging="360"/>
      </w:pPr>
    </w:lvl>
    <w:lvl w:ilvl="4" w:tplc="08090019" w:tentative="1">
      <w:start w:val="1"/>
      <w:numFmt w:val="lowerLetter"/>
      <w:lvlText w:val="%5."/>
      <w:lvlJc w:val="left"/>
      <w:pPr>
        <w:ind w:left="2324" w:hanging="360"/>
      </w:pPr>
    </w:lvl>
    <w:lvl w:ilvl="5" w:tplc="0809001B" w:tentative="1">
      <w:start w:val="1"/>
      <w:numFmt w:val="lowerRoman"/>
      <w:lvlText w:val="%6."/>
      <w:lvlJc w:val="right"/>
      <w:pPr>
        <w:ind w:left="3044" w:hanging="180"/>
      </w:pPr>
    </w:lvl>
    <w:lvl w:ilvl="6" w:tplc="0809000F" w:tentative="1">
      <w:start w:val="1"/>
      <w:numFmt w:val="decimal"/>
      <w:lvlText w:val="%7."/>
      <w:lvlJc w:val="left"/>
      <w:pPr>
        <w:ind w:left="3764" w:hanging="360"/>
      </w:pPr>
    </w:lvl>
    <w:lvl w:ilvl="7" w:tplc="08090019" w:tentative="1">
      <w:start w:val="1"/>
      <w:numFmt w:val="lowerLetter"/>
      <w:lvlText w:val="%8."/>
      <w:lvlJc w:val="left"/>
      <w:pPr>
        <w:ind w:left="4484" w:hanging="360"/>
      </w:pPr>
    </w:lvl>
    <w:lvl w:ilvl="8" w:tplc="08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5A775BC2"/>
    <w:multiLevelType w:val="hybridMultilevel"/>
    <w:tmpl w:val="7D7200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1DC7836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32571"/>
    <w:multiLevelType w:val="hybridMultilevel"/>
    <w:tmpl w:val="2C10B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11775"/>
    <w:multiLevelType w:val="hybridMultilevel"/>
    <w:tmpl w:val="62305E6A"/>
    <w:lvl w:ilvl="0" w:tplc="90269180">
      <w:start w:val="1"/>
      <w:numFmt w:val="ordinalText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63BA2"/>
    <w:multiLevelType w:val="hybridMultilevel"/>
    <w:tmpl w:val="E36AE254"/>
    <w:lvl w:ilvl="0" w:tplc="90269180">
      <w:start w:val="1"/>
      <w:numFmt w:val="ordinalText"/>
      <w:lvlText w:val="%1.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B79B4"/>
    <w:multiLevelType w:val="hybridMultilevel"/>
    <w:tmpl w:val="31723B5A"/>
    <w:lvl w:ilvl="0" w:tplc="6054F768">
      <w:start w:val="1"/>
      <w:numFmt w:val="ordinalText"/>
      <w:lvlText w:val="%1.-"/>
      <w:lvlJc w:val="left"/>
      <w:pPr>
        <w:ind w:left="786" w:hanging="360"/>
      </w:pPr>
      <w:rPr>
        <w:rFonts w:hint="default"/>
        <w:b/>
      </w:rPr>
    </w:lvl>
    <w:lvl w:ilvl="1" w:tplc="51FA5882">
      <w:start w:val="1"/>
      <w:numFmt w:val="lowerLetter"/>
      <w:lvlText w:val="%2)"/>
      <w:lvlJc w:val="left"/>
      <w:pPr>
        <w:ind w:left="-763" w:hanging="56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-250" w:hanging="180"/>
      </w:pPr>
    </w:lvl>
    <w:lvl w:ilvl="3" w:tplc="080A000F" w:tentative="1">
      <w:start w:val="1"/>
      <w:numFmt w:val="decimal"/>
      <w:lvlText w:val="%4."/>
      <w:lvlJc w:val="left"/>
      <w:pPr>
        <w:ind w:left="470" w:hanging="360"/>
      </w:pPr>
    </w:lvl>
    <w:lvl w:ilvl="4" w:tplc="080A0019" w:tentative="1">
      <w:start w:val="1"/>
      <w:numFmt w:val="lowerLetter"/>
      <w:lvlText w:val="%5."/>
      <w:lvlJc w:val="left"/>
      <w:pPr>
        <w:ind w:left="1190" w:hanging="360"/>
      </w:pPr>
    </w:lvl>
    <w:lvl w:ilvl="5" w:tplc="080A001B" w:tentative="1">
      <w:start w:val="1"/>
      <w:numFmt w:val="lowerRoman"/>
      <w:lvlText w:val="%6."/>
      <w:lvlJc w:val="right"/>
      <w:pPr>
        <w:ind w:left="1910" w:hanging="180"/>
      </w:pPr>
    </w:lvl>
    <w:lvl w:ilvl="6" w:tplc="080A000F" w:tentative="1">
      <w:start w:val="1"/>
      <w:numFmt w:val="decimal"/>
      <w:lvlText w:val="%7."/>
      <w:lvlJc w:val="left"/>
      <w:pPr>
        <w:ind w:left="2630" w:hanging="360"/>
      </w:pPr>
    </w:lvl>
    <w:lvl w:ilvl="7" w:tplc="080A0019" w:tentative="1">
      <w:start w:val="1"/>
      <w:numFmt w:val="lowerLetter"/>
      <w:lvlText w:val="%8."/>
      <w:lvlJc w:val="left"/>
      <w:pPr>
        <w:ind w:left="3350" w:hanging="360"/>
      </w:pPr>
    </w:lvl>
    <w:lvl w:ilvl="8" w:tplc="080A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23" w15:restartNumberingAfterBreak="0">
    <w:nsid w:val="6B915AF6"/>
    <w:multiLevelType w:val="multilevel"/>
    <w:tmpl w:val="ABE4C59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CC7565D"/>
    <w:multiLevelType w:val="hybridMultilevel"/>
    <w:tmpl w:val="C93CA3B8"/>
    <w:lvl w:ilvl="0" w:tplc="6054F768">
      <w:start w:val="1"/>
      <w:numFmt w:val="ordinalText"/>
      <w:lvlText w:val="%1.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A40A5"/>
    <w:multiLevelType w:val="hybridMultilevel"/>
    <w:tmpl w:val="DAEE8658"/>
    <w:lvl w:ilvl="0" w:tplc="6054F768">
      <w:start w:val="1"/>
      <w:numFmt w:val="ordinalText"/>
      <w:lvlText w:val="%1.-"/>
      <w:lvlJc w:val="left"/>
      <w:pPr>
        <w:ind w:left="568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A6828"/>
    <w:multiLevelType w:val="hybridMultilevel"/>
    <w:tmpl w:val="290031FC"/>
    <w:lvl w:ilvl="0" w:tplc="6054F768">
      <w:start w:val="1"/>
      <w:numFmt w:val="ordinalText"/>
      <w:lvlText w:val="%1.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A3EDB"/>
    <w:multiLevelType w:val="hybridMultilevel"/>
    <w:tmpl w:val="14AC7E70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01A51"/>
    <w:multiLevelType w:val="multilevel"/>
    <w:tmpl w:val="9698E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CD1C48"/>
    <w:multiLevelType w:val="hybridMultilevel"/>
    <w:tmpl w:val="EC18EE54"/>
    <w:lvl w:ilvl="0" w:tplc="B540FA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E0675"/>
    <w:multiLevelType w:val="multilevel"/>
    <w:tmpl w:val="4EF224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1" w15:restartNumberingAfterBreak="0">
    <w:nsid w:val="7AD75FC0"/>
    <w:multiLevelType w:val="hybridMultilevel"/>
    <w:tmpl w:val="2EEEB8E6"/>
    <w:lvl w:ilvl="0" w:tplc="C4D82402">
      <w:start w:val="1"/>
      <w:numFmt w:val="decimal"/>
      <w:lvlText w:val="%1."/>
      <w:lvlJc w:val="left"/>
      <w:pPr>
        <w:ind w:left="720" w:hanging="360"/>
      </w:pPr>
      <w:rPr>
        <w:rFonts w:ascii="ITC Avant Garde" w:eastAsiaTheme="minorEastAsia" w:hAnsi="ITC Avant Garde" w:cs="Arial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D042D"/>
    <w:multiLevelType w:val="hybridMultilevel"/>
    <w:tmpl w:val="D7A2E3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7"/>
  </w:num>
  <w:num w:numId="5">
    <w:abstractNumId w:val="18"/>
  </w:num>
  <w:num w:numId="6">
    <w:abstractNumId w:val="13"/>
  </w:num>
  <w:num w:numId="7">
    <w:abstractNumId w:val="10"/>
  </w:num>
  <w:num w:numId="8">
    <w:abstractNumId w:val="9"/>
  </w:num>
  <w:num w:numId="9">
    <w:abstractNumId w:val="30"/>
  </w:num>
  <w:num w:numId="10">
    <w:abstractNumId w:val="20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0"/>
  </w:num>
  <w:num w:numId="19">
    <w:abstractNumId w:val="19"/>
  </w:num>
  <w:num w:numId="20">
    <w:abstractNumId w:val="28"/>
  </w:num>
  <w:num w:numId="21">
    <w:abstractNumId w:val="14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5"/>
  </w:num>
  <w:num w:numId="30">
    <w:abstractNumId w:val="25"/>
  </w:num>
  <w:num w:numId="31">
    <w:abstractNumId w:val="22"/>
  </w:num>
  <w:num w:numId="32">
    <w:abstractNumId w:val="3"/>
  </w:num>
  <w:num w:numId="33">
    <w:abstractNumId w:val="16"/>
  </w:num>
  <w:num w:numId="34">
    <w:abstractNumId w:val="24"/>
  </w:num>
  <w:num w:numId="35">
    <w:abstractNumId w:val="21"/>
  </w:num>
  <w:num w:numId="36">
    <w:abstractNumId w:val="2"/>
  </w:num>
  <w:num w:numId="37">
    <w:abstractNumId w:val="11"/>
  </w:num>
  <w:num w:numId="38">
    <w:abstractNumId w:val="27"/>
  </w:num>
  <w:num w:numId="39">
    <w:abstractNumId w:val="26"/>
  </w:num>
  <w:num w:numId="40">
    <w:abstractNumId w:val="23"/>
  </w:num>
  <w:num w:numId="41">
    <w:abstractNumId w:val="17"/>
  </w:num>
  <w:num w:numId="42">
    <w:abstractNumId w:val="8"/>
  </w:num>
  <w:num w:numId="43">
    <w:abstractNumId w:val="15"/>
  </w:num>
  <w:num w:numId="44">
    <w:abstractNumId w:val="4"/>
  </w:num>
  <w:num w:numId="45">
    <w:abstractNumId w:val="3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EF"/>
    <w:rsid w:val="0000057B"/>
    <w:rsid w:val="00000D8F"/>
    <w:rsid w:val="00002C80"/>
    <w:rsid w:val="00005A28"/>
    <w:rsid w:val="00011BBF"/>
    <w:rsid w:val="00017898"/>
    <w:rsid w:val="00024E50"/>
    <w:rsid w:val="0002504E"/>
    <w:rsid w:val="00026C4B"/>
    <w:rsid w:val="00033C0A"/>
    <w:rsid w:val="00035562"/>
    <w:rsid w:val="00036F64"/>
    <w:rsid w:val="000378ED"/>
    <w:rsid w:val="00041164"/>
    <w:rsid w:val="00042044"/>
    <w:rsid w:val="000573B1"/>
    <w:rsid w:val="000612C7"/>
    <w:rsid w:val="00061DC8"/>
    <w:rsid w:val="000641C8"/>
    <w:rsid w:val="0006560C"/>
    <w:rsid w:val="00065A7C"/>
    <w:rsid w:val="00066496"/>
    <w:rsid w:val="000671D6"/>
    <w:rsid w:val="0007174F"/>
    <w:rsid w:val="00073DDE"/>
    <w:rsid w:val="00081265"/>
    <w:rsid w:val="00083543"/>
    <w:rsid w:val="0008671B"/>
    <w:rsid w:val="0009680E"/>
    <w:rsid w:val="0009786B"/>
    <w:rsid w:val="00097DB6"/>
    <w:rsid w:val="000A0856"/>
    <w:rsid w:val="000A0D7F"/>
    <w:rsid w:val="000A0E28"/>
    <w:rsid w:val="000A142C"/>
    <w:rsid w:val="000A1B55"/>
    <w:rsid w:val="000A6640"/>
    <w:rsid w:val="000A77DC"/>
    <w:rsid w:val="000A7A88"/>
    <w:rsid w:val="000B3030"/>
    <w:rsid w:val="000C012C"/>
    <w:rsid w:val="000C56A4"/>
    <w:rsid w:val="000D030A"/>
    <w:rsid w:val="000D23D1"/>
    <w:rsid w:val="000D3491"/>
    <w:rsid w:val="000D77CF"/>
    <w:rsid w:val="000E0CB5"/>
    <w:rsid w:val="000E3983"/>
    <w:rsid w:val="000E3DBA"/>
    <w:rsid w:val="000E6A27"/>
    <w:rsid w:val="000F0243"/>
    <w:rsid w:val="000F5252"/>
    <w:rsid w:val="000F553C"/>
    <w:rsid w:val="000F5923"/>
    <w:rsid w:val="000F737B"/>
    <w:rsid w:val="00101592"/>
    <w:rsid w:val="00104658"/>
    <w:rsid w:val="001075D8"/>
    <w:rsid w:val="00110A58"/>
    <w:rsid w:val="00112C5A"/>
    <w:rsid w:val="00113192"/>
    <w:rsid w:val="00113A0B"/>
    <w:rsid w:val="001152FF"/>
    <w:rsid w:val="001155E3"/>
    <w:rsid w:val="00115C6D"/>
    <w:rsid w:val="00121BD1"/>
    <w:rsid w:val="00122A79"/>
    <w:rsid w:val="001240C0"/>
    <w:rsid w:val="00124A3C"/>
    <w:rsid w:val="00124ABF"/>
    <w:rsid w:val="001254C1"/>
    <w:rsid w:val="00126A24"/>
    <w:rsid w:val="001301BC"/>
    <w:rsid w:val="00130616"/>
    <w:rsid w:val="00132C26"/>
    <w:rsid w:val="001348E8"/>
    <w:rsid w:val="00135DD8"/>
    <w:rsid w:val="00141E08"/>
    <w:rsid w:val="001449C8"/>
    <w:rsid w:val="0015075A"/>
    <w:rsid w:val="0015287E"/>
    <w:rsid w:val="00154594"/>
    <w:rsid w:val="00160B32"/>
    <w:rsid w:val="001616F3"/>
    <w:rsid w:val="00162588"/>
    <w:rsid w:val="00163776"/>
    <w:rsid w:val="00170F15"/>
    <w:rsid w:val="00173E0F"/>
    <w:rsid w:val="00174CEF"/>
    <w:rsid w:val="00175B47"/>
    <w:rsid w:val="001837A4"/>
    <w:rsid w:val="00183996"/>
    <w:rsid w:val="001921BF"/>
    <w:rsid w:val="0019279B"/>
    <w:rsid w:val="00193540"/>
    <w:rsid w:val="00194795"/>
    <w:rsid w:val="001966E4"/>
    <w:rsid w:val="00196E2D"/>
    <w:rsid w:val="001A0826"/>
    <w:rsid w:val="001A0D2E"/>
    <w:rsid w:val="001A27C6"/>
    <w:rsid w:val="001A3048"/>
    <w:rsid w:val="001A6DDB"/>
    <w:rsid w:val="001B0B49"/>
    <w:rsid w:val="001B1B99"/>
    <w:rsid w:val="001B1E4C"/>
    <w:rsid w:val="001B2944"/>
    <w:rsid w:val="001B4142"/>
    <w:rsid w:val="001C16C9"/>
    <w:rsid w:val="001C3448"/>
    <w:rsid w:val="001C3559"/>
    <w:rsid w:val="001C423C"/>
    <w:rsid w:val="001C49E3"/>
    <w:rsid w:val="001C49EF"/>
    <w:rsid w:val="001C4AF3"/>
    <w:rsid w:val="001D2353"/>
    <w:rsid w:val="001D4A83"/>
    <w:rsid w:val="001D4F3E"/>
    <w:rsid w:val="001D52C6"/>
    <w:rsid w:val="001D6479"/>
    <w:rsid w:val="001E70C0"/>
    <w:rsid w:val="001F24F4"/>
    <w:rsid w:val="001F4E72"/>
    <w:rsid w:val="001F52E7"/>
    <w:rsid w:val="001F58F1"/>
    <w:rsid w:val="001F5C73"/>
    <w:rsid w:val="00201ABD"/>
    <w:rsid w:val="00211DAB"/>
    <w:rsid w:val="0021680D"/>
    <w:rsid w:val="0022009E"/>
    <w:rsid w:val="002200E4"/>
    <w:rsid w:val="00220A69"/>
    <w:rsid w:val="0022363E"/>
    <w:rsid w:val="00232752"/>
    <w:rsid w:val="00234143"/>
    <w:rsid w:val="00236495"/>
    <w:rsid w:val="00236E5B"/>
    <w:rsid w:val="00237795"/>
    <w:rsid w:val="002410B4"/>
    <w:rsid w:val="0024336B"/>
    <w:rsid w:val="00243BF7"/>
    <w:rsid w:val="00243DD1"/>
    <w:rsid w:val="00247503"/>
    <w:rsid w:val="00250B23"/>
    <w:rsid w:val="00254FEE"/>
    <w:rsid w:val="00256282"/>
    <w:rsid w:val="00256664"/>
    <w:rsid w:val="00256C72"/>
    <w:rsid w:val="00260455"/>
    <w:rsid w:val="00260E60"/>
    <w:rsid w:val="00262C35"/>
    <w:rsid w:val="0026388B"/>
    <w:rsid w:val="00264A0C"/>
    <w:rsid w:val="002667F9"/>
    <w:rsid w:val="00267C32"/>
    <w:rsid w:val="00267D6B"/>
    <w:rsid w:val="002703E5"/>
    <w:rsid w:val="00275D1D"/>
    <w:rsid w:val="002807E5"/>
    <w:rsid w:val="002839CD"/>
    <w:rsid w:val="00292552"/>
    <w:rsid w:val="0029285F"/>
    <w:rsid w:val="00296187"/>
    <w:rsid w:val="00296A06"/>
    <w:rsid w:val="00296A8C"/>
    <w:rsid w:val="002A2816"/>
    <w:rsid w:val="002A7664"/>
    <w:rsid w:val="002A7C09"/>
    <w:rsid w:val="002C392F"/>
    <w:rsid w:val="002C4073"/>
    <w:rsid w:val="002D31A2"/>
    <w:rsid w:val="002D4CE4"/>
    <w:rsid w:val="002D50EF"/>
    <w:rsid w:val="002D6C04"/>
    <w:rsid w:val="002D6E3D"/>
    <w:rsid w:val="002E1352"/>
    <w:rsid w:val="002E4E30"/>
    <w:rsid w:val="002F2553"/>
    <w:rsid w:val="002F2FBF"/>
    <w:rsid w:val="002F5085"/>
    <w:rsid w:val="002F64CD"/>
    <w:rsid w:val="00302282"/>
    <w:rsid w:val="003055AC"/>
    <w:rsid w:val="00306AB2"/>
    <w:rsid w:val="00307538"/>
    <w:rsid w:val="00307B2F"/>
    <w:rsid w:val="003131FF"/>
    <w:rsid w:val="0031537E"/>
    <w:rsid w:val="003153BD"/>
    <w:rsid w:val="00316254"/>
    <w:rsid w:val="00316A84"/>
    <w:rsid w:val="00316DC0"/>
    <w:rsid w:val="0032112C"/>
    <w:rsid w:val="00323F81"/>
    <w:rsid w:val="00325E76"/>
    <w:rsid w:val="00331AA8"/>
    <w:rsid w:val="00332562"/>
    <w:rsid w:val="003325A8"/>
    <w:rsid w:val="00334EF0"/>
    <w:rsid w:val="00336855"/>
    <w:rsid w:val="00337E55"/>
    <w:rsid w:val="003400ED"/>
    <w:rsid w:val="00340A9B"/>
    <w:rsid w:val="00341A62"/>
    <w:rsid w:val="003473D1"/>
    <w:rsid w:val="0035158E"/>
    <w:rsid w:val="00351EBE"/>
    <w:rsid w:val="00353E54"/>
    <w:rsid w:val="003552D1"/>
    <w:rsid w:val="00360AAC"/>
    <w:rsid w:val="00360F07"/>
    <w:rsid w:val="00362155"/>
    <w:rsid w:val="0036556C"/>
    <w:rsid w:val="00377609"/>
    <w:rsid w:val="0038391C"/>
    <w:rsid w:val="0038502C"/>
    <w:rsid w:val="003925C5"/>
    <w:rsid w:val="003928E7"/>
    <w:rsid w:val="00393D30"/>
    <w:rsid w:val="003A6136"/>
    <w:rsid w:val="003B0A08"/>
    <w:rsid w:val="003B2DA2"/>
    <w:rsid w:val="003C4830"/>
    <w:rsid w:val="003D6897"/>
    <w:rsid w:val="003D7725"/>
    <w:rsid w:val="003E2257"/>
    <w:rsid w:val="003F1A1A"/>
    <w:rsid w:val="003F5488"/>
    <w:rsid w:val="003F7399"/>
    <w:rsid w:val="003F75F1"/>
    <w:rsid w:val="00400F1D"/>
    <w:rsid w:val="004033B6"/>
    <w:rsid w:val="00404711"/>
    <w:rsid w:val="004051B4"/>
    <w:rsid w:val="00407E73"/>
    <w:rsid w:val="004108F0"/>
    <w:rsid w:val="00410C58"/>
    <w:rsid w:val="004168A8"/>
    <w:rsid w:val="00416998"/>
    <w:rsid w:val="00416E48"/>
    <w:rsid w:val="00417565"/>
    <w:rsid w:val="00422EEE"/>
    <w:rsid w:val="00423D0B"/>
    <w:rsid w:val="00424448"/>
    <w:rsid w:val="004251E5"/>
    <w:rsid w:val="00427B81"/>
    <w:rsid w:val="00427FB9"/>
    <w:rsid w:val="004314AD"/>
    <w:rsid w:val="00431EBC"/>
    <w:rsid w:val="0043251F"/>
    <w:rsid w:val="00435657"/>
    <w:rsid w:val="00437A70"/>
    <w:rsid w:val="00437FFA"/>
    <w:rsid w:val="00441F99"/>
    <w:rsid w:val="0044303E"/>
    <w:rsid w:val="00443FBF"/>
    <w:rsid w:val="00451F3D"/>
    <w:rsid w:val="00452CE4"/>
    <w:rsid w:val="004540AA"/>
    <w:rsid w:val="004560FE"/>
    <w:rsid w:val="00457B1B"/>
    <w:rsid w:val="00462CA8"/>
    <w:rsid w:val="00465889"/>
    <w:rsid w:val="00467575"/>
    <w:rsid w:val="004728DC"/>
    <w:rsid w:val="0047438C"/>
    <w:rsid w:val="00475CEE"/>
    <w:rsid w:val="0047640F"/>
    <w:rsid w:val="00477BA2"/>
    <w:rsid w:val="00481991"/>
    <w:rsid w:val="00482F1E"/>
    <w:rsid w:val="00487A37"/>
    <w:rsid w:val="0049402A"/>
    <w:rsid w:val="004A0896"/>
    <w:rsid w:val="004A28B7"/>
    <w:rsid w:val="004A384F"/>
    <w:rsid w:val="004B0478"/>
    <w:rsid w:val="004B211F"/>
    <w:rsid w:val="004C2FA8"/>
    <w:rsid w:val="004C3DE4"/>
    <w:rsid w:val="004C613F"/>
    <w:rsid w:val="004D0AB4"/>
    <w:rsid w:val="004D4F0A"/>
    <w:rsid w:val="004D574B"/>
    <w:rsid w:val="004D712A"/>
    <w:rsid w:val="004E259C"/>
    <w:rsid w:val="004E574D"/>
    <w:rsid w:val="004E7721"/>
    <w:rsid w:val="004F260A"/>
    <w:rsid w:val="004F6C28"/>
    <w:rsid w:val="004F73A8"/>
    <w:rsid w:val="00500436"/>
    <w:rsid w:val="005032FA"/>
    <w:rsid w:val="00503D9D"/>
    <w:rsid w:val="0050414F"/>
    <w:rsid w:val="00510853"/>
    <w:rsid w:val="00511CB7"/>
    <w:rsid w:val="00513C38"/>
    <w:rsid w:val="00521048"/>
    <w:rsid w:val="005220E0"/>
    <w:rsid w:val="005250EE"/>
    <w:rsid w:val="00527DDC"/>
    <w:rsid w:val="00532830"/>
    <w:rsid w:val="0053554A"/>
    <w:rsid w:val="00536A76"/>
    <w:rsid w:val="0053754D"/>
    <w:rsid w:val="00540796"/>
    <w:rsid w:val="005444F0"/>
    <w:rsid w:val="00546051"/>
    <w:rsid w:val="00553287"/>
    <w:rsid w:val="00554A6F"/>
    <w:rsid w:val="00557080"/>
    <w:rsid w:val="005571E0"/>
    <w:rsid w:val="0056424E"/>
    <w:rsid w:val="005673B2"/>
    <w:rsid w:val="005678A0"/>
    <w:rsid w:val="0057093B"/>
    <w:rsid w:val="005751D4"/>
    <w:rsid w:val="00576B70"/>
    <w:rsid w:val="0058273C"/>
    <w:rsid w:val="00587A71"/>
    <w:rsid w:val="00590E32"/>
    <w:rsid w:val="00591A23"/>
    <w:rsid w:val="00591D70"/>
    <w:rsid w:val="00592B06"/>
    <w:rsid w:val="00594683"/>
    <w:rsid w:val="0059549F"/>
    <w:rsid w:val="005970F9"/>
    <w:rsid w:val="005972F2"/>
    <w:rsid w:val="005B0673"/>
    <w:rsid w:val="005B112B"/>
    <w:rsid w:val="005B25CF"/>
    <w:rsid w:val="005C2AB7"/>
    <w:rsid w:val="005C2B66"/>
    <w:rsid w:val="005C5306"/>
    <w:rsid w:val="005C719F"/>
    <w:rsid w:val="005D0580"/>
    <w:rsid w:val="005D071E"/>
    <w:rsid w:val="005E1532"/>
    <w:rsid w:val="005E43F4"/>
    <w:rsid w:val="005E50FE"/>
    <w:rsid w:val="005E6C33"/>
    <w:rsid w:val="005F3636"/>
    <w:rsid w:val="005F4B63"/>
    <w:rsid w:val="00602A7F"/>
    <w:rsid w:val="00602E61"/>
    <w:rsid w:val="00605D63"/>
    <w:rsid w:val="00610EF4"/>
    <w:rsid w:val="0061355A"/>
    <w:rsid w:val="006143F2"/>
    <w:rsid w:val="00620997"/>
    <w:rsid w:val="006215CE"/>
    <w:rsid w:val="006228A5"/>
    <w:rsid w:val="00625C6A"/>
    <w:rsid w:val="00630F82"/>
    <w:rsid w:val="006311C6"/>
    <w:rsid w:val="006324D3"/>
    <w:rsid w:val="006333B9"/>
    <w:rsid w:val="0063442D"/>
    <w:rsid w:val="00636344"/>
    <w:rsid w:val="00636F88"/>
    <w:rsid w:val="006423D0"/>
    <w:rsid w:val="00643531"/>
    <w:rsid w:val="00644EDC"/>
    <w:rsid w:val="00646527"/>
    <w:rsid w:val="00647286"/>
    <w:rsid w:val="00647FBE"/>
    <w:rsid w:val="00651E64"/>
    <w:rsid w:val="00652493"/>
    <w:rsid w:val="00653787"/>
    <w:rsid w:val="00653953"/>
    <w:rsid w:val="00656ABB"/>
    <w:rsid w:val="00657F5D"/>
    <w:rsid w:val="006610DD"/>
    <w:rsid w:val="00666C76"/>
    <w:rsid w:val="00671406"/>
    <w:rsid w:val="00673E8C"/>
    <w:rsid w:val="00674FE1"/>
    <w:rsid w:val="006808F3"/>
    <w:rsid w:val="006853B9"/>
    <w:rsid w:val="00686A6C"/>
    <w:rsid w:val="00690CE9"/>
    <w:rsid w:val="0069247D"/>
    <w:rsid w:val="00695B09"/>
    <w:rsid w:val="006A4292"/>
    <w:rsid w:val="006A5D26"/>
    <w:rsid w:val="006A6325"/>
    <w:rsid w:val="006A740F"/>
    <w:rsid w:val="006B105C"/>
    <w:rsid w:val="006B1228"/>
    <w:rsid w:val="006B3F15"/>
    <w:rsid w:val="006B52FB"/>
    <w:rsid w:val="006B6F18"/>
    <w:rsid w:val="006C6BC5"/>
    <w:rsid w:val="006D0BCE"/>
    <w:rsid w:val="006D3028"/>
    <w:rsid w:val="006D5FE8"/>
    <w:rsid w:val="006E012A"/>
    <w:rsid w:val="006E0782"/>
    <w:rsid w:val="006E0C73"/>
    <w:rsid w:val="006E1A87"/>
    <w:rsid w:val="006E2AE5"/>
    <w:rsid w:val="006E598B"/>
    <w:rsid w:val="006E66E3"/>
    <w:rsid w:val="006F3F85"/>
    <w:rsid w:val="006F61E8"/>
    <w:rsid w:val="00701098"/>
    <w:rsid w:val="007027F2"/>
    <w:rsid w:val="007103C4"/>
    <w:rsid w:val="0071522C"/>
    <w:rsid w:val="0071608F"/>
    <w:rsid w:val="00717F2B"/>
    <w:rsid w:val="00721C8C"/>
    <w:rsid w:val="00724473"/>
    <w:rsid w:val="00724C2C"/>
    <w:rsid w:val="00724CA2"/>
    <w:rsid w:val="00725C14"/>
    <w:rsid w:val="00726FB7"/>
    <w:rsid w:val="00730A04"/>
    <w:rsid w:val="007328B0"/>
    <w:rsid w:val="00734214"/>
    <w:rsid w:val="007349E2"/>
    <w:rsid w:val="00740B89"/>
    <w:rsid w:val="00742993"/>
    <w:rsid w:val="00742D30"/>
    <w:rsid w:val="00744A35"/>
    <w:rsid w:val="0074504B"/>
    <w:rsid w:val="00746649"/>
    <w:rsid w:val="00746B1D"/>
    <w:rsid w:val="00746E13"/>
    <w:rsid w:val="00752B72"/>
    <w:rsid w:val="007566F5"/>
    <w:rsid w:val="0076221C"/>
    <w:rsid w:val="00763F95"/>
    <w:rsid w:val="00766D6E"/>
    <w:rsid w:val="00770EE3"/>
    <w:rsid w:val="00781C0A"/>
    <w:rsid w:val="00783ECD"/>
    <w:rsid w:val="007903F4"/>
    <w:rsid w:val="00790F58"/>
    <w:rsid w:val="00791FFC"/>
    <w:rsid w:val="00794BA4"/>
    <w:rsid w:val="00797938"/>
    <w:rsid w:val="007A4247"/>
    <w:rsid w:val="007A59DD"/>
    <w:rsid w:val="007B3A97"/>
    <w:rsid w:val="007C42D0"/>
    <w:rsid w:val="007C5A4F"/>
    <w:rsid w:val="007C5DDB"/>
    <w:rsid w:val="007C6074"/>
    <w:rsid w:val="007C7DE2"/>
    <w:rsid w:val="007D338F"/>
    <w:rsid w:val="007D39C0"/>
    <w:rsid w:val="007D415C"/>
    <w:rsid w:val="007D6124"/>
    <w:rsid w:val="007D7B52"/>
    <w:rsid w:val="007E0146"/>
    <w:rsid w:val="007E2171"/>
    <w:rsid w:val="007E2730"/>
    <w:rsid w:val="007E6049"/>
    <w:rsid w:val="007E7DE5"/>
    <w:rsid w:val="007F01DB"/>
    <w:rsid w:val="007F2C87"/>
    <w:rsid w:val="007F3FFD"/>
    <w:rsid w:val="007F5A9B"/>
    <w:rsid w:val="00800FB5"/>
    <w:rsid w:val="00801F28"/>
    <w:rsid w:val="0080200D"/>
    <w:rsid w:val="00802F39"/>
    <w:rsid w:val="008030AA"/>
    <w:rsid w:val="008036DA"/>
    <w:rsid w:val="00803F7A"/>
    <w:rsid w:val="008040AC"/>
    <w:rsid w:val="00804B9D"/>
    <w:rsid w:val="00804DA7"/>
    <w:rsid w:val="008144E4"/>
    <w:rsid w:val="008150CD"/>
    <w:rsid w:val="00817E1B"/>
    <w:rsid w:val="00820C2E"/>
    <w:rsid w:val="008218EA"/>
    <w:rsid w:val="0082309D"/>
    <w:rsid w:val="00825301"/>
    <w:rsid w:val="00825A8A"/>
    <w:rsid w:val="00826EFD"/>
    <w:rsid w:val="008302B2"/>
    <w:rsid w:val="008328F9"/>
    <w:rsid w:val="00832D8C"/>
    <w:rsid w:val="00842E73"/>
    <w:rsid w:val="00844CBE"/>
    <w:rsid w:val="00845485"/>
    <w:rsid w:val="008461AA"/>
    <w:rsid w:val="0085071B"/>
    <w:rsid w:val="0085104A"/>
    <w:rsid w:val="00851C96"/>
    <w:rsid w:val="008541CC"/>
    <w:rsid w:val="00854EFC"/>
    <w:rsid w:val="00855F31"/>
    <w:rsid w:val="00856EC2"/>
    <w:rsid w:val="00860308"/>
    <w:rsid w:val="00862AD1"/>
    <w:rsid w:val="00864A90"/>
    <w:rsid w:val="00871127"/>
    <w:rsid w:val="00871EA2"/>
    <w:rsid w:val="00872338"/>
    <w:rsid w:val="008752B2"/>
    <w:rsid w:val="00882E5C"/>
    <w:rsid w:val="00892F77"/>
    <w:rsid w:val="008A2B93"/>
    <w:rsid w:val="008A7CF8"/>
    <w:rsid w:val="008B118E"/>
    <w:rsid w:val="008B72A2"/>
    <w:rsid w:val="008B7A89"/>
    <w:rsid w:val="008C5597"/>
    <w:rsid w:val="008C6BBF"/>
    <w:rsid w:val="008D080E"/>
    <w:rsid w:val="008D23CA"/>
    <w:rsid w:val="008D2941"/>
    <w:rsid w:val="008D6F53"/>
    <w:rsid w:val="008E2AE9"/>
    <w:rsid w:val="008E4C6E"/>
    <w:rsid w:val="008E6803"/>
    <w:rsid w:val="008E6F7D"/>
    <w:rsid w:val="008F5275"/>
    <w:rsid w:val="008F675B"/>
    <w:rsid w:val="009077A2"/>
    <w:rsid w:val="009128B8"/>
    <w:rsid w:val="0091389E"/>
    <w:rsid w:val="009209F6"/>
    <w:rsid w:val="0092250B"/>
    <w:rsid w:val="00922FD8"/>
    <w:rsid w:val="00923C72"/>
    <w:rsid w:val="0092400B"/>
    <w:rsid w:val="009259B5"/>
    <w:rsid w:val="00925B8E"/>
    <w:rsid w:val="00925E1C"/>
    <w:rsid w:val="00927219"/>
    <w:rsid w:val="00931229"/>
    <w:rsid w:val="00933815"/>
    <w:rsid w:val="00935104"/>
    <w:rsid w:val="00936E5C"/>
    <w:rsid w:val="00937574"/>
    <w:rsid w:val="0094504F"/>
    <w:rsid w:val="009477AD"/>
    <w:rsid w:val="00951992"/>
    <w:rsid w:val="009521C6"/>
    <w:rsid w:val="00953089"/>
    <w:rsid w:val="00953464"/>
    <w:rsid w:val="009543C3"/>
    <w:rsid w:val="00954A7F"/>
    <w:rsid w:val="009556B2"/>
    <w:rsid w:val="00955FC7"/>
    <w:rsid w:val="00956862"/>
    <w:rsid w:val="0096222C"/>
    <w:rsid w:val="00965574"/>
    <w:rsid w:val="00966F70"/>
    <w:rsid w:val="0096729A"/>
    <w:rsid w:val="00967FD0"/>
    <w:rsid w:val="00970BA5"/>
    <w:rsid w:val="009727AD"/>
    <w:rsid w:val="00982631"/>
    <w:rsid w:val="00982F84"/>
    <w:rsid w:val="00983071"/>
    <w:rsid w:val="009831EF"/>
    <w:rsid w:val="00983840"/>
    <w:rsid w:val="009968E4"/>
    <w:rsid w:val="009A09E9"/>
    <w:rsid w:val="009A19DC"/>
    <w:rsid w:val="009A2D60"/>
    <w:rsid w:val="009A56D2"/>
    <w:rsid w:val="009A6E0C"/>
    <w:rsid w:val="009B20C9"/>
    <w:rsid w:val="009B4CDC"/>
    <w:rsid w:val="009B685F"/>
    <w:rsid w:val="009C04F8"/>
    <w:rsid w:val="009C375F"/>
    <w:rsid w:val="009C5308"/>
    <w:rsid w:val="009C54B4"/>
    <w:rsid w:val="009C6BAE"/>
    <w:rsid w:val="009C76E8"/>
    <w:rsid w:val="009D04F4"/>
    <w:rsid w:val="009D0FF1"/>
    <w:rsid w:val="009D2A93"/>
    <w:rsid w:val="009D7098"/>
    <w:rsid w:val="009E28CB"/>
    <w:rsid w:val="009E2FE8"/>
    <w:rsid w:val="009E3B5A"/>
    <w:rsid w:val="009E536B"/>
    <w:rsid w:val="009E5926"/>
    <w:rsid w:val="009E6C98"/>
    <w:rsid w:val="009F1BF7"/>
    <w:rsid w:val="009F523F"/>
    <w:rsid w:val="009F79AE"/>
    <w:rsid w:val="00A0246D"/>
    <w:rsid w:val="00A1090B"/>
    <w:rsid w:val="00A12039"/>
    <w:rsid w:val="00A129A3"/>
    <w:rsid w:val="00A13200"/>
    <w:rsid w:val="00A13BE8"/>
    <w:rsid w:val="00A15CDE"/>
    <w:rsid w:val="00A16125"/>
    <w:rsid w:val="00A20B79"/>
    <w:rsid w:val="00A24C4A"/>
    <w:rsid w:val="00A304AD"/>
    <w:rsid w:val="00A3214F"/>
    <w:rsid w:val="00A3245D"/>
    <w:rsid w:val="00A4223C"/>
    <w:rsid w:val="00A4481E"/>
    <w:rsid w:val="00A51308"/>
    <w:rsid w:val="00A53181"/>
    <w:rsid w:val="00A5330A"/>
    <w:rsid w:val="00A57463"/>
    <w:rsid w:val="00A6019F"/>
    <w:rsid w:val="00A615C0"/>
    <w:rsid w:val="00A63628"/>
    <w:rsid w:val="00A70466"/>
    <w:rsid w:val="00A7098B"/>
    <w:rsid w:val="00A733EF"/>
    <w:rsid w:val="00A752FC"/>
    <w:rsid w:val="00A77F60"/>
    <w:rsid w:val="00A80AF0"/>
    <w:rsid w:val="00A80E3F"/>
    <w:rsid w:val="00A81913"/>
    <w:rsid w:val="00A8264F"/>
    <w:rsid w:val="00A874AB"/>
    <w:rsid w:val="00A90CBC"/>
    <w:rsid w:val="00A91571"/>
    <w:rsid w:val="00A91F4F"/>
    <w:rsid w:val="00A96369"/>
    <w:rsid w:val="00A9730F"/>
    <w:rsid w:val="00A97AF5"/>
    <w:rsid w:val="00AA0138"/>
    <w:rsid w:val="00AA04EC"/>
    <w:rsid w:val="00AA1049"/>
    <w:rsid w:val="00AA1B7E"/>
    <w:rsid w:val="00AA2CEB"/>
    <w:rsid w:val="00AA34FA"/>
    <w:rsid w:val="00AA486F"/>
    <w:rsid w:val="00AA4E8F"/>
    <w:rsid w:val="00AA54D1"/>
    <w:rsid w:val="00AB3F6A"/>
    <w:rsid w:val="00AB4554"/>
    <w:rsid w:val="00AB6888"/>
    <w:rsid w:val="00AB6E09"/>
    <w:rsid w:val="00AB7936"/>
    <w:rsid w:val="00AC217F"/>
    <w:rsid w:val="00AC2411"/>
    <w:rsid w:val="00AC2BB4"/>
    <w:rsid w:val="00AC6A5E"/>
    <w:rsid w:val="00AD0843"/>
    <w:rsid w:val="00AD7164"/>
    <w:rsid w:val="00AE1421"/>
    <w:rsid w:val="00AE2FE9"/>
    <w:rsid w:val="00AE5835"/>
    <w:rsid w:val="00AF38E8"/>
    <w:rsid w:val="00AF4D75"/>
    <w:rsid w:val="00B00FE2"/>
    <w:rsid w:val="00B02043"/>
    <w:rsid w:val="00B04B16"/>
    <w:rsid w:val="00B149AA"/>
    <w:rsid w:val="00B173A6"/>
    <w:rsid w:val="00B264D1"/>
    <w:rsid w:val="00B35F26"/>
    <w:rsid w:val="00B37B27"/>
    <w:rsid w:val="00B456EA"/>
    <w:rsid w:val="00B4624C"/>
    <w:rsid w:val="00B46479"/>
    <w:rsid w:val="00B52244"/>
    <w:rsid w:val="00B53191"/>
    <w:rsid w:val="00B60AE3"/>
    <w:rsid w:val="00B6137F"/>
    <w:rsid w:val="00B6497F"/>
    <w:rsid w:val="00B7099D"/>
    <w:rsid w:val="00B727F7"/>
    <w:rsid w:val="00B7344E"/>
    <w:rsid w:val="00B73F76"/>
    <w:rsid w:val="00B75874"/>
    <w:rsid w:val="00B7689E"/>
    <w:rsid w:val="00B803D1"/>
    <w:rsid w:val="00B81A4A"/>
    <w:rsid w:val="00B85C6D"/>
    <w:rsid w:val="00B869D7"/>
    <w:rsid w:val="00B87B7B"/>
    <w:rsid w:val="00B91157"/>
    <w:rsid w:val="00B92126"/>
    <w:rsid w:val="00B93D90"/>
    <w:rsid w:val="00B97FBC"/>
    <w:rsid w:val="00BB3CA1"/>
    <w:rsid w:val="00BC137B"/>
    <w:rsid w:val="00BC217C"/>
    <w:rsid w:val="00BC2D78"/>
    <w:rsid w:val="00BC3077"/>
    <w:rsid w:val="00BC6711"/>
    <w:rsid w:val="00BD53BB"/>
    <w:rsid w:val="00BE19FB"/>
    <w:rsid w:val="00BE24EA"/>
    <w:rsid w:val="00BE55C0"/>
    <w:rsid w:val="00BE6969"/>
    <w:rsid w:val="00BF16E5"/>
    <w:rsid w:val="00C03027"/>
    <w:rsid w:val="00C0432B"/>
    <w:rsid w:val="00C0458D"/>
    <w:rsid w:val="00C0669C"/>
    <w:rsid w:val="00C17C7C"/>
    <w:rsid w:val="00C23930"/>
    <w:rsid w:val="00C27F99"/>
    <w:rsid w:val="00C30308"/>
    <w:rsid w:val="00C364E8"/>
    <w:rsid w:val="00C3675E"/>
    <w:rsid w:val="00C42761"/>
    <w:rsid w:val="00C45A3C"/>
    <w:rsid w:val="00C46616"/>
    <w:rsid w:val="00C506CE"/>
    <w:rsid w:val="00C507C1"/>
    <w:rsid w:val="00C62756"/>
    <w:rsid w:val="00C65725"/>
    <w:rsid w:val="00C6610C"/>
    <w:rsid w:val="00C7137A"/>
    <w:rsid w:val="00C8231A"/>
    <w:rsid w:val="00C83EE0"/>
    <w:rsid w:val="00C8404C"/>
    <w:rsid w:val="00C84625"/>
    <w:rsid w:val="00C85CC4"/>
    <w:rsid w:val="00C97F72"/>
    <w:rsid w:val="00CA13F8"/>
    <w:rsid w:val="00CA3454"/>
    <w:rsid w:val="00CA7240"/>
    <w:rsid w:val="00CB0F2D"/>
    <w:rsid w:val="00CB1A1A"/>
    <w:rsid w:val="00CB1D64"/>
    <w:rsid w:val="00CB30C3"/>
    <w:rsid w:val="00CB4EDD"/>
    <w:rsid w:val="00CB52D4"/>
    <w:rsid w:val="00CB5B82"/>
    <w:rsid w:val="00CB5C86"/>
    <w:rsid w:val="00CB5EAE"/>
    <w:rsid w:val="00CC3EBD"/>
    <w:rsid w:val="00CD01B4"/>
    <w:rsid w:val="00CD4E29"/>
    <w:rsid w:val="00CD6F2E"/>
    <w:rsid w:val="00CE043E"/>
    <w:rsid w:val="00CE07DF"/>
    <w:rsid w:val="00CE102A"/>
    <w:rsid w:val="00CE1740"/>
    <w:rsid w:val="00CE45FF"/>
    <w:rsid w:val="00CE4C02"/>
    <w:rsid w:val="00CF1033"/>
    <w:rsid w:val="00CF38CF"/>
    <w:rsid w:val="00CF4AF6"/>
    <w:rsid w:val="00CF6EFE"/>
    <w:rsid w:val="00D0101C"/>
    <w:rsid w:val="00D0207F"/>
    <w:rsid w:val="00D03296"/>
    <w:rsid w:val="00D04266"/>
    <w:rsid w:val="00D0505B"/>
    <w:rsid w:val="00D07B01"/>
    <w:rsid w:val="00D11C0F"/>
    <w:rsid w:val="00D12631"/>
    <w:rsid w:val="00D12DD5"/>
    <w:rsid w:val="00D13EC7"/>
    <w:rsid w:val="00D142D2"/>
    <w:rsid w:val="00D16721"/>
    <w:rsid w:val="00D2397C"/>
    <w:rsid w:val="00D24694"/>
    <w:rsid w:val="00D27AD3"/>
    <w:rsid w:val="00D30AE0"/>
    <w:rsid w:val="00D3100F"/>
    <w:rsid w:val="00D32B75"/>
    <w:rsid w:val="00D33171"/>
    <w:rsid w:val="00D33257"/>
    <w:rsid w:val="00D3697D"/>
    <w:rsid w:val="00D41067"/>
    <w:rsid w:val="00D42AF4"/>
    <w:rsid w:val="00D42CEB"/>
    <w:rsid w:val="00D4369D"/>
    <w:rsid w:val="00D46408"/>
    <w:rsid w:val="00D512E3"/>
    <w:rsid w:val="00D51980"/>
    <w:rsid w:val="00D53E77"/>
    <w:rsid w:val="00D545DB"/>
    <w:rsid w:val="00D545F5"/>
    <w:rsid w:val="00D64CAB"/>
    <w:rsid w:val="00D654F6"/>
    <w:rsid w:val="00D72676"/>
    <w:rsid w:val="00D73639"/>
    <w:rsid w:val="00D74EFA"/>
    <w:rsid w:val="00D76593"/>
    <w:rsid w:val="00D807CC"/>
    <w:rsid w:val="00D8449E"/>
    <w:rsid w:val="00D8611B"/>
    <w:rsid w:val="00D86764"/>
    <w:rsid w:val="00D86A04"/>
    <w:rsid w:val="00D87FDF"/>
    <w:rsid w:val="00D91943"/>
    <w:rsid w:val="00D93095"/>
    <w:rsid w:val="00D95757"/>
    <w:rsid w:val="00DA4331"/>
    <w:rsid w:val="00DA45CF"/>
    <w:rsid w:val="00DA5ADA"/>
    <w:rsid w:val="00DB109C"/>
    <w:rsid w:val="00DB17ED"/>
    <w:rsid w:val="00DB2EF3"/>
    <w:rsid w:val="00DB3810"/>
    <w:rsid w:val="00DD027A"/>
    <w:rsid w:val="00DD0A12"/>
    <w:rsid w:val="00DD1920"/>
    <w:rsid w:val="00DD4776"/>
    <w:rsid w:val="00DD4A8B"/>
    <w:rsid w:val="00DE33E2"/>
    <w:rsid w:val="00DE7165"/>
    <w:rsid w:val="00DE734F"/>
    <w:rsid w:val="00DE7925"/>
    <w:rsid w:val="00DF0E36"/>
    <w:rsid w:val="00E01395"/>
    <w:rsid w:val="00E0534E"/>
    <w:rsid w:val="00E11A04"/>
    <w:rsid w:val="00E11ABE"/>
    <w:rsid w:val="00E11E21"/>
    <w:rsid w:val="00E14901"/>
    <w:rsid w:val="00E15EB2"/>
    <w:rsid w:val="00E20A69"/>
    <w:rsid w:val="00E20D19"/>
    <w:rsid w:val="00E2471E"/>
    <w:rsid w:val="00E24DFB"/>
    <w:rsid w:val="00E263CC"/>
    <w:rsid w:val="00E32137"/>
    <w:rsid w:val="00E351EF"/>
    <w:rsid w:val="00E37640"/>
    <w:rsid w:val="00E40BE1"/>
    <w:rsid w:val="00E411D6"/>
    <w:rsid w:val="00E4164B"/>
    <w:rsid w:val="00E45EAB"/>
    <w:rsid w:val="00E460C9"/>
    <w:rsid w:val="00E504FE"/>
    <w:rsid w:val="00E56B49"/>
    <w:rsid w:val="00E573F8"/>
    <w:rsid w:val="00E60699"/>
    <w:rsid w:val="00E61B7C"/>
    <w:rsid w:val="00E70253"/>
    <w:rsid w:val="00E74958"/>
    <w:rsid w:val="00E7526C"/>
    <w:rsid w:val="00E75FCC"/>
    <w:rsid w:val="00E762C2"/>
    <w:rsid w:val="00E8418D"/>
    <w:rsid w:val="00E842A4"/>
    <w:rsid w:val="00E87DDC"/>
    <w:rsid w:val="00E924BE"/>
    <w:rsid w:val="00E936BC"/>
    <w:rsid w:val="00E96C68"/>
    <w:rsid w:val="00E97215"/>
    <w:rsid w:val="00EA1407"/>
    <w:rsid w:val="00EA1C52"/>
    <w:rsid w:val="00EA2C72"/>
    <w:rsid w:val="00EA360B"/>
    <w:rsid w:val="00EA5AD5"/>
    <w:rsid w:val="00EA64B1"/>
    <w:rsid w:val="00EB2347"/>
    <w:rsid w:val="00EB2941"/>
    <w:rsid w:val="00EB4BDF"/>
    <w:rsid w:val="00EB76A3"/>
    <w:rsid w:val="00EC1FF6"/>
    <w:rsid w:val="00EC34FA"/>
    <w:rsid w:val="00EC4775"/>
    <w:rsid w:val="00EC4F0E"/>
    <w:rsid w:val="00EC72B1"/>
    <w:rsid w:val="00ED19EF"/>
    <w:rsid w:val="00ED2705"/>
    <w:rsid w:val="00ED63BA"/>
    <w:rsid w:val="00ED72CA"/>
    <w:rsid w:val="00EE240A"/>
    <w:rsid w:val="00EE26EB"/>
    <w:rsid w:val="00EE46D9"/>
    <w:rsid w:val="00EE6F33"/>
    <w:rsid w:val="00EE7320"/>
    <w:rsid w:val="00EF0047"/>
    <w:rsid w:val="00EF0779"/>
    <w:rsid w:val="00EF55F6"/>
    <w:rsid w:val="00EF68D6"/>
    <w:rsid w:val="00EF7CC1"/>
    <w:rsid w:val="00F00346"/>
    <w:rsid w:val="00F03020"/>
    <w:rsid w:val="00F03C5F"/>
    <w:rsid w:val="00F03D55"/>
    <w:rsid w:val="00F071C2"/>
    <w:rsid w:val="00F12C9B"/>
    <w:rsid w:val="00F16BCC"/>
    <w:rsid w:val="00F205DD"/>
    <w:rsid w:val="00F2317F"/>
    <w:rsid w:val="00F27C26"/>
    <w:rsid w:val="00F308EA"/>
    <w:rsid w:val="00F36475"/>
    <w:rsid w:val="00F36908"/>
    <w:rsid w:val="00F37C52"/>
    <w:rsid w:val="00F4051D"/>
    <w:rsid w:val="00F40634"/>
    <w:rsid w:val="00F417AD"/>
    <w:rsid w:val="00F4266D"/>
    <w:rsid w:val="00F435CC"/>
    <w:rsid w:val="00F44C02"/>
    <w:rsid w:val="00F456E3"/>
    <w:rsid w:val="00F502F1"/>
    <w:rsid w:val="00F50533"/>
    <w:rsid w:val="00F5261C"/>
    <w:rsid w:val="00F54587"/>
    <w:rsid w:val="00F560B4"/>
    <w:rsid w:val="00F62D89"/>
    <w:rsid w:val="00F65A1C"/>
    <w:rsid w:val="00F72D6A"/>
    <w:rsid w:val="00F82987"/>
    <w:rsid w:val="00F84ED8"/>
    <w:rsid w:val="00F867B2"/>
    <w:rsid w:val="00F94EBB"/>
    <w:rsid w:val="00F96DC2"/>
    <w:rsid w:val="00FA6345"/>
    <w:rsid w:val="00FB0C61"/>
    <w:rsid w:val="00FB39AD"/>
    <w:rsid w:val="00FB666A"/>
    <w:rsid w:val="00FC43E8"/>
    <w:rsid w:val="00FC4F73"/>
    <w:rsid w:val="00FD3AB1"/>
    <w:rsid w:val="00FD5D0B"/>
    <w:rsid w:val="00FD6682"/>
    <w:rsid w:val="00FD6E51"/>
    <w:rsid w:val="00FE26E3"/>
    <w:rsid w:val="00FE4B88"/>
    <w:rsid w:val="00FE634F"/>
    <w:rsid w:val="00FE6ACA"/>
    <w:rsid w:val="00FE76B5"/>
    <w:rsid w:val="00FF2A26"/>
    <w:rsid w:val="00FF47A8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C21BDE"/>
  <w15:chartTrackingRefBased/>
  <w15:docId w15:val="{B6BC94E6-B8E6-433E-9288-865CD784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CEF"/>
    <w:pPr>
      <w:jc w:val="center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C42D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0F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00F1D"/>
    <w:pPr>
      <w:keepNext w:val="0"/>
      <w:keepLines w:val="0"/>
      <w:numPr>
        <w:numId w:val="11"/>
      </w:numPr>
      <w:pBdr>
        <w:top w:val="nil"/>
        <w:left w:val="nil"/>
        <w:bottom w:val="nil"/>
        <w:right w:val="nil"/>
        <w:between w:val="nil"/>
        <w:bar w:val="nil"/>
      </w:pBdr>
      <w:spacing w:before="0"/>
      <w:contextualSpacing/>
      <w:outlineLvl w:val="2"/>
    </w:pPr>
    <w:rPr>
      <w:rFonts w:ascii="ITC Avant Garde" w:eastAsia="Times New Roman" w:hAnsi="ITC Avant Garde" w:cs="Times"/>
      <w:b/>
      <w:color w:val="2F2F2F"/>
      <w:sz w:val="24"/>
      <w:szCs w:val="24"/>
      <w:bdr w:val="ni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174CE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ANOTACION">
    <w:name w:val="ANOTACION"/>
    <w:basedOn w:val="Normal"/>
    <w:link w:val="ANOTACIONCar"/>
    <w:rsid w:val="00174CEF"/>
    <w:pPr>
      <w:spacing w:before="101" w:after="101" w:line="216" w:lineRule="atLeast"/>
    </w:pPr>
    <w:rPr>
      <w:b/>
      <w:sz w:val="18"/>
      <w:szCs w:val="20"/>
      <w:lang w:val="es-ES_tradnl"/>
    </w:rPr>
  </w:style>
  <w:style w:type="character" w:customStyle="1" w:styleId="ROMANOSCar">
    <w:name w:val="ROMANOS Car"/>
    <w:link w:val="ROMANOS"/>
    <w:locked/>
    <w:rsid w:val="00174CEF"/>
    <w:rPr>
      <w:rFonts w:ascii="Arial" w:eastAsiaTheme="minorEastAsia" w:hAnsi="Arial" w:cs="Arial"/>
      <w:sz w:val="18"/>
      <w:szCs w:val="18"/>
    </w:rPr>
  </w:style>
  <w:style w:type="character" w:customStyle="1" w:styleId="ANOTACIONCar">
    <w:name w:val="ANOTACION Car"/>
    <w:link w:val="ANOTACION"/>
    <w:locked/>
    <w:rsid w:val="00174CEF"/>
    <w:rPr>
      <w:rFonts w:eastAsiaTheme="minorEastAsia"/>
      <w:b/>
      <w:sz w:val="18"/>
      <w:szCs w:val="20"/>
      <w:lang w:val="es-ES_tradnl"/>
    </w:rPr>
  </w:style>
  <w:style w:type="paragraph" w:styleId="Prrafodelista">
    <w:name w:val="List Paragraph"/>
    <w:aliases w:val="4 Viñ 1nivel,Numeración 1,Cuadrícula media 1 - Énfasis 21,Bullet List,FooterText,numbered,List Paragraph1,Paragraphe de liste1,Bulletr List Paragraph,列出段落,列出段落1,Cuadros,Lista general,Listas,lp1,CNBV Parrafo1,List Paragraph-Thesis,Dot pt"/>
    <w:basedOn w:val="Normal"/>
    <w:link w:val="PrrafodelistaCar"/>
    <w:uiPriority w:val="34"/>
    <w:qFormat/>
    <w:rsid w:val="00174CEF"/>
    <w:pPr>
      <w:ind w:left="720"/>
      <w:contextualSpacing/>
    </w:pPr>
  </w:style>
  <w:style w:type="paragraph" w:customStyle="1" w:styleId="Default">
    <w:name w:val="Default"/>
    <w:link w:val="DefaultCar"/>
    <w:rsid w:val="00174CEF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character" w:customStyle="1" w:styleId="PrrafodelistaCar">
    <w:name w:val="Párrafo de lista Car"/>
    <w:aliases w:val="4 Viñ 1nivel Car,Numeración 1 Car,Cuadrícula media 1 - Énfasis 21 Car,Bullet List Car,FooterText Car,numbered Car,List Paragraph1 Car,Paragraphe de liste1 Car,Bulletr List Paragraph Car,列出段落 Car,列出段落1 Car,Cuadros Car,Listas Car"/>
    <w:basedOn w:val="Fuentedeprrafopredeter"/>
    <w:link w:val="Prrafodelista"/>
    <w:uiPriority w:val="34"/>
    <w:qFormat/>
    <w:locked/>
    <w:rsid w:val="00174CEF"/>
    <w:rPr>
      <w:rFonts w:eastAsiaTheme="minorEastAsia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174C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74C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4CEF"/>
    <w:rPr>
      <w:rFonts w:eastAsiaTheme="minorEastAsi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C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CEF"/>
    <w:rPr>
      <w:rFonts w:ascii="Segoe UI" w:eastAsiaTheme="minorEastAsia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D60"/>
    <w:rPr>
      <w:rFonts w:eastAsiaTheme="minorEastAsia"/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E7025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E70253"/>
    <w:rPr>
      <w:rFonts w:ascii="Arial" w:eastAsia="Times New Roman" w:hAnsi="Arial" w:cs="Arial"/>
      <w:sz w:val="18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E842A4"/>
    <w:rPr>
      <w:b/>
      <w:bCs/>
    </w:rPr>
  </w:style>
  <w:style w:type="table" w:styleId="Tablaconcuadrcula">
    <w:name w:val="Table Grid"/>
    <w:basedOn w:val="Tablanormal"/>
    <w:uiPriority w:val="39"/>
    <w:rsid w:val="0010159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TDC2"/>
    <w:next w:val="Normal"/>
    <w:autoRedefine/>
    <w:uiPriority w:val="39"/>
    <w:unhideWhenUsed/>
    <w:rsid w:val="00101592"/>
    <w:pPr>
      <w:spacing w:after="0" w:line="276" w:lineRule="auto"/>
      <w:ind w:left="0"/>
    </w:pPr>
    <w:rPr>
      <w:rFonts w:ascii="Times New Roman" w:eastAsia="Calibri" w:hAnsi="Times New Roman" w:cs="Times New Roman"/>
      <w:noProof/>
      <w:sz w:val="20"/>
      <w:szCs w:val="22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101592"/>
    <w:pPr>
      <w:spacing w:after="100"/>
      <w:ind w:left="210"/>
    </w:pPr>
  </w:style>
  <w:style w:type="paragraph" w:styleId="Encabezado">
    <w:name w:val="header"/>
    <w:basedOn w:val="Normal"/>
    <w:link w:val="EncabezadoCar"/>
    <w:uiPriority w:val="99"/>
    <w:unhideWhenUsed/>
    <w:rsid w:val="009F52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23F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9F52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23F"/>
    <w:rPr>
      <w:rFonts w:eastAsiaTheme="minorEastAsia"/>
      <w:sz w:val="21"/>
      <w:szCs w:val="21"/>
    </w:rPr>
  </w:style>
  <w:style w:type="paragraph" w:customStyle="1" w:styleId="texto0">
    <w:name w:val="texto"/>
    <w:basedOn w:val="Normal"/>
    <w:rsid w:val="008E2AE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00F1D"/>
    <w:rPr>
      <w:rFonts w:ascii="ITC Avant Garde" w:eastAsia="Times New Roman" w:hAnsi="ITC Avant Garde" w:cs="Times"/>
      <w:b/>
      <w:color w:val="2F2F2F"/>
      <w:sz w:val="24"/>
      <w:szCs w:val="24"/>
      <w:bdr w:val="nil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0F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C4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0B3030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n">
    <w:name w:val="Revision"/>
    <w:hidden/>
    <w:uiPriority w:val="99"/>
    <w:semiHidden/>
    <w:rsid w:val="009D7098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30A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126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1CB7"/>
    <w:rPr>
      <w:color w:val="954F72" w:themeColor="followedHyperlink"/>
      <w:u w:val="single"/>
    </w:rPr>
  </w:style>
  <w:style w:type="character" w:customStyle="1" w:styleId="DefaultCar">
    <w:name w:val="Default Car"/>
    <w:basedOn w:val="Fuentedeprrafopredeter"/>
    <w:link w:val="Default"/>
    <w:rsid w:val="0007174F"/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paragraph" w:styleId="Textonotapie">
    <w:name w:val="footnote text"/>
    <w:aliases w:val=" Char,Char,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TextonotapieCar"/>
    <w:uiPriority w:val="99"/>
    <w:unhideWhenUsed/>
    <w:qFormat/>
    <w:rsid w:val="00F4266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TextonotapieCar">
    <w:name w:val="Texto nota pie Car"/>
    <w:aliases w:val=" Char Car,Char Car,ALTS FOOTNOTE Car,Footnote Text Char1 Car,Footnote Text Char Char1 Car,Footnote Text Char4 Char Char Car,Footnote Text Char1 Char1 Char1 Char Car,Footnote Text Char Char1 Char1 Char Char Car,DNV- Car,DNV Car,DN Car"/>
    <w:basedOn w:val="Fuentedeprrafopredeter"/>
    <w:link w:val="Textonotapie"/>
    <w:uiPriority w:val="99"/>
    <w:rsid w:val="00F4266D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Refdenotaalpie">
    <w:name w:val="footnote reference"/>
    <w:aliases w:val="Footnote symbol,Appel note de bas de p,Footnote Reference/,Style 12,(NECG) Footnote Reference,Style 124,o,fr,Style 13,FR,Style 17,Style 3,Appel note de bas de p + 11 pt,Italic,Footnote,Appel note de bas de p1,Appel note de bas de p2"/>
    <w:uiPriority w:val="99"/>
    <w:qFormat/>
    <w:rsid w:val="00F42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98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4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1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1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9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9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4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f.gob.mx/nota_detalle.php?codigo=5481920&amp;fecha=09/05/201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0" ma:contentTypeDescription="Crear nuevo documento." ma:contentTypeScope="" ma:versionID="54b0fcd7487e5d1ec88ef671f37e34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0" ma:contentTypeDescription="Crear nuevo documento." ma:contentTypeScope="" ma:versionID="54b0fcd7487e5d1ec88ef671f37e34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2EFA-0795-42A4-BED6-09F7D854A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5F6A9-CABD-4739-9E4C-93BF61113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E727C-DFCE-48BA-BFC8-EB392B61925D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46F2F9-050D-41CA-BF9D-6F926B53B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0D82958-2990-403F-9684-A4907F32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2149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Patricia Correa Gonzalez</dc:creator>
  <cp:keywords/>
  <dc:description/>
  <cp:lastModifiedBy>UER</cp:lastModifiedBy>
  <cp:revision>3</cp:revision>
  <dcterms:created xsi:type="dcterms:W3CDTF">2021-03-11T16:32:00Z</dcterms:created>
  <dcterms:modified xsi:type="dcterms:W3CDTF">2021-03-11T16:34:00Z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