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6812" w14:textId="289EEBC3" w:rsidR="006D1F4A" w:rsidRPr="007D54E4" w:rsidRDefault="001028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 xml:space="preserve">INFORME DE CONSIDERACIONES SOBRE LAS MANIFESTACIONES, OPINIONES, </w:t>
      </w:r>
      <w:r w:rsidR="00C42AE3" w:rsidRPr="007D54E4">
        <w:rPr>
          <w:rFonts w:ascii="ITC Avant Garde" w:eastAsia="Calibri" w:hAnsi="ITC Avant Garde" w:cs="Times New Roman"/>
          <w:b/>
          <w:lang w:val="es-ES"/>
        </w:rPr>
        <w:t>COMENTARIOS Y PROPUESTAS, PRESENTADOS DURA</w:t>
      </w:r>
      <w:r w:rsidR="00C42AE3">
        <w:rPr>
          <w:rFonts w:ascii="ITC Avant Garde" w:eastAsia="Calibri" w:hAnsi="ITC Avant Garde" w:cs="Times New Roman"/>
          <w:b/>
          <w:lang w:val="es-ES"/>
        </w:rPr>
        <w:t xml:space="preserve">NTE LA </w:t>
      </w:r>
      <w:r w:rsidR="00C42AE3" w:rsidRPr="00C42AE3">
        <w:rPr>
          <w:rFonts w:ascii="ITC Avant Garde" w:eastAsia="Calibri" w:hAnsi="ITC Avant Garde" w:cs="Times New Roman"/>
          <w:b/>
          <w:lang w:val="es-ES"/>
        </w:rPr>
        <w:t xml:space="preserve">CONSULTA PÚBLICA SOBRE LA </w:t>
      </w:r>
      <w:r w:rsidR="00C42AE3">
        <w:rPr>
          <w:rFonts w:ascii="ITC Avant Garde" w:eastAsia="Calibri" w:hAnsi="ITC Avant Garde" w:cs="Times New Roman"/>
          <w:b/>
          <w:lang w:val="es-ES"/>
        </w:rPr>
        <w:t>“</w:t>
      </w:r>
      <w:r w:rsidR="00C42AE3" w:rsidRPr="00C42AE3">
        <w:rPr>
          <w:rFonts w:ascii="ITC Avant Garde" w:eastAsia="Calibri" w:hAnsi="ITC Avant Garde" w:cs="Times New Roman"/>
          <w:b/>
          <w:lang w:val="es-ES"/>
        </w:rPr>
        <w:t>PROPUESTA DE OFERTA PÚBLICA DE INFRAESTRUCTURA PRESENTADA POR GRUPO TELEVISA COMO INTEGRANTES DEL AGENTE ECONÓMICO PREPONDERANTE EN EL SECTOR DE RADIODIFUSIÓN, APLICABLE DEL 1 DE ENERO DE 2022 AL 31 DE DICIEMBRE DE 2023</w:t>
      </w:r>
      <w:r w:rsidR="00C42AE3">
        <w:rPr>
          <w:rFonts w:ascii="ITC Avant Garde" w:eastAsia="Calibri" w:hAnsi="ITC Avant Garde" w:cs="Times New Roman"/>
          <w:b/>
          <w:lang w:val="es-ES"/>
        </w:rPr>
        <w:t>”</w:t>
      </w:r>
      <w:r w:rsidR="00C42AE3" w:rsidRPr="007D54E4">
        <w:rPr>
          <w:rFonts w:ascii="ITC Avant Garde" w:eastAsia="Calibri" w:hAnsi="ITC Avant Garde" w:cs="Times New Roman"/>
          <w:b/>
          <w:lang w:val="es-ES"/>
        </w:rPr>
        <w:t>.</w:t>
      </w:r>
    </w:p>
    <w:p w14:paraId="42C3DE1A" w14:textId="1B2513DD"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Fecha de elaboración</w:t>
      </w:r>
      <w:bookmarkStart w:id="1" w:name="_GoBack"/>
      <w:bookmarkEnd w:id="1"/>
    </w:p>
    <w:p w14:paraId="6F2C6C53" w14:textId="42ABEFC2" w:rsidR="006D1F4A" w:rsidRPr="007D54E4" w:rsidRDefault="0010284A" w:rsidP="006D1F4A">
      <w:pPr>
        <w:rPr>
          <w:rFonts w:ascii="ITC Avant Garde" w:eastAsiaTheme="majorEastAsia" w:hAnsi="ITC Avant Garde" w:cstheme="majorBidi"/>
          <w:lang w:val="es-ES"/>
        </w:rPr>
      </w:pPr>
      <w:r>
        <w:rPr>
          <w:rFonts w:ascii="ITC Avant Garde" w:eastAsiaTheme="majorEastAsia" w:hAnsi="ITC Avant Garde" w:cstheme="majorBidi"/>
          <w:lang w:val="es-ES"/>
        </w:rPr>
        <w:t>17 de noviembre de 2021</w:t>
      </w:r>
    </w:p>
    <w:p w14:paraId="1644A70A" w14:textId="5EA70155"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Título o denominación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E99862C" w14:textId="791726FB" w:rsidR="006D1F4A" w:rsidRPr="007D54E4" w:rsidRDefault="00C42AE3" w:rsidP="00E50BE7">
      <w:pPr>
        <w:rPr>
          <w:rFonts w:ascii="ITC Avant Garde" w:eastAsiaTheme="majorEastAsia" w:hAnsi="ITC Avant Garde" w:cstheme="majorBidi"/>
          <w:i/>
          <w:lang w:val="es-ES"/>
        </w:rPr>
      </w:pPr>
      <w:r w:rsidRPr="00C42AE3">
        <w:rPr>
          <w:rFonts w:ascii="ITC Avant Garde" w:eastAsiaTheme="majorEastAsia" w:hAnsi="ITC Avant Garde" w:cstheme="majorBidi"/>
          <w:i/>
          <w:lang w:val="es-ES"/>
        </w:rPr>
        <w:t>“PROPUESTA DE OFERTA PÚBLICA DE INFRAESTRUCTURA PRESENTADA POR GRUPO TELEVISA COMO INTEGRANTES DEL AGENTE ECONÓMICO PREPONDERANTE EN EL SECTOR DE RADIODIFUSIÓN, APLICABLE DEL 1 DE ENERO DE 2022 AL 31 DE DICIEMBRE DE 2023”</w:t>
      </w:r>
      <w:r w:rsidR="006D1F4A" w:rsidRPr="007D54E4">
        <w:rPr>
          <w:rFonts w:ascii="ITC Avant Garde" w:eastAsiaTheme="majorEastAsia" w:hAnsi="ITC Avant Garde" w:cstheme="majorBidi"/>
          <w:i/>
          <w:lang w:val="es-ES"/>
        </w:rPr>
        <w:t>.</w:t>
      </w:r>
    </w:p>
    <w:p w14:paraId="5022C277" w14:textId="04779D71"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51E9E14" w14:textId="7CA11350" w:rsidR="007D54E4" w:rsidRPr="0010284A" w:rsidRDefault="0010284A" w:rsidP="007D54E4">
      <w:pPr>
        <w:rPr>
          <w:rFonts w:ascii="ITC Avant Garde" w:hAnsi="ITC Avant Garde"/>
          <w:lang w:val="es-MX"/>
        </w:rPr>
      </w:pPr>
      <w:r w:rsidRPr="0010284A">
        <w:rPr>
          <w:rFonts w:ascii="ITC Avant Garde" w:eastAsiaTheme="majorEastAsia" w:hAnsi="ITC Avant Garde" w:cstheme="majorBidi"/>
          <w:lang w:val="es-ES"/>
        </w:rPr>
        <w:t xml:space="preserve">Del 17 de </w:t>
      </w:r>
      <w:r w:rsidR="00930014">
        <w:rPr>
          <w:rFonts w:ascii="ITC Avant Garde" w:eastAsiaTheme="majorEastAsia" w:hAnsi="ITC Avant Garde" w:cstheme="majorBidi"/>
          <w:lang w:val="es-ES"/>
        </w:rPr>
        <w:t>j</w:t>
      </w:r>
      <w:r w:rsidRPr="0010284A">
        <w:rPr>
          <w:rFonts w:ascii="ITC Avant Garde" w:eastAsiaTheme="majorEastAsia" w:hAnsi="ITC Avant Garde" w:cstheme="majorBidi"/>
          <w:lang w:val="es-ES"/>
        </w:rPr>
        <w:t xml:space="preserve">ulio de 2021 al 15 de </w:t>
      </w:r>
      <w:r w:rsidR="00930014">
        <w:rPr>
          <w:rFonts w:ascii="ITC Avant Garde" w:eastAsiaTheme="majorEastAsia" w:hAnsi="ITC Avant Garde" w:cstheme="majorBidi"/>
          <w:lang w:val="es-ES"/>
        </w:rPr>
        <w:t>a</w:t>
      </w:r>
      <w:r w:rsidRPr="0010284A">
        <w:rPr>
          <w:rFonts w:ascii="ITC Avant Garde" w:eastAsiaTheme="majorEastAsia" w:hAnsi="ITC Avant Garde" w:cstheme="majorBidi"/>
          <w:lang w:val="es-ES"/>
        </w:rPr>
        <w:t>gosto de 2021</w:t>
      </w:r>
      <w:r w:rsidR="006D1F4A" w:rsidRPr="007D54E4">
        <w:rPr>
          <w:rFonts w:ascii="ITC Avant Garde" w:eastAsiaTheme="majorEastAsia" w:hAnsi="ITC Avant Garde" w:cstheme="majorBidi"/>
          <w:lang w:val="es-ES"/>
        </w:rPr>
        <w:t>, el Instituto Federal de Telecomunicaciones (en lo sucesivo, “Instituto”) llevó a cabo el proceso de consulta pública de</w:t>
      </w:r>
      <w:r w:rsidR="00376792">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sidR="00376792">
        <w:rPr>
          <w:rFonts w:ascii="ITC Avant Garde" w:eastAsiaTheme="majorEastAsia" w:hAnsi="ITC Avant Garde" w:cstheme="majorBidi"/>
          <w:lang w:val="es-ES"/>
        </w:rPr>
        <w:t>a</w:t>
      </w:r>
      <w:r w:rsidR="008A3C50" w:rsidRPr="007D54E4">
        <w:rPr>
          <w:rFonts w:ascii="ITC Avant Garde" w:eastAsiaTheme="majorEastAsia" w:hAnsi="ITC Avant Garde" w:cstheme="majorBidi"/>
          <w:lang w:val="es-ES"/>
        </w:rPr>
        <w:t xml:space="preserve"> </w:t>
      </w:r>
      <w:r w:rsidR="00376792">
        <w:rPr>
          <w:rFonts w:ascii="ITC Avant Garde" w:eastAsiaTheme="majorEastAsia" w:hAnsi="ITC Avant Garde" w:cstheme="majorBidi"/>
          <w:lang w:val="es-ES"/>
        </w:rPr>
        <w:t>“</w:t>
      </w:r>
      <w:r w:rsidR="00C42AE3" w:rsidRPr="00C42AE3">
        <w:rPr>
          <w:rFonts w:ascii="ITC Avant Garde" w:eastAsiaTheme="majorEastAsia" w:hAnsi="ITC Avant Garde" w:cstheme="majorBidi"/>
          <w:i/>
          <w:lang w:val="es-ES"/>
        </w:rPr>
        <w:t>“PROPUESTA DE OFERTA PÚBLICA DE INFRAESTRUCTURA PRESENTADA POR GRUPO TELEVISA COMO INTEGRANTES DEL AGENTE ECONÓMICO PREPONDERANTE EN EL SECTOR DE RADIODIFUSIÓN, APLICABLE DEL 1 DE ENERO DE 2022 AL 31 DE DICIEMBRE DE 2023”</w:t>
      </w:r>
      <w:r w:rsidR="00376792">
        <w:rPr>
          <w:rFonts w:ascii="ITC Avant Garde" w:eastAsiaTheme="majorEastAsia" w:hAnsi="ITC Avant Garde" w:cstheme="majorBidi"/>
          <w:i/>
          <w:lang w:val="es-ES"/>
        </w:rPr>
        <w:t>”</w:t>
      </w:r>
      <w:r w:rsidR="007D54E4" w:rsidRPr="0010284A">
        <w:rPr>
          <w:rFonts w:ascii="ITC Avant Garde" w:hAnsi="ITC Avant Garde"/>
          <w:lang w:val="es-MX"/>
        </w:rPr>
        <w:t>.</w:t>
      </w:r>
    </w:p>
    <w:p w14:paraId="169551CC" w14:textId="13B8C072"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5F79FF54"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w:t>
      </w:r>
      <w:r w:rsidR="00C42AE3">
        <w:rPr>
          <w:rFonts w:ascii="ITC Avant Garde" w:eastAsiaTheme="majorEastAsia" w:hAnsi="ITC Avant Garde" w:cstheme="majorBidi"/>
          <w:lang w:val="es-ES"/>
        </w:rPr>
        <w:t>hiciesen</w:t>
      </w:r>
      <w:r w:rsidR="00C42AE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 xml:space="preserve">llegar al Instituto, de </w:t>
      </w:r>
      <w:r w:rsidR="005C31C3">
        <w:rPr>
          <w:rFonts w:ascii="ITC Avant Garde" w:eastAsiaTheme="majorEastAsia" w:hAnsi="ITC Avant Garde" w:cstheme="majorBidi"/>
          <w:lang w:val="es-ES"/>
        </w:rPr>
        <w:t>conformidad con</w:t>
      </w:r>
      <w:r w:rsidRPr="007D54E4">
        <w:rPr>
          <w:rFonts w:ascii="ITC Avant Garde" w:eastAsiaTheme="majorEastAsia" w:hAnsi="ITC Avant Garde" w:cstheme="majorBidi"/>
          <w:lang w:val="es-ES"/>
        </w:rPr>
        <w:t xml:space="preserve"> los plazos y términos descritos en </w:t>
      </w:r>
      <w:r w:rsidR="005C31C3">
        <w:rPr>
          <w:rFonts w:ascii="ITC Avant Garde" w:eastAsiaTheme="majorEastAsia" w:hAnsi="ITC Avant Garde" w:cstheme="majorBidi"/>
          <w:lang w:val="es-ES"/>
        </w:rPr>
        <w:t>la</w:t>
      </w:r>
      <w:r w:rsidR="005C31C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mecánica</w:t>
      </w:r>
      <w:r w:rsidR="005C31C3">
        <w:rPr>
          <w:rFonts w:ascii="ITC Avant Garde" w:eastAsiaTheme="majorEastAsia" w:hAnsi="ITC Avant Garde" w:cstheme="majorBidi"/>
          <w:lang w:val="es-ES"/>
        </w:rPr>
        <w:t xml:space="preserve"> de la Consulta Pública</w:t>
      </w:r>
      <w:r w:rsidR="00C42AE3">
        <w:rPr>
          <w:rFonts w:ascii="ITC Avant Garde" w:eastAsiaTheme="majorEastAsia" w:hAnsi="ITC Avant Garde" w:cstheme="majorBidi"/>
          <w:lang w:val="es-ES"/>
        </w:rPr>
        <w:t>,</w:t>
      </w:r>
      <w:r w:rsidRPr="007D54E4">
        <w:rPr>
          <w:rFonts w:ascii="ITC Avant Garde" w:eastAsiaTheme="majorEastAsia" w:hAnsi="ITC Avant Garde" w:cstheme="majorBidi"/>
          <w:lang w:val="es-ES"/>
        </w:rPr>
        <w:t xml:space="preserve"> no tiene carácter vinculante, sin perjuicio de que el Instituto pueda ponderarla en un documento que refleje los resultados de dicha consulta, el cual se hará público</w:t>
      </w:r>
      <w:r w:rsidR="005C31C3">
        <w:rPr>
          <w:rFonts w:ascii="ITC Avant Garde" w:eastAsiaTheme="majorEastAsia" w:hAnsi="ITC Avant Garde" w:cstheme="majorBidi"/>
          <w:lang w:val="es-ES"/>
        </w:rPr>
        <w:t>, en su caso,</w:t>
      </w:r>
      <w:r w:rsidRPr="007D54E4">
        <w:rPr>
          <w:rFonts w:ascii="ITC Avant Garde" w:eastAsiaTheme="majorEastAsia" w:hAnsi="ITC Avant Garde" w:cstheme="majorBidi"/>
          <w:lang w:val="es-ES"/>
        </w:rPr>
        <w:t xml:space="preserve"> en el apartado de la página de la consulta pública</w:t>
      </w:r>
      <w:r w:rsidRPr="007D54E4">
        <w:rPr>
          <w:rStyle w:val="Refdenotaalpie"/>
          <w:rFonts w:ascii="ITC Avant Garde" w:eastAsiaTheme="majorEastAsia" w:hAnsi="ITC Avant Garde" w:cstheme="majorBidi"/>
          <w:sz w:val="22"/>
          <w:lang w:val="es-ES"/>
        </w:rPr>
        <w:footnoteReference w:id="1"/>
      </w:r>
      <w:r w:rsidRPr="007D54E4">
        <w:rPr>
          <w:rFonts w:ascii="ITC Avant Garde" w:eastAsiaTheme="majorEastAsia" w:hAnsi="ITC Avant Garde" w:cstheme="majorBidi"/>
          <w:lang w:val="es-ES"/>
        </w:rPr>
        <w:t>.</w:t>
      </w:r>
    </w:p>
    <w:p w14:paraId="55B4E627" w14:textId="460CF582"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lastRenderedPageBreak/>
        <w:t>Objetivo</w:t>
      </w:r>
      <w:r w:rsidR="00DB6781">
        <w:rPr>
          <w:rFonts w:ascii="ITC Avant Garde" w:eastAsiaTheme="majorEastAsia" w:hAnsi="ITC Avant Garde" w:cstheme="majorBidi"/>
          <w:b/>
          <w:lang w:val="es-ES"/>
        </w:rPr>
        <w:t xml:space="preserve"> </w:t>
      </w:r>
      <w:r w:rsidRPr="007D54E4">
        <w:rPr>
          <w:rFonts w:ascii="ITC Avant Garde" w:eastAsiaTheme="majorEastAsia" w:hAnsi="ITC Avant Garde" w:cstheme="majorBidi"/>
          <w:b/>
          <w:lang w:val="es-ES"/>
        </w:rPr>
        <w:t xml:space="preserve">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15B2598D" w14:textId="6BBB834B" w:rsidR="007D54E4" w:rsidRPr="007D54E4" w:rsidRDefault="00DB6781" w:rsidP="007D54E4">
      <w:pPr>
        <w:rPr>
          <w:rFonts w:ascii="ITC Avant Garde" w:eastAsiaTheme="majorEastAsia" w:hAnsi="ITC Avant Garde" w:cstheme="majorBidi"/>
          <w:lang w:val="es-ES"/>
        </w:rPr>
      </w:pPr>
      <w:r>
        <w:rPr>
          <w:rFonts w:ascii="ITC Avant Garde" w:eastAsiaTheme="majorEastAsia" w:hAnsi="ITC Avant Garde" w:cstheme="majorBidi"/>
          <w:lang w:val="es-ES"/>
        </w:rPr>
        <w:t>El objetivo principal</w:t>
      </w:r>
      <w:r w:rsidR="00376792" w:rsidRPr="00376792">
        <w:rPr>
          <w:rFonts w:ascii="ITC Avant Garde" w:eastAsiaTheme="majorEastAsia" w:hAnsi="ITC Avant Garde" w:cstheme="majorBidi"/>
          <w:lang w:val="es-ES"/>
        </w:rPr>
        <w:t xml:space="preserve"> del Instituto sobre la consulta pública </w:t>
      </w:r>
      <w:r w:rsidR="00471944">
        <w:rPr>
          <w:rFonts w:ascii="ITC Avant Garde" w:eastAsiaTheme="majorEastAsia" w:hAnsi="ITC Avant Garde" w:cstheme="majorBidi"/>
          <w:lang w:val="es-ES"/>
        </w:rPr>
        <w:t>que se reporta</w:t>
      </w:r>
      <w:r w:rsidR="0010284A">
        <w:rPr>
          <w:rFonts w:ascii="ITC Avant Garde" w:eastAsiaTheme="majorEastAsia" w:hAnsi="ITC Avant Garde" w:cstheme="majorBidi"/>
          <w:lang w:val="es-ES"/>
        </w:rPr>
        <w:t xml:space="preserve"> tuvo como</w:t>
      </w:r>
      <w:r w:rsidRPr="00DB6781">
        <w:rPr>
          <w:rFonts w:ascii="ITC Avant Garde" w:eastAsiaTheme="majorEastAsia" w:hAnsi="ITC Avant Garde" w:cstheme="majorBidi"/>
          <w:lang w:val="es-ES"/>
        </w:rPr>
        <w:t xml:space="preserve"> finalidad contar con mayores elementos para determinar las condiciones bajo las cuales se deberán aprobar la Oferta Pública de Infraestructura de</w:t>
      </w:r>
      <w:r w:rsidR="0010284A">
        <w:rPr>
          <w:rFonts w:ascii="ITC Avant Garde" w:eastAsiaTheme="majorEastAsia" w:hAnsi="ITC Avant Garde" w:cstheme="majorBidi"/>
          <w:lang w:val="es-ES"/>
        </w:rPr>
        <w:t xml:space="preserve"> Grupo Televisa</w:t>
      </w:r>
      <w:r w:rsidRPr="00DB6781">
        <w:rPr>
          <w:rFonts w:ascii="ITC Avant Garde" w:eastAsiaTheme="majorEastAsia" w:hAnsi="ITC Avant Garde" w:cstheme="majorBidi"/>
          <w:lang w:val="es-ES"/>
        </w:rPr>
        <w:t>, de conformidad con lo establecido en la “</w:t>
      </w:r>
      <w:r w:rsidRPr="00DB6781">
        <w:rPr>
          <w:rFonts w:ascii="ITC Avant Garde" w:eastAsiaTheme="majorEastAsia" w:hAnsi="ITC Avant Garde" w:cstheme="majorBidi"/>
          <w:i/>
          <w:lang w:val="es-ES"/>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proofErr w:type="spellStart"/>
      <w:r w:rsidRPr="00DB6781">
        <w:rPr>
          <w:rFonts w:ascii="ITC Avant Garde" w:eastAsiaTheme="majorEastAsia" w:hAnsi="ITC Avant Garde" w:cstheme="majorBidi"/>
          <w:i/>
          <w:lang w:val="es-ES"/>
        </w:rPr>
        <w:t>FlTZMAURICE</w:t>
      </w:r>
      <w:proofErr w:type="spellEnd"/>
      <w:r w:rsidRPr="00DB6781">
        <w:rPr>
          <w:rFonts w:ascii="ITC Avant Garde" w:eastAsiaTheme="majorEastAsia" w:hAnsi="ITC Avant Garde" w:cstheme="majorBidi"/>
          <w:i/>
          <w:lang w:val="es-ES"/>
        </w:rPr>
        <w:t xml:space="preserv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DB6781">
        <w:rPr>
          <w:rFonts w:ascii="ITC Avant Garde" w:eastAsiaTheme="majorEastAsia" w:hAnsi="ITC Avant Garde" w:cstheme="majorBidi"/>
          <w:lang w:val="es-ES"/>
        </w:rPr>
        <w:t>”</w:t>
      </w:r>
      <w:r w:rsidR="00930014">
        <w:rPr>
          <w:rFonts w:ascii="ITC Avant Garde" w:eastAsiaTheme="majorEastAsia" w:hAnsi="ITC Avant Garde" w:cstheme="majorBidi"/>
          <w:lang w:val="es-ES"/>
        </w:rPr>
        <w:t>.</w:t>
      </w:r>
    </w:p>
    <w:p w14:paraId="2DD0DF92" w14:textId="5BF5478A" w:rsidR="0010284A"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Unidades y/o Coordinaciones Generales responsables 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C2F7958" w14:textId="5F28DA01"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090547">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FEFAEEA" w:rsidR="007D54E4" w:rsidRPr="007D54E4" w:rsidRDefault="007D54E4" w:rsidP="007D54E4">
      <w:pPr>
        <w:rPr>
          <w:rFonts w:ascii="ITC Avant Garde" w:eastAsiaTheme="majorEastAsia" w:hAnsi="ITC Avant Garde" w:cstheme="majorBidi"/>
          <w:b/>
          <w:lang w:val="es-ES"/>
        </w:rPr>
      </w:pPr>
      <w:bookmarkStart w:id="2" w:name="_Hlk88039901"/>
      <w:r w:rsidRPr="007D54E4">
        <w:rPr>
          <w:rFonts w:ascii="ITC Avant Garde" w:eastAsiaTheme="majorEastAsia" w:hAnsi="ITC Avant Garde" w:cstheme="majorBidi"/>
          <w:b/>
          <w:lang w:val="es-ES"/>
        </w:rPr>
        <w:t xml:space="preserve">Descripción de los participantes en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42C470DB" w14:textId="0020FB25" w:rsidR="00376792" w:rsidRDefault="007D54E4" w:rsidP="00376792">
      <w:pPr>
        <w:rPr>
          <w:rFonts w:ascii="ITC Avant Garde" w:eastAsia="Calibri" w:hAnsi="ITC Avant Garde" w:cs="Times New Roman"/>
          <w:lang w:val="es-ES"/>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10284A">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10284A">
        <w:rPr>
          <w:rFonts w:ascii="ITC Avant Garde" w:eastAsia="Calibri" w:hAnsi="ITC Avant Garde" w:cs="Times New Roman"/>
          <w:lang w:val="es-ES"/>
        </w:rPr>
        <w:t>P</w:t>
      </w:r>
      <w:r w:rsidR="00376792">
        <w:rPr>
          <w:rFonts w:ascii="ITC Avant Garde" w:eastAsia="Calibri" w:hAnsi="ITC Avant Garde" w:cs="Times New Roman"/>
          <w:lang w:val="es-ES"/>
        </w:rPr>
        <w:t>ública de mérito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p w14:paraId="6D89B008" w14:textId="3BCAB540" w:rsidR="00942AFB" w:rsidRPr="007D54E4" w:rsidRDefault="00942AFB" w:rsidP="00942AFB">
      <w:pPr>
        <w:rPr>
          <w:rFonts w:ascii="ITC Avant Garde" w:eastAsiaTheme="majorEastAsia" w:hAnsi="ITC Avant Garde" w:cstheme="majorBidi"/>
          <w:b/>
          <w:lang w:val="es-ES"/>
        </w:rPr>
      </w:pPr>
      <w:r>
        <w:rPr>
          <w:rFonts w:ascii="ITC Avant Garde" w:eastAsiaTheme="majorEastAsia" w:hAnsi="ITC Avant Garde" w:cstheme="majorBidi"/>
          <w:b/>
          <w:lang w:val="es-ES"/>
        </w:rPr>
        <w:t>Las respuestas o posicionamientos que correspondan por parte del Instituto</w:t>
      </w:r>
    </w:p>
    <w:p w14:paraId="5633152C" w14:textId="1833E377" w:rsidR="00942AFB" w:rsidRPr="0010284A" w:rsidRDefault="00942AFB" w:rsidP="00942AFB">
      <w:pPr>
        <w:rPr>
          <w:rStyle w:val="Hipervnculo"/>
          <w:rFonts w:ascii="ITC Avant Garde" w:hAnsi="ITC Avant Garde"/>
          <w:lang w:val="es-MX"/>
        </w:rPr>
      </w:pPr>
      <w:r>
        <w:rPr>
          <w:rFonts w:ascii="ITC Avant Garde" w:eastAsia="Calibri" w:hAnsi="ITC Avant Garde" w:cs="Times New Roman"/>
          <w:lang w:val="es-ES"/>
        </w:rPr>
        <w:t>No aplica debido a que el Instituto no recibió manifestaciones durante la Consulta Pública.</w:t>
      </w:r>
    </w:p>
    <w:bookmarkEnd w:id="2"/>
    <w:p w14:paraId="1AB6AFF9" w14:textId="77777777" w:rsidR="00942AFB" w:rsidRPr="0010284A" w:rsidRDefault="00942AFB" w:rsidP="00376792">
      <w:pPr>
        <w:rPr>
          <w:rStyle w:val="Hipervnculo"/>
          <w:rFonts w:ascii="ITC Avant Garde" w:hAnsi="ITC Avant Garde"/>
          <w:lang w:val="es-MX"/>
        </w:rPr>
      </w:pPr>
    </w:p>
    <w:sectPr w:rsidR="00942AFB" w:rsidRPr="0010284A"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8EB6" w14:textId="77777777" w:rsidR="00BC1E49" w:rsidRDefault="00BC1E49" w:rsidP="003C6172">
      <w:pPr>
        <w:spacing w:after="0" w:line="240" w:lineRule="auto"/>
      </w:pPr>
      <w:r>
        <w:separator/>
      </w:r>
    </w:p>
  </w:endnote>
  <w:endnote w:type="continuationSeparator" w:id="0">
    <w:p w14:paraId="72F90D9C" w14:textId="77777777" w:rsidR="00BC1E49" w:rsidRDefault="00BC1E49"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Calibri"/>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4061" w14:textId="0D5CCA31" w:rsidR="006D1F4A" w:rsidRPr="00C84A1D" w:rsidRDefault="00793681" w:rsidP="008958B5">
    <w:pPr>
      <w:pStyle w:val="Piedepgina"/>
      <w:jc w:val="right"/>
      <w:rPr>
        <w:rFonts w:ascii="ITC Avant Garde" w:hAnsi="ITC Avant Garde"/>
        <w:b/>
      </w:rPr>
    </w:pPr>
    <w:proofErr w:type="spellStart"/>
    <w:r w:rsidRPr="00793681">
      <w:rPr>
        <w:rFonts w:ascii="ITC Avant Garde" w:hAnsi="ITC Avant Garde"/>
      </w:rPr>
      <w:t>Página</w:t>
    </w:r>
    <w:proofErr w:type="spellEnd"/>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90547" w:rsidRPr="00090547">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90547">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480A72B"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691C3A">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691C3A">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CE53" w14:textId="77777777" w:rsidR="00BC1E49" w:rsidRDefault="00BC1E49" w:rsidP="003C6172">
      <w:pPr>
        <w:spacing w:after="0" w:line="240" w:lineRule="auto"/>
      </w:pPr>
      <w:r>
        <w:separator/>
      </w:r>
    </w:p>
  </w:footnote>
  <w:footnote w:type="continuationSeparator" w:id="0">
    <w:p w14:paraId="12B8B5F6" w14:textId="77777777" w:rsidR="00BC1E49" w:rsidRDefault="00BC1E49" w:rsidP="003C6172">
      <w:pPr>
        <w:spacing w:after="0" w:line="240" w:lineRule="auto"/>
      </w:pPr>
      <w:r>
        <w:continuationSeparator/>
      </w:r>
    </w:p>
  </w:footnote>
  <w:footnote w:id="1">
    <w:p w14:paraId="0CFB575A" w14:textId="13A8C817" w:rsidR="006D1F4A" w:rsidRPr="00DB41B3" w:rsidRDefault="006D1F4A" w:rsidP="006D1F4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10284A">
        <w:rPr>
          <w:rFonts w:ascii="ITC Avant Garde" w:hAnsi="ITC Avant Garde"/>
          <w:sz w:val="14"/>
          <w:szCs w:val="14"/>
          <w:lang w:val="es-MX"/>
        </w:rPr>
        <w:t xml:space="preserve"> </w:t>
      </w:r>
      <w:r w:rsidR="0010284A">
        <w:rPr>
          <w:rFonts w:ascii="ITC Avant Garde" w:hAnsi="ITC Avant Garde"/>
          <w:sz w:val="14"/>
          <w:szCs w:val="14"/>
          <w:lang w:val="es-MX"/>
        </w:rPr>
        <w:t xml:space="preserve">La </w:t>
      </w:r>
      <w:r w:rsidR="0010284A" w:rsidRPr="0010284A">
        <w:rPr>
          <w:rFonts w:ascii="ITC Avant Garde" w:hAnsi="ITC Avant Garde"/>
          <w:sz w:val="14"/>
          <w:szCs w:val="14"/>
          <w:lang w:val="es-MX"/>
        </w:rPr>
        <w:t>Consulta Pública sobre las “Propuestas de Ofertas Públicas de Infraestructura presentadas por integrantes del Agente Económico Preponderante en el Sector de Radiodifusión, aplicables del 1 de enero de 2022 al 31 de diciembre de 2023”</w:t>
      </w:r>
      <w:r w:rsidRPr="00DB41B3">
        <w:rPr>
          <w:rFonts w:ascii="ITC Avant Garde" w:hAnsi="ITC Avant Garde"/>
          <w:sz w:val="14"/>
          <w:szCs w:val="14"/>
          <w:lang w:val="es-MX"/>
        </w:rPr>
        <w:t xml:space="preserve">se encuentra disponible a través de la siguiente dirección electrónica: </w:t>
      </w:r>
      <w:r w:rsidR="00C42AE3" w:rsidRPr="00C42AE3">
        <w:rPr>
          <w:rFonts w:ascii="ITC Avant Garde" w:hAnsi="ITC Avant Garde"/>
          <w:sz w:val="14"/>
          <w:szCs w:val="14"/>
          <w:lang w:val="es-MX"/>
        </w:rPr>
        <w:t>http://www.ift.org.mx/industria/consultas-publicas/oferta-publica-de-infraestructura-presentada-por-el-agente-economico-preponderante-en-el-sector-de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2B87"/>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05AB5"/>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0418"/>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4D87"/>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36AEE"/>
    <w:rsid w:val="00444DA5"/>
    <w:rsid w:val="004457BE"/>
    <w:rsid w:val="00447110"/>
    <w:rsid w:val="00453F3C"/>
    <w:rsid w:val="004571AD"/>
    <w:rsid w:val="00457F76"/>
    <w:rsid w:val="004630CC"/>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1C3"/>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1DF8"/>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53CA"/>
    <w:rsid w:val="009258E7"/>
    <w:rsid w:val="00926E1D"/>
    <w:rsid w:val="00930014"/>
    <w:rsid w:val="0093182A"/>
    <w:rsid w:val="00931AF2"/>
    <w:rsid w:val="00932E6C"/>
    <w:rsid w:val="00932FED"/>
    <w:rsid w:val="00935D4B"/>
    <w:rsid w:val="00936300"/>
    <w:rsid w:val="00942AFB"/>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1E49"/>
    <w:rsid w:val="00BC335B"/>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2AE3"/>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F22B3-594F-4E19-A604-AAF3FA08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0</TotalTime>
  <Pages>2</Pages>
  <Words>656</Words>
  <Characters>3613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Primitivo Ortiz Maldonado</cp:lastModifiedBy>
  <cp:revision>2</cp:revision>
  <cp:lastPrinted>2011-01-06T16:36:00Z</cp:lastPrinted>
  <dcterms:created xsi:type="dcterms:W3CDTF">2021-11-17T19:23:00Z</dcterms:created>
  <dcterms:modified xsi:type="dcterms:W3CDTF">2021-11-17T19:23:00Z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