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commentsExtensible.xml" ContentType="application/vnd.openxmlformats-officedocument.wordprocessingml.commentsExtensible+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F9A" w:rsidRPr="00BA1D95" w:rsidRDefault="00A47F9A" w:rsidP="004B11EB">
      <w:pPr>
        <w:pStyle w:val="Sinespaciado"/>
        <w:rPr>
          <w:rFonts w:ascii="ITC Avant Garde" w:hAnsi="ITC Avant Garde" w:cs="Arial"/>
          <w:sz w:val="22"/>
          <w:szCs w:val="22"/>
          <w:lang w:val="es-MX"/>
        </w:rPr>
      </w:pPr>
    </w:p>
    <w:p w:rsidR="00A47F9A" w:rsidRPr="00BA1D95" w:rsidRDefault="00A47F9A" w:rsidP="004B11EB">
      <w:pPr>
        <w:pStyle w:val="Arial14Bold"/>
        <w:spacing w:line="360" w:lineRule="auto"/>
        <w:contextualSpacing/>
        <w:rPr>
          <w:rFonts w:ascii="ITC Avant Garde" w:hAnsi="ITC Avant Garde" w:cs="Arial"/>
          <w:sz w:val="22"/>
          <w:szCs w:val="22"/>
          <w:lang w:val="es-MX"/>
        </w:rPr>
      </w:pPr>
    </w:p>
    <w:p w:rsidR="00A47F9A" w:rsidRPr="00BA1D95" w:rsidRDefault="00A47F9A" w:rsidP="004B11EB">
      <w:pPr>
        <w:pStyle w:val="Arial14Bold"/>
        <w:spacing w:line="360" w:lineRule="auto"/>
        <w:contextualSpacing/>
        <w:rPr>
          <w:rFonts w:ascii="ITC Avant Garde" w:hAnsi="ITC Avant Garde" w:cs="Arial"/>
          <w:sz w:val="22"/>
          <w:szCs w:val="22"/>
          <w:lang w:val="es-MX"/>
        </w:rPr>
      </w:pPr>
    </w:p>
    <w:p w:rsidR="00A47F9A" w:rsidRPr="00BA1D95" w:rsidRDefault="00A47F9A" w:rsidP="004B11EB">
      <w:pPr>
        <w:pStyle w:val="Arial14Bold"/>
        <w:spacing w:line="360" w:lineRule="auto"/>
        <w:contextualSpacing/>
        <w:rPr>
          <w:rFonts w:ascii="ITC Avant Garde" w:hAnsi="ITC Avant Garde" w:cs="Arial"/>
          <w:sz w:val="22"/>
          <w:szCs w:val="22"/>
          <w:lang w:val="es-MX"/>
        </w:rPr>
      </w:pPr>
    </w:p>
    <w:p w:rsidR="00A47F9A" w:rsidRPr="00BA1D95" w:rsidRDefault="00A47F9A" w:rsidP="004B11EB">
      <w:pPr>
        <w:pStyle w:val="Arial14Bold"/>
        <w:spacing w:line="360" w:lineRule="auto"/>
        <w:contextualSpacing/>
        <w:rPr>
          <w:rFonts w:ascii="ITC Avant Garde" w:hAnsi="ITC Avant Garde" w:cs="Arial"/>
          <w:sz w:val="22"/>
          <w:szCs w:val="22"/>
          <w:lang w:val="es-MX"/>
        </w:rPr>
      </w:pPr>
    </w:p>
    <w:p w:rsidR="00A47F9A" w:rsidRPr="00D10A4E" w:rsidRDefault="00A47F9A" w:rsidP="004B11EB">
      <w:pPr>
        <w:spacing w:line="360" w:lineRule="auto"/>
        <w:contextualSpacing/>
        <w:jc w:val="center"/>
        <w:rPr>
          <w:rFonts w:ascii="ITC Avant Garde" w:hAnsi="ITC Avant Garde" w:cs="Arial"/>
          <w:b/>
          <w:bCs/>
          <w:sz w:val="36"/>
          <w:szCs w:val="32"/>
        </w:rPr>
      </w:pPr>
      <w:r w:rsidRPr="00D10A4E">
        <w:rPr>
          <w:rFonts w:ascii="ITC Avant Garde" w:hAnsi="ITC Avant Garde" w:cs="Arial"/>
          <w:b/>
          <w:bCs/>
          <w:sz w:val="36"/>
          <w:szCs w:val="32"/>
        </w:rPr>
        <w:t xml:space="preserve">Oferta de Referencia para la </w:t>
      </w:r>
      <w:r w:rsidR="00F311C0" w:rsidRPr="00D10A4E">
        <w:rPr>
          <w:rFonts w:ascii="ITC Avant Garde" w:hAnsi="ITC Avant Garde" w:cs="Arial"/>
          <w:b/>
          <w:bCs/>
          <w:sz w:val="36"/>
          <w:szCs w:val="32"/>
        </w:rPr>
        <w:t xml:space="preserve">Desagregación del </w:t>
      </w:r>
      <w:r w:rsidRPr="00D10A4E">
        <w:rPr>
          <w:rFonts w:ascii="ITC Avant Garde" w:hAnsi="ITC Avant Garde" w:cs="Arial"/>
          <w:b/>
          <w:bCs/>
          <w:sz w:val="36"/>
          <w:szCs w:val="32"/>
        </w:rPr>
        <w:t>Bucle Local</w:t>
      </w:r>
    </w:p>
    <w:p w:rsidR="00A47F9A" w:rsidRPr="00BA1D95" w:rsidRDefault="00A47F9A" w:rsidP="004B11EB">
      <w:pPr>
        <w:spacing w:line="360" w:lineRule="auto"/>
        <w:contextualSpacing/>
        <w:jc w:val="center"/>
        <w:rPr>
          <w:rFonts w:ascii="ITC Avant Garde" w:hAnsi="ITC Avant Garde" w:cs="Arial"/>
          <w:b/>
          <w:bCs/>
          <w:sz w:val="32"/>
          <w:szCs w:val="32"/>
        </w:rPr>
      </w:pPr>
      <w:r w:rsidRPr="00D10A4E">
        <w:rPr>
          <w:rFonts w:ascii="ITC Avant Garde" w:hAnsi="ITC Avant Garde" w:cs="Arial"/>
          <w:b/>
          <w:bCs/>
          <w:sz w:val="36"/>
          <w:szCs w:val="32"/>
        </w:rPr>
        <w:t>(OREDA-</w:t>
      </w:r>
      <w:r w:rsidR="006E094B" w:rsidRPr="00D10A4E">
        <w:rPr>
          <w:rFonts w:ascii="ITC Avant Garde" w:hAnsi="ITC Avant Garde" w:cs="Arial"/>
          <w:b/>
          <w:bCs/>
          <w:sz w:val="36"/>
          <w:szCs w:val="32"/>
        </w:rPr>
        <w:t>D</w:t>
      </w:r>
      <w:r w:rsidR="000D1DD7" w:rsidRPr="00D10A4E">
        <w:rPr>
          <w:rFonts w:ascii="ITC Avant Garde" w:hAnsi="ITC Avant Garde" w:cs="Arial"/>
          <w:b/>
          <w:bCs/>
          <w:sz w:val="36"/>
          <w:szCs w:val="32"/>
        </w:rPr>
        <w:t xml:space="preserve">ivisión </w:t>
      </w:r>
      <w:r w:rsidR="006E094B" w:rsidRPr="00D10A4E">
        <w:rPr>
          <w:rFonts w:ascii="ITC Avant Garde" w:hAnsi="ITC Avant Garde" w:cs="Arial"/>
          <w:b/>
          <w:bCs/>
          <w:sz w:val="36"/>
          <w:szCs w:val="32"/>
        </w:rPr>
        <w:t>M</w:t>
      </w:r>
      <w:r w:rsidR="000D1DD7" w:rsidRPr="00D10A4E">
        <w:rPr>
          <w:rFonts w:ascii="ITC Avant Garde" w:hAnsi="ITC Avant Garde" w:cs="Arial"/>
          <w:b/>
          <w:bCs/>
          <w:sz w:val="36"/>
          <w:szCs w:val="32"/>
        </w:rPr>
        <w:t>ayorista</w:t>
      </w:r>
      <w:r w:rsidRPr="00D10A4E">
        <w:rPr>
          <w:rFonts w:ascii="ITC Avant Garde" w:hAnsi="ITC Avant Garde" w:cs="Arial"/>
          <w:b/>
          <w:bCs/>
          <w:sz w:val="36"/>
          <w:szCs w:val="32"/>
        </w:rPr>
        <w:t>)</w:t>
      </w:r>
    </w:p>
    <w:p w:rsidR="00A47F9A" w:rsidRPr="00614962" w:rsidRDefault="00094B5A" w:rsidP="004B11EB">
      <w:pPr>
        <w:spacing w:line="360" w:lineRule="auto"/>
        <w:contextualSpacing/>
        <w:jc w:val="center"/>
        <w:rPr>
          <w:rFonts w:ascii="ITC Avant Garde" w:hAnsi="ITC Avant Garde" w:cs="Arial"/>
          <w:b/>
          <w:bCs/>
          <w:sz w:val="48"/>
          <w:szCs w:val="32"/>
        </w:rPr>
      </w:pPr>
      <w:r w:rsidRPr="00094B5A">
        <w:rPr>
          <w:rFonts w:ascii="ITC Avant Garde" w:hAnsi="ITC Avant Garde" w:cs="Arial"/>
          <w:b/>
          <w:bCs/>
          <w:sz w:val="48"/>
          <w:szCs w:val="32"/>
        </w:rPr>
        <w:t>202</w:t>
      </w:r>
      <w:r w:rsidR="006E2892">
        <w:rPr>
          <w:rFonts w:ascii="ITC Avant Garde" w:hAnsi="ITC Avant Garde" w:cs="Arial"/>
          <w:b/>
          <w:bCs/>
          <w:sz w:val="48"/>
          <w:szCs w:val="32"/>
        </w:rPr>
        <w:t>2</w:t>
      </w:r>
    </w:p>
    <w:p w:rsidR="00A47F9A" w:rsidRPr="00BA1D95" w:rsidRDefault="00A47F9A" w:rsidP="004B11EB">
      <w:pPr>
        <w:spacing w:line="360" w:lineRule="auto"/>
        <w:contextualSpacing/>
        <w:jc w:val="both"/>
        <w:rPr>
          <w:rFonts w:ascii="ITC Avant Garde" w:hAnsi="ITC Avant Garde" w:cs="Arial"/>
        </w:rPr>
      </w:pPr>
    </w:p>
    <w:p w:rsidR="00A47F9A" w:rsidRPr="00BA1D95" w:rsidRDefault="00A47F9A" w:rsidP="004B11EB">
      <w:pPr>
        <w:spacing w:line="360" w:lineRule="auto"/>
        <w:contextualSpacing/>
        <w:jc w:val="both"/>
        <w:rPr>
          <w:rFonts w:ascii="ITC Avant Garde" w:hAnsi="ITC Avant Garde" w:cs="Arial"/>
        </w:rPr>
      </w:pPr>
    </w:p>
    <w:p w:rsidR="00A47F9A" w:rsidRPr="00BA1D95" w:rsidRDefault="00A47F9A" w:rsidP="004B11EB">
      <w:pPr>
        <w:rPr>
          <w:rFonts w:ascii="ITC Avant Garde" w:hAnsi="ITC Avant Garde" w:cs="Arial"/>
        </w:rPr>
      </w:pPr>
    </w:p>
    <w:p w:rsidR="00A47F9A" w:rsidRPr="00BA1D95" w:rsidRDefault="00A47F9A" w:rsidP="004B11EB">
      <w:pPr>
        <w:tabs>
          <w:tab w:val="center" w:pos="4420"/>
        </w:tabs>
        <w:rPr>
          <w:rFonts w:ascii="ITC Avant Garde" w:hAnsi="ITC Avant Garde" w:cs="Arial"/>
        </w:rPr>
        <w:sectPr w:rsidR="00A47F9A" w:rsidRPr="00BA1D95" w:rsidSect="009F7BCF">
          <w:footerReference w:type="default" r:id="rId11"/>
          <w:type w:val="continuous"/>
          <w:pgSz w:w="12242" w:h="15842" w:code="1"/>
          <w:pgMar w:top="2155" w:right="1701" w:bottom="1134" w:left="1701" w:header="851" w:footer="1140" w:gutter="0"/>
          <w:cols w:space="720"/>
          <w:titlePg/>
          <w:docGrid w:linePitch="326"/>
        </w:sectPr>
      </w:pPr>
      <w:r w:rsidRPr="00BA1D95">
        <w:rPr>
          <w:rFonts w:ascii="ITC Avant Garde" w:hAnsi="ITC Avant Garde" w:cs="Arial"/>
        </w:rPr>
        <w:tab/>
      </w:r>
    </w:p>
    <w:p w:rsidR="00A47F9A" w:rsidRPr="00BA1D95" w:rsidRDefault="00A47F9A" w:rsidP="00402F39">
      <w:pPr>
        <w:pStyle w:val="Ttulo1"/>
        <w:rPr>
          <w:rFonts w:cs="Arial"/>
        </w:rPr>
      </w:pPr>
      <w:bookmarkStart w:id="0" w:name="_Toc434612303"/>
      <w:bookmarkStart w:id="1" w:name="_Toc434626638"/>
      <w:bookmarkStart w:id="2" w:name="_Toc434858815"/>
      <w:bookmarkStart w:id="3" w:name="_Toc434932567"/>
      <w:bookmarkStart w:id="4" w:name="_Toc434932721"/>
      <w:bookmarkStart w:id="5" w:name="_Toc434934629"/>
      <w:bookmarkStart w:id="6" w:name="_Toc435110209"/>
      <w:bookmarkStart w:id="7" w:name="_Toc436840859"/>
      <w:bookmarkStart w:id="8" w:name="_Toc436846296"/>
      <w:bookmarkStart w:id="9" w:name="_Toc436848246"/>
      <w:bookmarkStart w:id="10" w:name="_Toc436856494"/>
      <w:bookmarkStart w:id="11" w:name="_Toc436862640"/>
      <w:bookmarkStart w:id="12" w:name="_Toc436866290"/>
      <w:bookmarkStart w:id="13" w:name="_Toc436870869"/>
      <w:bookmarkStart w:id="14" w:name="_Toc436875861"/>
      <w:bookmarkStart w:id="15" w:name="_Toc467248671"/>
      <w:bookmarkStart w:id="16" w:name="_Toc525904535"/>
      <w:bookmarkStart w:id="17" w:name="_Toc525913931"/>
      <w:bookmarkStart w:id="18" w:name="_Toc525919170"/>
      <w:bookmarkStart w:id="19" w:name="_Toc525919294"/>
      <w:bookmarkStart w:id="20" w:name="_Toc2957104"/>
      <w:bookmarkStart w:id="21" w:name="_Toc26273044"/>
      <w:bookmarkStart w:id="22" w:name="_Toc26284442"/>
      <w:bookmarkStart w:id="23" w:name="_Toc44413667"/>
      <w:bookmarkStart w:id="24" w:name="_Toc54106542"/>
      <w:r w:rsidRPr="00BA1D95">
        <w:rPr>
          <w:rFonts w:cs="Arial"/>
        </w:rPr>
        <w:lastRenderedPageBreak/>
        <w:t>Índice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bookmarkStart w:id="25" w:name="OLE_LINK9"/>
    <w:bookmarkStart w:id="26" w:name="OLE_LINK6"/>
    <w:p w:rsidR="00FE55AC" w:rsidRDefault="001A503D">
      <w:pPr>
        <w:pStyle w:val="TDC1"/>
        <w:rPr>
          <w:rFonts w:asciiTheme="minorHAnsi" w:eastAsiaTheme="minorEastAsia" w:hAnsiTheme="minorHAnsi" w:cstheme="minorBidi"/>
          <w:bCs w:val="0"/>
          <w:caps w:val="0"/>
          <w:sz w:val="22"/>
          <w:szCs w:val="22"/>
          <w:lang w:val="es-MX" w:eastAsia="es-MX"/>
        </w:rPr>
      </w:pPr>
      <w:r w:rsidRPr="001A503D">
        <w:rPr>
          <w:rFonts w:ascii="ITC Avant Garde" w:hAnsi="ITC Avant Garde"/>
          <w:sz w:val="22"/>
          <w:szCs w:val="22"/>
          <w:lang w:val="es-MX"/>
        </w:rPr>
        <w:fldChar w:fldCharType="begin"/>
      </w:r>
      <w:r w:rsidR="00A47F9A" w:rsidRPr="00BA1D95">
        <w:rPr>
          <w:rFonts w:ascii="ITC Avant Garde" w:hAnsi="ITC Avant Garde"/>
          <w:sz w:val="22"/>
          <w:szCs w:val="22"/>
          <w:lang w:val="es-MX"/>
        </w:rPr>
        <w:instrText xml:space="preserve"> TOC \o "1-5" \h \z \u </w:instrText>
      </w:r>
      <w:r w:rsidRPr="001A503D">
        <w:rPr>
          <w:rFonts w:ascii="ITC Avant Garde" w:hAnsi="ITC Avant Garde"/>
          <w:sz w:val="22"/>
          <w:szCs w:val="22"/>
          <w:lang w:val="es-MX"/>
        </w:rPr>
        <w:fldChar w:fldCharType="separate"/>
      </w:r>
      <w:hyperlink w:anchor="_Toc54106542" w:history="1">
        <w:r w:rsidR="00FE55AC" w:rsidRPr="00FF4095">
          <w:rPr>
            <w:rStyle w:val="Hipervnculo"/>
            <w:rFonts w:cs="Arial"/>
          </w:rPr>
          <w:t>Índice</w:t>
        </w:r>
        <w:r w:rsidR="00FE55AC">
          <w:rPr>
            <w:webHidden/>
          </w:rPr>
          <w:tab/>
        </w:r>
        <w:r>
          <w:rPr>
            <w:webHidden/>
          </w:rPr>
          <w:fldChar w:fldCharType="begin"/>
        </w:r>
        <w:r w:rsidR="00FE55AC">
          <w:rPr>
            <w:webHidden/>
          </w:rPr>
          <w:instrText xml:space="preserve"> PAGEREF _Toc54106542 \h </w:instrText>
        </w:r>
        <w:r>
          <w:rPr>
            <w:webHidden/>
          </w:rPr>
        </w:r>
        <w:r>
          <w:rPr>
            <w:webHidden/>
          </w:rPr>
          <w:fldChar w:fldCharType="separate"/>
        </w:r>
        <w:r w:rsidR="005D3ED7">
          <w:rPr>
            <w:webHidden/>
          </w:rPr>
          <w:t>2</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43" w:history="1">
        <w:r w:rsidR="00FE55AC" w:rsidRPr="00FF4095">
          <w:rPr>
            <w:rStyle w:val="Hipervnculo"/>
            <w:rFonts w:cs="Arial"/>
          </w:rPr>
          <w:t>Definiciones</w:t>
        </w:r>
        <w:r w:rsidR="00FE55AC">
          <w:rPr>
            <w:webHidden/>
          </w:rPr>
          <w:tab/>
        </w:r>
        <w:r>
          <w:rPr>
            <w:webHidden/>
          </w:rPr>
          <w:fldChar w:fldCharType="begin"/>
        </w:r>
        <w:r w:rsidR="00FE55AC">
          <w:rPr>
            <w:webHidden/>
          </w:rPr>
          <w:instrText xml:space="preserve"> PAGEREF _Toc54106543 \h </w:instrText>
        </w:r>
        <w:r>
          <w:rPr>
            <w:webHidden/>
          </w:rPr>
        </w:r>
        <w:r>
          <w:rPr>
            <w:webHidden/>
          </w:rPr>
          <w:fldChar w:fldCharType="separate"/>
        </w:r>
        <w:r w:rsidR="005D3ED7">
          <w:rPr>
            <w:webHidden/>
          </w:rPr>
          <w:t>4</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44" w:history="1">
        <w:r w:rsidR="00FE55AC" w:rsidRPr="00FF4095">
          <w:rPr>
            <w:rStyle w:val="Hipervnculo"/>
            <w:rFonts w:cs="Arial"/>
          </w:rPr>
          <w:t>Acrónimos</w:t>
        </w:r>
        <w:r w:rsidR="00FE55AC">
          <w:rPr>
            <w:webHidden/>
          </w:rPr>
          <w:tab/>
        </w:r>
        <w:r>
          <w:rPr>
            <w:webHidden/>
          </w:rPr>
          <w:fldChar w:fldCharType="begin"/>
        </w:r>
        <w:r w:rsidR="00FE55AC">
          <w:rPr>
            <w:webHidden/>
          </w:rPr>
          <w:instrText xml:space="preserve"> PAGEREF _Toc54106544 \h </w:instrText>
        </w:r>
        <w:r>
          <w:rPr>
            <w:webHidden/>
          </w:rPr>
        </w:r>
        <w:r>
          <w:rPr>
            <w:webHidden/>
          </w:rPr>
          <w:fldChar w:fldCharType="separate"/>
        </w:r>
        <w:r w:rsidR="005D3ED7">
          <w:rPr>
            <w:webHidden/>
          </w:rPr>
          <w:t>7</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45" w:history="1">
        <w:r w:rsidR="00FE55AC" w:rsidRPr="00FF4095">
          <w:rPr>
            <w:rStyle w:val="Hipervnculo"/>
          </w:rPr>
          <w:t>1.</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Introducción y Generales</w:t>
        </w:r>
        <w:r w:rsidR="00FE55AC">
          <w:rPr>
            <w:webHidden/>
          </w:rPr>
          <w:tab/>
        </w:r>
        <w:r>
          <w:rPr>
            <w:webHidden/>
          </w:rPr>
          <w:fldChar w:fldCharType="begin"/>
        </w:r>
        <w:r w:rsidR="00FE55AC">
          <w:rPr>
            <w:webHidden/>
          </w:rPr>
          <w:instrText xml:space="preserve"> PAGEREF _Toc54106545 \h </w:instrText>
        </w:r>
        <w:r>
          <w:rPr>
            <w:webHidden/>
          </w:rPr>
        </w:r>
        <w:r>
          <w:rPr>
            <w:webHidden/>
          </w:rPr>
          <w:fldChar w:fldCharType="separate"/>
        </w:r>
        <w:r w:rsidR="005D3ED7">
          <w:rPr>
            <w:webHidden/>
          </w:rPr>
          <w:t>9</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46" w:history="1">
        <w:r w:rsidR="00FE55AC" w:rsidRPr="00FF4095">
          <w:rPr>
            <w:rStyle w:val="Hipervnculo"/>
          </w:rPr>
          <w:t>1.1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Prerrequisitos</w:t>
        </w:r>
        <w:r w:rsidR="00FE55AC">
          <w:rPr>
            <w:webHidden/>
          </w:rPr>
          <w:tab/>
        </w:r>
        <w:r>
          <w:rPr>
            <w:webHidden/>
          </w:rPr>
          <w:fldChar w:fldCharType="begin"/>
        </w:r>
        <w:r w:rsidR="00FE55AC">
          <w:rPr>
            <w:webHidden/>
          </w:rPr>
          <w:instrText xml:space="preserve"> PAGEREF _Toc54106546 \h </w:instrText>
        </w:r>
        <w:r>
          <w:rPr>
            <w:webHidden/>
          </w:rPr>
        </w:r>
        <w:r>
          <w:rPr>
            <w:webHidden/>
          </w:rPr>
          <w:fldChar w:fldCharType="separate"/>
        </w:r>
        <w:r w:rsidR="005D3ED7">
          <w:rPr>
            <w:webHidden/>
          </w:rPr>
          <w:t>10</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47" w:history="1">
        <w:r w:rsidR="00FE55AC" w:rsidRPr="00FF4095">
          <w:rPr>
            <w:rStyle w:val="Hipervnculo"/>
          </w:rPr>
          <w:t>1.2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Pronóstico de servicio.</w:t>
        </w:r>
        <w:r w:rsidR="00FE55AC">
          <w:rPr>
            <w:webHidden/>
          </w:rPr>
          <w:tab/>
        </w:r>
        <w:r>
          <w:rPr>
            <w:webHidden/>
          </w:rPr>
          <w:fldChar w:fldCharType="begin"/>
        </w:r>
        <w:r w:rsidR="00FE55AC">
          <w:rPr>
            <w:webHidden/>
          </w:rPr>
          <w:instrText xml:space="preserve"> PAGEREF _Toc54106547 \h </w:instrText>
        </w:r>
        <w:r>
          <w:rPr>
            <w:webHidden/>
          </w:rPr>
        </w:r>
        <w:r>
          <w:rPr>
            <w:webHidden/>
          </w:rPr>
          <w:fldChar w:fldCharType="separate"/>
        </w:r>
        <w:r w:rsidR="005D3ED7">
          <w:rPr>
            <w:webHidden/>
          </w:rPr>
          <w:t>11</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48" w:history="1">
        <w:r w:rsidR="00FE55AC" w:rsidRPr="00FF4095">
          <w:rPr>
            <w:rStyle w:val="Hipervnculo"/>
          </w:rPr>
          <w:t>1.3</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Situación de la Acometida del usuario final.</w:t>
        </w:r>
        <w:r w:rsidR="00FE55AC">
          <w:rPr>
            <w:webHidden/>
          </w:rPr>
          <w:tab/>
        </w:r>
        <w:r>
          <w:rPr>
            <w:webHidden/>
          </w:rPr>
          <w:fldChar w:fldCharType="begin"/>
        </w:r>
        <w:r w:rsidR="00FE55AC">
          <w:rPr>
            <w:webHidden/>
          </w:rPr>
          <w:instrText xml:space="preserve"> PAGEREF _Toc54106548 \h </w:instrText>
        </w:r>
        <w:r>
          <w:rPr>
            <w:webHidden/>
          </w:rPr>
        </w:r>
        <w:r>
          <w:rPr>
            <w:webHidden/>
          </w:rPr>
          <w:fldChar w:fldCharType="separate"/>
        </w:r>
        <w:r w:rsidR="005D3ED7">
          <w:rPr>
            <w:webHidden/>
          </w:rPr>
          <w:t>12</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49" w:history="1">
        <w:r w:rsidR="00FE55AC" w:rsidRPr="00FF4095">
          <w:rPr>
            <w:rStyle w:val="Hipervnculo"/>
          </w:rPr>
          <w:t>1.4</w:t>
        </w:r>
        <w:r w:rsidR="00FE55AC">
          <w:rPr>
            <w:rFonts w:asciiTheme="minorHAnsi" w:eastAsiaTheme="minorEastAsia" w:hAnsiTheme="minorHAnsi" w:cstheme="minorBidi"/>
            <w:b w:val="0"/>
            <w:smallCaps w:val="0"/>
            <w:szCs w:val="22"/>
            <w:lang w:val="es-MX" w:eastAsia="es-MX"/>
          </w:rPr>
          <w:tab/>
        </w:r>
        <w:r w:rsidR="00FE55AC" w:rsidRPr="00FF4095">
          <w:rPr>
            <w:rStyle w:val="Hipervnculo"/>
          </w:rPr>
          <w:t>Disponibilidad de recursos</w:t>
        </w:r>
        <w:r w:rsidR="00FE55AC">
          <w:rPr>
            <w:webHidden/>
          </w:rPr>
          <w:tab/>
        </w:r>
        <w:r>
          <w:rPr>
            <w:webHidden/>
          </w:rPr>
          <w:fldChar w:fldCharType="begin"/>
        </w:r>
        <w:r w:rsidR="00FE55AC">
          <w:rPr>
            <w:webHidden/>
          </w:rPr>
          <w:instrText xml:space="preserve"> PAGEREF _Toc54106549 \h </w:instrText>
        </w:r>
        <w:r>
          <w:rPr>
            <w:webHidden/>
          </w:rPr>
        </w:r>
        <w:r>
          <w:rPr>
            <w:webHidden/>
          </w:rPr>
          <w:fldChar w:fldCharType="separate"/>
        </w:r>
        <w:r w:rsidR="005D3ED7">
          <w:rPr>
            <w:webHidden/>
          </w:rPr>
          <w:t>13</w:t>
        </w:r>
        <w:r>
          <w:rPr>
            <w:webHidden/>
          </w:rPr>
          <w:fldChar w:fldCharType="end"/>
        </w:r>
      </w:hyperlink>
    </w:p>
    <w:p w:rsidR="00FE55AC" w:rsidRDefault="001A503D">
      <w:pPr>
        <w:pStyle w:val="TDC3"/>
        <w:rPr>
          <w:rFonts w:asciiTheme="minorHAnsi" w:eastAsiaTheme="minorEastAsia" w:hAnsiTheme="minorHAnsi" w:cstheme="minorBidi"/>
          <w:b w:val="0"/>
          <w:i w:val="0"/>
          <w:iCs w:val="0"/>
          <w:lang w:val="es-MX" w:eastAsia="es-MX"/>
        </w:rPr>
      </w:pPr>
      <w:hyperlink w:anchor="_Toc54106550" w:history="1">
        <w:r w:rsidR="00FE55AC" w:rsidRPr="00FF4095">
          <w:rPr>
            <w:rStyle w:val="Hipervnculo"/>
            <w:rFonts w:cs="Arial"/>
          </w:rPr>
          <w:t>1.4.1.</w:t>
        </w:r>
        <w:r w:rsidR="00FE55AC">
          <w:rPr>
            <w:rFonts w:asciiTheme="minorHAnsi" w:eastAsiaTheme="minorEastAsia" w:hAnsiTheme="minorHAnsi" w:cstheme="minorBidi"/>
            <w:b w:val="0"/>
            <w:i w:val="0"/>
            <w:iCs w:val="0"/>
            <w:lang w:val="es-MX" w:eastAsia="es-MX"/>
          </w:rPr>
          <w:tab/>
        </w:r>
        <w:r w:rsidR="00FE55AC" w:rsidRPr="00FF4095">
          <w:rPr>
            <w:rStyle w:val="Hipervnculo"/>
            <w:rFonts w:cs="Arial"/>
          </w:rPr>
          <w:t>Recursos de red asociados a los servicios</w:t>
        </w:r>
        <w:r w:rsidR="00FE55AC">
          <w:rPr>
            <w:webHidden/>
          </w:rPr>
          <w:tab/>
        </w:r>
        <w:r>
          <w:rPr>
            <w:webHidden/>
          </w:rPr>
          <w:fldChar w:fldCharType="begin"/>
        </w:r>
        <w:r w:rsidR="00FE55AC">
          <w:rPr>
            <w:webHidden/>
          </w:rPr>
          <w:instrText xml:space="preserve"> PAGEREF _Toc54106550 \h </w:instrText>
        </w:r>
        <w:r>
          <w:rPr>
            <w:webHidden/>
          </w:rPr>
        </w:r>
        <w:r>
          <w:rPr>
            <w:webHidden/>
          </w:rPr>
          <w:fldChar w:fldCharType="separate"/>
        </w:r>
        <w:r w:rsidR="005D3ED7">
          <w:rPr>
            <w:webHidden/>
          </w:rPr>
          <w:t>13</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1" w:history="1">
        <w:r w:rsidR="00FE55AC" w:rsidRPr="00FF4095">
          <w:rPr>
            <w:rStyle w:val="Hipervnculo"/>
          </w:rPr>
          <w:t>Causales de suspensión temporal en la instalación de servicios.</w:t>
        </w:r>
        <w:r w:rsidR="00FE55AC">
          <w:rPr>
            <w:webHidden/>
          </w:rPr>
          <w:tab/>
        </w:r>
        <w:r>
          <w:rPr>
            <w:webHidden/>
          </w:rPr>
          <w:fldChar w:fldCharType="begin"/>
        </w:r>
        <w:r w:rsidR="00FE55AC">
          <w:rPr>
            <w:webHidden/>
          </w:rPr>
          <w:instrText xml:space="preserve"> PAGEREF _Toc54106551 \h </w:instrText>
        </w:r>
        <w:r>
          <w:rPr>
            <w:webHidden/>
          </w:rPr>
        </w:r>
        <w:r>
          <w:rPr>
            <w:webHidden/>
          </w:rPr>
          <w:fldChar w:fldCharType="separate"/>
        </w:r>
        <w:r w:rsidR="005D3ED7">
          <w:rPr>
            <w:webHidden/>
          </w:rPr>
          <w:t>16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2" w:history="1">
        <w:r w:rsidR="00FE55AC" w:rsidRPr="00FF4095">
          <w:rPr>
            <w:rStyle w:val="Hipervnculo"/>
          </w:rPr>
          <w:t>1.5</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para la verificación de la voluntad del suscriptor</w:t>
        </w:r>
        <w:r w:rsidR="00FE55AC">
          <w:rPr>
            <w:webHidden/>
          </w:rPr>
          <w:tab/>
        </w:r>
        <w:r>
          <w:rPr>
            <w:webHidden/>
          </w:rPr>
          <w:fldChar w:fldCharType="begin"/>
        </w:r>
        <w:r w:rsidR="00FE55AC">
          <w:rPr>
            <w:webHidden/>
          </w:rPr>
          <w:instrText xml:space="preserve"> PAGEREF _Toc54106552 \h </w:instrText>
        </w:r>
        <w:r>
          <w:rPr>
            <w:webHidden/>
          </w:rPr>
        </w:r>
        <w:r>
          <w:rPr>
            <w:webHidden/>
          </w:rPr>
          <w:fldChar w:fldCharType="separate"/>
        </w:r>
        <w:r w:rsidR="005D3ED7">
          <w:rPr>
            <w:webHidden/>
          </w:rPr>
          <w:t>16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3" w:history="1">
        <w:r w:rsidR="00FE55AC" w:rsidRPr="00FF4095">
          <w:rPr>
            <w:rStyle w:val="Hipervnculo"/>
          </w:rPr>
          <w:t>1.6</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calificación del bucle de cobre.</w:t>
        </w:r>
        <w:r w:rsidR="00FE55AC">
          <w:rPr>
            <w:webHidden/>
          </w:rPr>
          <w:tab/>
        </w:r>
        <w:r>
          <w:rPr>
            <w:webHidden/>
          </w:rPr>
          <w:fldChar w:fldCharType="begin"/>
        </w:r>
        <w:r w:rsidR="00FE55AC">
          <w:rPr>
            <w:webHidden/>
          </w:rPr>
          <w:instrText xml:space="preserve"> PAGEREF _Toc54106553 \h </w:instrText>
        </w:r>
        <w:r>
          <w:rPr>
            <w:webHidden/>
          </w:rPr>
        </w:r>
        <w:r>
          <w:rPr>
            <w:webHidden/>
          </w:rPr>
          <w:fldChar w:fldCharType="separate"/>
        </w:r>
        <w:r w:rsidR="005D3ED7">
          <w:rPr>
            <w:webHidden/>
          </w:rPr>
          <w:t>20</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4" w:history="1">
        <w:r w:rsidR="00FE55AC" w:rsidRPr="00FF4095">
          <w:rPr>
            <w:rStyle w:val="Hipervnculo"/>
          </w:rPr>
          <w:t>1.7</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Solicitudes masivas.</w:t>
        </w:r>
        <w:r w:rsidR="00FE55AC">
          <w:rPr>
            <w:webHidden/>
          </w:rPr>
          <w:tab/>
        </w:r>
        <w:r>
          <w:rPr>
            <w:webHidden/>
          </w:rPr>
          <w:fldChar w:fldCharType="begin"/>
        </w:r>
        <w:r w:rsidR="00FE55AC">
          <w:rPr>
            <w:webHidden/>
          </w:rPr>
          <w:instrText xml:space="preserve"> PAGEREF _Toc54106554 \h </w:instrText>
        </w:r>
        <w:r>
          <w:rPr>
            <w:webHidden/>
          </w:rPr>
        </w:r>
        <w:r>
          <w:rPr>
            <w:webHidden/>
          </w:rPr>
          <w:fldChar w:fldCharType="separate"/>
        </w:r>
        <w:r w:rsidR="005D3ED7">
          <w:rPr>
            <w:webHidden/>
          </w:rPr>
          <w:t>21</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55" w:history="1">
        <w:r w:rsidR="00FE55AC" w:rsidRPr="00FF4095">
          <w:rPr>
            <w:rStyle w:val="Hipervnculo"/>
          </w:rPr>
          <w:t>2.</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Condiciones generales para la prestación de los servicios.</w:t>
        </w:r>
        <w:r w:rsidR="00FE55AC">
          <w:rPr>
            <w:webHidden/>
          </w:rPr>
          <w:tab/>
        </w:r>
        <w:r>
          <w:rPr>
            <w:webHidden/>
          </w:rPr>
          <w:fldChar w:fldCharType="begin"/>
        </w:r>
        <w:r w:rsidR="00FE55AC">
          <w:rPr>
            <w:webHidden/>
          </w:rPr>
          <w:instrText xml:space="preserve"> PAGEREF _Toc54106555 \h </w:instrText>
        </w:r>
        <w:r>
          <w:rPr>
            <w:webHidden/>
          </w:rPr>
        </w:r>
        <w:r>
          <w:rPr>
            <w:webHidden/>
          </w:rPr>
          <w:fldChar w:fldCharType="separate"/>
        </w:r>
        <w:r w:rsidR="005D3ED7">
          <w:rPr>
            <w:webHidden/>
          </w:rPr>
          <w:t>21</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6" w:history="1">
        <w:r w:rsidR="00FE55AC" w:rsidRPr="00FF4095">
          <w:rPr>
            <w:rStyle w:val="Hipervnculo"/>
          </w:rPr>
          <w:t>2.1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Inicio de la prestación de los servicios</w:t>
        </w:r>
        <w:r w:rsidR="00FE55AC">
          <w:rPr>
            <w:webHidden/>
          </w:rPr>
          <w:tab/>
        </w:r>
        <w:r>
          <w:rPr>
            <w:webHidden/>
          </w:rPr>
          <w:fldChar w:fldCharType="begin"/>
        </w:r>
        <w:r w:rsidR="00FE55AC">
          <w:rPr>
            <w:webHidden/>
          </w:rPr>
          <w:instrText xml:space="preserve"> PAGEREF _Toc54106556 \h </w:instrText>
        </w:r>
        <w:r>
          <w:rPr>
            <w:webHidden/>
          </w:rPr>
        </w:r>
        <w:r>
          <w:rPr>
            <w:webHidden/>
          </w:rPr>
          <w:fldChar w:fldCharType="separate"/>
        </w:r>
        <w:r w:rsidR="005D3ED7">
          <w:rPr>
            <w:webHidden/>
          </w:rPr>
          <w:t>23</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7" w:history="1">
        <w:r w:rsidR="00FE55AC" w:rsidRPr="00FF4095">
          <w:rPr>
            <w:rStyle w:val="Hipervnculo"/>
          </w:rPr>
          <w:t>Todos los servicios de Desagregación se prestan a nivel nacional, junto con sus servicios auxiliares asociados.</w:t>
        </w:r>
        <w:r w:rsidR="00FE55AC">
          <w:rPr>
            <w:webHidden/>
          </w:rPr>
          <w:tab/>
        </w:r>
        <w:r>
          <w:rPr>
            <w:webHidden/>
          </w:rPr>
          <w:fldChar w:fldCharType="begin"/>
        </w:r>
        <w:r w:rsidR="00FE55AC">
          <w:rPr>
            <w:webHidden/>
          </w:rPr>
          <w:instrText xml:space="preserve"> PAGEREF _Toc54106557 \h </w:instrText>
        </w:r>
        <w:r>
          <w:rPr>
            <w:webHidden/>
          </w:rPr>
        </w:r>
        <w:r>
          <w:rPr>
            <w:webHidden/>
          </w:rPr>
          <w:fldChar w:fldCharType="separate"/>
        </w:r>
        <w:r w:rsidR="005D3ED7">
          <w:rPr>
            <w:webHidden/>
          </w:rPr>
          <w:t>23</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58" w:history="1">
        <w:r w:rsidR="00FE55AC" w:rsidRPr="00FF4095">
          <w:rPr>
            <w:rStyle w:val="Hipervnculo"/>
          </w:rPr>
          <w:t>2.2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Pruebas de Primera Aplicación.</w:t>
        </w:r>
        <w:r w:rsidR="00FE55AC">
          <w:rPr>
            <w:webHidden/>
          </w:rPr>
          <w:tab/>
        </w:r>
        <w:r>
          <w:rPr>
            <w:webHidden/>
          </w:rPr>
          <w:fldChar w:fldCharType="begin"/>
        </w:r>
        <w:r w:rsidR="00FE55AC">
          <w:rPr>
            <w:webHidden/>
          </w:rPr>
          <w:instrText xml:space="preserve"> PAGEREF _Toc54106558 \h </w:instrText>
        </w:r>
        <w:r>
          <w:rPr>
            <w:webHidden/>
          </w:rPr>
        </w:r>
        <w:r>
          <w:rPr>
            <w:webHidden/>
          </w:rPr>
          <w:fldChar w:fldCharType="separate"/>
        </w:r>
        <w:r w:rsidR="005D3ED7">
          <w:rPr>
            <w:webHidden/>
          </w:rPr>
          <w:t>24</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59" w:history="1">
        <w:r w:rsidR="00FE55AC" w:rsidRPr="00FF4095">
          <w:rPr>
            <w:rStyle w:val="Hipervnculo"/>
          </w:rPr>
          <w:t>3.</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Información relacionada con los servicios</w:t>
        </w:r>
        <w:r w:rsidR="00FE55AC">
          <w:rPr>
            <w:webHidden/>
          </w:rPr>
          <w:tab/>
        </w:r>
        <w:r>
          <w:rPr>
            <w:webHidden/>
          </w:rPr>
          <w:fldChar w:fldCharType="begin"/>
        </w:r>
        <w:r w:rsidR="00FE55AC">
          <w:rPr>
            <w:webHidden/>
          </w:rPr>
          <w:instrText xml:space="preserve"> PAGEREF _Toc54106559 \h </w:instrText>
        </w:r>
        <w:r>
          <w:rPr>
            <w:webHidden/>
          </w:rPr>
        </w:r>
        <w:r>
          <w:rPr>
            <w:webHidden/>
          </w:rPr>
          <w:fldChar w:fldCharType="separate"/>
        </w:r>
        <w:r w:rsidR="005D3ED7">
          <w:rPr>
            <w:webHidden/>
          </w:rPr>
          <w:t>24</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0" w:history="1">
        <w:r w:rsidR="00FE55AC" w:rsidRPr="00FF4095">
          <w:rPr>
            <w:rStyle w:val="Hipervnculo"/>
          </w:rPr>
          <w:t>3.1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para solicitar usuario y contraseña para consultar información en la interfaz en la página en que se publique la OREDA</w:t>
        </w:r>
        <w:r w:rsidR="00FE55AC">
          <w:rPr>
            <w:webHidden/>
          </w:rPr>
          <w:tab/>
        </w:r>
        <w:r>
          <w:rPr>
            <w:webHidden/>
          </w:rPr>
          <w:fldChar w:fldCharType="begin"/>
        </w:r>
        <w:r w:rsidR="00FE55AC">
          <w:rPr>
            <w:webHidden/>
          </w:rPr>
          <w:instrText xml:space="preserve"> PAGEREF _Toc54106560 \h </w:instrText>
        </w:r>
        <w:r>
          <w:rPr>
            <w:webHidden/>
          </w:rPr>
        </w:r>
        <w:r>
          <w:rPr>
            <w:webHidden/>
          </w:rPr>
          <w:fldChar w:fldCharType="separate"/>
        </w:r>
        <w:r w:rsidR="005D3ED7">
          <w:rPr>
            <w:webHidden/>
          </w:rPr>
          <w:t>26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1" w:history="1">
        <w:r w:rsidR="00FE55AC" w:rsidRPr="00FF4095">
          <w:rPr>
            <w:rStyle w:val="Hipervnculo"/>
          </w:rPr>
          <w:t>3.2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acceso al Sistema Electrónico de Gestión SEG a través de VPN</w:t>
        </w:r>
        <w:r w:rsidR="00FE55AC">
          <w:rPr>
            <w:webHidden/>
          </w:rPr>
          <w:tab/>
        </w:r>
        <w:r>
          <w:rPr>
            <w:webHidden/>
          </w:rPr>
          <w:fldChar w:fldCharType="begin"/>
        </w:r>
        <w:r w:rsidR="00FE55AC">
          <w:rPr>
            <w:webHidden/>
          </w:rPr>
          <w:instrText xml:space="preserve"> PAGEREF _Toc54106561 \h </w:instrText>
        </w:r>
        <w:r>
          <w:rPr>
            <w:webHidden/>
          </w:rPr>
        </w:r>
        <w:r>
          <w:rPr>
            <w:webHidden/>
          </w:rPr>
          <w:fldChar w:fldCharType="separate"/>
        </w:r>
        <w:r w:rsidR="005D3ED7">
          <w:rPr>
            <w:webHidden/>
          </w:rPr>
          <w:t>27</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3" w:history="1">
        <w:r w:rsidR="00FE55AC" w:rsidRPr="00FF4095">
          <w:rPr>
            <w:rStyle w:val="Hipervnculo"/>
          </w:rPr>
          <w:t>3.3</w:t>
        </w:r>
        <w:r w:rsidR="00FE55AC">
          <w:rPr>
            <w:rFonts w:asciiTheme="minorHAnsi" w:eastAsiaTheme="minorEastAsia" w:hAnsiTheme="minorHAnsi" w:cstheme="minorBidi"/>
            <w:b w:val="0"/>
            <w:smallCaps w:val="0"/>
            <w:szCs w:val="22"/>
            <w:lang w:val="es-MX" w:eastAsia="es-MX"/>
          </w:rPr>
          <w:tab/>
        </w:r>
        <w:r w:rsidR="00FE55AC" w:rsidRPr="00FF4095">
          <w:rPr>
            <w:rStyle w:val="Hipervnculo"/>
          </w:rPr>
          <w:t>Descripción de las bases de datos, documentos e información a la que se tiene acceso</w:t>
        </w:r>
        <w:r w:rsidR="00FE55AC">
          <w:rPr>
            <w:webHidden/>
          </w:rPr>
          <w:tab/>
        </w:r>
        <w:r>
          <w:rPr>
            <w:webHidden/>
          </w:rPr>
          <w:fldChar w:fldCharType="begin"/>
        </w:r>
        <w:r w:rsidR="00FE55AC">
          <w:rPr>
            <w:webHidden/>
          </w:rPr>
          <w:instrText xml:space="preserve"> PAGEREF _Toc54106563 \h </w:instrText>
        </w:r>
        <w:r>
          <w:rPr>
            <w:webHidden/>
          </w:rPr>
        </w:r>
        <w:r>
          <w:rPr>
            <w:webHidden/>
          </w:rPr>
          <w:fldChar w:fldCharType="separate"/>
        </w:r>
        <w:r w:rsidR="005D3ED7">
          <w:rPr>
            <w:webHidden/>
          </w:rPr>
          <w:t>30</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4" w:history="1">
        <w:r w:rsidR="00FE55AC" w:rsidRPr="00FF4095">
          <w:rPr>
            <w:rStyle w:val="Hipervnculo"/>
          </w:rPr>
          <w:t>3.4</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acceso a la información contenida en el sitio de Internet</w:t>
        </w:r>
        <w:r w:rsidR="00FE55AC">
          <w:rPr>
            <w:webHidden/>
          </w:rPr>
          <w:tab/>
        </w:r>
        <w:r>
          <w:rPr>
            <w:webHidden/>
          </w:rPr>
          <w:fldChar w:fldCharType="begin"/>
        </w:r>
        <w:r w:rsidR="00FE55AC">
          <w:rPr>
            <w:webHidden/>
          </w:rPr>
          <w:instrText xml:space="preserve"> PAGEREF _Toc54106564 \h </w:instrText>
        </w:r>
        <w:r>
          <w:rPr>
            <w:webHidden/>
          </w:rPr>
        </w:r>
        <w:r>
          <w:rPr>
            <w:webHidden/>
          </w:rPr>
          <w:fldChar w:fldCharType="separate"/>
        </w:r>
        <w:r w:rsidR="005D3ED7">
          <w:rPr>
            <w:webHidden/>
          </w:rPr>
          <w:t>36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6" w:history="1">
        <w:r w:rsidR="00FE55AC" w:rsidRPr="00FF4095">
          <w:rPr>
            <w:rStyle w:val="Hipervnculo"/>
          </w:rPr>
          <w:t>3.5</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acceso a la información contenida en el SEG</w:t>
        </w:r>
        <w:r w:rsidR="00FE55AC">
          <w:rPr>
            <w:webHidden/>
          </w:rPr>
          <w:tab/>
        </w:r>
        <w:r>
          <w:rPr>
            <w:webHidden/>
          </w:rPr>
          <w:fldChar w:fldCharType="begin"/>
        </w:r>
        <w:r w:rsidR="00FE55AC">
          <w:rPr>
            <w:webHidden/>
          </w:rPr>
          <w:instrText xml:space="preserve"> PAGEREF _Toc54106566 \h </w:instrText>
        </w:r>
        <w:r>
          <w:rPr>
            <w:webHidden/>
          </w:rPr>
        </w:r>
        <w:r>
          <w:rPr>
            <w:webHidden/>
          </w:rPr>
          <w:fldChar w:fldCharType="separate"/>
        </w:r>
        <w:r w:rsidR="005D3ED7">
          <w:rPr>
            <w:webHidden/>
          </w:rPr>
          <w:t>37</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7" w:history="1">
        <w:r w:rsidR="00FE55AC" w:rsidRPr="00FF4095">
          <w:rPr>
            <w:rStyle w:val="Hipervnculo"/>
          </w:rPr>
          <w:t>3.6</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acceso a la información de forma presencial</w:t>
        </w:r>
        <w:r w:rsidR="00FE55AC">
          <w:rPr>
            <w:webHidden/>
          </w:rPr>
          <w:tab/>
        </w:r>
        <w:r>
          <w:rPr>
            <w:webHidden/>
          </w:rPr>
          <w:fldChar w:fldCharType="begin"/>
        </w:r>
        <w:r w:rsidR="00FE55AC">
          <w:rPr>
            <w:webHidden/>
          </w:rPr>
          <w:instrText xml:space="preserve"> PAGEREF _Toc54106567 \h </w:instrText>
        </w:r>
        <w:r>
          <w:rPr>
            <w:webHidden/>
          </w:rPr>
        </w:r>
        <w:r>
          <w:rPr>
            <w:webHidden/>
          </w:rPr>
          <w:fldChar w:fldCharType="separate"/>
        </w:r>
        <w:r w:rsidR="005D3ED7">
          <w:rPr>
            <w:webHidden/>
          </w:rPr>
          <w:t>37</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68" w:history="1">
        <w:r w:rsidR="00FE55AC" w:rsidRPr="00FF4095">
          <w:rPr>
            <w:rStyle w:val="Hipervnculo"/>
          </w:rPr>
          <w:t>3.7</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de acceso a la información a través del medio alterno</w:t>
        </w:r>
        <w:r w:rsidR="00FE55AC">
          <w:rPr>
            <w:webHidden/>
          </w:rPr>
          <w:tab/>
        </w:r>
        <w:r>
          <w:rPr>
            <w:webHidden/>
          </w:rPr>
          <w:fldChar w:fldCharType="begin"/>
        </w:r>
        <w:r w:rsidR="00FE55AC">
          <w:rPr>
            <w:webHidden/>
          </w:rPr>
          <w:instrText xml:space="preserve"> PAGEREF _Toc54106568 \h </w:instrText>
        </w:r>
        <w:r>
          <w:rPr>
            <w:webHidden/>
          </w:rPr>
        </w:r>
        <w:r>
          <w:rPr>
            <w:webHidden/>
          </w:rPr>
          <w:fldChar w:fldCharType="separate"/>
        </w:r>
        <w:r w:rsidR="005D3ED7">
          <w:rPr>
            <w:webHidden/>
          </w:rPr>
          <w:t>38</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69" w:history="1">
        <w:r w:rsidR="00FE55AC" w:rsidRPr="00FF4095">
          <w:rPr>
            <w:rStyle w:val="Hipervnculo"/>
          </w:rPr>
          <w:t>4.</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Servicios de Reventa</w:t>
        </w:r>
        <w:r w:rsidR="00FE55AC">
          <w:rPr>
            <w:webHidden/>
          </w:rPr>
          <w:tab/>
        </w:r>
        <w:r>
          <w:rPr>
            <w:webHidden/>
          </w:rPr>
          <w:fldChar w:fldCharType="begin"/>
        </w:r>
        <w:r w:rsidR="00FE55AC">
          <w:rPr>
            <w:webHidden/>
          </w:rPr>
          <w:instrText xml:space="preserve"> PAGEREF _Toc54106569 \h </w:instrText>
        </w:r>
        <w:r>
          <w:rPr>
            <w:webHidden/>
          </w:rPr>
        </w:r>
        <w:r>
          <w:rPr>
            <w:webHidden/>
          </w:rPr>
          <w:fldChar w:fldCharType="separate"/>
        </w:r>
        <w:r w:rsidR="005D3ED7">
          <w:rPr>
            <w:webHidden/>
          </w:rPr>
          <w:t>38</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0" w:history="1">
        <w:r w:rsidR="00FE55AC" w:rsidRPr="00FF4095">
          <w:rPr>
            <w:rStyle w:val="Hipervnculo"/>
          </w:rPr>
          <w:t>4.1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Servicio de Reventa de Línea Telefónica</w:t>
        </w:r>
        <w:r w:rsidR="00FE55AC">
          <w:rPr>
            <w:webHidden/>
          </w:rPr>
          <w:tab/>
        </w:r>
        <w:r>
          <w:rPr>
            <w:webHidden/>
          </w:rPr>
          <w:fldChar w:fldCharType="begin"/>
        </w:r>
        <w:r w:rsidR="00FE55AC">
          <w:rPr>
            <w:webHidden/>
          </w:rPr>
          <w:instrText xml:space="preserve"> PAGEREF _Toc54106570 \h </w:instrText>
        </w:r>
        <w:r>
          <w:rPr>
            <w:webHidden/>
          </w:rPr>
        </w:r>
        <w:r>
          <w:rPr>
            <w:webHidden/>
          </w:rPr>
          <w:fldChar w:fldCharType="separate"/>
        </w:r>
        <w:r w:rsidR="005D3ED7">
          <w:rPr>
            <w:webHidden/>
          </w:rPr>
          <w:t>38</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1" w:history="1">
        <w:r w:rsidR="00FE55AC" w:rsidRPr="00FF4095">
          <w:rPr>
            <w:rStyle w:val="Hipervnculo"/>
          </w:rPr>
          <w:t>4.2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Servicio de Reventa de Internet</w:t>
        </w:r>
        <w:r w:rsidR="00FE55AC">
          <w:rPr>
            <w:webHidden/>
          </w:rPr>
          <w:tab/>
        </w:r>
        <w:r>
          <w:rPr>
            <w:webHidden/>
          </w:rPr>
          <w:fldChar w:fldCharType="begin"/>
        </w:r>
        <w:r w:rsidR="00FE55AC">
          <w:rPr>
            <w:webHidden/>
          </w:rPr>
          <w:instrText xml:space="preserve"> PAGEREF _Toc54106571 \h </w:instrText>
        </w:r>
        <w:r>
          <w:rPr>
            <w:webHidden/>
          </w:rPr>
        </w:r>
        <w:r>
          <w:rPr>
            <w:webHidden/>
          </w:rPr>
          <w:fldChar w:fldCharType="separate"/>
        </w:r>
        <w:r w:rsidR="005D3ED7">
          <w:rPr>
            <w:webHidden/>
          </w:rPr>
          <w:t>41</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2" w:history="1">
        <w:r w:rsidR="00FE55AC" w:rsidRPr="00FF4095">
          <w:rPr>
            <w:rStyle w:val="Hipervnculo"/>
          </w:rPr>
          <w:t>4.3</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Servicio de Reventa de Paquetes</w:t>
        </w:r>
        <w:r w:rsidR="00FE55AC">
          <w:rPr>
            <w:webHidden/>
          </w:rPr>
          <w:tab/>
        </w:r>
        <w:r>
          <w:rPr>
            <w:webHidden/>
          </w:rPr>
          <w:fldChar w:fldCharType="begin"/>
        </w:r>
        <w:r w:rsidR="00FE55AC">
          <w:rPr>
            <w:webHidden/>
          </w:rPr>
          <w:instrText xml:space="preserve"> PAGEREF _Toc54106572 \h </w:instrText>
        </w:r>
        <w:r>
          <w:rPr>
            <w:webHidden/>
          </w:rPr>
        </w:r>
        <w:r>
          <w:rPr>
            <w:webHidden/>
          </w:rPr>
          <w:fldChar w:fldCharType="separate"/>
        </w:r>
        <w:r w:rsidR="005D3ED7">
          <w:rPr>
            <w:webHidden/>
          </w:rPr>
          <w:t>42</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3" w:history="1">
        <w:r w:rsidR="00FE55AC" w:rsidRPr="00FF4095">
          <w:rPr>
            <w:rStyle w:val="Hipervnculo"/>
          </w:rPr>
          <w:t>4.4</w:t>
        </w:r>
        <w:r w:rsidR="00FE55AC">
          <w:rPr>
            <w:rFonts w:asciiTheme="minorHAnsi" w:eastAsiaTheme="minorEastAsia" w:hAnsiTheme="minorHAnsi" w:cstheme="minorBidi"/>
            <w:b w:val="0"/>
            <w:smallCaps w:val="0"/>
            <w:szCs w:val="22"/>
            <w:lang w:val="es-MX" w:eastAsia="es-MX"/>
          </w:rPr>
          <w:tab/>
        </w:r>
        <w:r w:rsidR="00FE55AC" w:rsidRPr="00FF4095">
          <w:rPr>
            <w:rStyle w:val="Hipervnculo"/>
          </w:rPr>
          <w:t>Velocidades Simétricas</w:t>
        </w:r>
        <w:r w:rsidR="00FE55AC">
          <w:rPr>
            <w:webHidden/>
          </w:rPr>
          <w:tab/>
        </w:r>
        <w:r>
          <w:rPr>
            <w:webHidden/>
          </w:rPr>
          <w:fldChar w:fldCharType="begin"/>
        </w:r>
        <w:r w:rsidR="00FE55AC">
          <w:rPr>
            <w:webHidden/>
          </w:rPr>
          <w:instrText xml:space="preserve"> PAGEREF _Toc54106573 \h </w:instrText>
        </w:r>
        <w:r>
          <w:rPr>
            <w:webHidden/>
          </w:rPr>
        </w:r>
        <w:r>
          <w:rPr>
            <w:webHidden/>
          </w:rPr>
          <w:fldChar w:fldCharType="separate"/>
        </w:r>
        <w:r w:rsidR="005D3ED7">
          <w:rPr>
            <w:webHidden/>
          </w:rPr>
          <w:t>44</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4" w:history="1">
        <w:r w:rsidR="00FE55AC" w:rsidRPr="00FF4095">
          <w:rPr>
            <w:rStyle w:val="Hipervnculo"/>
          </w:rPr>
          <w:t>4.5</w:t>
        </w:r>
        <w:r w:rsidR="00FE55AC">
          <w:rPr>
            <w:rFonts w:asciiTheme="minorHAnsi" w:eastAsiaTheme="minorEastAsia" w:hAnsiTheme="minorHAnsi" w:cstheme="minorBidi"/>
            <w:b w:val="0"/>
            <w:smallCaps w:val="0"/>
            <w:szCs w:val="22"/>
            <w:lang w:val="es-MX" w:eastAsia="es-MX"/>
          </w:rPr>
          <w:tab/>
        </w:r>
        <w:r w:rsidR="00FE55AC" w:rsidRPr="00FF4095">
          <w:rPr>
            <w:rStyle w:val="Hipervnculo"/>
          </w:rPr>
          <w:t>Venta de Módem y ONT para Reventa.</w:t>
        </w:r>
        <w:r w:rsidR="00FE55AC">
          <w:rPr>
            <w:webHidden/>
          </w:rPr>
          <w:tab/>
        </w:r>
        <w:r>
          <w:rPr>
            <w:webHidden/>
          </w:rPr>
          <w:fldChar w:fldCharType="begin"/>
        </w:r>
        <w:r w:rsidR="00FE55AC">
          <w:rPr>
            <w:webHidden/>
          </w:rPr>
          <w:instrText xml:space="preserve"> PAGEREF _Toc54106574 \h </w:instrText>
        </w:r>
        <w:r>
          <w:rPr>
            <w:webHidden/>
          </w:rPr>
        </w:r>
        <w:r>
          <w:rPr>
            <w:webHidden/>
          </w:rPr>
          <w:fldChar w:fldCharType="separate"/>
        </w:r>
        <w:r w:rsidR="005D3ED7">
          <w:rPr>
            <w:webHidden/>
          </w:rPr>
          <w:t>44</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5" w:history="1">
        <w:r w:rsidR="00FE55AC" w:rsidRPr="00FF4095">
          <w:rPr>
            <w:rStyle w:val="Hipervnculo"/>
          </w:rPr>
          <w:t>4.6</w:t>
        </w:r>
        <w:r w:rsidR="00FE55AC">
          <w:rPr>
            <w:rFonts w:asciiTheme="minorHAnsi" w:eastAsiaTheme="minorEastAsia" w:hAnsiTheme="minorHAnsi" w:cstheme="minorBidi"/>
            <w:b w:val="0"/>
            <w:smallCaps w:val="0"/>
            <w:szCs w:val="22"/>
            <w:lang w:val="es-MX" w:eastAsia="es-MX"/>
          </w:rPr>
          <w:tab/>
        </w:r>
        <w:r w:rsidR="00FE55AC" w:rsidRPr="00FF4095">
          <w:rPr>
            <w:rStyle w:val="Hipervnculo"/>
          </w:rPr>
          <w:t>Registro de llamadas (CDR)</w:t>
        </w:r>
        <w:r w:rsidR="00FE55AC">
          <w:rPr>
            <w:webHidden/>
          </w:rPr>
          <w:tab/>
        </w:r>
        <w:r>
          <w:rPr>
            <w:webHidden/>
          </w:rPr>
          <w:fldChar w:fldCharType="begin"/>
        </w:r>
        <w:r w:rsidR="00FE55AC">
          <w:rPr>
            <w:webHidden/>
          </w:rPr>
          <w:instrText xml:space="preserve"> PAGEREF _Toc54106575 \h </w:instrText>
        </w:r>
        <w:r>
          <w:rPr>
            <w:webHidden/>
          </w:rPr>
        </w:r>
        <w:r>
          <w:rPr>
            <w:webHidden/>
          </w:rPr>
          <w:fldChar w:fldCharType="separate"/>
        </w:r>
        <w:r w:rsidR="005D3ED7">
          <w:rPr>
            <w:webHidden/>
          </w:rPr>
          <w:t>47</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6" w:history="1">
        <w:r w:rsidR="00FE55AC" w:rsidRPr="00FF4095">
          <w:rPr>
            <w:rStyle w:val="Hipervnculo"/>
          </w:rPr>
          <w:t>4.7</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Procedimientos de contratación, modificación y baja de los servicios de Reventa</w:t>
        </w:r>
        <w:r w:rsidR="00FE55AC">
          <w:rPr>
            <w:webHidden/>
          </w:rPr>
          <w:tab/>
        </w:r>
        <w:r>
          <w:rPr>
            <w:webHidden/>
          </w:rPr>
          <w:fldChar w:fldCharType="begin"/>
        </w:r>
        <w:r w:rsidR="00FE55AC">
          <w:rPr>
            <w:webHidden/>
          </w:rPr>
          <w:instrText xml:space="preserve"> PAGEREF _Toc54106576 \h </w:instrText>
        </w:r>
        <w:r>
          <w:rPr>
            <w:webHidden/>
          </w:rPr>
        </w:r>
        <w:r>
          <w:rPr>
            <w:webHidden/>
          </w:rPr>
          <w:fldChar w:fldCharType="separate"/>
        </w:r>
        <w:r w:rsidR="005D3ED7">
          <w:rPr>
            <w:webHidden/>
          </w:rPr>
          <w:t>49</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7" w:history="1">
        <w:r w:rsidR="00FE55AC" w:rsidRPr="00FF4095">
          <w:rPr>
            <w:rStyle w:val="Hipervnculo"/>
          </w:rPr>
          <w:t>4.8</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Plazos de Entrega de los Servicios de Reventa.</w:t>
        </w:r>
        <w:r w:rsidR="00FE55AC">
          <w:rPr>
            <w:webHidden/>
          </w:rPr>
          <w:tab/>
        </w:r>
        <w:r>
          <w:rPr>
            <w:webHidden/>
          </w:rPr>
          <w:fldChar w:fldCharType="begin"/>
        </w:r>
        <w:r w:rsidR="00FE55AC">
          <w:rPr>
            <w:webHidden/>
          </w:rPr>
          <w:instrText xml:space="preserve"> PAGEREF _Toc54106577 \h </w:instrText>
        </w:r>
        <w:r>
          <w:rPr>
            <w:webHidden/>
          </w:rPr>
        </w:r>
        <w:r>
          <w:rPr>
            <w:webHidden/>
          </w:rPr>
          <w:fldChar w:fldCharType="separate"/>
        </w:r>
        <w:r w:rsidR="005D3ED7">
          <w:rPr>
            <w:webHidden/>
          </w:rPr>
          <w:t>59</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8" w:history="1">
        <w:r w:rsidR="00FE55AC" w:rsidRPr="00FF4095">
          <w:rPr>
            <w:rStyle w:val="Hipervnculo"/>
          </w:rPr>
          <w:t>4.9</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Parámetros e indicadores de calidad para los Servicios de Reventa</w:t>
        </w:r>
        <w:r w:rsidR="00FE55AC">
          <w:rPr>
            <w:webHidden/>
          </w:rPr>
          <w:tab/>
        </w:r>
        <w:r>
          <w:rPr>
            <w:webHidden/>
          </w:rPr>
          <w:fldChar w:fldCharType="begin"/>
        </w:r>
        <w:r w:rsidR="00FE55AC">
          <w:rPr>
            <w:webHidden/>
          </w:rPr>
          <w:instrText xml:space="preserve"> PAGEREF _Toc54106578 \h </w:instrText>
        </w:r>
        <w:r>
          <w:rPr>
            <w:webHidden/>
          </w:rPr>
        </w:r>
        <w:r>
          <w:rPr>
            <w:webHidden/>
          </w:rPr>
          <w:fldChar w:fldCharType="separate"/>
        </w:r>
        <w:r w:rsidR="005D3ED7">
          <w:rPr>
            <w:webHidden/>
          </w:rPr>
          <w:t>60</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79" w:history="1">
        <w:r w:rsidR="00FE55AC" w:rsidRPr="00FF4095">
          <w:rPr>
            <w:rStyle w:val="Hipervnculo"/>
          </w:rPr>
          <w:t>4.10</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para la realización de pruebas de entrega de los servicios de Reventa</w:t>
        </w:r>
        <w:r w:rsidR="00FE55AC">
          <w:rPr>
            <w:webHidden/>
          </w:rPr>
          <w:tab/>
        </w:r>
        <w:r>
          <w:rPr>
            <w:webHidden/>
          </w:rPr>
          <w:fldChar w:fldCharType="begin"/>
        </w:r>
        <w:r w:rsidR="00FE55AC">
          <w:rPr>
            <w:webHidden/>
          </w:rPr>
          <w:instrText xml:space="preserve"> PAGEREF _Toc54106579 \h </w:instrText>
        </w:r>
        <w:r>
          <w:rPr>
            <w:webHidden/>
          </w:rPr>
        </w:r>
        <w:r>
          <w:rPr>
            <w:webHidden/>
          </w:rPr>
          <w:fldChar w:fldCharType="separate"/>
        </w:r>
        <w:r w:rsidR="005D3ED7">
          <w:rPr>
            <w:webHidden/>
          </w:rPr>
          <w:t>64</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80" w:history="1">
        <w:r w:rsidR="00FE55AC" w:rsidRPr="00FF4095">
          <w:rPr>
            <w:rStyle w:val="Hipervnculo"/>
          </w:rPr>
          <w:t>5.</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Servicio de Reventa Mayorista de Línea Telefónica (SRMLT)</w:t>
        </w:r>
        <w:r w:rsidR="00FE55AC">
          <w:rPr>
            <w:webHidden/>
          </w:rPr>
          <w:tab/>
        </w:r>
        <w:r>
          <w:rPr>
            <w:webHidden/>
          </w:rPr>
          <w:fldChar w:fldCharType="begin"/>
        </w:r>
        <w:r w:rsidR="00FE55AC">
          <w:rPr>
            <w:webHidden/>
          </w:rPr>
          <w:instrText xml:space="preserve"> PAGEREF _Toc54106580 \h </w:instrText>
        </w:r>
        <w:r>
          <w:rPr>
            <w:webHidden/>
          </w:rPr>
        </w:r>
        <w:r>
          <w:rPr>
            <w:webHidden/>
          </w:rPr>
          <w:fldChar w:fldCharType="separate"/>
        </w:r>
        <w:r w:rsidR="005D3ED7">
          <w:rPr>
            <w:webHidden/>
          </w:rPr>
          <w:t>66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1" w:history="1">
        <w:r w:rsidR="00FE55AC" w:rsidRPr="00FF4095">
          <w:rPr>
            <w:rStyle w:val="Hipervnculo"/>
          </w:rPr>
          <w:t>5.1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Descripción del Servicio de Reventa Mayorista de Línea Telefónica</w:t>
        </w:r>
        <w:r w:rsidR="00FE55AC">
          <w:rPr>
            <w:webHidden/>
          </w:rPr>
          <w:tab/>
        </w:r>
        <w:r>
          <w:rPr>
            <w:webHidden/>
          </w:rPr>
          <w:fldChar w:fldCharType="begin"/>
        </w:r>
        <w:r w:rsidR="00FE55AC">
          <w:rPr>
            <w:webHidden/>
          </w:rPr>
          <w:instrText xml:space="preserve"> PAGEREF _Toc54106581 \h </w:instrText>
        </w:r>
        <w:r>
          <w:rPr>
            <w:webHidden/>
          </w:rPr>
        </w:r>
        <w:r>
          <w:rPr>
            <w:webHidden/>
          </w:rPr>
          <w:fldChar w:fldCharType="separate"/>
        </w:r>
        <w:r w:rsidR="005D3ED7">
          <w:rPr>
            <w:webHidden/>
          </w:rPr>
          <w:t>66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2" w:history="1">
        <w:r w:rsidR="00FE55AC" w:rsidRPr="00FF4095">
          <w:rPr>
            <w:rStyle w:val="Hipervnculo"/>
          </w:rPr>
          <w:t>5.2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Premisas e Implicaciones del Servicio.</w:t>
        </w:r>
        <w:r w:rsidR="00FE55AC">
          <w:rPr>
            <w:webHidden/>
          </w:rPr>
          <w:tab/>
        </w:r>
        <w:r>
          <w:rPr>
            <w:webHidden/>
          </w:rPr>
          <w:fldChar w:fldCharType="begin"/>
        </w:r>
        <w:r w:rsidR="00FE55AC">
          <w:rPr>
            <w:webHidden/>
          </w:rPr>
          <w:instrText xml:space="preserve"> PAGEREF _Toc54106582 \h </w:instrText>
        </w:r>
        <w:r>
          <w:rPr>
            <w:webHidden/>
          </w:rPr>
        </w:r>
        <w:r>
          <w:rPr>
            <w:webHidden/>
          </w:rPr>
          <w:fldChar w:fldCharType="separate"/>
        </w:r>
        <w:r w:rsidR="005D3ED7">
          <w:rPr>
            <w:webHidden/>
          </w:rPr>
          <w:t>67</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3" w:history="1">
        <w:r w:rsidR="00FE55AC" w:rsidRPr="00FF4095">
          <w:rPr>
            <w:rStyle w:val="Hipervnculo"/>
          </w:rPr>
          <w:t>5.3</w:t>
        </w:r>
        <w:r w:rsidR="00FE55AC">
          <w:rPr>
            <w:rFonts w:asciiTheme="minorHAnsi" w:eastAsiaTheme="minorEastAsia" w:hAnsiTheme="minorHAnsi" w:cstheme="minorBidi"/>
            <w:b w:val="0"/>
            <w:smallCaps w:val="0"/>
            <w:szCs w:val="22"/>
            <w:lang w:val="es-MX" w:eastAsia="es-MX"/>
          </w:rPr>
          <w:tab/>
        </w:r>
        <w:r w:rsidR="00FE55AC" w:rsidRPr="00FF4095">
          <w:rPr>
            <w:rStyle w:val="Hipervnculo"/>
          </w:rPr>
          <w:t>Arquitectura</w:t>
        </w:r>
        <w:r w:rsidR="00FE55AC">
          <w:rPr>
            <w:webHidden/>
          </w:rPr>
          <w:tab/>
        </w:r>
        <w:r>
          <w:rPr>
            <w:webHidden/>
          </w:rPr>
          <w:fldChar w:fldCharType="begin"/>
        </w:r>
        <w:r w:rsidR="00FE55AC">
          <w:rPr>
            <w:webHidden/>
          </w:rPr>
          <w:instrText xml:space="preserve"> PAGEREF _Toc54106583 \h </w:instrText>
        </w:r>
        <w:r>
          <w:rPr>
            <w:webHidden/>
          </w:rPr>
        </w:r>
        <w:r>
          <w:rPr>
            <w:webHidden/>
          </w:rPr>
          <w:fldChar w:fldCharType="separate"/>
        </w:r>
        <w:r w:rsidR="005D3ED7">
          <w:rPr>
            <w:webHidden/>
          </w:rPr>
          <w:t>68</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4" w:history="1">
        <w:r w:rsidR="00FE55AC" w:rsidRPr="00FF4095">
          <w:rPr>
            <w:rStyle w:val="Hipervnculo"/>
          </w:rPr>
          <w:t>5.4</w:t>
        </w:r>
        <w:r w:rsidR="00FE55AC">
          <w:rPr>
            <w:rFonts w:asciiTheme="minorHAnsi" w:eastAsiaTheme="minorEastAsia" w:hAnsiTheme="minorHAnsi" w:cstheme="minorBidi"/>
            <w:b w:val="0"/>
            <w:smallCaps w:val="0"/>
            <w:szCs w:val="22"/>
            <w:lang w:val="es-MX" w:eastAsia="es-MX"/>
          </w:rPr>
          <w:tab/>
        </w:r>
        <w:r w:rsidR="00FE55AC" w:rsidRPr="00FF4095">
          <w:rPr>
            <w:rStyle w:val="Hipervnculo"/>
          </w:rPr>
          <w:t>Características técnicas</w:t>
        </w:r>
        <w:r w:rsidR="00FE55AC">
          <w:rPr>
            <w:webHidden/>
          </w:rPr>
          <w:tab/>
        </w:r>
        <w:r>
          <w:rPr>
            <w:webHidden/>
          </w:rPr>
          <w:fldChar w:fldCharType="begin"/>
        </w:r>
        <w:r w:rsidR="00FE55AC">
          <w:rPr>
            <w:webHidden/>
          </w:rPr>
          <w:instrText xml:space="preserve"> PAGEREF _Toc54106584 \h </w:instrText>
        </w:r>
        <w:r>
          <w:rPr>
            <w:webHidden/>
          </w:rPr>
        </w:r>
        <w:r>
          <w:rPr>
            <w:webHidden/>
          </w:rPr>
          <w:fldChar w:fldCharType="separate"/>
        </w:r>
        <w:r w:rsidR="005D3ED7">
          <w:rPr>
            <w:webHidden/>
          </w:rPr>
          <w:t>71</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5" w:history="1">
        <w:r w:rsidR="00FE55AC" w:rsidRPr="00FF4095">
          <w:rPr>
            <w:rStyle w:val="Hipervnculo"/>
          </w:rPr>
          <w:t>5.5</w:t>
        </w:r>
        <w:r w:rsidR="00FE55AC">
          <w:rPr>
            <w:rFonts w:asciiTheme="minorHAnsi" w:eastAsiaTheme="minorEastAsia" w:hAnsiTheme="minorHAnsi" w:cstheme="minorBidi"/>
            <w:b w:val="0"/>
            <w:smallCaps w:val="0"/>
            <w:szCs w:val="22"/>
            <w:lang w:val="es-MX" w:eastAsia="es-MX"/>
          </w:rPr>
          <w:tab/>
        </w:r>
        <w:r w:rsidR="00FE55AC" w:rsidRPr="00FF4095">
          <w:rPr>
            <w:rStyle w:val="Hipervnculo"/>
          </w:rPr>
          <w:t>Señalización e identificación de códigos IDD e IDO</w:t>
        </w:r>
        <w:r w:rsidR="00FE55AC">
          <w:rPr>
            <w:webHidden/>
          </w:rPr>
          <w:tab/>
        </w:r>
        <w:r>
          <w:rPr>
            <w:webHidden/>
          </w:rPr>
          <w:fldChar w:fldCharType="begin"/>
        </w:r>
        <w:r w:rsidR="00FE55AC">
          <w:rPr>
            <w:webHidden/>
          </w:rPr>
          <w:instrText xml:space="preserve"> PAGEREF _Toc54106585 \h </w:instrText>
        </w:r>
        <w:r>
          <w:rPr>
            <w:webHidden/>
          </w:rPr>
        </w:r>
        <w:r>
          <w:rPr>
            <w:webHidden/>
          </w:rPr>
          <w:fldChar w:fldCharType="separate"/>
        </w:r>
        <w:r w:rsidR="005D3ED7">
          <w:rPr>
            <w:webHidden/>
          </w:rPr>
          <w:t>72</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6" w:history="1">
        <w:r w:rsidR="00FE55AC" w:rsidRPr="00FF4095">
          <w:rPr>
            <w:rStyle w:val="Hipervnculo"/>
          </w:rPr>
          <w:t>5.6</w:t>
        </w:r>
        <w:r w:rsidR="00FE55AC">
          <w:rPr>
            <w:rFonts w:asciiTheme="minorHAnsi" w:eastAsiaTheme="minorEastAsia" w:hAnsiTheme="minorHAnsi" w:cstheme="minorBidi"/>
            <w:b w:val="0"/>
            <w:smallCaps w:val="0"/>
            <w:szCs w:val="22"/>
            <w:lang w:val="es-MX" w:eastAsia="es-MX"/>
          </w:rPr>
          <w:tab/>
        </w:r>
        <w:r w:rsidR="00FE55AC" w:rsidRPr="00FF4095">
          <w:rPr>
            <w:rStyle w:val="Hipervnculo"/>
          </w:rPr>
          <w:t>Lista de servicios digitales aplicables</w:t>
        </w:r>
        <w:r w:rsidR="00FE55AC">
          <w:rPr>
            <w:webHidden/>
          </w:rPr>
          <w:tab/>
        </w:r>
        <w:r>
          <w:rPr>
            <w:webHidden/>
          </w:rPr>
          <w:fldChar w:fldCharType="begin"/>
        </w:r>
        <w:r w:rsidR="00FE55AC">
          <w:rPr>
            <w:webHidden/>
          </w:rPr>
          <w:instrText xml:space="preserve"> PAGEREF _Toc54106586 \h </w:instrText>
        </w:r>
        <w:r>
          <w:rPr>
            <w:webHidden/>
          </w:rPr>
        </w:r>
        <w:r>
          <w:rPr>
            <w:webHidden/>
          </w:rPr>
          <w:fldChar w:fldCharType="separate"/>
        </w:r>
        <w:r w:rsidR="005D3ED7">
          <w:rPr>
            <w:webHidden/>
          </w:rPr>
          <w:t>75</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7" w:history="1">
        <w:r w:rsidR="00FE55AC" w:rsidRPr="00FF4095">
          <w:rPr>
            <w:rStyle w:val="Hipervnculo"/>
          </w:rPr>
          <w:t>5.7</w:t>
        </w:r>
        <w:r w:rsidR="00FE55AC">
          <w:rPr>
            <w:rFonts w:asciiTheme="minorHAnsi" w:eastAsiaTheme="minorEastAsia" w:hAnsiTheme="minorHAnsi" w:cstheme="minorBidi"/>
            <w:b w:val="0"/>
            <w:smallCaps w:val="0"/>
            <w:szCs w:val="22"/>
            <w:lang w:val="es-MX" w:eastAsia="es-MX"/>
          </w:rPr>
          <w:tab/>
        </w:r>
        <w:r w:rsidR="00FE55AC" w:rsidRPr="00FF4095">
          <w:rPr>
            <w:rStyle w:val="Hipervnculo"/>
          </w:rPr>
          <w:t>Interfaces de Usuario y de Red</w:t>
        </w:r>
        <w:r w:rsidR="00FE55AC">
          <w:rPr>
            <w:webHidden/>
          </w:rPr>
          <w:tab/>
        </w:r>
        <w:r>
          <w:rPr>
            <w:webHidden/>
          </w:rPr>
          <w:fldChar w:fldCharType="begin"/>
        </w:r>
        <w:r w:rsidR="00FE55AC">
          <w:rPr>
            <w:webHidden/>
          </w:rPr>
          <w:instrText xml:space="preserve"> PAGEREF _Toc54106587 \h </w:instrText>
        </w:r>
        <w:r>
          <w:rPr>
            <w:webHidden/>
          </w:rPr>
        </w:r>
        <w:r>
          <w:rPr>
            <w:webHidden/>
          </w:rPr>
          <w:fldChar w:fldCharType="separate"/>
        </w:r>
        <w:r w:rsidR="005D3ED7">
          <w:rPr>
            <w:webHidden/>
          </w:rPr>
          <w:t>75</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8" w:history="1">
        <w:r w:rsidR="00FE55AC" w:rsidRPr="00FF4095">
          <w:rPr>
            <w:rStyle w:val="Hipervnculo"/>
          </w:rPr>
          <w:t>5.8</w:t>
        </w:r>
        <w:r w:rsidR="00FE55AC">
          <w:rPr>
            <w:rFonts w:asciiTheme="minorHAnsi" w:eastAsiaTheme="minorEastAsia" w:hAnsiTheme="minorHAnsi" w:cstheme="minorBidi"/>
            <w:b w:val="0"/>
            <w:smallCaps w:val="0"/>
            <w:szCs w:val="22"/>
            <w:lang w:val="es-MX" w:eastAsia="es-MX"/>
          </w:rPr>
          <w:tab/>
        </w:r>
        <w:r w:rsidR="00FE55AC" w:rsidRPr="00FF4095">
          <w:rPr>
            <w:rStyle w:val="Hipervnculo"/>
          </w:rPr>
          <w:t>Otros aspectos del servicio</w:t>
        </w:r>
        <w:r w:rsidR="00FE55AC">
          <w:rPr>
            <w:webHidden/>
          </w:rPr>
          <w:tab/>
        </w:r>
        <w:r>
          <w:rPr>
            <w:webHidden/>
          </w:rPr>
          <w:fldChar w:fldCharType="begin"/>
        </w:r>
        <w:r w:rsidR="00FE55AC">
          <w:rPr>
            <w:webHidden/>
          </w:rPr>
          <w:instrText xml:space="preserve"> PAGEREF _Toc54106588 \h </w:instrText>
        </w:r>
        <w:r>
          <w:rPr>
            <w:webHidden/>
          </w:rPr>
        </w:r>
        <w:r>
          <w:rPr>
            <w:webHidden/>
          </w:rPr>
          <w:fldChar w:fldCharType="separate"/>
        </w:r>
        <w:r w:rsidR="005D3ED7">
          <w:rPr>
            <w:webHidden/>
          </w:rPr>
          <w:t>75</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89" w:history="1">
        <w:r w:rsidR="00FE55AC" w:rsidRPr="00FF4095">
          <w:rPr>
            <w:rStyle w:val="Hipervnculo"/>
          </w:rPr>
          <w:t>5.9</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Procedimientos de contratación, modificación y baja del SRMLT</w:t>
        </w:r>
        <w:r w:rsidR="00FE55AC">
          <w:rPr>
            <w:webHidden/>
          </w:rPr>
          <w:tab/>
        </w:r>
        <w:r>
          <w:rPr>
            <w:webHidden/>
          </w:rPr>
          <w:fldChar w:fldCharType="begin"/>
        </w:r>
        <w:r w:rsidR="00FE55AC">
          <w:rPr>
            <w:webHidden/>
          </w:rPr>
          <w:instrText xml:space="preserve"> PAGEREF _Toc54106589 \h </w:instrText>
        </w:r>
        <w:r>
          <w:rPr>
            <w:webHidden/>
          </w:rPr>
        </w:r>
        <w:r>
          <w:rPr>
            <w:webHidden/>
          </w:rPr>
          <w:fldChar w:fldCharType="separate"/>
        </w:r>
        <w:r w:rsidR="005D3ED7">
          <w:rPr>
            <w:webHidden/>
          </w:rPr>
          <w:t>76</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90" w:history="1">
        <w:r w:rsidR="00FE55AC" w:rsidRPr="00FF4095">
          <w:rPr>
            <w:rStyle w:val="Hipervnculo"/>
          </w:rPr>
          <w:t>5.10</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Plazos de entrega de SRMLT</w:t>
        </w:r>
        <w:r w:rsidR="00FE55AC">
          <w:rPr>
            <w:webHidden/>
          </w:rPr>
          <w:tab/>
        </w:r>
        <w:r>
          <w:rPr>
            <w:webHidden/>
          </w:rPr>
          <w:fldChar w:fldCharType="begin"/>
        </w:r>
        <w:r w:rsidR="00FE55AC">
          <w:rPr>
            <w:webHidden/>
          </w:rPr>
          <w:instrText xml:space="preserve"> PAGEREF _Toc54106590 \h </w:instrText>
        </w:r>
        <w:r>
          <w:rPr>
            <w:webHidden/>
          </w:rPr>
        </w:r>
        <w:r>
          <w:rPr>
            <w:webHidden/>
          </w:rPr>
          <w:fldChar w:fldCharType="separate"/>
        </w:r>
        <w:r w:rsidR="005D3ED7">
          <w:rPr>
            <w:webHidden/>
          </w:rPr>
          <w:t>84</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91" w:history="1">
        <w:r w:rsidR="00FE55AC" w:rsidRPr="00FF4095">
          <w:rPr>
            <w:rStyle w:val="Hipervnculo"/>
          </w:rPr>
          <w:t>5.11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Parámetros e Indicadores para Provisión del Servicio</w:t>
        </w:r>
        <w:r w:rsidR="00FE55AC">
          <w:rPr>
            <w:webHidden/>
          </w:rPr>
          <w:tab/>
        </w:r>
        <w:r>
          <w:rPr>
            <w:webHidden/>
          </w:rPr>
          <w:fldChar w:fldCharType="begin"/>
        </w:r>
        <w:r w:rsidR="00FE55AC">
          <w:rPr>
            <w:webHidden/>
          </w:rPr>
          <w:instrText xml:space="preserve"> PAGEREF _Toc54106591 \h </w:instrText>
        </w:r>
        <w:r>
          <w:rPr>
            <w:webHidden/>
          </w:rPr>
        </w:r>
        <w:r>
          <w:rPr>
            <w:webHidden/>
          </w:rPr>
          <w:fldChar w:fldCharType="separate"/>
        </w:r>
        <w:r w:rsidR="005D3ED7">
          <w:rPr>
            <w:webHidden/>
          </w:rPr>
          <w:t>85</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92" w:history="1">
        <w:r w:rsidR="00FE55AC" w:rsidRPr="00FF4095">
          <w:rPr>
            <w:rStyle w:val="Hipervnculo"/>
          </w:rPr>
          <w:t>6.</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Trabajos Especiales</w:t>
        </w:r>
        <w:r w:rsidR="00FE55AC">
          <w:rPr>
            <w:webHidden/>
          </w:rPr>
          <w:tab/>
        </w:r>
        <w:r>
          <w:rPr>
            <w:webHidden/>
          </w:rPr>
          <w:fldChar w:fldCharType="begin"/>
        </w:r>
        <w:r w:rsidR="00FE55AC">
          <w:rPr>
            <w:webHidden/>
          </w:rPr>
          <w:instrText xml:space="preserve"> PAGEREF _Toc54106592 \h </w:instrText>
        </w:r>
        <w:r>
          <w:rPr>
            <w:webHidden/>
          </w:rPr>
        </w:r>
        <w:r>
          <w:rPr>
            <w:webHidden/>
          </w:rPr>
          <w:fldChar w:fldCharType="separate"/>
        </w:r>
        <w:r w:rsidR="005D3ED7">
          <w:rPr>
            <w:webHidden/>
          </w:rPr>
          <w:t>88</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93" w:history="1">
        <w:r w:rsidR="00FE55AC" w:rsidRPr="00FF4095">
          <w:rPr>
            <w:rStyle w:val="Hipervnculo"/>
          </w:rPr>
          <w:t>6.1</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Procedimiento para solicitud, aceptación y entrega de Trabajos Especiales</w:t>
        </w:r>
        <w:r w:rsidR="00FE55AC">
          <w:rPr>
            <w:webHidden/>
          </w:rPr>
          <w:tab/>
        </w:r>
        <w:r>
          <w:rPr>
            <w:webHidden/>
          </w:rPr>
          <w:fldChar w:fldCharType="begin"/>
        </w:r>
        <w:r w:rsidR="00FE55AC">
          <w:rPr>
            <w:webHidden/>
          </w:rPr>
          <w:instrText xml:space="preserve"> PAGEREF _Toc54106593 \h </w:instrText>
        </w:r>
        <w:r>
          <w:rPr>
            <w:webHidden/>
          </w:rPr>
        </w:r>
        <w:r>
          <w:rPr>
            <w:webHidden/>
          </w:rPr>
          <w:fldChar w:fldCharType="separate"/>
        </w:r>
        <w:r w:rsidR="005D3ED7">
          <w:rPr>
            <w:webHidden/>
          </w:rPr>
          <w:t>88</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94" w:history="1">
        <w:r w:rsidR="00FE55AC" w:rsidRPr="00FF4095">
          <w:rPr>
            <w:rStyle w:val="Hipervnculo"/>
          </w:rPr>
          <w:t>6.2</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Plazos de Trabajos Especiales</w:t>
        </w:r>
        <w:r w:rsidR="00FE55AC">
          <w:rPr>
            <w:webHidden/>
          </w:rPr>
          <w:tab/>
        </w:r>
        <w:r>
          <w:rPr>
            <w:webHidden/>
          </w:rPr>
          <w:fldChar w:fldCharType="begin"/>
        </w:r>
        <w:r w:rsidR="00FE55AC">
          <w:rPr>
            <w:webHidden/>
          </w:rPr>
          <w:instrText xml:space="preserve"> PAGEREF _Toc54106594 \h </w:instrText>
        </w:r>
        <w:r>
          <w:rPr>
            <w:webHidden/>
          </w:rPr>
        </w:r>
        <w:r>
          <w:rPr>
            <w:webHidden/>
          </w:rPr>
          <w:fldChar w:fldCharType="separate"/>
        </w:r>
        <w:r w:rsidR="005D3ED7">
          <w:rPr>
            <w:webHidden/>
          </w:rPr>
          <w:t>91</w:t>
        </w:r>
        <w:r>
          <w:rPr>
            <w:webHidden/>
          </w:rPr>
          <w:fldChar w:fldCharType="end"/>
        </w:r>
      </w:hyperlink>
    </w:p>
    <w:p w:rsidR="00FE55AC" w:rsidRDefault="001A503D">
      <w:pPr>
        <w:pStyle w:val="TDC2"/>
        <w:rPr>
          <w:rFonts w:asciiTheme="minorHAnsi" w:eastAsiaTheme="minorEastAsia" w:hAnsiTheme="minorHAnsi" w:cstheme="minorBidi"/>
          <w:b w:val="0"/>
          <w:smallCaps w:val="0"/>
          <w:szCs w:val="22"/>
          <w:lang w:val="es-MX" w:eastAsia="es-MX"/>
        </w:rPr>
      </w:pPr>
      <w:hyperlink w:anchor="_Toc54106595" w:history="1">
        <w:r w:rsidR="00FE55AC" w:rsidRPr="00FF4095">
          <w:rPr>
            <w:rStyle w:val="Hipervnculo"/>
          </w:rPr>
          <w:t>6.3</w:t>
        </w:r>
        <w:r w:rsidR="00FE55AC">
          <w:rPr>
            <w:rFonts w:asciiTheme="minorHAnsi" w:eastAsiaTheme="minorEastAsia" w:hAnsiTheme="minorHAnsi" w:cstheme="minorBidi"/>
            <w:b w:val="0"/>
            <w:smallCaps w:val="0"/>
            <w:szCs w:val="22"/>
            <w:lang w:val="es-MX" w:eastAsia="es-MX"/>
          </w:rPr>
          <w:tab/>
        </w:r>
        <w:r w:rsidR="00FE55AC" w:rsidRPr="00FF4095">
          <w:rPr>
            <w:rStyle w:val="Hipervnculo"/>
          </w:rPr>
          <w:t>Parámetros e Indicadores de Calidad de Trabajos Especiales</w:t>
        </w:r>
        <w:r w:rsidR="00FE55AC">
          <w:rPr>
            <w:webHidden/>
          </w:rPr>
          <w:tab/>
        </w:r>
        <w:r>
          <w:rPr>
            <w:webHidden/>
          </w:rPr>
          <w:fldChar w:fldCharType="begin"/>
        </w:r>
        <w:r w:rsidR="00FE55AC">
          <w:rPr>
            <w:webHidden/>
          </w:rPr>
          <w:instrText xml:space="preserve"> PAGEREF _Toc54106595 \h </w:instrText>
        </w:r>
        <w:r>
          <w:rPr>
            <w:webHidden/>
          </w:rPr>
        </w:r>
        <w:r>
          <w:rPr>
            <w:webHidden/>
          </w:rPr>
          <w:fldChar w:fldCharType="separate"/>
        </w:r>
        <w:r w:rsidR="005D3ED7">
          <w:rPr>
            <w:webHidden/>
          </w:rPr>
          <w:t>91</w:t>
        </w:r>
        <w:r>
          <w:rPr>
            <w:webHidden/>
          </w:rPr>
          <w:fldChar w:fldCharType="end"/>
        </w:r>
      </w:hyperlink>
    </w:p>
    <w:p w:rsidR="00FE55AC" w:rsidRDefault="001A503D">
      <w:pPr>
        <w:pStyle w:val="TDC1"/>
        <w:rPr>
          <w:rFonts w:asciiTheme="minorHAnsi" w:eastAsiaTheme="minorEastAsia" w:hAnsiTheme="minorHAnsi" w:cstheme="minorBidi"/>
          <w:bCs w:val="0"/>
          <w:caps w:val="0"/>
          <w:sz w:val="22"/>
          <w:szCs w:val="22"/>
          <w:lang w:val="es-MX" w:eastAsia="es-MX"/>
        </w:rPr>
      </w:pPr>
      <w:hyperlink w:anchor="_Toc54106596" w:history="1">
        <w:r w:rsidR="00FE55AC" w:rsidRPr="00FF4095">
          <w:rPr>
            <w:rStyle w:val="Hipervnculo"/>
          </w:rPr>
          <w:t>7.</w:t>
        </w:r>
        <w:r w:rsidR="00FE55AC">
          <w:rPr>
            <w:rFonts w:asciiTheme="minorHAnsi" w:eastAsiaTheme="minorEastAsia" w:hAnsiTheme="minorHAnsi" w:cstheme="minorBidi"/>
            <w:bCs w:val="0"/>
            <w:caps w:val="0"/>
            <w:sz w:val="22"/>
            <w:szCs w:val="22"/>
            <w:lang w:val="es-MX" w:eastAsia="es-MX"/>
          </w:rPr>
          <w:tab/>
        </w:r>
        <w:r w:rsidR="00FE55AC" w:rsidRPr="00FF4095">
          <w:rPr>
            <w:rStyle w:val="Hipervnculo"/>
          </w:rPr>
          <w:t>Servicio Opcional de Cableado Interior de usuario final</w:t>
        </w:r>
        <w:r w:rsidR="00FE55AC">
          <w:rPr>
            <w:webHidden/>
          </w:rPr>
          <w:tab/>
        </w:r>
        <w:r>
          <w:rPr>
            <w:webHidden/>
          </w:rPr>
          <w:fldChar w:fldCharType="begin"/>
        </w:r>
        <w:r w:rsidR="00FE55AC">
          <w:rPr>
            <w:webHidden/>
          </w:rPr>
          <w:instrText xml:space="preserve"> PAGEREF _Toc54106596 \h </w:instrText>
        </w:r>
        <w:r>
          <w:rPr>
            <w:webHidden/>
          </w:rPr>
        </w:r>
        <w:r>
          <w:rPr>
            <w:webHidden/>
          </w:rPr>
          <w:fldChar w:fldCharType="separate"/>
        </w:r>
        <w:r w:rsidR="005D3ED7">
          <w:rPr>
            <w:webHidden/>
          </w:rPr>
          <w:t>92</w:t>
        </w:r>
        <w:r>
          <w:rPr>
            <w:webHidden/>
          </w:rPr>
          <w:fldChar w:fldCharType="end"/>
        </w:r>
      </w:hyperlink>
    </w:p>
    <w:p w:rsidR="00A47F9A" w:rsidRPr="00BA1D95" w:rsidRDefault="001A503D" w:rsidP="004B11EB">
      <w:pPr>
        <w:spacing w:line="360" w:lineRule="auto"/>
        <w:contextualSpacing/>
        <w:mirrorIndents/>
        <w:jc w:val="both"/>
        <w:rPr>
          <w:rFonts w:ascii="ITC Avant Garde" w:hAnsi="ITC Avant Garde" w:cs="Arial"/>
        </w:rPr>
      </w:pPr>
      <w:r w:rsidRPr="00BA1D95">
        <w:rPr>
          <w:rFonts w:ascii="ITC Avant Garde" w:hAnsi="ITC Avant Garde" w:cs="Arial"/>
        </w:rPr>
        <w:fldChar w:fldCharType="end"/>
      </w:r>
      <w:bookmarkStart w:id="27" w:name="_Hlt120011809"/>
      <w:bookmarkStart w:id="28" w:name="_Toc375583281"/>
      <w:bookmarkEnd w:id="25"/>
      <w:bookmarkEnd w:id="26"/>
      <w:bookmarkEnd w:id="27"/>
    </w:p>
    <w:p w:rsidR="00A47F9A" w:rsidRPr="00BA1D95" w:rsidRDefault="00A47F9A" w:rsidP="004B11EB">
      <w:pPr>
        <w:spacing w:line="360" w:lineRule="auto"/>
        <w:contextualSpacing/>
        <w:mirrorIndents/>
        <w:jc w:val="both"/>
        <w:rPr>
          <w:rFonts w:ascii="ITC Avant Garde" w:hAnsi="ITC Avant Garde" w:cs="Arial"/>
        </w:rPr>
        <w:sectPr w:rsidR="00A47F9A" w:rsidRPr="00BA1D95" w:rsidSect="002663C6">
          <w:headerReference w:type="even" r:id="rId12"/>
          <w:headerReference w:type="default" r:id="rId13"/>
          <w:headerReference w:type="first" r:id="rId14"/>
          <w:pgSz w:w="12242" w:h="15842" w:code="1"/>
          <w:pgMar w:top="1417" w:right="1701" w:bottom="1417" w:left="1701" w:header="567" w:footer="567" w:gutter="0"/>
          <w:cols w:space="720"/>
          <w:docGrid w:linePitch="326"/>
        </w:sectPr>
      </w:pPr>
    </w:p>
    <w:p w:rsidR="00A47F9A" w:rsidRPr="00BA1D95" w:rsidRDefault="00A47F9A" w:rsidP="00402F39">
      <w:pPr>
        <w:pStyle w:val="Ttulo1"/>
        <w:rPr>
          <w:rFonts w:cs="Arial"/>
        </w:rPr>
      </w:pPr>
      <w:bookmarkStart w:id="29" w:name="_Toc436840860"/>
      <w:bookmarkStart w:id="30" w:name="_Toc436846297"/>
      <w:bookmarkStart w:id="31" w:name="_Toc436848247"/>
      <w:bookmarkStart w:id="32" w:name="_Toc436856495"/>
      <w:bookmarkStart w:id="33" w:name="_Toc436862641"/>
      <w:bookmarkStart w:id="34" w:name="_Toc436866291"/>
      <w:bookmarkStart w:id="35" w:name="_Toc436870870"/>
      <w:bookmarkStart w:id="36" w:name="_Toc436875862"/>
      <w:bookmarkStart w:id="37" w:name="_Toc467248672"/>
      <w:bookmarkStart w:id="38" w:name="_Toc525904536"/>
      <w:bookmarkStart w:id="39" w:name="_Toc525913932"/>
      <w:bookmarkStart w:id="40" w:name="_Toc525919171"/>
      <w:bookmarkStart w:id="41" w:name="_Toc525919295"/>
      <w:bookmarkStart w:id="42" w:name="_Toc2957105"/>
      <w:bookmarkStart w:id="43" w:name="_Toc26273045"/>
      <w:bookmarkStart w:id="44" w:name="_Toc26284443"/>
      <w:bookmarkStart w:id="45" w:name="_Toc54106543"/>
      <w:bookmarkEnd w:id="28"/>
      <w:r w:rsidRPr="00BA1D95">
        <w:rPr>
          <w:rFonts w:cs="Arial"/>
        </w:rPr>
        <w:lastRenderedPageBreak/>
        <w:t>Definiciones</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sidRPr="00BA1D95">
        <w:rPr>
          <w:rFonts w:cs="Arial"/>
        </w:rPr>
        <w:t xml:space="preserve"> </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Acometida o conexión al domicilio del usuario final:</w:t>
      </w:r>
      <w:r w:rsidRPr="00BA1D95">
        <w:rPr>
          <w:rFonts w:ascii="ITC Avant Garde" w:hAnsi="ITC Avant Garde" w:cs="Arial"/>
          <w:sz w:val="22"/>
          <w:szCs w:val="22"/>
          <w:lang w:val="es-ES"/>
        </w:rPr>
        <w:t xml:space="preserve"> Infraestructura de telecomunicaciones que permite conectar desde la caja terminal de distribución de la red local hasta el punto de conexión terminal de la red ubicado en el domicilio del usuario.</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 xml:space="preserve">Acuerdo de Nivel de Servicio: </w:t>
      </w:r>
      <w:r w:rsidRPr="00BA1D95">
        <w:rPr>
          <w:rStyle w:val="IFTnormalCar"/>
          <w:rFonts w:cs="Arial"/>
          <w:sz w:val="22"/>
          <w:szCs w:val="22"/>
        </w:rPr>
        <w:t>Acuerdo formal entre</w:t>
      </w:r>
      <w:r w:rsidR="00290CED" w:rsidRPr="00BA1D95">
        <w:rPr>
          <w:rStyle w:val="IFTnormalCar"/>
          <w:rFonts w:cs="Arial"/>
          <w:sz w:val="22"/>
          <w:szCs w:val="22"/>
        </w:rPr>
        <w:t xml:space="preserve"> la División Mayorista</w:t>
      </w:r>
      <w:r w:rsidR="004504B6" w:rsidRPr="00BA1D95">
        <w:rPr>
          <w:rStyle w:val="IFTnormalCar"/>
          <w:rFonts w:cs="Arial"/>
          <w:sz w:val="22"/>
          <w:szCs w:val="22"/>
        </w:rPr>
        <w:t xml:space="preserve"> (DM)</w:t>
      </w:r>
      <w:r w:rsidR="000D1DD7" w:rsidRPr="00BA1D95">
        <w:rPr>
          <w:rStyle w:val="IFTnormalCar"/>
          <w:rFonts w:cs="Arial"/>
          <w:sz w:val="22"/>
          <w:szCs w:val="22"/>
        </w:rPr>
        <w:t xml:space="preserve"> </w:t>
      </w:r>
      <w:r w:rsidR="006467B7" w:rsidRPr="00BA1D95">
        <w:rPr>
          <w:rStyle w:val="IFTnormalCar"/>
          <w:rFonts w:cs="Arial"/>
          <w:sz w:val="22"/>
          <w:szCs w:val="22"/>
        </w:rPr>
        <w:t>y el Concesionario Solicitante o Autorizado Solicitante que establece las características del servicio, las responsabilidades y los derechos y obligaciones de las partes.</w:t>
      </w:r>
    </w:p>
    <w:p w:rsidR="00A47F9A" w:rsidRPr="001C0734" w:rsidRDefault="00A47F9A" w:rsidP="001C0734">
      <w:pPr>
        <w:pStyle w:val="Prrafodelista"/>
        <w:numPr>
          <w:ilvl w:val="0"/>
          <w:numId w:val="25"/>
        </w:numPr>
        <w:spacing w:after="200" w:line="276" w:lineRule="auto"/>
        <w:ind w:left="426"/>
        <w:jc w:val="both"/>
        <w:rPr>
          <w:rFonts w:ascii="ITC Avant Garde" w:hAnsi="ITC Avant Garde" w:cs="Arial"/>
          <w:b/>
          <w:bCs/>
          <w:i/>
          <w:iCs/>
          <w:sz w:val="22"/>
          <w:szCs w:val="22"/>
          <w:lang w:val="es-ES"/>
        </w:rPr>
      </w:pPr>
      <w:r w:rsidRPr="00BA1D95">
        <w:rPr>
          <w:rFonts w:ascii="ITC Avant Garde" w:hAnsi="ITC Avant Garde" w:cs="Arial"/>
          <w:b/>
          <w:i/>
          <w:sz w:val="22"/>
          <w:szCs w:val="22"/>
          <w:lang w:val="es-ES"/>
        </w:rPr>
        <w:t>Autorizado Solicitante:</w:t>
      </w:r>
      <w:r w:rsidRPr="00BA1D95">
        <w:rPr>
          <w:rFonts w:ascii="ITC Avant Garde" w:hAnsi="ITC Avant Garde" w:cs="Arial"/>
          <w:sz w:val="22"/>
          <w:szCs w:val="22"/>
          <w:lang w:val="es-ES"/>
        </w:rPr>
        <w:t xml:space="preserve"> Persona física o moral que cuenta con una autorización otorgada por el Instituto y que solicita servicios mayoristas regulados, acceso y/o accede a la infraestructura de la red </w:t>
      </w:r>
      <w:r w:rsidR="00A10ACF" w:rsidRPr="00BA1D95">
        <w:rPr>
          <w:rFonts w:ascii="ITC Avant Garde" w:hAnsi="ITC Avant Garde" w:cs="Arial"/>
          <w:sz w:val="22"/>
          <w:szCs w:val="22"/>
          <w:lang w:val="es-ES"/>
        </w:rPr>
        <w:t xml:space="preserve">local de </w:t>
      </w:r>
      <w:r w:rsidR="00E83F21">
        <w:rPr>
          <w:rFonts w:ascii="ITC Avant Garde" w:hAnsi="ITC Avant Garde" w:cs="Arial"/>
          <w:sz w:val="22"/>
          <w:szCs w:val="22"/>
          <w:lang w:val="es-ES"/>
        </w:rPr>
        <w:t>Telmex / Telnor</w:t>
      </w:r>
      <w:r w:rsidR="006C3B45"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a fin de prestar servicios de telecomunicaciones a sus usuarios finales</w:t>
      </w:r>
      <w:r w:rsidR="002A36E7">
        <w:rPr>
          <w:rFonts w:ascii="ITC Avant Garde" w:hAnsi="ITC Avant Garde" w:cs="Arial"/>
          <w:sz w:val="22"/>
          <w:szCs w:val="22"/>
          <w:lang w:val="es-ES"/>
        </w:rPr>
        <w:t>.</w:t>
      </w:r>
      <w:r w:rsidR="002A36E7" w:rsidRPr="001C0734">
        <w:rPr>
          <w:rFonts w:ascii="ITC Avant Garde" w:hAnsi="ITC Avant Garde" w:cs="Arial"/>
          <w:b/>
          <w:bCs/>
          <w:i/>
          <w:iCs/>
          <w:lang w:val="es-ES"/>
        </w:rPr>
        <w:t xml:space="preserve"> </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bCs/>
          <w:i/>
          <w:iCs/>
          <w:sz w:val="22"/>
          <w:szCs w:val="22"/>
        </w:rPr>
        <w:t>Caso Fortuito o Fuerza Mayor:</w:t>
      </w:r>
      <w:r w:rsidRPr="00BA1D95">
        <w:rPr>
          <w:rFonts w:ascii="ITC Avant Garde" w:hAnsi="ITC Avant Garde" w:cs="Arial"/>
          <w:b/>
          <w:bCs/>
          <w:sz w:val="22"/>
          <w:szCs w:val="22"/>
        </w:rPr>
        <w:t xml:space="preserve"> </w:t>
      </w:r>
      <w:r w:rsidRPr="00BA1D95">
        <w:rPr>
          <w:rFonts w:ascii="ITC Avant Garde" w:hAnsi="ITC Avant Garde" w:cs="Arial"/>
          <w:sz w:val="22"/>
          <w:szCs w:val="22"/>
          <w:lang w:val="es-ES"/>
        </w:rPr>
        <w:t xml:space="preserve">Son sucesos de la naturaleza o hechos del hombre que, siendo </w:t>
      </w:r>
      <w:r w:rsidR="00030FC0">
        <w:rPr>
          <w:rFonts w:ascii="ITC Avant Garde" w:hAnsi="ITC Avant Garde" w:cs="Arial"/>
          <w:sz w:val="22"/>
          <w:szCs w:val="22"/>
          <w:lang w:val="es-ES"/>
        </w:rPr>
        <w:t>ajenos</w:t>
      </w:r>
      <w:r w:rsidR="00030FC0"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w:t>
      </w:r>
    </w:p>
    <w:p w:rsidR="00A47F9A" w:rsidRPr="00D10A4E" w:rsidRDefault="00541A46" w:rsidP="00D10A4E">
      <w:pPr>
        <w:pStyle w:val="Prrafodelista"/>
        <w:numPr>
          <w:ilvl w:val="0"/>
          <w:numId w:val="25"/>
        </w:numPr>
        <w:spacing w:after="200" w:line="276" w:lineRule="auto"/>
        <w:ind w:left="426"/>
        <w:jc w:val="both"/>
        <w:rPr>
          <w:rFonts w:ascii="ITC Avant Garde" w:hAnsi="ITC Avant Garde" w:cs="Arial"/>
          <w:sz w:val="22"/>
          <w:szCs w:val="22"/>
          <w:lang w:val="es-ES"/>
        </w:rPr>
      </w:pPr>
      <w:r>
        <w:rPr>
          <w:rFonts w:ascii="ITC Avant Garde" w:hAnsi="ITC Avant Garde" w:cs="Arial"/>
          <w:b/>
          <w:i/>
          <w:sz w:val="22"/>
          <w:szCs w:val="22"/>
          <w:lang w:val="es-ES"/>
        </w:rPr>
        <w:t>División Mayorista (DM) o Telmex</w:t>
      </w:r>
      <w:r w:rsidR="00EC3D1A">
        <w:rPr>
          <w:rFonts w:ascii="ITC Avant Garde" w:hAnsi="ITC Avant Garde" w:cs="Arial"/>
          <w:b/>
          <w:i/>
          <w:sz w:val="22"/>
          <w:szCs w:val="22"/>
          <w:lang w:val="es-ES"/>
        </w:rPr>
        <w:t xml:space="preserve"> / Telnor</w:t>
      </w:r>
      <w:r>
        <w:rPr>
          <w:rFonts w:ascii="ITC Avant Garde" w:hAnsi="ITC Avant Garde" w:cs="Arial"/>
          <w:b/>
          <w:i/>
          <w:sz w:val="22"/>
          <w:szCs w:val="22"/>
          <w:lang w:val="es-ES"/>
        </w:rPr>
        <w:t>:</w:t>
      </w:r>
      <w:r>
        <w:rPr>
          <w:rFonts w:ascii="ITC Avant Garde" w:hAnsi="ITC Avant Garde" w:cs="Arial"/>
          <w:sz w:val="22"/>
          <w:szCs w:val="22"/>
          <w:lang w:val="es-ES"/>
        </w:rPr>
        <w:t xml:space="preserve"> Para efectos de la presente Oferta significa la División Mayorista de Teléfonos de México S.A.B. de C.V.</w:t>
      </w:r>
    </w:p>
    <w:p w:rsidR="00A47F9A"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Espacio Vacante:</w:t>
      </w:r>
      <w:r w:rsidRPr="00BA1D95">
        <w:rPr>
          <w:rFonts w:ascii="ITC Avant Garde" w:hAnsi="ITC Avant Garde" w:cs="Arial"/>
          <w:sz w:val="22"/>
          <w:szCs w:val="22"/>
          <w:lang w:val="es-ES"/>
        </w:rPr>
        <w:t xml:space="preserve"> Se refiere a los espacios al interior de las instalaciones de Telmex </w:t>
      </w:r>
      <w:r w:rsidR="00EC3D1A">
        <w:rPr>
          <w:rFonts w:ascii="ITC Avant Garde" w:hAnsi="ITC Avant Garde" w:cs="Arial"/>
          <w:sz w:val="22"/>
          <w:szCs w:val="22"/>
          <w:lang w:val="es-ES"/>
        </w:rPr>
        <w:t xml:space="preserve">/ Telnor </w:t>
      </w:r>
      <w:r w:rsidRPr="00BA1D95">
        <w:rPr>
          <w:rFonts w:ascii="ITC Avant Garde" w:hAnsi="ITC Avant Garde" w:cs="Arial"/>
          <w:sz w:val="22"/>
          <w:szCs w:val="22"/>
          <w:lang w:val="es-ES"/>
        </w:rPr>
        <w:t xml:space="preserve">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w:t>
      </w:r>
      <w:r w:rsidR="002710F5" w:rsidRPr="00BA1D95">
        <w:rPr>
          <w:rFonts w:ascii="ITC Avant Garde" w:hAnsi="ITC Avant Garde" w:cs="Arial"/>
          <w:sz w:val="22"/>
          <w:szCs w:val="22"/>
          <w:lang w:val="es-ES"/>
        </w:rPr>
        <w:t xml:space="preserve">los </w:t>
      </w:r>
      <w:r w:rsidRPr="00BA1D95">
        <w:rPr>
          <w:rFonts w:ascii="ITC Avant Garde" w:hAnsi="ITC Avant Garde" w:cs="Arial"/>
          <w:sz w:val="22"/>
          <w:szCs w:val="22"/>
          <w:lang w:val="es-ES"/>
        </w:rPr>
        <w:t>Concesionarios Solicitantes.</w:t>
      </w:r>
    </w:p>
    <w:p w:rsidR="00F24456" w:rsidRPr="00BA1D95" w:rsidRDefault="00F24456" w:rsidP="008F5D32">
      <w:pPr>
        <w:pStyle w:val="Prrafodelista"/>
        <w:numPr>
          <w:ilvl w:val="0"/>
          <w:numId w:val="25"/>
        </w:numPr>
        <w:spacing w:after="200" w:line="276" w:lineRule="auto"/>
        <w:ind w:left="426"/>
        <w:jc w:val="both"/>
        <w:rPr>
          <w:rFonts w:ascii="ITC Avant Garde" w:hAnsi="ITC Avant Garde" w:cs="Arial"/>
          <w:sz w:val="22"/>
          <w:szCs w:val="22"/>
          <w:lang w:val="es-ES"/>
        </w:rPr>
      </w:pPr>
      <w:r>
        <w:rPr>
          <w:rFonts w:ascii="ITC Avant Garde" w:hAnsi="ITC Avant Garde" w:cs="Arial"/>
          <w:b/>
          <w:i/>
          <w:sz w:val="22"/>
          <w:szCs w:val="22"/>
          <w:lang w:val="es-ES"/>
        </w:rPr>
        <w:t>Empresa Mayorista (EM):</w:t>
      </w:r>
      <w:r>
        <w:rPr>
          <w:rFonts w:ascii="ITC Avant Garde" w:hAnsi="ITC Avant Garde" w:cs="Arial"/>
          <w:sz w:val="22"/>
          <w:szCs w:val="22"/>
          <w:lang w:val="es-ES"/>
        </w:rPr>
        <w:t xml:space="preserve"> </w:t>
      </w:r>
      <w:r w:rsidR="006E3D29">
        <w:rPr>
          <w:rFonts w:ascii="ITC Avant Garde" w:hAnsi="ITC Avant Garde" w:cs="Arial"/>
          <w:sz w:val="22"/>
          <w:szCs w:val="22"/>
          <w:lang w:val="es-ES"/>
        </w:rPr>
        <w:t>Para efectos de la presente Oferta</w:t>
      </w:r>
      <w:r w:rsidR="000245B2">
        <w:rPr>
          <w:rFonts w:ascii="ITC Avant Garde" w:hAnsi="ITC Avant Garde" w:cs="Arial"/>
          <w:sz w:val="22"/>
          <w:szCs w:val="22"/>
          <w:lang w:val="es-ES"/>
        </w:rPr>
        <w:t>, deberá entenderse como las empresas creadas en cumplimient</w:t>
      </w:r>
      <w:r w:rsidR="006119B1">
        <w:rPr>
          <w:rFonts w:ascii="ITC Avant Garde" w:hAnsi="ITC Avant Garde" w:cs="Arial"/>
          <w:sz w:val="22"/>
          <w:szCs w:val="22"/>
          <w:lang w:val="es-ES"/>
        </w:rPr>
        <w:t>o</w:t>
      </w:r>
      <w:r w:rsidR="000245B2">
        <w:rPr>
          <w:rFonts w:ascii="ITC Avant Garde" w:hAnsi="ITC Avant Garde" w:cs="Arial"/>
          <w:sz w:val="22"/>
          <w:szCs w:val="22"/>
          <w:lang w:val="es-ES"/>
        </w:rPr>
        <w:t xml:space="preserve"> las Medidas de Preponderancia y la Resolución de Separación Funcional, es decir, las empresas Red Nacional de </w:t>
      </w:r>
      <w:r w:rsidR="00375B94">
        <w:rPr>
          <w:rFonts w:ascii="ITC Avant Garde" w:hAnsi="ITC Avant Garde" w:cs="Arial"/>
          <w:sz w:val="22"/>
          <w:szCs w:val="22"/>
          <w:lang w:val="es-ES"/>
        </w:rPr>
        <w:t>Última</w:t>
      </w:r>
      <w:r w:rsidR="000245B2">
        <w:rPr>
          <w:rFonts w:ascii="ITC Avant Garde" w:hAnsi="ITC Avant Garde" w:cs="Arial"/>
          <w:sz w:val="22"/>
          <w:szCs w:val="22"/>
          <w:lang w:val="es-ES"/>
        </w:rPr>
        <w:t xml:space="preserve"> Milla </w:t>
      </w:r>
      <w:r w:rsidR="006119B1">
        <w:rPr>
          <w:rFonts w:ascii="ITC Avant Garde" w:hAnsi="ITC Avant Garde" w:cs="Arial"/>
          <w:sz w:val="22"/>
          <w:szCs w:val="22"/>
          <w:lang w:val="es-ES"/>
        </w:rPr>
        <w:t xml:space="preserve">S.A.P.I. de C.V </w:t>
      </w:r>
      <w:r w:rsidR="000245B2">
        <w:rPr>
          <w:rFonts w:ascii="ITC Avant Garde" w:hAnsi="ITC Avant Garde" w:cs="Arial"/>
          <w:sz w:val="22"/>
          <w:szCs w:val="22"/>
          <w:lang w:val="es-ES"/>
        </w:rPr>
        <w:t xml:space="preserve">y Red </w:t>
      </w:r>
      <w:r w:rsidR="00375B94">
        <w:rPr>
          <w:rFonts w:ascii="ITC Avant Garde" w:hAnsi="ITC Avant Garde" w:cs="Arial"/>
          <w:sz w:val="22"/>
          <w:szCs w:val="22"/>
          <w:lang w:val="es-ES"/>
        </w:rPr>
        <w:t>Última</w:t>
      </w:r>
      <w:r w:rsidR="000245B2">
        <w:rPr>
          <w:rFonts w:ascii="ITC Avant Garde" w:hAnsi="ITC Avant Garde" w:cs="Arial"/>
          <w:sz w:val="22"/>
          <w:szCs w:val="22"/>
          <w:lang w:val="es-ES"/>
        </w:rPr>
        <w:t xml:space="preserve"> Milla del Noroeste</w:t>
      </w:r>
      <w:r w:rsidR="006119B1">
        <w:rPr>
          <w:rFonts w:ascii="ITC Avant Garde" w:hAnsi="ITC Avant Garde" w:cs="Arial"/>
          <w:sz w:val="22"/>
          <w:szCs w:val="22"/>
          <w:lang w:val="es-ES"/>
        </w:rPr>
        <w:t xml:space="preserve"> S.A.P.I de C.V</w:t>
      </w:r>
      <w:r w:rsidR="000245B2">
        <w:rPr>
          <w:rFonts w:ascii="ITC Avant Garde" w:hAnsi="ITC Avant Garde" w:cs="Arial"/>
          <w:sz w:val="22"/>
          <w:szCs w:val="22"/>
          <w:lang w:val="es-ES"/>
        </w:rPr>
        <w:t>.</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 xml:space="preserve">Fibra hasta el Hogar: </w:t>
      </w:r>
      <w:r w:rsidRPr="00BA1D95">
        <w:rPr>
          <w:rFonts w:ascii="ITC Avant Garde" w:hAnsi="ITC Avant Garde" w:cs="Arial"/>
          <w:sz w:val="22"/>
          <w:szCs w:val="22"/>
          <w:lang w:val="es-ES"/>
        </w:rPr>
        <w:t xml:space="preserve">Arquitectura de despliegue de red acceso basada en fibra óptica como medio de transmisión </w:t>
      </w:r>
      <w:r w:rsidRPr="00BA1D95">
        <w:rPr>
          <w:rFonts w:ascii="ITC Avant Garde" w:hAnsi="ITC Avant Garde" w:cs="Arial"/>
          <w:sz w:val="22"/>
          <w:szCs w:val="22"/>
        </w:rPr>
        <w:t>la cual emplea tecnologías que permiten el acceso</w:t>
      </w:r>
      <w:r w:rsidRPr="00BA1D95" w:rsidDel="00473BB6">
        <w:rPr>
          <w:rFonts w:ascii="ITC Avant Garde" w:hAnsi="ITC Avant Garde" w:cs="Arial"/>
          <w:sz w:val="22"/>
          <w:szCs w:val="22"/>
          <w:lang w:val="es-ES"/>
        </w:rPr>
        <w:t xml:space="preserve"> </w:t>
      </w:r>
      <w:r w:rsidRPr="00BA1D95">
        <w:rPr>
          <w:rFonts w:ascii="ITC Avant Garde" w:hAnsi="ITC Avant Garde" w:cs="Arial"/>
          <w:sz w:val="22"/>
          <w:szCs w:val="22"/>
          <w:lang w:val="es-ES"/>
        </w:rPr>
        <w:t>hasta el domicilio del usuario final.</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Incidencia o falla:</w:t>
      </w:r>
      <w:r w:rsidRPr="00BA1D95">
        <w:rPr>
          <w:rFonts w:ascii="ITC Avant Garde" w:hAnsi="ITC Avant Garde" w:cs="Arial"/>
          <w:b/>
          <w:sz w:val="22"/>
          <w:szCs w:val="22"/>
          <w:lang w:val="es-ES"/>
        </w:rPr>
        <w:t xml:space="preserve"> </w:t>
      </w:r>
      <w:r w:rsidRPr="00BA1D95">
        <w:rPr>
          <w:rFonts w:ascii="ITC Avant Garde" w:hAnsi="ITC Avant Garde" w:cs="Arial"/>
          <w:sz w:val="22"/>
          <w:szCs w:val="22"/>
          <w:lang w:val="es-ES"/>
        </w:rPr>
        <w:t>Es la interrupción no planeada de un servicio o la reducción en la calidad de dicho servicio fuera de los parámetros específicos para cada servicio indicados.</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lastRenderedPageBreak/>
        <w:t>Instituto:</w:t>
      </w:r>
      <w:r w:rsidRPr="00BA1D95">
        <w:rPr>
          <w:rFonts w:ascii="ITC Avant Garde" w:hAnsi="ITC Avant Garde" w:cs="Arial"/>
          <w:sz w:val="22"/>
          <w:szCs w:val="22"/>
          <w:lang w:val="es-ES"/>
        </w:rPr>
        <w:t xml:space="preserve"> El Instituto Federal de Telecomunicaciones.</w:t>
      </w:r>
    </w:p>
    <w:p w:rsidR="00A47F9A" w:rsidRPr="00D10A4E" w:rsidRDefault="00A47F9A" w:rsidP="00D10A4E">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 xml:space="preserve">Número de Identificación de </w:t>
      </w:r>
      <w:r w:rsidR="00F311C0" w:rsidRPr="00BA1D95">
        <w:rPr>
          <w:rFonts w:ascii="ITC Avant Garde" w:hAnsi="ITC Avant Garde" w:cs="Arial"/>
          <w:b/>
          <w:i/>
          <w:sz w:val="22"/>
          <w:szCs w:val="22"/>
          <w:lang w:val="es-ES"/>
        </w:rPr>
        <w:t xml:space="preserve">Solicitud: </w:t>
      </w:r>
      <w:r w:rsidR="00F311C0" w:rsidRPr="00D10A4E">
        <w:rPr>
          <w:rFonts w:ascii="ITC Avant Garde" w:hAnsi="ITC Avant Garde" w:cs="Arial"/>
          <w:sz w:val="22"/>
          <w:szCs w:val="22"/>
          <w:lang w:val="es-ES"/>
        </w:rPr>
        <w:t xml:space="preserve">Identificador </w:t>
      </w:r>
      <w:r w:rsidRPr="00D10A4E">
        <w:rPr>
          <w:rFonts w:ascii="ITC Avant Garde" w:hAnsi="ITC Avant Garde" w:cs="Arial"/>
          <w:sz w:val="22"/>
          <w:szCs w:val="22"/>
          <w:lang w:val="es-ES"/>
        </w:rPr>
        <w:t>asignado a cada solicitud de servicios de desagregación.</w:t>
      </w:r>
    </w:p>
    <w:p w:rsidR="00A47F9A" w:rsidRPr="00994AB4"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994AB4">
        <w:rPr>
          <w:rFonts w:ascii="ITC Avant Garde" w:hAnsi="ITC Avant Garde" w:cs="Arial"/>
          <w:b/>
          <w:i/>
          <w:sz w:val="22"/>
          <w:szCs w:val="22"/>
          <w:lang w:val="es-ES"/>
        </w:rPr>
        <w:t xml:space="preserve">Red Óptica </w:t>
      </w:r>
      <w:r w:rsidR="00F311C0" w:rsidRPr="00994AB4">
        <w:rPr>
          <w:rFonts w:ascii="ITC Avant Garde" w:hAnsi="ITC Avant Garde" w:cs="Arial"/>
          <w:b/>
          <w:i/>
          <w:sz w:val="22"/>
          <w:szCs w:val="22"/>
          <w:lang w:val="es-ES"/>
        </w:rPr>
        <w:t xml:space="preserve">Pasiva Gigabit: </w:t>
      </w:r>
      <w:r w:rsidR="00F311C0" w:rsidRPr="00994AB4">
        <w:rPr>
          <w:rFonts w:ascii="ITC Avant Garde" w:hAnsi="ITC Avant Garde" w:cs="Arial"/>
          <w:sz w:val="22"/>
          <w:szCs w:val="22"/>
          <w:lang w:val="es-ES"/>
        </w:rPr>
        <w:t>Tecnología de acceso de fibra óptica, que transporta información</w:t>
      </w:r>
      <w:r w:rsidR="00F311C0">
        <w:rPr>
          <w:rFonts w:ascii="ITC Avant Garde" w:hAnsi="ITC Avant Garde" w:cs="Arial"/>
          <w:sz w:val="22"/>
          <w:szCs w:val="22"/>
          <w:lang w:val="es-ES"/>
        </w:rPr>
        <w:t xml:space="preserve"> </w:t>
      </w:r>
      <w:r w:rsidRPr="00994AB4">
        <w:rPr>
          <w:rFonts w:ascii="ITC Avant Garde" w:hAnsi="ITC Avant Garde" w:cs="Arial"/>
          <w:sz w:val="22"/>
          <w:szCs w:val="22"/>
          <w:lang w:val="es-ES"/>
        </w:rPr>
        <w:t>en una configuración punto a multipunto mediante divisores ópticos pasivos.</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MX" w:eastAsia="es-MX"/>
        </w:rPr>
        <w:t>Servicio de Reventa:</w:t>
      </w:r>
      <w:r w:rsidRPr="00BA1D95">
        <w:rPr>
          <w:rStyle w:val="IFTnormalCar"/>
          <w:rFonts w:cs="Arial"/>
          <w:sz w:val="22"/>
          <w:szCs w:val="22"/>
        </w:rPr>
        <w:t xml:space="preserve"> </w:t>
      </w:r>
      <w:r w:rsidR="003D2CC1">
        <w:rPr>
          <w:rStyle w:val="IFTnormalCar"/>
          <w:rFonts w:cs="Arial"/>
          <w:sz w:val="22"/>
          <w:szCs w:val="22"/>
        </w:rPr>
        <w:t>S</w:t>
      </w:r>
      <w:r w:rsidRPr="00BA1D95">
        <w:rPr>
          <w:rStyle w:val="IFTnormalCar"/>
          <w:rFonts w:cs="Arial"/>
          <w:sz w:val="22"/>
          <w:szCs w:val="22"/>
        </w:rPr>
        <w:t xml:space="preserve">ervicio </w:t>
      </w:r>
      <w:r w:rsidR="003D2CC1">
        <w:rPr>
          <w:rStyle w:val="IFTnormalCar"/>
          <w:rFonts w:cs="Arial"/>
          <w:sz w:val="22"/>
          <w:szCs w:val="22"/>
        </w:rPr>
        <w:t>que</w:t>
      </w:r>
      <w:r w:rsidR="003D2CC1" w:rsidRPr="00BA1D95">
        <w:rPr>
          <w:rStyle w:val="IFTnormalCar"/>
          <w:rFonts w:cs="Arial"/>
          <w:sz w:val="22"/>
          <w:szCs w:val="22"/>
        </w:rPr>
        <w:t xml:space="preserve"> </w:t>
      </w:r>
      <w:r w:rsidRPr="00BA1D95">
        <w:rPr>
          <w:rStyle w:val="IFTnormalCar"/>
          <w:rFonts w:cs="Arial"/>
          <w:sz w:val="22"/>
          <w:szCs w:val="22"/>
        </w:rPr>
        <w:t xml:space="preserve">permite </w:t>
      </w:r>
      <w:r w:rsidR="003D2CC1">
        <w:rPr>
          <w:rStyle w:val="IFTnormalCar"/>
          <w:rFonts w:cs="Arial"/>
          <w:sz w:val="22"/>
          <w:szCs w:val="22"/>
        </w:rPr>
        <w:t>al</w:t>
      </w:r>
      <w:r w:rsidRPr="00BA1D95">
        <w:rPr>
          <w:rStyle w:val="IFTnormalCar"/>
          <w:rFonts w:cs="Arial"/>
          <w:sz w:val="22"/>
          <w:szCs w:val="22"/>
        </w:rPr>
        <w:t xml:space="preserve"> Concesionario Solicitante </w:t>
      </w:r>
      <w:r w:rsidR="003C4B56" w:rsidRPr="00BA1D95">
        <w:rPr>
          <w:rStyle w:val="IFTnormalCar"/>
          <w:rFonts w:cs="Arial"/>
          <w:sz w:val="22"/>
          <w:szCs w:val="22"/>
        </w:rPr>
        <w:t>o Autorizado Solicitante reali</w:t>
      </w:r>
      <w:r w:rsidR="003D2CC1">
        <w:rPr>
          <w:rStyle w:val="IFTnormalCar"/>
          <w:rFonts w:cs="Arial"/>
          <w:sz w:val="22"/>
          <w:szCs w:val="22"/>
        </w:rPr>
        <w:t>zar</w:t>
      </w:r>
      <w:r w:rsidR="003C4B56" w:rsidRPr="00BA1D95">
        <w:rPr>
          <w:rStyle w:val="IFTnormalCar"/>
          <w:rFonts w:cs="Arial"/>
          <w:sz w:val="22"/>
          <w:szCs w:val="22"/>
        </w:rPr>
        <w:t xml:space="preserve"> la reventa o comercialización de la línea, acceso a Internet o cualquier otro servicio</w:t>
      </w:r>
      <w:r w:rsidR="00697E1B" w:rsidRPr="00BA1D95">
        <w:rPr>
          <w:rStyle w:val="IFTnormalCar"/>
          <w:rFonts w:cs="Arial"/>
          <w:sz w:val="22"/>
          <w:szCs w:val="22"/>
        </w:rPr>
        <w:t xml:space="preserve"> registrado ante el IFT,</w:t>
      </w:r>
      <w:r w:rsidR="003C4B56" w:rsidRPr="00BA1D95">
        <w:rPr>
          <w:rStyle w:val="IFTnormalCar"/>
          <w:rFonts w:cs="Arial"/>
          <w:sz w:val="22"/>
          <w:szCs w:val="22"/>
        </w:rPr>
        <w:t xml:space="preserve"> de la Red pública de telecomunicaciones de</w:t>
      </w:r>
      <w:r w:rsidR="006C3B45" w:rsidRPr="00BA1D95">
        <w:rPr>
          <w:rFonts w:ascii="ITC Avant Garde" w:hAnsi="ITC Avant Garde" w:cs="Arial"/>
          <w:sz w:val="22"/>
          <w:szCs w:val="22"/>
          <w:lang w:val="es-MX" w:eastAsia="es-MX"/>
        </w:rPr>
        <w:t xml:space="preserve"> Telmex</w:t>
      </w:r>
      <w:r w:rsidR="00EC3D1A">
        <w:rPr>
          <w:rFonts w:ascii="ITC Avant Garde" w:hAnsi="ITC Avant Garde" w:cs="Arial"/>
          <w:sz w:val="22"/>
          <w:szCs w:val="22"/>
          <w:lang w:val="es-MX" w:eastAsia="es-MX"/>
        </w:rPr>
        <w:t xml:space="preserve"> / Telnor</w:t>
      </w:r>
      <w:r w:rsidR="006C3B45" w:rsidRPr="00BA1D95">
        <w:rPr>
          <w:rFonts w:ascii="ITC Avant Garde" w:hAnsi="ITC Avant Garde" w:cs="Arial"/>
          <w:sz w:val="22"/>
          <w:szCs w:val="22"/>
          <w:lang w:val="es-MX" w:eastAsia="es-MX"/>
        </w:rPr>
        <w:t>.</w:t>
      </w:r>
    </w:p>
    <w:p w:rsidR="00A47F9A" w:rsidRPr="00994AB4" w:rsidRDefault="00A47F9A" w:rsidP="00994AB4">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MX" w:eastAsia="es-MX"/>
        </w:rPr>
        <w:t xml:space="preserve">Servicio de Reventa Mayorista de Línea Telefónica: </w:t>
      </w:r>
      <w:r w:rsidRPr="00BA1D95">
        <w:rPr>
          <w:rStyle w:val="IFTnormalCar"/>
          <w:rFonts w:cs="Arial"/>
          <w:sz w:val="22"/>
          <w:szCs w:val="22"/>
        </w:rPr>
        <w:t xml:space="preserve">Servicio </w:t>
      </w:r>
      <w:r w:rsidR="003C4B56" w:rsidRPr="00BA1D95">
        <w:rPr>
          <w:rStyle w:val="IFTnormalCar"/>
          <w:rFonts w:cs="Arial"/>
          <w:sz w:val="22"/>
          <w:szCs w:val="22"/>
        </w:rPr>
        <w:t>mayorista que hace uso de la red telefónica de</w:t>
      </w:r>
      <w:r w:rsidR="00FE394B" w:rsidRPr="00BA1D95">
        <w:rPr>
          <w:rStyle w:val="IFTnormalCar"/>
          <w:rFonts w:cs="Arial"/>
          <w:sz w:val="22"/>
          <w:szCs w:val="22"/>
        </w:rPr>
        <w:t xml:space="preserve"> Telmex</w:t>
      </w:r>
      <w:r w:rsidR="003C4B56" w:rsidRPr="00BA1D95">
        <w:rPr>
          <w:rStyle w:val="IFTnormalCar"/>
          <w:rFonts w:cs="Arial"/>
          <w:sz w:val="22"/>
          <w:szCs w:val="22"/>
        </w:rPr>
        <w:t xml:space="preserve"> </w:t>
      </w:r>
      <w:r w:rsidR="00EC3D1A">
        <w:rPr>
          <w:rFonts w:ascii="ITC Avant Garde" w:hAnsi="ITC Avant Garde" w:cs="Arial"/>
          <w:sz w:val="22"/>
          <w:szCs w:val="22"/>
          <w:lang w:val="es-MX" w:eastAsia="es-MX"/>
        </w:rPr>
        <w:t>/ Telnor</w:t>
      </w:r>
      <w:r w:rsidR="00EC3D1A" w:rsidRPr="00BA1D95">
        <w:rPr>
          <w:rStyle w:val="IFTnormalCar"/>
          <w:rFonts w:cs="Arial"/>
          <w:sz w:val="22"/>
          <w:szCs w:val="22"/>
        </w:rPr>
        <w:t xml:space="preserve"> </w:t>
      </w:r>
      <w:r w:rsidR="003C4B56" w:rsidRPr="00BA1D95">
        <w:rPr>
          <w:rStyle w:val="IFTnormalCar"/>
          <w:rFonts w:cs="Arial"/>
          <w:sz w:val="22"/>
          <w:szCs w:val="22"/>
        </w:rPr>
        <w:t>para la entrega de todas las llamadas telefónicas originadas por los usuarios finales del Concesionario Solicitante (CS), en desagregación para el nuevo servicio SRMLT hasta el punto de entrega con la red del CS.</w:t>
      </w:r>
    </w:p>
    <w:p w:rsidR="00907275"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Sistema Electrónico de Gestió</w:t>
      </w:r>
      <w:r w:rsidR="00907275" w:rsidRPr="00BA1D95">
        <w:rPr>
          <w:rFonts w:ascii="ITC Avant Garde" w:hAnsi="ITC Avant Garde" w:cs="Arial"/>
          <w:b/>
          <w:i/>
          <w:sz w:val="22"/>
          <w:szCs w:val="22"/>
          <w:lang w:val="es-ES"/>
        </w:rPr>
        <w:t>n</w:t>
      </w:r>
      <w:r w:rsidR="00F311C0" w:rsidRPr="00EA4735">
        <w:rPr>
          <w:rFonts w:ascii="ITC Avant Garde" w:hAnsi="ITC Avant Garde" w:cs="Arial"/>
          <w:b/>
          <w:i/>
          <w:sz w:val="22"/>
          <w:szCs w:val="22"/>
          <w:lang w:val="es-ES"/>
        </w:rPr>
        <w:t>:</w:t>
      </w:r>
      <w:r w:rsidR="00F311C0" w:rsidRPr="00BA1D95">
        <w:rPr>
          <w:rFonts w:ascii="ITC Avant Garde" w:hAnsi="ITC Avant Garde" w:cs="Arial"/>
          <w:b/>
          <w:i/>
          <w:sz w:val="22"/>
          <w:szCs w:val="22"/>
          <w:lang w:val="es-ES"/>
        </w:rPr>
        <w:t xml:space="preserve"> </w:t>
      </w:r>
      <w:r w:rsidR="00F311C0" w:rsidRPr="00BA1D95">
        <w:rPr>
          <w:rFonts w:ascii="ITC Avant Garde" w:hAnsi="ITC Avant Garde" w:cs="Arial"/>
          <w:sz w:val="22"/>
          <w:szCs w:val="22"/>
          <w:lang w:val="es-ES"/>
        </w:rPr>
        <w:t>Herramienta que tiene como</w:t>
      </w:r>
      <w:r w:rsidRPr="00BA1D95">
        <w:rPr>
          <w:rFonts w:ascii="ITC Avant Garde" w:hAnsi="ITC Avant Garde" w:cs="Arial"/>
          <w:sz w:val="22"/>
          <w:szCs w:val="22"/>
          <w:lang w:val="es-ES"/>
        </w:rPr>
        <w:t xml:space="preserve"> objetivo permitir a los Concesionarios Solicitantes consultar información actualizada de la Red Pública de Telecomunicaciones de Telmex</w:t>
      </w:r>
      <w:r w:rsidR="00EC3D1A">
        <w:rPr>
          <w:rFonts w:ascii="ITC Avant Garde" w:hAnsi="ITC Avant Garde" w:cs="Arial"/>
          <w:sz w:val="22"/>
          <w:szCs w:val="22"/>
          <w:lang w:val="es-ES"/>
        </w:rPr>
        <w:t xml:space="preserve"> </w:t>
      </w:r>
      <w:r w:rsidR="00EC3D1A">
        <w:rPr>
          <w:rFonts w:ascii="ITC Avant Garde" w:hAnsi="ITC Avant Garde" w:cs="Arial"/>
          <w:sz w:val="22"/>
          <w:szCs w:val="22"/>
          <w:lang w:val="es-MX" w:eastAsia="es-MX"/>
        </w:rPr>
        <w:t>/ Telnor</w:t>
      </w:r>
      <w:r w:rsidRPr="00BA1D95">
        <w:rPr>
          <w:rFonts w:ascii="ITC Avant Garde" w:hAnsi="ITC Avant Garde" w:cs="Arial"/>
          <w:sz w:val="22"/>
          <w:szCs w:val="22"/>
          <w:lang w:val="es-ES"/>
        </w:rPr>
        <w:t>,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ES"/>
        </w:rPr>
        <w:t xml:space="preserve">Terminal de </w:t>
      </w:r>
      <w:r w:rsidR="00F311C0" w:rsidRPr="00BA1D95">
        <w:rPr>
          <w:rFonts w:ascii="ITC Avant Garde" w:hAnsi="ITC Avant Garde" w:cs="Arial"/>
          <w:b/>
          <w:i/>
          <w:sz w:val="22"/>
          <w:szCs w:val="22"/>
          <w:lang w:val="es-ES"/>
        </w:rPr>
        <w:t xml:space="preserve">Red Óptica </w:t>
      </w:r>
      <w:r w:rsidR="00F311C0" w:rsidRPr="00BA1D95">
        <w:rPr>
          <w:rFonts w:ascii="ITC Avant Garde" w:hAnsi="ITC Avant Garde" w:cs="Arial"/>
          <w:sz w:val="22"/>
          <w:szCs w:val="22"/>
          <w:lang w:val="es-ES"/>
        </w:rPr>
        <w:t>Equipo de telecomunicaciones ubicado en las instalaciones del</w:t>
      </w:r>
      <w:r w:rsidRPr="00BA1D95">
        <w:rPr>
          <w:rFonts w:ascii="ITC Avant Garde" w:hAnsi="ITC Avant Garde" w:cs="Arial"/>
          <w:sz w:val="22"/>
          <w:szCs w:val="22"/>
          <w:lang w:val="es-ES"/>
        </w:rPr>
        <w:t xml:space="preserve"> cliente final que termina la red óptica de acceso. Este elemento está del lado de la red que provee la interfaz del usuario hacia la red de fibra óptica.</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i/>
          <w:sz w:val="22"/>
          <w:szCs w:val="22"/>
          <w:lang w:val="es-MX" w:eastAsia="es-MX"/>
        </w:rPr>
        <w:t xml:space="preserve">Tráfico: </w:t>
      </w:r>
      <w:r w:rsidRPr="00BA1D95">
        <w:rPr>
          <w:rFonts w:ascii="ITC Avant Garde" w:hAnsi="ITC Avant Garde" w:cs="Arial"/>
          <w:sz w:val="22"/>
          <w:szCs w:val="22"/>
          <w:lang w:val="es-MX" w:eastAsia="es-MX"/>
        </w:rPr>
        <w:t>Toda emisión, transmisión o recepción de signos, señales, datos, escritos, imágenes, voz, sonidos o información de cualquier naturaleza que se conduce a través de una red pública de telecomunicaciones.</w:t>
      </w:r>
    </w:p>
    <w:p w:rsidR="00A47F9A" w:rsidRPr="00BA1D95" w:rsidRDefault="00A47F9A" w:rsidP="008F5D32">
      <w:pPr>
        <w:pStyle w:val="Prrafodelista"/>
        <w:numPr>
          <w:ilvl w:val="0"/>
          <w:numId w:val="25"/>
        </w:numPr>
        <w:spacing w:after="200" w:line="276" w:lineRule="auto"/>
        <w:ind w:left="426"/>
        <w:jc w:val="both"/>
        <w:rPr>
          <w:rFonts w:ascii="ITC Avant Garde" w:hAnsi="ITC Avant Garde" w:cs="Arial"/>
          <w:sz w:val="22"/>
          <w:szCs w:val="22"/>
          <w:lang w:val="es-ES"/>
        </w:rPr>
      </w:pPr>
      <w:r w:rsidRPr="00BA1D95">
        <w:rPr>
          <w:rFonts w:ascii="ITC Avant Garde" w:hAnsi="ITC Avant Garde" w:cs="Arial"/>
          <w:b/>
          <w:bCs/>
          <w:i/>
          <w:iCs/>
          <w:sz w:val="22"/>
          <w:szCs w:val="22"/>
        </w:rPr>
        <w:t>Usuario Final:</w:t>
      </w:r>
      <w:r w:rsidRPr="00BA1D95">
        <w:rPr>
          <w:rFonts w:ascii="ITC Avant Garde" w:hAnsi="ITC Avant Garde" w:cs="Arial"/>
          <w:sz w:val="22"/>
          <w:szCs w:val="22"/>
          <w:lang w:val="es-MX"/>
        </w:rPr>
        <w:t xml:space="preserve"> Persona física o moral que utiliza un servicio de telecomunicaciones como destinatario final.</w:t>
      </w:r>
    </w:p>
    <w:p w:rsidR="00A47F9A" w:rsidRPr="00BA1D95" w:rsidRDefault="00A47F9A" w:rsidP="004B11EB">
      <w:pPr>
        <w:rPr>
          <w:rFonts w:ascii="ITC Avant Garde" w:hAnsi="ITC Avant Garde" w:cs="Arial"/>
        </w:rPr>
      </w:pPr>
      <w:r w:rsidRPr="00BA1D95">
        <w:rPr>
          <w:rFonts w:ascii="ITC Avant Garde" w:hAnsi="ITC Avant Garde" w:cs="Arial"/>
        </w:rPr>
        <w:br w:type="page"/>
      </w:r>
    </w:p>
    <w:p w:rsidR="00A47F9A" w:rsidRPr="00BA1D95" w:rsidRDefault="00A47F9A" w:rsidP="00402F39">
      <w:pPr>
        <w:pStyle w:val="Ttulo1"/>
        <w:rPr>
          <w:rFonts w:cs="Arial"/>
        </w:rPr>
      </w:pPr>
      <w:bookmarkStart w:id="46" w:name="_Toc436840861"/>
      <w:bookmarkStart w:id="47" w:name="_Toc436846298"/>
      <w:bookmarkStart w:id="48" w:name="_Toc436848248"/>
      <w:bookmarkStart w:id="49" w:name="_Toc436856496"/>
      <w:bookmarkStart w:id="50" w:name="_Toc436862642"/>
      <w:bookmarkStart w:id="51" w:name="_Toc436866292"/>
      <w:bookmarkStart w:id="52" w:name="_Toc436870871"/>
      <w:bookmarkStart w:id="53" w:name="_Toc436875863"/>
      <w:bookmarkStart w:id="54" w:name="_Toc467248673"/>
      <w:bookmarkStart w:id="55" w:name="_Toc525904537"/>
      <w:bookmarkStart w:id="56" w:name="_Toc525913933"/>
      <w:bookmarkStart w:id="57" w:name="_Toc525919172"/>
      <w:bookmarkStart w:id="58" w:name="_Toc525919296"/>
      <w:bookmarkStart w:id="59" w:name="_Toc2957106"/>
      <w:bookmarkStart w:id="60" w:name="_Toc26273046"/>
      <w:bookmarkStart w:id="61" w:name="_Toc26284444"/>
      <w:bookmarkStart w:id="62" w:name="_Toc54106544"/>
      <w:r w:rsidRPr="00BA1D95">
        <w:rPr>
          <w:rFonts w:cs="Arial"/>
        </w:rPr>
        <w:lastRenderedPageBreak/>
        <w:t>Acrónimos</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129"/>
        <w:gridCol w:w="7217"/>
      </w:tblGrid>
      <w:tr w:rsidR="00674762"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674762" w:rsidRPr="00BA1D95" w:rsidRDefault="00674762" w:rsidP="008E008B">
            <w:pPr>
              <w:rPr>
                <w:rFonts w:ascii="ITC Avant Garde" w:hAnsi="ITC Avant Garde" w:cs="Arial"/>
                <w:b/>
                <w:lang w:eastAsia="es-MX"/>
              </w:rPr>
            </w:pPr>
            <w:r>
              <w:rPr>
                <w:rFonts w:ascii="ITC Avant Garde" w:hAnsi="ITC Avant Garde" w:cs="Arial"/>
                <w:b/>
                <w:lang w:eastAsia="es-MX"/>
              </w:rPr>
              <w:t>AEP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74762" w:rsidRPr="00BA1D95" w:rsidRDefault="00674762" w:rsidP="008E008B">
            <w:pPr>
              <w:rPr>
                <w:rFonts w:ascii="ITC Avant Garde" w:hAnsi="ITC Avant Garde" w:cs="Arial"/>
                <w:lang w:eastAsia="es-MX"/>
              </w:rPr>
            </w:pPr>
            <w:r>
              <w:rPr>
                <w:rFonts w:ascii="ITC Avant Garde" w:hAnsi="ITC Avant Garde" w:cs="Arial"/>
                <w:lang w:eastAsia="es-MX"/>
              </w:rPr>
              <w:t>Agente Económico Preponderante</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Default="008E008B" w:rsidP="008E008B">
            <w:pPr>
              <w:rPr>
                <w:rFonts w:ascii="ITC Avant Garde" w:hAnsi="ITC Avant Garde" w:cs="Arial"/>
                <w:b/>
                <w:lang w:eastAsia="es-MX"/>
              </w:rPr>
            </w:pPr>
            <w:r w:rsidRPr="00BA1D95">
              <w:rPr>
                <w:rFonts w:ascii="ITC Avant Garde" w:hAnsi="ITC Avant Garde" w:cs="Arial"/>
                <w:b/>
                <w:lang w:eastAsia="es-MX"/>
              </w:rPr>
              <w:t>CDR</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3D6FC3" w:rsidRDefault="008E008B" w:rsidP="008E008B">
            <w:pPr>
              <w:rPr>
                <w:rFonts w:ascii="ITC Avant Garde" w:hAnsi="ITC Avant Garde" w:cs="Arial"/>
                <w:lang w:eastAsia="es-MX"/>
              </w:rPr>
            </w:pPr>
            <w:r w:rsidRPr="00BA1D95">
              <w:rPr>
                <w:rFonts w:ascii="ITC Avant Garde" w:hAnsi="ITC Avant Garde" w:cs="Arial"/>
                <w:lang w:eastAsia="es-MX"/>
              </w:rPr>
              <w:t>Registro de Llamadas Realizadas (CDR,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CIC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Cableado Interior del Cliente</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CLLI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Identificador de Ubicación de Lenguaje Común</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CS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Concesionario Solicitante/Autorizado Solicitante</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DM</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División Mayorista</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FTTH</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Fibra hasta el Hogar (FTTH,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FTTN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Fibra hasta el Nodo (FTTN,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GPON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Red Óptica Pasiva Gigabit (GPON,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IDO</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Indicador de Red de Origen</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IDD</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Indicador de Red de Destino</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IP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Protocolo de Internet (IP,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LAN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Red de Área Local (LAN,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N.A.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Numero de A</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N.B.</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Numero de B</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NIS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Número de Identificación de Solicitud</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N.N.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Número Nacional</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OLT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Terminal de Línea Óptica (OLT,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ONT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 xml:space="preserve">Terminal de Red Óptica (ONT, por sus siglas en inglés) </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OREDA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Oferta de Referencia para la Desagregación del Bucle Local</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OSI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Interconexión de Sistemas Abiertos (OSI,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POTS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Servicio Telefónico Simple (POTS, por sus siglas en inglés)</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PCT/PTC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Punto de Conexión Terminal</w:t>
            </w:r>
          </w:p>
        </w:tc>
      </w:tr>
      <w:tr w:rsidR="008E008B"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b/>
                <w:lang w:eastAsia="es-MX"/>
              </w:rPr>
            </w:pPr>
            <w:r w:rsidRPr="00BA1D95">
              <w:rPr>
                <w:rFonts w:ascii="ITC Avant Garde" w:hAnsi="ITC Avant Garde" w:cs="Arial"/>
                <w:b/>
                <w:lang w:eastAsia="es-MX"/>
              </w:rPr>
              <w:t>SRMLT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E008B" w:rsidRPr="00BA1D95" w:rsidRDefault="008E008B" w:rsidP="008E008B">
            <w:pPr>
              <w:rPr>
                <w:rFonts w:ascii="ITC Avant Garde" w:hAnsi="ITC Avant Garde" w:cs="Arial"/>
                <w:lang w:eastAsia="es-MX"/>
              </w:rPr>
            </w:pPr>
            <w:r w:rsidRPr="00BA1D95">
              <w:rPr>
                <w:rFonts w:ascii="ITC Avant Garde" w:hAnsi="ITC Avant Garde" w:cs="Arial"/>
                <w:lang w:eastAsia="es-MX"/>
              </w:rPr>
              <w:t>Servicio de Reventa Mayorista de Línea Telefónica</w:t>
            </w:r>
          </w:p>
        </w:tc>
      </w:tr>
      <w:tr w:rsidR="00F02104"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b/>
                <w:lang w:eastAsia="es-MX"/>
              </w:rPr>
            </w:pPr>
            <w:r w:rsidRPr="00BA1D95">
              <w:rPr>
                <w:rFonts w:ascii="ITC Avant Garde" w:hAnsi="ITC Avant Garde" w:cs="Arial"/>
                <w:b/>
                <w:lang w:eastAsia="es-MX"/>
              </w:rPr>
              <w:t>SEG</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lang w:eastAsia="es-MX"/>
              </w:rPr>
            </w:pPr>
            <w:r w:rsidRPr="00BA1D95">
              <w:rPr>
                <w:rFonts w:ascii="ITC Avant Garde" w:hAnsi="ITC Avant Garde" w:cs="Arial"/>
                <w:lang w:eastAsia="es-MX"/>
              </w:rPr>
              <w:t>Sistema Electrónico de Gestión</w:t>
            </w:r>
          </w:p>
        </w:tc>
      </w:tr>
      <w:tr w:rsidR="00F02104"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b/>
                <w:lang w:eastAsia="es-MX"/>
              </w:rPr>
            </w:pPr>
            <w:r w:rsidRPr="00BA1D95">
              <w:rPr>
                <w:rFonts w:ascii="ITC Avant Garde" w:hAnsi="ITC Avant Garde" w:cs="Arial"/>
                <w:b/>
                <w:lang w:eastAsia="es-MX"/>
              </w:rPr>
              <w:t>SLA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lang w:eastAsia="es-MX"/>
              </w:rPr>
            </w:pPr>
            <w:r w:rsidRPr="00BA1D95">
              <w:rPr>
                <w:rFonts w:ascii="ITC Avant Garde" w:hAnsi="ITC Avant Garde" w:cs="Arial"/>
                <w:lang w:eastAsia="es-MX"/>
              </w:rPr>
              <w:t>Acuerdos de Nivel de Servicio (SLA, por sus siglas en inglés)</w:t>
            </w:r>
          </w:p>
        </w:tc>
      </w:tr>
      <w:tr w:rsidR="00F02104"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b/>
                <w:lang w:eastAsia="es-MX"/>
              </w:rPr>
            </w:pPr>
            <w:r w:rsidRPr="00BA1D95">
              <w:rPr>
                <w:rFonts w:ascii="ITC Avant Garde" w:hAnsi="ITC Avant Garde" w:cs="Arial"/>
                <w:b/>
                <w:lang w:eastAsia="es-MX"/>
              </w:rPr>
              <w:lastRenderedPageBreak/>
              <w:t>SRI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lang w:eastAsia="es-MX"/>
              </w:rPr>
            </w:pPr>
            <w:r w:rsidRPr="00BA1D95">
              <w:rPr>
                <w:rFonts w:ascii="ITC Avant Garde" w:hAnsi="ITC Avant Garde" w:cs="Arial"/>
                <w:lang w:eastAsia="es-MX"/>
              </w:rPr>
              <w:t>Servicio de Reventa de Internet</w:t>
            </w:r>
          </w:p>
        </w:tc>
      </w:tr>
      <w:tr w:rsidR="00F02104"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b/>
                <w:lang w:eastAsia="es-MX"/>
              </w:rPr>
            </w:pPr>
            <w:r w:rsidRPr="00BA1D95">
              <w:rPr>
                <w:rFonts w:ascii="ITC Avant Garde" w:hAnsi="ITC Avant Garde" w:cs="Arial"/>
                <w:b/>
                <w:lang w:eastAsia="es-MX"/>
              </w:rPr>
              <w:t>SRP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lang w:eastAsia="es-MX"/>
              </w:rPr>
            </w:pPr>
            <w:r w:rsidRPr="00BA1D95">
              <w:rPr>
                <w:rFonts w:ascii="ITC Avant Garde" w:hAnsi="ITC Avant Garde" w:cs="Arial"/>
                <w:lang w:eastAsia="es-MX"/>
              </w:rPr>
              <w:t>Servicio de Reventa de Paquetes</w:t>
            </w:r>
          </w:p>
        </w:tc>
      </w:tr>
      <w:tr w:rsidR="00F02104" w:rsidRPr="00BA1D95" w:rsidTr="005A0EC3">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b/>
                <w:lang w:eastAsia="es-MX"/>
              </w:rPr>
            </w:pPr>
            <w:r w:rsidRPr="00BA1D95">
              <w:rPr>
                <w:rFonts w:ascii="ITC Avant Garde" w:hAnsi="ITC Avant Garde" w:cs="Arial"/>
                <w:b/>
                <w:lang w:eastAsia="es-MX"/>
              </w:rPr>
              <w:t>VoIP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2104" w:rsidRPr="00BA1D95" w:rsidRDefault="00F02104" w:rsidP="00F02104">
            <w:pPr>
              <w:rPr>
                <w:rFonts w:ascii="ITC Avant Garde" w:hAnsi="ITC Avant Garde" w:cs="Arial"/>
                <w:lang w:eastAsia="es-MX"/>
              </w:rPr>
            </w:pPr>
            <w:r w:rsidRPr="00BA1D95">
              <w:rPr>
                <w:rFonts w:ascii="ITC Avant Garde" w:hAnsi="ITC Avant Garde" w:cs="Arial"/>
                <w:lang w:eastAsia="es-MX"/>
              </w:rPr>
              <w:t>Voz sobre Protocolo de Internet (VoIP, por sus siglas en inglés)</w:t>
            </w:r>
          </w:p>
        </w:tc>
      </w:tr>
    </w:tbl>
    <w:p w:rsidR="00A47F9A" w:rsidRPr="00BA1D95" w:rsidRDefault="00A47F9A" w:rsidP="004B11EB">
      <w:pPr>
        <w:rPr>
          <w:rFonts w:ascii="ITC Avant Garde" w:hAnsi="ITC Avant Garde" w:cs="Arial"/>
        </w:rPr>
      </w:pPr>
    </w:p>
    <w:p w:rsidR="00A47F9A" w:rsidRPr="00BA1D95" w:rsidRDefault="00A47F9A" w:rsidP="004B11EB">
      <w:pPr>
        <w:pStyle w:val="Texto1"/>
        <w:spacing w:after="200" w:line="276" w:lineRule="auto"/>
        <w:ind w:left="0"/>
        <w:rPr>
          <w:rFonts w:ascii="ITC Avant Garde" w:hAnsi="ITC Avant Garde" w:cs="Arial"/>
          <w:sz w:val="22"/>
          <w:szCs w:val="22"/>
          <w:lang w:val="es-MX"/>
        </w:rPr>
      </w:pPr>
      <w:r w:rsidRPr="00BA1D95">
        <w:rPr>
          <w:rFonts w:ascii="ITC Avant Garde" w:hAnsi="ITC Avant Garde" w:cs="Arial"/>
          <w:sz w:val="22"/>
          <w:szCs w:val="22"/>
          <w:lang w:val="es-MX"/>
        </w:rPr>
        <w:t>Las definiciones y abreviaturas comprendidas en la presente Oferta podrán ser utilizadas indistintamente en singular o plural, en masculin</w:t>
      </w:r>
      <w:r w:rsidR="00501CA8" w:rsidRPr="00BA1D95">
        <w:rPr>
          <w:rFonts w:ascii="ITC Avant Garde" w:hAnsi="ITC Avant Garde" w:cs="Arial"/>
          <w:sz w:val="22"/>
          <w:szCs w:val="22"/>
          <w:lang w:val="es-MX"/>
        </w:rPr>
        <w:t>o o femenino, según corresponda.</w:t>
      </w:r>
    </w:p>
    <w:p w:rsidR="00A47F9A" w:rsidRPr="00BA1D95" w:rsidRDefault="00A47F9A" w:rsidP="004B11EB">
      <w:pPr>
        <w:pStyle w:val="Texto1"/>
        <w:spacing w:after="200" w:line="276" w:lineRule="auto"/>
        <w:ind w:left="0"/>
        <w:rPr>
          <w:rFonts w:ascii="ITC Avant Garde" w:hAnsi="ITC Avant Garde" w:cs="Arial"/>
          <w:sz w:val="22"/>
          <w:szCs w:val="22"/>
          <w:lang w:val="es-MX"/>
        </w:rPr>
        <w:sectPr w:rsidR="00A47F9A" w:rsidRPr="00BA1D95" w:rsidSect="009F7BCF">
          <w:pgSz w:w="12242" w:h="15842" w:code="1"/>
          <w:pgMar w:top="2155" w:right="1701" w:bottom="1134" w:left="1701" w:header="567" w:footer="567" w:gutter="0"/>
          <w:cols w:space="720"/>
          <w:docGrid w:linePitch="326"/>
        </w:sectPr>
      </w:pPr>
    </w:p>
    <w:p w:rsidR="00A47F9A" w:rsidRPr="00BA1D95" w:rsidRDefault="00A47F9A" w:rsidP="004B11EB">
      <w:pPr>
        <w:spacing w:line="360" w:lineRule="auto"/>
        <w:contextualSpacing/>
        <w:jc w:val="both"/>
        <w:rPr>
          <w:rFonts w:ascii="ITC Avant Garde" w:hAnsi="ITC Avant Garde" w:cs="Arial"/>
        </w:rPr>
        <w:sectPr w:rsidR="00A47F9A" w:rsidRPr="00BA1D95" w:rsidSect="002663C6">
          <w:type w:val="continuous"/>
          <w:pgSz w:w="12242" w:h="15842" w:code="1"/>
          <w:pgMar w:top="1417" w:right="1701" w:bottom="1417" w:left="1701" w:header="567" w:footer="567" w:gutter="0"/>
          <w:cols w:num="2" w:space="720"/>
          <w:docGrid w:linePitch="326"/>
        </w:sectPr>
      </w:pPr>
    </w:p>
    <w:p w:rsidR="00A47F9A" w:rsidRPr="00BA1D95" w:rsidRDefault="00A47F9A" w:rsidP="00231DB0">
      <w:pPr>
        <w:pStyle w:val="1TitPrin"/>
      </w:pPr>
      <w:bookmarkStart w:id="63" w:name="_Toc436840862"/>
      <w:bookmarkStart w:id="64" w:name="_Toc436846299"/>
      <w:bookmarkStart w:id="65" w:name="_Toc436848249"/>
      <w:bookmarkStart w:id="66" w:name="_Toc436856497"/>
      <w:bookmarkStart w:id="67" w:name="_Toc436862643"/>
      <w:bookmarkStart w:id="68" w:name="_Toc436866293"/>
      <w:bookmarkStart w:id="69" w:name="_Toc436870872"/>
      <w:bookmarkStart w:id="70" w:name="_Toc436875864"/>
      <w:bookmarkStart w:id="71" w:name="_Toc467248674"/>
      <w:bookmarkStart w:id="72" w:name="_Toc525904538"/>
      <w:bookmarkStart w:id="73" w:name="_Toc525913934"/>
      <w:bookmarkStart w:id="74" w:name="_Toc525919173"/>
      <w:bookmarkStart w:id="75" w:name="_Toc525919297"/>
      <w:bookmarkStart w:id="76" w:name="_Toc2957107"/>
      <w:bookmarkStart w:id="77" w:name="_Toc26273047"/>
      <w:bookmarkStart w:id="78" w:name="_Toc26284445"/>
      <w:bookmarkStart w:id="79" w:name="_Toc54106545"/>
      <w:bookmarkStart w:id="80" w:name="_Toc375583284"/>
      <w:r w:rsidRPr="00BA1D95">
        <w:lastRenderedPageBreak/>
        <w:t>Introducción y Generales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rsidR="00A47F9A" w:rsidRPr="00BA1D95" w:rsidRDefault="00A47F9A" w:rsidP="004B11EB">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lang w:val="es-MX"/>
        </w:rPr>
        <w:t xml:space="preserve">La OREDA tiene como objetivo establecer los términos y condiciones para los </w:t>
      </w:r>
      <w:r w:rsidR="00376052" w:rsidRPr="00BA1D95">
        <w:rPr>
          <w:rFonts w:ascii="ITC Avant Garde" w:hAnsi="ITC Avant Garde" w:cs="Arial"/>
          <w:sz w:val="22"/>
          <w:szCs w:val="22"/>
          <w:lang w:val="es-MX"/>
        </w:rPr>
        <w:t>S</w:t>
      </w:r>
      <w:r w:rsidRPr="00BA1D95">
        <w:rPr>
          <w:rFonts w:ascii="ITC Avant Garde" w:hAnsi="ITC Avant Garde" w:cs="Arial"/>
          <w:sz w:val="22"/>
          <w:szCs w:val="22"/>
          <w:lang w:val="es-MX"/>
        </w:rPr>
        <w:t>ervicios de Desagregación</w:t>
      </w:r>
      <w:r w:rsidRPr="00BA1D95">
        <w:rPr>
          <w:rFonts w:ascii="ITC Avant Garde" w:hAnsi="ITC Avant Garde" w:cs="Arial"/>
          <w:sz w:val="22"/>
          <w:szCs w:val="22"/>
        </w:rPr>
        <w:t xml:space="preserve">, de tal forma que los Concesionarios Solicitantes con Título de Concesión </w:t>
      </w:r>
      <w:r w:rsidRPr="00BA1D95">
        <w:rPr>
          <w:rFonts w:ascii="ITC Avant Garde" w:hAnsi="ITC Avant Garde" w:cs="Arial"/>
          <w:sz w:val="22"/>
          <w:szCs w:val="22"/>
          <w:lang w:val="es-MX"/>
        </w:rPr>
        <w:t xml:space="preserve">(o Concesión Única), </w:t>
      </w:r>
      <w:r w:rsidRPr="00BA1D95">
        <w:rPr>
          <w:rFonts w:ascii="ITC Avant Garde" w:hAnsi="ITC Avant Garde" w:cs="Arial"/>
          <w:sz w:val="22"/>
          <w:szCs w:val="22"/>
        </w:rPr>
        <w:t xml:space="preserve">para operar redes públicas de telecomunicaciones, o bien los Autorizados Solicitantes, puedan proveer servicios de telecomunicaciones a sus usuarios finales mediante los servicios contenidos en esta OREDA. </w:t>
      </w:r>
    </w:p>
    <w:p w:rsidR="00A47F9A" w:rsidRPr="00BA1D95" w:rsidRDefault="00A47F9A" w:rsidP="004B11EB">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 xml:space="preserve">Los </w:t>
      </w:r>
      <w:r w:rsidRPr="00BA1D95">
        <w:rPr>
          <w:rFonts w:ascii="ITC Avant Garde" w:hAnsi="ITC Avant Garde" w:cs="Arial"/>
          <w:b/>
          <w:sz w:val="22"/>
          <w:szCs w:val="22"/>
        </w:rPr>
        <w:t xml:space="preserve">Servicios de Desagregación del Bucle Local </w:t>
      </w:r>
      <w:r w:rsidRPr="00BA1D95">
        <w:rPr>
          <w:rFonts w:ascii="ITC Avant Garde" w:hAnsi="ITC Avant Garde" w:cs="Arial"/>
          <w:sz w:val="22"/>
          <w:szCs w:val="22"/>
        </w:rPr>
        <w:t>contenidos en la OREDA son:</w:t>
      </w:r>
    </w:p>
    <w:p w:rsidR="00A47F9A" w:rsidRPr="00BA1D95" w:rsidRDefault="00A47F9A" w:rsidP="008F5D32">
      <w:pPr>
        <w:pStyle w:val="Prrafodelista"/>
        <w:numPr>
          <w:ilvl w:val="0"/>
          <w:numId w:val="26"/>
        </w:numPr>
        <w:spacing w:after="200" w:line="276" w:lineRule="auto"/>
        <w:jc w:val="both"/>
        <w:rPr>
          <w:rFonts w:ascii="ITC Avant Garde" w:hAnsi="ITC Avant Garde" w:cs="Arial"/>
          <w:sz w:val="22"/>
          <w:szCs w:val="22"/>
        </w:rPr>
      </w:pPr>
      <w:r w:rsidRPr="00BA1D95">
        <w:rPr>
          <w:rFonts w:ascii="ITC Avant Garde" w:hAnsi="ITC Avant Garde" w:cs="Arial"/>
          <w:sz w:val="22"/>
          <w:szCs w:val="22"/>
        </w:rPr>
        <w:t>Servicio de Reventa (</w:t>
      </w:r>
      <w:r w:rsidR="002137E1" w:rsidRPr="00BA1D95">
        <w:rPr>
          <w:rFonts w:ascii="ITC Avant Garde" w:hAnsi="ITC Avant Garde" w:cs="Arial"/>
          <w:sz w:val="22"/>
          <w:szCs w:val="22"/>
        </w:rPr>
        <w:t>SR</w:t>
      </w:r>
      <w:r w:rsidRPr="00BA1D95">
        <w:rPr>
          <w:rFonts w:ascii="ITC Avant Garde" w:hAnsi="ITC Avant Garde" w:cs="Arial"/>
          <w:sz w:val="22"/>
          <w:szCs w:val="22"/>
        </w:rPr>
        <w:t>):</w:t>
      </w:r>
    </w:p>
    <w:p w:rsidR="00A47F9A" w:rsidRPr="00BA1D95" w:rsidRDefault="00A47F9A" w:rsidP="008F5D32">
      <w:pPr>
        <w:pStyle w:val="Prrafodelista"/>
        <w:numPr>
          <w:ilvl w:val="1"/>
          <w:numId w:val="26"/>
        </w:numPr>
        <w:spacing w:after="200" w:line="276" w:lineRule="auto"/>
        <w:jc w:val="both"/>
        <w:rPr>
          <w:rFonts w:ascii="ITC Avant Garde" w:hAnsi="ITC Avant Garde" w:cs="Arial"/>
          <w:sz w:val="22"/>
          <w:szCs w:val="22"/>
        </w:rPr>
      </w:pPr>
      <w:r w:rsidRPr="00BA1D95">
        <w:rPr>
          <w:rFonts w:ascii="ITC Avant Garde" w:hAnsi="ITC Avant Garde" w:cs="Arial"/>
          <w:sz w:val="22"/>
          <w:szCs w:val="22"/>
        </w:rPr>
        <w:t>Reventa de Línea Telefónica (SRL);</w:t>
      </w:r>
    </w:p>
    <w:p w:rsidR="00A47F9A" w:rsidRPr="00BA1D95" w:rsidRDefault="00A47F9A" w:rsidP="008F5D32">
      <w:pPr>
        <w:pStyle w:val="Prrafodelista"/>
        <w:numPr>
          <w:ilvl w:val="1"/>
          <w:numId w:val="26"/>
        </w:numPr>
        <w:spacing w:after="200" w:line="276" w:lineRule="auto"/>
        <w:jc w:val="both"/>
        <w:rPr>
          <w:rFonts w:ascii="ITC Avant Garde" w:hAnsi="ITC Avant Garde" w:cs="Arial"/>
          <w:sz w:val="22"/>
          <w:szCs w:val="22"/>
        </w:rPr>
      </w:pPr>
      <w:r w:rsidRPr="00BA1D95">
        <w:rPr>
          <w:rFonts w:ascii="ITC Avant Garde" w:hAnsi="ITC Avant Garde" w:cs="Arial"/>
          <w:sz w:val="22"/>
          <w:szCs w:val="22"/>
        </w:rPr>
        <w:t>Reventa de Internet (SRI);</w:t>
      </w:r>
    </w:p>
    <w:p w:rsidR="00A47F9A" w:rsidRPr="00BA1D95" w:rsidRDefault="00A47F9A" w:rsidP="008F5D32">
      <w:pPr>
        <w:pStyle w:val="Prrafodelista"/>
        <w:numPr>
          <w:ilvl w:val="1"/>
          <w:numId w:val="26"/>
        </w:numPr>
        <w:spacing w:after="200" w:line="276" w:lineRule="auto"/>
        <w:jc w:val="both"/>
        <w:rPr>
          <w:rFonts w:ascii="ITC Avant Garde" w:hAnsi="ITC Avant Garde" w:cs="Arial"/>
          <w:sz w:val="22"/>
          <w:szCs w:val="22"/>
        </w:rPr>
      </w:pPr>
      <w:r w:rsidRPr="00BA1D95">
        <w:rPr>
          <w:rFonts w:ascii="ITC Avant Garde" w:hAnsi="ITC Avant Garde" w:cs="Arial"/>
          <w:sz w:val="22"/>
          <w:szCs w:val="22"/>
        </w:rPr>
        <w:t>Reventa de Paquetes (SRP);</w:t>
      </w:r>
    </w:p>
    <w:p w:rsidR="00A47F9A" w:rsidRPr="00BA1D95" w:rsidRDefault="00A47F9A" w:rsidP="008F5D32">
      <w:pPr>
        <w:pStyle w:val="Prrafodelista"/>
        <w:numPr>
          <w:ilvl w:val="0"/>
          <w:numId w:val="26"/>
        </w:numPr>
        <w:spacing w:after="200" w:line="276" w:lineRule="auto"/>
        <w:jc w:val="both"/>
        <w:rPr>
          <w:rFonts w:ascii="ITC Avant Garde" w:hAnsi="ITC Avant Garde" w:cs="Arial"/>
          <w:sz w:val="22"/>
          <w:szCs w:val="22"/>
        </w:rPr>
      </w:pPr>
      <w:r w:rsidRPr="00BA1D95">
        <w:rPr>
          <w:rFonts w:ascii="ITC Avant Garde" w:hAnsi="ITC Avant Garde" w:cs="Arial"/>
          <w:sz w:val="22"/>
          <w:szCs w:val="22"/>
        </w:rPr>
        <w:t>Servicio de Reventa Mayorista de Línea Telefónica (SRMLT);</w:t>
      </w:r>
    </w:p>
    <w:p w:rsidR="00A47F9A" w:rsidRPr="00B059AC" w:rsidRDefault="009D0E08" w:rsidP="004B11EB">
      <w:pPr>
        <w:spacing w:after="200" w:line="276" w:lineRule="auto"/>
        <w:jc w:val="both"/>
        <w:rPr>
          <w:rFonts w:ascii="ITC Avant Garde" w:hAnsi="ITC Avant Garde" w:cs="Arial"/>
        </w:rPr>
      </w:pPr>
      <w:r w:rsidRPr="00B059AC">
        <w:rPr>
          <w:rFonts w:ascii="ITC Avant Garde" w:hAnsi="ITC Avant Garde" w:cs="Arial"/>
        </w:rPr>
        <w:t xml:space="preserve">Adicionalmente al primer CIC que forma parte del servicio de acometida, el CS puede contratar el servicio opcional de instalación de cableado interior dentro de las premisas de su usuario (tal como se encuentra establecido en el Título de Concesión del </w:t>
      </w:r>
      <w:r w:rsidR="00F311C0" w:rsidRPr="00B059AC">
        <w:rPr>
          <w:rFonts w:ascii="ITC Avant Garde" w:hAnsi="ITC Avant Garde" w:cs="Arial"/>
        </w:rPr>
        <w:t xml:space="preserve">AEP, </w:t>
      </w:r>
      <w:r w:rsidRPr="00B059AC">
        <w:rPr>
          <w:rFonts w:ascii="ITC Avant Garde" w:hAnsi="ITC Avant Garde" w:cs="Arial"/>
        </w:rPr>
        <w:t>condición 1-3 que se trata de un servicio “en el inmueble del suscriptor”), ya sea para extensiones de CIC o de forma complementaria a cualquier servicio que se hubiera contratado por un CS respecto a esta OREDA. Las condiciones particulares en que se prestará dicho servicio se establecen en la sección</w:t>
      </w:r>
      <w:r w:rsidR="00F64852">
        <w:rPr>
          <w:rFonts w:ascii="ITC Avant Garde" w:hAnsi="ITC Avant Garde" w:cs="Arial"/>
        </w:rPr>
        <w:t xml:space="preserve"> </w:t>
      </w:r>
      <w:r w:rsidR="00B42929">
        <w:rPr>
          <w:rFonts w:ascii="ITC Avant Garde" w:hAnsi="ITC Avant Garde" w:cs="Arial"/>
        </w:rPr>
        <w:t>”Servicio Opcional de Cableado</w:t>
      </w:r>
      <w:r w:rsidR="0061443F">
        <w:rPr>
          <w:rFonts w:ascii="ITC Avant Garde" w:hAnsi="ITC Avant Garde" w:cs="Arial"/>
        </w:rPr>
        <w:t xml:space="preserve"> Interior de Usuario Final”</w:t>
      </w:r>
      <w:r w:rsidRPr="00B059AC">
        <w:rPr>
          <w:rFonts w:ascii="ITC Avant Garde" w:hAnsi="ITC Avant Garde" w:cs="Arial"/>
        </w:rPr>
        <w:t xml:space="preserve"> de este documento.</w:t>
      </w:r>
    </w:p>
    <w:p w:rsidR="00A47F9A" w:rsidRPr="00BA1D95" w:rsidRDefault="00E83F21" w:rsidP="004B11EB">
      <w:pPr>
        <w:spacing w:after="200" w:line="276" w:lineRule="auto"/>
        <w:jc w:val="both"/>
        <w:rPr>
          <w:rFonts w:ascii="ITC Avant Garde" w:hAnsi="ITC Avant Garde" w:cs="Arial"/>
        </w:rPr>
      </w:pPr>
      <w:r>
        <w:rPr>
          <w:rFonts w:ascii="ITC Avant Garde" w:hAnsi="ITC Avant Garde" w:cs="Arial"/>
        </w:rPr>
        <w:t>Telmex / Telnor</w:t>
      </w:r>
      <w:r w:rsidR="00A47F9A" w:rsidRPr="00BA1D95">
        <w:rPr>
          <w:rFonts w:ascii="ITC Avant Garde" w:hAnsi="ITC Avant Garde" w:cs="Arial"/>
        </w:rPr>
        <w:t xml:space="preserve"> proveer</w:t>
      </w:r>
      <w:r w:rsidR="00C864E6">
        <w:rPr>
          <w:rFonts w:ascii="ITC Avant Garde" w:hAnsi="ITC Avant Garde" w:cs="Arial"/>
        </w:rPr>
        <w:t>á</w:t>
      </w:r>
      <w:r w:rsidR="00A47F9A" w:rsidRPr="00BA1D95">
        <w:rPr>
          <w:rFonts w:ascii="ITC Avant Garde" w:hAnsi="ITC Avant Garde" w:cs="Arial"/>
        </w:rPr>
        <w:t xml:space="preserve"> los Módem y/</w:t>
      </w:r>
      <w:r w:rsidR="00E319F1">
        <w:rPr>
          <w:rFonts w:ascii="ITC Avant Garde" w:hAnsi="ITC Avant Garde" w:cs="Arial"/>
        </w:rPr>
        <w:t>u</w:t>
      </w:r>
      <w:r w:rsidR="00E319F1" w:rsidRPr="00BA1D95">
        <w:rPr>
          <w:rFonts w:ascii="ITC Avant Garde" w:hAnsi="ITC Avant Garde" w:cs="Arial"/>
        </w:rPr>
        <w:t xml:space="preserve"> </w:t>
      </w:r>
      <w:r w:rsidR="00A47F9A" w:rsidRPr="00BA1D95">
        <w:rPr>
          <w:rFonts w:ascii="ITC Avant Garde" w:hAnsi="ITC Avant Garde" w:cs="Arial"/>
        </w:rPr>
        <w:t xml:space="preserve">ONT en el domicilio del usuario, </w:t>
      </w:r>
      <w:r w:rsidR="00BC2FF0" w:rsidRPr="00BA0046">
        <w:rPr>
          <w:rFonts w:ascii="ITC Avant Garde" w:hAnsi="ITC Avant Garde"/>
        </w:rPr>
        <w:t>en las mismas condiciones en que el AEP lo hace para sus usuarios</w:t>
      </w:r>
      <w:r w:rsidR="00BC2FF0" w:rsidRPr="00BA1D95">
        <w:rPr>
          <w:rFonts w:ascii="ITC Avant Garde" w:hAnsi="ITC Avant Garde" w:cs="Arial"/>
        </w:rPr>
        <w:t xml:space="preserve"> </w:t>
      </w:r>
      <w:r w:rsidR="00A47F9A" w:rsidRPr="00BA1D95">
        <w:rPr>
          <w:rFonts w:ascii="ITC Avant Garde" w:hAnsi="ITC Avant Garde" w:cs="Arial"/>
        </w:rPr>
        <w:t>de conformidad con la siguiente tabla: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39"/>
        <w:gridCol w:w="2693"/>
        <w:gridCol w:w="2566"/>
      </w:tblGrid>
      <w:tr w:rsidR="00B578FE" w:rsidRPr="00BA1D95" w:rsidTr="00A60F62">
        <w:trPr>
          <w:jc w:val="center"/>
        </w:trPr>
        <w:tc>
          <w:tcPr>
            <w:tcW w:w="3539" w:type="dxa"/>
            <w:shd w:val="clear" w:color="auto" w:fill="B4C6E7" w:themeFill="accent1" w:themeFillTint="66"/>
          </w:tcPr>
          <w:p w:rsidR="00A47F9A" w:rsidRPr="00BA1D95" w:rsidRDefault="00A47F9A" w:rsidP="0023172A">
            <w:pPr>
              <w:spacing w:before="60" w:after="60" w:line="276" w:lineRule="auto"/>
              <w:jc w:val="center"/>
              <w:rPr>
                <w:rFonts w:ascii="ITC Avant Garde" w:eastAsia="Times New Roman" w:hAnsi="ITC Avant Garde" w:cs="Arial"/>
                <w:b/>
                <w:sz w:val="20"/>
                <w:szCs w:val="20"/>
                <w:lang w:eastAsia="es-MX"/>
              </w:rPr>
            </w:pPr>
            <w:r w:rsidRPr="00BA1D95">
              <w:rPr>
                <w:rFonts w:ascii="ITC Avant Garde" w:eastAsia="Times New Roman" w:hAnsi="ITC Avant Garde" w:cs="Arial"/>
                <w:b/>
                <w:sz w:val="20"/>
                <w:szCs w:val="20"/>
                <w:lang w:eastAsia="es-MX"/>
              </w:rPr>
              <w:t>Servicio</w:t>
            </w:r>
          </w:p>
        </w:tc>
        <w:tc>
          <w:tcPr>
            <w:tcW w:w="2693" w:type="dxa"/>
            <w:shd w:val="clear" w:color="auto" w:fill="B4C6E7" w:themeFill="accent1" w:themeFillTint="66"/>
          </w:tcPr>
          <w:p w:rsidR="00A47F9A" w:rsidRPr="00BA1D95" w:rsidRDefault="00A47F9A" w:rsidP="0023172A">
            <w:pPr>
              <w:spacing w:before="60" w:after="60" w:line="276" w:lineRule="auto"/>
              <w:jc w:val="center"/>
              <w:rPr>
                <w:rFonts w:ascii="ITC Avant Garde" w:eastAsia="Times New Roman" w:hAnsi="ITC Avant Garde" w:cs="Arial"/>
                <w:b/>
                <w:sz w:val="20"/>
                <w:szCs w:val="20"/>
                <w:lang w:eastAsia="es-MX"/>
              </w:rPr>
            </w:pPr>
            <w:r w:rsidRPr="00BA1D95">
              <w:rPr>
                <w:rFonts w:ascii="ITC Avant Garde" w:eastAsia="Times New Roman" w:hAnsi="ITC Avant Garde" w:cs="Arial"/>
                <w:b/>
                <w:sz w:val="20"/>
                <w:szCs w:val="20"/>
                <w:lang w:eastAsia="es-MX"/>
              </w:rPr>
              <w:t>Módem</w:t>
            </w:r>
          </w:p>
        </w:tc>
        <w:tc>
          <w:tcPr>
            <w:tcW w:w="2566" w:type="dxa"/>
            <w:shd w:val="clear" w:color="auto" w:fill="B4C6E7" w:themeFill="accent1" w:themeFillTint="66"/>
          </w:tcPr>
          <w:p w:rsidR="00A47F9A" w:rsidRPr="00BA1D95" w:rsidRDefault="00A47F9A" w:rsidP="0023172A">
            <w:pPr>
              <w:spacing w:before="60" w:after="60" w:line="276" w:lineRule="auto"/>
              <w:jc w:val="center"/>
              <w:rPr>
                <w:rFonts w:ascii="ITC Avant Garde" w:eastAsia="Times New Roman" w:hAnsi="ITC Avant Garde" w:cs="Arial"/>
                <w:b/>
                <w:sz w:val="20"/>
                <w:szCs w:val="20"/>
                <w:lang w:eastAsia="es-MX"/>
              </w:rPr>
            </w:pPr>
            <w:r w:rsidRPr="00BA1D95">
              <w:rPr>
                <w:rFonts w:ascii="ITC Avant Garde" w:eastAsia="Times New Roman" w:hAnsi="ITC Avant Garde" w:cs="Arial"/>
                <w:b/>
                <w:sz w:val="20"/>
                <w:szCs w:val="20"/>
                <w:lang w:eastAsia="es-MX"/>
              </w:rPr>
              <w:t>ONT</w:t>
            </w:r>
          </w:p>
        </w:tc>
      </w:tr>
      <w:tr w:rsidR="00A47F9A" w:rsidRPr="00BA1D95" w:rsidTr="00AE7B37">
        <w:trPr>
          <w:jc w:val="center"/>
        </w:trPr>
        <w:tc>
          <w:tcPr>
            <w:tcW w:w="3539" w:type="dxa"/>
            <w:shd w:val="clear" w:color="auto" w:fill="auto"/>
          </w:tcPr>
          <w:p w:rsidR="00A47F9A" w:rsidRPr="00BA1D95" w:rsidRDefault="00A47F9A" w:rsidP="0023172A">
            <w:pPr>
              <w:spacing w:before="60" w:after="6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Servicios de Reventa</w:t>
            </w:r>
          </w:p>
        </w:tc>
        <w:tc>
          <w:tcPr>
            <w:tcW w:w="2693" w:type="dxa"/>
            <w:shd w:val="clear" w:color="auto" w:fill="auto"/>
          </w:tcPr>
          <w:p w:rsidR="00A47F9A" w:rsidRPr="00BA1D95" w:rsidRDefault="00A47F9A" w:rsidP="00E359FD">
            <w:pPr>
              <w:spacing w:before="60" w:after="60" w:line="276" w:lineRule="auto"/>
              <w:jc w:val="center"/>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Proveer</w:t>
            </w:r>
          </w:p>
        </w:tc>
        <w:tc>
          <w:tcPr>
            <w:tcW w:w="2566" w:type="dxa"/>
            <w:shd w:val="clear" w:color="auto" w:fill="auto"/>
          </w:tcPr>
          <w:p w:rsidR="00A47F9A" w:rsidRPr="00BA1D95" w:rsidRDefault="00A47F9A" w:rsidP="00E359FD">
            <w:pPr>
              <w:spacing w:before="60" w:after="60" w:line="276" w:lineRule="auto"/>
              <w:jc w:val="center"/>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Proveer</w:t>
            </w:r>
          </w:p>
        </w:tc>
      </w:tr>
    </w:tbl>
    <w:p w:rsidR="00A47F9A" w:rsidRPr="00BA1D95" w:rsidRDefault="00A47F9A" w:rsidP="004B11EB">
      <w:pPr>
        <w:spacing w:before="120" w:after="200" w:line="276" w:lineRule="auto"/>
        <w:jc w:val="center"/>
        <w:rPr>
          <w:rFonts w:ascii="ITC Avant Garde" w:hAnsi="ITC Avant Garde" w:cs="Arial"/>
          <w:sz w:val="18"/>
          <w:szCs w:val="18"/>
        </w:rPr>
      </w:pPr>
      <w:r w:rsidRPr="00BA1D95">
        <w:rPr>
          <w:rFonts w:ascii="ITC Avant Garde" w:hAnsi="ITC Avant Garde" w:cs="Arial"/>
          <w:sz w:val="18"/>
          <w:szCs w:val="18"/>
        </w:rPr>
        <w:t>Casos de entrega de Módem</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Las condiciones particulares en que se presta dicho servicio se establecen en la sección relativa a Módem/ONT para cada Servicio.</w:t>
      </w:r>
    </w:p>
    <w:p w:rsidR="00A47F9A" w:rsidRDefault="00E83F21" w:rsidP="004B11EB">
      <w:pPr>
        <w:spacing w:after="200" w:line="276" w:lineRule="auto"/>
        <w:jc w:val="both"/>
        <w:rPr>
          <w:rFonts w:ascii="ITC Avant Garde" w:hAnsi="ITC Avant Garde" w:cs="Arial"/>
        </w:rPr>
      </w:pPr>
      <w:r>
        <w:rPr>
          <w:rFonts w:ascii="ITC Avant Garde" w:hAnsi="ITC Avant Garde" w:cs="Arial"/>
        </w:rPr>
        <w:t>Telmex / Telnor</w:t>
      </w:r>
      <w:r w:rsidR="00AE0007" w:rsidRPr="00BA1D95">
        <w:rPr>
          <w:rFonts w:ascii="ITC Avant Garde" w:hAnsi="ITC Avant Garde" w:cs="Arial"/>
        </w:rPr>
        <w:t xml:space="preserve"> </w:t>
      </w:r>
      <w:r w:rsidR="00A47F9A" w:rsidRPr="00BA1D95">
        <w:rPr>
          <w:rFonts w:ascii="ITC Avant Garde" w:hAnsi="ITC Avant Garde" w:cs="Arial"/>
        </w:rPr>
        <w:t xml:space="preserve">atenderá todas las solicitudes que le sean presentadas por los CS relativas a la presente OREDA en los términos y condiciones estipulados, salvo cuando no sea factible su atención conforme </w:t>
      </w:r>
      <w:r w:rsidR="006061DF" w:rsidRPr="00BA1D95">
        <w:rPr>
          <w:rFonts w:ascii="ITC Avant Garde" w:hAnsi="ITC Avant Garde" w:cs="Arial"/>
        </w:rPr>
        <w:t>a lo</w:t>
      </w:r>
      <w:r w:rsidR="00A47F9A" w:rsidRPr="00BA1D95">
        <w:rPr>
          <w:rFonts w:ascii="ITC Avant Garde" w:hAnsi="ITC Avant Garde" w:cs="Arial"/>
        </w:rPr>
        <w:t xml:space="preserve"> señala</w:t>
      </w:r>
      <w:r w:rsidR="006061DF" w:rsidRPr="00BA1D95">
        <w:rPr>
          <w:rFonts w:ascii="ITC Avant Garde" w:hAnsi="ITC Avant Garde" w:cs="Arial"/>
        </w:rPr>
        <w:t>do</w:t>
      </w:r>
      <w:r w:rsidR="00A47F9A" w:rsidRPr="00BA1D95">
        <w:rPr>
          <w:rFonts w:ascii="ITC Avant Garde" w:hAnsi="ITC Avant Garde" w:cs="Arial"/>
        </w:rPr>
        <w:t xml:space="preserve"> en las secciones 1.4</w:t>
      </w:r>
      <w:r w:rsidR="00074D77" w:rsidRPr="00BA1D95">
        <w:rPr>
          <w:rFonts w:ascii="ITC Avant Garde" w:hAnsi="ITC Avant Garde" w:cs="Arial"/>
        </w:rPr>
        <w:t>.1</w:t>
      </w:r>
      <w:r w:rsidR="00A47F9A" w:rsidRPr="00BA1D95">
        <w:rPr>
          <w:rFonts w:ascii="ITC Avant Garde" w:hAnsi="ITC Avant Garde" w:cs="Arial"/>
        </w:rPr>
        <w:t xml:space="preserve"> y 1.</w:t>
      </w:r>
      <w:r w:rsidR="00074D77" w:rsidRPr="00BA1D95">
        <w:rPr>
          <w:rFonts w:ascii="ITC Avant Garde" w:hAnsi="ITC Avant Garde" w:cs="Arial"/>
        </w:rPr>
        <w:t>4.2</w:t>
      </w:r>
      <w:r w:rsidR="00A47F9A" w:rsidRPr="00BA1D95">
        <w:rPr>
          <w:rFonts w:ascii="ITC Avant Garde" w:hAnsi="ITC Avant Garde" w:cs="Arial"/>
        </w:rPr>
        <w:t xml:space="preserve"> de esta OREDA.</w:t>
      </w:r>
    </w:p>
    <w:p w:rsidR="00826D8B" w:rsidRPr="00BA1D95" w:rsidRDefault="00826D8B" w:rsidP="004B11EB">
      <w:pPr>
        <w:spacing w:after="200" w:line="276" w:lineRule="auto"/>
        <w:jc w:val="both"/>
        <w:rPr>
          <w:rFonts w:ascii="ITC Avant Garde" w:hAnsi="ITC Avant Garde" w:cs="Arial"/>
        </w:rPr>
      </w:pPr>
      <w:r w:rsidRPr="00826D8B">
        <w:rPr>
          <w:rFonts w:ascii="ITC Avant Garde" w:hAnsi="ITC Avant Garde" w:cs="Arial"/>
        </w:rPr>
        <w:t xml:space="preserve">En la provisión de los servicios de desagregación </w:t>
      </w:r>
      <w:r>
        <w:rPr>
          <w:rFonts w:ascii="ITC Avant Garde" w:hAnsi="ITC Avant Garde" w:cs="Arial"/>
        </w:rPr>
        <w:t xml:space="preserve">de reventa </w:t>
      </w:r>
      <w:r w:rsidRPr="00826D8B">
        <w:rPr>
          <w:rFonts w:ascii="ITC Avant Garde" w:hAnsi="ITC Avant Garde" w:cs="Arial"/>
        </w:rPr>
        <w:t>se deberá aplicar el principio de primeras e</w:t>
      </w:r>
      <w:r w:rsidR="00E319F1">
        <w:rPr>
          <w:rFonts w:ascii="ITC Avant Garde" w:hAnsi="ITC Avant Garde" w:cs="Arial"/>
        </w:rPr>
        <w:t>n</w:t>
      </w:r>
      <w:r w:rsidRPr="00826D8B">
        <w:rPr>
          <w:rFonts w:ascii="ITC Avant Garde" w:hAnsi="ITC Avant Garde" w:cs="Arial"/>
        </w:rPr>
        <w:t xml:space="preserve">tradas, primeras salidas (FIFO por sus siglas en inglés), desde la recepción de las </w:t>
      </w:r>
      <w:r w:rsidRPr="00826D8B">
        <w:rPr>
          <w:rFonts w:ascii="ITC Avant Garde" w:hAnsi="ITC Avant Garde" w:cs="Arial"/>
        </w:rPr>
        <w:lastRenderedPageBreak/>
        <w:t xml:space="preserve">solicitudes hasta la atención de las órdenes de trabajo de instalación, sin menoscabo de que por una provisión eficiente estas puedan terminar en orden distinto, situación que se considera viable en casos de excepción por casos prioritarios como </w:t>
      </w:r>
      <w:r w:rsidR="00FE7533">
        <w:rPr>
          <w:rFonts w:ascii="ITC Avant Garde" w:hAnsi="ITC Avant Garde" w:cs="Arial"/>
        </w:rPr>
        <w:t xml:space="preserve">Casos Fortuitos </w:t>
      </w:r>
      <w:r w:rsidR="00416E1F">
        <w:rPr>
          <w:rFonts w:ascii="ITC Avant Garde" w:hAnsi="ITC Avant Garde" w:cs="Arial"/>
        </w:rPr>
        <w:t>o</w:t>
      </w:r>
      <w:r w:rsidR="00FE7533">
        <w:rPr>
          <w:rFonts w:ascii="ITC Avant Garde" w:hAnsi="ITC Avant Garde" w:cs="Arial"/>
        </w:rPr>
        <w:t xml:space="preserve"> Fuerza Mayor</w:t>
      </w:r>
      <w:r w:rsidRPr="00826D8B">
        <w:rPr>
          <w:rFonts w:ascii="ITC Avant Garde" w:hAnsi="ITC Avant Garde" w:cs="Arial"/>
        </w:rPr>
        <w:t>, seguridad nacional u obligaciones gubernamentales. Las excepciones deberán garantizar en todo momento que no se contravenga el principio de no discriminación en la provisión de los servicios de desagregación.</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Al momento de la contratación de los servicios el CS deberá expresar el tipo de usuario que desea contratar. Si el domicilio del usuario final para el que se ha solicitado una línea residencial no es persona física, se habilitará la línea en la modalidad comercial.</w:t>
      </w:r>
    </w:p>
    <w:p w:rsidR="00A47F9A" w:rsidRPr="00BA1D95" w:rsidRDefault="00A47F9A" w:rsidP="00231DB0">
      <w:pPr>
        <w:pStyle w:val="1TitPrin"/>
        <w:numPr>
          <w:ilvl w:val="1"/>
          <w:numId w:val="182"/>
        </w:numPr>
        <w:outlineLvl w:val="1"/>
      </w:pPr>
      <w:bookmarkStart w:id="81" w:name="_Toc436840863"/>
      <w:bookmarkStart w:id="82" w:name="_Toc436846300"/>
      <w:bookmarkStart w:id="83" w:name="_Toc436848250"/>
      <w:bookmarkStart w:id="84" w:name="_Toc436856498"/>
      <w:bookmarkStart w:id="85" w:name="_Toc436862644"/>
      <w:bookmarkStart w:id="86" w:name="_Toc436866294"/>
      <w:bookmarkStart w:id="87" w:name="_Toc436870873"/>
      <w:bookmarkStart w:id="88" w:name="_Toc436875865"/>
      <w:bookmarkStart w:id="89" w:name="_Toc467248675"/>
      <w:bookmarkStart w:id="90" w:name="_Toc525904539"/>
      <w:bookmarkStart w:id="91" w:name="_Toc525913935"/>
      <w:bookmarkStart w:id="92" w:name="_Toc525919174"/>
      <w:bookmarkStart w:id="93" w:name="_Toc525919298"/>
      <w:bookmarkStart w:id="94" w:name="_Toc2957108"/>
      <w:bookmarkStart w:id="95" w:name="_Toc26273048"/>
      <w:bookmarkStart w:id="96" w:name="_Toc26284446"/>
      <w:bookmarkStart w:id="97" w:name="_Toc54106546"/>
      <w:r w:rsidRPr="00BA1D95">
        <w:t>Prerrequisitos</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Para contratar los servicios objeto de la OREDA el CS deberá: </w:t>
      </w:r>
    </w:p>
    <w:p w:rsidR="00A47F9A" w:rsidRPr="00BA1D95" w:rsidRDefault="00A47F9A" w:rsidP="00D37C98">
      <w:pPr>
        <w:pStyle w:val="Prrafodelista"/>
        <w:numPr>
          <w:ilvl w:val="0"/>
          <w:numId w:val="48"/>
        </w:numPr>
        <w:spacing w:after="200" w:line="276" w:lineRule="auto"/>
        <w:jc w:val="both"/>
        <w:rPr>
          <w:rFonts w:ascii="ITC Avant Garde" w:hAnsi="ITC Avant Garde" w:cs="Arial"/>
          <w:sz w:val="22"/>
          <w:szCs w:val="22"/>
          <w:lang w:val="es-MX"/>
        </w:rPr>
      </w:pPr>
      <w:r w:rsidRPr="00BA1D95">
        <w:rPr>
          <w:rFonts w:ascii="ITC Avant Garde" w:hAnsi="ITC Avant Garde" w:cs="Arial"/>
          <w:sz w:val="22"/>
          <w:szCs w:val="22"/>
          <w:lang w:val="es-MX"/>
        </w:rPr>
        <w:t xml:space="preserve">Ser titular de </w:t>
      </w:r>
      <w:r w:rsidR="00B071F4" w:rsidRPr="00BA1D95">
        <w:rPr>
          <w:rFonts w:ascii="ITC Avant Garde" w:hAnsi="ITC Avant Garde" w:cs="Arial"/>
          <w:sz w:val="22"/>
          <w:szCs w:val="22"/>
          <w:lang w:val="es-MX"/>
        </w:rPr>
        <w:t xml:space="preserve">una </w:t>
      </w:r>
      <w:r w:rsidRPr="00BA1D95">
        <w:rPr>
          <w:rFonts w:ascii="ITC Avant Garde" w:hAnsi="ITC Avant Garde" w:cs="Arial"/>
          <w:sz w:val="22"/>
          <w:szCs w:val="22"/>
          <w:lang w:val="es-MX"/>
        </w:rPr>
        <w:t>concesión para operar redes públicas de telecomunicaciones</w:t>
      </w:r>
      <w:r w:rsidRPr="00BA1D95" w:rsidDel="00EE0C9A">
        <w:rPr>
          <w:rFonts w:ascii="ITC Avant Garde" w:hAnsi="ITC Avant Garde" w:cs="Arial"/>
          <w:sz w:val="22"/>
          <w:szCs w:val="22"/>
          <w:lang w:val="es-MX"/>
        </w:rPr>
        <w:t xml:space="preserve"> </w:t>
      </w:r>
      <w:r w:rsidR="00B91E53" w:rsidRPr="00BA1D95">
        <w:rPr>
          <w:rFonts w:ascii="ITC Avant Garde" w:hAnsi="ITC Avant Garde" w:cs="Arial"/>
          <w:sz w:val="22"/>
          <w:szCs w:val="22"/>
          <w:lang w:val="es-MX"/>
        </w:rPr>
        <w:t>o tener Concesión única</w:t>
      </w:r>
      <w:r w:rsidRPr="00BA1D95">
        <w:rPr>
          <w:rFonts w:ascii="ITC Avant Garde" w:hAnsi="ITC Avant Garde" w:cs="Arial"/>
          <w:sz w:val="22"/>
          <w:szCs w:val="22"/>
          <w:lang w:val="es-MX"/>
        </w:rPr>
        <w:t xml:space="preserve"> </w:t>
      </w:r>
      <w:r w:rsidR="00B071F4" w:rsidRPr="00BA1D95">
        <w:rPr>
          <w:rFonts w:ascii="ITC Avant Garde" w:hAnsi="ITC Avant Garde" w:cs="Arial"/>
          <w:sz w:val="22"/>
          <w:szCs w:val="22"/>
          <w:lang w:val="es-MX"/>
        </w:rPr>
        <w:t xml:space="preserve">otorgada </w:t>
      </w:r>
      <w:r w:rsidRPr="00BA1D95">
        <w:rPr>
          <w:rFonts w:ascii="ITC Avant Garde" w:hAnsi="ITC Avant Garde" w:cs="Arial"/>
          <w:sz w:val="22"/>
          <w:szCs w:val="22"/>
          <w:lang w:val="es-MX"/>
        </w:rPr>
        <w:t xml:space="preserve">por conducto de la Secretaría de Comunicaciones y Transportes o del Instituto Federal de Telecomunicaciones, </w:t>
      </w:r>
      <w:r w:rsidR="00B071F4" w:rsidRPr="00BA1D95">
        <w:rPr>
          <w:rFonts w:ascii="ITC Avant Garde" w:hAnsi="ITC Avant Garde" w:cs="Arial"/>
          <w:sz w:val="22"/>
          <w:szCs w:val="22"/>
          <w:lang w:val="es-MX"/>
        </w:rPr>
        <w:t xml:space="preserve">la </w:t>
      </w:r>
      <w:r w:rsidRPr="00BA1D95">
        <w:rPr>
          <w:rFonts w:ascii="ITC Avant Garde" w:hAnsi="ITC Avant Garde" w:cs="Arial"/>
          <w:sz w:val="22"/>
          <w:szCs w:val="22"/>
          <w:lang w:val="es-MX"/>
        </w:rPr>
        <w:t>cual deberá estar vigente, o bien, estar debidamente facultado por el Instituto para prestar servicios de telecomunicaciones</w:t>
      </w:r>
      <w:r w:rsidR="00DA3F67" w:rsidRPr="00BA1D95">
        <w:rPr>
          <w:rFonts w:ascii="ITC Avant Garde" w:hAnsi="ITC Avant Garde" w:cs="Arial"/>
          <w:sz w:val="22"/>
          <w:szCs w:val="22"/>
          <w:lang w:val="es-MX"/>
        </w:rPr>
        <w:t xml:space="preserve"> mediante </w:t>
      </w:r>
      <w:r w:rsidR="00D22267" w:rsidRPr="00BA1D95">
        <w:rPr>
          <w:rFonts w:ascii="ITC Avant Garde" w:hAnsi="ITC Avant Garde" w:cs="Arial"/>
          <w:sz w:val="22"/>
          <w:szCs w:val="22"/>
          <w:lang w:val="es-MX"/>
        </w:rPr>
        <w:t>una A</w:t>
      </w:r>
      <w:r w:rsidR="00DA3F67" w:rsidRPr="00BA1D95">
        <w:rPr>
          <w:rFonts w:ascii="ITC Avant Garde" w:hAnsi="ITC Avant Garde" w:cs="Arial"/>
          <w:sz w:val="22"/>
          <w:szCs w:val="22"/>
          <w:lang w:val="es-MX"/>
        </w:rPr>
        <w:t>utorización para comercializar servicios de telecomunicaciones.</w:t>
      </w:r>
    </w:p>
    <w:p w:rsidR="00A47F9A" w:rsidRPr="00FF4EC6" w:rsidRDefault="00A47F9A" w:rsidP="00D37C98">
      <w:pPr>
        <w:pStyle w:val="Prrafodelista"/>
        <w:numPr>
          <w:ilvl w:val="0"/>
          <w:numId w:val="48"/>
        </w:numPr>
        <w:spacing w:after="200" w:line="276" w:lineRule="auto"/>
        <w:jc w:val="both"/>
        <w:rPr>
          <w:rFonts w:ascii="ITC Avant Garde" w:hAnsi="ITC Avant Garde" w:cs="Arial"/>
          <w:sz w:val="22"/>
          <w:szCs w:val="22"/>
          <w:lang w:val="es-MX"/>
        </w:rPr>
      </w:pPr>
      <w:r w:rsidRPr="00BA1D95">
        <w:rPr>
          <w:rFonts w:ascii="ITC Avant Garde" w:hAnsi="ITC Avant Garde" w:cs="Arial"/>
          <w:sz w:val="22"/>
          <w:szCs w:val="22"/>
          <w:lang w:val="es-MX"/>
        </w:rPr>
        <w:t xml:space="preserve">Firmar el </w:t>
      </w:r>
      <w:r w:rsidRPr="00BA1D95">
        <w:rPr>
          <w:rFonts w:ascii="ITC Avant Garde" w:hAnsi="ITC Avant Garde" w:cs="Arial"/>
          <w:sz w:val="22"/>
          <w:szCs w:val="22"/>
        </w:rPr>
        <w:t xml:space="preserve">Convenio. </w:t>
      </w:r>
      <w:r w:rsidR="00E83F21">
        <w:rPr>
          <w:rFonts w:ascii="ITC Avant Garde" w:hAnsi="ITC Avant Garde" w:cs="Arial"/>
          <w:sz w:val="22"/>
          <w:szCs w:val="22"/>
        </w:rPr>
        <w:t>Telmex / Telnor</w:t>
      </w:r>
      <w:r w:rsidR="00664AC4">
        <w:rPr>
          <w:rFonts w:ascii="ITC Avant Garde" w:hAnsi="ITC Avant Garde" w:cs="Arial"/>
          <w:sz w:val="22"/>
          <w:szCs w:val="22"/>
        </w:rPr>
        <w:t xml:space="preserve"> </w:t>
      </w:r>
      <w:r w:rsidRPr="00BA1D95">
        <w:rPr>
          <w:rFonts w:ascii="ITC Avant Garde" w:hAnsi="ITC Avant Garde" w:cs="Arial"/>
          <w:sz w:val="22"/>
          <w:szCs w:val="22"/>
        </w:rPr>
        <w:t>firmar</w:t>
      </w:r>
      <w:r w:rsidR="00DF7E83">
        <w:rPr>
          <w:rFonts w:ascii="ITC Avant Garde" w:hAnsi="ITC Avant Garde" w:cs="Arial"/>
          <w:sz w:val="22"/>
          <w:szCs w:val="22"/>
        </w:rPr>
        <w:t>á</w:t>
      </w:r>
      <w:r w:rsidRPr="00BA1D95">
        <w:rPr>
          <w:rFonts w:ascii="ITC Avant Garde" w:hAnsi="ITC Avant Garde" w:cs="Arial"/>
          <w:sz w:val="22"/>
          <w:szCs w:val="22"/>
        </w:rPr>
        <w:t xml:space="preserve"> el Convenio respectivo en un plazo no mayor a 15 días hábiles contados a partir de la solicitud que haya realizado el CS a través del correo electrónico </w:t>
      </w:r>
      <w:hyperlink r:id="rId15" w:history="1">
        <w:r w:rsidR="00175E5E" w:rsidRPr="00883068">
          <w:rPr>
            <w:rStyle w:val="Hipervnculo"/>
            <w:rFonts w:ascii="ITC Avant Garde" w:hAnsi="ITC Avant Garde" w:cs="Arial"/>
            <w:sz w:val="22"/>
            <w:szCs w:val="22"/>
          </w:rPr>
          <w:t>desagregacion@telmex.com</w:t>
        </w:r>
      </w:hyperlink>
      <w:r w:rsidR="004B3F1C" w:rsidRPr="00BA1D95">
        <w:rPr>
          <w:rFonts w:ascii="ITC Avant Garde" w:hAnsi="ITC Avant Garde" w:cs="Arial"/>
          <w:sz w:val="22"/>
          <w:szCs w:val="22"/>
        </w:rPr>
        <w:t>.</w:t>
      </w:r>
    </w:p>
    <w:p w:rsidR="00175E5E" w:rsidRPr="00657C84" w:rsidRDefault="001A503D" w:rsidP="00175E5E">
      <w:pPr>
        <w:pStyle w:val="Prrafodelista"/>
        <w:numPr>
          <w:ilvl w:val="0"/>
          <w:numId w:val="48"/>
        </w:numPr>
        <w:spacing w:after="200" w:line="276" w:lineRule="auto"/>
        <w:jc w:val="both"/>
        <w:rPr>
          <w:rFonts w:ascii="ITC Avant Garde" w:hAnsi="ITC Avant Garde" w:cs="Arial"/>
          <w:sz w:val="22"/>
          <w:szCs w:val="22"/>
          <w:lang w:val="es-MX"/>
        </w:rPr>
      </w:pPr>
      <w:r w:rsidRPr="001A503D">
        <w:rPr>
          <w:rFonts w:ascii="ITC Avant Garde" w:hAnsi="ITC Avant Garde" w:cs="Arial"/>
          <w:sz w:val="22"/>
          <w:szCs w:val="22"/>
          <w:lang w:val="es-MX"/>
        </w:rPr>
        <w:t>Solicitar los usuarios y contraseñas para el acceso a la página o sitio de internet de Telmex / Telnor para consultar la información de los servicios y de acceso al SEG para la consulta de información y gestión de los servicios de desagregación.</w:t>
      </w:r>
    </w:p>
    <w:p w:rsidR="00175E5E" w:rsidRPr="00FF4EC6" w:rsidRDefault="00175E5E" w:rsidP="00175E5E">
      <w:pPr>
        <w:pStyle w:val="Prrafodelista"/>
        <w:numPr>
          <w:ilvl w:val="0"/>
          <w:numId w:val="48"/>
        </w:numPr>
        <w:spacing w:after="200" w:line="276" w:lineRule="auto"/>
        <w:jc w:val="both"/>
        <w:rPr>
          <w:rFonts w:ascii="Century Gothic" w:hAnsi="Century Gothic"/>
          <w:sz w:val="22"/>
          <w:lang w:val="es-MX"/>
        </w:rPr>
      </w:pPr>
      <w:r w:rsidRPr="00D021A8">
        <w:rPr>
          <w:rFonts w:ascii="Century Gothic" w:hAnsi="Century Gothic"/>
          <w:sz w:val="22"/>
          <w:lang w:val="es-MX"/>
        </w:rPr>
        <w:t>Solic</w:t>
      </w:r>
      <w:r>
        <w:rPr>
          <w:rFonts w:ascii="Century Gothic" w:hAnsi="Century Gothic"/>
          <w:sz w:val="22"/>
          <w:lang w:val="es-MX"/>
        </w:rPr>
        <w:t>itar la conectividad SEG vía VPN</w:t>
      </w:r>
      <w:r w:rsidRPr="00D021A8">
        <w:rPr>
          <w:rFonts w:ascii="Century Gothic" w:hAnsi="Century Gothic"/>
          <w:sz w:val="22"/>
          <w:lang w:val="es-MX"/>
        </w:rPr>
        <w:t>.</w:t>
      </w:r>
      <w:r w:rsidRPr="006E29BA">
        <w:rPr>
          <w:rFonts w:ascii="Century Gothic" w:hAnsi="Century Gothic"/>
          <w:sz w:val="22"/>
          <w:lang w:val="es-MX"/>
        </w:rPr>
        <w:t xml:space="preserve"> </w:t>
      </w:r>
    </w:p>
    <w:p w:rsidR="00A47F9A" w:rsidRPr="00BA1D95" w:rsidRDefault="00A47F9A" w:rsidP="00D37C98">
      <w:pPr>
        <w:pStyle w:val="Prrafodelista"/>
        <w:numPr>
          <w:ilvl w:val="0"/>
          <w:numId w:val="48"/>
        </w:numPr>
        <w:spacing w:after="200" w:line="276" w:lineRule="auto"/>
        <w:jc w:val="both"/>
        <w:rPr>
          <w:rFonts w:ascii="ITC Avant Garde" w:hAnsi="ITC Avant Garde" w:cs="Arial"/>
          <w:sz w:val="22"/>
          <w:szCs w:val="22"/>
          <w:lang w:val="es-MX"/>
        </w:rPr>
      </w:pPr>
      <w:r w:rsidRPr="00BA1D95">
        <w:rPr>
          <w:rFonts w:ascii="ITC Avant Garde" w:hAnsi="ITC Avant Garde" w:cs="Arial"/>
          <w:sz w:val="22"/>
          <w:szCs w:val="22"/>
        </w:rPr>
        <w:t xml:space="preserve"> </w:t>
      </w:r>
      <w:r w:rsidRPr="00BA1D95">
        <w:rPr>
          <w:rFonts w:ascii="ITC Avant Garde" w:hAnsi="ITC Avant Garde" w:cs="Arial"/>
          <w:sz w:val="22"/>
          <w:szCs w:val="22"/>
          <w:lang w:val="es-MX"/>
        </w:rPr>
        <w:t xml:space="preserve">Solicitar los servicios mediante el </w:t>
      </w:r>
      <w:r w:rsidR="006B5A23">
        <w:rPr>
          <w:rFonts w:ascii="ITC Avant Garde" w:hAnsi="ITC Avant Garde" w:cs="Arial"/>
          <w:sz w:val="22"/>
          <w:szCs w:val="22"/>
          <w:lang w:val="es-MX"/>
        </w:rPr>
        <w:t>SEG</w:t>
      </w:r>
      <w:r w:rsidRPr="00BA1D95">
        <w:rPr>
          <w:rFonts w:ascii="ITC Avant Garde" w:hAnsi="ITC Avant Garde" w:cs="Arial"/>
          <w:sz w:val="22"/>
          <w:szCs w:val="22"/>
          <w:lang w:val="es-MX"/>
        </w:rPr>
        <w:t xml:space="preserve">. </w:t>
      </w:r>
    </w:p>
    <w:p w:rsidR="00A47F9A" w:rsidRPr="00BA1D95" w:rsidRDefault="00A47F9A" w:rsidP="00231DB0">
      <w:pPr>
        <w:pStyle w:val="1TitPrin"/>
        <w:numPr>
          <w:ilvl w:val="1"/>
          <w:numId w:val="182"/>
        </w:numPr>
        <w:outlineLvl w:val="1"/>
      </w:pPr>
      <w:bookmarkStart w:id="98" w:name="_Toc436840864"/>
      <w:bookmarkStart w:id="99" w:name="_Toc436846301"/>
      <w:bookmarkStart w:id="100" w:name="_Toc436848251"/>
      <w:bookmarkStart w:id="101" w:name="_Toc436856499"/>
      <w:bookmarkStart w:id="102" w:name="_Toc436862645"/>
      <w:bookmarkStart w:id="103" w:name="_Toc436866295"/>
      <w:bookmarkStart w:id="104" w:name="_Toc436870874"/>
      <w:bookmarkStart w:id="105" w:name="_Toc436875866"/>
      <w:bookmarkStart w:id="106" w:name="_Toc467248676"/>
      <w:bookmarkStart w:id="107" w:name="_Toc525904540"/>
      <w:bookmarkStart w:id="108" w:name="_Toc525913936"/>
      <w:bookmarkStart w:id="109" w:name="_Toc525919175"/>
      <w:bookmarkStart w:id="110" w:name="_Toc525919299"/>
      <w:bookmarkStart w:id="111" w:name="_Toc2957109"/>
      <w:bookmarkStart w:id="112" w:name="_Toc26273049"/>
      <w:bookmarkStart w:id="113" w:name="_Toc26284447"/>
      <w:bookmarkStart w:id="114" w:name="_Toc54106547"/>
      <w:r w:rsidRPr="00BA1D95">
        <w:t>Pronóstico de servicio.</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rsidR="00A47F9A" w:rsidRPr="00BA1D95" w:rsidRDefault="00A47F9A" w:rsidP="004B11EB">
      <w:pPr>
        <w:pStyle w:val="IFTnormal"/>
        <w:spacing w:before="240"/>
        <w:rPr>
          <w:rFonts w:cs="Arial"/>
        </w:rPr>
      </w:pPr>
      <w:r w:rsidRPr="00BA1D95">
        <w:rPr>
          <w:rFonts w:cs="Arial"/>
        </w:rPr>
        <w:t xml:space="preserve">El CS podrá entregar un pronóstico para los servicios de desagregación, teniendo en cuenta que el no entregar pronósticos no </w:t>
      </w:r>
      <w:r w:rsidR="00EA4735" w:rsidRPr="00BA1D95">
        <w:rPr>
          <w:rFonts w:cs="Arial"/>
        </w:rPr>
        <w:t>constituye</w:t>
      </w:r>
      <w:r w:rsidRPr="00BA1D95">
        <w:rPr>
          <w:rFonts w:cs="Arial"/>
        </w:rPr>
        <w:t xml:space="preserve"> una condicionante para la entrega de los servicios (en este sentido la entrega o no de pronósticos para el SRL, no afectará los parámetros o indicadores de calidad de éstos). En su caso, la entrega se realizará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82"/>
        <w:gridCol w:w="4846"/>
      </w:tblGrid>
      <w:tr w:rsidR="00A47F9A" w:rsidRPr="00BA1D95" w:rsidTr="00FF4EC6">
        <w:trPr>
          <w:jc w:val="center"/>
        </w:trPr>
        <w:tc>
          <w:tcPr>
            <w:tcW w:w="2082" w:type="dxa"/>
            <w:shd w:val="clear" w:color="auto" w:fill="BDD6EE" w:themeFill="accent5" w:themeFillTint="66"/>
            <w:vAlign w:val="center"/>
          </w:tcPr>
          <w:p w:rsidR="00A47F9A" w:rsidRPr="00BA1D95" w:rsidRDefault="00A47F9A" w:rsidP="004B11EB">
            <w:pPr>
              <w:pStyle w:val="Texto"/>
              <w:spacing w:before="60" w:after="60" w:line="276" w:lineRule="auto"/>
              <w:ind w:firstLine="0"/>
              <w:jc w:val="center"/>
              <w:rPr>
                <w:rFonts w:ascii="ITC Avant Garde" w:hAnsi="ITC Avant Garde" w:cs="Arial"/>
                <w:b/>
                <w:sz w:val="20"/>
              </w:rPr>
            </w:pPr>
            <w:r w:rsidRPr="00BA1D95">
              <w:rPr>
                <w:rFonts w:ascii="ITC Avant Garde" w:hAnsi="ITC Avant Garde" w:cs="Arial"/>
                <w:sz w:val="20"/>
                <w:lang w:val="es-MX"/>
              </w:rPr>
              <w:t xml:space="preserve"> </w:t>
            </w:r>
            <w:r w:rsidRPr="00BA1D95">
              <w:rPr>
                <w:rFonts w:ascii="ITC Avant Garde" w:hAnsi="ITC Avant Garde" w:cs="Arial"/>
                <w:b/>
                <w:sz w:val="20"/>
              </w:rPr>
              <w:t>Fecha límite</w:t>
            </w:r>
          </w:p>
        </w:tc>
        <w:tc>
          <w:tcPr>
            <w:tcW w:w="4846" w:type="dxa"/>
            <w:shd w:val="clear" w:color="auto" w:fill="BDD6EE" w:themeFill="accent5" w:themeFillTint="66"/>
            <w:vAlign w:val="center"/>
          </w:tcPr>
          <w:p w:rsidR="00A47F9A" w:rsidRPr="00BA1D95" w:rsidRDefault="00A47F9A" w:rsidP="004B11EB">
            <w:pPr>
              <w:pStyle w:val="Texto"/>
              <w:spacing w:before="60" w:after="60" w:line="276" w:lineRule="auto"/>
              <w:ind w:firstLine="0"/>
              <w:jc w:val="center"/>
              <w:rPr>
                <w:rFonts w:ascii="ITC Avant Garde" w:hAnsi="ITC Avant Garde" w:cs="Arial"/>
                <w:b/>
                <w:sz w:val="20"/>
              </w:rPr>
            </w:pPr>
            <w:r w:rsidRPr="00BA1D95">
              <w:rPr>
                <w:rFonts w:ascii="ITC Avant Garde" w:hAnsi="ITC Avant Garde" w:cs="Arial"/>
                <w:b/>
                <w:sz w:val="20"/>
              </w:rPr>
              <w:t>Periodo de aprovisionamiento</w:t>
            </w:r>
          </w:p>
        </w:tc>
      </w:tr>
      <w:tr w:rsidR="00A47F9A" w:rsidRPr="00BA1D95" w:rsidTr="00402F39">
        <w:trPr>
          <w:jc w:val="center"/>
        </w:trPr>
        <w:tc>
          <w:tcPr>
            <w:tcW w:w="2082"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30 de junio</w:t>
            </w:r>
          </w:p>
        </w:tc>
        <w:tc>
          <w:tcPr>
            <w:tcW w:w="4846"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Enero-junio del año inmediato posterior</w:t>
            </w:r>
          </w:p>
        </w:tc>
      </w:tr>
      <w:tr w:rsidR="00A47F9A" w:rsidRPr="00BA1D95" w:rsidTr="00402F39">
        <w:trPr>
          <w:jc w:val="center"/>
        </w:trPr>
        <w:tc>
          <w:tcPr>
            <w:tcW w:w="2082"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31 de diciembre</w:t>
            </w:r>
          </w:p>
        </w:tc>
        <w:tc>
          <w:tcPr>
            <w:tcW w:w="4846"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Julio-diciembre del año inmediato posterior</w:t>
            </w:r>
          </w:p>
        </w:tc>
      </w:tr>
    </w:tbl>
    <w:p w:rsidR="00A47F9A" w:rsidRPr="00BA1D95" w:rsidRDefault="00A47F9A" w:rsidP="000570F5">
      <w:pPr>
        <w:spacing w:before="240" w:after="200" w:line="276" w:lineRule="auto"/>
        <w:jc w:val="center"/>
        <w:rPr>
          <w:rFonts w:ascii="ITC Avant Garde" w:hAnsi="ITC Avant Garde" w:cs="Arial"/>
        </w:rPr>
      </w:pPr>
      <w:r w:rsidRPr="00BA1D95">
        <w:rPr>
          <w:rFonts w:ascii="ITC Avant Garde" w:hAnsi="ITC Avant Garde" w:cs="Arial"/>
          <w:sz w:val="18"/>
          <w:szCs w:val="18"/>
        </w:rPr>
        <w:lastRenderedPageBreak/>
        <w:t>Fechas para pronósticos del servicio</w:t>
      </w:r>
    </w:p>
    <w:p w:rsidR="00A47F9A" w:rsidRPr="00BA1D95" w:rsidRDefault="00A47F9A" w:rsidP="000570F5">
      <w:pPr>
        <w:spacing w:after="360" w:line="276" w:lineRule="auto"/>
        <w:jc w:val="both"/>
        <w:rPr>
          <w:rFonts w:ascii="ITC Avant Garde" w:hAnsi="ITC Avant Garde" w:cs="Arial"/>
          <w:lang w:val="es-ES"/>
        </w:rPr>
      </w:pPr>
      <w:r w:rsidRPr="00BA1D95">
        <w:rPr>
          <w:rFonts w:ascii="ITC Avant Garde" w:hAnsi="ITC Avant Garde" w:cs="Arial"/>
          <w:lang w:val="es-ES"/>
        </w:rPr>
        <w:t>Asimismo, los CS podrán ajustar sus pronósticos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82"/>
        <w:gridCol w:w="4846"/>
      </w:tblGrid>
      <w:tr w:rsidR="00A47F9A" w:rsidRPr="00BA1D95" w:rsidTr="00A60F62">
        <w:trPr>
          <w:jc w:val="center"/>
        </w:trPr>
        <w:tc>
          <w:tcPr>
            <w:tcW w:w="2082" w:type="dxa"/>
            <w:shd w:val="clear" w:color="auto" w:fill="BDD6EE" w:themeFill="accent5" w:themeFillTint="66"/>
            <w:vAlign w:val="center"/>
          </w:tcPr>
          <w:p w:rsidR="00A47F9A" w:rsidRPr="00BA1D95" w:rsidRDefault="00A47F9A" w:rsidP="004B11EB">
            <w:pPr>
              <w:pStyle w:val="Texto"/>
              <w:spacing w:before="60" w:after="60" w:line="276" w:lineRule="auto"/>
              <w:ind w:firstLine="0"/>
              <w:jc w:val="center"/>
              <w:rPr>
                <w:rFonts w:ascii="ITC Avant Garde" w:hAnsi="ITC Avant Garde" w:cs="Arial"/>
                <w:b/>
                <w:sz w:val="20"/>
              </w:rPr>
            </w:pPr>
            <w:r w:rsidRPr="00BA1D95">
              <w:rPr>
                <w:rFonts w:ascii="ITC Avant Garde" w:hAnsi="ITC Avant Garde" w:cs="Arial"/>
                <w:b/>
                <w:sz w:val="20"/>
              </w:rPr>
              <w:t>Fecha límite</w:t>
            </w:r>
          </w:p>
        </w:tc>
        <w:tc>
          <w:tcPr>
            <w:tcW w:w="4846" w:type="dxa"/>
            <w:shd w:val="clear" w:color="auto" w:fill="BDD6EE" w:themeFill="accent5" w:themeFillTint="66"/>
            <w:vAlign w:val="center"/>
          </w:tcPr>
          <w:p w:rsidR="00A47F9A" w:rsidRPr="00BA1D95" w:rsidRDefault="00A47F9A" w:rsidP="004B11EB">
            <w:pPr>
              <w:pStyle w:val="Texto"/>
              <w:spacing w:before="60" w:after="60" w:line="276" w:lineRule="auto"/>
              <w:ind w:firstLine="0"/>
              <w:jc w:val="center"/>
              <w:rPr>
                <w:rFonts w:ascii="ITC Avant Garde" w:hAnsi="ITC Avant Garde" w:cs="Arial"/>
                <w:b/>
                <w:sz w:val="20"/>
              </w:rPr>
            </w:pPr>
            <w:r w:rsidRPr="00BA1D95">
              <w:rPr>
                <w:rFonts w:ascii="ITC Avant Garde" w:hAnsi="ITC Avant Garde" w:cs="Arial"/>
                <w:b/>
                <w:sz w:val="20"/>
              </w:rPr>
              <w:t>Periodo de ajuste de pronóstico</w:t>
            </w:r>
          </w:p>
        </w:tc>
      </w:tr>
      <w:tr w:rsidR="00A47F9A" w:rsidRPr="00BA1D95" w:rsidTr="00402F39">
        <w:trPr>
          <w:jc w:val="center"/>
        </w:trPr>
        <w:tc>
          <w:tcPr>
            <w:tcW w:w="2082"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30 de septiembre</w:t>
            </w:r>
          </w:p>
        </w:tc>
        <w:tc>
          <w:tcPr>
            <w:tcW w:w="4846"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Enero-junio del año inmediato posterior</w:t>
            </w:r>
          </w:p>
        </w:tc>
      </w:tr>
      <w:tr w:rsidR="00A47F9A" w:rsidRPr="00BA1D95" w:rsidTr="00402F39">
        <w:trPr>
          <w:jc w:val="center"/>
        </w:trPr>
        <w:tc>
          <w:tcPr>
            <w:tcW w:w="2082"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31 de marzo</w:t>
            </w:r>
          </w:p>
        </w:tc>
        <w:tc>
          <w:tcPr>
            <w:tcW w:w="4846"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Julio-diciembre del año corriente</w:t>
            </w:r>
          </w:p>
        </w:tc>
      </w:tr>
    </w:tbl>
    <w:p w:rsidR="00A47F9A" w:rsidRPr="00BA1D95" w:rsidRDefault="00A47F9A" w:rsidP="00AE7B37">
      <w:pPr>
        <w:spacing w:before="120" w:after="200" w:line="276" w:lineRule="auto"/>
        <w:jc w:val="center"/>
        <w:rPr>
          <w:rFonts w:ascii="ITC Avant Garde" w:hAnsi="ITC Avant Garde" w:cs="Arial"/>
          <w:sz w:val="18"/>
          <w:szCs w:val="18"/>
        </w:rPr>
      </w:pPr>
      <w:r w:rsidRPr="00BA1D95">
        <w:rPr>
          <w:rFonts w:ascii="ITC Avant Garde" w:hAnsi="ITC Avant Garde" w:cs="Arial"/>
          <w:sz w:val="18"/>
          <w:szCs w:val="18"/>
        </w:rPr>
        <w:t>Fechas para ajustar los pronósticos del servicio</w:t>
      </w:r>
    </w:p>
    <w:p w:rsidR="00A47F9A" w:rsidRPr="00BA1D95" w:rsidRDefault="00A47F9A" w:rsidP="004B11EB">
      <w:pPr>
        <w:spacing w:before="240" w:after="200" w:line="276" w:lineRule="auto"/>
        <w:jc w:val="both"/>
        <w:rPr>
          <w:rFonts w:ascii="ITC Avant Garde" w:hAnsi="ITC Avant Garde" w:cs="Arial"/>
          <w:lang w:val="es-ES"/>
        </w:rPr>
      </w:pPr>
      <w:r w:rsidRPr="00BA1D95">
        <w:rPr>
          <w:rFonts w:ascii="ITC Avant Garde" w:hAnsi="ITC Avant Garde" w:cs="Arial"/>
          <w:lang w:val="es-ES"/>
        </w:rPr>
        <w:t>Si los pronósticos no son entregados dentro de la fecha indicada, se considerarán como no entregados. Sin embargo, en ningún caso la provisión de los servicios de desagregación estará condicionada a la entrega de pronósticos.</w:t>
      </w:r>
    </w:p>
    <w:p w:rsidR="00A47F9A" w:rsidRPr="00BA1D95" w:rsidRDefault="00A47F9A" w:rsidP="004B11EB">
      <w:pPr>
        <w:spacing w:before="240" w:after="200" w:line="276" w:lineRule="auto"/>
        <w:jc w:val="both"/>
        <w:rPr>
          <w:rFonts w:ascii="ITC Avant Garde" w:hAnsi="ITC Avant Garde" w:cs="Arial"/>
          <w:lang w:val="es-ES"/>
        </w:rPr>
      </w:pPr>
      <w:r w:rsidRPr="00BA1D95">
        <w:rPr>
          <w:rFonts w:ascii="ITC Avant Garde" w:hAnsi="ITC Avant Garde" w:cs="Arial"/>
          <w:lang w:val="es-ES"/>
        </w:rPr>
        <w:t xml:space="preserve">La granularidad que deberán tener los pronósticos entregados por los Concesionarios </w:t>
      </w:r>
      <w:r w:rsidR="005A0EC3" w:rsidRPr="00BA1D95">
        <w:rPr>
          <w:rFonts w:ascii="ITC Avant Garde" w:hAnsi="ITC Avant Garde" w:cs="Arial"/>
          <w:lang w:val="es-ES"/>
        </w:rPr>
        <w:t>Solicitantes</w:t>
      </w:r>
      <w:r w:rsidRPr="00BA1D95">
        <w:rPr>
          <w:rFonts w:ascii="ITC Avant Garde" w:hAnsi="ITC Avant Garde" w:cs="Arial"/>
          <w:lang w:val="es-ES"/>
        </w:rPr>
        <w:t xml:space="preserve"> será al menos la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39"/>
        <w:gridCol w:w="5775"/>
      </w:tblGrid>
      <w:tr w:rsidR="00A47F9A" w:rsidRPr="00BA1D95" w:rsidTr="00A60F62">
        <w:trPr>
          <w:jc w:val="center"/>
        </w:trPr>
        <w:tc>
          <w:tcPr>
            <w:tcW w:w="2039" w:type="dxa"/>
            <w:shd w:val="clear" w:color="auto" w:fill="BDD6EE" w:themeFill="accent5" w:themeFillTint="66"/>
            <w:vAlign w:val="center"/>
          </w:tcPr>
          <w:p w:rsidR="00A47F9A" w:rsidRPr="00BA1D95" w:rsidRDefault="00B224F4" w:rsidP="004B11EB">
            <w:pPr>
              <w:pStyle w:val="Texto"/>
              <w:spacing w:before="60" w:after="60" w:line="276" w:lineRule="auto"/>
              <w:ind w:firstLine="0"/>
              <w:jc w:val="center"/>
              <w:rPr>
                <w:rFonts w:ascii="ITC Avant Garde" w:hAnsi="ITC Avant Garde" w:cs="Arial"/>
                <w:b/>
                <w:sz w:val="22"/>
                <w:szCs w:val="22"/>
              </w:rPr>
            </w:pPr>
            <w:r w:rsidRPr="00BA1D95">
              <w:rPr>
                <w:rFonts w:ascii="ITC Avant Garde" w:hAnsi="ITC Avant Garde" w:cs="Arial"/>
                <w:b/>
                <w:sz w:val="22"/>
                <w:szCs w:val="22"/>
              </w:rPr>
              <w:t>S</w:t>
            </w:r>
            <w:r w:rsidR="00A47F9A" w:rsidRPr="00BA1D95">
              <w:rPr>
                <w:rFonts w:ascii="ITC Avant Garde" w:hAnsi="ITC Avant Garde" w:cs="Arial"/>
                <w:b/>
                <w:sz w:val="22"/>
                <w:szCs w:val="22"/>
              </w:rPr>
              <w:t>ervicio</w:t>
            </w:r>
          </w:p>
        </w:tc>
        <w:tc>
          <w:tcPr>
            <w:tcW w:w="5775" w:type="dxa"/>
            <w:shd w:val="clear" w:color="auto" w:fill="BDD6EE" w:themeFill="accent5" w:themeFillTint="66"/>
            <w:vAlign w:val="center"/>
          </w:tcPr>
          <w:p w:rsidR="00A47F9A" w:rsidRPr="00BA1D95" w:rsidRDefault="00A47F9A" w:rsidP="004B11EB">
            <w:pPr>
              <w:pStyle w:val="Texto"/>
              <w:spacing w:before="60" w:after="60" w:line="276" w:lineRule="auto"/>
              <w:ind w:firstLine="0"/>
              <w:jc w:val="center"/>
              <w:rPr>
                <w:rFonts w:ascii="ITC Avant Garde" w:hAnsi="ITC Avant Garde" w:cs="Arial"/>
                <w:b/>
                <w:sz w:val="22"/>
                <w:szCs w:val="22"/>
              </w:rPr>
            </w:pPr>
            <w:r w:rsidRPr="00BA1D95">
              <w:rPr>
                <w:rFonts w:ascii="ITC Avant Garde" w:hAnsi="ITC Avant Garde" w:cs="Arial"/>
                <w:b/>
                <w:sz w:val="22"/>
                <w:szCs w:val="22"/>
              </w:rPr>
              <w:t>Granularidad</w:t>
            </w:r>
          </w:p>
        </w:tc>
      </w:tr>
      <w:tr w:rsidR="00A47F9A" w:rsidRPr="00BA1D95" w:rsidTr="00402F39">
        <w:trPr>
          <w:jc w:val="center"/>
        </w:trPr>
        <w:tc>
          <w:tcPr>
            <w:tcW w:w="2039" w:type="dxa"/>
            <w:vAlign w:val="center"/>
          </w:tcPr>
          <w:p w:rsidR="00A47F9A" w:rsidRPr="00BA1D95" w:rsidRDefault="00AE0007"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 xml:space="preserve">SRL, SRI, SRP, SRMLT </w:t>
            </w:r>
          </w:p>
        </w:tc>
        <w:tc>
          <w:tcPr>
            <w:tcW w:w="5775" w:type="dxa"/>
            <w:vAlign w:val="center"/>
          </w:tcPr>
          <w:p w:rsidR="00A47F9A" w:rsidRPr="00BA1D95" w:rsidRDefault="00A47F9A" w:rsidP="004B11EB">
            <w:pPr>
              <w:pStyle w:val="Texto"/>
              <w:spacing w:before="60" w:after="60" w:line="276" w:lineRule="auto"/>
              <w:ind w:firstLine="0"/>
              <w:jc w:val="left"/>
              <w:rPr>
                <w:rFonts w:ascii="ITC Avant Garde" w:hAnsi="ITC Avant Garde" w:cs="Arial"/>
                <w:sz w:val="20"/>
              </w:rPr>
            </w:pPr>
            <w:r w:rsidRPr="00BA1D95">
              <w:rPr>
                <w:rFonts w:ascii="ITC Avant Garde" w:hAnsi="ITC Avant Garde" w:cs="Arial"/>
                <w:sz w:val="20"/>
              </w:rPr>
              <w:t>Número de</w:t>
            </w:r>
            <w:r w:rsidR="00AE0007" w:rsidRPr="00BA1D95">
              <w:rPr>
                <w:rFonts w:ascii="ITC Avant Garde" w:hAnsi="ITC Avant Garde" w:cs="Arial"/>
                <w:sz w:val="20"/>
              </w:rPr>
              <w:t xml:space="preserve"> servicios a solicitar</w:t>
            </w:r>
            <w:r w:rsidRPr="00BA1D95">
              <w:rPr>
                <w:rFonts w:ascii="ITC Avant Garde" w:hAnsi="ITC Avant Garde" w:cs="Arial"/>
                <w:sz w:val="20"/>
              </w:rPr>
              <w:t xml:space="preserve"> </w:t>
            </w:r>
          </w:p>
        </w:tc>
      </w:tr>
    </w:tbl>
    <w:p w:rsidR="00A47F9A" w:rsidRPr="00BA1D95" w:rsidRDefault="00A47F9A" w:rsidP="00AE7B37">
      <w:pPr>
        <w:spacing w:before="120" w:after="200" w:line="276" w:lineRule="auto"/>
        <w:jc w:val="center"/>
        <w:rPr>
          <w:rFonts w:ascii="ITC Avant Garde" w:hAnsi="ITC Avant Garde" w:cs="Arial"/>
          <w:sz w:val="18"/>
          <w:szCs w:val="18"/>
        </w:rPr>
      </w:pPr>
      <w:r w:rsidRPr="00BA1D95">
        <w:rPr>
          <w:rFonts w:ascii="ITC Avant Garde" w:hAnsi="ITC Avant Garde" w:cs="Arial"/>
          <w:sz w:val="18"/>
          <w:szCs w:val="18"/>
        </w:rPr>
        <w:t>Granularidad de Pronósticos</w:t>
      </w:r>
    </w:p>
    <w:p w:rsidR="00CA6C9A" w:rsidRPr="005F490C" w:rsidRDefault="00CA6C9A" w:rsidP="000570F5">
      <w:pPr>
        <w:spacing w:before="120" w:after="200" w:line="276" w:lineRule="auto"/>
        <w:jc w:val="both"/>
        <w:rPr>
          <w:rFonts w:ascii="ITC Avant Garde" w:hAnsi="ITC Avant Garde" w:cs="Arial"/>
          <w:szCs w:val="18"/>
        </w:rPr>
      </w:pPr>
      <w:r w:rsidRPr="005F490C">
        <w:rPr>
          <w:rFonts w:ascii="ITC Avant Garde" w:hAnsi="ITC Avant Garde" w:cs="Arial"/>
          <w:szCs w:val="18"/>
        </w:rPr>
        <w:t>En caso de que los servicios solicitados excedan un 20% o más a los pronosticados, los servicios excedentes serán instalados en un plazo definido por mutuo acuerdo bajo el esquema fecha compromiso (Due Date)</w:t>
      </w:r>
      <w:r w:rsidR="00AE6C3E">
        <w:rPr>
          <w:rFonts w:ascii="ITC Avant Garde" w:hAnsi="ITC Avant Garde" w:cs="Arial"/>
          <w:szCs w:val="18"/>
        </w:rPr>
        <w:t xml:space="preserve"> </w:t>
      </w:r>
      <w:r w:rsidRPr="005F490C">
        <w:rPr>
          <w:rFonts w:ascii="ITC Avant Garde" w:hAnsi="ITC Avant Garde" w:cs="Arial"/>
          <w:szCs w:val="18"/>
        </w:rPr>
        <w:t xml:space="preserve">y delimitado a un máximo de 150% de los plazos originales de entrega. </w:t>
      </w:r>
    </w:p>
    <w:p w:rsidR="00CA6C9A" w:rsidRPr="005F490C" w:rsidRDefault="00CA6C9A" w:rsidP="000570F5">
      <w:pPr>
        <w:spacing w:before="120" w:after="200" w:line="276" w:lineRule="auto"/>
        <w:jc w:val="both"/>
        <w:rPr>
          <w:rFonts w:ascii="ITC Avant Garde" w:hAnsi="ITC Avant Garde" w:cs="Arial"/>
          <w:szCs w:val="18"/>
        </w:rPr>
      </w:pPr>
      <w:r w:rsidRPr="005F490C">
        <w:rPr>
          <w:rFonts w:ascii="ITC Avant Garde" w:hAnsi="ITC Avant Garde" w:cs="Arial"/>
          <w:szCs w:val="18"/>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rsidR="00A47F9A" w:rsidRPr="00BA1D95" w:rsidRDefault="00A47F9A" w:rsidP="00231DB0">
      <w:pPr>
        <w:pStyle w:val="1TitPrin"/>
        <w:numPr>
          <w:ilvl w:val="1"/>
          <w:numId w:val="182"/>
        </w:numPr>
        <w:outlineLvl w:val="1"/>
      </w:pPr>
      <w:bookmarkStart w:id="115" w:name="_Toc436840866"/>
      <w:bookmarkStart w:id="116" w:name="_Toc436846303"/>
      <w:bookmarkStart w:id="117" w:name="_Toc436848253"/>
      <w:bookmarkStart w:id="118" w:name="_Toc436856501"/>
      <w:bookmarkStart w:id="119" w:name="_Toc436862647"/>
      <w:bookmarkStart w:id="120" w:name="_Toc436866297"/>
      <w:bookmarkStart w:id="121" w:name="_Toc436870876"/>
      <w:bookmarkStart w:id="122" w:name="_Toc436875868"/>
      <w:bookmarkStart w:id="123" w:name="_Toc467248678"/>
      <w:bookmarkStart w:id="124" w:name="_Toc525904542"/>
      <w:bookmarkStart w:id="125" w:name="_Toc525913938"/>
      <w:bookmarkStart w:id="126" w:name="_Toc525919177"/>
      <w:bookmarkStart w:id="127" w:name="_Toc525919301"/>
      <w:bookmarkStart w:id="128" w:name="_Toc2957111"/>
      <w:bookmarkStart w:id="129" w:name="_Toc26273050"/>
      <w:bookmarkStart w:id="130" w:name="_Toc26284448"/>
      <w:bookmarkStart w:id="131" w:name="_Toc54106548"/>
      <w:r w:rsidRPr="00BA1D95">
        <w:t>Situación de la Acometida del usuario final.</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rsidR="00C84239" w:rsidRDefault="00A47F9A" w:rsidP="004B11EB">
      <w:pPr>
        <w:pStyle w:val="Texto1"/>
        <w:spacing w:after="200" w:line="276" w:lineRule="auto"/>
        <w:ind w:left="0"/>
        <w:rPr>
          <w:rFonts w:ascii="ITC Avant Garde" w:hAnsi="ITC Avant Garde" w:cs="Arial"/>
          <w:sz w:val="22"/>
          <w:szCs w:val="22"/>
          <w:lang w:val="es-ES"/>
        </w:rPr>
      </w:pPr>
      <w:r w:rsidRPr="00BA1D95">
        <w:rPr>
          <w:rFonts w:ascii="ITC Avant Garde" w:hAnsi="ITC Avant Garde" w:cs="Arial"/>
          <w:sz w:val="22"/>
          <w:szCs w:val="22"/>
          <w:lang w:val="es-ES"/>
        </w:rPr>
        <w:t xml:space="preserve">La acometida al domicilio del usuario final </w:t>
      </w:r>
      <w:r w:rsidRPr="00BA1D95">
        <w:rPr>
          <w:rFonts w:ascii="ITC Avant Garde" w:hAnsi="ITC Avant Garde" w:cs="Arial"/>
          <w:sz w:val="22"/>
          <w:szCs w:val="22"/>
        </w:rPr>
        <w:t>constituye la parte común de los servicios de desagregación y</w:t>
      </w:r>
      <w:r w:rsidRPr="00BA1D95">
        <w:rPr>
          <w:rFonts w:ascii="ITC Avant Garde" w:hAnsi="ITC Avant Garde" w:cs="Arial"/>
          <w:sz w:val="22"/>
          <w:szCs w:val="22"/>
          <w:lang w:val="es-ES"/>
        </w:rPr>
        <w:t xml:space="preserve"> presenta tres posibles escenarios. En la siguiente tabla se muestra el alcance del servicio en estos casos:</w:t>
      </w:r>
    </w:p>
    <w:tbl>
      <w:tblPr>
        <w:tblW w:w="45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55"/>
        <w:gridCol w:w="4666"/>
      </w:tblGrid>
      <w:tr w:rsidR="000570F5" w:rsidRPr="0029155A" w:rsidTr="00A60F62">
        <w:trPr>
          <w:trHeight w:val="502"/>
          <w:tblHeader/>
          <w:jc w:val="center"/>
        </w:trPr>
        <w:tc>
          <w:tcPr>
            <w:tcW w:w="2196" w:type="pct"/>
            <w:shd w:val="clear" w:color="auto" w:fill="BDD6EE" w:themeFill="accent5" w:themeFillTint="66"/>
            <w:vAlign w:val="center"/>
          </w:tcPr>
          <w:p w:rsidR="000570F5" w:rsidRPr="00C84239" w:rsidRDefault="000570F5" w:rsidP="00C63B3E">
            <w:pPr>
              <w:pStyle w:val="Texto1"/>
              <w:spacing w:before="60" w:after="60" w:line="276" w:lineRule="auto"/>
              <w:ind w:left="0"/>
              <w:jc w:val="center"/>
              <w:rPr>
                <w:rFonts w:ascii="ITC Avant Garde" w:hAnsi="ITC Avant Garde"/>
                <w:b/>
                <w:sz w:val="20"/>
                <w:lang w:val="es-ES"/>
              </w:rPr>
            </w:pPr>
            <w:r w:rsidRPr="00C84239">
              <w:rPr>
                <w:rFonts w:ascii="ITC Avant Garde" w:hAnsi="ITC Avant Garde"/>
                <w:b/>
                <w:sz w:val="20"/>
                <w:lang w:val="es-ES"/>
              </w:rPr>
              <w:t>Condición física de la acometida</w:t>
            </w:r>
            <w:r w:rsidRPr="00C84239">
              <w:rPr>
                <w:rFonts w:ascii="ITC Avant Garde" w:hAnsi="ITC Avant Garde"/>
                <w:b/>
                <w:sz w:val="20"/>
                <w:szCs w:val="20"/>
                <w:lang w:val="es-ES"/>
              </w:rPr>
              <w:t>.</w:t>
            </w:r>
          </w:p>
        </w:tc>
        <w:tc>
          <w:tcPr>
            <w:tcW w:w="2804" w:type="pct"/>
            <w:shd w:val="clear" w:color="auto" w:fill="BDD6EE" w:themeFill="accent5" w:themeFillTint="66"/>
            <w:vAlign w:val="center"/>
          </w:tcPr>
          <w:p w:rsidR="000570F5" w:rsidRPr="00C84239" w:rsidRDefault="000570F5" w:rsidP="00DF7E83">
            <w:pPr>
              <w:pStyle w:val="Texto1"/>
              <w:spacing w:before="60" w:after="60" w:line="276" w:lineRule="auto"/>
              <w:ind w:left="0"/>
              <w:jc w:val="center"/>
              <w:rPr>
                <w:rFonts w:ascii="ITC Avant Garde" w:hAnsi="ITC Avant Garde"/>
                <w:b/>
                <w:sz w:val="20"/>
                <w:lang w:val="es-ES"/>
              </w:rPr>
            </w:pPr>
            <w:r w:rsidRPr="00C84239">
              <w:rPr>
                <w:rFonts w:ascii="ITC Avant Garde" w:hAnsi="ITC Avant Garde"/>
                <w:b/>
                <w:sz w:val="20"/>
                <w:lang w:val="es-ES"/>
              </w:rPr>
              <w:t xml:space="preserve">Responsabilidad </w:t>
            </w:r>
            <w:r w:rsidRPr="00C84239">
              <w:rPr>
                <w:rFonts w:ascii="ITC Avant Garde" w:hAnsi="ITC Avant Garde" w:cs="Arial"/>
                <w:b/>
                <w:sz w:val="20"/>
                <w:szCs w:val="20"/>
                <w:lang w:val="es-ES"/>
              </w:rPr>
              <w:t xml:space="preserve">de </w:t>
            </w:r>
            <w:r w:rsidR="00E83F21">
              <w:rPr>
                <w:rFonts w:ascii="ITC Avant Garde" w:hAnsi="ITC Avant Garde" w:cs="Arial"/>
                <w:b/>
                <w:sz w:val="20"/>
                <w:szCs w:val="20"/>
                <w:lang w:val="es-ES"/>
              </w:rPr>
              <w:t>Telmex / Telnor</w:t>
            </w:r>
          </w:p>
        </w:tc>
      </w:tr>
      <w:tr w:rsidR="000570F5" w:rsidRPr="0029155A" w:rsidTr="00614962">
        <w:trPr>
          <w:trHeight w:val="537"/>
          <w:jc w:val="center"/>
        </w:trPr>
        <w:tc>
          <w:tcPr>
            <w:tcW w:w="2196" w:type="pct"/>
            <w:vAlign w:val="center"/>
          </w:tcPr>
          <w:p w:rsidR="000570F5" w:rsidRPr="0029155A" w:rsidRDefault="000570F5" w:rsidP="00C63B3E">
            <w:pPr>
              <w:spacing w:before="60" w:after="60" w:line="276" w:lineRule="auto"/>
              <w:rPr>
                <w:rFonts w:ascii="ITC Avant Garde" w:hAnsi="ITC Avant Garde"/>
                <w:sz w:val="20"/>
                <w:lang w:val="es-ES"/>
              </w:rPr>
            </w:pPr>
            <w:r w:rsidRPr="0029155A">
              <w:rPr>
                <w:rFonts w:ascii="ITC Avant Garde" w:hAnsi="ITC Avant Garde"/>
                <w:sz w:val="20"/>
                <w:lang w:val="es-ES"/>
              </w:rPr>
              <w:t>Existe acometida directa a la casa o edificio del usuario final y permite brindar los servicios solicitados por el CS.</w:t>
            </w:r>
          </w:p>
        </w:tc>
        <w:tc>
          <w:tcPr>
            <w:tcW w:w="2804" w:type="pct"/>
            <w:vAlign w:val="center"/>
          </w:tcPr>
          <w:p w:rsidR="000570F5" w:rsidRPr="0029155A" w:rsidRDefault="000570F5" w:rsidP="00C63B3E">
            <w:pPr>
              <w:spacing w:before="60" w:after="60" w:line="276" w:lineRule="auto"/>
              <w:rPr>
                <w:rFonts w:ascii="ITC Avant Garde" w:hAnsi="ITC Avant Garde"/>
                <w:sz w:val="20"/>
                <w:lang w:val="es-ES"/>
              </w:rPr>
            </w:pPr>
            <w:r w:rsidRPr="0029155A">
              <w:rPr>
                <w:rFonts w:ascii="ITC Avant Garde" w:hAnsi="ITC Avant Garde"/>
                <w:sz w:val="20"/>
                <w:lang w:val="es-ES"/>
              </w:rPr>
              <w:t xml:space="preserve">El </w:t>
            </w:r>
            <w:r w:rsidR="00482D03">
              <w:rPr>
                <w:rFonts w:ascii="ITC Avant Garde" w:hAnsi="ITC Avant Garde"/>
                <w:sz w:val="20"/>
                <w:lang w:val="es-ES"/>
              </w:rPr>
              <w:t>Servicio</w:t>
            </w:r>
            <w:r w:rsidR="00482D03" w:rsidRPr="0029155A">
              <w:rPr>
                <w:rFonts w:ascii="ITC Avant Garde" w:hAnsi="ITC Avant Garde"/>
                <w:sz w:val="20"/>
                <w:lang w:val="es-ES"/>
              </w:rPr>
              <w:t xml:space="preserve"> </w:t>
            </w:r>
            <w:r w:rsidRPr="0029155A">
              <w:rPr>
                <w:rFonts w:ascii="ITC Avant Garde" w:hAnsi="ITC Avant Garde"/>
                <w:sz w:val="20"/>
                <w:lang w:val="es-ES"/>
              </w:rPr>
              <w:t xml:space="preserve">se entrega con la acometida actual. </w:t>
            </w:r>
          </w:p>
          <w:p w:rsidR="000570F5" w:rsidRPr="00C84239" w:rsidRDefault="00F02E6A" w:rsidP="00664AC4">
            <w:pPr>
              <w:spacing w:before="60" w:after="60" w:line="276" w:lineRule="auto"/>
              <w:rPr>
                <w:rFonts w:ascii="ITC Avant Garde" w:hAnsi="ITC Avant Garde"/>
                <w:sz w:val="20"/>
                <w:lang w:val="es-ES"/>
              </w:rPr>
            </w:pPr>
            <w:r>
              <w:rPr>
                <w:rFonts w:ascii="ITC Avant Garde" w:hAnsi="ITC Avant Garde"/>
                <w:sz w:val="20"/>
                <w:lang w:val="es-ES"/>
              </w:rPr>
              <w:t>En caso de requerirse la sustitución ser</w:t>
            </w:r>
            <w:r w:rsidR="00664AC4">
              <w:rPr>
                <w:rFonts w:ascii="ITC Avant Garde" w:hAnsi="ITC Avant Garde"/>
                <w:sz w:val="20"/>
                <w:lang w:val="es-ES"/>
              </w:rPr>
              <w:t>á</w:t>
            </w:r>
            <w:r w:rsidR="00614962">
              <w:rPr>
                <w:rFonts w:ascii="ITC Avant Garde" w:hAnsi="ITC Avant Garde" w:cs="Arial"/>
                <w:sz w:val="20"/>
                <w:szCs w:val="20"/>
                <w:lang w:val="es-ES"/>
              </w:rPr>
              <w:t xml:space="preserve"> </w:t>
            </w:r>
            <w:r w:rsidR="000570F5" w:rsidRPr="00C84239">
              <w:rPr>
                <w:rFonts w:ascii="ITC Avant Garde" w:hAnsi="ITC Avant Garde" w:cs="Arial"/>
                <w:sz w:val="20"/>
                <w:szCs w:val="20"/>
                <w:lang w:val="es-ES"/>
              </w:rPr>
              <w:t>con cargo al CS</w:t>
            </w:r>
            <w:r w:rsidR="000570F5" w:rsidRPr="00C84239">
              <w:rPr>
                <w:rFonts w:ascii="ITC Avant Garde" w:hAnsi="ITC Avant Garde"/>
                <w:sz w:val="20"/>
                <w:lang w:val="es-ES"/>
              </w:rPr>
              <w:t>.</w:t>
            </w:r>
          </w:p>
        </w:tc>
      </w:tr>
    </w:tbl>
    <w:p w:rsidR="00A47F9A" w:rsidRPr="000570F5" w:rsidRDefault="00A47F9A" w:rsidP="000570F5">
      <w:pPr>
        <w:spacing w:after="200" w:line="276" w:lineRule="auto"/>
        <w:ind w:firstLine="1"/>
        <w:jc w:val="center"/>
        <w:rPr>
          <w:rFonts w:ascii="ITC Avant Garde" w:hAnsi="ITC Avant Garde" w:cs="Arial"/>
          <w:sz w:val="20"/>
          <w:szCs w:val="20"/>
        </w:rPr>
      </w:pPr>
      <w:r w:rsidRPr="000570F5">
        <w:rPr>
          <w:rFonts w:ascii="ITC Avant Garde" w:hAnsi="ITC Avant Garde" w:cs="Arial"/>
          <w:sz w:val="20"/>
          <w:szCs w:val="20"/>
        </w:rPr>
        <w:t>Situación de la acometida al usuario final</w:t>
      </w:r>
    </w:p>
    <w:p w:rsidR="001E5822" w:rsidRDefault="001E5822" w:rsidP="004B11EB">
      <w:pPr>
        <w:pStyle w:val="IFTnormal"/>
        <w:rPr>
          <w:rFonts w:cs="Arial"/>
        </w:rPr>
      </w:pPr>
      <w:r w:rsidRPr="001F37AF">
        <w:rPr>
          <w:rFonts w:cs="Arial"/>
        </w:rPr>
        <w:lastRenderedPageBreak/>
        <w:t xml:space="preserve">Para los </w:t>
      </w:r>
      <w:r w:rsidR="00094B5A" w:rsidRPr="00094B5A">
        <w:rPr>
          <w:rFonts w:cs="Arial"/>
        </w:rPr>
        <w:t xml:space="preserve">escenarios donde no existe acometida directa a la casa o edificio del usuario final o la existente no permite brindar servicios solicitados, estos se realizarán bajo las condiciones </w:t>
      </w:r>
      <w:r w:rsidR="00482D03">
        <w:rPr>
          <w:rFonts w:cs="Arial"/>
        </w:rPr>
        <w:t xml:space="preserve">que </w:t>
      </w:r>
      <w:r w:rsidR="00AE6C3E">
        <w:rPr>
          <w:rFonts w:cs="Arial"/>
        </w:rPr>
        <w:t>técnicamente sean factibles</w:t>
      </w:r>
      <w:r w:rsidR="00482D03">
        <w:rPr>
          <w:rFonts w:cs="Arial"/>
        </w:rPr>
        <w:t>.</w:t>
      </w:r>
    </w:p>
    <w:p w:rsidR="0029155A" w:rsidRPr="00BA1D95" w:rsidRDefault="0029155A" w:rsidP="004B11EB">
      <w:pPr>
        <w:pStyle w:val="IFTnormal"/>
        <w:rPr>
          <w:rFonts w:cs="Arial"/>
        </w:rPr>
      </w:pPr>
      <w:r w:rsidRPr="0029155A">
        <w:rPr>
          <w:rFonts w:cs="Arial"/>
        </w:rPr>
        <w:t xml:space="preserve">En los casos en que se necesite instalar la acometida, el alcance del servicio se incluirá la instalación de la misma, así como el </w:t>
      </w:r>
      <w:r w:rsidR="006C2A4C">
        <w:rPr>
          <w:rFonts w:cs="Arial"/>
        </w:rPr>
        <w:t>DIT</w:t>
      </w:r>
      <w:r w:rsidR="006C2A4C">
        <w:rPr>
          <w:rStyle w:val="Refdenotaalpie"/>
          <w:rFonts w:cs="Arial"/>
        </w:rPr>
        <w:footnoteReference w:id="2"/>
      </w:r>
      <w:r w:rsidRPr="0029155A">
        <w:rPr>
          <w:rFonts w:cs="Arial"/>
        </w:rPr>
        <w:t>, por lo que el servicio incluye el cableado necesario para cubrir:</w:t>
      </w:r>
    </w:p>
    <w:p w:rsidR="00A47F9A" w:rsidRPr="00BA1D95" w:rsidRDefault="00A47F9A" w:rsidP="004B11EB">
      <w:pPr>
        <w:pStyle w:val="IFTnormal"/>
        <w:rPr>
          <w:rFonts w:cs="Arial"/>
        </w:rPr>
      </w:pPr>
      <w:r w:rsidRPr="00BA1D95">
        <w:rPr>
          <w:rFonts w:cs="Arial"/>
        </w:rPr>
        <w:t>Para acometida de cobre:</w:t>
      </w:r>
    </w:p>
    <w:p w:rsidR="00A47F9A" w:rsidRPr="00BA1D95" w:rsidRDefault="00A47F9A" w:rsidP="007440DB">
      <w:pPr>
        <w:pStyle w:val="CondicionesFinales"/>
        <w:numPr>
          <w:ilvl w:val="0"/>
          <w:numId w:val="49"/>
        </w:numPr>
        <w:spacing w:after="0"/>
        <w:ind w:left="1570" w:hanging="357"/>
        <w:rPr>
          <w:color w:val="auto"/>
        </w:rPr>
      </w:pPr>
      <w:r w:rsidRPr="00BA1D95">
        <w:rPr>
          <w:color w:val="auto"/>
        </w:rPr>
        <w:t>Bajante</w:t>
      </w:r>
    </w:p>
    <w:p w:rsidR="00A47F9A" w:rsidRDefault="00A47F9A" w:rsidP="007440DB">
      <w:pPr>
        <w:pStyle w:val="CondicionesFinales"/>
        <w:numPr>
          <w:ilvl w:val="0"/>
          <w:numId w:val="49"/>
        </w:numPr>
        <w:spacing w:after="0"/>
        <w:ind w:left="1570" w:hanging="357"/>
        <w:rPr>
          <w:color w:val="auto"/>
        </w:rPr>
      </w:pPr>
      <w:r w:rsidRPr="00BA1D95">
        <w:rPr>
          <w:color w:val="auto"/>
        </w:rPr>
        <w:t>DIT</w:t>
      </w:r>
    </w:p>
    <w:p w:rsidR="00A47F9A" w:rsidRPr="00BA1D95" w:rsidRDefault="00A47F9A" w:rsidP="00170A44">
      <w:pPr>
        <w:pStyle w:val="IFTnormal"/>
        <w:spacing w:before="240"/>
        <w:rPr>
          <w:rFonts w:cs="Arial"/>
        </w:rPr>
      </w:pPr>
      <w:r w:rsidRPr="00BA1D95">
        <w:rPr>
          <w:rFonts w:cs="Arial"/>
        </w:rPr>
        <w:t>Para acometida de fibra:</w:t>
      </w:r>
    </w:p>
    <w:p w:rsidR="00A47F9A" w:rsidRPr="00BA1D95" w:rsidRDefault="00A47F9A" w:rsidP="007440DB">
      <w:pPr>
        <w:pStyle w:val="CondicionesFinales"/>
        <w:numPr>
          <w:ilvl w:val="0"/>
          <w:numId w:val="49"/>
        </w:numPr>
        <w:spacing w:after="0"/>
        <w:ind w:left="1570" w:hanging="357"/>
        <w:rPr>
          <w:color w:val="auto"/>
        </w:rPr>
      </w:pPr>
      <w:r w:rsidRPr="00BA1D95">
        <w:rPr>
          <w:color w:val="auto"/>
        </w:rPr>
        <w:t>Bajante óptico</w:t>
      </w:r>
    </w:p>
    <w:p w:rsidR="00A47F9A" w:rsidRPr="00FF4EC6" w:rsidRDefault="00A47F9A" w:rsidP="007440DB">
      <w:pPr>
        <w:pStyle w:val="CondicionesFinales"/>
        <w:numPr>
          <w:ilvl w:val="0"/>
          <w:numId w:val="49"/>
        </w:numPr>
        <w:spacing w:after="0"/>
        <w:ind w:left="1570" w:hanging="357"/>
        <w:rPr>
          <w:color w:val="auto"/>
          <w:lang w:val="es-ES"/>
        </w:rPr>
      </w:pPr>
      <w:r w:rsidRPr="00BA1D95">
        <w:rPr>
          <w:color w:val="auto"/>
        </w:rPr>
        <w:t xml:space="preserve">Jumper </w:t>
      </w:r>
    </w:p>
    <w:p w:rsidR="00A47F9A" w:rsidRPr="00BA1D95" w:rsidRDefault="00A47F9A" w:rsidP="00170A44">
      <w:pPr>
        <w:pStyle w:val="Texto1"/>
        <w:spacing w:before="240" w:after="240" w:line="276" w:lineRule="auto"/>
        <w:ind w:left="0"/>
        <w:rPr>
          <w:rFonts w:ascii="ITC Avant Garde" w:hAnsi="ITC Avant Garde" w:cs="Arial"/>
          <w:sz w:val="22"/>
          <w:szCs w:val="22"/>
          <w:lang w:val="es-ES"/>
        </w:rPr>
      </w:pPr>
      <w:r w:rsidRPr="00BA1D95">
        <w:rPr>
          <w:rFonts w:ascii="ITC Avant Garde" w:hAnsi="ITC Avant Garde" w:cs="Arial"/>
          <w:sz w:val="22"/>
          <w:szCs w:val="22"/>
          <w:lang w:val="es-ES"/>
        </w:rPr>
        <w:t xml:space="preserve">Cuando </w:t>
      </w:r>
      <w:r w:rsidR="00E83F21">
        <w:rPr>
          <w:rFonts w:ascii="ITC Avant Garde" w:hAnsi="ITC Avant Garde" w:cs="Arial"/>
          <w:sz w:val="22"/>
          <w:szCs w:val="22"/>
          <w:lang w:val="es-ES"/>
        </w:rPr>
        <w:t>Telmex / Telnor</w:t>
      </w:r>
      <w:r w:rsidR="00AE0007" w:rsidRPr="00BA1D95">
        <w:rPr>
          <w:rFonts w:ascii="ITC Avant Garde" w:hAnsi="ITC Avant Garde" w:cs="Arial"/>
          <w:sz w:val="22"/>
          <w:szCs w:val="22"/>
          <w:lang w:val="es-ES"/>
        </w:rPr>
        <w:t xml:space="preserve"> </w:t>
      </w:r>
      <w:r w:rsidR="001F37AF" w:rsidRPr="001F37AF">
        <w:rPr>
          <w:rFonts w:ascii="ITC Avant Garde" w:hAnsi="ITC Avant Garde" w:cs="Arial"/>
          <w:sz w:val="22"/>
          <w:szCs w:val="22"/>
          <w:lang w:val="es-ES"/>
        </w:rPr>
        <w:t>provea</w:t>
      </w:r>
      <w:r w:rsidR="005E22C3">
        <w:rPr>
          <w:rFonts w:ascii="ITC Avant Garde" w:hAnsi="ITC Avant Garde" w:cs="Arial"/>
          <w:sz w:val="22"/>
          <w:szCs w:val="22"/>
          <w:lang w:val="es-ES"/>
        </w:rPr>
        <w:t xml:space="preserve"> </w:t>
      </w:r>
      <w:r w:rsidRPr="00BA1D95">
        <w:rPr>
          <w:rFonts w:ascii="ITC Avant Garde" w:hAnsi="ITC Avant Garde" w:cs="Arial"/>
          <w:sz w:val="22"/>
          <w:szCs w:val="22"/>
          <w:lang w:val="es-ES"/>
        </w:rPr>
        <w:t xml:space="preserve">la acometida o sea necesario que adecue la acometida existente, el CS deberá procurar que el usuario se encuentre en el domicilio, y que éste permitirá el acceso a </w:t>
      </w:r>
      <w:r w:rsidR="00E83F21">
        <w:rPr>
          <w:rFonts w:ascii="ITC Avant Garde" w:hAnsi="ITC Avant Garde" w:cs="Arial"/>
          <w:sz w:val="22"/>
          <w:szCs w:val="22"/>
          <w:lang w:val="es-ES"/>
        </w:rPr>
        <w:t>Telmex / Telnor</w:t>
      </w:r>
      <w:r w:rsidR="007440DB">
        <w:rPr>
          <w:rFonts w:ascii="ITC Avant Garde" w:hAnsi="ITC Avant Garde" w:cs="Arial"/>
          <w:sz w:val="22"/>
          <w:szCs w:val="22"/>
          <w:lang w:val="es-ES"/>
        </w:rPr>
        <w:t xml:space="preserve"> </w:t>
      </w:r>
      <w:r w:rsidR="0029155A" w:rsidRPr="00BA0046">
        <w:rPr>
          <w:rFonts w:ascii="ITC Avant Garde" w:hAnsi="ITC Avant Garde"/>
          <w:sz w:val="22"/>
          <w:szCs w:val="22"/>
          <w:lang w:val="es-ES"/>
        </w:rPr>
        <w:t>para la instalación del CIC que va acompañado con</w:t>
      </w:r>
      <w:r w:rsidR="00AE0007"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la instalación de la acometida para la entrega del servicio ya sea en cobre o fibra óptica. En caso de visita en falso se aplicará cobro al CS</w:t>
      </w:r>
      <w:r w:rsidR="001454FC" w:rsidRPr="00BA1D95">
        <w:rPr>
          <w:rFonts w:ascii="ITC Avant Garde" w:hAnsi="ITC Avant Garde" w:cs="Arial"/>
          <w:sz w:val="22"/>
          <w:szCs w:val="22"/>
          <w:lang w:val="es-ES"/>
        </w:rPr>
        <w:t xml:space="preserve"> de acuerdo con </w:t>
      </w:r>
      <w:r w:rsidR="006C2026" w:rsidRPr="00BA1D95">
        <w:rPr>
          <w:rFonts w:ascii="ITC Avant Garde" w:hAnsi="ITC Avant Garde" w:cs="Arial"/>
          <w:sz w:val="22"/>
          <w:szCs w:val="22"/>
          <w:lang w:val="es-ES"/>
        </w:rPr>
        <w:t>lo establecido en esta Oferta</w:t>
      </w:r>
      <w:r w:rsidRPr="00BA1D95">
        <w:rPr>
          <w:rFonts w:ascii="ITC Avant Garde" w:hAnsi="ITC Avant Garde" w:cs="Arial"/>
          <w:sz w:val="22"/>
          <w:szCs w:val="22"/>
          <w:lang w:val="es-ES"/>
        </w:rPr>
        <w:t>. En caso de</w:t>
      </w:r>
      <w:r w:rsidR="00A4523C" w:rsidRPr="00BA1D95">
        <w:rPr>
          <w:rFonts w:ascii="ITC Avant Garde" w:hAnsi="ITC Avant Garde" w:cs="Arial"/>
          <w:sz w:val="22"/>
          <w:szCs w:val="22"/>
          <w:lang w:val="es-ES"/>
        </w:rPr>
        <w:t xml:space="preserve"> visita en falso o</w:t>
      </w:r>
      <w:r w:rsidRPr="00BA1D95">
        <w:rPr>
          <w:rFonts w:ascii="ITC Avant Garde" w:hAnsi="ITC Avant Garde" w:cs="Arial"/>
          <w:sz w:val="22"/>
          <w:szCs w:val="22"/>
          <w:lang w:val="es-ES"/>
        </w:rPr>
        <w:t xml:space="preserve"> que no se instale la acometida por responsabilidad de </w:t>
      </w:r>
      <w:r w:rsidR="00E83F21">
        <w:rPr>
          <w:rFonts w:ascii="ITC Avant Garde" w:hAnsi="ITC Avant Garde" w:cs="Arial"/>
          <w:sz w:val="22"/>
          <w:szCs w:val="22"/>
          <w:lang w:val="es-ES"/>
        </w:rPr>
        <w:t>Telmex / Telnor</w:t>
      </w:r>
      <w:r w:rsidRPr="00BA1D95">
        <w:rPr>
          <w:rFonts w:ascii="ITC Avant Garde" w:hAnsi="ITC Avant Garde" w:cs="Arial"/>
          <w:sz w:val="22"/>
          <w:szCs w:val="22"/>
          <w:lang w:val="es-ES"/>
        </w:rPr>
        <w:t xml:space="preserve">, éste se hará acreedor a la pena correspondiente según lo estipulado en el Anexo B. Cuando se trate de un cambio de tecnología de cobre a fibra óptica, se considerará como </w:t>
      </w:r>
      <w:r w:rsidR="00E8026E" w:rsidRPr="00BA1D95">
        <w:rPr>
          <w:rFonts w:ascii="ITC Avant Garde" w:hAnsi="ITC Avant Garde" w:cs="Arial"/>
          <w:sz w:val="22"/>
          <w:szCs w:val="22"/>
          <w:lang w:val="es-ES"/>
        </w:rPr>
        <w:t>modificación del servicio conforme al procedimiento establecido para cada servicio</w:t>
      </w:r>
      <w:r w:rsidRPr="00BA1D95">
        <w:rPr>
          <w:rFonts w:ascii="ITC Avant Garde" w:hAnsi="ITC Avant Garde" w:cs="Arial"/>
          <w:sz w:val="22"/>
          <w:szCs w:val="22"/>
          <w:lang w:val="es-ES"/>
        </w:rPr>
        <w:t>.</w:t>
      </w:r>
    </w:p>
    <w:p w:rsidR="00A47F9A" w:rsidRPr="00BA1D95" w:rsidRDefault="00A47F9A" w:rsidP="00231DB0">
      <w:pPr>
        <w:pStyle w:val="1TitPrin"/>
        <w:numPr>
          <w:ilvl w:val="1"/>
          <w:numId w:val="182"/>
        </w:numPr>
        <w:outlineLvl w:val="1"/>
      </w:pPr>
      <w:bookmarkStart w:id="132" w:name="_Toc467248679"/>
      <w:bookmarkStart w:id="133" w:name="_Toc525904543"/>
      <w:bookmarkStart w:id="134" w:name="_Toc525913939"/>
      <w:bookmarkStart w:id="135" w:name="_Toc525919178"/>
      <w:bookmarkStart w:id="136" w:name="_Toc525919302"/>
      <w:bookmarkStart w:id="137" w:name="_Toc2957112"/>
      <w:bookmarkStart w:id="138" w:name="_Toc26273051"/>
      <w:bookmarkStart w:id="139" w:name="_Toc26284449"/>
      <w:bookmarkStart w:id="140" w:name="_Toc54106549"/>
      <w:bookmarkStart w:id="141" w:name="_Toc436840867"/>
      <w:bookmarkStart w:id="142" w:name="_Toc436846304"/>
      <w:bookmarkStart w:id="143" w:name="_Toc436848254"/>
      <w:bookmarkStart w:id="144" w:name="_Toc436856502"/>
      <w:bookmarkStart w:id="145" w:name="_Toc436862648"/>
      <w:bookmarkStart w:id="146" w:name="_Toc436866298"/>
      <w:bookmarkStart w:id="147" w:name="_Toc436870877"/>
      <w:bookmarkStart w:id="148" w:name="_Toc436875869"/>
      <w:r w:rsidRPr="00BA1D95">
        <w:t>Disponibilidad de recursos</w:t>
      </w:r>
      <w:bookmarkEnd w:id="132"/>
      <w:bookmarkEnd w:id="133"/>
      <w:bookmarkEnd w:id="134"/>
      <w:bookmarkEnd w:id="135"/>
      <w:bookmarkEnd w:id="136"/>
      <w:bookmarkEnd w:id="137"/>
      <w:bookmarkEnd w:id="138"/>
      <w:bookmarkEnd w:id="139"/>
      <w:bookmarkEnd w:id="140"/>
      <w:r w:rsidRPr="00BA1D95">
        <w:t xml:space="preserve"> </w:t>
      </w:r>
    </w:p>
    <w:p w:rsidR="00A47F9A" w:rsidRPr="00BA1D95" w:rsidRDefault="00A47F9A" w:rsidP="00402F39">
      <w:pPr>
        <w:pStyle w:val="IFTnormal"/>
        <w:ind w:left="1134"/>
        <w:outlineLvl w:val="2"/>
        <w:rPr>
          <w:rFonts w:cs="Arial"/>
          <w:b/>
        </w:rPr>
      </w:pPr>
      <w:bookmarkStart w:id="149" w:name="_Toc467248680"/>
      <w:bookmarkStart w:id="150" w:name="_Toc525904544"/>
      <w:bookmarkStart w:id="151" w:name="_Toc525913940"/>
      <w:bookmarkStart w:id="152" w:name="_Toc525919179"/>
      <w:bookmarkStart w:id="153" w:name="_Toc525919303"/>
      <w:bookmarkStart w:id="154" w:name="_Toc2957113"/>
      <w:bookmarkStart w:id="155" w:name="_Toc26273052"/>
      <w:bookmarkStart w:id="156" w:name="_Toc26284450"/>
      <w:bookmarkStart w:id="157" w:name="_Toc54106550"/>
      <w:r w:rsidRPr="00BA1D95">
        <w:rPr>
          <w:rFonts w:cs="Arial"/>
          <w:b/>
        </w:rPr>
        <w:t>1.4.1.</w:t>
      </w:r>
      <w:r w:rsidRPr="00BA1D95">
        <w:rPr>
          <w:rFonts w:cs="Arial"/>
          <w:b/>
        </w:rPr>
        <w:tab/>
        <w:t>Recursos de red asociados a los servicios</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rsidR="00A47F9A" w:rsidRPr="00BA1D95" w:rsidRDefault="00E83F21" w:rsidP="004B11EB">
      <w:pPr>
        <w:pStyle w:val="Texto1"/>
        <w:spacing w:after="200" w:line="276" w:lineRule="auto"/>
        <w:ind w:left="0"/>
        <w:rPr>
          <w:rFonts w:ascii="ITC Avant Garde" w:hAnsi="ITC Avant Garde" w:cs="Arial"/>
          <w:sz w:val="22"/>
          <w:szCs w:val="22"/>
          <w:lang w:val="es-ES"/>
        </w:rPr>
      </w:pPr>
      <w:r>
        <w:rPr>
          <w:rFonts w:ascii="ITC Avant Garde" w:hAnsi="ITC Avant Garde" w:cs="Arial"/>
          <w:sz w:val="22"/>
          <w:szCs w:val="22"/>
          <w:lang w:val="es-ES"/>
        </w:rPr>
        <w:t>Telmex / Telnor</w:t>
      </w:r>
      <w:r w:rsidR="00F02E6A">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 xml:space="preserve">prestará los servicios de </w:t>
      </w:r>
      <w:r w:rsidR="00170A44">
        <w:rPr>
          <w:rFonts w:ascii="ITC Avant Garde" w:hAnsi="ITC Avant Garde" w:cs="Arial"/>
          <w:sz w:val="22"/>
          <w:szCs w:val="22"/>
          <w:lang w:val="es-ES"/>
        </w:rPr>
        <w:t>desagregación</w:t>
      </w:r>
      <w:r w:rsidR="00170A44" w:rsidRPr="00BA1D95">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sin que sea necesaria la revisión de disponibilidad de los recursos de red en todos los casos en que el usuario final cuente con servicio telefónico o de datos activo provisto por Telmex</w:t>
      </w:r>
      <w:r w:rsidR="00EC3D1A">
        <w:rPr>
          <w:rFonts w:ascii="ITC Avant Garde" w:hAnsi="ITC Avant Garde" w:cs="Arial"/>
          <w:sz w:val="22"/>
          <w:szCs w:val="22"/>
          <w:lang w:val="es-ES"/>
        </w:rPr>
        <w:t xml:space="preserve"> </w:t>
      </w:r>
      <w:r w:rsidR="00EC3D1A">
        <w:rPr>
          <w:rFonts w:ascii="ITC Avant Garde" w:hAnsi="ITC Avant Garde" w:cs="Arial"/>
          <w:sz w:val="22"/>
          <w:szCs w:val="22"/>
          <w:lang w:val="es-MX" w:eastAsia="es-MX"/>
        </w:rPr>
        <w:t>/ Telnor</w:t>
      </w:r>
      <w:r w:rsidR="00170A44">
        <w:rPr>
          <w:rFonts w:ascii="ITC Avant Garde" w:hAnsi="ITC Avant Garde" w:cs="Arial"/>
          <w:sz w:val="22"/>
          <w:szCs w:val="22"/>
          <w:lang w:val="es-ES"/>
        </w:rPr>
        <w:t xml:space="preserve"> o exista acometida en el domicilio del usuario final que permita la prestación de los servicios</w:t>
      </w:r>
      <w:r w:rsidR="00A47F9A" w:rsidRPr="00BA1D95">
        <w:rPr>
          <w:rFonts w:ascii="ITC Avant Garde" w:hAnsi="ITC Avant Garde" w:cs="Arial"/>
          <w:sz w:val="22"/>
          <w:szCs w:val="22"/>
          <w:lang w:val="es-ES"/>
        </w:rPr>
        <w:t>. En estos casos y específicamente cuando se solicite SRI</w:t>
      </w:r>
      <w:r w:rsidR="00DF7E83">
        <w:rPr>
          <w:rFonts w:ascii="ITC Avant Garde" w:hAnsi="ITC Avant Garde" w:cs="Arial"/>
          <w:sz w:val="22"/>
          <w:szCs w:val="22"/>
          <w:lang w:val="es-ES"/>
        </w:rPr>
        <w:t xml:space="preserve"> o</w:t>
      </w:r>
      <w:r w:rsidR="00B071F4" w:rsidRPr="00BA1D95">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SRP</w:t>
      </w:r>
      <w:r w:rsidR="00DF7E83">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tampoco será necesaria la revisión de recursos de red y factibilidad técnica si los CS solicitan velocidades de internet iguales o menores a la velocidad máxima soportada por el bucle</w:t>
      </w:r>
      <w:r w:rsidR="00DF5B46" w:rsidRPr="00BA1D95">
        <w:rPr>
          <w:rFonts w:ascii="ITC Avant Garde" w:hAnsi="ITC Avant Garde" w:cs="Arial"/>
          <w:sz w:val="22"/>
          <w:szCs w:val="22"/>
          <w:lang w:val="es-ES"/>
        </w:rPr>
        <w:t>, de acuerdo con la información contenida en las bases de datos</w:t>
      </w:r>
      <w:r w:rsidR="00A47F9A" w:rsidRPr="00BA1D95">
        <w:rPr>
          <w:rFonts w:ascii="ITC Avant Garde" w:hAnsi="ITC Avant Garde" w:cs="Arial"/>
          <w:sz w:val="22"/>
          <w:szCs w:val="22"/>
          <w:lang w:val="es-ES"/>
        </w:rPr>
        <w:t xml:space="preserve"> a</w:t>
      </w:r>
      <w:r w:rsidR="00DF5B46" w:rsidRPr="00BA1D95">
        <w:rPr>
          <w:rFonts w:ascii="ITC Avant Garde" w:hAnsi="ITC Avant Garde" w:cs="Arial"/>
          <w:sz w:val="22"/>
          <w:szCs w:val="22"/>
          <w:lang w:val="es-ES"/>
        </w:rPr>
        <w:t xml:space="preserve"> las que los CS tendrán acceso</w:t>
      </w:r>
      <w:r w:rsidR="00380893">
        <w:rPr>
          <w:rFonts w:ascii="ITC Avant Garde" w:hAnsi="ITC Avant Garde" w:cs="Arial"/>
          <w:sz w:val="22"/>
          <w:szCs w:val="22"/>
          <w:lang w:val="es-ES"/>
        </w:rPr>
        <w:t>,</w:t>
      </w:r>
      <w:r w:rsidR="00DF5B46" w:rsidRPr="00BA1D95">
        <w:rPr>
          <w:rFonts w:ascii="ITC Avant Garde" w:hAnsi="ITC Avant Garde" w:cs="Arial"/>
          <w:sz w:val="22"/>
          <w:szCs w:val="22"/>
          <w:lang w:val="es-ES"/>
        </w:rPr>
        <w:t xml:space="preserve"> según lo estipulado en la sección </w:t>
      </w:r>
      <w:r w:rsidR="00CA6C9A">
        <w:rPr>
          <w:rFonts w:ascii="ITC Avant Garde" w:hAnsi="ITC Avant Garde" w:cs="Arial"/>
          <w:sz w:val="22"/>
          <w:szCs w:val="22"/>
          <w:lang w:val="es-ES"/>
        </w:rPr>
        <w:t xml:space="preserve">“Información relacionada con </w:t>
      </w:r>
      <w:r w:rsidR="00AD5BFB">
        <w:rPr>
          <w:rFonts w:ascii="ITC Avant Garde" w:hAnsi="ITC Avant Garde" w:cs="Arial"/>
          <w:sz w:val="22"/>
          <w:szCs w:val="22"/>
          <w:lang w:val="es-ES"/>
        </w:rPr>
        <w:t xml:space="preserve">los </w:t>
      </w:r>
      <w:r w:rsidR="00CA6C9A">
        <w:rPr>
          <w:rFonts w:ascii="ITC Avant Garde" w:hAnsi="ITC Avant Garde" w:cs="Arial"/>
          <w:sz w:val="22"/>
          <w:szCs w:val="22"/>
          <w:lang w:val="es-ES"/>
        </w:rPr>
        <w:t>servicios”</w:t>
      </w:r>
      <w:r w:rsidR="00CA6C9A" w:rsidRPr="00BA1D95">
        <w:rPr>
          <w:rFonts w:ascii="ITC Avant Garde" w:hAnsi="ITC Avant Garde" w:cs="Arial"/>
          <w:sz w:val="22"/>
          <w:szCs w:val="22"/>
          <w:lang w:val="es-ES"/>
        </w:rPr>
        <w:t xml:space="preserve"> </w:t>
      </w:r>
      <w:r w:rsidR="00DF5B46" w:rsidRPr="00BA1D95">
        <w:rPr>
          <w:rFonts w:ascii="ITC Avant Garde" w:hAnsi="ITC Avant Garde" w:cs="Arial"/>
          <w:sz w:val="22"/>
          <w:szCs w:val="22"/>
          <w:lang w:val="es-ES"/>
        </w:rPr>
        <w:t>de la OREDA.</w:t>
      </w:r>
      <w:r w:rsidR="00A47F9A" w:rsidRPr="00BA1D95">
        <w:rPr>
          <w:rFonts w:ascii="ITC Avant Garde" w:hAnsi="ITC Avant Garde" w:cs="Arial"/>
          <w:sz w:val="22"/>
          <w:szCs w:val="22"/>
          <w:lang w:val="es-ES"/>
        </w:rPr>
        <w:t xml:space="preserve"> </w:t>
      </w:r>
    </w:p>
    <w:p w:rsidR="00EA4735" w:rsidRPr="00BA1D95" w:rsidRDefault="00E83F21" w:rsidP="004B11EB">
      <w:pPr>
        <w:pStyle w:val="IFTnormal"/>
        <w:rPr>
          <w:rFonts w:cs="Arial"/>
        </w:rPr>
      </w:pPr>
      <w:r>
        <w:rPr>
          <w:rFonts w:cs="Arial"/>
        </w:rPr>
        <w:lastRenderedPageBreak/>
        <w:t>Telmex / Telnor</w:t>
      </w:r>
      <w:r w:rsidR="00F02E6A">
        <w:rPr>
          <w:rFonts w:cs="Arial"/>
        </w:rPr>
        <w:t xml:space="preserve"> </w:t>
      </w:r>
      <w:r w:rsidR="00A47F9A" w:rsidRPr="00BA1D95">
        <w:rPr>
          <w:rFonts w:cs="Arial"/>
        </w:rPr>
        <w:t>también brindará los servicios cuando no existan acometidas a los domicilios de los usuarios, pero se cuente con los recursos de red asociados para prestar los servicios a dichos domicilios. La ausencia de recursos de red será notificada a los CS mediante</w:t>
      </w:r>
      <w:r w:rsidR="00117CAE" w:rsidRPr="00BA1D95">
        <w:rPr>
          <w:rFonts w:cs="Arial"/>
        </w:rPr>
        <w:t xml:space="preserve"> </w:t>
      </w:r>
      <w:r w:rsidR="00A47F9A" w:rsidRPr="00BA1D95">
        <w:rPr>
          <w:rFonts w:cs="Arial"/>
        </w:rPr>
        <w:t xml:space="preserve">las siguientes etiquetas del </w:t>
      </w:r>
      <w:r w:rsidR="006B5A23">
        <w:rPr>
          <w:rFonts w:cs="Arial"/>
        </w:rPr>
        <w:t>SEG</w:t>
      </w:r>
      <w:r w:rsidR="00A47F9A" w:rsidRPr="00BA1D95">
        <w:rPr>
          <w:rFonts w:cs="Arial"/>
        </w:rPr>
        <w:t>:</w:t>
      </w:r>
    </w:p>
    <w:p w:rsidR="00A47F9A" w:rsidRPr="00BA1D95" w:rsidRDefault="00A47F9A" w:rsidP="004B11EB">
      <w:pPr>
        <w:pStyle w:val="Texto1"/>
        <w:spacing w:after="200" w:line="276" w:lineRule="auto"/>
        <w:ind w:left="720"/>
        <w:rPr>
          <w:rFonts w:ascii="ITC Avant Garde" w:hAnsi="ITC Avant Garde" w:cs="Arial"/>
          <w:sz w:val="22"/>
          <w:szCs w:val="22"/>
        </w:rPr>
      </w:pPr>
      <w:r w:rsidRPr="00BA1D95">
        <w:rPr>
          <w:rFonts w:ascii="ITC Avant Garde" w:hAnsi="ITC Avant Garde" w:cs="Arial"/>
          <w:b/>
          <w:sz w:val="22"/>
          <w:szCs w:val="22"/>
        </w:rPr>
        <w:t>•</w:t>
      </w:r>
      <w:r w:rsidRPr="00BA1D95">
        <w:rPr>
          <w:rFonts w:ascii="ITC Avant Garde" w:hAnsi="ITC Avant Garde" w:cs="Arial"/>
          <w:b/>
          <w:sz w:val="22"/>
          <w:szCs w:val="22"/>
        </w:rPr>
        <w:tab/>
        <w:t>SRL</w:t>
      </w:r>
      <w:r w:rsidRPr="00BA1D95">
        <w:rPr>
          <w:rFonts w:ascii="ITC Avant Garde" w:hAnsi="ITC Avant Garde" w:cs="Arial"/>
          <w:sz w:val="22"/>
          <w:szCs w:val="22"/>
        </w:rPr>
        <w:t xml:space="preserve">: </w:t>
      </w:r>
    </w:p>
    <w:p w:rsidR="00A47F9A" w:rsidRPr="00BA1D95" w:rsidRDefault="00A47F9A" w:rsidP="00FF4EC6">
      <w:pPr>
        <w:pStyle w:val="Texto1"/>
        <w:numPr>
          <w:ilvl w:val="0"/>
          <w:numId w:val="44"/>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Líneas Telefónicas; </w:t>
      </w:r>
    </w:p>
    <w:p w:rsidR="00A47F9A" w:rsidRPr="00BA1D95" w:rsidRDefault="00A47F9A" w:rsidP="00FF4EC6">
      <w:pPr>
        <w:pStyle w:val="Texto1"/>
        <w:numPr>
          <w:ilvl w:val="0"/>
          <w:numId w:val="44"/>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Red Principal; </w:t>
      </w:r>
    </w:p>
    <w:p w:rsidR="00A47F9A" w:rsidRPr="00BA1D95" w:rsidRDefault="00A47F9A" w:rsidP="00D37C98">
      <w:pPr>
        <w:pStyle w:val="Texto1"/>
        <w:numPr>
          <w:ilvl w:val="0"/>
          <w:numId w:val="44"/>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No hay facilidades de Red Secundaria; </w:t>
      </w:r>
    </w:p>
    <w:p w:rsidR="00A47F9A" w:rsidRPr="00BA1D95" w:rsidRDefault="00A47F9A" w:rsidP="004B11EB">
      <w:pPr>
        <w:pStyle w:val="Texto1"/>
        <w:spacing w:after="200" w:line="276" w:lineRule="auto"/>
        <w:ind w:left="720"/>
        <w:rPr>
          <w:rFonts w:ascii="ITC Avant Garde" w:hAnsi="ITC Avant Garde" w:cs="Arial"/>
          <w:sz w:val="22"/>
          <w:szCs w:val="22"/>
        </w:rPr>
      </w:pPr>
      <w:r w:rsidRPr="00BA1D95">
        <w:rPr>
          <w:rFonts w:ascii="ITC Avant Garde" w:hAnsi="ITC Avant Garde" w:cs="Arial"/>
          <w:b/>
          <w:sz w:val="22"/>
          <w:szCs w:val="22"/>
        </w:rPr>
        <w:t>•</w:t>
      </w:r>
      <w:r w:rsidRPr="00BA1D95">
        <w:rPr>
          <w:rFonts w:ascii="ITC Avant Garde" w:hAnsi="ITC Avant Garde" w:cs="Arial"/>
          <w:b/>
          <w:sz w:val="22"/>
          <w:szCs w:val="22"/>
        </w:rPr>
        <w:tab/>
        <w:t>SRI y SRP</w:t>
      </w:r>
      <w:r w:rsidR="00C0124F" w:rsidRPr="00BA1D95">
        <w:rPr>
          <w:rFonts w:ascii="ITC Avant Garde" w:hAnsi="ITC Avant Garde" w:cs="Arial"/>
          <w:sz w:val="22"/>
          <w:szCs w:val="22"/>
        </w:rPr>
        <w:t>:</w:t>
      </w:r>
    </w:p>
    <w:p w:rsidR="00A47F9A" w:rsidRPr="00BA1D95" w:rsidRDefault="00A47F9A" w:rsidP="00FF4EC6">
      <w:pPr>
        <w:pStyle w:val="Texto1"/>
        <w:numPr>
          <w:ilvl w:val="0"/>
          <w:numId w:val="45"/>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Líneas Telefónicas; </w:t>
      </w:r>
    </w:p>
    <w:p w:rsidR="00A47F9A" w:rsidRPr="00BA1D95" w:rsidRDefault="00A47F9A" w:rsidP="00FF4EC6">
      <w:pPr>
        <w:pStyle w:val="Texto1"/>
        <w:numPr>
          <w:ilvl w:val="0"/>
          <w:numId w:val="45"/>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Red Principal; </w:t>
      </w:r>
    </w:p>
    <w:p w:rsidR="00A47F9A" w:rsidRPr="00BA1D95" w:rsidRDefault="00A47F9A" w:rsidP="00FF4EC6">
      <w:pPr>
        <w:pStyle w:val="Texto1"/>
        <w:numPr>
          <w:ilvl w:val="0"/>
          <w:numId w:val="45"/>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Red Secundaria; </w:t>
      </w:r>
    </w:p>
    <w:p w:rsidR="00A47F9A" w:rsidRPr="00BA1D95" w:rsidRDefault="00A47F9A" w:rsidP="00D37C98">
      <w:pPr>
        <w:pStyle w:val="Texto1"/>
        <w:numPr>
          <w:ilvl w:val="0"/>
          <w:numId w:val="45"/>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Calificación del Bucle (Distancia/Velocidad) inadecuada; </w:t>
      </w:r>
    </w:p>
    <w:p w:rsidR="00A47F9A" w:rsidRPr="00BA1D95" w:rsidRDefault="00A47F9A" w:rsidP="004B11EB">
      <w:pPr>
        <w:pStyle w:val="Texto1"/>
        <w:spacing w:after="200" w:line="276" w:lineRule="auto"/>
        <w:ind w:left="720"/>
        <w:rPr>
          <w:rFonts w:ascii="ITC Avant Garde" w:hAnsi="ITC Avant Garde" w:cs="Arial"/>
          <w:b/>
          <w:sz w:val="22"/>
          <w:szCs w:val="22"/>
        </w:rPr>
      </w:pPr>
      <w:r w:rsidRPr="00BA1D95">
        <w:rPr>
          <w:rFonts w:ascii="ITC Avant Garde" w:hAnsi="ITC Avant Garde" w:cs="Arial"/>
          <w:b/>
          <w:sz w:val="22"/>
          <w:szCs w:val="22"/>
        </w:rPr>
        <w:t>•</w:t>
      </w:r>
      <w:r w:rsidRPr="00BA1D95">
        <w:rPr>
          <w:rFonts w:ascii="ITC Avant Garde" w:hAnsi="ITC Avant Garde" w:cs="Arial"/>
          <w:b/>
          <w:sz w:val="22"/>
          <w:szCs w:val="22"/>
        </w:rPr>
        <w:tab/>
        <w:t>SRMLT</w:t>
      </w:r>
      <w:r w:rsidR="00C0124F" w:rsidRPr="00BA1D95">
        <w:rPr>
          <w:rFonts w:ascii="ITC Avant Garde" w:hAnsi="ITC Avant Garde" w:cs="Arial"/>
          <w:b/>
          <w:sz w:val="22"/>
          <w:szCs w:val="22"/>
        </w:rPr>
        <w:t>:</w:t>
      </w:r>
    </w:p>
    <w:p w:rsidR="00A47F9A" w:rsidRPr="00BA1D95" w:rsidRDefault="00A47F9A" w:rsidP="00FF4EC6">
      <w:pPr>
        <w:pStyle w:val="Texto1"/>
        <w:numPr>
          <w:ilvl w:val="0"/>
          <w:numId w:val="45"/>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Líneas Telefónicas; </w:t>
      </w:r>
    </w:p>
    <w:p w:rsidR="00A47F9A" w:rsidRPr="00BA1D95" w:rsidRDefault="00A47F9A" w:rsidP="00FF4EC6">
      <w:pPr>
        <w:pStyle w:val="Texto1"/>
        <w:numPr>
          <w:ilvl w:val="0"/>
          <w:numId w:val="45"/>
        </w:numPr>
        <w:spacing w:after="200" w:line="276" w:lineRule="auto"/>
        <w:ind w:left="1434" w:hanging="357"/>
        <w:contextualSpacing/>
        <w:rPr>
          <w:rFonts w:ascii="ITC Avant Garde" w:hAnsi="ITC Avant Garde" w:cs="Arial"/>
          <w:sz w:val="22"/>
          <w:szCs w:val="22"/>
        </w:rPr>
      </w:pPr>
      <w:r w:rsidRPr="00BA1D95">
        <w:rPr>
          <w:rFonts w:ascii="ITC Avant Garde" w:hAnsi="ITC Avant Garde" w:cs="Arial"/>
          <w:sz w:val="22"/>
          <w:szCs w:val="22"/>
        </w:rPr>
        <w:t xml:space="preserve">No hay facilidades de Red Principal; </w:t>
      </w:r>
    </w:p>
    <w:p w:rsidR="00E938FD" w:rsidRDefault="00A47F9A">
      <w:pPr>
        <w:pStyle w:val="Texto1"/>
        <w:numPr>
          <w:ilvl w:val="0"/>
          <w:numId w:val="45"/>
        </w:numPr>
        <w:spacing w:after="200" w:line="276" w:lineRule="auto"/>
        <w:rPr>
          <w:rFonts w:ascii="ITC Avant Garde" w:hAnsi="ITC Avant Garde"/>
          <w:sz w:val="22"/>
          <w:szCs w:val="22"/>
        </w:rPr>
      </w:pPr>
      <w:r w:rsidRPr="00BA1D95">
        <w:rPr>
          <w:rFonts w:ascii="ITC Avant Garde" w:hAnsi="ITC Avant Garde" w:cs="Arial"/>
          <w:sz w:val="22"/>
          <w:szCs w:val="22"/>
        </w:rPr>
        <w:t xml:space="preserve">No hay facilidades de Red Secundaria; </w:t>
      </w:r>
    </w:p>
    <w:p w:rsidR="006B4D98" w:rsidRPr="00383C3D" w:rsidRDefault="008C5388" w:rsidP="00383C3D">
      <w:pPr>
        <w:pStyle w:val="IFTnormal"/>
        <w:rPr>
          <w:rFonts w:cs="Arial"/>
        </w:rPr>
      </w:pPr>
      <w:r>
        <w:rPr>
          <w:rFonts w:cs="Arial"/>
        </w:rPr>
        <w:t>Asimismo</w:t>
      </w:r>
      <w:r w:rsidR="00DE7C81">
        <w:rPr>
          <w:rFonts w:cs="Arial"/>
        </w:rPr>
        <w:t>,</w:t>
      </w:r>
      <w:r>
        <w:rPr>
          <w:rFonts w:cs="Arial"/>
        </w:rPr>
        <w:t xml:space="preserve"> cada vez que</w:t>
      </w:r>
      <w:r w:rsidR="006B4D98" w:rsidRPr="00BA1D95">
        <w:rPr>
          <w:rFonts w:cs="Arial"/>
        </w:rPr>
        <w:t xml:space="preserve"> se nieguen los servicios por la falta recursos de red</w:t>
      </w:r>
      <w:r w:rsidR="00380893">
        <w:rPr>
          <w:rFonts w:cs="Arial"/>
        </w:rPr>
        <w:t>,</w:t>
      </w:r>
      <w:r w:rsidR="00DA6294" w:rsidRPr="00BA1D95">
        <w:rPr>
          <w:rFonts w:cs="Arial"/>
        </w:rPr>
        <w:t xml:space="preserve"> </w:t>
      </w:r>
      <w:r w:rsidR="00E83F21">
        <w:rPr>
          <w:rFonts w:cs="Arial"/>
        </w:rPr>
        <w:t>Telmex / Telnor</w:t>
      </w:r>
      <w:r w:rsidR="00BC4ABD">
        <w:rPr>
          <w:rFonts w:cs="Arial"/>
        </w:rPr>
        <w:t xml:space="preserve"> </w:t>
      </w:r>
      <w:r>
        <w:rPr>
          <w:rFonts w:cs="Arial"/>
        </w:rPr>
        <w:t>indicará</w:t>
      </w:r>
      <w:r w:rsidR="0088261E" w:rsidRPr="00BA1D95">
        <w:rPr>
          <w:rFonts w:cs="Arial"/>
        </w:rPr>
        <w:t xml:space="preserve"> </w:t>
      </w:r>
      <w:r w:rsidR="006B4D98" w:rsidRPr="00BA1D95">
        <w:rPr>
          <w:rFonts w:cs="Arial"/>
        </w:rPr>
        <w:t>a los CS</w:t>
      </w:r>
      <w:r>
        <w:rPr>
          <w:rFonts w:cs="Arial"/>
        </w:rPr>
        <w:t xml:space="preserve"> junto con</w:t>
      </w:r>
      <w:r w:rsidR="006B4D98" w:rsidRPr="00BA1D95">
        <w:rPr>
          <w:rFonts w:cs="Arial"/>
        </w:rPr>
        <w:t xml:space="preserve"> la etiqueta </w:t>
      </w:r>
      <w:r>
        <w:rPr>
          <w:rFonts w:cs="Arial"/>
        </w:rPr>
        <w:t xml:space="preserve">del SEG la justificación </w:t>
      </w:r>
      <w:r w:rsidR="006B4D98" w:rsidRPr="00BA1D95">
        <w:rPr>
          <w:rFonts w:cs="Arial"/>
        </w:rPr>
        <w:t xml:space="preserve">de los elementos de red ausentes </w:t>
      </w:r>
      <w:r w:rsidR="0088261E">
        <w:rPr>
          <w:rFonts w:cs="Arial"/>
        </w:rPr>
        <w:t xml:space="preserve">que </w:t>
      </w:r>
      <w:r w:rsidR="006B4D98" w:rsidRPr="00BA1D95">
        <w:rPr>
          <w:rFonts w:cs="Arial"/>
        </w:rPr>
        <w:t>no permitieron brindar el servicio</w:t>
      </w:r>
      <w:r w:rsidR="007D1E13">
        <w:rPr>
          <w:rFonts w:cs="Arial"/>
        </w:rPr>
        <w:t>, especificando y distinguiendo aquellos</w:t>
      </w:r>
      <w:r w:rsidR="006E2892">
        <w:rPr>
          <w:rFonts w:cs="Arial"/>
        </w:rPr>
        <w:t xml:space="preserve"> que le </w:t>
      </w:r>
      <w:r w:rsidR="007D1E13">
        <w:rPr>
          <w:rFonts w:cs="Arial"/>
        </w:rPr>
        <w:t>hubiere</w:t>
      </w:r>
      <w:r w:rsidR="006E2892">
        <w:rPr>
          <w:rFonts w:cs="Arial"/>
        </w:rPr>
        <w:t xml:space="preserve"> notificado la EM</w:t>
      </w:r>
      <w:r w:rsidR="007D1E13">
        <w:rPr>
          <w:rFonts w:cs="Arial"/>
        </w:rPr>
        <w:t>,</w:t>
      </w:r>
      <w:r w:rsidR="006E2892">
        <w:rPr>
          <w:rFonts w:cs="Arial"/>
        </w:rPr>
        <w:t xml:space="preserve"> dentro de los motivos autorizados por el Instituto</w:t>
      </w:r>
      <w:r w:rsidR="007D1E13">
        <w:rPr>
          <w:rFonts w:cs="Arial"/>
        </w:rPr>
        <w:t>, a efecto de brindar mayor claridad en la información a los CS</w:t>
      </w:r>
      <w:r w:rsidR="006B4D98" w:rsidRPr="00BA1D95">
        <w:rPr>
          <w:rFonts w:cs="Arial"/>
        </w:rPr>
        <w:t>. Para lo anterior a</w:t>
      </w:r>
      <w:r w:rsidR="006B4D98" w:rsidRPr="00BA1D95" w:rsidDel="00BF4C74">
        <w:rPr>
          <w:rFonts w:cs="Arial"/>
        </w:rPr>
        <w:t xml:space="preserve"> continuación se enlistan los recursos de red </w:t>
      </w:r>
      <w:r w:rsidR="006B4D98" w:rsidRPr="00BA1D95">
        <w:rPr>
          <w:rFonts w:cs="Arial"/>
        </w:rPr>
        <w:t>mínimos</w:t>
      </w:r>
      <w:r w:rsidR="006B4D98" w:rsidRPr="00BA1D95" w:rsidDel="00BF4C74">
        <w:rPr>
          <w:rFonts w:cs="Arial"/>
        </w:rPr>
        <w:t xml:space="preserve"> necesarios para la existencia de factibilidad técnica, es decir, la existencia de todos los recursos de red asociados para la prestación de los servicios</w:t>
      </w:r>
      <w:r w:rsidR="00BA671A">
        <w:rPr>
          <w:rFonts w:cs="Arial"/>
        </w:rPr>
        <w:t xml:space="preserve">, incluyendo </w:t>
      </w:r>
      <w:r w:rsidR="006B4D98" w:rsidRPr="00BA1D95" w:rsidDel="00BF4C74">
        <w:rPr>
          <w:rFonts w:cs="Arial"/>
        </w:rPr>
        <w:t>los casos que no exista acometida en el domicilio del Usuario Final</w:t>
      </w:r>
      <w:r w:rsidR="006B4D98" w:rsidRPr="00BA1D95">
        <w:rPr>
          <w:rFonts w:cs="Arial"/>
        </w:rPr>
        <w:t xml:space="preserve">, así </w:t>
      </w:r>
      <w:r w:rsidR="006B4D98" w:rsidRPr="00383C3D">
        <w:rPr>
          <w:rFonts w:cs="Arial"/>
        </w:rPr>
        <w:t>para poder brindar los servicios es necesario que exista disponibilidad de todos y cada uno de los siguientes recursos de red:</w:t>
      </w:r>
    </w:p>
    <w:p w:rsidR="006B4D98" w:rsidRPr="00BA1D95" w:rsidRDefault="006B4D98" w:rsidP="00D37C98">
      <w:pPr>
        <w:pStyle w:val="Texto1"/>
        <w:numPr>
          <w:ilvl w:val="0"/>
          <w:numId w:val="99"/>
        </w:numPr>
        <w:spacing w:after="200" w:line="276" w:lineRule="auto"/>
        <w:ind w:left="714" w:hanging="357"/>
        <w:rPr>
          <w:rFonts w:ascii="ITC Avant Garde" w:hAnsi="ITC Avant Garde" w:cs="Arial"/>
          <w:sz w:val="22"/>
          <w:szCs w:val="22"/>
        </w:rPr>
      </w:pPr>
      <w:r w:rsidRPr="00BA1D95">
        <w:rPr>
          <w:rFonts w:ascii="ITC Avant Garde" w:hAnsi="ITC Avant Garde" w:cs="Arial"/>
          <w:b/>
          <w:sz w:val="22"/>
          <w:szCs w:val="22"/>
          <w:lang w:val="es-MX"/>
        </w:rPr>
        <w:t>SRL:</w:t>
      </w:r>
      <w:r w:rsidRPr="00BA1D95">
        <w:rPr>
          <w:rFonts w:ascii="ITC Avant Garde" w:hAnsi="ITC Avant Garde" w:cs="Arial"/>
          <w:sz w:val="22"/>
          <w:szCs w:val="22"/>
          <w:lang w:val="es-MX"/>
        </w:rPr>
        <w:t xml:space="preserve"> </w:t>
      </w:r>
    </w:p>
    <w:p w:rsidR="006B4D98" w:rsidRPr="00F02E74"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F02E74">
        <w:rPr>
          <w:rFonts w:ascii="ITC Avant Garde" w:hAnsi="ITC Avant Garde" w:cs="Arial"/>
          <w:sz w:val="22"/>
          <w:szCs w:val="22"/>
          <w:lang w:val="es-MX"/>
        </w:rPr>
        <w:t>Líneas telefónicas disponibles en central</w:t>
      </w:r>
      <w:r w:rsidR="00AE7B37" w:rsidRPr="00F02E74">
        <w:rPr>
          <w:rFonts w:ascii="ITC Avant Garde" w:hAnsi="ITC Avant Garde" w:cs="Arial"/>
          <w:sz w:val="22"/>
          <w:szCs w:val="22"/>
          <w:lang w:val="es-MX"/>
        </w:rPr>
        <w:t>;</w:t>
      </w:r>
      <w:r w:rsidRPr="00F02E74">
        <w:rPr>
          <w:rFonts w:ascii="ITC Avant Garde" w:hAnsi="ITC Avant Garde" w:cs="Arial"/>
          <w:sz w:val="22"/>
          <w:szCs w:val="22"/>
          <w:lang w:val="es-MX"/>
        </w:rPr>
        <w:t xml:space="preserve"> </w:t>
      </w:r>
    </w:p>
    <w:p w:rsidR="006B4D98" w:rsidRPr="00F02E74"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F02E74">
        <w:rPr>
          <w:rFonts w:ascii="ITC Avant Garde" w:hAnsi="ITC Avant Garde" w:cs="Arial"/>
          <w:sz w:val="22"/>
          <w:szCs w:val="22"/>
          <w:lang w:val="es-MX"/>
        </w:rPr>
        <w:t>Tablillas en distribuidor general (terminales)</w:t>
      </w:r>
      <w:r w:rsidR="00AE7B37" w:rsidRPr="00F02E74">
        <w:rPr>
          <w:rFonts w:ascii="ITC Avant Garde" w:hAnsi="ITC Avant Garde" w:cs="Arial"/>
          <w:sz w:val="22"/>
          <w:szCs w:val="22"/>
          <w:lang w:val="es-MX"/>
        </w:rPr>
        <w:t>;</w:t>
      </w:r>
      <w:r w:rsidRPr="00F02E74">
        <w:rPr>
          <w:rFonts w:ascii="ITC Avant Garde" w:hAnsi="ITC Avant Garde" w:cs="Arial"/>
          <w:sz w:val="22"/>
          <w:szCs w:val="22"/>
          <w:lang w:val="es-MX"/>
        </w:rPr>
        <w:t xml:space="preserve"> </w:t>
      </w:r>
    </w:p>
    <w:p w:rsidR="006B4D98" w:rsidRPr="00F02E74"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F02E74">
        <w:rPr>
          <w:rFonts w:ascii="ITC Avant Garde" w:hAnsi="ITC Avant Garde" w:cs="Arial"/>
          <w:sz w:val="22"/>
          <w:szCs w:val="22"/>
          <w:lang w:val="es-MX"/>
        </w:rPr>
        <w:t>Bucle en red principal (pares metálicos de cobre que se rematan en tablillas asignadas a la Planta Externa en el DG y se llevan hasta las Cajas de Distribución)</w:t>
      </w:r>
      <w:r w:rsidR="00AE7B37" w:rsidRPr="00F02E74">
        <w:rPr>
          <w:rFonts w:ascii="ITC Avant Garde" w:hAnsi="ITC Avant Garde" w:cs="Arial"/>
          <w:sz w:val="22"/>
          <w:szCs w:val="22"/>
          <w:lang w:val="es-MX"/>
        </w:rPr>
        <w:t>;</w:t>
      </w:r>
      <w:r w:rsidRPr="00F02E74">
        <w:rPr>
          <w:rFonts w:ascii="ITC Avant Garde" w:hAnsi="ITC Avant Garde" w:cs="Arial"/>
          <w:sz w:val="22"/>
          <w:szCs w:val="22"/>
          <w:lang w:val="es-MX"/>
        </w:rPr>
        <w:t xml:space="preserve"> </w:t>
      </w:r>
    </w:p>
    <w:p w:rsidR="006B4D98" w:rsidRPr="00F02E74"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F02E74">
        <w:rPr>
          <w:rFonts w:ascii="ITC Avant Garde" w:hAnsi="ITC Avant Garde" w:cs="Arial"/>
          <w:sz w:val="22"/>
          <w:szCs w:val="22"/>
          <w:lang w:val="es-MX"/>
        </w:rPr>
        <w:lastRenderedPageBreak/>
        <w:t>Bucle en red secundaria (pares metálicos de cobre que se rematan en tablillas en la CD y se llevan hasta los puntos de Dispersión-Terminales) que cumpla con los parámetros técnicos mínimos</w:t>
      </w:r>
      <w:r w:rsidR="00AE7B37" w:rsidRPr="00F02E74">
        <w:rPr>
          <w:rFonts w:ascii="ITC Avant Garde" w:hAnsi="ITC Avant Garde" w:cs="Arial"/>
          <w:sz w:val="22"/>
          <w:szCs w:val="22"/>
          <w:lang w:val="es-MX"/>
        </w:rPr>
        <w:t>;</w:t>
      </w:r>
      <w:r w:rsidRPr="00F02E74">
        <w:rPr>
          <w:rFonts w:ascii="ITC Avant Garde" w:hAnsi="ITC Avant Garde" w:cs="Arial"/>
          <w:sz w:val="22"/>
          <w:szCs w:val="22"/>
          <w:lang w:val="es-MX"/>
        </w:rPr>
        <w:t xml:space="preserve"> </w:t>
      </w:r>
    </w:p>
    <w:p w:rsidR="006B4D98" w:rsidRPr="00F02E74"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F02E74">
        <w:rPr>
          <w:rFonts w:ascii="ITC Avant Garde" w:hAnsi="ITC Avant Garde" w:cs="Arial"/>
          <w:sz w:val="22"/>
          <w:szCs w:val="22"/>
          <w:lang w:val="es-MX"/>
        </w:rPr>
        <w:t xml:space="preserve">Caja terminal. </w:t>
      </w:r>
    </w:p>
    <w:p w:rsidR="00E938FD" w:rsidRPr="00DE7C81" w:rsidRDefault="006B4D98" w:rsidP="00DE7C81">
      <w:pPr>
        <w:pStyle w:val="Texto1"/>
        <w:numPr>
          <w:ilvl w:val="0"/>
          <w:numId w:val="100"/>
        </w:numPr>
        <w:spacing w:after="200" w:line="276" w:lineRule="auto"/>
        <w:rPr>
          <w:rFonts w:ascii="ITC Avant Garde" w:hAnsi="ITC Avant Garde" w:cs="Arial"/>
          <w:sz w:val="22"/>
          <w:szCs w:val="22"/>
        </w:rPr>
      </w:pPr>
      <w:r w:rsidRPr="00BA1D95">
        <w:rPr>
          <w:rFonts w:ascii="ITC Avant Garde" w:hAnsi="ITC Avant Garde" w:cs="Arial"/>
          <w:b/>
          <w:sz w:val="22"/>
          <w:szCs w:val="22"/>
          <w:lang w:val="es-MX"/>
        </w:rPr>
        <w:t>SRI:</w:t>
      </w:r>
      <w:r w:rsidRPr="00BA1D95">
        <w:rPr>
          <w:rFonts w:ascii="ITC Avant Garde" w:hAnsi="ITC Avant Garde" w:cs="Arial"/>
          <w:sz w:val="22"/>
          <w:szCs w:val="22"/>
        </w:rPr>
        <w:t xml:space="preserve"> </w:t>
      </w:r>
    </w:p>
    <w:p w:rsidR="00E938FD" w:rsidRDefault="006B4D98">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Equipos de acceso de tecnología Ethernet</w:t>
      </w:r>
    </w:p>
    <w:p w:rsidR="006B4D98" w:rsidRPr="008E7097"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 de acceso DSLAM, puerto DSLAM, par en red principal y par en red secundaria hasta la caja terminal que cumpla con los parámetros técnicos mínimos</w:t>
      </w:r>
      <w:r w:rsidR="00AE7B37" w:rsidRPr="008E7097">
        <w:rPr>
          <w:rFonts w:ascii="ITC Avant Garde" w:hAnsi="ITC Avant Garde" w:cs="Arial"/>
          <w:sz w:val="22"/>
          <w:szCs w:val="22"/>
          <w:lang w:val="es-MX"/>
        </w:rPr>
        <w:t>;</w:t>
      </w:r>
    </w:p>
    <w:p w:rsidR="006B4D98" w:rsidRPr="008E7097"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 de acceso TBA, puerto TBA, par en red secundaria hasta la caja terminal que cumpla con los parámetros técnicos mínimos</w:t>
      </w:r>
      <w:r w:rsidR="00AE7B37" w:rsidRPr="008E7097">
        <w:rPr>
          <w:rFonts w:ascii="ITC Avant Garde" w:hAnsi="ITC Avant Garde" w:cs="Arial"/>
          <w:sz w:val="22"/>
          <w:szCs w:val="22"/>
          <w:lang w:val="es-MX"/>
        </w:rPr>
        <w:t>;</w:t>
      </w:r>
    </w:p>
    <w:p w:rsidR="00482D03" w:rsidRDefault="006B4D98" w:rsidP="00EA4735">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 xml:space="preserve">Equipo de acceso FTTH (GPON), Puerto con capacidad disponible en el OLT, red de fibra óptica hasta la caja terminal de fibra óptica. </w:t>
      </w:r>
    </w:p>
    <w:p w:rsidR="003223FC" w:rsidRDefault="003223FC" w:rsidP="003223FC">
      <w:pPr>
        <w:pStyle w:val="Texto1"/>
        <w:spacing w:after="120" w:line="276" w:lineRule="auto"/>
        <w:ind w:left="1434"/>
        <w:rPr>
          <w:rFonts w:ascii="ITC Avant Garde" w:hAnsi="ITC Avant Garde" w:cs="Arial"/>
          <w:sz w:val="22"/>
          <w:szCs w:val="22"/>
          <w:lang w:val="es-MX"/>
        </w:rPr>
      </w:pPr>
    </w:p>
    <w:p w:rsidR="00E938FD" w:rsidRDefault="006B4D98" w:rsidP="00DE7C81">
      <w:pPr>
        <w:pStyle w:val="Texto1"/>
        <w:numPr>
          <w:ilvl w:val="0"/>
          <w:numId w:val="99"/>
        </w:numPr>
        <w:spacing w:after="200" w:line="276" w:lineRule="auto"/>
        <w:ind w:left="714" w:hanging="357"/>
        <w:rPr>
          <w:rFonts w:ascii="ITC Avant Garde" w:hAnsi="ITC Avant Garde" w:cs="Arial"/>
          <w:sz w:val="22"/>
          <w:szCs w:val="22"/>
          <w:lang w:val="es-MX"/>
        </w:rPr>
      </w:pPr>
      <w:r w:rsidRPr="00BA1D95">
        <w:rPr>
          <w:rFonts w:ascii="ITC Avant Garde" w:hAnsi="ITC Avant Garde" w:cs="Arial"/>
          <w:b/>
          <w:sz w:val="22"/>
          <w:szCs w:val="22"/>
          <w:lang w:val="es-MX"/>
        </w:rPr>
        <w:t>SRP:</w:t>
      </w:r>
      <w:r w:rsidRPr="00BA1D95">
        <w:rPr>
          <w:rFonts w:ascii="ITC Avant Garde" w:hAnsi="ITC Avant Garde" w:cs="Arial"/>
          <w:sz w:val="22"/>
          <w:szCs w:val="22"/>
          <w:lang w:val="es-MX"/>
        </w:rPr>
        <w:t xml:space="preserve"> </w:t>
      </w:r>
    </w:p>
    <w:p w:rsidR="006B4D98" w:rsidRPr="008E7097"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 xml:space="preserve">Equipos de acceso de tecnología Ethernet: </w:t>
      </w:r>
    </w:p>
    <w:p w:rsidR="006B4D98" w:rsidRPr="008E7097"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 de acceso DSLAM, Línea telefónica disponible en central, puerto DSLAM, par de cobre en red principal y par de cobre en red secundaria hasta la caja terminal que cumpla con los parámetros técnicos mínimos</w:t>
      </w:r>
      <w:r w:rsidR="00AE7B37" w:rsidRPr="008E7097">
        <w:rPr>
          <w:rFonts w:ascii="ITC Avant Garde" w:hAnsi="ITC Avant Garde" w:cs="Arial"/>
          <w:sz w:val="22"/>
          <w:szCs w:val="22"/>
          <w:lang w:val="es-MX"/>
        </w:rPr>
        <w:t>;</w:t>
      </w:r>
    </w:p>
    <w:p w:rsidR="006B4D98" w:rsidRPr="008E7097"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 de acceso TBA, Línea telefónica en central, puerto TBA, fibra óptica en red principal y par de cobre en red secundaria hasta la caja terminal que cumpla con los parámetros técnicos mínimos</w:t>
      </w:r>
      <w:r w:rsidR="00AE7B37" w:rsidRPr="008E7097">
        <w:rPr>
          <w:rFonts w:ascii="ITC Avant Garde" w:hAnsi="ITC Avant Garde" w:cs="Arial"/>
          <w:sz w:val="22"/>
          <w:szCs w:val="22"/>
          <w:lang w:val="es-MX"/>
        </w:rPr>
        <w:t>;</w:t>
      </w:r>
    </w:p>
    <w:p w:rsidR="006B4D98" w:rsidRDefault="006B4D98" w:rsidP="008E7097">
      <w:pPr>
        <w:pStyle w:val="Texto1"/>
        <w:numPr>
          <w:ilvl w:val="1"/>
          <w:numId w:val="99"/>
        </w:numPr>
        <w:spacing w:after="120" w:line="276" w:lineRule="auto"/>
        <w:ind w:left="1434" w:hanging="357"/>
        <w:rPr>
          <w:rFonts w:ascii="ITC Avant Garde" w:hAnsi="ITC Avant Garde" w:cs="Arial"/>
          <w:sz w:val="22"/>
          <w:szCs w:val="22"/>
          <w:lang w:val="es-MX"/>
        </w:rPr>
      </w:pPr>
      <w:r w:rsidRPr="008E7097">
        <w:rPr>
          <w:rFonts w:ascii="ITC Avant Garde" w:hAnsi="ITC Avant Garde" w:cs="Arial"/>
          <w:sz w:val="22"/>
          <w:szCs w:val="22"/>
          <w:lang w:val="es-MX"/>
        </w:rPr>
        <w:t>Equipo de acceso FTTH (GPON), Puerto con capacidad disponible en el OLT, red de fibra óptica hasta la caja terminal de fibra óptica</w:t>
      </w:r>
      <w:r w:rsidR="00AE7B37" w:rsidRPr="008E7097">
        <w:rPr>
          <w:rFonts w:ascii="ITC Avant Garde" w:hAnsi="ITC Avant Garde" w:cs="Arial"/>
          <w:sz w:val="22"/>
          <w:szCs w:val="22"/>
          <w:lang w:val="es-MX"/>
        </w:rPr>
        <w:t>.</w:t>
      </w:r>
    </w:p>
    <w:p w:rsidR="00807488" w:rsidRPr="00BA1D95" w:rsidRDefault="00807488" w:rsidP="00D37C98">
      <w:pPr>
        <w:pStyle w:val="Texto1"/>
        <w:numPr>
          <w:ilvl w:val="0"/>
          <w:numId w:val="99"/>
        </w:numPr>
        <w:spacing w:after="200" w:line="276" w:lineRule="auto"/>
        <w:ind w:left="714" w:hanging="357"/>
        <w:rPr>
          <w:rFonts w:ascii="ITC Avant Garde" w:hAnsi="ITC Avant Garde" w:cs="Arial"/>
          <w:sz w:val="22"/>
          <w:szCs w:val="22"/>
        </w:rPr>
      </w:pPr>
      <w:r w:rsidRPr="00BA1D95">
        <w:rPr>
          <w:rFonts w:ascii="ITC Avant Garde" w:hAnsi="ITC Avant Garde" w:cs="Arial"/>
          <w:b/>
          <w:sz w:val="22"/>
          <w:szCs w:val="22"/>
          <w:lang w:val="es-MX"/>
        </w:rPr>
        <w:t>SRLMT:</w:t>
      </w:r>
      <w:r w:rsidRPr="00BA1D95">
        <w:rPr>
          <w:rFonts w:ascii="ITC Avant Garde" w:hAnsi="ITC Avant Garde" w:cs="Arial"/>
          <w:sz w:val="22"/>
          <w:szCs w:val="22"/>
          <w:lang w:val="es-MX"/>
        </w:rPr>
        <w:t xml:space="preserve"> </w:t>
      </w:r>
    </w:p>
    <w:p w:rsidR="00E938FD" w:rsidRDefault="00807488" w:rsidP="00DE7C81">
      <w:pPr>
        <w:pStyle w:val="Texto1"/>
        <w:numPr>
          <w:ilvl w:val="1"/>
          <w:numId w:val="99"/>
        </w:numPr>
        <w:spacing w:after="120" w:line="276" w:lineRule="auto"/>
        <w:ind w:left="1434" w:hanging="357"/>
        <w:rPr>
          <w:rFonts w:ascii="ITC Avant Garde" w:hAnsi="ITC Avant Garde" w:cs="Arial"/>
          <w:sz w:val="22"/>
          <w:szCs w:val="22"/>
          <w:lang w:val="es-MX"/>
        </w:rPr>
      </w:pPr>
      <w:r w:rsidRPr="00BA1D95">
        <w:rPr>
          <w:rFonts w:ascii="ITC Avant Garde" w:hAnsi="ITC Avant Garde" w:cs="Arial"/>
          <w:sz w:val="22"/>
          <w:szCs w:val="22"/>
          <w:lang w:val="es-MX"/>
        </w:rPr>
        <w:t>Líneas telefónicas disponibles en central</w:t>
      </w:r>
      <w:r w:rsidR="00AE7B37" w:rsidRPr="00BA1D95">
        <w:rPr>
          <w:rFonts w:ascii="ITC Avant Garde" w:hAnsi="ITC Avant Garde" w:cs="Arial"/>
          <w:sz w:val="22"/>
          <w:szCs w:val="22"/>
          <w:lang w:val="es-MX"/>
        </w:rPr>
        <w:t>;</w:t>
      </w:r>
      <w:r w:rsidRPr="00BA1D95">
        <w:rPr>
          <w:rFonts w:ascii="ITC Avant Garde" w:hAnsi="ITC Avant Garde" w:cs="Arial"/>
          <w:sz w:val="22"/>
          <w:szCs w:val="22"/>
          <w:lang w:val="es-MX"/>
        </w:rPr>
        <w:t xml:space="preserve"> </w:t>
      </w:r>
    </w:p>
    <w:p w:rsidR="00807488" w:rsidRPr="008E7097" w:rsidRDefault="00807488" w:rsidP="008E7097">
      <w:pPr>
        <w:pStyle w:val="Texto1"/>
        <w:numPr>
          <w:ilvl w:val="1"/>
          <w:numId w:val="99"/>
        </w:numPr>
        <w:spacing w:after="120" w:line="276" w:lineRule="auto"/>
        <w:ind w:left="1434" w:hanging="357"/>
        <w:rPr>
          <w:rFonts w:ascii="ITC Avant Garde" w:hAnsi="ITC Avant Garde" w:cs="Arial"/>
          <w:sz w:val="22"/>
          <w:szCs w:val="22"/>
          <w:lang w:val="es-MX"/>
        </w:rPr>
      </w:pPr>
      <w:r w:rsidRPr="00BA1D95">
        <w:rPr>
          <w:rFonts w:ascii="ITC Avant Garde" w:hAnsi="ITC Avant Garde" w:cs="Arial"/>
          <w:sz w:val="22"/>
          <w:szCs w:val="22"/>
          <w:lang w:val="es-MX"/>
        </w:rPr>
        <w:t>Tablillas en distribuidor general (terminales)</w:t>
      </w:r>
      <w:r w:rsidR="00AE7B37" w:rsidRPr="00BA1D95">
        <w:rPr>
          <w:rFonts w:ascii="ITC Avant Garde" w:hAnsi="ITC Avant Garde" w:cs="Arial"/>
          <w:sz w:val="22"/>
          <w:szCs w:val="22"/>
          <w:lang w:val="es-MX"/>
        </w:rPr>
        <w:t>;</w:t>
      </w:r>
      <w:r w:rsidRPr="00BA1D95">
        <w:rPr>
          <w:rFonts w:ascii="ITC Avant Garde" w:hAnsi="ITC Avant Garde" w:cs="Arial"/>
          <w:sz w:val="22"/>
          <w:szCs w:val="22"/>
          <w:lang w:val="es-MX"/>
        </w:rPr>
        <w:t xml:space="preserve"> </w:t>
      </w:r>
    </w:p>
    <w:p w:rsidR="00807488" w:rsidRPr="008E7097" w:rsidRDefault="00807488" w:rsidP="008E7097">
      <w:pPr>
        <w:pStyle w:val="Texto1"/>
        <w:numPr>
          <w:ilvl w:val="1"/>
          <w:numId w:val="99"/>
        </w:numPr>
        <w:spacing w:after="120" w:line="276" w:lineRule="auto"/>
        <w:ind w:left="1434" w:hanging="357"/>
        <w:rPr>
          <w:rFonts w:ascii="ITC Avant Garde" w:hAnsi="ITC Avant Garde" w:cs="Arial"/>
          <w:sz w:val="22"/>
          <w:szCs w:val="22"/>
          <w:lang w:val="es-MX"/>
        </w:rPr>
      </w:pPr>
      <w:r w:rsidRPr="00BA1D95">
        <w:rPr>
          <w:rFonts w:ascii="ITC Avant Garde" w:hAnsi="ITC Avant Garde" w:cs="Arial"/>
          <w:sz w:val="22"/>
          <w:szCs w:val="22"/>
          <w:lang w:val="es-MX"/>
        </w:rPr>
        <w:t>Bucle en red principal (</w:t>
      </w:r>
      <w:r w:rsidRPr="008E7097">
        <w:rPr>
          <w:rFonts w:ascii="ITC Avant Garde" w:hAnsi="ITC Avant Garde" w:cs="Arial"/>
          <w:sz w:val="22"/>
          <w:szCs w:val="22"/>
          <w:lang w:val="es-MX"/>
        </w:rPr>
        <w:t>pares metálicos de cobre que se rematan en tablillas asignadas a la Planta Externa en el DG y se llevan hasta las Cajas de Distribución)</w:t>
      </w:r>
      <w:r w:rsidR="00AE7B37" w:rsidRPr="008E7097">
        <w:rPr>
          <w:rFonts w:ascii="ITC Avant Garde" w:hAnsi="ITC Avant Garde" w:cs="Arial"/>
          <w:sz w:val="22"/>
          <w:szCs w:val="22"/>
          <w:lang w:val="es-MX"/>
        </w:rPr>
        <w:t>;</w:t>
      </w:r>
    </w:p>
    <w:p w:rsidR="00807488" w:rsidRPr="008E7097" w:rsidRDefault="00807488" w:rsidP="008E7097">
      <w:pPr>
        <w:pStyle w:val="Texto1"/>
        <w:numPr>
          <w:ilvl w:val="1"/>
          <w:numId w:val="99"/>
        </w:numPr>
        <w:spacing w:after="120" w:line="276" w:lineRule="auto"/>
        <w:ind w:left="1434" w:hanging="357"/>
        <w:rPr>
          <w:rFonts w:ascii="ITC Avant Garde" w:hAnsi="ITC Avant Garde" w:cs="Arial"/>
          <w:sz w:val="22"/>
          <w:szCs w:val="22"/>
          <w:lang w:val="es-MX"/>
        </w:rPr>
      </w:pPr>
      <w:r w:rsidRPr="00BA1D95">
        <w:rPr>
          <w:rFonts w:ascii="ITC Avant Garde" w:hAnsi="ITC Avant Garde" w:cs="Arial"/>
          <w:sz w:val="22"/>
          <w:szCs w:val="22"/>
          <w:lang w:val="es-MX"/>
        </w:rPr>
        <w:t>Bucle en red secundaria (</w:t>
      </w:r>
      <w:r w:rsidRPr="008E7097">
        <w:rPr>
          <w:rFonts w:ascii="ITC Avant Garde" w:hAnsi="ITC Avant Garde" w:cs="Arial"/>
          <w:sz w:val="22"/>
          <w:szCs w:val="22"/>
          <w:lang w:val="es-MX"/>
        </w:rPr>
        <w:t xml:space="preserve">pares metálicos de cobre que se rematan en tablillas en la CD y se llevan hasta los puntos de Dispersión-Terminales) </w:t>
      </w:r>
      <w:r w:rsidRPr="00BA1D95">
        <w:rPr>
          <w:rFonts w:ascii="ITC Avant Garde" w:hAnsi="ITC Avant Garde" w:cs="Arial"/>
          <w:sz w:val="22"/>
          <w:szCs w:val="22"/>
          <w:lang w:val="es-MX"/>
        </w:rPr>
        <w:t>que cumpla con los parámetros técnicos mínimos</w:t>
      </w:r>
      <w:r w:rsidR="00AE7B37" w:rsidRPr="00BA1D95">
        <w:rPr>
          <w:rFonts w:ascii="ITC Avant Garde" w:hAnsi="ITC Avant Garde" w:cs="Arial"/>
          <w:sz w:val="22"/>
          <w:szCs w:val="22"/>
          <w:lang w:val="es-MX"/>
        </w:rPr>
        <w:t>;</w:t>
      </w:r>
      <w:r w:rsidRPr="00BA1D95">
        <w:rPr>
          <w:rFonts w:ascii="ITC Avant Garde" w:hAnsi="ITC Avant Garde" w:cs="Arial"/>
          <w:sz w:val="22"/>
          <w:szCs w:val="22"/>
          <w:lang w:val="es-MX"/>
        </w:rPr>
        <w:t xml:space="preserve"> </w:t>
      </w:r>
    </w:p>
    <w:p w:rsidR="00807488" w:rsidRPr="008E7097" w:rsidRDefault="00807488" w:rsidP="008E7097">
      <w:pPr>
        <w:pStyle w:val="Texto1"/>
        <w:numPr>
          <w:ilvl w:val="1"/>
          <w:numId w:val="99"/>
        </w:numPr>
        <w:spacing w:after="120" w:line="276" w:lineRule="auto"/>
        <w:ind w:left="1434" w:hanging="357"/>
        <w:rPr>
          <w:rFonts w:ascii="ITC Avant Garde" w:hAnsi="ITC Avant Garde" w:cs="Arial"/>
          <w:sz w:val="22"/>
          <w:szCs w:val="22"/>
          <w:lang w:val="es-MX"/>
        </w:rPr>
      </w:pPr>
      <w:r w:rsidRPr="00BA1D95">
        <w:rPr>
          <w:rFonts w:ascii="ITC Avant Garde" w:hAnsi="ITC Avant Garde" w:cs="Arial"/>
          <w:sz w:val="22"/>
          <w:szCs w:val="22"/>
          <w:lang w:val="es-MX"/>
        </w:rPr>
        <w:lastRenderedPageBreak/>
        <w:t xml:space="preserve">Caja terminal. </w:t>
      </w:r>
    </w:p>
    <w:p w:rsidR="009F452A" w:rsidRPr="009F452A" w:rsidRDefault="009F452A" w:rsidP="009F452A">
      <w:pPr>
        <w:rPr>
          <w:rFonts w:ascii="ITC Avant Garde" w:hAnsi="ITC Avant Garde"/>
        </w:rPr>
      </w:pPr>
      <w:r w:rsidRPr="009F452A">
        <w:rPr>
          <w:rFonts w:ascii="ITC Avant Garde" w:hAnsi="ITC Avant Garde"/>
        </w:rPr>
        <w:t>No es causal de negación de servicio o condicionamiento de un Trabajo Especial:</w:t>
      </w:r>
    </w:p>
    <w:p w:rsidR="009F452A" w:rsidRPr="007D1E13" w:rsidRDefault="009F452A" w:rsidP="009F452A">
      <w:pPr>
        <w:pStyle w:val="Texto1"/>
        <w:numPr>
          <w:ilvl w:val="0"/>
          <w:numId w:val="99"/>
        </w:numPr>
        <w:spacing w:after="120" w:line="276" w:lineRule="auto"/>
        <w:rPr>
          <w:rFonts w:ascii="ITC Avant Garde" w:hAnsi="ITC Avant Garde"/>
          <w:sz w:val="22"/>
          <w:szCs w:val="22"/>
        </w:rPr>
      </w:pPr>
      <w:r w:rsidRPr="009F452A">
        <w:rPr>
          <w:rFonts w:ascii="ITC Avant Garde" w:hAnsi="ITC Avant Garde"/>
          <w:sz w:val="22"/>
          <w:szCs w:val="22"/>
        </w:rPr>
        <w:t>Cualquier evento derivado de error, omisión o falta de actualización de la información contenida en el SEG</w:t>
      </w:r>
      <w:r w:rsidR="008163F9">
        <w:rPr>
          <w:rFonts w:ascii="ITC Avant Garde" w:hAnsi="ITC Avant Garde"/>
          <w:sz w:val="22"/>
          <w:szCs w:val="22"/>
        </w:rPr>
        <w:t xml:space="preserve"> </w:t>
      </w:r>
      <w:r w:rsidR="007D1E13">
        <w:rPr>
          <w:rFonts w:ascii="ITC Avant Garde" w:hAnsi="ITC Avant Garde"/>
          <w:sz w:val="22"/>
          <w:szCs w:val="22"/>
        </w:rPr>
        <w:t xml:space="preserve">relacionada con </w:t>
      </w:r>
      <w:r w:rsidR="008163F9" w:rsidRPr="007D1E13">
        <w:rPr>
          <w:rFonts w:ascii="ITC Avant Garde" w:hAnsi="ITC Avant Garde"/>
          <w:sz w:val="22"/>
          <w:szCs w:val="22"/>
        </w:rPr>
        <w:t>la infraestructura</w:t>
      </w:r>
      <w:r w:rsidR="008163F9" w:rsidRPr="007D1E13">
        <w:t xml:space="preserve"> </w:t>
      </w:r>
      <w:r w:rsidR="008163F9" w:rsidRPr="007D1E13">
        <w:rPr>
          <w:rFonts w:ascii="ITC Avant Garde" w:hAnsi="ITC Avant Garde"/>
          <w:sz w:val="22"/>
          <w:szCs w:val="22"/>
        </w:rPr>
        <w:t xml:space="preserve">o </w:t>
      </w:r>
      <w:r w:rsidR="007D1E13" w:rsidRPr="007D1E13">
        <w:rPr>
          <w:rFonts w:ascii="ITC Avant Garde" w:hAnsi="ITC Avant Garde"/>
          <w:sz w:val="22"/>
          <w:szCs w:val="22"/>
        </w:rPr>
        <w:t>l</w:t>
      </w:r>
      <w:r w:rsidR="008163F9" w:rsidRPr="007D1E13">
        <w:rPr>
          <w:rFonts w:ascii="ITC Avant Garde" w:hAnsi="ITC Avant Garde"/>
          <w:sz w:val="22"/>
          <w:szCs w:val="22"/>
        </w:rPr>
        <w:t>íneas telefónicas disponibles en central</w:t>
      </w:r>
      <w:r w:rsidR="007D1E13">
        <w:rPr>
          <w:rFonts w:ascii="ITC Avant Garde" w:hAnsi="ITC Avant Garde"/>
          <w:sz w:val="22"/>
          <w:szCs w:val="22"/>
        </w:rPr>
        <w:t>,</w:t>
      </w:r>
      <w:r w:rsidR="008163F9" w:rsidRPr="007D1E13">
        <w:rPr>
          <w:rFonts w:ascii="ITC Avant Garde" w:hAnsi="ITC Avant Garde"/>
          <w:sz w:val="22"/>
          <w:szCs w:val="22"/>
        </w:rPr>
        <w:t xml:space="preserve"> </w:t>
      </w:r>
      <w:r w:rsidR="007D1E13">
        <w:rPr>
          <w:rFonts w:ascii="ITC Avant Garde" w:hAnsi="ITC Avant Garde"/>
          <w:sz w:val="22"/>
          <w:szCs w:val="22"/>
        </w:rPr>
        <w:t xml:space="preserve">información </w:t>
      </w:r>
      <w:r w:rsidR="008163F9" w:rsidRPr="007D1E13">
        <w:rPr>
          <w:rFonts w:ascii="ITC Avant Garde" w:hAnsi="ITC Avant Garde"/>
          <w:sz w:val="22"/>
          <w:szCs w:val="22"/>
        </w:rPr>
        <w:t xml:space="preserve">que depende </w:t>
      </w:r>
      <w:r w:rsidR="007D1E13">
        <w:rPr>
          <w:rFonts w:ascii="ITC Avant Garde" w:hAnsi="ITC Avant Garde"/>
          <w:sz w:val="22"/>
          <w:szCs w:val="22"/>
        </w:rPr>
        <w:t xml:space="preserve">directamente </w:t>
      </w:r>
      <w:r w:rsidR="008163F9" w:rsidRPr="007D1E13">
        <w:rPr>
          <w:rFonts w:ascii="ITC Avant Garde" w:hAnsi="ITC Avant Garde"/>
          <w:sz w:val="22"/>
          <w:szCs w:val="22"/>
        </w:rPr>
        <w:t>de Telmex</w:t>
      </w:r>
      <w:r w:rsidR="00847765">
        <w:rPr>
          <w:rFonts w:ascii="ITC Avant Garde" w:hAnsi="ITC Avant Garde"/>
          <w:sz w:val="22"/>
          <w:szCs w:val="22"/>
        </w:rPr>
        <w:t>/</w:t>
      </w:r>
      <w:r w:rsidR="008163F9" w:rsidRPr="007D1E13">
        <w:rPr>
          <w:rFonts w:ascii="ITC Avant Garde" w:hAnsi="ITC Avant Garde"/>
          <w:sz w:val="22"/>
          <w:szCs w:val="22"/>
        </w:rPr>
        <w:t>Telnor</w:t>
      </w:r>
      <w:r w:rsidRPr="007D1E13">
        <w:rPr>
          <w:rFonts w:ascii="ITC Avant Garde" w:hAnsi="ITC Avant Garde"/>
          <w:sz w:val="22"/>
          <w:szCs w:val="22"/>
        </w:rPr>
        <w:t>.</w:t>
      </w:r>
    </w:p>
    <w:p w:rsidR="005974CE" w:rsidRPr="009F452A" w:rsidRDefault="009F452A" w:rsidP="009F452A">
      <w:pPr>
        <w:pStyle w:val="Texto1"/>
        <w:numPr>
          <w:ilvl w:val="0"/>
          <w:numId w:val="99"/>
        </w:numPr>
        <w:spacing w:after="120" w:line="276" w:lineRule="auto"/>
        <w:rPr>
          <w:rFonts w:ascii="ITC Avant Garde" w:hAnsi="ITC Avant Garde"/>
          <w:sz w:val="22"/>
          <w:szCs w:val="22"/>
        </w:rPr>
      </w:pPr>
      <w:r w:rsidRPr="009F452A">
        <w:rPr>
          <w:rFonts w:ascii="ITC Avant Garde" w:hAnsi="ITC Avant Garde"/>
          <w:sz w:val="22"/>
          <w:szCs w:val="22"/>
        </w:rPr>
        <w:t xml:space="preserve">Cualquier actividad o razón que se derive de una cuestión de falta de mantenimiento o de recuperación de recursos </w:t>
      </w:r>
      <w:r w:rsidR="007D1E13">
        <w:rPr>
          <w:rFonts w:ascii="ITC Avant Garde" w:hAnsi="ITC Avant Garde"/>
          <w:sz w:val="22"/>
          <w:szCs w:val="22"/>
        </w:rPr>
        <w:t xml:space="preserve">relacionada con la </w:t>
      </w:r>
      <w:r w:rsidR="008163F9" w:rsidRPr="00C22AD6">
        <w:rPr>
          <w:rFonts w:ascii="ITC Avant Garde" w:hAnsi="ITC Avant Garde"/>
          <w:sz w:val="22"/>
          <w:szCs w:val="22"/>
        </w:rPr>
        <w:t>infraestructura</w:t>
      </w:r>
      <w:r w:rsidR="008163F9" w:rsidRPr="00C22AD6">
        <w:t xml:space="preserve"> </w:t>
      </w:r>
      <w:r w:rsidR="008163F9" w:rsidRPr="00C22AD6">
        <w:rPr>
          <w:rFonts w:ascii="ITC Avant Garde" w:hAnsi="ITC Avant Garde"/>
          <w:sz w:val="22"/>
          <w:szCs w:val="22"/>
        </w:rPr>
        <w:t xml:space="preserve">o </w:t>
      </w:r>
      <w:r w:rsidR="007D1E13" w:rsidRPr="00847765">
        <w:rPr>
          <w:rFonts w:ascii="ITC Avant Garde" w:hAnsi="ITC Avant Garde"/>
          <w:sz w:val="22"/>
          <w:szCs w:val="22"/>
        </w:rPr>
        <w:t>l</w:t>
      </w:r>
      <w:r w:rsidR="008163F9" w:rsidRPr="00C22AD6">
        <w:rPr>
          <w:rFonts w:ascii="ITC Avant Garde" w:hAnsi="ITC Avant Garde"/>
          <w:sz w:val="22"/>
          <w:szCs w:val="22"/>
        </w:rPr>
        <w:t>íneas telefónicas disponibles en central</w:t>
      </w:r>
      <w:r w:rsidR="008163F9">
        <w:rPr>
          <w:rFonts w:ascii="ITC Avant Garde" w:hAnsi="ITC Avant Garde"/>
          <w:sz w:val="22"/>
          <w:szCs w:val="22"/>
        </w:rPr>
        <w:t xml:space="preserve"> </w:t>
      </w:r>
      <w:r w:rsidRPr="009F452A">
        <w:rPr>
          <w:rFonts w:ascii="ITC Avant Garde" w:hAnsi="ITC Avant Garde"/>
          <w:sz w:val="22"/>
          <w:szCs w:val="22"/>
        </w:rPr>
        <w:t xml:space="preserve">por motivo de cancelaciones que liberan los mismos. </w:t>
      </w:r>
      <w:r w:rsidR="00E83F21">
        <w:rPr>
          <w:rFonts w:ascii="ITC Avant Garde" w:hAnsi="ITC Avant Garde"/>
          <w:sz w:val="22"/>
          <w:szCs w:val="22"/>
        </w:rPr>
        <w:t>Telmex / Telnor</w:t>
      </w:r>
      <w:r w:rsidRPr="009F452A">
        <w:rPr>
          <w:rFonts w:ascii="ITC Avant Garde" w:hAnsi="ITC Avant Garde"/>
          <w:sz w:val="22"/>
          <w:szCs w:val="22"/>
        </w:rPr>
        <w:t xml:space="preserve"> deberá registrar en el SEG el retiro o liberación de la infraestructura o recursos de red derivados de bajas de servicios con el objetivo de que los CS puedan identificar los servicios donde ya no tendrán que requerir Trabajos Especiales.</w:t>
      </w:r>
    </w:p>
    <w:p w:rsidR="005974CE" w:rsidRPr="00DB1DB6" w:rsidRDefault="009F452A" w:rsidP="005974CE">
      <w:pPr>
        <w:pStyle w:val="Texto1"/>
        <w:numPr>
          <w:ilvl w:val="0"/>
          <w:numId w:val="99"/>
        </w:numPr>
        <w:spacing w:after="120" w:line="276" w:lineRule="auto"/>
        <w:rPr>
          <w:rFonts w:ascii="ITC Avant Garde" w:hAnsi="ITC Avant Garde"/>
          <w:sz w:val="22"/>
          <w:szCs w:val="22"/>
        </w:rPr>
      </w:pPr>
      <w:r w:rsidRPr="00FE55AC">
        <w:rPr>
          <w:rFonts w:ascii="ITC Avant Garde" w:hAnsi="ITC Avant Garde"/>
          <w:sz w:val="22"/>
          <w:szCs w:val="22"/>
        </w:rPr>
        <w:t xml:space="preserve">Cualquier razón que se derive de una cuestión de saturación o falta de capacidad en las centrales y su equipamiento o </w:t>
      </w:r>
      <w:r w:rsidR="008163F9">
        <w:rPr>
          <w:rFonts w:ascii="ITC Avant Garde" w:hAnsi="ITC Avant Garde"/>
          <w:sz w:val="22"/>
          <w:szCs w:val="22"/>
        </w:rPr>
        <w:t>infraestructura</w:t>
      </w:r>
      <w:r w:rsidR="008163F9" w:rsidRPr="008163F9">
        <w:t xml:space="preserve"> </w:t>
      </w:r>
      <w:r w:rsidR="008163F9">
        <w:rPr>
          <w:rFonts w:ascii="ITC Avant Garde" w:hAnsi="ITC Avant Garde"/>
          <w:sz w:val="22"/>
          <w:szCs w:val="22"/>
        </w:rPr>
        <w:t xml:space="preserve">o </w:t>
      </w:r>
      <w:r w:rsidR="00C22AD6" w:rsidRPr="008163F9">
        <w:rPr>
          <w:rFonts w:ascii="ITC Avant Garde" w:hAnsi="ITC Avant Garde"/>
          <w:sz w:val="22"/>
          <w:szCs w:val="22"/>
        </w:rPr>
        <w:t>l</w:t>
      </w:r>
      <w:r w:rsidR="008163F9" w:rsidRPr="008163F9">
        <w:rPr>
          <w:rFonts w:ascii="ITC Avant Garde" w:hAnsi="ITC Avant Garde"/>
          <w:sz w:val="22"/>
          <w:szCs w:val="22"/>
        </w:rPr>
        <w:t>íneas telefónicas disponibles en central</w:t>
      </w:r>
      <w:r w:rsidR="008163F9">
        <w:rPr>
          <w:rFonts w:ascii="ITC Avant Garde" w:hAnsi="ITC Avant Garde"/>
          <w:sz w:val="22"/>
          <w:szCs w:val="22"/>
        </w:rPr>
        <w:t xml:space="preserve"> </w:t>
      </w:r>
      <w:r w:rsidRPr="00FE55AC">
        <w:rPr>
          <w:rFonts w:ascii="ITC Avant Garde" w:hAnsi="ITC Avant Garde"/>
          <w:sz w:val="22"/>
          <w:szCs w:val="22"/>
        </w:rPr>
        <w:t xml:space="preserve">de un usuario existente. Solo aplica entre servicios de la misma clase ya sea de voz, datos y/o paquetes, siempre y cuando los CS entreguen los pronósticos correspondientes para integrar dicha infraestructura a los planes de inversión de </w:t>
      </w:r>
      <w:r w:rsidR="00E83F21">
        <w:rPr>
          <w:rFonts w:ascii="ITC Avant Garde" w:hAnsi="ITC Avant Garde"/>
          <w:sz w:val="22"/>
          <w:szCs w:val="22"/>
        </w:rPr>
        <w:t>Telmex / Telnor</w:t>
      </w:r>
      <w:r w:rsidRPr="00FE55AC">
        <w:rPr>
          <w:rFonts w:ascii="ITC Avant Garde" w:hAnsi="ITC Avant Garde"/>
          <w:sz w:val="22"/>
          <w:szCs w:val="22"/>
        </w:rPr>
        <w:t>, y siempre que no corresponda a infraestructura en obsolescencia.</w:t>
      </w:r>
    </w:p>
    <w:p w:rsidR="00847765" w:rsidRDefault="00847765" w:rsidP="006E2892">
      <w:pPr>
        <w:pStyle w:val="Texto1"/>
        <w:spacing w:before="240" w:after="120" w:line="276" w:lineRule="auto"/>
        <w:ind w:left="0"/>
        <w:rPr>
          <w:rFonts w:ascii="ITC Avant Garde" w:hAnsi="ITC Avant Garde"/>
          <w:sz w:val="22"/>
          <w:szCs w:val="22"/>
        </w:rPr>
      </w:pPr>
      <w:r w:rsidRPr="002D72ED">
        <w:rPr>
          <w:rFonts w:ascii="ITC Avant Garde" w:hAnsi="ITC Avant Garde"/>
          <w:b/>
          <w:sz w:val="22"/>
          <w:szCs w:val="22"/>
        </w:rPr>
        <w:t>Motivos de objeción</w:t>
      </w:r>
    </w:p>
    <w:p w:rsidR="006E2892" w:rsidRPr="006E2892" w:rsidRDefault="00145252" w:rsidP="006E2892">
      <w:pPr>
        <w:pStyle w:val="Texto1"/>
        <w:spacing w:before="240" w:after="120" w:line="276" w:lineRule="auto"/>
        <w:ind w:left="0"/>
        <w:rPr>
          <w:rFonts w:ascii="ITC Avant Garde" w:hAnsi="ITC Avant Garde"/>
          <w:sz w:val="22"/>
          <w:szCs w:val="22"/>
        </w:rPr>
      </w:pPr>
      <w:r w:rsidRPr="00145252">
        <w:rPr>
          <w:rFonts w:ascii="ITC Avant Garde" w:hAnsi="ITC Avant Garde"/>
          <w:sz w:val="22"/>
          <w:szCs w:val="22"/>
        </w:rPr>
        <w:t>Para los casos en qu</w:t>
      </w:r>
      <w:r w:rsidR="000B5FA8">
        <w:rPr>
          <w:rFonts w:ascii="ITC Avant Garde" w:hAnsi="ITC Avant Garde"/>
          <w:sz w:val="22"/>
          <w:szCs w:val="22"/>
        </w:rPr>
        <w:t>e el SEG</w:t>
      </w:r>
      <w:r w:rsidRPr="00145252">
        <w:rPr>
          <w:rFonts w:ascii="ITC Avant Garde" w:hAnsi="ITC Avant Garde"/>
          <w:sz w:val="22"/>
          <w:szCs w:val="22"/>
        </w:rPr>
        <w:t xml:space="preserve"> permita contratar y agendar servicios y en alguna etapa subsecuente del proceso de instalación se notifica una objeción </w:t>
      </w:r>
      <w:r w:rsidR="006E2892" w:rsidRPr="006E2892">
        <w:rPr>
          <w:rFonts w:ascii="ITC Avant Garde" w:hAnsi="ITC Avant Garde"/>
          <w:sz w:val="22"/>
          <w:szCs w:val="22"/>
        </w:rPr>
        <w:t>técnica por alguna razón no justificada</w:t>
      </w:r>
      <w:r w:rsidR="00847765">
        <w:rPr>
          <w:rFonts w:ascii="ITC Avant Garde" w:hAnsi="ITC Avant Garde"/>
          <w:sz w:val="22"/>
          <w:szCs w:val="22"/>
        </w:rPr>
        <w:t xml:space="preserve"> o prevista</w:t>
      </w:r>
      <w:r w:rsidR="006E2892" w:rsidRPr="006E2892">
        <w:rPr>
          <w:rFonts w:ascii="ITC Avant Garde" w:hAnsi="ITC Avant Garde"/>
          <w:sz w:val="22"/>
          <w:szCs w:val="22"/>
        </w:rPr>
        <w:t xml:space="preserve"> en la OREDA</w:t>
      </w:r>
      <w:r w:rsidR="00847765">
        <w:rPr>
          <w:rFonts w:ascii="ITC Avant Garde" w:hAnsi="ITC Avant Garde"/>
          <w:sz w:val="22"/>
          <w:szCs w:val="22"/>
        </w:rPr>
        <w:t xml:space="preserve"> y consecuentemente fuera del control de Telmex/Telnor</w:t>
      </w:r>
      <w:r w:rsidR="006E2892" w:rsidRPr="006E2892">
        <w:rPr>
          <w:rFonts w:ascii="ITC Avant Garde" w:hAnsi="ITC Avant Garde"/>
          <w:sz w:val="22"/>
          <w:szCs w:val="22"/>
        </w:rPr>
        <w:t xml:space="preserve">, la EM </w:t>
      </w:r>
      <w:r w:rsidR="00847765">
        <w:rPr>
          <w:rFonts w:ascii="ITC Avant Garde" w:hAnsi="ITC Avant Garde"/>
          <w:sz w:val="22"/>
          <w:szCs w:val="22"/>
        </w:rPr>
        <w:t xml:space="preserve">indicará detalladamente a Telmex/Telnor </w:t>
      </w:r>
      <w:r w:rsidR="006E2892" w:rsidRPr="006E2892">
        <w:rPr>
          <w:rFonts w:ascii="ITC Avant Garde" w:hAnsi="ITC Avant Garde"/>
          <w:sz w:val="22"/>
          <w:szCs w:val="22"/>
        </w:rPr>
        <w:t xml:space="preserve">la causa de la objeción y </w:t>
      </w:r>
      <w:r w:rsidR="00847765">
        <w:rPr>
          <w:rFonts w:ascii="ITC Avant Garde" w:hAnsi="ITC Avant Garde"/>
          <w:sz w:val="22"/>
          <w:szCs w:val="22"/>
        </w:rPr>
        <w:t xml:space="preserve">la </w:t>
      </w:r>
      <w:r w:rsidR="006E2892" w:rsidRPr="006E2892">
        <w:rPr>
          <w:rFonts w:ascii="ITC Avant Garde" w:hAnsi="ITC Avant Garde"/>
          <w:sz w:val="22"/>
          <w:szCs w:val="22"/>
        </w:rPr>
        <w:t>naturaleza del imprevisto</w:t>
      </w:r>
      <w:r w:rsidR="00847765">
        <w:rPr>
          <w:rFonts w:ascii="ITC Avant Garde" w:hAnsi="ITC Avant Garde"/>
          <w:sz w:val="22"/>
          <w:szCs w:val="22"/>
        </w:rPr>
        <w:t>, para que Telmex/Telnor a su vez informe lo conducente al CS</w:t>
      </w:r>
      <w:r w:rsidR="006E2892" w:rsidRPr="006E2892">
        <w:rPr>
          <w:rFonts w:ascii="ITC Avant Garde" w:hAnsi="ITC Avant Garde"/>
          <w:sz w:val="22"/>
          <w:szCs w:val="22"/>
        </w:rPr>
        <w:t>.</w:t>
      </w:r>
    </w:p>
    <w:p w:rsidR="006A50A4" w:rsidRPr="00435FA7" w:rsidRDefault="004D066D" w:rsidP="00435FA7">
      <w:pPr>
        <w:pStyle w:val="Texto1"/>
        <w:spacing w:before="240" w:after="120" w:line="276" w:lineRule="auto"/>
        <w:ind w:left="0"/>
        <w:rPr>
          <w:rFonts w:ascii="ITC Avant Garde" w:hAnsi="ITC Avant Garde"/>
          <w:sz w:val="22"/>
          <w:szCs w:val="22"/>
          <w:highlight w:val="yellow"/>
        </w:rPr>
      </w:pPr>
      <w:r>
        <w:rPr>
          <w:rFonts w:ascii="ITC Avant Garde" w:hAnsi="ITC Avant Garde"/>
          <w:sz w:val="22"/>
          <w:szCs w:val="22"/>
        </w:rPr>
        <w:t>Cuando se objeten las solicitudes por razones técnicas, Telmex</w:t>
      </w:r>
      <w:r w:rsidR="00435FA7">
        <w:rPr>
          <w:rFonts w:ascii="ITC Avant Garde" w:hAnsi="ITC Avant Garde"/>
          <w:sz w:val="22"/>
          <w:szCs w:val="22"/>
        </w:rPr>
        <w:t>/Telnor</w:t>
      </w:r>
      <w:r w:rsidR="00BE46B8" w:rsidRPr="00435FA7">
        <w:rPr>
          <w:rFonts w:ascii="ITC Avant Garde" w:hAnsi="ITC Avant Garde"/>
          <w:sz w:val="22"/>
          <w:szCs w:val="22"/>
        </w:rPr>
        <w:t xml:space="preserve"> pondrá en paro de reloj dicha solicitud para la contabilización del plazo de cumplimiento y la EM iniciará un proceso de revisión para determinar una solución alternativa que permita la instalación y habilitación del servicio</w:t>
      </w:r>
      <w:r w:rsidR="00435FA7">
        <w:rPr>
          <w:rFonts w:ascii="ITC Avant Garde" w:hAnsi="ITC Avant Garde"/>
          <w:sz w:val="22"/>
          <w:szCs w:val="22"/>
        </w:rPr>
        <w:t>,</w:t>
      </w:r>
      <w:r w:rsidR="00BE46B8" w:rsidRPr="00435FA7">
        <w:rPr>
          <w:rFonts w:ascii="ITC Avant Garde" w:hAnsi="ITC Avant Garde"/>
          <w:sz w:val="22"/>
          <w:szCs w:val="22"/>
        </w:rPr>
        <w:t xml:space="preserve"> </w:t>
      </w:r>
      <w:r w:rsidR="00435FA7">
        <w:rPr>
          <w:rFonts w:ascii="ITC Avant Garde" w:hAnsi="ITC Avant Garde"/>
          <w:sz w:val="22"/>
          <w:szCs w:val="22"/>
        </w:rPr>
        <w:t>lo cual</w:t>
      </w:r>
      <w:r w:rsidR="00BE46B8" w:rsidRPr="00435FA7">
        <w:rPr>
          <w:rFonts w:ascii="ITC Avant Garde" w:hAnsi="ITC Avant Garde"/>
          <w:sz w:val="22"/>
          <w:szCs w:val="22"/>
        </w:rPr>
        <w:t xml:space="preserve"> se</w:t>
      </w:r>
      <w:r w:rsidR="00435FA7">
        <w:rPr>
          <w:rFonts w:ascii="ITC Avant Garde" w:hAnsi="ITC Avant Garde"/>
          <w:sz w:val="22"/>
          <w:szCs w:val="22"/>
        </w:rPr>
        <w:t>rá notificado por Telmex/Telnor</w:t>
      </w:r>
      <w:r w:rsidR="00BE46B8" w:rsidRPr="00435FA7">
        <w:rPr>
          <w:rFonts w:ascii="ITC Avant Garde" w:hAnsi="ITC Avant Garde"/>
          <w:sz w:val="22"/>
          <w:szCs w:val="22"/>
        </w:rPr>
        <w:t xml:space="preserve"> a través del SEG para su seguimiento por el CS.</w:t>
      </w:r>
      <w:r w:rsidR="00BE46B8" w:rsidRPr="00435FA7">
        <w:rPr>
          <w:rFonts w:ascii="ITC Avant Garde" w:hAnsi="ITC Avant Garde"/>
          <w:sz w:val="22"/>
          <w:szCs w:val="22"/>
          <w:highlight w:val="yellow"/>
        </w:rPr>
        <w:t xml:space="preserve"> </w:t>
      </w:r>
    </w:p>
    <w:p w:rsidR="006A50A4" w:rsidRPr="00847765" w:rsidRDefault="00BE46B8" w:rsidP="00435FA7">
      <w:pPr>
        <w:pStyle w:val="Texto1"/>
        <w:spacing w:before="240" w:after="120" w:line="276" w:lineRule="auto"/>
        <w:ind w:left="0"/>
        <w:rPr>
          <w:rFonts w:ascii="ITC Avant Garde" w:hAnsi="ITC Avant Garde"/>
          <w:sz w:val="22"/>
          <w:szCs w:val="22"/>
        </w:rPr>
      </w:pPr>
      <w:r w:rsidRPr="00847765">
        <w:rPr>
          <w:rFonts w:ascii="ITC Avant Garde" w:hAnsi="ITC Avant Garde"/>
          <w:sz w:val="22"/>
          <w:szCs w:val="22"/>
        </w:rPr>
        <w:t>La EM informará a Telmex / Telnor si fue exitosa o no la búsqueda de solución, para que en caso de que la objeción técnica haya sido solucionada, el CS pueda reingresar al SEG</w:t>
      </w:r>
      <w:r w:rsidR="00435FA7">
        <w:rPr>
          <w:rFonts w:ascii="ITC Avant Garde" w:hAnsi="ITC Avant Garde"/>
          <w:sz w:val="22"/>
          <w:szCs w:val="22"/>
        </w:rPr>
        <w:t xml:space="preserve"> de Telmex/Telnor </w:t>
      </w:r>
      <w:r w:rsidRPr="00847765">
        <w:rPr>
          <w:rFonts w:ascii="ITC Avant Garde" w:hAnsi="ITC Avant Garde"/>
          <w:sz w:val="22"/>
          <w:szCs w:val="22"/>
        </w:rPr>
        <w:t>y programar nuevamente la cita para la instalación del servicio.</w:t>
      </w:r>
    </w:p>
    <w:p w:rsidR="006A50A4" w:rsidRPr="00435FA7" w:rsidRDefault="00BE46B8" w:rsidP="00435FA7">
      <w:pPr>
        <w:pStyle w:val="Texto1"/>
        <w:spacing w:before="240" w:after="120" w:line="276" w:lineRule="auto"/>
        <w:ind w:left="0"/>
        <w:rPr>
          <w:rFonts w:ascii="ITC Avant Garde" w:hAnsi="ITC Avant Garde"/>
          <w:sz w:val="22"/>
          <w:szCs w:val="22"/>
        </w:rPr>
      </w:pPr>
      <w:r w:rsidRPr="00435FA7">
        <w:rPr>
          <w:rFonts w:ascii="ITC Avant Garde" w:hAnsi="ITC Avant Garde"/>
          <w:sz w:val="22"/>
          <w:szCs w:val="22"/>
        </w:rPr>
        <w:t xml:space="preserve">El plazo </w:t>
      </w:r>
      <w:r w:rsidR="00435FA7">
        <w:rPr>
          <w:rFonts w:ascii="ITC Avant Garde" w:hAnsi="ITC Avant Garde"/>
          <w:sz w:val="22"/>
          <w:szCs w:val="22"/>
        </w:rPr>
        <w:t xml:space="preserve">límite </w:t>
      </w:r>
      <w:r w:rsidRPr="00435FA7">
        <w:rPr>
          <w:rFonts w:ascii="ITC Avant Garde" w:hAnsi="ITC Avant Garde"/>
          <w:sz w:val="22"/>
          <w:szCs w:val="22"/>
        </w:rPr>
        <w:t xml:space="preserve">para </w:t>
      </w:r>
      <w:r w:rsidR="00435FA7">
        <w:rPr>
          <w:rFonts w:ascii="ITC Avant Garde" w:hAnsi="ITC Avant Garde"/>
          <w:sz w:val="22"/>
          <w:szCs w:val="22"/>
        </w:rPr>
        <w:t xml:space="preserve">que Telmex/Telnor </w:t>
      </w:r>
      <w:r w:rsidRPr="00435FA7">
        <w:rPr>
          <w:rFonts w:ascii="ITC Avant Garde" w:hAnsi="ITC Avant Garde"/>
          <w:sz w:val="22"/>
          <w:szCs w:val="22"/>
        </w:rPr>
        <w:t>notifi</w:t>
      </w:r>
      <w:r w:rsidR="00435FA7">
        <w:rPr>
          <w:rFonts w:ascii="ITC Avant Garde" w:hAnsi="ITC Avant Garde"/>
          <w:sz w:val="22"/>
          <w:szCs w:val="22"/>
        </w:rPr>
        <w:t>que</w:t>
      </w:r>
      <w:r w:rsidRPr="00435FA7">
        <w:rPr>
          <w:rFonts w:ascii="ITC Avant Garde" w:hAnsi="ITC Avant Garde"/>
          <w:sz w:val="22"/>
          <w:szCs w:val="22"/>
        </w:rPr>
        <w:t xml:space="preserve"> </w:t>
      </w:r>
      <w:r w:rsidR="00435FA7">
        <w:rPr>
          <w:rFonts w:ascii="ITC Avant Garde" w:hAnsi="ITC Avant Garde"/>
          <w:sz w:val="22"/>
          <w:szCs w:val="22"/>
        </w:rPr>
        <w:t xml:space="preserve">al CS </w:t>
      </w:r>
      <w:r w:rsidRPr="00435FA7">
        <w:rPr>
          <w:rFonts w:ascii="ITC Avant Garde" w:hAnsi="ITC Avant Garde"/>
          <w:sz w:val="22"/>
          <w:szCs w:val="22"/>
        </w:rPr>
        <w:t xml:space="preserve">la alternativa de solución </w:t>
      </w:r>
      <w:r w:rsidR="00435FA7">
        <w:rPr>
          <w:rFonts w:ascii="ITC Avant Garde" w:hAnsi="ITC Avant Garde"/>
          <w:sz w:val="22"/>
          <w:szCs w:val="22"/>
        </w:rPr>
        <w:t>será de [__] días hábiles, es decir, a más tardar al día hábil siguiente a</w:t>
      </w:r>
      <w:r w:rsidR="009E7B98">
        <w:rPr>
          <w:rFonts w:ascii="ITC Avant Garde" w:hAnsi="ITC Avant Garde"/>
          <w:sz w:val="22"/>
          <w:szCs w:val="22"/>
        </w:rPr>
        <w:t>l plazo otorgado a la EM.</w:t>
      </w:r>
    </w:p>
    <w:p w:rsidR="002C3544" w:rsidRDefault="002C3544" w:rsidP="00BE46B8">
      <w:pPr>
        <w:pStyle w:val="Texto1"/>
        <w:spacing w:before="240" w:after="120" w:line="276" w:lineRule="auto"/>
        <w:ind w:left="0"/>
        <w:rPr>
          <w:rFonts w:ascii="ITC Avant Garde" w:hAnsi="ITC Avant Garde"/>
          <w:sz w:val="22"/>
          <w:szCs w:val="22"/>
        </w:rPr>
      </w:pPr>
      <w:proofErr w:type="spellStart"/>
      <w:r w:rsidRPr="00223488">
        <w:rPr>
          <w:rFonts w:ascii="ITC Avant Garde" w:hAnsi="ITC Avant Garde"/>
          <w:sz w:val="22"/>
          <w:szCs w:val="22"/>
        </w:rPr>
        <w:t>C</w:t>
      </w:r>
      <w:proofErr w:type="spellEnd"/>
      <w:r w:rsidRPr="00223488">
        <w:rPr>
          <w:rFonts w:ascii="ITC Avant Garde" w:hAnsi="ITC Avant Garde"/>
          <w:sz w:val="22"/>
          <w:szCs w:val="22"/>
        </w:rPr>
        <w:t xml:space="preserve">uando </w:t>
      </w:r>
      <w:r>
        <w:rPr>
          <w:rFonts w:ascii="ITC Avant Garde" w:hAnsi="ITC Avant Garde"/>
          <w:sz w:val="22"/>
          <w:szCs w:val="22"/>
        </w:rPr>
        <w:t xml:space="preserve">en definitiva </w:t>
      </w:r>
      <w:r w:rsidRPr="00223488">
        <w:rPr>
          <w:rFonts w:ascii="ITC Avant Garde" w:hAnsi="ITC Avant Garde"/>
          <w:sz w:val="22"/>
          <w:szCs w:val="22"/>
        </w:rPr>
        <w:t xml:space="preserve">no sea posible entregar el servicio </w:t>
      </w:r>
      <w:r>
        <w:rPr>
          <w:rFonts w:ascii="ITC Avant Garde" w:hAnsi="ITC Avant Garde"/>
          <w:sz w:val="22"/>
          <w:szCs w:val="22"/>
        </w:rPr>
        <w:t xml:space="preserve">solicitado por el CS a Telmex/Telnor debido a la falta de recursos de red de la EM, y ésta se vea obligada a elaborar y cobrar a </w:t>
      </w:r>
      <w:r>
        <w:rPr>
          <w:rFonts w:ascii="ITC Avant Garde" w:hAnsi="ITC Avant Garde"/>
          <w:sz w:val="22"/>
          <w:szCs w:val="22"/>
        </w:rPr>
        <w:lastRenderedPageBreak/>
        <w:t xml:space="preserve">Telmex/Telnor </w:t>
      </w:r>
      <w:r w:rsidRPr="009F452A">
        <w:rPr>
          <w:rFonts w:ascii="ITC Avant Garde" w:hAnsi="ITC Avant Garde"/>
        </w:rPr>
        <w:t>un Trabajo Especial</w:t>
      </w:r>
      <w:r>
        <w:rPr>
          <w:rFonts w:ascii="ITC Avant Garde" w:hAnsi="ITC Avant Garde"/>
          <w:sz w:val="22"/>
          <w:szCs w:val="22"/>
        </w:rPr>
        <w:t>, Telmex/Telnor estará legitimada a cobrar a su vez al CS el costo de dicho Trabajo Especial.</w:t>
      </w:r>
    </w:p>
    <w:p w:rsidR="00BE46B8" w:rsidRDefault="00BE46B8" w:rsidP="00BE46B8">
      <w:pPr>
        <w:pStyle w:val="Texto1"/>
        <w:spacing w:before="240" w:after="120" w:line="276" w:lineRule="auto"/>
        <w:ind w:left="0"/>
        <w:rPr>
          <w:rFonts w:ascii="ITC Avant Garde" w:hAnsi="ITC Avant Garde"/>
          <w:sz w:val="22"/>
          <w:szCs w:val="22"/>
        </w:rPr>
      </w:pPr>
      <w:r w:rsidRPr="00223488">
        <w:rPr>
          <w:rFonts w:ascii="ITC Avant Garde" w:hAnsi="ITC Avant Garde"/>
          <w:sz w:val="22"/>
          <w:szCs w:val="22"/>
        </w:rPr>
        <w:t>Cuando no sea posible entregar el servicio en sitio por algún caso fortuito o de fuerza mayor, Telmex</w:t>
      </w:r>
      <w:r w:rsidR="004D066D">
        <w:rPr>
          <w:rFonts w:ascii="ITC Avant Garde" w:hAnsi="ITC Avant Garde"/>
          <w:sz w:val="22"/>
          <w:szCs w:val="22"/>
        </w:rPr>
        <w:t xml:space="preserve">/Telnor notificará vía SEG al CS sobre dicha circunstancia. No será causal de suspensión o cancelación del servicio cualquier condición resultado de eventos imprevistos ajenos a la EM y al CS que no permita la habilitación y aprovisionamiento del servicio en la fecha programada de habilitación. Telmex/Telnor notificará vía SEG </w:t>
      </w:r>
      <w:r w:rsidR="00223488">
        <w:rPr>
          <w:rFonts w:ascii="ITC Avant Garde" w:hAnsi="ITC Avant Garde"/>
          <w:sz w:val="22"/>
          <w:szCs w:val="22"/>
        </w:rPr>
        <w:t xml:space="preserve">al CS </w:t>
      </w:r>
      <w:r w:rsidRPr="00223488">
        <w:rPr>
          <w:rFonts w:ascii="ITC Avant Garde" w:hAnsi="ITC Avant Garde"/>
          <w:sz w:val="22"/>
          <w:szCs w:val="22"/>
        </w:rPr>
        <w:t xml:space="preserve">dentro de las </w:t>
      </w:r>
      <w:r w:rsidR="00223488">
        <w:rPr>
          <w:rFonts w:ascii="ITC Avant Garde" w:hAnsi="ITC Avant Garde"/>
          <w:sz w:val="22"/>
          <w:szCs w:val="22"/>
        </w:rPr>
        <w:t xml:space="preserve">24 (veinticuatro) horas </w:t>
      </w:r>
      <w:r w:rsidRPr="00223488">
        <w:rPr>
          <w:rFonts w:ascii="ITC Avant Garde" w:hAnsi="ITC Avant Garde"/>
          <w:sz w:val="22"/>
          <w:szCs w:val="22"/>
        </w:rPr>
        <w:t>siguientes la causa y naturaleza del imprevisto y reprogramarán en conjunto una nueva fecha para la instalación del servicio.</w:t>
      </w:r>
    </w:p>
    <w:p w:rsidR="00A47F9A" w:rsidRPr="00BA1D95" w:rsidRDefault="00A47F9A" w:rsidP="00FF4EC6">
      <w:pPr>
        <w:pStyle w:val="1TitPrin"/>
        <w:numPr>
          <w:ilvl w:val="0"/>
          <w:numId w:val="0"/>
        </w:numPr>
        <w:ind w:left="360"/>
        <w:outlineLvl w:val="1"/>
      </w:pPr>
      <w:bookmarkStart w:id="158" w:name="_Toc467248681"/>
      <w:bookmarkStart w:id="159" w:name="_Toc525904545"/>
      <w:bookmarkStart w:id="160" w:name="_Toc525913941"/>
      <w:bookmarkStart w:id="161" w:name="_Toc525919180"/>
      <w:bookmarkStart w:id="162" w:name="_Toc525919304"/>
      <w:bookmarkStart w:id="163" w:name="_Toc2957114"/>
      <w:bookmarkStart w:id="164" w:name="_Toc26273053"/>
      <w:bookmarkStart w:id="165" w:name="_Toc26284451"/>
      <w:bookmarkStart w:id="166" w:name="_Toc54106551"/>
      <w:bookmarkStart w:id="167" w:name="_Toc436840868"/>
      <w:bookmarkStart w:id="168" w:name="_Toc436846305"/>
      <w:bookmarkStart w:id="169" w:name="_Toc436848255"/>
      <w:bookmarkStart w:id="170" w:name="_Toc436856503"/>
      <w:bookmarkStart w:id="171" w:name="_Toc436862649"/>
      <w:bookmarkStart w:id="172" w:name="_Toc436866299"/>
      <w:bookmarkStart w:id="173" w:name="_Toc436870878"/>
      <w:bookmarkStart w:id="174" w:name="_Toc436875870"/>
      <w:r w:rsidRPr="00BA1D95">
        <w:t>Causales de suspensión temporal en la instalación de servicios</w:t>
      </w:r>
      <w:bookmarkEnd w:id="158"/>
      <w:bookmarkEnd w:id="159"/>
      <w:bookmarkEnd w:id="160"/>
      <w:bookmarkEnd w:id="161"/>
      <w:bookmarkEnd w:id="162"/>
      <w:bookmarkEnd w:id="163"/>
      <w:bookmarkEnd w:id="164"/>
      <w:bookmarkEnd w:id="165"/>
      <w:r w:rsidR="00D349EA">
        <w:t>.</w:t>
      </w:r>
      <w:bookmarkEnd w:id="166"/>
    </w:p>
    <w:p w:rsidR="00A47F9A" w:rsidRPr="00BA1D95" w:rsidRDefault="00E83F21" w:rsidP="004B11EB">
      <w:pPr>
        <w:spacing w:after="200" w:line="276" w:lineRule="auto"/>
        <w:jc w:val="both"/>
        <w:rPr>
          <w:rFonts w:ascii="ITC Avant Garde" w:hAnsi="ITC Avant Garde" w:cs="Arial"/>
        </w:rPr>
      </w:pPr>
      <w:r>
        <w:rPr>
          <w:rFonts w:ascii="ITC Avant Garde" w:hAnsi="ITC Avant Garde" w:cs="Arial"/>
        </w:rPr>
        <w:t>Telmex / Telnor</w:t>
      </w:r>
      <w:r w:rsidR="008D0B51" w:rsidRPr="00BA1D95">
        <w:rPr>
          <w:rFonts w:ascii="ITC Avant Garde" w:hAnsi="ITC Avant Garde" w:cs="Arial"/>
        </w:rPr>
        <w:t xml:space="preserve"> </w:t>
      </w:r>
      <w:r w:rsidR="00A47F9A" w:rsidRPr="00BA1D95">
        <w:rPr>
          <w:rFonts w:ascii="ITC Avant Garde" w:hAnsi="ITC Avant Garde" w:cs="Arial"/>
        </w:rPr>
        <w:t xml:space="preserve">podrá suspender temporalmente la entrega de los servicios </w:t>
      </w:r>
      <w:r w:rsidR="001A5E60" w:rsidRPr="00BA1D95">
        <w:rPr>
          <w:rFonts w:ascii="ITC Avant Garde" w:hAnsi="ITC Avant Garde" w:cs="Arial"/>
        </w:rPr>
        <w:t xml:space="preserve">y el CS a través del </w:t>
      </w:r>
      <w:r w:rsidR="009F1242" w:rsidRPr="00BA1D95">
        <w:rPr>
          <w:rFonts w:ascii="ITC Avant Garde" w:hAnsi="ITC Avant Garde" w:cs="Arial"/>
        </w:rPr>
        <w:t>SEG</w:t>
      </w:r>
      <w:r w:rsidR="001A5E60" w:rsidRPr="00BA1D95">
        <w:rPr>
          <w:rFonts w:ascii="ITC Avant Garde" w:hAnsi="ITC Avant Garde" w:cs="Arial"/>
        </w:rPr>
        <w:t xml:space="preserve"> podrá visualizar la situación administrativa de la línea </w:t>
      </w:r>
      <w:r w:rsidR="008D0B51" w:rsidRPr="00BA1D95">
        <w:rPr>
          <w:rFonts w:ascii="ITC Avant Garde" w:hAnsi="ITC Avant Garde" w:cs="Arial"/>
        </w:rPr>
        <w:t xml:space="preserve">a </w:t>
      </w:r>
      <w:r w:rsidR="001A5E60" w:rsidRPr="00BA1D95">
        <w:rPr>
          <w:rFonts w:ascii="ITC Avant Garde" w:hAnsi="ITC Avant Garde" w:cs="Arial"/>
        </w:rPr>
        <w:t xml:space="preserve">desagregar. Las causales de suspensión temporal podrán ser </w:t>
      </w:r>
      <w:r w:rsidR="00A47F9A" w:rsidRPr="00BA1D95">
        <w:rPr>
          <w:rFonts w:ascii="ITC Avant Garde" w:hAnsi="ITC Avant Garde" w:cs="Arial"/>
        </w:rPr>
        <w:t>por alguno de los motivos administrativos siguientes:</w:t>
      </w:r>
    </w:p>
    <w:p w:rsidR="00A47F9A" w:rsidRPr="00BA1D95" w:rsidRDefault="00A47F9A" w:rsidP="00C0124F">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Que el número tenga una Orden de Servicio abierta por:</w:t>
      </w:r>
    </w:p>
    <w:p w:rsidR="00C94FAC" w:rsidRPr="00BA0046" w:rsidRDefault="00C94FAC" w:rsidP="00D37C98">
      <w:pPr>
        <w:pStyle w:val="Texto1"/>
        <w:numPr>
          <w:ilvl w:val="0"/>
          <w:numId w:val="123"/>
        </w:numPr>
        <w:spacing w:after="200" w:line="276" w:lineRule="auto"/>
        <w:contextualSpacing/>
        <w:rPr>
          <w:rFonts w:ascii="ITC Avant Garde" w:hAnsi="ITC Avant Garde"/>
          <w:sz w:val="22"/>
          <w:szCs w:val="22"/>
        </w:rPr>
      </w:pPr>
      <w:bookmarkStart w:id="175" w:name="_Toc467248682"/>
      <w:bookmarkStart w:id="176" w:name="_Toc525904546"/>
      <w:bookmarkStart w:id="177" w:name="_Toc525913942"/>
      <w:bookmarkStart w:id="178" w:name="_Toc525919181"/>
      <w:bookmarkStart w:id="179" w:name="_Toc525919305"/>
      <w:r w:rsidRPr="00BA0046">
        <w:rPr>
          <w:rFonts w:ascii="ITC Avant Garde" w:hAnsi="ITC Avant Garde"/>
          <w:sz w:val="22"/>
          <w:szCs w:val="22"/>
        </w:rPr>
        <w:t>Baja de la línea</w:t>
      </w:r>
    </w:p>
    <w:p w:rsidR="00C94FAC" w:rsidRPr="00BA0046" w:rsidRDefault="00C94FAC" w:rsidP="00D37C98">
      <w:pPr>
        <w:pStyle w:val="Texto1"/>
        <w:numPr>
          <w:ilvl w:val="0"/>
          <w:numId w:val="123"/>
        </w:numPr>
        <w:spacing w:after="200" w:line="276" w:lineRule="auto"/>
        <w:contextualSpacing/>
        <w:rPr>
          <w:rFonts w:ascii="ITC Avant Garde" w:hAnsi="ITC Avant Garde"/>
          <w:sz w:val="22"/>
          <w:szCs w:val="22"/>
        </w:rPr>
      </w:pPr>
      <w:r w:rsidRPr="00BA0046">
        <w:rPr>
          <w:rFonts w:ascii="ITC Avant Garde" w:hAnsi="ITC Avant Garde"/>
          <w:sz w:val="22"/>
          <w:szCs w:val="22"/>
        </w:rPr>
        <w:t>Cambio de domicilio</w:t>
      </w:r>
    </w:p>
    <w:p w:rsidR="00C94FAC" w:rsidRPr="006A2950" w:rsidRDefault="00C94FAC" w:rsidP="00D37C98">
      <w:pPr>
        <w:pStyle w:val="Texto1"/>
        <w:numPr>
          <w:ilvl w:val="0"/>
          <w:numId w:val="123"/>
        </w:numPr>
        <w:spacing w:after="200" w:line="276" w:lineRule="auto"/>
        <w:contextualSpacing/>
        <w:rPr>
          <w:rFonts w:ascii="ITC Avant Garde" w:hAnsi="ITC Avant Garde"/>
          <w:sz w:val="22"/>
          <w:szCs w:val="22"/>
        </w:rPr>
      </w:pPr>
      <w:r w:rsidRPr="006A2950">
        <w:rPr>
          <w:rFonts w:ascii="ITC Avant Garde" w:hAnsi="ITC Avant Garde"/>
          <w:sz w:val="22"/>
          <w:szCs w:val="22"/>
        </w:rPr>
        <w:t>Cambio de número</w:t>
      </w:r>
    </w:p>
    <w:p w:rsidR="00C94FAC" w:rsidRPr="00BA0046" w:rsidRDefault="00C94FAC" w:rsidP="00D37C98">
      <w:pPr>
        <w:pStyle w:val="Texto1"/>
        <w:numPr>
          <w:ilvl w:val="0"/>
          <w:numId w:val="123"/>
        </w:numPr>
        <w:spacing w:after="200" w:line="276" w:lineRule="auto"/>
        <w:contextualSpacing/>
        <w:rPr>
          <w:rFonts w:ascii="ITC Avant Garde" w:hAnsi="ITC Avant Garde"/>
          <w:sz w:val="22"/>
          <w:szCs w:val="22"/>
        </w:rPr>
      </w:pPr>
      <w:r w:rsidRPr="00BA0046">
        <w:rPr>
          <w:rFonts w:ascii="ITC Avant Garde" w:hAnsi="ITC Avant Garde"/>
          <w:sz w:val="22"/>
          <w:szCs w:val="22"/>
        </w:rPr>
        <w:t>Desagregación con otro CS</w:t>
      </w:r>
      <w:bookmarkStart w:id="180" w:name="_Toc20486005"/>
      <w:bookmarkStart w:id="181" w:name="_Toc20492177"/>
      <w:bookmarkStart w:id="182" w:name="_Toc20494174"/>
    </w:p>
    <w:p w:rsidR="00E938FD" w:rsidRDefault="00C94FAC" w:rsidP="00DE7C81">
      <w:pPr>
        <w:pStyle w:val="Texto1"/>
        <w:numPr>
          <w:ilvl w:val="0"/>
          <w:numId w:val="123"/>
        </w:numPr>
        <w:spacing w:after="200" w:line="276" w:lineRule="auto"/>
        <w:ind w:left="1139" w:hanging="357"/>
        <w:rPr>
          <w:rFonts w:ascii="ITC Avant Garde" w:hAnsi="ITC Avant Garde"/>
          <w:sz w:val="22"/>
          <w:szCs w:val="22"/>
        </w:rPr>
      </w:pPr>
      <w:r w:rsidRPr="00BA0046">
        <w:rPr>
          <w:rFonts w:ascii="ITC Avant Garde" w:hAnsi="ITC Avant Garde"/>
          <w:sz w:val="22"/>
          <w:szCs w:val="22"/>
        </w:rPr>
        <w:t>Que esté en proceso de portabilidad</w:t>
      </w:r>
      <w:bookmarkEnd w:id="180"/>
      <w:bookmarkEnd w:id="181"/>
      <w:bookmarkEnd w:id="182"/>
    </w:p>
    <w:p w:rsidR="00D060CB" w:rsidRPr="00DE7C81" w:rsidRDefault="00C94FAC" w:rsidP="00DE7C81">
      <w:pPr>
        <w:pStyle w:val="Texto1"/>
        <w:spacing w:before="240" w:after="240" w:line="276" w:lineRule="auto"/>
        <w:ind w:left="0"/>
        <w:rPr>
          <w:rFonts w:ascii="ITC Avant Garde" w:hAnsi="ITC Avant Garde"/>
          <w:sz w:val="22"/>
          <w:szCs w:val="22"/>
          <w:lang w:val="es-MX"/>
        </w:rPr>
      </w:pPr>
      <w:r w:rsidRPr="00BA0046">
        <w:rPr>
          <w:rFonts w:ascii="ITC Avant Garde" w:hAnsi="ITC Avant Garde"/>
          <w:sz w:val="22"/>
          <w:szCs w:val="22"/>
          <w:lang w:val="es-MX"/>
        </w:rPr>
        <w:t xml:space="preserve">No </w:t>
      </w:r>
      <w:r w:rsidR="006605BE">
        <w:rPr>
          <w:rFonts w:ascii="ITC Avant Garde" w:hAnsi="ITC Avant Garde"/>
          <w:sz w:val="22"/>
          <w:szCs w:val="22"/>
          <w:lang w:val="es-MX"/>
        </w:rPr>
        <w:t>se suspenderá o cancelará el servicio por eventos imprevistos</w:t>
      </w:r>
      <w:r w:rsidRPr="00BA0046">
        <w:rPr>
          <w:rFonts w:ascii="ITC Avant Garde" w:hAnsi="ITC Avant Garde"/>
          <w:sz w:val="22"/>
          <w:szCs w:val="22"/>
          <w:lang w:val="es-MX"/>
        </w:rPr>
        <w:t xml:space="preserve"> ajenos a</w:t>
      </w:r>
      <w:r>
        <w:rPr>
          <w:rFonts w:ascii="ITC Avant Garde" w:hAnsi="ITC Avant Garde"/>
          <w:sz w:val="22"/>
          <w:szCs w:val="22"/>
          <w:lang w:val="es-MX"/>
        </w:rPr>
        <w:t xml:space="preserve"> </w:t>
      </w:r>
      <w:r w:rsidR="00E83F21">
        <w:rPr>
          <w:rFonts w:ascii="ITC Avant Garde" w:hAnsi="ITC Avant Garde"/>
          <w:sz w:val="22"/>
          <w:szCs w:val="22"/>
          <w:lang w:val="es-MX"/>
        </w:rPr>
        <w:t>Telmex / Telnor</w:t>
      </w:r>
      <w:r w:rsidR="008E7097">
        <w:rPr>
          <w:rFonts w:ascii="ITC Avant Garde" w:hAnsi="ITC Avant Garde"/>
          <w:sz w:val="22"/>
          <w:szCs w:val="22"/>
          <w:lang w:val="es-MX"/>
        </w:rPr>
        <w:t xml:space="preserve"> </w:t>
      </w:r>
      <w:r w:rsidRPr="00BA0046">
        <w:rPr>
          <w:rFonts w:ascii="ITC Avant Garde" w:hAnsi="ITC Avant Garde"/>
          <w:sz w:val="22"/>
          <w:szCs w:val="22"/>
          <w:lang w:val="es-MX"/>
        </w:rPr>
        <w:t xml:space="preserve">y al CS que </w:t>
      </w:r>
      <w:r w:rsidR="006605BE">
        <w:rPr>
          <w:rFonts w:ascii="ITC Avant Garde" w:hAnsi="ITC Avant Garde"/>
          <w:sz w:val="22"/>
          <w:szCs w:val="22"/>
          <w:lang w:val="es-MX"/>
        </w:rPr>
        <w:t>impidan</w:t>
      </w:r>
      <w:r w:rsidRPr="00BA0046">
        <w:rPr>
          <w:rFonts w:ascii="ITC Avant Garde" w:hAnsi="ITC Avant Garde"/>
          <w:sz w:val="22"/>
          <w:szCs w:val="22"/>
          <w:lang w:val="es-MX"/>
        </w:rPr>
        <w:t xml:space="preserve"> la habilitación y aprovisionamiento del servicio en la fecha programada de habilitación. </w:t>
      </w:r>
      <w:r w:rsidR="00E83F21">
        <w:rPr>
          <w:rFonts w:ascii="ITC Avant Garde" w:hAnsi="ITC Avant Garde"/>
          <w:sz w:val="22"/>
          <w:szCs w:val="22"/>
          <w:lang w:val="es-MX"/>
        </w:rPr>
        <w:t>Telmex / Telnor</w:t>
      </w:r>
      <w:r w:rsidR="008E7097">
        <w:rPr>
          <w:rFonts w:ascii="ITC Avant Garde" w:hAnsi="ITC Avant Garde"/>
          <w:sz w:val="22"/>
          <w:szCs w:val="22"/>
          <w:lang w:val="es-MX"/>
        </w:rPr>
        <w:t xml:space="preserve"> </w:t>
      </w:r>
      <w:r w:rsidRPr="00BA0046">
        <w:rPr>
          <w:rFonts w:ascii="ITC Avant Garde" w:hAnsi="ITC Avant Garde"/>
          <w:sz w:val="22"/>
          <w:szCs w:val="22"/>
          <w:lang w:val="es-MX"/>
        </w:rPr>
        <w:t xml:space="preserve">notificará vía </w:t>
      </w:r>
      <w:r w:rsidR="006B5A23">
        <w:rPr>
          <w:rFonts w:ascii="ITC Avant Garde" w:hAnsi="ITC Avant Garde"/>
          <w:sz w:val="22"/>
          <w:szCs w:val="22"/>
          <w:lang w:val="es-MX"/>
        </w:rPr>
        <w:t>SEG</w:t>
      </w:r>
      <w:r w:rsidRPr="00BA0046">
        <w:rPr>
          <w:rFonts w:ascii="ITC Avant Garde" w:hAnsi="ITC Avant Garde"/>
          <w:sz w:val="22"/>
          <w:szCs w:val="22"/>
          <w:lang w:val="es-MX"/>
        </w:rPr>
        <w:t xml:space="preserve"> dentro de las siguientes 24 hrs. la causa y naturaleza del imprevisto y reprogramarán en conjunto una nueva fecha para la instalación del servicio.</w:t>
      </w:r>
    </w:p>
    <w:p w:rsidR="00726E26" w:rsidRPr="00BA0046" w:rsidRDefault="00726E26" w:rsidP="00726E26">
      <w:pPr>
        <w:pStyle w:val="1TitPrin"/>
        <w:numPr>
          <w:ilvl w:val="1"/>
          <w:numId w:val="182"/>
        </w:numPr>
        <w:outlineLvl w:val="1"/>
      </w:pPr>
      <w:bookmarkStart w:id="183" w:name="_Toc54106552"/>
      <w:r w:rsidRPr="00726E26">
        <w:t>Procedimiento para la verificación de la voluntad del suscriptor</w:t>
      </w:r>
      <w:bookmarkEnd w:id="183"/>
    </w:p>
    <w:bookmarkEnd w:id="167"/>
    <w:bookmarkEnd w:id="168"/>
    <w:bookmarkEnd w:id="169"/>
    <w:bookmarkEnd w:id="170"/>
    <w:bookmarkEnd w:id="171"/>
    <w:bookmarkEnd w:id="172"/>
    <w:bookmarkEnd w:id="173"/>
    <w:bookmarkEnd w:id="174"/>
    <w:bookmarkEnd w:id="175"/>
    <w:bookmarkEnd w:id="176"/>
    <w:bookmarkEnd w:id="177"/>
    <w:bookmarkEnd w:id="178"/>
    <w:bookmarkEnd w:id="179"/>
    <w:p w:rsidR="00A47F9A" w:rsidRPr="00BA1D95" w:rsidRDefault="00A47F9A" w:rsidP="004B11EB">
      <w:pPr>
        <w:spacing w:after="200" w:line="276" w:lineRule="auto"/>
        <w:jc w:val="both"/>
        <w:rPr>
          <w:rFonts w:ascii="ITC Avant Garde" w:hAnsi="ITC Avant Garde" w:cs="Arial"/>
        </w:rPr>
      </w:pPr>
      <w:r w:rsidRPr="00BA1D95">
        <w:rPr>
          <w:rStyle w:val="IFTnormalCar"/>
          <w:rFonts w:cs="Arial"/>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Pr="00BA1D95">
        <w:rPr>
          <w:rFonts w:ascii="ITC Avant Garde" w:hAnsi="ITC Avant Garde" w:cs="Arial"/>
        </w:rPr>
        <w:t xml:space="preserve">El único requisito que se solicitará para la verificación de la voluntad del suscriptor/usuario final, es la presentación del </w:t>
      </w:r>
      <w:r w:rsidR="00E47A2A" w:rsidRPr="00BA1D95">
        <w:rPr>
          <w:rFonts w:ascii="ITC Avant Garde" w:hAnsi="ITC Avant Garde" w:cs="Arial"/>
        </w:rPr>
        <w:t xml:space="preserve">solicitante (CS) </w:t>
      </w:r>
      <w:r w:rsidRPr="00BA1D95">
        <w:rPr>
          <w:rFonts w:ascii="ITC Avant Garde" w:hAnsi="ITC Avant Garde" w:cs="Arial"/>
        </w:rPr>
        <w:t xml:space="preserve">del siguiente Formato </w:t>
      </w:r>
      <w:r w:rsidRPr="00BA1D95">
        <w:rPr>
          <w:rFonts w:ascii="ITC Avant Garde" w:hAnsi="ITC Avant Garde" w:cs="Arial"/>
        </w:rPr>
        <w:lastRenderedPageBreak/>
        <w:t>de verificación de la voluntad del suscriptor/usuario final</w:t>
      </w:r>
      <w:r w:rsidRPr="00BA1D95">
        <w:rPr>
          <w:rStyle w:val="Refdenotaalpie"/>
          <w:rFonts w:ascii="ITC Avant Garde" w:hAnsi="ITC Avant Garde" w:cs="Arial"/>
        </w:rPr>
        <w:footnoteReference w:id="3"/>
      </w:r>
      <w:r w:rsidR="002E1CDB" w:rsidRPr="00BA1D95">
        <w:rPr>
          <w:rFonts w:ascii="ITC Avant Garde" w:hAnsi="ITC Avant Garde" w:cs="Arial"/>
        </w:rPr>
        <w:t>, o en su caso</w:t>
      </w:r>
      <w:r w:rsidR="005027D9" w:rsidRPr="00BA1D95">
        <w:rPr>
          <w:rFonts w:ascii="ITC Avant Garde" w:hAnsi="ITC Avant Garde" w:cs="Arial"/>
        </w:rPr>
        <w:t xml:space="preserve"> si la solicitud se realiza de forma electrónica,</w:t>
      </w:r>
      <w:r w:rsidR="002E1CDB" w:rsidRPr="00BA1D95">
        <w:rPr>
          <w:rFonts w:ascii="ITC Avant Garde" w:hAnsi="ITC Avant Garde" w:cs="Arial"/>
        </w:rPr>
        <w:t xml:space="preserve"> presentar </w:t>
      </w:r>
      <w:r w:rsidR="005027D9" w:rsidRPr="00BA1D95">
        <w:rPr>
          <w:rFonts w:ascii="ITC Avant Garde" w:hAnsi="ITC Avant Garde" w:cs="Arial"/>
        </w:rPr>
        <w:t>digitalizados</w:t>
      </w:r>
      <w:r w:rsidR="002E1CDB" w:rsidRPr="00BA1D95">
        <w:rPr>
          <w:rFonts w:ascii="ITC Avant Garde" w:hAnsi="ITC Avant Garde" w:cs="Arial"/>
        </w:rPr>
        <w:t xml:space="preserve"> el Formato de verificación de la voluntad del suscriptor</w:t>
      </w:r>
      <w:r w:rsidR="005027D9" w:rsidRPr="00BA1D95">
        <w:rPr>
          <w:rFonts w:ascii="ITC Avant Garde" w:hAnsi="ITC Avant Garde" w:cs="Arial"/>
        </w:rPr>
        <w:t xml:space="preserve"> firmado</w:t>
      </w:r>
      <w:r w:rsidR="00BD50DB" w:rsidRPr="00BA1D95">
        <w:rPr>
          <w:rFonts w:ascii="ITC Avant Garde" w:hAnsi="ITC Avant Garde" w:cs="Arial"/>
        </w:rPr>
        <w:t>,</w:t>
      </w:r>
      <w:r w:rsidR="002E1CDB" w:rsidRPr="00BA1D95">
        <w:rPr>
          <w:rFonts w:ascii="ITC Avant Garde" w:hAnsi="ITC Avant Garde" w:cs="Arial"/>
        </w:rPr>
        <w:t xml:space="preserve"> acompañado de la identificación del usuario</w:t>
      </w:r>
      <w:r w:rsidR="005027D9" w:rsidRPr="00BA1D95">
        <w:rPr>
          <w:rFonts w:ascii="ITC Avant Garde" w:hAnsi="ITC Avant Garde" w:cs="Arial"/>
        </w:rPr>
        <w:t xml:space="preserve"> (</w:t>
      </w:r>
      <w:r w:rsidR="00DE24E2" w:rsidRPr="00BA1D95">
        <w:rPr>
          <w:rFonts w:ascii="ITC Avant Garde" w:hAnsi="ITC Avant Garde" w:cs="Arial"/>
        </w:rPr>
        <w:t xml:space="preserve">INE, </w:t>
      </w:r>
      <w:r w:rsidR="005027D9" w:rsidRPr="00BA1D95">
        <w:rPr>
          <w:rFonts w:ascii="ITC Avant Garde" w:hAnsi="ITC Avant Garde" w:cs="Arial"/>
        </w:rPr>
        <w:t xml:space="preserve"> Pasaporte, Cédula o Cartilla)</w:t>
      </w:r>
      <w:r w:rsidR="00DE24E2" w:rsidRPr="00BA1D95">
        <w:rPr>
          <w:rFonts w:ascii="ITC Avant Garde" w:hAnsi="ITC Avant Garde" w:cs="Arial"/>
        </w:rPr>
        <w:t>.</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 cuando se requiera</w:t>
      </w:r>
      <w:r w:rsidR="00282A6F" w:rsidRPr="00282A6F">
        <w:rPr>
          <w:rFonts w:ascii="ITC Avant Garde" w:hAnsi="ITC Avant Garde" w:cs="Arial"/>
          <w:lang w:val="es-ES"/>
        </w:rPr>
        <w:t xml:space="preserve">, en los términos dispuestos por las Reglas de Portabilidad Numérica publicadas el 12 de noviembre de 2014 en el Diario Oficial de la Federación, así como sus </w:t>
      </w:r>
      <w:r w:rsidR="00950516">
        <w:rPr>
          <w:rFonts w:ascii="ITC Avant Garde" w:hAnsi="ITC Avant Garde" w:cs="Arial"/>
          <w:lang w:val="es-ES"/>
        </w:rPr>
        <w:t>posteriores</w:t>
      </w:r>
      <w:r w:rsidR="00950516" w:rsidRPr="00282A6F">
        <w:rPr>
          <w:rFonts w:ascii="ITC Avant Garde" w:hAnsi="ITC Avant Garde" w:cs="Arial"/>
          <w:lang w:val="es-ES"/>
        </w:rPr>
        <w:t xml:space="preserve"> </w:t>
      </w:r>
      <w:r w:rsidR="00282A6F" w:rsidRPr="00282A6F">
        <w:rPr>
          <w:rFonts w:ascii="ITC Avant Garde" w:hAnsi="ITC Avant Garde" w:cs="Arial"/>
          <w:lang w:val="es-ES"/>
        </w:rPr>
        <w:t>modificaciones</w:t>
      </w:r>
      <w:r w:rsidRPr="00BA1D95">
        <w:rPr>
          <w:rFonts w:ascii="ITC Avant Garde" w:hAnsi="ITC Avant Garde" w:cs="Arial"/>
          <w:lang w:val="es-ES"/>
        </w:rPr>
        <w:t xml:space="preserve">. </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El nuevo proveedor (receptor</w:t>
      </w:r>
      <w:r w:rsidR="00AE7B37" w:rsidRPr="00BA1D95">
        <w:rPr>
          <w:rFonts w:ascii="ITC Avant Garde" w:hAnsi="ITC Avant Garde" w:cs="Arial"/>
          <w:lang w:val="es-ES"/>
        </w:rPr>
        <w:t xml:space="preserve">), </w:t>
      </w:r>
      <w:r w:rsidR="0059639D">
        <w:rPr>
          <w:rFonts w:ascii="ITC Avant Garde" w:hAnsi="ITC Avant Garde" w:cs="Arial"/>
          <w:lang w:val="es-ES"/>
        </w:rPr>
        <w:t xml:space="preserve">incluido el AEP, </w:t>
      </w:r>
      <w:r w:rsidR="00AE7B37" w:rsidRPr="00BA1D95">
        <w:rPr>
          <w:rFonts w:ascii="ITC Avant Garde" w:hAnsi="ITC Avant Garde" w:cs="Arial"/>
          <w:lang w:val="es-ES"/>
        </w:rPr>
        <w:t>será</w:t>
      </w:r>
      <w:r w:rsidRPr="00BA1D95">
        <w:rPr>
          <w:rFonts w:ascii="ITC Avant Garde" w:hAnsi="ITC Avant Garde" w:cs="Arial"/>
          <w:lang w:val="es-ES"/>
        </w:rPr>
        <w:t xml:space="preserve"> responsable de resguardar, por un período de cuando menos seis meses, la documentación proporcionada por el usuario final/suscriptor, así como entregar al Instituto dicha documentación en caso de requerirla.</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La información relativa a datos personales deberá ser utilizada únicamente para los fines para los cuales fue recabada, asimismo cuando hayan cumplido con la finalidad para la que fueron proporcionados, el responsable podrá conservar los datos personales exclusivamente para efectos de las responsabilidades nacidas del tratamiento, observando en todo momento la legislación aplicable en materia de acceso a la información y tratamiento y protección de datos personales.</w:t>
      </w:r>
    </w:p>
    <w:p w:rsidR="00A47F9A" w:rsidRPr="00BA1D95" w:rsidRDefault="004F7CF8" w:rsidP="004B11EB">
      <w:pPr>
        <w:pStyle w:val="IFTnormal"/>
        <w:rPr>
          <w:rFonts w:cs="Arial"/>
        </w:rPr>
      </w:pPr>
      <w:r w:rsidRPr="00DE7C81">
        <w:rPr>
          <w:rFonts w:cs="Arial"/>
        </w:rPr>
        <w:t xml:space="preserve">Los CS no incurrirán </w:t>
      </w:r>
      <w:r w:rsidR="00A47F9A" w:rsidRPr="00DE7C81">
        <w:rPr>
          <w:rFonts w:cs="Arial"/>
        </w:rPr>
        <w:t>en actividades de retención o de promoción de sus propios servicios, por lo que para tal efecto no deberá</w:t>
      </w:r>
      <w:r w:rsidRPr="00DE7C81">
        <w:rPr>
          <w:rFonts w:cs="Arial"/>
        </w:rPr>
        <w:t>n</w:t>
      </w:r>
      <w:r w:rsidR="00A47F9A" w:rsidRPr="00DE7C81">
        <w:rPr>
          <w:rFonts w:cs="Arial"/>
        </w:rPr>
        <w:t xml:space="preserve"> establecer comunicación con el suscriptor que solicite el cambio de proveedor, </w:t>
      </w:r>
      <w:r w:rsidR="00D36908" w:rsidRPr="00DE7C81">
        <w:rPr>
          <w:rFonts w:cs="Arial"/>
        </w:rPr>
        <w:t xml:space="preserve">a partir de que el CS-B (proveedor </w:t>
      </w:r>
      <w:r w:rsidR="00D950AF" w:rsidRPr="00DE7C81">
        <w:rPr>
          <w:rFonts w:cs="Arial"/>
        </w:rPr>
        <w:t>receptor</w:t>
      </w:r>
      <w:r w:rsidR="00713069" w:rsidRPr="00DE7C81">
        <w:rPr>
          <w:rFonts w:cs="Arial"/>
        </w:rPr>
        <w:t xml:space="preserve"> del </w:t>
      </w:r>
      <w:r w:rsidR="00D950AF" w:rsidRPr="00DE7C81">
        <w:rPr>
          <w:rFonts w:cs="Arial"/>
        </w:rPr>
        <w:t>servicio</w:t>
      </w:r>
      <w:r w:rsidR="00D36908" w:rsidRPr="00DE7C81">
        <w:rPr>
          <w:rFonts w:cs="Arial"/>
        </w:rPr>
        <w:t>) le notifique al CS-A</w:t>
      </w:r>
      <w:r w:rsidR="00713069" w:rsidRPr="00DE7C81">
        <w:rPr>
          <w:rFonts w:cs="Arial"/>
        </w:rPr>
        <w:t xml:space="preserve"> (proveedor </w:t>
      </w:r>
      <w:r w:rsidR="00D950AF" w:rsidRPr="00DE7C81">
        <w:rPr>
          <w:rFonts w:cs="Arial"/>
        </w:rPr>
        <w:t>donador</w:t>
      </w:r>
      <w:r w:rsidR="00713069" w:rsidRPr="00DE7C81">
        <w:rPr>
          <w:rFonts w:cs="Arial"/>
        </w:rPr>
        <w:t xml:space="preserve"> del </w:t>
      </w:r>
      <w:r w:rsidR="00D950AF" w:rsidRPr="00DE7C81">
        <w:rPr>
          <w:rFonts w:cs="Arial"/>
        </w:rPr>
        <w:t>servicio</w:t>
      </w:r>
      <w:r w:rsidR="00713069" w:rsidRPr="00DE7C81">
        <w:rPr>
          <w:rFonts w:cs="Arial"/>
        </w:rPr>
        <w:t>)</w:t>
      </w:r>
      <w:r w:rsidR="00D36908" w:rsidRPr="00DE7C81">
        <w:rPr>
          <w:rFonts w:cs="Arial"/>
        </w:rPr>
        <w:t xml:space="preserve"> la solicitud de cambio de</w:t>
      </w:r>
      <w:r w:rsidR="005D662F" w:rsidRPr="00DE7C81">
        <w:rPr>
          <w:rFonts w:cs="Arial"/>
        </w:rPr>
        <w:t>l</w:t>
      </w:r>
      <w:r w:rsidR="00D36908" w:rsidRPr="00DE7C81">
        <w:rPr>
          <w:rFonts w:cs="Arial"/>
        </w:rPr>
        <w:t xml:space="preserve"> </w:t>
      </w:r>
      <w:r w:rsidR="00282A6F" w:rsidRPr="00DE7C81">
        <w:rPr>
          <w:rFonts w:cs="Arial"/>
        </w:rPr>
        <w:t>suscriptor</w:t>
      </w:r>
      <w:r w:rsidR="002025AB" w:rsidRPr="00DE7C81">
        <w:rPr>
          <w:rFonts w:cs="Arial"/>
        </w:rPr>
        <w:t xml:space="preserve"> </w:t>
      </w:r>
      <w:r w:rsidR="00A47F9A" w:rsidRPr="00DE7C81">
        <w:rPr>
          <w:rFonts w:cs="Arial"/>
        </w:rPr>
        <w:t xml:space="preserve">durante el tiempo en el que se tramita su solicitud y hasta </w:t>
      </w:r>
      <w:r w:rsidR="005D662F" w:rsidRPr="00DE7C81">
        <w:rPr>
          <w:rFonts w:cs="Arial"/>
        </w:rPr>
        <w:t xml:space="preserve">quince </w:t>
      </w:r>
      <w:r w:rsidR="00A47F9A" w:rsidRPr="00DE7C81">
        <w:rPr>
          <w:rFonts w:cs="Arial"/>
        </w:rPr>
        <w:t>días naturales después de que</w:t>
      </w:r>
      <w:r w:rsidR="002025AB" w:rsidRPr="00DE7C81">
        <w:rPr>
          <w:rFonts w:cs="Arial"/>
        </w:rPr>
        <w:t xml:space="preserve"> </w:t>
      </w:r>
      <w:r w:rsidR="00E83F21">
        <w:rPr>
          <w:rFonts w:cs="Arial"/>
        </w:rPr>
        <w:t>Telmex / Telnor</w:t>
      </w:r>
      <w:r w:rsidR="002025AB" w:rsidRPr="00DE7C81">
        <w:rPr>
          <w:rFonts w:cs="Arial"/>
        </w:rPr>
        <w:t xml:space="preserve"> le haya notificado al CS-A que se habilitaron </w:t>
      </w:r>
      <w:r w:rsidR="00A47F9A" w:rsidRPr="00DE7C81">
        <w:rPr>
          <w:rFonts w:cs="Arial"/>
        </w:rPr>
        <w:t>los servicios de telecomunicaciones solicitados</w:t>
      </w:r>
      <w:r w:rsidR="002025AB" w:rsidRPr="00DE7C81">
        <w:rPr>
          <w:rFonts w:cs="Arial"/>
        </w:rPr>
        <w:t xml:space="preserve"> por el CS-B</w:t>
      </w:r>
      <w:r w:rsidR="00A47F9A" w:rsidRPr="00DE7C81">
        <w:rPr>
          <w:rFonts w:cs="Arial"/>
        </w:rPr>
        <w:t>.</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Las solicitudes que se reciban serán atendidas como alta de servicio, por tanto, se dará de baja el servicio con el proveedor actual (donador) y se hará el cambio con el nuevo proveedor del servicio (receptor). Para realizar la verificación de la voluntad el suscriptor/usuario final se cuenta con tres escenarios:</w:t>
      </w:r>
    </w:p>
    <w:p w:rsidR="00A47F9A" w:rsidRPr="00BA1D95" w:rsidRDefault="00A47F9A" w:rsidP="008F5D32">
      <w:pPr>
        <w:pStyle w:val="Prrafodelista"/>
        <w:numPr>
          <w:ilvl w:val="0"/>
          <w:numId w:val="30"/>
        </w:numPr>
        <w:spacing w:after="200" w:line="276" w:lineRule="auto"/>
        <w:jc w:val="both"/>
        <w:rPr>
          <w:rFonts w:ascii="ITC Avant Garde" w:hAnsi="ITC Avant Garde" w:cs="Arial"/>
          <w:sz w:val="22"/>
          <w:szCs w:val="22"/>
          <w:lang w:val="es-ES"/>
        </w:rPr>
      </w:pPr>
      <w:r w:rsidRPr="00BA1D95">
        <w:rPr>
          <w:rFonts w:ascii="ITC Avant Garde" w:hAnsi="ITC Avant Garde" w:cs="Arial"/>
          <w:sz w:val="22"/>
          <w:szCs w:val="22"/>
          <w:lang w:val="es-ES"/>
        </w:rPr>
        <w:t xml:space="preserve">De </w:t>
      </w:r>
      <w:r w:rsidR="00E83F21">
        <w:rPr>
          <w:rFonts w:ascii="ITC Avant Garde" w:hAnsi="ITC Avant Garde" w:cs="Arial"/>
          <w:sz w:val="22"/>
          <w:szCs w:val="22"/>
          <w:lang w:val="es-ES"/>
        </w:rPr>
        <w:t>Telmex / Telnor</w:t>
      </w:r>
      <w:r w:rsidR="004F7CF8"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 xml:space="preserve">a CS: El CS realiza ante </w:t>
      </w:r>
      <w:r w:rsidR="00E83F21">
        <w:rPr>
          <w:rFonts w:ascii="ITC Avant Garde" w:hAnsi="ITC Avant Garde" w:cs="Arial"/>
          <w:sz w:val="22"/>
          <w:szCs w:val="22"/>
          <w:lang w:val="es-ES"/>
        </w:rPr>
        <w:t>Telmex / Telnor</w:t>
      </w:r>
      <w:r w:rsidR="004F7CF8"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el cambio de proveedor del servicio de telecomunicaciones.</w:t>
      </w:r>
    </w:p>
    <w:p w:rsidR="00A47F9A" w:rsidRPr="00BA1D95" w:rsidRDefault="00A47F9A" w:rsidP="008F5D32">
      <w:pPr>
        <w:pStyle w:val="Prrafodelista"/>
        <w:numPr>
          <w:ilvl w:val="0"/>
          <w:numId w:val="30"/>
        </w:numPr>
        <w:spacing w:after="200" w:line="276" w:lineRule="auto"/>
        <w:jc w:val="both"/>
        <w:rPr>
          <w:rFonts w:ascii="ITC Avant Garde" w:hAnsi="ITC Avant Garde" w:cs="Arial"/>
          <w:sz w:val="22"/>
          <w:szCs w:val="22"/>
          <w:lang w:val="es-ES"/>
        </w:rPr>
      </w:pPr>
      <w:r w:rsidRPr="00BA1D95">
        <w:rPr>
          <w:rFonts w:ascii="ITC Avant Garde" w:hAnsi="ITC Avant Garde" w:cs="Arial"/>
          <w:sz w:val="22"/>
          <w:szCs w:val="22"/>
          <w:lang w:val="es-ES"/>
        </w:rPr>
        <w:t xml:space="preserve">De CS a </w:t>
      </w:r>
      <w:r w:rsidR="00E83F21">
        <w:rPr>
          <w:rFonts w:ascii="ITC Avant Garde" w:hAnsi="ITC Avant Garde" w:cs="Arial"/>
          <w:sz w:val="22"/>
          <w:szCs w:val="22"/>
          <w:lang w:val="es-ES"/>
        </w:rPr>
        <w:t>Telmex / Telnor</w:t>
      </w:r>
      <w:r w:rsidR="00EF2754" w:rsidRPr="00BA1D95">
        <w:rPr>
          <w:rFonts w:ascii="ITC Avant Garde" w:hAnsi="ITC Avant Garde" w:cs="Arial"/>
          <w:sz w:val="22"/>
          <w:szCs w:val="22"/>
          <w:lang w:val="es-ES"/>
        </w:rPr>
        <w:t>:</w:t>
      </w:r>
      <w:r w:rsidR="00AE7B37" w:rsidRPr="00BA1D95">
        <w:rPr>
          <w:rFonts w:ascii="ITC Avant Garde" w:hAnsi="ITC Avant Garde" w:cs="Arial"/>
          <w:sz w:val="22"/>
          <w:szCs w:val="22"/>
          <w:lang w:val="es-ES"/>
        </w:rPr>
        <w:t xml:space="preserve"> </w:t>
      </w:r>
      <w:r w:rsidR="00EF2754" w:rsidRPr="00BA1D95">
        <w:rPr>
          <w:rFonts w:ascii="ITC Avant Garde" w:hAnsi="ITC Avant Garde" w:cs="Arial"/>
          <w:sz w:val="22"/>
          <w:szCs w:val="22"/>
          <w:lang w:val="es-ES"/>
        </w:rPr>
        <w:t xml:space="preserve">el </w:t>
      </w:r>
      <w:r w:rsidR="00AE7B37" w:rsidRPr="00BA1D95">
        <w:rPr>
          <w:rFonts w:ascii="ITC Avant Garde" w:hAnsi="ITC Avant Garde" w:cs="Arial"/>
          <w:sz w:val="22"/>
          <w:szCs w:val="22"/>
          <w:lang w:val="es-ES"/>
        </w:rPr>
        <w:t>CS realiza</w:t>
      </w:r>
      <w:r w:rsidRPr="00BA1D95">
        <w:rPr>
          <w:rFonts w:ascii="ITC Avant Garde" w:hAnsi="ITC Avant Garde" w:cs="Arial"/>
          <w:sz w:val="22"/>
          <w:szCs w:val="22"/>
          <w:lang w:val="es-ES"/>
        </w:rPr>
        <w:t xml:space="preserve"> ante el proveedor actual el cambio de proveedor del servicio de telecomunicaciones.</w:t>
      </w:r>
    </w:p>
    <w:p w:rsidR="00A47F9A" w:rsidRPr="00BA1D95" w:rsidRDefault="00A47F9A" w:rsidP="008F5D32">
      <w:pPr>
        <w:pStyle w:val="Prrafodelista"/>
        <w:numPr>
          <w:ilvl w:val="0"/>
          <w:numId w:val="30"/>
        </w:numPr>
        <w:spacing w:after="200" w:line="276" w:lineRule="auto"/>
        <w:jc w:val="both"/>
        <w:rPr>
          <w:rFonts w:ascii="ITC Avant Garde" w:hAnsi="ITC Avant Garde" w:cs="Arial"/>
          <w:sz w:val="22"/>
          <w:szCs w:val="22"/>
          <w:lang w:val="es-ES"/>
        </w:rPr>
      </w:pPr>
      <w:r w:rsidRPr="00BA1D95">
        <w:rPr>
          <w:rFonts w:ascii="ITC Avant Garde" w:hAnsi="ITC Avant Garde" w:cs="Arial"/>
          <w:sz w:val="22"/>
          <w:szCs w:val="22"/>
          <w:lang w:val="es-ES"/>
        </w:rPr>
        <w:lastRenderedPageBreak/>
        <w:t xml:space="preserve">De CS a CS: Un CS (nuevo proveedor del servicio) realiza el cambio de proveedor del servicio de telecomunicaciones ante el proveedor actual y </w:t>
      </w:r>
      <w:r w:rsidR="00E83F21">
        <w:rPr>
          <w:rFonts w:ascii="ITC Avant Garde" w:hAnsi="ITC Avant Garde" w:cs="Arial"/>
          <w:sz w:val="22"/>
          <w:szCs w:val="22"/>
          <w:lang w:val="es-ES"/>
        </w:rPr>
        <w:t>Telmex / Telnor</w:t>
      </w:r>
      <w:r w:rsidR="00AE7B37" w:rsidRPr="00BA1D95">
        <w:rPr>
          <w:rFonts w:ascii="ITC Avant Garde" w:hAnsi="ITC Avant Garde" w:cs="Arial"/>
          <w:sz w:val="22"/>
          <w:szCs w:val="22"/>
          <w:lang w:val="es-ES"/>
        </w:rPr>
        <w:t>.</w:t>
      </w:r>
      <w:r w:rsidRPr="00BA1D95">
        <w:rPr>
          <w:rFonts w:ascii="ITC Avant Garde" w:hAnsi="ITC Avant Garde" w:cs="Arial"/>
          <w:sz w:val="22"/>
          <w:szCs w:val="22"/>
          <w:lang w:val="es-ES"/>
        </w:rPr>
        <w:t xml:space="preserve"> En este caso se incluirá a </w:t>
      </w:r>
      <w:r w:rsidR="00E83F21">
        <w:rPr>
          <w:rFonts w:ascii="ITC Avant Garde" w:hAnsi="ITC Avant Garde" w:cs="Arial"/>
          <w:sz w:val="22"/>
          <w:szCs w:val="22"/>
          <w:lang w:val="es-ES"/>
        </w:rPr>
        <w:t>Telmex / Telnor</w:t>
      </w:r>
      <w:r w:rsidR="00A84638">
        <w:rPr>
          <w:rFonts w:ascii="ITC Avant Garde" w:hAnsi="ITC Avant Garde" w:cs="Arial"/>
          <w:sz w:val="22"/>
          <w:szCs w:val="22"/>
          <w:lang w:val="es-ES"/>
        </w:rPr>
        <w:t xml:space="preserve"> </w:t>
      </w:r>
      <w:r w:rsidRPr="00BA1D95">
        <w:rPr>
          <w:rFonts w:ascii="ITC Avant Garde" w:hAnsi="ITC Avant Garde" w:cs="Arial"/>
          <w:sz w:val="22"/>
          <w:szCs w:val="22"/>
          <w:lang w:val="es-ES"/>
        </w:rPr>
        <w:t>para que ést</w:t>
      </w:r>
      <w:r w:rsidR="00EF2754" w:rsidRPr="00BA1D95">
        <w:rPr>
          <w:rFonts w:ascii="ITC Avant Garde" w:hAnsi="ITC Avant Garde" w:cs="Arial"/>
          <w:sz w:val="22"/>
          <w:szCs w:val="22"/>
          <w:lang w:val="es-ES"/>
        </w:rPr>
        <w:t>a</w:t>
      </w:r>
      <w:r w:rsidRPr="00BA1D95">
        <w:rPr>
          <w:rFonts w:ascii="ITC Avant Garde" w:hAnsi="ITC Avant Garde" w:cs="Arial"/>
          <w:sz w:val="22"/>
          <w:szCs w:val="22"/>
          <w:lang w:val="es-ES"/>
        </w:rPr>
        <w:t xml:space="preserve"> realice las</w:t>
      </w:r>
      <w:r w:rsidR="00282A6F">
        <w:rPr>
          <w:rFonts w:ascii="ITC Avant Garde" w:hAnsi="ITC Avant Garde" w:cs="Arial"/>
          <w:sz w:val="22"/>
          <w:szCs w:val="22"/>
          <w:lang w:val="es-ES"/>
        </w:rPr>
        <w:t xml:space="preserve"> adecuaciones</w:t>
      </w:r>
      <w:r w:rsidRPr="00BA1D95">
        <w:rPr>
          <w:rFonts w:ascii="ITC Avant Garde" w:hAnsi="ITC Avant Garde" w:cs="Arial"/>
          <w:sz w:val="22"/>
          <w:szCs w:val="22"/>
          <w:lang w:val="es-ES"/>
        </w:rPr>
        <w:t xml:space="preserve"> correspondientes a los servicios de desagregación.</w:t>
      </w:r>
    </w:p>
    <w:p w:rsidR="00A47F9A" w:rsidRDefault="00A47F9A" w:rsidP="00402F39">
      <w:pPr>
        <w:autoSpaceDE w:val="0"/>
        <w:autoSpaceDN w:val="0"/>
        <w:adjustRightInd w:val="0"/>
        <w:spacing w:after="200" w:line="276" w:lineRule="auto"/>
        <w:jc w:val="both"/>
        <w:rPr>
          <w:rFonts w:ascii="ITC Avant Garde" w:hAnsi="ITC Avant Garde" w:cs="Arial"/>
          <w:b/>
          <w:lang w:val="es-ES"/>
        </w:rPr>
      </w:pPr>
      <w:r w:rsidRPr="00BA1D95">
        <w:rPr>
          <w:rFonts w:ascii="ITC Avant Garde" w:hAnsi="ITC Avant Garde" w:cs="Arial"/>
          <w:b/>
          <w:lang w:val="es-ES"/>
        </w:rPr>
        <w:t xml:space="preserve">Procedimiento de verificación de voluntad del suscriptor/usuario final y cambio de Concesionario Escenarios de </w:t>
      </w:r>
      <w:r w:rsidR="00E83F21">
        <w:rPr>
          <w:rFonts w:ascii="ITC Avant Garde" w:hAnsi="ITC Avant Garde" w:cs="Arial"/>
          <w:b/>
          <w:lang w:val="es-ES"/>
        </w:rPr>
        <w:t>Telmex / Telnor</w:t>
      </w:r>
      <w:r w:rsidR="003D5F94" w:rsidRPr="00BA1D95">
        <w:rPr>
          <w:rFonts w:ascii="ITC Avant Garde" w:hAnsi="ITC Avant Garde" w:cs="Arial"/>
          <w:b/>
          <w:lang w:val="es-ES"/>
        </w:rPr>
        <w:t xml:space="preserve"> a</w:t>
      </w:r>
      <w:r w:rsidR="003D5F94">
        <w:rPr>
          <w:rFonts w:ascii="ITC Avant Garde" w:hAnsi="ITC Avant Garde" w:cs="Arial"/>
          <w:b/>
          <w:lang w:val="es-ES"/>
        </w:rPr>
        <w:t>l</w:t>
      </w:r>
      <w:r w:rsidR="003D5F94" w:rsidRPr="00BA1D95">
        <w:rPr>
          <w:rFonts w:ascii="ITC Avant Garde" w:hAnsi="ITC Avant Garde" w:cs="Arial"/>
          <w:b/>
          <w:lang w:val="es-ES"/>
        </w:rPr>
        <w:t xml:space="preserve"> CS</w:t>
      </w:r>
      <w:r w:rsidR="003D5F94">
        <w:rPr>
          <w:rFonts w:ascii="ITC Avant Garde" w:hAnsi="ITC Avant Garde" w:cs="Arial"/>
          <w:b/>
          <w:lang w:val="es-ES"/>
        </w:rPr>
        <w:t xml:space="preserve">, del </w:t>
      </w:r>
      <w:r w:rsidR="005D662F">
        <w:rPr>
          <w:rFonts w:ascii="ITC Avant Garde" w:hAnsi="ITC Avant Garde" w:cs="Arial"/>
          <w:b/>
          <w:lang w:val="es-ES"/>
        </w:rPr>
        <w:t xml:space="preserve">CS a </w:t>
      </w:r>
      <w:r w:rsidR="00E83F21">
        <w:rPr>
          <w:rFonts w:ascii="ITC Avant Garde" w:hAnsi="ITC Avant Garde" w:cs="Arial"/>
          <w:b/>
          <w:lang w:val="es-ES"/>
        </w:rPr>
        <w:t>Telmex / Telnor</w:t>
      </w:r>
      <w:r w:rsidR="005D662F">
        <w:rPr>
          <w:rFonts w:ascii="ITC Avant Garde" w:hAnsi="ITC Avant Garde" w:cs="Arial"/>
          <w:b/>
          <w:lang w:val="es-ES"/>
        </w:rPr>
        <w:t xml:space="preserve"> </w:t>
      </w:r>
      <w:r w:rsidR="003D5F94">
        <w:rPr>
          <w:rFonts w:ascii="ITC Avant Garde" w:hAnsi="ITC Avant Garde" w:cs="Arial"/>
          <w:b/>
          <w:lang w:val="es-ES"/>
        </w:rPr>
        <w:t xml:space="preserve">y del </w:t>
      </w:r>
      <w:r w:rsidR="005D662F">
        <w:rPr>
          <w:rFonts w:ascii="ITC Avant Garde" w:hAnsi="ITC Avant Garde" w:cs="Arial"/>
          <w:b/>
          <w:lang w:val="es-ES"/>
        </w:rPr>
        <w:t>CS a</w:t>
      </w:r>
      <w:r w:rsidR="003D5F94">
        <w:rPr>
          <w:rFonts w:ascii="ITC Avant Garde" w:hAnsi="ITC Avant Garde" w:cs="Arial"/>
          <w:b/>
          <w:lang w:val="es-ES"/>
        </w:rPr>
        <w:t>l</w:t>
      </w:r>
      <w:r w:rsidR="005D662F">
        <w:rPr>
          <w:rFonts w:ascii="ITC Avant Garde" w:hAnsi="ITC Avant Garde" w:cs="Arial"/>
          <w:b/>
          <w:lang w:val="es-ES"/>
        </w:rPr>
        <w:t xml:space="preserve"> CS (donador – receptor)</w:t>
      </w:r>
      <w:r w:rsidR="003D5F94">
        <w:rPr>
          <w:rFonts w:ascii="ITC Avant Garde" w:hAnsi="ITC Avant Garde" w:cs="Arial"/>
          <w:b/>
          <w:lang w:val="es-ES"/>
        </w:rPr>
        <w:t>:</w:t>
      </w:r>
    </w:p>
    <w:p w:rsidR="003D5F94" w:rsidRPr="00BA0046" w:rsidRDefault="003D5F94" w:rsidP="003D5F94">
      <w:pPr>
        <w:pStyle w:val="Prrafodelista"/>
        <w:numPr>
          <w:ilvl w:val="0"/>
          <w:numId w:val="37"/>
        </w:numPr>
        <w:autoSpaceDE w:val="0"/>
        <w:autoSpaceDN w:val="0"/>
        <w:adjustRightInd w:val="0"/>
        <w:spacing w:after="200" w:line="276" w:lineRule="auto"/>
        <w:jc w:val="both"/>
        <w:rPr>
          <w:rFonts w:ascii="ITC Avant Garde" w:hAnsi="ITC Avant Garde" w:cs="Arial"/>
          <w:sz w:val="22"/>
          <w:szCs w:val="22"/>
          <w:lang w:val="es-ES"/>
        </w:rPr>
      </w:pPr>
      <w:r w:rsidRPr="00BA0046">
        <w:rPr>
          <w:rFonts w:ascii="ITC Avant Garde" w:hAnsi="ITC Avant Garde" w:cs="Arial"/>
          <w:b/>
          <w:sz w:val="22"/>
          <w:szCs w:val="22"/>
          <w:lang w:val="es-ES"/>
        </w:rPr>
        <w:t>Escenarios de</w:t>
      </w:r>
      <w:r>
        <w:rPr>
          <w:rFonts w:ascii="ITC Avant Garde" w:hAnsi="ITC Avant Garde" w:cs="Arial"/>
          <w:b/>
          <w:sz w:val="22"/>
          <w:szCs w:val="22"/>
          <w:lang w:val="es-ES"/>
        </w:rPr>
        <w:t xml:space="preserve"> </w:t>
      </w:r>
      <w:r w:rsidR="00E83F21">
        <w:rPr>
          <w:rFonts w:ascii="ITC Avant Garde" w:hAnsi="ITC Avant Garde" w:cs="Arial"/>
          <w:b/>
          <w:sz w:val="22"/>
          <w:szCs w:val="22"/>
          <w:lang w:val="es-ES"/>
        </w:rPr>
        <w:t>Telmex / Telnor</w:t>
      </w:r>
      <w:r w:rsidRPr="00BA0046">
        <w:rPr>
          <w:rFonts w:ascii="ITC Avant Garde" w:hAnsi="ITC Avant Garde" w:cs="Arial"/>
          <w:b/>
          <w:sz w:val="22"/>
          <w:szCs w:val="22"/>
          <w:lang w:val="es-ES"/>
        </w:rPr>
        <w:t xml:space="preserve"> a</w:t>
      </w:r>
      <w:r>
        <w:rPr>
          <w:rFonts w:ascii="ITC Avant Garde" w:hAnsi="ITC Avant Garde" w:cs="Arial"/>
          <w:b/>
          <w:sz w:val="22"/>
          <w:szCs w:val="22"/>
          <w:lang w:val="es-ES"/>
        </w:rPr>
        <w:t>l</w:t>
      </w:r>
      <w:r w:rsidRPr="00BA0046">
        <w:rPr>
          <w:rFonts w:ascii="ITC Avant Garde" w:hAnsi="ITC Avant Garde" w:cs="Arial"/>
          <w:b/>
          <w:sz w:val="22"/>
          <w:szCs w:val="22"/>
          <w:lang w:val="es-ES"/>
        </w:rPr>
        <w:t xml:space="preserve"> CS</w:t>
      </w:r>
    </w:p>
    <w:p w:rsidR="00A47F9A" w:rsidRPr="00BA1D95" w:rsidRDefault="00A47F9A" w:rsidP="004B11EB">
      <w:pPr>
        <w:autoSpaceDE w:val="0"/>
        <w:autoSpaceDN w:val="0"/>
        <w:adjustRightInd w:val="0"/>
        <w:spacing w:after="200" w:line="276" w:lineRule="auto"/>
        <w:ind w:left="720"/>
        <w:jc w:val="both"/>
        <w:rPr>
          <w:rFonts w:ascii="ITC Avant Garde" w:hAnsi="ITC Avant Garde" w:cs="Arial"/>
          <w:lang w:val="es-ES"/>
        </w:rPr>
      </w:pPr>
      <w:r w:rsidRPr="00BA1D95">
        <w:rPr>
          <w:rFonts w:ascii="ITC Avant Garde" w:hAnsi="ITC Avant Garde" w:cs="Arial"/>
          <w:lang w:val="es-ES"/>
        </w:rPr>
        <w:t xml:space="preserve">El CS solicitará a </w:t>
      </w:r>
      <w:r w:rsidR="00E83F21">
        <w:rPr>
          <w:rFonts w:ascii="ITC Avant Garde" w:hAnsi="ITC Avant Garde" w:cs="Arial"/>
          <w:lang w:val="es-ES"/>
        </w:rPr>
        <w:t>Telmex / Telnor</w:t>
      </w:r>
      <w:r w:rsidR="005D0B5F" w:rsidRPr="00BA1D95">
        <w:rPr>
          <w:rFonts w:ascii="ITC Avant Garde" w:hAnsi="ITC Avant Garde" w:cs="Arial"/>
          <w:lang w:val="es-ES"/>
        </w:rPr>
        <w:t xml:space="preserve"> </w:t>
      </w:r>
      <w:r w:rsidRPr="00BA1D95">
        <w:rPr>
          <w:rFonts w:ascii="ITC Avant Garde" w:hAnsi="ITC Avant Garde" w:cs="Arial"/>
          <w:lang w:val="es-ES"/>
        </w:rPr>
        <w:t>los servicios de desagregación correspondientes</w:t>
      </w:r>
      <w:r w:rsidR="00282A6F">
        <w:rPr>
          <w:rFonts w:ascii="ITC Avant Garde" w:hAnsi="ITC Avant Garde" w:cs="Arial"/>
          <w:lang w:val="es-ES"/>
        </w:rPr>
        <w:t>,</w:t>
      </w:r>
      <w:r w:rsidRPr="00BA1D95">
        <w:rPr>
          <w:rFonts w:ascii="ITC Avant Garde" w:hAnsi="ITC Avant Garde" w:cs="Arial"/>
          <w:lang w:val="es-ES"/>
        </w:rPr>
        <w:t xml:space="preserve"> anexando el formato de verificación de la voluntad debidamente firmado. </w:t>
      </w:r>
    </w:p>
    <w:p w:rsidR="002E1CDB" w:rsidRPr="00BA1D95" w:rsidRDefault="002E1CDB" w:rsidP="004B11EB">
      <w:pPr>
        <w:autoSpaceDE w:val="0"/>
        <w:autoSpaceDN w:val="0"/>
        <w:adjustRightInd w:val="0"/>
        <w:spacing w:after="200" w:line="276" w:lineRule="auto"/>
        <w:ind w:left="720"/>
        <w:jc w:val="both"/>
        <w:rPr>
          <w:rFonts w:ascii="ITC Avant Garde" w:hAnsi="ITC Avant Garde" w:cs="Arial"/>
          <w:lang w:val="es-ES"/>
        </w:rPr>
      </w:pPr>
      <w:r w:rsidRPr="00BA1D95">
        <w:rPr>
          <w:rFonts w:ascii="ITC Avant Garde" w:hAnsi="ITC Avant Garde" w:cs="Arial"/>
          <w:lang w:val="es-ES"/>
        </w:rPr>
        <w:t xml:space="preserve">De forma alterna el CS podrá cargar en el </w:t>
      </w:r>
      <w:r w:rsidR="006B5A23">
        <w:rPr>
          <w:rFonts w:ascii="ITC Avant Garde" w:hAnsi="ITC Avant Garde" w:cs="Arial"/>
          <w:lang w:val="es-ES"/>
        </w:rPr>
        <w:t>SEG</w:t>
      </w:r>
      <w:r w:rsidRPr="00BA1D95">
        <w:rPr>
          <w:rFonts w:ascii="ITC Avant Garde" w:hAnsi="ITC Avant Garde" w:cs="Arial"/>
          <w:lang w:val="es-ES"/>
        </w:rPr>
        <w:t xml:space="preserve"> el formato</w:t>
      </w:r>
      <w:r w:rsidR="001D65B2" w:rsidRPr="00BA1D95">
        <w:rPr>
          <w:rStyle w:val="Refdenotaalpie"/>
          <w:rFonts w:ascii="ITC Avant Garde" w:hAnsi="ITC Avant Garde" w:cs="Arial"/>
          <w:lang w:val="es-ES"/>
        </w:rPr>
        <w:footnoteReference w:id="4"/>
      </w:r>
      <w:r w:rsidRPr="00BA1D95">
        <w:rPr>
          <w:rFonts w:ascii="ITC Avant Garde" w:hAnsi="ITC Avant Garde" w:cs="Arial"/>
          <w:lang w:val="es-ES"/>
        </w:rPr>
        <w:t xml:space="preserve"> de verificación firmado e identificación en formato electrónico (</w:t>
      </w:r>
      <w:r w:rsidR="00DE24E2" w:rsidRPr="00BA1D95">
        <w:rPr>
          <w:rFonts w:ascii="ITC Avant Garde" w:hAnsi="ITC Avant Garde" w:cs="Arial"/>
          <w:lang w:val="es-ES"/>
        </w:rPr>
        <w:t>extensiones .</w:t>
      </w:r>
      <w:proofErr w:type="spellStart"/>
      <w:r w:rsidR="00DE24E2" w:rsidRPr="00BA1D95">
        <w:rPr>
          <w:rFonts w:ascii="ITC Avant Garde" w:hAnsi="ITC Avant Garde" w:cs="Arial"/>
          <w:lang w:val="es-ES"/>
        </w:rPr>
        <w:t>pdf</w:t>
      </w:r>
      <w:proofErr w:type="spellEnd"/>
      <w:r w:rsidR="00DE24E2" w:rsidRPr="00BA1D95">
        <w:rPr>
          <w:rFonts w:ascii="ITC Avant Garde" w:hAnsi="ITC Avant Garde" w:cs="Arial"/>
          <w:lang w:val="es-ES"/>
        </w:rPr>
        <w:t xml:space="preserve"> o .</w:t>
      </w:r>
      <w:proofErr w:type="spellStart"/>
      <w:r w:rsidRPr="00BA1D95">
        <w:rPr>
          <w:rFonts w:ascii="ITC Avant Garde" w:hAnsi="ITC Avant Garde" w:cs="Arial"/>
          <w:lang w:val="es-ES"/>
        </w:rPr>
        <w:t>jp</w:t>
      </w:r>
      <w:r w:rsidR="00AC0638" w:rsidRPr="00BA1D95">
        <w:rPr>
          <w:rFonts w:ascii="ITC Avant Garde" w:hAnsi="ITC Avant Garde" w:cs="Arial"/>
          <w:lang w:val="es-ES"/>
        </w:rPr>
        <w:t>g</w:t>
      </w:r>
      <w:proofErr w:type="spellEnd"/>
      <w:r w:rsidRPr="00BA1D95">
        <w:rPr>
          <w:rFonts w:ascii="ITC Avant Garde" w:hAnsi="ITC Avant Garde" w:cs="Arial"/>
          <w:lang w:val="es-ES"/>
        </w:rPr>
        <w:t>)</w:t>
      </w:r>
      <w:r w:rsidR="00AC0638" w:rsidRPr="00BA1D95">
        <w:rPr>
          <w:rFonts w:ascii="ITC Avant Garde" w:hAnsi="ITC Avant Garde" w:cs="Arial"/>
          <w:lang w:val="es-ES"/>
        </w:rPr>
        <w:t xml:space="preserve"> legibles</w:t>
      </w:r>
      <w:r w:rsidRPr="00BA1D95">
        <w:rPr>
          <w:rFonts w:ascii="ITC Avant Garde" w:hAnsi="ITC Avant Garde" w:cs="Arial"/>
          <w:lang w:val="es-ES"/>
        </w:rPr>
        <w:t>.</w:t>
      </w:r>
    </w:p>
    <w:p w:rsidR="00A47F9A" w:rsidRPr="00BA1D95" w:rsidRDefault="00E83F21" w:rsidP="004B11EB">
      <w:pPr>
        <w:autoSpaceDE w:val="0"/>
        <w:autoSpaceDN w:val="0"/>
        <w:adjustRightInd w:val="0"/>
        <w:spacing w:after="200" w:line="276" w:lineRule="auto"/>
        <w:ind w:left="720"/>
        <w:jc w:val="both"/>
        <w:rPr>
          <w:rFonts w:ascii="ITC Avant Garde" w:hAnsi="ITC Avant Garde" w:cs="Arial"/>
          <w:lang w:val="es-ES"/>
        </w:rPr>
      </w:pPr>
      <w:r>
        <w:rPr>
          <w:rFonts w:ascii="ITC Avant Garde" w:hAnsi="ITC Avant Garde" w:cs="Arial"/>
          <w:lang w:val="es-ES"/>
        </w:rPr>
        <w:t>Telmex / Telnor</w:t>
      </w:r>
      <w:r w:rsidR="005D0B5F" w:rsidRPr="00BA1D95">
        <w:rPr>
          <w:rFonts w:ascii="ITC Avant Garde" w:hAnsi="ITC Avant Garde" w:cs="Arial"/>
          <w:lang w:val="es-ES"/>
        </w:rPr>
        <w:t xml:space="preserve"> </w:t>
      </w:r>
      <w:r w:rsidR="00A47F9A" w:rsidRPr="00BA1D95">
        <w:rPr>
          <w:rFonts w:ascii="ITC Avant Garde" w:hAnsi="ITC Avant Garde" w:cs="Arial"/>
          <w:lang w:val="es-ES"/>
        </w:rPr>
        <w:t>habilitará los servicios correspondientes al nuevo proveedor del servicio (receptor).</w:t>
      </w:r>
    </w:p>
    <w:p w:rsidR="00A47F9A" w:rsidRPr="00BA1D95" w:rsidRDefault="00A47F9A" w:rsidP="008F5D32">
      <w:pPr>
        <w:pStyle w:val="Prrafodelista"/>
        <w:numPr>
          <w:ilvl w:val="0"/>
          <w:numId w:val="37"/>
        </w:numPr>
        <w:autoSpaceDE w:val="0"/>
        <w:autoSpaceDN w:val="0"/>
        <w:adjustRightInd w:val="0"/>
        <w:spacing w:after="200" w:line="276" w:lineRule="auto"/>
        <w:jc w:val="both"/>
        <w:rPr>
          <w:rFonts w:ascii="ITC Avant Garde" w:hAnsi="ITC Avant Garde" w:cs="Arial"/>
          <w:b/>
          <w:sz w:val="22"/>
          <w:szCs w:val="22"/>
          <w:lang w:val="es-ES"/>
        </w:rPr>
      </w:pPr>
      <w:r w:rsidRPr="00BA1D95">
        <w:rPr>
          <w:rFonts w:ascii="ITC Avant Garde" w:hAnsi="ITC Avant Garde" w:cs="Arial"/>
          <w:b/>
          <w:sz w:val="22"/>
          <w:szCs w:val="22"/>
          <w:lang w:val="es-ES"/>
        </w:rPr>
        <w:t xml:space="preserve">Escenarios de CS a </w:t>
      </w:r>
      <w:r w:rsidR="00E83F21">
        <w:rPr>
          <w:rFonts w:ascii="ITC Avant Garde" w:hAnsi="ITC Avant Garde" w:cs="Arial"/>
          <w:b/>
          <w:sz w:val="22"/>
          <w:szCs w:val="22"/>
          <w:lang w:val="es-ES"/>
        </w:rPr>
        <w:t>Telmex / Telnor</w:t>
      </w:r>
    </w:p>
    <w:p w:rsidR="00A47F9A" w:rsidRPr="00BA1D95" w:rsidRDefault="00A47F9A" w:rsidP="004B11EB">
      <w:pPr>
        <w:autoSpaceDE w:val="0"/>
        <w:autoSpaceDN w:val="0"/>
        <w:adjustRightInd w:val="0"/>
        <w:spacing w:after="200" w:line="276" w:lineRule="auto"/>
        <w:ind w:left="720"/>
        <w:jc w:val="both"/>
        <w:rPr>
          <w:rFonts w:ascii="ITC Avant Garde" w:hAnsi="ITC Avant Garde" w:cs="Arial"/>
          <w:lang w:val="es-ES"/>
        </w:rPr>
      </w:pPr>
      <w:r w:rsidRPr="00BA1D95">
        <w:rPr>
          <w:rFonts w:ascii="ITC Avant Garde" w:hAnsi="ITC Avant Garde" w:cs="Arial"/>
          <w:lang w:val="es-ES"/>
        </w:rPr>
        <w:t>Telmex</w:t>
      </w:r>
      <w:r w:rsidR="00EC3D1A">
        <w:rPr>
          <w:rFonts w:ascii="ITC Avant Garde" w:hAnsi="ITC Avant Garde" w:cs="Arial"/>
          <w:lang w:val="es-ES"/>
        </w:rPr>
        <w:t xml:space="preserve"> </w:t>
      </w:r>
      <w:r w:rsidR="00EC3D1A">
        <w:rPr>
          <w:rFonts w:ascii="ITC Avant Garde" w:hAnsi="ITC Avant Garde" w:cs="Arial"/>
          <w:lang w:eastAsia="es-MX"/>
        </w:rPr>
        <w:t>/ Telnor</w:t>
      </w:r>
      <w:r w:rsidRPr="00BA1D95">
        <w:rPr>
          <w:rFonts w:ascii="ITC Avant Garde" w:hAnsi="ITC Avant Garde" w:cs="Arial"/>
          <w:lang w:val="es-ES"/>
        </w:rPr>
        <w:t xml:space="preserve"> entregará al proveedor actual de los servicios de telecomunicaciones copia del Formato de verificación de la voluntad, debidamente firmado.</w:t>
      </w:r>
    </w:p>
    <w:p w:rsidR="00AC0638" w:rsidRPr="00BA1D95" w:rsidRDefault="00AC0638" w:rsidP="004B11EB">
      <w:pPr>
        <w:autoSpaceDE w:val="0"/>
        <w:autoSpaceDN w:val="0"/>
        <w:adjustRightInd w:val="0"/>
        <w:spacing w:after="200" w:line="276" w:lineRule="auto"/>
        <w:ind w:left="720"/>
        <w:jc w:val="both"/>
        <w:rPr>
          <w:rFonts w:ascii="ITC Avant Garde" w:hAnsi="ITC Avant Garde" w:cs="Arial"/>
          <w:lang w:val="es-ES"/>
        </w:rPr>
      </w:pPr>
      <w:r w:rsidRPr="00BA1D95">
        <w:rPr>
          <w:rFonts w:ascii="ITC Avant Garde" w:hAnsi="ITC Avant Garde" w:cs="Arial"/>
          <w:lang w:val="es-ES"/>
        </w:rPr>
        <w:t>De forma alterna</w:t>
      </w:r>
      <w:r w:rsidR="005D0B5F" w:rsidRPr="00BA1D95">
        <w:rPr>
          <w:rFonts w:ascii="ITC Avant Garde" w:hAnsi="ITC Avant Garde" w:cs="Arial"/>
          <w:lang w:val="es-ES"/>
        </w:rPr>
        <w:t xml:space="preserve"> </w:t>
      </w:r>
      <w:r w:rsidR="00E83F21">
        <w:rPr>
          <w:rFonts w:ascii="ITC Avant Garde" w:hAnsi="ITC Avant Garde" w:cs="Arial"/>
          <w:lang w:val="es-ES"/>
        </w:rPr>
        <w:t>Telmex / Telnor</w:t>
      </w:r>
      <w:r w:rsidRPr="00BA1D95">
        <w:rPr>
          <w:rFonts w:ascii="ITC Avant Garde" w:hAnsi="ITC Avant Garde" w:cs="Arial"/>
          <w:lang w:val="es-ES"/>
        </w:rPr>
        <w:t xml:space="preserve"> podrá cargar en el </w:t>
      </w:r>
      <w:r w:rsidR="006B5A23">
        <w:rPr>
          <w:rFonts w:ascii="ITC Avant Garde" w:hAnsi="ITC Avant Garde" w:cs="Arial"/>
          <w:lang w:val="es-ES"/>
        </w:rPr>
        <w:t>SEG</w:t>
      </w:r>
      <w:r w:rsidRPr="00BA1D95">
        <w:rPr>
          <w:rFonts w:ascii="ITC Avant Garde" w:hAnsi="ITC Avant Garde" w:cs="Arial"/>
          <w:lang w:val="es-ES"/>
        </w:rPr>
        <w:t xml:space="preserve"> el formato de verificación firmado e identificación en formato electrónico (extensiones .</w:t>
      </w:r>
      <w:proofErr w:type="spellStart"/>
      <w:r w:rsidRPr="00BA1D95">
        <w:rPr>
          <w:rFonts w:ascii="ITC Avant Garde" w:hAnsi="ITC Avant Garde" w:cs="Arial"/>
          <w:lang w:val="es-ES"/>
        </w:rPr>
        <w:t>pdf</w:t>
      </w:r>
      <w:proofErr w:type="spellEnd"/>
      <w:r w:rsidRPr="00BA1D95">
        <w:rPr>
          <w:rFonts w:ascii="ITC Avant Garde" w:hAnsi="ITC Avant Garde" w:cs="Arial"/>
          <w:lang w:val="es-ES"/>
        </w:rPr>
        <w:t xml:space="preserve"> o .</w:t>
      </w:r>
      <w:proofErr w:type="spellStart"/>
      <w:r w:rsidRPr="00BA1D95">
        <w:rPr>
          <w:rFonts w:ascii="ITC Avant Garde" w:hAnsi="ITC Avant Garde" w:cs="Arial"/>
          <w:lang w:val="es-ES"/>
        </w:rPr>
        <w:t>jpg</w:t>
      </w:r>
      <w:proofErr w:type="spellEnd"/>
      <w:r w:rsidRPr="00BA1D95">
        <w:rPr>
          <w:rFonts w:ascii="ITC Avant Garde" w:hAnsi="ITC Avant Garde" w:cs="Arial"/>
          <w:lang w:val="es-ES"/>
        </w:rPr>
        <w:t>) legibles.</w:t>
      </w:r>
    </w:p>
    <w:p w:rsidR="00A47F9A" w:rsidRPr="00BA1D95" w:rsidRDefault="00A47F9A" w:rsidP="004B11EB">
      <w:pPr>
        <w:autoSpaceDE w:val="0"/>
        <w:autoSpaceDN w:val="0"/>
        <w:adjustRightInd w:val="0"/>
        <w:spacing w:after="200" w:line="276" w:lineRule="auto"/>
        <w:ind w:left="720"/>
        <w:jc w:val="both"/>
        <w:rPr>
          <w:rFonts w:ascii="ITC Avant Garde" w:hAnsi="ITC Avant Garde" w:cs="Arial"/>
          <w:lang w:val="es-ES"/>
        </w:rPr>
      </w:pPr>
      <w:r w:rsidRPr="00BA1D95">
        <w:rPr>
          <w:rFonts w:ascii="ITC Avant Garde" w:hAnsi="ITC Avant Garde" w:cs="Arial"/>
          <w:lang w:val="es-ES"/>
        </w:rPr>
        <w:t xml:space="preserve">El proveedor actual de los servicios de telecomunicaciones dará de baja los servicios contratados por el suscriptor. A su vez </w:t>
      </w:r>
      <w:r w:rsidR="00E83F21">
        <w:rPr>
          <w:rFonts w:ascii="ITC Avant Garde" w:hAnsi="ITC Avant Garde" w:cs="Arial"/>
          <w:lang w:val="es-ES"/>
        </w:rPr>
        <w:t>Telmex / Telnor</w:t>
      </w:r>
      <w:r w:rsidR="005D0B5F" w:rsidRPr="00BA1D95">
        <w:rPr>
          <w:rFonts w:ascii="ITC Avant Garde" w:hAnsi="ITC Avant Garde" w:cs="Arial"/>
          <w:lang w:val="es-ES"/>
        </w:rPr>
        <w:t xml:space="preserve"> </w:t>
      </w:r>
      <w:r w:rsidRPr="00BA1D95">
        <w:rPr>
          <w:rFonts w:ascii="ITC Avant Garde" w:hAnsi="ITC Avant Garde" w:cs="Arial"/>
          <w:lang w:val="es-ES"/>
        </w:rPr>
        <w:t>dará de baja los servicios de desagregación contratados por dicho proveedor.</w:t>
      </w:r>
    </w:p>
    <w:p w:rsidR="00A47F9A" w:rsidRPr="00BA1D95" w:rsidRDefault="00A47F9A" w:rsidP="008F5D32">
      <w:pPr>
        <w:pStyle w:val="Prrafodelista"/>
        <w:numPr>
          <w:ilvl w:val="0"/>
          <w:numId w:val="37"/>
        </w:numPr>
        <w:autoSpaceDE w:val="0"/>
        <w:autoSpaceDN w:val="0"/>
        <w:adjustRightInd w:val="0"/>
        <w:spacing w:after="200" w:line="276" w:lineRule="auto"/>
        <w:jc w:val="both"/>
        <w:rPr>
          <w:rFonts w:ascii="ITC Avant Garde" w:hAnsi="ITC Avant Garde" w:cs="Arial"/>
          <w:b/>
          <w:sz w:val="22"/>
          <w:szCs w:val="22"/>
          <w:lang w:val="es-ES"/>
        </w:rPr>
      </w:pPr>
      <w:r w:rsidRPr="00BA1D95">
        <w:rPr>
          <w:rFonts w:ascii="ITC Avant Garde" w:hAnsi="ITC Avant Garde" w:cs="Arial"/>
          <w:b/>
          <w:sz w:val="22"/>
          <w:szCs w:val="22"/>
          <w:lang w:val="es-ES"/>
        </w:rPr>
        <w:t>Escenarios de</w:t>
      </w:r>
      <w:r w:rsidR="003D5F94">
        <w:rPr>
          <w:rFonts w:ascii="ITC Avant Garde" w:hAnsi="ITC Avant Garde" w:cs="Arial"/>
          <w:b/>
          <w:sz w:val="22"/>
          <w:szCs w:val="22"/>
          <w:lang w:val="es-ES"/>
        </w:rPr>
        <w:t>l</w:t>
      </w:r>
      <w:r w:rsidRPr="00BA1D95">
        <w:rPr>
          <w:rFonts w:ascii="ITC Avant Garde" w:hAnsi="ITC Avant Garde" w:cs="Arial"/>
          <w:b/>
          <w:sz w:val="22"/>
          <w:szCs w:val="22"/>
          <w:lang w:val="es-ES"/>
        </w:rPr>
        <w:t xml:space="preserve"> CS a</w:t>
      </w:r>
      <w:r w:rsidR="003D5F94">
        <w:rPr>
          <w:rFonts w:ascii="ITC Avant Garde" w:hAnsi="ITC Avant Garde" w:cs="Arial"/>
          <w:b/>
          <w:sz w:val="22"/>
          <w:szCs w:val="22"/>
          <w:lang w:val="es-ES"/>
        </w:rPr>
        <w:t>l</w:t>
      </w:r>
      <w:r w:rsidRPr="00BA1D95">
        <w:rPr>
          <w:rFonts w:ascii="ITC Avant Garde" w:hAnsi="ITC Avant Garde" w:cs="Arial"/>
          <w:b/>
          <w:sz w:val="22"/>
          <w:szCs w:val="22"/>
          <w:lang w:val="es-ES"/>
        </w:rPr>
        <w:t xml:space="preserve"> CS </w:t>
      </w:r>
    </w:p>
    <w:p w:rsidR="00A47F9A" w:rsidRPr="00BA1D95" w:rsidRDefault="00A47F9A" w:rsidP="004B11EB">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BA1D95">
        <w:rPr>
          <w:rFonts w:ascii="ITC Avant Garde" w:hAnsi="ITC Avant Garde" w:cs="Arial"/>
          <w:sz w:val="22"/>
          <w:szCs w:val="22"/>
          <w:lang w:val="es-ES"/>
        </w:rPr>
        <w:t xml:space="preserve">El CS-B, (proveedor </w:t>
      </w:r>
      <w:r w:rsidR="00D950AF">
        <w:rPr>
          <w:rFonts w:ascii="ITC Avant Garde" w:hAnsi="ITC Avant Garde" w:cs="Arial"/>
          <w:sz w:val="22"/>
          <w:szCs w:val="22"/>
          <w:lang w:val="es-ES"/>
        </w:rPr>
        <w:t xml:space="preserve">receptor </w:t>
      </w:r>
      <w:r w:rsidRPr="00BA1D95">
        <w:rPr>
          <w:rFonts w:ascii="ITC Avant Garde" w:hAnsi="ITC Avant Garde" w:cs="Arial"/>
          <w:sz w:val="22"/>
          <w:szCs w:val="22"/>
          <w:lang w:val="es-ES"/>
        </w:rPr>
        <w:t xml:space="preserve">del servicio) solicitará a </w:t>
      </w:r>
      <w:r w:rsidR="00E83F21">
        <w:rPr>
          <w:rFonts w:ascii="ITC Avant Garde" w:hAnsi="ITC Avant Garde" w:cs="Arial"/>
          <w:sz w:val="22"/>
          <w:szCs w:val="22"/>
          <w:lang w:val="es-ES"/>
        </w:rPr>
        <w:t>Telmex / Telnor</w:t>
      </w:r>
      <w:r w:rsidR="005D0B5F" w:rsidRPr="00BA1D95">
        <w:rPr>
          <w:rFonts w:ascii="ITC Avant Garde" w:hAnsi="ITC Avant Garde" w:cs="Arial"/>
          <w:sz w:val="22"/>
          <w:szCs w:val="22"/>
          <w:lang w:val="es-ES"/>
        </w:rPr>
        <w:t xml:space="preserve"> </w:t>
      </w:r>
      <w:r w:rsidRPr="00BA1D95">
        <w:rPr>
          <w:rFonts w:ascii="ITC Avant Garde" w:hAnsi="ITC Avant Garde" w:cs="Arial"/>
          <w:sz w:val="22"/>
          <w:szCs w:val="22"/>
          <w:lang w:val="es-ES"/>
        </w:rPr>
        <w:t xml:space="preserve">los servicios de Desagregación correspondientes anexando el formato de verificación de la voluntad debidamente firmado. </w:t>
      </w:r>
    </w:p>
    <w:p w:rsidR="00AC0638" w:rsidRPr="00BA1D95" w:rsidRDefault="00AC0638" w:rsidP="004B11EB">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BA1D95">
        <w:rPr>
          <w:rFonts w:ascii="ITC Avant Garde" w:hAnsi="ITC Avant Garde" w:cs="Arial"/>
          <w:sz w:val="22"/>
          <w:szCs w:val="22"/>
          <w:lang w:val="es-ES"/>
        </w:rPr>
        <w:t xml:space="preserve">De forma alterna el CS-B podrá cargar en el </w:t>
      </w:r>
      <w:r w:rsidR="006B5A23">
        <w:rPr>
          <w:rFonts w:ascii="ITC Avant Garde" w:hAnsi="ITC Avant Garde" w:cs="Arial"/>
          <w:sz w:val="22"/>
          <w:szCs w:val="22"/>
          <w:lang w:val="es-ES"/>
        </w:rPr>
        <w:t>SEG</w:t>
      </w:r>
      <w:r w:rsidRPr="00BA1D95">
        <w:rPr>
          <w:rFonts w:ascii="ITC Avant Garde" w:hAnsi="ITC Avant Garde" w:cs="Arial"/>
          <w:sz w:val="22"/>
          <w:szCs w:val="22"/>
          <w:lang w:val="es-ES"/>
        </w:rPr>
        <w:t xml:space="preserve"> el formato de verificación firmado e identificación en formato electrónico (extensiones .</w:t>
      </w:r>
      <w:proofErr w:type="spellStart"/>
      <w:r w:rsidRPr="00BA1D95">
        <w:rPr>
          <w:rFonts w:ascii="ITC Avant Garde" w:hAnsi="ITC Avant Garde" w:cs="Arial"/>
          <w:sz w:val="22"/>
          <w:szCs w:val="22"/>
          <w:lang w:val="es-ES"/>
        </w:rPr>
        <w:t>pdf</w:t>
      </w:r>
      <w:proofErr w:type="spellEnd"/>
      <w:r w:rsidRPr="00BA1D95">
        <w:rPr>
          <w:rFonts w:ascii="ITC Avant Garde" w:hAnsi="ITC Avant Garde" w:cs="Arial"/>
          <w:sz w:val="22"/>
          <w:szCs w:val="22"/>
          <w:lang w:val="es-ES"/>
        </w:rPr>
        <w:t xml:space="preserve"> o .</w:t>
      </w:r>
      <w:proofErr w:type="spellStart"/>
      <w:r w:rsidRPr="00BA1D95">
        <w:rPr>
          <w:rFonts w:ascii="ITC Avant Garde" w:hAnsi="ITC Avant Garde" w:cs="Arial"/>
          <w:sz w:val="22"/>
          <w:szCs w:val="22"/>
          <w:lang w:val="es-ES"/>
        </w:rPr>
        <w:t>jpg</w:t>
      </w:r>
      <w:proofErr w:type="spellEnd"/>
      <w:r w:rsidRPr="00BA1D95">
        <w:rPr>
          <w:rFonts w:ascii="ITC Avant Garde" w:hAnsi="ITC Avant Garde" w:cs="Arial"/>
          <w:sz w:val="22"/>
          <w:szCs w:val="22"/>
          <w:lang w:val="es-ES"/>
        </w:rPr>
        <w:t>) legibles.</w:t>
      </w:r>
    </w:p>
    <w:p w:rsidR="00A47F9A" w:rsidRPr="00BA1D95" w:rsidRDefault="00E83F21" w:rsidP="004B11EB">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lastRenderedPageBreak/>
        <w:t>Telmex / Telnor</w:t>
      </w:r>
      <w:r w:rsidR="005D0B5F" w:rsidRPr="00BA1D95">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habilitará los servicios correspondientes al nuevo proveedor del servicio (receptor)</w:t>
      </w:r>
    </w:p>
    <w:p w:rsidR="00A47F9A" w:rsidRPr="00BA1D95" w:rsidRDefault="00A47F9A" w:rsidP="004B11EB">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BA1D95">
        <w:rPr>
          <w:rFonts w:ascii="ITC Avant Garde" w:hAnsi="ITC Avant Garde" w:cs="Arial"/>
          <w:sz w:val="22"/>
          <w:szCs w:val="22"/>
          <w:lang w:val="es-ES"/>
        </w:rPr>
        <w:t>De manera simultánea, el CS-B deberá notificar al CS-A</w:t>
      </w:r>
      <w:r w:rsidR="00D950AF">
        <w:rPr>
          <w:rFonts w:ascii="ITC Avant Garde" w:hAnsi="ITC Avant Garde" w:cs="Arial"/>
          <w:sz w:val="22"/>
          <w:szCs w:val="22"/>
          <w:lang w:val="es-ES"/>
        </w:rPr>
        <w:t xml:space="preserve"> (proveedor donador del servicio)</w:t>
      </w:r>
      <w:r w:rsidRPr="00BA1D95">
        <w:rPr>
          <w:rFonts w:ascii="ITC Avant Garde" w:hAnsi="ITC Avant Garde" w:cs="Arial"/>
          <w:sz w:val="22"/>
          <w:szCs w:val="22"/>
          <w:lang w:val="es-ES"/>
        </w:rPr>
        <w:t xml:space="preserve"> de la solicitud de cambio de proveedor por parte del suscriptor.</w:t>
      </w:r>
    </w:p>
    <w:p w:rsidR="00A47F9A" w:rsidRPr="00BA1D95" w:rsidRDefault="00E83F21" w:rsidP="004B11EB">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t>Telmex / Telnor</w:t>
      </w:r>
      <w:r w:rsidR="00724F5B" w:rsidRPr="00BA1D95">
        <w:rPr>
          <w:rFonts w:ascii="ITC Avant Garde" w:hAnsi="ITC Avant Garde" w:cs="Arial"/>
          <w:sz w:val="22"/>
          <w:szCs w:val="22"/>
          <w:lang w:val="es-ES"/>
        </w:rPr>
        <w:t xml:space="preserve"> </w:t>
      </w:r>
      <w:r w:rsidR="00A47F9A" w:rsidRPr="00BA1D95">
        <w:rPr>
          <w:rFonts w:ascii="ITC Avant Garde" w:hAnsi="ITC Avant Garde" w:cs="Arial"/>
          <w:sz w:val="22"/>
          <w:szCs w:val="22"/>
          <w:lang w:val="es-ES"/>
        </w:rPr>
        <w:t>notificará al</w:t>
      </w:r>
      <w:r w:rsidR="002025AB" w:rsidRPr="00BA1D95">
        <w:rPr>
          <w:rFonts w:ascii="ITC Avant Garde" w:hAnsi="ITC Avant Garde" w:cs="Arial"/>
          <w:sz w:val="22"/>
          <w:szCs w:val="22"/>
          <w:lang w:val="es-ES"/>
        </w:rPr>
        <w:t xml:space="preserve"> CS-A (proveedor original) y al</w:t>
      </w:r>
      <w:r w:rsidR="00A47F9A" w:rsidRPr="00BA1D95">
        <w:rPr>
          <w:rFonts w:ascii="ITC Avant Garde" w:hAnsi="ITC Avant Garde" w:cs="Arial"/>
          <w:sz w:val="22"/>
          <w:szCs w:val="22"/>
          <w:lang w:val="es-ES"/>
        </w:rPr>
        <w:t xml:space="preserve"> CS-B (proveedor nuevo) cuando se haya realizado el cambio de proveedor de los servicios de telecomunicaciones</w:t>
      </w:r>
      <w:r w:rsidR="00282A6F">
        <w:rPr>
          <w:rFonts w:ascii="ITC Avant Garde" w:hAnsi="ITC Avant Garde" w:cs="Arial"/>
          <w:sz w:val="22"/>
          <w:szCs w:val="22"/>
          <w:lang w:val="es-ES"/>
        </w:rPr>
        <w:t xml:space="preserve">, </w:t>
      </w:r>
      <w:r w:rsidR="00282A6F" w:rsidRPr="00282A6F">
        <w:rPr>
          <w:rFonts w:ascii="ITC Avant Garde" w:hAnsi="ITC Avant Garde" w:cs="Arial"/>
          <w:sz w:val="22"/>
          <w:szCs w:val="22"/>
          <w:lang w:val="es-ES"/>
        </w:rPr>
        <w:t>para efectos de los servicios materia de la presente Oferta</w:t>
      </w:r>
      <w:r w:rsidR="00A47F9A" w:rsidRPr="00BA1D95">
        <w:rPr>
          <w:rFonts w:ascii="ITC Avant Garde" w:hAnsi="ITC Avant Garde" w:cs="Arial"/>
          <w:sz w:val="22"/>
          <w:szCs w:val="22"/>
          <w:lang w:val="es-ES"/>
        </w:rPr>
        <w:t>.</w:t>
      </w:r>
    </w:p>
    <w:p w:rsidR="00A47F9A" w:rsidRPr="00BA1D95" w:rsidRDefault="00A47F9A" w:rsidP="004B11EB">
      <w:pPr>
        <w:spacing w:after="200" w:line="276" w:lineRule="auto"/>
        <w:jc w:val="both"/>
        <w:rPr>
          <w:rFonts w:ascii="ITC Avant Garde" w:hAnsi="ITC Avant Garde" w:cs="Arial"/>
          <w:lang w:val="es-ES"/>
        </w:rPr>
      </w:pPr>
      <w:bookmarkStart w:id="184" w:name="_Hlk515614408"/>
      <w:r w:rsidRPr="00BA1D95">
        <w:rPr>
          <w:rFonts w:ascii="ITC Avant Garde" w:hAnsi="ITC Avant Garde" w:cs="Arial"/>
          <w:lang w:val="es-ES"/>
        </w:rPr>
        <w:t xml:space="preserve">En la verificación de voluntad del suscriptor/usuario final </w:t>
      </w:r>
      <w:r w:rsidR="00E83F21">
        <w:rPr>
          <w:rFonts w:ascii="ITC Avant Garde" w:hAnsi="ITC Avant Garde" w:cs="Arial"/>
          <w:lang w:val="es-ES"/>
        </w:rPr>
        <w:t>Telmex / Telnor</w:t>
      </w:r>
      <w:r w:rsidR="00AE7B37" w:rsidRPr="00BA1D95">
        <w:rPr>
          <w:rFonts w:ascii="ITC Avant Garde" w:hAnsi="ITC Avant Garde" w:cs="Arial"/>
          <w:lang w:val="es-ES"/>
        </w:rPr>
        <w:t xml:space="preserve"> </w:t>
      </w:r>
      <w:r w:rsidRPr="00BA1D95">
        <w:rPr>
          <w:rFonts w:ascii="ITC Avant Garde" w:hAnsi="ITC Avant Garde" w:cs="Arial"/>
          <w:lang w:val="es-ES"/>
        </w:rPr>
        <w:t>sólo validará que el número de línea del suscriptor/usuario final o el número de</w:t>
      </w:r>
      <w:r w:rsidR="00282A6F">
        <w:rPr>
          <w:rFonts w:ascii="ITC Avant Garde" w:hAnsi="ITC Avant Garde" w:cs="Arial"/>
          <w:lang w:val="es-ES"/>
        </w:rPr>
        <w:t>l</w:t>
      </w:r>
      <w:r w:rsidRPr="00BA1D95">
        <w:rPr>
          <w:rFonts w:ascii="ITC Avant Garde" w:hAnsi="ITC Avant Garde" w:cs="Arial"/>
          <w:lang w:val="es-ES"/>
        </w:rPr>
        <w:t xml:space="preserve"> suscriptor estén asociados a un servicio activo y que el nombre y el número del suscriptor coincidan, sin que esto signifique que </w:t>
      </w:r>
      <w:r w:rsidR="00E83F21">
        <w:rPr>
          <w:rFonts w:ascii="ITC Avant Garde" w:hAnsi="ITC Avant Garde" w:cs="Arial"/>
          <w:lang w:val="es-ES"/>
        </w:rPr>
        <w:t>Telmex / Telnor</w:t>
      </w:r>
      <w:r w:rsidR="005D0B5F" w:rsidRPr="00BA1D95">
        <w:rPr>
          <w:rFonts w:ascii="ITC Avant Garde" w:hAnsi="ITC Avant Garde" w:cs="Arial"/>
          <w:lang w:val="es-ES"/>
        </w:rPr>
        <w:t xml:space="preserve"> </w:t>
      </w:r>
      <w:r w:rsidRPr="00BA1D95">
        <w:rPr>
          <w:rFonts w:ascii="ITC Avant Garde" w:hAnsi="ITC Avant Garde" w:cs="Arial"/>
          <w:lang w:val="es-ES"/>
        </w:rPr>
        <w:t>validará la veracidad de la información proporcionada.</w:t>
      </w:r>
    </w:p>
    <w:bookmarkEnd w:id="184"/>
    <w:p w:rsidR="00A47F9A" w:rsidRPr="00BA1D95" w:rsidRDefault="00A47F9A" w:rsidP="004B11EB">
      <w:pPr>
        <w:spacing w:after="200" w:line="276" w:lineRule="auto"/>
        <w:jc w:val="both"/>
        <w:rPr>
          <w:rFonts w:ascii="ITC Avant Garde" w:hAnsi="ITC Avant Garde" w:cs="Arial"/>
          <w:b/>
          <w:lang w:val="es-ES"/>
        </w:rPr>
      </w:pPr>
      <w:r w:rsidRPr="00BA1D95">
        <w:rPr>
          <w:rFonts w:ascii="ITC Avant Garde" w:hAnsi="ITC Avant Garde" w:cs="Arial"/>
          <w:b/>
          <w:lang w:val="es-ES"/>
        </w:rPr>
        <w:t xml:space="preserve">Verificación de la voluntad del usuario en caso de números de grupo para el Servicio de Reventa. </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Para números de grupo, es decir, los casos donde exista servicio con agrupación de líneas, cada línea del grupo será considerada como un servicio de desagregación independiente. Para solicitar los servicios, el CS deberá requerirlo a través de una sola solicitud e indicar en el formato respectivo la cabecera del número de grupo y los números asociados que desea contratar.</w:t>
      </w:r>
    </w:p>
    <w:p w:rsidR="00A47F9A" w:rsidRPr="00BA1D95" w:rsidRDefault="00A47F9A" w:rsidP="004B11EB">
      <w:pPr>
        <w:spacing w:after="200" w:line="276" w:lineRule="auto"/>
        <w:jc w:val="both"/>
        <w:rPr>
          <w:rFonts w:ascii="ITC Avant Garde" w:hAnsi="ITC Avant Garde" w:cs="Arial"/>
          <w:b/>
          <w:lang w:val="es-ES"/>
        </w:rPr>
      </w:pPr>
      <w:r w:rsidRPr="00BA1D95">
        <w:rPr>
          <w:rFonts w:ascii="ITC Avant Garde" w:hAnsi="ITC Avant Garde" w:cs="Arial"/>
          <w:lang w:val="es-ES"/>
        </w:rPr>
        <w:t>Cuando se solicite efectuar la desagregación de la línea que funge como cabecera de grupo, pero el suscriptor/usuario final desee conservar el grupo de líneas operando en la red de Telmex</w:t>
      </w:r>
      <w:r w:rsidR="00EC3D1A">
        <w:rPr>
          <w:rFonts w:ascii="ITC Avant Garde" w:hAnsi="ITC Avant Garde" w:cs="Arial"/>
          <w:lang w:val="es-ES"/>
        </w:rPr>
        <w:t xml:space="preserve"> </w:t>
      </w:r>
      <w:r w:rsidR="00EC3D1A">
        <w:rPr>
          <w:rFonts w:ascii="ITC Avant Garde" w:hAnsi="ITC Avant Garde" w:cs="Arial"/>
          <w:lang w:eastAsia="es-MX"/>
        </w:rPr>
        <w:t>/ Telnor</w:t>
      </w:r>
      <w:r w:rsidRPr="00BA1D95">
        <w:rPr>
          <w:rFonts w:ascii="ITC Avant Garde" w:hAnsi="ITC Avant Garde" w:cs="Arial"/>
          <w:lang w:val="es-ES"/>
        </w:rPr>
        <w:t>, se deberá indicar en el formato de verificación de la voluntad del suscriptor/usuario final</w:t>
      </w:r>
      <w:r w:rsidRPr="00BA1D95" w:rsidDel="00F01E1E">
        <w:rPr>
          <w:rFonts w:ascii="ITC Avant Garde" w:hAnsi="ITC Avant Garde" w:cs="Arial"/>
          <w:lang w:val="es-ES"/>
        </w:rPr>
        <w:t xml:space="preserve"> </w:t>
      </w:r>
      <w:r w:rsidRPr="00BA1D95">
        <w:rPr>
          <w:rFonts w:ascii="ITC Avant Garde" w:hAnsi="ITC Avant Garde" w:cs="Arial"/>
          <w:lang w:val="es-ES"/>
        </w:rPr>
        <w:t>la nueva línea (Telmex</w:t>
      </w:r>
      <w:r w:rsidR="00EC3D1A">
        <w:rPr>
          <w:rFonts w:ascii="ITC Avant Garde" w:hAnsi="ITC Avant Garde" w:cs="Arial"/>
          <w:lang w:val="es-ES"/>
        </w:rPr>
        <w:t xml:space="preserve"> </w:t>
      </w:r>
      <w:r w:rsidR="00EC3D1A">
        <w:rPr>
          <w:rFonts w:ascii="ITC Avant Garde" w:hAnsi="ITC Avant Garde" w:cs="Arial"/>
          <w:lang w:eastAsia="es-MX"/>
        </w:rPr>
        <w:t>/ Telnor</w:t>
      </w:r>
      <w:r w:rsidRPr="00BA1D95">
        <w:rPr>
          <w:rFonts w:ascii="ITC Avant Garde" w:hAnsi="ITC Avant Garde" w:cs="Arial"/>
          <w:lang w:val="es-ES"/>
        </w:rPr>
        <w:t>) que será cabecera del grupo.</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 xml:space="preserve">En caso de que un CS solicite la desagregación de todas las líneas asociadas a un número de grupo y requiera mantener el número de grupo, el CS deberá solicitar la desagregación de cada una de las líneas que conforman el grupo. </w:t>
      </w:r>
    </w:p>
    <w:p w:rsidR="00F909EC" w:rsidRPr="00BA1D95" w:rsidRDefault="00F909EC" w:rsidP="004B11EB">
      <w:pPr>
        <w:spacing w:after="200" w:line="276" w:lineRule="auto"/>
        <w:jc w:val="both"/>
        <w:rPr>
          <w:rFonts w:ascii="ITC Avant Garde" w:hAnsi="ITC Avant Garde" w:cs="Arial"/>
          <w:lang w:val="es-ES"/>
        </w:rPr>
      </w:pPr>
      <w:r w:rsidRPr="00BA1D95">
        <w:rPr>
          <w:rFonts w:ascii="ITC Avant Garde" w:hAnsi="ITC Avant Garde" w:cs="Arial"/>
          <w:lang w:val="es-ES"/>
        </w:rPr>
        <w:t xml:space="preserve">De forma alterna el CS podrá cargar en el </w:t>
      </w:r>
      <w:r w:rsidR="006B5A23">
        <w:rPr>
          <w:rFonts w:ascii="ITC Avant Garde" w:hAnsi="ITC Avant Garde" w:cs="Arial"/>
          <w:lang w:val="es-ES"/>
        </w:rPr>
        <w:t>SEG</w:t>
      </w:r>
      <w:r w:rsidRPr="00BA1D95">
        <w:rPr>
          <w:rFonts w:ascii="ITC Avant Garde" w:hAnsi="ITC Avant Garde" w:cs="Arial"/>
          <w:lang w:val="es-ES"/>
        </w:rPr>
        <w:t xml:space="preserve"> los formatos de verificación</w:t>
      </w:r>
      <w:r w:rsidR="008E7097">
        <w:rPr>
          <w:rFonts w:ascii="ITC Avant Garde" w:hAnsi="ITC Avant Garde" w:cs="Arial"/>
          <w:lang w:val="es-ES"/>
        </w:rPr>
        <w:t>,</w:t>
      </w:r>
      <w:r w:rsidRPr="00BA1D95">
        <w:rPr>
          <w:rFonts w:ascii="ITC Avant Garde" w:hAnsi="ITC Avant Garde" w:cs="Arial"/>
          <w:lang w:val="es-ES"/>
        </w:rPr>
        <w:t xml:space="preserve"> firmados e identificación en formato electrónico (extensiones .</w:t>
      </w:r>
      <w:proofErr w:type="spellStart"/>
      <w:r w:rsidRPr="00BA1D95">
        <w:rPr>
          <w:rFonts w:ascii="ITC Avant Garde" w:hAnsi="ITC Avant Garde" w:cs="Arial"/>
          <w:lang w:val="es-ES"/>
        </w:rPr>
        <w:t>pdf</w:t>
      </w:r>
      <w:proofErr w:type="spellEnd"/>
      <w:r w:rsidRPr="00BA1D95">
        <w:rPr>
          <w:rFonts w:ascii="ITC Avant Garde" w:hAnsi="ITC Avant Garde" w:cs="Arial"/>
          <w:lang w:val="es-ES"/>
        </w:rPr>
        <w:t xml:space="preserve"> o .</w:t>
      </w:r>
      <w:proofErr w:type="spellStart"/>
      <w:r w:rsidRPr="00BA1D95">
        <w:rPr>
          <w:rFonts w:ascii="ITC Avant Garde" w:hAnsi="ITC Avant Garde" w:cs="Arial"/>
          <w:lang w:val="es-ES"/>
        </w:rPr>
        <w:t>jpg</w:t>
      </w:r>
      <w:proofErr w:type="spellEnd"/>
      <w:r w:rsidRPr="00BA1D95">
        <w:rPr>
          <w:rFonts w:ascii="ITC Avant Garde" w:hAnsi="ITC Avant Garde" w:cs="Arial"/>
          <w:lang w:val="es-ES"/>
        </w:rPr>
        <w:t>) legibles.</w:t>
      </w:r>
    </w:p>
    <w:p w:rsidR="00FA66A1" w:rsidRPr="00BA0046" w:rsidRDefault="00FA66A1" w:rsidP="00FA66A1">
      <w:pPr>
        <w:spacing w:after="200" w:line="276" w:lineRule="auto"/>
        <w:jc w:val="both"/>
        <w:rPr>
          <w:rFonts w:ascii="ITC Avant Garde" w:hAnsi="ITC Avant Garde" w:cs="Arial"/>
          <w:b/>
          <w:lang w:val="es-ES"/>
        </w:rPr>
      </w:pPr>
      <w:bookmarkStart w:id="185" w:name="_Toc436840869"/>
      <w:bookmarkStart w:id="186" w:name="_Toc436846306"/>
      <w:bookmarkStart w:id="187" w:name="_Toc436848256"/>
      <w:bookmarkStart w:id="188" w:name="_Toc436856504"/>
      <w:bookmarkStart w:id="189" w:name="_Toc436862650"/>
      <w:bookmarkStart w:id="190" w:name="_Toc436866300"/>
      <w:bookmarkStart w:id="191" w:name="_Toc436870879"/>
      <w:bookmarkStart w:id="192" w:name="_Toc436875871"/>
      <w:bookmarkStart w:id="193" w:name="_Toc467248683"/>
      <w:bookmarkStart w:id="194" w:name="_Toc525904547"/>
      <w:bookmarkStart w:id="195" w:name="_Toc525913943"/>
      <w:bookmarkStart w:id="196" w:name="_Toc525919182"/>
      <w:bookmarkStart w:id="197" w:name="_Toc525919306"/>
      <w:bookmarkStart w:id="198" w:name="_Toc2957116"/>
      <w:r w:rsidRPr="00BA0046">
        <w:rPr>
          <w:rFonts w:ascii="ITC Avant Garde" w:hAnsi="ITC Avant Garde" w:cs="Arial"/>
          <w:b/>
          <w:lang w:val="es-ES"/>
        </w:rPr>
        <w:t xml:space="preserve">Contratación o modificación de alguno de los servicios de telecomunicaciones del suscriptor/usuario final. </w:t>
      </w:r>
    </w:p>
    <w:p w:rsidR="00FA66A1" w:rsidRPr="00BA0046" w:rsidRDefault="00FA66A1" w:rsidP="00FA66A1">
      <w:pPr>
        <w:spacing w:after="200" w:line="276" w:lineRule="auto"/>
        <w:jc w:val="both"/>
        <w:rPr>
          <w:rFonts w:ascii="ITC Avant Garde" w:hAnsi="ITC Avant Garde"/>
          <w:lang w:val="es-ES"/>
        </w:rPr>
      </w:pPr>
      <w:r w:rsidRPr="00BA0046">
        <w:rPr>
          <w:rFonts w:ascii="ITC Avant Garde" w:hAnsi="ITC Avant Garde"/>
          <w:lang w:val="es-ES"/>
        </w:rPr>
        <w:t>En caso de que el CS desee contratar o modificar alguno de los servicios de telecomunicaciones que hubiera contratado derivado de esta OREDA, deberá:</w:t>
      </w:r>
    </w:p>
    <w:p w:rsidR="00FA66A1" w:rsidRPr="00BA0046" w:rsidRDefault="00FA66A1" w:rsidP="00D37C98">
      <w:pPr>
        <w:pStyle w:val="Prrafodelista"/>
        <w:numPr>
          <w:ilvl w:val="0"/>
          <w:numId w:val="124"/>
        </w:numPr>
        <w:spacing w:after="200" w:line="276" w:lineRule="auto"/>
        <w:jc w:val="both"/>
        <w:rPr>
          <w:rFonts w:ascii="ITC Avant Garde" w:hAnsi="ITC Avant Garde"/>
          <w:sz w:val="22"/>
          <w:szCs w:val="22"/>
          <w:lang w:val="es-ES"/>
        </w:rPr>
      </w:pPr>
      <w:r w:rsidRPr="00BA0046">
        <w:rPr>
          <w:rFonts w:ascii="ITC Avant Garde" w:hAnsi="ITC Avant Garde"/>
          <w:sz w:val="22"/>
          <w:szCs w:val="22"/>
          <w:lang w:val="es-ES"/>
        </w:rPr>
        <w:lastRenderedPageBreak/>
        <w:t>Resguardar el documento que refleje el consentimiento por parte del suscriptor/usuario final para realizar la contratación o modificación de los servicios de telecomunicaciones.</w:t>
      </w:r>
    </w:p>
    <w:p w:rsidR="00FA66A1" w:rsidRPr="00BA0046" w:rsidRDefault="00FA66A1" w:rsidP="00D37C98">
      <w:pPr>
        <w:pStyle w:val="Prrafodelista"/>
        <w:numPr>
          <w:ilvl w:val="0"/>
          <w:numId w:val="124"/>
        </w:numPr>
        <w:spacing w:after="200" w:line="276" w:lineRule="auto"/>
        <w:jc w:val="both"/>
        <w:rPr>
          <w:rFonts w:ascii="ITC Avant Garde" w:hAnsi="ITC Avant Garde"/>
          <w:sz w:val="22"/>
          <w:szCs w:val="22"/>
          <w:lang w:val="es-ES"/>
        </w:rPr>
      </w:pPr>
      <w:r w:rsidRPr="00BA0046">
        <w:rPr>
          <w:rFonts w:ascii="ITC Avant Garde" w:hAnsi="ITC Avant Garde"/>
          <w:sz w:val="22"/>
          <w:szCs w:val="22"/>
          <w:lang w:val="es-ES"/>
        </w:rPr>
        <w:t xml:space="preserve">En caso de que el CS requiera modificar servicios de desagregación para proveer los servicios de telecomunicaciones al suscriptor/usuario final, </w:t>
      </w:r>
      <w:r w:rsidR="00E83F21">
        <w:rPr>
          <w:rFonts w:ascii="ITC Avant Garde" w:hAnsi="ITC Avant Garde"/>
          <w:sz w:val="22"/>
          <w:szCs w:val="22"/>
          <w:lang w:val="es-ES"/>
        </w:rPr>
        <w:t>Telmex / Telnor</w:t>
      </w:r>
      <w:r w:rsidRPr="00BA0046">
        <w:rPr>
          <w:rFonts w:ascii="ITC Avant Garde" w:hAnsi="ITC Avant Garde"/>
          <w:sz w:val="22"/>
          <w:szCs w:val="22"/>
          <w:lang w:val="es-ES"/>
        </w:rPr>
        <w:t xml:space="preserve"> no podrá solicitar nuevamente al CS el formato de verificación de voluntad. </w:t>
      </w:r>
    </w:p>
    <w:p w:rsidR="00FA66A1" w:rsidRDefault="00FA66A1" w:rsidP="00D37C98">
      <w:pPr>
        <w:pStyle w:val="Prrafodelista"/>
        <w:numPr>
          <w:ilvl w:val="0"/>
          <w:numId w:val="124"/>
        </w:numPr>
        <w:spacing w:after="120" w:line="276" w:lineRule="auto"/>
        <w:ind w:left="714" w:hanging="357"/>
        <w:jc w:val="both"/>
        <w:rPr>
          <w:rFonts w:ascii="ITC Avant Garde" w:hAnsi="ITC Avant Garde"/>
          <w:sz w:val="22"/>
          <w:szCs w:val="22"/>
          <w:lang w:val="es-ES"/>
        </w:rPr>
      </w:pPr>
      <w:r w:rsidRPr="00BA0046">
        <w:rPr>
          <w:rFonts w:ascii="ITC Avant Garde" w:hAnsi="ITC Avant Garde"/>
          <w:sz w:val="22"/>
          <w:szCs w:val="22"/>
          <w:lang w:val="es-ES"/>
        </w:rPr>
        <w:t>Las contrataciones o modificaciones solicitadas serán atendidas conforme a los procedimientos que para cada uno de los servicios se señalan a lo largo de la presente OREDA.</w:t>
      </w:r>
    </w:p>
    <w:p w:rsidR="00726E26" w:rsidRPr="00726E26" w:rsidRDefault="00726E26" w:rsidP="00BE2842">
      <w:pPr>
        <w:pStyle w:val="1TitPrin"/>
        <w:numPr>
          <w:ilvl w:val="1"/>
          <w:numId w:val="182"/>
        </w:numPr>
        <w:outlineLvl w:val="1"/>
      </w:pPr>
      <w:bookmarkStart w:id="199" w:name="_Toc54106553"/>
      <w:r w:rsidRPr="00726E26">
        <w:t>Procedimiento de calificación del bucle de cobre.</w:t>
      </w:r>
      <w:bookmarkEnd w:id="199"/>
    </w:p>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rsidR="008525A8" w:rsidRPr="00BA1D95" w:rsidRDefault="00D245C5" w:rsidP="004B11EB">
      <w:pPr>
        <w:spacing w:after="200" w:line="276" w:lineRule="auto"/>
        <w:jc w:val="both"/>
        <w:rPr>
          <w:rFonts w:ascii="ITC Avant Garde" w:hAnsi="ITC Avant Garde" w:cs="Arial"/>
          <w:lang w:val="es-ES"/>
        </w:rPr>
      </w:pPr>
      <w:r w:rsidRPr="001D2AA6">
        <w:rPr>
          <w:rFonts w:ascii="ITC Avant Garde" w:hAnsi="ITC Avant Garde" w:cs="Arial"/>
          <w:lang w:val="es-ES"/>
        </w:rPr>
        <w:t xml:space="preserve">La calificación del bucle es información de la EM, por lo </w:t>
      </w:r>
      <w:r w:rsidR="00ED6EDF">
        <w:rPr>
          <w:rFonts w:ascii="ITC Avant Garde" w:hAnsi="ITC Avant Garde" w:cs="Arial"/>
          <w:lang w:val="es-ES"/>
        </w:rPr>
        <w:t xml:space="preserve">que </w:t>
      </w:r>
      <w:r w:rsidR="00D35CA7">
        <w:rPr>
          <w:rFonts w:ascii="ITC Avant Garde" w:hAnsi="ITC Avant Garde" w:cs="Arial"/>
          <w:lang w:val="es-ES"/>
        </w:rPr>
        <w:t>será informada dicha calificación en función de la información proporcionada por</w:t>
      </w:r>
      <w:r w:rsidR="00ED6EDF">
        <w:rPr>
          <w:rFonts w:ascii="ITC Avant Garde" w:hAnsi="ITC Avant Garde" w:cs="Arial"/>
          <w:lang w:val="es-ES"/>
        </w:rPr>
        <w:t xml:space="preserve"> la</w:t>
      </w:r>
      <w:r w:rsidR="00D35CA7">
        <w:rPr>
          <w:rFonts w:ascii="ITC Avant Garde" w:hAnsi="ITC Avant Garde" w:cs="Arial"/>
          <w:lang w:val="es-ES"/>
        </w:rPr>
        <w:t xml:space="preserve"> </w:t>
      </w:r>
      <w:r w:rsidR="00094B5A" w:rsidRPr="00094B5A">
        <w:rPr>
          <w:rFonts w:ascii="ITC Avant Garde" w:hAnsi="ITC Avant Garde" w:cs="Arial"/>
          <w:lang w:val="es-ES"/>
        </w:rPr>
        <w:t xml:space="preserve">propia </w:t>
      </w:r>
      <w:r w:rsidRPr="001D2AA6">
        <w:rPr>
          <w:rFonts w:ascii="ITC Avant Garde" w:hAnsi="ITC Avant Garde" w:cs="Arial"/>
          <w:lang w:val="es-ES"/>
        </w:rPr>
        <w:t>EM</w:t>
      </w:r>
      <w:r w:rsidR="00ED6EDF">
        <w:rPr>
          <w:rFonts w:ascii="ITC Avant Garde" w:hAnsi="ITC Avant Garde" w:cs="Arial"/>
          <w:lang w:val="es-ES"/>
        </w:rPr>
        <w:t>.</w:t>
      </w:r>
    </w:p>
    <w:p w:rsidR="00A47F9A" w:rsidRPr="00BA1D95" w:rsidRDefault="00A47F9A" w:rsidP="00BE2842">
      <w:pPr>
        <w:pStyle w:val="1TitPrin"/>
        <w:numPr>
          <w:ilvl w:val="1"/>
          <w:numId w:val="182"/>
        </w:numPr>
        <w:outlineLvl w:val="1"/>
      </w:pPr>
      <w:bookmarkStart w:id="200" w:name="_Toc467248684"/>
      <w:bookmarkStart w:id="201" w:name="_Toc525904548"/>
      <w:bookmarkStart w:id="202" w:name="_Toc525913944"/>
      <w:bookmarkStart w:id="203" w:name="_Toc525919183"/>
      <w:bookmarkStart w:id="204" w:name="_Toc525919307"/>
      <w:bookmarkStart w:id="205" w:name="_Toc2957117"/>
      <w:bookmarkStart w:id="206" w:name="_Toc26273056"/>
      <w:bookmarkStart w:id="207" w:name="_Toc26284454"/>
      <w:bookmarkStart w:id="208" w:name="_Toc54106554"/>
      <w:bookmarkStart w:id="209" w:name="_Toc436840870"/>
      <w:bookmarkStart w:id="210" w:name="_Toc436846307"/>
      <w:bookmarkStart w:id="211" w:name="_Toc436848257"/>
      <w:bookmarkStart w:id="212" w:name="_Toc436856505"/>
      <w:bookmarkStart w:id="213" w:name="_Toc436862651"/>
      <w:bookmarkStart w:id="214" w:name="_Toc436866301"/>
      <w:bookmarkStart w:id="215" w:name="_Toc436870880"/>
      <w:bookmarkStart w:id="216" w:name="_Toc436875872"/>
      <w:r w:rsidRPr="00BA1D95">
        <w:t>Solicitudes masivas</w:t>
      </w:r>
      <w:bookmarkEnd w:id="200"/>
      <w:bookmarkEnd w:id="201"/>
      <w:bookmarkEnd w:id="202"/>
      <w:bookmarkEnd w:id="203"/>
      <w:bookmarkEnd w:id="204"/>
      <w:bookmarkEnd w:id="205"/>
      <w:r w:rsidR="00F103E8" w:rsidRPr="00BA1D95">
        <w:t>.</w:t>
      </w:r>
      <w:bookmarkEnd w:id="206"/>
      <w:bookmarkEnd w:id="207"/>
      <w:bookmarkEnd w:id="208"/>
    </w:p>
    <w:p w:rsidR="00AA2815" w:rsidRPr="00BA1D95" w:rsidRDefault="00A47F9A" w:rsidP="004B11EB">
      <w:pPr>
        <w:pStyle w:val="IFTnormal"/>
        <w:rPr>
          <w:rFonts w:cs="Arial"/>
        </w:rPr>
      </w:pPr>
      <w:r w:rsidRPr="00BA1D95">
        <w:rPr>
          <w:rFonts w:cs="Arial"/>
          <w:lang w:val="es-ES"/>
        </w:rPr>
        <w:t xml:space="preserve">Con la finalidad de hacer más eficiente el tratamiento administrativo </w:t>
      </w:r>
      <w:r w:rsidRPr="00BA1D95">
        <w:rPr>
          <w:rFonts w:cs="Arial"/>
        </w:rPr>
        <w:t xml:space="preserve">y la prestación de los servicios de desagregación, se ofrece el uso de solicitudes de alta masivas, </w:t>
      </w:r>
      <w:r w:rsidR="00AA2815" w:rsidRPr="00BA1D95">
        <w:rPr>
          <w:rFonts w:cs="Arial"/>
        </w:rPr>
        <w:t>el cual atenderá cualquier tipo de movimiento (alta, baja, cambio y cancelación) en la cantidad y secuencia requerida por el CS.</w:t>
      </w:r>
    </w:p>
    <w:p w:rsidR="00A47F9A" w:rsidRPr="00BA1D95" w:rsidRDefault="00A47F9A" w:rsidP="004B11EB">
      <w:pPr>
        <w:pStyle w:val="IFTnormal"/>
        <w:rPr>
          <w:rFonts w:cs="Arial"/>
        </w:rPr>
      </w:pPr>
      <w:r w:rsidRPr="00BA1D95">
        <w:rPr>
          <w:rFonts w:cs="Arial"/>
        </w:rPr>
        <w:t xml:space="preserve">Las solicitudes masivas se reflejarán en el </w:t>
      </w:r>
      <w:r w:rsidR="006B5A23">
        <w:rPr>
          <w:rFonts w:cs="Arial"/>
        </w:rPr>
        <w:t>SEG</w:t>
      </w:r>
      <w:r w:rsidRPr="00BA1D95">
        <w:rPr>
          <w:rFonts w:cs="Arial"/>
        </w:rPr>
        <w:t xml:space="preserve">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rsidR="00A47F9A" w:rsidRPr="00BA1D95" w:rsidRDefault="00A47F9A" w:rsidP="004B11EB">
      <w:pPr>
        <w:pStyle w:val="IFTnormal"/>
        <w:rPr>
          <w:rFonts w:cs="Arial"/>
        </w:rPr>
      </w:pPr>
      <w:r w:rsidRPr="00BA1D95">
        <w:rPr>
          <w:rFonts w:cs="Arial"/>
        </w:rPr>
        <w:t xml:space="preserve">Para lograr lo antes planteado, </w:t>
      </w:r>
      <w:r w:rsidR="00E83F21">
        <w:rPr>
          <w:rFonts w:cs="Arial"/>
        </w:rPr>
        <w:t>Telmex / Telnor</w:t>
      </w:r>
      <w:r w:rsidR="003C6879" w:rsidRPr="00BA1D95">
        <w:rPr>
          <w:rFonts w:cs="Arial"/>
        </w:rPr>
        <w:t xml:space="preserve"> </w:t>
      </w:r>
      <w:r w:rsidRPr="00BA1D95">
        <w:rPr>
          <w:rFonts w:cs="Arial"/>
        </w:rPr>
        <w:t xml:space="preserve">pondrá a disposición del CS de forma descargable en el </w:t>
      </w:r>
      <w:r w:rsidR="006B5A23">
        <w:rPr>
          <w:rFonts w:cs="Arial"/>
        </w:rPr>
        <w:t>SEG</w:t>
      </w:r>
      <w:r w:rsidRPr="00BA1D95">
        <w:rPr>
          <w:rFonts w:cs="Arial"/>
        </w:rPr>
        <w:t xml:space="preserve"> el formato base del archivo en Excel para que éste sea llenado con la información requerida en los formatos de alta, baja, cambio o cancelación.</w:t>
      </w:r>
    </w:p>
    <w:p w:rsidR="00A47F9A" w:rsidRPr="00BA1D95" w:rsidRDefault="00A47F9A" w:rsidP="004B11EB">
      <w:pPr>
        <w:pStyle w:val="IFTnormal"/>
        <w:rPr>
          <w:rFonts w:cs="Arial"/>
        </w:rPr>
      </w:pPr>
      <w:bookmarkStart w:id="217" w:name="_Toc467248685"/>
      <w:r w:rsidRPr="00BA1D95">
        <w:rPr>
          <w:rFonts w:cs="Arial"/>
        </w:rPr>
        <w:t xml:space="preserve">En el proceso de validación de las solicitudes masivas se deben indicar para cada registro lo siguiente: </w:t>
      </w:r>
    </w:p>
    <w:p w:rsidR="00A47F9A" w:rsidRPr="00BA1D95" w:rsidRDefault="00A47F9A" w:rsidP="00D37C98">
      <w:pPr>
        <w:pStyle w:val="IFTnormal"/>
        <w:numPr>
          <w:ilvl w:val="0"/>
          <w:numId w:val="68"/>
        </w:numPr>
        <w:rPr>
          <w:rFonts w:cs="Arial"/>
        </w:rPr>
      </w:pPr>
      <w:r w:rsidRPr="00BA1D95">
        <w:rPr>
          <w:rFonts w:cs="Arial"/>
        </w:rPr>
        <w:t xml:space="preserve">Si la solicitud es correcta, </w:t>
      </w:r>
      <w:r w:rsidR="00E83F21">
        <w:rPr>
          <w:rFonts w:cs="Arial"/>
        </w:rPr>
        <w:t>Telmex / Telnor</w:t>
      </w:r>
      <w:r w:rsidRPr="00BA1D95">
        <w:rPr>
          <w:rFonts w:cs="Arial"/>
        </w:rPr>
        <w:t xml:space="preserve"> cambiará el folio previamente asignado por el NIS el cual será por usuario en caso de solicitudes masivas y proporcionará la fecha de habilitación del servicio.</w:t>
      </w:r>
    </w:p>
    <w:p w:rsidR="00E938FD" w:rsidRDefault="00A47F9A" w:rsidP="00DE7C81">
      <w:pPr>
        <w:pStyle w:val="IFTnormal"/>
        <w:numPr>
          <w:ilvl w:val="0"/>
          <w:numId w:val="68"/>
        </w:numPr>
        <w:rPr>
          <w:rFonts w:cs="Arial"/>
        </w:rPr>
      </w:pPr>
      <w:r w:rsidRPr="00BA1D95">
        <w:rPr>
          <w:rFonts w:cs="Arial"/>
        </w:rPr>
        <w:t xml:space="preserve">Si es incorrecta, </w:t>
      </w:r>
      <w:r w:rsidR="00E83F21">
        <w:rPr>
          <w:rFonts w:cs="Arial"/>
        </w:rPr>
        <w:t>Telmex / Telnor</w:t>
      </w:r>
      <w:r w:rsidR="003C6879" w:rsidRPr="00BA1D95">
        <w:rPr>
          <w:rFonts w:cs="Arial"/>
        </w:rPr>
        <w:t xml:space="preserve"> </w:t>
      </w:r>
      <w:r w:rsidRPr="00BA1D95">
        <w:rPr>
          <w:rFonts w:cs="Arial"/>
        </w:rPr>
        <w:t>devolverá al CS el archivo de Excel indicando el motivo de rechazo para cada registro, para que sea corregida y reenviada nuevamente a validación.</w:t>
      </w:r>
      <w:r w:rsidR="00DD1A2B" w:rsidRPr="00BA1D95">
        <w:rPr>
          <w:rFonts w:cs="Arial"/>
        </w:rPr>
        <w:t xml:space="preserve"> Los registros que se encuentren correctos se le asignará el NIS el cual será por usuario en caso de solicitudes masivas y proporcionará la fecha de habilitación del servicio.</w:t>
      </w:r>
    </w:p>
    <w:p w:rsidR="00A47F9A" w:rsidRDefault="00A47F9A" w:rsidP="00231DB0">
      <w:pPr>
        <w:pStyle w:val="1TitPrin"/>
      </w:pPr>
      <w:bookmarkStart w:id="218" w:name="_Toc525904549"/>
      <w:bookmarkStart w:id="219" w:name="_Toc525913945"/>
      <w:bookmarkStart w:id="220" w:name="_Toc525919184"/>
      <w:bookmarkStart w:id="221" w:name="_Toc525919308"/>
      <w:bookmarkStart w:id="222" w:name="_Toc2957118"/>
      <w:bookmarkStart w:id="223" w:name="_Toc26273057"/>
      <w:bookmarkStart w:id="224" w:name="_Toc26284455"/>
      <w:bookmarkStart w:id="225" w:name="_Toc54106555"/>
      <w:r w:rsidRPr="00BA1D95" w:rsidDel="00F3565A">
        <w:lastRenderedPageBreak/>
        <w:t>Condiciones generales para la prestación de los servicios.</w:t>
      </w:r>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r w:rsidRPr="00BA1D95" w:rsidDel="00F3565A">
        <w:t xml:space="preserve"> </w:t>
      </w:r>
    </w:p>
    <w:p w:rsidR="00A47F9A" w:rsidRPr="00FF4EC6" w:rsidDel="00F3565A" w:rsidRDefault="00A47F9A" w:rsidP="00C20B65">
      <w:pPr>
        <w:spacing w:after="200" w:line="276" w:lineRule="auto"/>
        <w:jc w:val="both"/>
        <w:rPr>
          <w:rFonts w:ascii="ITC Avant Garde" w:hAnsi="ITC Avant Garde"/>
          <w:b/>
        </w:rPr>
      </w:pPr>
      <w:r w:rsidRPr="00FF4EC6" w:rsidDel="00F3565A">
        <w:rPr>
          <w:rFonts w:ascii="ITC Avant Garde" w:hAnsi="ITC Avant Garde"/>
          <w:b/>
        </w:rPr>
        <w:t>Generales:</w:t>
      </w:r>
    </w:p>
    <w:p w:rsidR="00A47F9A" w:rsidRPr="000570F5" w:rsidDel="00F3565A" w:rsidRDefault="00A47F9A" w:rsidP="00C20B65">
      <w:pPr>
        <w:numPr>
          <w:ilvl w:val="0"/>
          <w:numId w:val="28"/>
        </w:numPr>
        <w:tabs>
          <w:tab w:val="num" w:pos="567"/>
        </w:tabs>
        <w:spacing w:after="200" w:line="276" w:lineRule="auto"/>
        <w:ind w:left="426"/>
        <w:jc w:val="both"/>
        <w:rPr>
          <w:rFonts w:ascii="ITC Avant Garde" w:hAnsi="ITC Avant Garde"/>
        </w:rPr>
      </w:pPr>
      <w:r w:rsidRPr="000570F5" w:rsidDel="00F3565A">
        <w:rPr>
          <w:rFonts w:ascii="ITC Avant Garde" w:hAnsi="ITC Avant Garde"/>
        </w:rPr>
        <w:t xml:space="preserve">Tanto </w:t>
      </w:r>
      <w:r w:rsidR="00E83F21">
        <w:rPr>
          <w:rFonts w:ascii="ITC Avant Garde" w:hAnsi="ITC Avant Garde"/>
        </w:rPr>
        <w:t>Telmex / Telnor</w:t>
      </w:r>
      <w:r w:rsidR="003627B1" w:rsidRPr="000570F5" w:rsidDel="00F3565A">
        <w:rPr>
          <w:rFonts w:ascii="ITC Avant Garde" w:hAnsi="ITC Avant Garde"/>
        </w:rPr>
        <w:t xml:space="preserve"> </w:t>
      </w:r>
      <w:r w:rsidRPr="000570F5" w:rsidDel="00F3565A">
        <w:rPr>
          <w:rFonts w:ascii="ITC Avant Garde" w:hAnsi="ITC Avant Garde"/>
        </w:rPr>
        <w:t xml:space="preserve">como los CS no serán responsables por cualquier incidencia o daño que se presente en la red pública de telecomunicaciones por </w:t>
      </w:r>
      <w:r w:rsidR="00982F4B">
        <w:rPr>
          <w:rFonts w:ascii="ITC Avant Garde" w:hAnsi="ITC Avant Garde"/>
        </w:rPr>
        <w:t>Casos Fortuitos o Fuerza Mayor</w:t>
      </w:r>
      <w:r w:rsidRPr="000570F5" w:rsidDel="00F3565A">
        <w:rPr>
          <w:rFonts w:ascii="ITC Avant Garde" w:hAnsi="ITC Avant Garde"/>
        </w:rPr>
        <w:t xml:space="preserve">, por ende cada CS será responsable del restablecimiento de sus servicios y de su red, por sus propios medios. </w:t>
      </w:r>
      <w:r w:rsidR="00675982" w:rsidRPr="000570F5" w:rsidDel="00F3565A">
        <w:rPr>
          <w:rFonts w:ascii="ITC Avant Garde" w:hAnsi="ITC Avant Garde"/>
        </w:rPr>
        <w:t xml:space="preserve">La parte responsable proporcionará pruebas fehacientes que justifiquen las causas de la incidencia o daño a la parte afectada y al Instituto. </w:t>
      </w:r>
      <w:r w:rsidRPr="000570F5" w:rsidDel="00F3565A">
        <w:rPr>
          <w:rFonts w:ascii="ITC Avant Garde" w:hAnsi="ITC Avant Garde"/>
        </w:rPr>
        <w:t>En caso de que se presente</w:t>
      </w:r>
      <w:r w:rsidR="000E4A70">
        <w:rPr>
          <w:rFonts w:ascii="ITC Avant Garde" w:hAnsi="ITC Avant Garde"/>
        </w:rPr>
        <w:t xml:space="preserve"> un Caso Fortuito o Fuerza Mayor</w:t>
      </w:r>
      <w:r w:rsidRPr="000570F5" w:rsidDel="00F3565A">
        <w:rPr>
          <w:rFonts w:ascii="ITC Avant Garde" w:hAnsi="ITC Avant Garde"/>
        </w:rPr>
        <w:t xml:space="preserve">, el periodo de afectación no será considerado dentro de los parámetros de calidad del servicio ni en la medición de tiempos de entrega. </w:t>
      </w:r>
    </w:p>
    <w:p w:rsidR="00A47F9A" w:rsidRPr="000570F5" w:rsidDel="00F3565A" w:rsidRDefault="00A47F9A" w:rsidP="00C20B65">
      <w:pPr>
        <w:numPr>
          <w:ilvl w:val="0"/>
          <w:numId w:val="28"/>
        </w:numPr>
        <w:tabs>
          <w:tab w:val="num" w:pos="567"/>
        </w:tabs>
        <w:spacing w:after="200" w:line="276" w:lineRule="auto"/>
        <w:ind w:left="426"/>
        <w:jc w:val="both"/>
        <w:rPr>
          <w:rFonts w:ascii="ITC Avant Garde" w:hAnsi="ITC Avant Garde"/>
        </w:rPr>
      </w:pPr>
      <w:r w:rsidRPr="000570F5" w:rsidDel="00F3565A">
        <w:rPr>
          <w:rFonts w:ascii="ITC Avant Garde" w:hAnsi="ITC Avant Garde"/>
        </w:rPr>
        <w:t xml:space="preserve">Los tiempos de autorización de permisos por parte de la autoridad para la construcción de una obra civil, no serán considerados dentro de los tiempos de entrega de </w:t>
      </w:r>
      <w:r w:rsidR="00E83F21">
        <w:rPr>
          <w:rFonts w:ascii="ITC Avant Garde" w:hAnsi="ITC Avant Garde"/>
        </w:rPr>
        <w:t>Telmex / Telnor</w:t>
      </w:r>
      <w:r w:rsidR="00D955B8" w:rsidRPr="000570F5" w:rsidDel="00F3565A">
        <w:rPr>
          <w:rFonts w:ascii="ITC Avant Garde" w:hAnsi="ITC Avant Garde"/>
        </w:rPr>
        <w:t>,</w:t>
      </w:r>
      <w:r w:rsidRPr="000570F5" w:rsidDel="00F3565A">
        <w:rPr>
          <w:rFonts w:ascii="ITC Avant Garde" w:hAnsi="ITC Avant Garde"/>
        </w:rPr>
        <w:t xml:space="preserve"> siempre y cuando haya actuado con diligencia en la realización del trámite correspondiente.</w:t>
      </w:r>
    </w:p>
    <w:p w:rsidR="00A47F9A" w:rsidRPr="000570F5" w:rsidDel="00F3565A" w:rsidRDefault="00A47F9A" w:rsidP="00C20B65">
      <w:pPr>
        <w:numPr>
          <w:ilvl w:val="0"/>
          <w:numId w:val="28"/>
        </w:numPr>
        <w:tabs>
          <w:tab w:val="num" w:pos="567"/>
        </w:tabs>
        <w:spacing w:after="200" w:line="276" w:lineRule="auto"/>
        <w:ind w:left="426"/>
        <w:jc w:val="both"/>
        <w:rPr>
          <w:rFonts w:ascii="ITC Avant Garde" w:hAnsi="ITC Avant Garde"/>
        </w:rPr>
      </w:pPr>
      <w:r w:rsidRPr="000570F5" w:rsidDel="00F3565A">
        <w:rPr>
          <w:rFonts w:ascii="ITC Avant Garde" w:hAnsi="ITC Avant Garde"/>
        </w:rPr>
        <w:t xml:space="preserve">Es responsabilidad tanto de </w:t>
      </w:r>
      <w:r w:rsidR="00E83F21">
        <w:rPr>
          <w:rFonts w:ascii="ITC Avant Garde" w:hAnsi="ITC Avant Garde"/>
        </w:rPr>
        <w:t>Telmex / Telnor</w:t>
      </w:r>
      <w:r w:rsidR="003627B1" w:rsidRPr="000570F5" w:rsidDel="00F3565A">
        <w:rPr>
          <w:rFonts w:ascii="ITC Avant Garde" w:hAnsi="ITC Avant Garde"/>
        </w:rPr>
        <w:t xml:space="preserve"> </w:t>
      </w:r>
      <w:r w:rsidRPr="000570F5" w:rsidDel="00F3565A">
        <w:rPr>
          <w:rFonts w:ascii="ITC Avant Garde" w:hAnsi="ITC Avant Garde"/>
        </w:rPr>
        <w:t>como del CS tomar las medidas precautorias necesarias en caso de fenómenos climatológicos, que pudieran afectar la prestación de los servicios de desagregación.</w:t>
      </w:r>
    </w:p>
    <w:p w:rsidR="00A47F9A" w:rsidRPr="000570F5" w:rsidDel="00F3565A" w:rsidRDefault="004F09A5" w:rsidP="00C20B65">
      <w:pPr>
        <w:numPr>
          <w:ilvl w:val="0"/>
          <w:numId w:val="28"/>
        </w:numPr>
        <w:tabs>
          <w:tab w:val="num" w:pos="567"/>
        </w:tabs>
        <w:spacing w:after="200" w:line="276" w:lineRule="auto"/>
        <w:ind w:left="426"/>
        <w:jc w:val="both"/>
        <w:rPr>
          <w:rFonts w:ascii="ITC Avant Garde" w:hAnsi="ITC Avant Garde"/>
        </w:rPr>
      </w:pPr>
      <w:r w:rsidRPr="000570F5" w:rsidDel="00F3565A">
        <w:rPr>
          <w:rFonts w:ascii="ITC Avant Garde" w:hAnsi="ITC Avant Garde"/>
        </w:rPr>
        <w:t xml:space="preserve"> </w:t>
      </w:r>
      <w:r w:rsidR="00E83F21">
        <w:rPr>
          <w:rFonts w:ascii="ITC Avant Garde" w:hAnsi="ITC Avant Garde"/>
        </w:rPr>
        <w:t>Telmex / Telnor</w:t>
      </w:r>
      <w:r w:rsidRPr="000570F5" w:rsidDel="00F3565A">
        <w:rPr>
          <w:rFonts w:ascii="ITC Avant Garde" w:hAnsi="ITC Avant Garde"/>
        </w:rPr>
        <w:t xml:space="preserve"> </w:t>
      </w:r>
      <w:r w:rsidR="00A47F9A" w:rsidRPr="000570F5" w:rsidDel="00F3565A">
        <w:rPr>
          <w:rFonts w:ascii="ITC Avant Garde" w:hAnsi="ITC Avant Garde"/>
        </w:rPr>
        <w:t>no será responsable de la provisión de servicios finales que el CS proporcione a sus usuarios a través de la red de acceso desplegada mediante los servicios objeto del presente documento, con excepción del Servicio de Reventa de Línea que los CS proporcionen a Usuarios Finales hasta el Punto de Conexión Terminal, así como de la calidad del servicio y seguridad del Tráfico hasta el punto de entrega al CS.</w:t>
      </w:r>
    </w:p>
    <w:p w:rsidR="00A47F9A" w:rsidRPr="005B25A6" w:rsidDel="00F3565A" w:rsidRDefault="00E83F21" w:rsidP="00C20B65">
      <w:pPr>
        <w:numPr>
          <w:ilvl w:val="0"/>
          <w:numId w:val="28"/>
        </w:numPr>
        <w:tabs>
          <w:tab w:val="num" w:pos="567"/>
        </w:tabs>
        <w:spacing w:after="200" w:line="276" w:lineRule="auto"/>
        <w:ind w:left="426"/>
        <w:jc w:val="both"/>
        <w:rPr>
          <w:rFonts w:ascii="ITC Avant Garde" w:hAnsi="ITC Avant Garde"/>
        </w:rPr>
      </w:pPr>
      <w:r>
        <w:rPr>
          <w:rFonts w:ascii="ITC Avant Garde" w:hAnsi="ITC Avant Garde"/>
        </w:rPr>
        <w:t>Telmex / Telnor</w:t>
      </w:r>
      <w:r w:rsidR="004F09A5" w:rsidRPr="005B25A6" w:rsidDel="00F3565A">
        <w:rPr>
          <w:rFonts w:ascii="ITC Avant Garde" w:hAnsi="ITC Avant Garde"/>
        </w:rPr>
        <w:t xml:space="preserve"> </w:t>
      </w:r>
      <w:r w:rsidR="00A47F9A" w:rsidRPr="005B25A6" w:rsidDel="00F3565A">
        <w:rPr>
          <w:rFonts w:ascii="ITC Avant Garde" w:hAnsi="ITC Avant Garde"/>
        </w:rPr>
        <w:t>y los CS, según sea el caso, serán responsables de aquellas fallas que llegaran a ocasionar a los Usuarios Finales de cualquiera de las partes, con motivo de la incorrecta instalación del equipo sobre la red pública de telecomunicaciones y deberán cubrir los daños y fallas a la parte afectada ocasionadas en la red pública de telecomunicaciones y en los equipos a través de los cuales presten servicios a los Usuarios Finales, asociados exclusivamente a la instalación del equipo.</w:t>
      </w:r>
    </w:p>
    <w:p w:rsidR="00A47F9A" w:rsidRPr="000570F5" w:rsidDel="00F3565A" w:rsidRDefault="00E83F21" w:rsidP="00C20B65">
      <w:pPr>
        <w:numPr>
          <w:ilvl w:val="0"/>
          <w:numId w:val="28"/>
        </w:numPr>
        <w:tabs>
          <w:tab w:val="num" w:pos="567"/>
        </w:tabs>
        <w:spacing w:after="200" w:line="276" w:lineRule="auto"/>
        <w:ind w:left="426"/>
        <w:jc w:val="both"/>
        <w:rPr>
          <w:rFonts w:ascii="ITC Avant Garde" w:hAnsi="ITC Avant Garde"/>
        </w:rPr>
      </w:pPr>
      <w:r>
        <w:rPr>
          <w:rFonts w:ascii="ITC Avant Garde" w:hAnsi="ITC Avant Garde"/>
        </w:rPr>
        <w:t>Telmex / Telnor</w:t>
      </w:r>
      <w:r w:rsidR="004F09A5" w:rsidRPr="000570F5" w:rsidDel="00F3565A">
        <w:rPr>
          <w:rFonts w:ascii="ITC Avant Garde" w:hAnsi="ITC Avant Garde"/>
        </w:rPr>
        <w:t xml:space="preserve"> </w:t>
      </w:r>
      <w:r w:rsidR="00A47F9A" w:rsidRPr="000570F5" w:rsidDel="00F3565A">
        <w:rPr>
          <w:rFonts w:ascii="ITC Avant Garde" w:hAnsi="ITC Avant Garde"/>
        </w:rPr>
        <w:t>no será responsable cuando un CS solicite la baja de un servicio, y tal CS esté cursando tráfico en el momento de la baja, con excepción de los SRL.</w:t>
      </w:r>
    </w:p>
    <w:p w:rsidR="00A32D6B" w:rsidRDefault="00A47F9A" w:rsidP="00BE2842">
      <w:pPr>
        <w:numPr>
          <w:ilvl w:val="0"/>
          <w:numId w:val="28"/>
        </w:numPr>
        <w:tabs>
          <w:tab w:val="num" w:pos="567"/>
        </w:tabs>
        <w:spacing w:after="200" w:line="276" w:lineRule="auto"/>
        <w:ind w:left="426"/>
        <w:jc w:val="both"/>
        <w:rPr>
          <w:rFonts w:ascii="ITC Avant Garde" w:hAnsi="ITC Avant Garde"/>
        </w:rPr>
      </w:pPr>
      <w:r w:rsidRPr="000570F5" w:rsidDel="00F3565A">
        <w:rPr>
          <w:rFonts w:ascii="ITC Avant Garde" w:hAnsi="ITC Avant Garde"/>
        </w:rPr>
        <w:t xml:space="preserve">Si un usuario final tiene contratados servicios de terceros o de </w:t>
      </w:r>
      <w:r w:rsidR="00F33198" w:rsidRPr="000570F5" w:rsidDel="00F3565A">
        <w:rPr>
          <w:rFonts w:ascii="ITC Avant Garde" w:hAnsi="ITC Avant Garde"/>
        </w:rPr>
        <w:t xml:space="preserve">los Centros de Atención </w:t>
      </w:r>
      <w:r w:rsidR="004F09A5" w:rsidRPr="000570F5" w:rsidDel="00F3565A">
        <w:rPr>
          <w:rFonts w:ascii="ITC Avant Garde" w:hAnsi="ITC Avant Garde"/>
        </w:rPr>
        <w:t xml:space="preserve">de </w:t>
      </w:r>
      <w:r w:rsidR="00E83F21">
        <w:rPr>
          <w:rFonts w:ascii="ITC Avant Garde" w:hAnsi="ITC Avant Garde"/>
        </w:rPr>
        <w:t>Telmex / Telnor</w:t>
      </w:r>
      <w:r w:rsidR="004F09A5" w:rsidRPr="000570F5" w:rsidDel="00F3565A">
        <w:rPr>
          <w:rFonts w:ascii="ITC Avant Garde" w:hAnsi="ITC Avant Garde"/>
        </w:rPr>
        <w:t xml:space="preserve"> </w:t>
      </w:r>
      <w:r w:rsidRPr="000570F5" w:rsidDel="00F3565A">
        <w:rPr>
          <w:rFonts w:ascii="ITC Avant Garde" w:hAnsi="ITC Avant Garde"/>
        </w:rPr>
        <w:t xml:space="preserve">aplicarán las condiciones vigentes </w:t>
      </w:r>
      <w:r w:rsidR="00D955B8" w:rsidRPr="000570F5" w:rsidDel="00F3565A">
        <w:rPr>
          <w:rFonts w:ascii="ITC Avant Garde" w:hAnsi="ITC Avant Garde"/>
        </w:rPr>
        <w:t>de acuerdo con</w:t>
      </w:r>
      <w:r w:rsidRPr="000570F5" w:rsidDel="00F3565A">
        <w:rPr>
          <w:rFonts w:ascii="ITC Avant Garde" w:hAnsi="ITC Avant Garde"/>
        </w:rPr>
        <w:t xml:space="preserve"> su contrato.</w:t>
      </w:r>
    </w:p>
    <w:p w:rsidR="00A32D6B" w:rsidRDefault="00264576" w:rsidP="00BE2842">
      <w:pPr>
        <w:numPr>
          <w:ilvl w:val="0"/>
          <w:numId w:val="28"/>
        </w:numPr>
        <w:tabs>
          <w:tab w:val="num" w:pos="567"/>
        </w:tabs>
        <w:spacing w:after="200" w:line="276" w:lineRule="auto"/>
        <w:ind w:left="426"/>
        <w:jc w:val="both"/>
        <w:rPr>
          <w:rFonts w:ascii="ITC Avant Garde" w:hAnsi="ITC Avant Garde"/>
        </w:rPr>
      </w:pPr>
      <w:r w:rsidRPr="00A32D6B">
        <w:rPr>
          <w:rFonts w:ascii="ITC Avant Garde" w:hAnsi="ITC Avant Garde"/>
        </w:rPr>
        <w:t xml:space="preserve">En el momento que sea necesario actualizar o modernizar los elementos de red con que opera actualmente </w:t>
      </w:r>
      <w:r w:rsidR="00E83F21">
        <w:rPr>
          <w:rFonts w:ascii="ITC Avant Garde" w:hAnsi="ITC Avant Garde"/>
        </w:rPr>
        <w:t>Telmex / Telnor</w:t>
      </w:r>
      <w:r w:rsidRPr="00A32D6B">
        <w:rPr>
          <w:rFonts w:ascii="ITC Avant Garde" w:hAnsi="ITC Avant Garde"/>
        </w:rPr>
        <w:t>, ésta s</w:t>
      </w:r>
      <w:r w:rsidR="00A32D6B">
        <w:rPr>
          <w:rFonts w:ascii="ITC Avant Garde" w:hAnsi="ITC Avant Garde"/>
        </w:rPr>
        <w:t>e obliga a avisar en el SEG</w:t>
      </w:r>
      <w:r w:rsidRPr="00A32D6B">
        <w:rPr>
          <w:rFonts w:ascii="ITC Avant Garde" w:hAnsi="ITC Avant Garde"/>
        </w:rPr>
        <w:t xml:space="preserve"> a los CS con seis meses de antelación en el caso de nueva tecnología o funcionalidades. Para el caso de actualizaciones de software </w:t>
      </w:r>
      <w:r w:rsidR="00A32D6B">
        <w:rPr>
          <w:rFonts w:ascii="ITC Avant Garde" w:hAnsi="ITC Avant Garde"/>
        </w:rPr>
        <w:t>se avisará al CS vía el SEG</w:t>
      </w:r>
      <w:r w:rsidRPr="00A32D6B">
        <w:rPr>
          <w:rFonts w:ascii="ITC Avant Garde" w:hAnsi="ITC Avant Garde"/>
        </w:rPr>
        <w:t xml:space="preserve"> con al menos 30 días de antelación.</w:t>
      </w:r>
    </w:p>
    <w:p w:rsidR="00A32D6B" w:rsidRPr="00A32D6B" w:rsidDel="00F3565A" w:rsidRDefault="00E83F21" w:rsidP="00BE2842">
      <w:pPr>
        <w:numPr>
          <w:ilvl w:val="0"/>
          <w:numId w:val="28"/>
        </w:numPr>
        <w:tabs>
          <w:tab w:val="num" w:pos="567"/>
        </w:tabs>
        <w:spacing w:after="200" w:line="276" w:lineRule="auto"/>
        <w:ind w:left="426" w:hanging="426"/>
        <w:jc w:val="both"/>
        <w:rPr>
          <w:rFonts w:ascii="ITC Avant Garde" w:hAnsi="ITC Avant Garde"/>
        </w:rPr>
      </w:pPr>
      <w:r>
        <w:rPr>
          <w:rFonts w:ascii="ITC Avant Garde" w:hAnsi="ITC Avant Garde"/>
        </w:rPr>
        <w:lastRenderedPageBreak/>
        <w:t>Telmex / Telnor</w:t>
      </w:r>
      <w:r w:rsidR="00A32D6B" w:rsidRPr="00A32D6B">
        <w:rPr>
          <w:rFonts w:ascii="ITC Avant Garde" w:hAnsi="ITC Avant Garde"/>
        </w:rPr>
        <w:t xml:space="preserve"> notificará</w:t>
      </w:r>
      <w:r w:rsidR="00663660">
        <w:rPr>
          <w:rFonts w:ascii="ITC Avant Garde" w:hAnsi="ITC Avant Garde"/>
        </w:rPr>
        <w:t xml:space="preserve"> </w:t>
      </w:r>
      <w:r w:rsidR="004148A7">
        <w:rPr>
          <w:rFonts w:ascii="ITC Avant Garde" w:hAnsi="ITC Avant Garde"/>
        </w:rPr>
        <w:t xml:space="preserve">a la EM, al Instituto así como </w:t>
      </w:r>
      <w:r w:rsidR="00A32D6B" w:rsidRPr="00A32D6B">
        <w:rPr>
          <w:rFonts w:ascii="ITC Avant Garde" w:hAnsi="ITC Avant Garde"/>
        </w:rPr>
        <w:t>a los CS con al menos 36 meses de anticipación el cierre de una Central</w:t>
      </w:r>
      <w:r w:rsidR="00663660">
        <w:rPr>
          <w:rFonts w:ascii="ITC Avant Garde" w:hAnsi="ITC Avant Garde"/>
        </w:rPr>
        <w:t xml:space="preserve"> </w:t>
      </w:r>
      <w:r w:rsidR="004148A7">
        <w:rPr>
          <w:rFonts w:ascii="Century Gothic" w:hAnsi="Century Gothic"/>
          <w:bCs/>
        </w:rPr>
        <w:t xml:space="preserve">a fin de coordinar con </w:t>
      </w:r>
      <w:r w:rsidR="004148A7">
        <w:rPr>
          <w:rFonts w:ascii="Century Gothic" w:hAnsi="Century Gothic"/>
        </w:rPr>
        <w:t>cada uno de los CS</w:t>
      </w:r>
      <w:r w:rsidR="004148A7">
        <w:rPr>
          <w:rFonts w:ascii="Century Gothic" w:hAnsi="Century Gothic"/>
          <w:bCs/>
        </w:rPr>
        <w:t xml:space="preserve"> su reubicación</w:t>
      </w:r>
      <w:r w:rsidR="00A32D6B" w:rsidRPr="00A32D6B">
        <w:rPr>
          <w:rFonts w:ascii="ITC Avant Garde" w:hAnsi="ITC Avant Garde"/>
        </w:rPr>
        <w:t xml:space="preserve">. Podrá acordarse un tiempo menor entre </w:t>
      </w:r>
      <w:r>
        <w:rPr>
          <w:rFonts w:ascii="ITC Avant Garde" w:hAnsi="ITC Avant Garde"/>
        </w:rPr>
        <w:t>Telmex / Telnor</w:t>
      </w:r>
      <w:r w:rsidR="00A7610F">
        <w:rPr>
          <w:rFonts w:ascii="ITC Avant Garde" w:hAnsi="ITC Avant Garde"/>
        </w:rPr>
        <w:t xml:space="preserve"> la EM</w:t>
      </w:r>
      <w:r w:rsidR="00A32D6B" w:rsidRPr="00A32D6B">
        <w:rPr>
          <w:rFonts w:ascii="ITC Avant Garde" w:hAnsi="ITC Avant Garde"/>
        </w:rPr>
        <w:t xml:space="preserve"> y el CS debido a un uso más eficiente o una modernización en las tecnologías de acceso, para lo cual solicitará autorización al Instituto.</w:t>
      </w:r>
    </w:p>
    <w:p w:rsidR="00A47F9A" w:rsidRPr="00C05B1F" w:rsidDel="00F3565A" w:rsidRDefault="00094B5A" w:rsidP="00C20B65">
      <w:pPr>
        <w:pStyle w:val="Prrafodelista"/>
        <w:numPr>
          <w:ilvl w:val="0"/>
          <w:numId w:val="28"/>
        </w:numPr>
        <w:tabs>
          <w:tab w:val="num" w:pos="567"/>
        </w:tabs>
        <w:spacing w:after="200" w:line="276" w:lineRule="auto"/>
        <w:ind w:left="426"/>
        <w:jc w:val="both"/>
        <w:rPr>
          <w:rFonts w:ascii="ITC Avant Garde" w:hAnsi="ITC Avant Garde"/>
          <w:sz w:val="22"/>
          <w:szCs w:val="22"/>
        </w:rPr>
      </w:pPr>
      <w:r w:rsidRPr="00094B5A">
        <w:rPr>
          <w:rFonts w:ascii="ITC Avant Garde" w:hAnsi="ITC Avant Garde"/>
          <w:sz w:val="22"/>
          <w:szCs w:val="22"/>
        </w:rPr>
        <w:t xml:space="preserve">En el caso de que la línea cuente con servicio activo se garantizará que la continuidad del servicio no sufra interrupción como consecuencia de los procesos que se llevan a cabo para habilitar la prestación de los servicios de desagregación; para lo cual el periodo sin servicio no deberá exceder de treinta minutos en el noventa y cinco por ciento de los casos, y ninguno deberá ser mayor a ciento veinte minutos, por lo que respecta a hechos imputables a </w:t>
      </w:r>
      <w:r w:rsidR="00E83F21">
        <w:rPr>
          <w:rFonts w:ascii="ITC Avant Garde" w:hAnsi="ITC Avant Garde"/>
          <w:sz w:val="22"/>
          <w:szCs w:val="22"/>
        </w:rPr>
        <w:t>Telmex / Telnor</w:t>
      </w:r>
      <w:r w:rsidRPr="00094B5A">
        <w:rPr>
          <w:rFonts w:ascii="ITC Avant Garde" w:hAnsi="ITC Avant Garde"/>
          <w:sz w:val="22"/>
          <w:szCs w:val="22"/>
        </w:rPr>
        <w:t xml:space="preserve">. </w:t>
      </w:r>
    </w:p>
    <w:p w:rsidR="00A47F9A" w:rsidRPr="00C05B1F" w:rsidDel="00F3565A" w:rsidRDefault="00094B5A" w:rsidP="00C20B65">
      <w:pPr>
        <w:pStyle w:val="Prrafodelista"/>
        <w:numPr>
          <w:ilvl w:val="0"/>
          <w:numId w:val="28"/>
        </w:numPr>
        <w:tabs>
          <w:tab w:val="num" w:pos="567"/>
        </w:tabs>
        <w:spacing w:after="200" w:line="276" w:lineRule="auto"/>
        <w:ind w:left="426"/>
        <w:jc w:val="both"/>
        <w:rPr>
          <w:rFonts w:ascii="ITC Avant Garde" w:hAnsi="ITC Avant Garde"/>
          <w:sz w:val="22"/>
          <w:szCs w:val="22"/>
        </w:rPr>
      </w:pPr>
      <w:r w:rsidRPr="00094B5A">
        <w:rPr>
          <w:rFonts w:ascii="ITC Avant Garde" w:hAnsi="ITC Avant Garde"/>
          <w:sz w:val="22"/>
          <w:szCs w:val="22"/>
        </w:rPr>
        <w:t xml:space="preserve">En caso de que </w:t>
      </w:r>
      <w:r w:rsidR="00E83F21">
        <w:rPr>
          <w:rFonts w:ascii="ITC Avant Garde" w:hAnsi="ITC Avant Garde"/>
          <w:sz w:val="22"/>
          <w:szCs w:val="22"/>
        </w:rPr>
        <w:t>Telmex / Telnor</w:t>
      </w:r>
      <w:r w:rsidRPr="00094B5A">
        <w:rPr>
          <w:rFonts w:ascii="ITC Avant Garde" w:hAnsi="ITC Avant Garde"/>
          <w:sz w:val="22"/>
          <w:szCs w:val="22"/>
        </w:rPr>
        <w:t xml:space="preserve"> no realice la instalación o adecuación de la acometida derivado de razones asociadas al usuario, o al CS, dicha situación no será considerada dentro de los plazos.</w:t>
      </w:r>
    </w:p>
    <w:p w:rsidR="00A47F9A" w:rsidRPr="00C05B1F" w:rsidDel="00F3565A" w:rsidRDefault="00094B5A" w:rsidP="00C20B65">
      <w:pPr>
        <w:pStyle w:val="Prrafodelista"/>
        <w:numPr>
          <w:ilvl w:val="0"/>
          <w:numId w:val="28"/>
        </w:numPr>
        <w:tabs>
          <w:tab w:val="num" w:pos="567"/>
        </w:tabs>
        <w:spacing w:after="200" w:line="276" w:lineRule="auto"/>
        <w:ind w:left="426"/>
        <w:jc w:val="both"/>
        <w:rPr>
          <w:rFonts w:ascii="ITC Avant Garde" w:hAnsi="ITC Avant Garde"/>
          <w:sz w:val="22"/>
          <w:szCs w:val="22"/>
        </w:rPr>
      </w:pPr>
      <w:r w:rsidRPr="00094B5A">
        <w:rPr>
          <w:rFonts w:ascii="ITC Avant Garde" w:hAnsi="ITC Avant Garde"/>
          <w:sz w:val="22"/>
          <w:szCs w:val="22"/>
        </w:rPr>
        <w:t>Los servicios proporcionados por terceros no forman parte de la OREDA.</w:t>
      </w:r>
      <w:r w:rsidR="005107F8" w:rsidRPr="005107F8">
        <w:rPr>
          <w:rStyle w:val="Refdenotaalpie"/>
          <w:rFonts w:ascii="ITC Avant Garde" w:hAnsi="ITC Avant Garde" w:cs="Arial"/>
          <w:lang w:val="es-ES"/>
        </w:rPr>
        <w:t xml:space="preserve"> </w:t>
      </w:r>
      <w:r w:rsidR="005107F8" w:rsidRPr="00BA1D95">
        <w:rPr>
          <w:rStyle w:val="Refdenotaalpie"/>
          <w:rFonts w:ascii="ITC Avant Garde" w:hAnsi="ITC Avant Garde" w:cs="Arial"/>
          <w:lang w:val="es-ES"/>
        </w:rPr>
        <w:footnoteReference w:id="5"/>
      </w:r>
    </w:p>
    <w:p w:rsidR="00A47F9A" w:rsidRPr="00C05B1F" w:rsidDel="00F3565A" w:rsidRDefault="00094B5A" w:rsidP="00C20B65">
      <w:pPr>
        <w:pStyle w:val="Prrafodelista"/>
        <w:numPr>
          <w:ilvl w:val="0"/>
          <w:numId w:val="28"/>
        </w:numPr>
        <w:tabs>
          <w:tab w:val="num" w:pos="567"/>
        </w:tabs>
        <w:spacing w:after="200" w:line="276" w:lineRule="auto"/>
        <w:ind w:left="426"/>
        <w:jc w:val="both"/>
        <w:rPr>
          <w:rFonts w:ascii="ITC Avant Garde" w:hAnsi="ITC Avant Garde"/>
          <w:sz w:val="22"/>
          <w:szCs w:val="22"/>
        </w:rPr>
      </w:pPr>
      <w:r w:rsidRPr="00094B5A">
        <w:rPr>
          <w:rFonts w:ascii="ITC Avant Garde" w:hAnsi="ITC Avant Garde"/>
          <w:sz w:val="22"/>
          <w:szCs w:val="22"/>
        </w:rPr>
        <w:t xml:space="preserve">La información sobre cualquiera de los servicios contratados por los CS será utilizada por </w:t>
      </w:r>
      <w:r w:rsidR="00E83F21">
        <w:rPr>
          <w:rFonts w:ascii="ITC Avant Garde" w:hAnsi="ITC Avant Garde"/>
          <w:sz w:val="22"/>
          <w:szCs w:val="22"/>
        </w:rPr>
        <w:t>Telmex / Telnor</w:t>
      </w:r>
      <w:r w:rsidRPr="00094B5A">
        <w:rPr>
          <w:rFonts w:ascii="ITC Avant Garde" w:hAnsi="ITC Avant Garde"/>
          <w:sz w:val="22"/>
          <w:szCs w:val="22"/>
        </w:rPr>
        <w:t xml:space="preserve"> únicamente en lo concerniente a la prestación de servicios, ya que </w:t>
      </w:r>
      <w:r w:rsidR="00E83F21">
        <w:rPr>
          <w:rFonts w:ascii="ITC Avant Garde" w:hAnsi="ITC Avant Garde"/>
          <w:sz w:val="22"/>
          <w:szCs w:val="22"/>
        </w:rPr>
        <w:t>Telmex / Telnor</w:t>
      </w:r>
      <w:r w:rsidRPr="00094B5A">
        <w:rPr>
          <w:rFonts w:ascii="ITC Avant Garde" w:hAnsi="ITC Avant Garde"/>
          <w:sz w:val="22"/>
          <w:szCs w:val="22"/>
        </w:rPr>
        <w:t xml:space="preserve"> reconoce que dicha información proporciona datos sensibles sobre intereses y estrategias de desarrollo comercial de cada uno de los CS. Por lo que no se hará del conocimiento de las áreas comerciales de Telmex</w:t>
      </w:r>
      <w:r w:rsidR="00EC3D1A">
        <w:rPr>
          <w:rFonts w:ascii="ITC Avant Garde" w:hAnsi="ITC Avant Garde"/>
          <w:sz w:val="22"/>
          <w:szCs w:val="22"/>
        </w:rPr>
        <w:t xml:space="preserve"> </w:t>
      </w:r>
      <w:r w:rsidR="00EC3D1A">
        <w:rPr>
          <w:rFonts w:ascii="ITC Avant Garde" w:hAnsi="ITC Avant Garde" w:cs="Arial"/>
          <w:sz w:val="22"/>
          <w:szCs w:val="22"/>
          <w:lang w:val="es-MX" w:eastAsia="es-MX"/>
        </w:rPr>
        <w:t>/ Telnor</w:t>
      </w:r>
      <w:r w:rsidRPr="00094B5A">
        <w:rPr>
          <w:rFonts w:ascii="ITC Avant Garde" w:hAnsi="ITC Avant Garde"/>
          <w:sz w:val="22"/>
          <w:szCs w:val="22"/>
        </w:rPr>
        <w:t xml:space="preserve"> ni de otros concesionarios.</w:t>
      </w:r>
    </w:p>
    <w:p w:rsidR="00442DEB" w:rsidRPr="00C05B1F" w:rsidRDefault="00094B5A" w:rsidP="00C20B65">
      <w:pPr>
        <w:pStyle w:val="Prrafodelista"/>
        <w:numPr>
          <w:ilvl w:val="0"/>
          <w:numId w:val="28"/>
        </w:numPr>
        <w:tabs>
          <w:tab w:val="num" w:pos="567"/>
        </w:tabs>
        <w:spacing w:after="200" w:line="276" w:lineRule="auto"/>
        <w:ind w:left="426"/>
        <w:jc w:val="both"/>
        <w:rPr>
          <w:rFonts w:ascii="ITC Avant Garde" w:hAnsi="ITC Avant Garde"/>
          <w:sz w:val="22"/>
          <w:szCs w:val="22"/>
        </w:rPr>
      </w:pPr>
      <w:r w:rsidRPr="00094B5A">
        <w:rPr>
          <w:rFonts w:ascii="ITC Avant Garde" w:hAnsi="ITC Avant Garde"/>
          <w:sz w:val="22"/>
          <w:szCs w:val="22"/>
        </w:rPr>
        <w:t xml:space="preserve">Toda comunicación entre </w:t>
      </w:r>
      <w:r w:rsidR="00E83F21">
        <w:rPr>
          <w:rFonts w:ascii="ITC Avant Garde" w:hAnsi="ITC Avant Garde"/>
          <w:sz w:val="22"/>
          <w:szCs w:val="22"/>
        </w:rPr>
        <w:t>Telmex / Telnor</w:t>
      </w:r>
      <w:r w:rsidRPr="00094B5A">
        <w:rPr>
          <w:rFonts w:ascii="ITC Avant Garde" w:hAnsi="ITC Avant Garde"/>
          <w:sz w:val="22"/>
          <w:szCs w:val="22"/>
        </w:rPr>
        <w:t xml:space="preserve"> y los CS se hará exclusivamente a través del SEG. En caso de fallas </w:t>
      </w:r>
      <w:r w:rsidR="00E83F21">
        <w:rPr>
          <w:rFonts w:ascii="ITC Avant Garde" w:hAnsi="ITC Avant Garde"/>
          <w:sz w:val="22"/>
          <w:szCs w:val="22"/>
        </w:rPr>
        <w:t>Telmex / Telnor</w:t>
      </w:r>
      <w:r w:rsidRPr="00094B5A">
        <w:rPr>
          <w:rFonts w:ascii="ITC Avant Garde" w:hAnsi="ITC Avant Garde"/>
          <w:sz w:val="22"/>
          <w:szCs w:val="22"/>
        </w:rPr>
        <w:t xml:space="preserve"> lo hará del conocimiento de los CS dentro de las siguientes dos horas al inicio de la falla y pondrá a disposición de los CS un medio alterno de comunicación.</w:t>
      </w:r>
    </w:p>
    <w:p w:rsidR="00A65FA6" w:rsidRPr="00DE7C81" w:rsidRDefault="005360F7" w:rsidP="00A65FA6">
      <w:pPr>
        <w:pStyle w:val="Prrafodelista"/>
        <w:numPr>
          <w:ilvl w:val="0"/>
          <w:numId w:val="28"/>
        </w:numPr>
        <w:tabs>
          <w:tab w:val="num" w:pos="567"/>
        </w:tabs>
        <w:spacing w:after="200" w:line="276" w:lineRule="auto"/>
        <w:jc w:val="both"/>
        <w:rPr>
          <w:rFonts w:ascii="ITC Avant Garde" w:hAnsi="ITC Avant Garde"/>
          <w:sz w:val="22"/>
        </w:rPr>
      </w:pPr>
      <w:r w:rsidRPr="005360F7">
        <w:rPr>
          <w:rFonts w:ascii="ITC Avant Garde" w:hAnsi="ITC Avant Garde"/>
          <w:sz w:val="22"/>
        </w:rPr>
        <w:t>Para el caso de la atención de fallas o intermitencias del SEG, todas aquellas gestiones que se realicen para darle continuidad a los servicios mediante cualquier medio alterno al SEG, deberán ser registradas en este último cuando se restablezca. Asimismo, para dar continuidad a las solicitudes y a la entrega de información, cualquier interacción que haya existido mediante el uso del medio alterno deberá ser cargado en el SEG cuando éste se restablezca</w:t>
      </w:r>
      <w:r>
        <w:rPr>
          <w:rFonts w:ascii="ITC Avant Garde" w:hAnsi="ITC Avant Garde"/>
          <w:sz w:val="22"/>
        </w:rPr>
        <w:t>.</w:t>
      </w:r>
      <w:bookmarkStart w:id="226" w:name="_Toc26902171"/>
      <w:bookmarkStart w:id="227" w:name="_Toc26903875"/>
      <w:bookmarkStart w:id="228" w:name="_Toc26981315"/>
      <w:bookmarkStart w:id="229" w:name="_Toc43827728"/>
      <w:bookmarkStart w:id="230" w:name="_Toc44311986"/>
      <w:bookmarkStart w:id="231" w:name="_Toc44412607"/>
      <w:bookmarkStart w:id="232" w:name="_Toc44413203"/>
      <w:bookmarkStart w:id="233" w:name="_Toc44413682"/>
      <w:bookmarkStart w:id="234" w:name="_Toc26902172"/>
      <w:bookmarkStart w:id="235" w:name="_Toc26903876"/>
      <w:bookmarkStart w:id="236" w:name="_Toc26981316"/>
      <w:bookmarkStart w:id="237" w:name="_Toc43827729"/>
      <w:bookmarkStart w:id="238" w:name="_Toc44311987"/>
      <w:bookmarkStart w:id="239" w:name="_Toc44412608"/>
      <w:bookmarkStart w:id="240" w:name="_Toc44413204"/>
      <w:bookmarkStart w:id="241" w:name="_Toc44413683"/>
      <w:bookmarkStart w:id="242" w:name="_Toc436840872"/>
      <w:bookmarkStart w:id="243" w:name="_Toc436846309"/>
      <w:bookmarkStart w:id="244" w:name="_Toc436848259"/>
      <w:bookmarkStart w:id="245" w:name="_Toc436856507"/>
      <w:bookmarkStart w:id="246" w:name="_Toc436862653"/>
      <w:bookmarkStart w:id="247" w:name="_Toc436866303"/>
      <w:bookmarkStart w:id="248" w:name="_Toc436870882"/>
      <w:bookmarkStart w:id="249" w:name="_Toc436875874"/>
      <w:bookmarkStart w:id="250" w:name="_Toc467248687"/>
      <w:bookmarkStart w:id="251" w:name="_Toc525904551"/>
      <w:bookmarkStart w:id="252" w:name="_Toc525913947"/>
      <w:bookmarkStart w:id="253" w:name="_Toc525919186"/>
      <w:bookmarkStart w:id="254" w:name="_Toc525919310"/>
      <w:bookmarkStart w:id="255" w:name="_Toc2957120"/>
      <w:bookmarkStart w:id="256" w:name="_Toc26273059"/>
      <w:bookmarkStart w:id="257" w:name="_Toc26284457"/>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rsidR="00F1417D" w:rsidRPr="007E1DE6" w:rsidRDefault="00F1417D" w:rsidP="00726E26">
      <w:pPr>
        <w:pStyle w:val="1TitPrin"/>
        <w:numPr>
          <w:ilvl w:val="1"/>
          <w:numId w:val="182"/>
        </w:numPr>
        <w:outlineLvl w:val="1"/>
      </w:pPr>
      <w:bookmarkStart w:id="258" w:name="_Toc54106556"/>
      <w:r w:rsidRPr="007E1DE6">
        <w:t>Inicio de la prestación de los servicios</w:t>
      </w:r>
      <w:bookmarkEnd w:id="258"/>
    </w:p>
    <w:p w:rsidR="00DE7C81" w:rsidRPr="00DE7C81" w:rsidRDefault="00F1417D" w:rsidP="00DE7C81">
      <w:pPr>
        <w:pStyle w:val="1TitPrin"/>
        <w:numPr>
          <w:ilvl w:val="0"/>
          <w:numId w:val="0"/>
        </w:numPr>
        <w:outlineLvl w:val="1"/>
        <w:rPr>
          <w:b w:val="0"/>
        </w:rPr>
      </w:pPr>
      <w:bookmarkStart w:id="259" w:name="_Toc54106557"/>
      <w:r w:rsidRPr="00DE7C81">
        <w:rPr>
          <w:b w:val="0"/>
        </w:rPr>
        <w:t xml:space="preserve">Todos los servicios </w:t>
      </w:r>
      <w:r w:rsidR="004530FC" w:rsidRPr="00DE7C81">
        <w:rPr>
          <w:b w:val="0"/>
        </w:rPr>
        <w:t xml:space="preserve">de Desagregación </w:t>
      </w:r>
      <w:r w:rsidRPr="00DE7C81">
        <w:rPr>
          <w:b w:val="0"/>
        </w:rPr>
        <w:t>se prestan a nivel nacional, junto con sus servicios auxiliares asociados</w:t>
      </w:r>
      <w:r w:rsidR="00BE2842" w:rsidRPr="00DE7C81">
        <w:rPr>
          <w:b w:val="0"/>
        </w:rPr>
        <w:t>.</w:t>
      </w:r>
      <w:bookmarkEnd w:id="259"/>
    </w:p>
    <w:p w:rsidR="00A47F9A" w:rsidRPr="00BA1D95" w:rsidDel="00F3565A" w:rsidRDefault="00A47F9A" w:rsidP="00726E26">
      <w:pPr>
        <w:pStyle w:val="1TitPrin"/>
        <w:numPr>
          <w:ilvl w:val="1"/>
          <w:numId w:val="182"/>
        </w:numPr>
        <w:outlineLvl w:val="1"/>
      </w:pPr>
      <w:bookmarkStart w:id="260" w:name="_Toc54106558"/>
      <w:r w:rsidRPr="00BA1D95" w:rsidDel="00F3565A">
        <w:lastRenderedPageBreak/>
        <w:t>Pruebas de Primera Aplicación</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r w:rsidR="009A657A" w:rsidRPr="00BA1D95" w:rsidDel="00F3565A">
        <w:t>.</w:t>
      </w:r>
      <w:bookmarkEnd w:id="256"/>
      <w:bookmarkEnd w:id="257"/>
      <w:bookmarkEnd w:id="260"/>
    </w:p>
    <w:p w:rsidR="00A47F9A" w:rsidRPr="000570F5" w:rsidDel="00F3565A" w:rsidRDefault="00A47F9A" w:rsidP="00C20B65">
      <w:pPr>
        <w:spacing w:after="200" w:line="276" w:lineRule="auto"/>
        <w:jc w:val="both"/>
        <w:rPr>
          <w:rFonts w:ascii="ITC Avant Garde" w:hAnsi="ITC Avant Garde"/>
        </w:rPr>
      </w:pPr>
      <w:r w:rsidRPr="000570F5" w:rsidDel="00F3565A">
        <w:rPr>
          <w:rFonts w:ascii="ITC Avant Garde" w:hAnsi="ITC Avant Garde"/>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0570F5" w:rsidDel="00F3565A">
        <w:rPr>
          <w:rFonts w:ascii="ITC Avant Garde" w:hAnsi="ITC Avant Garde"/>
          <w:i/>
        </w:rPr>
        <w:t>(</w:t>
      </w:r>
      <w:proofErr w:type="spellStart"/>
      <w:r w:rsidRPr="000570F5" w:rsidDel="00F3565A">
        <w:rPr>
          <w:rFonts w:ascii="ITC Avant Garde" w:hAnsi="ITC Avant Garde"/>
          <w:i/>
        </w:rPr>
        <w:t>First</w:t>
      </w:r>
      <w:proofErr w:type="spellEnd"/>
      <w:r w:rsidRPr="000570F5" w:rsidDel="00F3565A">
        <w:rPr>
          <w:rFonts w:ascii="ITC Avant Garde" w:hAnsi="ITC Avant Garde"/>
          <w:i/>
        </w:rPr>
        <w:t xml:space="preserve"> Office </w:t>
      </w:r>
      <w:proofErr w:type="spellStart"/>
      <w:r w:rsidRPr="000570F5" w:rsidDel="00F3565A">
        <w:rPr>
          <w:rFonts w:ascii="ITC Avant Garde" w:hAnsi="ITC Avant Garde"/>
          <w:i/>
        </w:rPr>
        <w:t>Application</w:t>
      </w:r>
      <w:proofErr w:type="spellEnd"/>
      <w:r w:rsidRPr="000570F5" w:rsidDel="00F3565A">
        <w:rPr>
          <w:rFonts w:ascii="ITC Avant Garde" w:hAnsi="ITC Avant Garde"/>
          <w:i/>
        </w:rPr>
        <w:t>, FOA</w:t>
      </w:r>
      <w:r w:rsidRPr="000570F5" w:rsidDel="00F3565A">
        <w:rPr>
          <w:rFonts w:ascii="ITC Avant Garde" w:hAnsi="ITC Avant Garde"/>
        </w:rPr>
        <w:t xml:space="preserve">). Las pruebas para los servicios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partes; la duración de la prueba será de un máximo de dos periodos de facturación, excepto que se acuerde de manera distinta. Al finalizar las pruebas se entregará una copia de los resultados tanto al CS como al Instituto, además de que se harán disponibles en el </w:t>
      </w:r>
      <w:r w:rsidR="006B5A23">
        <w:rPr>
          <w:rFonts w:ascii="ITC Avant Garde" w:hAnsi="ITC Avant Garde"/>
        </w:rPr>
        <w:t>SEG</w:t>
      </w:r>
      <w:r w:rsidRPr="000570F5" w:rsidDel="00F3565A">
        <w:rPr>
          <w:rFonts w:ascii="ITC Avant Garde" w:hAnsi="ITC Avant Garde"/>
        </w:rPr>
        <w:t>.</w:t>
      </w:r>
    </w:p>
    <w:p w:rsidR="00D060CB" w:rsidRPr="000570F5" w:rsidDel="00F3565A" w:rsidRDefault="004A6CC4" w:rsidP="00C20B65">
      <w:pPr>
        <w:spacing w:after="200" w:line="276" w:lineRule="auto"/>
        <w:jc w:val="both"/>
        <w:rPr>
          <w:rFonts w:ascii="ITC Avant Garde" w:hAnsi="ITC Avant Garde"/>
        </w:rPr>
      </w:pPr>
      <w:r w:rsidRPr="000570F5" w:rsidDel="00F3565A">
        <w:rPr>
          <w:rFonts w:ascii="ITC Avant Garde" w:hAnsi="ITC Avant Garde"/>
        </w:rPr>
        <w:t xml:space="preserve">Dependiendo del alcance de la prueba podría requerirse la participación de </w:t>
      </w:r>
      <w:r w:rsidRPr="000570F5">
        <w:rPr>
          <w:rFonts w:ascii="ITC Avant Garde" w:hAnsi="ITC Avant Garde"/>
        </w:rPr>
        <w:t>la EM</w:t>
      </w:r>
      <w:r w:rsidRPr="000570F5" w:rsidDel="00F3565A">
        <w:rPr>
          <w:rFonts w:ascii="ITC Avant Garde" w:hAnsi="ITC Avant Garde"/>
        </w:rPr>
        <w:t xml:space="preserve"> y de </w:t>
      </w:r>
      <w:r w:rsidR="00E83F21">
        <w:rPr>
          <w:rFonts w:ascii="ITC Avant Garde" w:hAnsi="ITC Avant Garde"/>
        </w:rPr>
        <w:t>Telmex / Telnor</w:t>
      </w:r>
      <w:r w:rsidRPr="000570F5" w:rsidDel="00F3565A">
        <w:rPr>
          <w:rFonts w:ascii="ITC Avant Garde" w:hAnsi="ITC Avant Garde"/>
        </w:rPr>
        <w:t xml:space="preserve"> en conjunto con el CS por lo que se deberá coordinar entre todos los involucrados la realización de las pruebas</w:t>
      </w:r>
      <w:r w:rsidR="00571F1F" w:rsidRPr="000570F5" w:rsidDel="00F3565A">
        <w:rPr>
          <w:rFonts w:ascii="ITC Avant Garde" w:hAnsi="ITC Avant Garde"/>
        </w:rPr>
        <w:t>.</w:t>
      </w:r>
    </w:p>
    <w:p w:rsidR="00A47F9A" w:rsidRPr="00BA1D95" w:rsidRDefault="00A47F9A" w:rsidP="00231DB0">
      <w:pPr>
        <w:pStyle w:val="1TitPrin"/>
      </w:pPr>
      <w:bookmarkStart w:id="261" w:name="_Toc436840873"/>
      <w:bookmarkStart w:id="262" w:name="_Toc436846310"/>
      <w:bookmarkStart w:id="263" w:name="_Toc436848260"/>
      <w:bookmarkStart w:id="264" w:name="_Toc436856508"/>
      <w:bookmarkStart w:id="265" w:name="_Toc436862654"/>
      <w:bookmarkStart w:id="266" w:name="_Toc436866304"/>
      <w:bookmarkStart w:id="267" w:name="_Toc436870883"/>
      <w:bookmarkStart w:id="268" w:name="_Toc436875875"/>
      <w:bookmarkStart w:id="269" w:name="_Toc467248688"/>
      <w:bookmarkStart w:id="270" w:name="_Toc525904552"/>
      <w:bookmarkStart w:id="271" w:name="_Toc525913948"/>
      <w:bookmarkStart w:id="272" w:name="_Toc525919187"/>
      <w:bookmarkStart w:id="273" w:name="_Toc525919311"/>
      <w:bookmarkStart w:id="274" w:name="_Toc2957121"/>
      <w:bookmarkStart w:id="275" w:name="_Toc26273060"/>
      <w:bookmarkStart w:id="276" w:name="_Toc26284458"/>
      <w:bookmarkStart w:id="277" w:name="_Toc54106559"/>
      <w:r w:rsidRPr="00BA1D95">
        <w:t>Información relacionada con los servicios</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rsidR="00A47F9A" w:rsidRPr="00BA1D95" w:rsidRDefault="00C52448" w:rsidP="004B11EB">
      <w:pPr>
        <w:pStyle w:val="IFTnormal"/>
        <w:rPr>
          <w:rFonts w:cs="Arial"/>
        </w:rPr>
      </w:pPr>
      <w:r w:rsidRPr="00BA1D95">
        <w:rPr>
          <w:rFonts w:cs="Arial"/>
        </w:rPr>
        <w:t xml:space="preserve">La información con la que cuenta </w:t>
      </w:r>
      <w:r w:rsidR="00E83F21">
        <w:rPr>
          <w:rFonts w:cs="Arial"/>
        </w:rPr>
        <w:t>Telmex / Telnor</w:t>
      </w:r>
      <w:r w:rsidRPr="00BA1D95">
        <w:rPr>
          <w:rFonts w:cs="Arial"/>
        </w:rPr>
        <w:t xml:space="preserve"> se pone a disposición de los CS a través de una interfaz en el sitio de Internet en el que </w:t>
      </w:r>
      <w:r w:rsidR="00E83F21">
        <w:rPr>
          <w:rFonts w:cs="Arial"/>
        </w:rPr>
        <w:t>Telmex / Telnor</w:t>
      </w:r>
      <w:r w:rsidRPr="00BA1D95">
        <w:rPr>
          <w:rFonts w:cs="Arial"/>
        </w:rPr>
        <w:t xml:space="preserve"> publica su OREDA o a través del </w:t>
      </w:r>
      <w:r>
        <w:rPr>
          <w:rFonts w:cs="Arial"/>
        </w:rPr>
        <w:t>SEG</w:t>
      </w:r>
      <w:r w:rsidRPr="00277612">
        <w:rPr>
          <w:rFonts w:cs="Arial"/>
        </w:rPr>
        <w:t>, la cual debe cumplir con lo establecido en el Acuerdo de Separación Funcional respecto a su independencia.</w:t>
      </w:r>
      <w:r w:rsidRPr="005B1C80">
        <w:rPr>
          <w:rFonts w:cs="Arial"/>
        </w:rPr>
        <w:t xml:space="preserve"> Todos los CS, incluyendo a los concesionarios del AEP, contarán con los mismos sistemas y herramientas de consulta e información.</w:t>
      </w:r>
    </w:p>
    <w:p w:rsidR="00A47F9A" w:rsidRPr="00BA1D95" w:rsidRDefault="00094B5A" w:rsidP="004B11EB">
      <w:pPr>
        <w:pStyle w:val="IFTnormal"/>
        <w:rPr>
          <w:rFonts w:cs="Arial"/>
        </w:rPr>
      </w:pPr>
      <w:r w:rsidRPr="00094B5A">
        <w:rPr>
          <w:rFonts w:cs="Arial"/>
        </w:rPr>
        <w:t xml:space="preserve">Dicha información corresponde a aquella con la que </w:t>
      </w:r>
      <w:r w:rsidR="00E83F21">
        <w:rPr>
          <w:rFonts w:cs="Arial"/>
        </w:rPr>
        <w:t>Telmex / Telnor</w:t>
      </w:r>
      <w:r w:rsidRPr="00094B5A">
        <w:rPr>
          <w:rFonts w:cs="Arial"/>
        </w:rPr>
        <w:t xml:space="preserve"> cuenta para su propia operación tanto en términos cuantitativos como cualitativos, y refleja la misma precisión en los datos que se usa en la operación de </w:t>
      </w:r>
      <w:r w:rsidR="00E83F21">
        <w:rPr>
          <w:rFonts w:cs="Arial"/>
        </w:rPr>
        <w:t>Telmex / Telnor</w:t>
      </w:r>
      <w:r w:rsidRPr="00094B5A">
        <w:rPr>
          <w:rFonts w:cs="Arial"/>
        </w:rPr>
        <w:t xml:space="preserve">, en el entendido de que la información es modificada derivado de la operación diaria y está sujeta a la variabilidad propia del levantamiento de información. En el SEG, tanto </w:t>
      </w:r>
      <w:r w:rsidR="00E83F21">
        <w:rPr>
          <w:rFonts w:cs="Arial"/>
        </w:rPr>
        <w:t>Telmex / Telnor</w:t>
      </w:r>
      <w:r w:rsidRPr="00094B5A">
        <w:rPr>
          <w:rFonts w:cs="Arial"/>
        </w:rPr>
        <w:t xml:space="preserve"> como los CS tendrán acceso a la misma información con el mismo grado de variabilidad, ya que </w:t>
      </w:r>
      <w:r w:rsidR="00E83F21">
        <w:rPr>
          <w:rFonts w:cs="Arial"/>
        </w:rPr>
        <w:t>Telmex / Telnor</w:t>
      </w:r>
      <w:r w:rsidRPr="00094B5A">
        <w:rPr>
          <w:rFonts w:cs="Arial"/>
        </w:rPr>
        <w:t xml:space="preserve"> usa el propio SEG para acceder a la información.</w:t>
      </w:r>
    </w:p>
    <w:p w:rsidR="00291516" w:rsidRPr="003D6FC3" w:rsidRDefault="00291516" w:rsidP="00291516">
      <w:pPr>
        <w:pStyle w:val="IFTnormal"/>
        <w:rPr>
          <w:rFonts w:cs="Arial"/>
        </w:rPr>
      </w:pPr>
      <w:r w:rsidRPr="003D6FC3">
        <w:rPr>
          <w:rFonts w:cs="Arial"/>
        </w:rPr>
        <w:t>La información que se pone a disposición de los CS para la elaboración de sus planes básicos de negocio que les permita determinar su interés en los servicios de desagregación</w:t>
      </w:r>
      <w:r w:rsidRPr="00BA0046">
        <w:t>, se clasifica en 2 tipos</w:t>
      </w:r>
      <w:r w:rsidRPr="003D6FC3">
        <w:rPr>
          <w:rFonts w:cs="Arial"/>
        </w:rPr>
        <w:t>:</w:t>
      </w:r>
    </w:p>
    <w:p w:rsidR="00291516" w:rsidRDefault="00291516" w:rsidP="000570F5">
      <w:pPr>
        <w:pStyle w:val="Prrafodelista"/>
        <w:numPr>
          <w:ilvl w:val="0"/>
          <w:numId w:val="32"/>
        </w:numPr>
        <w:spacing w:after="200" w:line="276" w:lineRule="auto"/>
        <w:jc w:val="both"/>
        <w:rPr>
          <w:rFonts w:ascii="ITC Avant Garde" w:hAnsi="ITC Avant Garde" w:cs="Arial"/>
          <w:sz w:val="22"/>
          <w:szCs w:val="22"/>
          <w:lang w:val="es-MX"/>
        </w:rPr>
      </w:pPr>
      <w:r w:rsidRPr="00BA0046">
        <w:rPr>
          <w:rFonts w:ascii="ITC Avant Garde" w:hAnsi="ITC Avant Garde"/>
          <w:b/>
          <w:sz w:val="22"/>
          <w:szCs w:val="22"/>
        </w:rPr>
        <w:t>Información tipo “a”</w:t>
      </w:r>
      <w:r w:rsidRPr="00BA0046">
        <w:rPr>
          <w:rFonts w:ascii="ITC Avant Garde" w:hAnsi="ITC Avant Garde"/>
          <w:sz w:val="22"/>
          <w:szCs w:val="22"/>
        </w:rPr>
        <w:t>:</w:t>
      </w:r>
      <w:r>
        <w:rPr>
          <w:rFonts w:ascii="ITC Avant Garde" w:hAnsi="ITC Avant Garde"/>
          <w:sz w:val="22"/>
          <w:szCs w:val="22"/>
        </w:rPr>
        <w:t xml:space="preserve"> </w:t>
      </w:r>
      <w:r>
        <w:rPr>
          <w:rFonts w:ascii="ITC Avant Garde" w:hAnsi="ITC Avant Garde" w:cs="Arial"/>
          <w:sz w:val="22"/>
          <w:szCs w:val="22"/>
          <w:lang w:val="es-MX"/>
        </w:rPr>
        <w:t>i</w:t>
      </w:r>
      <w:r w:rsidRPr="003D6FC3">
        <w:rPr>
          <w:rFonts w:ascii="ITC Avant Garde" w:hAnsi="ITC Avant Garde" w:cs="Arial"/>
          <w:sz w:val="22"/>
          <w:szCs w:val="22"/>
          <w:lang w:val="es-MX"/>
        </w:rPr>
        <w:t>nformación básica que será accesible a partir de la publicación de la OREDA mediante la consulta y descarga de bases de datos conformada por archivos actualizados antes de firmar el Convenio de Desagregación.</w:t>
      </w:r>
    </w:p>
    <w:p w:rsidR="00291516" w:rsidRPr="000570F5" w:rsidRDefault="00291516" w:rsidP="000570F5">
      <w:pPr>
        <w:pStyle w:val="Prrafodelista"/>
        <w:numPr>
          <w:ilvl w:val="0"/>
          <w:numId w:val="32"/>
        </w:numPr>
        <w:spacing w:after="200" w:line="276" w:lineRule="auto"/>
        <w:jc w:val="both"/>
        <w:rPr>
          <w:rFonts w:ascii="ITC Avant Garde" w:hAnsi="ITC Avant Garde"/>
          <w:sz w:val="22"/>
          <w:szCs w:val="22"/>
          <w:lang w:val="es-MX"/>
        </w:rPr>
      </w:pPr>
      <w:r w:rsidRPr="00BA0046">
        <w:rPr>
          <w:rFonts w:ascii="ITC Avant Garde" w:hAnsi="ITC Avant Garde"/>
          <w:b/>
          <w:sz w:val="22"/>
          <w:szCs w:val="22"/>
          <w:lang w:val="es-MX"/>
        </w:rPr>
        <w:lastRenderedPageBreak/>
        <w:t>Información tipo “b”:</w:t>
      </w:r>
      <w:r w:rsidRPr="00BA0046">
        <w:rPr>
          <w:rFonts w:ascii="ITC Avant Garde" w:hAnsi="ITC Avant Garde"/>
          <w:sz w:val="22"/>
          <w:szCs w:val="22"/>
          <w:lang w:val="es-MX"/>
        </w:rPr>
        <w:t xml:space="preserve"> Información detallada accesible a partir de la publicación de la OREDA y después de firmar el Convenio de Desagregación asociada a variables como número de teléfono, número de usuario o dirección en específico.</w:t>
      </w:r>
    </w:p>
    <w:p w:rsidR="00291516" w:rsidRPr="003D6FC3" w:rsidRDefault="00291516" w:rsidP="00291516">
      <w:pPr>
        <w:spacing w:after="200" w:line="276" w:lineRule="auto"/>
        <w:jc w:val="both"/>
        <w:rPr>
          <w:rFonts w:ascii="ITC Avant Garde" w:hAnsi="ITC Avant Garde" w:cs="Arial"/>
        </w:rPr>
      </w:pPr>
      <w:r w:rsidRPr="003D6FC3">
        <w:rPr>
          <w:rFonts w:ascii="ITC Avant Garde" w:hAnsi="ITC Avant Garde" w:cs="Arial"/>
        </w:rPr>
        <w:t xml:space="preserve">La información </w:t>
      </w:r>
      <w:r w:rsidRPr="00BA0046">
        <w:rPr>
          <w:rFonts w:ascii="ITC Avant Garde" w:hAnsi="ITC Avant Garde"/>
        </w:rPr>
        <w:t>tipo “a” y tipo “b”</w:t>
      </w:r>
      <w:r>
        <w:rPr>
          <w:rFonts w:ascii="ITC Avant Garde" w:hAnsi="ITC Avant Garde"/>
        </w:rPr>
        <w:t xml:space="preserve"> </w:t>
      </w:r>
      <w:r w:rsidRPr="003D6FC3">
        <w:rPr>
          <w:rFonts w:ascii="ITC Avant Garde" w:hAnsi="ITC Avant Garde" w:cs="Arial"/>
        </w:rPr>
        <w:t xml:space="preserve">se pone a disposición de los CS a través de la interfaz que se ha habilitado en la página de internet donde se publica la OREDA, para lo cual se asignarán usuarios y contraseñas a solicitud de los CS. Los CS también pueden acceder a la información a través del </w:t>
      </w:r>
      <w:r w:rsidR="006B5A23">
        <w:rPr>
          <w:rFonts w:ascii="ITC Avant Garde" w:hAnsi="ITC Avant Garde" w:cs="Arial"/>
        </w:rPr>
        <w:t>SEG</w:t>
      </w:r>
      <w:r w:rsidRPr="003D6FC3">
        <w:rPr>
          <w:rFonts w:ascii="ITC Avant Garde" w:hAnsi="ITC Avant Garde" w:cs="Arial"/>
        </w:rPr>
        <w:t xml:space="preserve">. Tanto en el </w:t>
      </w:r>
      <w:r w:rsidR="006B5A23">
        <w:rPr>
          <w:rFonts w:ascii="ITC Avant Garde" w:hAnsi="ITC Avant Garde" w:cs="Arial"/>
        </w:rPr>
        <w:t>SEG</w:t>
      </w:r>
      <w:r w:rsidRPr="003D6FC3">
        <w:rPr>
          <w:rFonts w:ascii="ITC Avant Garde" w:hAnsi="ITC Avant Garde" w:cs="Arial"/>
        </w:rPr>
        <w:t xml:space="preserve"> como en las bases de datos</w:t>
      </w:r>
      <w:r>
        <w:rPr>
          <w:rFonts w:ascii="ITC Avant Garde" w:hAnsi="ITC Avant Garde" w:cs="Arial"/>
        </w:rPr>
        <w:t xml:space="preserve"> </w:t>
      </w:r>
      <w:r w:rsidRPr="00BA0046">
        <w:rPr>
          <w:rFonts w:ascii="ITC Avant Garde" w:hAnsi="ITC Avant Garde"/>
        </w:rPr>
        <w:t>aquí clasificadas como de tipo “a” y “b”</w:t>
      </w:r>
      <w:r w:rsidRPr="003D6FC3">
        <w:rPr>
          <w:rFonts w:ascii="ITC Avant Garde" w:hAnsi="ITC Avant Garde" w:cs="Arial"/>
        </w:rPr>
        <w:t xml:space="preserve"> los CS tienen acceso en los mismos términos y condiciones a la información</w:t>
      </w:r>
      <w:r>
        <w:rPr>
          <w:rFonts w:ascii="ITC Avant Garde" w:hAnsi="ITC Avant Garde" w:cs="Arial"/>
        </w:rPr>
        <w:t xml:space="preserve"> </w:t>
      </w:r>
      <w:r w:rsidRPr="00BA0046">
        <w:rPr>
          <w:rFonts w:ascii="ITC Avant Garde" w:hAnsi="ITC Avant Garde"/>
        </w:rPr>
        <w:t xml:space="preserve">a la que </w:t>
      </w:r>
      <w:r w:rsidR="00E83F21">
        <w:rPr>
          <w:rFonts w:ascii="ITC Avant Garde" w:hAnsi="ITC Avant Garde"/>
        </w:rPr>
        <w:t>Telmex / Telnor</w:t>
      </w:r>
      <w:r w:rsidRPr="00BA0046">
        <w:rPr>
          <w:rFonts w:ascii="ITC Avant Garde" w:hAnsi="ITC Avant Garde"/>
        </w:rPr>
        <w:t xml:space="preserve"> tiene acceso</w:t>
      </w:r>
      <w:r w:rsidRPr="003D6FC3">
        <w:rPr>
          <w:rFonts w:ascii="ITC Avant Garde" w:hAnsi="ITC Avant Garde" w:cs="Arial"/>
        </w:rPr>
        <w:t xml:space="preserve"> sobre la infraestructura necesaria para brindar los servicios de desagregación, con las mismas herramientas, sistemas, procedimientos, etc.</w:t>
      </w:r>
    </w:p>
    <w:p w:rsidR="00291516" w:rsidRPr="00421EF2" w:rsidRDefault="00291516" w:rsidP="00291516">
      <w:pPr>
        <w:spacing w:after="200" w:line="276" w:lineRule="auto"/>
        <w:jc w:val="both"/>
        <w:rPr>
          <w:rFonts w:ascii="ITC Avant Garde" w:hAnsi="ITC Avant Garde"/>
        </w:rPr>
      </w:pPr>
      <w:r w:rsidRPr="003D6FC3">
        <w:rPr>
          <w:rFonts w:ascii="ITC Avant Garde" w:hAnsi="ITC Avant Garde" w:cs="Arial"/>
        </w:rPr>
        <w:t xml:space="preserve">En virtud de que la información </w:t>
      </w:r>
      <w:r w:rsidRPr="00BA0046">
        <w:rPr>
          <w:rFonts w:ascii="ITC Avant Garde" w:hAnsi="ITC Avant Garde"/>
        </w:rPr>
        <w:t>tipo “a”</w:t>
      </w:r>
      <w:r>
        <w:rPr>
          <w:rFonts w:ascii="ITC Avant Garde" w:hAnsi="ITC Avant Garde"/>
        </w:rPr>
        <w:t xml:space="preserve"> </w:t>
      </w:r>
      <w:r w:rsidRPr="003D6FC3">
        <w:rPr>
          <w:rFonts w:ascii="ITC Avant Garde" w:hAnsi="ITC Avant Garde" w:cs="Arial"/>
        </w:rPr>
        <w:t xml:space="preserve">que se pone a disposición de los CS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w:t>
      </w:r>
      <w:r w:rsidRPr="00BA0046">
        <w:rPr>
          <w:rFonts w:ascii="ITC Avant Garde" w:hAnsi="ITC Avant Garde"/>
        </w:rPr>
        <w:t>Para el caso de la información tipo “b”, los CS tendrán que firmar el Convenio de Desagregación. La información tipo “a” se actualizará mensualmente y la información tipo “b” se actualizará semanalmente.</w:t>
      </w:r>
      <w:r>
        <w:rPr>
          <w:rFonts w:ascii="ITC Avant Garde" w:hAnsi="ITC Avant Garde"/>
        </w:rPr>
        <w:t xml:space="preserve"> </w:t>
      </w:r>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La información </w:t>
      </w:r>
      <w:r w:rsidR="00222857" w:rsidRPr="00BA1D95">
        <w:rPr>
          <w:rFonts w:ascii="ITC Avant Garde" w:hAnsi="ITC Avant Garde" w:cs="Arial"/>
        </w:rPr>
        <w:t>puede</w:t>
      </w:r>
      <w:r w:rsidRPr="00BA1D95">
        <w:rPr>
          <w:rFonts w:ascii="ITC Avant Garde" w:hAnsi="ITC Avant Garde" w:cs="Arial"/>
        </w:rPr>
        <w:t xml:space="preserve"> consultarse y descargarse a nivel Entidad Federativa a través de la interfaz que </w:t>
      </w:r>
      <w:r w:rsidR="00E83F21">
        <w:rPr>
          <w:rFonts w:ascii="ITC Avant Garde" w:hAnsi="ITC Avant Garde" w:cs="Arial"/>
        </w:rPr>
        <w:t>Telmex / Telnor</w:t>
      </w:r>
      <w:r w:rsidR="00025B6B">
        <w:rPr>
          <w:rFonts w:ascii="ITC Avant Garde" w:hAnsi="ITC Avant Garde" w:cs="Arial"/>
        </w:rPr>
        <w:t xml:space="preserve"> </w:t>
      </w:r>
      <w:r w:rsidRPr="00BA1D95">
        <w:rPr>
          <w:rFonts w:ascii="ITC Avant Garde" w:hAnsi="ITC Avant Garde" w:cs="Arial"/>
        </w:rPr>
        <w:t>pone a disposición de los CS y del Instituto a través de su página.  Aunado a esto, los CS contarán con la opción de obtener mediante una sola descarga todas las bases de datos presentadas en</w:t>
      </w:r>
      <w:r w:rsidR="0086406F">
        <w:rPr>
          <w:rFonts w:ascii="ITC Avant Garde" w:hAnsi="ITC Avant Garde" w:cs="Arial"/>
        </w:rPr>
        <w:t xml:space="preserve"> esta sección</w:t>
      </w:r>
      <w:r w:rsidRPr="00BA1D95">
        <w:rPr>
          <w:rFonts w:ascii="ITC Avant Garde" w:hAnsi="ITC Avant Garde" w:cs="Arial"/>
        </w:rPr>
        <w:t xml:space="preserve"> mediante el </w:t>
      </w:r>
      <w:r w:rsidR="006B5A23">
        <w:rPr>
          <w:rFonts w:ascii="ITC Avant Garde" w:hAnsi="ITC Avant Garde" w:cs="Arial"/>
        </w:rPr>
        <w:t>SEG</w:t>
      </w:r>
      <w:r w:rsidRPr="00BA1D95">
        <w:rPr>
          <w:rFonts w:ascii="ITC Avant Garde" w:hAnsi="ITC Avant Garde" w:cs="Arial"/>
        </w:rPr>
        <w:t>.</w:t>
      </w:r>
    </w:p>
    <w:p w:rsidR="00E8471C" w:rsidRPr="00E8471C" w:rsidRDefault="00E8471C" w:rsidP="00E8471C">
      <w:pPr>
        <w:spacing w:after="200" w:line="276" w:lineRule="auto"/>
        <w:jc w:val="both"/>
        <w:rPr>
          <w:rFonts w:ascii="Century Gothic" w:hAnsi="Century Gothic"/>
        </w:rPr>
      </w:pPr>
      <w:r w:rsidRPr="00E8471C">
        <w:rPr>
          <w:rFonts w:ascii="Century Gothic" w:hAnsi="Century Gothic"/>
        </w:rPr>
        <w:t xml:space="preserve">A efectos de que los CS puedan cumplir con los requisitos y contar con toda la información necesaria para el acceso y uso de la OREDA, </w:t>
      </w:r>
      <w:r w:rsidR="00E83F21">
        <w:rPr>
          <w:rFonts w:ascii="Century Gothic" w:hAnsi="Century Gothic"/>
        </w:rPr>
        <w:t>Telmex / Telnor</w:t>
      </w:r>
      <w:r w:rsidRPr="00E8471C">
        <w:rPr>
          <w:rFonts w:ascii="Century Gothic" w:hAnsi="Century Gothic"/>
        </w:rPr>
        <w:t xml:space="preserve"> pondrá a disposición en su página o sitio de Internet lo siguiente:</w:t>
      </w:r>
    </w:p>
    <w:p w:rsidR="00E8471C" w:rsidRPr="00E8471C" w:rsidRDefault="00E8471C" w:rsidP="00E8471C">
      <w:pPr>
        <w:numPr>
          <w:ilvl w:val="0"/>
          <w:numId w:val="207"/>
        </w:numPr>
        <w:spacing w:after="200" w:line="276" w:lineRule="auto"/>
        <w:jc w:val="both"/>
        <w:rPr>
          <w:rFonts w:ascii="Century Gothic" w:hAnsi="Century Gothic" w:cs="Calibri"/>
          <w:bCs/>
        </w:rPr>
      </w:pPr>
      <w:r w:rsidRPr="00E8471C">
        <w:rPr>
          <w:rFonts w:ascii="Century Gothic" w:hAnsi="Century Gothic" w:cs="Calibri"/>
          <w:bCs/>
        </w:rPr>
        <w:t>Convenio de Desagregación.</w:t>
      </w:r>
    </w:p>
    <w:p w:rsidR="00E8471C" w:rsidRPr="00E8471C" w:rsidRDefault="00E8471C" w:rsidP="00E8471C">
      <w:pPr>
        <w:numPr>
          <w:ilvl w:val="0"/>
          <w:numId w:val="207"/>
        </w:numPr>
        <w:spacing w:after="200" w:line="276" w:lineRule="auto"/>
        <w:jc w:val="both"/>
        <w:rPr>
          <w:rFonts w:ascii="Century Gothic" w:hAnsi="Century Gothic" w:cs="Calibri"/>
          <w:bCs/>
        </w:rPr>
      </w:pPr>
      <w:r w:rsidRPr="00E8471C">
        <w:rPr>
          <w:rFonts w:ascii="Century Gothic" w:hAnsi="Century Gothic" w:cs="Calibri"/>
          <w:bCs/>
        </w:rPr>
        <w:t>Acuerdo de confidencialidad para el acceso a todos los tipos de información.</w:t>
      </w:r>
    </w:p>
    <w:p w:rsidR="00E8471C" w:rsidRPr="00E8471C" w:rsidRDefault="00E8471C" w:rsidP="00E8471C">
      <w:pPr>
        <w:numPr>
          <w:ilvl w:val="0"/>
          <w:numId w:val="207"/>
        </w:numPr>
        <w:spacing w:after="200" w:line="276" w:lineRule="auto"/>
        <w:jc w:val="both"/>
        <w:rPr>
          <w:rFonts w:ascii="Century Gothic" w:hAnsi="Century Gothic" w:cs="Calibri"/>
          <w:bCs/>
        </w:rPr>
      </w:pPr>
      <w:r w:rsidRPr="00E8471C">
        <w:rPr>
          <w:rFonts w:ascii="Century Gothic" w:hAnsi="Century Gothic" w:cs="Calibri"/>
          <w:bCs/>
        </w:rPr>
        <w:t>Formato de solicitud para asignar usuario y contraseña para realizar la consulta de la información en la interface en la página o sitio de Internet de la</w:t>
      </w:r>
      <w:r>
        <w:rPr>
          <w:rFonts w:ascii="Century Gothic" w:hAnsi="Century Gothic" w:cs="Calibri"/>
          <w:bCs/>
        </w:rPr>
        <w:t xml:space="preserve"> EM y para el acceso al SEG</w:t>
      </w:r>
      <w:r w:rsidRPr="00E8471C">
        <w:rPr>
          <w:rFonts w:ascii="Century Gothic" w:hAnsi="Century Gothic" w:cs="Calibri"/>
          <w:bCs/>
        </w:rPr>
        <w:t>.</w:t>
      </w:r>
    </w:p>
    <w:p w:rsidR="00E8471C" w:rsidRPr="00E8471C" w:rsidRDefault="00E8471C" w:rsidP="00E8471C">
      <w:pPr>
        <w:numPr>
          <w:ilvl w:val="0"/>
          <w:numId w:val="207"/>
        </w:numPr>
        <w:spacing w:after="200" w:line="276" w:lineRule="auto"/>
        <w:jc w:val="both"/>
        <w:rPr>
          <w:rFonts w:ascii="Century Gothic" w:hAnsi="Century Gothic" w:cs="Calibri"/>
          <w:bCs/>
        </w:rPr>
      </w:pPr>
      <w:r w:rsidRPr="00E8471C">
        <w:rPr>
          <w:rFonts w:ascii="Century Gothic" w:hAnsi="Century Gothic" w:cs="Calibri"/>
          <w:bCs/>
        </w:rPr>
        <w:t>Formatos para so</w:t>
      </w:r>
      <w:r w:rsidR="000B5FA8">
        <w:rPr>
          <w:rFonts w:ascii="Century Gothic" w:hAnsi="Century Gothic" w:cs="Calibri"/>
          <w:bCs/>
        </w:rPr>
        <w:t>licitar la conectividad SEG</w:t>
      </w:r>
      <w:r w:rsidRPr="00E8471C">
        <w:rPr>
          <w:rFonts w:ascii="Century Gothic" w:hAnsi="Century Gothic" w:cs="Calibri"/>
          <w:bCs/>
        </w:rPr>
        <w:t xml:space="preserve"> vía VPN.</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w:t>
      </w:r>
      <w:r w:rsidRPr="00BA1D95">
        <w:rPr>
          <w:rFonts w:ascii="ITC Avant Garde" w:hAnsi="ITC Avant Garde" w:cs="Arial"/>
        </w:rPr>
        <w:lastRenderedPageBreak/>
        <w:t>resulta insuficiente para que los CS generen su modelo de negocio o genera desventajas competitivas para los CS.</w:t>
      </w:r>
    </w:p>
    <w:p w:rsidR="00A47F9A" w:rsidRPr="00BF457E" w:rsidRDefault="00A47F9A" w:rsidP="00FF4EC6">
      <w:pPr>
        <w:pStyle w:val="1TitPrin"/>
        <w:numPr>
          <w:ilvl w:val="1"/>
          <w:numId w:val="182"/>
        </w:numPr>
        <w:outlineLvl w:val="1"/>
      </w:pPr>
      <w:bookmarkStart w:id="278" w:name="_Toc54106560"/>
      <w:r w:rsidRPr="00BF457E">
        <w:t>Procedimiento para solicitar usuario y contraseña para consultar información en la interfaz en la página en que se publique la OREDA</w:t>
      </w:r>
      <w:bookmarkEnd w:id="278"/>
      <w:r w:rsidRPr="00BF457E">
        <w:t xml:space="preserve"> </w:t>
      </w:r>
    </w:p>
    <w:p w:rsidR="001B4A04" w:rsidRPr="006E29BA" w:rsidRDefault="001B4A04" w:rsidP="001B4A04">
      <w:pPr>
        <w:pStyle w:val="Prrafodelista"/>
        <w:numPr>
          <w:ilvl w:val="0"/>
          <w:numId w:val="106"/>
        </w:numPr>
        <w:spacing w:after="200" w:line="276" w:lineRule="auto"/>
        <w:jc w:val="both"/>
        <w:rPr>
          <w:rFonts w:ascii="Century Gothic" w:hAnsi="Century Gothic"/>
          <w:sz w:val="22"/>
          <w:lang w:val="es-MX"/>
        </w:rPr>
      </w:pPr>
      <w:r>
        <w:rPr>
          <w:rFonts w:ascii="Century Gothic" w:hAnsi="Century Gothic"/>
          <w:sz w:val="22"/>
          <w:lang w:val="es-MX"/>
        </w:rPr>
        <w:t xml:space="preserve">El CS solicitará a </w:t>
      </w:r>
      <w:r w:rsidR="00E83F21">
        <w:rPr>
          <w:rFonts w:ascii="Century Gothic" w:hAnsi="Century Gothic"/>
          <w:sz w:val="22"/>
          <w:lang w:val="es-MX"/>
        </w:rPr>
        <w:t>Telmex / Telnor</w:t>
      </w:r>
      <w:r w:rsidRPr="00F74568">
        <w:rPr>
          <w:rFonts w:ascii="Century Gothic" w:hAnsi="Century Gothic"/>
          <w:sz w:val="22"/>
          <w:lang w:val="es-MX"/>
        </w:rPr>
        <w:t xml:space="preserve"> vía correo</w:t>
      </w:r>
      <w:r>
        <w:rPr>
          <w:rFonts w:ascii="Century Gothic" w:hAnsi="Century Gothic"/>
          <w:sz w:val="22"/>
          <w:lang w:val="es-MX"/>
        </w:rPr>
        <w:t xml:space="preserve"> electrónico a la dirección OPERDES@telmex.com,</w:t>
      </w:r>
      <w:r w:rsidRPr="00F74568">
        <w:rPr>
          <w:rFonts w:ascii="Century Gothic" w:hAnsi="Century Gothic"/>
          <w:sz w:val="22"/>
          <w:lang w:val="es-MX"/>
        </w:rPr>
        <w:t xml:space="preserve"> que se le asigne un usuario y contraseña para </w:t>
      </w:r>
      <w:r>
        <w:rPr>
          <w:rFonts w:ascii="Century Gothic" w:hAnsi="Century Gothic"/>
          <w:sz w:val="22"/>
          <w:lang w:val="es-MX"/>
        </w:rPr>
        <w:t>la consulta de la información por</w:t>
      </w:r>
      <w:r w:rsidRPr="00F74568">
        <w:rPr>
          <w:rFonts w:ascii="Century Gothic" w:hAnsi="Century Gothic"/>
          <w:sz w:val="22"/>
          <w:lang w:val="es-MX"/>
        </w:rPr>
        <w:t xml:space="preserve"> la pá</w:t>
      </w:r>
      <w:r>
        <w:rPr>
          <w:rFonts w:ascii="Century Gothic" w:hAnsi="Century Gothic"/>
          <w:sz w:val="22"/>
          <w:lang w:val="es-MX"/>
        </w:rPr>
        <w:t xml:space="preserve">gina o sitio de internet de </w:t>
      </w:r>
      <w:r w:rsidR="00E83F21">
        <w:rPr>
          <w:rFonts w:ascii="Century Gothic" w:hAnsi="Century Gothic"/>
          <w:sz w:val="22"/>
          <w:lang w:val="es-MX"/>
        </w:rPr>
        <w:t>Telmex / Telnor</w:t>
      </w:r>
      <w:r>
        <w:rPr>
          <w:rFonts w:ascii="Century Gothic" w:hAnsi="Century Gothic"/>
          <w:sz w:val="22"/>
          <w:lang w:val="es-MX"/>
        </w:rPr>
        <w:t xml:space="preserve"> o para acceso al SEG</w:t>
      </w:r>
      <w:r w:rsidRPr="00F74568">
        <w:rPr>
          <w:rFonts w:ascii="Century Gothic" w:hAnsi="Century Gothic"/>
          <w:sz w:val="22"/>
          <w:lang w:val="es-MX"/>
        </w:rPr>
        <w:t>.</w:t>
      </w:r>
      <w:r w:rsidRPr="006E29BA">
        <w:rPr>
          <w:rFonts w:ascii="Century Gothic" w:hAnsi="Century Gothic"/>
          <w:sz w:val="22"/>
          <w:lang w:val="es-MX"/>
        </w:rPr>
        <w:t xml:space="preserve"> </w:t>
      </w:r>
    </w:p>
    <w:p w:rsidR="001B4A04" w:rsidRPr="00FF4EC6" w:rsidRDefault="001B4A04" w:rsidP="00D37C98">
      <w:pPr>
        <w:pStyle w:val="Prrafodelista"/>
        <w:numPr>
          <w:ilvl w:val="0"/>
          <w:numId w:val="106"/>
        </w:numPr>
        <w:spacing w:after="200" w:line="276" w:lineRule="auto"/>
        <w:jc w:val="both"/>
        <w:rPr>
          <w:rFonts w:ascii="ITC Avant Garde" w:hAnsi="ITC Avant Garde" w:cs="Arial"/>
          <w:sz w:val="22"/>
          <w:szCs w:val="22"/>
          <w:lang w:val="es-MX"/>
        </w:rPr>
      </w:pPr>
      <w:r>
        <w:rPr>
          <w:rFonts w:ascii="Century Gothic" w:hAnsi="Century Gothic"/>
          <w:sz w:val="22"/>
          <w:lang w:val="es-MX"/>
        </w:rPr>
        <w:t>Para el acceso a través</w:t>
      </w:r>
      <w:r w:rsidRPr="00F74568">
        <w:rPr>
          <w:rFonts w:ascii="Century Gothic" w:hAnsi="Century Gothic"/>
          <w:sz w:val="22"/>
          <w:lang w:val="es-MX"/>
        </w:rPr>
        <w:t xml:space="preserve"> de la pá</w:t>
      </w:r>
      <w:r>
        <w:rPr>
          <w:rFonts w:ascii="Century Gothic" w:hAnsi="Century Gothic"/>
          <w:sz w:val="22"/>
          <w:lang w:val="es-MX"/>
        </w:rPr>
        <w:t xml:space="preserve">gina o sitio de Internet de </w:t>
      </w:r>
      <w:r w:rsidR="00E83F21">
        <w:rPr>
          <w:rFonts w:ascii="Century Gothic" w:hAnsi="Century Gothic"/>
          <w:sz w:val="22"/>
          <w:lang w:val="es-MX"/>
        </w:rPr>
        <w:t>Telmex / Telnor</w:t>
      </w:r>
      <w:r>
        <w:rPr>
          <w:rFonts w:ascii="Century Gothic" w:hAnsi="Century Gothic"/>
          <w:sz w:val="22"/>
          <w:lang w:val="es-MX"/>
        </w:rPr>
        <w:t xml:space="preserve"> y/o del SEG</w:t>
      </w:r>
      <w:r w:rsidRPr="00F74568">
        <w:rPr>
          <w:rFonts w:ascii="Century Gothic" w:hAnsi="Century Gothic"/>
          <w:sz w:val="22"/>
          <w:lang w:val="es-MX"/>
        </w:rPr>
        <w:t xml:space="preserve"> para la consulta de la información tipo "a", la solicitud debe acompañarse del formato de solic</w:t>
      </w:r>
      <w:r>
        <w:rPr>
          <w:rFonts w:ascii="Century Gothic" w:hAnsi="Century Gothic"/>
          <w:sz w:val="22"/>
          <w:lang w:val="es-MX"/>
        </w:rPr>
        <w:t>itud de usuario y contraseña, A</w:t>
      </w:r>
      <w:r w:rsidRPr="00F74568">
        <w:rPr>
          <w:rFonts w:ascii="Century Gothic" w:hAnsi="Century Gothic"/>
          <w:sz w:val="22"/>
          <w:lang w:val="es-MX"/>
        </w:rPr>
        <w:t>cuerdo de confidencialidad firmado por el representante legal del CS, copia del Título de Concesión (o Concesión Única) o de la Autorización para comercializar servicios</w:t>
      </w:r>
      <w:r>
        <w:rPr>
          <w:rFonts w:ascii="Century Gothic" w:hAnsi="Century Gothic"/>
          <w:sz w:val="22"/>
          <w:lang w:val="es-MX"/>
        </w:rPr>
        <w:t xml:space="preserve"> de telecomunicaciones</w:t>
      </w:r>
      <w:r w:rsidRPr="00F74568">
        <w:rPr>
          <w:rFonts w:ascii="Century Gothic" w:hAnsi="Century Gothic"/>
          <w:sz w:val="22"/>
          <w:lang w:val="es-MX"/>
        </w:rPr>
        <w:t>.</w:t>
      </w:r>
    </w:p>
    <w:p w:rsidR="001B4A04" w:rsidRPr="00FF4EC6" w:rsidRDefault="001B4A04" w:rsidP="001B4A04">
      <w:pPr>
        <w:pStyle w:val="Prrafodelista"/>
        <w:numPr>
          <w:ilvl w:val="0"/>
          <w:numId w:val="106"/>
        </w:numPr>
        <w:spacing w:after="200" w:line="276" w:lineRule="auto"/>
        <w:jc w:val="both"/>
        <w:rPr>
          <w:rFonts w:ascii="Century Gothic" w:hAnsi="Century Gothic"/>
          <w:sz w:val="22"/>
          <w:lang w:val="es-MX"/>
        </w:rPr>
      </w:pPr>
      <w:r w:rsidRPr="00F74568">
        <w:rPr>
          <w:rFonts w:ascii="Century Gothic" w:hAnsi="Century Gothic"/>
          <w:sz w:val="22"/>
          <w:lang w:val="es-MX"/>
        </w:rPr>
        <w:t>Para el acceso a la</w:t>
      </w:r>
      <w:r>
        <w:rPr>
          <w:rFonts w:ascii="Century Gothic" w:hAnsi="Century Gothic"/>
          <w:sz w:val="22"/>
          <w:lang w:val="es-MX"/>
        </w:rPr>
        <w:t xml:space="preserve"> información tipo “b”</w:t>
      </w:r>
      <w:r w:rsidRPr="00F74568">
        <w:rPr>
          <w:rFonts w:ascii="Century Gothic" w:hAnsi="Century Gothic"/>
          <w:sz w:val="22"/>
          <w:lang w:val="es-MX"/>
        </w:rPr>
        <w:t>, además de los requisitos del punto anterior se deberá tener f</w:t>
      </w:r>
      <w:r>
        <w:rPr>
          <w:rFonts w:ascii="Century Gothic" w:hAnsi="Century Gothic"/>
          <w:sz w:val="22"/>
          <w:lang w:val="es-MX"/>
        </w:rPr>
        <w:t>i</w:t>
      </w:r>
      <w:r w:rsidRPr="00F74568">
        <w:rPr>
          <w:rFonts w:ascii="Century Gothic" w:hAnsi="Century Gothic"/>
          <w:sz w:val="22"/>
          <w:lang w:val="es-MX"/>
        </w:rPr>
        <w:t>rmado el Convenio de Desagregación. El CS deberá enviar una confirmación de la firma del Convenio de Desagregación a la misma dirección de correo el</w:t>
      </w:r>
      <w:r>
        <w:rPr>
          <w:rFonts w:ascii="Century Gothic" w:hAnsi="Century Gothic"/>
          <w:sz w:val="22"/>
          <w:lang w:val="es-MX"/>
        </w:rPr>
        <w:t xml:space="preserve">ectrónico. </w:t>
      </w:r>
      <w:r w:rsidR="00E83F21">
        <w:rPr>
          <w:rFonts w:ascii="Century Gothic" w:hAnsi="Century Gothic"/>
          <w:sz w:val="22"/>
          <w:lang w:val="es-MX"/>
        </w:rPr>
        <w:t>Telmex / Telnor</w:t>
      </w:r>
      <w:r w:rsidRPr="00FF4EC6">
        <w:rPr>
          <w:rFonts w:ascii="Century Gothic" w:hAnsi="Century Gothic"/>
          <w:sz w:val="22"/>
          <w:lang w:val="es-MX"/>
        </w:rPr>
        <w:t xml:space="preserve"> activará los usuarios y contraseñas del CS para todos los tipos de información.</w:t>
      </w:r>
    </w:p>
    <w:p w:rsidR="001B4A04" w:rsidRPr="00375B94" w:rsidRDefault="001B4A04" w:rsidP="00375B94">
      <w:pPr>
        <w:pStyle w:val="IFTnormal"/>
        <w:numPr>
          <w:ilvl w:val="0"/>
          <w:numId w:val="106"/>
        </w:numPr>
      </w:pPr>
      <w:r w:rsidRPr="00744C35">
        <w:t>Para ambos</w:t>
      </w:r>
      <w:r>
        <w:t xml:space="preserve"> casos</w:t>
      </w:r>
      <w:r w:rsidRPr="00744C35">
        <w:t xml:space="preserve"> de a</w:t>
      </w:r>
      <w:r>
        <w:t>cceso a la información tipo "a",</w:t>
      </w:r>
      <w:r w:rsidRPr="00744C35">
        <w:t xml:space="preserve"> o de acceso a la informació</w:t>
      </w:r>
      <w:r>
        <w:t xml:space="preserve">n tipo "b", o todas en conjunto, </w:t>
      </w:r>
      <w:r w:rsidR="00E83F21">
        <w:t>Telmex / Telnor</w:t>
      </w:r>
      <w:r w:rsidRPr="00744C35">
        <w:t xml:space="preserve"> contestará vía correo electrónico a la misma dirección en la que se hizo la petición, proporcionando usuario y contraseña para el acceso vía la interfaz en la página de </w:t>
      </w:r>
      <w:r>
        <w:t>Internet de la EM o del SEG</w:t>
      </w:r>
      <w:r w:rsidRPr="00744C35">
        <w:t>, en un plazo máximo de tres días hábiles posteriores</w:t>
      </w:r>
      <w:r>
        <w:t xml:space="preserve"> a la fecha del</w:t>
      </w:r>
      <w:r w:rsidRPr="00744C35">
        <w:t xml:space="preserve"> correo enviado por el CS con la información correspondiente.</w:t>
      </w:r>
      <w:r w:rsidRPr="00744C35" w:rsidDel="00744C35">
        <w:t xml:space="preserve"> </w:t>
      </w:r>
    </w:p>
    <w:p w:rsidR="00BF457E" w:rsidRPr="00BA1D95" w:rsidRDefault="00BF457E" w:rsidP="00BF457E">
      <w:pPr>
        <w:pStyle w:val="1TitPrin"/>
        <w:numPr>
          <w:ilvl w:val="1"/>
          <w:numId w:val="182"/>
        </w:numPr>
        <w:outlineLvl w:val="1"/>
      </w:pPr>
      <w:bookmarkStart w:id="279" w:name="_Toc54106561"/>
      <w:r w:rsidRPr="00BA1D95">
        <w:t xml:space="preserve">Procedimiento de acceso al Sistema Electrónico de Gestión </w:t>
      </w:r>
      <w:r>
        <w:t>SEG</w:t>
      </w:r>
      <w:r w:rsidRPr="00BA1D95">
        <w:t xml:space="preserve"> a través de VPN</w:t>
      </w:r>
      <w:bookmarkEnd w:id="279"/>
    </w:p>
    <w:p w:rsidR="00BF457E" w:rsidRPr="00BA1D95" w:rsidRDefault="00BF457E" w:rsidP="00BF457E">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 xml:space="preserve">Para que los CS accedan al </w:t>
      </w:r>
      <w:r>
        <w:rPr>
          <w:rFonts w:ascii="ITC Avant Garde" w:hAnsi="ITC Avant Garde" w:cs="Arial"/>
          <w:sz w:val="22"/>
          <w:szCs w:val="22"/>
        </w:rPr>
        <w:t>SEG</w:t>
      </w:r>
      <w:r w:rsidRPr="00BA1D95">
        <w:rPr>
          <w:rFonts w:ascii="ITC Avant Garde" w:hAnsi="ITC Avant Garde" w:cs="Arial"/>
          <w:sz w:val="22"/>
          <w:szCs w:val="22"/>
        </w:rPr>
        <w:t xml:space="preserve"> a través de la VPN se deben considerar los siguientes puntos: </w:t>
      </w:r>
    </w:p>
    <w:p w:rsidR="002018DC" w:rsidRDefault="002018DC" w:rsidP="00FF4EC6">
      <w:pPr>
        <w:pStyle w:val="IFTnormal"/>
        <w:numPr>
          <w:ilvl w:val="1"/>
          <w:numId w:val="28"/>
        </w:numPr>
        <w:rPr>
          <w:rFonts w:ascii="Century Gothic" w:hAnsi="Century Gothic"/>
        </w:rPr>
      </w:pPr>
      <w:r w:rsidRPr="002018DC">
        <w:t>El proceso de so</w:t>
      </w:r>
      <w:r>
        <w:t>licitud de conectividad SEG</w:t>
      </w:r>
      <w:r w:rsidRPr="002018DC">
        <w:t xml:space="preserve"> se realizará simultáneamente con el proceso de la firma del Acuerdo de Confidencialidad, el Convenio de Desagregación y sus Anexos. El CS deberá obtener los formatos correspondientes de la pá</w:t>
      </w:r>
      <w:r>
        <w:t xml:space="preserve">gina o sitio de internet de </w:t>
      </w:r>
      <w:r w:rsidR="00E83F21">
        <w:t>Telmex / Telnor</w:t>
      </w:r>
      <w:r w:rsidRPr="002018DC">
        <w:t xml:space="preserve"> o solicitarlos al correo electrónico </w:t>
      </w:r>
      <w:hyperlink r:id="rId16" w:history="1">
        <w:r w:rsidRPr="002018DC">
          <w:rPr>
            <w:rStyle w:val="Hipervnculo"/>
            <w:rFonts w:ascii="Century Gothic" w:hAnsi="Century Gothic" w:cs="Calibri"/>
          </w:rPr>
          <w:t>OPERDES@telmex.com</w:t>
        </w:r>
      </w:hyperlink>
    </w:p>
    <w:p w:rsidR="002018DC" w:rsidRPr="009D447C" w:rsidRDefault="002018DC" w:rsidP="00FF4EC6">
      <w:pPr>
        <w:spacing w:after="200" w:line="276" w:lineRule="auto"/>
        <w:ind w:left="1418"/>
        <w:jc w:val="both"/>
        <w:rPr>
          <w:rFonts w:ascii="Century Gothic" w:hAnsi="Century Gothic"/>
        </w:rPr>
      </w:pPr>
      <w:r w:rsidRPr="00AC29B9">
        <w:rPr>
          <w:rFonts w:ascii="Century Gothic" w:eastAsia="Times New Roman" w:hAnsi="Century Gothic"/>
          <w:szCs w:val="24"/>
          <w:lang w:eastAsia="es-ES"/>
        </w:rPr>
        <w:lastRenderedPageBreak/>
        <w:t>La solicitud debe acompañarse de los siguientes formatos para solicit</w:t>
      </w:r>
      <w:r>
        <w:rPr>
          <w:rFonts w:ascii="Century Gothic" w:eastAsia="Times New Roman" w:hAnsi="Century Gothic"/>
          <w:szCs w:val="24"/>
          <w:lang w:eastAsia="es-ES"/>
        </w:rPr>
        <w:t>ar la conectividad al SEG:</w:t>
      </w:r>
    </w:p>
    <w:p w:rsidR="002018DC" w:rsidRPr="00AC29B9" w:rsidRDefault="002018DC" w:rsidP="002018DC">
      <w:pPr>
        <w:numPr>
          <w:ilvl w:val="1"/>
          <w:numId w:val="209"/>
        </w:numPr>
        <w:spacing w:after="0" w:line="276" w:lineRule="auto"/>
        <w:jc w:val="both"/>
        <w:rPr>
          <w:rFonts w:ascii="Century Gothic" w:eastAsia="Times New Roman" w:hAnsi="Century Gothic"/>
          <w:szCs w:val="24"/>
          <w:lang w:eastAsia="es-ES"/>
        </w:rPr>
      </w:pPr>
      <w:r w:rsidRPr="00AC29B9">
        <w:rPr>
          <w:rFonts w:ascii="Century Gothic" w:eastAsia="Times New Roman" w:hAnsi="Century Gothic"/>
          <w:szCs w:val="24"/>
          <w:lang w:eastAsia="es-ES"/>
        </w:rPr>
        <w:t>Las condiciones para Interconexión por VPN-IPsec (LAN to LAN), el cual deberá de ser firmado por el CS.</w:t>
      </w:r>
    </w:p>
    <w:p w:rsidR="002018DC" w:rsidRPr="00AC29B9" w:rsidRDefault="002018DC" w:rsidP="002018DC">
      <w:pPr>
        <w:numPr>
          <w:ilvl w:val="1"/>
          <w:numId w:val="209"/>
        </w:numPr>
        <w:spacing w:after="0" w:line="276" w:lineRule="auto"/>
        <w:jc w:val="both"/>
        <w:rPr>
          <w:rFonts w:ascii="Century Gothic" w:eastAsia="Times New Roman" w:hAnsi="Century Gothic"/>
          <w:szCs w:val="24"/>
          <w:lang w:eastAsia="es-ES"/>
        </w:rPr>
      </w:pPr>
      <w:r w:rsidRPr="00AC29B9">
        <w:rPr>
          <w:rFonts w:ascii="Century Gothic" w:eastAsia="Times New Roman" w:hAnsi="Century Gothic"/>
          <w:szCs w:val="24"/>
          <w:lang w:eastAsia="es-ES"/>
        </w:rPr>
        <w:t>La descripción de la conexión VPN LAN to LAN, puertos lógicos a configurar en Firewalls, anchos de banda para configuración en su equipo y la IP Pública.</w:t>
      </w:r>
    </w:p>
    <w:p w:rsidR="002018DC" w:rsidRPr="00AC29B9" w:rsidRDefault="002018DC" w:rsidP="002018DC">
      <w:pPr>
        <w:numPr>
          <w:ilvl w:val="1"/>
          <w:numId w:val="209"/>
        </w:numPr>
        <w:spacing w:after="0" w:line="276" w:lineRule="auto"/>
        <w:jc w:val="both"/>
        <w:rPr>
          <w:rFonts w:ascii="Century Gothic" w:eastAsia="Times New Roman" w:hAnsi="Century Gothic"/>
          <w:szCs w:val="24"/>
          <w:lang w:eastAsia="es-ES"/>
        </w:rPr>
      </w:pPr>
      <w:proofErr w:type="spellStart"/>
      <w:r w:rsidRPr="00AC29B9">
        <w:rPr>
          <w:rFonts w:ascii="Century Gothic" w:eastAsia="Times New Roman" w:hAnsi="Century Gothic" w:cs="Arial"/>
          <w:lang w:eastAsia="es-ES"/>
        </w:rPr>
        <w:t>Checklist</w:t>
      </w:r>
      <w:proofErr w:type="spellEnd"/>
      <w:r w:rsidRPr="00AC29B9">
        <w:rPr>
          <w:rFonts w:ascii="Century Gothic" w:eastAsia="Times New Roman" w:hAnsi="Century Gothic"/>
          <w:szCs w:val="24"/>
          <w:lang w:eastAsia="es-ES"/>
        </w:rPr>
        <w:t xml:space="preserve"> previo sobre las características del equipo del CS y las condiciones mínimas necesarias para la conexión VPN LAN to LAN.</w:t>
      </w:r>
    </w:p>
    <w:p w:rsidR="002018DC" w:rsidRPr="00AC29B9" w:rsidRDefault="002018DC" w:rsidP="002018DC">
      <w:pPr>
        <w:numPr>
          <w:ilvl w:val="1"/>
          <w:numId w:val="209"/>
        </w:numPr>
        <w:spacing w:after="0" w:line="276" w:lineRule="auto"/>
        <w:jc w:val="both"/>
        <w:rPr>
          <w:rFonts w:ascii="Century Gothic" w:eastAsia="Times New Roman" w:hAnsi="Century Gothic"/>
          <w:szCs w:val="24"/>
          <w:lang w:eastAsia="es-ES"/>
        </w:rPr>
      </w:pPr>
      <w:r w:rsidRPr="00AC29B9">
        <w:rPr>
          <w:rFonts w:ascii="Century Gothic" w:eastAsia="Times New Roman" w:hAnsi="Century Gothic"/>
          <w:szCs w:val="24"/>
          <w:lang w:eastAsia="es-ES"/>
        </w:rPr>
        <w:t>Formato que deberá llenar y firmar el CS para solicitar su Usuario Administrador.</w:t>
      </w:r>
    </w:p>
    <w:p w:rsidR="002018DC" w:rsidRPr="00AC29B9" w:rsidRDefault="002018DC" w:rsidP="002018DC"/>
    <w:p w:rsidR="002018DC" w:rsidRPr="00647269" w:rsidRDefault="00E83F21" w:rsidP="002018DC">
      <w:pPr>
        <w:numPr>
          <w:ilvl w:val="1"/>
          <w:numId w:val="28"/>
        </w:numPr>
        <w:spacing w:after="0" w:line="240" w:lineRule="auto"/>
        <w:jc w:val="both"/>
        <w:rPr>
          <w:rFonts w:eastAsia="Times New Roman"/>
          <w:sz w:val="24"/>
          <w:szCs w:val="24"/>
          <w:lang w:val="es-ES_tradnl" w:eastAsia="es-ES"/>
        </w:rPr>
      </w:pPr>
      <w:r>
        <w:rPr>
          <w:rFonts w:ascii="Century Gothic" w:eastAsia="Times New Roman" w:hAnsi="Century Gothic"/>
          <w:szCs w:val="24"/>
          <w:lang w:eastAsia="es-ES"/>
        </w:rPr>
        <w:t>Telmex / Telnor</w:t>
      </w:r>
      <w:r w:rsidR="002018DC" w:rsidRPr="00AC29B9">
        <w:rPr>
          <w:rFonts w:ascii="Century Gothic" w:eastAsia="Times New Roman" w:hAnsi="Century Gothic"/>
          <w:szCs w:val="24"/>
          <w:lang w:eastAsia="es-ES"/>
        </w:rPr>
        <w:t xml:space="preserve"> revisa los formatos y en caso de existir alguna anomalía los regresa al CS en un plazo máximo de dos días hábiles a partir de la fecha de solicitud indicando el error o la información faltante.</w:t>
      </w:r>
    </w:p>
    <w:p w:rsidR="002018DC" w:rsidRPr="00AC29B9" w:rsidRDefault="002018DC" w:rsidP="002018DC">
      <w:pPr>
        <w:spacing w:after="0" w:line="240" w:lineRule="auto"/>
        <w:ind w:left="1440"/>
        <w:jc w:val="both"/>
        <w:rPr>
          <w:rFonts w:eastAsia="Times New Roman"/>
          <w:sz w:val="24"/>
          <w:szCs w:val="24"/>
          <w:lang w:val="es-ES_tradnl" w:eastAsia="es-ES"/>
        </w:rPr>
      </w:pPr>
      <w:r w:rsidRPr="00AC29B9" w:rsidDel="00327A78">
        <w:rPr>
          <w:rFonts w:ascii="Century Gothic" w:hAnsi="Century Gothic"/>
          <w:sz w:val="24"/>
          <w:szCs w:val="24"/>
          <w:lang w:val="es-ES_tradnl" w:eastAsia="es-ES"/>
        </w:rPr>
        <w:t xml:space="preserve"> </w:t>
      </w:r>
    </w:p>
    <w:p w:rsidR="002018DC" w:rsidRPr="00AC29B9" w:rsidRDefault="00E83F21" w:rsidP="002018DC">
      <w:pPr>
        <w:numPr>
          <w:ilvl w:val="1"/>
          <w:numId w:val="28"/>
        </w:numPr>
        <w:spacing w:after="0" w:line="240" w:lineRule="auto"/>
        <w:jc w:val="both"/>
        <w:rPr>
          <w:rFonts w:ascii="Century Gothic" w:eastAsia="Times New Roman" w:hAnsi="Century Gothic"/>
          <w:szCs w:val="24"/>
          <w:lang w:eastAsia="es-ES"/>
        </w:rPr>
      </w:pPr>
      <w:r>
        <w:rPr>
          <w:rFonts w:ascii="Century Gothic" w:eastAsia="Times New Roman" w:hAnsi="Century Gothic"/>
          <w:szCs w:val="24"/>
          <w:lang w:eastAsia="es-ES"/>
        </w:rPr>
        <w:t>Telmex / Telnor</w:t>
      </w:r>
      <w:r w:rsidR="002018DC" w:rsidRPr="00AC29B9">
        <w:rPr>
          <w:rFonts w:ascii="Century Gothic" w:eastAsia="Times New Roman" w:hAnsi="Century Gothic"/>
          <w:szCs w:val="24"/>
          <w:lang w:eastAsia="es-ES"/>
        </w:rPr>
        <w:t xml:space="preserve"> envía en un plazo máximo de 10 días hábiles la “llave compartida”, para que el CS realice las configuraciones necesarias para la conexión VPN</w:t>
      </w:r>
      <w:r w:rsidR="00671A5B">
        <w:rPr>
          <w:rFonts w:ascii="Century Gothic" w:eastAsia="Times New Roman" w:hAnsi="Century Gothic"/>
          <w:szCs w:val="24"/>
          <w:lang w:eastAsia="es-ES"/>
        </w:rPr>
        <w:t xml:space="preserve">, validando que se haya firmado los Convenios de </w:t>
      </w:r>
      <w:proofErr w:type="spellStart"/>
      <w:r w:rsidR="00671A5B">
        <w:rPr>
          <w:rFonts w:ascii="Century Gothic" w:eastAsia="Times New Roman" w:hAnsi="Century Gothic"/>
          <w:szCs w:val="24"/>
          <w:lang w:eastAsia="es-ES"/>
        </w:rPr>
        <w:t>Oreda</w:t>
      </w:r>
      <w:proofErr w:type="spellEnd"/>
    </w:p>
    <w:p w:rsidR="002018DC" w:rsidRPr="00AC29B9" w:rsidRDefault="002018DC" w:rsidP="002018DC">
      <w:pPr>
        <w:spacing w:after="0" w:line="240" w:lineRule="auto"/>
        <w:ind w:left="1440"/>
        <w:jc w:val="both"/>
        <w:rPr>
          <w:rFonts w:ascii="Century Gothic" w:eastAsia="Times New Roman" w:hAnsi="Century Gothic"/>
          <w:szCs w:val="24"/>
          <w:lang w:eastAsia="es-ES"/>
        </w:rPr>
      </w:pPr>
      <w:r w:rsidRPr="00AC29B9" w:rsidDel="00327A78">
        <w:rPr>
          <w:rFonts w:ascii="Century Gothic" w:eastAsia="Times New Roman" w:hAnsi="Century Gothic"/>
          <w:szCs w:val="24"/>
          <w:lang w:eastAsia="es-ES"/>
        </w:rPr>
        <w:t xml:space="preserve"> </w:t>
      </w:r>
    </w:p>
    <w:p w:rsidR="002018DC" w:rsidRPr="00AC29B9" w:rsidRDefault="00E83F21" w:rsidP="002018DC">
      <w:pPr>
        <w:numPr>
          <w:ilvl w:val="1"/>
          <w:numId w:val="28"/>
        </w:numPr>
        <w:spacing w:after="0" w:line="240" w:lineRule="auto"/>
        <w:jc w:val="both"/>
        <w:rPr>
          <w:rFonts w:ascii="Century Gothic" w:eastAsia="Times New Roman" w:hAnsi="Century Gothic"/>
          <w:szCs w:val="24"/>
          <w:lang w:eastAsia="es-ES"/>
        </w:rPr>
      </w:pPr>
      <w:r>
        <w:rPr>
          <w:rFonts w:ascii="Century Gothic" w:eastAsia="Times New Roman" w:hAnsi="Century Gothic"/>
          <w:szCs w:val="24"/>
          <w:lang w:eastAsia="es-ES"/>
        </w:rPr>
        <w:t>Telmex / Telnor</w:t>
      </w:r>
      <w:r w:rsidR="002018DC" w:rsidRPr="00AC29B9">
        <w:rPr>
          <w:rFonts w:ascii="Century Gothic" w:eastAsia="Times New Roman" w:hAnsi="Century Gothic"/>
          <w:szCs w:val="24"/>
          <w:lang w:eastAsia="es-ES"/>
        </w:rPr>
        <w:t xml:space="preserve"> y el CS realizan las configuraciones de la VPN correspondientes en sus equipos.</w:t>
      </w:r>
    </w:p>
    <w:p w:rsidR="002018DC" w:rsidRPr="00AC29B9" w:rsidRDefault="002018DC" w:rsidP="002018DC">
      <w:pPr>
        <w:jc w:val="both"/>
        <w:rPr>
          <w:rFonts w:ascii="Century Gothic" w:hAnsi="Century Gothic"/>
        </w:rPr>
      </w:pPr>
    </w:p>
    <w:p w:rsidR="00CD2659" w:rsidRDefault="00E83F21" w:rsidP="00FF4EC6">
      <w:pPr>
        <w:numPr>
          <w:ilvl w:val="1"/>
          <w:numId w:val="28"/>
        </w:numPr>
        <w:spacing w:after="0" w:line="240" w:lineRule="auto"/>
        <w:jc w:val="both"/>
        <w:rPr>
          <w:rFonts w:ascii="Century Gothic" w:hAnsi="Century Gothic"/>
        </w:rPr>
      </w:pPr>
      <w:r>
        <w:rPr>
          <w:rFonts w:ascii="Century Gothic" w:eastAsia="Times New Roman" w:hAnsi="Century Gothic"/>
          <w:szCs w:val="24"/>
          <w:lang w:eastAsia="es-ES"/>
        </w:rPr>
        <w:t>Telmex / Telnor</w:t>
      </w:r>
      <w:r w:rsidR="002018DC" w:rsidRPr="00AC29B9">
        <w:rPr>
          <w:rFonts w:ascii="Century Gothic" w:eastAsia="Times New Roman" w:hAnsi="Century Gothic"/>
          <w:szCs w:val="24"/>
          <w:lang w:eastAsia="es-ES"/>
        </w:rPr>
        <w:t xml:space="preserve"> coordina la fecha de pruebas de conexión con el CS.</w:t>
      </w:r>
    </w:p>
    <w:p w:rsidR="00CD2659" w:rsidRDefault="00CD2659" w:rsidP="00FF4EC6">
      <w:pPr>
        <w:pStyle w:val="Prrafodelista"/>
        <w:rPr>
          <w:rFonts w:ascii="ITC Avant Garde" w:hAnsi="ITC Avant Garde" w:cs="Arial"/>
        </w:rPr>
      </w:pPr>
    </w:p>
    <w:p w:rsidR="00CD2659" w:rsidRPr="00FF4EC6" w:rsidRDefault="00CD2659" w:rsidP="00FF4EC6">
      <w:pPr>
        <w:numPr>
          <w:ilvl w:val="1"/>
          <w:numId w:val="28"/>
        </w:numPr>
        <w:spacing w:after="0" w:line="240" w:lineRule="auto"/>
        <w:jc w:val="both"/>
        <w:rPr>
          <w:rFonts w:ascii="Century Gothic" w:hAnsi="Century Gothic"/>
        </w:rPr>
      </w:pPr>
      <w:r w:rsidRPr="00FF4EC6">
        <w:rPr>
          <w:rFonts w:ascii="ITC Avant Garde" w:hAnsi="ITC Avant Garde" w:cs="Arial"/>
        </w:rPr>
        <w:t xml:space="preserve">Una vez concluidas las pruebas y el correcto acceso al SEG a través de la VPN, el CS y </w:t>
      </w:r>
      <w:r w:rsidR="00E83F21">
        <w:rPr>
          <w:rFonts w:ascii="ITC Avant Garde" w:hAnsi="ITC Avant Garde" w:cs="Arial"/>
        </w:rPr>
        <w:t>Telmex / Telnor</w:t>
      </w:r>
      <w:r w:rsidRPr="00FF4EC6">
        <w:rPr>
          <w:rFonts w:ascii="ITC Avant Garde" w:hAnsi="ITC Avant Garde" w:cs="Arial"/>
        </w:rPr>
        <w:t xml:space="preserve"> firmaran el documento de aceptación y conformidad.</w:t>
      </w:r>
    </w:p>
    <w:p w:rsidR="00CD2659" w:rsidRDefault="00CD2659" w:rsidP="00FF4EC6">
      <w:pPr>
        <w:pStyle w:val="IFTnormal"/>
        <w:rPr>
          <w:rFonts w:ascii="Century Gothic" w:eastAsia="Times New Roman" w:hAnsi="Century Gothic"/>
          <w:szCs w:val="24"/>
          <w:lang w:eastAsia="es-ES"/>
        </w:rPr>
      </w:pPr>
    </w:p>
    <w:p w:rsidR="007544B2" w:rsidRDefault="007544B2" w:rsidP="007544B2">
      <w:pPr>
        <w:spacing w:after="200" w:line="276" w:lineRule="auto"/>
        <w:jc w:val="both"/>
        <w:rPr>
          <w:rFonts w:ascii="ITC Avant Garde" w:hAnsi="ITC Avant Garde" w:cs="Calibri"/>
          <w:bCs/>
        </w:rPr>
      </w:pPr>
      <w:r w:rsidRPr="00AC29B9">
        <w:rPr>
          <w:rFonts w:ascii="ITC Avant Garde" w:hAnsi="ITC Avant Garde" w:cs="Calibri"/>
          <w:bCs/>
        </w:rPr>
        <w:t>A continuación, se muestra el formato para solicitud de usuario ABC correspondiente, para solicitar usuario y contraseña para consultar informac</w:t>
      </w:r>
      <w:r>
        <w:rPr>
          <w:rFonts w:ascii="ITC Avant Garde" w:hAnsi="ITC Avant Garde" w:cs="Calibri"/>
          <w:bCs/>
        </w:rPr>
        <w:t xml:space="preserve">ión en la página o sitio de </w:t>
      </w:r>
      <w:r w:rsidR="00E83F21">
        <w:rPr>
          <w:rFonts w:ascii="ITC Avant Garde" w:hAnsi="ITC Avant Garde" w:cs="Calibri"/>
          <w:bCs/>
        </w:rPr>
        <w:t>Telmex / Telnor</w:t>
      </w:r>
      <w:r>
        <w:rPr>
          <w:rFonts w:ascii="ITC Avant Garde" w:hAnsi="ITC Avant Garde" w:cs="Calibri"/>
          <w:bCs/>
        </w:rPr>
        <w:t xml:space="preserve"> y acceso al SEG</w:t>
      </w:r>
      <w:r w:rsidRPr="00AC29B9">
        <w:rPr>
          <w:rFonts w:ascii="ITC Avant Garde" w:hAnsi="ITC Avant Garde" w:cs="Calibri"/>
          <w:bCs/>
        </w:rPr>
        <w:t>.</w:t>
      </w:r>
    </w:p>
    <w:p w:rsidR="007544B2" w:rsidRPr="00375B94" w:rsidRDefault="00DC7E4F" w:rsidP="00375B94">
      <w:pPr>
        <w:spacing w:after="200" w:line="276" w:lineRule="auto"/>
        <w:jc w:val="both"/>
        <w:rPr>
          <w:rFonts w:ascii="ITC Avant Garde" w:hAnsi="ITC Avant Garde" w:cs="Calibri"/>
          <w:bCs/>
        </w:rPr>
      </w:pPr>
      <w:r>
        <w:rPr>
          <w:rFonts w:ascii="ITC Avant Garde" w:hAnsi="ITC Avant Garde" w:cs="Calibri"/>
          <w:bCs/>
          <w:noProof/>
          <w:lang w:eastAsia="es-MX"/>
        </w:rPr>
        <w:lastRenderedPageBreak/>
        <w:drawing>
          <wp:inline distT="0" distB="0" distL="0" distR="0">
            <wp:extent cx="5383530" cy="678561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83530" cy="6785610"/>
                    </a:xfrm>
                    <a:prstGeom prst="rect">
                      <a:avLst/>
                    </a:prstGeom>
                    <a:noFill/>
                  </pic:spPr>
                </pic:pic>
              </a:graphicData>
            </a:graphic>
          </wp:inline>
        </w:drawing>
      </w:r>
    </w:p>
    <w:p w:rsidR="00EB44AF" w:rsidRDefault="00EB44AF" w:rsidP="00375B94">
      <w:pPr>
        <w:pStyle w:val="IFTnormal"/>
      </w:pPr>
      <w:bookmarkStart w:id="280" w:name="_Toc26902176"/>
      <w:bookmarkStart w:id="281" w:name="_Toc26903880"/>
      <w:bookmarkStart w:id="282" w:name="_Toc26981320"/>
      <w:bookmarkStart w:id="283" w:name="_Toc43827733"/>
      <w:bookmarkStart w:id="284" w:name="_Toc44311990"/>
      <w:bookmarkStart w:id="285" w:name="_Toc44412611"/>
      <w:bookmarkStart w:id="286" w:name="_Toc44413207"/>
      <w:bookmarkStart w:id="287" w:name="_Toc44413686"/>
      <w:bookmarkStart w:id="288" w:name="_Toc53499166"/>
      <w:bookmarkStart w:id="289" w:name="_Toc53500435"/>
      <w:bookmarkStart w:id="290" w:name="_Toc54106562"/>
      <w:bookmarkStart w:id="291" w:name="_Toc436840874"/>
      <w:bookmarkStart w:id="292" w:name="_Toc436846311"/>
      <w:bookmarkStart w:id="293" w:name="_Toc436848261"/>
      <w:bookmarkStart w:id="294" w:name="_Toc436856509"/>
      <w:bookmarkStart w:id="295" w:name="_Toc436862655"/>
      <w:bookmarkStart w:id="296" w:name="_Toc436866305"/>
      <w:bookmarkStart w:id="297" w:name="_Toc436870884"/>
      <w:bookmarkStart w:id="298" w:name="_Toc436875876"/>
      <w:bookmarkStart w:id="299" w:name="_Toc467248689"/>
      <w:bookmarkStart w:id="300" w:name="_Toc525904553"/>
      <w:bookmarkStart w:id="301" w:name="_Toc525913949"/>
      <w:bookmarkStart w:id="302" w:name="_Toc525919188"/>
      <w:bookmarkStart w:id="303" w:name="_Toc525919312"/>
      <w:bookmarkStart w:id="304" w:name="_Toc26273061"/>
      <w:bookmarkStart w:id="305" w:name="_Toc26284459"/>
      <w:bookmarkEnd w:id="280"/>
      <w:bookmarkEnd w:id="281"/>
      <w:bookmarkEnd w:id="282"/>
      <w:bookmarkEnd w:id="283"/>
      <w:bookmarkEnd w:id="284"/>
      <w:bookmarkEnd w:id="285"/>
      <w:bookmarkEnd w:id="286"/>
      <w:bookmarkEnd w:id="287"/>
      <w:bookmarkEnd w:id="288"/>
      <w:bookmarkEnd w:id="289"/>
      <w:bookmarkEnd w:id="290"/>
    </w:p>
    <w:p w:rsidR="0039160E" w:rsidRDefault="0039160E" w:rsidP="00375B94">
      <w:pPr>
        <w:pStyle w:val="IFTnormal"/>
      </w:pPr>
    </w:p>
    <w:p w:rsidR="0039160E" w:rsidRDefault="0039160E" w:rsidP="00375B94">
      <w:pPr>
        <w:pStyle w:val="IFTnormal"/>
      </w:pPr>
    </w:p>
    <w:p w:rsidR="00375B94" w:rsidRPr="0039160E" w:rsidRDefault="00D824E6" w:rsidP="00375B94">
      <w:pPr>
        <w:pStyle w:val="IFTnormal"/>
        <w:rPr>
          <w:b/>
        </w:rPr>
      </w:pPr>
      <w:r w:rsidRPr="0039160E">
        <w:rPr>
          <w:b/>
        </w:rPr>
        <w:lastRenderedPageBreak/>
        <w:t>FORMATO DE ACEPTACIÓN DE VPN</w:t>
      </w:r>
    </w:p>
    <w:p w:rsidR="006338F9" w:rsidRDefault="006338F9" w:rsidP="0039160E">
      <w:pPr>
        <w:pStyle w:val="IFTnormal"/>
        <w:jc w:val="center"/>
      </w:pPr>
      <w:r w:rsidRPr="006338F9">
        <w:drawing>
          <wp:inline distT="0" distB="0" distL="0" distR="0">
            <wp:extent cx="5417680" cy="7335672"/>
            <wp:effectExtent l="1905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420374" cy="7339320"/>
                    </a:xfrm>
                    <a:prstGeom prst="rect">
                      <a:avLst/>
                    </a:prstGeom>
                    <a:noFill/>
                    <a:ln w="9525">
                      <a:noFill/>
                      <a:miter lim="800000"/>
                      <a:headEnd/>
                      <a:tailEnd/>
                    </a:ln>
                  </pic:spPr>
                </pic:pic>
              </a:graphicData>
            </a:graphic>
          </wp:inline>
        </w:drawing>
      </w:r>
    </w:p>
    <w:p w:rsidR="00A47F9A" w:rsidRPr="00BA1D95" w:rsidRDefault="00A47F9A" w:rsidP="00FF4EC6">
      <w:pPr>
        <w:pStyle w:val="1TitPrin"/>
        <w:numPr>
          <w:ilvl w:val="1"/>
          <w:numId w:val="182"/>
        </w:numPr>
        <w:outlineLvl w:val="1"/>
      </w:pPr>
      <w:bookmarkStart w:id="306" w:name="_Toc2957122"/>
      <w:bookmarkStart w:id="307" w:name="_Toc54106563"/>
      <w:r w:rsidRPr="00BA1D95">
        <w:lastRenderedPageBreak/>
        <w:t>Descripción de las bases de datos, documentos e información a la que se tiene acceso</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p>
    <w:p w:rsidR="00BF457E" w:rsidRDefault="00094B5A" w:rsidP="004B11EB">
      <w:pPr>
        <w:spacing w:after="200" w:line="276" w:lineRule="auto"/>
        <w:jc w:val="both"/>
        <w:rPr>
          <w:rFonts w:ascii="ITC Avant Garde" w:hAnsi="ITC Avant Garde" w:cs="Arial"/>
          <w:b/>
        </w:rPr>
      </w:pPr>
      <w:r w:rsidRPr="00094B5A">
        <w:rPr>
          <w:rFonts w:ascii="ITC Avant Garde" w:hAnsi="ITC Avant Garde" w:cs="Arial"/>
        </w:rPr>
        <w:t>La información que se pone a disposición de los CS</w:t>
      </w:r>
      <w:r w:rsidR="007142C6">
        <w:rPr>
          <w:rFonts w:ascii="ITC Avant Garde" w:hAnsi="ITC Avant Garde" w:cs="Arial"/>
        </w:rPr>
        <w:t xml:space="preserve">, </w:t>
      </w:r>
      <w:r w:rsidR="0002026E" w:rsidRPr="0002026E">
        <w:rPr>
          <w:rFonts w:ascii="ITC Avant Garde" w:hAnsi="ITC Avant Garde" w:cs="Arial"/>
        </w:rPr>
        <w:t xml:space="preserve">a través de una interfaz en el sitio de Internet en el que </w:t>
      </w:r>
      <w:r w:rsidR="00E83F21">
        <w:rPr>
          <w:rFonts w:ascii="ITC Avant Garde" w:hAnsi="ITC Avant Garde" w:cs="Arial"/>
        </w:rPr>
        <w:t>Telmex / Telnor</w:t>
      </w:r>
      <w:r w:rsidR="0002026E" w:rsidRPr="0002026E">
        <w:rPr>
          <w:rFonts w:ascii="ITC Avant Garde" w:hAnsi="ITC Avant Garde" w:cs="Arial"/>
        </w:rPr>
        <w:t xml:space="preserve"> publique su OREDA, se define a continuación. Existe información que por su naturaleza se actualiza constantemente, por lo qu</w:t>
      </w:r>
      <w:r w:rsidR="003F4A45">
        <w:rPr>
          <w:rFonts w:ascii="ITC Avant Garde" w:hAnsi="ITC Avant Garde" w:cs="Arial"/>
        </w:rPr>
        <w:t>e</w:t>
      </w:r>
      <w:r w:rsidR="0002026E" w:rsidRPr="0002026E">
        <w:rPr>
          <w:rFonts w:ascii="ITC Avant Garde" w:hAnsi="ITC Avant Garde" w:cs="Arial"/>
        </w:rPr>
        <w:t xml:space="preserve"> para esta información como para aquellos casos donde no se cuente con la misma, se realizará una carga </w:t>
      </w:r>
      <w:r w:rsidR="0072418C">
        <w:rPr>
          <w:rFonts w:ascii="ITC Avant Garde" w:hAnsi="ITC Avant Garde" w:cs="Arial"/>
        </w:rPr>
        <w:t>inicial que se irá actualizando</w:t>
      </w:r>
      <w:r w:rsidR="00617B97" w:rsidRPr="00617B97">
        <w:rPr>
          <w:rFonts w:ascii="ITC Avant Garde" w:hAnsi="ITC Avant Garde" w:cs="Arial"/>
        </w:rPr>
        <w:t xml:space="preserve">. </w:t>
      </w:r>
      <w:r w:rsidRPr="00094B5A">
        <w:rPr>
          <w:rFonts w:ascii="ITC Avant Garde" w:hAnsi="ITC Avant Garde" w:cs="Arial"/>
        </w:rPr>
        <w:t xml:space="preserve">Las bases de datos están relacionadas entre sí, a través de los siguientes campos llave: Nombre de la Central Telefónica o </w:t>
      </w:r>
      <w:r w:rsidRPr="00094B5A">
        <w:rPr>
          <w:rFonts w:ascii="ITC Avant Garde" w:hAnsi="ITC Avant Garde" w:cs="Arial"/>
          <w:lang w:val="es-ES"/>
        </w:rPr>
        <w:t>Instalación Equivalente</w:t>
      </w:r>
      <w:r w:rsidRPr="00094B5A">
        <w:rPr>
          <w:rFonts w:ascii="ITC Avant Garde" w:hAnsi="ITC Avant Garde" w:cs="Arial"/>
        </w:rPr>
        <w:t xml:space="preserve">; Siglas de la Central Telefónica o </w:t>
      </w:r>
      <w:r w:rsidRPr="00094B5A">
        <w:rPr>
          <w:rFonts w:ascii="ITC Avant Garde" w:hAnsi="ITC Avant Garde" w:cs="Arial"/>
          <w:lang w:val="es-ES"/>
        </w:rPr>
        <w:t>Instalación Equivalente</w:t>
      </w:r>
      <w:r w:rsidRPr="00094B5A">
        <w:rPr>
          <w:rFonts w:ascii="ITC Avant Garde" w:hAnsi="ITC Avant Garde" w:cs="Arial"/>
        </w:rPr>
        <w:t xml:space="preserve">; y Código identificador de la Central Telefónica (CLLI) o </w:t>
      </w:r>
      <w:r w:rsidRPr="00094B5A">
        <w:rPr>
          <w:rFonts w:ascii="ITC Avant Garde" w:hAnsi="ITC Avant Garde" w:cs="Arial"/>
          <w:lang w:val="es-ES"/>
        </w:rPr>
        <w:t>Instalación Equivalente.</w:t>
      </w:r>
    </w:p>
    <w:p w:rsidR="00291516" w:rsidRPr="000570F5" w:rsidRDefault="00291516" w:rsidP="004B11EB">
      <w:pPr>
        <w:spacing w:after="200" w:line="276" w:lineRule="auto"/>
        <w:jc w:val="both"/>
        <w:rPr>
          <w:rFonts w:ascii="ITC Avant Garde" w:hAnsi="ITC Avant Garde" w:cs="Arial"/>
          <w:b/>
        </w:rPr>
      </w:pPr>
      <w:r w:rsidRPr="0059526B">
        <w:rPr>
          <w:rFonts w:ascii="ITC Avant Garde" w:hAnsi="ITC Avant Garde" w:cs="Arial"/>
          <w:b/>
        </w:rPr>
        <w:t>Información tipo “a”:</w:t>
      </w:r>
    </w:p>
    <w:p w:rsidR="00A47F9A" w:rsidRPr="00BA1D95" w:rsidRDefault="00A47F9A" w:rsidP="004B11EB">
      <w:pPr>
        <w:spacing w:after="200" w:line="276" w:lineRule="auto"/>
        <w:jc w:val="both"/>
        <w:rPr>
          <w:rFonts w:ascii="ITC Avant Garde" w:hAnsi="ITC Avant Garde" w:cs="Arial"/>
          <w:u w:val="single"/>
        </w:rPr>
      </w:pPr>
      <w:r w:rsidRPr="00BA1D95">
        <w:rPr>
          <w:rFonts w:ascii="ITC Avant Garde" w:hAnsi="ITC Avant Garde" w:cs="Arial"/>
        </w:rPr>
        <w:t xml:space="preserve">La información de estas bases de datos </w:t>
      </w:r>
      <w:r w:rsidR="00222857" w:rsidRPr="00BA1D95">
        <w:rPr>
          <w:rFonts w:ascii="ITC Avant Garde" w:hAnsi="ITC Avant Garde" w:cs="Arial"/>
        </w:rPr>
        <w:t>debe</w:t>
      </w:r>
      <w:r w:rsidRPr="00BA1D95">
        <w:rPr>
          <w:rFonts w:ascii="ITC Avant Garde" w:hAnsi="ITC Avant Garde" w:cs="Arial"/>
        </w:rPr>
        <w:t xml:space="preserve"> estar disponible para los CS en formato .</w:t>
      </w:r>
      <w:proofErr w:type="spellStart"/>
      <w:r w:rsidRPr="00BA1D95">
        <w:rPr>
          <w:rFonts w:ascii="ITC Avant Garde" w:hAnsi="ITC Avant Garde" w:cs="Arial"/>
        </w:rPr>
        <w:t>cvs</w:t>
      </w:r>
      <w:proofErr w:type="spellEnd"/>
      <w:r w:rsidRPr="00BA1D95">
        <w:rPr>
          <w:rFonts w:ascii="ITC Avant Garde" w:hAnsi="ITC Avant Garde" w:cs="Arial"/>
        </w:rPr>
        <w:t xml:space="preserve"> o .</w:t>
      </w:r>
      <w:proofErr w:type="spellStart"/>
      <w:r w:rsidRPr="00BA1D95">
        <w:rPr>
          <w:rFonts w:ascii="ITC Avant Garde" w:hAnsi="ITC Avant Garde" w:cs="Arial"/>
        </w:rPr>
        <w:t>xlsx</w:t>
      </w:r>
      <w:proofErr w:type="spellEnd"/>
      <w:r w:rsidRPr="00BA1D95">
        <w:rPr>
          <w:rFonts w:ascii="ITC Avant Garde" w:hAnsi="ITC Avant Garde" w:cs="Arial"/>
        </w:rPr>
        <w:t>, la fecha de actualización de estas bases se verá reflejada en la página principal de la base consultada en la interfaz.</w:t>
      </w:r>
    </w:p>
    <w:p w:rsidR="00A47F9A" w:rsidRPr="00DE51E5" w:rsidRDefault="00A47F9A" w:rsidP="004B11EB">
      <w:pPr>
        <w:spacing w:after="200" w:line="276" w:lineRule="auto"/>
        <w:jc w:val="both"/>
        <w:rPr>
          <w:rFonts w:ascii="ITC Avant Garde" w:hAnsi="ITC Avant Garde" w:cs="Arial"/>
          <w:u w:val="single"/>
        </w:rPr>
      </w:pPr>
      <w:r w:rsidRPr="00DE51E5">
        <w:rPr>
          <w:rFonts w:ascii="ITC Avant Garde" w:hAnsi="ITC Avant Garde" w:cs="Arial"/>
          <w:u w:val="single"/>
        </w:rPr>
        <w:t>BASE 1: Central Telefónica</w:t>
      </w:r>
      <w:r w:rsidR="00F4272B" w:rsidRPr="00DE51E5">
        <w:rPr>
          <w:rFonts w:ascii="ITC Avant Garde" w:hAnsi="ITC Avant Garde" w:cs="Arial"/>
          <w:u w:val="single"/>
        </w:rPr>
        <w:t xml:space="preserve"> o </w:t>
      </w:r>
      <w:r w:rsidR="00F4272B" w:rsidRPr="00FF4EC6">
        <w:rPr>
          <w:rFonts w:ascii="ITC Avant Garde" w:hAnsi="ITC Avant Garde" w:cs="Arial"/>
          <w:u w:val="single"/>
          <w:lang w:val="es-ES"/>
        </w:rPr>
        <w:t>Instalación Equivalente</w:t>
      </w:r>
      <w:r w:rsidRPr="00DE51E5">
        <w:rPr>
          <w:rFonts w:ascii="ITC Avant Garde" w:hAnsi="ITC Avant Garde" w:cs="Arial"/>
          <w:u w:val="single"/>
        </w:rPr>
        <w:t xml:space="preserve"> </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Nombre de la Central Telefónica</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Siglas de la Central Telefónica</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Código identificador de la Central Telefónica (CLLI)</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Tipo de tecnología en la Central Telefónica</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F30FF1" w:rsidRDefault="00A47F9A" w:rsidP="008F5D32">
      <w:pPr>
        <w:numPr>
          <w:ilvl w:val="0"/>
          <w:numId w:val="33"/>
        </w:numPr>
        <w:spacing w:after="200" w:line="276" w:lineRule="auto"/>
        <w:jc w:val="both"/>
        <w:rPr>
          <w:rFonts w:ascii="ITC Avant Garde" w:hAnsi="ITC Avant Garde" w:cs="Arial"/>
        </w:rPr>
      </w:pPr>
      <w:r w:rsidRPr="00F30FF1">
        <w:rPr>
          <w:rFonts w:ascii="ITC Avant Garde" w:hAnsi="ITC Avant Garde" w:cs="Arial"/>
        </w:rPr>
        <w:t>Tipo de Central Telefónica</w:t>
      </w:r>
      <w:r w:rsidR="00776179" w:rsidRPr="00F30FF1">
        <w:rPr>
          <w:rFonts w:ascii="ITC Avant Garde" w:hAnsi="ITC Avant Garde" w:cs="Arial"/>
        </w:rPr>
        <w:t xml:space="preserve"> o </w:t>
      </w:r>
      <w:r w:rsidR="00776179" w:rsidRPr="00F30FF1">
        <w:rPr>
          <w:rFonts w:ascii="ITC Avant Garde" w:hAnsi="ITC Avant Garde" w:cs="Arial"/>
          <w:lang w:val="es-ES"/>
        </w:rPr>
        <w:t>Instalación Equivalente</w:t>
      </w:r>
      <w:r w:rsidRPr="00F30FF1">
        <w:rPr>
          <w:rFonts w:ascii="ITC Avant Garde" w:hAnsi="ITC Avant Garde" w:cs="Arial"/>
        </w:rPr>
        <w:t>.</w:t>
      </w:r>
    </w:p>
    <w:p w:rsidR="00A47F9A" w:rsidRPr="00F30FF1" w:rsidRDefault="00A47F9A" w:rsidP="008F5D32">
      <w:pPr>
        <w:pStyle w:val="CondicionesFinales"/>
        <w:numPr>
          <w:ilvl w:val="0"/>
          <w:numId w:val="33"/>
        </w:numPr>
        <w:rPr>
          <w:color w:val="auto"/>
        </w:rPr>
      </w:pPr>
      <w:r w:rsidRPr="00F30FF1">
        <w:rPr>
          <w:color w:val="auto"/>
        </w:rPr>
        <w:t>Categorización por zona económica en la que se encuentran ubicadas las Centrales Telefónica (Tipo de zona de la Central Telefónica</w:t>
      </w:r>
      <w:r w:rsidR="00F4272B" w:rsidRPr="00F30FF1">
        <w:rPr>
          <w:color w:val="auto"/>
        </w:rPr>
        <w:t xml:space="preserve"> o </w:t>
      </w:r>
      <w:r w:rsidR="00F4272B" w:rsidRPr="00F30FF1">
        <w:rPr>
          <w:lang w:val="es-ES"/>
        </w:rPr>
        <w:t>Instalación Equivalente</w:t>
      </w:r>
      <w:r w:rsidRPr="00F30FF1">
        <w:rPr>
          <w:color w:val="auto"/>
        </w:rPr>
        <w:t>: alta, media o baja).</w:t>
      </w:r>
    </w:p>
    <w:p w:rsidR="00A47F9A" w:rsidRPr="00F30FF1" w:rsidRDefault="00A47F9A" w:rsidP="008F5D32">
      <w:pPr>
        <w:numPr>
          <w:ilvl w:val="0"/>
          <w:numId w:val="33"/>
        </w:numPr>
        <w:spacing w:after="200" w:line="276" w:lineRule="auto"/>
        <w:jc w:val="both"/>
        <w:rPr>
          <w:rFonts w:ascii="ITC Avant Garde" w:hAnsi="ITC Avant Garde" w:cs="Arial"/>
        </w:rPr>
      </w:pPr>
      <w:r w:rsidRPr="00F30FF1">
        <w:rPr>
          <w:rFonts w:ascii="ITC Avant Garde" w:hAnsi="ITC Avant Garde" w:cs="Arial"/>
        </w:rPr>
        <w:t>Localización exacta: coordenadas geográficas (latitud y longitud) y dirección completa (Población, Municipio, Estado, calle, no. exterior, referencia (entre que calles).</w:t>
      </w:r>
    </w:p>
    <w:p w:rsidR="00DD36C4" w:rsidRPr="00DE51E5" w:rsidRDefault="00A47F9A" w:rsidP="00FF4EC6">
      <w:pPr>
        <w:numPr>
          <w:ilvl w:val="0"/>
          <w:numId w:val="33"/>
        </w:numPr>
        <w:spacing w:after="200" w:line="276" w:lineRule="auto"/>
        <w:jc w:val="both"/>
        <w:rPr>
          <w:rFonts w:ascii="ITC Avant Garde" w:hAnsi="ITC Avant Garde" w:cs="Arial"/>
        </w:rPr>
      </w:pPr>
      <w:r w:rsidRPr="00F30FF1">
        <w:rPr>
          <w:rFonts w:ascii="ITC Avant Garde" w:hAnsi="ITC Avant Garde" w:cs="Arial"/>
        </w:rPr>
        <w:t>Central cuenta con rangos de numeración (Sí, No).</w:t>
      </w:r>
    </w:p>
    <w:p w:rsidR="00A47F9A" w:rsidRPr="00BA1D95" w:rsidRDefault="00A47F9A" w:rsidP="004B11EB">
      <w:pPr>
        <w:spacing w:after="200" w:line="276" w:lineRule="auto"/>
        <w:jc w:val="both"/>
        <w:rPr>
          <w:rFonts w:ascii="ITC Avant Garde" w:hAnsi="ITC Avant Garde" w:cs="Arial"/>
          <w:u w:val="single"/>
        </w:rPr>
      </w:pPr>
      <w:r w:rsidRPr="00BA1D95">
        <w:rPr>
          <w:rFonts w:ascii="ITC Avant Garde" w:hAnsi="ITC Avant Garde" w:cs="Arial"/>
          <w:u w:val="single"/>
        </w:rPr>
        <w:t xml:space="preserve">BASE 1.1: Central </w:t>
      </w:r>
      <w:r w:rsidR="00D955B8" w:rsidRPr="00BA1D95">
        <w:rPr>
          <w:rFonts w:ascii="ITC Avant Garde" w:hAnsi="ITC Avant Garde" w:cs="Arial"/>
          <w:u w:val="single"/>
        </w:rPr>
        <w:t>Telefónica /</w:t>
      </w:r>
      <w:r w:rsidRPr="00BA1D95">
        <w:rPr>
          <w:rFonts w:ascii="ITC Avant Garde" w:hAnsi="ITC Avant Garde" w:cs="Arial"/>
          <w:u w:val="single"/>
        </w:rPr>
        <w:t>Rangos de Numeración</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 xml:space="preserve">Nombre de la Central </w:t>
      </w:r>
      <w:r w:rsidR="00D955B8" w:rsidRPr="00BA1D95">
        <w:rPr>
          <w:rFonts w:ascii="ITC Avant Garde" w:hAnsi="ITC Avant Garde" w:cs="Arial"/>
        </w:rPr>
        <w:t>Telefónica</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00D955B8" w:rsidRPr="00BA1D95">
        <w:rPr>
          <w:rFonts w:ascii="ITC Avant Garde" w:hAnsi="ITC Avant Garde" w:cs="Arial"/>
        </w:rPr>
        <w:t>.</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Siglas de la Central Telefónica</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Código identificador de la Central Telefónica (CLLI)</w:t>
      </w:r>
      <w:r w:rsidR="00776179" w:rsidRPr="00BA1D95">
        <w:rPr>
          <w:rFonts w:ascii="ITC Avant Garde" w:hAnsi="ITC Avant Garde" w:cs="Arial"/>
        </w:rPr>
        <w:t xml:space="preserve"> o </w:t>
      </w:r>
      <w:r w:rsidR="00776179" w:rsidRPr="00BA1D95">
        <w:rPr>
          <w:rFonts w:ascii="ITC Avant Garde" w:hAnsi="ITC Avant Garde" w:cs="Arial"/>
          <w:lang w:val="es-ES"/>
        </w:rPr>
        <w:t>Instalación Equivalente</w:t>
      </w:r>
      <w:r w:rsidRPr="00BA1D95">
        <w:rPr>
          <w:rFonts w:ascii="ITC Avant Garde" w:hAnsi="ITC Avant Garde" w:cs="Arial"/>
        </w:rPr>
        <w:t>.</w:t>
      </w:r>
    </w:p>
    <w:p w:rsidR="00A47F9A" w:rsidRPr="00482ABC" w:rsidRDefault="00A47F9A" w:rsidP="008F5D32">
      <w:pPr>
        <w:numPr>
          <w:ilvl w:val="0"/>
          <w:numId w:val="33"/>
        </w:numPr>
        <w:spacing w:after="200" w:line="276" w:lineRule="auto"/>
        <w:jc w:val="both"/>
        <w:rPr>
          <w:rFonts w:ascii="ITC Avant Garde" w:hAnsi="ITC Avant Garde" w:cs="Arial"/>
        </w:rPr>
      </w:pPr>
      <w:r w:rsidRPr="00482ABC">
        <w:rPr>
          <w:rFonts w:ascii="ITC Avant Garde" w:hAnsi="ITC Avant Garde" w:cs="Arial"/>
        </w:rPr>
        <w:lastRenderedPageBreak/>
        <w:t>Clave de larga distancia</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Serie</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 xml:space="preserve">Inicial </w:t>
      </w:r>
    </w:p>
    <w:p w:rsidR="00A47F9A" w:rsidRPr="00BA1D95" w:rsidRDefault="00A47F9A" w:rsidP="008F5D32">
      <w:pPr>
        <w:numPr>
          <w:ilvl w:val="0"/>
          <w:numId w:val="33"/>
        </w:numPr>
        <w:spacing w:after="200" w:line="276" w:lineRule="auto"/>
        <w:jc w:val="both"/>
        <w:rPr>
          <w:rFonts w:ascii="ITC Avant Garde" w:hAnsi="ITC Avant Garde" w:cs="Arial"/>
        </w:rPr>
      </w:pPr>
      <w:r w:rsidRPr="00BA1D95">
        <w:rPr>
          <w:rFonts w:ascii="ITC Avant Garde" w:hAnsi="ITC Avant Garde" w:cs="Arial"/>
        </w:rPr>
        <w:t>Final</w:t>
      </w:r>
    </w:p>
    <w:p w:rsidR="00291516" w:rsidRPr="002C3544" w:rsidRDefault="001A503D" w:rsidP="00291516">
      <w:pPr>
        <w:spacing w:after="200" w:line="276" w:lineRule="auto"/>
        <w:jc w:val="both"/>
        <w:rPr>
          <w:rFonts w:ascii="ITC Avant Garde" w:hAnsi="ITC Avant Garde" w:cs="Arial"/>
          <w:b/>
          <w:bCs/>
          <w:u w:val="single"/>
        </w:rPr>
      </w:pPr>
      <w:r w:rsidRPr="001A503D">
        <w:rPr>
          <w:rFonts w:ascii="ITC Avant Garde" w:hAnsi="ITC Avant Garde" w:cs="Arial"/>
          <w:b/>
          <w:bCs/>
          <w:u w:val="single"/>
        </w:rPr>
        <w:t>BASE 2: Cajas de Distribución (CD)</w:t>
      </w:r>
    </w:p>
    <w:p w:rsidR="00291516" w:rsidRPr="002C3544" w:rsidRDefault="001A503D" w:rsidP="00D37C98">
      <w:pPr>
        <w:numPr>
          <w:ilvl w:val="0"/>
          <w:numId w:val="140"/>
        </w:numPr>
        <w:spacing w:after="200" w:line="276" w:lineRule="auto"/>
        <w:jc w:val="both"/>
        <w:rPr>
          <w:rFonts w:ascii="ITC Avant Garde" w:hAnsi="ITC Avant Garde" w:cs="Arial"/>
          <w:b/>
          <w:bCs/>
        </w:rPr>
      </w:pPr>
      <w:r w:rsidRPr="001A503D">
        <w:rPr>
          <w:rFonts w:ascii="ITC Avant Garde" w:hAnsi="ITC Avant Garde" w:cs="Arial"/>
          <w:b/>
          <w:bCs/>
        </w:rPr>
        <w:t xml:space="preserve">Nombre de la Central Telefónica </w:t>
      </w:r>
      <w:r w:rsidRPr="001A503D">
        <w:rPr>
          <w:rFonts w:ascii="ITC Avant Garde" w:hAnsi="ITC Avant Garde" w:cs="Arial"/>
          <w:b/>
          <w:bCs/>
          <w:lang w:val="es-ES"/>
        </w:rPr>
        <w:t>o Instalación Equivalente</w:t>
      </w:r>
      <w:r w:rsidRPr="001A503D">
        <w:rPr>
          <w:rFonts w:ascii="ITC Avant Garde" w:hAnsi="ITC Avant Garde" w:cs="Arial"/>
          <w:b/>
          <w:bCs/>
        </w:rPr>
        <w:t>.</w:t>
      </w:r>
    </w:p>
    <w:p w:rsidR="00291516" w:rsidRPr="002C3544" w:rsidRDefault="001A503D" w:rsidP="00D37C98">
      <w:pPr>
        <w:numPr>
          <w:ilvl w:val="0"/>
          <w:numId w:val="140"/>
        </w:numPr>
        <w:spacing w:after="200" w:line="276" w:lineRule="auto"/>
        <w:jc w:val="both"/>
        <w:rPr>
          <w:rFonts w:ascii="ITC Avant Garde" w:hAnsi="ITC Avant Garde" w:cs="Arial"/>
          <w:b/>
          <w:bCs/>
        </w:rPr>
      </w:pPr>
      <w:r w:rsidRPr="001A503D">
        <w:rPr>
          <w:rFonts w:ascii="ITC Avant Garde" w:hAnsi="ITC Avant Garde" w:cs="Arial"/>
          <w:b/>
          <w:bCs/>
        </w:rPr>
        <w:t>Siglas de la Central Telefónica</w:t>
      </w:r>
      <w:r w:rsidRPr="001A503D">
        <w:rPr>
          <w:rFonts w:ascii="ITC Avant Garde" w:hAnsi="ITC Avant Garde" w:cs="Arial"/>
          <w:b/>
          <w:bCs/>
          <w:lang w:val="es-ES"/>
        </w:rPr>
        <w:t xml:space="preserve"> o Instalación Equivalente</w:t>
      </w:r>
      <w:r w:rsidRPr="001A503D">
        <w:rPr>
          <w:rFonts w:ascii="ITC Avant Garde" w:hAnsi="ITC Avant Garde" w:cs="Arial"/>
          <w:b/>
          <w:bCs/>
        </w:rPr>
        <w:t>.</w:t>
      </w:r>
    </w:p>
    <w:p w:rsidR="00291516" w:rsidRPr="002C3544" w:rsidRDefault="001A503D" w:rsidP="00D37C98">
      <w:pPr>
        <w:numPr>
          <w:ilvl w:val="0"/>
          <w:numId w:val="140"/>
        </w:numPr>
        <w:spacing w:after="200" w:line="276" w:lineRule="auto"/>
        <w:jc w:val="both"/>
        <w:rPr>
          <w:rFonts w:ascii="ITC Avant Garde" w:hAnsi="ITC Avant Garde"/>
          <w:b/>
          <w:bCs/>
        </w:rPr>
      </w:pPr>
      <w:r w:rsidRPr="001A503D">
        <w:rPr>
          <w:rFonts w:ascii="ITC Avant Garde" w:hAnsi="ITC Avant Garde"/>
          <w:b/>
          <w:bCs/>
        </w:rPr>
        <w:t>Código identificador de la Central Telefónica o Instalación Equivalente (CLLI).</w:t>
      </w:r>
    </w:p>
    <w:p w:rsidR="00291516" w:rsidRPr="002C3544" w:rsidRDefault="001A503D" w:rsidP="00D37C98">
      <w:pPr>
        <w:numPr>
          <w:ilvl w:val="0"/>
          <w:numId w:val="140"/>
        </w:numPr>
        <w:spacing w:after="200" w:line="276" w:lineRule="auto"/>
        <w:jc w:val="both"/>
        <w:rPr>
          <w:rFonts w:ascii="ITC Avant Garde" w:hAnsi="ITC Avant Garde" w:cs="Arial"/>
          <w:b/>
          <w:bCs/>
        </w:rPr>
      </w:pPr>
      <w:r w:rsidRPr="001A503D">
        <w:rPr>
          <w:rFonts w:ascii="ITC Avant Garde" w:hAnsi="ITC Avant Garde" w:cs="Arial"/>
          <w:b/>
          <w:bCs/>
        </w:rPr>
        <w:t>Código identificador de Caja de Distribución (Distrito).</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Cuenta con Anexo de Caja para Desagregación (Sí, No, En proceso).</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Código identificador de Anexo de Caja de Distribución.</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Ubicación de Cajas de Distribución (latitud, longitud, Estado, Municipio, Localidad, Colonia, Calle)</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Número de pares Instalados en cada CD.</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Número de pares No Disponibles en cada CD.</w:t>
      </w:r>
    </w:p>
    <w:p w:rsidR="00291516" w:rsidRPr="002C3544" w:rsidRDefault="001A503D" w:rsidP="000570F5">
      <w:pPr>
        <w:pStyle w:val="IFTnormal"/>
        <w:numPr>
          <w:ilvl w:val="0"/>
          <w:numId w:val="33"/>
        </w:numPr>
        <w:rPr>
          <w:rFonts w:cs="Arial"/>
          <w:b/>
        </w:rPr>
      </w:pPr>
      <w:r w:rsidRPr="001A503D">
        <w:rPr>
          <w:rFonts w:cs="Arial"/>
          <w:b/>
        </w:rPr>
        <w:t>Número de pares disponibles en cada unidad básica (esta información será proporcionada cuando la EM actualice la información de acuerdo con sus propias operaciones).</w:t>
      </w:r>
    </w:p>
    <w:p w:rsidR="00291516" w:rsidRPr="002C3544" w:rsidRDefault="001A503D" w:rsidP="000570F5">
      <w:pPr>
        <w:pStyle w:val="IFTnormal"/>
        <w:numPr>
          <w:ilvl w:val="0"/>
          <w:numId w:val="33"/>
        </w:numPr>
        <w:rPr>
          <w:rFonts w:cs="Arial"/>
          <w:b/>
        </w:rPr>
      </w:pPr>
      <w:r w:rsidRPr="001A503D">
        <w:rPr>
          <w:rFonts w:cs="Arial"/>
          <w:b/>
        </w:rPr>
        <w:t>Indicar si las Cajas de Distribución están asociadas a una TBA, mini DSLAM o equipo de acceso.</w:t>
      </w:r>
    </w:p>
    <w:p w:rsidR="00291516" w:rsidRPr="002C3544" w:rsidRDefault="001A503D" w:rsidP="000570F5">
      <w:pPr>
        <w:pStyle w:val="CondicionesFinales"/>
        <w:numPr>
          <w:ilvl w:val="0"/>
          <w:numId w:val="33"/>
        </w:numPr>
        <w:rPr>
          <w:b/>
          <w:color w:val="auto"/>
        </w:rPr>
      </w:pPr>
      <w:r w:rsidRPr="001A503D">
        <w:rPr>
          <w:b/>
          <w:color w:val="auto"/>
        </w:rPr>
        <w:t>Código identificador de TBA, mini DSLAM o equipo de acceso asociado a la Caja de Distribución.</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Archivo de representación vectorial de las vialidades asociadas y las calles atendidas por rango de numeración en un formato compatible con los sistemas de información geográfica. Colonias atendidas por cada Caja de Distribución.</w:t>
      </w:r>
    </w:p>
    <w:p w:rsidR="00291516" w:rsidRPr="002C3544" w:rsidRDefault="001A503D" w:rsidP="00291516">
      <w:pPr>
        <w:spacing w:after="200" w:line="276" w:lineRule="auto"/>
        <w:jc w:val="both"/>
        <w:rPr>
          <w:rFonts w:ascii="ITC Avant Garde" w:hAnsi="ITC Avant Garde" w:cs="Arial"/>
          <w:b/>
          <w:bCs/>
          <w:u w:val="single"/>
        </w:rPr>
      </w:pPr>
      <w:r w:rsidRPr="001A503D">
        <w:rPr>
          <w:rFonts w:ascii="ITC Avant Garde" w:hAnsi="ITC Avant Garde" w:cs="Arial"/>
          <w:b/>
          <w:bCs/>
          <w:u w:val="single"/>
        </w:rPr>
        <w:t>BASE 3: Área atendida por cobre</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Nombre de la Central Telefónica</w:t>
      </w:r>
      <w:r w:rsidRPr="001A503D">
        <w:rPr>
          <w:rFonts w:ascii="ITC Avant Garde" w:hAnsi="ITC Avant Garde" w:cs="Arial"/>
          <w:b/>
          <w:bCs/>
          <w:lang w:val="es-ES"/>
        </w:rPr>
        <w:t xml:space="preserve"> o Instalación Equivalente</w:t>
      </w:r>
      <w:r w:rsidRPr="001A503D">
        <w:rPr>
          <w:rFonts w:ascii="ITC Avant Garde" w:hAnsi="ITC Avant Garde" w:cs="Arial"/>
          <w:b/>
          <w:bCs/>
        </w:rPr>
        <w:t>.</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lastRenderedPageBreak/>
        <w:t>Siglas de la Central Telefónica</w:t>
      </w:r>
      <w:r w:rsidRPr="001A503D">
        <w:rPr>
          <w:rFonts w:ascii="ITC Avant Garde" w:hAnsi="ITC Avant Garde" w:cs="Arial"/>
          <w:b/>
          <w:bCs/>
          <w:lang w:val="es-ES"/>
        </w:rPr>
        <w:t xml:space="preserve"> o Instalación Equivalente</w:t>
      </w:r>
      <w:r w:rsidRPr="001A503D">
        <w:rPr>
          <w:rFonts w:ascii="ITC Avant Garde" w:hAnsi="ITC Avant Garde" w:cs="Arial"/>
          <w:b/>
          <w:bCs/>
        </w:rPr>
        <w:t>.</w:t>
      </w:r>
    </w:p>
    <w:p w:rsidR="00291516" w:rsidRPr="002C3544" w:rsidRDefault="001A503D" w:rsidP="000570F5">
      <w:pPr>
        <w:numPr>
          <w:ilvl w:val="0"/>
          <w:numId w:val="33"/>
        </w:numPr>
        <w:spacing w:after="200" w:line="276" w:lineRule="auto"/>
        <w:jc w:val="both"/>
        <w:rPr>
          <w:rFonts w:ascii="ITC Avant Garde" w:hAnsi="ITC Avant Garde"/>
          <w:b/>
          <w:bCs/>
        </w:rPr>
      </w:pPr>
      <w:r w:rsidRPr="001A503D">
        <w:rPr>
          <w:rFonts w:ascii="ITC Avant Garde" w:hAnsi="ITC Avant Garde"/>
          <w:b/>
          <w:bCs/>
        </w:rPr>
        <w:t>Código identificador de la Central Telefónica o Instalación Equivalente (CLLI).</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Polígono vectorial de la zona de cobertura en formato compatible con los sistemas de información geográfica.</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 xml:space="preserve">Archivo de representación vectorial de las vialidades asociadas en un formato compatible con los sistemas de información geográfica. </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 xml:space="preserve">Colonias atendidas por cada Central Telefónica </w:t>
      </w:r>
      <w:r w:rsidRPr="001A503D">
        <w:rPr>
          <w:rFonts w:ascii="ITC Avant Garde" w:hAnsi="ITC Avant Garde" w:cs="Arial"/>
          <w:b/>
          <w:bCs/>
          <w:lang w:val="es-ES"/>
        </w:rPr>
        <w:t>o Instalación Equivalente</w:t>
      </w:r>
      <w:r w:rsidRPr="001A503D">
        <w:rPr>
          <w:rFonts w:ascii="ITC Avant Garde" w:hAnsi="ITC Avant Garde" w:cs="Arial"/>
          <w:b/>
          <w:bCs/>
        </w:rPr>
        <w:t xml:space="preserve"> asociadas a despliegue de cobre.</w:t>
      </w:r>
    </w:p>
    <w:p w:rsidR="00291516" w:rsidRPr="002C3544" w:rsidRDefault="001A503D" w:rsidP="00291516">
      <w:pPr>
        <w:spacing w:after="200" w:line="276" w:lineRule="auto"/>
        <w:jc w:val="both"/>
        <w:rPr>
          <w:rFonts w:ascii="ITC Avant Garde" w:hAnsi="ITC Avant Garde" w:cs="Arial"/>
          <w:b/>
          <w:bCs/>
          <w:u w:val="single"/>
        </w:rPr>
      </w:pPr>
      <w:r w:rsidRPr="001A503D">
        <w:rPr>
          <w:rFonts w:ascii="ITC Avant Garde" w:hAnsi="ITC Avant Garde" w:cs="Arial"/>
          <w:b/>
          <w:bCs/>
          <w:u w:val="single"/>
        </w:rPr>
        <w:t>BASE 4: Área atendida por fibra óptica</w:t>
      </w:r>
    </w:p>
    <w:p w:rsidR="00291516" w:rsidRPr="002C3544" w:rsidRDefault="001A503D" w:rsidP="000570F5">
      <w:pPr>
        <w:numPr>
          <w:ilvl w:val="0"/>
          <w:numId w:val="33"/>
        </w:numPr>
        <w:spacing w:after="200" w:line="276" w:lineRule="auto"/>
        <w:jc w:val="both"/>
        <w:rPr>
          <w:rFonts w:ascii="ITC Avant Garde" w:hAnsi="ITC Avant Garde" w:cs="Arial"/>
          <w:b/>
          <w:bCs/>
        </w:rPr>
      </w:pPr>
      <w:r w:rsidRPr="001A503D">
        <w:rPr>
          <w:rFonts w:ascii="ITC Avant Garde" w:hAnsi="ITC Avant Garde" w:cs="Arial"/>
          <w:b/>
          <w:bCs/>
        </w:rPr>
        <w:t xml:space="preserve">Polígono vectorial de la zona de cobertura en formato compatible con los sistemas de información geográfica. </w:t>
      </w:r>
    </w:p>
    <w:p w:rsidR="00291516" w:rsidRPr="002C3544" w:rsidRDefault="001A503D" w:rsidP="000570F5">
      <w:pPr>
        <w:pStyle w:val="Prrafodelista"/>
        <w:numPr>
          <w:ilvl w:val="0"/>
          <w:numId w:val="33"/>
        </w:numPr>
        <w:spacing w:after="200" w:line="276" w:lineRule="auto"/>
        <w:jc w:val="both"/>
        <w:rPr>
          <w:rFonts w:ascii="ITC Avant Garde" w:hAnsi="ITC Avant Garde" w:cs="Arial"/>
          <w:b/>
          <w:bCs/>
          <w:sz w:val="22"/>
          <w:szCs w:val="22"/>
        </w:rPr>
      </w:pPr>
      <w:r w:rsidRPr="001A503D">
        <w:rPr>
          <w:rFonts w:ascii="ITC Avant Garde" w:hAnsi="ITC Avant Garde" w:cs="Arial"/>
          <w:b/>
          <w:bCs/>
          <w:sz w:val="22"/>
          <w:szCs w:val="22"/>
        </w:rPr>
        <w:t xml:space="preserve">Archivo de representación vectorial de las vialidades asociadas en formato compatible con los sistemas de información geográfica. </w:t>
      </w:r>
    </w:p>
    <w:p w:rsidR="00291516" w:rsidRPr="002C3544" w:rsidRDefault="001A503D" w:rsidP="00291516">
      <w:pPr>
        <w:spacing w:after="200" w:line="276" w:lineRule="auto"/>
        <w:jc w:val="both"/>
        <w:rPr>
          <w:rFonts w:ascii="ITC Avant Garde" w:hAnsi="ITC Avant Garde" w:cs="Arial"/>
          <w:b/>
          <w:bCs/>
        </w:rPr>
      </w:pPr>
      <w:r w:rsidRPr="001A503D">
        <w:rPr>
          <w:rFonts w:ascii="ITC Avant Garde" w:hAnsi="ITC Avant Garde" w:cs="Arial"/>
          <w:b/>
          <w:bCs/>
          <w:u w:val="single"/>
        </w:rPr>
        <w:t>BASE 5: Unidades básicas</w:t>
      </w:r>
      <w:r w:rsidRPr="001A503D">
        <w:rPr>
          <w:rFonts w:ascii="ITC Avant Garde" w:hAnsi="ITC Avant Garde" w:cs="Arial"/>
          <w:b/>
          <w:bCs/>
        </w:rPr>
        <w:t xml:space="preserve"> </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Nombre de la Central Telefónica</w:t>
      </w:r>
      <w:r w:rsidRPr="001A503D">
        <w:rPr>
          <w:rFonts w:ascii="ITC Avant Garde" w:hAnsi="ITC Avant Garde" w:cs="Arial"/>
          <w:b/>
          <w:bCs/>
          <w:lang w:val="es-ES"/>
        </w:rPr>
        <w:t xml:space="preserve"> o Instalación Equivalente</w:t>
      </w:r>
      <w:r w:rsidRPr="001A503D">
        <w:rPr>
          <w:rFonts w:ascii="ITC Avant Garde" w:hAnsi="ITC Avant Garde" w:cs="Arial"/>
          <w:b/>
          <w:bCs/>
        </w:rPr>
        <w:t>.</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Siglas de la Central Telefónica</w:t>
      </w:r>
      <w:r w:rsidRPr="001A503D">
        <w:rPr>
          <w:rFonts w:ascii="ITC Avant Garde" w:hAnsi="ITC Avant Garde" w:cs="Arial"/>
          <w:b/>
          <w:bCs/>
          <w:lang w:val="es-ES"/>
        </w:rPr>
        <w:t xml:space="preserve"> o Instalación Equivalente</w:t>
      </w:r>
      <w:r w:rsidRPr="001A503D">
        <w:rPr>
          <w:rFonts w:ascii="ITC Avant Garde" w:hAnsi="ITC Avant Garde" w:cs="Arial"/>
          <w:b/>
          <w:bCs/>
        </w:rPr>
        <w:t>.</w:t>
      </w:r>
    </w:p>
    <w:p w:rsidR="00291516" w:rsidRPr="002C3544" w:rsidRDefault="001A503D" w:rsidP="00D37C98">
      <w:pPr>
        <w:numPr>
          <w:ilvl w:val="0"/>
          <w:numId w:val="139"/>
        </w:numPr>
        <w:spacing w:after="200" w:line="276" w:lineRule="auto"/>
        <w:jc w:val="both"/>
        <w:rPr>
          <w:rFonts w:ascii="ITC Avant Garde" w:hAnsi="ITC Avant Garde"/>
          <w:b/>
          <w:bCs/>
        </w:rPr>
      </w:pPr>
      <w:r w:rsidRPr="001A503D">
        <w:rPr>
          <w:rFonts w:ascii="ITC Avant Garde" w:hAnsi="ITC Avant Garde"/>
          <w:b/>
          <w:bCs/>
        </w:rPr>
        <w:t>Código identificador de la Central Telefónica o Instalación Equivalente (CLLI).</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Código identificador de cada unidad básica.</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Tipo de unidad básica (10 pares/50 pares).</w:t>
      </w:r>
    </w:p>
    <w:p w:rsidR="00291516" w:rsidRPr="002C3544" w:rsidRDefault="001A503D" w:rsidP="00D37C98">
      <w:pPr>
        <w:pStyle w:val="CondicionesFinales"/>
        <w:numPr>
          <w:ilvl w:val="0"/>
          <w:numId w:val="139"/>
        </w:numPr>
        <w:rPr>
          <w:b/>
          <w:color w:val="auto"/>
        </w:rPr>
      </w:pPr>
      <w:r w:rsidRPr="001A503D">
        <w:rPr>
          <w:b/>
          <w:color w:val="auto"/>
        </w:rPr>
        <w:t>Tipo de equipo de acceso asociado a la unidad básica (relacionable con la lista de especificaciones).</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Tecnología de acceso (ADSL, ADSL2, ADSL2+, VDSL, VDSL2, entre otras) asociados a la unidad básica.</w:t>
      </w:r>
    </w:p>
    <w:p w:rsidR="00291516" w:rsidRPr="002C3544" w:rsidRDefault="001A503D" w:rsidP="00D37C98">
      <w:pPr>
        <w:numPr>
          <w:ilvl w:val="0"/>
          <w:numId w:val="139"/>
        </w:numPr>
        <w:spacing w:after="200" w:line="276" w:lineRule="auto"/>
        <w:jc w:val="both"/>
        <w:rPr>
          <w:rFonts w:ascii="ITC Avant Garde" w:hAnsi="ITC Avant Garde" w:cs="Arial"/>
          <w:b/>
          <w:bCs/>
        </w:rPr>
      </w:pPr>
      <w:r w:rsidRPr="001A503D">
        <w:rPr>
          <w:rFonts w:ascii="ITC Avant Garde" w:hAnsi="ITC Avant Garde" w:cs="Arial"/>
          <w:b/>
          <w:bCs/>
        </w:rPr>
        <w:t xml:space="preserve">Lista con las especificaciones de los tipos de equipos de acceso en la red de cobre (consultables en el SEG). </w:t>
      </w:r>
    </w:p>
    <w:p w:rsidR="00BC1187" w:rsidRPr="00BC1187" w:rsidRDefault="00BC1187" w:rsidP="00BC1187">
      <w:pPr>
        <w:spacing w:after="200" w:line="276" w:lineRule="auto"/>
        <w:ind w:left="360"/>
        <w:jc w:val="both"/>
        <w:rPr>
          <w:rFonts w:ascii="ITC Avant Garde" w:hAnsi="ITC Avant Garde"/>
          <w:bCs/>
          <w:i/>
          <w:iCs/>
        </w:rPr>
      </w:pPr>
      <w:r w:rsidRPr="00BC1187">
        <w:rPr>
          <w:rFonts w:ascii="ITC Avant Garde" w:hAnsi="ITC Avant Garde"/>
          <w:bCs/>
          <w:i/>
          <w:iCs/>
          <w:u w:val="single"/>
        </w:rPr>
        <w:lastRenderedPageBreak/>
        <w:t>Nota</w:t>
      </w:r>
      <w:r w:rsidRPr="00BC1187">
        <w:rPr>
          <w:rFonts w:ascii="ITC Avant Garde" w:hAnsi="ITC Avant Garde"/>
          <w:bCs/>
          <w:i/>
          <w:iCs/>
        </w:rPr>
        <w:t>: La información resaltada en negritas</w:t>
      </w:r>
      <w:r>
        <w:rPr>
          <w:rFonts w:ascii="ITC Avant Garde" w:hAnsi="ITC Avant Garde"/>
          <w:bCs/>
          <w:i/>
          <w:iCs/>
        </w:rPr>
        <w:t xml:space="preserve"> en las bases de datos anteriores,</w:t>
      </w:r>
      <w:r>
        <w:rPr>
          <w:rFonts w:ascii="ITC Avant Garde" w:hAnsi="ITC Avant Garde" w:cs="Arial"/>
          <w:b/>
        </w:rPr>
        <w:t xml:space="preserve"> </w:t>
      </w:r>
      <w:r>
        <w:rPr>
          <w:rFonts w:ascii="ITC Avant Garde" w:hAnsi="ITC Avant Garde"/>
          <w:bCs/>
          <w:i/>
          <w:iCs/>
        </w:rPr>
        <w:t>corresponde a información exclusivamente a cargo de la EM</w:t>
      </w:r>
      <w:r w:rsidR="00ED0CD3">
        <w:rPr>
          <w:rStyle w:val="Refdenotaalpie"/>
          <w:rFonts w:ascii="ITC Avant Garde" w:hAnsi="ITC Avant Garde"/>
          <w:bCs/>
          <w:i/>
          <w:iCs/>
        </w:rPr>
        <w:footnoteReference w:id="6"/>
      </w:r>
      <w:r>
        <w:rPr>
          <w:rFonts w:ascii="ITC Avant Garde" w:hAnsi="ITC Avant Garde"/>
          <w:bCs/>
          <w:i/>
          <w:iCs/>
        </w:rPr>
        <w:t>, por lo que Telmex/Telnor no otorgan garantía alguna en relación con su exactitud o idoneidad</w:t>
      </w:r>
      <w:r w:rsidR="00ED0CD3">
        <w:rPr>
          <w:rFonts w:ascii="ITC Avant Garde" w:hAnsi="ITC Avant Garde"/>
          <w:bCs/>
          <w:i/>
          <w:iCs/>
        </w:rPr>
        <w:t>, y se hace disponible en la presente Oferta de Referencia para facilitar la consulta de información de los CS.</w:t>
      </w:r>
    </w:p>
    <w:p w:rsidR="00291516" w:rsidRPr="00BA0046" w:rsidRDefault="00291516" w:rsidP="00291516">
      <w:pPr>
        <w:spacing w:after="200" w:line="276" w:lineRule="auto"/>
        <w:jc w:val="both"/>
        <w:rPr>
          <w:rFonts w:ascii="ITC Avant Garde" w:hAnsi="ITC Avant Garde"/>
          <w:b/>
        </w:rPr>
      </w:pPr>
      <w:r w:rsidRPr="00BA0046">
        <w:rPr>
          <w:rFonts w:ascii="ITC Avant Garde" w:hAnsi="ITC Avant Garde"/>
          <w:b/>
        </w:rPr>
        <w:t>Información tipo “b”:</w:t>
      </w:r>
    </w:p>
    <w:p w:rsidR="00291516" w:rsidRPr="00BA0046" w:rsidRDefault="00291516" w:rsidP="00291516">
      <w:pPr>
        <w:spacing w:after="200" w:line="276" w:lineRule="auto"/>
        <w:jc w:val="both"/>
        <w:rPr>
          <w:rFonts w:ascii="ITC Avant Garde" w:hAnsi="ITC Avant Garde"/>
          <w:strike/>
        </w:rPr>
      </w:pPr>
      <w:r w:rsidRPr="00BA0046">
        <w:rPr>
          <w:rFonts w:ascii="ITC Avant Garde" w:hAnsi="ITC Avant Garde"/>
        </w:rPr>
        <w:t>Esta información debe ser accesible por el CS en forma de consulta por número de teléfono, número de teléfono virtual y usuario para líneas activas, y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(GPON), en el caso de la fibra óptica</w:t>
      </w:r>
      <w:r w:rsidR="004B3B26">
        <w:rPr>
          <w:rFonts w:ascii="ITC Avant Garde" w:hAnsi="ITC Avant Garde"/>
        </w:rPr>
        <w:t>)</w:t>
      </w:r>
      <w:r w:rsidRPr="00BA0046">
        <w:rPr>
          <w:rFonts w:ascii="ITC Avant Garde" w:hAnsi="ITC Avant Garde"/>
        </w:rPr>
        <w:t>.</w:t>
      </w:r>
    </w:p>
    <w:p w:rsidR="00291516" w:rsidRPr="00BA0046" w:rsidRDefault="00291516" w:rsidP="00291516">
      <w:pPr>
        <w:pStyle w:val="IFTnormal"/>
      </w:pPr>
      <w:r w:rsidRPr="00BA0046">
        <w:rPr>
          <w:b/>
          <w:u w:val="single"/>
        </w:rPr>
        <w:t>Información relacionada a usuarios existentes</w:t>
      </w:r>
      <w:r w:rsidRPr="00BA0046">
        <w:t>.</w:t>
      </w:r>
    </w:p>
    <w:p w:rsidR="00291516" w:rsidRPr="00BA0046" w:rsidRDefault="00291516" w:rsidP="00291516">
      <w:pPr>
        <w:pStyle w:val="IFTnormal"/>
      </w:pPr>
      <w:r w:rsidRPr="00BA0046">
        <w:t>En caso de que la infraestructura con la que cuenta el AEP para dar servicio al usuario existente sea cobre, se desplegará en la interfaz la siguiente información:</w:t>
      </w:r>
    </w:p>
    <w:p w:rsidR="00291516" w:rsidRPr="00BA0046" w:rsidRDefault="00291516" w:rsidP="00291516">
      <w:pPr>
        <w:numPr>
          <w:ilvl w:val="0"/>
          <w:numId w:val="34"/>
        </w:numPr>
        <w:spacing w:after="200" w:line="276" w:lineRule="auto"/>
        <w:jc w:val="both"/>
        <w:rPr>
          <w:rFonts w:ascii="ITC Avant Garde" w:hAnsi="ITC Avant Garde"/>
        </w:rPr>
      </w:pPr>
      <w:r w:rsidRPr="00BA0046">
        <w:rPr>
          <w:rFonts w:ascii="ITC Avant Garde" w:hAnsi="ITC Avant Garde"/>
        </w:rPr>
        <w:t>Código identificador de la terminal a la que pertenece el par de cobre;</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Longitud del Bucle Local en metros;</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Atenuación teórica del Bucle Local;</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Resistencia de Aislamiento;</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Capacitancia;</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Código Identificador de Central Telefónica o Instalación Equivalente que atiende al Bucle Local;</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Facilidades de internet (velocidad máxima soportada según la calificación del Bucle Local);</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Código identificador del equipo de acceso DSLAM que atiende el par de cobre;</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Marca/fabricante, modelo del equipo de acceso DSLAM;</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Código Identificador del NCAI asociado al equipo de acceso DSLAM;</w:t>
      </w:r>
    </w:p>
    <w:p w:rsidR="00291516" w:rsidRPr="0059526B" w:rsidRDefault="00291516" w:rsidP="00291516">
      <w:pPr>
        <w:numPr>
          <w:ilvl w:val="0"/>
          <w:numId w:val="34"/>
        </w:numPr>
        <w:spacing w:after="200" w:line="276" w:lineRule="auto"/>
        <w:jc w:val="both"/>
        <w:rPr>
          <w:rFonts w:ascii="ITC Avant Garde" w:hAnsi="ITC Avant Garde"/>
        </w:rPr>
      </w:pPr>
      <w:r w:rsidRPr="0059526B">
        <w:rPr>
          <w:rFonts w:ascii="ITC Avant Garde" w:hAnsi="ITC Avant Garde"/>
        </w:rPr>
        <w:t>Código Identificador de las Cajas de Distribución asociadas al Bucle Local.</w:t>
      </w:r>
    </w:p>
    <w:p w:rsidR="00291516" w:rsidRPr="00BA0046" w:rsidRDefault="00291516" w:rsidP="00291516">
      <w:pPr>
        <w:pStyle w:val="IFTnormal"/>
      </w:pPr>
      <w:r w:rsidRPr="00BA0046">
        <w:lastRenderedPageBreak/>
        <w:t>En caso de que la infraestructura con la que cuenta el AEP para dar servicio al usuario existente sea fibra óptica o incluso cuando los servicios se brinden por cobre, pero exista infraestructura de fibra óptica asociada al cliente, se desplegará en la interfaz la siguiente información:</w:t>
      </w:r>
    </w:p>
    <w:p w:rsidR="00291516" w:rsidRPr="00BA0046" w:rsidRDefault="00291516" w:rsidP="00291516">
      <w:pPr>
        <w:numPr>
          <w:ilvl w:val="0"/>
          <w:numId w:val="34"/>
        </w:numPr>
        <w:spacing w:after="200" w:line="276" w:lineRule="auto"/>
        <w:jc w:val="both"/>
        <w:rPr>
          <w:rFonts w:ascii="ITC Avant Garde" w:hAnsi="ITC Avant Garde"/>
        </w:rPr>
      </w:pPr>
      <w:r w:rsidRPr="00BA0046">
        <w:rPr>
          <w:rFonts w:ascii="ITC Avant Garde" w:hAnsi="ITC Avant Garde"/>
        </w:rPr>
        <w:t>Código identificador de la terminal óptica a la que pertenece el Bucle Local;</w:t>
      </w:r>
    </w:p>
    <w:p w:rsidR="00291516" w:rsidRPr="00BA0046" w:rsidRDefault="00291516" w:rsidP="00291516">
      <w:pPr>
        <w:numPr>
          <w:ilvl w:val="0"/>
          <w:numId w:val="34"/>
        </w:numPr>
        <w:spacing w:after="200" w:line="276" w:lineRule="auto"/>
        <w:jc w:val="both"/>
        <w:rPr>
          <w:rFonts w:ascii="ITC Avant Garde" w:hAnsi="ITC Avant Garde"/>
        </w:rPr>
      </w:pPr>
      <w:r w:rsidRPr="00BA0046">
        <w:rPr>
          <w:rFonts w:ascii="ITC Avant Garde" w:hAnsi="ITC Avant Garde"/>
        </w:rPr>
        <w:t>Código Identificador de Central Telefónica o Instalación Equivalente que atiende al Bucle Local;</w:t>
      </w:r>
    </w:p>
    <w:p w:rsidR="00291516" w:rsidRPr="00BA0046" w:rsidRDefault="00291516" w:rsidP="00291516">
      <w:pPr>
        <w:pStyle w:val="CondicionesFinales"/>
        <w:numPr>
          <w:ilvl w:val="0"/>
          <w:numId w:val="34"/>
        </w:numPr>
        <w:rPr>
          <w:color w:val="auto"/>
          <w:lang w:val="es-MX"/>
        </w:rPr>
      </w:pPr>
      <w:r w:rsidRPr="00BA0046">
        <w:rPr>
          <w:color w:val="auto"/>
          <w:lang w:val="es-MX"/>
        </w:rPr>
        <w:t>Indicar si el Bucle Local está disponible punto a punto o punto-multipunto;</w:t>
      </w:r>
    </w:p>
    <w:p w:rsidR="00291516" w:rsidRPr="00BA0046" w:rsidRDefault="00291516" w:rsidP="00291516">
      <w:pPr>
        <w:numPr>
          <w:ilvl w:val="0"/>
          <w:numId w:val="34"/>
        </w:numPr>
        <w:spacing w:after="200" w:line="276" w:lineRule="auto"/>
        <w:jc w:val="both"/>
        <w:rPr>
          <w:rFonts w:ascii="ITC Avant Garde" w:hAnsi="ITC Avant Garde"/>
        </w:rPr>
      </w:pPr>
      <w:r w:rsidRPr="00BA0046">
        <w:rPr>
          <w:rFonts w:ascii="ITC Avant Garde" w:hAnsi="ITC Avant Garde"/>
        </w:rPr>
        <w:t>Facilidades de internet (velocidad máxima soportada);</w:t>
      </w:r>
    </w:p>
    <w:p w:rsidR="00291516" w:rsidRPr="00BA0046" w:rsidRDefault="00291516" w:rsidP="00291516">
      <w:pPr>
        <w:numPr>
          <w:ilvl w:val="0"/>
          <w:numId w:val="34"/>
        </w:numPr>
        <w:spacing w:after="200" w:line="276" w:lineRule="auto"/>
        <w:jc w:val="both"/>
        <w:rPr>
          <w:rFonts w:ascii="ITC Avant Garde" w:hAnsi="ITC Avant Garde"/>
        </w:rPr>
      </w:pPr>
      <w:r w:rsidRPr="00BA0046">
        <w:rPr>
          <w:rFonts w:ascii="ITC Avant Garde" w:hAnsi="ITC Avant Garde"/>
        </w:rPr>
        <w:t>Código Identificador del distrito óptico al que pertenece el Bucle Local;</w:t>
      </w:r>
    </w:p>
    <w:p w:rsidR="00291516" w:rsidRPr="00BA0046" w:rsidRDefault="00291516" w:rsidP="001C0734">
      <w:pPr>
        <w:numPr>
          <w:ilvl w:val="0"/>
          <w:numId w:val="34"/>
        </w:numPr>
        <w:spacing w:after="200" w:line="276" w:lineRule="auto"/>
        <w:jc w:val="both"/>
        <w:rPr>
          <w:rFonts w:ascii="ITC Avant Garde" w:hAnsi="ITC Avant Garde"/>
        </w:rPr>
      </w:pPr>
      <w:r w:rsidRPr="00BA0046">
        <w:rPr>
          <w:rFonts w:ascii="ITC Avant Garde" w:hAnsi="ITC Avant Garde"/>
        </w:rPr>
        <w:t>Código identificador del equipo de acceso OLT que atiende el Bucle Local;</w:t>
      </w:r>
    </w:p>
    <w:p w:rsidR="00291516" w:rsidRPr="00BA0046" w:rsidRDefault="00291516" w:rsidP="001C0734">
      <w:pPr>
        <w:numPr>
          <w:ilvl w:val="0"/>
          <w:numId w:val="34"/>
        </w:numPr>
        <w:spacing w:after="200" w:line="276" w:lineRule="auto"/>
        <w:jc w:val="both"/>
        <w:rPr>
          <w:rFonts w:ascii="ITC Avant Garde" w:hAnsi="ITC Avant Garde"/>
        </w:rPr>
      </w:pPr>
      <w:r w:rsidRPr="00BA0046">
        <w:rPr>
          <w:rFonts w:ascii="ITC Avant Garde" w:hAnsi="ITC Avant Garde"/>
        </w:rPr>
        <w:t>Marca/fabricante, modelo del equipo de acceso OLT;</w:t>
      </w:r>
    </w:p>
    <w:p w:rsidR="00291516" w:rsidRPr="00BA0046" w:rsidRDefault="00291516" w:rsidP="001C0734">
      <w:pPr>
        <w:numPr>
          <w:ilvl w:val="0"/>
          <w:numId w:val="34"/>
        </w:numPr>
        <w:spacing w:after="200" w:line="276" w:lineRule="auto"/>
        <w:jc w:val="both"/>
        <w:rPr>
          <w:rFonts w:ascii="ITC Avant Garde" w:hAnsi="ITC Avant Garde"/>
        </w:rPr>
      </w:pPr>
      <w:r w:rsidRPr="00BA0046">
        <w:rPr>
          <w:rFonts w:ascii="ITC Avant Garde" w:hAnsi="ITC Avant Garde"/>
        </w:rPr>
        <w:t>Código Identificador del NCAI asociado al equipo de acceso OLT;</w:t>
      </w:r>
    </w:p>
    <w:p w:rsidR="005074D4" w:rsidRPr="005074D4" w:rsidRDefault="005074D4" w:rsidP="005074D4">
      <w:pPr>
        <w:pStyle w:val="IFTnormal"/>
      </w:pPr>
      <w:r w:rsidRPr="005074D4">
        <w:rPr>
          <w:b/>
          <w:u w:val="single"/>
        </w:rPr>
        <w:t xml:space="preserve">Información relacionada a una dirección. </w:t>
      </w:r>
      <w:r w:rsidRPr="005074D4">
        <w:t xml:space="preserve">El CS proporcionará en la interfaz la entidad federativa, municipio, localidad, código postal, colonia, calle y número para poder consultar la información </w:t>
      </w:r>
      <w:r w:rsidR="00F24456" w:rsidRPr="00C50252">
        <w:t>correspondiente</w:t>
      </w:r>
      <w:r w:rsidR="00C50252">
        <w:t xml:space="preserve"> a est</w:t>
      </w:r>
      <w:r w:rsidR="005C72BC">
        <w:t>e</w:t>
      </w:r>
      <w:r w:rsidR="00C50252">
        <w:t xml:space="preserve"> tipo de Bases de Datos.</w:t>
      </w:r>
      <w:r w:rsidR="00C50252" w:rsidRPr="00C50252">
        <w:t xml:space="preserve"> </w:t>
      </w:r>
      <w:r w:rsidR="005C72BC">
        <w:t xml:space="preserve">Para ello </w:t>
      </w:r>
      <w:r w:rsidR="00E83F21">
        <w:t>Telmex / Telnor</w:t>
      </w:r>
      <w:r w:rsidR="005C72BC" w:rsidRPr="005C72BC">
        <w:t xml:space="preserve"> proporcionará la misma secuencia y mecanismo de búsqueda que emplea para la gestión de sus propias operaciones.</w:t>
      </w:r>
    </w:p>
    <w:p w:rsidR="005074D4" w:rsidRPr="005074D4" w:rsidRDefault="005074D4" w:rsidP="005074D4">
      <w:pPr>
        <w:pStyle w:val="IFTnormal"/>
      </w:pPr>
      <w:r w:rsidRPr="005074D4">
        <w:t xml:space="preserve">En caso de que la infraestructura con la que cuenta el AEP para brindar servicios de </w:t>
      </w:r>
      <w:r w:rsidR="005C72BC">
        <w:t>telecomunicaciones</w:t>
      </w:r>
      <w:r w:rsidR="00C50252" w:rsidRPr="005074D4">
        <w:t xml:space="preserve"> </w:t>
      </w:r>
      <w:r w:rsidRPr="005074D4">
        <w:t>en la dirección consultada sea cobre, se accederá a la siguiente información:</w:t>
      </w:r>
    </w:p>
    <w:p w:rsidR="005074D4" w:rsidRPr="007C0A93" w:rsidRDefault="005074D4" w:rsidP="005074D4">
      <w:pPr>
        <w:numPr>
          <w:ilvl w:val="0"/>
          <w:numId w:val="34"/>
        </w:numPr>
        <w:spacing w:after="200" w:line="276" w:lineRule="auto"/>
        <w:jc w:val="both"/>
        <w:rPr>
          <w:rFonts w:ascii="ITC Avant Garde" w:hAnsi="ITC Avant Garde"/>
        </w:rPr>
      </w:pPr>
      <w:r w:rsidRPr="007C0A93">
        <w:rPr>
          <w:rFonts w:ascii="ITC Avant Garde" w:hAnsi="ITC Avant Garde"/>
        </w:rPr>
        <w:t>Código identificador de la terminal principal que puede atender la ubicación ingresada</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Porcentaje de uso crítico de la terminal;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Porcentaje de uso actual de la terminal;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Pares ocupados de la terminal;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Pares libres de la terminal;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Distancia en metros de la terminal a la central;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Facilidades de línea telefónica;</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Facilidades de dispositivos;</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Facilidades de red;</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lastRenderedPageBreak/>
        <w:t>Facilidades de internet (velocidad máxima soportada según la calificación del Bucle Local);</w:t>
      </w:r>
    </w:p>
    <w:p w:rsidR="005074D4" w:rsidRPr="006077C0" w:rsidRDefault="005074D4" w:rsidP="005074D4">
      <w:pPr>
        <w:numPr>
          <w:ilvl w:val="1"/>
          <w:numId w:val="34"/>
        </w:numPr>
        <w:spacing w:after="200" w:line="276" w:lineRule="auto"/>
        <w:jc w:val="both"/>
        <w:rPr>
          <w:rFonts w:ascii="ITC Avant Garde" w:hAnsi="ITC Avant Garde"/>
          <w:b/>
        </w:rPr>
      </w:pPr>
      <w:r w:rsidRPr="006077C0">
        <w:rPr>
          <w:rFonts w:ascii="ITC Avant Garde" w:hAnsi="ITC Avant Garde"/>
          <w:b/>
        </w:rPr>
        <w:t>Facilidades de red secundaria (en caso de existir facilidades, deberán mostrarse para la red secundaria todos los campos establecidos para la red principal en la interfaz);</w:t>
      </w:r>
    </w:p>
    <w:p w:rsidR="005074D4" w:rsidRPr="006077C0" w:rsidRDefault="005074D4" w:rsidP="005074D4">
      <w:pPr>
        <w:numPr>
          <w:ilvl w:val="0"/>
          <w:numId w:val="34"/>
        </w:numPr>
        <w:spacing w:after="200" w:line="276" w:lineRule="auto"/>
        <w:jc w:val="both"/>
        <w:rPr>
          <w:rFonts w:ascii="ITC Avant Garde" w:hAnsi="ITC Avant Garde"/>
          <w:b/>
        </w:rPr>
      </w:pPr>
      <w:r w:rsidRPr="006077C0">
        <w:rPr>
          <w:rFonts w:ascii="Arial" w:hAnsi="Arial" w:cs="Arial"/>
          <w:b/>
        </w:rPr>
        <w:t xml:space="preserve"> </w:t>
      </w:r>
      <w:r w:rsidRPr="006077C0">
        <w:rPr>
          <w:rFonts w:ascii="ITC Avant Garde" w:hAnsi="ITC Avant Garde"/>
          <w:b/>
        </w:rPr>
        <w:t>Código Identificador de Centrales Telefónicas o Instalaciones Equivalentes que pueden atender a la terminal;</w:t>
      </w:r>
    </w:p>
    <w:p w:rsidR="005074D4" w:rsidRPr="006077C0" w:rsidRDefault="005074D4" w:rsidP="005074D4">
      <w:pPr>
        <w:numPr>
          <w:ilvl w:val="0"/>
          <w:numId w:val="34"/>
        </w:numPr>
        <w:spacing w:after="200" w:line="276" w:lineRule="auto"/>
        <w:jc w:val="both"/>
        <w:rPr>
          <w:rFonts w:ascii="ITC Avant Garde" w:hAnsi="ITC Avant Garde"/>
          <w:b/>
        </w:rPr>
      </w:pPr>
      <w:r w:rsidRPr="006077C0">
        <w:rPr>
          <w:rFonts w:ascii="ITC Avant Garde" w:hAnsi="ITC Avant Garde"/>
          <w:b/>
        </w:rPr>
        <w:t>Código Identificador del Distrito que atiende la terminal;</w:t>
      </w:r>
    </w:p>
    <w:p w:rsidR="005074D4" w:rsidRPr="006077C0" w:rsidRDefault="005074D4" w:rsidP="005074D4">
      <w:pPr>
        <w:numPr>
          <w:ilvl w:val="0"/>
          <w:numId w:val="34"/>
        </w:numPr>
        <w:spacing w:after="200" w:line="276" w:lineRule="auto"/>
        <w:jc w:val="both"/>
        <w:rPr>
          <w:rFonts w:ascii="ITC Avant Garde" w:hAnsi="ITC Avant Garde"/>
          <w:b/>
        </w:rPr>
      </w:pPr>
      <w:r w:rsidRPr="006077C0">
        <w:rPr>
          <w:rFonts w:ascii="ITC Avant Garde" w:hAnsi="ITC Avant Garde"/>
          <w:b/>
        </w:rPr>
        <w:t>Código identificador del equipo de acceso DSLAM que atiende el distrito relacionado con la terminal;</w:t>
      </w:r>
    </w:p>
    <w:p w:rsidR="005074D4" w:rsidRPr="006077C0" w:rsidRDefault="005074D4" w:rsidP="005074D4">
      <w:pPr>
        <w:numPr>
          <w:ilvl w:val="0"/>
          <w:numId w:val="34"/>
        </w:numPr>
        <w:spacing w:after="200" w:line="276" w:lineRule="auto"/>
        <w:jc w:val="both"/>
        <w:rPr>
          <w:rFonts w:ascii="ITC Avant Garde" w:hAnsi="ITC Avant Garde"/>
          <w:b/>
        </w:rPr>
      </w:pPr>
      <w:r w:rsidRPr="006077C0">
        <w:rPr>
          <w:rFonts w:ascii="ITC Avant Garde" w:hAnsi="ITC Avant Garde"/>
          <w:b/>
        </w:rPr>
        <w:t>Marca/fabricante, modelo del equipo de acceso DSLAM;</w:t>
      </w:r>
    </w:p>
    <w:p w:rsidR="005074D4" w:rsidRDefault="005074D4" w:rsidP="005074D4">
      <w:pPr>
        <w:numPr>
          <w:ilvl w:val="0"/>
          <w:numId w:val="34"/>
        </w:numPr>
        <w:spacing w:after="200" w:line="276" w:lineRule="auto"/>
        <w:jc w:val="both"/>
        <w:rPr>
          <w:rFonts w:ascii="ITC Avant Garde" w:hAnsi="ITC Avant Garde"/>
          <w:b/>
        </w:rPr>
      </w:pPr>
      <w:r w:rsidRPr="006077C0">
        <w:rPr>
          <w:rFonts w:ascii="ITC Avant Garde" w:hAnsi="ITC Avant Garde"/>
          <w:b/>
        </w:rPr>
        <w:t>Código Identificador del Nodo de Conexión de Acceso Indirecto (NCAI) asociado al equipo de acceso DSLAM;</w:t>
      </w:r>
    </w:p>
    <w:p w:rsidR="006077C0" w:rsidRPr="006077C0" w:rsidRDefault="006077C0" w:rsidP="006077C0">
      <w:pPr>
        <w:spacing w:after="200" w:line="276" w:lineRule="auto"/>
        <w:ind w:left="360"/>
        <w:jc w:val="both"/>
        <w:rPr>
          <w:rFonts w:ascii="ITC Avant Garde" w:hAnsi="ITC Avant Garde"/>
          <w:bCs/>
          <w:i/>
          <w:iCs/>
        </w:rPr>
      </w:pPr>
      <w:r w:rsidRPr="006077C0">
        <w:rPr>
          <w:rFonts w:ascii="ITC Avant Garde" w:hAnsi="ITC Avant Garde"/>
          <w:bCs/>
          <w:i/>
          <w:iCs/>
          <w:u w:val="single"/>
        </w:rPr>
        <w:t>Nota</w:t>
      </w:r>
      <w:r w:rsidRPr="006077C0">
        <w:rPr>
          <w:rFonts w:ascii="ITC Avant Garde" w:hAnsi="ITC Avant Garde"/>
          <w:bCs/>
          <w:i/>
          <w:iCs/>
        </w:rPr>
        <w:t>: La información resaltada en negritas en las bases de datos anteriores,</w:t>
      </w:r>
      <w:r w:rsidRPr="006077C0">
        <w:rPr>
          <w:rFonts w:ascii="ITC Avant Garde" w:hAnsi="ITC Avant Garde" w:cs="Arial"/>
          <w:b/>
        </w:rPr>
        <w:t xml:space="preserve"> </w:t>
      </w:r>
      <w:r w:rsidRPr="006077C0">
        <w:rPr>
          <w:rFonts w:ascii="ITC Avant Garde" w:hAnsi="ITC Avant Garde"/>
          <w:bCs/>
          <w:i/>
          <w:iCs/>
        </w:rPr>
        <w:t>corresponde a información exclusivamente a cargo de la EM</w:t>
      </w:r>
      <w:r>
        <w:rPr>
          <w:rStyle w:val="Refdenotaalpie"/>
          <w:rFonts w:ascii="ITC Avant Garde" w:hAnsi="ITC Avant Garde"/>
          <w:bCs/>
          <w:i/>
          <w:iCs/>
        </w:rPr>
        <w:footnoteReference w:id="7"/>
      </w:r>
      <w:r w:rsidRPr="006077C0">
        <w:rPr>
          <w:rFonts w:ascii="ITC Avant Garde" w:hAnsi="ITC Avant Garde"/>
          <w:bCs/>
          <w:i/>
          <w:iCs/>
        </w:rPr>
        <w:t>, por lo que Telmex/Telnor no otorgan garantía alguna en relación con su exactitud o idoneidad, y se hace disponible en la presente Oferta de Referencia para facilitar la consulta de información de los CS.</w:t>
      </w:r>
    </w:p>
    <w:p w:rsidR="005074D4" w:rsidRPr="005074D4" w:rsidRDefault="005074D4" w:rsidP="005074D4">
      <w:pPr>
        <w:pStyle w:val="IFTnormal"/>
      </w:pPr>
      <w:r w:rsidRPr="005074D4">
        <w:t>En caso de que la infraestructura con la que cuenta el AEP para brindar servicios de telecomunicaciones al domicilio consultado</w:t>
      </w:r>
      <w:r w:rsidRPr="005074D4" w:rsidDel="004C5BA1">
        <w:t xml:space="preserve"> </w:t>
      </w:r>
      <w:r w:rsidRPr="005074D4">
        <w:t>además de cobre cuente con fibra óptica –o cuando sólo se cuente con infraestructura de fibra para la dirección correspondiente- se incluirá, además del listado anterior, la siguiente información:</w:t>
      </w:r>
    </w:p>
    <w:p w:rsidR="005074D4" w:rsidRPr="007C0A93" w:rsidRDefault="005074D4" w:rsidP="005074D4">
      <w:pPr>
        <w:numPr>
          <w:ilvl w:val="0"/>
          <w:numId w:val="34"/>
        </w:numPr>
        <w:spacing w:after="200" w:line="276" w:lineRule="auto"/>
        <w:jc w:val="both"/>
        <w:rPr>
          <w:rFonts w:ascii="Arial" w:hAnsi="Arial" w:cs="Arial"/>
        </w:rPr>
      </w:pPr>
      <w:r w:rsidRPr="007C0A93">
        <w:rPr>
          <w:rFonts w:ascii="ITC Avant Garde" w:hAnsi="ITC Avant Garde"/>
        </w:rPr>
        <w:t>Código</w:t>
      </w:r>
      <w:r w:rsidRPr="007C0A93">
        <w:rPr>
          <w:rFonts w:ascii="Arial" w:hAnsi="Arial" w:cs="Arial"/>
        </w:rPr>
        <w:t xml:space="preserve"> </w:t>
      </w:r>
      <w:r w:rsidRPr="007C0A93">
        <w:rPr>
          <w:rFonts w:ascii="ITC Avant Garde" w:hAnsi="ITC Avant Garde"/>
        </w:rPr>
        <w:t>identificador de la terminal óptica que puede atender la ubicación ingresada</w:t>
      </w:r>
    </w:p>
    <w:p w:rsidR="005074D4" w:rsidRDefault="005074D4" w:rsidP="005074D4">
      <w:pPr>
        <w:numPr>
          <w:ilvl w:val="1"/>
          <w:numId w:val="34"/>
        </w:numPr>
        <w:spacing w:after="200" w:line="276" w:lineRule="auto"/>
        <w:jc w:val="both"/>
        <w:rPr>
          <w:rFonts w:ascii="ITC Avant Garde" w:hAnsi="ITC Avant Garde"/>
        </w:rPr>
      </w:pPr>
      <w:r w:rsidRPr="007C0A93">
        <w:rPr>
          <w:rFonts w:ascii="ITC Avant Garde" w:hAnsi="ITC Avant Garde"/>
        </w:rPr>
        <w:t>Bucles disponibles en la terminal óptica;</w:t>
      </w:r>
    </w:p>
    <w:p w:rsidR="00D21437" w:rsidRPr="009D447C" w:rsidRDefault="009270DC" w:rsidP="00FF4EC6">
      <w:pPr>
        <w:numPr>
          <w:ilvl w:val="2"/>
          <w:numId w:val="34"/>
        </w:numPr>
        <w:spacing w:after="200" w:line="276" w:lineRule="auto"/>
        <w:jc w:val="both"/>
        <w:rPr>
          <w:rFonts w:ascii="ITC Avant Garde" w:hAnsi="ITC Avant Garde"/>
        </w:rPr>
      </w:pPr>
      <w:r>
        <w:rPr>
          <w:rFonts w:ascii="Century Gothic" w:hAnsi="Century Gothic"/>
        </w:rPr>
        <w:t>Indicar si los Bucles Locales están disponibles punto a punto o punto a multipunto.</w:t>
      </w:r>
    </w:p>
    <w:p w:rsidR="005074D4" w:rsidRPr="007C0A93" w:rsidRDefault="005074D4" w:rsidP="005074D4">
      <w:pPr>
        <w:numPr>
          <w:ilvl w:val="1"/>
          <w:numId w:val="34"/>
        </w:numPr>
        <w:spacing w:after="200" w:line="276" w:lineRule="auto"/>
        <w:jc w:val="both"/>
        <w:rPr>
          <w:rFonts w:ascii="ITC Avant Garde" w:hAnsi="ITC Avant Garde"/>
        </w:rPr>
      </w:pPr>
      <w:r w:rsidRPr="007C0A93">
        <w:rPr>
          <w:rFonts w:ascii="ITC Avant Garde" w:hAnsi="ITC Avant Garde"/>
        </w:rPr>
        <w:t>Facilidades de dispositivos;</w:t>
      </w:r>
    </w:p>
    <w:p w:rsidR="005074D4" w:rsidRPr="007C0A93" w:rsidRDefault="005074D4" w:rsidP="005074D4">
      <w:pPr>
        <w:numPr>
          <w:ilvl w:val="1"/>
          <w:numId w:val="34"/>
        </w:numPr>
        <w:spacing w:after="200" w:line="276" w:lineRule="auto"/>
        <w:jc w:val="both"/>
        <w:rPr>
          <w:rFonts w:ascii="ITC Avant Garde" w:hAnsi="ITC Avant Garde"/>
        </w:rPr>
      </w:pPr>
      <w:r w:rsidRPr="007C0A93">
        <w:rPr>
          <w:rFonts w:ascii="ITC Avant Garde" w:hAnsi="ITC Avant Garde"/>
        </w:rPr>
        <w:t>Facilidades de red;</w:t>
      </w:r>
    </w:p>
    <w:p w:rsidR="005074D4" w:rsidRPr="007C0A93" w:rsidRDefault="005074D4" w:rsidP="005074D4">
      <w:pPr>
        <w:numPr>
          <w:ilvl w:val="1"/>
          <w:numId w:val="34"/>
        </w:numPr>
        <w:spacing w:after="200" w:line="276" w:lineRule="auto"/>
        <w:jc w:val="both"/>
        <w:rPr>
          <w:rFonts w:ascii="ITC Avant Garde" w:hAnsi="ITC Avant Garde"/>
        </w:rPr>
      </w:pPr>
      <w:r w:rsidRPr="007C0A93">
        <w:rPr>
          <w:rFonts w:ascii="ITC Avant Garde" w:hAnsi="ITC Avant Garde"/>
        </w:rPr>
        <w:t>Facilidades de internet (velocidad máxima soportada);</w:t>
      </w:r>
    </w:p>
    <w:p w:rsidR="005074D4" w:rsidRPr="007C0A93" w:rsidRDefault="005074D4" w:rsidP="005074D4">
      <w:pPr>
        <w:numPr>
          <w:ilvl w:val="0"/>
          <w:numId w:val="34"/>
        </w:numPr>
        <w:spacing w:after="200" w:line="276" w:lineRule="auto"/>
        <w:jc w:val="both"/>
        <w:rPr>
          <w:rFonts w:ascii="ITC Avant Garde" w:hAnsi="ITC Avant Garde"/>
        </w:rPr>
      </w:pPr>
      <w:r w:rsidRPr="007C0A93">
        <w:rPr>
          <w:rFonts w:ascii="ITC Avant Garde" w:hAnsi="ITC Avant Garde"/>
        </w:rPr>
        <w:lastRenderedPageBreak/>
        <w:t>Código Identificador de Centrales Telefónicas o Instalaciones Equivalentes que pueden atender a la terminal óptica;</w:t>
      </w:r>
    </w:p>
    <w:p w:rsidR="005074D4" w:rsidRPr="007C0A93" w:rsidRDefault="005074D4" w:rsidP="005074D4">
      <w:pPr>
        <w:numPr>
          <w:ilvl w:val="0"/>
          <w:numId w:val="34"/>
        </w:numPr>
        <w:spacing w:after="200" w:line="276" w:lineRule="auto"/>
        <w:jc w:val="both"/>
        <w:rPr>
          <w:rFonts w:ascii="ITC Avant Garde" w:hAnsi="ITC Avant Garde"/>
        </w:rPr>
      </w:pPr>
      <w:r w:rsidRPr="007C0A93">
        <w:rPr>
          <w:rFonts w:ascii="ITC Avant Garde" w:hAnsi="ITC Avant Garde"/>
        </w:rPr>
        <w:t>Código Identificador del distrito óptico que atiende la terminal óptica;</w:t>
      </w:r>
    </w:p>
    <w:p w:rsidR="005074D4" w:rsidRPr="007C0A93" w:rsidRDefault="005074D4" w:rsidP="005074D4">
      <w:pPr>
        <w:numPr>
          <w:ilvl w:val="0"/>
          <w:numId w:val="34"/>
        </w:numPr>
        <w:spacing w:after="200" w:line="276" w:lineRule="auto"/>
        <w:jc w:val="both"/>
        <w:rPr>
          <w:rFonts w:ascii="ITC Avant Garde" w:hAnsi="ITC Avant Garde"/>
        </w:rPr>
      </w:pPr>
      <w:r w:rsidRPr="007C0A93">
        <w:rPr>
          <w:rFonts w:ascii="ITC Avant Garde" w:hAnsi="ITC Avant Garde"/>
        </w:rPr>
        <w:t>Código identificador del equipo de acceso OLT que atiende el distrito óptico relacionado con la terminal óptica;</w:t>
      </w:r>
    </w:p>
    <w:p w:rsidR="005074D4" w:rsidRPr="007C0A93" w:rsidRDefault="005074D4" w:rsidP="005074D4">
      <w:pPr>
        <w:numPr>
          <w:ilvl w:val="0"/>
          <w:numId w:val="34"/>
        </w:numPr>
        <w:spacing w:after="200" w:line="276" w:lineRule="auto"/>
        <w:jc w:val="both"/>
        <w:rPr>
          <w:rFonts w:ascii="ITC Avant Garde" w:hAnsi="ITC Avant Garde"/>
        </w:rPr>
      </w:pPr>
      <w:r w:rsidRPr="007C0A93">
        <w:rPr>
          <w:rFonts w:ascii="ITC Avant Garde" w:hAnsi="ITC Avant Garde"/>
        </w:rPr>
        <w:t>Marca/fabricante, modelo del equipo de acceso OLT;</w:t>
      </w:r>
    </w:p>
    <w:p w:rsidR="00291516" w:rsidRPr="00BA0046" w:rsidRDefault="00291516" w:rsidP="00291516">
      <w:pPr>
        <w:spacing w:after="200" w:line="276" w:lineRule="auto"/>
        <w:jc w:val="both"/>
        <w:rPr>
          <w:rFonts w:ascii="ITC Avant Garde" w:hAnsi="ITC Avant Garde"/>
        </w:rPr>
      </w:pPr>
      <w:r w:rsidRPr="00BA0046">
        <w:rPr>
          <w:rFonts w:ascii="ITC Avant Garde" w:hAnsi="ITC Avant Garde"/>
        </w:rPr>
        <w:t xml:space="preserve">Sin perjuicio de la existencia de las bases de datos tipo “a” y “b”, en el </w:t>
      </w:r>
      <w:r w:rsidR="006B5A23">
        <w:rPr>
          <w:rFonts w:ascii="ITC Avant Garde" w:hAnsi="ITC Avant Garde"/>
        </w:rPr>
        <w:t>SEG</w:t>
      </w:r>
      <w:r w:rsidRPr="00BA0046">
        <w:rPr>
          <w:rFonts w:ascii="ITC Avant Garde" w:hAnsi="ITC Avant Garde"/>
        </w:rPr>
        <w:t xml:space="preserve"> los CS tendrán acceso a la misma información de infraestructura a la que tiene acceso el AEP bajo términos y condiciones e</w:t>
      </w:r>
      <w:r w:rsidR="00B93286">
        <w:rPr>
          <w:rFonts w:ascii="ITC Avant Garde" w:hAnsi="ITC Avant Garde"/>
        </w:rPr>
        <w:t xml:space="preserve">quivalentes a las que tiene </w:t>
      </w:r>
      <w:r w:rsidR="00E83F21">
        <w:rPr>
          <w:rFonts w:ascii="ITC Avant Garde" w:hAnsi="ITC Avant Garde"/>
        </w:rPr>
        <w:t>Telmex / Telnor</w:t>
      </w:r>
      <w:r w:rsidRPr="00BA0046">
        <w:rPr>
          <w:rFonts w:ascii="ITC Avant Garde" w:hAnsi="ITC Avant Garde"/>
        </w:rPr>
        <w:t xml:space="preserve"> en su operación, información que podrá incluir además de la contenida en las bases antes mencionadas, cualquier otra que sea relevante para la correcta prestación de los servicios, incluyendo al menos, además de los catálogos de infraestructura, acceso a la verificación de factibilidad para brindar servicios a un número telefónico o una dirección especifica. </w:t>
      </w:r>
    </w:p>
    <w:p w:rsidR="00A47F9A" w:rsidRPr="00BA1D95" w:rsidRDefault="00A47F9A" w:rsidP="00726E26">
      <w:pPr>
        <w:pStyle w:val="1TitPrin"/>
        <w:numPr>
          <w:ilvl w:val="1"/>
          <w:numId w:val="182"/>
        </w:numPr>
        <w:outlineLvl w:val="1"/>
      </w:pPr>
      <w:bookmarkStart w:id="308" w:name="_Toc436840875"/>
      <w:bookmarkStart w:id="309" w:name="_Toc436846312"/>
      <w:bookmarkStart w:id="310" w:name="_Toc436848262"/>
      <w:bookmarkStart w:id="311" w:name="_Toc436856510"/>
      <w:bookmarkStart w:id="312" w:name="_Toc436862656"/>
      <w:bookmarkStart w:id="313" w:name="_Toc436866306"/>
      <w:bookmarkStart w:id="314" w:name="_Toc436870885"/>
      <w:bookmarkStart w:id="315" w:name="_Toc436875877"/>
      <w:bookmarkStart w:id="316" w:name="_Toc467248690"/>
      <w:bookmarkStart w:id="317" w:name="_Toc525904554"/>
      <w:bookmarkStart w:id="318" w:name="_Toc525913950"/>
      <w:bookmarkStart w:id="319" w:name="_Toc525919189"/>
      <w:bookmarkStart w:id="320" w:name="_Toc525919313"/>
      <w:bookmarkStart w:id="321" w:name="_Toc26273062"/>
      <w:bookmarkStart w:id="322" w:name="_Toc26284460"/>
      <w:bookmarkStart w:id="323" w:name="_Toc2957123"/>
      <w:bookmarkStart w:id="324" w:name="_Toc54106564"/>
      <w:r w:rsidRPr="00BA1D95">
        <w:t>Procedimiento de acceso a la información contenida en el sitio de Internet</w:t>
      </w:r>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r w:rsidRPr="00BA1D95">
        <w:t xml:space="preserve"> </w:t>
      </w:r>
    </w:p>
    <w:p w:rsidR="00A47F9A" w:rsidRPr="00BA1D95" w:rsidRDefault="00A47F9A" w:rsidP="004B11EB">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Para el acceso a la información a través de la interfaz en la página de internet</w:t>
      </w:r>
      <w:r w:rsidR="008B1B86" w:rsidRPr="00BA1D95">
        <w:rPr>
          <w:rFonts w:ascii="ITC Avant Garde" w:hAnsi="ITC Avant Garde" w:cs="Arial"/>
          <w:sz w:val="22"/>
          <w:szCs w:val="22"/>
        </w:rPr>
        <w:t xml:space="preserve"> de Telmex</w:t>
      </w:r>
      <w:r w:rsidR="00EC3D1A">
        <w:rPr>
          <w:rFonts w:ascii="ITC Avant Garde" w:hAnsi="ITC Avant Garde" w:cs="Arial"/>
          <w:sz w:val="22"/>
          <w:szCs w:val="22"/>
        </w:rPr>
        <w:t xml:space="preserve"> </w:t>
      </w:r>
      <w:r w:rsidR="00EC3D1A">
        <w:rPr>
          <w:rFonts w:ascii="ITC Avant Garde" w:hAnsi="ITC Avant Garde" w:cs="Arial"/>
          <w:sz w:val="22"/>
          <w:szCs w:val="22"/>
          <w:lang w:val="es-MX" w:eastAsia="es-MX"/>
        </w:rPr>
        <w:t>/ Telnor</w:t>
      </w:r>
      <w:r w:rsidRPr="00BA1D95">
        <w:rPr>
          <w:rFonts w:ascii="ITC Avant Garde" w:hAnsi="ITC Avant Garde" w:cs="Arial"/>
          <w:sz w:val="22"/>
          <w:szCs w:val="22"/>
        </w:rPr>
        <w:t>, el CS deberá contar con el usuario y contraseña descritos en el punto 3.</w:t>
      </w:r>
      <w:r w:rsidR="0009208E">
        <w:rPr>
          <w:rFonts w:ascii="ITC Avant Garde" w:hAnsi="ITC Avant Garde" w:cs="Arial"/>
          <w:sz w:val="22"/>
          <w:szCs w:val="22"/>
        </w:rPr>
        <w:t>1.</w:t>
      </w:r>
    </w:p>
    <w:p w:rsidR="00A47F9A" w:rsidRPr="00BA1D95" w:rsidRDefault="00A47F9A" w:rsidP="004B11EB">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Los pasos para ingresar al Sitio y realizar consultas serán los siguientes:</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Entrar al sitio </w:t>
      </w:r>
      <w:r w:rsidR="00796728" w:rsidRPr="00BA1D95" w:rsidDel="00301504">
        <w:rPr>
          <w:rFonts w:ascii="ITC Avant Garde" w:hAnsi="ITC Avant Garde" w:cs="Arial"/>
          <w:sz w:val="22"/>
          <w:szCs w:val="22"/>
        </w:rPr>
        <w:t>http://www.telmex.com/</w:t>
      </w:r>
    </w:p>
    <w:p w:rsidR="00A47F9A" w:rsidRPr="00BA1D95" w:rsidDel="00301504" w:rsidRDefault="00A47F9A" w:rsidP="008F5D32">
      <w:pPr>
        <w:pStyle w:val="Texto1"/>
        <w:numPr>
          <w:ilvl w:val="0"/>
          <w:numId w:val="36"/>
        </w:numPr>
        <w:spacing w:after="200" w:line="276" w:lineRule="auto"/>
        <w:rPr>
          <w:rFonts w:ascii="ITC Avant Garde" w:hAnsi="ITC Avant Garde" w:cs="Arial"/>
          <w:sz w:val="22"/>
          <w:szCs w:val="22"/>
        </w:rPr>
      </w:pPr>
      <w:r w:rsidRPr="00BA1D95" w:rsidDel="00301504">
        <w:rPr>
          <w:rFonts w:ascii="ITC Avant Garde" w:hAnsi="ITC Avant Garde" w:cs="Arial"/>
          <w:sz w:val="22"/>
          <w:szCs w:val="22"/>
        </w:rPr>
        <w:t>Seleccionar el apartado “Ofertas de Servicios Mayoristas”.</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sidDel="00301504">
        <w:rPr>
          <w:rFonts w:ascii="ITC Avant Garde" w:hAnsi="ITC Avant Garde" w:cs="Arial"/>
          <w:sz w:val="22"/>
          <w:szCs w:val="22"/>
        </w:rPr>
        <w:t>Seleccionar</w:t>
      </w:r>
      <w:r w:rsidRPr="00BA1D95">
        <w:rPr>
          <w:rFonts w:ascii="ITC Avant Garde" w:hAnsi="ITC Avant Garde" w:cs="Arial"/>
          <w:sz w:val="22"/>
          <w:szCs w:val="22"/>
        </w:rPr>
        <w:t xml:space="preserve"> el apartado “</w:t>
      </w:r>
      <w:r w:rsidRPr="00BA1D95" w:rsidDel="00301504">
        <w:rPr>
          <w:rFonts w:ascii="ITC Avant Garde" w:hAnsi="ITC Avant Garde" w:cs="Arial"/>
          <w:sz w:val="22"/>
          <w:szCs w:val="22"/>
        </w:rPr>
        <w:t xml:space="preserve">Oferta de Referencia para la </w:t>
      </w:r>
      <w:r w:rsidRPr="00482ABC" w:rsidDel="00301504">
        <w:rPr>
          <w:rFonts w:ascii="ITC Avant Garde" w:hAnsi="ITC Avant Garde" w:cs="Arial"/>
          <w:sz w:val="22"/>
          <w:szCs w:val="22"/>
        </w:rPr>
        <w:t>Desagregación del Bucle Local</w:t>
      </w:r>
      <w:r w:rsidRPr="00482ABC">
        <w:rPr>
          <w:rFonts w:ascii="ITC Avant Garde" w:hAnsi="ITC Avant Garde" w:cs="Arial"/>
          <w:sz w:val="22"/>
          <w:szCs w:val="22"/>
        </w:rPr>
        <w:t>”</w:t>
      </w:r>
      <w:r w:rsidR="00D955B8" w:rsidRPr="00482ABC">
        <w:rPr>
          <w:rFonts w:ascii="ITC Avant Garde" w:hAnsi="ITC Avant Garde" w:cs="Arial"/>
          <w:sz w:val="22"/>
          <w:szCs w:val="22"/>
        </w:rPr>
        <w:t>.</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Pr>
          <w:rFonts w:ascii="ITC Avant Garde" w:hAnsi="ITC Avant Garde" w:cs="Arial"/>
          <w:sz w:val="22"/>
          <w:szCs w:val="22"/>
        </w:rPr>
        <w:t>Seleccionar el apartado “Consulta de Información”</w:t>
      </w:r>
      <w:r w:rsidR="00D955B8" w:rsidRPr="00BA1D95">
        <w:rPr>
          <w:rFonts w:ascii="ITC Avant Garde" w:hAnsi="ITC Avant Garde" w:cs="Arial"/>
          <w:sz w:val="22"/>
          <w:szCs w:val="22"/>
        </w:rPr>
        <w:t>.</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Ingresar las credenciales (Usuario y Contraseña) que le fueron otorgadas por </w:t>
      </w:r>
      <w:r w:rsidR="00E83F21">
        <w:rPr>
          <w:rFonts w:ascii="ITC Avant Garde" w:hAnsi="ITC Avant Garde" w:cs="Arial"/>
          <w:sz w:val="22"/>
          <w:szCs w:val="22"/>
        </w:rPr>
        <w:t>Telmex / Telnor</w:t>
      </w:r>
      <w:r w:rsidR="00D955B8" w:rsidRPr="00BA1D95">
        <w:rPr>
          <w:rFonts w:ascii="ITC Avant Garde" w:hAnsi="ITC Avant Garde" w:cs="Arial"/>
          <w:sz w:val="22"/>
          <w:szCs w:val="22"/>
        </w:rPr>
        <w:t>.</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Pr>
          <w:rFonts w:ascii="ITC Avant Garde" w:hAnsi="ITC Avant Garde" w:cs="Arial"/>
          <w:sz w:val="22"/>
          <w:szCs w:val="22"/>
        </w:rPr>
        <w:t>El CS deberá seleccionar el tipo de información en la cual está interesado</w:t>
      </w:r>
      <w:r w:rsidR="00D955B8" w:rsidRPr="00BA1D95">
        <w:rPr>
          <w:rFonts w:ascii="ITC Avant Garde" w:hAnsi="ITC Avant Garde" w:cs="Arial"/>
          <w:sz w:val="22"/>
          <w:szCs w:val="22"/>
        </w:rPr>
        <w:t>.</w:t>
      </w:r>
    </w:p>
    <w:p w:rsidR="00A47F9A" w:rsidRPr="00BA1D95" w:rsidRDefault="00A47F9A" w:rsidP="008F5D32">
      <w:pPr>
        <w:pStyle w:val="Texto1"/>
        <w:numPr>
          <w:ilvl w:val="0"/>
          <w:numId w:val="36"/>
        </w:numPr>
        <w:spacing w:after="200" w:line="276" w:lineRule="auto"/>
        <w:rPr>
          <w:rFonts w:ascii="ITC Avant Garde" w:hAnsi="ITC Avant Garde" w:cs="Arial"/>
          <w:sz w:val="22"/>
          <w:szCs w:val="22"/>
        </w:rPr>
      </w:pPr>
      <w:r w:rsidRPr="00BA1D95">
        <w:rPr>
          <w:rFonts w:ascii="ITC Avant Garde" w:hAnsi="ITC Avant Garde" w:cs="Arial"/>
          <w:sz w:val="22"/>
          <w:szCs w:val="22"/>
        </w:rPr>
        <w:t>En la página de internet se desplegará la información solicitada</w:t>
      </w:r>
      <w:r w:rsidR="00D955B8" w:rsidRPr="00BA1D95">
        <w:rPr>
          <w:rFonts w:ascii="ITC Avant Garde" w:hAnsi="ITC Avant Garde" w:cs="Arial"/>
          <w:sz w:val="22"/>
          <w:szCs w:val="22"/>
        </w:rPr>
        <w:t>.</w:t>
      </w:r>
    </w:p>
    <w:p w:rsidR="00EB44AF" w:rsidRPr="00EB44AF" w:rsidRDefault="00EB44AF" w:rsidP="00FF4EC6">
      <w:pPr>
        <w:pStyle w:val="Prrafodelista"/>
        <w:keepNext/>
        <w:numPr>
          <w:ilvl w:val="1"/>
          <w:numId w:val="194"/>
        </w:numPr>
        <w:spacing w:after="200" w:line="276" w:lineRule="auto"/>
        <w:jc w:val="both"/>
        <w:outlineLvl w:val="1"/>
        <w:rPr>
          <w:rFonts w:ascii="ITC Avant Garde" w:hAnsi="ITC Avant Garde" w:cs="Arial"/>
          <w:b/>
          <w:bCs/>
          <w:vanish/>
          <w:sz w:val="22"/>
          <w:szCs w:val="22"/>
          <w:lang w:val="es-MX" w:eastAsia="en-US"/>
        </w:rPr>
      </w:pPr>
      <w:bookmarkStart w:id="325" w:name="_Toc26902179"/>
      <w:bookmarkStart w:id="326" w:name="_Toc26903883"/>
      <w:bookmarkStart w:id="327" w:name="_Toc26981323"/>
      <w:bookmarkStart w:id="328" w:name="_Toc43827736"/>
      <w:bookmarkStart w:id="329" w:name="_Toc44311993"/>
      <w:bookmarkStart w:id="330" w:name="_Toc44412614"/>
      <w:bookmarkStart w:id="331" w:name="_Toc44413210"/>
      <w:bookmarkStart w:id="332" w:name="_Toc44413689"/>
      <w:bookmarkStart w:id="333" w:name="_Toc53499169"/>
      <w:bookmarkStart w:id="334" w:name="_Toc53500438"/>
      <w:bookmarkStart w:id="335" w:name="_Toc54106565"/>
      <w:bookmarkStart w:id="336" w:name="_Toc436840877"/>
      <w:bookmarkStart w:id="337" w:name="_Toc436846314"/>
      <w:bookmarkStart w:id="338" w:name="_Toc436848264"/>
      <w:bookmarkStart w:id="339" w:name="_Toc436856512"/>
      <w:bookmarkStart w:id="340" w:name="_Toc436862658"/>
      <w:bookmarkStart w:id="341" w:name="_Toc436866308"/>
      <w:bookmarkStart w:id="342" w:name="_Toc436870887"/>
      <w:bookmarkStart w:id="343" w:name="_Toc436875879"/>
      <w:bookmarkStart w:id="344" w:name="_Toc467248692"/>
      <w:bookmarkStart w:id="345" w:name="_Toc525904556"/>
      <w:bookmarkStart w:id="346" w:name="_Toc525913952"/>
      <w:bookmarkStart w:id="347" w:name="_Toc525919191"/>
      <w:bookmarkStart w:id="348" w:name="_Toc525919315"/>
      <w:bookmarkStart w:id="349" w:name="_Toc26273063"/>
      <w:bookmarkStart w:id="350" w:name="_Toc26284461"/>
      <w:bookmarkEnd w:id="325"/>
      <w:bookmarkEnd w:id="326"/>
      <w:bookmarkEnd w:id="327"/>
      <w:bookmarkEnd w:id="328"/>
      <w:bookmarkEnd w:id="329"/>
      <w:bookmarkEnd w:id="330"/>
      <w:bookmarkEnd w:id="331"/>
      <w:bookmarkEnd w:id="332"/>
      <w:bookmarkEnd w:id="333"/>
      <w:bookmarkEnd w:id="334"/>
      <w:bookmarkEnd w:id="335"/>
    </w:p>
    <w:p w:rsidR="00A47F9A" w:rsidRPr="00BA1D95" w:rsidRDefault="00A47F9A" w:rsidP="00FF4EC6">
      <w:pPr>
        <w:pStyle w:val="1TitPrin"/>
        <w:numPr>
          <w:ilvl w:val="1"/>
          <w:numId w:val="182"/>
        </w:numPr>
        <w:outlineLvl w:val="1"/>
      </w:pPr>
      <w:bookmarkStart w:id="351" w:name="_Toc2957125"/>
      <w:bookmarkStart w:id="352" w:name="_Toc54106566"/>
      <w:r w:rsidRPr="00BA1D95">
        <w:t xml:space="preserve">Procedimiento de acceso a la información contenida en el </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006B5A23">
        <w:t>SEG</w:t>
      </w:r>
      <w:bookmarkEnd w:id="352"/>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La información consultada a través del </w:t>
      </w:r>
      <w:r w:rsidR="006B5A23">
        <w:rPr>
          <w:rFonts w:ascii="ITC Avant Garde" w:hAnsi="ITC Avant Garde" w:cs="Arial"/>
        </w:rPr>
        <w:t>SEG</w:t>
      </w:r>
      <w:r w:rsidRPr="00BA1D95">
        <w:rPr>
          <w:rFonts w:ascii="ITC Avant Garde" w:hAnsi="ITC Avant Garde" w:cs="Arial"/>
        </w:rPr>
        <w:t xml:space="preserve"> </w:t>
      </w:r>
      <w:r w:rsidR="00222857" w:rsidRPr="00BA1D95">
        <w:rPr>
          <w:rFonts w:ascii="ITC Avant Garde" w:hAnsi="ITC Avant Garde" w:cs="Arial"/>
        </w:rPr>
        <w:t>debe</w:t>
      </w:r>
      <w:r w:rsidRPr="00BA1D95">
        <w:rPr>
          <w:rFonts w:ascii="ITC Avant Garde" w:hAnsi="ITC Avant Garde" w:cs="Arial"/>
        </w:rPr>
        <w:t xml:space="preserve"> ser la misma que la establecida en la interfaz, la cual </w:t>
      </w:r>
      <w:r w:rsidR="00222857" w:rsidRPr="00BA1D95">
        <w:rPr>
          <w:rFonts w:ascii="ITC Avant Garde" w:hAnsi="ITC Avant Garde" w:cs="Arial"/>
        </w:rPr>
        <w:t>es</w:t>
      </w:r>
      <w:r w:rsidRPr="00BA1D95">
        <w:rPr>
          <w:rFonts w:ascii="ITC Avant Garde" w:hAnsi="ITC Avant Garde" w:cs="Arial"/>
        </w:rPr>
        <w:t xml:space="preserve"> proporcionada con las mismas características con las que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utiliza dicha información para sus propias operaciones, así como de sus filiales y subsidiarias.</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lastRenderedPageBreak/>
        <w:t xml:space="preserve">En específico para acceder a la información contenida en el </w:t>
      </w:r>
      <w:r w:rsidR="006B5A23">
        <w:rPr>
          <w:rFonts w:ascii="ITC Avant Garde" w:hAnsi="ITC Avant Garde" w:cs="Arial"/>
        </w:rPr>
        <w:t>SEG</w:t>
      </w:r>
      <w:r w:rsidRPr="00BA1D95">
        <w:rPr>
          <w:rFonts w:ascii="ITC Avant Garde" w:hAnsi="ITC Avant Garde" w:cs="Arial"/>
        </w:rPr>
        <w:t>, el procedimiento será el siguiente:</w:t>
      </w:r>
    </w:p>
    <w:p w:rsidR="00A47F9A" w:rsidRDefault="00A47F9A" w:rsidP="008F5D32">
      <w:pPr>
        <w:pStyle w:val="Prrafodelista"/>
        <w:numPr>
          <w:ilvl w:val="0"/>
          <w:numId w:val="38"/>
        </w:numPr>
        <w:spacing w:after="200" w:line="276" w:lineRule="auto"/>
        <w:ind w:hanging="357"/>
        <w:rPr>
          <w:rFonts w:ascii="ITC Avant Garde" w:hAnsi="ITC Avant Garde" w:cs="Arial"/>
          <w:sz w:val="22"/>
          <w:szCs w:val="22"/>
          <w:lang w:val="es-MX"/>
        </w:rPr>
      </w:pPr>
      <w:r w:rsidRPr="00BA1D95">
        <w:rPr>
          <w:rFonts w:ascii="ITC Avant Garde" w:hAnsi="ITC Avant Garde" w:cs="Arial"/>
          <w:sz w:val="22"/>
          <w:szCs w:val="22"/>
          <w:lang w:val="es-MX"/>
        </w:rPr>
        <w:t xml:space="preserve">El CS deberá ingresar al </w:t>
      </w:r>
      <w:r w:rsidR="006B5A23">
        <w:rPr>
          <w:rFonts w:ascii="ITC Avant Garde" w:hAnsi="ITC Avant Garde" w:cs="Arial"/>
          <w:sz w:val="22"/>
          <w:szCs w:val="22"/>
          <w:lang w:val="es-MX"/>
        </w:rPr>
        <w:t>SEG</w:t>
      </w:r>
      <w:r w:rsidRPr="00BA1D95">
        <w:rPr>
          <w:rFonts w:ascii="ITC Avant Garde" w:hAnsi="ITC Avant Garde" w:cs="Arial"/>
          <w:sz w:val="22"/>
          <w:szCs w:val="22"/>
          <w:lang w:val="es-MX"/>
        </w:rPr>
        <w:t xml:space="preserve"> con </w:t>
      </w:r>
      <w:r w:rsidR="00D25A15">
        <w:rPr>
          <w:rFonts w:ascii="ITC Avant Garde" w:hAnsi="ITC Avant Garde" w:cs="Arial"/>
          <w:sz w:val="22"/>
          <w:szCs w:val="22"/>
          <w:lang w:val="es-MX"/>
        </w:rPr>
        <w:t>el usuario de altos privilegios proporcionado por Telmex/Telnor para la creación y gestión de usuarios operativos.</w:t>
      </w:r>
    </w:p>
    <w:p w:rsidR="00D25A15" w:rsidRPr="00BA1D95" w:rsidRDefault="00D25A15" w:rsidP="008F5D32">
      <w:pPr>
        <w:pStyle w:val="Prrafodelista"/>
        <w:numPr>
          <w:ilvl w:val="0"/>
          <w:numId w:val="38"/>
        </w:numPr>
        <w:spacing w:after="200" w:line="276" w:lineRule="auto"/>
        <w:ind w:hanging="357"/>
        <w:rPr>
          <w:rFonts w:ascii="ITC Avant Garde" w:hAnsi="ITC Avant Garde" w:cs="Arial"/>
          <w:sz w:val="22"/>
          <w:szCs w:val="22"/>
          <w:lang w:val="es-MX"/>
        </w:rPr>
      </w:pPr>
      <w:r>
        <w:rPr>
          <w:rFonts w:ascii="ITC Avant Garde" w:hAnsi="ITC Avant Garde" w:cs="Arial"/>
          <w:sz w:val="22"/>
          <w:szCs w:val="22"/>
          <w:lang w:val="es-MX"/>
        </w:rPr>
        <w:t>El CS ingresará al SEG con un usuario operativo con el nombre de usuario y contraseña que haya determinado.</w:t>
      </w:r>
    </w:p>
    <w:p w:rsidR="00A47F9A" w:rsidRPr="00BA1D95" w:rsidRDefault="00A47F9A" w:rsidP="008F5D32">
      <w:pPr>
        <w:pStyle w:val="Prrafodelista"/>
        <w:numPr>
          <w:ilvl w:val="0"/>
          <w:numId w:val="38"/>
        </w:numPr>
        <w:spacing w:after="200" w:line="276" w:lineRule="auto"/>
        <w:ind w:hanging="357"/>
        <w:rPr>
          <w:rFonts w:ascii="ITC Avant Garde" w:hAnsi="ITC Avant Garde" w:cs="Arial"/>
          <w:sz w:val="22"/>
          <w:szCs w:val="22"/>
          <w:lang w:val="es-MX"/>
        </w:rPr>
      </w:pPr>
      <w:r w:rsidRPr="00BA1D95">
        <w:rPr>
          <w:rFonts w:ascii="ITC Avant Garde" w:hAnsi="ITC Avant Garde" w:cs="Arial"/>
          <w:sz w:val="22"/>
          <w:szCs w:val="22"/>
          <w:lang w:val="es-MX"/>
        </w:rPr>
        <w:t>Para consultar información el CS deberá ingresar al módulo Documentación y en la opción Consulta de Información OREDA</w:t>
      </w:r>
    </w:p>
    <w:p w:rsidR="00A47F9A" w:rsidRPr="00BA1D95" w:rsidRDefault="00A47F9A" w:rsidP="008F5D32">
      <w:pPr>
        <w:pStyle w:val="Prrafodelista"/>
        <w:numPr>
          <w:ilvl w:val="1"/>
          <w:numId w:val="38"/>
        </w:numPr>
        <w:spacing w:after="200" w:line="276" w:lineRule="auto"/>
        <w:ind w:hanging="357"/>
        <w:rPr>
          <w:rFonts w:ascii="ITC Avant Garde" w:hAnsi="ITC Avant Garde" w:cs="Arial"/>
          <w:sz w:val="22"/>
          <w:szCs w:val="22"/>
          <w:lang w:val="es-MX"/>
        </w:rPr>
      </w:pPr>
      <w:r w:rsidRPr="00BA1D95">
        <w:rPr>
          <w:rFonts w:ascii="ITC Avant Garde" w:hAnsi="ITC Avant Garde" w:cs="Arial"/>
          <w:sz w:val="22"/>
          <w:szCs w:val="22"/>
          <w:lang w:val="es-MX"/>
        </w:rPr>
        <w:t>Se desplegarán las distintas categorías de información disponibles</w:t>
      </w:r>
    </w:p>
    <w:p w:rsidR="00A47F9A" w:rsidRPr="00BA1D95" w:rsidRDefault="00A47F9A" w:rsidP="008F5D32">
      <w:pPr>
        <w:pStyle w:val="Prrafodelista"/>
        <w:numPr>
          <w:ilvl w:val="1"/>
          <w:numId w:val="38"/>
        </w:numPr>
        <w:spacing w:after="200" w:line="276" w:lineRule="auto"/>
        <w:ind w:hanging="357"/>
        <w:rPr>
          <w:rFonts w:ascii="ITC Avant Garde" w:hAnsi="ITC Avant Garde" w:cs="Arial"/>
          <w:sz w:val="22"/>
          <w:szCs w:val="22"/>
          <w:lang w:val="es-MX"/>
        </w:rPr>
      </w:pPr>
      <w:r w:rsidRPr="00BA1D95">
        <w:rPr>
          <w:rFonts w:ascii="ITC Avant Garde" w:hAnsi="ITC Avant Garde" w:cs="Arial"/>
          <w:sz w:val="22"/>
          <w:szCs w:val="22"/>
          <w:lang w:val="es-MX"/>
        </w:rPr>
        <w:t>El CS seleccionará la categoría de interés</w:t>
      </w:r>
    </w:p>
    <w:p w:rsidR="00A47F9A" w:rsidRPr="00BA1D95" w:rsidRDefault="00A47F9A" w:rsidP="008F5D32">
      <w:pPr>
        <w:pStyle w:val="Prrafodelista"/>
        <w:numPr>
          <w:ilvl w:val="0"/>
          <w:numId w:val="38"/>
        </w:numPr>
        <w:spacing w:after="200" w:line="276" w:lineRule="auto"/>
        <w:ind w:hanging="357"/>
        <w:rPr>
          <w:rFonts w:ascii="ITC Avant Garde" w:hAnsi="ITC Avant Garde" w:cs="Arial"/>
          <w:sz w:val="22"/>
          <w:szCs w:val="22"/>
          <w:lang w:val="es-MX"/>
        </w:rPr>
      </w:pPr>
      <w:r w:rsidRPr="00BA1D95">
        <w:rPr>
          <w:rFonts w:ascii="ITC Avant Garde" w:hAnsi="ITC Avant Garde" w:cs="Arial"/>
          <w:sz w:val="22"/>
          <w:szCs w:val="22"/>
          <w:lang w:val="es-MX"/>
        </w:rPr>
        <w:t>El Sistema proporcionará la información solicitada por el CS</w:t>
      </w:r>
    </w:p>
    <w:p w:rsidR="00A47F9A" w:rsidRPr="00BA1D95" w:rsidRDefault="00A47F9A" w:rsidP="00FF4EC6">
      <w:pPr>
        <w:pStyle w:val="1TitPrin"/>
        <w:numPr>
          <w:ilvl w:val="1"/>
          <w:numId w:val="182"/>
        </w:numPr>
        <w:outlineLvl w:val="1"/>
      </w:pPr>
      <w:bookmarkStart w:id="353" w:name="_Toc436840878"/>
      <w:bookmarkStart w:id="354" w:name="_Toc436846315"/>
      <w:bookmarkStart w:id="355" w:name="_Toc436848265"/>
      <w:bookmarkStart w:id="356" w:name="_Toc436856513"/>
      <w:bookmarkStart w:id="357" w:name="_Toc436862659"/>
      <w:bookmarkStart w:id="358" w:name="_Toc436866309"/>
      <w:bookmarkStart w:id="359" w:name="_Toc436870888"/>
      <w:bookmarkStart w:id="360" w:name="_Toc436875880"/>
      <w:bookmarkStart w:id="361" w:name="_Toc467248693"/>
      <w:bookmarkStart w:id="362" w:name="_Toc525904557"/>
      <w:bookmarkStart w:id="363" w:name="_Toc525913953"/>
      <w:bookmarkStart w:id="364" w:name="_Toc525919192"/>
      <w:bookmarkStart w:id="365" w:name="_Toc525919316"/>
      <w:bookmarkStart w:id="366" w:name="_Toc26273064"/>
      <w:bookmarkStart w:id="367" w:name="_Toc26284462"/>
      <w:bookmarkStart w:id="368" w:name="_Toc2957126"/>
      <w:bookmarkStart w:id="369" w:name="_Toc54106567"/>
      <w:r w:rsidRPr="00BA1D95">
        <w:t>Procedimiento de acceso a la información de forma presencial</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rsidR="00A47F9A" w:rsidRPr="00BA1D95" w:rsidRDefault="00A47F9A" w:rsidP="004B11EB">
      <w:pPr>
        <w:pStyle w:val="Texto1"/>
        <w:spacing w:after="200" w:line="276" w:lineRule="auto"/>
        <w:ind w:left="0"/>
        <w:rPr>
          <w:rFonts w:ascii="ITC Avant Garde" w:hAnsi="ITC Avant Garde" w:cs="Arial"/>
          <w:sz w:val="22"/>
          <w:szCs w:val="22"/>
        </w:rPr>
      </w:pPr>
      <w:r w:rsidRPr="00BA1D95">
        <w:rPr>
          <w:rFonts w:ascii="ITC Avant Garde" w:hAnsi="ITC Avant Garde" w:cs="Arial"/>
          <w:sz w:val="22"/>
          <w:szCs w:val="22"/>
        </w:rPr>
        <w:t>Este procedimiento aplicará en caso de que el acceso vía internet no esté operando adecuadamente, o cuando el CS lo requiera; para acceder al mismo se deberá llevar a cabo el siguiente procedimiento:</w:t>
      </w:r>
    </w:p>
    <w:p w:rsidR="00A47F9A" w:rsidRPr="00BA1D95" w:rsidRDefault="00A47F9A" w:rsidP="008F5D32">
      <w:pPr>
        <w:pStyle w:val="Texto1"/>
        <w:numPr>
          <w:ilvl w:val="0"/>
          <w:numId w:val="31"/>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El Responsable del CS deberá acudir a las instalaciones de </w:t>
      </w:r>
      <w:r w:rsidR="00E83F21">
        <w:rPr>
          <w:rFonts w:ascii="ITC Avant Garde" w:hAnsi="ITC Avant Garde" w:cs="Arial"/>
          <w:sz w:val="22"/>
          <w:szCs w:val="22"/>
        </w:rPr>
        <w:t>Telmex / Telnor</w:t>
      </w:r>
      <w:r w:rsidR="004D02F2" w:rsidRPr="00BA1D95">
        <w:rPr>
          <w:rFonts w:ascii="ITC Avant Garde" w:hAnsi="ITC Avant Garde" w:cs="Arial"/>
          <w:sz w:val="22"/>
          <w:szCs w:val="22"/>
        </w:rPr>
        <w:t xml:space="preserve"> </w:t>
      </w:r>
      <w:r w:rsidRPr="00BA1D95">
        <w:rPr>
          <w:rFonts w:ascii="ITC Avant Garde" w:hAnsi="ITC Avant Garde" w:cs="Arial"/>
          <w:sz w:val="22"/>
          <w:szCs w:val="22"/>
        </w:rPr>
        <w:t xml:space="preserve"> (Parque Vía 190, Colonia Cuauhtémoc, </w:t>
      </w:r>
      <w:r w:rsidR="008B1B86" w:rsidRPr="00BA1D95">
        <w:rPr>
          <w:rFonts w:ascii="ITC Avant Garde" w:hAnsi="ITC Avant Garde" w:cs="Arial"/>
          <w:sz w:val="22"/>
          <w:szCs w:val="22"/>
        </w:rPr>
        <w:t xml:space="preserve">Demarcación Territorial </w:t>
      </w:r>
      <w:r w:rsidRPr="00BA1D95">
        <w:rPr>
          <w:rFonts w:ascii="ITC Avant Garde" w:hAnsi="ITC Avant Garde" w:cs="Arial"/>
          <w:sz w:val="22"/>
          <w:szCs w:val="22"/>
        </w:rPr>
        <w:t xml:space="preserve">Cuauhtémoc, C.P. </w:t>
      </w:r>
      <w:r w:rsidR="008B1B86" w:rsidRPr="00BA1D95">
        <w:rPr>
          <w:rFonts w:ascii="ITC Avant Garde" w:hAnsi="ITC Avant Garde" w:cs="Arial"/>
          <w:sz w:val="22"/>
          <w:szCs w:val="22"/>
        </w:rPr>
        <w:t>06500</w:t>
      </w:r>
      <w:r w:rsidRPr="00BA1D95">
        <w:rPr>
          <w:rFonts w:ascii="ITC Avant Garde" w:hAnsi="ITC Avant Garde" w:cs="Arial"/>
          <w:sz w:val="22"/>
          <w:szCs w:val="22"/>
        </w:rPr>
        <w:t xml:space="preserve">, Ciudad de México), </w:t>
      </w:r>
      <w:r w:rsidR="008B1B86" w:rsidRPr="00BA1D95">
        <w:rPr>
          <w:rFonts w:ascii="ITC Avant Garde" w:hAnsi="ITC Avant Garde" w:cs="Arial"/>
          <w:sz w:val="22"/>
          <w:szCs w:val="22"/>
        </w:rPr>
        <w:t>P</w:t>
      </w:r>
      <w:r w:rsidRPr="00BA1D95">
        <w:rPr>
          <w:rFonts w:ascii="ITC Avant Garde" w:hAnsi="ITC Avant Garde" w:cs="Arial"/>
          <w:sz w:val="22"/>
          <w:szCs w:val="22"/>
        </w:rPr>
        <w:t xml:space="preserve">iso 9, Área de </w:t>
      </w:r>
      <w:r w:rsidR="008B1B86" w:rsidRPr="00BA1D95">
        <w:rPr>
          <w:rFonts w:ascii="ITC Avant Garde" w:hAnsi="ITC Avant Garde" w:cs="Arial"/>
          <w:sz w:val="22"/>
          <w:szCs w:val="22"/>
        </w:rPr>
        <w:t xml:space="preserve">Atención a </w:t>
      </w:r>
      <w:r w:rsidRPr="00BA1D95">
        <w:rPr>
          <w:rFonts w:ascii="ITC Avant Garde" w:hAnsi="ITC Avant Garde" w:cs="Arial"/>
          <w:sz w:val="22"/>
          <w:szCs w:val="22"/>
        </w:rPr>
        <w:t xml:space="preserve">Operadores, Grupo de Servicios de Desagregación, en un horario de 09:00 a 14:00 y de 16:00 a 19:00 horas de lunes a viernes, e identificarse adecuadamente, mostrando una identificación oficial, la credencial vigente de su empresa, y una carta membretada </w:t>
      </w:r>
      <w:r w:rsidR="008B1B86" w:rsidRPr="00BA1D95">
        <w:rPr>
          <w:rFonts w:ascii="ITC Avant Garde" w:hAnsi="ITC Avant Garde" w:cs="Arial"/>
          <w:sz w:val="22"/>
          <w:szCs w:val="22"/>
        </w:rPr>
        <w:t>debidamente firmada por el representante legal del CS, en la cual se le autorice</w:t>
      </w:r>
      <w:r w:rsidRPr="00BA1D95">
        <w:rPr>
          <w:rFonts w:ascii="ITC Avant Garde" w:hAnsi="ITC Avant Garde" w:cs="Arial"/>
          <w:sz w:val="22"/>
          <w:szCs w:val="22"/>
        </w:rPr>
        <w:t xml:space="preserve"> para solicitar y recibir acceso a consulta de información presencial</w:t>
      </w:r>
      <w:r w:rsidR="008B1B86" w:rsidRPr="00BA1D95">
        <w:rPr>
          <w:rFonts w:ascii="ITC Avant Garde" w:hAnsi="ITC Avant Garde" w:cs="Arial"/>
          <w:sz w:val="22"/>
          <w:szCs w:val="22"/>
        </w:rPr>
        <w:t>, la cual se acompañará del acta notarial en el que conste la personalidad del representante legal del CS.</w:t>
      </w:r>
    </w:p>
    <w:p w:rsidR="00A47F9A" w:rsidRPr="00BA1D95" w:rsidRDefault="00A47F9A" w:rsidP="008F5D32">
      <w:pPr>
        <w:pStyle w:val="Texto1"/>
        <w:numPr>
          <w:ilvl w:val="0"/>
          <w:numId w:val="31"/>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Una vez acreditada la identidad y autorización del </w:t>
      </w:r>
      <w:r w:rsidR="00FE2F02" w:rsidRPr="00BA1D95">
        <w:rPr>
          <w:rFonts w:ascii="ITC Avant Garde" w:hAnsi="ITC Avant Garde" w:cs="Arial"/>
          <w:sz w:val="22"/>
          <w:szCs w:val="22"/>
        </w:rPr>
        <w:t>responsable</w:t>
      </w:r>
      <w:r w:rsidRPr="00BA1D95">
        <w:rPr>
          <w:rFonts w:ascii="ITC Avant Garde" w:hAnsi="ITC Avant Garde" w:cs="Arial"/>
          <w:sz w:val="22"/>
          <w:szCs w:val="22"/>
        </w:rPr>
        <w:t xml:space="preserve"> del CS, éste deberá llenar el formato de solicitud de información y entregarlo al personal de </w:t>
      </w:r>
      <w:r w:rsidR="00E83F21">
        <w:rPr>
          <w:rFonts w:ascii="ITC Avant Garde" w:hAnsi="ITC Avant Garde" w:cs="Arial"/>
          <w:sz w:val="22"/>
          <w:szCs w:val="22"/>
        </w:rPr>
        <w:t>Telmex / Telnor</w:t>
      </w:r>
      <w:r w:rsidR="00E96744" w:rsidRPr="00BA1D95">
        <w:rPr>
          <w:rFonts w:ascii="ITC Avant Garde" w:hAnsi="ITC Avant Garde" w:cs="Arial"/>
          <w:sz w:val="22"/>
          <w:szCs w:val="22"/>
        </w:rPr>
        <w:t xml:space="preserve"> </w:t>
      </w:r>
      <w:r w:rsidRPr="00BA1D95">
        <w:rPr>
          <w:rFonts w:ascii="ITC Avant Garde" w:hAnsi="ITC Avant Garde" w:cs="Arial"/>
          <w:sz w:val="22"/>
          <w:szCs w:val="22"/>
        </w:rPr>
        <w:t xml:space="preserve">para efectuar la validación. La solicitud de información podrá contemplar la totalidad de la información de las bases de datos establecidas en </w:t>
      </w:r>
      <w:r w:rsidR="00A9417C">
        <w:rPr>
          <w:rFonts w:ascii="ITC Avant Garde" w:hAnsi="ITC Avant Garde" w:cs="Arial"/>
          <w:sz w:val="22"/>
          <w:szCs w:val="22"/>
        </w:rPr>
        <w:t>esta sección de la</w:t>
      </w:r>
      <w:r w:rsidRPr="00BA1D95">
        <w:rPr>
          <w:rFonts w:ascii="ITC Avant Garde" w:hAnsi="ITC Avant Garde" w:cs="Arial"/>
          <w:sz w:val="22"/>
          <w:szCs w:val="22"/>
        </w:rPr>
        <w:t xml:space="preserve"> OREDA.</w:t>
      </w:r>
    </w:p>
    <w:p w:rsidR="00A47F9A" w:rsidRPr="00BA1D95" w:rsidRDefault="00A47F9A" w:rsidP="008F5D32">
      <w:pPr>
        <w:pStyle w:val="Texto1"/>
        <w:numPr>
          <w:ilvl w:val="0"/>
          <w:numId w:val="31"/>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Cubierto el punto anterior, en un día hábil </w:t>
      </w:r>
      <w:r w:rsidR="00E83F21">
        <w:rPr>
          <w:rFonts w:ascii="ITC Avant Garde" w:hAnsi="ITC Avant Garde" w:cs="Arial"/>
          <w:sz w:val="22"/>
          <w:szCs w:val="22"/>
        </w:rPr>
        <w:t>Telmex / Telnor</w:t>
      </w:r>
      <w:r w:rsidR="00E96744" w:rsidRPr="00BA1D95">
        <w:rPr>
          <w:rFonts w:ascii="ITC Avant Garde" w:hAnsi="ITC Avant Garde" w:cs="Arial"/>
          <w:sz w:val="22"/>
          <w:szCs w:val="22"/>
        </w:rPr>
        <w:t xml:space="preserve"> </w:t>
      </w:r>
      <w:r w:rsidRPr="00BA1D95">
        <w:rPr>
          <w:rFonts w:ascii="ITC Avant Garde" w:hAnsi="ITC Avant Garde" w:cs="Arial"/>
          <w:sz w:val="22"/>
          <w:szCs w:val="22"/>
        </w:rPr>
        <w:t>entregará la información solicitada mediante discos compactos o unidades de almacenamiento digital.</w:t>
      </w:r>
    </w:p>
    <w:p w:rsidR="00A47F9A" w:rsidRPr="00BA1D95" w:rsidRDefault="00A47F9A" w:rsidP="00FF4EC6">
      <w:pPr>
        <w:pStyle w:val="1TitPrin"/>
        <w:numPr>
          <w:ilvl w:val="1"/>
          <w:numId w:val="182"/>
        </w:numPr>
        <w:outlineLvl w:val="1"/>
      </w:pPr>
      <w:bookmarkStart w:id="370" w:name="_Toc436840879"/>
      <w:bookmarkStart w:id="371" w:name="_Toc436846316"/>
      <w:bookmarkStart w:id="372" w:name="_Toc436848266"/>
      <w:bookmarkStart w:id="373" w:name="_Toc436856514"/>
      <w:bookmarkStart w:id="374" w:name="_Toc436862660"/>
      <w:bookmarkStart w:id="375" w:name="_Toc436866310"/>
      <w:bookmarkStart w:id="376" w:name="_Toc436870889"/>
      <w:bookmarkStart w:id="377" w:name="_Toc436875881"/>
      <w:bookmarkStart w:id="378" w:name="_Toc467248694"/>
      <w:bookmarkStart w:id="379" w:name="_Toc525904558"/>
      <w:bookmarkStart w:id="380" w:name="_Toc525913954"/>
      <w:bookmarkStart w:id="381" w:name="_Toc525919193"/>
      <w:bookmarkStart w:id="382" w:name="_Toc525919317"/>
      <w:bookmarkStart w:id="383" w:name="_Toc26273065"/>
      <w:bookmarkStart w:id="384" w:name="_Toc26284463"/>
      <w:bookmarkStart w:id="385" w:name="_Toc2957127"/>
      <w:bookmarkStart w:id="386" w:name="_Toc54106568"/>
      <w:r w:rsidRPr="00BA1D95">
        <w:t>Procedimiento de acceso a la información a través del medio alterno</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lastRenderedPageBreak/>
        <w:t xml:space="preserve">El medio alterno para que los CS accedan a la información señalada en los puntos anteriores en caso de que el </w:t>
      </w:r>
      <w:r w:rsidR="006B5A23">
        <w:rPr>
          <w:rFonts w:ascii="ITC Avant Garde" w:hAnsi="ITC Avant Garde" w:cs="Arial"/>
        </w:rPr>
        <w:t>SEG</w:t>
      </w:r>
      <w:r w:rsidRPr="00BA1D95">
        <w:rPr>
          <w:rFonts w:ascii="ITC Avant Garde" w:hAnsi="ITC Avant Garde" w:cs="Arial"/>
        </w:rPr>
        <w:t xml:space="preserve"> no se encuentre disponible, es el siguiente: </w:t>
      </w:r>
    </w:p>
    <w:p w:rsidR="00A47F9A" w:rsidRPr="00BA1D95" w:rsidRDefault="00A47F9A" w:rsidP="008F5D32">
      <w:pPr>
        <w:pStyle w:val="Texto1"/>
        <w:numPr>
          <w:ilvl w:val="0"/>
          <w:numId w:val="41"/>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El Responsable del CS deberá acudir a las instalaciones de </w:t>
      </w:r>
      <w:r w:rsidR="00E83F21">
        <w:rPr>
          <w:rFonts w:ascii="ITC Avant Garde" w:hAnsi="ITC Avant Garde" w:cs="Arial"/>
          <w:sz w:val="22"/>
          <w:szCs w:val="22"/>
        </w:rPr>
        <w:t>Telmex / Telnor</w:t>
      </w:r>
      <w:r w:rsidR="00E96744" w:rsidRPr="00BA1D95">
        <w:rPr>
          <w:rFonts w:ascii="ITC Avant Garde" w:hAnsi="ITC Avant Garde" w:cs="Arial"/>
          <w:sz w:val="22"/>
          <w:szCs w:val="22"/>
        </w:rPr>
        <w:t xml:space="preserve"> </w:t>
      </w:r>
      <w:r w:rsidRPr="00BA1D95">
        <w:rPr>
          <w:rFonts w:ascii="ITC Avant Garde" w:hAnsi="ITC Avant Garde" w:cs="Arial"/>
          <w:sz w:val="22"/>
          <w:szCs w:val="22"/>
        </w:rPr>
        <w:t xml:space="preserve"> (Parque Vía 190, Colonia Cuauhtémoc, </w:t>
      </w:r>
      <w:r w:rsidR="008B1B86" w:rsidRPr="00BA1D95">
        <w:rPr>
          <w:rFonts w:ascii="ITC Avant Garde" w:hAnsi="ITC Avant Garde" w:cs="Arial"/>
          <w:sz w:val="22"/>
          <w:szCs w:val="22"/>
        </w:rPr>
        <w:t xml:space="preserve">Demarcación Territorial </w:t>
      </w:r>
      <w:r w:rsidRPr="00BA1D95">
        <w:rPr>
          <w:rFonts w:ascii="ITC Avant Garde" w:hAnsi="ITC Avant Garde" w:cs="Arial"/>
          <w:sz w:val="22"/>
          <w:szCs w:val="22"/>
        </w:rPr>
        <w:t xml:space="preserve">Cuauhtémoc, C.P. </w:t>
      </w:r>
      <w:r w:rsidR="008B1B86" w:rsidRPr="00BA1D95">
        <w:rPr>
          <w:rFonts w:ascii="ITC Avant Garde" w:hAnsi="ITC Avant Garde" w:cs="Arial"/>
          <w:sz w:val="22"/>
          <w:szCs w:val="22"/>
        </w:rPr>
        <w:t>06500</w:t>
      </w:r>
      <w:r w:rsidRPr="00BA1D95">
        <w:rPr>
          <w:rFonts w:ascii="ITC Avant Garde" w:hAnsi="ITC Avant Garde" w:cs="Arial"/>
          <w:sz w:val="22"/>
          <w:szCs w:val="22"/>
        </w:rPr>
        <w:t xml:space="preserve">, Ciudad de México), </w:t>
      </w:r>
      <w:r w:rsidR="008B1B86" w:rsidRPr="00BA1D95">
        <w:rPr>
          <w:rFonts w:ascii="ITC Avant Garde" w:hAnsi="ITC Avant Garde" w:cs="Arial"/>
          <w:sz w:val="22"/>
          <w:szCs w:val="22"/>
        </w:rPr>
        <w:t xml:space="preserve">Piso </w:t>
      </w:r>
      <w:r w:rsidRPr="00BA1D95">
        <w:rPr>
          <w:rFonts w:ascii="ITC Avant Garde" w:hAnsi="ITC Avant Garde" w:cs="Arial"/>
          <w:sz w:val="22"/>
          <w:szCs w:val="22"/>
        </w:rPr>
        <w:t xml:space="preserve">9, Área de </w:t>
      </w:r>
      <w:r w:rsidR="008B1B86" w:rsidRPr="00BA1D95">
        <w:rPr>
          <w:rFonts w:ascii="ITC Avant Garde" w:hAnsi="ITC Avant Garde" w:cs="Arial"/>
          <w:sz w:val="22"/>
          <w:szCs w:val="22"/>
        </w:rPr>
        <w:t xml:space="preserve">Atención a </w:t>
      </w:r>
      <w:r w:rsidRPr="00BA1D95">
        <w:rPr>
          <w:rFonts w:ascii="ITC Avant Garde" w:hAnsi="ITC Avant Garde" w:cs="Arial"/>
          <w:sz w:val="22"/>
          <w:szCs w:val="22"/>
        </w:rPr>
        <w:t xml:space="preserve">Operadores, Grupo de Servicios de Desagregación, en un horario de 09:00 a 14:00 y de 16:00 a 19:00 horas de lunes a viernes, e identificarse adecuadamente, mostrando una identificación oficial, la credencial vigente de su empresa, y una carta membretada de autorización </w:t>
      </w:r>
      <w:r w:rsidR="008B1B86" w:rsidRPr="00BA1D95">
        <w:rPr>
          <w:rFonts w:ascii="ITC Avant Garde" w:hAnsi="ITC Avant Garde" w:cs="Arial"/>
          <w:sz w:val="22"/>
          <w:szCs w:val="22"/>
        </w:rPr>
        <w:t xml:space="preserve">debidamente </w:t>
      </w:r>
      <w:r w:rsidRPr="00BA1D95">
        <w:rPr>
          <w:rFonts w:ascii="ITC Avant Garde" w:hAnsi="ITC Avant Garde" w:cs="Arial"/>
          <w:sz w:val="22"/>
          <w:szCs w:val="22"/>
        </w:rPr>
        <w:t>firmada por el representante legal del CS</w:t>
      </w:r>
      <w:r w:rsidR="008B1B86" w:rsidRPr="00BA1D95">
        <w:rPr>
          <w:rFonts w:ascii="ITC Avant Garde" w:hAnsi="ITC Avant Garde" w:cs="Arial"/>
          <w:sz w:val="22"/>
          <w:szCs w:val="22"/>
        </w:rPr>
        <w:t xml:space="preserve">, acompañada del acta notarial en la que consten sus facultades </w:t>
      </w:r>
      <w:r w:rsidRPr="00BA1D95">
        <w:rPr>
          <w:rFonts w:ascii="ITC Avant Garde" w:hAnsi="ITC Avant Garde" w:cs="Arial"/>
          <w:sz w:val="22"/>
          <w:szCs w:val="22"/>
        </w:rPr>
        <w:t xml:space="preserve">. </w:t>
      </w:r>
    </w:p>
    <w:p w:rsidR="00A47F9A" w:rsidRPr="00BA1D95" w:rsidRDefault="00A47F9A" w:rsidP="008F5D32">
      <w:pPr>
        <w:pStyle w:val="Texto1"/>
        <w:numPr>
          <w:ilvl w:val="0"/>
          <w:numId w:val="41"/>
        </w:numPr>
        <w:spacing w:after="200" w:line="276" w:lineRule="auto"/>
        <w:rPr>
          <w:rFonts w:ascii="ITC Avant Garde" w:hAnsi="ITC Avant Garde" w:cs="Arial"/>
          <w:sz w:val="22"/>
          <w:szCs w:val="22"/>
        </w:rPr>
      </w:pPr>
      <w:r w:rsidRPr="00BA1D95">
        <w:rPr>
          <w:rFonts w:ascii="ITC Avant Garde" w:hAnsi="ITC Avant Garde" w:cs="Arial"/>
          <w:sz w:val="22"/>
          <w:szCs w:val="22"/>
        </w:rPr>
        <w:t>Una vez acreditada la identidad y autorización del</w:t>
      </w:r>
      <w:r w:rsidR="00FE2F02" w:rsidRPr="00BA1D95">
        <w:rPr>
          <w:rFonts w:ascii="ITC Avant Garde" w:hAnsi="ITC Avant Garde" w:cs="Arial"/>
          <w:sz w:val="22"/>
          <w:szCs w:val="22"/>
        </w:rPr>
        <w:t xml:space="preserve"> r</w:t>
      </w:r>
      <w:r w:rsidRPr="00BA1D95">
        <w:rPr>
          <w:rFonts w:ascii="ITC Avant Garde" w:hAnsi="ITC Avant Garde" w:cs="Arial"/>
          <w:sz w:val="22"/>
          <w:szCs w:val="22"/>
        </w:rPr>
        <w:t xml:space="preserve">esponsable del CS, </w:t>
      </w:r>
      <w:r w:rsidR="00E83F21">
        <w:rPr>
          <w:rFonts w:ascii="ITC Avant Garde" w:hAnsi="ITC Avant Garde" w:cs="Arial"/>
          <w:sz w:val="22"/>
          <w:szCs w:val="22"/>
        </w:rPr>
        <w:t>Telmex / Telnor</w:t>
      </w:r>
      <w:r w:rsidR="00E96744" w:rsidRPr="00BA1D95">
        <w:rPr>
          <w:rFonts w:ascii="ITC Avant Garde" w:hAnsi="ITC Avant Garde" w:cs="Arial"/>
          <w:sz w:val="22"/>
          <w:szCs w:val="22"/>
        </w:rPr>
        <w:t xml:space="preserve"> </w:t>
      </w:r>
      <w:r w:rsidRPr="00BA1D95">
        <w:rPr>
          <w:rFonts w:ascii="ITC Avant Garde" w:hAnsi="ITC Avant Garde" w:cs="Arial"/>
          <w:sz w:val="22"/>
          <w:szCs w:val="22"/>
        </w:rPr>
        <w:t>facilitará un equipo de cómputo para que el CS realice la consulta de información.</w:t>
      </w:r>
    </w:p>
    <w:p w:rsidR="00601A9D" w:rsidRPr="004F0519" w:rsidRDefault="00A47F9A" w:rsidP="004F0519">
      <w:pPr>
        <w:pStyle w:val="Texto1"/>
        <w:numPr>
          <w:ilvl w:val="0"/>
          <w:numId w:val="41"/>
        </w:numPr>
        <w:spacing w:after="200" w:line="276" w:lineRule="auto"/>
        <w:rPr>
          <w:rFonts w:ascii="ITC Avant Garde" w:hAnsi="ITC Avant Garde" w:cs="Arial"/>
          <w:sz w:val="22"/>
          <w:szCs w:val="22"/>
        </w:rPr>
      </w:pPr>
      <w:r w:rsidRPr="00BA1D95">
        <w:rPr>
          <w:rFonts w:ascii="ITC Avant Garde" w:hAnsi="ITC Avant Garde" w:cs="Arial"/>
          <w:sz w:val="22"/>
          <w:szCs w:val="22"/>
        </w:rPr>
        <w:t xml:space="preserve"> El acceso a la información se realizará con el mismo usuario y contraseña que el CS utiliza en la interfaz de consulta a través de la página de internet de </w:t>
      </w:r>
      <w:r w:rsidR="00E83F21">
        <w:rPr>
          <w:rFonts w:ascii="ITC Avant Garde" w:hAnsi="ITC Avant Garde" w:cs="Arial"/>
          <w:sz w:val="22"/>
          <w:szCs w:val="22"/>
        </w:rPr>
        <w:t>Telmex / Telnor</w:t>
      </w:r>
      <w:r w:rsidRPr="00BA1D95">
        <w:rPr>
          <w:rFonts w:ascii="ITC Avant Garde" w:hAnsi="ITC Avant Garde" w:cs="Arial"/>
          <w:sz w:val="22"/>
          <w:szCs w:val="22"/>
        </w:rPr>
        <w:t xml:space="preserve">. </w:t>
      </w:r>
    </w:p>
    <w:p w:rsidR="003D6500" w:rsidRPr="00BA1D95" w:rsidRDefault="003D6500" w:rsidP="00FF4EC6">
      <w:pPr>
        <w:pStyle w:val="1TitPrin"/>
      </w:pPr>
      <w:bookmarkStart w:id="387" w:name="_Toc43827741"/>
      <w:bookmarkStart w:id="388" w:name="_Toc26273067"/>
      <w:bookmarkStart w:id="389" w:name="_Toc26284465"/>
      <w:bookmarkStart w:id="390" w:name="_Toc54106569"/>
      <w:bookmarkStart w:id="391" w:name="_Toc436840881"/>
      <w:bookmarkStart w:id="392" w:name="_Toc436846318"/>
      <w:bookmarkStart w:id="393" w:name="_Toc436848268"/>
      <w:bookmarkStart w:id="394" w:name="_Toc436856516"/>
      <w:bookmarkStart w:id="395" w:name="_Toc436862662"/>
      <w:bookmarkStart w:id="396" w:name="_Toc436866312"/>
      <w:bookmarkStart w:id="397" w:name="_Toc436870891"/>
      <w:bookmarkStart w:id="398" w:name="_Toc436875883"/>
      <w:bookmarkStart w:id="399" w:name="_Toc467248696"/>
      <w:bookmarkStart w:id="400" w:name="_Toc525904561"/>
      <w:bookmarkStart w:id="401" w:name="_Toc525913957"/>
      <w:bookmarkStart w:id="402" w:name="_Toc525919196"/>
      <w:bookmarkStart w:id="403" w:name="_Toc525919320"/>
      <w:bookmarkStart w:id="404" w:name="_Toc2957131"/>
      <w:bookmarkEnd w:id="387"/>
      <w:r w:rsidRPr="00BA1D95">
        <w:t>Servicio</w:t>
      </w:r>
      <w:r w:rsidR="00BD07C6">
        <w:t>s</w:t>
      </w:r>
      <w:r w:rsidRPr="00BA1D95">
        <w:t xml:space="preserve"> de Reventa</w:t>
      </w:r>
      <w:bookmarkEnd w:id="388"/>
      <w:bookmarkEnd w:id="389"/>
      <w:bookmarkEnd w:id="390"/>
      <w:r w:rsidRPr="00BA1D95">
        <w:t xml:space="preserve"> </w:t>
      </w:r>
    </w:p>
    <w:p w:rsidR="00674FD7" w:rsidRPr="00BA1D95" w:rsidRDefault="00A47F9A" w:rsidP="00FF4EC6">
      <w:pPr>
        <w:pStyle w:val="1TitPrin"/>
        <w:numPr>
          <w:ilvl w:val="1"/>
          <w:numId w:val="182"/>
        </w:numPr>
        <w:outlineLvl w:val="1"/>
      </w:pPr>
      <w:bookmarkStart w:id="405" w:name="_Toc26273068"/>
      <w:bookmarkStart w:id="406" w:name="_Toc26284466"/>
      <w:bookmarkStart w:id="407" w:name="_Toc54106570"/>
      <w:r w:rsidRPr="00F3565A">
        <w:t>Servicio</w:t>
      </w:r>
      <w:r w:rsidRPr="00BA1D95">
        <w:t xml:space="preserve"> de Reventa de Línea Telefónica</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p>
    <w:p w:rsidR="00A47F9A" w:rsidRPr="00953691" w:rsidRDefault="00A47F9A" w:rsidP="004B11EB">
      <w:pPr>
        <w:spacing w:after="200" w:line="276" w:lineRule="auto"/>
        <w:jc w:val="both"/>
        <w:rPr>
          <w:rFonts w:ascii="ITC Avant Garde" w:hAnsi="ITC Avant Garde"/>
        </w:rPr>
      </w:pPr>
      <w:r w:rsidRPr="00BA1D95">
        <w:rPr>
          <w:rFonts w:ascii="ITC Avant Garde" w:hAnsi="ITC Avant Garde" w:cs="Arial"/>
        </w:rPr>
        <w:t xml:space="preserve">El Servicio de Reventa de Línea Telefónica (SRL) permite la reventa o comercialización del servicio de línea telefónica en las modalidades de Línea Residencial o Línea Comercial que </w:t>
      </w:r>
      <w:r w:rsidR="00D045C1" w:rsidRPr="009F7BCF">
        <w:rPr>
          <w:rFonts w:ascii="ITC Avant Garde" w:hAnsi="ITC Avant Garde" w:cs="Arial"/>
        </w:rPr>
        <w:t>el AEP</w:t>
      </w:r>
      <w:r w:rsidR="00D045C1" w:rsidRPr="00702221">
        <w:rPr>
          <w:rFonts w:ascii="Arial" w:hAnsi="Arial" w:cs="Arial"/>
        </w:rPr>
        <w:t xml:space="preserve"> </w:t>
      </w:r>
      <w:r w:rsidRPr="00BA1D95">
        <w:rPr>
          <w:rFonts w:ascii="ITC Avant Garde" w:hAnsi="ITC Avant Garde" w:cs="Arial"/>
        </w:rPr>
        <w:t xml:space="preserve">tiene autorizado y registrado ante el Instituto, ofrece o comercializa actualmente, en los mismos términos y condiciones que ofrece a sus usuarios </w:t>
      </w:r>
      <w:r w:rsidR="00EE7D97" w:rsidRPr="00BA1D95">
        <w:rPr>
          <w:rFonts w:ascii="ITC Avant Garde" w:hAnsi="ITC Avant Garde" w:cs="Arial"/>
        </w:rPr>
        <w:t>finales</w:t>
      </w:r>
      <w:r w:rsidRPr="00BA1D95">
        <w:rPr>
          <w:rFonts w:ascii="ITC Avant Garde" w:hAnsi="ITC Avant Garde" w:cs="Arial"/>
        </w:rPr>
        <w:t xml:space="preserve">. </w:t>
      </w:r>
      <w:r w:rsidR="00702221">
        <w:rPr>
          <w:rFonts w:ascii="ITC Avant Garde" w:hAnsi="ITC Avant Garde" w:cs="Arial"/>
        </w:rPr>
        <w:t>El AEP</w:t>
      </w:r>
      <w:r w:rsidR="006007FB" w:rsidRPr="00BA1D95">
        <w:rPr>
          <w:rFonts w:ascii="ITC Avant Garde" w:hAnsi="ITC Avant Garde" w:cs="Arial"/>
        </w:rPr>
        <w:t xml:space="preserve"> </w:t>
      </w:r>
      <w:r w:rsidRPr="00BA1D95">
        <w:rPr>
          <w:rFonts w:ascii="ITC Avant Garde" w:hAnsi="ITC Avant Garde" w:cs="Arial"/>
        </w:rPr>
        <w:t xml:space="preserve">ofrecerá a los CS las nuevas ofertas comerciales de línea telefónica una vez que se las autorice el Instituto. </w:t>
      </w:r>
      <w:r w:rsidR="004E6E74" w:rsidRPr="00BA1D95">
        <w:rPr>
          <w:rFonts w:ascii="ITC Avant Garde" w:hAnsi="ITC Avant Garde" w:cs="Arial"/>
        </w:rPr>
        <w:t xml:space="preserve">Para ello, </w:t>
      </w:r>
      <w:r w:rsidR="00E83F21">
        <w:rPr>
          <w:rFonts w:ascii="ITC Avant Garde" w:hAnsi="ITC Avant Garde" w:cs="Arial"/>
        </w:rPr>
        <w:t>Telmex / Telnor</w:t>
      </w:r>
      <w:r w:rsidR="00C25DC1">
        <w:rPr>
          <w:rFonts w:ascii="ITC Avant Garde" w:hAnsi="ITC Avant Garde" w:cs="Arial"/>
        </w:rPr>
        <w:t xml:space="preserve"> </w:t>
      </w:r>
      <w:r w:rsidR="004E6E74" w:rsidRPr="00BA1D95">
        <w:rPr>
          <w:rFonts w:ascii="ITC Avant Garde" w:hAnsi="ITC Avant Garde" w:cs="Arial"/>
        </w:rPr>
        <w:t xml:space="preserve">publicará </w:t>
      </w:r>
      <w:r w:rsidR="00076271">
        <w:rPr>
          <w:rFonts w:ascii="ITC Avant Garde" w:hAnsi="ITC Avant Garde"/>
        </w:rPr>
        <w:t xml:space="preserve">y pondrá en operación </w:t>
      </w:r>
      <w:r w:rsidR="004E6E74" w:rsidRPr="00BA1D95">
        <w:rPr>
          <w:rFonts w:ascii="ITC Avant Garde" w:hAnsi="ITC Avant Garde" w:cs="Arial"/>
        </w:rPr>
        <w:t xml:space="preserve">las nuevas ofertas comerciales autorizadas por el Instituto en el </w:t>
      </w:r>
      <w:r w:rsidR="006B5A23">
        <w:rPr>
          <w:rFonts w:ascii="ITC Avant Garde" w:hAnsi="ITC Avant Garde" w:cs="Arial"/>
        </w:rPr>
        <w:t>SEG</w:t>
      </w:r>
      <w:r w:rsidR="00076271">
        <w:rPr>
          <w:rFonts w:ascii="ITC Avant Garde" w:hAnsi="ITC Avant Garde" w:cs="Arial"/>
        </w:rPr>
        <w:t xml:space="preserve"> </w:t>
      </w:r>
      <w:r w:rsidR="00076271">
        <w:rPr>
          <w:rFonts w:ascii="ITC Avant Garde" w:hAnsi="ITC Avant Garde"/>
        </w:rPr>
        <w:t xml:space="preserve">a más tardar cinco días hábiles posteriores a su autorización. </w:t>
      </w:r>
    </w:p>
    <w:p w:rsidR="00CC6D85" w:rsidRPr="00BA1D95" w:rsidRDefault="00A47F9A">
      <w:pPr>
        <w:spacing w:after="200" w:line="276" w:lineRule="auto"/>
        <w:jc w:val="both"/>
        <w:rPr>
          <w:rFonts w:ascii="ITC Avant Garde" w:hAnsi="ITC Avant Garde" w:cs="Arial"/>
        </w:rPr>
      </w:pPr>
      <w:r w:rsidRPr="00BA1D95">
        <w:rPr>
          <w:rFonts w:ascii="ITC Avant Garde" w:hAnsi="ITC Avant Garde" w:cs="Arial"/>
        </w:rPr>
        <w:t>La facturación a los usuarios finales de los servicios será responsabilidad del CS, por lo que</w:t>
      </w:r>
      <w:r w:rsidR="006007FB" w:rsidRPr="00BA1D95">
        <w:rPr>
          <w:rFonts w:ascii="ITC Avant Garde" w:hAnsi="ITC Avant Garde" w:cs="Arial"/>
        </w:rPr>
        <w:t xml:space="preserve"> </w:t>
      </w:r>
      <w:r w:rsidR="00E83F21">
        <w:rPr>
          <w:rFonts w:ascii="ITC Avant Garde" w:hAnsi="ITC Avant Garde" w:cs="Arial"/>
        </w:rPr>
        <w:t>Telmex / Telnor</w:t>
      </w:r>
      <w:r w:rsidR="006007FB" w:rsidRPr="00BA1D95">
        <w:rPr>
          <w:rFonts w:ascii="ITC Avant Garde" w:hAnsi="ITC Avant Garde" w:cs="Arial"/>
        </w:rPr>
        <w:t xml:space="preserve"> </w:t>
      </w:r>
      <w:r w:rsidRPr="00BA1D95">
        <w:rPr>
          <w:rFonts w:ascii="ITC Avant Garde" w:hAnsi="ITC Avant Garde" w:cs="Arial"/>
        </w:rPr>
        <w:t>pondrá a disposición de los CS diariamente los tráficos cursados por cada usuario final (</w:t>
      </w:r>
      <w:proofErr w:type="spellStart"/>
      <w:r w:rsidRPr="00BA1D95">
        <w:rPr>
          <w:rFonts w:ascii="ITC Avant Garde" w:hAnsi="ITC Avant Garde" w:cs="Arial"/>
        </w:rPr>
        <w:t>CDRs</w:t>
      </w:r>
      <w:proofErr w:type="spellEnd"/>
      <w:r w:rsidRPr="00BA1D95">
        <w:rPr>
          <w:rFonts w:ascii="ITC Avant Garde" w:hAnsi="ITC Avant Garde" w:cs="Arial"/>
        </w:rPr>
        <w:t xml:space="preserve">) a través del </w:t>
      </w:r>
      <w:r w:rsidR="006B5A23">
        <w:rPr>
          <w:rFonts w:ascii="ITC Avant Garde" w:hAnsi="ITC Avant Garde" w:cs="Arial"/>
        </w:rPr>
        <w:t>SEG</w:t>
      </w:r>
      <w:r w:rsidR="006247B1">
        <w:rPr>
          <w:rFonts w:ascii="ITC Avant Garde" w:hAnsi="ITC Avant Garde" w:cs="Arial"/>
        </w:rPr>
        <w:t xml:space="preserve"> </w:t>
      </w:r>
      <w:r w:rsidRPr="00BA1D95">
        <w:rPr>
          <w:rFonts w:ascii="ITC Avant Garde" w:hAnsi="ITC Avant Garde" w:cs="Arial"/>
        </w:rPr>
        <w:t>para que sean descargados por cada CS.</w:t>
      </w:r>
    </w:p>
    <w:p w:rsidR="00A47F9A" w:rsidRPr="00BA1D95" w:rsidRDefault="00A47F9A" w:rsidP="004B11EB">
      <w:pPr>
        <w:spacing w:after="200" w:line="276" w:lineRule="auto"/>
        <w:jc w:val="both"/>
        <w:rPr>
          <w:rFonts w:ascii="ITC Avant Garde" w:eastAsiaTheme="minorHAnsi" w:hAnsi="ITC Avant Garde" w:cs="Arial"/>
        </w:rPr>
      </w:pPr>
      <w:r w:rsidRPr="00BA1D95">
        <w:rPr>
          <w:rFonts w:ascii="ITC Avant Garde" w:hAnsi="ITC Avant Garde" w:cs="Arial"/>
        </w:rPr>
        <w:t xml:space="preserve">Si el CS lo solicita,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proporcionará mediante un cargo específico</w:t>
      </w:r>
      <w:r w:rsidR="005C6563" w:rsidRPr="00BA1D95">
        <w:rPr>
          <w:rFonts w:ascii="ITC Avant Garde" w:hAnsi="ITC Avant Garde" w:cs="Arial"/>
        </w:rPr>
        <w:t xml:space="preserve">, no debiendo ser mayor a </w:t>
      </w:r>
      <w:r w:rsidR="00BC0106" w:rsidRPr="00BA1D95">
        <w:rPr>
          <w:rFonts w:ascii="ITC Avant Garde" w:hAnsi="ITC Avant Garde" w:cs="Arial"/>
        </w:rPr>
        <w:t xml:space="preserve">lo que </w:t>
      </w:r>
      <w:r w:rsidR="005C6563" w:rsidRPr="00BA1D95">
        <w:rPr>
          <w:rFonts w:ascii="ITC Avant Garde" w:hAnsi="ITC Avant Garde" w:cs="Arial"/>
        </w:rPr>
        <w:t>cobra</w:t>
      </w:r>
      <w:r w:rsidR="00BC0106" w:rsidRPr="00BA1D95">
        <w:rPr>
          <w:rFonts w:ascii="ITC Avant Garde" w:hAnsi="ITC Avant Garde" w:cs="Arial"/>
        </w:rPr>
        <w:t xml:space="preserve"> a sus usuarios</w:t>
      </w:r>
      <w:r w:rsidR="005C6563" w:rsidRPr="00BA1D95">
        <w:rPr>
          <w:rFonts w:ascii="ITC Avant Garde" w:hAnsi="ITC Avant Garde" w:cs="Arial"/>
        </w:rPr>
        <w:t xml:space="preserve"> finales,</w:t>
      </w:r>
      <w:r w:rsidR="00BC0106" w:rsidRPr="00BA1D95">
        <w:rPr>
          <w:rFonts w:ascii="ITC Avant Garde" w:hAnsi="ITC Avant Garde" w:cs="Arial"/>
        </w:rPr>
        <w:t xml:space="preserve"> </w:t>
      </w:r>
      <w:r w:rsidRPr="00BA1D95">
        <w:rPr>
          <w:rFonts w:ascii="ITC Avant Garde" w:hAnsi="ITC Avant Garde" w:cs="Arial"/>
        </w:rPr>
        <w:t>el equipo terminal y su instalación, incluyendo el cableado interno necesario en el domicilio del suscriptor hasta el Punto de Conexión Terminal. Por su parte, la Acometida recibirá el tratamiento previsto en el apartado 1.3.</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Alcance del servicio:</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En el Servicio de Reventa de Línea Telefónica, </w:t>
      </w:r>
      <w:r w:rsidR="00E83F21">
        <w:rPr>
          <w:rFonts w:ascii="ITC Avant Garde" w:hAnsi="ITC Avant Garde" w:cs="Arial"/>
        </w:rPr>
        <w:t>Telmex / Telnor</w:t>
      </w:r>
      <w:r w:rsidR="001163BA">
        <w:rPr>
          <w:rFonts w:ascii="ITC Avant Garde" w:hAnsi="ITC Avant Garde" w:cs="Arial"/>
        </w:rPr>
        <w:t xml:space="preserve"> </w:t>
      </w:r>
      <w:r w:rsidR="00CC57DC" w:rsidRPr="00BA1D95">
        <w:rPr>
          <w:rFonts w:ascii="ITC Avant Garde" w:hAnsi="ITC Avant Garde" w:cs="Arial"/>
        </w:rPr>
        <w:t xml:space="preserve">realizará </w:t>
      </w:r>
      <w:r w:rsidRPr="00BA1D95">
        <w:rPr>
          <w:rFonts w:ascii="ITC Avant Garde" w:hAnsi="ITC Avant Garde" w:cs="Arial"/>
        </w:rPr>
        <w:t>las siguientes actividades:</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Instalación de la línea hasta el PCT en el domicilio del usuario final.</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lastRenderedPageBreak/>
        <w:t>Habilitación de la línea en la red y Sistemas de Gestión</w:t>
      </w:r>
      <w:r w:rsidR="006748A0" w:rsidRPr="00BA1D95">
        <w:rPr>
          <w:rFonts w:ascii="ITC Avant Garde" w:hAnsi="ITC Avant Garde" w:cs="Arial"/>
          <w:sz w:val="22"/>
          <w:szCs w:val="22"/>
          <w:lang w:val="es-MX"/>
        </w:rPr>
        <w:t xml:space="preserve"> de</w:t>
      </w:r>
      <w:r w:rsidRPr="00BA1D95">
        <w:rPr>
          <w:rFonts w:ascii="ITC Avant Garde" w:hAnsi="ITC Avant Garde" w:cs="Arial"/>
          <w:sz w:val="22"/>
          <w:szCs w:val="22"/>
          <w:lang w:val="es-MX"/>
        </w:rPr>
        <w:t xml:space="preserve"> </w:t>
      </w:r>
      <w:r w:rsidR="00E83F21">
        <w:rPr>
          <w:rFonts w:ascii="ITC Avant Garde" w:hAnsi="ITC Avant Garde" w:cs="Arial"/>
          <w:sz w:val="22"/>
          <w:szCs w:val="22"/>
          <w:lang w:val="es-MX"/>
        </w:rPr>
        <w:t>Telmex / Telnor</w:t>
      </w:r>
      <w:r w:rsidRPr="00BA1D95">
        <w:rPr>
          <w:rFonts w:ascii="ITC Avant Garde" w:hAnsi="ITC Avant Garde" w:cs="Arial"/>
          <w:sz w:val="22"/>
          <w:szCs w:val="22"/>
          <w:lang w:val="es-MX"/>
        </w:rPr>
        <w:t>.</w:t>
      </w:r>
    </w:p>
    <w:p w:rsidR="00DD36C4"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El usuario final podrá realizar llamadas locales, internacionales, mundiales (automático o a través de Operadora), a celular, códigos especiales</w:t>
      </w:r>
      <w:r w:rsidRPr="00BA1D95">
        <w:rPr>
          <w:rStyle w:val="Refdenotaalpie"/>
          <w:rFonts w:ascii="ITC Avant Garde" w:hAnsi="ITC Avant Garde" w:cs="Arial"/>
        </w:rPr>
        <w:footnoteReference w:id="8"/>
      </w:r>
      <w:r w:rsidRPr="00BA1D95">
        <w:rPr>
          <w:rFonts w:ascii="ITC Avant Garde" w:hAnsi="ITC Avant Garde" w:cs="Arial"/>
        </w:rPr>
        <w:t>, números no geográficos y cualquier otro servicio presente o futuro que</w:t>
      </w:r>
      <w:r w:rsidR="005E55B6" w:rsidRPr="00BA1D95">
        <w:rPr>
          <w:rFonts w:ascii="ITC Avant Garde" w:hAnsi="ITC Avant Garde" w:cs="Arial"/>
        </w:rPr>
        <w:t xml:space="preserve"> </w:t>
      </w:r>
      <w:r w:rsidR="009907ED">
        <w:rPr>
          <w:rFonts w:ascii="ITC Avant Garde" w:hAnsi="ITC Avant Garde" w:cs="Arial"/>
        </w:rPr>
        <w:t>el AEP</w:t>
      </w:r>
      <w:r w:rsidR="009907ED" w:rsidRPr="00BA1D95">
        <w:rPr>
          <w:rFonts w:ascii="ITC Avant Garde" w:hAnsi="ITC Avant Garde" w:cs="Arial"/>
        </w:rPr>
        <w:t xml:space="preserve"> </w:t>
      </w:r>
      <w:r w:rsidRPr="00BA1D95">
        <w:rPr>
          <w:rFonts w:ascii="ITC Avant Garde" w:hAnsi="ITC Avant Garde" w:cs="Arial"/>
        </w:rPr>
        <w:t>ofrezca en sus ofertas a sus usuarios finales.</w:t>
      </w:r>
      <w:r w:rsidR="009907ED">
        <w:rPr>
          <w:rFonts w:ascii="ITC Avant Garde" w:hAnsi="ITC Avant Garde" w:cs="Arial"/>
        </w:rPr>
        <w:t xml:space="preserve">  </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Los usuarios del CS adscritos al Servicio SRL podrán tener la misma funcionalidad en cuanto a servicios digitales que ofrece </w:t>
      </w:r>
      <w:r w:rsidR="00577401" w:rsidRPr="00BA1D95">
        <w:rPr>
          <w:rFonts w:ascii="ITC Avant Garde" w:hAnsi="ITC Avant Garde" w:cs="Arial"/>
        </w:rPr>
        <w:t xml:space="preserve">el AEP </w:t>
      </w:r>
      <w:r w:rsidRPr="00BA1D95">
        <w:rPr>
          <w:rFonts w:ascii="ITC Avant Garde" w:hAnsi="ITC Avant Garde" w:cs="Arial"/>
        </w:rPr>
        <w:t xml:space="preserve">a sus usuarios finales, entre ellos, buzón de voz, identificador de llamada, identificador de llamada entrante ocupado, llamada en espera, sígueme, tres a la vez, etc., así como cualquier otra facilidad de línea de servicios en red que </w:t>
      </w:r>
      <w:r w:rsidR="00577401" w:rsidRPr="00BA1D95">
        <w:rPr>
          <w:rFonts w:ascii="ITC Avant Garde" w:hAnsi="ITC Avant Garde" w:cs="Arial"/>
        </w:rPr>
        <w:t>el AEP</w:t>
      </w:r>
      <w:r w:rsidR="009907ED">
        <w:rPr>
          <w:rFonts w:ascii="ITC Avant Garde" w:hAnsi="ITC Avant Garde" w:cs="Arial"/>
        </w:rPr>
        <w:t xml:space="preserve"> </w:t>
      </w:r>
      <w:r w:rsidRPr="00BA1D95">
        <w:rPr>
          <w:rFonts w:ascii="ITC Avant Garde" w:hAnsi="ITC Avant Garde" w:cs="Arial"/>
        </w:rPr>
        <w:t>ofrezca actualmente o en el futuro a sus usuarios finales.</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El CS podrá solicitar en el formato de solicitud de Servicio Auxiliar de Cableado Interior, que </w:t>
      </w:r>
      <w:r w:rsidR="00E83F21">
        <w:rPr>
          <w:rFonts w:ascii="ITC Avant Garde" w:hAnsi="ITC Avant Garde" w:cs="Arial"/>
        </w:rPr>
        <w:t>Telmex / Telnor</w:t>
      </w:r>
      <w:r w:rsidR="001605E1" w:rsidRPr="00BA1D95">
        <w:rPr>
          <w:rFonts w:ascii="ITC Avant Garde" w:hAnsi="ITC Avant Garde" w:cs="Arial"/>
        </w:rPr>
        <w:t xml:space="preserve"> </w:t>
      </w:r>
      <w:r w:rsidRPr="00BA1D95">
        <w:rPr>
          <w:rFonts w:ascii="ITC Avant Garde" w:hAnsi="ITC Avant Garde" w:cs="Arial"/>
        </w:rPr>
        <w:t>provea el cableado interior que se instalará</w:t>
      </w:r>
      <w:r w:rsidR="00B44117">
        <w:rPr>
          <w:rFonts w:ascii="ITC Avant Garde" w:hAnsi="ITC Avant Garde" w:cs="Arial"/>
        </w:rPr>
        <w:t xml:space="preserve"> </w:t>
      </w:r>
      <w:r w:rsidRPr="00BA1D95">
        <w:rPr>
          <w:rFonts w:ascii="ITC Avant Garde" w:hAnsi="ITC Avant Garde" w:cs="Arial"/>
        </w:rPr>
        <w:t>en el domicilio del usuario cuando se lleve a cabo la instalación del SRL, bajo una contraprestación específica.</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Las fallas relacionadas con el SRL serán reportadas por el usuario final al CS mediante una llamada a su centro de atención telefónico. A solicitud del CS,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habilitará el Servicio 050 neutro</w:t>
      </w:r>
      <w:r w:rsidRPr="00BA1D95">
        <w:rPr>
          <w:rStyle w:val="Refdenotaalpie"/>
          <w:rFonts w:ascii="ITC Avant Garde" w:hAnsi="ITC Avant Garde" w:cs="Arial"/>
        </w:rPr>
        <w:footnoteReference w:id="9"/>
      </w:r>
      <w:r w:rsidRPr="00BA1D95">
        <w:rPr>
          <w:rFonts w:ascii="ITC Avant Garde" w:hAnsi="ITC Avant Garde" w:cs="Arial"/>
        </w:rPr>
        <w:t xml:space="preserve"> por medio del cual se transferirá la llamada al CS, quien a su vez atenderá al cliente final y será responsable de levantar el reporte de la falla a </w:t>
      </w:r>
      <w:r w:rsidR="00E83F21">
        <w:rPr>
          <w:rFonts w:ascii="ITC Avant Garde" w:hAnsi="ITC Avant Garde" w:cs="Arial"/>
        </w:rPr>
        <w:t>Telmex / Telnor</w:t>
      </w:r>
      <w:r w:rsidRPr="00BA1D95">
        <w:rPr>
          <w:rFonts w:ascii="ITC Avant Garde" w:hAnsi="ITC Avant Garde" w:cs="Arial"/>
        </w:rPr>
        <w:t>. El CS podrá dar seguimiento a su atención y solución a través de los procedimientos establecidos en el Anexo C: Procedimiento de Gestión de Fallas, Continuidad de Servicio y Atención Incidencias. La atención de la llamada al 050 por parte de los clientes finales del CS se realizará en las mismas condiciones de enrutamiento y encolamiento con que hoy se atienden los usuarios finales de</w:t>
      </w:r>
      <w:r w:rsidR="000C5FD1" w:rsidRPr="00BA1D95">
        <w:rPr>
          <w:rFonts w:ascii="ITC Avant Garde" w:hAnsi="ITC Avant Garde" w:cs="Arial"/>
        </w:rPr>
        <w:t>l</w:t>
      </w:r>
      <w:r w:rsidRPr="00BA1D95">
        <w:rPr>
          <w:rFonts w:ascii="ITC Avant Garde" w:hAnsi="ITC Avant Garde" w:cs="Arial"/>
        </w:rPr>
        <w:t xml:space="preserve"> </w:t>
      </w:r>
      <w:r w:rsidR="000C5FD1" w:rsidRPr="00BA1D95">
        <w:rPr>
          <w:rFonts w:ascii="ITC Avant Garde" w:hAnsi="ITC Avant Garde" w:cs="Arial"/>
        </w:rPr>
        <w:t>AEP</w:t>
      </w:r>
      <w:r w:rsidRPr="00BA1D95">
        <w:rPr>
          <w:rFonts w:ascii="ITC Avant Garde" w:hAnsi="ITC Avant Garde" w:cs="Arial"/>
        </w:rPr>
        <w:t>.</w:t>
      </w:r>
    </w:p>
    <w:p w:rsidR="00A47F9A" w:rsidRPr="00BA1D95" w:rsidRDefault="00FC666E" w:rsidP="004B11EB">
      <w:pPr>
        <w:spacing w:after="200" w:line="276" w:lineRule="auto"/>
        <w:jc w:val="both"/>
        <w:rPr>
          <w:rFonts w:ascii="ITC Avant Garde" w:hAnsi="ITC Avant Garde" w:cs="Arial"/>
        </w:rPr>
      </w:pPr>
      <w:r w:rsidRPr="00BA1D95">
        <w:rPr>
          <w:rFonts w:ascii="ITC Avant Garde" w:hAnsi="ITC Avant Garde" w:cs="Arial"/>
        </w:rPr>
        <w:t>Respecto a los aparatos telefónicos, éstos podrán ser adquiridos por los CS o los usuarios finales directamente con algún proveedor o comprarlos en l</w:t>
      </w:r>
      <w:r w:rsidR="00F33198" w:rsidRPr="00BA1D95">
        <w:rPr>
          <w:rFonts w:ascii="ITC Avant Garde" w:hAnsi="ITC Avant Garde" w:cs="Arial"/>
        </w:rPr>
        <w:t>os</w:t>
      </w:r>
      <w:r w:rsidRPr="00BA1D95">
        <w:rPr>
          <w:rFonts w:ascii="ITC Avant Garde" w:hAnsi="ITC Avant Garde" w:cs="Arial"/>
        </w:rPr>
        <w:t xml:space="preserve"> </w:t>
      </w:r>
      <w:r w:rsidR="00F33198" w:rsidRPr="00BA1D95">
        <w:rPr>
          <w:rFonts w:ascii="ITC Avant Garde" w:hAnsi="ITC Avant Garde" w:cs="Arial"/>
        </w:rPr>
        <w:t xml:space="preserve">Centros de Atención </w:t>
      </w:r>
      <w:r w:rsidR="002008DC">
        <w:rPr>
          <w:rFonts w:ascii="ITC Avant Garde" w:hAnsi="ITC Avant Garde" w:cs="Arial"/>
        </w:rPr>
        <w:t>del</w:t>
      </w:r>
      <w:r w:rsidR="005346E6">
        <w:rPr>
          <w:rFonts w:ascii="ITC Avant Garde" w:hAnsi="ITC Avant Garde" w:cs="Arial"/>
        </w:rPr>
        <w:t xml:space="preserve"> AEP</w:t>
      </w:r>
      <w:r w:rsidRPr="00BA1D95">
        <w:rPr>
          <w:rFonts w:ascii="ITC Avant Garde" w:hAnsi="ITC Avant Garde" w:cs="Arial"/>
        </w:rPr>
        <w:t xml:space="preserve">. </w:t>
      </w:r>
      <w:r w:rsidR="00A47F9A" w:rsidRPr="00BA1D95">
        <w:rPr>
          <w:rFonts w:ascii="ITC Avant Garde" w:hAnsi="ITC Avant Garde" w:cs="Arial"/>
        </w:rPr>
        <w:t>Adicionalmente, y en caso de que el paquete contratado no incluya alguno de los siguientes servicios, el CS podrá contratarlos en las mismas condiciones que los usuarios finales de</w:t>
      </w:r>
      <w:r w:rsidR="000C5FD1" w:rsidRPr="00BA1D95">
        <w:rPr>
          <w:rFonts w:ascii="ITC Avant Garde" w:hAnsi="ITC Avant Garde" w:cs="Arial"/>
        </w:rPr>
        <w:t>l AEP</w:t>
      </w:r>
      <w:r w:rsidR="00A47F9A" w:rsidRPr="00BA1D95">
        <w:rPr>
          <w:rFonts w:ascii="ITC Avant Garde" w:hAnsi="ITC Avant Garde" w:cs="Arial"/>
        </w:rPr>
        <w:t>:</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Buzón de Voz: Es el servicio de almacenamiento y consulta de mensajes cuando la línea está ocupada o no se pueda contestar;</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Identificador de llamada: Servicio que muestra el número telefónico de la llamada entrante</w:t>
      </w:r>
      <w:r w:rsidRPr="00BA1D95">
        <w:rPr>
          <w:rStyle w:val="Refdenotaalpie"/>
          <w:rFonts w:ascii="ITC Avant Garde" w:hAnsi="ITC Avant Garde" w:cs="Arial"/>
          <w:sz w:val="22"/>
          <w:szCs w:val="22"/>
          <w:lang w:val="es-MX"/>
        </w:rPr>
        <w:footnoteReference w:id="10"/>
      </w:r>
      <w:r w:rsidRPr="00BA1D95">
        <w:rPr>
          <w:rFonts w:ascii="ITC Avant Garde" w:hAnsi="ITC Avant Garde" w:cs="Arial"/>
          <w:sz w:val="22"/>
          <w:szCs w:val="22"/>
          <w:lang w:val="es-MX"/>
        </w:rPr>
        <w:t>;</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lastRenderedPageBreak/>
        <w:t>Llamada en Espera: Servicio que anuncia y permite tomar otra llamada entrante cuando la línea se encuentra ocupada;</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Sígueme: Servicio que permite la transferencia de llamadas a otro teléfono ya sean locales, larga distancia o a celular;</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Tres a la vez: Servicio que permite enlazar hasta tres usuarios en una misma conversación;</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Cambio de Número;</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Suspensión del número del usuario final;</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Reactivación del número del usuario final; y</w:t>
      </w:r>
    </w:p>
    <w:p w:rsidR="00A47F9A" w:rsidRPr="00BA1D95" w:rsidRDefault="00A47F9A" w:rsidP="008F5D32">
      <w:pPr>
        <w:pStyle w:val="Prrafodelista"/>
        <w:numPr>
          <w:ilvl w:val="2"/>
          <w:numId w:val="24"/>
        </w:numPr>
        <w:spacing w:after="200" w:line="276" w:lineRule="auto"/>
        <w:ind w:left="709"/>
        <w:jc w:val="both"/>
        <w:rPr>
          <w:rFonts w:ascii="ITC Avant Garde" w:hAnsi="ITC Avant Garde" w:cs="Arial"/>
          <w:sz w:val="22"/>
          <w:szCs w:val="22"/>
          <w:lang w:val="es-MX"/>
        </w:rPr>
      </w:pPr>
      <w:r w:rsidRPr="00BA1D95">
        <w:rPr>
          <w:rFonts w:ascii="ITC Avant Garde" w:hAnsi="ITC Avant Garde" w:cs="Arial"/>
          <w:sz w:val="22"/>
          <w:szCs w:val="22"/>
          <w:lang w:val="es-MX"/>
        </w:rPr>
        <w:t>Cambio de domicilio</w:t>
      </w:r>
    </w:p>
    <w:p w:rsidR="00A47F9A" w:rsidRPr="00BA1D95" w:rsidRDefault="00E83F21" w:rsidP="004B11EB">
      <w:pPr>
        <w:spacing w:after="200" w:line="276" w:lineRule="auto"/>
        <w:jc w:val="both"/>
        <w:rPr>
          <w:rFonts w:ascii="ITC Avant Garde" w:hAnsi="ITC Avant Garde" w:cs="Arial"/>
        </w:rPr>
      </w:pPr>
      <w:r>
        <w:rPr>
          <w:rFonts w:ascii="ITC Avant Garde" w:hAnsi="ITC Avant Garde" w:cs="Arial"/>
        </w:rPr>
        <w:t>Telmex / Telnor</w:t>
      </w:r>
      <w:r w:rsidR="001163BA">
        <w:rPr>
          <w:rFonts w:ascii="ITC Avant Garde" w:hAnsi="ITC Avant Garde" w:cs="Arial"/>
        </w:rPr>
        <w:t xml:space="preserve"> </w:t>
      </w:r>
      <w:r w:rsidR="001605E1" w:rsidRPr="00BA1D95">
        <w:rPr>
          <w:rFonts w:ascii="ITC Avant Garde" w:hAnsi="ITC Avant Garde" w:cs="Arial"/>
        </w:rPr>
        <w:t>pondrá</w:t>
      </w:r>
      <w:r w:rsidR="00A47F9A" w:rsidRPr="00BA1D95">
        <w:rPr>
          <w:rFonts w:ascii="ITC Avant Garde" w:hAnsi="ITC Avant Garde" w:cs="Arial"/>
        </w:rPr>
        <w:t xml:space="preserve"> a disposición del CS en el </w:t>
      </w:r>
      <w:r w:rsidR="006B5A23">
        <w:rPr>
          <w:rFonts w:ascii="ITC Avant Garde" w:hAnsi="ITC Avant Garde" w:cs="Arial"/>
        </w:rPr>
        <w:t>SEG</w:t>
      </w:r>
      <w:r w:rsidR="00A47F9A" w:rsidRPr="00BA1D95">
        <w:rPr>
          <w:rFonts w:ascii="ITC Avant Garde" w:hAnsi="ITC Avant Garde" w:cs="Arial"/>
        </w:rPr>
        <w:t xml:space="preserve">, una funcionalidad </w:t>
      </w:r>
      <w:r w:rsidR="00BD07C6">
        <w:rPr>
          <w:rFonts w:ascii="ITC Avant Garde" w:hAnsi="ITC Avant Garde" w:cs="Arial"/>
        </w:rPr>
        <w:t>con</w:t>
      </w:r>
      <w:r w:rsidR="00A47F9A" w:rsidRPr="00BA1D95">
        <w:rPr>
          <w:rFonts w:ascii="ITC Avant Garde" w:hAnsi="ITC Avant Garde" w:cs="Arial"/>
        </w:rPr>
        <w:t xml:space="preserve"> la cual podrá realizar la suspensión o reanudación de los servicios de los usuarios finales.</w:t>
      </w:r>
    </w:p>
    <w:p w:rsidR="00100B6D" w:rsidRPr="00BA1D95" w:rsidRDefault="00A47F9A" w:rsidP="00FF4EC6">
      <w:pPr>
        <w:pStyle w:val="1TitPrin"/>
        <w:numPr>
          <w:ilvl w:val="1"/>
          <w:numId w:val="182"/>
        </w:numPr>
        <w:outlineLvl w:val="1"/>
      </w:pPr>
      <w:bookmarkStart w:id="408" w:name="_Toc436840882"/>
      <w:bookmarkStart w:id="409" w:name="_Toc436846319"/>
      <w:bookmarkStart w:id="410" w:name="_Toc436848269"/>
      <w:bookmarkStart w:id="411" w:name="_Toc436856517"/>
      <w:bookmarkStart w:id="412" w:name="_Toc436862663"/>
      <w:bookmarkStart w:id="413" w:name="_Toc436866313"/>
      <w:bookmarkStart w:id="414" w:name="_Toc436870892"/>
      <w:bookmarkStart w:id="415" w:name="_Toc436875884"/>
      <w:bookmarkStart w:id="416" w:name="_Toc467248697"/>
      <w:bookmarkStart w:id="417" w:name="_Toc525904562"/>
      <w:bookmarkStart w:id="418" w:name="_Toc525913958"/>
      <w:bookmarkStart w:id="419" w:name="_Toc525919197"/>
      <w:bookmarkStart w:id="420" w:name="_Toc525919321"/>
      <w:bookmarkStart w:id="421" w:name="_Toc2957132"/>
      <w:bookmarkStart w:id="422" w:name="_Toc26273069"/>
      <w:bookmarkStart w:id="423" w:name="_Toc26284467"/>
      <w:bookmarkStart w:id="424" w:name="_Toc54106571"/>
      <w:r w:rsidRPr="00F3565A">
        <w:t>Servicio</w:t>
      </w:r>
      <w:r w:rsidRPr="00BA1D95">
        <w:t xml:space="preserve"> de Reventa de Internet</w:t>
      </w:r>
      <w:bookmarkStart w:id="425" w:name="_Toc436840883"/>
      <w:bookmarkStart w:id="426" w:name="_Toc436846320"/>
      <w:bookmarkStart w:id="427" w:name="_Toc436848270"/>
      <w:bookmarkStart w:id="428" w:name="_Toc436856518"/>
      <w:bookmarkStart w:id="429" w:name="_Toc436862664"/>
      <w:bookmarkStart w:id="430" w:name="_Toc436866314"/>
      <w:bookmarkStart w:id="431" w:name="_Toc436870893"/>
      <w:bookmarkStart w:id="432" w:name="_Toc436875885"/>
      <w:bookmarkStart w:id="433" w:name="_Toc467248698"/>
      <w:bookmarkStart w:id="434" w:name="_Toc525904563"/>
      <w:bookmarkStart w:id="435" w:name="_Toc525913959"/>
      <w:bookmarkStart w:id="436" w:name="_Toc525919198"/>
      <w:bookmarkStart w:id="437" w:name="_Toc525919322"/>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bookmarkEnd w:id="425"/>
    <w:bookmarkEnd w:id="426"/>
    <w:bookmarkEnd w:id="427"/>
    <w:bookmarkEnd w:id="428"/>
    <w:bookmarkEnd w:id="429"/>
    <w:bookmarkEnd w:id="430"/>
    <w:bookmarkEnd w:id="431"/>
    <w:bookmarkEnd w:id="432"/>
    <w:bookmarkEnd w:id="433"/>
    <w:bookmarkEnd w:id="434"/>
    <w:bookmarkEnd w:id="435"/>
    <w:bookmarkEnd w:id="436"/>
    <w:bookmarkEnd w:id="437"/>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El Servicio de Reventa de Internet (SRI) permite a los CS la reventa o comercialización del servicio de Internet que </w:t>
      </w:r>
      <w:r w:rsidR="00CE3335" w:rsidRPr="00BA1D95">
        <w:rPr>
          <w:rFonts w:ascii="ITC Avant Garde" w:hAnsi="ITC Avant Garde" w:cs="Arial"/>
        </w:rPr>
        <w:t xml:space="preserve">el AEP </w:t>
      </w:r>
      <w:r w:rsidRPr="00BA1D95">
        <w:rPr>
          <w:rFonts w:ascii="ITC Avant Garde" w:hAnsi="ITC Avant Garde" w:cs="Arial"/>
        </w:rPr>
        <w:t>tiene registrado ante el Instituto, ofrece, aplique o comercialice a usuarios residenciales y comerciales en los mismos términos y condiciones que ofrece a sus usuarios. Para ello, publicará</w:t>
      </w:r>
      <w:r w:rsidR="00AA6E79">
        <w:rPr>
          <w:rFonts w:ascii="ITC Avant Garde" w:hAnsi="ITC Avant Garde" w:cs="Arial"/>
        </w:rPr>
        <w:t xml:space="preserve"> y pondrá en operación</w:t>
      </w:r>
      <w:r w:rsidRPr="00BA1D95">
        <w:rPr>
          <w:rFonts w:ascii="ITC Avant Garde" w:hAnsi="ITC Avant Garde" w:cs="Arial"/>
        </w:rPr>
        <w:t xml:space="preserve"> las nuevas ofertas comerciales autorizadas</w:t>
      </w:r>
      <w:r w:rsidR="001F07CF" w:rsidRPr="00BA1D95">
        <w:rPr>
          <w:rFonts w:ascii="ITC Avant Garde" w:hAnsi="ITC Avant Garde" w:cs="Arial"/>
        </w:rPr>
        <w:t xml:space="preserve"> por el Instituto</w:t>
      </w:r>
      <w:r w:rsidRPr="00BA1D95">
        <w:rPr>
          <w:rFonts w:ascii="ITC Avant Garde" w:hAnsi="ITC Avant Garde" w:cs="Arial"/>
        </w:rPr>
        <w:t xml:space="preserve"> en el </w:t>
      </w:r>
      <w:r w:rsidR="006B5A23">
        <w:rPr>
          <w:rFonts w:ascii="ITC Avant Garde" w:hAnsi="ITC Avant Garde" w:cs="Arial"/>
        </w:rPr>
        <w:t>SEG</w:t>
      </w:r>
      <w:r w:rsidRPr="00BA1D95">
        <w:rPr>
          <w:rFonts w:ascii="ITC Avant Garde" w:hAnsi="ITC Avant Garde" w:cs="Arial"/>
        </w:rPr>
        <w:t>.</w:t>
      </w:r>
    </w:p>
    <w:p w:rsidR="009B38B3" w:rsidRDefault="009B38B3" w:rsidP="004B11EB">
      <w:pPr>
        <w:spacing w:after="200" w:line="276" w:lineRule="auto"/>
        <w:jc w:val="both"/>
        <w:rPr>
          <w:rFonts w:ascii="ITC Avant Garde" w:hAnsi="ITC Avant Garde" w:cs="Arial"/>
        </w:rPr>
      </w:pPr>
      <w:r>
        <w:rPr>
          <w:rFonts w:ascii="ITC Avant Garde" w:hAnsi="ITC Avant Garde" w:cs="Arial"/>
        </w:rPr>
        <w:t>En relación con lo anterior</w:t>
      </w:r>
      <w:r w:rsidRPr="00ED0CD3">
        <w:rPr>
          <w:rFonts w:ascii="ITC Avant Garde" w:hAnsi="ITC Avant Garde" w:cs="Arial"/>
        </w:rPr>
        <w:t xml:space="preserve">, </w:t>
      </w:r>
      <w:r>
        <w:rPr>
          <w:rFonts w:ascii="ITC Avant Garde" w:hAnsi="ITC Avant Garde" w:cs="Arial"/>
        </w:rPr>
        <w:t xml:space="preserve">Telmex/Telnor deberá hacer disponibles todas y cada una de las ofertas comerciales que le sean autorizadas por el Instituto para el SRI, en el entendido de </w:t>
      </w:r>
      <w:r w:rsidRPr="00ED0CD3">
        <w:rPr>
          <w:rFonts w:ascii="ITC Avant Garde" w:hAnsi="ITC Avant Garde" w:cs="Arial"/>
        </w:rPr>
        <w:t xml:space="preserve">que los servicios de terceros no forman parte de </w:t>
      </w:r>
      <w:r>
        <w:rPr>
          <w:rFonts w:ascii="ITC Avant Garde" w:hAnsi="ITC Avant Garde" w:cs="Arial"/>
        </w:rPr>
        <w:t xml:space="preserve">la OREDA. </w:t>
      </w:r>
    </w:p>
    <w:p w:rsidR="009B38B3" w:rsidRPr="004211FC" w:rsidRDefault="004211FC" w:rsidP="004B11EB">
      <w:pPr>
        <w:spacing w:after="200" w:line="276" w:lineRule="auto"/>
        <w:jc w:val="both"/>
        <w:rPr>
          <w:rFonts w:ascii="ITC Avant Garde" w:hAnsi="ITC Avant Garde" w:cs="Arial"/>
          <w:i/>
          <w:iCs/>
        </w:rPr>
      </w:pPr>
      <w:r>
        <w:rPr>
          <w:rFonts w:ascii="ITC Avant Garde" w:hAnsi="ITC Avant Garde" w:cs="Arial"/>
        </w:rPr>
        <w:t>Por lo que</w:t>
      </w:r>
      <w:r w:rsidR="009B38B3">
        <w:rPr>
          <w:rFonts w:ascii="ITC Avant Garde" w:hAnsi="ITC Avant Garde" w:cs="Arial"/>
        </w:rPr>
        <w:t>, si un determinado</w:t>
      </w:r>
      <w:r w:rsidR="009B38B3" w:rsidRPr="00ED0CD3">
        <w:rPr>
          <w:rFonts w:ascii="ITC Avant Garde" w:hAnsi="ITC Avant Garde" w:cs="Arial"/>
        </w:rPr>
        <w:t xml:space="preserve"> </w:t>
      </w:r>
      <w:r w:rsidR="009B38B3" w:rsidRPr="009B38B3">
        <w:rPr>
          <w:rFonts w:ascii="ITC Avant Garde" w:hAnsi="ITC Avant Garde" w:cs="Arial"/>
          <w:i/>
          <w:iCs/>
        </w:rPr>
        <w:t>paquete base</w:t>
      </w:r>
      <w:r w:rsidR="009B38B3" w:rsidRPr="00ED0CD3">
        <w:rPr>
          <w:rFonts w:ascii="ITC Avant Garde" w:hAnsi="ITC Avant Garde" w:cs="Arial"/>
        </w:rPr>
        <w:t xml:space="preserve"> ya </w:t>
      </w:r>
      <w:r w:rsidR="009B38B3">
        <w:rPr>
          <w:rFonts w:ascii="ITC Avant Garde" w:hAnsi="ITC Avant Garde" w:cs="Arial"/>
        </w:rPr>
        <w:t>se encuentra</w:t>
      </w:r>
      <w:r w:rsidR="009B38B3" w:rsidRPr="00ED0CD3">
        <w:rPr>
          <w:rFonts w:ascii="ITC Avant Garde" w:hAnsi="ITC Avant Garde" w:cs="Arial"/>
        </w:rPr>
        <w:t xml:space="preserve"> disponible en el SEG</w:t>
      </w:r>
      <w:r w:rsidR="009B38B3">
        <w:rPr>
          <w:rFonts w:ascii="ITC Avant Garde" w:hAnsi="ITC Avant Garde" w:cs="Arial"/>
        </w:rPr>
        <w:t xml:space="preserve"> y al eliminar los servicios de terceros de otros paquetes autorizados por el Instituto a Telmex /Telnor resulta en que estos paquetes se</w:t>
      </w:r>
      <w:r>
        <w:rPr>
          <w:rFonts w:ascii="ITC Avant Garde" w:hAnsi="ITC Avant Garde" w:cs="Arial"/>
        </w:rPr>
        <w:t>an</w:t>
      </w:r>
      <w:r w:rsidR="009B38B3">
        <w:rPr>
          <w:rFonts w:ascii="ITC Avant Garde" w:hAnsi="ITC Avant Garde" w:cs="Arial"/>
        </w:rPr>
        <w:t xml:space="preserve"> idénticos al </w:t>
      </w:r>
      <w:r w:rsidR="009B38B3" w:rsidRPr="004211FC">
        <w:rPr>
          <w:rFonts w:ascii="ITC Avant Garde" w:hAnsi="ITC Avant Garde" w:cs="Arial"/>
          <w:i/>
          <w:iCs/>
        </w:rPr>
        <w:t>paquete base</w:t>
      </w:r>
      <w:r w:rsidR="009B38B3">
        <w:rPr>
          <w:rFonts w:ascii="ITC Avant Garde" w:hAnsi="ITC Avant Garde" w:cs="Arial"/>
        </w:rPr>
        <w:t xml:space="preserve"> ya disponible, </w:t>
      </w:r>
      <w:r>
        <w:rPr>
          <w:rFonts w:ascii="ITC Avant Garde" w:hAnsi="ITC Avant Garde" w:cs="Arial"/>
        </w:rPr>
        <w:t xml:space="preserve">Telmex/Telnor cumplirá con sus obligaciones en materia de replicabilidad haciendo disponible sólo el </w:t>
      </w:r>
      <w:r w:rsidRPr="004211FC">
        <w:rPr>
          <w:rFonts w:ascii="ITC Avant Garde" w:hAnsi="ITC Avant Garde" w:cs="Arial"/>
          <w:i/>
          <w:iCs/>
        </w:rPr>
        <w:t>paquete base</w:t>
      </w:r>
      <w:r>
        <w:rPr>
          <w:rFonts w:ascii="ITC Avant Garde" w:hAnsi="ITC Avant Garde" w:cs="Arial"/>
        </w:rPr>
        <w:t xml:space="preserve"> en el SEG, para lo cual deberá informar en el propio SEG a los CS los nombres de los otros paquetes que resulten ser idénticos al </w:t>
      </w:r>
      <w:r>
        <w:rPr>
          <w:rFonts w:ascii="ITC Avant Garde" w:hAnsi="ITC Avant Garde" w:cs="Arial"/>
          <w:i/>
          <w:iCs/>
        </w:rPr>
        <w:t>paquete base.</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En este servicio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realizará el aprovisionamiento del S</w:t>
      </w:r>
      <w:r w:rsidR="001F07CF" w:rsidRPr="00BA1D95">
        <w:rPr>
          <w:rFonts w:ascii="ITC Avant Garde" w:hAnsi="ITC Avant Garde" w:cs="Arial"/>
        </w:rPr>
        <w:t>RI, tal como provee el servicio de Internet a sus</w:t>
      </w:r>
      <w:r w:rsidRPr="00BA1D95">
        <w:rPr>
          <w:rFonts w:ascii="ITC Avant Garde" w:hAnsi="ITC Avant Garde" w:cs="Arial"/>
        </w:rPr>
        <w:t xml:space="preserve"> usuarios comerciales o residenciales, incluyendo la instalación del cableado hasta el PCT.</w:t>
      </w:r>
    </w:p>
    <w:p w:rsidR="00A47F9A" w:rsidRDefault="00A47F9A" w:rsidP="004B11EB">
      <w:pPr>
        <w:spacing w:after="200" w:line="276" w:lineRule="auto"/>
        <w:jc w:val="both"/>
        <w:rPr>
          <w:rFonts w:ascii="ITC Avant Garde" w:hAnsi="ITC Avant Garde" w:cs="Arial"/>
          <w:bCs/>
        </w:rPr>
      </w:pPr>
      <w:r w:rsidRPr="00BA1D95">
        <w:rPr>
          <w:rFonts w:ascii="ITC Avant Garde" w:hAnsi="ITC Avant Garde" w:cs="Arial"/>
          <w:bCs/>
        </w:rPr>
        <w:t xml:space="preserve">Las condiciones </w:t>
      </w:r>
      <w:r w:rsidR="00CE3335" w:rsidRPr="00BA1D95">
        <w:rPr>
          <w:rFonts w:ascii="ITC Avant Garde" w:hAnsi="ITC Avant Garde" w:cs="Arial"/>
          <w:bCs/>
        </w:rPr>
        <w:t xml:space="preserve">de conectividad al </w:t>
      </w:r>
      <w:r w:rsidRPr="00BA1D95">
        <w:rPr>
          <w:rFonts w:ascii="ITC Avant Garde" w:hAnsi="ITC Avant Garde" w:cs="Arial"/>
          <w:bCs/>
        </w:rPr>
        <w:t xml:space="preserve">servicio de </w:t>
      </w:r>
      <w:proofErr w:type="spellStart"/>
      <w:r w:rsidRPr="00BA1D95">
        <w:rPr>
          <w:rFonts w:ascii="ITC Avant Garde" w:hAnsi="ITC Avant Garde" w:cs="Arial"/>
          <w:bCs/>
        </w:rPr>
        <w:t>WiFi</w:t>
      </w:r>
      <w:proofErr w:type="spellEnd"/>
      <w:r w:rsidRPr="00BA1D95">
        <w:rPr>
          <w:rFonts w:ascii="ITC Avant Garde" w:hAnsi="ITC Avant Garde" w:cs="Arial"/>
          <w:bCs/>
        </w:rPr>
        <w:t xml:space="preserve"> Móvil en Internet serán idénticas a las que </w:t>
      </w:r>
      <w:r w:rsidR="0095469C">
        <w:rPr>
          <w:rFonts w:ascii="ITC Avant Garde" w:hAnsi="ITC Avant Garde" w:cs="Arial"/>
          <w:bCs/>
        </w:rPr>
        <w:t>el AEP</w:t>
      </w:r>
      <w:r w:rsidR="0095469C" w:rsidRPr="00BA1D95">
        <w:rPr>
          <w:rFonts w:ascii="ITC Avant Garde" w:hAnsi="ITC Avant Garde" w:cs="Arial"/>
          <w:bCs/>
        </w:rPr>
        <w:t xml:space="preserve"> </w:t>
      </w:r>
      <w:r w:rsidRPr="00BA1D95">
        <w:rPr>
          <w:rFonts w:ascii="ITC Avant Garde" w:hAnsi="ITC Avant Garde" w:cs="Arial"/>
          <w:bCs/>
        </w:rPr>
        <w:t xml:space="preserve">ofrezca a sus usuarios, de lo contrario </w:t>
      </w:r>
      <w:r w:rsidR="00E83F21">
        <w:rPr>
          <w:rFonts w:ascii="ITC Avant Garde" w:hAnsi="ITC Avant Garde" w:cs="Arial"/>
          <w:bCs/>
        </w:rPr>
        <w:t>Telmex / Telnor</w:t>
      </w:r>
      <w:r w:rsidR="001163BA">
        <w:rPr>
          <w:rFonts w:ascii="ITC Avant Garde" w:hAnsi="ITC Avant Garde" w:cs="Arial"/>
          <w:bCs/>
        </w:rPr>
        <w:t xml:space="preserve"> </w:t>
      </w:r>
      <w:r w:rsidRPr="00BA1D95">
        <w:rPr>
          <w:rFonts w:ascii="ITC Avant Garde" w:hAnsi="ITC Avant Garde" w:cs="Arial"/>
          <w:bCs/>
        </w:rPr>
        <w:t>notificará con anticipación de al menos un mes cualquier cambio que pudier</w:t>
      </w:r>
      <w:r w:rsidR="00A50D66">
        <w:rPr>
          <w:rFonts w:ascii="ITC Avant Garde" w:hAnsi="ITC Avant Garde" w:cs="Arial"/>
          <w:bCs/>
        </w:rPr>
        <w:t>a presentarse en el servicio de</w:t>
      </w:r>
      <w:r w:rsidR="00436B73" w:rsidRPr="00BA1D95">
        <w:rPr>
          <w:rFonts w:ascii="ITC Avant Garde" w:hAnsi="ITC Avant Garde" w:cs="Arial"/>
          <w:bCs/>
        </w:rPr>
        <w:t xml:space="preserve"> </w:t>
      </w:r>
      <w:proofErr w:type="spellStart"/>
      <w:r w:rsidR="00A50D66">
        <w:rPr>
          <w:rFonts w:ascii="ITC Avant Garde" w:hAnsi="ITC Avant Garde" w:cs="Arial"/>
          <w:bCs/>
        </w:rPr>
        <w:t>WiFi</w:t>
      </w:r>
      <w:proofErr w:type="spellEnd"/>
      <w:r w:rsidR="00A50D66">
        <w:rPr>
          <w:rFonts w:ascii="ITC Avant Garde" w:hAnsi="ITC Avant Garde" w:cs="Arial"/>
          <w:bCs/>
        </w:rPr>
        <w:t xml:space="preserve"> </w:t>
      </w:r>
      <w:r w:rsidRPr="00BA1D95">
        <w:rPr>
          <w:rFonts w:ascii="ITC Avant Garde" w:hAnsi="ITC Avant Garde" w:cs="Arial"/>
          <w:bCs/>
        </w:rPr>
        <w:t xml:space="preserve">Móvil. </w:t>
      </w:r>
    </w:p>
    <w:p w:rsidR="0095469C" w:rsidRPr="0095469C" w:rsidRDefault="0095469C" w:rsidP="004B11EB">
      <w:pPr>
        <w:spacing w:after="200" w:line="276" w:lineRule="auto"/>
        <w:jc w:val="both"/>
        <w:rPr>
          <w:rFonts w:ascii="ITC Avant Garde" w:hAnsi="ITC Avant Garde"/>
          <w:bCs/>
        </w:rPr>
      </w:pPr>
      <w:r>
        <w:rPr>
          <w:rFonts w:ascii="ITC Avant Garde" w:hAnsi="ITC Avant Garde"/>
          <w:bCs/>
        </w:rPr>
        <w:lastRenderedPageBreak/>
        <w:t xml:space="preserve">Una vez concluida la instalación, el usuario y contraseña con el que cada usuario final del CS tendrá acceso al servicio </w:t>
      </w:r>
      <w:proofErr w:type="spellStart"/>
      <w:r>
        <w:rPr>
          <w:rFonts w:ascii="ITC Avant Garde" w:hAnsi="ITC Avant Garde"/>
          <w:bCs/>
        </w:rPr>
        <w:t>WiFi</w:t>
      </w:r>
      <w:proofErr w:type="spellEnd"/>
      <w:r>
        <w:rPr>
          <w:rFonts w:ascii="ITC Avant Garde" w:hAnsi="ITC Avant Garde"/>
          <w:bCs/>
        </w:rPr>
        <w:t xml:space="preserve"> Móvil deberá ser proporcionado por el AEP mediante el número de atención 800 cuando el CS lo solicite.</w:t>
      </w:r>
    </w:p>
    <w:p w:rsidR="00A47F9A" w:rsidRPr="00C0293F" w:rsidRDefault="001F07CF" w:rsidP="00C0293F">
      <w:pPr>
        <w:spacing w:after="200" w:line="276" w:lineRule="auto"/>
        <w:jc w:val="both"/>
        <w:rPr>
          <w:rFonts w:ascii="ITC Avant Garde" w:hAnsi="ITC Avant Garde"/>
          <w:bCs/>
        </w:rPr>
      </w:pPr>
      <w:r w:rsidRPr="00C0293F">
        <w:rPr>
          <w:rFonts w:ascii="ITC Avant Garde" w:hAnsi="ITC Avant Garde"/>
          <w:bCs/>
        </w:rPr>
        <w:t>L</w:t>
      </w:r>
      <w:r w:rsidR="00A47F9A" w:rsidRPr="00C0293F">
        <w:rPr>
          <w:rFonts w:ascii="ITC Avant Garde" w:hAnsi="ITC Avant Garde"/>
          <w:bCs/>
        </w:rPr>
        <w:t>as modalidades disponibles para el S</w:t>
      </w:r>
      <w:r w:rsidRPr="00C0293F">
        <w:rPr>
          <w:rFonts w:ascii="ITC Avant Garde" w:hAnsi="ITC Avant Garde"/>
          <w:bCs/>
        </w:rPr>
        <w:t>RI</w:t>
      </w:r>
      <w:r w:rsidR="00A47F9A" w:rsidRPr="00C0293F">
        <w:rPr>
          <w:rFonts w:ascii="ITC Avant Garde" w:hAnsi="ITC Avant Garde"/>
          <w:bCs/>
        </w:rPr>
        <w:t xml:space="preserve"> </w:t>
      </w:r>
      <w:r w:rsidR="00C21780" w:rsidRPr="00C0293F">
        <w:rPr>
          <w:rFonts w:ascii="ITC Avant Garde" w:hAnsi="ITC Avant Garde"/>
          <w:bCs/>
        </w:rPr>
        <w:t xml:space="preserve">son las que se ofrecen para el </w:t>
      </w:r>
      <w:r w:rsidR="0032772E" w:rsidRPr="00C0293F">
        <w:rPr>
          <w:rFonts w:ascii="ITC Avant Garde" w:hAnsi="ITC Avant Garde"/>
          <w:bCs/>
        </w:rPr>
        <w:t>Internet</w:t>
      </w:r>
      <w:r w:rsidR="00C21780" w:rsidRPr="00C0293F">
        <w:rPr>
          <w:rFonts w:ascii="ITC Avant Garde" w:hAnsi="ITC Avant Garde"/>
          <w:bCs/>
        </w:rPr>
        <w:t xml:space="preserve"> puro </w:t>
      </w:r>
      <w:r w:rsidR="009071A2" w:rsidRPr="00C0293F">
        <w:rPr>
          <w:rFonts w:ascii="ITC Avant Garde" w:hAnsi="ITC Avant Garde"/>
          <w:bCs/>
        </w:rPr>
        <w:t>que</w:t>
      </w:r>
      <w:r w:rsidR="00C21780" w:rsidRPr="00C0293F">
        <w:rPr>
          <w:rFonts w:ascii="ITC Avant Garde" w:hAnsi="ITC Avant Garde"/>
          <w:bCs/>
        </w:rPr>
        <w:t xml:space="preserve"> se encuentran </w:t>
      </w:r>
      <w:r w:rsidR="008C3E4B" w:rsidRPr="00C0293F">
        <w:rPr>
          <w:rFonts w:ascii="ITC Avant Garde" w:hAnsi="ITC Avant Garde"/>
          <w:bCs/>
        </w:rPr>
        <w:t xml:space="preserve">vigentes y </w:t>
      </w:r>
      <w:r w:rsidR="0032772E" w:rsidRPr="00C0293F">
        <w:rPr>
          <w:rFonts w:ascii="ITC Avant Garde" w:hAnsi="ITC Avant Garde"/>
          <w:bCs/>
        </w:rPr>
        <w:t>autorizadas</w:t>
      </w:r>
      <w:r w:rsidR="008C3E4B" w:rsidRPr="00C0293F">
        <w:rPr>
          <w:rFonts w:ascii="ITC Avant Garde" w:hAnsi="ITC Avant Garde"/>
          <w:bCs/>
        </w:rPr>
        <w:t xml:space="preserve"> por el Instituto</w:t>
      </w:r>
      <w:r w:rsidR="0032772E" w:rsidRPr="00C0293F">
        <w:rPr>
          <w:rFonts w:ascii="ITC Avant Garde" w:hAnsi="ITC Avant Garde"/>
          <w:bCs/>
        </w:rPr>
        <w:t>,</w:t>
      </w:r>
      <w:r w:rsidR="008C3E4B" w:rsidRPr="00C0293F">
        <w:rPr>
          <w:rFonts w:ascii="ITC Avant Garde" w:hAnsi="ITC Avant Garde"/>
          <w:bCs/>
        </w:rPr>
        <w:t xml:space="preserve"> las cuales se verán reflejadas en el Anexo A</w:t>
      </w:r>
      <w:r w:rsidR="00532771" w:rsidRPr="00C0293F">
        <w:rPr>
          <w:rFonts w:ascii="ITC Avant Garde" w:hAnsi="ITC Avant Garde"/>
          <w:bCs/>
        </w:rPr>
        <w:t xml:space="preserve"> y deberán estar </w:t>
      </w:r>
      <w:r w:rsidR="00C21780" w:rsidRPr="00C0293F">
        <w:rPr>
          <w:rFonts w:ascii="ITC Avant Garde" w:hAnsi="ITC Avant Garde"/>
          <w:bCs/>
        </w:rPr>
        <w:t xml:space="preserve">publicadas en </w:t>
      </w:r>
      <w:r w:rsidR="0032772E" w:rsidRPr="00C0293F">
        <w:rPr>
          <w:rFonts w:ascii="ITC Avant Garde" w:hAnsi="ITC Avant Garde"/>
          <w:bCs/>
        </w:rPr>
        <w:t xml:space="preserve">su totalidad en </w:t>
      </w:r>
      <w:r w:rsidR="00C21780" w:rsidRPr="00C0293F">
        <w:rPr>
          <w:rFonts w:ascii="ITC Avant Garde" w:hAnsi="ITC Avant Garde"/>
          <w:bCs/>
        </w:rPr>
        <w:t xml:space="preserve">el </w:t>
      </w:r>
      <w:r w:rsidR="006B5A23">
        <w:rPr>
          <w:rFonts w:ascii="ITC Avant Garde" w:hAnsi="ITC Avant Garde"/>
          <w:bCs/>
        </w:rPr>
        <w:t>SEG</w:t>
      </w:r>
      <w:r w:rsidR="0032772E" w:rsidRPr="00C0293F">
        <w:rPr>
          <w:rFonts w:ascii="ITC Avant Garde" w:hAnsi="ITC Avant Garde"/>
          <w:bCs/>
        </w:rPr>
        <w:t xml:space="preserve">. </w:t>
      </w:r>
    </w:p>
    <w:p w:rsidR="00A47F9A" w:rsidRPr="00BA1D95" w:rsidRDefault="00A47F9A" w:rsidP="004B11EB">
      <w:pPr>
        <w:spacing w:before="240" w:after="200" w:line="276" w:lineRule="auto"/>
        <w:jc w:val="both"/>
        <w:rPr>
          <w:rFonts w:ascii="ITC Avant Garde" w:hAnsi="ITC Avant Garde" w:cs="Arial"/>
          <w:b/>
        </w:rPr>
      </w:pPr>
      <w:r w:rsidRPr="00BA1D95">
        <w:rPr>
          <w:rFonts w:ascii="ITC Avant Garde" w:hAnsi="ITC Avant Garde" w:cs="Arial"/>
          <w:b/>
        </w:rPr>
        <w:t>Alcance del servicio</w:t>
      </w:r>
    </w:p>
    <w:p w:rsidR="00A47F9A" w:rsidRPr="00BA1D95" w:rsidRDefault="00A47F9A" w:rsidP="004B11EB">
      <w:pPr>
        <w:spacing w:before="240" w:after="200" w:line="276" w:lineRule="auto"/>
        <w:jc w:val="both"/>
        <w:rPr>
          <w:rFonts w:ascii="ITC Avant Garde" w:hAnsi="ITC Avant Garde" w:cs="Arial"/>
        </w:rPr>
      </w:pPr>
      <w:r w:rsidRPr="00BA1D95">
        <w:rPr>
          <w:rFonts w:ascii="ITC Avant Garde" w:hAnsi="ITC Avant Garde" w:cs="Arial"/>
        </w:rPr>
        <w:t xml:space="preserve">El alcance y responsabilidad de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 xml:space="preserve">en el </w:t>
      </w:r>
      <w:r w:rsidR="009071A2" w:rsidRPr="00BA1D95">
        <w:rPr>
          <w:rFonts w:ascii="ITC Avant Garde" w:hAnsi="ITC Avant Garde" w:cs="Arial"/>
        </w:rPr>
        <w:t>SRI</w:t>
      </w:r>
      <w:r w:rsidRPr="00BA1D95">
        <w:rPr>
          <w:rFonts w:ascii="ITC Avant Garde" w:hAnsi="ITC Avant Garde" w:cs="Arial"/>
        </w:rPr>
        <w:t xml:space="preserve"> es el siguiente:</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Instalación del servicio</w:t>
      </w:r>
      <w:r w:rsidR="00C21780" w:rsidRPr="00BA1D95">
        <w:rPr>
          <w:rFonts w:ascii="ITC Avant Garde" w:hAnsi="ITC Avant Garde" w:cs="Arial"/>
          <w:sz w:val="22"/>
          <w:szCs w:val="22"/>
          <w:lang w:val="es-MX"/>
        </w:rPr>
        <w:t xml:space="preserve"> hasta el PCT en el domicilio del usuario final</w:t>
      </w:r>
      <w:r w:rsidRPr="00BA1D95">
        <w:rPr>
          <w:rFonts w:ascii="ITC Avant Garde" w:hAnsi="ITC Avant Garde" w:cs="Arial"/>
          <w:sz w:val="22"/>
          <w:szCs w:val="22"/>
          <w:lang w:val="es-MX"/>
        </w:rPr>
        <w:t>.</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 xml:space="preserve">Habilitación del servicio en la red y Sistemas de Gestión </w:t>
      </w:r>
      <w:r w:rsidR="001A4302" w:rsidRPr="00BA1D95">
        <w:rPr>
          <w:rFonts w:ascii="ITC Avant Garde" w:hAnsi="ITC Avant Garde" w:cs="Arial"/>
          <w:sz w:val="22"/>
          <w:szCs w:val="22"/>
          <w:lang w:val="es-MX"/>
        </w:rPr>
        <w:t xml:space="preserve">de </w:t>
      </w:r>
      <w:r w:rsidR="00E83F21">
        <w:rPr>
          <w:rFonts w:ascii="ITC Avant Garde" w:hAnsi="ITC Avant Garde" w:cs="Arial"/>
          <w:sz w:val="22"/>
          <w:szCs w:val="22"/>
          <w:lang w:val="es-MX"/>
        </w:rPr>
        <w:t>Telmex / Telnor</w:t>
      </w:r>
      <w:r w:rsidRPr="00BA1D95">
        <w:rPr>
          <w:rFonts w:ascii="ITC Avant Garde" w:hAnsi="ITC Avant Garde" w:cs="Arial"/>
          <w:sz w:val="22"/>
          <w:szCs w:val="22"/>
          <w:lang w:val="es-MX"/>
        </w:rPr>
        <w:t>.</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Servicio de Internet.</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 xml:space="preserve">El </w:t>
      </w:r>
      <w:r w:rsidR="009071A2" w:rsidRPr="00BA1D95">
        <w:rPr>
          <w:rFonts w:ascii="ITC Avant Garde" w:hAnsi="ITC Avant Garde" w:cs="Arial"/>
          <w:lang w:val="es-ES"/>
        </w:rPr>
        <w:t>SRI</w:t>
      </w:r>
      <w:r w:rsidRPr="00BA1D95">
        <w:rPr>
          <w:rFonts w:ascii="ITC Avant Garde" w:hAnsi="ITC Avant Garde" w:cs="Arial"/>
          <w:lang w:val="es-ES"/>
        </w:rPr>
        <w:t xml:space="preserve"> se aprovisionará de acuerdo con las siguientes características: </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 xml:space="preserve">Tráfico </w:t>
      </w:r>
      <w:proofErr w:type="spellStart"/>
      <w:r w:rsidRPr="00BA1D95">
        <w:rPr>
          <w:rFonts w:ascii="ITC Avant Garde" w:hAnsi="ITC Avant Garde" w:cs="Arial"/>
          <w:i/>
          <w:iCs/>
          <w:sz w:val="22"/>
          <w:szCs w:val="22"/>
          <w:lang w:val="es-MX"/>
        </w:rPr>
        <w:t>Best</w:t>
      </w:r>
      <w:proofErr w:type="spellEnd"/>
      <w:r w:rsidRPr="00BA1D95">
        <w:rPr>
          <w:rFonts w:ascii="ITC Avant Garde" w:hAnsi="ITC Avant Garde" w:cs="Arial"/>
          <w:i/>
          <w:iCs/>
          <w:sz w:val="22"/>
          <w:szCs w:val="22"/>
          <w:lang w:val="es-MX"/>
        </w:rPr>
        <w:t xml:space="preserve"> </w:t>
      </w:r>
      <w:proofErr w:type="spellStart"/>
      <w:r w:rsidRPr="00BA1D95">
        <w:rPr>
          <w:rFonts w:ascii="ITC Avant Garde" w:hAnsi="ITC Avant Garde" w:cs="Arial"/>
          <w:i/>
          <w:iCs/>
          <w:sz w:val="22"/>
          <w:szCs w:val="22"/>
          <w:lang w:val="es-MX"/>
        </w:rPr>
        <w:t>Effort</w:t>
      </w:r>
      <w:proofErr w:type="spellEnd"/>
      <w:r w:rsidRPr="00BA1D95">
        <w:rPr>
          <w:rFonts w:ascii="ITC Avant Garde" w:hAnsi="ITC Avant Garde" w:cs="Arial"/>
          <w:sz w:val="22"/>
          <w:szCs w:val="22"/>
          <w:lang w:val="es-MX"/>
        </w:rPr>
        <w:t xml:space="preserve"> </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Medio de transmisión a usuarios finales (cobre o fibra óptica)</w:t>
      </w:r>
    </w:p>
    <w:p w:rsidR="00A47F9A" w:rsidRPr="00BA1D95" w:rsidRDefault="00A47F9A" w:rsidP="004B11EB">
      <w:pPr>
        <w:spacing w:after="200" w:line="276" w:lineRule="auto"/>
        <w:jc w:val="both"/>
        <w:rPr>
          <w:rFonts w:ascii="ITC Avant Garde" w:hAnsi="ITC Avant Garde" w:cs="Arial"/>
          <w:lang w:val="es-ES"/>
        </w:rPr>
      </w:pPr>
      <w:r w:rsidRPr="00BA1D95">
        <w:rPr>
          <w:rFonts w:ascii="ITC Avant Garde" w:hAnsi="ITC Avant Garde" w:cs="Arial"/>
          <w:lang w:val="es-ES"/>
        </w:rPr>
        <w:t xml:space="preserve">El CS podrá solicitar </w:t>
      </w:r>
      <w:r w:rsidR="007C648C" w:rsidRPr="00BA1D95">
        <w:rPr>
          <w:rFonts w:ascii="ITC Avant Garde" w:hAnsi="ITC Avant Garde" w:cs="Arial"/>
          <w:lang w:val="es-ES"/>
        </w:rPr>
        <w:t xml:space="preserve">los </w:t>
      </w:r>
      <w:r w:rsidRPr="00BA1D95">
        <w:rPr>
          <w:rFonts w:ascii="ITC Avant Garde" w:hAnsi="ITC Avant Garde" w:cs="Arial"/>
          <w:lang w:val="es-ES"/>
        </w:rPr>
        <w:t>siguiente</w:t>
      </w:r>
      <w:r w:rsidR="007C648C" w:rsidRPr="00BA1D95">
        <w:rPr>
          <w:rFonts w:ascii="ITC Avant Garde" w:hAnsi="ITC Avant Garde" w:cs="Arial"/>
          <w:lang w:val="es-ES"/>
        </w:rPr>
        <w:t>s</w:t>
      </w:r>
      <w:r w:rsidRPr="00BA1D95">
        <w:rPr>
          <w:rFonts w:ascii="ITC Avant Garde" w:hAnsi="ITC Avant Garde" w:cs="Arial"/>
          <w:lang w:val="es-ES"/>
        </w:rPr>
        <w:t xml:space="preserve"> movimiento</w:t>
      </w:r>
      <w:r w:rsidR="007C648C" w:rsidRPr="00BA1D95">
        <w:rPr>
          <w:rFonts w:ascii="ITC Avant Garde" w:hAnsi="ITC Avant Garde" w:cs="Arial"/>
          <w:lang w:val="es-ES"/>
        </w:rPr>
        <w:t>s</w:t>
      </w:r>
      <w:r w:rsidRPr="00BA1D95">
        <w:rPr>
          <w:rFonts w:ascii="ITC Avant Garde" w:hAnsi="ITC Avant Garde" w:cs="Arial"/>
          <w:lang w:val="es-ES"/>
        </w:rPr>
        <w:t xml:space="preserve"> sobre el </w:t>
      </w:r>
      <w:r w:rsidR="009071A2" w:rsidRPr="00BA1D95">
        <w:rPr>
          <w:rFonts w:ascii="ITC Avant Garde" w:hAnsi="ITC Avant Garde" w:cs="Arial"/>
          <w:lang w:val="es-ES"/>
        </w:rPr>
        <w:t>SRI</w:t>
      </w:r>
      <w:r w:rsidRPr="00BA1D95">
        <w:rPr>
          <w:rFonts w:ascii="ITC Avant Garde" w:hAnsi="ITC Avant Garde" w:cs="Arial"/>
          <w:lang w:val="es-ES"/>
        </w:rPr>
        <w:t>:</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Cambio de velocidad.</w:t>
      </w:r>
    </w:p>
    <w:p w:rsidR="00C21780" w:rsidRPr="00BA1D95" w:rsidRDefault="00C21780"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 xml:space="preserve">Cambio de </w:t>
      </w:r>
      <w:r w:rsidR="00B447FB" w:rsidRPr="00BA1D95">
        <w:rPr>
          <w:rFonts w:ascii="ITC Avant Garde" w:hAnsi="ITC Avant Garde" w:cs="Arial"/>
          <w:sz w:val="22"/>
          <w:szCs w:val="22"/>
          <w:lang w:val="es-MX"/>
        </w:rPr>
        <w:t>d</w:t>
      </w:r>
      <w:r w:rsidRPr="00BA1D95">
        <w:rPr>
          <w:rFonts w:ascii="ITC Avant Garde" w:hAnsi="ITC Avant Garde" w:cs="Arial"/>
          <w:sz w:val="22"/>
          <w:szCs w:val="22"/>
          <w:lang w:val="es-MX"/>
        </w:rPr>
        <w:t>omicilio</w:t>
      </w:r>
      <w:r w:rsidR="00B447FB" w:rsidRPr="00BA1D95">
        <w:rPr>
          <w:rFonts w:ascii="ITC Avant Garde" w:hAnsi="ITC Avant Garde" w:cs="Arial"/>
          <w:sz w:val="22"/>
          <w:szCs w:val="22"/>
          <w:lang w:val="es-MX"/>
        </w:rPr>
        <w:t>.</w:t>
      </w:r>
    </w:p>
    <w:p w:rsidR="00A47F9A" w:rsidRPr="00BA1D95" w:rsidRDefault="00E83F21" w:rsidP="004B11EB">
      <w:pPr>
        <w:spacing w:after="200" w:line="276" w:lineRule="auto"/>
        <w:jc w:val="both"/>
        <w:rPr>
          <w:rFonts w:ascii="ITC Avant Garde" w:hAnsi="ITC Avant Garde" w:cs="Arial"/>
        </w:rPr>
      </w:pPr>
      <w:r>
        <w:rPr>
          <w:rFonts w:ascii="ITC Avant Garde" w:hAnsi="ITC Avant Garde" w:cs="Arial"/>
        </w:rPr>
        <w:t>Telmex / Telnor</w:t>
      </w:r>
      <w:r w:rsidR="001163BA">
        <w:rPr>
          <w:rFonts w:ascii="ITC Avant Garde" w:hAnsi="ITC Avant Garde" w:cs="Arial"/>
        </w:rPr>
        <w:t xml:space="preserve"> </w:t>
      </w:r>
      <w:r w:rsidR="00C21780" w:rsidRPr="00BA1D95">
        <w:rPr>
          <w:rFonts w:ascii="ITC Avant Garde" w:hAnsi="ITC Avant Garde" w:cs="Arial"/>
        </w:rPr>
        <w:t>pone</w:t>
      </w:r>
      <w:r w:rsidR="00A47F9A" w:rsidRPr="00BA1D95">
        <w:rPr>
          <w:rFonts w:ascii="ITC Avant Garde" w:hAnsi="ITC Avant Garde" w:cs="Arial"/>
        </w:rPr>
        <w:t xml:space="preserve"> a disposición de</w:t>
      </w:r>
      <w:r w:rsidR="00F44CEF" w:rsidRPr="00BA1D95">
        <w:rPr>
          <w:rFonts w:ascii="ITC Avant Garde" w:hAnsi="ITC Avant Garde" w:cs="Arial"/>
        </w:rPr>
        <w:t xml:space="preserve"> </w:t>
      </w:r>
      <w:r w:rsidR="00A47F9A" w:rsidRPr="00BA1D95">
        <w:rPr>
          <w:rFonts w:ascii="ITC Avant Garde" w:hAnsi="ITC Avant Garde" w:cs="Arial"/>
        </w:rPr>
        <w:t>l</w:t>
      </w:r>
      <w:r w:rsidR="00F44CEF" w:rsidRPr="00BA1D95">
        <w:rPr>
          <w:rFonts w:ascii="ITC Avant Garde" w:hAnsi="ITC Avant Garde" w:cs="Arial"/>
        </w:rPr>
        <w:t>os</w:t>
      </w:r>
      <w:r w:rsidR="00A47F9A" w:rsidRPr="00BA1D95">
        <w:rPr>
          <w:rFonts w:ascii="ITC Avant Garde" w:hAnsi="ITC Avant Garde" w:cs="Arial"/>
        </w:rPr>
        <w:t xml:space="preserve"> CS </w:t>
      </w:r>
      <w:r w:rsidR="00C21780" w:rsidRPr="00BA1D95">
        <w:rPr>
          <w:rFonts w:ascii="ITC Avant Garde" w:hAnsi="ITC Avant Garde" w:cs="Arial"/>
        </w:rPr>
        <w:t>dentro</w:t>
      </w:r>
      <w:r w:rsidR="00A47F9A" w:rsidRPr="00BA1D95">
        <w:rPr>
          <w:rFonts w:ascii="ITC Avant Garde" w:hAnsi="ITC Avant Garde" w:cs="Arial"/>
        </w:rPr>
        <w:t xml:space="preserve"> </w:t>
      </w:r>
      <w:r w:rsidR="00C21780" w:rsidRPr="00BA1D95">
        <w:rPr>
          <w:rFonts w:ascii="ITC Avant Garde" w:hAnsi="ITC Avant Garde" w:cs="Arial"/>
        </w:rPr>
        <w:t>d</w:t>
      </w:r>
      <w:r w:rsidR="00A47F9A" w:rsidRPr="00BA1D95">
        <w:rPr>
          <w:rFonts w:ascii="ITC Avant Garde" w:hAnsi="ITC Avant Garde" w:cs="Arial"/>
        </w:rPr>
        <w:t xml:space="preserve">el </w:t>
      </w:r>
      <w:r w:rsidR="006B5A23">
        <w:rPr>
          <w:rFonts w:ascii="ITC Avant Garde" w:hAnsi="ITC Avant Garde" w:cs="Arial"/>
        </w:rPr>
        <w:t>SEG</w:t>
      </w:r>
      <w:r w:rsidR="00A47F9A" w:rsidRPr="00BA1D95">
        <w:rPr>
          <w:rFonts w:ascii="ITC Avant Garde" w:hAnsi="ITC Avant Garde" w:cs="Arial"/>
        </w:rPr>
        <w:t xml:space="preserve"> una funcionalidad </w:t>
      </w:r>
      <w:r w:rsidR="0095469C">
        <w:rPr>
          <w:rFonts w:ascii="ITC Avant Garde" w:hAnsi="ITC Avant Garde" w:cs="Arial"/>
        </w:rPr>
        <w:t>con</w:t>
      </w:r>
      <w:r w:rsidR="00A47F9A" w:rsidRPr="00BA1D95">
        <w:rPr>
          <w:rFonts w:ascii="ITC Avant Garde" w:hAnsi="ITC Avant Garde" w:cs="Arial"/>
        </w:rPr>
        <w:t xml:space="preserve"> la </w:t>
      </w:r>
      <w:r w:rsidR="00C21780" w:rsidRPr="00BA1D95">
        <w:rPr>
          <w:rFonts w:ascii="ITC Avant Garde" w:hAnsi="ITC Avant Garde" w:cs="Arial"/>
        </w:rPr>
        <w:t>que puede</w:t>
      </w:r>
      <w:r w:rsidR="00A47F9A" w:rsidRPr="00BA1D95">
        <w:rPr>
          <w:rFonts w:ascii="ITC Avant Garde" w:hAnsi="ITC Avant Garde" w:cs="Arial"/>
        </w:rPr>
        <w:t xml:space="preserve"> realizar la suspensión o reanudación de los servicios de los usuarios finales. </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La facturación a los usuarios finales de los servicios será responsabilidad del CS, por lo que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 xml:space="preserve">pondrá a disposición de los CS un archivo donde se asocien los Servicios de Reventa de Internet prestados a cada usuario final, a través del </w:t>
      </w:r>
      <w:r w:rsidR="006B5A23">
        <w:rPr>
          <w:rFonts w:ascii="ITC Avant Garde" w:hAnsi="ITC Avant Garde" w:cs="Arial"/>
        </w:rPr>
        <w:t>SEG</w:t>
      </w:r>
      <w:r w:rsidR="00755948">
        <w:rPr>
          <w:rFonts w:ascii="ITC Avant Garde" w:hAnsi="ITC Avant Garde" w:cs="Arial"/>
        </w:rPr>
        <w:t xml:space="preserve"> </w:t>
      </w:r>
      <w:r w:rsidRPr="00BA1D95">
        <w:rPr>
          <w:rFonts w:ascii="ITC Avant Garde" w:hAnsi="ITC Avant Garde" w:cs="Arial"/>
        </w:rPr>
        <w:t>para que sean descargados por cada CS.</w:t>
      </w:r>
    </w:p>
    <w:p w:rsidR="00A47F9A" w:rsidRPr="00BA1D95" w:rsidRDefault="00A47F9A" w:rsidP="00FF4EC6">
      <w:pPr>
        <w:pStyle w:val="1TitPrin"/>
        <w:numPr>
          <w:ilvl w:val="1"/>
          <w:numId w:val="182"/>
        </w:numPr>
        <w:outlineLvl w:val="1"/>
      </w:pPr>
      <w:bookmarkStart w:id="438" w:name="_Toc413682062"/>
      <w:bookmarkStart w:id="439" w:name="_Toc436840884"/>
      <w:bookmarkStart w:id="440" w:name="_Toc436846321"/>
      <w:bookmarkStart w:id="441" w:name="_Toc436848271"/>
      <w:bookmarkStart w:id="442" w:name="_Toc436856519"/>
      <w:bookmarkStart w:id="443" w:name="_Toc436862665"/>
      <w:bookmarkStart w:id="444" w:name="_Toc436866315"/>
      <w:bookmarkStart w:id="445" w:name="_Toc436870894"/>
      <w:bookmarkStart w:id="446" w:name="_Toc436875886"/>
      <w:bookmarkStart w:id="447" w:name="_Toc467248699"/>
      <w:bookmarkStart w:id="448" w:name="_Toc26273070"/>
      <w:bookmarkStart w:id="449" w:name="_Toc26284468"/>
      <w:bookmarkStart w:id="450" w:name="_Toc525904564"/>
      <w:bookmarkStart w:id="451" w:name="_Toc525913960"/>
      <w:bookmarkStart w:id="452" w:name="_Toc525919199"/>
      <w:bookmarkStart w:id="453" w:name="_Toc525919323"/>
      <w:bookmarkStart w:id="454" w:name="_Toc2957134"/>
      <w:bookmarkStart w:id="455" w:name="_Toc54106572"/>
      <w:r w:rsidRPr="00BA1D95">
        <w:t xml:space="preserve">Servicio de Reventa de </w:t>
      </w:r>
      <w:bookmarkEnd w:id="438"/>
      <w:r w:rsidRPr="00BA1D95">
        <w:t>Paquetes</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r w:rsidRPr="00BA1D95">
        <w:t xml:space="preserve"> </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El Servicio de Reventa de Paquetes (SRP) permite a los </w:t>
      </w:r>
      <w:r w:rsidR="000A39DA">
        <w:rPr>
          <w:rFonts w:ascii="ITC Avant Garde" w:hAnsi="ITC Avant Garde" w:cs="Arial"/>
        </w:rPr>
        <w:t>CS</w:t>
      </w:r>
      <w:r w:rsidRPr="00BA1D95">
        <w:rPr>
          <w:rFonts w:ascii="ITC Avant Garde" w:hAnsi="ITC Avant Garde" w:cs="Arial"/>
        </w:rPr>
        <w:t xml:space="preserve"> la reventa o comercialización del servicio de línea telefónica junto con Internet, en la modalidad de paquetes, tanto para líneas residenciales como para líneas comerciales. </w:t>
      </w:r>
    </w:p>
    <w:p w:rsidR="00BC670B"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En este servicio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realiza la provisión de los paquetes que</w:t>
      </w:r>
      <w:r w:rsidR="00810E19" w:rsidRPr="00BA1D95">
        <w:rPr>
          <w:rFonts w:ascii="ITC Avant Garde" w:hAnsi="ITC Avant Garde" w:cs="Arial"/>
        </w:rPr>
        <w:t xml:space="preserve"> </w:t>
      </w:r>
      <w:r w:rsidR="00FA04C4" w:rsidRPr="00BA1D95">
        <w:rPr>
          <w:rFonts w:ascii="ITC Avant Garde" w:hAnsi="ITC Avant Garde" w:cs="Arial"/>
        </w:rPr>
        <w:t xml:space="preserve">el AEP </w:t>
      </w:r>
      <w:r w:rsidRPr="00BA1D95">
        <w:rPr>
          <w:rFonts w:ascii="ITC Avant Garde" w:hAnsi="ITC Avant Garde" w:cs="Arial"/>
        </w:rPr>
        <w:t>tiene autorizados y registrados ante el Instituto, ofrece o comercializa actualmente, bajo las mismas condiciones comerciales que ofrece para sus usuarios, en los mismos términos y condiciones</w:t>
      </w:r>
      <w:r w:rsidR="00FA04C4" w:rsidRPr="00BA1D95">
        <w:rPr>
          <w:rFonts w:ascii="ITC Avant Garde" w:hAnsi="ITC Avant Garde" w:cs="Arial"/>
        </w:rPr>
        <w:t xml:space="preserve"> </w:t>
      </w:r>
      <w:r w:rsidRPr="00BA1D95">
        <w:rPr>
          <w:rFonts w:ascii="ITC Avant Garde" w:hAnsi="ITC Avant Garde" w:cs="Arial"/>
        </w:rPr>
        <w:t xml:space="preserve">que ofrece a sus </w:t>
      </w:r>
      <w:r w:rsidRPr="00BA1D95">
        <w:rPr>
          <w:rFonts w:ascii="ITC Avant Garde" w:hAnsi="ITC Avant Garde" w:cs="Arial"/>
        </w:rPr>
        <w:lastRenderedPageBreak/>
        <w:t xml:space="preserve">usuarios </w:t>
      </w:r>
      <w:r w:rsidR="00EE7D97" w:rsidRPr="00BA1D95">
        <w:rPr>
          <w:rFonts w:ascii="ITC Avant Garde" w:hAnsi="ITC Avant Garde" w:cs="Arial"/>
        </w:rPr>
        <w:t>finales</w:t>
      </w:r>
      <w:r w:rsidRPr="00BA1D95">
        <w:rPr>
          <w:rFonts w:ascii="ITC Avant Garde" w:hAnsi="ITC Avant Garde" w:cs="Arial"/>
        </w:rPr>
        <w:t xml:space="preserve">. </w:t>
      </w:r>
      <w:r w:rsidR="000A39DA">
        <w:rPr>
          <w:rFonts w:ascii="ITC Avant Garde" w:hAnsi="ITC Avant Garde" w:cs="Arial"/>
        </w:rPr>
        <w:t>El AEP</w:t>
      </w:r>
      <w:r w:rsidR="001A4302" w:rsidRPr="00BA1D95">
        <w:rPr>
          <w:rFonts w:ascii="ITC Avant Garde" w:hAnsi="ITC Avant Garde" w:cs="Arial"/>
        </w:rPr>
        <w:t xml:space="preserve"> </w:t>
      </w:r>
      <w:r w:rsidRPr="00BA1D95">
        <w:rPr>
          <w:rFonts w:ascii="ITC Avant Garde" w:hAnsi="ITC Avant Garde" w:cs="Arial"/>
        </w:rPr>
        <w:t xml:space="preserve">ofrecerá a los CS las nuevas ofertas comerciales de Paquetes de Internet una vez que se las autorice el Instituto. Para ello, </w:t>
      </w:r>
      <w:r w:rsidR="00E83F21">
        <w:rPr>
          <w:rFonts w:ascii="ITC Avant Garde" w:hAnsi="ITC Avant Garde" w:cs="Arial"/>
        </w:rPr>
        <w:t>Telmex / Telnor</w:t>
      </w:r>
      <w:r w:rsidR="00C25DC1">
        <w:rPr>
          <w:rFonts w:ascii="ITC Avant Garde" w:hAnsi="ITC Avant Garde" w:cs="Arial"/>
        </w:rPr>
        <w:t xml:space="preserve"> </w:t>
      </w:r>
      <w:r w:rsidRPr="00BA1D95">
        <w:rPr>
          <w:rFonts w:ascii="ITC Avant Garde" w:hAnsi="ITC Avant Garde" w:cs="Arial"/>
        </w:rPr>
        <w:t>publicará</w:t>
      </w:r>
      <w:r w:rsidR="00AE16E5" w:rsidRPr="00BA1D95">
        <w:rPr>
          <w:rFonts w:ascii="ITC Avant Garde" w:hAnsi="ITC Avant Garde" w:cs="Arial"/>
        </w:rPr>
        <w:t xml:space="preserve"> </w:t>
      </w:r>
      <w:r w:rsidR="00C25DC1">
        <w:rPr>
          <w:rFonts w:ascii="ITC Avant Garde" w:hAnsi="ITC Avant Garde" w:cs="Arial"/>
        </w:rPr>
        <w:t xml:space="preserve">y pondrá en operación </w:t>
      </w:r>
      <w:r w:rsidR="00AE16E5" w:rsidRPr="00BA1D95">
        <w:rPr>
          <w:rFonts w:ascii="ITC Avant Garde" w:hAnsi="ITC Avant Garde" w:cs="Arial"/>
        </w:rPr>
        <w:t xml:space="preserve">en el </w:t>
      </w:r>
      <w:r w:rsidR="006B5A23">
        <w:rPr>
          <w:rFonts w:ascii="ITC Avant Garde" w:hAnsi="ITC Avant Garde" w:cs="Arial"/>
        </w:rPr>
        <w:t>SEG</w:t>
      </w:r>
      <w:r w:rsidR="00AE16E5" w:rsidRPr="00BA1D95">
        <w:rPr>
          <w:rFonts w:ascii="ITC Avant Garde" w:hAnsi="ITC Avant Garde" w:cs="Arial"/>
        </w:rPr>
        <w:t xml:space="preserve"> las </w:t>
      </w:r>
      <w:r w:rsidR="001A4302" w:rsidRPr="00BA1D95">
        <w:rPr>
          <w:rFonts w:ascii="ITC Avant Garde" w:hAnsi="ITC Avant Garde" w:cs="Arial"/>
        </w:rPr>
        <w:t xml:space="preserve">nuevas </w:t>
      </w:r>
      <w:r w:rsidR="00F34096" w:rsidRPr="00BA1D95">
        <w:rPr>
          <w:rFonts w:ascii="ITC Avant Garde" w:hAnsi="ITC Avant Garde" w:cs="Arial"/>
        </w:rPr>
        <w:t xml:space="preserve">ofertas </w:t>
      </w:r>
      <w:r w:rsidR="00C25DC1">
        <w:rPr>
          <w:rFonts w:ascii="ITC Avant Garde" w:hAnsi="ITC Avant Garde" w:cs="Arial"/>
        </w:rPr>
        <w:t>comerciales</w:t>
      </w:r>
      <w:r w:rsidR="00F34096" w:rsidRPr="00BA1D95">
        <w:rPr>
          <w:rFonts w:ascii="ITC Avant Garde" w:hAnsi="ITC Avant Garde" w:cs="Arial"/>
        </w:rPr>
        <w:t xml:space="preserve"> autorizadas </w:t>
      </w:r>
      <w:r w:rsidR="00C25DC1">
        <w:rPr>
          <w:rFonts w:ascii="ITC Avant Garde" w:hAnsi="ITC Avant Garde" w:cs="Arial"/>
        </w:rPr>
        <w:t>por el</w:t>
      </w:r>
      <w:r w:rsidR="00AE16E5" w:rsidRPr="00BA1D95">
        <w:rPr>
          <w:rFonts w:ascii="ITC Avant Garde" w:hAnsi="ITC Avant Garde" w:cs="Arial"/>
        </w:rPr>
        <w:t xml:space="preserve"> Instituto</w:t>
      </w:r>
      <w:r w:rsidR="00C25DC1">
        <w:rPr>
          <w:rFonts w:ascii="ITC Avant Garde" w:hAnsi="ITC Avant Garde" w:cs="Arial"/>
        </w:rPr>
        <w:t xml:space="preserve"> </w:t>
      </w:r>
      <w:r w:rsidR="00C25DC1">
        <w:rPr>
          <w:rFonts w:ascii="ITC Avant Garde" w:hAnsi="ITC Avant Garde"/>
        </w:rPr>
        <w:t>a más tardar cinco días hábiles posteriores a su autorización</w:t>
      </w:r>
      <w:r w:rsidR="00AE16E5" w:rsidRPr="00BA1D95">
        <w:rPr>
          <w:rFonts w:ascii="ITC Avant Garde" w:hAnsi="ITC Avant Garde" w:cs="Arial"/>
        </w:rPr>
        <w:t>.</w:t>
      </w:r>
    </w:p>
    <w:p w:rsidR="005A2E5E" w:rsidRDefault="005A2E5E" w:rsidP="005A2E5E">
      <w:pPr>
        <w:spacing w:after="200" w:line="276" w:lineRule="auto"/>
        <w:jc w:val="both"/>
        <w:rPr>
          <w:rFonts w:ascii="ITC Avant Garde" w:hAnsi="ITC Avant Garde" w:cs="Arial"/>
        </w:rPr>
      </w:pPr>
      <w:r>
        <w:rPr>
          <w:rFonts w:ascii="ITC Avant Garde" w:hAnsi="ITC Avant Garde" w:cs="Arial"/>
        </w:rPr>
        <w:t>En relación con lo anterior</w:t>
      </w:r>
      <w:r w:rsidRPr="00ED0CD3">
        <w:rPr>
          <w:rFonts w:ascii="ITC Avant Garde" w:hAnsi="ITC Avant Garde" w:cs="Arial"/>
        </w:rPr>
        <w:t xml:space="preserve">, </w:t>
      </w:r>
      <w:r>
        <w:rPr>
          <w:rFonts w:ascii="ITC Avant Garde" w:hAnsi="ITC Avant Garde" w:cs="Arial"/>
        </w:rPr>
        <w:t>Telmex/Telnor deberá hacer disponibles todas y cada una de las ofertas comerciales que le sean autorizadas por el Instituto para el S</w:t>
      </w:r>
      <w:r>
        <w:rPr>
          <w:rFonts w:ascii="ITC Avant Garde" w:hAnsi="ITC Avant Garde" w:cs="Arial"/>
        </w:rPr>
        <w:t>RP</w:t>
      </w:r>
      <w:r>
        <w:rPr>
          <w:rFonts w:ascii="ITC Avant Garde" w:hAnsi="ITC Avant Garde" w:cs="Arial"/>
        </w:rPr>
        <w:t xml:space="preserve">, en el entendido de </w:t>
      </w:r>
      <w:r w:rsidRPr="00ED0CD3">
        <w:rPr>
          <w:rFonts w:ascii="ITC Avant Garde" w:hAnsi="ITC Avant Garde" w:cs="Arial"/>
        </w:rPr>
        <w:t xml:space="preserve">que los servicios de terceros no forman parte de </w:t>
      </w:r>
      <w:r>
        <w:rPr>
          <w:rFonts w:ascii="ITC Avant Garde" w:hAnsi="ITC Avant Garde" w:cs="Arial"/>
        </w:rPr>
        <w:t xml:space="preserve">la OREDA. </w:t>
      </w:r>
    </w:p>
    <w:p w:rsidR="005A2E5E" w:rsidRPr="00BA1D95" w:rsidRDefault="005A2E5E" w:rsidP="005A2E5E">
      <w:pPr>
        <w:spacing w:after="200" w:line="276" w:lineRule="auto"/>
        <w:jc w:val="both"/>
        <w:rPr>
          <w:rFonts w:ascii="ITC Avant Garde" w:hAnsi="ITC Avant Garde" w:cs="Arial"/>
        </w:rPr>
      </w:pPr>
      <w:r>
        <w:rPr>
          <w:rFonts w:ascii="ITC Avant Garde" w:hAnsi="ITC Avant Garde" w:cs="Arial"/>
        </w:rPr>
        <w:t>Por lo que, si un determinado</w:t>
      </w:r>
      <w:r w:rsidRPr="00ED0CD3">
        <w:rPr>
          <w:rFonts w:ascii="ITC Avant Garde" w:hAnsi="ITC Avant Garde" w:cs="Arial"/>
        </w:rPr>
        <w:t xml:space="preserve"> </w:t>
      </w:r>
      <w:r w:rsidRPr="009B38B3">
        <w:rPr>
          <w:rFonts w:ascii="ITC Avant Garde" w:hAnsi="ITC Avant Garde" w:cs="Arial"/>
          <w:i/>
          <w:iCs/>
        </w:rPr>
        <w:t>paquete base</w:t>
      </w:r>
      <w:r w:rsidRPr="00ED0CD3">
        <w:rPr>
          <w:rFonts w:ascii="ITC Avant Garde" w:hAnsi="ITC Avant Garde" w:cs="Arial"/>
        </w:rPr>
        <w:t xml:space="preserve"> ya </w:t>
      </w:r>
      <w:r>
        <w:rPr>
          <w:rFonts w:ascii="ITC Avant Garde" w:hAnsi="ITC Avant Garde" w:cs="Arial"/>
        </w:rPr>
        <w:t>se encuentra</w:t>
      </w:r>
      <w:r w:rsidRPr="00ED0CD3">
        <w:rPr>
          <w:rFonts w:ascii="ITC Avant Garde" w:hAnsi="ITC Avant Garde" w:cs="Arial"/>
        </w:rPr>
        <w:t xml:space="preserve"> disponible en el SEG</w:t>
      </w:r>
      <w:r>
        <w:rPr>
          <w:rFonts w:ascii="ITC Avant Garde" w:hAnsi="ITC Avant Garde" w:cs="Arial"/>
        </w:rPr>
        <w:t xml:space="preserve"> y al eliminar los servicios de terceros de otros paquetes autorizados por el Instituto a Telmex /Telnor resulta en que estos paquetes sean idénticos al </w:t>
      </w:r>
      <w:r w:rsidRPr="004211FC">
        <w:rPr>
          <w:rFonts w:ascii="ITC Avant Garde" w:hAnsi="ITC Avant Garde" w:cs="Arial"/>
          <w:i/>
          <w:iCs/>
        </w:rPr>
        <w:t>paquete base</w:t>
      </w:r>
      <w:r>
        <w:rPr>
          <w:rFonts w:ascii="ITC Avant Garde" w:hAnsi="ITC Avant Garde" w:cs="Arial"/>
        </w:rPr>
        <w:t xml:space="preserve"> ya disponible, Telmex/Telnor cumplirá con sus obligaciones en materia de replicabilidad haciendo disponible sólo el </w:t>
      </w:r>
      <w:r w:rsidRPr="004211FC">
        <w:rPr>
          <w:rFonts w:ascii="ITC Avant Garde" w:hAnsi="ITC Avant Garde" w:cs="Arial"/>
          <w:i/>
          <w:iCs/>
        </w:rPr>
        <w:t>paquete base</w:t>
      </w:r>
      <w:r>
        <w:rPr>
          <w:rFonts w:ascii="ITC Avant Garde" w:hAnsi="ITC Avant Garde" w:cs="Arial"/>
        </w:rPr>
        <w:t xml:space="preserve"> en el SEG, para lo cual deberá informar en el propio SEG a los CS los nombres de los otros paquetes que resulten ser idénticos al </w:t>
      </w:r>
      <w:r>
        <w:rPr>
          <w:rFonts w:ascii="ITC Avant Garde" w:hAnsi="ITC Avant Garde" w:cs="Arial"/>
          <w:i/>
          <w:iCs/>
        </w:rPr>
        <w:t>paquete base.</w:t>
      </w:r>
    </w:p>
    <w:p w:rsidR="0054138B" w:rsidRPr="00BA1D95" w:rsidRDefault="00BC670B" w:rsidP="000570F5">
      <w:pPr>
        <w:pStyle w:val="IFTnormal"/>
        <w:rPr>
          <w:rFonts w:cs="Arial"/>
        </w:rPr>
      </w:pPr>
      <w:r w:rsidRPr="00BA1D95">
        <w:t xml:space="preserve">Las modalidades disponibles para el SRP que el AEP ofrece como parte de su oferta comercial serán las que se encuentran vigentes </w:t>
      </w:r>
      <w:r w:rsidRPr="00BA1D95">
        <w:rPr>
          <w:rFonts w:cs="Arial"/>
        </w:rPr>
        <w:t xml:space="preserve">autorizadas por el Instituto, las cuales se verán reflejadas en el </w:t>
      </w:r>
      <w:r w:rsidRPr="000570F5">
        <w:rPr>
          <w:rFonts w:cs="Arial"/>
        </w:rPr>
        <w:t>Anexo A Tarifas</w:t>
      </w:r>
      <w:r w:rsidRPr="00BA1D95">
        <w:rPr>
          <w:rFonts w:cs="Arial"/>
        </w:rPr>
        <w:t xml:space="preserve"> y </w:t>
      </w:r>
      <w:r w:rsidR="00E83F21">
        <w:rPr>
          <w:rFonts w:cs="Arial"/>
        </w:rPr>
        <w:t>Telmex / Telnor</w:t>
      </w:r>
      <w:r w:rsidRPr="00BA1D95">
        <w:rPr>
          <w:rFonts w:cs="Arial"/>
        </w:rPr>
        <w:t xml:space="preserve"> deberá publicarlas en su totalidad en el </w:t>
      </w:r>
      <w:r w:rsidR="006B5A23">
        <w:rPr>
          <w:rFonts w:cs="Arial"/>
        </w:rPr>
        <w:t>SEG</w:t>
      </w:r>
      <w:r w:rsidRPr="00BA1D95">
        <w:rPr>
          <w:rFonts w:cs="Arial"/>
        </w:rPr>
        <w:t xml:space="preserve">. </w:t>
      </w:r>
    </w:p>
    <w:p w:rsidR="00A47F9A" w:rsidRPr="00BA1D95" w:rsidRDefault="00A47F9A" w:rsidP="004B11EB">
      <w:pPr>
        <w:tabs>
          <w:tab w:val="left" w:pos="2051"/>
        </w:tabs>
        <w:spacing w:after="200" w:line="276" w:lineRule="auto"/>
        <w:jc w:val="both"/>
        <w:rPr>
          <w:rFonts w:ascii="ITC Avant Garde" w:hAnsi="ITC Avant Garde" w:cs="Arial"/>
        </w:rPr>
      </w:pPr>
      <w:r w:rsidRPr="00BA1D95">
        <w:rPr>
          <w:rFonts w:ascii="ITC Avant Garde" w:hAnsi="ITC Avant Garde" w:cs="Arial"/>
        </w:rPr>
        <w:t xml:space="preserve">El CS deberá expresar la modalidad que desea contratar (residencial/comercial) en el momento de la solicitud, si el domicilio del usuario final para el que se ha solicitado un </w:t>
      </w:r>
      <w:r w:rsidR="00AE16E5" w:rsidRPr="00BA1D95">
        <w:rPr>
          <w:rFonts w:ascii="ITC Avant Garde" w:hAnsi="ITC Avant Garde" w:cs="Arial"/>
        </w:rPr>
        <w:t>SRP</w:t>
      </w:r>
      <w:r w:rsidRPr="00BA1D95">
        <w:rPr>
          <w:rFonts w:ascii="ITC Avant Garde" w:hAnsi="ITC Avant Garde" w:cs="Arial"/>
        </w:rPr>
        <w:t xml:space="preserve"> residencial no es de una persona física, se habilitará el </w:t>
      </w:r>
      <w:r w:rsidR="00AE16E5" w:rsidRPr="00BA1D95">
        <w:rPr>
          <w:rFonts w:ascii="ITC Avant Garde" w:hAnsi="ITC Avant Garde" w:cs="Arial"/>
        </w:rPr>
        <w:t>SRP</w:t>
      </w:r>
      <w:r w:rsidRPr="00BA1D95">
        <w:rPr>
          <w:rFonts w:ascii="ITC Avant Garde" w:hAnsi="ITC Avant Garde" w:cs="Arial"/>
        </w:rPr>
        <w:t xml:space="preserve"> en la modalidad comercial más parecida correspondiente a una persona moral.</w:t>
      </w:r>
    </w:p>
    <w:p w:rsidR="00A47F9A" w:rsidRPr="00BA1D95" w:rsidRDefault="00A47F9A" w:rsidP="004B11EB">
      <w:pPr>
        <w:tabs>
          <w:tab w:val="left" w:pos="2051"/>
        </w:tabs>
        <w:spacing w:after="200" w:line="276" w:lineRule="auto"/>
        <w:jc w:val="both"/>
        <w:rPr>
          <w:rFonts w:ascii="ITC Avant Garde" w:hAnsi="ITC Avant Garde" w:cs="Arial"/>
          <w:b/>
        </w:rPr>
      </w:pPr>
      <w:r w:rsidRPr="00BA1D95">
        <w:rPr>
          <w:rFonts w:ascii="ITC Avant Garde" w:hAnsi="ITC Avant Garde" w:cs="Arial"/>
          <w:b/>
        </w:rPr>
        <w:t>Alcance del servicio</w:t>
      </w:r>
    </w:p>
    <w:p w:rsidR="00A47F9A" w:rsidRPr="00BA1D95" w:rsidRDefault="00A47F9A" w:rsidP="004B11EB">
      <w:pPr>
        <w:spacing w:before="240" w:after="200" w:line="276" w:lineRule="auto"/>
        <w:jc w:val="both"/>
        <w:rPr>
          <w:rFonts w:ascii="ITC Avant Garde" w:hAnsi="ITC Avant Garde" w:cs="Arial"/>
        </w:rPr>
      </w:pPr>
      <w:r w:rsidRPr="00BA1D95">
        <w:rPr>
          <w:rFonts w:ascii="ITC Avant Garde" w:hAnsi="ITC Avant Garde" w:cs="Arial"/>
        </w:rPr>
        <w:t xml:space="preserve">El alcance y responsabilidad de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 xml:space="preserve">en el </w:t>
      </w:r>
      <w:r w:rsidR="00AE16E5" w:rsidRPr="00BA1D95">
        <w:rPr>
          <w:rFonts w:ascii="ITC Avant Garde" w:hAnsi="ITC Avant Garde" w:cs="Arial"/>
        </w:rPr>
        <w:t>SRP</w:t>
      </w:r>
      <w:r w:rsidRPr="00BA1D95">
        <w:rPr>
          <w:rFonts w:ascii="ITC Avant Garde" w:hAnsi="ITC Avant Garde" w:cs="Arial"/>
        </w:rPr>
        <w:t xml:space="preserve"> es el siguiente:</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Instalación del servicio</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Habilitación de los servicios en la red y Sistemas de Gestión</w:t>
      </w:r>
      <w:r w:rsidR="004E5119" w:rsidRPr="00BA1D95">
        <w:rPr>
          <w:rFonts w:ascii="ITC Avant Garde" w:hAnsi="ITC Avant Garde" w:cs="Arial"/>
          <w:sz w:val="22"/>
          <w:szCs w:val="22"/>
          <w:lang w:val="es-MX"/>
        </w:rPr>
        <w:t xml:space="preserve"> de </w:t>
      </w:r>
      <w:r w:rsidR="00E83F21">
        <w:rPr>
          <w:rFonts w:ascii="ITC Avant Garde" w:hAnsi="ITC Avant Garde" w:cs="Arial"/>
          <w:sz w:val="22"/>
          <w:szCs w:val="22"/>
          <w:lang w:val="es-MX"/>
        </w:rPr>
        <w:t>Telmex / Telnor</w:t>
      </w:r>
    </w:p>
    <w:p w:rsidR="00A47F9A" w:rsidRPr="00BA1D95" w:rsidRDefault="00A47F9A" w:rsidP="008F5D32">
      <w:pPr>
        <w:pStyle w:val="Prrafodelista"/>
        <w:numPr>
          <w:ilvl w:val="1"/>
          <w:numId w:val="24"/>
        </w:numPr>
        <w:spacing w:after="200" w:line="276" w:lineRule="auto"/>
        <w:ind w:left="1418"/>
        <w:jc w:val="both"/>
        <w:rPr>
          <w:rFonts w:ascii="ITC Avant Garde" w:hAnsi="ITC Avant Garde" w:cs="Arial"/>
          <w:sz w:val="22"/>
          <w:szCs w:val="22"/>
          <w:lang w:val="es-MX"/>
        </w:rPr>
      </w:pPr>
      <w:r w:rsidRPr="00BA1D95">
        <w:rPr>
          <w:rFonts w:ascii="ITC Avant Garde" w:hAnsi="ITC Avant Garde" w:cs="Arial"/>
          <w:sz w:val="22"/>
          <w:szCs w:val="22"/>
          <w:lang w:val="es-MX"/>
        </w:rPr>
        <w:t>Servicio de voz y de internet</w:t>
      </w:r>
    </w:p>
    <w:p w:rsidR="00CF4BC0"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El usuario final podrá navegar en </w:t>
      </w:r>
      <w:r w:rsidR="00975AAE" w:rsidRPr="00BA1D95">
        <w:rPr>
          <w:rFonts w:ascii="ITC Avant Garde" w:hAnsi="ITC Avant Garde" w:cs="Arial"/>
        </w:rPr>
        <w:t>I</w:t>
      </w:r>
      <w:r w:rsidRPr="00BA1D95">
        <w:rPr>
          <w:rFonts w:ascii="ITC Avant Garde" w:hAnsi="ITC Avant Garde" w:cs="Arial"/>
        </w:rPr>
        <w:t xml:space="preserve">nternet a través de este servicio bajo las mismas condiciones físicas y técnicas que actualmente ofrece </w:t>
      </w:r>
      <w:r w:rsidR="006B220A" w:rsidRPr="00BA1D95">
        <w:rPr>
          <w:rFonts w:ascii="ITC Avant Garde" w:hAnsi="ITC Avant Garde" w:cs="Arial"/>
        </w:rPr>
        <w:t xml:space="preserve">el AEP </w:t>
      </w:r>
      <w:r w:rsidRPr="00BA1D95">
        <w:rPr>
          <w:rFonts w:ascii="ITC Avant Garde" w:hAnsi="ITC Avant Garde" w:cs="Arial"/>
        </w:rPr>
        <w:t xml:space="preserve">a sus usuarios finales, los usuarios podrán ingresar a las zonas de cobertura de </w:t>
      </w:r>
      <w:proofErr w:type="spellStart"/>
      <w:r w:rsidRPr="00BA1D95">
        <w:rPr>
          <w:rFonts w:ascii="ITC Avant Garde" w:hAnsi="ITC Avant Garde" w:cs="Arial"/>
        </w:rPr>
        <w:t>WiFi</w:t>
      </w:r>
      <w:proofErr w:type="spellEnd"/>
      <w:r w:rsidRPr="00BA1D95">
        <w:rPr>
          <w:rFonts w:ascii="ITC Avant Garde" w:hAnsi="ITC Avant Garde" w:cs="Arial"/>
        </w:rPr>
        <w:t xml:space="preserve"> Móvil en Internet, para lo que </w:t>
      </w:r>
      <w:r w:rsidR="00E83F21">
        <w:rPr>
          <w:rFonts w:ascii="ITC Avant Garde" w:hAnsi="ITC Avant Garde" w:cs="Arial"/>
        </w:rPr>
        <w:t>Telmex / Telnor</w:t>
      </w:r>
      <w:r w:rsidR="001163BA">
        <w:rPr>
          <w:rFonts w:ascii="ITC Avant Garde" w:hAnsi="ITC Avant Garde" w:cs="Arial"/>
        </w:rPr>
        <w:t xml:space="preserve"> </w:t>
      </w:r>
      <w:r w:rsidRPr="00BA1D95">
        <w:rPr>
          <w:rFonts w:ascii="ITC Avant Garde" w:hAnsi="ITC Avant Garde" w:cs="Arial"/>
        </w:rPr>
        <w:t>otorgará un usuario y contraseña por cada usuario final.</w:t>
      </w:r>
      <w:r w:rsidR="00505ED8" w:rsidRPr="00BA1D95">
        <w:rPr>
          <w:rFonts w:ascii="ITC Avant Garde" w:hAnsi="ITC Avant Garde" w:cs="Arial"/>
        </w:rPr>
        <w:t xml:space="preserve"> </w:t>
      </w:r>
    </w:p>
    <w:p w:rsidR="00A47F9A" w:rsidRPr="00BA1D95" w:rsidRDefault="00CF4BC0" w:rsidP="004B11EB">
      <w:pPr>
        <w:spacing w:after="200" w:line="276" w:lineRule="auto"/>
        <w:jc w:val="both"/>
        <w:rPr>
          <w:rFonts w:ascii="ITC Avant Garde" w:hAnsi="ITC Avant Garde" w:cs="Arial"/>
          <w:bCs/>
        </w:rPr>
      </w:pPr>
      <w:r>
        <w:rPr>
          <w:rFonts w:ascii="ITC Avant Garde" w:hAnsi="ITC Avant Garde" w:cs="Arial"/>
        </w:rPr>
        <w:t>U</w:t>
      </w:r>
      <w:r>
        <w:rPr>
          <w:rFonts w:ascii="ITC Avant Garde" w:hAnsi="ITC Avant Garde"/>
          <w:bCs/>
        </w:rPr>
        <w:t xml:space="preserve">na vez concluida la instalación, el usuario y contraseña con el que cada usuario final del CS tendrá acceso al servicio </w:t>
      </w:r>
      <w:proofErr w:type="spellStart"/>
      <w:r>
        <w:rPr>
          <w:rFonts w:ascii="ITC Avant Garde" w:hAnsi="ITC Avant Garde"/>
          <w:bCs/>
        </w:rPr>
        <w:t>WiFi</w:t>
      </w:r>
      <w:proofErr w:type="spellEnd"/>
      <w:r>
        <w:rPr>
          <w:rFonts w:ascii="ITC Avant Garde" w:hAnsi="ITC Avant Garde"/>
          <w:bCs/>
        </w:rPr>
        <w:t xml:space="preserve"> Móvil deberá ser proporcionado por el AEP mediante el número de atención 800 cuando el CS lo solicite. </w:t>
      </w:r>
      <w:r w:rsidR="00A47F9A" w:rsidRPr="00BA1D95">
        <w:rPr>
          <w:rFonts w:ascii="ITC Avant Garde" w:hAnsi="ITC Avant Garde" w:cs="Arial"/>
          <w:bCs/>
        </w:rPr>
        <w:t xml:space="preserve">Las condiciones </w:t>
      </w:r>
      <w:r w:rsidR="00505ED8" w:rsidRPr="00BA1D95">
        <w:rPr>
          <w:rFonts w:ascii="ITC Avant Garde" w:hAnsi="ITC Avant Garde" w:cs="Arial"/>
          <w:bCs/>
        </w:rPr>
        <w:t xml:space="preserve">de conectividad </w:t>
      </w:r>
      <w:r w:rsidR="0036138A" w:rsidRPr="00BA1D95">
        <w:rPr>
          <w:rFonts w:ascii="ITC Avant Garde" w:hAnsi="ITC Avant Garde" w:cs="Arial"/>
          <w:bCs/>
        </w:rPr>
        <w:t>a</w:t>
      </w:r>
      <w:r w:rsidR="00A47F9A" w:rsidRPr="00BA1D95">
        <w:rPr>
          <w:rFonts w:ascii="ITC Avant Garde" w:hAnsi="ITC Avant Garde" w:cs="Arial"/>
          <w:bCs/>
        </w:rPr>
        <w:t xml:space="preserve">l servicio de </w:t>
      </w:r>
      <w:proofErr w:type="spellStart"/>
      <w:r w:rsidR="00A47F9A" w:rsidRPr="00BA1D95">
        <w:rPr>
          <w:rFonts w:ascii="ITC Avant Garde" w:hAnsi="ITC Avant Garde" w:cs="Arial"/>
          <w:bCs/>
        </w:rPr>
        <w:t>WiFi</w:t>
      </w:r>
      <w:proofErr w:type="spellEnd"/>
      <w:r w:rsidR="00A47F9A" w:rsidRPr="00BA1D95">
        <w:rPr>
          <w:rFonts w:ascii="ITC Avant Garde" w:hAnsi="ITC Avant Garde" w:cs="Arial"/>
          <w:bCs/>
        </w:rPr>
        <w:t xml:space="preserve"> Móvil en Internet serán idénticas a las que </w:t>
      </w:r>
      <w:r w:rsidR="00861A14" w:rsidRPr="00BA1D95">
        <w:rPr>
          <w:rFonts w:ascii="ITC Avant Garde" w:hAnsi="ITC Avant Garde" w:cs="Arial"/>
          <w:bCs/>
        </w:rPr>
        <w:t xml:space="preserve">el AEP </w:t>
      </w:r>
      <w:r w:rsidR="00A47F9A" w:rsidRPr="00BA1D95">
        <w:rPr>
          <w:rFonts w:ascii="ITC Avant Garde" w:hAnsi="ITC Avant Garde" w:cs="Arial"/>
          <w:bCs/>
        </w:rPr>
        <w:t xml:space="preserve">ofrezca a sus usuarios, de lo contrario, </w:t>
      </w:r>
      <w:r w:rsidR="00C469C5">
        <w:rPr>
          <w:rFonts w:ascii="ITC Avant Garde" w:hAnsi="ITC Avant Garde" w:cs="Arial"/>
          <w:bCs/>
        </w:rPr>
        <w:t>el AEP</w:t>
      </w:r>
      <w:r w:rsidR="00D236BF" w:rsidRPr="00BA1D95">
        <w:rPr>
          <w:rFonts w:ascii="ITC Avant Garde" w:hAnsi="ITC Avant Garde" w:cs="Arial"/>
          <w:bCs/>
        </w:rPr>
        <w:t xml:space="preserve"> </w:t>
      </w:r>
      <w:r w:rsidR="00A47F9A" w:rsidRPr="00BA1D95">
        <w:rPr>
          <w:rFonts w:ascii="ITC Avant Garde" w:hAnsi="ITC Avant Garde" w:cs="Arial"/>
          <w:bCs/>
        </w:rPr>
        <w:t xml:space="preserve">notificará </w:t>
      </w:r>
      <w:r w:rsidR="00A47F9A" w:rsidRPr="00BA1D95">
        <w:rPr>
          <w:rFonts w:ascii="ITC Avant Garde" w:hAnsi="ITC Avant Garde" w:cs="Arial"/>
          <w:bCs/>
        </w:rPr>
        <w:lastRenderedPageBreak/>
        <w:t xml:space="preserve">con anticipación de al menos un mes cualquier cambio que pudiera presentarse en el servicio de </w:t>
      </w:r>
      <w:proofErr w:type="spellStart"/>
      <w:r w:rsidR="00A47F9A" w:rsidRPr="00BA1D95">
        <w:rPr>
          <w:rFonts w:ascii="ITC Avant Garde" w:hAnsi="ITC Avant Garde" w:cs="Arial"/>
          <w:bCs/>
        </w:rPr>
        <w:t>WiFi</w:t>
      </w:r>
      <w:proofErr w:type="spellEnd"/>
      <w:r w:rsidR="00A47F9A" w:rsidRPr="00BA1D95">
        <w:rPr>
          <w:rFonts w:ascii="ITC Avant Garde" w:hAnsi="ITC Avant Garde" w:cs="Arial"/>
          <w:bCs/>
        </w:rPr>
        <w:t xml:space="preserve"> Móvil. </w:t>
      </w:r>
    </w:p>
    <w:p w:rsidR="00A47F9A" w:rsidRDefault="00A47F9A" w:rsidP="004B11EB">
      <w:pPr>
        <w:spacing w:after="200" w:line="276" w:lineRule="auto"/>
        <w:jc w:val="both"/>
        <w:rPr>
          <w:rFonts w:ascii="ITC Avant Garde" w:hAnsi="ITC Avant Garde" w:cs="Arial"/>
          <w:lang w:val="es-ES"/>
        </w:rPr>
      </w:pPr>
      <w:r w:rsidRPr="00BA1D95">
        <w:rPr>
          <w:rFonts w:ascii="ITC Avant Garde" w:hAnsi="ITC Avant Garde" w:cs="Arial"/>
        </w:rPr>
        <w:t>El CS podrá solicitar en el formato de solicitud de Servicio Auxiliar de Cableado Interior</w:t>
      </w:r>
      <w:r w:rsidR="00C556C6" w:rsidRPr="00BA1D95">
        <w:rPr>
          <w:rFonts w:ascii="ITC Avant Garde" w:hAnsi="ITC Avant Garde" w:cs="Arial"/>
        </w:rPr>
        <w:t xml:space="preserve">, que </w:t>
      </w:r>
      <w:r w:rsidR="00E83F21">
        <w:rPr>
          <w:rFonts w:ascii="ITC Avant Garde" w:hAnsi="ITC Avant Garde" w:cs="Arial"/>
        </w:rPr>
        <w:t>Telmex / Telnor</w:t>
      </w:r>
      <w:r w:rsidR="00BC081B">
        <w:rPr>
          <w:rFonts w:ascii="ITC Avant Garde" w:hAnsi="ITC Avant Garde" w:cs="Arial"/>
        </w:rPr>
        <w:t xml:space="preserve"> </w:t>
      </w:r>
      <w:r w:rsidR="00C556C6" w:rsidRPr="00BA1D95">
        <w:rPr>
          <w:rFonts w:ascii="ITC Avant Garde" w:hAnsi="ITC Avant Garde" w:cs="Arial"/>
        </w:rPr>
        <w:t>provea el cableado interior y/o el módem u ONT</w:t>
      </w:r>
      <w:r w:rsidRPr="00BA1D95">
        <w:rPr>
          <w:rFonts w:ascii="ITC Avant Garde" w:hAnsi="ITC Avant Garde" w:cs="Arial"/>
        </w:rPr>
        <w:t>, según corresponda, los cuales se instalarán en el domicilio del usuario cuando se lleve a cabo la instalación del servicio de desagregación, bajo u</w:t>
      </w:r>
      <w:r w:rsidR="00CF4BC0">
        <w:rPr>
          <w:rFonts w:ascii="ITC Avant Garde" w:hAnsi="ITC Avant Garde" w:cs="Arial"/>
        </w:rPr>
        <w:t xml:space="preserve">na contraprestación </w:t>
      </w:r>
      <w:r w:rsidR="00A50D66">
        <w:rPr>
          <w:rFonts w:ascii="ITC Avant Garde" w:hAnsi="ITC Avant Garde" w:cs="Arial"/>
        </w:rPr>
        <w:t>específica.</w:t>
      </w:r>
      <w:r w:rsidR="00A50D66" w:rsidRPr="00BA1D95">
        <w:rPr>
          <w:rFonts w:ascii="ITC Avant Garde" w:hAnsi="ITC Avant Garde" w:cs="Arial"/>
          <w:lang w:val="es-ES"/>
        </w:rPr>
        <w:t xml:space="preserve"> El</w:t>
      </w:r>
      <w:r w:rsidRPr="00BA1D95">
        <w:rPr>
          <w:rFonts w:ascii="ITC Avant Garde" w:hAnsi="ITC Avant Garde" w:cs="Arial"/>
          <w:lang w:val="es-ES"/>
        </w:rPr>
        <w:t xml:space="preserve"> CS podrá solicitar los siguientes movimientos:</w:t>
      </w:r>
    </w:p>
    <w:p w:rsidR="00A47F9A" w:rsidRPr="00BA1D95" w:rsidRDefault="00A47F9A" w:rsidP="008F5D32">
      <w:pPr>
        <w:numPr>
          <w:ilvl w:val="0"/>
          <w:numId w:val="29"/>
        </w:numPr>
        <w:spacing w:after="200" w:line="276" w:lineRule="auto"/>
        <w:jc w:val="both"/>
        <w:rPr>
          <w:rFonts w:ascii="ITC Avant Garde" w:hAnsi="ITC Avant Garde" w:cs="Arial"/>
          <w:lang w:val="es-ES"/>
        </w:rPr>
      </w:pPr>
      <w:r w:rsidRPr="00BA1D95">
        <w:rPr>
          <w:rFonts w:ascii="ITC Avant Garde" w:hAnsi="ITC Avant Garde" w:cs="Arial"/>
          <w:lang w:val="es-ES"/>
        </w:rPr>
        <w:t>Cambio de Paquete.</w:t>
      </w:r>
    </w:p>
    <w:p w:rsidR="00A47F9A" w:rsidRPr="00BA1D95" w:rsidRDefault="00A47F9A" w:rsidP="008F5D32">
      <w:pPr>
        <w:numPr>
          <w:ilvl w:val="0"/>
          <w:numId w:val="29"/>
        </w:numPr>
        <w:spacing w:after="200" w:line="276" w:lineRule="auto"/>
        <w:jc w:val="both"/>
        <w:rPr>
          <w:rFonts w:ascii="ITC Avant Garde" w:hAnsi="ITC Avant Garde" w:cs="Arial"/>
          <w:lang w:val="es-ES"/>
        </w:rPr>
      </w:pPr>
      <w:r w:rsidRPr="00BA1D95">
        <w:rPr>
          <w:rFonts w:ascii="ITC Avant Garde" w:hAnsi="ITC Avant Garde" w:cs="Arial"/>
          <w:lang w:val="es-ES"/>
        </w:rPr>
        <w:t>Cambio de domicilio.</w:t>
      </w:r>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La facturación a los usuarios finales de los servicios será responsabilidad del CS, por lo que </w:t>
      </w:r>
      <w:r w:rsidR="00E83F21">
        <w:rPr>
          <w:rFonts w:ascii="ITC Avant Garde" w:hAnsi="ITC Avant Garde" w:cs="Arial"/>
        </w:rPr>
        <w:t>Telmex / Telnor</w:t>
      </w:r>
      <w:r w:rsidR="00BC081B">
        <w:rPr>
          <w:rFonts w:ascii="ITC Avant Garde" w:hAnsi="ITC Avant Garde" w:cs="Arial"/>
        </w:rPr>
        <w:t xml:space="preserve"> </w:t>
      </w:r>
      <w:r w:rsidRPr="00BA1D95">
        <w:rPr>
          <w:rFonts w:ascii="ITC Avant Garde" w:hAnsi="ITC Avant Garde" w:cs="Arial"/>
        </w:rPr>
        <w:t>pondrá a disposición de los CS diariamente los tráficos cursados por cada usuario final (</w:t>
      </w:r>
      <w:proofErr w:type="spellStart"/>
      <w:r w:rsidRPr="00BA1D95">
        <w:rPr>
          <w:rFonts w:ascii="ITC Avant Garde" w:hAnsi="ITC Avant Garde" w:cs="Arial"/>
        </w:rPr>
        <w:t>CDRs</w:t>
      </w:r>
      <w:proofErr w:type="spellEnd"/>
      <w:r w:rsidRPr="00BA1D95">
        <w:rPr>
          <w:rFonts w:ascii="ITC Avant Garde" w:hAnsi="ITC Avant Garde" w:cs="Arial"/>
        </w:rPr>
        <w:t xml:space="preserve">) a través del </w:t>
      </w:r>
      <w:r w:rsidR="006B5A23">
        <w:rPr>
          <w:rFonts w:ascii="ITC Avant Garde" w:hAnsi="ITC Avant Garde" w:cs="Arial"/>
        </w:rPr>
        <w:t>SEG</w:t>
      </w:r>
      <w:r w:rsidRPr="00BA1D95">
        <w:rPr>
          <w:rFonts w:ascii="ITC Avant Garde" w:hAnsi="ITC Avant Garde" w:cs="Arial"/>
        </w:rPr>
        <w:t xml:space="preserve"> para que sean descargados por cada CS.</w:t>
      </w:r>
    </w:p>
    <w:p w:rsidR="003223FC" w:rsidRPr="00BA1D95" w:rsidRDefault="003223FC" w:rsidP="004B11EB">
      <w:pPr>
        <w:spacing w:after="200" w:line="276" w:lineRule="auto"/>
        <w:jc w:val="both"/>
        <w:rPr>
          <w:rFonts w:ascii="ITC Avant Garde" w:hAnsi="ITC Avant Garde" w:cs="Arial"/>
        </w:rPr>
      </w:pPr>
    </w:p>
    <w:p w:rsidR="0070645B" w:rsidRPr="00BA1D95" w:rsidRDefault="0070645B" w:rsidP="00FF4EC6">
      <w:pPr>
        <w:pStyle w:val="1TitPrin"/>
        <w:numPr>
          <w:ilvl w:val="1"/>
          <w:numId w:val="182"/>
        </w:numPr>
        <w:outlineLvl w:val="1"/>
      </w:pPr>
      <w:bookmarkStart w:id="456" w:name="_Toc26273071"/>
      <w:bookmarkStart w:id="457" w:name="_Toc26284469"/>
      <w:bookmarkStart w:id="458" w:name="_Toc54106573"/>
      <w:bookmarkStart w:id="459" w:name="_Toc436840885"/>
      <w:bookmarkStart w:id="460" w:name="_Toc436846322"/>
      <w:bookmarkStart w:id="461" w:name="_Toc436848272"/>
      <w:bookmarkStart w:id="462" w:name="_Toc436856520"/>
      <w:bookmarkStart w:id="463" w:name="_Toc436862666"/>
      <w:bookmarkStart w:id="464" w:name="_Toc436866316"/>
      <w:bookmarkStart w:id="465" w:name="_Toc436870895"/>
      <w:bookmarkStart w:id="466" w:name="_Toc436875887"/>
      <w:bookmarkStart w:id="467" w:name="_Toc467248700"/>
      <w:bookmarkStart w:id="468" w:name="_Toc525904566"/>
      <w:bookmarkStart w:id="469" w:name="_Toc525913962"/>
      <w:bookmarkStart w:id="470" w:name="_Toc525919201"/>
      <w:bookmarkStart w:id="471" w:name="_Toc525919325"/>
      <w:bookmarkStart w:id="472" w:name="_Hlk516132701"/>
      <w:r w:rsidRPr="00BA1D95">
        <w:t>Velocidades Simétricas</w:t>
      </w:r>
      <w:bookmarkEnd w:id="456"/>
      <w:bookmarkEnd w:id="457"/>
      <w:bookmarkEnd w:id="458"/>
    </w:p>
    <w:p w:rsidR="009F758B" w:rsidRDefault="00394286" w:rsidP="008E0F92">
      <w:pPr>
        <w:spacing w:after="200" w:line="276" w:lineRule="auto"/>
        <w:jc w:val="both"/>
        <w:rPr>
          <w:rFonts w:ascii="ITC Avant Garde" w:hAnsi="ITC Avant Garde" w:cs="Arial"/>
        </w:rPr>
      </w:pPr>
      <w:r w:rsidRPr="00BA1D95">
        <w:rPr>
          <w:rFonts w:ascii="ITC Avant Garde" w:hAnsi="ITC Avant Garde" w:cs="Arial"/>
        </w:rPr>
        <w:t xml:space="preserve"> </w:t>
      </w:r>
      <w:r w:rsidR="00E83F21">
        <w:rPr>
          <w:rFonts w:ascii="ITC Avant Garde" w:hAnsi="ITC Avant Garde" w:cs="Arial"/>
        </w:rPr>
        <w:t>Telmex / Telnor</w:t>
      </w:r>
      <w:r w:rsidR="00BC081B">
        <w:rPr>
          <w:rFonts w:ascii="ITC Avant Garde" w:hAnsi="ITC Avant Garde" w:cs="Arial"/>
        </w:rPr>
        <w:t xml:space="preserve"> </w:t>
      </w:r>
      <w:r w:rsidR="0070645B" w:rsidRPr="00BA1D95">
        <w:rPr>
          <w:rFonts w:ascii="ITC Avant Garde" w:hAnsi="ITC Avant Garde" w:cs="Arial"/>
        </w:rPr>
        <w:t xml:space="preserve">pondrá a disposición de los CS en el </w:t>
      </w:r>
      <w:r w:rsidR="006B5A23">
        <w:rPr>
          <w:rFonts w:ascii="ITC Avant Garde" w:hAnsi="ITC Avant Garde" w:cs="Arial"/>
        </w:rPr>
        <w:t>SEG</w:t>
      </w:r>
      <w:r w:rsidR="0070645B" w:rsidRPr="00BA1D95">
        <w:rPr>
          <w:rFonts w:ascii="ITC Avant Garde" w:hAnsi="ITC Avant Garde" w:cs="Arial"/>
        </w:rPr>
        <w:t xml:space="preserve">, moléculas de velocidades simétricas </w:t>
      </w:r>
      <w:r w:rsidR="004F2382" w:rsidRPr="00BA1D95">
        <w:rPr>
          <w:rFonts w:ascii="ITC Avant Garde" w:hAnsi="ITC Avant Garde" w:cs="Arial"/>
        </w:rPr>
        <w:t>de acuerdo con</w:t>
      </w:r>
      <w:r w:rsidR="007337D5" w:rsidRPr="00BA1D95">
        <w:rPr>
          <w:rFonts w:ascii="ITC Avant Garde" w:hAnsi="ITC Avant Garde" w:cs="Arial"/>
        </w:rPr>
        <w:t xml:space="preserve"> los registros de tarifas </w:t>
      </w:r>
      <w:r w:rsidR="0070645B" w:rsidRPr="00BA1D95">
        <w:rPr>
          <w:rFonts w:ascii="ITC Avant Garde" w:hAnsi="ITC Avant Garde" w:cs="Arial"/>
        </w:rPr>
        <w:t>vigentes</w:t>
      </w:r>
      <w:r w:rsidR="00E863FE" w:rsidRPr="00BA1D95">
        <w:rPr>
          <w:rFonts w:ascii="ITC Avant Garde" w:hAnsi="ITC Avant Garde" w:cs="Arial"/>
        </w:rPr>
        <w:t xml:space="preserve"> y autorizadas por el Instituto las cuales se verán reflejadas en el </w:t>
      </w:r>
      <w:r w:rsidR="00E863FE" w:rsidRPr="008E7FB9">
        <w:rPr>
          <w:rFonts w:ascii="ITC Avant Garde" w:hAnsi="ITC Avant Garde" w:cs="Arial"/>
        </w:rPr>
        <w:t>Anexo A</w:t>
      </w:r>
      <w:r w:rsidR="00E863FE" w:rsidRPr="00BA1D95">
        <w:rPr>
          <w:rFonts w:ascii="ITC Avant Garde" w:hAnsi="ITC Avant Garde" w:cs="Arial"/>
        </w:rPr>
        <w:t xml:space="preserve"> y deberán estar publicadas en su totalidad en el </w:t>
      </w:r>
      <w:r w:rsidR="006B5A23">
        <w:rPr>
          <w:rFonts w:ascii="ITC Avant Garde" w:hAnsi="ITC Avant Garde" w:cs="Arial"/>
        </w:rPr>
        <w:t>SEG</w:t>
      </w:r>
      <w:r w:rsidR="0070645B" w:rsidRPr="00BA1D95">
        <w:rPr>
          <w:rFonts w:ascii="ITC Avant Garde" w:hAnsi="ITC Avant Garde" w:cs="Arial"/>
        </w:rPr>
        <w:t>.</w:t>
      </w:r>
      <w:r w:rsidR="008E7FB9">
        <w:rPr>
          <w:rFonts w:ascii="ITC Avant Garde" w:hAnsi="ITC Avant Garde" w:cs="Arial"/>
        </w:rPr>
        <w:t xml:space="preserve"> </w:t>
      </w:r>
      <w:r w:rsidR="00E83F21">
        <w:rPr>
          <w:rFonts w:ascii="ITC Avant Garde" w:hAnsi="ITC Avant Garde"/>
        </w:rPr>
        <w:t>Telmex / Telnor</w:t>
      </w:r>
      <w:r w:rsidR="00BC081B">
        <w:rPr>
          <w:rFonts w:ascii="ITC Avant Garde" w:hAnsi="ITC Avant Garde"/>
        </w:rPr>
        <w:t xml:space="preserve"> </w:t>
      </w:r>
      <w:r w:rsidR="008E7FB9">
        <w:rPr>
          <w:rFonts w:ascii="ITC Avant Garde" w:hAnsi="ITC Avant Garde"/>
        </w:rPr>
        <w:t xml:space="preserve">publicará y pondrá en operación las nuevas ofertas comerciales autorizadas por el Instituto en el </w:t>
      </w:r>
      <w:r w:rsidR="006B5A23">
        <w:rPr>
          <w:rFonts w:ascii="ITC Avant Garde" w:hAnsi="ITC Avant Garde"/>
        </w:rPr>
        <w:t>SEG</w:t>
      </w:r>
      <w:r w:rsidR="008E7FB9">
        <w:rPr>
          <w:rFonts w:ascii="ITC Avant Garde" w:hAnsi="ITC Avant Garde"/>
        </w:rPr>
        <w:t xml:space="preserve"> a más tardar cinco días hábiles posteriores a su autorización.</w:t>
      </w:r>
    </w:p>
    <w:p w:rsidR="009F758B" w:rsidRDefault="009F758B" w:rsidP="009F758B">
      <w:pPr>
        <w:pStyle w:val="IFTnormal"/>
        <w:rPr>
          <w:lang w:val="es-ES_tradnl" w:eastAsia="es-ES"/>
        </w:rPr>
      </w:pPr>
      <w:r w:rsidRPr="00AF4545">
        <w:rPr>
          <w:lang w:val="es-ES_tradnl" w:eastAsia="es-ES"/>
        </w:rPr>
        <w:t>Las moléculas de velocida</w:t>
      </w:r>
      <w:r>
        <w:rPr>
          <w:lang w:val="es-ES_tradnl" w:eastAsia="es-ES"/>
        </w:rPr>
        <w:t>d se proporcionarán a los CS en</w:t>
      </w:r>
      <w:r w:rsidRPr="00AF4545">
        <w:rPr>
          <w:lang w:val="es-ES_tradnl" w:eastAsia="es-ES"/>
        </w:rPr>
        <w:t xml:space="preserve"> condiciones</w:t>
      </w:r>
      <w:r>
        <w:rPr>
          <w:lang w:val="es-ES_tradnl" w:eastAsia="es-ES"/>
        </w:rPr>
        <w:t xml:space="preserve"> no discriminatorias.</w:t>
      </w:r>
    </w:p>
    <w:p w:rsidR="00A47F9A" w:rsidRPr="00BA1D95" w:rsidRDefault="00A47F9A" w:rsidP="00FF4EC6">
      <w:pPr>
        <w:pStyle w:val="1TitPrin"/>
        <w:numPr>
          <w:ilvl w:val="1"/>
          <w:numId w:val="182"/>
        </w:numPr>
        <w:outlineLvl w:val="1"/>
      </w:pPr>
      <w:bookmarkStart w:id="473" w:name="_Toc2957135"/>
      <w:bookmarkStart w:id="474" w:name="_Toc26273072"/>
      <w:bookmarkStart w:id="475" w:name="_Toc26284470"/>
      <w:bookmarkStart w:id="476" w:name="_Toc54106574"/>
      <w:r w:rsidRPr="00F3565A">
        <w:t>Venta</w:t>
      </w:r>
      <w:r w:rsidRPr="00BA1D95">
        <w:t xml:space="preserve"> de Módem y ONT para Reventa.</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3"/>
      <w:bookmarkEnd w:id="474"/>
      <w:bookmarkEnd w:id="475"/>
      <w:bookmarkEnd w:id="476"/>
    </w:p>
    <w:p w:rsidR="00A47F9A" w:rsidRPr="00BA1D95" w:rsidRDefault="00E83F21" w:rsidP="00FF4EC6">
      <w:pPr>
        <w:pStyle w:val="CondicionesFinales"/>
        <w:spacing w:before="240"/>
        <w:ind w:left="0" w:right="0"/>
        <w:rPr>
          <w:color w:val="auto"/>
          <w:lang w:val="es-ES"/>
        </w:rPr>
      </w:pPr>
      <w:r>
        <w:rPr>
          <w:color w:val="auto"/>
        </w:rPr>
        <w:t>Telmex / Telnor</w:t>
      </w:r>
      <w:r w:rsidR="00A21E6F" w:rsidRPr="00A21E6F">
        <w:rPr>
          <w:color w:val="auto"/>
        </w:rPr>
        <w:t xml:space="preserve"> pondrá a disposición de los CS los módems y ONT, pudiendo ser solicitado por parte de los CS, desde la solicitud de los Servicios, que dichos equipos sean entregados, instalados, configurados y activados en el domicilio del cliente, lo cual se llevará a cabo en las mismas condiciones que el AEP tiene establecidas para sus propias operaciones.</w:t>
      </w:r>
    </w:p>
    <w:p w:rsidR="00A47F9A" w:rsidRPr="00BA1D95" w:rsidRDefault="00A47F9A" w:rsidP="004B11EB">
      <w:pPr>
        <w:pStyle w:val="CondicionesFinales"/>
        <w:ind w:left="0" w:right="0"/>
        <w:rPr>
          <w:b/>
          <w:color w:val="auto"/>
          <w:u w:val="single"/>
        </w:rPr>
      </w:pPr>
      <w:r w:rsidRPr="00BA1D95">
        <w:rPr>
          <w:b/>
          <w:color w:val="auto"/>
          <w:u w:val="single"/>
        </w:rPr>
        <w:t xml:space="preserve">Entrega de equipos </w:t>
      </w:r>
      <w:r w:rsidR="00BC4034" w:rsidRPr="00BA1D95">
        <w:rPr>
          <w:b/>
          <w:color w:val="auto"/>
          <w:u w:val="single"/>
        </w:rPr>
        <w:t xml:space="preserve">del AEP </w:t>
      </w:r>
      <w:r w:rsidRPr="00BA1D95">
        <w:rPr>
          <w:b/>
          <w:color w:val="auto"/>
          <w:u w:val="single"/>
        </w:rPr>
        <w:t>existentes y nuevos</w:t>
      </w:r>
    </w:p>
    <w:p w:rsidR="00A47F9A" w:rsidRDefault="00A21E6F" w:rsidP="004B11EB">
      <w:pPr>
        <w:pStyle w:val="CondicionesFinales"/>
        <w:ind w:left="0" w:right="0"/>
        <w:rPr>
          <w:color w:val="auto"/>
        </w:rPr>
      </w:pPr>
      <w:r w:rsidRPr="00A21E6F">
        <w:rPr>
          <w:color w:val="auto"/>
        </w:rPr>
        <w:t xml:space="preserve">El CS podrá solicitar a </w:t>
      </w:r>
      <w:r w:rsidR="00E83F21">
        <w:rPr>
          <w:color w:val="auto"/>
        </w:rPr>
        <w:t>Telmex / Telnor</w:t>
      </w:r>
      <w:r w:rsidRPr="00A21E6F">
        <w:rPr>
          <w:color w:val="auto"/>
        </w:rPr>
        <w:t xml:space="preserve"> los módems y ONT existentes en operación con el usuario final del AEP, así como solicitar la instalación de los mismos equipos que provee el AEP para sus usuarios finales. Los equipos mantendrán la forma de comodato y siempre deberán brindar al menos las mismas característ</w:t>
      </w:r>
      <w:r>
        <w:rPr>
          <w:color w:val="auto"/>
        </w:rPr>
        <w:t>icas y calidad que los módems y</w:t>
      </w:r>
      <w:r w:rsidRPr="00A21E6F">
        <w:rPr>
          <w:color w:val="auto"/>
        </w:rPr>
        <w:t xml:space="preserve"> ONT que usa el AEP para brindar los servicios</w:t>
      </w:r>
      <w:r>
        <w:rPr>
          <w:color w:val="auto"/>
        </w:rPr>
        <w:t xml:space="preserve"> a sus usuarios</w:t>
      </w:r>
      <w:r w:rsidRPr="00A21E6F">
        <w:rPr>
          <w:color w:val="auto"/>
        </w:rPr>
        <w:t>. Una</w:t>
      </w:r>
      <w:r>
        <w:rPr>
          <w:color w:val="auto"/>
        </w:rPr>
        <w:t xml:space="preserve"> vez cancelado el servicio por</w:t>
      </w:r>
      <w:r w:rsidRPr="00A21E6F">
        <w:rPr>
          <w:color w:val="auto"/>
        </w:rPr>
        <w:t xml:space="preserve"> el CS, éste se obliga a regresar el equipo provisto a </w:t>
      </w:r>
      <w:r w:rsidR="00E83F21">
        <w:rPr>
          <w:color w:val="auto"/>
        </w:rPr>
        <w:t>Telmex / Telnor</w:t>
      </w:r>
      <w:r w:rsidRPr="00A21E6F">
        <w:rPr>
          <w:color w:val="auto"/>
        </w:rPr>
        <w:t>.</w:t>
      </w:r>
    </w:p>
    <w:p w:rsidR="008360AB" w:rsidRDefault="008360AB" w:rsidP="0050654B">
      <w:pPr>
        <w:pStyle w:val="CondicionesFinales"/>
        <w:ind w:left="0" w:right="0"/>
        <w:rPr>
          <w:color w:val="auto"/>
        </w:rPr>
      </w:pPr>
      <w:r>
        <w:rPr>
          <w:color w:val="auto"/>
        </w:rPr>
        <w:lastRenderedPageBreak/>
        <w:t xml:space="preserve">El modelo y número de serie de cada modem u ONT que </w:t>
      </w:r>
      <w:r w:rsidR="00E83F21">
        <w:rPr>
          <w:color w:val="auto"/>
        </w:rPr>
        <w:t>Telmex / Telnor</w:t>
      </w:r>
      <w:r>
        <w:rPr>
          <w:color w:val="auto"/>
        </w:rPr>
        <w:t xml:space="preserve"> entregue deberán ser proporcionados al CS mediante el </w:t>
      </w:r>
      <w:r w:rsidR="006B5A23">
        <w:rPr>
          <w:color w:val="auto"/>
        </w:rPr>
        <w:t>SEG</w:t>
      </w:r>
      <w:r w:rsidR="00BA6119">
        <w:rPr>
          <w:color w:val="auto"/>
        </w:rPr>
        <w:t>,</w:t>
      </w:r>
      <w:r>
        <w:rPr>
          <w:color w:val="auto"/>
        </w:rPr>
        <w:t xml:space="preserve"> una vez instalado el servicio o reemplazado el equipo.</w:t>
      </w:r>
      <w:r w:rsidR="00C0293F">
        <w:rPr>
          <w:color w:val="auto"/>
        </w:rPr>
        <w:t xml:space="preserve"> </w:t>
      </w:r>
      <w:r w:rsidR="00C0293F" w:rsidRPr="00BA1D95">
        <w:rPr>
          <w:color w:val="auto"/>
          <w:lang w:val="es-ES"/>
        </w:rPr>
        <w:t>La distribución y entrega de módems se realiza</w:t>
      </w:r>
      <w:r w:rsidR="00C0293F">
        <w:rPr>
          <w:color w:val="auto"/>
          <w:lang w:val="es-ES"/>
        </w:rPr>
        <w:t>rá</w:t>
      </w:r>
      <w:r w:rsidR="00C0293F" w:rsidRPr="00BA1D95">
        <w:rPr>
          <w:color w:val="auto"/>
          <w:lang w:val="es-ES"/>
        </w:rPr>
        <w:t xml:space="preserve"> a nivel nacional.</w:t>
      </w:r>
      <w:r w:rsidR="003D090B">
        <w:rPr>
          <w:color w:val="auto"/>
          <w:lang w:val="es-ES"/>
        </w:rPr>
        <w:t xml:space="preserve"> </w:t>
      </w:r>
      <w:r w:rsidR="00094B5A" w:rsidRPr="00094B5A">
        <w:rPr>
          <w:color w:val="auto"/>
        </w:rPr>
        <w:t>La entrega p</w:t>
      </w:r>
      <w:r w:rsidRPr="00BA6119">
        <w:rPr>
          <w:color w:val="auto"/>
        </w:rPr>
        <w:t>ara el</w:t>
      </w:r>
      <w:r>
        <w:rPr>
          <w:color w:val="auto"/>
        </w:rPr>
        <w:t xml:space="preserve"> caso de ONT </w:t>
      </w:r>
      <w:r w:rsidR="003D090B">
        <w:rPr>
          <w:color w:val="auto"/>
        </w:rPr>
        <w:t xml:space="preserve">se </w:t>
      </w:r>
      <w:r w:rsidR="00204787">
        <w:rPr>
          <w:color w:val="auto"/>
        </w:rPr>
        <w:t>proveerá</w:t>
      </w:r>
      <w:r w:rsidR="003D090B">
        <w:rPr>
          <w:color w:val="auto"/>
        </w:rPr>
        <w:t xml:space="preserve"> de la misma manera que se realice para las </w:t>
      </w:r>
      <w:r w:rsidR="00513D14">
        <w:rPr>
          <w:color w:val="auto"/>
        </w:rPr>
        <w:t>o</w:t>
      </w:r>
      <w:r w:rsidR="003D090B">
        <w:rPr>
          <w:color w:val="auto"/>
        </w:rPr>
        <w:t>peraciones d</w:t>
      </w:r>
      <w:r w:rsidR="00513D14">
        <w:rPr>
          <w:color w:val="auto"/>
        </w:rPr>
        <w:t>el AEP</w:t>
      </w:r>
      <w:r w:rsidR="003D090B">
        <w:rPr>
          <w:color w:val="auto"/>
        </w:rPr>
        <w:t>.</w:t>
      </w:r>
    </w:p>
    <w:p w:rsidR="00513D14" w:rsidRPr="00BA1D95" w:rsidRDefault="00513D14" w:rsidP="00513D14">
      <w:pPr>
        <w:pStyle w:val="CondicionesFinales"/>
        <w:ind w:left="0" w:right="0"/>
        <w:rPr>
          <w:b/>
          <w:color w:val="auto"/>
          <w:u w:val="single"/>
        </w:rPr>
      </w:pPr>
      <w:r w:rsidRPr="00BA1D95">
        <w:rPr>
          <w:b/>
          <w:color w:val="auto"/>
          <w:u w:val="single"/>
        </w:rPr>
        <w:t>Entrega de equipos</w:t>
      </w:r>
      <w:r>
        <w:rPr>
          <w:b/>
          <w:color w:val="auto"/>
          <w:u w:val="single"/>
        </w:rPr>
        <w:t xml:space="preserve"> vendidos</w:t>
      </w:r>
      <w:r w:rsidRPr="00BA1D95">
        <w:rPr>
          <w:b/>
          <w:color w:val="auto"/>
          <w:u w:val="single"/>
        </w:rPr>
        <w:t xml:space="preserve"> por </w:t>
      </w:r>
      <w:r w:rsidR="00E83F21">
        <w:rPr>
          <w:b/>
          <w:color w:val="auto"/>
          <w:u w:val="single"/>
        </w:rPr>
        <w:t>Telmex / Telnor</w:t>
      </w:r>
      <w:r w:rsidRPr="00BA1D95">
        <w:rPr>
          <w:b/>
          <w:color w:val="auto"/>
          <w:u w:val="single"/>
        </w:rPr>
        <w:t xml:space="preserve"> (blanco)</w:t>
      </w:r>
    </w:p>
    <w:p w:rsidR="00513D14" w:rsidRDefault="00513D14" w:rsidP="00513D14">
      <w:pPr>
        <w:pStyle w:val="CondicionesFinales"/>
        <w:ind w:left="0" w:right="0"/>
        <w:rPr>
          <w:color w:val="auto"/>
          <w:lang w:val="es-ES"/>
        </w:rPr>
      </w:pPr>
      <w:r w:rsidRPr="00BA1D95">
        <w:rPr>
          <w:color w:val="auto"/>
        </w:rPr>
        <w:t xml:space="preserve">El CS podrá adquirir, bajo la contraprestación correspondiente los módems y ONT directamente con </w:t>
      </w:r>
      <w:r w:rsidR="00E83F21">
        <w:rPr>
          <w:color w:val="auto"/>
        </w:rPr>
        <w:t>Telmex / Telnor</w:t>
      </w:r>
      <w:r w:rsidRPr="00BA1D95">
        <w:rPr>
          <w:color w:val="auto"/>
        </w:rPr>
        <w:t xml:space="preserve">, sin logotipos o identificadores (blancos). </w:t>
      </w:r>
      <w:r w:rsidRPr="00BA1D95">
        <w:rPr>
          <w:color w:val="auto"/>
          <w:lang w:val="es-ES"/>
        </w:rPr>
        <w:t>Para la entrega el CS podrá elegir, en el caso de módem si será vía mensajería</w:t>
      </w:r>
      <w:r w:rsidRPr="00BA1D95">
        <w:rPr>
          <w:rStyle w:val="Refdenotaalpie"/>
          <w:color w:val="auto"/>
          <w:lang w:val="es-ES"/>
        </w:rPr>
        <w:footnoteReference w:id="11"/>
      </w:r>
      <w:r w:rsidRPr="00BA1D95">
        <w:rPr>
          <w:color w:val="auto"/>
          <w:lang w:val="es-ES"/>
        </w:rPr>
        <w:t xml:space="preserve"> en cuyo caso aplica una contraprestación</w:t>
      </w:r>
      <w:r w:rsidRPr="00BA1D95">
        <w:rPr>
          <w:rStyle w:val="Refdenotaalpie"/>
          <w:color w:val="auto"/>
          <w:lang w:val="es-ES"/>
        </w:rPr>
        <w:footnoteReference w:id="12"/>
      </w:r>
      <w:r w:rsidRPr="00BA1D95">
        <w:rPr>
          <w:color w:val="auto"/>
          <w:lang w:val="es-ES"/>
        </w:rPr>
        <w:t xml:space="preserve">, </w:t>
      </w:r>
      <w:r>
        <w:rPr>
          <w:color w:val="auto"/>
          <w:lang w:val="es-ES"/>
        </w:rPr>
        <w:t xml:space="preserve">a través del centro de atención </w:t>
      </w:r>
      <w:r w:rsidRPr="00BA1D95">
        <w:rPr>
          <w:color w:val="auto"/>
          <w:lang w:val="es-ES"/>
        </w:rPr>
        <w:t>del AEP</w:t>
      </w:r>
      <w:r w:rsidRPr="00BA1D95">
        <w:rPr>
          <w:rStyle w:val="Refdenotaalpie"/>
          <w:color w:val="auto"/>
          <w:lang w:val="es-ES"/>
        </w:rPr>
        <w:footnoteReference w:id="13"/>
      </w:r>
      <w:r w:rsidRPr="00BA1D95">
        <w:rPr>
          <w:color w:val="auto"/>
          <w:lang w:val="es-ES"/>
        </w:rPr>
        <w:t xml:space="preserve"> o directamente a través del técnico del AEP</w:t>
      </w:r>
      <w:r>
        <w:rPr>
          <w:color w:val="auto"/>
          <w:lang w:val="es-ES"/>
        </w:rPr>
        <w:t>,</w:t>
      </w:r>
      <w:r w:rsidRPr="00BA1D95">
        <w:rPr>
          <w:color w:val="auto"/>
          <w:lang w:val="es-ES"/>
        </w:rPr>
        <w:t xml:space="preserve"> quien realizará la insta</w:t>
      </w:r>
      <w:r>
        <w:rPr>
          <w:color w:val="auto"/>
          <w:lang w:val="es-ES"/>
        </w:rPr>
        <w:t>lación, el CS deberá indicarlo</w:t>
      </w:r>
      <w:r w:rsidRPr="00BA1D95">
        <w:rPr>
          <w:color w:val="auto"/>
          <w:lang w:val="es-ES"/>
        </w:rPr>
        <w:t xml:space="preserve"> desde la solicitud del servicio correspondiente. La distribución y entrega de módems se realiza</w:t>
      </w:r>
      <w:r>
        <w:rPr>
          <w:color w:val="auto"/>
          <w:lang w:val="es-ES"/>
        </w:rPr>
        <w:t>rá</w:t>
      </w:r>
      <w:r w:rsidRPr="00BA1D95">
        <w:rPr>
          <w:color w:val="auto"/>
          <w:lang w:val="es-ES"/>
        </w:rPr>
        <w:t xml:space="preserve"> a nivel nacional.</w:t>
      </w:r>
    </w:p>
    <w:p w:rsidR="0094291F" w:rsidRPr="0094291F" w:rsidRDefault="00953BA7" w:rsidP="0094291F">
      <w:pPr>
        <w:pStyle w:val="CondicionesFinales"/>
        <w:ind w:left="0" w:right="0"/>
        <w:rPr>
          <w:color w:val="auto"/>
          <w:lang w:val="es-ES"/>
        </w:rPr>
      </w:pPr>
      <w:r>
        <w:rPr>
          <w:color w:val="auto"/>
          <w:lang w:val="es-ES"/>
        </w:rPr>
        <w:t>Para la provisión de los módems y ONT blancos para reventa</w:t>
      </w:r>
      <w:r w:rsidR="009E475F">
        <w:rPr>
          <w:color w:val="auto"/>
          <w:lang w:val="es-ES"/>
        </w:rPr>
        <w:t>,</w:t>
      </w:r>
      <w:r>
        <w:rPr>
          <w:color w:val="auto"/>
          <w:lang w:val="es-ES"/>
        </w:rPr>
        <w:t xml:space="preserve"> e</w:t>
      </w:r>
      <w:r w:rsidR="000C36F7">
        <w:rPr>
          <w:color w:val="auto"/>
          <w:lang w:val="es-ES"/>
        </w:rPr>
        <w:t>l CS</w:t>
      </w:r>
      <w:r>
        <w:rPr>
          <w:color w:val="auto"/>
          <w:lang w:val="es-ES"/>
        </w:rPr>
        <w:t xml:space="preserve"> tendrá </w:t>
      </w:r>
      <w:r w:rsidR="005477B0">
        <w:rPr>
          <w:color w:val="auto"/>
          <w:lang w:val="es-ES"/>
        </w:rPr>
        <w:t>que</w:t>
      </w:r>
      <w:r w:rsidR="00724BEB">
        <w:rPr>
          <w:color w:val="auto"/>
          <w:lang w:val="es-ES"/>
        </w:rPr>
        <w:t xml:space="preserve"> presentar los pronósticos </w:t>
      </w:r>
      <w:r>
        <w:rPr>
          <w:color w:val="auto"/>
          <w:lang w:val="es-ES"/>
        </w:rPr>
        <w:t xml:space="preserve">conforme al apartado “1.2 Pronóstico de servicio” para que </w:t>
      </w:r>
      <w:r w:rsidR="00E83F21">
        <w:rPr>
          <w:color w:val="auto"/>
          <w:lang w:val="es-ES"/>
        </w:rPr>
        <w:t>Telmex / Telnor</w:t>
      </w:r>
      <w:r>
        <w:rPr>
          <w:color w:val="auto"/>
          <w:lang w:val="es-ES"/>
        </w:rPr>
        <w:t xml:space="preserve"> adquiera los inventarios en las cantidades y tiempos programados</w:t>
      </w:r>
      <w:r w:rsidR="0094291F">
        <w:rPr>
          <w:color w:val="auto"/>
          <w:lang w:val="es-ES"/>
        </w:rPr>
        <w:t xml:space="preserve">. </w:t>
      </w:r>
      <w:r w:rsidR="00E83F21">
        <w:rPr>
          <w:color w:val="auto"/>
          <w:lang w:val="es-ES"/>
        </w:rPr>
        <w:t>Telmex / Telnor</w:t>
      </w:r>
      <w:r w:rsidR="0094291F">
        <w:rPr>
          <w:color w:val="auto"/>
          <w:lang w:val="es-ES"/>
        </w:rPr>
        <w:t xml:space="preserve"> deberá procurar el almacenamiento y logística de entrega de los equipos contemplados en los pronósticos. E</w:t>
      </w:r>
      <w:r w:rsidR="0094291F" w:rsidRPr="0094291F">
        <w:rPr>
          <w:color w:val="auto"/>
          <w:lang w:val="es-ES"/>
        </w:rPr>
        <w:t xml:space="preserve">n los casos en que se rebase el plazo de vigencia de los pronósticos, el CS estará obligado a comprar el inventario excedente y </w:t>
      </w:r>
      <w:r w:rsidR="003C339F">
        <w:rPr>
          <w:color w:val="auto"/>
          <w:lang w:val="es-ES"/>
        </w:rPr>
        <w:t>é</w:t>
      </w:r>
      <w:r w:rsidR="0094291F" w:rsidRPr="0094291F">
        <w:rPr>
          <w:color w:val="auto"/>
          <w:lang w:val="es-ES"/>
        </w:rPr>
        <w:t>l mismo hacerse cargo de su almacenamiento y logística de entrega.</w:t>
      </w:r>
    </w:p>
    <w:p w:rsidR="00513D14" w:rsidRDefault="00513D14" w:rsidP="00FF4EC6">
      <w:pPr>
        <w:pStyle w:val="CondicionesFinales"/>
        <w:ind w:left="0" w:right="0"/>
      </w:pPr>
      <w:r>
        <w:rPr>
          <w:color w:val="auto"/>
        </w:rPr>
        <w:t xml:space="preserve">Para el caso de ONT es indispensable que sean instalados por </w:t>
      </w:r>
      <w:r w:rsidR="00E83F21">
        <w:rPr>
          <w:color w:val="auto"/>
        </w:rPr>
        <w:t>Telmex / Telnor</w:t>
      </w:r>
      <w:r>
        <w:rPr>
          <w:color w:val="auto"/>
        </w:rPr>
        <w:t>, por lo cual en este caso se entregarán directamente en el domicilio de los usuarios bajo los mismos procedimientos que el AEP sigue para sus propias operaciones.</w:t>
      </w:r>
    </w:p>
    <w:p w:rsidR="005F52B6" w:rsidRPr="00BA1D95" w:rsidRDefault="005F52B6" w:rsidP="005F52B6">
      <w:pPr>
        <w:spacing w:after="200" w:line="276" w:lineRule="auto"/>
        <w:jc w:val="both"/>
        <w:rPr>
          <w:rFonts w:ascii="ITC Avant Garde" w:hAnsi="ITC Avant Garde" w:cs="Arial"/>
          <w:b/>
          <w:bCs/>
          <w:u w:val="single"/>
        </w:rPr>
      </w:pPr>
      <w:r w:rsidRPr="00BA1D95">
        <w:rPr>
          <w:rFonts w:ascii="ITC Avant Garde" w:hAnsi="ITC Avant Garde" w:cs="Arial"/>
          <w:b/>
          <w:bCs/>
          <w:u w:val="single"/>
        </w:rPr>
        <w:t>Mantenimiento</w:t>
      </w:r>
      <w:r w:rsidRPr="00BA1D95">
        <w:rPr>
          <w:rFonts w:ascii="ITC Avant Garde" w:hAnsi="ITC Avant Garde" w:cs="Arial"/>
          <w:b/>
          <w:u w:val="single"/>
        </w:rPr>
        <w:t xml:space="preserve"> y </w:t>
      </w:r>
      <w:r w:rsidRPr="00BA1D95">
        <w:rPr>
          <w:rFonts w:ascii="ITC Avant Garde" w:hAnsi="ITC Avant Garde" w:cs="Arial"/>
          <w:b/>
          <w:bCs/>
          <w:u w:val="single"/>
        </w:rPr>
        <w:t>aplicación de garantías</w:t>
      </w:r>
    </w:p>
    <w:p w:rsidR="00513D14" w:rsidRDefault="005F52B6">
      <w:pPr>
        <w:pStyle w:val="IFTnormal"/>
        <w:rPr>
          <w:rFonts w:cs="Arial"/>
        </w:rPr>
      </w:pPr>
      <w:r w:rsidRPr="00BA1D95">
        <w:rPr>
          <w:rFonts w:cs="Arial"/>
        </w:rPr>
        <w:t xml:space="preserve">Para el caso de los servicios de Reventa el mantenimiento de los módems u ONT de </w:t>
      </w:r>
      <w:r w:rsidR="00E83F21">
        <w:rPr>
          <w:rFonts w:cs="Arial"/>
        </w:rPr>
        <w:t>Telmex / Telnor</w:t>
      </w:r>
      <w:r w:rsidR="00BC081B">
        <w:rPr>
          <w:rFonts w:cs="Arial"/>
        </w:rPr>
        <w:t xml:space="preserve"> </w:t>
      </w:r>
      <w:r w:rsidRPr="00BA1D95">
        <w:rPr>
          <w:rFonts w:cs="Arial"/>
        </w:rPr>
        <w:t>formará parte del servicio. En caso de ser necesario el reemplazo del módem</w:t>
      </w:r>
      <w:r w:rsidR="00353620">
        <w:rPr>
          <w:rFonts w:cs="Arial"/>
        </w:rPr>
        <w:t xml:space="preserve"> de </w:t>
      </w:r>
      <w:r w:rsidR="00E83F21">
        <w:rPr>
          <w:rFonts w:cs="Arial"/>
        </w:rPr>
        <w:t>Telmex / Telnor</w:t>
      </w:r>
      <w:r w:rsidRPr="00BA1D95">
        <w:rPr>
          <w:rFonts w:cs="Arial"/>
        </w:rPr>
        <w:t xml:space="preserve">, </w:t>
      </w:r>
      <w:r w:rsidR="00B56AA3" w:rsidRPr="00BA1D95" w:rsidDel="00610F2C">
        <w:rPr>
          <w:rFonts w:cs="Arial"/>
        </w:rPr>
        <w:t xml:space="preserve">el CS </w:t>
      </w:r>
      <w:r w:rsidR="00B56AA3" w:rsidRPr="00BA1D95">
        <w:rPr>
          <w:rFonts w:cs="Arial"/>
        </w:rPr>
        <w:t xml:space="preserve">podrá elegir si </w:t>
      </w:r>
      <w:r w:rsidRPr="00BA1D95">
        <w:rPr>
          <w:rFonts w:cs="Arial"/>
        </w:rPr>
        <w:t>la entrega será</w:t>
      </w:r>
      <w:r w:rsidR="00A25330">
        <w:rPr>
          <w:rFonts w:cs="Arial"/>
        </w:rPr>
        <w:t xml:space="preserve"> </w:t>
      </w:r>
      <w:r w:rsidRPr="00BA1D95">
        <w:rPr>
          <w:rFonts w:cs="Arial"/>
        </w:rPr>
        <w:t xml:space="preserve">vía </w:t>
      </w:r>
      <w:r w:rsidR="00A25330">
        <w:rPr>
          <w:rFonts w:cs="Arial"/>
        </w:rPr>
        <w:t xml:space="preserve">servicio de </w:t>
      </w:r>
      <w:r w:rsidRPr="00BA1D95">
        <w:rPr>
          <w:rFonts w:cs="Arial"/>
        </w:rPr>
        <w:t>mensajería con la</w:t>
      </w:r>
      <w:r w:rsidR="00A25330">
        <w:rPr>
          <w:rFonts w:cs="Arial"/>
        </w:rPr>
        <w:t xml:space="preserve"> </w:t>
      </w:r>
      <w:r w:rsidRPr="00BA1D95">
        <w:rPr>
          <w:rFonts w:cs="Arial"/>
        </w:rPr>
        <w:t xml:space="preserve">respectiva </w:t>
      </w:r>
      <w:proofErr w:type="spellStart"/>
      <w:r w:rsidRPr="00BA1D95">
        <w:rPr>
          <w:rFonts w:cs="Arial"/>
        </w:rPr>
        <w:t>contrapr</w:t>
      </w:r>
      <w:proofErr w:type="spellEnd"/>
      <w:r w:rsidRPr="00BA1D95">
        <w:rPr>
          <w:rFonts w:cs="Arial"/>
          <w:lang w:val="es-ES"/>
        </w:rPr>
        <w:t xml:space="preserve">estación </w:t>
      </w:r>
      <w:r w:rsidRPr="00BA1D95">
        <w:rPr>
          <w:rFonts w:cs="Arial"/>
        </w:rPr>
        <w:t xml:space="preserve">y </w:t>
      </w:r>
      <w:r w:rsidR="00E83F21">
        <w:rPr>
          <w:rFonts w:cs="Arial"/>
        </w:rPr>
        <w:t>Telmex / Telnor</w:t>
      </w:r>
      <w:r w:rsidR="007F753A">
        <w:rPr>
          <w:rFonts w:cs="Arial"/>
        </w:rPr>
        <w:t xml:space="preserve"> </w:t>
      </w:r>
      <w:r w:rsidRPr="00BA1D95">
        <w:rPr>
          <w:rFonts w:cs="Arial"/>
        </w:rPr>
        <w:t xml:space="preserve">deberá proporcionar el número de guía correspondiente a través del </w:t>
      </w:r>
      <w:r w:rsidR="006B5A23">
        <w:rPr>
          <w:rFonts w:cs="Arial"/>
        </w:rPr>
        <w:t>SEG</w:t>
      </w:r>
      <w:r w:rsidR="00F85ACA">
        <w:rPr>
          <w:rFonts w:cs="Arial"/>
        </w:rPr>
        <w:t xml:space="preserve"> </w:t>
      </w:r>
      <w:r w:rsidR="00353620">
        <w:rPr>
          <w:rFonts w:cs="Arial"/>
        </w:rPr>
        <w:t xml:space="preserve">o a través del centro de atención </w:t>
      </w:r>
      <w:r w:rsidR="00B56AA3" w:rsidRPr="00BA1D95">
        <w:rPr>
          <w:rFonts w:cs="Arial"/>
        </w:rPr>
        <w:t>del AEP</w:t>
      </w:r>
      <w:r w:rsidR="00A76260" w:rsidRPr="00BA1D95">
        <w:rPr>
          <w:rFonts w:cs="Arial"/>
        </w:rPr>
        <w:t>,</w:t>
      </w:r>
      <w:r w:rsidRPr="00BA1D95">
        <w:rPr>
          <w:rFonts w:cs="Arial"/>
        </w:rPr>
        <w:t xml:space="preserve"> </w:t>
      </w:r>
      <w:r w:rsidR="00A76260" w:rsidRPr="00BA1D95">
        <w:rPr>
          <w:rFonts w:cs="Arial"/>
        </w:rPr>
        <w:t xml:space="preserve">en ambos casos </w:t>
      </w:r>
      <w:r w:rsidR="00F85ACA">
        <w:rPr>
          <w:rFonts w:cs="Arial"/>
        </w:rPr>
        <w:t>e</w:t>
      </w:r>
      <w:r w:rsidR="00A76260" w:rsidRPr="00BA1D95">
        <w:rPr>
          <w:rFonts w:cs="Arial"/>
        </w:rPr>
        <w:t>l</w:t>
      </w:r>
      <w:r w:rsidR="00A76260" w:rsidRPr="00BA1D95">
        <w:t xml:space="preserve"> </w:t>
      </w:r>
      <w:r w:rsidRPr="00BA1D95">
        <w:rPr>
          <w:rFonts w:cs="Arial"/>
        </w:rPr>
        <w:t>CS será responsable de que sea devuelto el módem u ONT a ser reemplazado.</w:t>
      </w:r>
    </w:p>
    <w:p w:rsidR="00513D14" w:rsidRDefault="00513D14">
      <w:pPr>
        <w:pStyle w:val="IFTnormal"/>
        <w:rPr>
          <w:rFonts w:cs="Arial"/>
        </w:rPr>
      </w:pPr>
      <w:r w:rsidRPr="00BA1D95" w:rsidDel="00610F2C">
        <w:rPr>
          <w:rFonts w:cs="Arial"/>
        </w:rPr>
        <w:t xml:space="preserve">Para el caso de fallas atribuibles a los módems u ONT blancos, y derivado de que la propiedad de los mismos será del CS, </w:t>
      </w:r>
      <w:r w:rsidR="00E83F21">
        <w:rPr>
          <w:rFonts w:cs="Arial"/>
        </w:rPr>
        <w:t>Telmex / Telnor</w:t>
      </w:r>
      <w:r w:rsidRPr="00BA1D95">
        <w:rPr>
          <w:rFonts w:cs="Arial"/>
        </w:rPr>
        <w:t xml:space="preserve"> </w:t>
      </w:r>
      <w:r w:rsidRPr="00BA1D95" w:rsidDel="00610F2C">
        <w:rPr>
          <w:rFonts w:cs="Arial"/>
        </w:rPr>
        <w:t xml:space="preserve">otorgará un periodo de garantía de un año, en caso de ser </w:t>
      </w:r>
      <w:r w:rsidRPr="00BA1D95" w:rsidDel="00610F2C">
        <w:rPr>
          <w:rFonts w:cs="Arial"/>
        </w:rPr>
        <w:lastRenderedPageBreak/>
        <w:t>necesario el reemplazo del equipo la entrega será vía mensajería</w:t>
      </w:r>
      <w:r w:rsidRPr="00BA1D95">
        <w:rPr>
          <w:rFonts w:cs="Arial"/>
        </w:rPr>
        <w:t xml:space="preserve"> con la respectiva </w:t>
      </w:r>
      <w:r>
        <w:rPr>
          <w:rFonts w:cs="Arial"/>
        </w:rPr>
        <w:t>contraprestación</w:t>
      </w:r>
      <w:r w:rsidRPr="00BA1D95" w:rsidDel="00610F2C">
        <w:rPr>
          <w:rFonts w:cs="Arial"/>
        </w:rPr>
        <w:t>.</w:t>
      </w:r>
    </w:p>
    <w:p w:rsidR="00513D14" w:rsidRDefault="00513D14" w:rsidP="00513D14">
      <w:pPr>
        <w:pStyle w:val="CondicionesFinales"/>
        <w:ind w:left="0" w:right="0"/>
        <w:rPr>
          <w:rFonts w:eastAsia="Calibri" w:cs="Calibri"/>
          <w:b/>
          <w:bCs w:val="0"/>
          <w:u w:val="single"/>
        </w:rPr>
      </w:pPr>
      <w:r>
        <w:rPr>
          <w:rFonts w:eastAsia="Calibri" w:cs="Calibri"/>
          <w:b/>
          <w:bCs w:val="0"/>
          <w:u w:val="single"/>
        </w:rPr>
        <w:t>Compra de Módems y ONT por lote</w:t>
      </w:r>
    </w:p>
    <w:p w:rsidR="00513D14" w:rsidRDefault="00513D14" w:rsidP="009F7BCF">
      <w:pPr>
        <w:spacing w:after="200" w:line="276" w:lineRule="auto"/>
        <w:jc w:val="both"/>
        <w:rPr>
          <w:rFonts w:cs="Arial"/>
        </w:rPr>
      </w:pPr>
      <w:r>
        <w:rPr>
          <w:rFonts w:ascii="ITC Avant Garde" w:hAnsi="ITC Avant Garde"/>
        </w:rPr>
        <w:t xml:space="preserve">Asimismo, el CS o en su caso un grupo de éstos podrá comprar los módems y ONT a </w:t>
      </w:r>
      <w:r w:rsidR="00E83F21">
        <w:rPr>
          <w:rFonts w:ascii="ITC Avant Garde" w:hAnsi="ITC Avant Garde"/>
        </w:rPr>
        <w:t>Telmex / Telnor</w:t>
      </w:r>
      <w:r>
        <w:rPr>
          <w:rFonts w:ascii="ITC Avant Garde" w:hAnsi="ITC Avant Garde"/>
        </w:rPr>
        <w:t xml:space="preserve">, de conformidad con lo establecido en el </w:t>
      </w:r>
      <w:r w:rsidRPr="00353620">
        <w:rPr>
          <w:rFonts w:ascii="ITC Avant Garde" w:hAnsi="ITC Avant Garde"/>
        </w:rPr>
        <w:t>Anexo</w:t>
      </w:r>
      <w:r>
        <w:rPr>
          <w:rFonts w:ascii="ITC Avant Garde" w:hAnsi="ITC Avant Garde"/>
        </w:rPr>
        <w:t xml:space="preserve"> A</w:t>
      </w:r>
      <w:r>
        <w:rPr>
          <w:rStyle w:val="Refdenotaalpie"/>
          <w:rFonts w:ascii="ITC Avant Garde" w:hAnsi="ITC Avant Garde"/>
          <w:lang w:val="es-ES"/>
        </w:rPr>
        <w:footnoteReference w:id="14"/>
      </w:r>
      <w:r>
        <w:rPr>
          <w:rFonts w:ascii="ITC Avant Garde" w:hAnsi="ITC Avant Garde"/>
        </w:rPr>
        <w:t>. El CS deberá considerar que los módems y las ONT serán provistos en un plazo máximo de 14 (catorce) semanas posteriores a la solicitud de compra. El CS deberá indicar en la solicitud el punto de distribución donde recogerá o recibirá el lote de los módems y ONT, para que el CS defina su propia logística de mensajería o entrega a sus usuarios.</w:t>
      </w:r>
      <w:r w:rsidR="00811201">
        <w:rPr>
          <w:rFonts w:ascii="ITC Avant Garde" w:hAnsi="ITC Avant Garde"/>
        </w:rPr>
        <w:t xml:space="preserve"> </w:t>
      </w:r>
      <w:r>
        <w:rPr>
          <w:rFonts w:ascii="ITC Avant Garde" w:hAnsi="ITC Avant Garde"/>
        </w:rPr>
        <w:t xml:space="preserve">Los módems y ONT que </w:t>
      </w:r>
      <w:r w:rsidR="00E83F21">
        <w:rPr>
          <w:rFonts w:ascii="ITC Avant Garde" w:hAnsi="ITC Avant Garde"/>
        </w:rPr>
        <w:t>Telmex / Telnor</w:t>
      </w:r>
      <w:r>
        <w:rPr>
          <w:rFonts w:ascii="ITC Avant Garde" w:hAnsi="ITC Avant Garde"/>
        </w:rPr>
        <w:t xml:space="preserve"> venderá al CS en esta modalidad no llevarán logotipos y ya tendrán cargadas las credenciales para navegación en la red del AEP. Para este tipo de entrega se acordará con el CS el intercambio de módems correspondientes a la garantía.</w:t>
      </w:r>
      <w:r w:rsidR="00973EF9">
        <w:rPr>
          <w:rFonts w:cs="Arial"/>
        </w:rPr>
        <w:t xml:space="preserve"> </w:t>
      </w:r>
    </w:p>
    <w:p w:rsidR="00E938FD" w:rsidRDefault="00A47F9A">
      <w:pPr>
        <w:pStyle w:val="IFTnormal"/>
        <w:rPr>
          <w:rFonts w:cs="Arial"/>
          <w:lang w:val="es-ES"/>
        </w:rPr>
      </w:pPr>
      <w:r w:rsidRPr="00BA1D95">
        <w:rPr>
          <w:rFonts w:cs="Arial"/>
        </w:rPr>
        <w:t>En resumen, l</w:t>
      </w:r>
      <w:r w:rsidRPr="00BA1D95">
        <w:rPr>
          <w:rFonts w:cs="Arial"/>
          <w:lang w:val="es-ES"/>
        </w:rPr>
        <w:t>os escenarios para la entrega o instalación del Módem u ONT para el servicio de Reventa son los siguientes:</w:t>
      </w:r>
    </w:p>
    <w:tbl>
      <w:tblPr>
        <w:tblStyle w:val="Tablaconcuadrcula3"/>
        <w:tblW w:w="0" w:type="auto"/>
        <w:jc w:val="center"/>
        <w:tblLook w:val="04A0"/>
      </w:tblPr>
      <w:tblGrid>
        <w:gridCol w:w="1139"/>
        <w:gridCol w:w="2217"/>
        <w:gridCol w:w="5565"/>
      </w:tblGrid>
      <w:tr w:rsidR="00441C42" w:rsidTr="006077C0">
        <w:trPr>
          <w:trHeight w:val="170"/>
          <w:tblHeade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jc w:val="center"/>
              <w:rPr>
                <w:b/>
                <w:szCs w:val="24"/>
                <w:lang w:eastAsia="es-MX"/>
              </w:rPr>
            </w:pPr>
            <w:r>
              <w:rPr>
                <w:b/>
                <w:szCs w:val="24"/>
                <w:lang w:eastAsia="es-MX"/>
              </w:rPr>
              <w:t>Usuario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jc w:val="center"/>
              <w:rPr>
                <w:b/>
                <w:szCs w:val="24"/>
                <w:lang w:eastAsia="es-MX"/>
              </w:rPr>
            </w:pPr>
            <w:r>
              <w:rPr>
                <w:b/>
                <w:szCs w:val="24"/>
                <w:lang w:eastAsia="es-MX"/>
              </w:rPr>
              <w:t>Equipo Terminal</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jc w:val="center"/>
              <w:rPr>
                <w:b/>
                <w:szCs w:val="24"/>
                <w:lang w:eastAsia="es-MX"/>
              </w:rPr>
            </w:pPr>
            <w:r>
              <w:rPr>
                <w:b/>
                <w:szCs w:val="24"/>
                <w:lang w:eastAsia="es-MX"/>
              </w:rPr>
              <w:t>Modalidad de entrega</w:t>
            </w:r>
          </w:p>
        </w:tc>
      </w:tr>
      <w:tr w:rsidR="00441C42" w:rsidTr="00441C42">
        <w:trPr>
          <w:trHeight w:val="340"/>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jc w:val="center"/>
              <w:rPr>
                <w:szCs w:val="24"/>
                <w:lang w:eastAsia="es-MX"/>
              </w:rPr>
            </w:pPr>
            <w:r>
              <w:rPr>
                <w:szCs w:val="24"/>
                <w:lang w:eastAsia="es-MX"/>
              </w:rPr>
              <w:t>Equipo del AEP (Módem / ONT)</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Se utiliza el Módem del AEP en operación con el usuario final.</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Se utiliza el ONT del AEP en operación con el usuario final.</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Mensajería</w:t>
            </w:r>
            <w:r>
              <w:rPr>
                <w:rStyle w:val="Refdenotaalpie"/>
                <w:lang w:val="es-ES" w:eastAsia="es-MX"/>
              </w:rPr>
              <w:footnoteReference w:id="15"/>
            </w:r>
            <w:r>
              <w:rPr>
                <w:sz w:val="24"/>
                <w:szCs w:val="24"/>
                <w:lang w:val="es-ES" w:eastAsia="es-MX"/>
              </w:rPr>
              <w:t xml:space="preserve"> </w:t>
            </w:r>
            <w:r>
              <w:rPr>
                <w:szCs w:val="24"/>
                <w:lang w:eastAsia="es-MX"/>
              </w:rPr>
              <w:t xml:space="preserve"> / Centro de atención del AEP</w:t>
            </w:r>
            <w:r>
              <w:rPr>
                <w:rStyle w:val="Refdenotaalpie"/>
                <w:lang w:eastAsia="es-MX"/>
              </w:rPr>
              <w:footnoteReference w:id="16"/>
            </w:r>
            <w:r>
              <w:rPr>
                <w:szCs w:val="24"/>
                <w:lang w:eastAsia="es-MX"/>
              </w:rPr>
              <w:t xml:space="preserve"> / Técnico</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E83F21" w:rsidP="00EF76A8">
            <w:pPr>
              <w:pStyle w:val="IFTnormal"/>
              <w:rPr>
                <w:szCs w:val="24"/>
                <w:lang w:eastAsia="es-MX"/>
              </w:rPr>
            </w:pPr>
            <w:r>
              <w:rPr>
                <w:szCs w:val="24"/>
                <w:lang w:eastAsia="es-MX"/>
              </w:rPr>
              <w:t>Telmex / Telnor</w:t>
            </w:r>
            <w:r w:rsidR="00441C42">
              <w:rPr>
                <w:szCs w:val="24"/>
                <w:lang w:eastAsia="es-MX"/>
              </w:rPr>
              <w:t xml:space="preserve"> entrega e instala el ONT al usuario final.</w:t>
            </w:r>
          </w:p>
        </w:tc>
      </w:tr>
      <w:tr w:rsidR="00441C42" w:rsidTr="00441C42">
        <w:trPr>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jc w:val="center"/>
              <w:rPr>
                <w:szCs w:val="24"/>
                <w:lang w:eastAsia="es-MX"/>
              </w:rPr>
            </w:pPr>
            <w:r>
              <w:rPr>
                <w:szCs w:val="24"/>
                <w:lang w:eastAsia="es-MX"/>
              </w:rPr>
              <w:t xml:space="preserve">Equipo Blanco del AEP (Módem / ONT) </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441C42" w:rsidRDefault="00441C42" w:rsidP="00EF76A8">
            <w:pPr>
              <w:pStyle w:val="IFTnormal"/>
              <w:jc w:val="left"/>
              <w:rPr>
                <w:sz w:val="24"/>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hideMark/>
          </w:tcPr>
          <w:p w:rsidR="00441C42" w:rsidRDefault="00441C42" w:rsidP="00EF76A8">
            <w:pPr>
              <w:pStyle w:val="IFTnormal"/>
              <w:jc w:val="left"/>
              <w:rPr>
                <w:sz w:val="24"/>
                <w:szCs w:val="24"/>
                <w:lang w:eastAsia="es-MX"/>
              </w:rPr>
            </w:pPr>
            <w:r>
              <w:rPr>
                <w:szCs w:val="24"/>
                <w:lang w:eastAsia="es-MX"/>
              </w:rPr>
              <w:t>Módem Blanco</w:t>
            </w:r>
          </w:p>
        </w:tc>
        <w:tc>
          <w:tcPr>
            <w:tcW w:w="5565" w:type="dxa"/>
            <w:tcBorders>
              <w:top w:val="single" w:sz="4" w:space="0" w:color="auto"/>
              <w:left w:val="single" w:sz="4" w:space="0" w:color="auto"/>
              <w:bottom w:val="single" w:sz="4" w:space="0" w:color="auto"/>
              <w:right w:val="single" w:sz="4" w:space="0" w:color="auto"/>
            </w:tcBorders>
            <w:vAlign w:val="center"/>
            <w:hideMark/>
          </w:tcPr>
          <w:p w:rsidR="00441C42" w:rsidRDefault="00441C42" w:rsidP="00EF76A8">
            <w:pPr>
              <w:pStyle w:val="IFTnormal"/>
              <w:jc w:val="left"/>
              <w:rPr>
                <w:sz w:val="24"/>
                <w:szCs w:val="24"/>
                <w:lang w:eastAsia="es-MX"/>
              </w:rPr>
            </w:pPr>
            <w:r>
              <w:rPr>
                <w:szCs w:val="24"/>
                <w:lang w:eastAsia="es-MX"/>
              </w:rPr>
              <w:t>Mensajería / Centro de atención del AEP / Técnico</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441C42" w:rsidRDefault="00441C42" w:rsidP="00EF76A8">
            <w:pPr>
              <w:pStyle w:val="IFTnormal"/>
              <w:jc w:val="left"/>
              <w:rPr>
                <w:sz w:val="24"/>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hideMark/>
          </w:tcPr>
          <w:p w:rsidR="00441C42" w:rsidRDefault="00441C42" w:rsidP="00EF76A8">
            <w:pPr>
              <w:pStyle w:val="IFTnormal"/>
              <w:jc w:val="left"/>
              <w:rPr>
                <w:sz w:val="24"/>
                <w:szCs w:val="24"/>
                <w:lang w:eastAsia="es-MX"/>
              </w:rPr>
            </w:pPr>
            <w:r>
              <w:rPr>
                <w:szCs w:val="24"/>
                <w:lang w:eastAsia="es-MX"/>
              </w:rPr>
              <w:t>ONT Blanco</w:t>
            </w:r>
          </w:p>
        </w:tc>
        <w:tc>
          <w:tcPr>
            <w:tcW w:w="5565" w:type="dxa"/>
            <w:tcBorders>
              <w:top w:val="single" w:sz="4" w:space="0" w:color="auto"/>
              <w:left w:val="single" w:sz="4" w:space="0" w:color="auto"/>
              <w:bottom w:val="single" w:sz="4" w:space="0" w:color="auto"/>
              <w:right w:val="single" w:sz="4" w:space="0" w:color="auto"/>
            </w:tcBorders>
            <w:vAlign w:val="center"/>
            <w:hideMark/>
          </w:tcPr>
          <w:p w:rsidR="00441C42" w:rsidRDefault="00E83F21" w:rsidP="00EF76A8">
            <w:pPr>
              <w:pStyle w:val="IFTnormal"/>
              <w:jc w:val="left"/>
              <w:rPr>
                <w:sz w:val="24"/>
                <w:szCs w:val="24"/>
                <w:lang w:eastAsia="es-MX"/>
              </w:rPr>
            </w:pPr>
            <w:r>
              <w:rPr>
                <w:szCs w:val="24"/>
                <w:lang w:eastAsia="es-MX"/>
              </w:rPr>
              <w:t>Telmex / Telnor</w:t>
            </w:r>
            <w:r w:rsidR="00441C42">
              <w:rPr>
                <w:szCs w:val="24"/>
                <w:lang w:eastAsia="es-MX"/>
              </w:rPr>
              <w:t xml:space="preserve"> entrega e instala el ONT al usuario final.</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lastRenderedPageBreak/>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Módem Blanco</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Mensajería / Centro de atención del AEP / Técnico</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ONT Blanco</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E83F21" w:rsidP="00EF76A8">
            <w:pPr>
              <w:pStyle w:val="IFTnormal"/>
              <w:rPr>
                <w:szCs w:val="24"/>
                <w:lang w:eastAsia="es-MX"/>
              </w:rPr>
            </w:pPr>
            <w:r>
              <w:rPr>
                <w:szCs w:val="24"/>
                <w:lang w:eastAsia="es-MX"/>
              </w:rPr>
              <w:t>Telmex / Telnor</w:t>
            </w:r>
            <w:r w:rsidR="00441C42">
              <w:rPr>
                <w:szCs w:val="24"/>
                <w:lang w:eastAsia="es-MX"/>
              </w:rPr>
              <w:t xml:space="preserve"> entrega e instala el ONT al usuario final.</w:t>
            </w:r>
          </w:p>
        </w:tc>
      </w:tr>
      <w:tr w:rsidR="00441C42" w:rsidTr="00441C42">
        <w:trPr>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441C42" w:rsidRDefault="00441C42" w:rsidP="00007425">
            <w:pPr>
              <w:pStyle w:val="IFTnormal"/>
              <w:jc w:val="center"/>
              <w:rPr>
                <w:szCs w:val="24"/>
                <w:lang w:eastAsia="es-MX"/>
              </w:rPr>
            </w:pPr>
            <w:r>
              <w:rPr>
                <w:szCs w:val="24"/>
                <w:lang w:eastAsia="es-MX"/>
              </w:rPr>
              <w:t xml:space="preserve">Lotes de equipo provistos por </w:t>
            </w:r>
            <w:r w:rsidR="00E83F21">
              <w:rPr>
                <w:szCs w:val="24"/>
                <w:lang w:eastAsia="es-MX"/>
              </w:rPr>
              <w:t>Telmex / Telnor</w:t>
            </w:r>
            <w:r>
              <w:rPr>
                <w:szCs w:val="24"/>
                <w:lang w:eastAsia="es-MX"/>
              </w:rPr>
              <w:t xml:space="preserve"> </w:t>
            </w:r>
          </w:p>
        </w:tc>
      </w:tr>
      <w:tr w:rsidR="00441C42" w:rsidTr="009F7BCF">
        <w:trPr>
          <w:jc w:val="center"/>
        </w:trPr>
        <w:tc>
          <w:tcPr>
            <w:tcW w:w="1139" w:type="dxa"/>
            <w:tcBorders>
              <w:top w:val="single" w:sz="4" w:space="0" w:color="auto"/>
              <w:left w:val="single" w:sz="4" w:space="0" w:color="auto"/>
              <w:bottom w:val="single" w:sz="4" w:space="0" w:color="auto"/>
              <w:right w:val="single" w:sz="4" w:space="0" w:color="auto"/>
            </w:tcBorders>
            <w:vAlign w:val="center"/>
          </w:tcPr>
          <w:p w:rsidR="00441C42" w:rsidRDefault="00441C42" w:rsidP="00EF76A8">
            <w:pPr>
              <w:pStyle w:val="IFTnormal"/>
              <w:jc w:val="left"/>
              <w:rPr>
                <w:sz w:val="24"/>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tcPr>
          <w:p w:rsidR="00441C42" w:rsidRDefault="00441C42" w:rsidP="00007425">
            <w:pPr>
              <w:pStyle w:val="IFTnormal"/>
              <w:jc w:val="left"/>
              <w:rPr>
                <w:sz w:val="24"/>
                <w:szCs w:val="24"/>
                <w:lang w:eastAsia="es-MX"/>
              </w:rPr>
            </w:pPr>
            <w:r>
              <w:rPr>
                <w:szCs w:val="24"/>
                <w:lang w:eastAsia="es-MX"/>
              </w:rPr>
              <w:t xml:space="preserve">Módem </w:t>
            </w:r>
          </w:p>
        </w:tc>
        <w:tc>
          <w:tcPr>
            <w:tcW w:w="5565" w:type="dxa"/>
            <w:tcBorders>
              <w:top w:val="single" w:sz="4" w:space="0" w:color="auto"/>
              <w:left w:val="single" w:sz="4" w:space="0" w:color="auto"/>
              <w:bottom w:val="single" w:sz="4" w:space="0" w:color="auto"/>
              <w:right w:val="single" w:sz="4" w:space="0" w:color="auto"/>
            </w:tcBorders>
            <w:vAlign w:val="center"/>
          </w:tcPr>
          <w:p w:rsidR="00441C42" w:rsidRDefault="00441C42" w:rsidP="00EF76A8">
            <w:pPr>
              <w:pStyle w:val="IFTnormal"/>
              <w:jc w:val="left"/>
              <w:rPr>
                <w:sz w:val="24"/>
                <w:szCs w:val="24"/>
                <w:lang w:eastAsia="es-MX"/>
              </w:rPr>
            </w:pPr>
            <w:r>
              <w:rPr>
                <w:szCs w:val="24"/>
                <w:lang w:eastAsia="es-MX"/>
              </w:rPr>
              <w:t>CS entrega e instala el Módem al usuario final.</w:t>
            </w:r>
          </w:p>
        </w:tc>
      </w:tr>
      <w:tr w:rsidR="00441C42" w:rsidTr="009F7BCF">
        <w:trPr>
          <w:jc w:val="center"/>
        </w:trPr>
        <w:tc>
          <w:tcPr>
            <w:tcW w:w="1139" w:type="dxa"/>
            <w:tcBorders>
              <w:top w:val="single" w:sz="4" w:space="0" w:color="auto"/>
              <w:left w:val="single" w:sz="4" w:space="0" w:color="auto"/>
              <w:bottom w:val="single" w:sz="4" w:space="0" w:color="auto"/>
              <w:right w:val="single" w:sz="4" w:space="0" w:color="auto"/>
            </w:tcBorders>
            <w:vAlign w:val="center"/>
          </w:tcPr>
          <w:p w:rsidR="00441C42" w:rsidRDefault="00441C42" w:rsidP="00EF76A8">
            <w:pPr>
              <w:pStyle w:val="IFTnormal"/>
              <w:jc w:val="center"/>
              <w:rPr>
                <w:sz w:val="24"/>
                <w:szCs w:val="24"/>
                <w:lang w:eastAsia="es-MX"/>
              </w:rPr>
            </w:pPr>
            <w:r>
              <w:rPr>
                <w:szCs w:val="24"/>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tcPr>
          <w:p w:rsidR="00441C42" w:rsidRDefault="00441C42" w:rsidP="00EF76A8">
            <w:pPr>
              <w:pStyle w:val="IFTnormal"/>
              <w:spacing w:after="0"/>
              <w:rPr>
                <w:szCs w:val="24"/>
                <w:lang w:eastAsia="es-MX"/>
              </w:rPr>
            </w:pPr>
            <w:r>
              <w:rPr>
                <w:szCs w:val="24"/>
                <w:lang w:eastAsia="es-MX"/>
              </w:rPr>
              <w:t>ONT</w:t>
            </w:r>
          </w:p>
          <w:p w:rsidR="00441C42" w:rsidRDefault="00441C42" w:rsidP="00EF76A8">
            <w:pPr>
              <w:pStyle w:val="IFTnormal"/>
              <w:jc w:val="center"/>
              <w:rPr>
                <w:sz w:val="24"/>
                <w:szCs w:val="24"/>
                <w:lang w:eastAsia="es-MX"/>
              </w:rPr>
            </w:pPr>
          </w:p>
        </w:tc>
        <w:tc>
          <w:tcPr>
            <w:tcW w:w="5565" w:type="dxa"/>
            <w:tcBorders>
              <w:top w:val="single" w:sz="4" w:space="0" w:color="auto"/>
              <w:left w:val="single" w:sz="4" w:space="0" w:color="auto"/>
              <w:bottom w:val="single" w:sz="4" w:space="0" w:color="auto"/>
              <w:right w:val="single" w:sz="4" w:space="0" w:color="auto"/>
            </w:tcBorders>
            <w:vAlign w:val="center"/>
          </w:tcPr>
          <w:p w:rsidR="00441C42" w:rsidRDefault="00441C42" w:rsidP="00EF76A8">
            <w:pPr>
              <w:pStyle w:val="IFTnormal"/>
              <w:spacing w:after="0"/>
              <w:rPr>
                <w:szCs w:val="24"/>
                <w:lang w:eastAsia="es-MX"/>
              </w:rPr>
            </w:pPr>
            <w:r>
              <w:rPr>
                <w:szCs w:val="24"/>
                <w:lang w:eastAsia="es-MX"/>
              </w:rPr>
              <w:t>Coordinación de instalación al usuario final:</w:t>
            </w:r>
          </w:p>
          <w:p w:rsidR="00441C42" w:rsidRDefault="00441C42" w:rsidP="00EF76A8">
            <w:pPr>
              <w:pStyle w:val="IFTnormal"/>
              <w:numPr>
                <w:ilvl w:val="0"/>
                <w:numId w:val="128"/>
              </w:numPr>
              <w:spacing w:after="0"/>
              <w:rPr>
                <w:szCs w:val="24"/>
                <w:lang w:eastAsia="es-MX"/>
              </w:rPr>
            </w:pPr>
            <w:r>
              <w:rPr>
                <w:szCs w:val="24"/>
                <w:lang w:eastAsia="es-MX"/>
              </w:rPr>
              <w:t>CS proporciona el ONT.</w:t>
            </w:r>
          </w:p>
          <w:p w:rsidR="00441C42" w:rsidRDefault="00E83F21" w:rsidP="00EF76A8">
            <w:pPr>
              <w:pStyle w:val="IFTnormal"/>
              <w:numPr>
                <w:ilvl w:val="0"/>
                <w:numId w:val="128"/>
              </w:numPr>
              <w:rPr>
                <w:sz w:val="24"/>
                <w:szCs w:val="24"/>
                <w:lang w:eastAsia="es-MX"/>
              </w:rPr>
            </w:pPr>
            <w:r>
              <w:rPr>
                <w:szCs w:val="24"/>
                <w:lang w:eastAsia="es-MX"/>
              </w:rPr>
              <w:t>Telmex / Telnor</w:t>
            </w:r>
            <w:r w:rsidR="00441C42">
              <w:rPr>
                <w:szCs w:val="24"/>
                <w:lang w:eastAsia="es-MX"/>
              </w:rPr>
              <w:t xml:space="preserve"> instala el ONT.</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714C9B">
            <w:pPr>
              <w:pStyle w:val="IFTnormal"/>
              <w:rPr>
                <w:szCs w:val="24"/>
                <w:lang w:eastAsia="es-MX"/>
              </w:rPr>
            </w:pPr>
            <w:r>
              <w:rPr>
                <w:szCs w:val="24"/>
                <w:lang w:eastAsia="es-MX"/>
              </w:rPr>
              <w:t xml:space="preserve">Módem </w:t>
            </w: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CS entrega e instala el Módem al usuario final.</w:t>
            </w:r>
          </w:p>
        </w:tc>
      </w:tr>
      <w:tr w:rsidR="00441C42" w:rsidTr="00441C42">
        <w:trPr>
          <w:jc w:val="center"/>
        </w:trPr>
        <w:tc>
          <w:tcPr>
            <w:tcW w:w="1139"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ONT</w:t>
            </w:r>
          </w:p>
          <w:p w:rsidR="00441C42" w:rsidRDefault="00441C42" w:rsidP="00EF76A8">
            <w:pPr>
              <w:pStyle w:val="IFTnormal"/>
              <w:rPr>
                <w:szCs w:val="24"/>
                <w:lang w:eastAsia="es-MX"/>
              </w:rPr>
            </w:pPr>
          </w:p>
        </w:tc>
        <w:tc>
          <w:tcPr>
            <w:tcW w:w="5565" w:type="dxa"/>
            <w:tcBorders>
              <w:top w:val="single" w:sz="4" w:space="0" w:color="auto"/>
              <w:left w:val="single" w:sz="4" w:space="0" w:color="auto"/>
              <w:bottom w:val="single" w:sz="4" w:space="0" w:color="auto"/>
              <w:right w:val="single" w:sz="4" w:space="0" w:color="auto"/>
            </w:tcBorders>
            <w:hideMark/>
          </w:tcPr>
          <w:p w:rsidR="00441C42" w:rsidRDefault="00441C42" w:rsidP="00EF76A8">
            <w:pPr>
              <w:pStyle w:val="IFTnormal"/>
              <w:rPr>
                <w:szCs w:val="24"/>
                <w:lang w:eastAsia="es-MX"/>
              </w:rPr>
            </w:pPr>
            <w:r>
              <w:rPr>
                <w:szCs w:val="24"/>
                <w:lang w:eastAsia="es-MX"/>
              </w:rPr>
              <w:t>Coordinación de instalación al usuario final:</w:t>
            </w:r>
          </w:p>
          <w:p w:rsidR="00441C42" w:rsidRDefault="00441C42" w:rsidP="00EF76A8">
            <w:pPr>
              <w:pStyle w:val="IFTnormal"/>
              <w:numPr>
                <w:ilvl w:val="0"/>
                <w:numId w:val="128"/>
              </w:numPr>
              <w:rPr>
                <w:szCs w:val="24"/>
                <w:lang w:eastAsia="es-MX"/>
              </w:rPr>
            </w:pPr>
            <w:r>
              <w:rPr>
                <w:szCs w:val="24"/>
                <w:lang w:eastAsia="es-MX"/>
              </w:rPr>
              <w:t>CS proporciona el ONT.</w:t>
            </w:r>
          </w:p>
          <w:p w:rsidR="00441C42" w:rsidRDefault="00E83F21" w:rsidP="00EF76A8">
            <w:pPr>
              <w:pStyle w:val="IFTnormal"/>
              <w:numPr>
                <w:ilvl w:val="0"/>
                <w:numId w:val="128"/>
              </w:numPr>
              <w:rPr>
                <w:szCs w:val="24"/>
                <w:lang w:eastAsia="es-MX"/>
              </w:rPr>
            </w:pPr>
            <w:r>
              <w:rPr>
                <w:szCs w:val="24"/>
                <w:lang w:eastAsia="es-MX"/>
              </w:rPr>
              <w:t>Telmex / Telnor</w:t>
            </w:r>
            <w:r w:rsidR="00441C42">
              <w:rPr>
                <w:szCs w:val="24"/>
                <w:lang w:eastAsia="es-MX"/>
              </w:rPr>
              <w:t xml:space="preserve"> instala el ONT.</w:t>
            </w:r>
          </w:p>
        </w:tc>
      </w:tr>
    </w:tbl>
    <w:p w:rsidR="003223FC" w:rsidRDefault="003223FC" w:rsidP="009F7BCF">
      <w:pPr>
        <w:pStyle w:val="IFTnormal"/>
      </w:pPr>
    </w:p>
    <w:p w:rsidR="000A2C75" w:rsidRDefault="00094B5A" w:rsidP="009F7BCF">
      <w:pPr>
        <w:pStyle w:val="IFTnormal"/>
      </w:pPr>
      <w:r w:rsidRPr="00094B5A">
        <w:t>Respecto a los teléfonos, los CS o los usuarios finales podrán adquirirlos directamente con algún proveedor o comprarlos en los centros de atención de</w:t>
      </w:r>
      <w:r w:rsidR="000A2C75">
        <w:t>l AEP</w:t>
      </w:r>
      <w:r w:rsidR="007D64F0">
        <w:t>.</w:t>
      </w:r>
    </w:p>
    <w:p w:rsidR="00E938FD" w:rsidRDefault="000A2C75">
      <w:pPr>
        <w:spacing w:after="200" w:line="276" w:lineRule="auto"/>
        <w:jc w:val="both"/>
      </w:pPr>
      <w:r w:rsidRPr="007D64F0">
        <w:rPr>
          <w:rFonts w:ascii="ITC Avant Garde" w:eastAsiaTheme="minorHAnsi" w:hAnsi="ITC Avant Garde" w:cstheme="minorBidi"/>
        </w:rPr>
        <w:t>En caso de que</w:t>
      </w:r>
      <w:r>
        <w:rPr>
          <w:rFonts w:ascii="ITC Avant Garde" w:eastAsiaTheme="minorHAnsi" w:hAnsi="ITC Avant Garde" w:cstheme="minorBidi"/>
        </w:rPr>
        <w:t xml:space="preserve"> </w:t>
      </w:r>
      <w:r w:rsidR="00E83F21">
        <w:rPr>
          <w:rFonts w:ascii="ITC Avant Garde" w:eastAsiaTheme="minorHAnsi" w:hAnsi="ITC Avant Garde" w:cstheme="minorBidi"/>
        </w:rPr>
        <w:t>Telmex / Telnor</w:t>
      </w:r>
      <w:r w:rsidRPr="007D64F0">
        <w:rPr>
          <w:rFonts w:ascii="ITC Avant Garde" w:eastAsiaTheme="minorHAnsi" w:hAnsi="ITC Avant Garde" w:cstheme="minorBidi"/>
        </w:rPr>
        <w:t>, a través del modo de entrega acordado, se presente en el domicilio del cliente del CS con un módem u ONT que no tenga las credenciales debidamente configuradas, no podrá considerarse como visita en falso y será acreedor a la penalización correspondiente de conformidad con el ANEXO B</w:t>
      </w:r>
      <w:r>
        <w:rPr>
          <w:rFonts w:ascii="ITC Avant Garde" w:eastAsiaTheme="minorHAnsi" w:hAnsi="ITC Avant Garde" w:cstheme="minorBidi"/>
        </w:rPr>
        <w:t>.</w:t>
      </w:r>
    </w:p>
    <w:p w:rsidR="00A47F9A" w:rsidRPr="00BA1D95" w:rsidRDefault="00A47F9A" w:rsidP="00A74460">
      <w:pPr>
        <w:pStyle w:val="1TitPrin"/>
        <w:numPr>
          <w:ilvl w:val="1"/>
          <w:numId w:val="182"/>
        </w:numPr>
        <w:outlineLvl w:val="1"/>
      </w:pPr>
      <w:bookmarkStart w:id="477" w:name="_Toc44412625"/>
      <w:bookmarkStart w:id="478" w:name="_Toc44413221"/>
      <w:bookmarkStart w:id="479" w:name="_Toc44413700"/>
      <w:bookmarkStart w:id="480" w:name="_Toc436840887"/>
      <w:bookmarkStart w:id="481" w:name="_Toc436846324"/>
      <w:bookmarkStart w:id="482" w:name="_Toc436848274"/>
      <w:bookmarkStart w:id="483" w:name="_Toc436856522"/>
      <w:bookmarkStart w:id="484" w:name="_Toc436862668"/>
      <w:bookmarkStart w:id="485" w:name="_Toc436866318"/>
      <w:bookmarkStart w:id="486" w:name="_Toc436870897"/>
      <w:bookmarkStart w:id="487" w:name="_Toc436875889"/>
      <w:bookmarkStart w:id="488" w:name="_Toc467248701"/>
      <w:bookmarkStart w:id="489" w:name="_Toc525904567"/>
      <w:bookmarkStart w:id="490" w:name="_Toc525913963"/>
      <w:bookmarkStart w:id="491" w:name="_Toc525919202"/>
      <w:bookmarkStart w:id="492" w:name="_Toc525919326"/>
      <w:bookmarkStart w:id="493" w:name="_Toc2957136"/>
      <w:bookmarkStart w:id="494" w:name="_Toc26273073"/>
      <w:bookmarkStart w:id="495" w:name="_Toc26284471"/>
      <w:bookmarkStart w:id="496" w:name="_Toc54106575"/>
      <w:bookmarkEnd w:id="472"/>
      <w:bookmarkEnd w:id="477"/>
      <w:bookmarkEnd w:id="478"/>
      <w:bookmarkEnd w:id="479"/>
      <w:r w:rsidRPr="00BA1D95">
        <w:t>Registro de llamadas (CDR)</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p w:rsidR="00A47F9A" w:rsidRPr="00BA1D95" w:rsidRDefault="00A47F9A" w:rsidP="004B11EB">
      <w:pPr>
        <w:spacing w:after="200" w:line="276" w:lineRule="auto"/>
        <w:jc w:val="both"/>
        <w:rPr>
          <w:rFonts w:ascii="ITC Avant Garde" w:hAnsi="ITC Avant Garde" w:cs="Arial"/>
          <w:bCs/>
        </w:rPr>
      </w:pPr>
      <w:bookmarkStart w:id="497" w:name="_Toc436840888"/>
      <w:bookmarkStart w:id="498" w:name="_Toc436846325"/>
      <w:bookmarkStart w:id="499" w:name="_Toc436848275"/>
      <w:bookmarkStart w:id="500" w:name="_Toc436856523"/>
      <w:bookmarkStart w:id="501" w:name="_Toc436862669"/>
      <w:bookmarkStart w:id="502" w:name="_Toc436866319"/>
      <w:bookmarkStart w:id="503" w:name="_Toc436870898"/>
      <w:bookmarkStart w:id="504" w:name="_Toc436875890"/>
      <w:r w:rsidRPr="00BA1D95">
        <w:rPr>
          <w:rFonts w:ascii="ITC Avant Garde" w:hAnsi="ITC Avant Garde" w:cs="Arial"/>
          <w:bCs/>
        </w:rPr>
        <w:t xml:space="preserve">La facturación a los usuarios finales de los servicios será responsabilidad del CS, por lo que </w:t>
      </w:r>
      <w:r w:rsidR="00E83F21">
        <w:rPr>
          <w:rFonts w:ascii="ITC Avant Garde" w:hAnsi="ITC Avant Garde" w:cs="Arial"/>
          <w:bCs/>
        </w:rPr>
        <w:t>Telmex / Telnor</w:t>
      </w:r>
      <w:r w:rsidR="006913EE">
        <w:rPr>
          <w:rFonts w:ascii="ITC Avant Garde" w:hAnsi="ITC Avant Garde" w:cs="Arial"/>
          <w:bCs/>
        </w:rPr>
        <w:t xml:space="preserve"> </w:t>
      </w:r>
      <w:r w:rsidRPr="00BA1D95">
        <w:rPr>
          <w:rFonts w:ascii="ITC Avant Garde" w:hAnsi="ITC Avant Garde" w:cs="Arial"/>
          <w:bCs/>
        </w:rPr>
        <w:t>pondrá a su disposición</w:t>
      </w:r>
      <w:r w:rsidR="00262D8E" w:rsidRPr="00BA1D95">
        <w:rPr>
          <w:rFonts w:ascii="ITC Avant Garde" w:hAnsi="ITC Avant Garde" w:cs="Arial"/>
          <w:bCs/>
        </w:rPr>
        <w:t>,</w:t>
      </w:r>
      <w:r w:rsidRPr="00BA1D95">
        <w:rPr>
          <w:rFonts w:ascii="ITC Avant Garde" w:hAnsi="ITC Avant Garde" w:cs="Arial"/>
          <w:bCs/>
        </w:rPr>
        <w:t xml:space="preserve"> a solicitud del CS</w:t>
      </w:r>
      <w:r w:rsidR="00262D8E" w:rsidRPr="00BA1D95">
        <w:rPr>
          <w:rFonts w:ascii="ITC Avant Garde" w:hAnsi="ITC Avant Garde" w:cs="Arial"/>
          <w:bCs/>
        </w:rPr>
        <w:t>,</w:t>
      </w:r>
      <w:r w:rsidRPr="00BA1D95">
        <w:rPr>
          <w:rFonts w:ascii="ITC Avant Garde" w:hAnsi="ITC Avant Garde" w:cs="Arial"/>
          <w:bCs/>
        </w:rPr>
        <w:t xml:space="preserve"> las siguientes opciones:</w:t>
      </w:r>
    </w:p>
    <w:p w:rsidR="00A47F9A" w:rsidRPr="00BA1D95" w:rsidRDefault="00A47F9A" w:rsidP="00D37C98">
      <w:pPr>
        <w:pStyle w:val="Prrafodelista"/>
        <w:numPr>
          <w:ilvl w:val="0"/>
          <w:numId w:val="65"/>
        </w:numPr>
        <w:spacing w:after="200" w:line="276" w:lineRule="auto"/>
        <w:jc w:val="both"/>
        <w:rPr>
          <w:rFonts w:ascii="ITC Avant Garde" w:hAnsi="ITC Avant Garde" w:cs="Arial"/>
          <w:bCs/>
          <w:sz w:val="22"/>
          <w:szCs w:val="22"/>
        </w:rPr>
      </w:pPr>
      <w:r w:rsidRPr="00BA1D95">
        <w:rPr>
          <w:rFonts w:ascii="ITC Avant Garde" w:hAnsi="ITC Avant Garde" w:cs="Arial"/>
          <w:bCs/>
          <w:sz w:val="22"/>
          <w:szCs w:val="22"/>
        </w:rPr>
        <w:t>Diariamente</w:t>
      </w:r>
      <w:r w:rsidRPr="00BA1D95">
        <w:rPr>
          <w:rFonts w:ascii="ITC Avant Garde" w:hAnsi="ITC Avant Garde" w:cs="Arial"/>
          <w:sz w:val="22"/>
          <w:szCs w:val="22"/>
        </w:rPr>
        <w:t xml:space="preserve"> los tráficos cursados por cada usuario final (</w:t>
      </w:r>
      <w:proofErr w:type="spellStart"/>
      <w:r w:rsidRPr="00BA1D95">
        <w:rPr>
          <w:rFonts w:ascii="ITC Avant Garde" w:hAnsi="ITC Avant Garde" w:cs="Arial"/>
          <w:sz w:val="22"/>
          <w:szCs w:val="22"/>
        </w:rPr>
        <w:t>CDRs</w:t>
      </w:r>
      <w:proofErr w:type="spellEnd"/>
      <w:r w:rsidRPr="00BA1D95">
        <w:rPr>
          <w:rFonts w:ascii="ITC Avant Garde" w:hAnsi="ITC Avant Garde" w:cs="Arial"/>
          <w:sz w:val="22"/>
          <w:szCs w:val="22"/>
        </w:rPr>
        <w:t xml:space="preserve">), a través del </w:t>
      </w:r>
      <w:r w:rsidR="006B5A23">
        <w:rPr>
          <w:rFonts w:ascii="ITC Avant Garde" w:hAnsi="ITC Avant Garde" w:cs="Arial"/>
          <w:sz w:val="22"/>
          <w:szCs w:val="22"/>
        </w:rPr>
        <w:t>SEG</w:t>
      </w:r>
      <w:r w:rsidR="00545F2C">
        <w:rPr>
          <w:rFonts w:ascii="ITC Avant Garde" w:hAnsi="ITC Avant Garde" w:cs="Arial"/>
          <w:sz w:val="22"/>
          <w:szCs w:val="22"/>
        </w:rPr>
        <w:t xml:space="preserve"> </w:t>
      </w:r>
      <w:r w:rsidRPr="00BA1D95">
        <w:rPr>
          <w:rFonts w:ascii="ITC Avant Garde" w:hAnsi="ITC Avant Garde" w:cs="Arial"/>
          <w:sz w:val="22"/>
          <w:szCs w:val="22"/>
        </w:rPr>
        <w:t xml:space="preserve">para que sean descargados por los CS. </w:t>
      </w:r>
      <w:r w:rsidRPr="00BA1D95">
        <w:rPr>
          <w:rFonts w:ascii="ITC Avant Garde" w:hAnsi="ITC Avant Garde" w:cs="Arial"/>
          <w:bCs/>
          <w:sz w:val="22"/>
          <w:szCs w:val="22"/>
        </w:rPr>
        <w:t xml:space="preserve">La información de los </w:t>
      </w:r>
      <w:proofErr w:type="spellStart"/>
      <w:r w:rsidRPr="00BA1D95">
        <w:rPr>
          <w:rFonts w:ascii="ITC Avant Garde" w:hAnsi="ITC Avant Garde" w:cs="Arial"/>
          <w:bCs/>
          <w:sz w:val="22"/>
          <w:szCs w:val="22"/>
        </w:rPr>
        <w:t>CDRs</w:t>
      </w:r>
      <w:proofErr w:type="spellEnd"/>
      <w:r w:rsidRPr="00BA1D95">
        <w:rPr>
          <w:rFonts w:ascii="ITC Avant Garde" w:hAnsi="ITC Avant Garde" w:cs="Arial"/>
          <w:bCs/>
          <w:sz w:val="22"/>
          <w:szCs w:val="22"/>
        </w:rPr>
        <w:t xml:space="preserve"> será conforme al formato establecido en el </w:t>
      </w:r>
      <w:r w:rsidRPr="00755948">
        <w:rPr>
          <w:rFonts w:ascii="ITC Avant Garde" w:hAnsi="ITC Avant Garde" w:cs="Arial"/>
          <w:bCs/>
          <w:sz w:val="22"/>
          <w:szCs w:val="22"/>
        </w:rPr>
        <w:t>“</w:t>
      </w:r>
      <w:proofErr w:type="spellStart"/>
      <w:r w:rsidRPr="00755948">
        <w:rPr>
          <w:rFonts w:ascii="ITC Avant Garde" w:hAnsi="ITC Avant Garde" w:cs="Arial"/>
          <w:bCs/>
          <w:sz w:val="22"/>
          <w:szCs w:val="22"/>
        </w:rPr>
        <w:t>Layout</w:t>
      </w:r>
      <w:proofErr w:type="spellEnd"/>
      <w:r w:rsidRPr="00755948">
        <w:rPr>
          <w:rFonts w:ascii="ITC Avant Garde" w:hAnsi="ITC Avant Garde" w:cs="Arial"/>
          <w:bCs/>
          <w:sz w:val="22"/>
          <w:szCs w:val="22"/>
        </w:rPr>
        <w:t xml:space="preserve"> para la entrega de los registros de consumo del Servicio de Reventa de Línea”</w:t>
      </w:r>
      <w:r w:rsidRPr="00BA1D95">
        <w:rPr>
          <w:rFonts w:ascii="ITC Avant Garde" w:hAnsi="ITC Avant Garde" w:cs="Arial"/>
          <w:bCs/>
          <w:sz w:val="22"/>
          <w:szCs w:val="22"/>
        </w:rPr>
        <w:t>, a fin de que sean descargados por cada CS.</w:t>
      </w:r>
    </w:p>
    <w:p w:rsidR="00A47F9A" w:rsidRPr="00BA1D95" w:rsidRDefault="00A47F9A" w:rsidP="00D37C98">
      <w:pPr>
        <w:pStyle w:val="Prrafodelista"/>
        <w:numPr>
          <w:ilvl w:val="0"/>
          <w:numId w:val="65"/>
        </w:numPr>
        <w:spacing w:after="200" w:line="276" w:lineRule="auto"/>
        <w:jc w:val="both"/>
        <w:rPr>
          <w:rFonts w:ascii="ITC Avant Garde" w:hAnsi="ITC Avant Garde" w:cs="Arial"/>
          <w:bCs/>
          <w:sz w:val="22"/>
          <w:szCs w:val="22"/>
        </w:rPr>
      </w:pPr>
      <w:r w:rsidRPr="00BA1D95">
        <w:rPr>
          <w:rFonts w:ascii="ITC Avant Garde" w:hAnsi="ITC Avant Garde" w:cs="Arial"/>
          <w:bCs/>
          <w:sz w:val="22"/>
          <w:szCs w:val="22"/>
        </w:rPr>
        <w:t xml:space="preserve">De igual forma que los clientes empresariales, se proporcionará a través del </w:t>
      </w:r>
      <w:r w:rsidR="006B5A23">
        <w:rPr>
          <w:rFonts w:ascii="ITC Avant Garde" w:hAnsi="ITC Avant Garde" w:cs="Arial"/>
          <w:bCs/>
          <w:sz w:val="22"/>
          <w:szCs w:val="22"/>
        </w:rPr>
        <w:t>SEG</w:t>
      </w:r>
      <w:r w:rsidR="00E3688D">
        <w:rPr>
          <w:rFonts w:ascii="ITC Avant Garde" w:hAnsi="ITC Avant Garde" w:cs="Arial"/>
          <w:bCs/>
          <w:sz w:val="22"/>
          <w:szCs w:val="22"/>
        </w:rPr>
        <w:t xml:space="preserve"> </w:t>
      </w:r>
      <w:r w:rsidRPr="00BA1D95">
        <w:rPr>
          <w:rFonts w:ascii="ITC Avant Garde" w:hAnsi="ITC Avant Garde" w:cs="Arial"/>
          <w:bCs/>
          <w:sz w:val="22"/>
          <w:szCs w:val="22"/>
        </w:rPr>
        <w:t>acceso a reportes con la siguiente información:</w:t>
      </w:r>
    </w:p>
    <w:p w:rsidR="00A47F9A" w:rsidRPr="00BA1D95" w:rsidRDefault="00A47F9A" w:rsidP="00D37C98">
      <w:pPr>
        <w:pStyle w:val="Prrafodelista"/>
        <w:numPr>
          <w:ilvl w:val="0"/>
          <w:numId w:val="66"/>
        </w:numPr>
        <w:spacing w:after="200" w:line="276" w:lineRule="auto"/>
        <w:jc w:val="both"/>
        <w:rPr>
          <w:rFonts w:ascii="ITC Avant Garde" w:hAnsi="ITC Avant Garde" w:cs="Arial"/>
          <w:bCs/>
          <w:sz w:val="22"/>
          <w:szCs w:val="22"/>
        </w:rPr>
      </w:pPr>
      <w:r w:rsidRPr="00BA1D95">
        <w:rPr>
          <w:rFonts w:ascii="ITC Avant Garde" w:hAnsi="ITC Avant Garde" w:cs="Arial"/>
          <w:bCs/>
          <w:sz w:val="22"/>
          <w:szCs w:val="22"/>
        </w:rPr>
        <w:lastRenderedPageBreak/>
        <w:t>Acceso en línea a las bases de datos de los detalles de consumos de cada usuario final contratado con el CS antes de su facturación.</w:t>
      </w:r>
    </w:p>
    <w:p w:rsidR="00A47F9A" w:rsidRPr="00BA1D95" w:rsidRDefault="00A47F9A" w:rsidP="00D37C98">
      <w:pPr>
        <w:pStyle w:val="Prrafodelista"/>
        <w:numPr>
          <w:ilvl w:val="0"/>
          <w:numId w:val="66"/>
        </w:numPr>
        <w:spacing w:after="200" w:line="276" w:lineRule="auto"/>
        <w:jc w:val="both"/>
        <w:rPr>
          <w:rFonts w:ascii="ITC Avant Garde" w:hAnsi="ITC Avant Garde" w:cs="Arial"/>
          <w:bCs/>
          <w:sz w:val="22"/>
          <w:szCs w:val="22"/>
        </w:rPr>
      </w:pPr>
      <w:r w:rsidRPr="00BA1D95">
        <w:rPr>
          <w:rFonts w:ascii="ITC Avant Garde" w:hAnsi="ITC Avant Garde" w:cs="Arial"/>
          <w:bCs/>
          <w:sz w:val="22"/>
          <w:szCs w:val="22"/>
        </w:rPr>
        <w:t xml:space="preserve">Disponibilidad de doce meses de facturación. </w:t>
      </w:r>
    </w:p>
    <w:p w:rsidR="00A47F9A" w:rsidRDefault="00A47F9A" w:rsidP="00D37C98">
      <w:pPr>
        <w:pStyle w:val="Prrafodelista"/>
        <w:numPr>
          <w:ilvl w:val="0"/>
          <w:numId w:val="66"/>
        </w:numPr>
        <w:spacing w:after="200" w:line="276" w:lineRule="auto"/>
        <w:jc w:val="both"/>
        <w:rPr>
          <w:rFonts w:ascii="ITC Avant Garde" w:hAnsi="ITC Avant Garde" w:cs="Arial"/>
          <w:bCs/>
          <w:sz w:val="22"/>
          <w:szCs w:val="22"/>
        </w:rPr>
      </w:pPr>
      <w:r w:rsidRPr="00BA1D95">
        <w:rPr>
          <w:rFonts w:ascii="ITC Avant Garde" w:hAnsi="ITC Avant Garde" w:cs="Arial"/>
          <w:bCs/>
          <w:sz w:val="22"/>
          <w:szCs w:val="22"/>
        </w:rPr>
        <w:t>Confidencialidad de la información con clave de acceso y conexiones seguras (SSL).</w:t>
      </w:r>
    </w:p>
    <w:p w:rsidR="006B411C" w:rsidRPr="003A23C0" w:rsidRDefault="000570F5" w:rsidP="00274335">
      <w:bookmarkStart w:id="505" w:name="_Toc20242746"/>
      <w:bookmarkStart w:id="506" w:name="_Toc20241201"/>
      <w:bookmarkStart w:id="507" w:name="_Toc20224814"/>
      <w:bookmarkStart w:id="508" w:name="_Toc20217631"/>
      <w:bookmarkStart w:id="509" w:name="_Toc525919327"/>
      <w:bookmarkStart w:id="510" w:name="_Toc525919203"/>
      <w:bookmarkStart w:id="511" w:name="_Toc525913964"/>
      <w:bookmarkStart w:id="512" w:name="_Toc525904568"/>
      <w:bookmarkStart w:id="513" w:name="_Toc467248702"/>
      <w:bookmarkStart w:id="514" w:name="_Toc21520716"/>
      <w:bookmarkStart w:id="515" w:name="_Toc20486028"/>
      <w:bookmarkStart w:id="516" w:name="_Toc20468817"/>
      <w:bookmarkStart w:id="517" w:name="_Toc20390166"/>
      <w:bookmarkStart w:id="518" w:name="_Toc20328654"/>
      <w:bookmarkStart w:id="519" w:name="_Toc26273074"/>
      <w:bookmarkStart w:id="520" w:name="_Toc20494197"/>
      <w:bookmarkStart w:id="521" w:name="_Toc20492201"/>
      <w:r w:rsidRPr="003A23C0">
        <w:rPr>
          <w:rFonts w:ascii="ITC Avant Garde" w:hAnsi="ITC Avant Garde" w:cs="Arial"/>
          <w:i/>
        </w:rPr>
        <w:t xml:space="preserve">4.6.1. </w:t>
      </w:r>
      <w:proofErr w:type="spellStart"/>
      <w:r w:rsidR="00AD7ACA" w:rsidRPr="003A23C0">
        <w:rPr>
          <w:rFonts w:ascii="ITC Avant Garde" w:hAnsi="ITC Avant Garde" w:cs="Arial"/>
          <w:i/>
        </w:rPr>
        <w:t>Layout</w:t>
      </w:r>
      <w:proofErr w:type="spellEnd"/>
      <w:r w:rsidR="00AD7ACA" w:rsidRPr="003A23C0">
        <w:rPr>
          <w:rFonts w:ascii="ITC Avant Garde" w:hAnsi="ITC Avant Garde" w:cs="Arial"/>
          <w:i/>
        </w:rPr>
        <w:t xml:space="preserve"> para la entrega de los registros de consumo del Servicio de Reventa de Líne</w:t>
      </w:r>
      <w:bookmarkEnd w:id="505"/>
      <w:bookmarkEnd w:id="506"/>
      <w:bookmarkEnd w:id="507"/>
      <w:bookmarkEnd w:id="508"/>
      <w:bookmarkEnd w:id="509"/>
      <w:bookmarkEnd w:id="510"/>
      <w:bookmarkEnd w:id="511"/>
      <w:bookmarkEnd w:id="512"/>
      <w:bookmarkEnd w:id="513"/>
      <w:r w:rsidR="00AD7ACA" w:rsidRPr="003A23C0">
        <w:rPr>
          <w:rFonts w:ascii="ITC Avant Garde" w:hAnsi="ITC Avant Garde" w:cs="Arial"/>
          <w:i/>
        </w:rPr>
        <w:t>a</w:t>
      </w:r>
      <w:bookmarkEnd w:id="514"/>
      <w:bookmarkEnd w:id="515"/>
      <w:bookmarkEnd w:id="516"/>
      <w:bookmarkEnd w:id="517"/>
      <w:bookmarkEnd w:id="518"/>
      <w:bookmarkEnd w:id="519"/>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tblPr>
      <w:tblGrid>
        <w:gridCol w:w="314"/>
        <w:gridCol w:w="1516"/>
        <w:gridCol w:w="514"/>
        <w:gridCol w:w="905"/>
        <w:gridCol w:w="1034"/>
        <w:gridCol w:w="4778"/>
      </w:tblGrid>
      <w:tr w:rsidR="00AD7ACA" w:rsidTr="006077C0">
        <w:trPr>
          <w:trHeight w:val="262"/>
          <w:tblHeader/>
          <w:jc w:val="center"/>
        </w:trPr>
        <w:tc>
          <w:tcPr>
            <w:tcW w:w="314"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bookmarkEnd w:id="520"/>
          <w:bookmarkEnd w:id="521"/>
          <w:p w:rsidR="00AD7ACA" w:rsidRDefault="00AD7ACA">
            <w:pPr>
              <w:spacing w:before="60" w:after="60" w:line="276" w:lineRule="auto"/>
              <w:jc w:val="center"/>
              <w:rPr>
                <w:rFonts w:ascii="ITC Avant Garde" w:hAnsi="ITC Avant Garde"/>
                <w:b/>
                <w:sz w:val="16"/>
              </w:rPr>
            </w:pPr>
            <w:r>
              <w:rPr>
                <w:rFonts w:ascii="ITC Avant Garde" w:hAnsi="ITC Avant Garde"/>
                <w:b/>
                <w:sz w:val="16"/>
              </w:rPr>
              <w:t>No</w:t>
            </w:r>
          </w:p>
        </w:tc>
        <w:tc>
          <w:tcPr>
            <w:tcW w:w="1516"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NOMBRE</w:t>
            </w:r>
          </w:p>
        </w:tc>
        <w:tc>
          <w:tcPr>
            <w:tcW w:w="514"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TIPO</w:t>
            </w:r>
          </w:p>
        </w:tc>
        <w:tc>
          <w:tcPr>
            <w:tcW w:w="905"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FORMATO</w:t>
            </w:r>
          </w:p>
        </w:tc>
        <w:tc>
          <w:tcPr>
            <w:tcW w:w="1034"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LONGITUD</w:t>
            </w:r>
          </w:p>
        </w:tc>
        <w:tc>
          <w:tcPr>
            <w:tcW w:w="4778"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DESCRIPCION</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REGISTRO HEADER</w:t>
            </w:r>
          </w:p>
        </w:tc>
        <w:tc>
          <w:tcPr>
            <w:tcW w:w="5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905"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100</w:t>
            </w:r>
          </w:p>
        </w:tc>
        <w:tc>
          <w:tcPr>
            <w:tcW w:w="4778"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rPr>
                <w:rFonts w:ascii="ITC Avant Garde" w:hAnsi="ITC Avant Garde"/>
                <w:sz w:val="16"/>
              </w:rPr>
            </w:pP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Identifica el tipo de registro que para el caso del “</w:t>
            </w:r>
            <w:proofErr w:type="spellStart"/>
            <w:r>
              <w:rPr>
                <w:rFonts w:ascii="ITC Avant Garde" w:hAnsi="ITC Avant Garde"/>
                <w:sz w:val="16"/>
              </w:rPr>
              <w:t>header</w:t>
            </w:r>
            <w:proofErr w:type="spellEnd"/>
            <w:r>
              <w:rPr>
                <w:rFonts w:ascii="ITC Avant Garde" w:hAnsi="ITC Avant Garde"/>
                <w:sz w:val="16"/>
              </w:rPr>
              <w:t>” el valor debe ser cero.</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(CIC) del Operador que presenta los registros.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(CIC) del CS que recibe los registros.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proofErr w:type="spellStart"/>
            <w:r>
              <w:rPr>
                <w:rFonts w:ascii="ITC Avant Garde" w:hAnsi="ITC Avant Garde"/>
                <w:sz w:val="16"/>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X(93)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Caracteres en blanco para completar la longitud del registro a 100 posiciones.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REGISTRO DETALLE</w:t>
            </w:r>
          </w:p>
        </w:tc>
        <w:tc>
          <w:tcPr>
            <w:tcW w:w="5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905"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100</w:t>
            </w:r>
          </w:p>
        </w:tc>
        <w:tc>
          <w:tcPr>
            <w:tcW w:w="4778"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rPr>
                <w:rFonts w:ascii="ITC Avant Garde" w:hAnsi="ITC Avant Garde"/>
                <w:sz w:val="16"/>
              </w:rPr>
            </w:pPr>
          </w:p>
        </w:tc>
      </w:tr>
      <w:tr w:rsidR="00AD7ACA" w:rsidTr="00AD7ACA">
        <w:trPr>
          <w:trHeight w:val="359"/>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Identificador de registro que para el caso del “detalle” el valor debe ser uno.</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Numero de A</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Número de origen (justificado a la derecha, es decir el número recorrido a la derecha de la columna) rellenando las posiciones disponibles con ceros.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Numero de B</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Número de destino (justificado a la derecha, es decir el número recorrido a la derecha de la columna) rellenando las posiciones disponibles con ceros.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Fecha de inicio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Fecha en que inicio la llamada (AAAAMMDD).</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 xml:space="preserve">Duración </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La duración será minutos (las primeras 4 posiciones) y segundos (las últimas 2 posiciones). En todos los casos justificado a la derecha.</w:t>
            </w:r>
          </w:p>
        </w:tc>
      </w:tr>
      <w:tr w:rsidR="00AD7ACA" w:rsidTr="00AD7ACA">
        <w:trPr>
          <w:trHeight w:val="3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Hora inicio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Hora en la cual inició de la llamada (HHMMSS).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7</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de Servicio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X(03)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Indica el tipo de tráfico: Detalle de Llamadas Entrantes, Local, LD, QLLP 044, QLLP 045,  800s, Operadora, Servicios Especiales (Emergencia), etc.</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8</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NIM</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0:Nacional, 1:Internacional, 2:Mundial, 9: Local. En caso de no usarse se llenará con ceros.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x Cobrar</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2: Por Cobrar (Cobro en el destino), 4: Normal (Cobro en el origen).</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10</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proofErr w:type="spellStart"/>
            <w:r>
              <w:rPr>
                <w:rFonts w:ascii="ITC Avant Garde" w:hAnsi="ITC Avant Garde"/>
                <w:sz w:val="16"/>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X(44)</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44</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Caracteres en blanco para completar la longitud del registro a 100 posiciones.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b/>
                <w:sz w:val="16"/>
              </w:rPr>
            </w:pPr>
            <w:r>
              <w:rPr>
                <w:rFonts w:ascii="ITC Avant Garde" w:hAnsi="ITC Avant Garde"/>
                <w:b/>
                <w:sz w:val="16"/>
              </w:rPr>
              <w:t>REGISTRO TRAILER</w:t>
            </w:r>
          </w:p>
        </w:tc>
        <w:tc>
          <w:tcPr>
            <w:tcW w:w="514"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905"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jc w:val="center"/>
              <w:rPr>
                <w:rFonts w:ascii="ITC Avant Garde" w:hAnsi="ITC Avant Garde"/>
                <w:sz w:val="16"/>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100</w:t>
            </w:r>
          </w:p>
        </w:tc>
        <w:tc>
          <w:tcPr>
            <w:tcW w:w="4778" w:type="dxa"/>
            <w:tcBorders>
              <w:top w:val="single" w:sz="4" w:space="0" w:color="auto"/>
              <w:left w:val="single" w:sz="4" w:space="0" w:color="auto"/>
              <w:bottom w:val="single" w:sz="4" w:space="0" w:color="auto"/>
              <w:right w:val="single" w:sz="4" w:space="0" w:color="auto"/>
            </w:tcBorders>
            <w:vAlign w:val="center"/>
          </w:tcPr>
          <w:p w:rsidR="00AD7ACA" w:rsidRDefault="00AD7ACA">
            <w:pPr>
              <w:spacing w:before="60" w:after="60" w:line="276" w:lineRule="auto"/>
              <w:rPr>
                <w:rFonts w:ascii="ITC Avant Garde" w:hAnsi="ITC Avant Garde"/>
                <w:sz w:val="16"/>
              </w:rPr>
            </w:pP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 xml:space="preserve"> Identifica el tipo de registro que para el “</w:t>
            </w:r>
            <w:proofErr w:type="spellStart"/>
            <w:r>
              <w:rPr>
                <w:rFonts w:ascii="ITC Avant Garde" w:hAnsi="ITC Avant Garde"/>
                <w:sz w:val="16"/>
              </w:rPr>
              <w:t>trailer</w:t>
            </w:r>
            <w:proofErr w:type="spellEnd"/>
            <w:r>
              <w:rPr>
                <w:rFonts w:ascii="ITC Avant Garde" w:hAnsi="ITC Avant Garde"/>
                <w:sz w:val="16"/>
              </w:rPr>
              <w:t>” el valor debe ser 9.</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(CIC) del Operador que presenta los registros.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Clave (CIC) del CS que recibe los registros.</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lastRenderedPageBreak/>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 xml:space="preserve"> Fecha proceso</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Fecha de proceso del archivo (AAAAMMDD).</w:t>
            </w:r>
          </w:p>
        </w:tc>
      </w:tr>
      <w:tr w:rsidR="00AD7ACA" w:rsidTr="00AD7ACA">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 xml:space="preserve"> Total de llamadas</w:t>
            </w:r>
          </w:p>
        </w:tc>
        <w:tc>
          <w:tcPr>
            <w:tcW w:w="51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jc w:val="center"/>
              <w:rPr>
                <w:rFonts w:ascii="ITC Avant Garde" w:hAnsi="ITC Avant Garde"/>
                <w:sz w:val="16"/>
              </w:rPr>
            </w:pPr>
            <w:r>
              <w:rPr>
                <w:rFonts w:ascii="ITC Avant Garde" w:hAnsi="ITC Avant Garde"/>
                <w:sz w:val="16"/>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AD7ACA" w:rsidRDefault="00AD7ACA">
            <w:pPr>
              <w:spacing w:before="60" w:after="60" w:line="276" w:lineRule="auto"/>
              <w:rPr>
                <w:rFonts w:ascii="ITC Avant Garde" w:hAnsi="ITC Avant Garde"/>
                <w:sz w:val="16"/>
              </w:rPr>
            </w:pPr>
            <w:r>
              <w:rPr>
                <w:rFonts w:ascii="ITC Avant Garde" w:hAnsi="ITC Avant Garde"/>
                <w:sz w:val="16"/>
              </w:rPr>
              <w:t>Total de registros que contiene el archivo.</w:t>
            </w:r>
          </w:p>
        </w:tc>
      </w:tr>
      <w:tr w:rsidR="00AD7ACA" w:rsidTr="00AD7ACA">
        <w:trPr>
          <w:trHeight w:val="276"/>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jc w:val="center"/>
              <w:rPr>
                <w:rFonts w:ascii="ITC Avant Garde" w:hAnsi="ITC Avant Garde"/>
                <w:sz w:val="16"/>
              </w:rPr>
            </w:pPr>
            <w:r>
              <w:rPr>
                <w:rFonts w:ascii="ITC Avant Garde" w:hAnsi="ITC Avant Garde"/>
                <w:sz w:val="16"/>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rPr>
                <w:rFonts w:ascii="ITC Avant Garde" w:hAnsi="ITC Avant Garde"/>
                <w:sz w:val="16"/>
              </w:rPr>
            </w:pPr>
            <w:r>
              <w:rPr>
                <w:rFonts w:ascii="ITC Avant Garde" w:hAnsi="ITC Avant Garde"/>
                <w:sz w:val="16"/>
              </w:rPr>
              <w:t xml:space="preserve"> </w:t>
            </w:r>
            <w:proofErr w:type="spellStart"/>
            <w:r>
              <w:rPr>
                <w:rFonts w:ascii="ITC Avant Garde" w:hAnsi="ITC Avant Garde"/>
                <w:sz w:val="16"/>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jc w:val="center"/>
              <w:rPr>
                <w:rFonts w:ascii="ITC Avant Garde" w:hAnsi="ITC Avant Garde"/>
                <w:sz w:val="16"/>
              </w:rPr>
            </w:pPr>
            <w:r>
              <w:rPr>
                <w:rFonts w:ascii="ITC Avant Garde" w:hAnsi="ITC Avant Garde"/>
                <w:sz w:val="16"/>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jc w:val="center"/>
              <w:rPr>
                <w:rFonts w:ascii="ITC Avant Garde" w:hAnsi="ITC Avant Garde"/>
                <w:sz w:val="16"/>
              </w:rPr>
            </w:pPr>
            <w:r>
              <w:rPr>
                <w:rFonts w:ascii="ITC Avant Garde" w:hAnsi="ITC Avant Garde"/>
                <w:sz w:val="16"/>
              </w:rPr>
              <w:t>X(70)</w:t>
            </w:r>
          </w:p>
        </w:tc>
        <w:tc>
          <w:tcPr>
            <w:tcW w:w="1034"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jc w:val="center"/>
              <w:rPr>
                <w:rFonts w:ascii="ITC Avant Garde" w:hAnsi="ITC Avant Garde"/>
                <w:sz w:val="16"/>
              </w:rPr>
            </w:pPr>
            <w:r>
              <w:rPr>
                <w:rFonts w:ascii="ITC Avant Garde" w:hAnsi="ITC Avant Garde"/>
                <w:sz w:val="16"/>
              </w:rPr>
              <w:t>70</w:t>
            </w:r>
          </w:p>
        </w:tc>
        <w:tc>
          <w:tcPr>
            <w:tcW w:w="4778" w:type="dxa"/>
            <w:tcBorders>
              <w:top w:val="single" w:sz="4" w:space="0" w:color="auto"/>
              <w:left w:val="single" w:sz="4" w:space="0" w:color="auto"/>
              <w:bottom w:val="single" w:sz="4" w:space="0" w:color="auto"/>
              <w:right w:val="single" w:sz="4" w:space="0" w:color="auto"/>
            </w:tcBorders>
            <w:vAlign w:val="center"/>
            <w:hideMark/>
          </w:tcPr>
          <w:p w:rsidR="00E938FD" w:rsidRDefault="00AD7ACA">
            <w:pPr>
              <w:spacing w:after="0" w:line="276" w:lineRule="auto"/>
              <w:rPr>
                <w:rFonts w:ascii="ITC Avant Garde" w:hAnsi="ITC Avant Garde"/>
                <w:sz w:val="16"/>
              </w:rPr>
            </w:pPr>
            <w:r>
              <w:rPr>
                <w:rFonts w:ascii="ITC Avant Garde" w:hAnsi="ITC Avant Garde"/>
                <w:sz w:val="16"/>
              </w:rPr>
              <w:t>Caracteres en blanco para completar la longitud del registro a 100 posiciones.</w:t>
            </w:r>
          </w:p>
        </w:tc>
      </w:tr>
    </w:tbl>
    <w:p w:rsidR="00E938FD" w:rsidRDefault="00AD7ACA">
      <w:pPr>
        <w:pStyle w:val="Textoindependiente"/>
        <w:spacing w:line="276" w:lineRule="auto"/>
        <w:rPr>
          <w:rFonts w:ascii="ITC Avant Garde" w:hAnsi="ITC Avant Garde"/>
          <w:b w:val="0"/>
          <w:sz w:val="18"/>
          <w:szCs w:val="18"/>
        </w:rPr>
      </w:pPr>
      <w:r w:rsidRPr="004A389F">
        <w:rPr>
          <w:rFonts w:ascii="ITC Avant Garde" w:hAnsi="ITC Avant Garde"/>
          <w:b w:val="0"/>
          <w:sz w:val="18"/>
          <w:szCs w:val="18"/>
        </w:rPr>
        <w:t>Tabla 11</w:t>
      </w:r>
      <w:r>
        <w:rPr>
          <w:rFonts w:ascii="ITC Avant Garde" w:hAnsi="ITC Avant Garde"/>
          <w:b w:val="0"/>
          <w:sz w:val="18"/>
          <w:szCs w:val="18"/>
        </w:rPr>
        <w:t xml:space="preserve"> Registro de consumos</w:t>
      </w:r>
    </w:p>
    <w:p w:rsidR="00AD7ACA" w:rsidRDefault="00AD7ACA" w:rsidP="00AD7ACA">
      <w:pPr>
        <w:pStyle w:val="Textoindependiente"/>
        <w:spacing w:after="200" w:line="276" w:lineRule="auto"/>
        <w:jc w:val="left"/>
        <w:rPr>
          <w:rFonts w:ascii="ITC Avant Garde" w:hAnsi="ITC Avant Garde"/>
          <w:b w:val="0"/>
          <w:sz w:val="22"/>
          <w:szCs w:val="22"/>
        </w:rPr>
      </w:pPr>
      <w:r>
        <w:rPr>
          <w:rFonts w:ascii="ITC Avant Garde" w:hAnsi="ITC Avant Garde"/>
          <w:b w:val="0"/>
          <w:sz w:val="22"/>
          <w:szCs w:val="22"/>
        </w:rPr>
        <w:t>Notas:</w:t>
      </w:r>
    </w:p>
    <w:p w:rsidR="00E938FD" w:rsidRDefault="00AD7ACA">
      <w:pPr>
        <w:pStyle w:val="Textoindependiente"/>
        <w:numPr>
          <w:ilvl w:val="0"/>
          <w:numId w:val="130"/>
        </w:numPr>
        <w:spacing w:line="276" w:lineRule="auto"/>
        <w:ind w:left="714" w:hanging="357"/>
        <w:jc w:val="left"/>
        <w:rPr>
          <w:rFonts w:ascii="ITC Avant Garde" w:hAnsi="ITC Avant Garde"/>
          <w:b w:val="0"/>
          <w:sz w:val="22"/>
          <w:szCs w:val="22"/>
        </w:rPr>
      </w:pPr>
      <w:r>
        <w:rPr>
          <w:rFonts w:ascii="ITC Avant Garde" w:hAnsi="ITC Avant Garde"/>
          <w:b w:val="0"/>
          <w:sz w:val="22"/>
          <w:szCs w:val="22"/>
        </w:rPr>
        <w:t xml:space="preserve">En todos los campos excepto el </w:t>
      </w:r>
      <w:proofErr w:type="spellStart"/>
      <w:r>
        <w:rPr>
          <w:rFonts w:ascii="ITC Avant Garde" w:hAnsi="ITC Avant Garde"/>
          <w:b w:val="0"/>
          <w:sz w:val="22"/>
          <w:szCs w:val="22"/>
        </w:rPr>
        <w:t>filler</w:t>
      </w:r>
      <w:proofErr w:type="spellEnd"/>
      <w:r>
        <w:rPr>
          <w:rFonts w:ascii="ITC Avant Garde" w:hAnsi="ITC Avant Garde"/>
          <w:b w:val="0"/>
          <w:sz w:val="22"/>
          <w:szCs w:val="22"/>
        </w:rPr>
        <w:t>, los espacios que no se utilicen se llenaran con ceros.</w:t>
      </w:r>
    </w:p>
    <w:p w:rsidR="00E938FD" w:rsidRDefault="00AD7ACA">
      <w:pPr>
        <w:pStyle w:val="Textoindependiente"/>
        <w:numPr>
          <w:ilvl w:val="0"/>
          <w:numId w:val="130"/>
        </w:numPr>
        <w:spacing w:line="276" w:lineRule="auto"/>
        <w:ind w:left="714" w:hanging="357"/>
        <w:jc w:val="left"/>
        <w:rPr>
          <w:rFonts w:ascii="ITC Avant Garde" w:hAnsi="ITC Avant Garde"/>
          <w:b w:val="0"/>
          <w:sz w:val="22"/>
          <w:szCs w:val="22"/>
        </w:rPr>
      </w:pPr>
      <w:r>
        <w:rPr>
          <w:rFonts w:ascii="ITC Avant Garde" w:hAnsi="ITC Avant Garde"/>
          <w:b w:val="0"/>
          <w:sz w:val="22"/>
          <w:szCs w:val="22"/>
        </w:rPr>
        <w:t>La información estará disponible para su descarga en archivo elect</w:t>
      </w:r>
      <w:r w:rsidR="00A36605">
        <w:rPr>
          <w:rFonts w:ascii="ITC Avant Garde" w:hAnsi="ITC Avant Garde"/>
          <w:b w:val="0"/>
          <w:sz w:val="22"/>
          <w:szCs w:val="22"/>
        </w:rPr>
        <w:t xml:space="preserve">rónico comprimido en el </w:t>
      </w:r>
      <w:r w:rsidR="006B5A23">
        <w:rPr>
          <w:rFonts w:ascii="ITC Avant Garde" w:hAnsi="ITC Avant Garde"/>
          <w:b w:val="0"/>
          <w:sz w:val="22"/>
          <w:szCs w:val="22"/>
        </w:rPr>
        <w:t>SEG</w:t>
      </w:r>
      <w:r w:rsidR="00A36605">
        <w:rPr>
          <w:rFonts w:ascii="ITC Avant Garde" w:hAnsi="ITC Avant Garde"/>
          <w:b w:val="0"/>
          <w:sz w:val="22"/>
          <w:szCs w:val="22"/>
        </w:rPr>
        <w:t>.</w:t>
      </w:r>
    </w:p>
    <w:p w:rsidR="00350AED" w:rsidRPr="004F0519" w:rsidRDefault="00AD7ACA" w:rsidP="004F0519">
      <w:pPr>
        <w:pStyle w:val="Textoindependiente"/>
        <w:numPr>
          <w:ilvl w:val="0"/>
          <w:numId w:val="130"/>
        </w:numPr>
        <w:spacing w:line="276" w:lineRule="auto"/>
        <w:ind w:left="714" w:hanging="357"/>
        <w:jc w:val="left"/>
        <w:rPr>
          <w:rFonts w:ascii="ITC Avant Garde" w:hAnsi="ITC Avant Garde"/>
          <w:b w:val="0"/>
          <w:sz w:val="22"/>
          <w:szCs w:val="22"/>
        </w:rPr>
      </w:pPr>
      <w:r>
        <w:rPr>
          <w:rFonts w:ascii="ITC Avant Garde" w:hAnsi="ITC Avant Garde"/>
          <w:b w:val="0"/>
          <w:sz w:val="22"/>
          <w:szCs w:val="22"/>
        </w:rPr>
        <w:t xml:space="preserve">El detalle de llamadas entrantes sólo aplica para usuarios finales que tengan contratado el servicio.  </w:t>
      </w:r>
    </w:p>
    <w:p w:rsidR="00B03EDC" w:rsidRPr="00BA1D95" w:rsidRDefault="00B03EDC" w:rsidP="00A74460">
      <w:pPr>
        <w:pStyle w:val="1TitPrin"/>
        <w:numPr>
          <w:ilvl w:val="1"/>
          <w:numId w:val="182"/>
        </w:numPr>
        <w:outlineLvl w:val="1"/>
      </w:pPr>
      <w:bookmarkStart w:id="522" w:name="_Toc396337591"/>
      <w:bookmarkStart w:id="523" w:name="_Toc436840889"/>
      <w:bookmarkStart w:id="524" w:name="_Toc436846326"/>
      <w:bookmarkStart w:id="525" w:name="_Toc436848276"/>
      <w:bookmarkStart w:id="526" w:name="_Toc436856524"/>
      <w:bookmarkStart w:id="527" w:name="_Toc436862670"/>
      <w:bookmarkStart w:id="528" w:name="_Toc436866320"/>
      <w:bookmarkStart w:id="529" w:name="_Toc436870899"/>
      <w:bookmarkStart w:id="530" w:name="_Toc436875891"/>
      <w:bookmarkStart w:id="531" w:name="_Toc525904569"/>
      <w:bookmarkStart w:id="532" w:name="_Toc525913965"/>
      <w:bookmarkStart w:id="533" w:name="_Toc525919204"/>
      <w:bookmarkStart w:id="534" w:name="_Toc525919328"/>
      <w:bookmarkStart w:id="535" w:name="_Toc2957138"/>
      <w:bookmarkStart w:id="536" w:name="_Toc26273075"/>
      <w:bookmarkStart w:id="537" w:name="_Toc26284472"/>
      <w:bookmarkStart w:id="538" w:name="_Toc54106576"/>
      <w:bookmarkEnd w:id="497"/>
      <w:bookmarkEnd w:id="498"/>
      <w:bookmarkEnd w:id="499"/>
      <w:bookmarkEnd w:id="500"/>
      <w:bookmarkEnd w:id="501"/>
      <w:bookmarkEnd w:id="502"/>
      <w:bookmarkEnd w:id="503"/>
      <w:bookmarkEnd w:id="504"/>
      <w:bookmarkEnd w:id="522"/>
      <w:bookmarkEnd w:id="523"/>
      <w:bookmarkEnd w:id="524"/>
      <w:bookmarkEnd w:id="525"/>
      <w:bookmarkEnd w:id="526"/>
      <w:bookmarkEnd w:id="527"/>
      <w:bookmarkEnd w:id="528"/>
      <w:bookmarkEnd w:id="529"/>
      <w:bookmarkEnd w:id="530"/>
      <w:r w:rsidRPr="00F3565A">
        <w:t>Procedimientos</w:t>
      </w:r>
      <w:r w:rsidRPr="00BA1D95">
        <w:t xml:space="preserve"> de contratación, modificación y baja de los servicios de Reventa</w:t>
      </w:r>
      <w:bookmarkEnd w:id="531"/>
      <w:bookmarkEnd w:id="532"/>
      <w:bookmarkEnd w:id="533"/>
      <w:bookmarkEnd w:id="534"/>
      <w:bookmarkEnd w:id="535"/>
      <w:bookmarkEnd w:id="536"/>
      <w:bookmarkEnd w:id="537"/>
      <w:bookmarkEnd w:id="538"/>
    </w:p>
    <w:p w:rsidR="00FE33BF" w:rsidRDefault="00FE33BF" w:rsidP="004B11EB">
      <w:pPr>
        <w:pStyle w:val="IFTnormal"/>
        <w:rPr>
          <w:rFonts w:cs="Arial"/>
        </w:rPr>
      </w:pPr>
      <w:r w:rsidRPr="00BA1D95">
        <w:rPr>
          <w:rFonts w:cs="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rsidR="00FE33BF" w:rsidRPr="00BA1D95" w:rsidRDefault="00FE33BF" w:rsidP="004B11EB">
      <w:pPr>
        <w:pStyle w:val="IFTnormal"/>
        <w:rPr>
          <w:rFonts w:cs="Arial"/>
          <w:b/>
        </w:rPr>
      </w:pPr>
      <w:r w:rsidRPr="00BA1D95">
        <w:rPr>
          <w:rFonts w:cs="Arial"/>
          <w:b/>
        </w:rPr>
        <w:t>Procedimiento de contratación y entrega SRL, SRI y SRP (Alta)</w:t>
      </w:r>
    </w:p>
    <w:p w:rsidR="00FE33BF" w:rsidRPr="00BA1D95" w:rsidRDefault="00FE33BF" w:rsidP="004B11EB">
      <w:pPr>
        <w:pStyle w:val="IFTnormal"/>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17770B" w:rsidRPr="00BA1D95">
        <w:rPr>
          <w:rFonts w:cs="Arial"/>
        </w:rPr>
        <w:t xml:space="preserve"> </w:t>
      </w:r>
      <w:r w:rsidRPr="00BA1D95">
        <w:rPr>
          <w:rFonts w:cs="Arial"/>
        </w:rPr>
        <w:t xml:space="preserve">y del CS, a fin de realizar la contratación y entrega de los servicios de SRL, SRI y SRP. Las fases en que se divide este procedimiento son: </w:t>
      </w:r>
      <w:r w:rsidRPr="00BA1D95">
        <w:rPr>
          <w:rFonts w:cs="Arial"/>
          <w:b/>
        </w:rPr>
        <w:t>(i)</w:t>
      </w:r>
      <w:r w:rsidRPr="00BA1D95">
        <w:rPr>
          <w:rFonts w:cs="Arial"/>
        </w:rPr>
        <w:t xml:space="preserve"> Envío, validación y Análisis de Factibilidad Técnica a fin de que a través del Sistema Electrónico de Gestión </w:t>
      </w:r>
      <w:r w:rsidR="006B5A23">
        <w:rPr>
          <w:rFonts w:cs="Arial"/>
        </w:rPr>
        <w:t>SEG</w:t>
      </w:r>
      <w:r w:rsidRPr="00BA1D95">
        <w:rPr>
          <w:rFonts w:cs="Arial"/>
          <w:lang w:val="es-ES"/>
        </w:rPr>
        <w:t xml:space="preserve"> sea </w:t>
      </w:r>
      <w:r w:rsidRPr="00BA1D95">
        <w:rPr>
          <w:rFonts w:cs="Arial"/>
        </w:rPr>
        <w:t xml:space="preserve">verificado que </w:t>
      </w:r>
      <w:r w:rsidRPr="00BA1D95">
        <w:rPr>
          <w:rFonts w:cs="Arial"/>
          <w:bCs w:val="0"/>
        </w:rPr>
        <w:t>el CS ingresó los datos correctos y que la red</w:t>
      </w:r>
      <w:r w:rsidR="00DB30A4" w:rsidRPr="00BA1D95">
        <w:rPr>
          <w:rFonts w:cs="Arial"/>
          <w:bCs w:val="0"/>
        </w:rPr>
        <w:t xml:space="preserve"> </w:t>
      </w:r>
      <w:r w:rsidRPr="00BA1D95">
        <w:rPr>
          <w:rFonts w:cs="Arial"/>
        </w:rPr>
        <w:t xml:space="preserve">cuenta con los elementos para brindar el servicio solicitado (no aplica para SRL existente y activo, únicamente se realiza el cambio administrativo); y </w:t>
      </w:r>
      <w:r w:rsidRPr="00BA1D95">
        <w:rPr>
          <w:rFonts w:cs="Arial"/>
          <w:b/>
        </w:rPr>
        <w:t>(ii)</w:t>
      </w:r>
      <w:r w:rsidRPr="00BA1D95">
        <w:rPr>
          <w:rFonts w:cs="Arial"/>
        </w:rPr>
        <w:t xml:space="preserve"> Habilitación y aprovisionamiento del servicio solicitado, que detonará los procesos de pruebas de entrega y facturación.</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12"/>
        <w:gridCol w:w="6444"/>
      </w:tblGrid>
      <w:tr w:rsidR="00FE33BF" w:rsidRPr="00BA1D95" w:rsidTr="005A2E5E">
        <w:trPr>
          <w:tblHeader/>
        </w:trPr>
        <w:tc>
          <w:tcPr>
            <w:tcW w:w="1442" w:type="pct"/>
            <w:shd w:val="clear" w:color="auto" w:fill="BDD6EE" w:themeFill="accent5" w:themeFillTint="66"/>
          </w:tcPr>
          <w:p w:rsidR="00FE33BF" w:rsidRPr="00BA1D95" w:rsidRDefault="00FE33BF" w:rsidP="0023172A">
            <w:pPr>
              <w:pStyle w:val="IFTnormal"/>
              <w:jc w:val="center"/>
              <w:rPr>
                <w:rFonts w:cs="Arial"/>
                <w:b/>
                <w:sz w:val="20"/>
                <w:szCs w:val="20"/>
                <w:lang w:eastAsia="es-MX"/>
              </w:rPr>
            </w:pPr>
            <w:r w:rsidRPr="00BA1D95">
              <w:rPr>
                <w:rFonts w:cs="Arial"/>
                <w:b/>
                <w:sz w:val="20"/>
                <w:szCs w:val="20"/>
                <w:lang w:eastAsia="es-MX"/>
              </w:rPr>
              <w:t>Etapa</w:t>
            </w:r>
          </w:p>
        </w:tc>
        <w:tc>
          <w:tcPr>
            <w:tcW w:w="3558" w:type="pct"/>
            <w:shd w:val="clear" w:color="auto" w:fill="BDD6EE" w:themeFill="accent5" w:themeFillTint="66"/>
          </w:tcPr>
          <w:p w:rsidR="00FE33BF" w:rsidRPr="00BA1D95" w:rsidRDefault="00FE33BF" w:rsidP="0023172A">
            <w:pPr>
              <w:pStyle w:val="IFTnormal"/>
              <w:jc w:val="center"/>
              <w:rPr>
                <w:rFonts w:cs="Arial"/>
                <w:b/>
                <w:sz w:val="20"/>
                <w:szCs w:val="20"/>
                <w:lang w:eastAsia="es-MX"/>
              </w:rPr>
            </w:pPr>
            <w:r w:rsidRPr="00BA1D95">
              <w:rPr>
                <w:rFonts w:cs="Arial"/>
                <w:b/>
                <w:sz w:val="20"/>
                <w:szCs w:val="20"/>
                <w:lang w:eastAsia="es-MX"/>
              </w:rPr>
              <w:t>Descripción</w:t>
            </w:r>
          </w:p>
        </w:tc>
      </w:tr>
      <w:tr w:rsidR="00FE33BF" w:rsidRPr="00BA1D95" w:rsidTr="00402F39">
        <w:tc>
          <w:tcPr>
            <w:tcW w:w="144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Autorización del suscriptor/usuario final</w:t>
            </w:r>
          </w:p>
        </w:tc>
        <w:tc>
          <w:tcPr>
            <w:tcW w:w="355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Presentación del formato de verificación de la voluntad del suscriptor/usuario final. Aplica sólo usuarios existentes.</w:t>
            </w:r>
          </w:p>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La presentación también podrá ser en formato electrónico cargado en el </w:t>
            </w:r>
            <w:r w:rsidR="006B5A23" w:rsidRPr="002526C6">
              <w:rPr>
                <w:rFonts w:cs="Arial"/>
                <w:sz w:val="20"/>
                <w:szCs w:val="20"/>
                <w:lang w:eastAsia="es-MX"/>
              </w:rPr>
              <w:t>S</w:t>
            </w:r>
            <w:r w:rsidR="006B5A23">
              <w:rPr>
                <w:rFonts w:cs="Arial"/>
                <w:sz w:val="20"/>
                <w:szCs w:val="20"/>
                <w:lang w:eastAsia="es-MX"/>
              </w:rPr>
              <w:t>EG</w:t>
            </w:r>
            <w:r w:rsidRPr="00BA1D95">
              <w:rPr>
                <w:rFonts w:cs="Arial"/>
                <w:sz w:val="20"/>
                <w:szCs w:val="20"/>
                <w:lang w:eastAsia="es-MX"/>
              </w:rPr>
              <w:t xml:space="preserve"> (PDF o .</w:t>
            </w:r>
            <w:proofErr w:type="spellStart"/>
            <w:r w:rsidRPr="00BA1D95">
              <w:rPr>
                <w:rFonts w:cs="Arial"/>
                <w:sz w:val="20"/>
                <w:szCs w:val="20"/>
                <w:lang w:eastAsia="es-MX"/>
              </w:rPr>
              <w:t>jpg</w:t>
            </w:r>
            <w:proofErr w:type="spellEnd"/>
            <w:r w:rsidRPr="00BA1D95">
              <w:rPr>
                <w:rFonts w:cs="Arial"/>
                <w:sz w:val="20"/>
                <w:szCs w:val="20"/>
                <w:lang w:eastAsia="es-MX"/>
              </w:rPr>
              <w:t xml:space="preserve"> legible).  </w:t>
            </w:r>
          </w:p>
        </w:tc>
      </w:tr>
      <w:tr w:rsidR="00FE33BF" w:rsidRPr="00BA1D95" w:rsidTr="00402F39">
        <w:tc>
          <w:tcPr>
            <w:tcW w:w="144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Envío, Validación y Factibilidad Técnica de</w:t>
            </w:r>
            <w:r w:rsidR="008A42A1" w:rsidRPr="00BA1D95">
              <w:rPr>
                <w:rFonts w:cs="Arial"/>
                <w:b/>
                <w:sz w:val="20"/>
                <w:szCs w:val="20"/>
                <w:lang w:eastAsia="es-MX"/>
              </w:rPr>
              <w:t xml:space="preserve"> la</w:t>
            </w:r>
            <w:r w:rsidRPr="00BA1D95">
              <w:rPr>
                <w:rFonts w:cs="Arial"/>
                <w:b/>
                <w:sz w:val="20"/>
                <w:szCs w:val="20"/>
                <w:lang w:eastAsia="es-MX"/>
              </w:rPr>
              <w:t xml:space="preserve"> </w:t>
            </w:r>
            <w:r w:rsidRPr="00BA1D95">
              <w:rPr>
                <w:rFonts w:cs="Arial"/>
                <w:b/>
                <w:sz w:val="20"/>
                <w:szCs w:val="20"/>
                <w:lang w:eastAsia="es-MX"/>
              </w:rPr>
              <w:lastRenderedPageBreak/>
              <w:t>solicitud</w:t>
            </w:r>
          </w:p>
          <w:p w:rsidR="00FE33BF" w:rsidRPr="00BA1D95" w:rsidRDefault="00FE33BF" w:rsidP="0023172A">
            <w:pPr>
              <w:pStyle w:val="IFTnormal"/>
              <w:jc w:val="left"/>
              <w:rPr>
                <w:rFonts w:cs="Arial"/>
                <w:b/>
                <w:sz w:val="20"/>
                <w:szCs w:val="20"/>
                <w:lang w:eastAsia="es-MX"/>
              </w:rPr>
            </w:pPr>
            <w:r w:rsidRPr="00BA1D95">
              <w:rPr>
                <w:rFonts w:cs="Arial"/>
                <w:sz w:val="20"/>
                <w:szCs w:val="20"/>
                <w:lang w:eastAsia="es-MX"/>
              </w:rPr>
              <w:t>(No aplica a SRL)</w:t>
            </w:r>
          </w:p>
        </w:tc>
        <w:tc>
          <w:tcPr>
            <w:tcW w:w="355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lastRenderedPageBreak/>
              <w:t xml:space="preserve">El CS deberá presentar sus solicitudes a través del </w:t>
            </w:r>
            <w:bookmarkStart w:id="539" w:name="OLE_LINK3"/>
            <w:bookmarkStart w:id="540" w:name="OLE_LINK4"/>
            <w:r w:rsidR="006B5A23">
              <w:rPr>
                <w:rFonts w:cs="Arial"/>
                <w:sz w:val="20"/>
                <w:szCs w:val="20"/>
                <w:lang w:eastAsia="es-MX"/>
              </w:rPr>
              <w:t>SEG</w:t>
            </w:r>
            <w:r w:rsidRPr="00BA1D95">
              <w:rPr>
                <w:rFonts w:cs="Arial"/>
                <w:sz w:val="20"/>
                <w:szCs w:val="20"/>
                <w:lang w:eastAsia="es-MX"/>
              </w:rPr>
              <w:t xml:space="preserve">, realizando en línea la validación y el análisis de Factibilidad Técnica del domicilio requerido, </w:t>
            </w:r>
            <w:r w:rsidRPr="00BA1D95">
              <w:rPr>
                <w:rFonts w:cs="Arial"/>
                <w:sz w:val="20"/>
                <w:szCs w:val="20"/>
                <w:lang w:eastAsia="es-MX"/>
              </w:rPr>
              <w:lastRenderedPageBreak/>
              <w:t xml:space="preserve">determinando si existen los recursos técnicos y facilidades para habilitar los servicios solicitados de acuerdo </w:t>
            </w:r>
            <w:r w:rsidR="0017770B" w:rsidRPr="00BA1D95">
              <w:rPr>
                <w:rFonts w:cs="Arial"/>
                <w:sz w:val="20"/>
                <w:szCs w:val="20"/>
                <w:lang w:eastAsia="es-MX"/>
              </w:rPr>
              <w:t xml:space="preserve">con el </w:t>
            </w:r>
            <w:r w:rsidRPr="00BA1D95">
              <w:rPr>
                <w:rFonts w:cs="Arial"/>
                <w:sz w:val="20"/>
                <w:szCs w:val="20"/>
                <w:lang w:eastAsia="es-MX"/>
              </w:rPr>
              <w:t xml:space="preserve">perfil requerido, (podrá capturarlas de forma individual o </w:t>
            </w:r>
            <w:r w:rsidR="00B447FB" w:rsidRPr="00BA1D95">
              <w:rPr>
                <w:rFonts w:cs="Arial"/>
                <w:sz w:val="20"/>
                <w:szCs w:val="20"/>
                <w:lang w:eastAsia="es-MX"/>
              </w:rPr>
              <w:t>masiva</w:t>
            </w:r>
            <w:r w:rsidR="00323633">
              <w:rPr>
                <w:rFonts w:cs="Arial"/>
                <w:sz w:val="20"/>
                <w:szCs w:val="20"/>
                <w:lang w:eastAsia="es-MX"/>
              </w:rPr>
              <w:t>)</w:t>
            </w:r>
            <w:r w:rsidR="00B447FB" w:rsidRPr="00BA1D95">
              <w:rPr>
                <w:rFonts w:cs="Arial"/>
                <w:sz w:val="20"/>
                <w:szCs w:val="20"/>
                <w:lang w:eastAsia="es-MX"/>
              </w:rPr>
              <w:t>,</w:t>
            </w:r>
            <w:r w:rsidRPr="00BA1D95">
              <w:rPr>
                <w:rFonts w:cs="Arial"/>
                <w:sz w:val="20"/>
                <w:szCs w:val="20"/>
                <w:lang w:eastAsia="es-MX"/>
              </w:rPr>
              <w:t xml:space="preserve"> así como seleccionado la siguiente información:</w:t>
            </w:r>
            <w:bookmarkEnd w:id="539"/>
            <w:bookmarkEnd w:id="540"/>
          </w:p>
          <w:p w:rsidR="00FE33BF" w:rsidRPr="00BA1D95" w:rsidRDefault="00FE33BF" w:rsidP="00D37C98">
            <w:pPr>
              <w:pStyle w:val="IFTnormal"/>
              <w:numPr>
                <w:ilvl w:val="0"/>
                <w:numId w:val="51"/>
              </w:numPr>
              <w:spacing w:after="120" w:line="240" w:lineRule="auto"/>
              <w:ind w:left="318" w:hanging="284"/>
              <w:rPr>
                <w:rFonts w:cs="Arial"/>
                <w:sz w:val="20"/>
                <w:szCs w:val="20"/>
                <w:lang w:eastAsia="es-MX"/>
              </w:rPr>
            </w:pPr>
            <w:r w:rsidRPr="00BA1D95">
              <w:rPr>
                <w:rFonts w:cs="Arial"/>
                <w:sz w:val="20"/>
                <w:szCs w:val="20"/>
                <w:lang w:eastAsia="es-MX"/>
              </w:rPr>
              <w:t>Seleccionar:</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Entrega de equipos Telmex</w:t>
            </w:r>
            <w:r w:rsidR="00EC3D1A">
              <w:rPr>
                <w:rFonts w:cs="Arial"/>
                <w:sz w:val="20"/>
                <w:szCs w:val="20"/>
                <w:lang w:eastAsia="es-MX"/>
              </w:rPr>
              <w:t xml:space="preserve"> </w:t>
            </w:r>
            <w:r w:rsidR="00EC3D1A" w:rsidRPr="009F7BCF">
              <w:rPr>
                <w:rFonts w:cs="Arial"/>
                <w:sz w:val="20"/>
                <w:lang w:eastAsia="es-MX"/>
              </w:rPr>
              <w:t>/ Telnor</w:t>
            </w:r>
            <w:r w:rsidR="00AF7D59" w:rsidRPr="009F7BCF">
              <w:rPr>
                <w:rFonts w:cs="Arial"/>
                <w:sz w:val="18"/>
                <w:szCs w:val="20"/>
                <w:lang w:eastAsia="es-MX"/>
              </w:rPr>
              <w:t xml:space="preserve"> </w:t>
            </w:r>
            <w:r w:rsidR="00AF7D59" w:rsidRPr="00BA1D95">
              <w:rPr>
                <w:rFonts w:cs="Arial"/>
                <w:sz w:val="20"/>
                <w:szCs w:val="20"/>
                <w:lang w:eastAsia="es-MX"/>
              </w:rPr>
              <w:t xml:space="preserve">para usuarios </w:t>
            </w:r>
            <w:r w:rsidRPr="00BA1D95">
              <w:rPr>
                <w:rFonts w:cs="Arial"/>
                <w:sz w:val="20"/>
                <w:szCs w:val="20"/>
                <w:lang w:eastAsia="es-MX"/>
              </w:rPr>
              <w:t>existentes y nuevos.</w:t>
            </w:r>
          </w:p>
          <w:p w:rsidR="00FC5B73" w:rsidRPr="00BA1D95" w:rsidRDefault="00FC5B73" w:rsidP="00D37C98">
            <w:pPr>
              <w:pStyle w:val="IFTnormal"/>
              <w:numPr>
                <w:ilvl w:val="0"/>
                <w:numId w:val="55"/>
              </w:numPr>
              <w:spacing w:after="120" w:line="240" w:lineRule="auto"/>
              <w:rPr>
                <w:rFonts w:cs="Arial"/>
                <w:sz w:val="20"/>
                <w:szCs w:val="20"/>
                <w:lang w:eastAsia="es-MX"/>
              </w:rPr>
            </w:pPr>
            <w:r w:rsidRPr="00BA1D95">
              <w:rPr>
                <w:rFonts w:cs="Arial"/>
                <w:sz w:val="20"/>
                <w:szCs w:val="20"/>
                <w:lang w:eastAsia="es-MX"/>
              </w:rPr>
              <w:t>Mensajería al domicilio del usuario*</w:t>
            </w:r>
          </w:p>
          <w:p w:rsidR="00FE33BF" w:rsidRPr="00BA1D95" w:rsidRDefault="00310B81" w:rsidP="00D37C98">
            <w:pPr>
              <w:pStyle w:val="IFTnormal"/>
              <w:numPr>
                <w:ilvl w:val="0"/>
                <w:numId w:val="55"/>
              </w:numPr>
              <w:spacing w:after="120" w:line="240" w:lineRule="auto"/>
              <w:rPr>
                <w:rFonts w:cs="Arial"/>
                <w:sz w:val="20"/>
                <w:szCs w:val="20"/>
              </w:rPr>
            </w:pPr>
            <w:r w:rsidRPr="00BA1D95">
              <w:rPr>
                <w:rFonts w:cs="Arial"/>
                <w:sz w:val="20"/>
                <w:szCs w:val="20"/>
              </w:rPr>
              <w:t xml:space="preserve">Centro de Atención </w:t>
            </w:r>
            <w:r w:rsidR="00FE33BF" w:rsidRPr="00BA1D95">
              <w:rPr>
                <w:rFonts w:cs="Arial"/>
                <w:sz w:val="20"/>
                <w:szCs w:val="20"/>
              </w:rPr>
              <w:t>Telmex</w:t>
            </w:r>
            <w:r w:rsidR="00EC3D1A">
              <w:rPr>
                <w:rFonts w:cs="Arial"/>
                <w:sz w:val="20"/>
                <w:szCs w:val="20"/>
              </w:rPr>
              <w:t xml:space="preserve"> </w:t>
            </w:r>
            <w:r w:rsidR="00EC3D1A" w:rsidRPr="009F7BCF">
              <w:rPr>
                <w:rFonts w:cs="Arial"/>
                <w:sz w:val="20"/>
                <w:lang w:eastAsia="es-MX"/>
              </w:rPr>
              <w:t>/ Telnor</w:t>
            </w:r>
            <w:r w:rsidR="00EC3D1A" w:rsidRPr="009F7BCF">
              <w:rPr>
                <w:rFonts w:cs="Arial"/>
                <w:sz w:val="18"/>
                <w:szCs w:val="20"/>
              </w:rPr>
              <w:t xml:space="preserve"> </w:t>
            </w:r>
            <w:r w:rsidR="00FE33BF" w:rsidRPr="00BA1D95">
              <w:rPr>
                <w:rFonts w:cs="Arial"/>
                <w:sz w:val="20"/>
                <w:szCs w:val="20"/>
              </w:rPr>
              <w:t>*</w:t>
            </w:r>
            <w:r w:rsidR="00FC5B73" w:rsidRPr="00BA1D95">
              <w:rPr>
                <w:rFonts w:cs="Arial"/>
                <w:sz w:val="20"/>
                <w:szCs w:val="20"/>
              </w:rPr>
              <w:t>*</w:t>
            </w:r>
          </w:p>
          <w:p w:rsidR="00FE33BF" w:rsidRPr="00BA1D95" w:rsidRDefault="00FE33BF" w:rsidP="00D37C98">
            <w:pPr>
              <w:pStyle w:val="IFTnormal"/>
              <w:numPr>
                <w:ilvl w:val="0"/>
                <w:numId w:val="55"/>
              </w:numPr>
              <w:spacing w:after="120" w:line="240" w:lineRule="auto"/>
              <w:rPr>
                <w:rFonts w:cs="Arial"/>
                <w:sz w:val="20"/>
                <w:szCs w:val="20"/>
                <w:lang w:eastAsia="es-MX"/>
              </w:rPr>
            </w:pPr>
            <w:r w:rsidRPr="00BA1D95">
              <w:rPr>
                <w:rFonts w:cs="Arial"/>
                <w:sz w:val="20"/>
                <w:szCs w:val="20"/>
                <w:lang w:eastAsia="es-MX"/>
              </w:rPr>
              <w:t>Técnico**</w:t>
            </w:r>
          </w:p>
          <w:p w:rsidR="00FE33BF" w:rsidRPr="00BA1D95" w:rsidRDefault="00FE33BF" w:rsidP="00D37C98">
            <w:pPr>
              <w:pStyle w:val="IFTnormal"/>
              <w:numPr>
                <w:ilvl w:val="0"/>
                <w:numId w:val="51"/>
              </w:numPr>
              <w:spacing w:after="120" w:line="240" w:lineRule="auto"/>
              <w:ind w:left="343" w:hanging="425"/>
              <w:rPr>
                <w:rFonts w:cs="Arial"/>
                <w:sz w:val="20"/>
                <w:szCs w:val="20"/>
                <w:lang w:eastAsia="es-MX"/>
              </w:rPr>
            </w:pPr>
            <w:r w:rsidRPr="00BA1D95">
              <w:rPr>
                <w:rFonts w:cs="Arial"/>
                <w:sz w:val="20"/>
                <w:szCs w:val="20"/>
                <w:lang w:eastAsia="es-MX"/>
              </w:rPr>
              <w:t xml:space="preserve">Seleccionar programación de cita </w:t>
            </w:r>
            <w:r w:rsidR="00D23B04">
              <w:rPr>
                <w:rFonts w:cs="Arial"/>
                <w:sz w:val="20"/>
                <w:szCs w:val="20"/>
                <w:lang w:eastAsia="es-MX"/>
              </w:rPr>
              <w:t>(</w:t>
            </w:r>
            <w:r w:rsidRPr="00BA1D95">
              <w:rPr>
                <w:rFonts w:cs="Arial"/>
                <w:sz w:val="20"/>
                <w:szCs w:val="20"/>
                <w:lang w:eastAsia="es-MX"/>
              </w:rPr>
              <w:t xml:space="preserve">fecha </w:t>
            </w:r>
            <w:r w:rsidR="00310B81" w:rsidRPr="00BA1D95">
              <w:rPr>
                <w:rFonts w:cs="Arial"/>
                <w:sz w:val="20"/>
                <w:szCs w:val="20"/>
                <w:lang w:eastAsia="es-MX"/>
              </w:rPr>
              <w:t>y rango</w:t>
            </w:r>
            <w:r w:rsidR="00241C38" w:rsidRPr="00BA1D95">
              <w:rPr>
                <w:rFonts w:cs="Arial"/>
                <w:sz w:val="20"/>
                <w:szCs w:val="20"/>
                <w:lang w:eastAsia="es-MX"/>
              </w:rPr>
              <w:t xml:space="preserve"> de </w:t>
            </w:r>
            <w:r w:rsidR="00B447FB" w:rsidRPr="00BA1D95">
              <w:rPr>
                <w:rFonts w:cs="Arial"/>
                <w:sz w:val="20"/>
                <w:szCs w:val="20"/>
                <w:lang w:eastAsia="es-MX"/>
              </w:rPr>
              <w:t>horario) para</w:t>
            </w:r>
            <w:r w:rsidRPr="00BA1D95">
              <w:rPr>
                <w:rFonts w:cs="Arial"/>
                <w:sz w:val="20"/>
                <w:szCs w:val="20"/>
                <w:lang w:eastAsia="es-MX"/>
              </w:rPr>
              <w:t xml:space="preserve"> la atención del servicio.</w:t>
            </w:r>
          </w:p>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 Sólo módem. </w:t>
            </w:r>
            <w:r w:rsidR="00790CBC" w:rsidRPr="00BA1D95">
              <w:rPr>
                <w:rFonts w:cs="Arial"/>
                <w:sz w:val="20"/>
                <w:szCs w:val="20"/>
                <w:lang w:eastAsia="es-MX"/>
              </w:rPr>
              <w:t xml:space="preserve">En caso de mensajería </w:t>
            </w:r>
            <w:r w:rsidR="00E83F21">
              <w:rPr>
                <w:rFonts w:cs="Arial"/>
                <w:sz w:val="20"/>
                <w:szCs w:val="20"/>
                <w:lang w:eastAsia="es-MX"/>
              </w:rPr>
              <w:t>Telmex / Telnor</w:t>
            </w:r>
            <w:r w:rsidR="00E77130">
              <w:rPr>
                <w:rFonts w:cs="Arial"/>
                <w:sz w:val="20"/>
                <w:szCs w:val="20"/>
                <w:lang w:eastAsia="es-MX"/>
              </w:rPr>
              <w:t xml:space="preserve"> </w:t>
            </w:r>
            <w:r w:rsidR="00790CBC" w:rsidRPr="00BA1D95">
              <w:rPr>
                <w:rFonts w:cs="Arial"/>
                <w:sz w:val="20"/>
                <w:szCs w:val="20"/>
                <w:lang w:eastAsia="es-MX"/>
              </w:rPr>
              <w:t>proporciona número de guía</w:t>
            </w:r>
            <w:r w:rsidR="00D0636E" w:rsidRPr="00BA1D95">
              <w:rPr>
                <w:rFonts w:cs="Arial"/>
                <w:sz w:val="20"/>
                <w:szCs w:val="20"/>
                <w:lang w:eastAsia="es-MX"/>
              </w:rPr>
              <w:t xml:space="preserve"> en </w:t>
            </w:r>
            <w:r w:rsidR="006B5A23">
              <w:rPr>
                <w:rFonts w:cs="Arial"/>
                <w:sz w:val="20"/>
                <w:szCs w:val="20"/>
                <w:lang w:eastAsia="es-MX"/>
              </w:rPr>
              <w:t>SEG</w:t>
            </w:r>
            <w:r w:rsidR="00790CBC" w:rsidRPr="00BA1D95">
              <w:rPr>
                <w:rFonts w:cs="Arial"/>
                <w:sz w:val="20"/>
                <w:szCs w:val="20"/>
                <w:lang w:eastAsia="es-MX"/>
              </w:rPr>
              <w:t xml:space="preserve"> </w:t>
            </w:r>
            <w:r w:rsidR="00D0636E" w:rsidRPr="00BA1D95">
              <w:rPr>
                <w:rFonts w:cs="Arial"/>
                <w:sz w:val="20"/>
                <w:szCs w:val="20"/>
                <w:lang w:eastAsia="es-MX"/>
              </w:rPr>
              <w:t>y también aplica para casos de reemplazo.</w:t>
            </w:r>
            <w:r w:rsidR="00FC5B73" w:rsidRPr="00BA1D95">
              <w:rPr>
                <w:rFonts w:cs="Arial"/>
                <w:sz w:val="20"/>
                <w:szCs w:val="20"/>
                <w:lang w:eastAsia="es-MX"/>
              </w:rPr>
              <w:t xml:space="preserve"> La ONT siempre se entrega en el domicilio del usuario el día de la instalación.</w:t>
            </w:r>
            <w:r w:rsidR="00291516" w:rsidRPr="000570F5">
              <w:rPr>
                <w:sz w:val="20"/>
                <w:szCs w:val="20"/>
              </w:rPr>
              <w:t xml:space="preserve"> En caso de un retraso en el envío del módem por problemas de paquetería, el CS no será responsable de la visita en falso, y no pagará la multa estipulada.</w:t>
            </w:r>
          </w:p>
          <w:p w:rsidR="00310B81" w:rsidRPr="00BA1D95" w:rsidRDefault="00FE33BF" w:rsidP="00310B81">
            <w:pPr>
              <w:pStyle w:val="IFTnormal"/>
              <w:rPr>
                <w:rFonts w:cs="Arial"/>
                <w:sz w:val="20"/>
                <w:szCs w:val="20"/>
                <w:lang w:eastAsia="es-MX"/>
              </w:rPr>
            </w:pPr>
            <w:r w:rsidRPr="00BA1D95">
              <w:rPr>
                <w:rFonts w:cs="Arial"/>
                <w:sz w:val="20"/>
                <w:szCs w:val="20"/>
                <w:lang w:eastAsia="es-MX"/>
              </w:rPr>
              <w:t>*</w:t>
            </w:r>
            <w:r w:rsidR="00FC5B73" w:rsidRPr="00BA1D95">
              <w:rPr>
                <w:rFonts w:cs="Arial"/>
                <w:sz w:val="20"/>
                <w:szCs w:val="20"/>
                <w:lang w:eastAsia="es-MX"/>
              </w:rPr>
              <w:t>*</w:t>
            </w:r>
            <w:r w:rsidRPr="00BA1D95">
              <w:rPr>
                <w:rFonts w:cs="Arial"/>
                <w:sz w:val="20"/>
                <w:szCs w:val="20"/>
                <w:lang w:eastAsia="es-MX"/>
              </w:rPr>
              <w:t>La ONT siempre se entrega en el domicilio del usuario el día de la instalación.</w:t>
            </w:r>
            <w:r w:rsidR="00310B81" w:rsidRPr="00BA1D95">
              <w:rPr>
                <w:rFonts w:cs="Arial"/>
                <w:sz w:val="20"/>
                <w:szCs w:val="20"/>
                <w:lang w:eastAsia="es-MX"/>
              </w:rPr>
              <w:t xml:space="preserve"> El módem se podrá entregar por Técnico a solicitud del concesionario, y con el cargo respectivo.</w:t>
            </w:r>
          </w:p>
          <w:p w:rsidR="00FE33BF" w:rsidRPr="00BA1D95" w:rsidRDefault="00FE33BF" w:rsidP="00402F39">
            <w:pPr>
              <w:pStyle w:val="IFTnormal"/>
              <w:rPr>
                <w:rFonts w:cs="Arial"/>
                <w:sz w:val="20"/>
                <w:szCs w:val="20"/>
                <w:lang w:eastAsia="es-MX"/>
              </w:rPr>
            </w:pPr>
            <w:r w:rsidRPr="00BA1D95">
              <w:rPr>
                <w:rFonts w:cs="Arial"/>
                <w:sz w:val="20"/>
                <w:szCs w:val="20"/>
                <w:lang w:eastAsia="es-MX"/>
              </w:rPr>
              <w:t xml:space="preserve"> Seleccionar</w:t>
            </w:r>
            <w:r w:rsidR="00F53FAB" w:rsidRPr="00BA1D95">
              <w:rPr>
                <w:rFonts w:cs="Arial"/>
                <w:sz w:val="20"/>
                <w:szCs w:val="20"/>
                <w:lang w:eastAsia="es-MX"/>
              </w:rPr>
              <w:t xml:space="preserve"> quien proporcionará el </w:t>
            </w:r>
            <w:r w:rsidRPr="00BA1D95">
              <w:rPr>
                <w:rFonts w:cs="Arial"/>
                <w:sz w:val="20"/>
                <w:szCs w:val="20"/>
                <w:lang w:eastAsia="es-MX"/>
              </w:rPr>
              <w:t>cableado interior en el domicilio del Usuario Final:</w:t>
            </w:r>
          </w:p>
          <w:p w:rsidR="00FE33BF" w:rsidRPr="00BA1D95" w:rsidRDefault="00241C38"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 xml:space="preserve">DM </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CS</w:t>
            </w:r>
          </w:p>
          <w:p w:rsidR="00FE33BF" w:rsidRPr="00BA1D95" w:rsidRDefault="00FE33BF" w:rsidP="0023172A">
            <w:pPr>
              <w:pStyle w:val="IFTnormal"/>
              <w:spacing w:after="120" w:line="240" w:lineRule="auto"/>
              <w:rPr>
                <w:rFonts w:cs="Arial"/>
                <w:sz w:val="20"/>
                <w:szCs w:val="20"/>
                <w:lang w:eastAsia="es-MX"/>
              </w:rPr>
            </w:pPr>
            <w:r w:rsidRPr="00BA1D95">
              <w:rPr>
                <w:rFonts w:cs="Arial"/>
                <w:sz w:val="20"/>
                <w:szCs w:val="20"/>
                <w:lang w:eastAsia="es-MX"/>
              </w:rPr>
              <w:t>Una vez enviada la solicitud</w:t>
            </w:r>
            <w:r w:rsidR="001119DF" w:rsidRPr="00BA1D95">
              <w:rPr>
                <w:rFonts w:cs="Arial"/>
                <w:sz w:val="20"/>
                <w:szCs w:val="20"/>
                <w:lang w:eastAsia="es-MX"/>
              </w:rPr>
              <w:t>,</w:t>
            </w:r>
            <w:r w:rsidRPr="00BA1D95">
              <w:rPr>
                <w:rFonts w:cs="Arial"/>
                <w:sz w:val="20"/>
                <w:szCs w:val="20"/>
                <w:lang w:eastAsia="es-MX"/>
              </w:rPr>
              <w:t xml:space="preserve">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de habilitación del servicio.</w:t>
            </w:r>
          </w:p>
          <w:p w:rsidR="00FE33BF" w:rsidRPr="00BA1D95" w:rsidRDefault="00A37F6C" w:rsidP="0023172A">
            <w:pPr>
              <w:pStyle w:val="IFTnormal"/>
              <w:spacing w:after="120" w:line="240" w:lineRule="auto"/>
              <w:rPr>
                <w:rFonts w:cs="Arial"/>
                <w:sz w:val="20"/>
                <w:szCs w:val="20"/>
                <w:lang w:eastAsia="es-MX"/>
              </w:rPr>
            </w:pPr>
            <w:r w:rsidRPr="00BA1D95">
              <w:rPr>
                <w:rFonts w:cs="Arial"/>
                <w:sz w:val="20"/>
                <w:szCs w:val="20"/>
                <w:lang w:eastAsia="es-MX"/>
              </w:rPr>
              <w:t xml:space="preserve">Para el caso de cliente nuevo sin domicilio registrado en la base de datos el </w:t>
            </w:r>
            <w:r w:rsidR="006B5A23">
              <w:rPr>
                <w:rFonts w:cs="Arial"/>
                <w:sz w:val="20"/>
                <w:szCs w:val="20"/>
                <w:lang w:eastAsia="es-MX"/>
              </w:rPr>
              <w:t>SEG</w:t>
            </w:r>
            <w:r w:rsidRPr="00BA1D95">
              <w:rPr>
                <w:rFonts w:cs="Arial"/>
                <w:sz w:val="20"/>
                <w:szCs w:val="20"/>
                <w:lang w:eastAsia="es-MX"/>
              </w:rPr>
              <w:t xml:space="preserve"> permitirá concluir con el procedimiento de Alta como Usuario Nuevo, </w:t>
            </w:r>
            <w:r w:rsidR="003175AD" w:rsidRPr="00BA1D95">
              <w:rPr>
                <w:rFonts w:cs="Arial"/>
                <w:sz w:val="20"/>
                <w:szCs w:val="20"/>
                <w:lang w:eastAsia="es-MX"/>
              </w:rPr>
              <w:t xml:space="preserve">asimismo se registrará el domicilio en </w:t>
            </w:r>
            <w:r w:rsidR="00B447FB" w:rsidRPr="00BA1D95">
              <w:rPr>
                <w:rFonts w:cs="Arial"/>
                <w:sz w:val="20"/>
                <w:szCs w:val="20"/>
                <w:lang w:eastAsia="es-MX"/>
              </w:rPr>
              <w:t>las bases</w:t>
            </w:r>
            <w:r w:rsidR="003175AD" w:rsidRPr="00BA1D95">
              <w:rPr>
                <w:rFonts w:cs="Arial"/>
                <w:sz w:val="20"/>
                <w:szCs w:val="20"/>
                <w:lang w:eastAsia="es-MX"/>
              </w:rPr>
              <w:t xml:space="preserve"> de datos </w:t>
            </w:r>
            <w:r w:rsidRPr="00BA1D95">
              <w:rPr>
                <w:rFonts w:cs="Arial"/>
                <w:sz w:val="20"/>
                <w:szCs w:val="20"/>
                <w:lang w:eastAsia="es-MX"/>
              </w:rPr>
              <w:t xml:space="preserve">en un plazo máximo de </w:t>
            </w:r>
            <w:r w:rsidR="00681E30">
              <w:rPr>
                <w:rFonts w:cs="Arial"/>
                <w:sz w:val="20"/>
                <w:szCs w:val="20"/>
                <w:lang w:eastAsia="es-MX"/>
              </w:rPr>
              <w:t>48</w:t>
            </w:r>
            <w:r w:rsidR="00681E30" w:rsidRPr="00BA1D95">
              <w:rPr>
                <w:rFonts w:cs="Arial"/>
                <w:sz w:val="20"/>
                <w:szCs w:val="20"/>
                <w:lang w:eastAsia="es-MX"/>
              </w:rPr>
              <w:t xml:space="preserve"> </w:t>
            </w:r>
            <w:r w:rsidRPr="00BA1D95">
              <w:rPr>
                <w:rFonts w:cs="Arial"/>
                <w:sz w:val="20"/>
                <w:szCs w:val="20"/>
                <w:lang w:eastAsia="es-MX"/>
              </w:rPr>
              <w:t xml:space="preserve">horas. </w:t>
            </w:r>
          </w:p>
          <w:p w:rsidR="007722D0" w:rsidRPr="00BA1D95" w:rsidRDefault="007722D0" w:rsidP="000865A8">
            <w:pPr>
              <w:pStyle w:val="IFTnormal"/>
              <w:spacing w:after="120" w:line="240" w:lineRule="auto"/>
              <w:rPr>
                <w:rFonts w:cs="Arial"/>
                <w:sz w:val="20"/>
                <w:szCs w:val="20"/>
                <w:lang w:eastAsia="es-MX"/>
              </w:rPr>
            </w:pPr>
            <w:r w:rsidRPr="00BA1D95">
              <w:rPr>
                <w:rFonts w:cs="Arial"/>
                <w:sz w:val="20"/>
                <w:szCs w:val="20"/>
                <w:lang w:eastAsia="es-MX"/>
              </w:rPr>
              <w:t xml:space="preserve">En caso de no existir facilidades de acuerdo con lo previsto en el apartado </w:t>
            </w:r>
            <w:r w:rsidR="00CA5D92">
              <w:rPr>
                <w:rFonts w:cs="Arial"/>
                <w:sz w:val="20"/>
                <w:szCs w:val="20"/>
                <w:lang w:eastAsia="es-MX"/>
              </w:rPr>
              <w:t>referente a disponibilidad de red</w:t>
            </w:r>
            <w:r w:rsidRPr="00BA1D95">
              <w:rPr>
                <w:rFonts w:cs="Arial"/>
                <w:sz w:val="20"/>
                <w:szCs w:val="20"/>
                <w:lang w:eastAsia="es-MX"/>
              </w:rPr>
              <w:t xml:space="preserve">, a través del </w:t>
            </w:r>
            <w:r w:rsidR="006B5A23">
              <w:rPr>
                <w:rFonts w:cs="Arial"/>
                <w:sz w:val="20"/>
                <w:szCs w:val="20"/>
                <w:lang w:eastAsia="es-MX"/>
              </w:rPr>
              <w:t>SEG</w:t>
            </w:r>
            <w:r w:rsidRPr="00BA1D95">
              <w:rPr>
                <w:rFonts w:cs="Arial"/>
                <w:sz w:val="20"/>
                <w:szCs w:val="20"/>
                <w:lang w:eastAsia="es-MX"/>
              </w:rPr>
              <w:t xml:space="preserve"> </w:t>
            </w:r>
            <w:r w:rsidR="00E83F21">
              <w:rPr>
                <w:rFonts w:cs="Arial"/>
                <w:sz w:val="20"/>
                <w:szCs w:val="20"/>
                <w:lang w:eastAsia="es-MX"/>
              </w:rPr>
              <w:t>Telmex / Telnor</w:t>
            </w:r>
            <w:r w:rsidR="000865A8">
              <w:rPr>
                <w:rFonts w:cs="Arial"/>
                <w:sz w:val="20"/>
                <w:szCs w:val="20"/>
                <w:lang w:eastAsia="es-MX"/>
              </w:rPr>
              <w:t xml:space="preserve"> </w:t>
            </w:r>
            <w:r w:rsidRPr="00BA1D95">
              <w:rPr>
                <w:rFonts w:cs="Arial"/>
                <w:sz w:val="20"/>
                <w:szCs w:val="20"/>
                <w:lang w:eastAsia="es-MX"/>
              </w:rPr>
              <w:t>notificará al CS la justificación y las evidencias correspondientes.</w:t>
            </w:r>
          </w:p>
        </w:tc>
      </w:tr>
      <w:tr w:rsidR="00FE33BF" w:rsidRPr="00BA1D95" w:rsidTr="00402F39">
        <w:tc>
          <w:tcPr>
            <w:tcW w:w="144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lastRenderedPageBreak/>
              <w:t>Habilitación y aprovisionamiento del Servicio</w:t>
            </w:r>
          </w:p>
        </w:tc>
        <w:tc>
          <w:tcPr>
            <w:tcW w:w="3558" w:type="pct"/>
            <w:shd w:val="clear" w:color="auto" w:fill="auto"/>
          </w:tcPr>
          <w:p w:rsidR="00C0124F" w:rsidRPr="00BA1D95" w:rsidRDefault="00E83F21" w:rsidP="004B11EB">
            <w:pPr>
              <w:pStyle w:val="IFTnormal"/>
              <w:rPr>
                <w:rFonts w:cs="Arial"/>
                <w:sz w:val="20"/>
                <w:szCs w:val="20"/>
                <w:lang w:eastAsia="es-MX"/>
              </w:rPr>
            </w:pPr>
            <w:r>
              <w:rPr>
                <w:rFonts w:cs="Arial"/>
                <w:sz w:val="20"/>
                <w:szCs w:val="20"/>
                <w:lang w:eastAsia="es-MX"/>
              </w:rPr>
              <w:t>Telmex / Telnor</w:t>
            </w:r>
            <w:r w:rsidR="000865A8">
              <w:rPr>
                <w:rFonts w:cs="Arial"/>
                <w:sz w:val="20"/>
                <w:szCs w:val="20"/>
                <w:lang w:eastAsia="es-MX"/>
              </w:rPr>
              <w:t xml:space="preserve"> </w:t>
            </w:r>
            <w:r w:rsidR="00FE33BF" w:rsidRPr="00BA1D95">
              <w:rPr>
                <w:rFonts w:cs="Arial"/>
                <w:sz w:val="20"/>
                <w:szCs w:val="20"/>
                <w:lang w:eastAsia="es-MX"/>
              </w:rPr>
              <w:t xml:space="preserve">llevará a cabo las actuaciones necesarias para habilitar el servicio el día confirmado por el CS. </w:t>
            </w:r>
          </w:p>
          <w:p w:rsidR="00FE33BF" w:rsidRPr="00BA1D95" w:rsidRDefault="00FE33BF" w:rsidP="004B11EB">
            <w:pPr>
              <w:pStyle w:val="IFTnormal"/>
              <w:rPr>
                <w:rFonts w:cs="Arial"/>
                <w:sz w:val="20"/>
                <w:szCs w:val="20"/>
                <w:lang w:eastAsia="es-MX"/>
              </w:rPr>
            </w:pPr>
            <w:r w:rsidRPr="00BA1D95">
              <w:rPr>
                <w:rFonts w:cs="Arial"/>
                <w:b/>
                <w:sz w:val="20"/>
                <w:szCs w:val="20"/>
                <w:lang w:eastAsia="es-MX"/>
              </w:rPr>
              <w:t>Usuarios Existentes:</w:t>
            </w:r>
            <w:r w:rsidRPr="00BA1D95">
              <w:rPr>
                <w:rFonts w:cs="Arial"/>
                <w:sz w:val="20"/>
                <w:szCs w:val="20"/>
                <w:lang w:eastAsia="es-MX"/>
              </w:rPr>
              <w:t xml:space="preserve"> Habilitación remota </w:t>
            </w:r>
            <w:r w:rsidR="00323633">
              <w:rPr>
                <w:rFonts w:cs="Arial"/>
                <w:sz w:val="20"/>
                <w:szCs w:val="20"/>
                <w:lang w:eastAsia="es-MX"/>
              </w:rPr>
              <w:t xml:space="preserve">en el plazo establecido para tal </w:t>
            </w:r>
            <w:r w:rsidR="00323633">
              <w:rPr>
                <w:rFonts w:cs="Arial"/>
                <w:sz w:val="20"/>
                <w:szCs w:val="20"/>
                <w:lang w:eastAsia="es-MX"/>
              </w:rPr>
              <w:lastRenderedPageBreak/>
              <w:t xml:space="preserve">efecto en </w:t>
            </w:r>
            <w:r w:rsidR="008D47FE">
              <w:rPr>
                <w:rFonts w:cs="Arial"/>
                <w:sz w:val="20"/>
                <w:szCs w:val="20"/>
                <w:lang w:eastAsia="es-MX"/>
              </w:rPr>
              <w:t xml:space="preserve">la sección de Plazos de este servicio en </w:t>
            </w:r>
            <w:r w:rsidR="00323633">
              <w:rPr>
                <w:rFonts w:cs="Arial"/>
                <w:sz w:val="20"/>
                <w:szCs w:val="20"/>
                <w:lang w:eastAsia="es-MX"/>
              </w:rPr>
              <w:t>la presente OREDA</w:t>
            </w:r>
            <w:r w:rsidRPr="000865A8" w:rsidDel="00D17F71">
              <w:rPr>
                <w:rFonts w:cs="Arial"/>
                <w:sz w:val="20"/>
                <w:szCs w:val="20"/>
                <w:lang w:eastAsia="es-MX"/>
              </w:rPr>
              <w:t>.</w:t>
            </w:r>
          </w:p>
          <w:p w:rsidR="00FE33BF" w:rsidRPr="00BA1D95" w:rsidRDefault="00FE33BF"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Voz:</w:t>
            </w:r>
            <w:r w:rsidRPr="00BA1D95">
              <w:rPr>
                <w:rFonts w:cs="Arial"/>
                <w:sz w:val="20"/>
                <w:szCs w:val="20"/>
                <w:lang w:eastAsia="es-MX"/>
              </w:rPr>
              <w:t xml:space="preserve"> Se realizará el cambio administrativo para pasar la facturación al CS. Cuando sea requerido por el CS, se activarán/desactivarán los servicios digitales o de marcaciones solicitados.</w:t>
            </w:r>
          </w:p>
          <w:p w:rsidR="00FE33BF" w:rsidRPr="00BA1D95" w:rsidRDefault="00FE33BF"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Datos:</w:t>
            </w:r>
            <w:r w:rsidRPr="00BA1D95">
              <w:rPr>
                <w:rFonts w:cs="Arial"/>
                <w:sz w:val="20"/>
                <w:szCs w:val="20"/>
                <w:lang w:eastAsia="es-MX"/>
              </w:rPr>
              <w:t xml:space="preserve"> Se habilitará el servicio con el perfil solicitado.</w:t>
            </w:r>
          </w:p>
          <w:p w:rsidR="00FE33BF" w:rsidRPr="00BA1D95" w:rsidRDefault="00FE33BF" w:rsidP="00D37C98">
            <w:pPr>
              <w:pStyle w:val="IFTnormal"/>
              <w:numPr>
                <w:ilvl w:val="0"/>
                <w:numId w:val="51"/>
              </w:numPr>
              <w:ind w:left="318" w:hanging="318"/>
              <w:rPr>
                <w:rFonts w:cs="Arial"/>
                <w:b/>
                <w:sz w:val="20"/>
                <w:szCs w:val="20"/>
                <w:lang w:eastAsia="es-MX"/>
              </w:rPr>
            </w:pPr>
            <w:r w:rsidRPr="00BA1D95">
              <w:rPr>
                <w:rFonts w:cs="Arial"/>
                <w:b/>
                <w:sz w:val="20"/>
                <w:szCs w:val="20"/>
                <w:lang w:eastAsia="es-MX"/>
              </w:rPr>
              <w:t>Voz + Datos:</w:t>
            </w:r>
            <w:r w:rsidRPr="00BA1D95">
              <w:rPr>
                <w:rFonts w:cs="Arial"/>
                <w:sz w:val="20"/>
                <w:szCs w:val="20"/>
                <w:lang w:eastAsia="es-MX"/>
              </w:rPr>
              <w:t xml:space="preserve"> Se realizará el cambio administrativo para el servicio de voz, activando/desactivando los servicios digitales o de marcaciones requeridos y se habilitará el servicio de datos con el perfil solicitado con la molécula de velocidad que en su caso se hubiera contratado.</w:t>
            </w:r>
          </w:p>
          <w:p w:rsidR="00273A2F" w:rsidRPr="00BA1D95" w:rsidRDefault="00FE33BF" w:rsidP="004B11EB">
            <w:pPr>
              <w:pStyle w:val="IFTnormal"/>
              <w:rPr>
                <w:rFonts w:cs="Arial"/>
                <w:sz w:val="20"/>
                <w:szCs w:val="20"/>
                <w:lang w:eastAsia="es-MX"/>
              </w:rPr>
            </w:pPr>
            <w:r w:rsidRPr="00BA1D95">
              <w:rPr>
                <w:rFonts w:cs="Arial"/>
                <w:b/>
                <w:sz w:val="20"/>
                <w:szCs w:val="20"/>
                <w:lang w:eastAsia="es-MX"/>
              </w:rPr>
              <w:t xml:space="preserve">Usuarios Nuevos: </w:t>
            </w:r>
            <w:r w:rsidRPr="00BA1D95">
              <w:rPr>
                <w:rFonts w:cs="Arial"/>
                <w:sz w:val="20"/>
                <w:szCs w:val="20"/>
                <w:lang w:eastAsia="es-MX"/>
              </w:rPr>
              <w:t xml:space="preserve">Habilitación presencial </w:t>
            </w:r>
            <w:r w:rsidR="00132830">
              <w:rPr>
                <w:rFonts w:cs="Arial"/>
                <w:sz w:val="20"/>
                <w:szCs w:val="20"/>
                <w:lang w:eastAsia="es-MX"/>
              </w:rPr>
              <w:t xml:space="preserve">en el plazo establecido para tal efecto </w:t>
            </w:r>
            <w:r w:rsidR="008D47FE">
              <w:rPr>
                <w:rFonts w:cs="Arial"/>
                <w:sz w:val="20"/>
                <w:szCs w:val="20"/>
                <w:lang w:eastAsia="es-MX"/>
              </w:rPr>
              <w:t xml:space="preserve">en la sección de Plazos de este servicio </w:t>
            </w:r>
            <w:r w:rsidR="00132830">
              <w:rPr>
                <w:rFonts w:cs="Arial"/>
                <w:sz w:val="20"/>
                <w:szCs w:val="20"/>
                <w:lang w:eastAsia="es-MX"/>
              </w:rPr>
              <w:t>en la presente OREDA</w:t>
            </w:r>
            <w:r w:rsidR="00273A2F" w:rsidRPr="00BA1D95">
              <w:rPr>
                <w:rFonts w:cs="Arial"/>
                <w:sz w:val="20"/>
                <w:szCs w:val="20"/>
                <w:lang w:eastAsia="es-MX"/>
              </w:rPr>
              <w:t>.</w:t>
            </w:r>
          </w:p>
          <w:p w:rsidR="00FE33BF" w:rsidRPr="00BA1D95" w:rsidRDefault="00E83F21" w:rsidP="004B11EB">
            <w:pPr>
              <w:pStyle w:val="IFTnormal"/>
              <w:rPr>
                <w:rFonts w:cs="Arial"/>
                <w:sz w:val="20"/>
                <w:szCs w:val="20"/>
                <w:lang w:eastAsia="es-MX"/>
              </w:rPr>
            </w:pPr>
            <w:r>
              <w:rPr>
                <w:rFonts w:cs="Arial"/>
                <w:sz w:val="20"/>
                <w:szCs w:val="20"/>
                <w:lang w:eastAsia="es-MX"/>
              </w:rPr>
              <w:t>Telmex / Telnor</w:t>
            </w:r>
            <w:r w:rsidR="00E77130">
              <w:rPr>
                <w:rFonts w:cs="Arial"/>
                <w:sz w:val="20"/>
                <w:szCs w:val="20"/>
                <w:lang w:eastAsia="es-MX"/>
              </w:rPr>
              <w:t xml:space="preserve"> </w:t>
            </w:r>
            <w:r w:rsidR="00FE33BF" w:rsidRPr="00BA1D95">
              <w:rPr>
                <w:rFonts w:cs="Arial"/>
                <w:sz w:val="20"/>
                <w:szCs w:val="20"/>
                <w:lang w:eastAsia="es-MX"/>
              </w:rPr>
              <w:t>asistirá al domicilio del Usuario Final para instalar el servicio, el CS podrá enviar personal técnico para validar los trabajos realizados</w:t>
            </w:r>
            <w:r w:rsidR="00FE33BF" w:rsidRPr="00BA1D95">
              <w:rPr>
                <w:rStyle w:val="Refdenotaalpie"/>
                <w:rFonts w:cs="Arial"/>
                <w:sz w:val="20"/>
                <w:szCs w:val="20"/>
                <w:lang w:eastAsia="es-MX"/>
              </w:rPr>
              <w:footnoteReference w:id="17"/>
            </w:r>
            <w:r w:rsidR="00FE33BF" w:rsidRPr="00BA1D95">
              <w:rPr>
                <w:rFonts w:cs="Arial"/>
                <w:sz w:val="20"/>
                <w:szCs w:val="20"/>
                <w:lang w:eastAsia="es-MX"/>
              </w:rPr>
              <w:t>.</w:t>
            </w:r>
          </w:p>
          <w:p w:rsidR="00FE33BF" w:rsidRPr="00BA1D95" w:rsidRDefault="00FE33BF" w:rsidP="00D37C98">
            <w:pPr>
              <w:pStyle w:val="IFTnormal"/>
              <w:numPr>
                <w:ilvl w:val="0"/>
                <w:numId w:val="56"/>
              </w:numPr>
              <w:rPr>
                <w:rFonts w:cs="Arial"/>
                <w:sz w:val="20"/>
                <w:szCs w:val="20"/>
                <w:lang w:eastAsia="es-MX"/>
              </w:rPr>
            </w:pPr>
            <w:r w:rsidRPr="00BA1D95">
              <w:rPr>
                <w:rFonts w:cs="Arial"/>
                <w:b/>
                <w:sz w:val="20"/>
                <w:szCs w:val="20"/>
                <w:lang w:eastAsia="es-MX"/>
              </w:rPr>
              <w:t>Acometida Existente:</w:t>
            </w:r>
            <w:r w:rsidRPr="00BA1D95">
              <w:rPr>
                <w:rFonts w:cs="Arial"/>
                <w:sz w:val="20"/>
                <w:szCs w:val="20"/>
                <w:lang w:eastAsia="es-MX"/>
              </w:rPr>
              <w:t xml:space="preserve"> </w:t>
            </w:r>
            <w:r w:rsidR="00273A2F" w:rsidRPr="00BA1D95">
              <w:rPr>
                <w:rFonts w:cs="Arial"/>
                <w:sz w:val="20"/>
                <w:szCs w:val="20"/>
                <w:lang w:eastAsia="es-MX"/>
              </w:rPr>
              <w:t>(</w:t>
            </w:r>
            <w:r w:rsidR="00323633">
              <w:rPr>
                <w:rFonts w:cs="Arial"/>
                <w:sz w:val="20"/>
                <w:szCs w:val="20"/>
                <w:lang w:eastAsia="es-MX"/>
              </w:rPr>
              <w:t xml:space="preserve">En </w:t>
            </w:r>
            <w:r w:rsidR="00132830">
              <w:rPr>
                <w:rFonts w:cs="Arial"/>
                <w:sz w:val="20"/>
                <w:szCs w:val="20"/>
                <w:lang w:eastAsia="es-MX"/>
              </w:rPr>
              <w:t>el plazo establecido</w:t>
            </w:r>
            <w:r w:rsidR="00323633">
              <w:rPr>
                <w:rFonts w:cs="Arial"/>
                <w:sz w:val="20"/>
                <w:szCs w:val="20"/>
                <w:lang w:eastAsia="es-MX"/>
              </w:rPr>
              <w:t xml:space="preserve"> para tal efecto</w:t>
            </w:r>
            <w:r w:rsidR="008D47FE">
              <w:rPr>
                <w:rFonts w:cs="Arial"/>
                <w:sz w:val="20"/>
                <w:szCs w:val="20"/>
                <w:lang w:eastAsia="es-MX"/>
              </w:rPr>
              <w:t xml:space="preserve"> en la sección de Plazos de este servicio</w:t>
            </w:r>
            <w:r w:rsidR="00323633">
              <w:rPr>
                <w:rFonts w:cs="Arial"/>
                <w:sz w:val="20"/>
                <w:szCs w:val="20"/>
                <w:lang w:eastAsia="es-MX"/>
              </w:rPr>
              <w:t xml:space="preserve"> en la presente OREDA</w:t>
            </w:r>
            <w:r w:rsidRPr="00BA1D95" w:rsidDel="00273A2F">
              <w:rPr>
                <w:rFonts w:cs="Arial"/>
                <w:sz w:val="20"/>
                <w:szCs w:val="20"/>
                <w:lang w:eastAsia="es-MX"/>
              </w:rPr>
              <w:t>)</w:t>
            </w:r>
            <w:r w:rsidRPr="00BA1D95">
              <w:rPr>
                <w:rFonts w:cs="Arial"/>
                <w:sz w:val="20"/>
                <w:szCs w:val="20"/>
                <w:lang w:eastAsia="es-MX"/>
              </w:rPr>
              <w:t>.</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Ejecución de prueba de la acometida: para asegurar que las facilidades permiten la prestación de los servicios.</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Instalación de cableado interior: sólo si fue solicitado por el CS.</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Entrega e instalación de módem/ONT: sólo si fue solicitado por el CS.</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Habilitación del servicio.</w:t>
            </w:r>
          </w:p>
          <w:p w:rsidR="00FE33BF" w:rsidRPr="00BA1D95" w:rsidRDefault="00FE33BF" w:rsidP="00D37C98">
            <w:pPr>
              <w:pStyle w:val="IFTnormal"/>
              <w:numPr>
                <w:ilvl w:val="0"/>
                <w:numId w:val="56"/>
              </w:numPr>
              <w:rPr>
                <w:rFonts w:cs="Arial"/>
                <w:sz w:val="20"/>
                <w:szCs w:val="20"/>
                <w:lang w:eastAsia="es-MX"/>
              </w:rPr>
            </w:pPr>
            <w:r w:rsidRPr="00BA1D95">
              <w:rPr>
                <w:rFonts w:cs="Arial"/>
                <w:b/>
                <w:sz w:val="20"/>
                <w:szCs w:val="20"/>
                <w:lang w:eastAsia="es-MX"/>
              </w:rPr>
              <w:t>Sin Acometida:</w:t>
            </w:r>
            <w:r w:rsidRPr="00BA1D95">
              <w:rPr>
                <w:rFonts w:cs="Arial"/>
                <w:sz w:val="20"/>
                <w:szCs w:val="20"/>
                <w:lang w:eastAsia="es-MX"/>
              </w:rPr>
              <w:t xml:space="preserve"> </w:t>
            </w:r>
            <w:r w:rsidR="00273A2F" w:rsidRPr="00BA1D95">
              <w:rPr>
                <w:rFonts w:cs="Arial"/>
                <w:sz w:val="20"/>
                <w:szCs w:val="20"/>
                <w:lang w:eastAsia="es-MX"/>
              </w:rPr>
              <w:t>(</w:t>
            </w:r>
            <w:r w:rsidR="00323633">
              <w:rPr>
                <w:rFonts w:cs="Arial"/>
                <w:sz w:val="20"/>
                <w:szCs w:val="20"/>
                <w:lang w:eastAsia="es-MX"/>
              </w:rPr>
              <w:t xml:space="preserve">En </w:t>
            </w:r>
            <w:r w:rsidR="00132830">
              <w:rPr>
                <w:rFonts w:cs="Arial"/>
                <w:sz w:val="20"/>
                <w:szCs w:val="20"/>
                <w:lang w:eastAsia="es-MX"/>
              </w:rPr>
              <w:t>el plazo establecido</w:t>
            </w:r>
            <w:r w:rsidR="00323633">
              <w:rPr>
                <w:rFonts w:cs="Arial"/>
                <w:sz w:val="20"/>
                <w:szCs w:val="20"/>
                <w:lang w:eastAsia="es-MX"/>
              </w:rPr>
              <w:t xml:space="preserve"> para tal efecto</w:t>
            </w:r>
            <w:r w:rsidR="008D47FE">
              <w:rPr>
                <w:rFonts w:cs="Arial"/>
                <w:sz w:val="20"/>
                <w:szCs w:val="20"/>
                <w:lang w:eastAsia="es-MX"/>
              </w:rPr>
              <w:t xml:space="preserve"> en la sección de Plazos de este servicio</w:t>
            </w:r>
            <w:r w:rsidR="00323633">
              <w:rPr>
                <w:rFonts w:cs="Arial"/>
                <w:sz w:val="20"/>
                <w:szCs w:val="20"/>
                <w:lang w:eastAsia="es-MX"/>
              </w:rPr>
              <w:t xml:space="preserve"> en la presente OREDA</w:t>
            </w:r>
            <w:r w:rsidRPr="00BA1D95" w:rsidDel="00273A2F">
              <w:rPr>
                <w:rFonts w:cs="Arial"/>
                <w:sz w:val="20"/>
                <w:szCs w:val="20"/>
                <w:lang w:eastAsia="es-MX"/>
              </w:rPr>
              <w:t>).</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Instalación de la acometida</w:t>
            </w:r>
            <w:r w:rsidR="008F3950" w:rsidRPr="00BA1D95">
              <w:rPr>
                <w:rFonts w:cs="Arial"/>
                <w:sz w:val="20"/>
                <w:szCs w:val="20"/>
                <w:lang w:eastAsia="es-MX"/>
              </w:rPr>
              <w:t xml:space="preserve"> bajo las mismas condiciones de los usuarios finales de Telmex</w:t>
            </w:r>
            <w:r w:rsidR="00EC3D1A">
              <w:rPr>
                <w:rFonts w:cs="Arial"/>
                <w:sz w:val="20"/>
                <w:szCs w:val="20"/>
                <w:lang w:eastAsia="es-MX"/>
              </w:rPr>
              <w:t xml:space="preserve"> </w:t>
            </w:r>
            <w:r w:rsidR="00EC3D1A" w:rsidRPr="009F7BCF">
              <w:rPr>
                <w:rFonts w:cs="Arial"/>
                <w:sz w:val="20"/>
                <w:lang w:eastAsia="es-MX"/>
              </w:rPr>
              <w:t>/ Telnor</w:t>
            </w:r>
            <w:r w:rsidR="008F3950" w:rsidRPr="00BA1D95">
              <w:rPr>
                <w:rFonts w:cs="Arial"/>
                <w:sz w:val="20"/>
                <w:szCs w:val="20"/>
                <w:lang w:eastAsia="es-MX"/>
              </w:rPr>
              <w:t>.</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Instalación de CIC adicional: sólo si fue solicitado por el CS.</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Entrega e instalación de módem/ONT: sólo si fue solicitado por el CS.</w:t>
            </w:r>
          </w:p>
          <w:p w:rsidR="00FE33BF" w:rsidRPr="00BA1D95" w:rsidRDefault="00FE33BF"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Habilitación del servicio.</w:t>
            </w:r>
          </w:p>
          <w:p w:rsidR="00FE33BF" w:rsidRPr="00BA1D95" w:rsidRDefault="00FE33BF" w:rsidP="0023172A">
            <w:pPr>
              <w:pStyle w:val="IFTnormal"/>
              <w:spacing w:after="120" w:line="240" w:lineRule="auto"/>
              <w:rPr>
                <w:rFonts w:cs="Arial"/>
                <w:sz w:val="20"/>
                <w:szCs w:val="20"/>
                <w:lang w:eastAsia="es-MX"/>
              </w:rPr>
            </w:pPr>
            <w:r w:rsidRPr="00BA1D95">
              <w:rPr>
                <w:rFonts w:cs="Arial"/>
                <w:sz w:val="20"/>
                <w:szCs w:val="20"/>
                <w:lang w:eastAsia="es-MX"/>
              </w:rPr>
              <w:t>Al finalizar la instalación, se realizarán las pruebas de aceptación del servicio.</w:t>
            </w:r>
          </w:p>
          <w:p w:rsidR="00FE33BF" w:rsidRPr="00BA1D95" w:rsidRDefault="00FE33BF" w:rsidP="0023172A">
            <w:pPr>
              <w:pStyle w:val="IFTnormal"/>
              <w:spacing w:after="120" w:line="240" w:lineRule="auto"/>
              <w:rPr>
                <w:rFonts w:cs="Arial"/>
                <w:sz w:val="20"/>
                <w:szCs w:val="20"/>
                <w:lang w:eastAsia="es-MX"/>
              </w:rPr>
            </w:pPr>
            <w:r w:rsidRPr="00BA1D95">
              <w:rPr>
                <w:rFonts w:cs="Arial"/>
                <w:sz w:val="20"/>
                <w:szCs w:val="20"/>
                <w:lang w:eastAsia="es-MX"/>
              </w:rPr>
              <w:lastRenderedPageBreak/>
              <w:t xml:space="preserve">Si el técnico de </w:t>
            </w:r>
            <w:r w:rsidR="00E83F21">
              <w:rPr>
                <w:rFonts w:cs="Arial"/>
                <w:sz w:val="20"/>
                <w:szCs w:val="20"/>
                <w:lang w:eastAsia="es-MX"/>
              </w:rPr>
              <w:t>Telmex / Telnor</w:t>
            </w:r>
            <w:r w:rsidR="00E77130">
              <w:rPr>
                <w:rFonts w:cs="Arial"/>
                <w:sz w:val="20"/>
                <w:szCs w:val="20"/>
                <w:lang w:eastAsia="es-MX"/>
              </w:rPr>
              <w:t xml:space="preserve"> </w:t>
            </w:r>
            <w:r w:rsidRPr="00BA1D95">
              <w:rPr>
                <w:rFonts w:cs="Arial"/>
                <w:sz w:val="20"/>
                <w:szCs w:val="20"/>
                <w:lang w:eastAsia="es-MX"/>
              </w:rPr>
              <w:t xml:space="preserve">no se presenta al domicilio </w:t>
            </w:r>
            <w:r w:rsidR="009F1925" w:rsidRPr="00BA1D95">
              <w:rPr>
                <w:rFonts w:cs="Arial"/>
                <w:sz w:val="20"/>
                <w:szCs w:val="20"/>
                <w:lang w:eastAsia="es-MX"/>
              </w:rPr>
              <w:t>para</w:t>
            </w:r>
            <w:r w:rsidRPr="00BA1D95">
              <w:rPr>
                <w:rFonts w:cs="Arial"/>
                <w:sz w:val="20"/>
                <w:szCs w:val="20"/>
                <w:lang w:eastAsia="es-MX"/>
              </w:rPr>
              <w:t xml:space="preserve"> la habilitación, se dará lugar a una visita en falso</w:t>
            </w:r>
            <w:r w:rsidR="00646A50" w:rsidRPr="00BA1D95">
              <w:rPr>
                <w:rFonts w:cs="Arial"/>
                <w:sz w:val="20"/>
                <w:szCs w:val="20"/>
                <w:lang w:eastAsia="es-MX"/>
              </w:rPr>
              <w:t xml:space="preserve"> y se deberán cubrir los gastos correspondientes</w:t>
            </w:r>
            <w:r w:rsidRPr="00BA1D95">
              <w:rPr>
                <w:rFonts w:cs="Arial"/>
                <w:sz w:val="20"/>
                <w:szCs w:val="20"/>
                <w:lang w:eastAsia="es-MX"/>
              </w:rPr>
              <w:t>.</w:t>
            </w:r>
          </w:p>
          <w:p w:rsidR="00FE33BF" w:rsidRPr="00BA1D95" w:rsidRDefault="0085490B" w:rsidP="0023172A">
            <w:pPr>
              <w:pStyle w:val="IFTnormal"/>
              <w:spacing w:after="120" w:line="240" w:lineRule="auto"/>
              <w:rPr>
                <w:rFonts w:cs="Arial"/>
                <w:sz w:val="20"/>
                <w:szCs w:val="20"/>
                <w:lang w:eastAsia="es-MX"/>
              </w:rPr>
            </w:pPr>
            <w:r w:rsidRPr="00BA1D95">
              <w:rPr>
                <w:rFonts w:cs="Arial"/>
                <w:sz w:val="20"/>
                <w:szCs w:val="20"/>
                <w:lang w:eastAsia="es-MX"/>
              </w:rPr>
              <w:t xml:space="preserve">En caso de que no se haya podido concretar la instalación por razones asociadas al CS o a su cliente, éste </w:t>
            </w:r>
            <w:r w:rsidR="00B447FB" w:rsidRPr="00BA1D95">
              <w:rPr>
                <w:rFonts w:cs="Arial"/>
                <w:sz w:val="20"/>
                <w:szCs w:val="20"/>
                <w:lang w:eastAsia="es-MX"/>
              </w:rPr>
              <w:t>deberá indicar</w:t>
            </w:r>
            <w:r w:rsidR="00FE33BF" w:rsidRPr="00BA1D95">
              <w:rPr>
                <w:rFonts w:cs="Arial"/>
                <w:sz w:val="20"/>
                <w:szCs w:val="20"/>
                <w:lang w:eastAsia="es-MX"/>
              </w:rPr>
              <w:t xml:space="preserve"> si desea realizar la reprogramación de la habilitación o cancelar el servicio.</w:t>
            </w:r>
          </w:p>
        </w:tc>
      </w:tr>
      <w:tr w:rsidR="00FE33BF" w:rsidRPr="00BA1D95" w:rsidTr="00402F39">
        <w:tc>
          <w:tcPr>
            <w:tcW w:w="144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lastRenderedPageBreak/>
              <w:t>Pruebas de Aceptación del Servicio</w:t>
            </w:r>
          </w:p>
        </w:tc>
        <w:tc>
          <w:tcPr>
            <w:tcW w:w="355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Una vez habilitado el servicio, se ejecutarán las pruebas correspondientes para validar que el servicio ha sido instalado y habilitado de conformidad con lo requerido por el CS.</w:t>
            </w:r>
          </w:p>
          <w:p w:rsidR="00FE33BF" w:rsidRPr="00BA1D95" w:rsidRDefault="00FE33BF" w:rsidP="00D37C98">
            <w:pPr>
              <w:pStyle w:val="IFTnormal"/>
              <w:numPr>
                <w:ilvl w:val="0"/>
                <w:numId w:val="51"/>
              </w:numPr>
              <w:ind w:left="318" w:hanging="284"/>
              <w:rPr>
                <w:rFonts w:cs="Arial"/>
                <w:sz w:val="20"/>
                <w:szCs w:val="20"/>
                <w:lang w:eastAsia="es-MX"/>
              </w:rPr>
            </w:pPr>
            <w:r w:rsidRPr="00BA1D95">
              <w:rPr>
                <w:rFonts w:cs="Arial"/>
                <w:sz w:val="20"/>
                <w:szCs w:val="20"/>
                <w:lang w:eastAsia="es-MX"/>
              </w:rPr>
              <w:t xml:space="preserve">Los resultados de las pruebas realizadas se registrarán en el </w:t>
            </w:r>
            <w:r w:rsidR="006B5A23">
              <w:rPr>
                <w:rFonts w:cs="Arial"/>
                <w:sz w:val="20"/>
                <w:szCs w:val="20"/>
                <w:lang w:eastAsia="es-MX"/>
              </w:rPr>
              <w:t>SEG</w:t>
            </w:r>
            <w:r w:rsidRPr="00BA1D95">
              <w:rPr>
                <w:rFonts w:cs="Arial"/>
                <w:sz w:val="20"/>
                <w:szCs w:val="20"/>
                <w:lang w:eastAsia="es-MX"/>
              </w:rPr>
              <w:t xml:space="preserve"> para que el CS pueda consultarlas.</w:t>
            </w:r>
          </w:p>
        </w:tc>
      </w:tr>
      <w:tr w:rsidR="00FE33BF" w:rsidRPr="00BA1D95" w:rsidTr="00402F39">
        <w:tc>
          <w:tcPr>
            <w:tcW w:w="144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Facturación</w:t>
            </w:r>
          </w:p>
        </w:tc>
        <w:tc>
          <w:tcPr>
            <w:tcW w:w="355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FE33BF" w:rsidRPr="00BA1D95" w:rsidRDefault="00FE33BF" w:rsidP="00204787">
            <w:pPr>
              <w:pStyle w:val="IFTnormal"/>
              <w:numPr>
                <w:ilvl w:val="0"/>
                <w:numId w:val="51"/>
              </w:numPr>
              <w:spacing w:after="0"/>
              <w:ind w:left="318" w:hanging="284"/>
              <w:rPr>
                <w:rFonts w:cs="Arial"/>
                <w:sz w:val="20"/>
                <w:szCs w:val="20"/>
                <w:lang w:eastAsia="es-MX"/>
              </w:rPr>
            </w:pPr>
            <w:r w:rsidRPr="00BA1D95">
              <w:rPr>
                <w:rFonts w:cs="Arial"/>
                <w:sz w:val="20"/>
                <w:szCs w:val="20"/>
                <w:lang w:eastAsia="es-MX"/>
              </w:rPr>
              <w:t>Se incluirán los gastos de instalación y la renta mensual correspondiente.</w:t>
            </w:r>
          </w:p>
          <w:p w:rsidR="00FE33BF" w:rsidRPr="00BA1D95" w:rsidRDefault="00FE33BF" w:rsidP="00204787">
            <w:pPr>
              <w:pStyle w:val="IFTnormal"/>
              <w:numPr>
                <w:ilvl w:val="0"/>
                <w:numId w:val="51"/>
              </w:numPr>
              <w:spacing w:after="0"/>
              <w:ind w:left="318" w:hanging="284"/>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tc>
      </w:tr>
    </w:tbl>
    <w:p w:rsidR="00DD36C4" w:rsidRPr="00BA1D95" w:rsidRDefault="00FE33BF" w:rsidP="004B11EB">
      <w:pPr>
        <w:pStyle w:val="IFTnormal"/>
        <w:rPr>
          <w:rFonts w:cs="Arial"/>
          <w:sz w:val="20"/>
          <w:szCs w:val="20"/>
        </w:rPr>
      </w:pPr>
      <w:r w:rsidRPr="00BA1D95">
        <w:rPr>
          <w:rFonts w:cs="Arial"/>
          <w:sz w:val="20"/>
          <w:szCs w:val="20"/>
        </w:rPr>
        <w:t>Nota:</w:t>
      </w:r>
      <w:r w:rsidR="00204787">
        <w:rPr>
          <w:rFonts w:cs="Arial"/>
          <w:sz w:val="20"/>
          <w:szCs w:val="20"/>
        </w:rPr>
        <w:t xml:space="preserve"> </w:t>
      </w:r>
      <w:r w:rsidRPr="00BA1D95">
        <w:rPr>
          <w:rFonts w:cs="Arial"/>
          <w:sz w:val="20"/>
          <w:szCs w:val="20"/>
        </w:rPr>
        <w:t>Asimismo, se debe considerar que el cambio de Concesionario deberá ser transparente para el usuario final, es decir, en caso de afectación del servicio deberá considerarse como máximo un plazo de 30 minutos</w:t>
      </w:r>
      <w:r w:rsidR="00FA6F82" w:rsidRPr="00BA1D95">
        <w:rPr>
          <w:rFonts w:cs="Arial"/>
          <w:sz w:val="20"/>
          <w:szCs w:val="20"/>
        </w:rPr>
        <w:t>.</w:t>
      </w:r>
      <w:r w:rsidRPr="00BA1D95">
        <w:rPr>
          <w:rFonts w:cs="Arial"/>
          <w:sz w:val="20"/>
          <w:szCs w:val="20"/>
        </w:rPr>
        <w:t xml:space="preserve"> </w:t>
      </w:r>
      <w:r w:rsidR="00FA6F82" w:rsidRPr="00BA1D95">
        <w:rPr>
          <w:rFonts w:cs="Arial"/>
          <w:sz w:val="20"/>
          <w:szCs w:val="20"/>
        </w:rPr>
        <w:t>L</w:t>
      </w:r>
      <w:r w:rsidRPr="00BA1D95">
        <w:rPr>
          <w:rFonts w:cs="Arial"/>
          <w:sz w:val="20"/>
          <w:szCs w:val="20"/>
        </w:rPr>
        <w:t xml:space="preserve">a información respecto a la entrega del servicio incluido si hubo afectación y el tiempo de la misma deberá quedar respaldada en el </w:t>
      </w:r>
      <w:r w:rsidR="006B5A23">
        <w:rPr>
          <w:rFonts w:cs="Arial"/>
          <w:sz w:val="20"/>
          <w:szCs w:val="20"/>
        </w:rPr>
        <w:t>SEG</w:t>
      </w:r>
      <w:r w:rsidRPr="00BA1D95">
        <w:rPr>
          <w:rFonts w:cs="Arial"/>
          <w:sz w:val="20"/>
          <w:szCs w:val="20"/>
        </w:rPr>
        <w:t>.</w:t>
      </w:r>
    </w:p>
    <w:p w:rsidR="00FE33BF" w:rsidRPr="00BA1D95" w:rsidRDefault="00FE33BF" w:rsidP="004B11EB">
      <w:pPr>
        <w:pStyle w:val="IFTnormal"/>
        <w:rPr>
          <w:rFonts w:cs="Arial"/>
          <w:b/>
        </w:rPr>
      </w:pPr>
      <w:r w:rsidRPr="00BA1D95">
        <w:rPr>
          <w:rFonts w:cs="Arial"/>
          <w:b/>
        </w:rPr>
        <w:t>Citas para la instalación de servicios SRL, SRI y SRP:</w:t>
      </w:r>
    </w:p>
    <w:p w:rsidR="00FE33BF" w:rsidRPr="00BA1D95" w:rsidRDefault="00FE33BF" w:rsidP="004B11EB">
      <w:pPr>
        <w:pStyle w:val="IFTnormal"/>
        <w:rPr>
          <w:rFonts w:cs="Arial"/>
        </w:rPr>
      </w:pPr>
      <w:r w:rsidRPr="00BA1D95">
        <w:rPr>
          <w:rFonts w:cs="Arial"/>
        </w:rPr>
        <w:t xml:space="preserve">Este procedimiento indica la forma en la que se programarán las citas para atender servicios que requieran la presencia de un técnico de </w:t>
      </w:r>
      <w:r w:rsidR="0085490B" w:rsidRPr="00BA1D95">
        <w:rPr>
          <w:rFonts w:cs="Arial"/>
        </w:rPr>
        <w:t xml:space="preserve">DM </w:t>
      </w:r>
      <w:r w:rsidRPr="00BA1D95">
        <w:rPr>
          <w:rFonts w:cs="Arial"/>
        </w:rPr>
        <w:t>en el domicilio del Usuario Final.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6"/>
        <w:gridCol w:w="6115"/>
      </w:tblGrid>
      <w:tr w:rsidR="00FE33BF" w:rsidRPr="00BA1D95" w:rsidTr="005A2E5E">
        <w:trPr>
          <w:tblHeader/>
          <w:jc w:val="center"/>
        </w:trPr>
        <w:tc>
          <w:tcPr>
            <w:tcW w:w="2806" w:type="dxa"/>
            <w:shd w:val="clear" w:color="auto" w:fill="BDD6EE" w:themeFill="accent5" w:themeFillTint="66"/>
          </w:tcPr>
          <w:p w:rsidR="00FE33BF" w:rsidRPr="00BA1D95" w:rsidRDefault="00FE33BF" w:rsidP="0023172A">
            <w:pPr>
              <w:pStyle w:val="IFTnormal"/>
              <w:jc w:val="center"/>
              <w:rPr>
                <w:rFonts w:cs="Arial"/>
                <w:b/>
                <w:sz w:val="20"/>
                <w:szCs w:val="20"/>
                <w:lang w:eastAsia="es-MX"/>
              </w:rPr>
            </w:pPr>
            <w:bookmarkStart w:id="541" w:name="_Hlk516228543"/>
            <w:r w:rsidRPr="00BA1D95">
              <w:rPr>
                <w:rFonts w:cs="Arial"/>
                <w:b/>
                <w:sz w:val="20"/>
                <w:szCs w:val="20"/>
                <w:lang w:eastAsia="es-MX"/>
              </w:rPr>
              <w:t>Actividad</w:t>
            </w:r>
          </w:p>
        </w:tc>
        <w:tc>
          <w:tcPr>
            <w:tcW w:w="6115" w:type="dxa"/>
            <w:shd w:val="clear" w:color="auto" w:fill="BDD6EE" w:themeFill="accent5" w:themeFillTint="66"/>
          </w:tcPr>
          <w:p w:rsidR="00FE33BF" w:rsidRPr="00BA1D95" w:rsidRDefault="00FE33BF" w:rsidP="0023172A">
            <w:pPr>
              <w:pStyle w:val="IFTnormal"/>
              <w:jc w:val="center"/>
              <w:rPr>
                <w:rFonts w:cs="Arial"/>
                <w:b/>
                <w:sz w:val="20"/>
                <w:szCs w:val="20"/>
                <w:lang w:eastAsia="es-MX"/>
              </w:rPr>
            </w:pPr>
            <w:r w:rsidRPr="00BA1D95">
              <w:rPr>
                <w:rFonts w:cs="Arial"/>
                <w:b/>
                <w:sz w:val="20"/>
                <w:szCs w:val="20"/>
                <w:lang w:eastAsia="es-MX"/>
              </w:rPr>
              <w:t>Descripción</w:t>
            </w:r>
          </w:p>
        </w:tc>
      </w:tr>
      <w:tr w:rsidR="00FE33BF" w:rsidRPr="00BA1D95" w:rsidTr="00DD36C4">
        <w:trPr>
          <w:jc w:val="center"/>
        </w:trPr>
        <w:tc>
          <w:tcPr>
            <w:tcW w:w="2806" w:type="dxa"/>
            <w:shd w:val="clear" w:color="auto" w:fill="auto"/>
          </w:tcPr>
          <w:p w:rsidR="00FE33BF" w:rsidRPr="00BA1D95" w:rsidRDefault="00FE33BF" w:rsidP="004B11EB">
            <w:pPr>
              <w:pStyle w:val="IFTnormal"/>
              <w:rPr>
                <w:rFonts w:cs="Arial"/>
                <w:b/>
                <w:sz w:val="20"/>
                <w:szCs w:val="20"/>
                <w:lang w:eastAsia="es-MX"/>
              </w:rPr>
            </w:pPr>
            <w:r w:rsidRPr="00BA1D95">
              <w:rPr>
                <w:rFonts w:cs="Arial"/>
                <w:b/>
                <w:sz w:val="20"/>
                <w:szCs w:val="20"/>
                <w:lang w:eastAsia="es-MX"/>
              </w:rPr>
              <w:t>Programación de visita</w:t>
            </w:r>
          </w:p>
        </w:tc>
        <w:tc>
          <w:tcPr>
            <w:tcW w:w="6115" w:type="dxa"/>
            <w:shd w:val="clear" w:color="auto" w:fill="auto"/>
          </w:tcPr>
          <w:p w:rsidR="00FE33BF" w:rsidRPr="00BA1D95" w:rsidRDefault="00E83F21" w:rsidP="004E757E">
            <w:pPr>
              <w:pStyle w:val="IFTnormal"/>
              <w:rPr>
                <w:rFonts w:cs="Arial"/>
                <w:sz w:val="20"/>
                <w:szCs w:val="20"/>
                <w:lang w:eastAsia="es-MX"/>
              </w:rPr>
            </w:pPr>
            <w:r>
              <w:rPr>
                <w:rFonts w:cs="Arial"/>
                <w:sz w:val="20"/>
                <w:szCs w:val="20"/>
                <w:lang w:eastAsia="es-MX"/>
              </w:rPr>
              <w:t>Telmex / Telnor</w:t>
            </w:r>
            <w:r w:rsidR="00094B5A" w:rsidRPr="00094B5A">
              <w:rPr>
                <w:rFonts w:cs="Arial"/>
                <w:sz w:val="20"/>
                <w:szCs w:val="20"/>
                <w:lang w:eastAsia="es-MX"/>
              </w:rPr>
              <w:t xml:space="preserve"> proporcionará fecha y </w:t>
            </w:r>
            <w:r w:rsidR="00480664">
              <w:rPr>
                <w:rFonts w:cs="Arial"/>
                <w:sz w:val="20"/>
                <w:szCs w:val="20"/>
                <w:lang w:eastAsia="es-MX"/>
              </w:rPr>
              <w:t xml:space="preserve">rango de </w:t>
            </w:r>
            <w:r w:rsidR="00094B5A" w:rsidRPr="00094B5A">
              <w:rPr>
                <w:rFonts w:cs="Arial"/>
                <w:sz w:val="20"/>
                <w:szCs w:val="20"/>
              </w:rPr>
              <w:t>horario</w:t>
            </w:r>
            <w:r w:rsidR="00094B5A" w:rsidRPr="00094B5A">
              <w:rPr>
                <w:rFonts w:cs="Arial"/>
                <w:sz w:val="20"/>
                <w:szCs w:val="20"/>
                <w:lang w:eastAsia="es-MX"/>
              </w:rPr>
              <w:t xml:space="preserve"> para la instalación una vez confirmada la Factibilidad Técnica, </w:t>
            </w:r>
            <w:r w:rsidR="00FD05FA">
              <w:rPr>
                <w:sz w:val="20"/>
                <w:szCs w:val="20"/>
              </w:rPr>
              <w:t xml:space="preserve">únicamente se tendrá la posibilidad de variar la hora </w:t>
            </w:r>
            <w:r w:rsidR="00D86494">
              <w:rPr>
                <w:sz w:val="20"/>
                <w:szCs w:val="20"/>
              </w:rPr>
              <w:t>de llegada en un rango de 12</w:t>
            </w:r>
            <w:r w:rsidR="00FD05FA">
              <w:rPr>
                <w:sz w:val="20"/>
                <w:szCs w:val="20"/>
              </w:rPr>
              <w:t>0 min</w:t>
            </w:r>
            <w:r w:rsidR="002A3B0A">
              <w:rPr>
                <w:sz w:val="20"/>
                <w:szCs w:val="20"/>
              </w:rPr>
              <w:t>utos</w:t>
            </w:r>
            <w:r w:rsidR="00094B5A" w:rsidRPr="00094B5A">
              <w:rPr>
                <w:sz w:val="20"/>
                <w:szCs w:val="20"/>
              </w:rPr>
              <w:t>.</w:t>
            </w:r>
          </w:p>
        </w:tc>
      </w:tr>
      <w:tr w:rsidR="00FE33BF" w:rsidRPr="00BA1D95" w:rsidTr="00DD36C4">
        <w:trPr>
          <w:jc w:val="center"/>
        </w:trPr>
        <w:tc>
          <w:tcPr>
            <w:tcW w:w="2806" w:type="dxa"/>
            <w:shd w:val="clear" w:color="auto" w:fill="auto"/>
          </w:tcPr>
          <w:p w:rsidR="00FE33BF" w:rsidRPr="00BA1D95" w:rsidRDefault="00FE33BF" w:rsidP="004B11EB">
            <w:pPr>
              <w:pStyle w:val="IFTnormal"/>
              <w:rPr>
                <w:rFonts w:cs="Arial"/>
                <w:b/>
                <w:sz w:val="20"/>
                <w:szCs w:val="20"/>
                <w:lang w:eastAsia="es-MX"/>
              </w:rPr>
            </w:pPr>
            <w:r w:rsidRPr="00BA1D95">
              <w:rPr>
                <w:rFonts w:cs="Arial"/>
                <w:b/>
                <w:sz w:val="20"/>
                <w:szCs w:val="20"/>
                <w:lang w:eastAsia="es-MX"/>
              </w:rPr>
              <w:t>Confirmación de visita</w:t>
            </w:r>
          </w:p>
        </w:tc>
        <w:tc>
          <w:tcPr>
            <w:tcW w:w="6115" w:type="dxa"/>
            <w:shd w:val="clear" w:color="auto" w:fill="auto"/>
          </w:tcPr>
          <w:p w:rsidR="00FE33BF" w:rsidRPr="00BA1D95" w:rsidRDefault="00FE33BF" w:rsidP="00CF4481">
            <w:pPr>
              <w:pStyle w:val="IFTnormal"/>
              <w:rPr>
                <w:rFonts w:cs="Arial"/>
                <w:sz w:val="20"/>
                <w:szCs w:val="20"/>
                <w:lang w:eastAsia="es-MX"/>
              </w:rPr>
            </w:pPr>
            <w:r w:rsidRPr="00BA1D95">
              <w:rPr>
                <w:rFonts w:cs="Arial"/>
                <w:sz w:val="20"/>
                <w:szCs w:val="20"/>
                <w:lang w:eastAsia="es-MX"/>
              </w:rPr>
              <w:t xml:space="preserve">El CS confirma fecha y </w:t>
            </w:r>
            <w:r w:rsidR="0085490B" w:rsidRPr="00BA1D95">
              <w:rPr>
                <w:rFonts w:cs="Arial"/>
                <w:sz w:val="20"/>
                <w:szCs w:val="20"/>
                <w:lang w:eastAsia="es-MX"/>
              </w:rPr>
              <w:t xml:space="preserve">rango de </w:t>
            </w:r>
            <w:r w:rsidR="00B447FB" w:rsidRPr="00BA1D95">
              <w:rPr>
                <w:rFonts w:cs="Arial"/>
                <w:sz w:val="20"/>
                <w:szCs w:val="20"/>
                <w:lang w:eastAsia="es-MX"/>
              </w:rPr>
              <w:t>horario proporcionados</w:t>
            </w:r>
            <w:r w:rsidRPr="00BA1D95">
              <w:rPr>
                <w:rFonts w:cs="Arial"/>
                <w:sz w:val="20"/>
                <w:szCs w:val="20"/>
                <w:lang w:eastAsia="es-MX"/>
              </w:rPr>
              <w:t xml:space="preserve"> por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en el </w:t>
            </w:r>
            <w:r w:rsidR="006B5A23">
              <w:rPr>
                <w:rFonts w:cs="Arial"/>
                <w:sz w:val="20"/>
                <w:szCs w:val="20"/>
                <w:lang w:eastAsia="es-MX"/>
              </w:rPr>
              <w:t>SEG</w:t>
            </w:r>
            <w:r w:rsidRPr="00BA1D95">
              <w:rPr>
                <w:rFonts w:cs="Arial"/>
                <w:sz w:val="20"/>
                <w:szCs w:val="20"/>
                <w:lang w:eastAsia="es-MX"/>
              </w:rPr>
              <w:t xml:space="preserve"> o sugiere </w:t>
            </w:r>
            <w:r w:rsidR="0085490B" w:rsidRPr="00BA1D95">
              <w:rPr>
                <w:rFonts w:cs="Arial"/>
                <w:sz w:val="20"/>
                <w:szCs w:val="20"/>
              </w:rPr>
              <w:t xml:space="preserve">un nuevo rango de horario </w:t>
            </w:r>
            <w:r w:rsidRPr="00BA1D95">
              <w:rPr>
                <w:rFonts w:cs="Arial"/>
                <w:sz w:val="20"/>
                <w:szCs w:val="20"/>
                <w:lang w:eastAsia="es-MX"/>
              </w:rPr>
              <w:t>y/o fecha para</w:t>
            </w:r>
            <w:r w:rsidR="00404397" w:rsidRPr="00BA1D95">
              <w:rPr>
                <w:rFonts w:cs="Arial"/>
                <w:sz w:val="20"/>
                <w:szCs w:val="20"/>
                <w:lang w:eastAsia="es-MX"/>
              </w:rPr>
              <w:t xml:space="preserve"> la</w:t>
            </w:r>
            <w:r w:rsidRPr="00BA1D95">
              <w:rPr>
                <w:rFonts w:cs="Arial"/>
                <w:sz w:val="20"/>
                <w:szCs w:val="20"/>
                <w:lang w:eastAsia="es-MX"/>
              </w:rPr>
              <w:t xml:space="preserve"> instalación.</w:t>
            </w:r>
          </w:p>
        </w:tc>
      </w:tr>
      <w:tr w:rsidR="00FE33BF" w:rsidRPr="00BA1D95" w:rsidTr="00DD36C4">
        <w:trPr>
          <w:jc w:val="center"/>
        </w:trPr>
        <w:tc>
          <w:tcPr>
            <w:tcW w:w="2806" w:type="dxa"/>
            <w:shd w:val="clear" w:color="auto" w:fill="auto"/>
          </w:tcPr>
          <w:p w:rsidR="00FE33BF" w:rsidRPr="00BA1D95" w:rsidRDefault="00FE33BF" w:rsidP="004B11EB">
            <w:pPr>
              <w:pStyle w:val="IFTnormal"/>
              <w:rPr>
                <w:rFonts w:cs="Arial"/>
                <w:b/>
                <w:sz w:val="20"/>
                <w:szCs w:val="20"/>
                <w:lang w:eastAsia="es-MX"/>
              </w:rPr>
            </w:pPr>
            <w:r w:rsidRPr="00BA1D95">
              <w:rPr>
                <w:rFonts w:cs="Arial"/>
                <w:b/>
                <w:sz w:val="20"/>
                <w:szCs w:val="20"/>
                <w:lang w:eastAsia="es-MX"/>
              </w:rPr>
              <w:t>Reprogramación de visita</w:t>
            </w:r>
          </w:p>
        </w:tc>
        <w:tc>
          <w:tcPr>
            <w:tcW w:w="6115" w:type="dxa"/>
            <w:shd w:val="clear" w:color="auto" w:fill="auto"/>
          </w:tcPr>
          <w:p w:rsidR="00FE33BF" w:rsidRPr="00BA1D95" w:rsidRDefault="00FE33BF" w:rsidP="00CF4481">
            <w:pPr>
              <w:pStyle w:val="IFTnormal"/>
              <w:rPr>
                <w:rFonts w:cs="Arial"/>
                <w:sz w:val="20"/>
                <w:szCs w:val="20"/>
                <w:lang w:eastAsia="es-MX"/>
              </w:rPr>
            </w:pPr>
            <w:r w:rsidRPr="00BA1D95">
              <w:rPr>
                <w:rFonts w:cs="Arial"/>
                <w:sz w:val="20"/>
                <w:szCs w:val="20"/>
                <w:lang w:eastAsia="es-MX"/>
              </w:rPr>
              <w:t xml:space="preserve">El CS tendrá hasta 3 oportunidades de programar la instalación antes de que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asista por primera vez al domicilio del Usuario Final para lo cual deberá </w:t>
            </w:r>
            <w:r w:rsidR="00B447FB" w:rsidRPr="00BA1D95">
              <w:rPr>
                <w:rFonts w:cs="Arial"/>
                <w:sz w:val="20"/>
                <w:szCs w:val="20"/>
                <w:lang w:eastAsia="es-MX"/>
              </w:rPr>
              <w:t>avisar</w:t>
            </w:r>
            <w:r w:rsidRPr="00BA1D95">
              <w:rPr>
                <w:rFonts w:cs="Arial"/>
                <w:sz w:val="20"/>
                <w:szCs w:val="20"/>
                <w:lang w:eastAsia="es-MX"/>
              </w:rPr>
              <w:t xml:space="preserve"> a</w:t>
            </w:r>
            <w:r w:rsidR="005623ED" w:rsidRPr="00BA1D95">
              <w:rPr>
                <w:rFonts w:cs="Arial"/>
                <w:sz w:val="20"/>
                <w:szCs w:val="20"/>
                <w:lang w:eastAsia="es-MX"/>
              </w:rPr>
              <w:t xml:space="preserve">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con al menos 36 horas de </w:t>
            </w:r>
            <w:r w:rsidR="00B447FB" w:rsidRPr="00BA1D95">
              <w:rPr>
                <w:rFonts w:cs="Arial"/>
                <w:sz w:val="20"/>
                <w:szCs w:val="20"/>
                <w:lang w:eastAsia="es-MX"/>
              </w:rPr>
              <w:t>anticipación. Si</w:t>
            </w:r>
            <w:r w:rsidRPr="00BA1D95">
              <w:rPr>
                <w:rFonts w:cs="Arial"/>
                <w:sz w:val="20"/>
                <w:szCs w:val="20"/>
                <w:lang w:eastAsia="es-MX"/>
              </w:rPr>
              <w:t xml:space="preserve"> la fecha de programación excede los plazos estipulados </w:t>
            </w:r>
            <w:r w:rsidRPr="00BA1D95">
              <w:rPr>
                <w:rFonts w:cs="Arial"/>
                <w:sz w:val="20"/>
                <w:szCs w:val="20"/>
                <w:lang w:eastAsia="es-MX"/>
              </w:rPr>
              <w:lastRenderedPageBreak/>
              <w:t>en la Oferta de Referencia, dicha instalación no se considerará para la evaluación de los indicadores de calidad.</w:t>
            </w:r>
          </w:p>
        </w:tc>
      </w:tr>
      <w:tr w:rsidR="00FE33BF" w:rsidRPr="00BA1D95" w:rsidTr="00DD36C4">
        <w:trPr>
          <w:jc w:val="center"/>
        </w:trPr>
        <w:tc>
          <w:tcPr>
            <w:tcW w:w="2806" w:type="dxa"/>
            <w:shd w:val="clear" w:color="auto" w:fill="auto"/>
          </w:tcPr>
          <w:p w:rsidR="00FE33BF" w:rsidRPr="00BA1D95" w:rsidRDefault="00FE33BF" w:rsidP="004B11EB">
            <w:pPr>
              <w:pStyle w:val="IFTnormal"/>
              <w:rPr>
                <w:rFonts w:cs="Arial"/>
                <w:b/>
                <w:sz w:val="20"/>
                <w:szCs w:val="20"/>
                <w:lang w:eastAsia="es-MX"/>
              </w:rPr>
            </w:pPr>
            <w:r w:rsidRPr="00BA1D95">
              <w:rPr>
                <w:rFonts w:cs="Arial"/>
                <w:b/>
                <w:sz w:val="20"/>
                <w:szCs w:val="20"/>
                <w:lang w:eastAsia="es-MX"/>
              </w:rPr>
              <w:lastRenderedPageBreak/>
              <w:t>Visita en falso</w:t>
            </w:r>
          </w:p>
        </w:tc>
        <w:tc>
          <w:tcPr>
            <w:tcW w:w="6115" w:type="dxa"/>
            <w:shd w:val="clear" w:color="auto" w:fill="auto"/>
          </w:tcPr>
          <w:p w:rsidR="00FE33BF" w:rsidRPr="00BA1D95" w:rsidRDefault="00FE33BF" w:rsidP="004B11EB">
            <w:pPr>
              <w:pStyle w:val="IFTnormal"/>
              <w:rPr>
                <w:rFonts w:cs="Arial"/>
                <w:sz w:val="20"/>
                <w:szCs w:val="20"/>
                <w:lang w:eastAsia="es-MX"/>
              </w:rPr>
            </w:pPr>
            <w:r w:rsidRPr="00BA1D95">
              <w:rPr>
                <w:rFonts w:cs="Arial"/>
                <w:b/>
                <w:sz w:val="20"/>
                <w:szCs w:val="20"/>
                <w:lang w:eastAsia="es-MX"/>
              </w:rPr>
              <w:t>Atribuible a CS o Usuario Final</w:t>
            </w:r>
            <w:r w:rsidRPr="00BA1D95">
              <w:rPr>
                <w:rFonts w:cs="Arial"/>
                <w:sz w:val="20"/>
                <w:szCs w:val="20"/>
                <w:lang w:eastAsia="es-MX"/>
              </w:rPr>
              <w:t xml:space="preserve">. En caso de que </w:t>
            </w:r>
            <w:r w:rsidR="00E83F21">
              <w:rPr>
                <w:rFonts w:cs="Arial"/>
                <w:sz w:val="20"/>
                <w:szCs w:val="20"/>
                <w:lang w:eastAsia="es-MX"/>
              </w:rPr>
              <w:t>Telmex / Telnor</w:t>
            </w:r>
            <w:r w:rsidR="00CF4481">
              <w:rPr>
                <w:rFonts w:cs="Arial"/>
                <w:sz w:val="20"/>
                <w:szCs w:val="20"/>
                <w:lang w:eastAsia="es-MX"/>
              </w:rPr>
              <w:t xml:space="preserve"> </w:t>
            </w:r>
            <w:r w:rsidR="00A50D66" w:rsidRPr="00BA1D95">
              <w:rPr>
                <w:rFonts w:cs="Arial"/>
                <w:sz w:val="20"/>
                <w:szCs w:val="20"/>
                <w:lang w:eastAsia="es-MX"/>
              </w:rPr>
              <w:t>se</w:t>
            </w:r>
            <w:r w:rsidRPr="00BA1D95">
              <w:rPr>
                <w:rFonts w:cs="Arial"/>
                <w:sz w:val="20"/>
                <w:szCs w:val="20"/>
                <w:lang w:eastAsia="es-MX"/>
              </w:rPr>
              <w:t xml:space="preserve"> presente en el domicilio del Usuario Final y no sea factible probar la acometida y habilitar el servicio por razones asociadas al usuario o al </w:t>
            </w:r>
            <w:r w:rsidR="00A50D66" w:rsidRPr="00BA1D95">
              <w:rPr>
                <w:rFonts w:cs="Arial"/>
                <w:sz w:val="20"/>
                <w:szCs w:val="20"/>
                <w:lang w:eastAsia="es-MX"/>
              </w:rPr>
              <w:t xml:space="preserve">CS,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desde el sitio (fuera del domicilio) contactará al CS para informar que el usuario no lo atendió o no se encontró en el domicilio,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esperará </w:t>
            </w:r>
            <w:r w:rsidR="00234E06" w:rsidRPr="00BA1D95">
              <w:rPr>
                <w:rFonts w:cs="Arial"/>
                <w:sz w:val="20"/>
                <w:szCs w:val="20"/>
                <w:lang w:eastAsia="es-MX"/>
              </w:rPr>
              <w:t>máximo</w:t>
            </w:r>
            <w:r w:rsidRPr="00BA1D95">
              <w:rPr>
                <w:rFonts w:cs="Arial"/>
                <w:sz w:val="20"/>
                <w:szCs w:val="20"/>
                <w:lang w:eastAsia="es-MX"/>
              </w:rPr>
              <w:t xml:space="preserve"> </w:t>
            </w:r>
            <w:r w:rsidR="003B4567">
              <w:rPr>
                <w:rFonts w:cs="Arial"/>
                <w:sz w:val="20"/>
                <w:szCs w:val="20"/>
                <w:lang w:eastAsia="es-MX"/>
              </w:rPr>
              <w:t>30</w:t>
            </w:r>
            <w:r w:rsidRPr="00BA1D95">
              <w:rPr>
                <w:rFonts w:cs="Arial"/>
                <w:sz w:val="20"/>
                <w:szCs w:val="20"/>
                <w:lang w:eastAsia="es-MX"/>
              </w:rPr>
              <w:t xml:space="preserve"> minutos para realizar la prueba y habilitar el servicio, el CS tendrá ese tiempo para solucionar la situación con su usuario. Si durante este periodo no fue posible ejecutar la prueba de la </w:t>
            </w:r>
            <w:r w:rsidR="009B093A" w:rsidRPr="00BA1D95">
              <w:rPr>
                <w:rFonts w:cs="Arial"/>
                <w:sz w:val="20"/>
                <w:szCs w:val="20"/>
                <w:lang w:eastAsia="es-MX"/>
              </w:rPr>
              <w:t>a</w:t>
            </w:r>
            <w:r w:rsidRPr="00BA1D95">
              <w:rPr>
                <w:rFonts w:cs="Arial"/>
                <w:sz w:val="20"/>
                <w:szCs w:val="20"/>
                <w:lang w:eastAsia="es-MX"/>
              </w:rPr>
              <w:t>cometida y habilitación del servicio, el CS deberá:</w:t>
            </w:r>
          </w:p>
          <w:p w:rsidR="00A85B6F" w:rsidRPr="00BA1D95" w:rsidRDefault="00A85B6F" w:rsidP="00D37C98">
            <w:pPr>
              <w:pStyle w:val="Prrafodelista"/>
              <w:numPr>
                <w:ilvl w:val="0"/>
                <w:numId w:val="52"/>
              </w:numPr>
              <w:rPr>
                <w:rFonts w:ascii="ITC Avant Garde" w:eastAsia="Calibri" w:hAnsi="ITC Avant Garde" w:cs="Arial"/>
                <w:bCs/>
                <w:sz w:val="20"/>
                <w:szCs w:val="20"/>
                <w:lang w:val="es-MX" w:eastAsia="es-MX"/>
              </w:rPr>
            </w:pPr>
            <w:r w:rsidRPr="00BA1D95">
              <w:rPr>
                <w:rFonts w:ascii="ITC Avant Garde" w:eastAsia="Calibri" w:hAnsi="ITC Avant Garde" w:cs="Arial"/>
                <w:bCs/>
                <w:sz w:val="20"/>
                <w:szCs w:val="20"/>
                <w:lang w:val="es-MX" w:eastAsia="es-MX"/>
              </w:rPr>
              <w:t>Pagar la penalización correspondiente señalada en el anexo “B”.</w:t>
            </w:r>
          </w:p>
          <w:p w:rsidR="00A85B6F" w:rsidRPr="00BA1D95" w:rsidRDefault="00A85B6F" w:rsidP="0023172A">
            <w:pPr>
              <w:pStyle w:val="Prrafodelista"/>
              <w:ind w:left="720"/>
              <w:rPr>
                <w:rFonts w:ascii="ITC Avant Garde" w:eastAsia="Calibri" w:hAnsi="ITC Avant Garde" w:cs="Arial"/>
                <w:bCs/>
                <w:sz w:val="20"/>
                <w:szCs w:val="20"/>
                <w:lang w:val="es-MX" w:eastAsia="es-MX"/>
              </w:rPr>
            </w:pPr>
          </w:p>
          <w:p w:rsidR="009B093A" w:rsidRPr="00BA1D95" w:rsidRDefault="009B093A" w:rsidP="00290D8F">
            <w:pPr>
              <w:spacing w:after="0" w:line="240" w:lineRule="auto"/>
              <w:rPr>
                <w:rFonts w:ascii="ITC Avant Garde" w:hAnsi="ITC Avant Garde" w:cs="Arial"/>
                <w:bCs/>
                <w:sz w:val="20"/>
                <w:szCs w:val="20"/>
                <w:lang w:eastAsia="es-MX"/>
              </w:rPr>
            </w:pPr>
            <w:r w:rsidRPr="00BA1D95">
              <w:rPr>
                <w:rFonts w:ascii="ITC Avant Garde" w:hAnsi="ITC Avant Garde" w:cs="Arial"/>
                <w:bCs/>
                <w:sz w:val="20"/>
                <w:szCs w:val="20"/>
              </w:rPr>
              <w:t>Además</w:t>
            </w:r>
            <w:r w:rsidRPr="00BA1D95">
              <w:rPr>
                <w:rFonts w:ascii="ITC Avant Garde" w:hAnsi="ITC Avant Garde" w:cs="Arial"/>
                <w:bCs/>
                <w:sz w:val="20"/>
                <w:szCs w:val="20"/>
                <w:lang w:eastAsia="es-MX"/>
              </w:rPr>
              <w:t>,</w:t>
            </w:r>
            <w:r w:rsidRPr="00BA1D95">
              <w:rPr>
                <w:rFonts w:ascii="ITC Avant Garde" w:hAnsi="ITC Avant Garde" w:cs="Arial"/>
                <w:bCs/>
                <w:sz w:val="20"/>
                <w:szCs w:val="20"/>
              </w:rPr>
              <w:t xml:space="preserve"> </w:t>
            </w:r>
            <w:r w:rsidRPr="00BA1D95">
              <w:rPr>
                <w:rFonts w:ascii="ITC Avant Garde" w:hAnsi="ITC Avant Garde" w:cs="Arial"/>
                <w:bCs/>
                <w:sz w:val="20"/>
                <w:szCs w:val="20"/>
                <w:lang w:eastAsia="es-MX"/>
              </w:rPr>
              <w:t xml:space="preserve">deberá </w:t>
            </w:r>
            <w:r w:rsidRPr="00BA1D95">
              <w:rPr>
                <w:rFonts w:ascii="ITC Avant Garde" w:hAnsi="ITC Avant Garde" w:cs="Arial"/>
                <w:bCs/>
                <w:sz w:val="20"/>
                <w:szCs w:val="20"/>
              </w:rPr>
              <w:t>indicar alguna de las siguientes acciones:</w:t>
            </w:r>
          </w:p>
          <w:p w:rsidR="009B093A" w:rsidRPr="00BA1D95" w:rsidRDefault="009B093A" w:rsidP="0023172A">
            <w:pPr>
              <w:pStyle w:val="Prrafodelista"/>
              <w:ind w:left="720"/>
              <w:rPr>
                <w:rFonts w:ascii="ITC Avant Garde" w:eastAsia="Calibri" w:hAnsi="ITC Avant Garde" w:cs="Arial"/>
                <w:bCs/>
                <w:sz w:val="20"/>
                <w:szCs w:val="20"/>
                <w:lang w:val="es-MX" w:eastAsia="es-MX"/>
              </w:rPr>
            </w:pPr>
          </w:p>
          <w:p w:rsidR="00FE33BF" w:rsidRPr="00BA1D95" w:rsidRDefault="00FE33BF" w:rsidP="00D37C98">
            <w:pPr>
              <w:pStyle w:val="IFTnormal"/>
              <w:numPr>
                <w:ilvl w:val="0"/>
                <w:numId w:val="52"/>
              </w:numPr>
              <w:rPr>
                <w:rFonts w:cs="Arial"/>
                <w:sz w:val="20"/>
                <w:szCs w:val="20"/>
                <w:lang w:eastAsia="es-MX"/>
              </w:rPr>
            </w:pPr>
            <w:r w:rsidRPr="00BA1D95">
              <w:rPr>
                <w:rFonts w:cs="Arial"/>
                <w:sz w:val="20"/>
                <w:szCs w:val="20"/>
                <w:lang w:eastAsia="es-MX"/>
              </w:rPr>
              <w:t>Indicar si desea realizar la reprogramación de la prueba y habilitación del servicio</w:t>
            </w:r>
            <w:r w:rsidR="00B25B82" w:rsidRPr="00BA1D95">
              <w:rPr>
                <w:rStyle w:val="Refdenotaalpie"/>
                <w:rFonts w:cs="Arial"/>
                <w:sz w:val="20"/>
                <w:szCs w:val="20"/>
                <w:lang w:eastAsia="es-MX"/>
              </w:rPr>
              <w:footnoteReference w:id="18"/>
            </w:r>
            <w:r w:rsidRPr="00BA1D95">
              <w:rPr>
                <w:rFonts w:cs="Arial"/>
                <w:sz w:val="20"/>
                <w:szCs w:val="20"/>
                <w:lang w:eastAsia="es-MX"/>
              </w:rPr>
              <w:t>.</w:t>
            </w:r>
          </w:p>
          <w:p w:rsidR="00FE33BF" w:rsidRPr="00BA1D95" w:rsidRDefault="00FE33BF" w:rsidP="00D37C98">
            <w:pPr>
              <w:pStyle w:val="IFTnormal"/>
              <w:numPr>
                <w:ilvl w:val="0"/>
                <w:numId w:val="52"/>
              </w:numPr>
              <w:rPr>
                <w:rFonts w:cs="Arial"/>
                <w:sz w:val="20"/>
                <w:szCs w:val="20"/>
                <w:lang w:eastAsia="es-MX"/>
              </w:rPr>
            </w:pPr>
            <w:r w:rsidRPr="00BA1D95">
              <w:rPr>
                <w:rFonts w:cs="Arial"/>
                <w:sz w:val="20"/>
                <w:szCs w:val="20"/>
                <w:lang w:eastAsia="es-MX"/>
              </w:rPr>
              <w:t>Cancelar la solicitud en caso de que desee rechazar el servicio.</w:t>
            </w:r>
          </w:p>
          <w:p w:rsidR="00FE33BF" w:rsidRPr="00BA1D95" w:rsidRDefault="00FE33BF" w:rsidP="004B11EB">
            <w:pPr>
              <w:pStyle w:val="IFTnormal"/>
              <w:rPr>
                <w:rFonts w:cs="Arial"/>
                <w:sz w:val="20"/>
                <w:szCs w:val="20"/>
                <w:lang w:eastAsia="es-MX"/>
              </w:rPr>
            </w:pPr>
            <w:r w:rsidRPr="00BA1D95">
              <w:rPr>
                <w:rFonts w:cs="Arial"/>
                <w:b/>
                <w:sz w:val="20"/>
                <w:szCs w:val="20"/>
                <w:lang w:eastAsia="es-MX"/>
              </w:rPr>
              <w:t xml:space="preserve">Atribuible a </w:t>
            </w:r>
            <w:r w:rsidR="00E83F21">
              <w:rPr>
                <w:rFonts w:cs="Arial"/>
                <w:b/>
                <w:sz w:val="20"/>
                <w:szCs w:val="20"/>
                <w:lang w:eastAsia="es-MX"/>
              </w:rPr>
              <w:t>Telmex / Telnor</w:t>
            </w:r>
            <w:r w:rsidRPr="00BA1D95">
              <w:rPr>
                <w:rFonts w:cs="Arial"/>
                <w:b/>
                <w:sz w:val="20"/>
                <w:szCs w:val="20"/>
                <w:lang w:eastAsia="es-MX"/>
              </w:rPr>
              <w:t>.</w:t>
            </w:r>
            <w:r w:rsidRPr="00BA1D95">
              <w:rPr>
                <w:rFonts w:cs="Arial"/>
                <w:sz w:val="20"/>
                <w:szCs w:val="20"/>
                <w:lang w:eastAsia="es-MX"/>
              </w:rPr>
              <w:t xml:space="preserve"> Si por causas atribuibles a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 xml:space="preserve">no fue factible realizar la prueba de la acometida y habilitación del servicio, se informará al CS a través del </w:t>
            </w:r>
            <w:r w:rsidR="006B5A23">
              <w:rPr>
                <w:rFonts w:cs="Arial"/>
                <w:sz w:val="20"/>
                <w:szCs w:val="20"/>
                <w:lang w:eastAsia="es-MX"/>
              </w:rPr>
              <w:t>SEG</w:t>
            </w:r>
            <w:r w:rsidRPr="00BA1D95">
              <w:rPr>
                <w:rFonts w:cs="Arial"/>
                <w:sz w:val="20"/>
                <w:szCs w:val="20"/>
                <w:lang w:eastAsia="es-MX"/>
              </w:rPr>
              <w:t xml:space="preserve"> la justificación de los motivos descritos en el apartado 1.4. y </w:t>
            </w:r>
            <w:r w:rsidR="00E83F21">
              <w:rPr>
                <w:rFonts w:cs="Arial"/>
                <w:sz w:val="20"/>
                <w:szCs w:val="20"/>
                <w:lang w:eastAsia="es-MX"/>
              </w:rPr>
              <w:t>Telmex / Telnor</w:t>
            </w:r>
            <w:r w:rsidR="00CF4481">
              <w:rPr>
                <w:rFonts w:cs="Arial"/>
                <w:sz w:val="20"/>
                <w:szCs w:val="20"/>
                <w:lang w:eastAsia="es-MX"/>
              </w:rPr>
              <w:t xml:space="preserve"> </w:t>
            </w:r>
            <w:r w:rsidRPr="00BA1D95">
              <w:rPr>
                <w:rFonts w:cs="Arial"/>
                <w:sz w:val="20"/>
                <w:szCs w:val="20"/>
                <w:lang w:eastAsia="es-MX"/>
              </w:rPr>
              <w:t>deberá:</w:t>
            </w:r>
          </w:p>
          <w:p w:rsidR="00FE33BF" w:rsidRPr="00BA1D95" w:rsidRDefault="00F72A94" w:rsidP="00D37C98">
            <w:pPr>
              <w:pStyle w:val="Prrafodelista"/>
              <w:numPr>
                <w:ilvl w:val="0"/>
                <w:numId w:val="52"/>
              </w:numPr>
              <w:rPr>
                <w:rFonts w:ascii="ITC Avant Garde" w:hAnsi="ITC Avant Garde" w:cs="Arial"/>
                <w:sz w:val="20"/>
                <w:szCs w:val="20"/>
              </w:rPr>
            </w:pPr>
            <w:r w:rsidRPr="00BA1D95">
              <w:rPr>
                <w:rFonts w:ascii="ITC Avant Garde" w:eastAsia="Calibri" w:hAnsi="ITC Avant Garde" w:cs="Arial"/>
                <w:sz w:val="20"/>
                <w:szCs w:val="20"/>
                <w:lang w:val="es-MX" w:eastAsia="es-MX"/>
              </w:rPr>
              <w:t>Pagar la penalización correspondiente señalada en el anexo “B”</w:t>
            </w:r>
            <w:r w:rsidR="00FE33BF" w:rsidRPr="00BA1D95">
              <w:rPr>
                <w:rFonts w:ascii="ITC Avant Garde" w:eastAsia="Calibri" w:hAnsi="ITC Avant Garde" w:cs="Arial"/>
                <w:sz w:val="20"/>
                <w:szCs w:val="20"/>
                <w:lang w:val="es-MX" w:eastAsia="es-MX"/>
              </w:rPr>
              <w:t>.</w:t>
            </w:r>
          </w:p>
          <w:p w:rsidR="00CE0A68" w:rsidRPr="00BA1D95" w:rsidRDefault="00CE0A68" w:rsidP="00290D8F">
            <w:pPr>
              <w:spacing w:after="0" w:line="240" w:lineRule="auto"/>
              <w:rPr>
                <w:rFonts w:ascii="ITC Avant Garde" w:hAnsi="ITC Avant Garde" w:cs="Arial"/>
                <w:sz w:val="20"/>
                <w:szCs w:val="20"/>
              </w:rPr>
            </w:pPr>
          </w:p>
          <w:p w:rsidR="00C0124F" w:rsidRPr="00BA1D95" w:rsidRDefault="00C0124F" w:rsidP="00290D8F">
            <w:pPr>
              <w:spacing w:after="0" w:line="240" w:lineRule="auto"/>
              <w:rPr>
                <w:rFonts w:ascii="ITC Avant Garde" w:hAnsi="ITC Avant Garde" w:cs="Arial"/>
                <w:sz w:val="20"/>
                <w:szCs w:val="20"/>
              </w:rPr>
            </w:pPr>
          </w:p>
          <w:p w:rsidR="009B093A" w:rsidRPr="00BA1D95" w:rsidRDefault="009B093A" w:rsidP="004B11EB">
            <w:pPr>
              <w:pStyle w:val="IFTnormal"/>
              <w:rPr>
                <w:rFonts w:cs="Arial"/>
                <w:sz w:val="20"/>
                <w:szCs w:val="20"/>
                <w:lang w:eastAsia="es-MX"/>
              </w:rPr>
            </w:pPr>
            <w:r w:rsidRPr="00BA1D95">
              <w:rPr>
                <w:rFonts w:cs="Arial"/>
                <w:sz w:val="20"/>
                <w:szCs w:val="20"/>
                <w:lang w:eastAsia="es-MX"/>
              </w:rPr>
              <w:t xml:space="preserve">Además, </w:t>
            </w:r>
            <w:r w:rsidR="00CE0A68" w:rsidRPr="00BA1D95">
              <w:rPr>
                <w:rFonts w:cs="Arial"/>
                <w:sz w:val="20"/>
                <w:szCs w:val="20"/>
                <w:lang w:eastAsia="es-MX"/>
              </w:rPr>
              <w:t xml:space="preserve">deberá </w:t>
            </w:r>
            <w:r w:rsidRPr="00BA1D95">
              <w:rPr>
                <w:rFonts w:cs="Arial"/>
                <w:sz w:val="20"/>
                <w:szCs w:val="20"/>
                <w:lang w:eastAsia="es-MX"/>
              </w:rPr>
              <w:t>indicar alguna de las siguientes acciones:</w:t>
            </w:r>
          </w:p>
          <w:p w:rsidR="00FE33BF" w:rsidRPr="00BA1D95" w:rsidRDefault="00FE33BF" w:rsidP="00D37C98">
            <w:pPr>
              <w:pStyle w:val="IFTnormal"/>
              <w:numPr>
                <w:ilvl w:val="0"/>
                <w:numId w:val="53"/>
              </w:numPr>
              <w:rPr>
                <w:rFonts w:cs="Arial"/>
                <w:sz w:val="20"/>
                <w:szCs w:val="20"/>
                <w:lang w:eastAsia="es-MX"/>
              </w:rPr>
            </w:pPr>
            <w:r w:rsidRPr="00BA1D95">
              <w:rPr>
                <w:rFonts w:cs="Arial"/>
                <w:sz w:val="20"/>
                <w:szCs w:val="20"/>
                <w:lang w:eastAsia="es-MX"/>
              </w:rPr>
              <w:t>Proponer al CS una nueva fecha para concluir la habilitación del servicio.</w:t>
            </w:r>
          </w:p>
          <w:p w:rsidR="00CE0A68" w:rsidRPr="00BA1D95" w:rsidRDefault="00CE0A68" w:rsidP="00D37C98">
            <w:pPr>
              <w:pStyle w:val="IFTnormal"/>
              <w:numPr>
                <w:ilvl w:val="0"/>
                <w:numId w:val="53"/>
              </w:numPr>
              <w:rPr>
                <w:rFonts w:cs="Arial"/>
                <w:sz w:val="20"/>
                <w:szCs w:val="20"/>
                <w:lang w:eastAsia="es-MX"/>
              </w:rPr>
            </w:pPr>
            <w:r w:rsidRPr="00BA1D95">
              <w:rPr>
                <w:rFonts w:cs="Arial"/>
                <w:sz w:val="20"/>
                <w:szCs w:val="20"/>
                <w:lang w:eastAsia="es-MX"/>
              </w:rPr>
              <w:t>Declarar la no factibilidad técnica del servicio.</w:t>
            </w:r>
          </w:p>
          <w:p w:rsidR="00FE33BF" w:rsidRPr="00BA1D95" w:rsidRDefault="00FE33BF" w:rsidP="004B11EB">
            <w:pPr>
              <w:pStyle w:val="IFTnormal"/>
              <w:rPr>
                <w:rFonts w:cs="Arial"/>
                <w:sz w:val="20"/>
                <w:szCs w:val="20"/>
                <w:lang w:eastAsia="es-MX"/>
              </w:rPr>
            </w:pPr>
            <w:r w:rsidRPr="00BA1D95">
              <w:rPr>
                <w:rFonts w:cs="Arial"/>
                <w:b/>
                <w:sz w:val="20"/>
                <w:szCs w:val="20"/>
                <w:lang w:eastAsia="es-MX"/>
              </w:rPr>
              <w:t>Tercer</w:t>
            </w:r>
            <w:r w:rsidR="00CC03B6" w:rsidRPr="00BA1D95">
              <w:rPr>
                <w:rFonts w:cs="Arial"/>
                <w:b/>
                <w:sz w:val="20"/>
                <w:szCs w:val="20"/>
                <w:lang w:eastAsia="es-MX"/>
              </w:rPr>
              <w:t>a</w:t>
            </w:r>
            <w:r w:rsidRPr="00BA1D95">
              <w:rPr>
                <w:rFonts w:cs="Arial"/>
                <w:b/>
                <w:sz w:val="20"/>
                <w:szCs w:val="20"/>
                <w:lang w:eastAsia="es-MX"/>
              </w:rPr>
              <w:t xml:space="preserve"> visita atribuible a Usuario Final.</w:t>
            </w:r>
            <w:r w:rsidRPr="00BA1D95">
              <w:rPr>
                <w:rFonts w:cs="Arial"/>
                <w:sz w:val="20"/>
                <w:szCs w:val="20"/>
                <w:lang w:eastAsia="es-MX"/>
              </w:rPr>
              <w:t xml:space="preserve"> Si no fue posible la instalación de la acometida en la tercera visita o durante los días hábiles programados por razones asociadas al usuario, el CS deberá:</w:t>
            </w:r>
          </w:p>
          <w:p w:rsidR="00FE33BF" w:rsidRPr="00BA1D95" w:rsidRDefault="00FE33BF" w:rsidP="00D37C98">
            <w:pPr>
              <w:pStyle w:val="IFTnormal"/>
              <w:numPr>
                <w:ilvl w:val="0"/>
                <w:numId w:val="54"/>
              </w:numPr>
              <w:rPr>
                <w:rFonts w:cs="Arial"/>
                <w:sz w:val="20"/>
                <w:szCs w:val="20"/>
                <w:lang w:eastAsia="es-MX"/>
              </w:rPr>
            </w:pPr>
            <w:r w:rsidRPr="00BA1D95">
              <w:rPr>
                <w:rFonts w:cs="Arial"/>
                <w:sz w:val="20"/>
                <w:szCs w:val="20"/>
                <w:lang w:eastAsia="es-MX"/>
              </w:rPr>
              <w:lastRenderedPageBreak/>
              <w:t>Reingresar la solicitud en caso de que desee programar nuevamente la instalación.</w:t>
            </w:r>
          </w:p>
          <w:p w:rsidR="00FE33BF" w:rsidRPr="00BA1D95" w:rsidRDefault="00FE33BF" w:rsidP="00D37C98">
            <w:pPr>
              <w:pStyle w:val="IFTnormal"/>
              <w:numPr>
                <w:ilvl w:val="0"/>
                <w:numId w:val="54"/>
              </w:numPr>
              <w:rPr>
                <w:rFonts w:cs="Arial"/>
                <w:sz w:val="20"/>
                <w:szCs w:val="20"/>
                <w:lang w:eastAsia="es-MX"/>
              </w:rPr>
            </w:pPr>
            <w:r w:rsidRPr="00BA1D95">
              <w:rPr>
                <w:rFonts w:cs="Arial"/>
                <w:sz w:val="20"/>
                <w:szCs w:val="20"/>
                <w:lang w:eastAsia="es-MX"/>
              </w:rPr>
              <w:t>Cancelar la solicitud en caso de que desee rechazar el servicio.</w:t>
            </w:r>
          </w:p>
          <w:p w:rsidR="00FE33BF" w:rsidRPr="00BA1D95" w:rsidRDefault="00FE33BF" w:rsidP="004B11EB">
            <w:pPr>
              <w:pStyle w:val="IFTnormal"/>
              <w:rPr>
                <w:rFonts w:cs="Arial"/>
                <w:sz w:val="20"/>
                <w:szCs w:val="20"/>
                <w:lang w:eastAsia="es-MX"/>
              </w:rPr>
            </w:pPr>
            <w:r w:rsidRPr="00BA1D95">
              <w:rPr>
                <w:rFonts w:cs="Arial"/>
                <w:sz w:val="20"/>
                <w:szCs w:val="20"/>
                <w:lang w:eastAsia="es-MX"/>
              </w:rPr>
              <w:t>En caso de visita en falso se registrará e</w:t>
            </w:r>
            <w:r w:rsidR="00540C0B" w:rsidRPr="00BA1D95">
              <w:rPr>
                <w:rFonts w:cs="Arial"/>
                <w:sz w:val="20"/>
                <w:szCs w:val="20"/>
                <w:lang w:eastAsia="es-MX"/>
              </w:rPr>
              <w:t>n</w:t>
            </w:r>
            <w:r w:rsidRPr="00BA1D95">
              <w:rPr>
                <w:rFonts w:cs="Arial"/>
                <w:sz w:val="20"/>
                <w:szCs w:val="20"/>
                <w:lang w:eastAsia="es-MX"/>
              </w:rPr>
              <w:t xml:space="preserve"> el </w:t>
            </w:r>
            <w:r w:rsidR="006B5A23">
              <w:rPr>
                <w:rFonts w:cs="Arial"/>
                <w:sz w:val="20"/>
                <w:szCs w:val="20"/>
                <w:lang w:eastAsia="es-MX"/>
              </w:rPr>
              <w:t>SEG</w:t>
            </w:r>
            <w:r w:rsidRPr="00BA1D95">
              <w:rPr>
                <w:rFonts w:cs="Arial"/>
                <w:sz w:val="20"/>
                <w:szCs w:val="20"/>
                <w:lang w:eastAsia="es-MX"/>
              </w:rPr>
              <w:t xml:space="preserve"> las causas y evidencias, así como a quien fue atribuible.</w:t>
            </w:r>
          </w:p>
        </w:tc>
      </w:tr>
    </w:tbl>
    <w:bookmarkEnd w:id="541"/>
    <w:p w:rsidR="00FE33BF" w:rsidRPr="00BA1D95" w:rsidRDefault="00FE33BF" w:rsidP="004B11EB">
      <w:pPr>
        <w:pStyle w:val="IFTnormal"/>
        <w:rPr>
          <w:rFonts w:cs="Arial"/>
          <w:sz w:val="20"/>
          <w:szCs w:val="20"/>
        </w:rPr>
      </w:pPr>
      <w:r w:rsidRPr="00BA1D95">
        <w:rPr>
          <w:rFonts w:cs="Arial"/>
          <w:b/>
          <w:sz w:val="20"/>
          <w:szCs w:val="20"/>
        </w:rPr>
        <w:lastRenderedPageBreak/>
        <w:t>Nota:</w:t>
      </w:r>
      <w:r w:rsidR="00B447FB" w:rsidRPr="00BA1D95">
        <w:rPr>
          <w:rFonts w:cs="Arial"/>
          <w:b/>
          <w:sz w:val="18"/>
          <w:szCs w:val="18"/>
        </w:rPr>
        <w:t xml:space="preserve"> </w:t>
      </w:r>
      <w:r w:rsidRPr="00BA1D95">
        <w:rPr>
          <w:rFonts w:cs="Arial"/>
          <w:sz w:val="18"/>
          <w:szCs w:val="18"/>
        </w:rPr>
        <w:t>El registro, modificación y confirmación de fechas y</w:t>
      </w:r>
      <w:r w:rsidR="00570204" w:rsidRPr="00BA1D95">
        <w:rPr>
          <w:rFonts w:cs="Arial"/>
          <w:sz w:val="18"/>
          <w:szCs w:val="18"/>
        </w:rPr>
        <w:t xml:space="preserve"> </w:t>
      </w:r>
      <w:r w:rsidRPr="00BA1D95">
        <w:rPr>
          <w:rFonts w:cs="Arial"/>
          <w:sz w:val="18"/>
          <w:szCs w:val="18"/>
        </w:rPr>
        <w:t>ho</w:t>
      </w:r>
      <w:r w:rsidR="00E32247" w:rsidRPr="00BA1D95">
        <w:rPr>
          <w:rFonts w:cs="Arial"/>
          <w:sz w:val="18"/>
          <w:szCs w:val="18"/>
        </w:rPr>
        <w:t xml:space="preserve">rarios se hará a través del </w:t>
      </w:r>
      <w:r w:rsidR="006B5A23">
        <w:rPr>
          <w:rFonts w:cs="Arial"/>
          <w:sz w:val="18"/>
          <w:szCs w:val="18"/>
        </w:rPr>
        <w:t>SEG</w:t>
      </w:r>
      <w:r w:rsidR="00E32247" w:rsidRPr="00BA1D95">
        <w:rPr>
          <w:rFonts w:cs="Arial"/>
          <w:sz w:val="18"/>
          <w:szCs w:val="18"/>
        </w:rPr>
        <w:t>.</w:t>
      </w:r>
    </w:p>
    <w:p w:rsidR="00FE33BF" w:rsidRPr="00BA1D95" w:rsidRDefault="00FE33BF" w:rsidP="004B11EB">
      <w:pPr>
        <w:pStyle w:val="IFTnormal"/>
        <w:rPr>
          <w:rFonts w:cs="Arial"/>
          <w:b/>
        </w:rPr>
      </w:pPr>
      <w:r w:rsidRPr="00BA1D95">
        <w:rPr>
          <w:rFonts w:cs="Arial"/>
          <w:b/>
        </w:rPr>
        <w:t>Procedimiento de modificación del SRL, SRI y SRP</w:t>
      </w:r>
    </w:p>
    <w:p w:rsidR="00FE33BF" w:rsidRPr="00BA1D95" w:rsidRDefault="00FE33BF" w:rsidP="004B11EB">
      <w:pPr>
        <w:pStyle w:val="IFTnormal"/>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CF4481">
        <w:rPr>
          <w:rFonts w:cs="Arial"/>
        </w:rPr>
        <w:t xml:space="preserve"> </w:t>
      </w:r>
      <w:r w:rsidRPr="00BA1D95">
        <w:rPr>
          <w:rFonts w:cs="Arial"/>
        </w:rPr>
        <w:t xml:space="preserve">y del CS, a fin de realizar la modificación de los servicios de SRL, SRI y SRP a petición del CS. Las fases en que se divide este procedimiento son: </w:t>
      </w:r>
      <w:r w:rsidRPr="00BA1D95">
        <w:rPr>
          <w:rFonts w:cs="Arial"/>
          <w:b/>
        </w:rPr>
        <w:t>(i)</w:t>
      </w:r>
      <w:r w:rsidRPr="00BA1D95">
        <w:rPr>
          <w:rFonts w:cs="Arial"/>
        </w:rPr>
        <w:t xml:space="preserve"> Envío, validación y Análisis de Factibilidad Técnica de la solicitud a través del </w:t>
      </w:r>
      <w:r w:rsidR="006B5A23">
        <w:rPr>
          <w:rFonts w:cs="Arial"/>
        </w:rPr>
        <w:t>SEG</w:t>
      </w:r>
      <w:r w:rsidRPr="00BA1D95">
        <w:rPr>
          <w:rFonts w:cs="Arial"/>
        </w:rPr>
        <w:t xml:space="preserve"> para que el CS manifieste su intención de modificar las características de algún servicio contratado, confirmando que cuenta con todos los elementos para procesar las modificaciones solicitadas (no aplica para SRL); y </w:t>
      </w:r>
      <w:r w:rsidRPr="00BA1D95">
        <w:rPr>
          <w:rFonts w:cs="Arial"/>
          <w:b/>
        </w:rPr>
        <w:t>(ii)</w:t>
      </w:r>
      <w:r w:rsidRPr="00BA1D95">
        <w:rPr>
          <w:rFonts w:cs="Arial"/>
        </w:rPr>
        <w:t xml:space="preserve"> Habilitación y aprovisionamiento de las modificaciones, que detonará los procesos de pruebas de entrega y facturación.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2"/>
        <w:gridCol w:w="6734"/>
      </w:tblGrid>
      <w:tr w:rsidR="00FE33BF" w:rsidRPr="00BA1D95" w:rsidTr="005A2E5E">
        <w:trPr>
          <w:tblHeader/>
        </w:trPr>
        <w:tc>
          <w:tcPr>
            <w:tcW w:w="1282" w:type="pct"/>
            <w:shd w:val="clear" w:color="auto" w:fill="BDD6EE" w:themeFill="accent5" w:themeFillTint="66"/>
          </w:tcPr>
          <w:p w:rsidR="00FE33BF" w:rsidRPr="00BA1D95" w:rsidRDefault="00FE33BF" w:rsidP="0023172A">
            <w:pPr>
              <w:pStyle w:val="IFTnormal"/>
              <w:jc w:val="center"/>
              <w:rPr>
                <w:rFonts w:cs="Arial"/>
                <w:b/>
                <w:sz w:val="20"/>
                <w:szCs w:val="20"/>
                <w:lang w:eastAsia="es-MX"/>
              </w:rPr>
            </w:pPr>
            <w:r w:rsidRPr="00BA1D95">
              <w:rPr>
                <w:rFonts w:cs="Arial"/>
                <w:b/>
                <w:sz w:val="20"/>
                <w:szCs w:val="20"/>
                <w:lang w:eastAsia="es-MX"/>
              </w:rPr>
              <w:t>Etapa</w:t>
            </w:r>
          </w:p>
        </w:tc>
        <w:tc>
          <w:tcPr>
            <w:tcW w:w="3718" w:type="pct"/>
            <w:shd w:val="clear" w:color="auto" w:fill="BDD6EE" w:themeFill="accent5" w:themeFillTint="66"/>
          </w:tcPr>
          <w:p w:rsidR="00FE33BF" w:rsidRPr="00BA1D95" w:rsidRDefault="00FE33BF" w:rsidP="0023172A">
            <w:pPr>
              <w:pStyle w:val="IFTnormal"/>
              <w:jc w:val="center"/>
              <w:rPr>
                <w:rFonts w:cs="Arial"/>
                <w:b/>
                <w:sz w:val="20"/>
                <w:szCs w:val="20"/>
                <w:lang w:eastAsia="es-MX"/>
              </w:rPr>
            </w:pPr>
            <w:r w:rsidRPr="00BA1D95">
              <w:rPr>
                <w:rFonts w:cs="Arial"/>
                <w:b/>
                <w:sz w:val="20"/>
                <w:szCs w:val="20"/>
                <w:lang w:eastAsia="es-MX"/>
              </w:rPr>
              <w:t>Descripción</w:t>
            </w:r>
          </w:p>
        </w:tc>
      </w:tr>
      <w:tr w:rsidR="00FE33BF" w:rsidRPr="00BA1D95" w:rsidTr="005A2E5E">
        <w:tc>
          <w:tcPr>
            <w:tcW w:w="128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 xml:space="preserve">Envío, Validación y Factibilidad Técnica de </w:t>
            </w:r>
            <w:r w:rsidR="003152CD" w:rsidRPr="00BA1D95">
              <w:rPr>
                <w:rFonts w:cs="Arial"/>
                <w:b/>
                <w:sz w:val="20"/>
                <w:szCs w:val="20"/>
                <w:lang w:eastAsia="es-MX"/>
              </w:rPr>
              <w:t xml:space="preserve">la </w:t>
            </w:r>
            <w:r w:rsidRPr="00BA1D95">
              <w:rPr>
                <w:rFonts w:cs="Arial"/>
                <w:b/>
                <w:sz w:val="20"/>
                <w:szCs w:val="20"/>
                <w:lang w:eastAsia="es-MX"/>
              </w:rPr>
              <w:t>solicitud</w:t>
            </w:r>
          </w:p>
          <w:p w:rsidR="00FE33BF" w:rsidRPr="00BA1D95" w:rsidRDefault="00FE33BF" w:rsidP="0023172A">
            <w:pPr>
              <w:pStyle w:val="IFTnormal"/>
              <w:jc w:val="left"/>
              <w:rPr>
                <w:rFonts w:cs="Arial"/>
                <w:b/>
                <w:sz w:val="20"/>
                <w:szCs w:val="20"/>
                <w:lang w:eastAsia="es-MX"/>
              </w:rPr>
            </w:pPr>
            <w:r w:rsidRPr="00BA1D95">
              <w:rPr>
                <w:rFonts w:cs="Arial"/>
                <w:sz w:val="20"/>
                <w:szCs w:val="20"/>
                <w:lang w:eastAsia="es-MX"/>
              </w:rPr>
              <w:t>(No aplica a SRL)</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El CS deberá presentar sus solicitudes a través del </w:t>
            </w:r>
            <w:r w:rsidR="006B5A23">
              <w:rPr>
                <w:rFonts w:cs="Arial"/>
                <w:sz w:val="20"/>
                <w:szCs w:val="20"/>
                <w:lang w:eastAsia="es-MX"/>
              </w:rPr>
              <w:t>SEG</w:t>
            </w:r>
            <w:r w:rsidRPr="00BA1D95">
              <w:rPr>
                <w:rFonts w:cs="Arial"/>
                <w:sz w:val="20"/>
                <w:szCs w:val="20"/>
                <w:lang w:eastAsia="es-MX"/>
              </w:rPr>
              <w:t xml:space="preserve">, realizando en línea la validación y el análisis de Factibilidad Técnica del domicilio requerido, determinando si existen los recursos técnicos y facilidades para habilitar las modificaciones solicitadas </w:t>
            </w:r>
            <w:r w:rsidR="00B447FB" w:rsidRPr="00BA1D95">
              <w:rPr>
                <w:rFonts w:cs="Arial"/>
                <w:sz w:val="20"/>
                <w:szCs w:val="20"/>
                <w:lang w:eastAsia="es-MX"/>
              </w:rPr>
              <w:t>de acuerdo con el</w:t>
            </w:r>
            <w:r w:rsidRPr="00BA1D95">
              <w:rPr>
                <w:rFonts w:cs="Arial"/>
                <w:sz w:val="20"/>
                <w:szCs w:val="20"/>
                <w:lang w:eastAsia="es-MX"/>
              </w:rPr>
              <w:t xml:space="preserve"> perfil requerido, podrá capturarlas de forma individual o masiva especificando el NIS-Referencia del servicio a modificar:</w:t>
            </w:r>
          </w:p>
          <w:p w:rsidR="00FE33BF" w:rsidRPr="00BA1D95" w:rsidRDefault="00FE33BF" w:rsidP="00D37C98">
            <w:pPr>
              <w:pStyle w:val="IFTnormal"/>
              <w:numPr>
                <w:ilvl w:val="0"/>
                <w:numId w:val="51"/>
              </w:numPr>
              <w:spacing w:after="120" w:line="240" w:lineRule="auto"/>
              <w:ind w:left="318" w:hanging="284"/>
              <w:rPr>
                <w:rFonts w:cs="Arial"/>
                <w:sz w:val="20"/>
                <w:szCs w:val="20"/>
                <w:lang w:eastAsia="es-MX"/>
              </w:rPr>
            </w:pPr>
            <w:r w:rsidRPr="00BA1D95">
              <w:rPr>
                <w:rFonts w:cs="Arial"/>
                <w:sz w:val="20"/>
                <w:szCs w:val="20"/>
                <w:lang w:eastAsia="es-MX"/>
              </w:rPr>
              <w:t>Seleccionar nuevo perfil de datos y/o Paquete a contratar.</w:t>
            </w:r>
          </w:p>
          <w:p w:rsidR="00FE33BF" w:rsidRDefault="00FE33BF" w:rsidP="00D37C98">
            <w:pPr>
              <w:pStyle w:val="IFTnormal"/>
              <w:numPr>
                <w:ilvl w:val="0"/>
                <w:numId w:val="51"/>
              </w:numPr>
              <w:spacing w:after="120" w:line="240" w:lineRule="auto"/>
              <w:ind w:left="318" w:hanging="284"/>
              <w:rPr>
                <w:rFonts w:cs="Arial"/>
                <w:sz w:val="20"/>
                <w:szCs w:val="20"/>
                <w:lang w:eastAsia="es-MX"/>
              </w:rPr>
            </w:pPr>
            <w:r w:rsidRPr="00BA1D95">
              <w:rPr>
                <w:rFonts w:cs="Arial"/>
                <w:sz w:val="20"/>
                <w:szCs w:val="20"/>
                <w:lang w:eastAsia="es-MX"/>
              </w:rPr>
              <w:t>Indicar si se habilitarán/deshabilitarán servicios digitales y/o marcaciones.</w:t>
            </w:r>
          </w:p>
          <w:p w:rsidR="00CA5D92" w:rsidRPr="00BA1D95" w:rsidRDefault="00CA5D92" w:rsidP="00D37C98">
            <w:pPr>
              <w:pStyle w:val="IFTnormal"/>
              <w:numPr>
                <w:ilvl w:val="0"/>
                <w:numId w:val="51"/>
              </w:numPr>
              <w:spacing w:after="120" w:line="240" w:lineRule="auto"/>
              <w:ind w:left="318" w:hanging="284"/>
              <w:rPr>
                <w:rFonts w:cs="Arial"/>
                <w:sz w:val="20"/>
                <w:szCs w:val="20"/>
                <w:lang w:eastAsia="es-MX"/>
              </w:rPr>
            </w:pPr>
            <w:r>
              <w:rPr>
                <w:rFonts w:cs="Arial"/>
                <w:sz w:val="20"/>
                <w:szCs w:val="20"/>
                <w:lang w:eastAsia="es-MX"/>
              </w:rPr>
              <w:t>Seleccionar la molécula de velocidad a modificar.</w:t>
            </w:r>
          </w:p>
          <w:p w:rsidR="00FE33BF" w:rsidRPr="00BA1D95" w:rsidRDefault="00FE33BF" w:rsidP="004B11EB">
            <w:pPr>
              <w:pStyle w:val="IFTnormal"/>
              <w:rPr>
                <w:rFonts w:cs="Arial"/>
                <w:sz w:val="20"/>
                <w:szCs w:val="20"/>
                <w:lang w:eastAsia="es-MX"/>
              </w:rPr>
            </w:pPr>
            <w:bookmarkStart w:id="542" w:name="OLE_LINK1"/>
            <w:bookmarkStart w:id="543" w:name="OLE_LINK2"/>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w:t>
            </w:r>
            <w:bookmarkEnd w:id="542"/>
            <w:bookmarkEnd w:id="543"/>
            <w:r w:rsidRPr="00BA1D95">
              <w:rPr>
                <w:rFonts w:cs="Arial"/>
                <w:sz w:val="20"/>
                <w:szCs w:val="20"/>
                <w:lang w:eastAsia="es-MX"/>
              </w:rPr>
              <w:t>.</w:t>
            </w:r>
          </w:p>
        </w:tc>
      </w:tr>
      <w:tr w:rsidR="00FE33BF" w:rsidRPr="00BA1D95" w:rsidTr="005A2E5E">
        <w:tc>
          <w:tcPr>
            <w:tcW w:w="128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Habilitación y aprovisionamiento del Servicio</w:t>
            </w:r>
          </w:p>
        </w:tc>
        <w:tc>
          <w:tcPr>
            <w:tcW w:w="3718" w:type="pct"/>
            <w:shd w:val="clear" w:color="auto" w:fill="auto"/>
          </w:tcPr>
          <w:p w:rsidR="00FE33BF" w:rsidRPr="000570F5" w:rsidRDefault="00E83F21" w:rsidP="004B11EB">
            <w:pPr>
              <w:pStyle w:val="IFTnormal"/>
              <w:rPr>
                <w:sz w:val="20"/>
                <w:szCs w:val="20"/>
              </w:rPr>
            </w:pPr>
            <w:r>
              <w:rPr>
                <w:rFonts w:cs="Arial"/>
                <w:sz w:val="20"/>
                <w:szCs w:val="20"/>
                <w:lang w:eastAsia="es-MX"/>
              </w:rPr>
              <w:t>Telmex / Telnor</w:t>
            </w:r>
            <w:r w:rsidR="00CF4481">
              <w:rPr>
                <w:rFonts w:cs="Arial"/>
                <w:sz w:val="20"/>
                <w:szCs w:val="20"/>
                <w:lang w:eastAsia="es-MX"/>
              </w:rPr>
              <w:t xml:space="preserve"> </w:t>
            </w:r>
            <w:r w:rsidR="00FE33BF" w:rsidRPr="00BA1D95">
              <w:rPr>
                <w:rFonts w:cs="Arial"/>
                <w:sz w:val="20"/>
                <w:szCs w:val="20"/>
                <w:lang w:eastAsia="es-MX"/>
              </w:rPr>
              <w:t xml:space="preserve">llevará a cabo las actuaciones necesarias para modificar el servicio; </w:t>
            </w:r>
            <w:r w:rsidR="00676B87" w:rsidRPr="00BA0046">
              <w:rPr>
                <w:sz w:val="20"/>
                <w:szCs w:val="20"/>
              </w:rPr>
              <w:t>se podrá abrir un canal continuo de comunicación (vía telefónica) entre el AEP y el CS para dar seguimiento a la modificación:</w:t>
            </w:r>
          </w:p>
          <w:p w:rsidR="00FE33BF" w:rsidRPr="00BA1D95" w:rsidRDefault="00FE33BF"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Voz:</w:t>
            </w:r>
            <w:r w:rsidRPr="00BA1D95">
              <w:rPr>
                <w:rFonts w:cs="Arial"/>
                <w:sz w:val="20"/>
                <w:szCs w:val="20"/>
                <w:lang w:eastAsia="es-MX"/>
              </w:rPr>
              <w:t xml:space="preserve"> Se activarán/desactivarán los servicios digitales o de marcaciones solicitados en un plazo no mayor a 1 día hábil.</w:t>
            </w:r>
          </w:p>
          <w:p w:rsidR="00FE33BF" w:rsidRPr="00BA1D95" w:rsidRDefault="00FE33BF"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Datos:</w:t>
            </w:r>
            <w:r w:rsidRPr="00BA1D95">
              <w:rPr>
                <w:rFonts w:cs="Arial"/>
                <w:sz w:val="20"/>
                <w:szCs w:val="20"/>
                <w:lang w:eastAsia="es-MX"/>
              </w:rPr>
              <w:t xml:space="preserve"> Se habilitará el servicio con el perfil solicitado en un plazo no mayor </w:t>
            </w:r>
            <w:r w:rsidRPr="00BA1D95">
              <w:rPr>
                <w:rFonts w:cs="Arial"/>
                <w:sz w:val="20"/>
                <w:szCs w:val="20"/>
                <w:lang w:eastAsia="es-MX"/>
              </w:rPr>
              <w:lastRenderedPageBreak/>
              <w:t xml:space="preserve">a </w:t>
            </w:r>
            <w:r w:rsidR="0095410A">
              <w:rPr>
                <w:rFonts w:cs="Arial"/>
                <w:sz w:val="20"/>
                <w:szCs w:val="20"/>
                <w:lang w:eastAsia="es-MX"/>
              </w:rPr>
              <w:t>dos</w:t>
            </w:r>
            <w:r w:rsidR="0095410A" w:rsidRPr="00BA1D95">
              <w:rPr>
                <w:rFonts w:cs="Arial"/>
                <w:sz w:val="20"/>
                <w:szCs w:val="20"/>
                <w:lang w:eastAsia="es-MX"/>
              </w:rPr>
              <w:t xml:space="preserve"> </w:t>
            </w:r>
            <w:r w:rsidRPr="00BA1D95">
              <w:rPr>
                <w:rFonts w:cs="Arial"/>
                <w:sz w:val="20"/>
                <w:szCs w:val="20"/>
                <w:lang w:eastAsia="es-MX"/>
              </w:rPr>
              <w:t>días hábiles</w:t>
            </w:r>
            <w:r w:rsidR="00F9420A" w:rsidRPr="00BA1D95">
              <w:rPr>
                <w:rFonts w:cs="Arial"/>
                <w:sz w:val="20"/>
                <w:szCs w:val="20"/>
                <w:lang w:eastAsia="es-MX"/>
              </w:rPr>
              <w:t xml:space="preserve">. </w:t>
            </w:r>
          </w:p>
          <w:p w:rsidR="00FE33BF" w:rsidRPr="00BA1D95" w:rsidRDefault="00FE33BF"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Voz + Datos:</w:t>
            </w:r>
            <w:r w:rsidRPr="00BA1D95">
              <w:rPr>
                <w:rFonts w:cs="Arial"/>
                <w:sz w:val="20"/>
                <w:szCs w:val="20"/>
                <w:lang w:eastAsia="es-MX"/>
              </w:rPr>
              <w:t xml:space="preserve"> Se activarán/desactivarán los servicios digitales o de marcaciones solicitados y se habilitará el servicio de datos contratada con el perfil requerido, en un plazo no mayor a </w:t>
            </w:r>
            <w:r w:rsidR="0095410A">
              <w:rPr>
                <w:rFonts w:cs="Arial"/>
                <w:sz w:val="20"/>
                <w:szCs w:val="20"/>
                <w:lang w:eastAsia="es-MX"/>
              </w:rPr>
              <w:t>dos</w:t>
            </w:r>
            <w:r w:rsidR="0095410A" w:rsidRPr="00BA1D95">
              <w:rPr>
                <w:rFonts w:cs="Arial"/>
                <w:sz w:val="20"/>
                <w:szCs w:val="20"/>
                <w:lang w:eastAsia="es-MX"/>
              </w:rPr>
              <w:t xml:space="preserve"> </w:t>
            </w:r>
            <w:r w:rsidRPr="00BA1D95">
              <w:rPr>
                <w:rFonts w:cs="Arial"/>
                <w:sz w:val="20"/>
                <w:szCs w:val="20"/>
                <w:lang w:eastAsia="es-MX"/>
              </w:rPr>
              <w:t>días hábiles.</w:t>
            </w:r>
            <w:r w:rsidR="00570204" w:rsidRPr="00BA1D95">
              <w:rPr>
                <w:rFonts w:cs="Arial"/>
                <w:sz w:val="20"/>
                <w:szCs w:val="20"/>
                <w:lang w:eastAsia="es-MX"/>
              </w:rPr>
              <w:t xml:space="preserve"> </w:t>
            </w:r>
          </w:p>
          <w:p w:rsidR="00FE33BF" w:rsidRPr="00BA1D95" w:rsidRDefault="00FE33BF" w:rsidP="0023172A">
            <w:pPr>
              <w:pStyle w:val="IFTnormal"/>
              <w:spacing w:after="120" w:line="240" w:lineRule="auto"/>
              <w:rPr>
                <w:rFonts w:cs="Arial"/>
                <w:sz w:val="20"/>
                <w:szCs w:val="20"/>
                <w:lang w:eastAsia="es-MX"/>
              </w:rPr>
            </w:pPr>
            <w:r w:rsidRPr="00BA1D95">
              <w:rPr>
                <w:rFonts w:cs="Arial"/>
                <w:sz w:val="20"/>
                <w:szCs w:val="20"/>
                <w:lang w:eastAsia="es-MX"/>
              </w:rPr>
              <w:t>Al finalizar las actividades de modificación, se realizarán las pruebas de aceptación del servicio.</w:t>
            </w:r>
          </w:p>
        </w:tc>
      </w:tr>
      <w:tr w:rsidR="00FE33BF" w:rsidRPr="00BA1D95" w:rsidTr="005A2E5E">
        <w:tc>
          <w:tcPr>
            <w:tcW w:w="1282" w:type="pct"/>
            <w:shd w:val="clear" w:color="auto" w:fill="auto"/>
          </w:tcPr>
          <w:p w:rsidR="00FE33BF" w:rsidRPr="00BA1D95" w:rsidRDefault="00FE33BF" w:rsidP="0023172A">
            <w:pPr>
              <w:pStyle w:val="IFTnormal"/>
              <w:jc w:val="left"/>
              <w:rPr>
                <w:rFonts w:cs="Arial"/>
                <w:b/>
                <w:sz w:val="20"/>
                <w:szCs w:val="20"/>
                <w:lang w:eastAsia="es-MX"/>
              </w:rPr>
            </w:pPr>
            <w:bookmarkStart w:id="544" w:name="_Hlk516051055"/>
            <w:r w:rsidRPr="00BA1D95">
              <w:rPr>
                <w:rFonts w:cs="Arial"/>
                <w:b/>
                <w:sz w:val="20"/>
                <w:szCs w:val="20"/>
                <w:lang w:eastAsia="es-MX"/>
              </w:rPr>
              <w:lastRenderedPageBreak/>
              <w:t>Pruebas de Aceptación del Servicio</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Una vez ejecutado el cambio, se llevarán a cabo las pruebas correspondientes para validar que el servicio ha sido habilitado en caso de que se haya requerido cambio de tecnología, de conformidad con lo requerido por el CS. En el caso de cambios administrativos, el CS podrá reportar en cualquier momento si se presenta una incidencia relacionada con la modificación solicitada.</w:t>
            </w:r>
          </w:p>
        </w:tc>
      </w:tr>
      <w:bookmarkEnd w:id="544"/>
      <w:tr w:rsidR="00FE33BF" w:rsidRPr="00BA1D95" w:rsidTr="005A2E5E">
        <w:tc>
          <w:tcPr>
            <w:tcW w:w="1282" w:type="pct"/>
            <w:shd w:val="clear" w:color="auto" w:fill="auto"/>
          </w:tcPr>
          <w:p w:rsidR="00FE33BF" w:rsidRPr="00BA1D95" w:rsidRDefault="00FE33BF" w:rsidP="0023172A">
            <w:pPr>
              <w:pStyle w:val="IFTnormal"/>
              <w:jc w:val="left"/>
              <w:rPr>
                <w:rFonts w:cs="Arial"/>
                <w:b/>
                <w:sz w:val="20"/>
                <w:szCs w:val="20"/>
                <w:lang w:eastAsia="es-MX"/>
              </w:rPr>
            </w:pPr>
            <w:r w:rsidRPr="00BA1D95">
              <w:rPr>
                <w:rFonts w:cs="Arial"/>
                <w:b/>
                <w:sz w:val="20"/>
                <w:szCs w:val="20"/>
                <w:lang w:eastAsia="es-MX"/>
              </w:rPr>
              <w:t>Facturación</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FE33BF" w:rsidRPr="00BA1D95" w:rsidRDefault="00FE33BF" w:rsidP="00D37C98">
            <w:pPr>
              <w:pStyle w:val="IFTnormal"/>
              <w:numPr>
                <w:ilvl w:val="0"/>
                <w:numId w:val="51"/>
              </w:numPr>
              <w:ind w:left="318" w:hanging="284"/>
              <w:rPr>
                <w:rFonts w:cs="Arial"/>
                <w:sz w:val="20"/>
                <w:szCs w:val="20"/>
                <w:lang w:eastAsia="es-MX"/>
              </w:rPr>
            </w:pPr>
            <w:r w:rsidRPr="00BA1D95">
              <w:rPr>
                <w:rFonts w:cs="Arial"/>
                <w:sz w:val="20"/>
                <w:szCs w:val="20"/>
                <w:lang w:eastAsia="es-MX"/>
              </w:rPr>
              <w:t>Se incluirán los gastos de instalación/habilitación y la renta mensual correspondiente.</w:t>
            </w:r>
          </w:p>
          <w:p w:rsidR="00FE33BF" w:rsidRPr="00BA1D95" w:rsidRDefault="00FE33BF" w:rsidP="00D37C98">
            <w:pPr>
              <w:pStyle w:val="IFTnormal"/>
              <w:numPr>
                <w:ilvl w:val="0"/>
                <w:numId w:val="51"/>
              </w:numPr>
              <w:ind w:left="318" w:hanging="284"/>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tc>
      </w:tr>
    </w:tbl>
    <w:p w:rsidR="007B2880" w:rsidRDefault="007B2880" w:rsidP="004B11EB">
      <w:pPr>
        <w:spacing w:after="200" w:line="276" w:lineRule="auto"/>
        <w:jc w:val="both"/>
        <w:rPr>
          <w:rFonts w:ascii="ITC Avant Garde" w:hAnsi="ITC Avant Garde" w:cs="Arial"/>
          <w:b/>
        </w:rPr>
      </w:pPr>
    </w:p>
    <w:p w:rsidR="00FE33BF" w:rsidRPr="003F12E6" w:rsidRDefault="00FE33BF" w:rsidP="004B11EB">
      <w:pPr>
        <w:spacing w:after="200" w:line="276" w:lineRule="auto"/>
        <w:jc w:val="both"/>
        <w:rPr>
          <w:rFonts w:ascii="ITC Avant Garde" w:hAnsi="ITC Avant Garde" w:cs="Arial"/>
          <w:b/>
        </w:rPr>
      </w:pPr>
      <w:r w:rsidRPr="003F12E6">
        <w:rPr>
          <w:rFonts w:ascii="ITC Avant Garde" w:hAnsi="ITC Avant Garde" w:cs="Arial"/>
          <w:b/>
        </w:rPr>
        <w:t>Procedimiento de Suspensión/Reactivación de SRL, SRI y SRP</w:t>
      </w:r>
    </w:p>
    <w:p w:rsidR="009D5EE3" w:rsidRPr="00BA1D95" w:rsidRDefault="00094B5A" w:rsidP="004B11EB">
      <w:pPr>
        <w:spacing w:after="200" w:line="276" w:lineRule="auto"/>
        <w:jc w:val="both"/>
        <w:rPr>
          <w:rFonts w:ascii="ITC Avant Garde" w:hAnsi="ITC Avant Garde" w:cs="Arial"/>
        </w:rPr>
      </w:pPr>
      <w:r w:rsidRPr="00094B5A">
        <w:rPr>
          <w:rFonts w:ascii="ITC Avant Garde" w:hAnsi="ITC Avant Garde" w:cs="Arial"/>
          <w:lang w:val="es-ES" w:eastAsia="es-MX"/>
        </w:rPr>
        <w:t xml:space="preserve">Los servicios de suspensión y reactivación se ofrecen sólo para </w:t>
      </w:r>
      <w:r w:rsidRPr="00094B5A">
        <w:rPr>
          <w:lang w:val="es-ES" w:eastAsia="es-MX"/>
        </w:rPr>
        <w:t>SRL, SRI y SRP</w:t>
      </w:r>
      <w:r w:rsidRPr="00094B5A">
        <w:rPr>
          <w:rFonts w:ascii="ITC Avant Garde" w:hAnsi="ITC Avant Garde" w:cs="Arial"/>
          <w:lang w:val="es-ES" w:eastAsia="es-MX"/>
        </w:rPr>
        <w:t xml:space="preserve"> con el objetivo de que los CS cuenten con las mismas herramientas para suspender los servicios en caso de falta de pago oportuno</w:t>
      </w:r>
      <w:r w:rsidR="00645940">
        <w:rPr>
          <w:rFonts w:ascii="ITC Avant Garde" w:hAnsi="ITC Avant Garde" w:cs="Arial"/>
          <w:lang w:val="es-ES" w:eastAsia="es-MX"/>
        </w:rPr>
        <w:t xml:space="preserve"> de sus clientes</w:t>
      </w:r>
      <w:r w:rsidR="00985E85">
        <w:rPr>
          <w:rFonts w:ascii="ITC Avant Garde" w:hAnsi="ITC Avant Garde" w:cs="Arial"/>
          <w:lang w:val="es-ES" w:eastAsia="es-MX"/>
        </w:rPr>
        <w:t>.</w:t>
      </w:r>
      <w:r w:rsidRPr="00094B5A">
        <w:rPr>
          <w:rFonts w:ascii="ITC Avant Garde" w:hAnsi="ITC Avant Garde" w:cs="Arial"/>
          <w:lang w:val="es-ES" w:eastAsia="es-MX"/>
        </w:rPr>
        <w:t xml:space="preserve"> </w:t>
      </w:r>
      <w:r w:rsidR="00985E85">
        <w:rPr>
          <w:rFonts w:ascii="ITC Avant Garde" w:hAnsi="ITC Avant Garde" w:cs="Arial"/>
          <w:lang w:val="es-ES" w:eastAsia="es-MX"/>
        </w:rPr>
        <w:t>E</w:t>
      </w:r>
      <w:r w:rsidRPr="00094B5A">
        <w:rPr>
          <w:rFonts w:ascii="ITC Avant Garde" w:hAnsi="ITC Avant Garde" w:cs="Arial"/>
          <w:lang w:val="es-ES" w:eastAsia="es-MX"/>
        </w:rPr>
        <w:t xml:space="preserve">ntendiéndose que la suspensión </w:t>
      </w:r>
      <w:r w:rsidR="00985E85">
        <w:rPr>
          <w:rFonts w:ascii="ITC Avant Garde" w:hAnsi="ITC Avant Garde" w:cs="Arial"/>
          <w:lang w:val="es-ES" w:eastAsia="es-MX"/>
        </w:rPr>
        <w:t>tiene</w:t>
      </w:r>
      <w:r w:rsidR="00645940">
        <w:rPr>
          <w:rFonts w:ascii="ITC Avant Garde" w:hAnsi="ITC Avant Garde" w:cs="Arial"/>
          <w:lang w:val="es-ES" w:eastAsia="es-MX"/>
        </w:rPr>
        <w:t xml:space="preserve"> una contraprestación estipulada en el Anexo A de Tarifas y se </w:t>
      </w:r>
      <w:r w:rsidRPr="00094B5A">
        <w:rPr>
          <w:rFonts w:ascii="ITC Avant Garde" w:hAnsi="ITC Avant Garde" w:cs="Arial"/>
          <w:lang w:val="es-ES" w:eastAsia="es-MX"/>
        </w:rPr>
        <w:t>seguirá factura</w:t>
      </w:r>
      <w:r w:rsidR="00985E85">
        <w:rPr>
          <w:rFonts w:ascii="ITC Avant Garde" w:hAnsi="ITC Avant Garde" w:cs="Arial"/>
          <w:lang w:val="es-ES" w:eastAsia="es-MX"/>
        </w:rPr>
        <w:t>ndo</w:t>
      </w:r>
      <w:r w:rsidR="00645940">
        <w:rPr>
          <w:rFonts w:ascii="ITC Avant Garde" w:hAnsi="ITC Avant Garde" w:cs="Arial"/>
          <w:lang w:val="es-ES" w:eastAsia="es-MX"/>
        </w:rPr>
        <w:t xml:space="preserve"> la renta del servicio suspendido</w:t>
      </w:r>
      <w:r w:rsidRPr="00094B5A">
        <w:rPr>
          <w:rFonts w:ascii="ITC Avant Garde" w:hAnsi="ITC Avant Garde" w:cs="Arial"/>
          <w:lang w:val="es-ES" w:eastAsia="es-MX"/>
        </w:rPr>
        <w:t xml:space="preserve"> hasta en tanto no sea confirmada</w:t>
      </w:r>
      <w:r w:rsidR="00985E85">
        <w:rPr>
          <w:rFonts w:ascii="ITC Avant Garde" w:hAnsi="ITC Avant Garde" w:cs="Arial"/>
          <w:lang w:val="es-ES" w:eastAsia="es-MX"/>
        </w:rPr>
        <w:t xml:space="preserve"> la reactivación o</w:t>
      </w:r>
      <w:r w:rsidRPr="00094B5A">
        <w:rPr>
          <w:rFonts w:ascii="ITC Avant Garde" w:hAnsi="ITC Avant Garde" w:cs="Arial"/>
          <w:lang w:val="es-ES" w:eastAsia="es-MX"/>
        </w:rPr>
        <w:t xml:space="preserve"> la baja del servicio </w:t>
      </w:r>
      <w:r w:rsidR="00645940">
        <w:rPr>
          <w:rFonts w:ascii="ITC Avant Garde" w:hAnsi="ITC Avant Garde" w:cs="Arial"/>
          <w:lang w:val="es-ES" w:eastAsia="es-MX"/>
        </w:rPr>
        <w:t>por el CS</w:t>
      </w:r>
      <w:r w:rsidR="00335CF3" w:rsidRPr="00F23D50">
        <w:rPr>
          <w:rFonts w:ascii="ITC Avant Garde" w:hAnsi="ITC Avant Garde" w:cs="Arial"/>
          <w:color w:val="C00000"/>
          <w:lang w:val="es-ES" w:eastAsia="es-MX"/>
        </w:rPr>
        <w:t>.</w:t>
      </w:r>
      <w:r w:rsidR="00335CF3">
        <w:rPr>
          <w:rFonts w:ascii="ITC Avant Garde" w:hAnsi="ITC Avant Garde" w:cs="Arial"/>
          <w:color w:val="C00000"/>
          <w:lang w:val="es-ES" w:eastAsia="es-MX"/>
        </w:rPr>
        <w:t xml:space="preserve"> </w:t>
      </w:r>
      <w:r w:rsidR="00335CF3" w:rsidRPr="00335CF3">
        <w:rPr>
          <w:rFonts w:ascii="ITC Avant Garde" w:hAnsi="ITC Avant Garde" w:cs="Arial"/>
          <w:lang w:val="es-ES" w:eastAsia="es-MX"/>
        </w:rPr>
        <w:t>El</w:t>
      </w:r>
      <w:r w:rsidR="00EE3BC9" w:rsidRPr="00335CF3">
        <w:rPr>
          <w:rFonts w:ascii="ITC Avant Garde" w:hAnsi="ITC Avant Garde" w:cs="Arial"/>
          <w:lang w:val="es-ES" w:eastAsia="es-MX"/>
        </w:rPr>
        <w:t xml:space="preserve"> </w:t>
      </w:r>
      <w:r w:rsidR="00FE33BF" w:rsidRPr="003F12E6">
        <w:rPr>
          <w:rFonts w:ascii="ITC Avant Garde" w:hAnsi="ITC Avant Garde" w:cs="Arial"/>
          <w:lang w:val="es-ES" w:eastAsia="es-MX"/>
        </w:rPr>
        <w:t xml:space="preserve">alcance de este procedimiento es definir los pasos y actividades a desarrollar por parte de </w:t>
      </w:r>
      <w:r w:rsidR="00E83F21">
        <w:rPr>
          <w:rFonts w:ascii="ITC Avant Garde" w:hAnsi="ITC Avant Garde" w:cs="Arial"/>
          <w:lang w:val="es-ES" w:eastAsia="es-MX"/>
        </w:rPr>
        <w:t>Telmex / Telnor</w:t>
      </w:r>
      <w:r w:rsidR="00CF4481">
        <w:rPr>
          <w:rFonts w:ascii="ITC Avant Garde" w:hAnsi="ITC Avant Garde" w:cs="Arial"/>
          <w:lang w:val="es-ES" w:eastAsia="es-MX"/>
        </w:rPr>
        <w:t xml:space="preserve"> </w:t>
      </w:r>
      <w:r w:rsidR="00FE33BF" w:rsidRPr="003F12E6">
        <w:rPr>
          <w:rFonts w:ascii="ITC Avant Garde" w:hAnsi="ITC Avant Garde" w:cs="Arial"/>
          <w:lang w:val="es-ES" w:eastAsia="es-MX"/>
        </w:rPr>
        <w:t xml:space="preserve">y del CS, a fin de realizar la suspensión/reactivación de los servicios de Reventa en caso de que el CS lo requiera; las fases en que se divide este procedimiento son: </w:t>
      </w:r>
      <w:r w:rsidR="00FE33BF" w:rsidRPr="003F12E6">
        <w:rPr>
          <w:rFonts w:ascii="ITC Avant Garde" w:hAnsi="ITC Avant Garde" w:cs="Arial"/>
          <w:b/>
          <w:lang w:val="es-ES" w:eastAsia="es-MX"/>
        </w:rPr>
        <w:t>(i)</w:t>
      </w:r>
      <w:r w:rsidR="00FE33BF" w:rsidRPr="003F12E6">
        <w:rPr>
          <w:rFonts w:ascii="ITC Avant Garde" w:hAnsi="ITC Avant Garde" w:cs="Arial"/>
          <w:lang w:val="es-ES" w:eastAsia="es-MX"/>
        </w:rPr>
        <w:t xml:space="preserve"> Ingreso del CS al módulo de suspensión de servicios en el </w:t>
      </w:r>
      <w:r w:rsidR="006B5A23">
        <w:rPr>
          <w:rFonts w:ascii="ITC Avant Garde" w:hAnsi="ITC Avant Garde" w:cs="Arial"/>
          <w:lang w:val="es-ES" w:eastAsia="es-MX"/>
        </w:rPr>
        <w:t>SEG</w:t>
      </w:r>
      <w:r w:rsidR="00FE33BF" w:rsidRPr="003F12E6">
        <w:rPr>
          <w:rFonts w:ascii="ITC Avant Garde" w:hAnsi="ITC Avant Garde" w:cs="Arial"/>
          <w:lang w:val="es-ES" w:eastAsia="es-MX"/>
        </w:rPr>
        <w:t xml:space="preserve"> para proporcionar la referencia del servicio que desea suspender o reactivar</w:t>
      </w:r>
      <w:r w:rsidR="00FE33BF" w:rsidRPr="003F12E6">
        <w:rPr>
          <w:rFonts w:ascii="ITC Avant Garde" w:hAnsi="ITC Avant Garde" w:cs="Arial"/>
        </w:rPr>
        <w:t xml:space="preserve"> y Validación de la solicitud; y </w:t>
      </w:r>
      <w:r w:rsidR="00FE33BF" w:rsidRPr="003F12E6">
        <w:rPr>
          <w:rFonts w:ascii="ITC Avant Garde" w:hAnsi="ITC Avant Garde" w:cs="Arial"/>
          <w:b/>
        </w:rPr>
        <w:t>(ii)</w:t>
      </w:r>
      <w:r w:rsidR="00FE33BF" w:rsidRPr="003F12E6">
        <w:rPr>
          <w:rFonts w:ascii="ITC Avant Garde" w:hAnsi="ITC Avant Garde" w:cs="Arial"/>
        </w:rPr>
        <w:t xml:space="preserve"> Ejecución de la suspensión/reactivación por parte de </w:t>
      </w:r>
      <w:r w:rsidR="00E83F21">
        <w:rPr>
          <w:rFonts w:ascii="ITC Avant Garde" w:hAnsi="ITC Avant Garde" w:cs="Arial"/>
        </w:rPr>
        <w:t>Telmex / Telnor</w:t>
      </w:r>
      <w:r w:rsidR="00FE33BF" w:rsidRPr="003F12E6">
        <w:rPr>
          <w:rFonts w:ascii="ITC Avant Garde" w:hAnsi="ITC Avant Garde" w:cs="Arial"/>
        </w:rPr>
        <w:t>, lo que detonará los procesos de facturación.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2"/>
        <w:gridCol w:w="6734"/>
      </w:tblGrid>
      <w:tr w:rsidR="00FE33BF" w:rsidRPr="00BA1D95" w:rsidTr="005A2E5E">
        <w:trPr>
          <w:tblHeader/>
        </w:trPr>
        <w:tc>
          <w:tcPr>
            <w:tcW w:w="1282"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hAnsi="ITC Avant Garde" w:cs="Arial"/>
              </w:rPr>
              <w:t xml:space="preserve"> </w:t>
            </w:r>
            <w:r w:rsidRPr="00BA1D95">
              <w:rPr>
                <w:rFonts w:ascii="ITC Avant Garde" w:eastAsia="Times New Roman" w:hAnsi="ITC Avant Garde" w:cs="Arial"/>
                <w:b/>
                <w:bCs/>
                <w:sz w:val="20"/>
                <w:szCs w:val="20"/>
                <w:lang w:eastAsia="es-MX"/>
              </w:rPr>
              <w:t>Etapa</w:t>
            </w:r>
          </w:p>
        </w:tc>
        <w:tc>
          <w:tcPr>
            <w:tcW w:w="3718"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Descripción</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Envío y Validación de</w:t>
            </w:r>
            <w:r w:rsidR="003152CD" w:rsidRPr="00BA1D95">
              <w:rPr>
                <w:rFonts w:ascii="ITC Avant Garde" w:eastAsia="Times New Roman" w:hAnsi="ITC Avant Garde" w:cs="Arial"/>
                <w:b/>
                <w:bCs/>
                <w:sz w:val="20"/>
                <w:szCs w:val="20"/>
                <w:lang w:eastAsia="es-MX"/>
              </w:rPr>
              <w:t xml:space="preserve"> la</w:t>
            </w:r>
            <w:r w:rsidRPr="00BA1D95">
              <w:rPr>
                <w:rFonts w:ascii="ITC Avant Garde" w:eastAsia="Times New Roman" w:hAnsi="ITC Avant Garde" w:cs="Arial"/>
                <w:b/>
                <w:bCs/>
                <w:sz w:val="20"/>
                <w:szCs w:val="20"/>
                <w:lang w:eastAsia="es-MX"/>
              </w:rPr>
              <w:t xml:space="preserve"> solicitud</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El CS deberá presentar sus solicitudes a través del </w:t>
            </w:r>
            <w:r w:rsidR="006B5A23">
              <w:rPr>
                <w:rFonts w:cs="Arial"/>
                <w:sz w:val="20"/>
                <w:szCs w:val="20"/>
                <w:lang w:eastAsia="es-MX"/>
              </w:rPr>
              <w:t>SEG</w:t>
            </w:r>
            <w:r w:rsidRPr="00BA1D95">
              <w:rPr>
                <w:rFonts w:cs="Arial"/>
                <w:sz w:val="20"/>
                <w:szCs w:val="20"/>
                <w:lang w:eastAsia="es-MX"/>
              </w:rPr>
              <w:t>, podrá capturarlas de forma individual o masiva validando en línea el NIS</w:t>
            </w:r>
            <w:r w:rsidR="004E6F57" w:rsidRPr="00BA1D95">
              <w:rPr>
                <w:rFonts w:cs="Arial"/>
                <w:sz w:val="20"/>
                <w:szCs w:val="20"/>
                <w:lang w:eastAsia="es-MX"/>
              </w:rPr>
              <w:t xml:space="preserve"> de </w:t>
            </w:r>
            <w:r w:rsidRPr="00BA1D95">
              <w:rPr>
                <w:rFonts w:cs="Arial"/>
                <w:sz w:val="20"/>
                <w:szCs w:val="20"/>
                <w:lang w:eastAsia="es-MX"/>
              </w:rPr>
              <w:t>Referencia del servicio a Suspender/Reactivar.</w:t>
            </w:r>
          </w:p>
          <w:p w:rsidR="00FE33BF" w:rsidRPr="00BA1D95" w:rsidRDefault="00F311C0" w:rsidP="0023172A">
            <w:pPr>
              <w:spacing w:after="200" w:line="276" w:lineRule="auto"/>
              <w:jc w:val="both"/>
              <w:rPr>
                <w:rFonts w:ascii="ITC Avant Garde" w:eastAsia="Times New Roman" w:hAnsi="ITC Avant Garde" w:cs="Arial"/>
                <w:bCs/>
                <w:sz w:val="20"/>
                <w:szCs w:val="20"/>
                <w:lang w:eastAsia="es-MX"/>
              </w:rPr>
            </w:pPr>
            <w:r w:rsidRPr="00AE2CEC">
              <w:rPr>
                <w:rFonts w:ascii="ITC Avant Garde" w:eastAsia="Times New Roman" w:hAnsi="ITC Avant Garde" w:cs="Arial"/>
                <w:bCs/>
                <w:sz w:val="20"/>
                <w:szCs w:val="20"/>
                <w:lang w:eastAsia="es-MX"/>
              </w:rPr>
              <w:lastRenderedPageBreak/>
              <w:t>Una vez validados los campos correspondientes en el</w:t>
            </w:r>
            <w:r w:rsidR="00FE33BF" w:rsidRPr="00BA1D95">
              <w:rPr>
                <w:rFonts w:ascii="ITC Avant Garde" w:eastAsia="Times New Roman" w:hAnsi="ITC Avant Garde" w:cs="Arial"/>
                <w:bCs/>
                <w:sz w:val="20"/>
                <w:szCs w:val="20"/>
                <w:lang w:eastAsia="es-MX"/>
              </w:rPr>
              <w:t xml:space="preserve"> </w:t>
            </w:r>
            <w:r w:rsidR="006B5A23">
              <w:rPr>
                <w:rFonts w:ascii="ITC Avant Garde" w:eastAsia="Times New Roman" w:hAnsi="ITC Avant Garde" w:cs="Arial"/>
                <w:bCs/>
                <w:sz w:val="20"/>
                <w:szCs w:val="20"/>
                <w:lang w:eastAsia="es-MX"/>
              </w:rPr>
              <w:t>SEG</w:t>
            </w:r>
            <w:r w:rsidR="00FE33BF" w:rsidRPr="00BA1D95">
              <w:rPr>
                <w:rFonts w:ascii="ITC Avant Garde" w:eastAsia="Times New Roman" w:hAnsi="ITC Avant Garde" w:cs="Arial"/>
                <w:bCs/>
                <w:sz w:val="20"/>
                <w:szCs w:val="20"/>
                <w:lang w:eastAsia="es-MX"/>
              </w:rPr>
              <w:t>, se procederá directamente a la etapa de Suspensión/Reactivación (según aplique), así como la asignación de forma automática del NIS de seguimiento.</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lastRenderedPageBreak/>
              <w:t>Suspensión</w:t>
            </w:r>
          </w:p>
        </w:tc>
        <w:tc>
          <w:tcPr>
            <w:tcW w:w="3718" w:type="pct"/>
            <w:shd w:val="clear" w:color="auto" w:fill="auto"/>
          </w:tcPr>
          <w:p w:rsidR="00FE33BF" w:rsidRPr="00BA1D95" w:rsidRDefault="00FE33BF" w:rsidP="0023172A">
            <w:pPr>
              <w:spacing w:after="200" w:line="276" w:lineRule="auto"/>
              <w:jc w:val="both"/>
              <w:rPr>
                <w:rFonts w:ascii="ITC Avant Garde" w:eastAsia="Times New Roman" w:hAnsi="ITC Avant Garde" w:cs="Arial"/>
                <w:bCs/>
                <w:sz w:val="20"/>
                <w:szCs w:val="20"/>
                <w:lang w:eastAsia="es-MX"/>
              </w:rPr>
            </w:pPr>
            <w:r w:rsidRPr="00BA1D95">
              <w:rPr>
                <w:rFonts w:ascii="ITC Avant Garde" w:eastAsia="Times New Roman" w:hAnsi="ITC Avant Garde" w:cs="Arial"/>
                <w:sz w:val="20"/>
                <w:szCs w:val="20"/>
                <w:lang w:eastAsia="es-MX"/>
              </w:rPr>
              <w:t xml:space="preserve"> Una vez que se haya validado la solicitud se suspenderá el servicio en un plazo no mayor a</w:t>
            </w:r>
            <w:r w:rsidRPr="00BA1D95">
              <w:rPr>
                <w:rFonts w:ascii="ITC Avant Garde" w:eastAsia="Times New Roman" w:hAnsi="ITC Avant Garde" w:cs="Arial"/>
                <w:sz w:val="20"/>
                <w:szCs w:val="20"/>
                <w:lang w:val="es-ES" w:eastAsia="es-MX"/>
              </w:rPr>
              <w:t xml:space="preserve"> 1 día hábil</w:t>
            </w:r>
            <w:r w:rsidRPr="00BA1D95">
              <w:rPr>
                <w:rFonts w:ascii="ITC Avant Garde" w:eastAsia="Times New Roman" w:hAnsi="ITC Avant Garde" w:cs="Arial"/>
                <w:sz w:val="20"/>
                <w:szCs w:val="20"/>
                <w:lang w:eastAsia="es-MX"/>
              </w:rPr>
              <w:t>.</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Reactivación</w:t>
            </w:r>
          </w:p>
        </w:tc>
        <w:tc>
          <w:tcPr>
            <w:tcW w:w="3718" w:type="pct"/>
            <w:shd w:val="clear" w:color="auto" w:fill="auto"/>
          </w:tcPr>
          <w:p w:rsidR="00FE33BF" w:rsidRPr="00BA1D95" w:rsidRDefault="00FE33BF" w:rsidP="009337AB">
            <w:pPr>
              <w:spacing w:after="200" w:line="276" w:lineRule="auto"/>
              <w:jc w:val="both"/>
              <w:rPr>
                <w:rFonts w:ascii="ITC Avant Garde" w:eastAsia="Times New Roman" w:hAnsi="ITC Avant Garde" w:cs="Arial"/>
                <w:bCs/>
                <w:sz w:val="20"/>
                <w:szCs w:val="20"/>
                <w:lang w:eastAsia="es-MX"/>
              </w:rPr>
            </w:pPr>
            <w:r w:rsidRPr="00BA1D95">
              <w:rPr>
                <w:rFonts w:ascii="ITC Avant Garde" w:eastAsia="Times New Roman" w:hAnsi="ITC Avant Garde" w:cs="Arial"/>
                <w:sz w:val="20"/>
                <w:szCs w:val="20"/>
                <w:lang w:eastAsia="es-MX"/>
              </w:rPr>
              <w:t xml:space="preserve">En el caso de la reactivación se realizará </w:t>
            </w:r>
            <w:r w:rsidR="009337AB">
              <w:rPr>
                <w:rFonts w:ascii="ITC Avant Garde" w:eastAsia="Times New Roman" w:hAnsi="ITC Avant Garde" w:cs="Arial"/>
                <w:sz w:val="20"/>
                <w:szCs w:val="20"/>
                <w:lang w:eastAsia="es-MX"/>
              </w:rPr>
              <w:t>a más tardar al día hábil siguiente</w:t>
            </w:r>
            <w:r w:rsidRPr="00BA1D95">
              <w:rPr>
                <w:rFonts w:ascii="ITC Avant Garde" w:eastAsia="Times New Roman" w:hAnsi="ITC Avant Garde" w:cs="Arial"/>
                <w:sz w:val="20"/>
                <w:szCs w:val="20"/>
                <w:lang w:eastAsia="es-MX"/>
              </w:rPr>
              <w:t xml:space="preserve"> a partir de la solicitud, atendiéndose las mismas en el estricto orden en que fueron solicitadas, incluyendo a las propias operaciones de Telmex</w:t>
            </w:r>
            <w:r w:rsidR="00EC3D1A">
              <w:rPr>
                <w:rFonts w:ascii="ITC Avant Garde" w:eastAsia="Times New Roman" w:hAnsi="ITC Avant Garde" w:cs="Arial"/>
                <w:sz w:val="20"/>
                <w:szCs w:val="20"/>
                <w:lang w:eastAsia="es-MX"/>
              </w:rPr>
              <w:t xml:space="preserve"> </w:t>
            </w:r>
            <w:r w:rsidR="00EC3D1A" w:rsidRPr="009F7BCF">
              <w:rPr>
                <w:rFonts w:ascii="ITC Avant Garde" w:hAnsi="ITC Avant Garde" w:cs="Arial"/>
                <w:sz w:val="20"/>
                <w:lang w:eastAsia="es-MX"/>
              </w:rPr>
              <w:t>/ Telnor</w:t>
            </w:r>
            <w:r w:rsidRPr="00BA1D95">
              <w:rPr>
                <w:rFonts w:ascii="ITC Avant Garde" w:eastAsia="Times New Roman" w:hAnsi="ITC Avant Garde" w:cs="Arial"/>
                <w:sz w:val="20"/>
                <w:szCs w:val="20"/>
                <w:lang w:eastAsia="es-MX"/>
              </w:rPr>
              <w:t>.</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Facturación</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FE33BF" w:rsidRPr="00BA1D95" w:rsidRDefault="00FE33BF" w:rsidP="00D37C98">
            <w:pPr>
              <w:pStyle w:val="IFTnormal"/>
              <w:numPr>
                <w:ilvl w:val="0"/>
                <w:numId w:val="51"/>
              </w:numPr>
              <w:ind w:left="318" w:hanging="284"/>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p w:rsidR="00FE33BF" w:rsidRPr="00BA1D95" w:rsidRDefault="00FE33BF" w:rsidP="00D37C98">
            <w:pPr>
              <w:pStyle w:val="IFTnormal"/>
              <w:numPr>
                <w:ilvl w:val="0"/>
                <w:numId w:val="51"/>
              </w:numPr>
              <w:ind w:left="318" w:hanging="284"/>
              <w:rPr>
                <w:rFonts w:cs="Arial"/>
                <w:sz w:val="20"/>
                <w:szCs w:val="20"/>
                <w:lang w:eastAsia="es-MX"/>
              </w:rPr>
            </w:pPr>
            <w:r w:rsidRPr="00BA1D95">
              <w:rPr>
                <w:rFonts w:cs="Arial"/>
                <w:sz w:val="20"/>
                <w:szCs w:val="20"/>
                <w:lang w:eastAsia="es-MX"/>
              </w:rPr>
              <w:t>El cobro será aplicado conforme a</w:t>
            </w:r>
            <w:r w:rsidR="004B5D60" w:rsidRPr="00BA1D95">
              <w:rPr>
                <w:rFonts w:cs="Arial"/>
                <w:sz w:val="20"/>
                <w:szCs w:val="20"/>
                <w:lang w:eastAsia="es-MX"/>
              </w:rPr>
              <w:t>l Anexo de Tarifas de esta Oferta.</w:t>
            </w:r>
          </w:p>
        </w:tc>
      </w:tr>
    </w:tbl>
    <w:p w:rsidR="00FE33BF" w:rsidRPr="00BA1D95" w:rsidRDefault="00FE33BF" w:rsidP="004F0519">
      <w:pPr>
        <w:spacing w:before="240" w:after="200" w:line="276" w:lineRule="auto"/>
        <w:jc w:val="both"/>
        <w:rPr>
          <w:rFonts w:ascii="ITC Avant Garde" w:hAnsi="ITC Avant Garde" w:cs="Arial"/>
          <w:b/>
        </w:rPr>
      </w:pPr>
      <w:r w:rsidRPr="00BA1D95">
        <w:rPr>
          <w:rFonts w:ascii="ITC Avant Garde" w:hAnsi="ITC Avant Garde" w:cs="Arial"/>
          <w:b/>
        </w:rPr>
        <w:t>Procedimiento de baja de SRL, SRI y SRP</w:t>
      </w:r>
    </w:p>
    <w:p w:rsidR="00DD36C4" w:rsidRPr="00BA1D95" w:rsidRDefault="00FE33BF" w:rsidP="004B11EB">
      <w:pPr>
        <w:pStyle w:val="IFTnormal"/>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CF4481">
        <w:rPr>
          <w:rFonts w:cs="Arial"/>
        </w:rPr>
        <w:t xml:space="preserve"> </w:t>
      </w:r>
      <w:r w:rsidRPr="00BA1D95">
        <w:rPr>
          <w:rFonts w:cs="Arial"/>
        </w:rPr>
        <w:t xml:space="preserve">y del CS, a fin de realizar la baja de los servicios de </w:t>
      </w:r>
      <w:r w:rsidRPr="00BA1D95">
        <w:rPr>
          <w:rStyle w:val="IFTnormalCar"/>
          <w:rFonts w:cs="Arial"/>
        </w:rPr>
        <w:t xml:space="preserve">SRL, SRI y SRP; las fases en que se divide este procedimiento son: </w:t>
      </w:r>
      <w:r w:rsidRPr="00BA1D95">
        <w:rPr>
          <w:rStyle w:val="IFTnormalCar"/>
          <w:rFonts w:cs="Arial"/>
          <w:b/>
        </w:rPr>
        <w:t>(i)</w:t>
      </w:r>
      <w:r w:rsidRPr="00BA1D95">
        <w:rPr>
          <w:rStyle w:val="IFTnormalCar"/>
          <w:rFonts w:cs="Arial"/>
        </w:rPr>
        <w:t xml:space="preserve"> Envío </w:t>
      </w:r>
      <w:r w:rsidRPr="00BA1D95">
        <w:rPr>
          <w:rFonts w:cs="Arial"/>
        </w:rPr>
        <w:t xml:space="preserve">y validación de la solicitud para que el CS manifieste su intención de dar de baja servicios, verificando a través del </w:t>
      </w:r>
      <w:r w:rsidR="006B5A23">
        <w:rPr>
          <w:rFonts w:cs="Arial"/>
        </w:rPr>
        <w:t>SEG</w:t>
      </w:r>
      <w:r w:rsidRPr="00BA1D95">
        <w:rPr>
          <w:rFonts w:cs="Arial"/>
        </w:rPr>
        <w:t xml:space="preserve"> que la solicitud cuenta con todos los elementos; y </w:t>
      </w:r>
      <w:r w:rsidRPr="00BA1D95">
        <w:rPr>
          <w:rFonts w:cs="Arial"/>
          <w:b/>
        </w:rPr>
        <w:t>(ii)</w:t>
      </w:r>
      <w:r w:rsidRPr="00BA1D95">
        <w:rPr>
          <w:rFonts w:cs="Arial"/>
        </w:rPr>
        <w:t xml:space="preserve"> Baja del (los) servicio (s) y de la facturación correspondiente.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2"/>
        <w:gridCol w:w="6734"/>
      </w:tblGrid>
      <w:tr w:rsidR="00FE33BF" w:rsidRPr="00BA1D95" w:rsidTr="005A2E5E">
        <w:trPr>
          <w:tblHeader/>
        </w:trPr>
        <w:tc>
          <w:tcPr>
            <w:tcW w:w="1282"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Etapa</w:t>
            </w:r>
          </w:p>
        </w:tc>
        <w:tc>
          <w:tcPr>
            <w:tcW w:w="3718"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Descripción</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Envío y Validación de</w:t>
            </w:r>
            <w:r w:rsidR="003152CD" w:rsidRPr="00BA1D95">
              <w:rPr>
                <w:rFonts w:ascii="ITC Avant Garde" w:eastAsia="Times New Roman" w:hAnsi="ITC Avant Garde" w:cs="Arial"/>
                <w:b/>
                <w:bCs/>
                <w:sz w:val="20"/>
                <w:szCs w:val="20"/>
                <w:lang w:eastAsia="es-MX"/>
              </w:rPr>
              <w:t xml:space="preserve"> la</w:t>
            </w:r>
            <w:r w:rsidRPr="00BA1D95">
              <w:rPr>
                <w:rFonts w:ascii="ITC Avant Garde" w:eastAsia="Times New Roman" w:hAnsi="ITC Avant Garde" w:cs="Arial"/>
                <w:b/>
                <w:bCs/>
                <w:sz w:val="20"/>
                <w:szCs w:val="20"/>
                <w:lang w:eastAsia="es-MX"/>
              </w:rPr>
              <w:t xml:space="preserve"> solicitud</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bCs w:val="0"/>
                <w:sz w:val="20"/>
                <w:szCs w:val="20"/>
                <w:lang w:eastAsia="es-MX"/>
              </w:rPr>
              <w:t xml:space="preserve">El CS deberá presentar sus solicitudes a través del </w:t>
            </w:r>
            <w:r w:rsidR="006B5A23">
              <w:rPr>
                <w:rFonts w:cs="Arial"/>
                <w:bCs w:val="0"/>
                <w:sz w:val="20"/>
                <w:szCs w:val="20"/>
                <w:lang w:eastAsia="es-MX"/>
              </w:rPr>
              <w:t>SEG</w:t>
            </w:r>
            <w:r w:rsidRPr="00BA1D95">
              <w:rPr>
                <w:rFonts w:cs="Arial"/>
                <w:bCs w:val="0"/>
                <w:sz w:val="20"/>
                <w:szCs w:val="20"/>
                <w:lang w:eastAsia="es-MX"/>
              </w:rPr>
              <w:t xml:space="preserve">, </w:t>
            </w:r>
            <w:r w:rsidRPr="00BA1D95">
              <w:rPr>
                <w:rFonts w:cs="Arial"/>
                <w:sz w:val="20"/>
                <w:szCs w:val="20"/>
                <w:lang w:eastAsia="es-MX"/>
              </w:rPr>
              <w:t xml:space="preserve">podrá capturarlas de forma individual o masiva </w:t>
            </w:r>
            <w:r w:rsidRPr="00BA1D95">
              <w:rPr>
                <w:rFonts w:cs="Arial"/>
                <w:bCs w:val="0"/>
                <w:sz w:val="20"/>
                <w:szCs w:val="20"/>
                <w:lang w:eastAsia="es-MX"/>
              </w:rPr>
              <w:t>validando en línea el NIS</w:t>
            </w:r>
            <w:r w:rsidR="004E6F57" w:rsidRPr="00BA1D95">
              <w:rPr>
                <w:rFonts w:cs="Arial"/>
                <w:bCs w:val="0"/>
                <w:sz w:val="20"/>
                <w:szCs w:val="20"/>
                <w:lang w:eastAsia="es-MX"/>
              </w:rPr>
              <w:t xml:space="preserve"> de </w:t>
            </w:r>
            <w:r w:rsidRPr="00BA1D95">
              <w:rPr>
                <w:rFonts w:cs="Arial"/>
                <w:bCs w:val="0"/>
                <w:sz w:val="20"/>
                <w:szCs w:val="20"/>
                <w:lang w:eastAsia="es-MX"/>
              </w:rPr>
              <w:t>Referencia del servicio en operación.</w:t>
            </w:r>
          </w:p>
          <w:p w:rsidR="00FE33BF" w:rsidRPr="00BA1D95" w:rsidRDefault="002933E9" w:rsidP="004B11EB">
            <w:pPr>
              <w:pStyle w:val="IFTnormal"/>
              <w:rPr>
                <w:rFonts w:cs="Arial"/>
                <w:sz w:val="20"/>
                <w:szCs w:val="20"/>
                <w:lang w:eastAsia="es-MX"/>
              </w:rPr>
            </w:pPr>
            <w:r w:rsidRPr="00BA1D95">
              <w:rPr>
                <w:rFonts w:cs="Arial"/>
                <w:bCs w:val="0"/>
                <w:sz w:val="20"/>
                <w:szCs w:val="20"/>
                <w:lang w:eastAsia="es-MX"/>
              </w:rPr>
              <w:t>Una vez validados los campos correspondientes en el</w:t>
            </w:r>
            <w:r w:rsidR="00FE33BF" w:rsidRPr="00BA1D95">
              <w:rPr>
                <w:rFonts w:cs="Arial"/>
                <w:bCs w:val="0"/>
                <w:sz w:val="20"/>
                <w:szCs w:val="20"/>
                <w:lang w:eastAsia="es-MX"/>
              </w:rPr>
              <w:t xml:space="preserve"> </w:t>
            </w:r>
            <w:r w:rsidR="006B5A23">
              <w:rPr>
                <w:rFonts w:cs="Arial"/>
                <w:bCs w:val="0"/>
                <w:sz w:val="20"/>
                <w:szCs w:val="20"/>
                <w:lang w:eastAsia="es-MX"/>
              </w:rPr>
              <w:t>SEG</w:t>
            </w:r>
            <w:r w:rsidR="00FE33BF" w:rsidRPr="00BA1D95">
              <w:rPr>
                <w:rFonts w:cs="Arial"/>
                <w:bCs w:val="0"/>
                <w:sz w:val="20"/>
                <w:szCs w:val="20"/>
                <w:lang w:eastAsia="es-MX"/>
              </w:rPr>
              <w:t>, se asignará de forma automática del NIS de seguimiento.</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Ejecución de baja</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Una vez asignado el NIS se dará de baja en </w:t>
            </w:r>
            <w:r w:rsidR="00D255F2">
              <w:rPr>
                <w:rFonts w:cs="Arial"/>
                <w:sz w:val="20"/>
                <w:szCs w:val="20"/>
                <w:lang w:eastAsia="es-MX"/>
              </w:rPr>
              <w:t>el plazo establecido para tal efecto</w:t>
            </w:r>
            <w:r w:rsidR="008D47FE">
              <w:rPr>
                <w:rFonts w:cs="Arial"/>
                <w:sz w:val="20"/>
                <w:szCs w:val="20"/>
                <w:lang w:eastAsia="es-MX"/>
              </w:rPr>
              <w:t xml:space="preserve"> en la sección de Plazos de este servicio</w:t>
            </w:r>
            <w:r w:rsidR="00D255F2">
              <w:rPr>
                <w:rFonts w:cs="Arial"/>
                <w:sz w:val="20"/>
                <w:szCs w:val="20"/>
                <w:lang w:eastAsia="es-MX"/>
              </w:rPr>
              <w:t xml:space="preserve"> en la presente OREDA</w:t>
            </w:r>
            <w:r w:rsidRPr="00BA1D95">
              <w:rPr>
                <w:rFonts w:cs="Arial"/>
                <w:sz w:val="20"/>
                <w:szCs w:val="20"/>
                <w:lang w:eastAsia="es-MX"/>
              </w:rPr>
              <w:t xml:space="preserve">. Cuando el módem/ONT sea de </w:t>
            </w:r>
            <w:r w:rsidR="00E83F21">
              <w:rPr>
                <w:rFonts w:cs="Arial"/>
                <w:sz w:val="20"/>
                <w:szCs w:val="20"/>
                <w:lang w:eastAsia="es-MX"/>
              </w:rPr>
              <w:t>Telmex / Telnor</w:t>
            </w:r>
            <w:r w:rsidRPr="00BA1D95">
              <w:rPr>
                <w:rFonts w:cs="Arial"/>
                <w:sz w:val="20"/>
                <w:szCs w:val="20"/>
                <w:lang w:eastAsia="es-MX"/>
              </w:rPr>
              <w:t xml:space="preserve">, el CS será responsable de tramitar con su usuario la devolución del equipo y así mismo regresarlo a </w:t>
            </w:r>
            <w:r w:rsidR="00E83F21">
              <w:rPr>
                <w:rFonts w:cs="Arial"/>
                <w:sz w:val="20"/>
                <w:szCs w:val="20"/>
                <w:lang w:eastAsia="es-MX"/>
              </w:rPr>
              <w:t>Telmex / Telnor</w:t>
            </w:r>
            <w:r w:rsidRPr="00BA1D95">
              <w:rPr>
                <w:rFonts w:cs="Arial"/>
                <w:sz w:val="20"/>
                <w:szCs w:val="20"/>
                <w:lang w:eastAsia="es-MX"/>
              </w:rPr>
              <w:t>, tal y como Telmex</w:t>
            </w:r>
            <w:r w:rsidR="00EC3D1A">
              <w:rPr>
                <w:rFonts w:cs="Arial"/>
                <w:sz w:val="20"/>
                <w:szCs w:val="20"/>
                <w:lang w:eastAsia="es-MX"/>
              </w:rPr>
              <w:t xml:space="preserve"> </w:t>
            </w:r>
            <w:r w:rsidR="00EC3D1A" w:rsidRPr="009F7BCF">
              <w:rPr>
                <w:rFonts w:cs="Arial"/>
                <w:sz w:val="20"/>
                <w:lang w:eastAsia="es-MX"/>
              </w:rPr>
              <w:t>/ Telnor</w:t>
            </w:r>
            <w:r w:rsidRPr="00BA1D95">
              <w:rPr>
                <w:rFonts w:cs="Arial"/>
                <w:sz w:val="20"/>
                <w:szCs w:val="20"/>
                <w:lang w:eastAsia="es-MX"/>
              </w:rPr>
              <w:t xml:space="preserve"> lo realiza con sus propios usuarios, lo cual deberá suceder en el plazo máximo correspondiente al siguiente ciclo de facturación.</w:t>
            </w:r>
          </w:p>
          <w:p w:rsidR="00FE33BF" w:rsidRPr="00BA1D95" w:rsidRDefault="00E83F21" w:rsidP="004B11EB">
            <w:pPr>
              <w:pStyle w:val="IFTnormal"/>
              <w:rPr>
                <w:rFonts w:cs="Arial"/>
                <w:sz w:val="20"/>
                <w:szCs w:val="20"/>
                <w:lang w:eastAsia="es-MX"/>
              </w:rPr>
            </w:pPr>
            <w:r>
              <w:rPr>
                <w:rFonts w:cs="Arial"/>
                <w:sz w:val="20"/>
                <w:szCs w:val="20"/>
                <w:lang w:eastAsia="es-MX"/>
              </w:rPr>
              <w:t>Telmex / Telnor</w:t>
            </w:r>
            <w:r w:rsidR="00CF4481">
              <w:rPr>
                <w:rFonts w:cs="Arial"/>
                <w:sz w:val="20"/>
                <w:szCs w:val="20"/>
                <w:lang w:eastAsia="es-MX"/>
              </w:rPr>
              <w:t xml:space="preserve"> </w:t>
            </w:r>
            <w:r w:rsidR="00FE33BF" w:rsidRPr="00BA1D95">
              <w:rPr>
                <w:rFonts w:cs="Arial"/>
                <w:sz w:val="20"/>
                <w:szCs w:val="20"/>
                <w:lang w:eastAsia="es-MX"/>
              </w:rPr>
              <w:t>procederá a dar de baja</w:t>
            </w:r>
            <w:r w:rsidR="000D5B50" w:rsidRPr="00BA1D95">
              <w:rPr>
                <w:rFonts w:cs="Arial"/>
                <w:sz w:val="20"/>
                <w:szCs w:val="20"/>
                <w:lang w:eastAsia="es-MX"/>
              </w:rPr>
              <w:t xml:space="preserve"> la facturación asociada a partir de la </w:t>
            </w:r>
            <w:r w:rsidR="000D5B50" w:rsidRPr="00BA1D95">
              <w:rPr>
                <w:rFonts w:cs="Arial"/>
                <w:sz w:val="20"/>
                <w:szCs w:val="20"/>
                <w:lang w:eastAsia="es-MX"/>
              </w:rPr>
              <w:lastRenderedPageBreak/>
              <w:t>solicitud.</w:t>
            </w:r>
          </w:p>
          <w:p w:rsidR="00FE33BF" w:rsidRPr="00BA1D95" w:rsidRDefault="00FE33BF" w:rsidP="004B11EB">
            <w:pPr>
              <w:pStyle w:val="IFTnormal"/>
              <w:rPr>
                <w:rFonts w:cs="Arial"/>
                <w:sz w:val="20"/>
                <w:szCs w:val="20"/>
              </w:rPr>
            </w:pPr>
            <w:r w:rsidRPr="00BA1D95">
              <w:rPr>
                <w:rFonts w:cs="Arial"/>
                <w:sz w:val="20"/>
                <w:szCs w:val="20"/>
                <w:lang w:eastAsia="es-MX"/>
              </w:rPr>
              <w:t xml:space="preserve">El CS contará con un plazo de 40 días hábiles para recuperar el número que se haya solicitado. </w:t>
            </w:r>
          </w:p>
        </w:tc>
      </w:tr>
    </w:tbl>
    <w:p w:rsidR="003223FC" w:rsidRDefault="003223FC" w:rsidP="004B11EB">
      <w:pPr>
        <w:pStyle w:val="IFTnormal"/>
        <w:rPr>
          <w:rFonts w:cs="Arial"/>
          <w:sz w:val="20"/>
          <w:szCs w:val="20"/>
        </w:rPr>
      </w:pPr>
    </w:p>
    <w:p w:rsidR="00FE33BF" w:rsidRPr="00BA1D95" w:rsidRDefault="00FE33BF" w:rsidP="004B11EB">
      <w:pPr>
        <w:pStyle w:val="IFTnormal"/>
        <w:rPr>
          <w:rFonts w:cs="Arial"/>
          <w:sz w:val="20"/>
          <w:szCs w:val="20"/>
        </w:rPr>
      </w:pPr>
      <w:r w:rsidRPr="00BA1D95">
        <w:rPr>
          <w:rFonts w:cs="Arial"/>
          <w:sz w:val="20"/>
          <w:szCs w:val="20"/>
        </w:rPr>
        <w:t>Notas:</w:t>
      </w:r>
      <w:r w:rsidR="00204787">
        <w:rPr>
          <w:rFonts w:cs="Arial"/>
          <w:sz w:val="20"/>
          <w:szCs w:val="20"/>
        </w:rPr>
        <w:t xml:space="preserve"> </w:t>
      </w:r>
      <w:r w:rsidRPr="00BA1D95">
        <w:rPr>
          <w:rFonts w:cs="Arial"/>
          <w:sz w:val="20"/>
          <w:szCs w:val="20"/>
        </w:rPr>
        <w:t>El CS deberá tomar en cuenta que no existe el esquema de rentas parciales sino sólo de rentas mensuales, por lo que no será posible realizar cobros parciales de los servicios.</w:t>
      </w:r>
    </w:p>
    <w:p w:rsidR="00FE33BF" w:rsidRPr="00BA1D95" w:rsidRDefault="00FE33BF" w:rsidP="004B11EB">
      <w:pPr>
        <w:pStyle w:val="IFTnormal"/>
        <w:rPr>
          <w:rFonts w:cs="Arial"/>
          <w:b/>
        </w:rPr>
      </w:pPr>
      <w:r w:rsidRPr="00BA1D95">
        <w:rPr>
          <w:rFonts w:cs="Arial"/>
          <w:b/>
        </w:rPr>
        <w:t xml:space="preserve">Procedimiento de cancelación de </w:t>
      </w:r>
      <w:r w:rsidR="00076D5B" w:rsidRPr="00BA1D95">
        <w:rPr>
          <w:rFonts w:cs="Arial"/>
          <w:b/>
        </w:rPr>
        <w:t xml:space="preserve">habilitación </w:t>
      </w:r>
      <w:r w:rsidRPr="00BA1D95">
        <w:rPr>
          <w:rFonts w:cs="Arial"/>
          <w:b/>
        </w:rPr>
        <w:t>en proceso de SRL, SRI y SRP</w:t>
      </w:r>
    </w:p>
    <w:p w:rsidR="00FE33BF" w:rsidRDefault="00FE33BF" w:rsidP="004B11EB">
      <w:pPr>
        <w:spacing w:after="200" w:line="276" w:lineRule="auto"/>
        <w:jc w:val="both"/>
        <w:rPr>
          <w:rFonts w:ascii="ITC Avant Garde" w:hAnsi="ITC Avant Garde" w:cs="Arial"/>
        </w:rPr>
      </w:pPr>
      <w:r w:rsidRPr="00BA1D95">
        <w:rPr>
          <w:rFonts w:ascii="ITC Avant Garde" w:hAnsi="ITC Avant Garde" w:cs="Arial"/>
          <w:lang w:val="es-ES" w:eastAsia="es-MX"/>
        </w:rPr>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BA1D95">
        <w:rPr>
          <w:rFonts w:ascii="ITC Avant Garde" w:hAnsi="ITC Avant Garde" w:cs="Arial"/>
          <w:b/>
          <w:lang w:val="es-ES" w:eastAsia="es-MX"/>
        </w:rPr>
        <w:t>(i)</w:t>
      </w:r>
      <w:r w:rsidRPr="00BA1D95">
        <w:rPr>
          <w:rFonts w:ascii="ITC Avant Garde" w:hAnsi="ITC Avant Garde" w:cs="Arial"/>
          <w:lang w:val="es-ES" w:eastAsia="es-MX"/>
        </w:rPr>
        <w:t xml:space="preserve"> Solicitud para que el CS manifieste su intención de cancelar el servicio previamente solicitado, y la validación en el </w:t>
      </w:r>
      <w:r w:rsidR="006B5A23">
        <w:rPr>
          <w:rFonts w:ascii="ITC Avant Garde" w:hAnsi="ITC Avant Garde" w:cs="Arial"/>
          <w:lang w:val="es-ES" w:eastAsia="es-MX"/>
        </w:rPr>
        <w:t>SEG</w:t>
      </w:r>
      <w:r w:rsidRPr="00BA1D95">
        <w:rPr>
          <w:rFonts w:ascii="ITC Avant Garde" w:hAnsi="ITC Avant Garde" w:cs="Arial"/>
          <w:lang w:val="es-ES" w:eastAsia="es-MX"/>
        </w:rPr>
        <w:t xml:space="preserve"> de que la solicitud cuenta con todos los elementos para realizar la cancelación; </w:t>
      </w:r>
      <w:r w:rsidRPr="00BA1D95">
        <w:rPr>
          <w:rFonts w:ascii="ITC Avant Garde" w:hAnsi="ITC Avant Garde" w:cs="Arial"/>
        </w:rPr>
        <w:t xml:space="preserve">y </w:t>
      </w:r>
      <w:r w:rsidRPr="00BA1D95">
        <w:rPr>
          <w:rFonts w:ascii="ITC Avant Garde" w:hAnsi="ITC Avant Garde" w:cs="Arial"/>
          <w:b/>
        </w:rPr>
        <w:t>(ii)</w:t>
      </w:r>
      <w:r w:rsidRPr="00BA1D95">
        <w:rPr>
          <w:rFonts w:ascii="ITC Avant Garde" w:hAnsi="ITC Avant Garde" w:cs="Arial"/>
        </w:rPr>
        <w:t xml:space="preserve"> Cancelación de(las) solicitudes(s) en proceso de implementación.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2"/>
        <w:gridCol w:w="6734"/>
      </w:tblGrid>
      <w:tr w:rsidR="00FE33BF" w:rsidRPr="00BA1D95" w:rsidTr="00366F2B">
        <w:tc>
          <w:tcPr>
            <w:tcW w:w="1282"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Etapa</w:t>
            </w:r>
          </w:p>
        </w:tc>
        <w:tc>
          <w:tcPr>
            <w:tcW w:w="3718" w:type="pct"/>
            <w:shd w:val="clear" w:color="auto" w:fill="BDD6EE" w:themeFill="accent5" w:themeFillTint="66"/>
          </w:tcPr>
          <w:p w:rsidR="00FE33BF" w:rsidRPr="00BA1D95" w:rsidRDefault="00FE33BF" w:rsidP="0023172A">
            <w:pPr>
              <w:spacing w:after="200" w:line="276" w:lineRule="auto"/>
              <w:jc w:val="center"/>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Descripción</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Envío y Validación de solicitud</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bCs w:val="0"/>
                <w:sz w:val="20"/>
                <w:szCs w:val="20"/>
                <w:lang w:eastAsia="es-MX"/>
              </w:rPr>
              <w:t xml:space="preserve">El CS deberá presentar sus solicitudes a través del </w:t>
            </w:r>
            <w:r w:rsidR="006B5A23">
              <w:rPr>
                <w:rFonts w:cs="Arial"/>
                <w:bCs w:val="0"/>
                <w:sz w:val="20"/>
                <w:szCs w:val="20"/>
                <w:lang w:eastAsia="es-MX"/>
              </w:rPr>
              <w:t>SEG</w:t>
            </w:r>
            <w:r w:rsidRPr="00BA1D95">
              <w:rPr>
                <w:rFonts w:cs="Arial"/>
                <w:bCs w:val="0"/>
                <w:sz w:val="20"/>
                <w:szCs w:val="20"/>
                <w:lang w:eastAsia="es-MX"/>
              </w:rPr>
              <w:t xml:space="preserve"> validando el NIS</w:t>
            </w:r>
            <w:r w:rsidR="004E6F57" w:rsidRPr="00BA1D95">
              <w:rPr>
                <w:rFonts w:cs="Arial"/>
                <w:bCs w:val="0"/>
                <w:sz w:val="20"/>
                <w:szCs w:val="20"/>
                <w:lang w:eastAsia="es-MX"/>
              </w:rPr>
              <w:t xml:space="preserve"> de </w:t>
            </w:r>
            <w:r w:rsidRPr="00BA1D95">
              <w:rPr>
                <w:rFonts w:cs="Arial"/>
                <w:bCs w:val="0"/>
                <w:sz w:val="20"/>
                <w:szCs w:val="20"/>
                <w:lang w:eastAsia="es-MX"/>
              </w:rPr>
              <w:t>Referencia del servicio que desea cancelar</w:t>
            </w:r>
            <w:r w:rsidR="00E32247" w:rsidRPr="00BA1D95">
              <w:rPr>
                <w:rFonts w:cs="Arial"/>
                <w:bCs w:val="0"/>
                <w:sz w:val="20"/>
                <w:szCs w:val="20"/>
                <w:lang w:eastAsia="es-MX"/>
              </w:rPr>
              <w:t>.</w:t>
            </w:r>
          </w:p>
          <w:p w:rsidR="00FE33BF" w:rsidRPr="00BA1D95" w:rsidRDefault="00FE33BF" w:rsidP="004B11EB">
            <w:pPr>
              <w:pStyle w:val="IFTnormal"/>
              <w:rPr>
                <w:rFonts w:cs="Arial"/>
                <w:bCs w:val="0"/>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de habilitación del servicio.</w:t>
            </w:r>
          </w:p>
        </w:tc>
      </w:tr>
      <w:tr w:rsidR="00FE33BF" w:rsidRPr="00BA1D95" w:rsidTr="00402F39">
        <w:tc>
          <w:tcPr>
            <w:tcW w:w="1282" w:type="pct"/>
            <w:shd w:val="clear" w:color="auto" w:fill="auto"/>
          </w:tcPr>
          <w:p w:rsidR="00FE33BF" w:rsidRPr="00BA1D95" w:rsidRDefault="00FE33BF" w:rsidP="0023172A">
            <w:pPr>
              <w:spacing w:after="200" w:line="276" w:lineRule="auto"/>
              <w:jc w:val="both"/>
              <w:rPr>
                <w:rFonts w:ascii="ITC Avant Garde" w:eastAsia="Times New Roman" w:hAnsi="ITC Avant Garde" w:cs="Arial"/>
                <w:b/>
                <w:bCs/>
                <w:sz w:val="20"/>
                <w:szCs w:val="20"/>
                <w:lang w:eastAsia="es-MX"/>
              </w:rPr>
            </w:pPr>
            <w:r w:rsidRPr="00BA1D95">
              <w:rPr>
                <w:rFonts w:ascii="ITC Avant Garde" w:eastAsia="Times New Roman" w:hAnsi="ITC Avant Garde" w:cs="Arial"/>
                <w:b/>
                <w:bCs/>
                <w:sz w:val="20"/>
                <w:szCs w:val="20"/>
                <w:lang w:eastAsia="es-MX"/>
              </w:rPr>
              <w:t>Cancelación del (los) servicio (s)</w:t>
            </w:r>
          </w:p>
        </w:tc>
        <w:tc>
          <w:tcPr>
            <w:tcW w:w="3718" w:type="pct"/>
            <w:shd w:val="clear" w:color="auto" w:fill="auto"/>
          </w:tcPr>
          <w:p w:rsidR="00FE33BF" w:rsidRPr="00BA1D95" w:rsidRDefault="00FE33BF" w:rsidP="004B11EB">
            <w:pPr>
              <w:pStyle w:val="IFTnormal"/>
              <w:rPr>
                <w:rFonts w:cs="Arial"/>
                <w:sz w:val="20"/>
                <w:szCs w:val="20"/>
                <w:lang w:eastAsia="es-MX"/>
              </w:rPr>
            </w:pPr>
            <w:r w:rsidRPr="00BA1D95">
              <w:rPr>
                <w:rFonts w:cs="Arial"/>
                <w:sz w:val="20"/>
                <w:szCs w:val="20"/>
                <w:lang w:eastAsia="es-MX"/>
              </w:rPr>
              <w:t xml:space="preserve">Se cancela el seguimiento a la solicitud, no aplicará cobro alguno si la notificación de cancelación se hace con un mínimo de </w:t>
            </w:r>
            <w:r w:rsidR="0095410A">
              <w:rPr>
                <w:rFonts w:cs="Arial"/>
                <w:sz w:val="20"/>
                <w:szCs w:val="20"/>
                <w:lang w:eastAsia="es-MX"/>
              </w:rPr>
              <w:t>tres</w:t>
            </w:r>
            <w:r w:rsidR="0095410A" w:rsidRPr="00BA1D95">
              <w:rPr>
                <w:rFonts w:cs="Arial"/>
                <w:sz w:val="20"/>
                <w:szCs w:val="20"/>
                <w:lang w:eastAsia="es-MX"/>
              </w:rPr>
              <w:t xml:space="preserve"> </w:t>
            </w:r>
            <w:r w:rsidRPr="00BA1D95">
              <w:rPr>
                <w:rFonts w:cs="Arial"/>
                <w:sz w:val="20"/>
                <w:szCs w:val="20"/>
                <w:lang w:eastAsia="es-MX"/>
              </w:rPr>
              <w:t>días hábiles de anticipación a la fecha confirmada de la habilitación del servicio.</w:t>
            </w:r>
          </w:p>
        </w:tc>
      </w:tr>
    </w:tbl>
    <w:p w:rsidR="00FE33BF" w:rsidRPr="00BA1D95" w:rsidRDefault="00FE33BF" w:rsidP="004B11EB">
      <w:pPr>
        <w:pStyle w:val="IFTnormal"/>
        <w:rPr>
          <w:rFonts w:cs="Arial"/>
        </w:rPr>
      </w:pPr>
    </w:p>
    <w:p w:rsidR="00151623" w:rsidRPr="00BA1D95" w:rsidRDefault="00151623" w:rsidP="00151623">
      <w:pPr>
        <w:pStyle w:val="IFTnormal"/>
        <w:spacing w:before="240"/>
        <w:rPr>
          <w:rFonts w:cs="Arial"/>
          <w:b/>
        </w:rPr>
      </w:pPr>
      <w:r w:rsidRPr="00BA1D95">
        <w:rPr>
          <w:rFonts w:cs="Arial"/>
          <w:b/>
        </w:rPr>
        <w:t>Procedimiento de Cambio de modalidad de Desagregación SRL, SRI y SRP</w:t>
      </w:r>
    </w:p>
    <w:p w:rsidR="00151623" w:rsidRDefault="00151623" w:rsidP="00151623">
      <w:pPr>
        <w:pStyle w:val="IFTnormal"/>
        <w:rPr>
          <w:rFonts w:cs="Arial"/>
          <w:b/>
        </w:rPr>
      </w:pPr>
      <w:r w:rsidRPr="00BA1D95">
        <w:rPr>
          <w:rFonts w:cs="Arial"/>
        </w:rPr>
        <w:t>En caso de que el CS requiera modificaciones para cambiar a un servicio distinto de desagregación (otra moda</w:t>
      </w:r>
      <w:r>
        <w:rPr>
          <w:rFonts w:cs="Arial"/>
        </w:rPr>
        <w:t>lidad de Reventa</w:t>
      </w:r>
      <w:r w:rsidRPr="00BA1D95">
        <w:rPr>
          <w:rFonts w:cs="Arial"/>
        </w:rPr>
        <w:t xml:space="preserve">),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 las proporcionadas por </w:t>
      </w:r>
      <w:r w:rsidR="00E83F21">
        <w:rPr>
          <w:rFonts w:cs="Arial"/>
        </w:rPr>
        <w:t>Telmex / Telnor</w:t>
      </w:r>
      <w:r w:rsidRPr="00BA1D95">
        <w:rPr>
          <w:rFonts w:cs="Arial"/>
        </w:rPr>
        <w:t xml:space="preserve"> deberá ser transparente para el usuario final, es decir, en caso de afectación del servicio deberá considerarse como máximo un plazo de 30 minutos, la información respecto a la entrega del </w:t>
      </w:r>
      <w:r w:rsidRPr="00BA1D95">
        <w:rPr>
          <w:rFonts w:cs="Arial"/>
        </w:rPr>
        <w:lastRenderedPageBreak/>
        <w:t xml:space="preserve">servicio incluido si hubo o no afectación y el tiempo de la misma deberá quedar respaldada en el </w:t>
      </w:r>
      <w:r>
        <w:rPr>
          <w:rFonts w:cs="Arial"/>
        </w:rPr>
        <w:t>SEG</w:t>
      </w:r>
      <w:r w:rsidRPr="00BA1D95">
        <w:rPr>
          <w:rFonts w:cs="Arial"/>
        </w:rPr>
        <w:t>.</w:t>
      </w:r>
    </w:p>
    <w:p w:rsidR="00FE33BF" w:rsidRPr="00BA1D95" w:rsidRDefault="00FE33BF" w:rsidP="004B11EB">
      <w:pPr>
        <w:pStyle w:val="IFTnormal"/>
        <w:rPr>
          <w:rFonts w:cs="Arial"/>
          <w:b/>
        </w:rPr>
      </w:pPr>
      <w:r w:rsidRPr="00BA1D95">
        <w:rPr>
          <w:rFonts w:cs="Arial"/>
          <w:b/>
        </w:rPr>
        <w:t>Procedimiento de Cambio de Domicilio SRL, SRI y SRP</w:t>
      </w:r>
    </w:p>
    <w:p w:rsidR="00B03EDC" w:rsidRPr="00BA1D95" w:rsidRDefault="00FE33BF" w:rsidP="004B11EB">
      <w:pPr>
        <w:pStyle w:val="IFTnormal"/>
        <w:rPr>
          <w:rFonts w:cs="Arial"/>
          <w:u w:val="single"/>
        </w:rPr>
      </w:pPr>
      <w:r w:rsidRPr="00BA1D95">
        <w:rPr>
          <w:rFonts w:cs="Arial"/>
        </w:rPr>
        <w:t xml:space="preserve">En caso de que el usuario final cambie de domicilio y el CS desee mantener el SRL, SRI o SRP, dicho cambio será atendido conforme las políticas actuales de contratación de los servicios. En el movimiento de SRL, SRI y SRP, el usuario final mantiene su número telefónico (donde aplique). El CS deberá enviar la solicitud a </w:t>
      </w:r>
      <w:r w:rsidR="00E83F21">
        <w:rPr>
          <w:rFonts w:cs="Arial"/>
        </w:rPr>
        <w:t>Telmex / Telnor</w:t>
      </w:r>
      <w:r w:rsidR="00BC0B9A" w:rsidRPr="00BA1D95">
        <w:rPr>
          <w:rFonts w:cs="Arial"/>
        </w:rPr>
        <w:t xml:space="preserve"> </w:t>
      </w:r>
      <w:r w:rsidRPr="00BA1D95">
        <w:rPr>
          <w:rFonts w:cs="Arial"/>
        </w:rPr>
        <w:t xml:space="preserve">a través del </w:t>
      </w:r>
      <w:r w:rsidR="006B5A23">
        <w:rPr>
          <w:rFonts w:cs="Arial"/>
        </w:rPr>
        <w:t>SEG</w:t>
      </w:r>
      <w:r w:rsidRPr="00BA1D95">
        <w:rPr>
          <w:rFonts w:cs="Arial"/>
        </w:rPr>
        <w:t xml:space="preserve">, mediante el formato correspondiente. El servicio en el nuevo domicilio dependerá de la factibilidad técnica. Ver apartado </w:t>
      </w:r>
      <w:r w:rsidRPr="00BA1D95">
        <w:rPr>
          <w:rFonts w:cs="Arial"/>
          <w:i/>
        </w:rPr>
        <w:t>Procedimiento de contratación y entrega SRL, SRI y SRP (Alta).</w:t>
      </w:r>
    </w:p>
    <w:p w:rsidR="00A47F9A" w:rsidRPr="00BA1D95" w:rsidRDefault="00A47F9A" w:rsidP="00FF4EC6">
      <w:pPr>
        <w:pStyle w:val="1TitPrin"/>
        <w:numPr>
          <w:ilvl w:val="1"/>
          <w:numId w:val="182"/>
        </w:numPr>
        <w:outlineLvl w:val="1"/>
      </w:pPr>
      <w:bookmarkStart w:id="545" w:name="_Toc436840890"/>
      <w:bookmarkStart w:id="546" w:name="_Toc436846327"/>
      <w:bookmarkStart w:id="547" w:name="_Toc436848277"/>
      <w:bookmarkStart w:id="548" w:name="_Toc436856525"/>
      <w:bookmarkStart w:id="549" w:name="_Toc436862671"/>
      <w:bookmarkStart w:id="550" w:name="_Toc436866321"/>
      <w:bookmarkStart w:id="551" w:name="_Toc436870900"/>
      <w:bookmarkStart w:id="552" w:name="_Toc436875892"/>
      <w:bookmarkStart w:id="553" w:name="_Toc467248704"/>
      <w:bookmarkStart w:id="554" w:name="_Toc525904570"/>
      <w:bookmarkStart w:id="555" w:name="_Toc525913966"/>
      <w:bookmarkStart w:id="556" w:name="_Toc525919205"/>
      <w:bookmarkStart w:id="557" w:name="_Toc525919329"/>
      <w:bookmarkStart w:id="558" w:name="_Toc2957139"/>
      <w:bookmarkStart w:id="559" w:name="_Toc26273076"/>
      <w:bookmarkStart w:id="560" w:name="_Toc26284473"/>
      <w:bookmarkStart w:id="561" w:name="_Toc54106577"/>
      <w:r w:rsidRPr="00BA1D95">
        <w:t>Plazos de Entrega de los Servicios de Reventa.</w:t>
      </w:r>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rsidR="00CF2945" w:rsidRPr="00BA1D95" w:rsidRDefault="00CF2945" w:rsidP="00D37C98">
      <w:pPr>
        <w:pStyle w:val="IFTnormal"/>
        <w:numPr>
          <w:ilvl w:val="0"/>
          <w:numId w:val="103"/>
        </w:numPr>
        <w:rPr>
          <w:rFonts w:cs="Arial"/>
        </w:rPr>
      </w:pPr>
      <w:r w:rsidRPr="00BA1D95">
        <w:rPr>
          <w:rFonts w:cs="Arial"/>
        </w:rPr>
        <w:t xml:space="preserve">Validación de la solicitud junto con validación de la factibilidad en máximo un día </w:t>
      </w:r>
      <w:r w:rsidR="00676B87">
        <w:rPr>
          <w:rFonts w:cs="Arial"/>
        </w:rPr>
        <w:t>natural.</w:t>
      </w:r>
    </w:p>
    <w:p w:rsidR="004966E9" w:rsidRPr="00BA1D95" w:rsidRDefault="004966E9" w:rsidP="00D37C98">
      <w:pPr>
        <w:pStyle w:val="IFTnormal"/>
        <w:numPr>
          <w:ilvl w:val="0"/>
          <w:numId w:val="89"/>
        </w:numPr>
        <w:rPr>
          <w:rFonts w:cs="Arial"/>
        </w:rPr>
      </w:pPr>
      <w:r w:rsidRPr="00BA1D95">
        <w:rPr>
          <w:rFonts w:cs="Arial"/>
        </w:rPr>
        <w:t xml:space="preserve">Entrega del servicio para usuarios existentes (habilitación): máximo </w:t>
      </w:r>
      <w:r w:rsidR="0095410A">
        <w:rPr>
          <w:rFonts w:cs="Arial"/>
        </w:rPr>
        <w:t>cinco</w:t>
      </w:r>
      <w:r w:rsidR="0095410A" w:rsidRPr="00BA1D95">
        <w:rPr>
          <w:rFonts w:cs="Arial"/>
        </w:rPr>
        <w:t xml:space="preserve"> </w:t>
      </w:r>
      <w:r w:rsidRPr="00BA1D95">
        <w:rPr>
          <w:rFonts w:cs="Arial"/>
        </w:rPr>
        <w:t>días hábiles que se contabilizarán a partir de la solicitud para el servicio con el módem/ONT de Telmex que estuvieran en funcionamiento.</w:t>
      </w:r>
    </w:p>
    <w:p w:rsidR="004966E9" w:rsidRPr="00BA1D95" w:rsidRDefault="004966E9" w:rsidP="00D37C98">
      <w:pPr>
        <w:pStyle w:val="IFTnormal"/>
        <w:numPr>
          <w:ilvl w:val="0"/>
          <w:numId w:val="89"/>
        </w:numPr>
        <w:rPr>
          <w:rFonts w:cs="Arial"/>
        </w:rPr>
      </w:pPr>
      <w:r w:rsidRPr="00BA1D95">
        <w:rPr>
          <w:rFonts w:cs="Arial"/>
        </w:rPr>
        <w:t xml:space="preserve">Entrega del servicio para usuarios existentes (habilitación): máximo </w:t>
      </w:r>
      <w:r w:rsidR="0095410A">
        <w:rPr>
          <w:rFonts w:cs="Arial"/>
        </w:rPr>
        <w:t>siete</w:t>
      </w:r>
      <w:r w:rsidR="0095410A" w:rsidRPr="00BA1D95">
        <w:rPr>
          <w:rFonts w:cs="Arial"/>
        </w:rPr>
        <w:t xml:space="preserve"> </w:t>
      </w:r>
      <w:r w:rsidRPr="00BA1D95">
        <w:rPr>
          <w:rFonts w:cs="Arial"/>
        </w:rPr>
        <w:t>días hábiles que se contabilizarán a partir de la solicitud para el servicio en que Telmex deba entregar algún equipo a solicitud del CS.</w:t>
      </w:r>
    </w:p>
    <w:p w:rsidR="00DD36C4" w:rsidRPr="00676B87" w:rsidRDefault="004966E9" w:rsidP="00D37C98">
      <w:pPr>
        <w:pStyle w:val="IFTnormal"/>
        <w:numPr>
          <w:ilvl w:val="0"/>
          <w:numId w:val="89"/>
        </w:numPr>
        <w:rPr>
          <w:rFonts w:cs="Arial"/>
        </w:rPr>
      </w:pPr>
      <w:r w:rsidRPr="00BA1D95">
        <w:rPr>
          <w:rFonts w:cs="Arial"/>
        </w:rPr>
        <w:t xml:space="preserve">Entrega del servicio para usuarios nuevos con acometida o recursos de red (habilitación): día confirmado por el CS en la solicitud (máximo </w:t>
      </w:r>
      <w:r w:rsidR="0095410A">
        <w:rPr>
          <w:rFonts w:cs="Arial"/>
        </w:rPr>
        <w:t>cinco</w:t>
      </w:r>
      <w:r w:rsidR="0095410A" w:rsidRPr="00BA1D95">
        <w:rPr>
          <w:rFonts w:cs="Arial"/>
        </w:rPr>
        <w:t xml:space="preserve"> </w:t>
      </w:r>
      <w:r w:rsidRPr="00BA1D95">
        <w:rPr>
          <w:rFonts w:cs="Arial"/>
        </w:rPr>
        <w:t>día</w:t>
      </w:r>
      <w:r w:rsidR="00917521" w:rsidRPr="00BA1D95">
        <w:rPr>
          <w:rFonts w:cs="Arial"/>
        </w:rPr>
        <w:t xml:space="preserve">s </w:t>
      </w:r>
      <w:r w:rsidRPr="00BA1D95">
        <w:rPr>
          <w:rFonts w:cs="Arial"/>
        </w:rPr>
        <w:t>hábil</w:t>
      </w:r>
      <w:r w:rsidR="00917521" w:rsidRPr="00BA1D95">
        <w:rPr>
          <w:rFonts w:cs="Arial"/>
        </w:rPr>
        <w:t>es</w:t>
      </w:r>
      <w:r w:rsidRPr="00BA1D95">
        <w:rPr>
          <w:rFonts w:cs="Arial"/>
        </w:rPr>
        <w:t xml:space="preserve"> a partir de la solicitud sin provisión de equipo y máximo </w:t>
      </w:r>
      <w:r w:rsidR="0095410A">
        <w:rPr>
          <w:rFonts w:cs="Arial"/>
        </w:rPr>
        <w:t>siete</w:t>
      </w:r>
      <w:r w:rsidR="0095410A" w:rsidRPr="00BA1D95">
        <w:rPr>
          <w:rFonts w:cs="Arial"/>
        </w:rPr>
        <w:t xml:space="preserve"> </w:t>
      </w:r>
      <w:r w:rsidRPr="00BA1D95">
        <w:rPr>
          <w:rFonts w:cs="Arial"/>
        </w:rPr>
        <w:t>día</w:t>
      </w:r>
      <w:r w:rsidR="00917521" w:rsidRPr="00BA1D95">
        <w:rPr>
          <w:rFonts w:cs="Arial"/>
        </w:rPr>
        <w:t>s</w:t>
      </w:r>
      <w:r w:rsidRPr="00BA1D95" w:rsidDel="00917521">
        <w:rPr>
          <w:rFonts w:cs="Arial"/>
        </w:rPr>
        <w:t xml:space="preserve"> </w:t>
      </w:r>
      <w:r w:rsidRPr="00BA1D95">
        <w:rPr>
          <w:rFonts w:cs="Arial"/>
        </w:rPr>
        <w:t>hábil</w:t>
      </w:r>
      <w:r w:rsidR="00917521" w:rsidRPr="00BA1D95">
        <w:rPr>
          <w:rFonts w:cs="Arial"/>
        </w:rPr>
        <w:t>es</w:t>
      </w:r>
      <w:r w:rsidRPr="00BA1D95">
        <w:rPr>
          <w:rFonts w:cs="Arial"/>
        </w:rPr>
        <w:t xml:space="preserve"> a partir de la solicitud con provisión de equipo).</w:t>
      </w:r>
    </w:p>
    <w:p w:rsidR="00A47F9A" w:rsidRDefault="004966E9" w:rsidP="00D37C98">
      <w:pPr>
        <w:pStyle w:val="IFTnormal"/>
        <w:numPr>
          <w:ilvl w:val="0"/>
          <w:numId w:val="89"/>
        </w:numPr>
        <w:rPr>
          <w:rFonts w:cs="Arial"/>
        </w:rPr>
      </w:pPr>
      <w:r w:rsidRPr="00BA1D95">
        <w:rPr>
          <w:rFonts w:cs="Arial"/>
        </w:rPr>
        <w:t xml:space="preserve">Entrega del servicio para usuarios nuevos sin acometida (habilitación): día confirmado por el CS en la solicitud (máximo </w:t>
      </w:r>
      <w:r w:rsidR="0095410A">
        <w:rPr>
          <w:rFonts w:cs="Arial"/>
        </w:rPr>
        <w:t>cinco</w:t>
      </w:r>
      <w:r w:rsidR="0095410A" w:rsidRPr="00BA1D95">
        <w:rPr>
          <w:rFonts w:cs="Arial"/>
        </w:rPr>
        <w:t xml:space="preserve"> </w:t>
      </w:r>
      <w:r w:rsidRPr="00BA1D95">
        <w:rPr>
          <w:rFonts w:cs="Arial"/>
        </w:rPr>
        <w:t>día</w:t>
      </w:r>
      <w:r w:rsidR="00F15CBA" w:rsidRPr="00BA1D95">
        <w:rPr>
          <w:rFonts w:cs="Arial"/>
        </w:rPr>
        <w:t>s</w:t>
      </w:r>
      <w:r w:rsidRPr="00BA1D95">
        <w:rPr>
          <w:rFonts w:cs="Arial"/>
        </w:rPr>
        <w:t xml:space="preserve"> hábil</w:t>
      </w:r>
      <w:r w:rsidR="00F15CBA" w:rsidRPr="00BA1D95">
        <w:rPr>
          <w:rFonts w:cs="Arial"/>
        </w:rPr>
        <w:t>es</w:t>
      </w:r>
      <w:r w:rsidRPr="00BA1D95">
        <w:rPr>
          <w:rFonts w:cs="Arial"/>
        </w:rPr>
        <w:t xml:space="preserve"> a partir de la solicitud</w:t>
      </w:r>
      <w:r w:rsidRPr="00BA1D95" w:rsidDel="00F15CBA">
        <w:rPr>
          <w:rFonts w:cs="Arial"/>
        </w:rPr>
        <w:t xml:space="preserve"> </w:t>
      </w:r>
      <w:r w:rsidRPr="00BA1D95">
        <w:rPr>
          <w:rFonts w:cs="Arial"/>
        </w:rPr>
        <w:t>sin provisión de equipo</w:t>
      </w:r>
      <w:r w:rsidR="00F15CBA" w:rsidRPr="00BA1D95">
        <w:rPr>
          <w:rFonts w:cs="Arial"/>
        </w:rPr>
        <w:t xml:space="preserve"> y máximo </w:t>
      </w:r>
      <w:r w:rsidR="0095410A">
        <w:rPr>
          <w:rFonts w:cs="Arial"/>
        </w:rPr>
        <w:t>siete</w:t>
      </w:r>
      <w:r w:rsidR="0095410A" w:rsidRPr="00BA1D95">
        <w:rPr>
          <w:rFonts w:cs="Arial"/>
        </w:rPr>
        <w:t xml:space="preserve"> </w:t>
      </w:r>
      <w:r w:rsidR="00F15CBA" w:rsidRPr="00BA1D95">
        <w:rPr>
          <w:rFonts w:cs="Arial"/>
        </w:rPr>
        <w:t>días hábiles a partir de la solicitud con provisión de equipo</w:t>
      </w:r>
      <w:r w:rsidRPr="00BA1D95">
        <w:rPr>
          <w:rFonts w:cs="Arial"/>
        </w:rPr>
        <w:t>).</w:t>
      </w:r>
    </w:p>
    <w:p w:rsidR="00E463FA" w:rsidRPr="00BA1D95" w:rsidRDefault="00E463FA" w:rsidP="00D37C98">
      <w:pPr>
        <w:pStyle w:val="IFTnormal"/>
        <w:numPr>
          <w:ilvl w:val="0"/>
          <w:numId w:val="89"/>
        </w:numPr>
        <w:rPr>
          <w:rFonts w:cs="Arial"/>
        </w:rPr>
      </w:pPr>
      <w:r>
        <w:rPr>
          <w:rFonts w:cs="Arial"/>
        </w:rPr>
        <w:t>Baja del servicio</w:t>
      </w:r>
      <w:r w:rsidR="00DF224F">
        <w:rPr>
          <w:rFonts w:cs="Arial"/>
        </w:rPr>
        <w:t>: en máximo un</w:t>
      </w:r>
      <w:r w:rsidR="00D255F2">
        <w:rPr>
          <w:rFonts w:cs="Arial"/>
        </w:rPr>
        <w:t xml:space="preserve"> día hábil.</w:t>
      </w:r>
    </w:p>
    <w:p w:rsidR="00A47F9A" w:rsidRPr="00BA1D95" w:rsidRDefault="00A47F9A" w:rsidP="00FF4EC6">
      <w:pPr>
        <w:pStyle w:val="1TitPrin"/>
        <w:numPr>
          <w:ilvl w:val="1"/>
          <w:numId w:val="182"/>
        </w:numPr>
        <w:outlineLvl w:val="1"/>
      </w:pPr>
      <w:bookmarkStart w:id="562" w:name="_Toc436840891"/>
      <w:bookmarkStart w:id="563" w:name="_Toc436846328"/>
      <w:bookmarkStart w:id="564" w:name="_Toc436848278"/>
      <w:bookmarkStart w:id="565" w:name="_Toc436856526"/>
      <w:bookmarkStart w:id="566" w:name="_Toc436862672"/>
      <w:bookmarkStart w:id="567" w:name="_Toc436866322"/>
      <w:bookmarkStart w:id="568" w:name="_Toc436870901"/>
      <w:bookmarkStart w:id="569" w:name="_Toc436875893"/>
      <w:bookmarkStart w:id="570" w:name="_Toc467248705"/>
      <w:bookmarkStart w:id="571" w:name="_Toc525904571"/>
      <w:bookmarkStart w:id="572" w:name="_Toc525913967"/>
      <w:bookmarkStart w:id="573" w:name="_Toc525919206"/>
      <w:bookmarkStart w:id="574" w:name="_Toc525919330"/>
      <w:bookmarkStart w:id="575" w:name="_Toc2957140"/>
      <w:bookmarkStart w:id="576" w:name="_Toc26273077"/>
      <w:bookmarkStart w:id="577" w:name="_Toc26284474"/>
      <w:bookmarkStart w:id="578" w:name="_Toc54106578"/>
      <w:r w:rsidRPr="00BA1D95">
        <w:t>Parámetros e indicadores de calidad para los Servicios de Reventa</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En esta sección se muestran los parámetros e indicadores de calidad referentes a la provisión, continuidad y atención de fallas del Servicio de Reventa. Estos parámetros e indicadores corresponden a los utilizados en la propia operación de Telmex, y se medirán con una periodicidad trimestral por cada uno de los CS.</w:t>
      </w:r>
    </w:p>
    <w:p w:rsidR="00204787" w:rsidRPr="00BA1D95" w:rsidRDefault="00204787" w:rsidP="004B11EB">
      <w:pPr>
        <w:spacing w:after="200" w:line="276" w:lineRule="auto"/>
        <w:jc w:val="both"/>
        <w:rPr>
          <w:rFonts w:ascii="ITC Avant Garde" w:hAnsi="ITC Avant Garde" w:cs="Arial"/>
        </w:rPr>
      </w:pPr>
    </w:p>
    <w:p w:rsidR="00A47F9A" w:rsidRPr="00BA1D95" w:rsidRDefault="00A47F9A" w:rsidP="004A2407">
      <w:pPr>
        <w:spacing w:after="200" w:line="276" w:lineRule="auto"/>
        <w:jc w:val="both"/>
        <w:rPr>
          <w:rFonts w:ascii="ITC Avant Garde" w:hAnsi="ITC Avant Garde" w:cs="Arial"/>
          <w:b/>
        </w:rPr>
      </w:pPr>
      <w:r w:rsidRPr="00BA1D95">
        <w:rPr>
          <w:rFonts w:ascii="ITC Avant Garde" w:hAnsi="ITC Avant Garde" w:cs="Arial"/>
          <w:b/>
        </w:rPr>
        <w:lastRenderedPageBreak/>
        <w:t>Parámetros e Indicadores para Provisión del Servicio</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En lo referente a la provisión de los servicios (validación de la solicitud, verificación de factibilidad y habilitación), se tienen los siguientes indicadores que permiten al CS replicar el servicio de Telmex en las mismas condiciones que a sus usuarios:</w:t>
      </w:r>
    </w:p>
    <w:p w:rsidR="00343FB8" w:rsidRPr="00BA1D95" w:rsidRDefault="00343FB8" w:rsidP="00D37C98">
      <w:pPr>
        <w:pStyle w:val="IFTnormal"/>
        <w:numPr>
          <w:ilvl w:val="0"/>
          <w:numId w:val="102"/>
        </w:numPr>
        <w:spacing w:before="240"/>
        <w:rPr>
          <w:rFonts w:cs="Arial"/>
        </w:rPr>
      </w:pPr>
      <w:r w:rsidRPr="00BA1D95">
        <w:rPr>
          <w:rFonts w:cs="Arial"/>
        </w:rPr>
        <w:t>Validación de la solicitud junto con validación de la factibilidad: 9</w:t>
      </w:r>
      <w:r w:rsidR="00676B87">
        <w:rPr>
          <w:rFonts w:cs="Arial"/>
        </w:rPr>
        <w:t>5</w:t>
      </w:r>
      <w:r w:rsidRPr="00BA1D95">
        <w:rPr>
          <w:rFonts w:cs="Arial"/>
        </w:rPr>
        <w:t xml:space="preserve">% de las solicitudes en máximo un día </w:t>
      </w:r>
      <w:r w:rsidR="00E333E0">
        <w:rPr>
          <w:rFonts w:cs="Arial"/>
        </w:rPr>
        <w:t>natural</w:t>
      </w:r>
      <w:r w:rsidRPr="00BA1D95">
        <w:rPr>
          <w:rFonts w:cs="Arial"/>
        </w:rPr>
        <w:t xml:space="preserve">. El </w:t>
      </w:r>
      <w:r w:rsidR="00676B87">
        <w:rPr>
          <w:rFonts w:cs="Arial"/>
        </w:rPr>
        <w:t>5</w:t>
      </w:r>
      <w:r w:rsidRPr="00BA1D95">
        <w:rPr>
          <w:rFonts w:cs="Arial"/>
        </w:rPr>
        <w:t xml:space="preserve">% restante en un máximo de dos días </w:t>
      </w:r>
      <w:r w:rsidR="00E333E0">
        <w:rPr>
          <w:rFonts w:cs="Arial"/>
        </w:rPr>
        <w:t>naturales</w:t>
      </w:r>
      <w:r w:rsidR="00041BA6">
        <w:rPr>
          <w:rFonts w:cs="Arial"/>
        </w:rPr>
        <w:t xml:space="preserve"> </w:t>
      </w:r>
      <w:r w:rsidRPr="00BA1D95">
        <w:rPr>
          <w:rFonts w:cs="Arial"/>
        </w:rPr>
        <w:t>a partir de la solicitud.</w:t>
      </w:r>
    </w:p>
    <w:p w:rsidR="00A47F9A" w:rsidRPr="00BA1D95" w:rsidRDefault="00A47F9A" w:rsidP="008F5D32">
      <w:pPr>
        <w:pStyle w:val="Prrafodelista"/>
        <w:numPr>
          <w:ilvl w:val="0"/>
          <w:numId w:val="27"/>
        </w:numPr>
        <w:spacing w:before="240" w:after="200" w:line="276" w:lineRule="auto"/>
        <w:jc w:val="both"/>
        <w:rPr>
          <w:rFonts w:ascii="ITC Avant Garde" w:hAnsi="ITC Avant Garde" w:cs="Arial"/>
          <w:sz w:val="22"/>
          <w:szCs w:val="22"/>
          <w:lang w:val="es-MX"/>
        </w:rPr>
      </w:pPr>
      <w:r w:rsidRPr="00BA1D95">
        <w:rPr>
          <w:rFonts w:ascii="ITC Avant Garde" w:hAnsi="ITC Avant Garde" w:cs="Arial"/>
          <w:sz w:val="22"/>
          <w:szCs w:val="22"/>
          <w:lang w:val="es-MX"/>
        </w:rPr>
        <w:t xml:space="preserve">Habilitación para usuarios existentes </w:t>
      </w:r>
      <w:r w:rsidR="00DC1F76" w:rsidRPr="00BA1D95">
        <w:rPr>
          <w:rFonts w:ascii="ITC Avant Garde" w:hAnsi="ITC Avant Garde" w:cs="Arial"/>
          <w:sz w:val="22"/>
          <w:szCs w:val="22"/>
          <w:lang w:val="es-MX"/>
        </w:rPr>
        <w:t>con el módem/ONT de Telmex que estuvieran en funcionamiento</w:t>
      </w:r>
      <w:r w:rsidRPr="00BA1D95">
        <w:rPr>
          <w:rFonts w:ascii="ITC Avant Garde" w:hAnsi="ITC Avant Garde" w:cs="Arial"/>
          <w:sz w:val="22"/>
          <w:szCs w:val="22"/>
          <w:lang w:val="es-MX"/>
        </w:rPr>
        <w:t xml:space="preserve">: 90% en un máximo de </w:t>
      </w:r>
      <w:r w:rsidR="00676B87">
        <w:rPr>
          <w:rFonts w:ascii="ITC Avant Garde" w:hAnsi="ITC Avant Garde" w:cs="Arial"/>
          <w:sz w:val="22"/>
          <w:szCs w:val="22"/>
          <w:lang w:val="es-MX"/>
        </w:rPr>
        <w:t>cinco</w:t>
      </w:r>
      <w:r w:rsidR="00676B87" w:rsidRPr="00BA1D95">
        <w:rPr>
          <w:rFonts w:ascii="ITC Avant Garde" w:hAnsi="ITC Avant Garde" w:cs="Arial"/>
          <w:sz w:val="22"/>
          <w:szCs w:val="22"/>
          <w:lang w:val="es-MX"/>
        </w:rPr>
        <w:t xml:space="preserve"> </w:t>
      </w:r>
      <w:r w:rsidRPr="00BA1D95">
        <w:rPr>
          <w:rFonts w:ascii="ITC Avant Garde" w:hAnsi="ITC Avant Garde" w:cs="Arial"/>
          <w:sz w:val="22"/>
          <w:szCs w:val="22"/>
          <w:lang w:val="es-MX"/>
        </w:rPr>
        <w:t xml:space="preserve">días hábiles. El 10% restante en un máximo de </w:t>
      </w:r>
      <w:r w:rsidR="00676B87">
        <w:rPr>
          <w:rFonts w:ascii="ITC Avant Garde" w:hAnsi="ITC Avant Garde" w:cs="Arial"/>
          <w:sz w:val="22"/>
          <w:szCs w:val="22"/>
          <w:lang w:val="es-MX"/>
        </w:rPr>
        <w:t>siete</w:t>
      </w:r>
      <w:r w:rsidR="00676B87" w:rsidRPr="00BA1D95">
        <w:rPr>
          <w:rFonts w:ascii="ITC Avant Garde" w:hAnsi="ITC Avant Garde" w:cs="Arial"/>
          <w:sz w:val="22"/>
          <w:szCs w:val="22"/>
          <w:lang w:val="es-MX"/>
        </w:rPr>
        <w:t xml:space="preserve"> </w:t>
      </w:r>
      <w:r w:rsidRPr="00BA1D95">
        <w:rPr>
          <w:rFonts w:ascii="ITC Avant Garde" w:hAnsi="ITC Avant Garde" w:cs="Arial"/>
          <w:sz w:val="22"/>
          <w:szCs w:val="22"/>
          <w:lang w:val="es-MX"/>
        </w:rPr>
        <w:t>días hábiles a partir de la solicitud.</w:t>
      </w:r>
    </w:p>
    <w:p w:rsidR="00FD5614" w:rsidRPr="00BA1D95" w:rsidRDefault="00FD5614" w:rsidP="008F5D32">
      <w:pPr>
        <w:pStyle w:val="Prrafodelista"/>
        <w:numPr>
          <w:ilvl w:val="0"/>
          <w:numId w:val="27"/>
        </w:numPr>
        <w:spacing w:before="240" w:after="200" w:line="276" w:lineRule="auto"/>
        <w:jc w:val="both"/>
        <w:rPr>
          <w:rFonts w:ascii="ITC Avant Garde" w:hAnsi="ITC Avant Garde" w:cs="Arial"/>
          <w:sz w:val="22"/>
          <w:szCs w:val="22"/>
          <w:lang w:val="es-MX"/>
        </w:rPr>
      </w:pPr>
      <w:r w:rsidRPr="00BA1D95">
        <w:rPr>
          <w:rFonts w:ascii="ITC Avant Garde" w:hAnsi="ITC Avant Garde" w:cs="Arial"/>
          <w:sz w:val="22"/>
          <w:szCs w:val="22"/>
          <w:lang w:val="es-MX"/>
        </w:rPr>
        <w:t xml:space="preserve">Habilitación para usuarios existentes </w:t>
      </w:r>
      <w:r w:rsidR="00DC1F76" w:rsidRPr="00BA1D95">
        <w:rPr>
          <w:rFonts w:ascii="ITC Avant Garde" w:hAnsi="ITC Avant Garde" w:cs="Arial"/>
          <w:sz w:val="22"/>
          <w:szCs w:val="22"/>
          <w:lang w:val="es-MX"/>
        </w:rPr>
        <w:t>para el servicio en que Telmex deba entregar algún equipo a solicitud del CS</w:t>
      </w:r>
      <w:r w:rsidRPr="00BA1D95">
        <w:rPr>
          <w:rFonts w:ascii="ITC Avant Garde" w:hAnsi="ITC Avant Garde" w:cs="Arial"/>
          <w:sz w:val="22"/>
          <w:szCs w:val="22"/>
          <w:lang w:val="es-MX"/>
        </w:rPr>
        <w:t xml:space="preserve">: 90% en un máximo de </w:t>
      </w:r>
      <w:r w:rsidR="00676B87">
        <w:rPr>
          <w:rFonts w:ascii="ITC Avant Garde" w:hAnsi="ITC Avant Garde" w:cs="Arial"/>
          <w:sz w:val="22"/>
          <w:szCs w:val="22"/>
          <w:lang w:val="es-MX"/>
        </w:rPr>
        <w:t>siete</w:t>
      </w:r>
      <w:r w:rsidR="00676B87" w:rsidRPr="00BA1D95">
        <w:rPr>
          <w:rFonts w:ascii="ITC Avant Garde" w:hAnsi="ITC Avant Garde" w:cs="Arial"/>
          <w:sz w:val="22"/>
          <w:szCs w:val="22"/>
          <w:lang w:val="es-MX"/>
        </w:rPr>
        <w:t xml:space="preserve"> </w:t>
      </w:r>
      <w:r w:rsidRPr="00BA1D95">
        <w:rPr>
          <w:rFonts w:ascii="ITC Avant Garde" w:hAnsi="ITC Avant Garde" w:cs="Arial"/>
          <w:sz w:val="22"/>
          <w:szCs w:val="22"/>
          <w:lang w:val="es-MX"/>
        </w:rPr>
        <w:t xml:space="preserve">días hábiles. El 10% restante en un máximo de </w:t>
      </w:r>
      <w:r w:rsidR="00676B87">
        <w:rPr>
          <w:rFonts w:ascii="ITC Avant Garde" w:hAnsi="ITC Avant Garde" w:cs="Arial"/>
          <w:sz w:val="22"/>
          <w:szCs w:val="22"/>
          <w:lang w:val="es-MX"/>
        </w:rPr>
        <w:t>nueve</w:t>
      </w:r>
      <w:r w:rsidR="00676B87" w:rsidRPr="00BA1D95">
        <w:rPr>
          <w:rFonts w:ascii="ITC Avant Garde" w:hAnsi="ITC Avant Garde" w:cs="Arial"/>
          <w:sz w:val="22"/>
          <w:szCs w:val="22"/>
          <w:lang w:val="es-MX"/>
        </w:rPr>
        <w:t xml:space="preserve"> </w:t>
      </w:r>
      <w:r w:rsidRPr="00BA1D95">
        <w:rPr>
          <w:rFonts w:ascii="ITC Avant Garde" w:hAnsi="ITC Avant Garde" w:cs="Arial"/>
          <w:sz w:val="22"/>
          <w:szCs w:val="22"/>
          <w:lang w:val="es-MX"/>
        </w:rPr>
        <w:t>días hábiles a partir de la solicitud.</w:t>
      </w:r>
    </w:p>
    <w:p w:rsidR="00A47F9A" w:rsidRPr="00BA1D95" w:rsidRDefault="00A47F9A" w:rsidP="008F5D32">
      <w:pPr>
        <w:pStyle w:val="IFTnormal"/>
        <w:numPr>
          <w:ilvl w:val="0"/>
          <w:numId w:val="27"/>
        </w:numPr>
        <w:spacing w:before="240"/>
        <w:rPr>
          <w:rFonts w:cs="Arial"/>
        </w:rPr>
      </w:pPr>
      <w:r w:rsidRPr="00BA1D95">
        <w:rPr>
          <w:rFonts w:cs="Arial"/>
        </w:rPr>
        <w:t>Habilitación para usuarios nuevos con acometida o recursos de red</w:t>
      </w:r>
      <w:r w:rsidR="00DC1F76" w:rsidRPr="00BA1D95">
        <w:rPr>
          <w:rFonts w:cs="Arial"/>
        </w:rPr>
        <w:t xml:space="preserve"> sin provisión de equipo</w:t>
      </w:r>
      <w:r w:rsidRPr="00BA1D95">
        <w:rPr>
          <w:rFonts w:cs="Arial"/>
        </w:rPr>
        <w:t xml:space="preserve">: 90% en un máximo de </w:t>
      </w:r>
      <w:r w:rsidR="00676B87">
        <w:rPr>
          <w:rFonts w:cs="Arial"/>
        </w:rPr>
        <w:t>cinco</w:t>
      </w:r>
      <w:r w:rsidR="00C205D5" w:rsidRPr="00BA1D95">
        <w:rPr>
          <w:rFonts w:cs="Arial"/>
        </w:rPr>
        <w:t xml:space="preserve"> </w:t>
      </w:r>
      <w:r w:rsidRPr="00BA1D95">
        <w:rPr>
          <w:rFonts w:cs="Arial"/>
        </w:rPr>
        <w:t xml:space="preserve">días hábiles. El 10% restante en un máximo de </w:t>
      </w:r>
      <w:r w:rsidR="00676B87">
        <w:rPr>
          <w:rFonts w:cs="Arial"/>
        </w:rPr>
        <w:t>siete</w:t>
      </w:r>
      <w:r w:rsidR="00C205D5" w:rsidRPr="00BA1D95">
        <w:rPr>
          <w:rFonts w:cs="Arial"/>
        </w:rPr>
        <w:t xml:space="preserve"> </w:t>
      </w:r>
      <w:r w:rsidRPr="00BA1D95">
        <w:rPr>
          <w:rFonts w:cs="Arial"/>
        </w:rPr>
        <w:t>días hábiles a partir de la solicitud.</w:t>
      </w:r>
    </w:p>
    <w:p w:rsidR="00DC1F76" w:rsidRPr="00BA1D95" w:rsidRDefault="00DC1F76" w:rsidP="008F5D32">
      <w:pPr>
        <w:pStyle w:val="IFTnormal"/>
        <w:numPr>
          <w:ilvl w:val="0"/>
          <w:numId w:val="27"/>
        </w:numPr>
        <w:spacing w:before="240"/>
        <w:rPr>
          <w:rFonts w:cs="Arial"/>
        </w:rPr>
      </w:pPr>
      <w:r w:rsidRPr="00BA1D95">
        <w:rPr>
          <w:rFonts w:cs="Arial"/>
        </w:rPr>
        <w:t xml:space="preserve">Habilitación para usuarios nuevos con acometida o recursos de red con provisión de equipo: 90% en un máximo de </w:t>
      </w:r>
      <w:r w:rsidR="00676B87">
        <w:rPr>
          <w:rFonts w:cs="Arial"/>
        </w:rPr>
        <w:t>siete</w:t>
      </w:r>
      <w:r w:rsidR="00C205D5" w:rsidRPr="00BA1D95">
        <w:rPr>
          <w:rFonts w:cs="Arial"/>
        </w:rPr>
        <w:t xml:space="preserve"> </w:t>
      </w:r>
      <w:r w:rsidRPr="00BA1D95">
        <w:rPr>
          <w:rFonts w:cs="Arial"/>
        </w:rPr>
        <w:t xml:space="preserve">días hábiles. El 10% restante en un máximo de </w:t>
      </w:r>
      <w:r w:rsidR="00676B87">
        <w:rPr>
          <w:rFonts w:cs="Arial"/>
        </w:rPr>
        <w:t>nueve</w:t>
      </w:r>
      <w:r w:rsidR="00C205D5" w:rsidRPr="00BA1D95">
        <w:rPr>
          <w:rFonts w:cs="Arial"/>
        </w:rPr>
        <w:t xml:space="preserve"> </w:t>
      </w:r>
      <w:r w:rsidRPr="00BA1D95">
        <w:rPr>
          <w:rFonts w:cs="Arial"/>
        </w:rPr>
        <w:t>días hábiles a partir de la solicitud.</w:t>
      </w:r>
    </w:p>
    <w:p w:rsidR="00CB503E" w:rsidRPr="00BA1D95" w:rsidRDefault="00CB503E" w:rsidP="008F5D32">
      <w:pPr>
        <w:pStyle w:val="Prrafodelista"/>
        <w:numPr>
          <w:ilvl w:val="0"/>
          <w:numId w:val="27"/>
        </w:numPr>
        <w:spacing w:before="240" w:after="240"/>
        <w:jc w:val="both"/>
        <w:rPr>
          <w:rFonts w:ascii="ITC Avant Garde" w:hAnsi="ITC Avant Garde" w:cs="Arial"/>
          <w:sz w:val="22"/>
          <w:szCs w:val="22"/>
        </w:rPr>
      </w:pPr>
      <w:r w:rsidRPr="00BA1D95">
        <w:rPr>
          <w:rFonts w:ascii="ITC Avant Garde" w:eastAsia="Calibri" w:hAnsi="ITC Avant Garde" w:cs="Arial"/>
          <w:sz w:val="22"/>
          <w:szCs w:val="22"/>
          <w:lang w:val="es-MX" w:eastAsia="en-US"/>
        </w:rPr>
        <w:t>Habilitación para usuarios nuevos sin acometida o recursos de red</w:t>
      </w:r>
      <w:r w:rsidRPr="00BA1D95">
        <w:rPr>
          <w:rFonts w:ascii="ITC Avant Garde" w:eastAsia="Calibri" w:hAnsi="ITC Avant Garde" w:cs="Arial"/>
          <w:bCs/>
          <w:sz w:val="22"/>
          <w:szCs w:val="22"/>
          <w:lang w:val="es-MX" w:eastAsia="en-US"/>
        </w:rPr>
        <w:t xml:space="preserve"> sin provisión de equipo: 90% en un máximo de </w:t>
      </w:r>
      <w:r w:rsidR="00676B87">
        <w:rPr>
          <w:rFonts w:ascii="ITC Avant Garde" w:eastAsia="Calibri" w:hAnsi="ITC Avant Garde" w:cs="Arial"/>
          <w:bCs/>
          <w:sz w:val="22"/>
          <w:szCs w:val="22"/>
          <w:lang w:val="es-MX" w:eastAsia="en-US"/>
        </w:rPr>
        <w:t>cinco</w:t>
      </w:r>
      <w:r w:rsidR="00C205D5" w:rsidRPr="00BA1D95">
        <w:rPr>
          <w:rFonts w:ascii="ITC Avant Garde" w:eastAsia="Calibri" w:hAnsi="ITC Avant Garde" w:cs="Arial"/>
          <w:bCs/>
          <w:sz w:val="22"/>
          <w:szCs w:val="22"/>
          <w:lang w:val="es-MX" w:eastAsia="en-US"/>
        </w:rPr>
        <w:t xml:space="preserve"> </w:t>
      </w:r>
      <w:r w:rsidRPr="00BA1D95">
        <w:rPr>
          <w:rFonts w:ascii="ITC Avant Garde" w:eastAsia="Calibri" w:hAnsi="ITC Avant Garde" w:cs="Arial"/>
          <w:bCs/>
          <w:sz w:val="22"/>
          <w:szCs w:val="22"/>
          <w:lang w:val="es-MX" w:eastAsia="en-US"/>
        </w:rPr>
        <w:t xml:space="preserve">días hábiles. El 10% restante en un máximo de </w:t>
      </w:r>
      <w:r w:rsidR="00676B87">
        <w:rPr>
          <w:rFonts w:ascii="ITC Avant Garde" w:eastAsia="Calibri" w:hAnsi="ITC Avant Garde" w:cs="Arial"/>
          <w:bCs/>
          <w:sz w:val="22"/>
          <w:szCs w:val="22"/>
          <w:lang w:val="es-MX" w:eastAsia="en-US"/>
        </w:rPr>
        <w:t>siete</w:t>
      </w:r>
      <w:r w:rsidR="00C205D5" w:rsidRPr="00BA1D95">
        <w:rPr>
          <w:rFonts w:ascii="ITC Avant Garde" w:eastAsia="Calibri" w:hAnsi="ITC Avant Garde" w:cs="Arial"/>
          <w:bCs/>
          <w:sz w:val="22"/>
          <w:szCs w:val="22"/>
          <w:lang w:val="es-MX" w:eastAsia="en-US"/>
        </w:rPr>
        <w:t xml:space="preserve"> </w:t>
      </w:r>
      <w:r w:rsidRPr="00BA1D95">
        <w:rPr>
          <w:rFonts w:ascii="ITC Avant Garde" w:eastAsia="Calibri" w:hAnsi="ITC Avant Garde" w:cs="Arial"/>
          <w:bCs/>
          <w:sz w:val="22"/>
          <w:szCs w:val="22"/>
          <w:lang w:val="es-MX" w:eastAsia="en-US"/>
        </w:rPr>
        <w:t>días hábiles a partir de la solicitud.</w:t>
      </w:r>
    </w:p>
    <w:p w:rsidR="00CB503E" w:rsidRPr="00BA1D95" w:rsidRDefault="00CB503E" w:rsidP="008F5D32">
      <w:pPr>
        <w:pStyle w:val="Prrafodelista"/>
        <w:numPr>
          <w:ilvl w:val="0"/>
          <w:numId w:val="27"/>
        </w:numPr>
        <w:spacing w:before="240" w:after="240"/>
        <w:jc w:val="both"/>
        <w:rPr>
          <w:rFonts w:ascii="ITC Avant Garde" w:hAnsi="ITC Avant Garde" w:cs="Arial"/>
          <w:sz w:val="22"/>
          <w:szCs w:val="22"/>
        </w:rPr>
      </w:pPr>
      <w:r w:rsidRPr="00BA1D95">
        <w:rPr>
          <w:rFonts w:ascii="ITC Avant Garde" w:eastAsia="Calibri" w:hAnsi="ITC Avant Garde" w:cs="Arial"/>
          <w:sz w:val="22"/>
          <w:szCs w:val="22"/>
          <w:lang w:val="es-MX" w:eastAsia="en-US"/>
        </w:rPr>
        <w:t>Habilitación para usuarios nuevos sin acometida o recursos de red</w:t>
      </w:r>
      <w:r w:rsidRPr="00BA1D95">
        <w:rPr>
          <w:rFonts w:ascii="ITC Avant Garde" w:eastAsia="Calibri" w:hAnsi="ITC Avant Garde" w:cs="Arial"/>
          <w:bCs/>
          <w:sz w:val="22"/>
          <w:szCs w:val="22"/>
          <w:lang w:val="es-MX" w:eastAsia="en-US"/>
        </w:rPr>
        <w:t xml:space="preserve"> con provisión de equipo</w:t>
      </w:r>
      <w:r w:rsidRPr="00BA1D95">
        <w:rPr>
          <w:rFonts w:ascii="ITC Avant Garde" w:eastAsia="Calibri" w:hAnsi="ITC Avant Garde" w:cs="Arial"/>
          <w:sz w:val="22"/>
          <w:szCs w:val="22"/>
          <w:lang w:val="es-MX" w:eastAsia="en-US"/>
        </w:rPr>
        <w:t xml:space="preserve">: 90% en un máximo de </w:t>
      </w:r>
      <w:r w:rsidR="00676B87">
        <w:rPr>
          <w:rFonts w:ascii="ITC Avant Garde" w:eastAsia="Calibri" w:hAnsi="ITC Avant Garde" w:cs="Arial"/>
          <w:sz w:val="22"/>
          <w:szCs w:val="22"/>
          <w:lang w:val="es-MX" w:eastAsia="en-US"/>
        </w:rPr>
        <w:t>siete</w:t>
      </w:r>
      <w:r w:rsidR="00C205D5" w:rsidRPr="00BA1D95">
        <w:rPr>
          <w:rFonts w:ascii="ITC Avant Garde" w:eastAsia="Calibri" w:hAnsi="ITC Avant Garde" w:cs="Arial"/>
          <w:sz w:val="22"/>
          <w:szCs w:val="22"/>
          <w:lang w:val="es-MX" w:eastAsia="en-US"/>
        </w:rPr>
        <w:t xml:space="preserve"> </w:t>
      </w:r>
      <w:r w:rsidRPr="00BA1D95">
        <w:rPr>
          <w:rFonts w:ascii="ITC Avant Garde" w:eastAsia="Calibri" w:hAnsi="ITC Avant Garde" w:cs="Arial"/>
          <w:sz w:val="22"/>
          <w:szCs w:val="22"/>
          <w:lang w:val="es-MX" w:eastAsia="en-US"/>
        </w:rPr>
        <w:t xml:space="preserve">días hábiles. El 10% restante en un máximo de </w:t>
      </w:r>
      <w:r w:rsidR="00676B87">
        <w:rPr>
          <w:rFonts w:ascii="ITC Avant Garde" w:eastAsia="Calibri" w:hAnsi="ITC Avant Garde" w:cs="Arial"/>
          <w:sz w:val="22"/>
          <w:szCs w:val="22"/>
          <w:lang w:val="es-MX" w:eastAsia="en-US"/>
        </w:rPr>
        <w:t>nueve</w:t>
      </w:r>
      <w:r w:rsidR="00C205D5" w:rsidRPr="00BA1D95">
        <w:rPr>
          <w:rFonts w:ascii="ITC Avant Garde" w:eastAsia="Calibri" w:hAnsi="ITC Avant Garde" w:cs="Arial"/>
          <w:sz w:val="22"/>
          <w:szCs w:val="22"/>
          <w:lang w:val="es-MX" w:eastAsia="en-US"/>
        </w:rPr>
        <w:t xml:space="preserve"> </w:t>
      </w:r>
      <w:r w:rsidRPr="00BA1D95">
        <w:rPr>
          <w:rFonts w:ascii="ITC Avant Garde" w:eastAsia="Calibri" w:hAnsi="ITC Avant Garde" w:cs="Arial"/>
          <w:sz w:val="22"/>
          <w:szCs w:val="22"/>
          <w:lang w:val="es-MX" w:eastAsia="en-US"/>
        </w:rPr>
        <w:t>días hábiles a partir de la solicitud.</w:t>
      </w:r>
    </w:p>
    <w:p w:rsidR="00A47F9A" w:rsidRPr="00BA1D95" w:rsidRDefault="00A47F9A" w:rsidP="008F5D32">
      <w:pPr>
        <w:pStyle w:val="Prrafodelista"/>
        <w:numPr>
          <w:ilvl w:val="0"/>
          <w:numId w:val="27"/>
        </w:numPr>
        <w:spacing w:before="240" w:after="200" w:line="276" w:lineRule="auto"/>
        <w:jc w:val="both"/>
        <w:rPr>
          <w:rFonts w:ascii="ITC Avant Garde" w:hAnsi="ITC Avant Garde" w:cs="Arial"/>
          <w:sz w:val="22"/>
          <w:szCs w:val="22"/>
          <w:lang w:val="es-MX"/>
        </w:rPr>
      </w:pPr>
      <w:r w:rsidRPr="00BA1D95">
        <w:rPr>
          <w:rFonts w:ascii="ITC Avant Garde" w:hAnsi="ITC Avant Garde" w:cs="Arial"/>
          <w:sz w:val="22"/>
          <w:szCs w:val="22"/>
          <w:lang w:val="es-MX"/>
        </w:rPr>
        <w:t xml:space="preserve">Porcentaje de servicios suspendidos y reactivados en tiempo (60%). El </w:t>
      </w:r>
      <w:r w:rsidR="004E757E">
        <w:rPr>
          <w:rFonts w:ascii="ITC Avant Garde" w:hAnsi="ITC Avant Garde" w:cs="Arial"/>
          <w:sz w:val="22"/>
          <w:szCs w:val="22"/>
          <w:lang w:val="es-MX"/>
        </w:rPr>
        <w:t>4</w:t>
      </w:r>
      <w:r w:rsidRPr="00BA1D95">
        <w:rPr>
          <w:rFonts w:ascii="ITC Avant Garde" w:hAnsi="ITC Avant Garde" w:cs="Arial"/>
          <w:sz w:val="22"/>
          <w:szCs w:val="22"/>
          <w:lang w:val="es-MX"/>
        </w:rPr>
        <w:t xml:space="preserve">0% restante de servicios suspendidos en 48 horas y de reactivaciones en </w:t>
      </w:r>
      <w:r w:rsidR="009F56E2">
        <w:rPr>
          <w:rFonts w:ascii="ITC Avant Garde" w:hAnsi="ITC Avant Garde" w:cs="Arial"/>
          <w:sz w:val="22"/>
          <w:szCs w:val="22"/>
          <w:lang w:val="es-MX"/>
        </w:rPr>
        <w:t>cuatro</w:t>
      </w:r>
      <w:r w:rsidR="009F56E2" w:rsidRPr="00BA1D95">
        <w:rPr>
          <w:rFonts w:ascii="ITC Avant Garde" w:hAnsi="ITC Avant Garde" w:cs="Arial"/>
          <w:sz w:val="22"/>
          <w:szCs w:val="22"/>
          <w:lang w:val="es-MX"/>
        </w:rPr>
        <w:t xml:space="preserve"> </w:t>
      </w:r>
      <w:r w:rsidRPr="00BA1D95">
        <w:rPr>
          <w:rFonts w:ascii="ITC Avant Garde" w:hAnsi="ITC Avant Garde" w:cs="Arial"/>
          <w:sz w:val="22"/>
          <w:szCs w:val="22"/>
          <w:lang w:val="es-MX"/>
        </w:rPr>
        <w:t>horas a partir de las solicitudes realizadas.</w:t>
      </w:r>
    </w:p>
    <w:p w:rsidR="00A47F9A" w:rsidRPr="00BA1D95" w:rsidRDefault="00A47F9A" w:rsidP="004B11EB">
      <w:pPr>
        <w:pStyle w:val="CondicionesFinales"/>
        <w:ind w:left="0"/>
        <w:rPr>
          <w:b/>
          <w:color w:val="auto"/>
        </w:rPr>
      </w:pPr>
      <w:r w:rsidRPr="00BA1D95">
        <w:rPr>
          <w:b/>
          <w:color w:val="auto"/>
        </w:rPr>
        <w:t>Metodología</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Para realizar la medición de los indicadores presentados, se descontarán los plazos señalados en la sección 4.</w:t>
      </w:r>
      <w:r w:rsidR="00074D77" w:rsidRPr="00BA1D95">
        <w:rPr>
          <w:rFonts w:ascii="ITC Avant Garde" w:hAnsi="ITC Avant Garde" w:cs="Arial"/>
        </w:rPr>
        <w:t>8</w:t>
      </w:r>
      <w:r w:rsidRPr="00BA1D95">
        <w:rPr>
          <w:rFonts w:ascii="ITC Avant Garde" w:hAnsi="ITC Avant Garde" w:cs="Arial"/>
        </w:rPr>
        <w:t xml:space="preserve"> de este documento de los días totales utilizados para la realización de dicha actividad, considerando como inicio del proceso el día en que se solicitó el servicio por parte del CS. </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lastRenderedPageBreak/>
        <w:t xml:space="preserve">El horario de atención es 24 horas, sin embargo, para realizar las mediciones de estos indicadores, se considerarán las solicitudes ingresadas en un horario hábil de lunes a viernes de 9:00 a 17:00 horas, </w:t>
      </w:r>
      <w:r w:rsidR="007C7B18" w:rsidRPr="00BA1D95">
        <w:rPr>
          <w:rFonts w:ascii="ITC Avant Garde" w:hAnsi="ITC Avant Garde" w:cs="Arial"/>
        </w:rPr>
        <w:t>así como sábados en un horario de 9:00 a 14:00 h</w:t>
      </w:r>
      <w:r w:rsidR="005F1B8C" w:rsidRPr="00BA1D95">
        <w:rPr>
          <w:rFonts w:ascii="ITC Avant Garde" w:hAnsi="ITC Avant Garde" w:cs="Arial"/>
        </w:rPr>
        <w:t>o</w:t>
      </w:r>
      <w:r w:rsidR="007C7B18" w:rsidRPr="00BA1D95">
        <w:rPr>
          <w:rFonts w:ascii="ITC Avant Garde" w:hAnsi="ITC Avant Garde" w:cs="Arial"/>
        </w:rPr>
        <w:t>r</w:t>
      </w:r>
      <w:r w:rsidR="005F1B8C" w:rsidRPr="00BA1D95">
        <w:rPr>
          <w:rFonts w:ascii="ITC Avant Garde" w:hAnsi="ITC Avant Garde" w:cs="Arial"/>
        </w:rPr>
        <w:t>a</w:t>
      </w:r>
      <w:r w:rsidR="007C7B18" w:rsidRPr="00BA1D95">
        <w:rPr>
          <w:rFonts w:ascii="ITC Avant Garde" w:hAnsi="ITC Avant Garde" w:cs="Arial"/>
        </w:rPr>
        <w:t xml:space="preserve">s. Aquellos </w:t>
      </w:r>
      <w:r w:rsidRPr="00BA1D95">
        <w:rPr>
          <w:rFonts w:ascii="ITC Avant Garde" w:hAnsi="ITC Avant Garde" w:cs="Arial"/>
        </w:rPr>
        <w:t xml:space="preserve">que se reciban después de </w:t>
      </w:r>
      <w:r w:rsidR="007C7B18" w:rsidRPr="00BA1D95">
        <w:rPr>
          <w:rFonts w:ascii="ITC Avant Garde" w:hAnsi="ITC Avant Garde" w:cs="Arial"/>
        </w:rPr>
        <w:t>estos horarios y los del sábado</w:t>
      </w:r>
      <w:r w:rsidRPr="00BA1D95">
        <w:rPr>
          <w:rFonts w:ascii="ITC Avant Garde" w:hAnsi="ITC Avant Garde" w:cs="Arial"/>
        </w:rPr>
        <w:t>, se contabilizarán para el día hábil siguiente</w:t>
      </w:r>
      <w:r w:rsidRPr="00BA1D95" w:rsidDel="007C7B18">
        <w:rPr>
          <w:rFonts w:ascii="ITC Avant Garde" w:hAnsi="ITC Avant Garde" w:cs="Arial"/>
        </w:rPr>
        <w:t>.</w:t>
      </w:r>
    </w:p>
    <w:p w:rsidR="00A47F9A" w:rsidRPr="00BA1D95" w:rsidRDefault="00A47F9A" w:rsidP="004B11EB">
      <w:pPr>
        <w:autoSpaceDE w:val="0"/>
        <w:autoSpaceDN w:val="0"/>
        <w:adjustRightInd w:val="0"/>
        <w:spacing w:after="200" w:line="276" w:lineRule="auto"/>
        <w:rPr>
          <w:rFonts w:ascii="ITC Avant Garde" w:hAnsi="ITC Avant Garde" w:cs="Arial"/>
          <w:b/>
        </w:rPr>
      </w:pPr>
      <w:r w:rsidRPr="00BA1D95">
        <w:rPr>
          <w:rFonts w:ascii="ITC Avant Garde" w:hAnsi="ITC Avant Garde" w:cs="Arial"/>
          <w:b/>
        </w:rPr>
        <w:t>Parámetros para Reparación de Fallas</w:t>
      </w:r>
    </w:p>
    <w:p w:rsidR="00A47F9A" w:rsidRPr="00BA1D95" w:rsidRDefault="00A47F9A" w:rsidP="004B11EB">
      <w:pPr>
        <w:pStyle w:val="Default"/>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En cuanto a los parámetros de calidad asociados a la reparación de fallas que afecten a los usuarios residenciales o comerciales, se tiene el siguiente alcance:</w:t>
      </w:r>
    </w:p>
    <w:p w:rsidR="00A47F9A" w:rsidRPr="00BA1D95" w:rsidRDefault="00A47F9A" w:rsidP="00D37C98">
      <w:pPr>
        <w:pStyle w:val="Default"/>
        <w:numPr>
          <w:ilvl w:val="0"/>
          <w:numId w:val="58"/>
        </w:numPr>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Total de re</w:t>
      </w:r>
      <w:r w:rsidR="00C66D76" w:rsidRPr="00BA1D95">
        <w:rPr>
          <w:rFonts w:ascii="ITC Avant Garde" w:hAnsi="ITC Avant Garde" w:cs="Arial"/>
          <w:color w:val="auto"/>
          <w:sz w:val="22"/>
          <w:szCs w:val="22"/>
          <w:lang w:val="es-MX"/>
        </w:rPr>
        <w:t>paraciones atendidas dentro del día hábil siguiente</w:t>
      </w:r>
      <w:r w:rsidRPr="00BA1D95">
        <w:rPr>
          <w:rFonts w:ascii="ITC Avant Garde" w:hAnsi="ITC Avant Garde" w:cs="Arial"/>
          <w:color w:val="auto"/>
          <w:sz w:val="22"/>
          <w:szCs w:val="22"/>
          <w:lang w:val="es-MX"/>
        </w:rPr>
        <w:t xml:space="preserve"> a la recepción de la queja, del total de reportes levantados</w:t>
      </w:r>
      <w:r w:rsidR="007C7B18" w:rsidRPr="00BA1D95">
        <w:rPr>
          <w:rFonts w:ascii="ITC Avant Garde" w:hAnsi="ITC Avant Garde" w:cs="Arial"/>
          <w:color w:val="auto"/>
          <w:sz w:val="22"/>
          <w:szCs w:val="22"/>
          <w:lang w:val="es-MX"/>
        </w:rPr>
        <w:t xml:space="preserve"> por concesionario</w:t>
      </w:r>
      <w:r w:rsidRPr="00BA1D95">
        <w:rPr>
          <w:rFonts w:ascii="ITC Avant Garde" w:hAnsi="ITC Avant Garde" w:cs="Arial"/>
          <w:color w:val="auto"/>
          <w:sz w:val="22"/>
          <w:szCs w:val="22"/>
          <w:lang w:val="es-MX"/>
        </w:rPr>
        <w:t xml:space="preserve">. </w:t>
      </w:r>
      <w:r w:rsidRPr="00615557">
        <w:rPr>
          <w:rFonts w:ascii="ITC Avant Garde" w:hAnsi="ITC Avant Garde" w:cs="Arial"/>
          <w:color w:val="auto"/>
          <w:sz w:val="22"/>
          <w:szCs w:val="22"/>
          <w:lang w:val="es-MX"/>
        </w:rPr>
        <w:t xml:space="preserve">Al menos </w:t>
      </w:r>
      <w:r w:rsidR="007C7B18" w:rsidRPr="00615557">
        <w:rPr>
          <w:rFonts w:ascii="ITC Avant Garde" w:hAnsi="ITC Avant Garde" w:cs="Arial"/>
          <w:color w:val="auto"/>
          <w:sz w:val="22"/>
          <w:szCs w:val="22"/>
          <w:lang w:val="es-MX"/>
        </w:rPr>
        <w:t>8</w:t>
      </w:r>
      <w:r w:rsidR="00AF3934" w:rsidRPr="00615557">
        <w:rPr>
          <w:rFonts w:ascii="ITC Avant Garde" w:hAnsi="ITC Avant Garde" w:cs="Arial"/>
          <w:color w:val="auto"/>
          <w:sz w:val="22"/>
          <w:szCs w:val="22"/>
          <w:lang w:val="es-MX"/>
        </w:rPr>
        <w:t>4</w:t>
      </w:r>
      <w:r w:rsidRPr="00615557">
        <w:rPr>
          <w:rFonts w:ascii="ITC Avant Garde" w:hAnsi="ITC Avant Garde" w:cs="Arial"/>
          <w:color w:val="auto"/>
          <w:sz w:val="22"/>
          <w:szCs w:val="22"/>
          <w:lang w:val="es-MX"/>
        </w:rPr>
        <w:t>%</w:t>
      </w:r>
    </w:p>
    <w:p w:rsidR="00A47F9A" w:rsidRPr="00BA1D95" w:rsidRDefault="00A47F9A" w:rsidP="00D37C98">
      <w:pPr>
        <w:pStyle w:val="Default"/>
        <w:numPr>
          <w:ilvl w:val="0"/>
          <w:numId w:val="58"/>
        </w:numPr>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Total de reparaciones atendidas dentro de los tres días hábiles siguientes a la recepción de la queja, del total de reportes levantados</w:t>
      </w:r>
      <w:r w:rsidR="007C7B18" w:rsidRPr="00BA1D95">
        <w:rPr>
          <w:rFonts w:ascii="ITC Avant Garde" w:hAnsi="ITC Avant Garde" w:cs="Arial"/>
          <w:color w:val="auto"/>
          <w:sz w:val="22"/>
          <w:szCs w:val="22"/>
          <w:lang w:val="es-MX"/>
        </w:rPr>
        <w:t xml:space="preserve"> por concesionario</w:t>
      </w:r>
      <w:r w:rsidRPr="00BA1D95">
        <w:rPr>
          <w:rFonts w:ascii="ITC Avant Garde" w:hAnsi="ITC Avant Garde" w:cs="Arial"/>
          <w:color w:val="auto"/>
          <w:sz w:val="22"/>
          <w:szCs w:val="22"/>
          <w:lang w:val="es-MX"/>
        </w:rPr>
        <w:t xml:space="preserve">. Al menos </w:t>
      </w:r>
      <w:r w:rsidR="007C7B18" w:rsidRPr="00BA1D95">
        <w:rPr>
          <w:rFonts w:ascii="ITC Avant Garde" w:hAnsi="ITC Avant Garde" w:cs="Arial"/>
          <w:color w:val="auto"/>
          <w:sz w:val="22"/>
          <w:szCs w:val="22"/>
          <w:lang w:val="es-MX"/>
        </w:rPr>
        <w:t>9</w:t>
      </w:r>
      <w:r w:rsidR="00AF3934" w:rsidRPr="00BA1D95">
        <w:rPr>
          <w:rFonts w:ascii="ITC Avant Garde" w:hAnsi="ITC Avant Garde" w:cs="Arial"/>
          <w:color w:val="auto"/>
          <w:sz w:val="22"/>
          <w:szCs w:val="22"/>
          <w:lang w:val="es-MX"/>
        </w:rPr>
        <w:t>4</w:t>
      </w:r>
      <w:r w:rsidRPr="00BA1D95">
        <w:rPr>
          <w:rFonts w:ascii="ITC Avant Garde" w:hAnsi="ITC Avant Garde" w:cs="Arial"/>
          <w:color w:val="auto"/>
          <w:sz w:val="22"/>
          <w:szCs w:val="22"/>
          <w:lang w:val="es-MX"/>
        </w:rPr>
        <w:t xml:space="preserve">%. </w:t>
      </w:r>
    </w:p>
    <w:p w:rsidR="00A47F9A" w:rsidRPr="00BA1D95" w:rsidRDefault="00A47F9A" w:rsidP="004B11EB">
      <w:pPr>
        <w:pStyle w:val="Default"/>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 xml:space="preserve">Para los casos anteriores, la reparación de fallas para el </w:t>
      </w:r>
      <w:r w:rsidR="00AF3934" w:rsidRPr="00BA1D95">
        <w:rPr>
          <w:rFonts w:ascii="ITC Avant Garde" w:hAnsi="ITC Avant Garde" w:cs="Arial"/>
          <w:color w:val="auto"/>
          <w:sz w:val="22"/>
          <w:szCs w:val="22"/>
          <w:lang w:val="es-MX"/>
        </w:rPr>
        <w:t>6</w:t>
      </w:r>
      <w:r w:rsidRPr="00BA1D95">
        <w:rPr>
          <w:rFonts w:ascii="ITC Avant Garde" w:hAnsi="ITC Avant Garde" w:cs="Arial"/>
          <w:color w:val="auto"/>
          <w:sz w:val="22"/>
          <w:szCs w:val="22"/>
          <w:lang w:val="es-MX"/>
        </w:rPr>
        <w:t xml:space="preserve">% de reportes restante no excederá de </w:t>
      </w:r>
      <w:r w:rsidR="0095410A">
        <w:rPr>
          <w:rFonts w:ascii="ITC Avant Garde" w:hAnsi="ITC Avant Garde" w:cs="Arial"/>
          <w:color w:val="auto"/>
          <w:sz w:val="22"/>
          <w:szCs w:val="22"/>
          <w:lang w:val="es-MX"/>
        </w:rPr>
        <w:t>diez</w:t>
      </w:r>
      <w:r w:rsidR="0095410A" w:rsidRPr="00BA1D95">
        <w:rPr>
          <w:rFonts w:ascii="ITC Avant Garde" w:hAnsi="ITC Avant Garde" w:cs="Arial"/>
          <w:color w:val="auto"/>
          <w:sz w:val="22"/>
          <w:szCs w:val="22"/>
          <w:lang w:val="es-MX"/>
        </w:rPr>
        <w:t xml:space="preserve"> </w:t>
      </w:r>
      <w:r w:rsidRPr="00BA1D95">
        <w:rPr>
          <w:rFonts w:ascii="ITC Avant Garde" w:hAnsi="ITC Avant Garde" w:cs="Arial"/>
          <w:color w:val="auto"/>
          <w:sz w:val="22"/>
          <w:szCs w:val="22"/>
          <w:lang w:val="es-MX"/>
        </w:rPr>
        <w:t>días hábiles siguientes a la recepción de la queja</w:t>
      </w:r>
      <w:r w:rsidR="007C7B18" w:rsidRPr="00BA1D95">
        <w:rPr>
          <w:rFonts w:ascii="ITC Avant Garde" w:hAnsi="ITC Avant Garde" w:cs="Arial"/>
          <w:color w:val="auto"/>
          <w:sz w:val="22"/>
          <w:szCs w:val="22"/>
          <w:lang w:val="es-MX"/>
        </w:rPr>
        <w:t xml:space="preserve"> por concesionario</w:t>
      </w:r>
      <w:r w:rsidRPr="00BA1D95">
        <w:rPr>
          <w:rFonts w:ascii="ITC Avant Garde" w:hAnsi="ITC Avant Garde" w:cs="Arial"/>
          <w:color w:val="auto"/>
          <w:sz w:val="22"/>
          <w:szCs w:val="22"/>
          <w:lang w:val="es-MX"/>
        </w:rPr>
        <w:t>.</w:t>
      </w:r>
    </w:p>
    <w:p w:rsidR="00A47F9A" w:rsidRPr="00BA1D95" w:rsidRDefault="00A47F9A" w:rsidP="004B11EB">
      <w:pPr>
        <w:pStyle w:val="Default"/>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 xml:space="preserve">Para realizar las mediciones de estos indicadores, se considerarán los reportes </w:t>
      </w:r>
      <w:r w:rsidR="005C3DC0" w:rsidRPr="00BA1D95">
        <w:rPr>
          <w:rFonts w:ascii="ITC Avant Garde" w:hAnsi="ITC Avant Garde" w:cs="Arial"/>
          <w:color w:val="auto"/>
          <w:sz w:val="22"/>
          <w:szCs w:val="22"/>
          <w:lang w:val="es-MX"/>
        </w:rPr>
        <w:t xml:space="preserve">de queja </w:t>
      </w:r>
      <w:r w:rsidRPr="00BA1D95">
        <w:rPr>
          <w:rFonts w:ascii="ITC Avant Garde" w:hAnsi="ITC Avant Garde" w:cs="Arial"/>
          <w:color w:val="auto"/>
          <w:sz w:val="22"/>
          <w:szCs w:val="22"/>
          <w:lang w:val="es-MX"/>
        </w:rPr>
        <w:t>levantados</w:t>
      </w:r>
      <w:r w:rsidR="007C7B18" w:rsidRPr="00BA1D95">
        <w:rPr>
          <w:rFonts w:ascii="ITC Avant Garde" w:hAnsi="ITC Avant Garde" w:cs="Arial"/>
          <w:color w:val="auto"/>
          <w:sz w:val="22"/>
          <w:szCs w:val="22"/>
          <w:lang w:val="es-MX"/>
        </w:rPr>
        <w:t xml:space="preserve"> por concesionario</w:t>
      </w:r>
      <w:r w:rsidRPr="00BA1D95">
        <w:rPr>
          <w:rFonts w:ascii="ITC Avant Garde" w:hAnsi="ITC Avant Garde" w:cs="Arial"/>
          <w:color w:val="auto"/>
          <w:sz w:val="22"/>
          <w:szCs w:val="22"/>
          <w:lang w:val="es-MX"/>
        </w:rPr>
        <w:t xml:space="preserve"> en un horario de 9:00 a 17:00 horas, aquellos que se reciban después de ese horario, se contabilizarán para el día hábil siguiente. </w:t>
      </w:r>
    </w:p>
    <w:p w:rsidR="00A47F9A" w:rsidRPr="00BA1D95" w:rsidRDefault="00A47F9A" w:rsidP="004B11EB">
      <w:pPr>
        <w:pStyle w:val="Default"/>
        <w:spacing w:after="200" w:line="276" w:lineRule="auto"/>
        <w:jc w:val="both"/>
        <w:rPr>
          <w:rFonts w:ascii="ITC Avant Garde" w:hAnsi="ITC Avant Garde" w:cs="Arial"/>
          <w:color w:val="auto"/>
          <w:sz w:val="22"/>
          <w:szCs w:val="22"/>
          <w:lang w:val="es-MX"/>
        </w:rPr>
      </w:pPr>
      <w:r w:rsidRPr="00BA1D95">
        <w:rPr>
          <w:rFonts w:ascii="ITC Avant Garde" w:hAnsi="ITC Avant Garde" w:cs="Arial"/>
          <w:color w:val="auto"/>
          <w:sz w:val="22"/>
          <w:szCs w:val="22"/>
          <w:lang w:val="es-MX"/>
        </w:rPr>
        <w:t>El indicador “Tiempo de Resolución” se refiere al tiempo transcurrido desde la apertura por el CS de una reclamación hasta que la reclamación ha sido resuelta satisfactoriamente (incluye la aceptación por parte del mismo y el cierre de la incidencia).</w:t>
      </w:r>
    </w:p>
    <w:p w:rsidR="00A47F9A" w:rsidRPr="00BA1D95" w:rsidRDefault="00A47F9A" w:rsidP="004B11EB">
      <w:pPr>
        <w:autoSpaceDE w:val="0"/>
        <w:autoSpaceDN w:val="0"/>
        <w:adjustRightInd w:val="0"/>
        <w:spacing w:after="200" w:line="276" w:lineRule="auto"/>
        <w:rPr>
          <w:rFonts w:ascii="ITC Avant Garde" w:hAnsi="ITC Avant Garde" w:cs="Arial"/>
          <w:b/>
        </w:rPr>
      </w:pPr>
      <w:r w:rsidRPr="00BA1D95">
        <w:rPr>
          <w:rFonts w:ascii="ITC Avant Garde" w:hAnsi="ITC Avant Garde" w:cs="Arial"/>
          <w:b/>
        </w:rPr>
        <w:t>Metodología</w:t>
      </w:r>
    </w:p>
    <w:p w:rsidR="00A47F9A" w:rsidRPr="00BA1D95" w:rsidRDefault="00A47F9A" w:rsidP="004B11EB">
      <w:pPr>
        <w:autoSpaceDE w:val="0"/>
        <w:autoSpaceDN w:val="0"/>
        <w:adjustRightInd w:val="0"/>
        <w:spacing w:after="200" w:line="276" w:lineRule="auto"/>
        <w:jc w:val="both"/>
        <w:rPr>
          <w:rFonts w:ascii="ITC Avant Garde" w:hAnsi="ITC Avant Garde" w:cs="Arial"/>
        </w:rPr>
      </w:pPr>
      <w:r w:rsidRPr="00BA1D95">
        <w:rPr>
          <w:rFonts w:ascii="ITC Avant Garde" w:hAnsi="ITC Avant Garde" w:cs="Arial"/>
        </w:rPr>
        <w:t>El cálculo de los indicadores de reparación de fallas se realiza de la siguiente forma y se mide para reparaciones en uno, tres y diez días hábiles posteriores a la recepción de la queja</w:t>
      </w:r>
      <w:r w:rsidR="00BC1CD7" w:rsidRPr="00BA1D95">
        <w:rPr>
          <w:rFonts w:ascii="ITC Avant Garde" w:hAnsi="ITC Avant Garde" w:cs="Arial"/>
        </w:rPr>
        <w:t>.</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b/>
        </w:rPr>
        <w:t xml:space="preserve">Reparación de fallas: </w:t>
      </w:r>
      <w:r w:rsidRPr="00BA1D95">
        <w:rPr>
          <w:rFonts w:ascii="ITC Avant Garde" w:hAnsi="ITC Avant Garde" w:cs="Arial"/>
        </w:rPr>
        <w:t xml:space="preserve">porcentaje de las fallas reportadas </w:t>
      </w:r>
      <w:r w:rsidR="007C7B18" w:rsidRPr="00BA1D95">
        <w:rPr>
          <w:rFonts w:ascii="ITC Avant Garde" w:hAnsi="ITC Avant Garde" w:cs="Arial"/>
        </w:rPr>
        <w:t xml:space="preserve">por concesionario </w:t>
      </w:r>
      <w:r w:rsidRPr="00BA1D95">
        <w:rPr>
          <w:rFonts w:ascii="ITC Avant Garde" w:hAnsi="ITC Avant Garde" w:cs="Arial"/>
        </w:rPr>
        <w:t>que son atendidas dentro del plazo a medir (uno, tres, diez días hábiles siguientes a la recepción de la queja), durante el trimestre.</w:t>
      </w:r>
    </w:p>
    <w:p w:rsidR="00A47F9A" w:rsidRPr="00BA1D95" w:rsidRDefault="00A47F9A" w:rsidP="004B11EB">
      <w:pPr>
        <w:autoSpaceDE w:val="0"/>
        <w:autoSpaceDN w:val="0"/>
        <w:adjustRightInd w:val="0"/>
        <w:spacing w:line="360" w:lineRule="auto"/>
        <w:jc w:val="center"/>
        <w:rPr>
          <w:rFonts w:ascii="ITC Avant Garde" w:hAnsi="ITC Avant Garde" w:cs="Arial"/>
        </w:rPr>
      </w:pPr>
      <w:r w:rsidRPr="00BA1D95">
        <w:rPr>
          <w:rFonts w:ascii="ITC Avant Garde" w:hAnsi="ITC Avant Garde" w:cs="Arial"/>
          <w:i/>
        </w:rPr>
        <w:t xml:space="preserve">Reparación de Fallas </w:t>
      </w:r>
      <w:r w:rsidRPr="00BA1D95">
        <w:rPr>
          <w:rFonts w:ascii="ITC Avant Garde" w:hAnsi="ITC Avant Garde" w:cs="Arial"/>
        </w:rPr>
        <w:t xml:space="preserve">= </w:t>
      </w:r>
      <m:oMath>
        <m:f>
          <m:fPr>
            <m:ctrlPr>
              <w:rPr>
                <w:rFonts w:ascii="Cambria Math" w:hAnsi="Cambria Math" w:cs="Arial"/>
                <w:i/>
              </w:rPr>
            </m:ctrlPr>
          </m:fPr>
          <m:num>
            <m:r>
              <w:rPr>
                <w:rFonts w:ascii="Cambria Math" w:hAnsi="Cambria Math" w:cs="Arial"/>
              </w:rPr>
              <m:t>Fallas efectivas reparadas en el plazo a medir en  días hábiles</m:t>
            </m:r>
          </m:num>
          <m:den>
            <m:r>
              <w:rPr>
                <w:rFonts w:ascii="Cambria Math" w:hAnsi="Cambria Math" w:cs="Arial"/>
              </w:rPr>
              <m:t>Fallas Efectivas</m:t>
            </m:r>
          </m:den>
        </m:f>
        <m:r>
          <w:rPr>
            <w:rFonts w:ascii="Cambria Math" w:hAnsi="Cambria Math" w:cs="Arial"/>
          </w:rPr>
          <m:t xml:space="preserve"> x 100</m:t>
        </m:r>
      </m:oMath>
    </w:p>
    <w:p w:rsidR="00A47F9A" w:rsidRPr="00BA1D95" w:rsidRDefault="00A47F9A" w:rsidP="00402F39">
      <w:pPr>
        <w:autoSpaceDE w:val="0"/>
        <w:autoSpaceDN w:val="0"/>
        <w:adjustRightInd w:val="0"/>
        <w:spacing w:after="200" w:line="276" w:lineRule="auto"/>
        <w:rPr>
          <w:rFonts w:ascii="ITC Avant Garde" w:hAnsi="ITC Avant Garde" w:cs="Arial"/>
          <w:b/>
        </w:rPr>
      </w:pPr>
      <w:r w:rsidRPr="00BA1D95">
        <w:rPr>
          <w:rFonts w:ascii="ITC Avant Garde" w:hAnsi="ITC Avant Garde" w:cs="Arial"/>
          <w:b/>
        </w:rPr>
        <w:t xml:space="preserve">Donde: </w:t>
      </w:r>
    </w:p>
    <w:p w:rsidR="00A47F9A" w:rsidRPr="00BA1D95" w:rsidRDefault="00A47F9A" w:rsidP="00402F39">
      <w:pPr>
        <w:spacing w:after="200" w:line="276" w:lineRule="auto"/>
        <w:jc w:val="both"/>
        <w:rPr>
          <w:rFonts w:ascii="ITC Avant Garde" w:hAnsi="ITC Avant Garde" w:cs="Arial"/>
          <w:i/>
          <w:sz w:val="20"/>
          <w:szCs w:val="20"/>
        </w:rPr>
      </w:pPr>
      <w:r w:rsidRPr="00BA1D95">
        <w:rPr>
          <w:rFonts w:ascii="ITC Avant Garde" w:hAnsi="ITC Avant Garde" w:cs="Arial"/>
          <w:i/>
          <w:sz w:val="20"/>
          <w:szCs w:val="20"/>
        </w:rPr>
        <w:t xml:space="preserve">Fallas efectivas reparadas </w:t>
      </w:r>
      <w:r w:rsidR="001B5B70" w:rsidRPr="00BA1D95">
        <w:rPr>
          <w:rFonts w:ascii="ITC Avant Garde" w:hAnsi="ITC Avant Garde" w:cs="Arial"/>
          <w:i/>
          <w:sz w:val="20"/>
          <w:szCs w:val="20"/>
        </w:rPr>
        <w:t xml:space="preserve">por concesionario </w:t>
      </w:r>
      <w:r w:rsidRPr="00BA1D95">
        <w:rPr>
          <w:rFonts w:ascii="ITC Avant Garde" w:hAnsi="ITC Avant Garde" w:cs="Arial"/>
          <w:i/>
          <w:sz w:val="20"/>
          <w:szCs w:val="20"/>
        </w:rPr>
        <w:t xml:space="preserve">en el plazo a medir (días hábiles) = </w:t>
      </w:r>
      <w:r w:rsidRPr="00BA1D95">
        <w:rPr>
          <w:rFonts w:ascii="ITC Avant Garde" w:hAnsi="ITC Avant Garde" w:cs="Arial"/>
          <w:sz w:val="20"/>
          <w:szCs w:val="20"/>
        </w:rPr>
        <w:t xml:space="preserve">Es la cantidad de fallas reparadas dentro del plazo que interesa medir, en este caso serán uno, tres y diez días hábiles siguientes a la </w:t>
      </w:r>
      <w:r w:rsidRPr="00BA1D95">
        <w:rPr>
          <w:rFonts w:ascii="ITC Avant Garde" w:hAnsi="ITC Avant Garde" w:cs="Arial"/>
          <w:sz w:val="20"/>
          <w:szCs w:val="20"/>
        </w:rPr>
        <w:lastRenderedPageBreak/>
        <w:t xml:space="preserve">recepción de la queja. En esta variable se eliminan las quejas debidas a fallas provocadas por fenómenos no previsibles o de fuerza mayor, además de las fallas en la red bajo responsabilidad del </w:t>
      </w:r>
      <w:r w:rsidRPr="00AC2061">
        <w:rPr>
          <w:rFonts w:ascii="ITC Avant Garde" w:hAnsi="ITC Avant Garde" w:cs="Arial"/>
          <w:sz w:val="20"/>
          <w:szCs w:val="20"/>
        </w:rPr>
        <w:t>cliente</w:t>
      </w:r>
      <w:r w:rsidRPr="00A3173E">
        <w:rPr>
          <w:rFonts w:ascii="ITC Avant Garde" w:hAnsi="ITC Avant Garde" w:cs="Arial"/>
          <w:sz w:val="20"/>
          <w:szCs w:val="20"/>
        </w:rPr>
        <w:t>.</w:t>
      </w:r>
      <w:r w:rsidRPr="00BA1D95">
        <w:rPr>
          <w:rFonts w:ascii="ITC Avant Garde" w:hAnsi="ITC Avant Garde" w:cs="Arial"/>
          <w:i/>
          <w:sz w:val="20"/>
          <w:szCs w:val="20"/>
        </w:rPr>
        <w:t xml:space="preserve"> </w:t>
      </w:r>
    </w:p>
    <w:p w:rsidR="00A47F9A" w:rsidRPr="00BA1D95" w:rsidRDefault="00A47F9A" w:rsidP="00402F39">
      <w:pPr>
        <w:spacing w:after="200" w:line="276" w:lineRule="auto"/>
        <w:jc w:val="both"/>
        <w:rPr>
          <w:rFonts w:ascii="ITC Avant Garde" w:hAnsi="ITC Avant Garde" w:cs="Arial"/>
          <w:sz w:val="20"/>
          <w:szCs w:val="20"/>
        </w:rPr>
      </w:pPr>
      <w:r w:rsidRPr="00BA1D95">
        <w:rPr>
          <w:rFonts w:ascii="ITC Avant Garde" w:hAnsi="ITC Avant Garde" w:cs="Arial"/>
          <w:i/>
          <w:sz w:val="20"/>
          <w:szCs w:val="20"/>
        </w:rPr>
        <w:t>Fallas Efectivas</w:t>
      </w:r>
      <w:r w:rsidRPr="00BA1D95">
        <w:rPr>
          <w:rFonts w:ascii="ITC Avant Garde" w:hAnsi="ITC Avant Garde" w:cs="Arial"/>
          <w:sz w:val="20"/>
          <w:szCs w:val="20"/>
        </w:rPr>
        <w:t xml:space="preserve"> = Cantidad de reportes de fallas recibidos </w:t>
      </w:r>
      <w:r w:rsidR="001B5B70" w:rsidRPr="00BA1D95">
        <w:rPr>
          <w:rFonts w:ascii="ITC Avant Garde" w:hAnsi="ITC Avant Garde" w:cs="Arial"/>
          <w:sz w:val="20"/>
          <w:szCs w:val="20"/>
        </w:rPr>
        <w:t xml:space="preserve">por concesionario, </w:t>
      </w:r>
      <w:r w:rsidRPr="00BA1D95">
        <w:rPr>
          <w:rFonts w:ascii="ITC Avant Garde" w:hAnsi="ITC Avant Garde" w:cs="Arial"/>
          <w:sz w:val="20"/>
          <w:szCs w:val="20"/>
        </w:rPr>
        <w:t>excepto las quejas debidas a fallas provocadas por fenómenos no previsibles o de fuerza mayor, además de las fallas en la red bajo responsabilidad del cliente.</w:t>
      </w:r>
    </w:p>
    <w:p w:rsidR="00F45BFF" w:rsidRPr="00BA1D95" w:rsidRDefault="00F45BFF" w:rsidP="004B11EB">
      <w:pPr>
        <w:adjustRightInd w:val="0"/>
        <w:spacing w:after="200" w:line="276" w:lineRule="auto"/>
        <w:ind w:right="51"/>
        <w:jc w:val="both"/>
        <w:rPr>
          <w:rFonts w:ascii="ITC Avant Garde" w:eastAsia="Times New Roman" w:hAnsi="ITC Avant Garde" w:cs="Arial"/>
          <w:b/>
          <w:bCs/>
          <w:color w:val="000000"/>
          <w:lang w:val="es-ES_tradnl" w:eastAsia="es-ES"/>
        </w:rPr>
      </w:pPr>
      <w:r w:rsidRPr="00BA1D95">
        <w:rPr>
          <w:rFonts w:ascii="ITC Avant Garde" w:eastAsia="Times New Roman" w:hAnsi="ITC Avant Garde" w:cs="Arial"/>
          <w:b/>
          <w:bCs/>
          <w:color w:val="000000"/>
          <w:lang w:val="es-ES_tradnl" w:eastAsia="es-ES"/>
        </w:rPr>
        <w:t>Indicador para Disponibilidad</w:t>
      </w:r>
    </w:p>
    <w:p w:rsidR="00F45BFF" w:rsidRDefault="00F45BFF" w:rsidP="004B11EB">
      <w:pPr>
        <w:adjustRightInd w:val="0"/>
        <w:spacing w:after="200" w:line="276" w:lineRule="auto"/>
        <w:ind w:right="51"/>
        <w:jc w:val="both"/>
        <w:rPr>
          <w:rFonts w:ascii="ITC Avant Garde" w:eastAsia="Times New Roman" w:hAnsi="ITC Avant Garde" w:cs="Arial"/>
          <w:bCs/>
          <w:color w:val="000000"/>
          <w:lang w:val="es-ES_tradnl" w:eastAsia="es-ES"/>
        </w:rPr>
      </w:pPr>
      <w:r w:rsidRPr="00BA1D95">
        <w:rPr>
          <w:rFonts w:ascii="ITC Avant Garde" w:eastAsia="Times New Roman" w:hAnsi="ITC Avant Garde" w:cs="Arial"/>
          <w:bCs/>
          <w:color w:val="000000"/>
          <w:lang w:val="es-ES_tradnl" w:eastAsia="es-ES"/>
        </w:rPr>
        <w:t>El indicador de disponibilidad establece el porcentaje del tiempo durante el cual, el servicio se encuentra en operación normal respecto del tiempo total de medición. La meta de cumplimiento de este indicador es del 98% al trimestre</w:t>
      </w:r>
      <w:r w:rsidR="009E3846" w:rsidRPr="00BA1D95">
        <w:rPr>
          <w:rFonts w:ascii="ITC Avant Garde" w:eastAsia="Times New Roman" w:hAnsi="ITC Avant Garde" w:cs="Arial"/>
          <w:color w:val="000000"/>
          <w:lang w:val="es-ES_tradnl" w:eastAsia="es-ES"/>
        </w:rPr>
        <w:t>, siempre que no se contrapongan a los parámetros de reparación de fallas</w:t>
      </w:r>
      <w:r w:rsidRPr="00BA1D95">
        <w:rPr>
          <w:rFonts w:ascii="ITC Avant Garde" w:eastAsia="Times New Roman" w:hAnsi="ITC Avant Garde" w:cs="Arial"/>
          <w:bCs/>
          <w:color w:val="000000"/>
          <w:lang w:val="es-ES_tradnl" w:eastAsia="es-ES"/>
        </w:rPr>
        <w:t>.</w:t>
      </w:r>
    </w:p>
    <w:p w:rsidR="00F45BFF" w:rsidRPr="00BA1D95" w:rsidRDefault="00F45BFF" w:rsidP="004B11EB">
      <w:pPr>
        <w:adjustRightInd w:val="0"/>
        <w:spacing w:after="200" w:line="276" w:lineRule="auto"/>
        <w:ind w:right="51"/>
        <w:jc w:val="both"/>
        <w:rPr>
          <w:rFonts w:ascii="ITC Avant Garde" w:eastAsia="Times New Roman" w:hAnsi="ITC Avant Garde" w:cs="Arial"/>
          <w:b/>
          <w:bCs/>
          <w:color w:val="000000"/>
          <w:lang w:val="es-ES_tradnl" w:eastAsia="es-ES"/>
        </w:rPr>
      </w:pPr>
      <w:r w:rsidRPr="00BA1D95">
        <w:rPr>
          <w:rFonts w:ascii="ITC Avant Garde" w:eastAsia="Times New Roman" w:hAnsi="ITC Avant Garde" w:cs="Arial"/>
          <w:b/>
          <w:bCs/>
          <w:color w:val="000000"/>
          <w:lang w:val="es-ES_tradnl" w:eastAsia="es-ES"/>
        </w:rPr>
        <w:t>Metodología</w:t>
      </w:r>
    </w:p>
    <w:p w:rsidR="00F45BFF" w:rsidRPr="00BA1D95" w:rsidRDefault="00F45BFF" w:rsidP="004B11EB">
      <w:pPr>
        <w:adjustRightInd w:val="0"/>
        <w:spacing w:after="200" w:line="276" w:lineRule="auto"/>
        <w:ind w:right="51"/>
        <w:jc w:val="both"/>
        <w:rPr>
          <w:rFonts w:ascii="ITC Avant Garde" w:eastAsia="Times New Roman" w:hAnsi="ITC Avant Garde" w:cs="Arial"/>
          <w:bCs/>
          <w:color w:val="000000"/>
          <w:lang w:val="es-ES_tradnl" w:eastAsia="es-ES"/>
        </w:rPr>
      </w:pPr>
      <w:r w:rsidRPr="00BA1D95">
        <w:rPr>
          <w:rFonts w:ascii="ITC Avant Garde" w:eastAsia="Times New Roman" w:hAnsi="ITC Avant Garde" w:cs="Arial"/>
          <w:bCs/>
          <w:color w:val="000000"/>
          <w:lang w:val="es-ES_tradnl" w:eastAsia="es-ES"/>
        </w:rPr>
        <w:t>El indicador se calcula por cada CS, considerando las Horas Totales menos el Tiempo Fuera de Servicio, de la referencia reportada, entre el período de medición:</w:t>
      </w:r>
    </w:p>
    <w:p w:rsidR="00F45BFF" w:rsidRPr="00BA1D95" w:rsidRDefault="00290D8F" w:rsidP="004B11EB">
      <w:pPr>
        <w:spacing w:before="360" w:after="360" w:line="276" w:lineRule="auto"/>
        <w:ind w:right="51"/>
        <w:jc w:val="both"/>
        <w:rPr>
          <w:rFonts w:ascii="ITC Avant Garde" w:eastAsia="MS Mincho" w:hAnsi="ITC Avant Garde" w:cs="Arial"/>
          <w:bCs/>
        </w:rPr>
      </w:pPr>
      <m:oMathPara>
        <m:oMathParaPr>
          <m:jc m:val="center"/>
        </m:oMathParaPr>
        <m:oMath>
          <m:r>
            <m:rPr>
              <m:nor/>
            </m:rPr>
            <w:rPr>
              <w:rFonts w:ascii="ITC Avant Garde" w:eastAsia="MS Mincho" w:hAnsi="ITC Avant Garde"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ITC Avant Garde" w:eastAsia="MS Mincho" w:hAnsi="ITC Avant Garde" w:cs="Arial"/>
                      <w:bCs/>
                    </w:rPr>
                    <m:t>Horas Totales</m:t>
                  </m:r>
                </m:e>
              </m:d>
              <m:r>
                <m:rPr>
                  <m:nor/>
                </m:rPr>
                <w:rPr>
                  <w:rFonts w:ascii="ITC Avant Garde" w:eastAsia="MS Mincho" w:hAnsi="ITC Avant Garde" w:cs="Arial"/>
                  <w:bCs/>
                </w:rPr>
                <m:t xml:space="preserve"> - </m:t>
              </m:r>
              <m:d>
                <m:dPr>
                  <m:ctrlPr>
                    <w:rPr>
                      <w:rFonts w:ascii="Cambria Math" w:eastAsia="MS Mincho" w:hAnsi="Cambria Math" w:cs="Arial"/>
                      <w:bCs/>
                    </w:rPr>
                  </m:ctrlPr>
                </m:dPr>
                <m:e>
                  <m:r>
                    <m:rPr>
                      <m:nor/>
                    </m:rPr>
                    <w:rPr>
                      <w:rFonts w:ascii="ITC Avant Garde" w:eastAsia="MS Mincho" w:hAnsi="ITC Avant Garde" w:cs="Arial"/>
                      <w:bCs/>
                    </w:rPr>
                    <m:t>Tiempo Fuera de Servicio</m:t>
                  </m:r>
                </m:e>
              </m:d>
            </m:num>
            <m:den>
              <m:d>
                <m:dPr>
                  <m:ctrlPr>
                    <w:rPr>
                      <w:rFonts w:ascii="Cambria Math" w:eastAsia="MS Mincho" w:hAnsi="Cambria Math" w:cs="Arial"/>
                      <w:bCs/>
                    </w:rPr>
                  </m:ctrlPr>
                </m:dPr>
                <m:e>
                  <m:r>
                    <m:rPr>
                      <m:nor/>
                    </m:rPr>
                    <w:rPr>
                      <w:rFonts w:ascii="ITC Avant Garde" w:eastAsia="MS Mincho" w:hAnsi="ITC Avant Garde" w:cs="Arial"/>
                      <w:bCs/>
                    </w:rPr>
                    <m:t>Horas Totales</m:t>
                  </m:r>
                </m:e>
              </m:d>
            </m:den>
          </m:f>
          <m:r>
            <m:rPr>
              <m:nor/>
            </m:rPr>
            <w:rPr>
              <w:rFonts w:ascii="ITC Avant Garde" w:eastAsia="MS Mincho" w:hAnsi="ITC Avant Garde" w:cs="Arial"/>
              <w:bCs/>
            </w:rPr>
            <m:t>×100</m:t>
          </m:r>
        </m:oMath>
      </m:oMathPara>
    </w:p>
    <w:p w:rsidR="00F45BFF" w:rsidRPr="00BA1D95" w:rsidRDefault="00F45BFF" w:rsidP="004B11EB">
      <w:pPr>
        <w:spacing w:before="240" w:after="200" w:line="276" w:lineRule="auto"/>
        <w:ind w:right="51"/>
        <w:jc w:val="both"/>
        <w:rPr>
          <w:rFonts w:ascii="ITC Avant Garde" w:eastAsia="MS Mincho" w:hAnsi="ITC Avant Garde" w:cs="Arial"/>
          <w:bCs/>
        </w:rPr>
      </w:pPr>
      <w:r w:rsidRPr="00BA1D95">
        <w:rPr>
          <w:rFonts w:ascii="ITC Avant Garde" w:hAnsi="ITC Avant Garde" w:cs="Arial"/>
          <w:b/>
        </w:rPr>
        <w:t>Donde</w:t>
      </w:r>
      <w:r w:rsidRPr="00BA1D95">
        <w:rPr>
          <w:rFonts w:ascii="ITC Avant Garde" w:eastAsia="MS Mincho" w:hAnsi="ITC Avant Garde" w:cs="Arial"/>
          <w:bCs/>
        </w:rPr>
        <w:t>:</w:t>
      </w:r>
    </w:p>
    <w:p w:rsidR="00A47F9A" w:rsidRPr="00BA1D95" w:rsidRDefault="00F45BFF" w:rsidP="004B11EB">
      <w:pPr>
        <w:spacing w:after="200" w:line="276" w:lineRule="auto"/>
        <w:jc w:val="both"/>
        <w:rPr>
          <w:rFonts w:ascii="ITC Avant Garde" w:eastAsia="MS Mincho" w:hAnsi="ITC Avant Garde" w:cs="Arial"/>
          <w:bCs/>
          <w:sz w:val="20"/>
          <w:szCs w:val="20"/>
        </w:rPr>
      </w:pPr>
      <w:r w:rsidRPr="00BA1D95">
        <w:rPr>
          <w:rFonts w:ascii="ITC Avant Garde" w:eastAsia="MS Mincho" w:hAnsi="ITC Avant Garde" w:cs="Arial"/>
          <w:bCs/>
          <w:sz w:val="20"/>
          <w:szCs w:val="20"/>
        </w:rPr>
        <w:t xml:space="preserve">La Horas Totales son </w:t>
      </w:r>
      <w:r w:rsidR="0067789B" w:rsidRPr="00BA1D95">
        <w:rPr>
          <w:rFonts w:ascii="ITC Avant Garde" w:eastAsia="MS Mincho" w:hAnsi="ITC Avant Garde" w:cs="Arial"/>
          <w:bCs/>
          <w:sz w:val="20"/>
          <w:szCs w:val="20"/>
        </w:rPr>
        <w:t>equivalentes</w:t>
      </w:r>
      <w:r w:rsidRPr="00BA1D95">
        <w:rPr>
          <w:rFonts w:ascii="ITC Avant Garde" w:eastAsia="MS Mincho" w:hAnsi="ITC Avant Garde" w:cs="Arial"/>
          <w:bCs/>
          <w:sz w:val="20"/>
          <w:szCs w:val="20"/>
        </w:rPr>
        <w:t xml:space="preserve"> al período de medición de la línea o servicio contratado y los Tiempos Fuera de Servicio que deben computarse son tanto las horas originadas por mantenimiento programado como el no programado.</w:t>
      </w:r>
    </w:p>
    <w:p w:rsidR="00A47F9A" w:rsidRPr="00BA1D95" w:rsidRDefault="00A47F9A" w:rsidP="004B11EB">
      <w:pPr>
        <w:autoSpaceDE w:val="0"/>
        <w:autoSpaceDN w:val="0"/>
        <w:adjustRightInd w:val="0"/>
        <w:spacing w:after="200" w:line="276" w:lineRule="auto"/>
        <w:rPr>
          <w:rFonts w:ascii="ITC Avant Garde" w:hAnsi="ITC Avant Garde" w:cs="Arial"/>
          <w:b/>
        </w:rPr>
      </w:pPr>
      <w:r w:rsidRPr="00BA1D95">
        <w:rPr>
          <w:rFonts w:ascii="ITC Avant Garde" w:hAnsi="ITC Avant Garde" w:cs="Arial"/>
          <w:b/>
        </w:rPr>
        <w:t>Parámetros e Indicadores de Calidad para Pruebas del Servicio de Reventa</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Resistencia y Capacitancia</w:t>
      </w:r>
    </w:p>
    <w:p w:rsidR="00A47F9A" w:rsidRDefault="00A47F9A" w:rsidP="004B11EB">
      <w:pPr>
        <w:pStyle w:val="IFTnormal"/>
        <w:rPr>
          <w:rFonts w:cs="Arial"/>
        </w:rPr>
      </w:pPr>
      <w:r w:rsidRPr="00BA1D95">
        <w:rPr>
          <w:rFonts w:cs="Arial"/>
        </w:rPr>
        <w:t>Referente a los parámetros de calidad que deben de cumplirse al momento de la habilitación de los Servicios de Reventa, se miden los siguientes parámetros eléctricos, los cuales se consideran adecuados si la medición resultante de la prueba queda dentro de los valores indicados en la siguiente tabla:</w:t>
      </w:r>
    </w:p>
    <w:tbl>
      <w:tblPr>
        <w:tblW w:w="5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10"/>
        <w:gridCol w:w="1852"/>
        <w:gridCol w:w="1899"/>
      </w:tblGrid>
      <w:tr w:rsidR="00290D8F" w:rsidRPr="00BA1D95" w:rsidTr="005A2E5E">
        <w:trPr>
          <w:trHeight w:val="555"/>
          <w:tblHeader/>
          <w:jc w:val="center"/>
        </w:trPr>
        <w:tc>
          <w:tcPr>
            <w:tcW w:w="1610" w:type="dxa"/>
            <w:shd w:val="clear" w:color="auto" w:fill="BDD6EE" w:themeFill="accent5" w:themeFillTint="66"/>
            <w:vAlign w:val="center"/>
          </w:tcPr>
          <w:p w:rsidR="00A47F9A" w:rsidRPr="00BA1D95" w:rsidRDefault="00A47F9A" w:rsidP="004B11EB">
            <w:pPr>
              <w:spacing w:after="200" w:line="276" w:lineRule="auto"/>
              <w:jc w:val="center"/>
              <w:rPr>
                <w:rFonts w:ascii="ITC Avant Garde" w:hAnsi="ITC Avant Garde" w:cs="Arial"/>
                <w:b/>
                <w:sz w:val="20"/>
                <w:szCs w:val="20"/>
              </w:rPr>
            </w:pPr>
            <w:r w:rsidRPr="00BA1D95">
              <w:rPr>
                <w:rFonts w:ascii="ITC Avant Garde" w:hAnsi="ITC Avant Garde" w:cs="Arial"/>
                <w:b/>
                <w:sz w:val="20"/>
                <w:szCs w:val="20"/>
              </w:rPr>
              <w:t>Parámetro</w:t>
            </w:r>
          </w:p>
        </w:tc>
        <w:tc>
          <w:tcPr>
            <w:tcW w:w="1852" w:type="dxa"/>
            <w:shd w:val="clear" w:color="auto" w:fill="BDD6EE" w:themeFill="accent5" w:themeFillTint="66"/>
            <w:vAlign w:val="center"/>
          </w:tcPr>
          <w:p w:rsidR="00A47F9A" w:rsidRPr="00BA1D95" w:rsidRDefault="00A47F9A" w:rsidP="004B11EB">
            <w:pPr>
              <w:spacing w:after="200" w:line="276" w:lineRule="auto"/>
              <w:jc w:val="center"/>
              <w:rPr>
                <w:rFonts w:ascii="ITC Avant Garde" w:hAnsi="ITC Avant Garde" w:cs="Arial"/>
                <w:b/>
                <w:sz w:val="20"/>
                <w:szCs w:val="20"/>
              </w:rPr>
            </w:pPr>
            <w:r w:rsidRPr="00BA1D95">
              <w:rPr>
                <w:rFonts w:ascii="ITC Avant Garde" w:hAnsi="ITC Avant Garde" w:cs="Arial"/>
                <w:b/>
                <w:sz w:val="20"/>
                <w:szCs w:val="20"/>
              </w:rPr>
              <w:t>Medición entre puntos (hilos) y tierra</w:t>
            </w:r>
          </w:p>
        </w:tc>
        <w:tc>
          <w:tcPr>
            <w:tcW w:w="1899" w:type="dxa"/>
            <w:shd w:val="clear" w:color="auto" w:fill="BDD6EE" w:themeFill="accent5" w:themeFillTint="66"/>
            <w:vAlign w:val="center"/>
          </w:tcPr>
          <w:p w:rsidR="00A47F9A" w:rsidRPr="00BA1D95" w:rsidRDefault="00A47F9A" w:rsidP="004B11EB">
            <w:pPr>
              <w:spacing w:after="200" w:line="276" w:lineRule="auto"/>
              <w:jc w:val="center"/>
              <w:rPr>
                <w:rFonts w:ascii="ITC Avant Garde" w:hAnsi="ITC Avant Garde" w:cs="Arial"/>
                <w:b/>
                <w:sz w:val="20"/>
                <w:szCs w:val="20"/>
              </w:rPr>
            </w:pPr>
            <w:r w:rsidRPr="00BA1D95">
              <w:rPr>
                <w:rFonts w:ascii="ITC Avant Garde" w:hAnsi="ITC Avant Garde" w:cs="Arial"/>
                <w:b/>
                <w:sz w:val="20"/>
                <w:szCs w:val="20"/>
              </w:rPr>
              <w:t>Valor Aceptable</w:t>
            </w:r>
          </w:p>
        </w:tc>
      </w:tr>
      <w:tr w:rsidR="00A47F9A" w:rsidRPr="00BA1D95" w:rsidTr="006119B1">
        <w:trPr>
          <w:trHeight w:val="344"/>
          <w:jc w:val="center"/>
        </w:trPr>
        <w:tc>
          <w:tcPr>
            <w:tcW w:w="1610" w:type="dxa"/>
            <w:vMerge w:val="restart"/>
            <w:vAlign w:val="center"/>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Resistencia de aislamiento</w:t>
            </w: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a-b</w:t>
            </w:r>
          </w:p>
        </w:tc>
        <w:tc>
          <w:tcPr>
            <w:tcW w:w="1899" w:type="dxa"/>
            <w:vMerge w:val="restart"/>
            <w:vAlign w:val="center"/>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 xml:space="preserve">Mayor a 1 </w:t>
            </w:r>
            <w:proofErr w:type="spellStart"/>
            <w:r w:rsidRPr="00BA1D95">
              <w:rPr>
                <w:rFonts w:ascii="ITC Avant Garde" w:hAnsi="ITC Avant Garde" w:cs="Arial"/>
                <w:sz w:val="20"/>
                <w:szCs w:val="20"/>
              </w:rPr>
              <w:t>Mohms</w:t>
            </w:r>
            <w:proofErr w:type="spellEnd"/>
          </w:p>
        </w:tc>
      </w:tr>
      <w:tr w:rsidR="00A47F9A" w:rsidRPr="00BA1D95" w:rsidTr="006119B1">
        <w:trPr>
          <w:trHeight w:val="105"/>
          <w:jc w:val="center"/>
        </w:trPr>
        <w:tc>
          <w:tcPr>
            <w:tcW w:w="1610" w:type="dxa"/>
            <w:vMerge/>
          </w:tcPr>
          <w:p w:rsidR="00A47F9A" w:rsidRPr="00BA1D95" w:rsidRDefault="00A47F9A" w:rsidP="004B11EB">
            <w:pPr>
              <w:spacing w:after="200" w:line="276" w:lineRule="auto"/>
              <w:jc w:val="both"/>
              <w:rPr>
                <w:rFonts w:ascii="ITC Avant Garde" w:hAnsi="ITC Avant Garde" w:cs="Arial"/>
                <w:sz w:val="20"/>
                <w:szCs w:val="20"/>
              </w:rPr>
            </w:pP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a-tierra</w:t>
            </w:r>
          </w:p>
        </w:tc>
        <w:tc>
          <w:tcPr>
            <w:tcW w:w="1899" w:type="dxa"/>
            <w:vMerge/>
          </w:tcPr>
          <w:p w:rsidR="00A47F9A" w:rsidRPr="00BA1D95" w:rsidRDefault="00A47F9A" w:rsidP="004B11EB">
            <w:pPr>
              <w:spacing w:after="200" w:line="276" w:lineRule="auto"/>
              <w:jc w:val="both"/>
              <w:rPr>
                <w:rFonts w:ascii="ITC Avant Garde" w:hAnsi="ITC Avant Garde" w:cs="Arial"/>
                <w:sz w:val="20"/>
                <w:szCs w:val="20"/>
              </w:rPr>
            </w:pPr>
          </w:p>
        </w:tc>
      </w:tr>
      <w:tr w:rsidR="00A47F9A" w:rsidRPr="00BA1D95" w:rsidTr="006119B1">
        <w:trPr>
          <w:trHeight w:val="105"/>
          <w:jc w:val="center"/>
        </w:trPr>
        <w:tc>
          <w:tcPr>
            <w:tcW w:w="1610" w:type="dxa"/>
            <w:vMerge/>
          </w:tcPr>
          <w:p w:rsidR="00A47F9A" w:rsidRPr="00BA1D95" w:rsidRDefault="00A47F9A" w:rsidP="004B11EB">
            <w:pPr>
              <w:spacing w:after="200" w:line="276" w:lineRule="auto"/>
              <w:jc w:val="both"/>
              <w:rPr>
                <w:rFonts w:ascii="ITC Avant Garde" w:hAnsi="ITC Avant Garde" w:cs="Arial"/>
                <w:sz w:val="20"/>
                <w:szCs w:val="20"/>
              </w:rPr>
            </w:pP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b-tierra</w:t>
            </w:r>
          </w:p>
        </w:tc>
        <w:tc>
          <w:tcPr>
            <w:tcW w:w="1899" w:type="dxa"/>
            <w:vMerge/>
          </w:tcPr>
          <w:p w:rsidR="00A47F9A" w:rsidRPr="00BA1D95" w:rsidRDefault="00A47F9A" w:rsidP="004B11EB">
            <w:pPr>
              <w:spacing w:after="200" w:line="276" w:lineRule="auto"/>
              <w:jc w:val="both"/>
              <w:rPr>
                <w:rFonts w:ascii="ITC Avant Garde" w:hAnsi="ITC Avant Garde" w:cs="Arial"/>
                <w:sz w:val="20"/>
                <w:szCs w:val="20"/>
              </w:rPr>
            </w:pPr>
          </w:p>
        </w:tc>
      </w:tr>
      <w:tr w:rsidR="00A47F9A" w:rsidRPr="00BA1D95" w:rsidTr="006119B1">
        <w:trPr>
          <w:trHeight w:val="201"/>
          <w:jc w:val="center"/>
        </w:trPr>
        <w:tc>
          <w:tcPr>
            <w:tcW w:w="1610" w:type="dxa"/>
            <w:vMerge w:val="restart"/>
            <w:vAlign w:val="center"/>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 xml:space="preserve">Capacitancia </w:t>
            </w: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a-b</w:t>
            </w:r>
          </w:p>
        </w:tc>
        <w:tc>
          <w:tcPr>
            <w:tcW w:w="1899" w:type="dxa"/>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 xml:space="preserve">52.5 </w:t>
            </w:r>
            <w:proofErr w:type="spellStart"/>
            <w:r w:rsidRPr="00BA1D95">
              <w:rPr>
                <w:rFonts w:ascii="ITC Avant Garde" w:hAnsi="ITC Avant Garde" w:cs="Arial"/>
                <w:sz w:val="20"/>
                <w:szCs w:val="20"/>
              </w:rPr>
              <w:t>nF</w:t>
            </w:r>
            <w:proofErr w:type="spellEnd"/>
            <w:r w:rsidRPr="00BA1D95">
              <w:rPr>
                <w:rFonts w:ascii="ITC Avant Garde" w:hAnsi="ITC Avant Garde" w:cs="Arial"/>
                <w:sz w:val="20"/>
                <w:szCs w:val="20"/>
              </w:rPr>
              <w:t xml:space="preserve"> /km  ±5%</w:t>
            </w:r>
          </w:p>
        </w:tc>
      </w:tr>
      <w:tr w:rsidR="00A47F9A" w:rsidRPr="00BA1D95" w:rsidTr="006119B1">
        <w:trPr>
          <w:trHeight w:val="192"/>
          <w:jc w:val="center"/>
        </w:trPr>
        <w:tc>
          <w:tcPr>
            <w:tcW w:w="1610" w:type="dxa"/>
            <w:vMerge/>
            <w:vAlign w:val="center"/>
          </w:tcPr>
          <w:p w:rsidR="00A47F9A" w:rsidRPr="00BA1D95" w:rsidRDefault="00A47F9A" w:rsidP="004B11EB">
            <w:pPr>
              <w:spacing w:after="200" w:line="276" w:lineRule="auto"/>
              <w:jc w:val="both"/>
              <w:rPr>
                <w:rFonts w:ascii="ITC Avant Garde" w:hAnsi="ITC Avant Garde" w:cs="Arial"/>
                <w:sz w:val="20"/>
                <w:szCs w:val="20"/>
              </w:rPr>
            </w:pP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a-tierra</w:t>
            </w:r>
          </w:p>
        </w:tc>
        <w:tc>
          <w:tcPr>
            <w:tcW w:w="1899" w:type="dxa"/>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 xml:space="preserve">64 </w:t>
            </w:r>
            <w:proofErr w:type="spellStart"/>
            <w:r w:rsidRPr="00BA1D95">
              <w:rPr>
                <w:rFonts w:ascii="ITC Avant Garde" w:hAnsi="ITC Avant Garde" w:cs="Arial"/>
                <w:sz w:val="20"/>
                <w:szCs w:val="20"/>
                <w:lang w:val="pt-BR"/>
              </w:rPr>
              <w:t>nF</w:t>
            </w:r>
            <w:proofErr w:type="spellEnd"/>
            <w:r w:rsidRPr="00BA1D95">
              <w:rPr>
                <w:rFonts w:ascii="ITC Avant Garde" w:hAnsi="ITC Avant Garde" w:cs="Arial"/>
                <w:sz w:val="20"/>
                <w:szCs w:val="20"/>
                <w:lang w:val="pt-BR"/>
              </w:rPr>
              <w:t xml:space="preserve">/Km </w:t>
            </w:r>
            <w:r w:rsidRPr="00BA1D95">
              <w:rPr>
                <w:rFonts w:ascii="ITC Avant Garde" w:hAnsi="ITC Avant Garde" w:cs="Arial"/>
                <w:sz w:val="20"/>
                <w:szCs w:val="20"/>
              </w:rPr>
              <w:t>± 10 %</w:t>
            </w:r>
          </w:p>
        </w:tc>
      </w:tr>
      <w:tr w:rsidR="00A47F9A" w:rsidRPr="00BA1D95" w:rsidTr="006119B1">
        <w:trPr>
          <w:trHeight w:val="272"/>
          <w:jc w:val="center"/>
        </w:trPr>
        <w:tc>
          <w:tcPr>
            <w:tcW w:w="1610" w:type="dxa"/>
            <w:vMerge/>
            <w:vAlign w:val="center"/>
          </w:tcPr>
          <w:p w:rsidR="00A47F9A" w:rsidRPr="00BA1D95" w:rsidRDefault="00A47F9A" w:rsidP="004B11EB">
            <w:pPr>
              <w:spacing w:after="200" w:line="276" w:lineRule="auto"/>
              <w:jc w:val="both"/>
              <w:rPr>
                <w:rFonts w:ascii="ITC Avant Garde" w:hAnsi="ITC Avant Garde" w:cs="Arial"/>
                <w:sz w:val="20"/>
                <w:szCs w:val="20"/>
              </w:rPr>
            </w:pPr>
          </w:p>
        </w:tc>
        <w:tc>
          <w:tcPr>
            <w:tcW w:w="1852" w:type="dxa"/>
          </w:tcPr>
          <w:p w:rsidR="00A47F9A" w:rsidRPr="00BA1D95" w:rsidRDefault="00A47F9A" w:rsidP="004B11EB">
            <w:pPr>
              <w:spacing w:after="200" w:line="276" w:lineRule="auto"/>
              <w:jc w:val="center"/>
              <w:rPr>
                <w:rFonts w:ascii="ITC Avant Garde" w:hAnsi="ITC Avant Garde" w:cs="Arial"/>
                <w:sz w:val="20"/>
                <w:szCs w:val="20"/>
              </w:rPr>
            </w:pPr>
            <w:r w:rsidRPr="00BA1D95">
              <w:rPr>
                <w:rFonts w:ascii="ITC Avant Garde" w:hAnsi="ITC Avant Garde" w:cs="Arial"/>
                <w:sz w:val="20"/>
                <w:szCs w:val="20"/>
              </w:rPr>
              <w:t>b-tierra</w:t>
            </w:r>
          </w:p>
        </w:tc>
        <w:tc>
          <w:tcPr>
            <w:tcW w:w="1899" w:type="dxa"/>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 xml:space="preserve">64 </w:t>
            </w:r>
            <w:proofErr w:type="spellStart"/>
            <w:r w:rsidRPr="00BA1D95">
              <w:rPr>
                <w:rFonts w:ascii="ITC Avant Garde" w:hAnsi="ITC Avant Garde" w:cs="Arial"/>
                <w:sz w:val="20"/>
                <w:szCs w:val="20"/>
                <w:lang w:val="pt-BR"/>
              </w:rPr>
              <w:t>nF</w:t>
            </w:r>
            <w:proofErr w:type="spellEnd"/>
            <w:r w:rsidRPr="00BA1D95">
              <w:rPr>
                <w:rFonts w:ascii="ITC Avant Garde" w:hAnsi="ITC Avant Garde" w:cs="Arial"/>
                <w:sz w:val="20"/>
                <w:szCs w:val="20"/>
                <w:lang w:val="pt-BR"/>
              </w:rPr>
              <w:t xml:space="preserve">/Km </w:t>
            </w:r>
            <w:r w:rsidRPr="00BA1D95">
              <w:rPr>
                <w:rFonts w:ascii="ITC Avant Garde" w:hAnsi="ITC Avant Garde" w:cs="Arial"/>
                <w:sz w:val="20"/>
                <w:szCs w:val="20"/>
              </w:rPr>
              <w:t>± 10 %</w:t>
            </w:r>
          </w:p>
        </w:tc>
      </w:tr>
    </w:tbl>
    <w:p w:rsidR="00A47F9A" w:rsidRPr="00BA1D95" w:rsidRDefault="00A47F9A" w:rsidP="004B11EB">
      <w:pPr>
        <w:pStyle w:val="Textoindependiente"/>
        <w:spacing w:before="120" w:after="200" w:line="276" w:lineRule="auto"/>
        <w:rPr>
          <w:rFonts w:ascii="ITC Avant Garde" w:hAnsi="ITC Avant Garde" w:cs="Arial"/>
          <w:b w:val="0"/>
          <w:sz w:val="18"/>
          <w:szCs w:val="18"/>
        </w:rPr>
      </w:pPr>
      <w:r w:rsidRPr="00BA1D95">
        <w:rPr>
          <w:rFonts w:ascii="ITC Avant Garde" w:hAnsi="ITC Avant Garde" w:cs="Arial"/>
          <w:b w:val="0"/>
          <w:sz w:val="18"/>
          <w:szCs w:val="18"/>
        </w:rPr>
        <w:t>Valores aceptables de resistencia y capacitancia</w:t>
      </w:r>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Los parámetros señalados</w:t>
      </w:r>
      <w:r w:rsidR="00110DCF" w:rsidRPr="00BA1D95">
        <w:rPr>
          <w:rFonts w:ascii="ITC Avant Garde" w:hAnsi="ITC Avant Garde" w:cs="Arial"/>
        </w:rPr>
        <w:t xml:space="preserve"> serán los mismos para todos los CS</w:t>
      </w:r>
      <w:r w:rsidRPr="00BA1D95">
        <w:rPr>
          <w:rFonts w:ascii="ITC Avant Garde" w:hAnsi="ITC Avant Garde" w:cs="Arial"/>
        </w:rPr>
        <w:t>.</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Usuario existente.</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No proceden pruebas en el bucle, se comprobará la presencia de tono en la línea y la ausencia de ruidos</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Procedimiento para la realización de pruebas del Bucle de fibra óptica (GPON)</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Usuario existente o nuevo</w:t>
      </w:r>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Antes de la ejecución efectiva de la reventa se realizará una prueba de potencia óptica por usuario y se registrará el valor, el cual debe estar en el rango de -15 a -27 dBm.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36"/>
        <w:gridCol w:w="3186"/>
      </w:tblGrid>
      <w:tr w:rsidR="00A47F9A" w:rsidRPr="00BA1D95" w:rsidTr="00366F2B">
        <w:trPr>
          <w:jc w:val="center"/>
        </w:trPr>
        <w:tc>
          <w:tcPr>
            <w:tcW w:w="3036" w:type="dxa"/>
            <w:shd w:val="clear" w:color="auto" w:fill="BDD6EE" w:themeFill="accent5" w:themeFillTint="66"/>
            <w:vAlign w:val="center"/>
          </w:tcPr>
          <w:p w:rsidR="00A47F9A" w:rsidRPr="00BA1D95" w:rsidRDefault="00A47F9A" w:rsidP="00402F39">
            <w:pPr>
              <w:spacing w:after="200" w:line="276" w:lineRule="auto"/>
              <w:jc w:val="center"/>
              <w:rPr>
                <w:rFonts w:ascii="ITC Avant Garde" w:hAnsi="ITC Avant Garde" w:cs="Arial"/>
                <w:b/>
                <w:sz w:val="20"/>
                <w:szCs w:val="20"/>
              </w:rPr>
            </w:pPr>
            <w:r w:rsidRPr="00BA1D95">
              <w:rPr>
                <w:rFonts w:ascii="ITC Avant Garde" w:hAnsi="ITC Avant Garde" w:cs="Arial"/>
                <w:b/>
                <w:sz w:val="20"/>
                <w:szCs w:val="20"/>
              </w:rPr>
              <w:t>Parámetro</w:t>
            </w:r>
          </w:p>
        </w:tc>
        <w:tc>
          <w:tcPr>
            <w:tcW w:w="3186" w:type="dxa"/>
            <w:shd w:val="clear" w:color="auto" w:fill="BDD6EE" w:themeFill="accent5" w:themeFillTint="66"/>
            <w:vAlign w:val="center"/>
          </w:tcPr>
          <w:p w:rsidR="00A47F9A" w:rsidRPr="00BA1D95" w:rsidRDefault="00A47F9A" w:rsidP="00402F39">
            <w:pPr>
              <w:spacing w:after="200" w:line="276" w:lineRule="auto"/>
              <w:jc w:val="center"/>
              <w:rPr>
                <w:rFonts w:ascii="ITC Avant Garde" w:hAnsi="ITC Avant Garde" w:cs="Arial"/>
                <w:b/>
                <w:sz w:val="20"/>
                <w:szCs w:val="20"/>
              </w:rPr>
            </w:pPr>
            <w:r w:rsidRPr="00BA1D95">
              <w:rPr>
                <w:rFonts w:ascii="ITC Avant Garde" w:hAnsi="ITC Avant Garde" w:cs="Arial"/>
                <w:b/>
                <w:sz w:val="20"/>
                <w:szCs w:val="20"/>
              </w:rPr>
              <w:t>Valor Aceptable</w:t>
            </w:r>
          </w:p>
        </w:tc>
      </w:tr>
      <w:tr w:rsidR="00A47F9A" w:rsidRPr="00BA1D95" w:rsidTr="00402F39">
        <w:trPr>
          <w:trHeight w:val="275"/>
          <w:jc w:val="center"/>
        </w:trPr>
        <w:tc>
          <w:tcPr>
            <w:tcW w:w="3036" w:type="dxa"/>
            <w:vAlign w:val="center"/>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Potencia</w:t>
            </w:r>
          </w:p>
        </w:tc>
        <w:tc>
          <w:tcPr>
            <w:tcW w:w="3186" w:type="dxa"/>
          </w:tcPr>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Mayor a -27 dBm</w:t>
            </w:r>
          </w:p>
          <w:p w:rsidR="00A47F9A" w:rsidRPr="00BA1D95" w:rsidRDefault="00A47F9A" w:rsidP="004B11EB">
            <w:pPr>
              <w:spacing w:after="200" w:line="276" w:lineRule="auto"/>
              <w:jc w:val="both"/>
              <w:rPr>
                <w:rFonts w:ascii="ITC Avant Garde" w:hAnsi="ITC Avant Garde" w:cs="Arial"/>
                <w:sz w:val="20"/>
                <w:szCs w:val="20"/>
              </w:rPr>
            </w:pPr>
            <w:r w:rsidRPr="00BA1D95">
              <w:rPr>
                <w:rFonts w:ascii="ITC Avant Garde" w:hAnsi="ITC Avant Garde" w:cs="Arial"/>
                <w:sz w:val="20"/>
                <w:szCs w:val="20"/>
              </w:rPr>
              <w:t>Menor a -15 dBm</w:t>
            </w:r>
          </w:p>
        </w:tc>
      </w:tr>
    </w:tbl>
    <w:p w:rsidR="00A47F9A" w:rsidRPr="00BA1D95" w:rsidRDefault="00A47F9A" w:rsidP="004B11EB">
      <w:pPr>
        <w:pStyle w:val="Textoindependiente"/>
        <w:spacing w:before="120" w:after="200" w:line="276" w:lineRule="auto"/>
        <w:rPr>
          <w:rFonts w:ascii="ITC Avant Garde" w:hAnsi="ITC Avant Garde" w:cs="Arial"/>
          <w:b w:val="0"/>
          <w:sz w:val="18"/>
          <w:szCs w:val="18"/>
        </w:rPr>
      </w:pPr>
      <w:r w:rsidRPr="00BA1D95">
        <w:rPr>
          <w:rFonts w:ascii="ITC Avant Garde" w:hAnsi="ITC Avant Garde" w:cs="Arial"/>
          <w:b w:val="0"/>
          <w:sz w:val="18"/>
          <w:szCs w:val="18"/>
        </w:rPr>
        <w:t>Valores aceptables de potencia</w:t>
      </w:r>
    </w:p>
    <w:p w:rsidR="000D3441" w:rsidRPr="00BA1D95" w:rsidRDefault="000D3441" w:rsidP="004B11EB">
      <w:pPr>
        <w:spacing w:after="200" w:line="276" w:lineRule="auto"/>
        <w:jc w:val="both"/>
        <w:rPr>
          <w:rFonts w:ascii="ITC Avant Garde" w:hAnsi="ITC Avant Garde" w:cs="Arial"/>
        </w:rPr>
      </w:pPr>
      <w:r w:rsidRPr="00BA1D95">
        <w:rPr>
          <w:rFonts w:ascii="ITC Avant Garde" w:hAnsi="ITC Avant Garde" w:cs="Arial"/>
        </w:rPr>
        <w:t>Para los servicios que se prestan por Fibra óptica aplicarán los siguientes parámetros en la puesta en operación:</w:t>
      </w:r>
    </w:p>
    <w:p w:rsidR="00E938FD" w:rsidRDefault="000D3441">
      <w:pPr>
        <w:spacing w:after="60" w:line="276" w:lineRule="auto"/>
        <w:jc w:val="both"/>
        <w:rPr>
          <w:rFonts w:ascii="ITC Avant Garde" w:hAnsi="ITC Avant Garde" w:cs="Arial"/>
        </w:rPr>
      </w:pPr>
      <w:r w:rsidRPr="00BA1D95">
        <w:rPr>
          <w:rFonts w:ascii="ITC Avant Garde" w:hAnsi="ITC Avant Garde" w:cs="Arial"/>
        </w:rPr>
        <w:t xml:space="preserve">Latencia ≤ </w:t>
      </w:r>
      <w:r w:rsidR="00E773ED" w:rsidRPr="00BA1D95">
        <w:rPr>
          <w:rFonts w:ascii="ITC Avant Garde" w:hAnsi="ITC Avant Garde" w:cs="Arial"/>
        </w:rPr>
        <w:t>45</w:t>
      </w:r>
      <w:r w:rsidRPr="00BA1D95">
        <w:rPr>
          <w:rFonts w:ascii="ITC Avant Garde" w:hAnsi="ITC Avant Garde" w:cs="Arial"/>
        </w:rPr>
        <w:t xml:space="preserve"> (ms)</w:t>
      </w:r>
    </w:p>
    <w:p w:rsidR="00E938FD" w:rsidRDefault="000D3441">
      <w:pPr>
        <w:spacing w:after="60" w:line="276" w:lineRule="auto"/>
        <w:jc w:val="both"/>
        <w:rPr>
          <w:rFonts w:ascii="ITC Avant Garde" w:hAnsi="ITC Avant Garde" w:cs="Arial"/>
        </w:rPr>
      </w:pPr>
      <w:r w:rsidRPr="00BA1D95">
        <w:rPr>
          <w:rFonts w:ascii="ITC Avant Garde" w:hAnsi="ITC Avant Garde" w:cs="Arial"/>
        </w:rPr>
        <w:t>Pérdida de paquetes ≤ 0.4%</w:t>
      </w:r>
    </w:p>
    <w:p w:rsidR="00E938FD" w:rsidRDefault="000D3441">
      <w:pPr>
        <w:spacing w:after="60" w:line="276" w:lineRule="auto"/>
        <w:jc w:val="both"/>
        <w:rPr>
          <w:rFonts w:ascii="ITC Avant Garde" w:hAnsi="ITC Avant Garde" w:cs="Arial"/>
        </w:rPr>
      </w:pPr>
      <w:r w:rsidRPr="00BA1D95">
        <w:rPr>
          <w:rFonts w:ascii="ITC Avant Garde" w:hAnsi="ITC Avant Garde" w:cs="Arial"/>
        </w:rPr>
        <w:t>Disponibilidad del servicio ≥ 99.90%</w:t>
      </w:r>
    </w:p>
    <w:p w:rsidR="00A47F9A" w:rsidRPr="00BA1D95" w:rsidRDefault="00A47F9A" w:rsidP="004B11EB">
      <w:pPr>
        <w:spacing w:after="200" w:line="276" w:lineRule="auto"/>
        <w:jc w:val="both"/>
        <w:rPr>
          <w:rFonts w:ascii="ITC Avant Garde" w:hAnsi="ITC Avant Garde" w:cs="Arial"/>
          <w:b/>
        </w:rPr>
      </w:pPr>
      <w:r w:rsidRPr="00BA1D95">
        <w:rPr>
          <w:rFonts w:ascii="ITC Avant Garde" w:hAnsi="ITC Avant Garde" w:cs="Arial"/>
          <w:b/>
        </w:rPr>
        <w:t>Pruebas de la Conexión de datos</w:t>
      </w:r>
    </w:p>
    <w:p w:rsidR="00A47F9A" w:rsidRPr="00BA1D95" w:rsidRDefault="00A47F9A" w:rsidP="004B11EB">
      <w:pPr>
        <w:spacing w:before="240" w:after="200" w:line="276" w:lineRule="auto"/>
        <w:jc w:val="both"/>
        <w:rPr>
          <w:rFonts w:ascii="ITC Avant Garde" w:hAnsi="ITC Avant Garde" w:cs="Arial"/>
        </w:rPr>
      </w:pPr>
      <w:r w:rsidRPr="00BA1D95">
        <w:rPr>
          <w:rFonts w:ascii="ITC Avant Garde" w:hAnsi="ITC Avant Garde" w:cs="Arial"/>
        </w:rPr>
        <w:t xml:space="preserve">Se realizará una prueba de sincronía entre el modem y el DSLAM o entre la ONT y la OLT de la línea. Se comprobarán y registrarán los resultados de la prueba y se le comunicarán al CS. Si los </w:t>
      </w:r>
      <w:r w:rsidRPr="00BA1D95">
        <w:rPr>
          <w:rFonts w:ascii="ITC Avant Garde" w:hAnsi="ITC Avant Garde" w:cs="Arial"/>
        </w:rPr>
        <w:lastRenderedPageBreak/>
        <w:t>valores mínimos no se cumplen la prueba se considerará fallida y el servicio no se considerará entregado.</w:t>
      </w:r>
    </w:p>
    <w:p w:rsidR="00E938FD" w:rsidRDefault="00A47F9A">
      <w:pPr>
        <w:spacing w:before="240" w:after="200" w:line="276" w:lineRule="auto"/>
        <w:jc w:val="both"/>
        <w:rPr>
          <w:rFonts w:ascii="ITC Avant Garde" w:hAnsi="ITC Avant Garde" w:cs="Arial"/>
        </w:rPr>
      </w:pPr>
      <w:r w:rsidRPr="00BA1D95">
        <w:rPr>
          <w:rFonts w:ascii="ITC Avant Garde" w:hAnsi="ITC Avant Garde" w:cs="Arial"/>
        </w:rPr>
        <w:t>Los parámetros que se probarán son la velocidad de sincronización de bajada y subida. Sus valores mínimos serán los correspondientes al perfil comercial.</w:t>
      </w:r>
      <w:r w:rsidR="001A503D">
        <w:rPr>
          <w:rFonts w:ascii="ITC Avant Garde" w:hAnsi="ITC Avant Garde" w:cs="Arial"/>
          <w:noProof/>
          <w:lang w:eastAsia="es-MX"/>
        </w:rPr>
        <w:pict>
          <v:shapetype id="_x0000_t202" coordsize="21600,21600" o:spt="202" path="m,l,21600r21600,l21600,xe">
            <v:stroke joinstyle="miter"/>
            <v:path gradientshapeok="t" o:connecttype="rect"/>
          </v:shapetype>
          <v:shape id="Text Box 41" o:spid="_x0000_s1026" type="#_x0000_t202" style="position:absolute;left:0;text-align:left;margin-left:-135.05pt;margin-top:-430.35pt;width:50pt;height:50pt;z-index:2516582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"/>
        </w:pict>
      </w:r>
    </w:p>
    <w:p w:rsidR="00A47F9A" w:rsidRPr="00BA1D95" w:rsidRDefault="00A47F9A" w:rsidP="00FF4EC6">
      <w:pPr>
        <w:pStyle w:val="1TitPrin"/>
        <w:numPr>
          <w:ilvl w:val="1"/>
          <w:numId w:val="182"/>
        </w:numPr>
        <w:outlineLvl w:val="1"/>
      </w:pPr>
      <w:bookmarkStart w:id="579" w:name="_Toc436840893"/>
      <w:bookmarkStart w:id="580" w:name="_Toc436846330"/>
      <w:bookmarkStart w:id="581" w:name="_Toc436848280"/>
      <w:bookmarkStart w:id="582" w:name="_Toc436856528"/>
      <w:bookmarkStart w:id="583" w:name="_Toc436862674"/>
      <w:bookmarkStart w:id="584" w:name="_Toc436866324"/>
      <w:bookmarkStart w:id="585" w:name="_Toc436870903"/>
      <w:bookmarkStart w:id="586" w:name="_Toc436875895"/>
      <w:bookmarkStart w:id="587" w:name="_Toc467248707"/>
      <w:bookmarkStart w:id="588" w:name="_Toc525904573"/>
      <w:bookmarkStart w:id="589" w:name="_Toc525913969"/>
      <w:bookmarkStart w:id="590" w:name="_Toc525919208"/>
      <w:bookmarkStart w:id="591" w:name="_Toc525919332"/>
      <w:bookmarkStart w:id="592" w:name="_Toc2957142"/>
      <w:bookmarkStart w:id="593" w:name="_Toc26273078"/>
      <w:bookmarkStart w:id="594" w:name="_Toc26284475"/>
      <w:bookmarkStart w:id="595" w:name="_Toc54106579"/>
      <w:r w:rsidRPr="00BA1D95">
        <w:t>Procedimiento para la realización de pruebas de entrega de los servicios de Reventa</w:t>
      </w:r>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p>
    <w:p w:rsidR="00A47F9A" w:rsidRDefault="00A47F9A" w:rsidP="004B11EB">
      <w:pPr>
        <w:pStyle w:val="IFTnormal"/>
        <w:spacing w:before="240"/>
        <w:rPr>
          <w:rFonts w:cs="Arial"/>
          <w:lang w:val="es-ES"/>
        </w:rPr>
      </w:pPr>
      <w:bookmarkStart w:id="596" w:name="RANGE!A4:F19"/>
      <w:bookmarkEnd w:id="596"/>
      <w:r w:rsidRPr="00BA1D95">
        <w:rPr>
          <w:rFonts w:cs="Arial"/>
          <w:lang w:val="es-ES"/>
        </w:rPr>
        <w:t xml:space="preserve">Las pruebas de entrega a ser realizadas para los Servicios de Reventa ofrecidos a los CS serán en todo momento las correspondientes a las que </w:t>
      </w:r>
      <w:r w:rsidR="004A389F">
        <w:rPr>
          <w:rFonts w:cs="Arial"/>
          <w:lang w:val="es-ES"/>
        </w:rPr>
        <w:t>el AEP</w:t>
      </w:r>
      <w:r w:rsidR="004A389F" w:rsidRPr="00BA1D95">
        <w:rPr>
          <w:rFonts w:cs="Arial"/>
          <w:lang w:val="es-ES"/>
        </w:rPr>
        <w:t xml:space="preserve"> </w:t>
      </w:r>
      <w:r w:rsidRPr="00BA1D95">
        <w:rPr>
          <w:rFonts w:cs="Arial"/>
          <w:lang w:val="es-ES"/>
        </w:rPr>
        <w:t>utiliza para sus propias operaciones.</w:t>
      </w:r>
    </w:p>
    <w:p w:rsidR="00A47F9A" w:rsidRPr="00BA1D95" w:rsidRDefault="00A47F9A" w:rsidP="00D37C98">
      <w:pPr>
        <w:pStyle w:val="Prrafodelista"/>
        <w:numPr>
          <w:ilvl w:val="0"/>
          <w:numId w:val="108"/>
        </w:numPr>
        <w:spacing w:before="240" w:after="200" w:line="276" w:lineRule="auto"/>
        <w:jc w:val="both"/>
        <w:rPr>
          <w:rFonts w:ascii="ITC Avant Garde" w:eastAsia="Calibri" w:hAnsi="ITC Avant Garde" w:cs="Arial"/>
          <w:b/>
          <w:i/>
          <w:sz w:val="22"/>
          <w:szCs w:val="22"/>
        </w:rPr>
      </w:pPr>
      <w:r w:rsidRPr="00BA1D95">
        <w:rPr>
          <w:rFonts w:ascii="ITC Avant Garde" w:eastAsia="Calibri" w:hAnsi="ITC Avant Garde" w:cs="Arial"/>
          <w:b/>
          <w:i/>
          <w:sz w:val="22"/>
          <w:szCs w:val="22"/>
        </w:rPr>
        <w:t xml:space="preserve">Servicio de Reventa de Línea Telefónica </w:t>
      </w:r>
    </w:p>
    <w:p w:rsidR="00A47F9A" w:rsidRPr="00BA1D95" w:rsidRDefault="00A47F9A" w:rsidP="004B11EB">
      <w:pPr>
        <w:spacing w:before="240" w:after="200" w:line="276" w:lineRule="auto"/>
        <w:jc w:val="both"/>
        <w:rPr>
          <w:rFonts w:ascii="ITC Avant Garde" w:hAnsi="ITC Avant Garde" w:cs="Arial"/>
        </w:rPr>
      </w:pPr>
      <w:r w:rsidRPr="00BA1D95">
        <w:rPr>
          <w:rFonts w:ascii="ITC Avant Garde" w:hAnsi="ITC Avant Garde" w:cs="Arial"/>
        </w:rPr>
        <w:t xml:space="preserve">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de </w:t>
      </w:r>
      <w:r w:rsidR="004A389F">
        <w:rPr>
          <w:rFonts w:ascii="ITC Avant Garde" w:hAnsi="ITC Avant Garde" w:cs="Arial"/>
        </w:rPr>
        <w:t>“</w:t>
      </w:r>
      <w:r w:rsidRPr="00BA1D95">
        <w:rPr>
          <w:rFonts w:ascii="ITC Avant Garde" w:hAnsi="ITC Avant Garde" w:cs="Arial"/>
        </w:rPr>
        <w:t xml:space="preserve">Parámetros e indicadores de calidad </w:t>
      </w:r>
      <w:r w:rsidR="00F12AFE">
        <w:rPr>
          <w:rFonts w:ascii="ITC Avant Garde" w:hAnsi="ITC Avant Garde" w:cs="Arial"/>
        </w:rPr>
        <w:t>para los Servicios de Reventa”</w:t>
      </w:r>
      <w:r w:rsidRPr="00BA1D95">
        <w:rPr>
          <w:rFonts w:ascii="ITC Avant Garde" w:hAnsi="ITC Avant Garde" w:cs="Arial"/>
        </w:rPr>
        <w:t xml:space="preserve"> de esta OREDA.</w:t>
      </w:r>
    </w:p>
    <w:p w:rsidR="00A47F9A" w:rsidRPr="00BA1D95" w:rsidRDefault="00A47F9A" w:rsidP="004B11EB">
      <w:pPr>
        <w:spacing w:before="240" w:after="200" w:line="276" w:lineRule="auto"/>
        <w:jc w:val="both"/>
        <w:rPr>
          <w:rFonts w:ascii="ITC Avant Garde" w:hAnsi="ITC Avant Garde" w:cs="Arial"/>
          <w:b/>
        </w:rPr>
      </w:pPr>
      <w:r w:rsidRPr="00BA1D95">
        <w:rPr>
          <w:rFonts w:ascii="ITC Avant Garde" w:hAnsi="ITC Avant Garde" w:cs="Arial"/>
          <w:b/>
        </w:rPr>
        <w:t>Metodología</w:t>
      </w:r>
    </w:p>
    <w:p w:rsidR="00A47F9A" w:rsidRPr="00BA1D95" w:rsidRDefault="00A47F9A" w:rsidP="00F12AFE">
      <w:pPr>
        <w:spacing w:before="240" w:after="200" w:line="276" w:lineRule="auto"/>
        <w:jc w:val="both"/>
        <w:rPr>
          <w:rFonts w:ascii="ITC Avant Garde" w:hAnsi="ITC Avant Garde" w:cs="Arial"/>
        </w:rPr>
      </w:pPr>
      <w:r w:rsidRPr="00F12AFE">
        <w:rPr>
          <w:rFonts w:ascii="ITC Avant Garde" w:hAnsi="ITC Avant Garde" w:cs="Arial"/>
        </w:rPr>
        <w:t>La medición de los parámetros indicados se realiza en forma remota</w:t>
      </w:r>
      <w:r w:rsidRPr="00BA1D95">
        <w:rPr>
          <w:rStyle w:val="Refdenotaalpie"/>
          <w:rFonts w:ascii="ITC Avant Garde" w:hAnsi="ITC Avant Garde" w:cs="Arial"/>
        </w:rPr>
        <w:footnoteReference w:id="19"/>
      </w:r>
      <w:r w:rsidRPr="00BA1D95">
        <w:rPr>
          <w:rFonts w:ascii="ITC Avant Garde" w:hAnsi="ITC Avant Garde" w:cs="Arial"/>
        </w:rPr>
        <w:t xml:space="preserve"> utilizando los recursos de la propia central o cabezas de prueba de la red al término de la ejecución y se registrarán los valores indicando el cumplimiento </w:t>
      </w:r>
      <w:r w:rsidR="005F1B8C" w:rsidRPr="00BA1D95">
        <w:rPr>
          <w:rFonts w:ascii="ITC Avant Garde" w:hAnsi="ITC Avant Garde" w:cs="Arial"/>
        </w:rPr>
        <w:t>de acuerdo con</w:t>
      </w:r>
      <w:r w:rsidRPr="00BA1D95">
        <w:rPr>
          <w:rFonts w:ascii="ITC Avant Garde" w:hAnsi="ITC Avant Garde" w:cs="Arial"/>
        </w:rPr>
        <w:t xml:space="preserve"> la tabla de Parámetros Eléctricos de la sección 4.</w:t>
      </w:r>
      <w:r w:rsidR="00074D77" w:rsidRPr="00BA1D95">
        <w:rPr>
          <w:rFonts w:ascii="ITC Avant Garde" w:hAnsi="ITC Avant Garde" w:cs="Arial"/>
        </w:rPr>
        <w:t>9</w:t>
      </w:r>
      <w:r w:rsidRPr="00BA1D95">
        <w:rPr>
          <w:rFonts w:ascii="ITC Avant Garde" w:hAnsi="ITC Avant Garde" w:cs="Arial"/>
        </w:rPr>
        <w:t xml:space="preserve"> de esta Oferta.</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En caso de que la medición eléctrica remota no pueda realizarse, el técnico llevará a cabo las mediciones en el domicilio del usuario </w:t>
      </w:r>
      <w:r w:rsidR="00F12AFE">
        <w:rPr>
          <w:rFonts w:ascii="ITC Avant Garde" w:hAnsi="ITC Avant Garde" w:cs="Arial"/>
        </w:rPr>
        <w:t>con</w:t>
      </w:r>
      <w:r w:rsidRPr="00BA1D95">
        <w:rPr>
          <w:rFonts w:ascii="ITC Avant Garde" w:hAnsi="ITC Avant Garde" w:cs="Arial"/>
        </w:rPr>
        <w:t xml:space="preserve"> el </w:t>
      </w:r>
      <w:r w:rsidR="00F12AFE">
        <w:rPr>
          <w:rFonts w:ascii="ITC Avant Garde" w:hAnsi="ITC Avant Garde" w:cs="Arial"/>
        </w:rPr>
        <w:t xml:space="preserve">equipo empleado por </w:t>
      </w:r>
      <w:r w:rsidR="00E83F21">
        <w:rPr>
          <w:rFonts w:ascii="ITC Avant Garde" w:hAnsi="ITC Avant Garde" w:cs="Arial"/>
        </w:rPr>
        <w:t>Telmex / Telnor</w:t>
      </w:r>
      <w:r w:rsidR="00041BA6">
        <w:rPr>
          <w:rFonts w:ascii="ITC Avant Garde" w:hAnsi="ITC Avant Garde" w:cs="Arial"/>
        </w:rPr>
        <w:t xml:space="preserve"> </w:t>
      </w:r>
      <w:r w:rsidRPr="00BA1D95">
        <w:rPr>
          <w:rFonts w:ascii="ITC Avant Garde" w:hAnsi="ITC Avant Garde" w:cs="Arial"/>
        </w:rPr>
        <w:t>en el PCT.</w:t>
      </w:r>
    </w:p>
    <w:p w:rsidR="00F12AFE" w:rsidRPr="00BA1D95" w:rsidRDefault="00F12AFE" w:rsidP="004B11EB">
      <w:pPr>
        <w:spacing w:after="200" w:line="276" w:lineRule="auto"/>
        <w:jc w:val="both"/>
        <w:rPr>
          <w:rFonts w:ascii="ITC Avant Garde" w:hAnsi="ITC Avant Garde" w:cs="Arial"/>
        </w:rPr>
      </w:pPr>
      <w:r>
        <w:rPr>
          <w:rFonts w:ascii="ITC Avant Garde" w:hAnsi="ITC Avant Garde"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En caso de no cumplimiento de los umbrales de aceptación, se procederá a realizar las actividades conducentes hasta lograr su cumplimiento.</w:t>
      </w:r>
    </w:p>
    <w:p w:rsidR="00A47F9A" w:rsidRDefault="00A47F9A" w:rsidP="004B11EB">
      <w:pPr>
        <w:spacing w:before="240" w:after="200" w:line="276" w:lineRule="auto"/>
        <w:jc w:val="both"/>
        <w:rPr>
          <w:rFonts w:ascii="ITC Avant Garde" w:hAnsi="ITC Avant Garde" w:cs="Arial"/>
        </w:rPr>
      </w:pPr>
      <w:r w:rsidRPr="00BA1D95">
        <w:rPr>
          <w:rFonts w:ascii="ITC Avant Garde" w:hAnsi="ITC Avant Garde" w:cs="Arial"/>
        </w:rPr>
        <w:t xml:space="preserve">Una vez asegurados los parámetros correctos, se reportarán en el </w:t>
      </w:r>
      <w:r w:rsidR="006B5A23">
        <w:rPr>
          <w:rFonts w:ascii="ITC Avant Garde" w:hAnsi="ITC Avant Garde" w:cs="Arial"/>
        </w:rPr>
        <w:t>SEG</w:t>
      </w:r>
      <w:r w:rsidRPr="00BA1D95">
        <w:rPr>
          <w:rFonts w:ascii="ITC Avant Garde" w:hAnsi="ITC Avant Garde" w:cs="Arial"/>
        </w:rPr>
        <w:t xml:space="preserve">, para que el CS pueda consultarlos. </w:t>
      </w:r>
    </w:p>
    <w:p w:rsidR="00A47F9A" w:rsidRPr="00BA1D95" w:rsidRDefault="00290D8F" w:rsidP="004B11EB">
      <w:pPr>
        <w:jc w:val="center"/>
        <w:rPr>
          <w:rFonts w:ascii="ITC Avant Garde" w:hAnsi="ITC Avant Garde" w:cs="Arial"/>
          <w:sz w:val="18"/>
          <w:szCs w:val="18"/>
        </w:rPr>
      </w:pPr>
      <w:r w:rsidRPr="00BA1D95">
        <w:rPr>
          <w:rFonts w:ascii="ITC Avant Garde" w:hAnsi="ITC Avant Garde" w:cs="Arial"/>
          <w:noProof/>
          <w:sz w:val="18"/>
          <w:szCs w:val="18"/>
          <w:lang w:eastAsia="es-MX"/>
        </w:rPr>
        <w:lastRenderedPageBreak/>
        <w:drawing>
          <wp:inline distT="0" distB="0" distL="0" distR="0">
            <wp:extent cx="5610225" cy="762000"/>
            <wp:effectExtent l="0" t="0" r="9525" b="0"/>
            <wp:docPr id="281" name="Imagen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2"/>
                    <pic:cNvPicPr>
                      <a:picLocks noChangeAspect="1" noChangeArrowheads="1"/>
                    </pic:cNvPicPr>
                  </pic:nvPicPr>
                  <pic:blipFill rotWithShape="1">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7526"/>
                    <a:stretch/>
                  </pic:blipFill>
                  <pic:spPr bwMode="auto">
                    <a:xfrm>
                      <a:off x="0" y="0"/>
                      <a:ext cx="5610225" cy="76200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A47F9A" w:rsidRPr="00BA1D95">
        <w:rPr>
          <w:rFonts w:ascii="ITC Avant Garde" w:hAnsi="ITC Avant Garde" w:cs="Arial"/>
          <w:sz w:val="18"/>
          <w:szCs w:val="18"/>
        </w:rPr>
        <w:t>Ejemplo de parámetros para el servicio de voz en cobre</w:t>
      </w:r>
    </w:p>
    <w:p w:rsidR="00A47F9A" w:rsidRPr="00BA1D95" w:rsidRDefault="00A47F9A" w:rsidP="00D37C98">
      <w:pPr>
        <w:pStyle w:val="Prrafodelista"/>
        <w:numPr>
          <w:ilvl w:val="0"/>
          <w:numId w:val="108"/>
        </w:numPr>
        <w:spacing w:before="240" w:after="200" w:line="276" w:lineRule="auto"/>
        <w:jc w:val="both"/>
        <w:rPr>
          <w:rFonts w:ascii="ITC Avant Garde" w:eastAsia="Calibri" w:hAnsi="ITC Avant Garde" w:cs="Arial"/>
          <w:b/>
          <w:i/>
          <w:sz w:val="22"/>
          <w:szCs w:val="22"/>
        </w:rPr>
      </w:pPr>
      <w:r w:rsidRPr="00BA1D95">
        <w:rPr>
          <w:rFonts w:ascii="ITC Avant Garde" w:eastAsia="Calibri" w:hAnsi="ITC Avant Garde" w:cs="Arial"/>
          <w:b/>
          <w:i/>
          <w:sz w:val="22"/>
          <w:szCs w:val="22"/>
        </w:rPr>
        <w:t>Servicio de Reventa de Internet</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Para el caso de servicios de Reventa de Internet se tienen dos escenarios según el medio de transmisión; </w:t>
      </w:r>
    </w:p>
    <w:p w:rsidR="00A47F9A" w:rsidRDefault="00A47F9A" w:rsidP="00D37C98">
      <w:pPr>
        <w:pStyle w:val="Prrafodelista"/>
        <w:numPr>
          <w:ilvl w:val="0"/>
          <w:numId w:val="59"/>
        </w:numPr>
        <w:spacing w:after="200" w:line="276" w:lineRule="auto"/>
        <w:jc w:val="both"/>
        <w:rPr>
          <w:rFonts w:ascii="ITC Avant Garde" w:eastAsia="Calibri" w:hAnsi="ITC Avant Garde" w:cs="Arial"/>
          <w:sz w:val="22"/>
          <w:szCs w:val="22"/>
        </w:rPr>
      </w:pPr>
      <w:r w:rsidRPr="00BA1D95">
        <w:rPr>
          <w:rFonts w:ascii="ITC Avant Garde" w:eastAsia="Calibri" w:hAnsi="ITC Avant Garde" w:cs="Arial"/>
          <w:sz w:val="22"/>
          <w:szCs w:val="22"/>
        </w:rPr>
        <w:t xml:space="preserve">En el caso que el medio de acceso sea </w:t>
      </w:r>
      <w:r w:rsidRPr="00BA1D95">
        <w:rPr>
          <w:rFonts w:ascii="ITC Avant Garde" w:eastAsia="Calibri" w:hAnsi="ITC Avant Garde" w:cs="Arial"/>
          <w:b/>
          <w:sz w:val="22"/>
          <w:szCs w:val="22"/>
        </w:rPr>
        <w:t>cobre</w:t>
      </w:r>
      <w:r w:rsidRPr="00BA1D95">
        <w:rPr>
          <w:rFonts w:ascii="ITC Avant Garde" w:eastAsia="Calibri" w:hAnsi="ITC Avant Garde" w:cs="Arial"/>
          <w:sz w:val="22"/>
          <w:szCs w:val="22"/>
        </w:rPr>
        <w:t xml:space="preserve"> se valida la sincronía xDSL mediante el indicador led del modem y la medición de los parámetros de velocidades de subida y bajada.</w:t>
      </w:r>
    </w:p>
    <w:p w:rsidR="00A47F9A" w:rsidRPr="00BA1D95" w:rsidRDefault="00290D8F" w:rsidP="004B11EB">
      <w:pPr>
        <w:pStyle w:val="Textoindependiente"/>
        <w:spacing w:before="120" w:after="200" w:line="276" w:lineRule="auto"/>
        <w:rPr>
          <w:rFonts w:ascii="ITC Avant Garde" w:hAnsi="ITC Avant Garde" w:cs="Arial"/>
          <w:b w:val="0"/>
          <w:sz w:val="22"/>
          <w:szCs w:val="22"/>
        </w:rPr>
      </w:pPr>
      <w:r w:rsidRPr="00BA1D95">
        <w:rPr>
          <w:rFonts w:ascii="ITC Avant Garde" w:hAnsi="ITC Avant Garde" w:cs="Arial"/>
          <w:noProof/>
          <w:sz w:val="22"/>
          <w:szCs w:val="22"/>
          <w:lang w:eastAsia="es-MX"/>
        </w:rPr>
        <w:drawing>
          <wp:inline distT="0" distB="0" distL="0" distR="0">
            <wp:extent cx="4150614" cy="687629"/>
            <wp:effectExtent l="19050" t="0" r="0" b="0"/>
            <wp:docPr id="280" name="Imagen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7"/>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18277" b="62074"/>
                    <a:stretch>
                      <a:fillRect/>
                    </a:stretch>
                  </pic:blipFill>
                  <pic:spPr bwMode="auto">
                    <a:xfrm>
                      <a:off x="0" y="0"/>
                      <a:ext cx="4150614" cy="687629"/>
                    </a:xfrm>
                    <a:prstGeom prst="rect">
                      <a:avLst/>
                    </a:prstGeom>
                    <a:noFill/>
                    <a:ln>
                      <a:noFill/>
                    </a:ln>
                  </pic:spPr>
                </pic:pic>
              </a:graphicData>
            </a:graphic>
          </wp:inline>
        </w:drawing>
      </w:r>
    </w:p>
    <w:p w:rsidR="00A47F9A" w:rsidRPr="00BA1D95" w:rsidRDefault="00A47F9A" w:rsidP="00665136">
      <w:pPr>
        <w:pStyle w:val="Textoindependiente"/>
        <w:spacing w:before="120" w:after="200" w:line="276" w:lineRule="auto"/>
        <w:jc w:val="left"/>
        <w:rPr>
          <w:rFonts w:ascii="ITC Avant Garde" w:hAnsi="ITC Avant Garde" w:cs="Arial"/>
          <w:b w:val="0"/>
          <w:sz w:val="18"/>
          <w:szCs w:val="18"/>
        </w:rPr>
      </w:pPr>
      <w:r w:rsidRPr="00BA1D95">
        <w:rPr>
          <w:rFonts w:ascii="ITC Avant Garde" w:hAnsi="ITC Avant Garde" w:cs="Arial"/>
          <w:b w:val="0"/>
          <w:sz w:val="18"/>
          <w:szCs w:val="18"/>
        </w:rPr>
        <w:t>Ejemplo de parámetros para el servicio de datos en cobre.</w:t>
      </w:r>
    </w:p>
    <w:p w:rsidR="00A47F9A"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En caso de que la prueba remota de datos sobre cobre no pueda ejecutarse, el técnico realiza mediciones en el domicilio del cliente (PCT) con los equipos de medición </w:t>
      </w:r>
      <w:r w:rsidR="008D13BF">
        <w:rPr>
          <w:rFonts w:ascii="ITC Avant Garde" w:hAnsi="ITC Avant Garde" w:cs="Arial"/>
        </w:rPr>
        <w:t xml:space="preserve">empleados por </w:t>
      </w:r>
      <w:r w:rsidR="00E83F21">
        <w:rPr>
          <w:rFonts w:ascii="ITC Avant Garde" w:hAnsi="ITC Avant Garde" w:cs="Arial"/>
        </w:rPr>
        <w:t>Telmex / Telnor</w:t>
      </w:r>
      <w:r w:rsidRPr="00BA1D95">
        <w:rPr>
          <w:rFonts w:ascii="ITC Avant Garde" w:hAnsi="ITC Avant Garde" w:cs="Arial"/>
        </w:rPr>
        <w:t xml:space="preserve"> </w:t>
      </w:r>
      <w:r w:rsidR="00F75D73">
        <w:rPr>
          <w:rFonts w:ascii="ITC Avant Garde" w:hAnsi="ITC Avant Garde" w:cs="Arial"/>
        </w:rPr>
        <w:t xml:space="preserve">a </w:t>
      </w:r>
      <w:r w:rsidRPr="00BA1D95">
        <w:rPr>
          <w:rFonts w:ascii="ITC Avant Garde" w:hAnsi="ITC Avant Garde" w:cs="Arial"/>
        </w:rPr>
        <w:t xml:space="preserve">fin de consultar velocidades de sincronía de subida y bajada cuando el medio de transmisión es cobre. </w:t>
      </w:r>
    </w:p>
    <w:p w:rsidR="00A47F9A" w:rsidRPr="00BA1D95" w:rsidRDefault="00A47F9A" w:rsidP="00907A12">
      <w:pPr>
        <w:pStyle w:val="Prrafodelista"/>
        <w:numPr>
          <w:ilvl w:val="0"/>
          <w:numId w:val="59"/>
        </w:numPr>
        <w:spacing w:after="200" w:line="276" w:lineRule="auto"/>
        <w:jc w:val="both"/>
        <w:rPr>
          <w:rFonts w:ascii="ITC Avant Garde" w:eastAsia="Calibri" w:hAnsi="ITC Avant Garde" w:cs="Arial"/>
          <w:sz w:val="22"/>
          <w:szCs w:val="22"/>
        </w:rPr>
      </w:pPr>
      <w:r w:rsidRPr="00BA1D95">
        <w:rPr>
          <w:rFonts w:ascii="ITC Avant Garde" w:eastAsia="Calibri" w:hAnsi="ITC Avant Garde" w:cs="Arial"/>
          <w:sz w:val="22"/>
          <w:szCs w:val="22"/>
        </w:rPr>
        <w:t xml:space="preserve">Para el caso de que el medio de transmisión sea por </w:t>
      </w:r>
      <w:r w:rsidRPr="00BA1D95">
        <w:rPr>
          <w:rFonts w:ascii="ITC Avant Garde" w:eastAsia="Calibri" w:hAnsi="ITC Avant Garde" w:cs="Arial"/>
          <w:bCs/>
          <w:sz w:val="22"/>
          <w:szCs w:val="22"/>
        </w:rPr>
        <w:t>fibra óptica se</w:t>
      </w:r>
      <w:r w:rsidRPr="00BA1D95">
        <w:rPr>
          <w:rFonts w:ascii="ITC Avant Garde" w:eastAsia="Calibri" w:hAnsi="ITC Avant Garde" w:cs="Arial"/>
          <w:sz w:val="22"/>
          <w:szCs w:val="22"/>
        </w:rPr>
        <w:t xml:space="preserve"> mide la potencia óptica de recepción. </w:t>
      </w:r>
    </w:p>
    <w:p w:rsidR="00204787" w:rsidRPr="00BA1D95"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Para el caso de fibra óptica si la prueba remota no puede ejecutarse, el técnico conectará la ONT </w:t>
      </w:r>
      <w:r w:rsidR="008D13BF">
        <w:rPr>
          <w:rFonts w:ascii="ITC Avant Garde" w:hAnsi="ITC Avant Garde" w:cs="Arial"/>
        </w:rPr>
        <w:t>a</w:t>
      </w:r>
      <w:r w:rsidR="002F682F" w:rsidRPr="00BA1D95">
        <w:rPr>
          <w:rFonts w:ascii="ITC Avant Garde" w:hAnsi="ITC Avant Garde" w:cs="Arial"/>
        </w:rPr>
        <w:t>l</w:t>
      </w:r>
      <w:r w:rsidRPr="00BA1D95">
        <w:rPr>
          <w:rFonts w:ascii="ITC Avant Garde" w:hAnsi="ITC Avant Garde" w:cs="Arial"/>
        </w:rPr>
        <w:t xml:space="preserve"> PCT y con el medidor de potencia </w:t>
      </w:r>
      <w:r w:rsidR="008D13BF">
        <w:rPr>
          <w:rFonts w:ascii="ITC Avant Garde" w:hAnsi="ITC Avant Garde" w:cs="Arial"/>
        </w:rPr>
        <w:t xml:space="preserve">empleado por </w:t>
      </w:r>
      <w:r w:rsidR="00E83F21">
        <w:rPr>
          <w:rFonts w:ascii="ITC Avant Garde" w:hAnsi="ITC Avant Garde" w:cs="Arial"/>
        </w:rPr>
        <w:t>Telmex / Telnor</w:t>
      </w:r>
      <w:r w:rsidR="00041BA6">
        <w:rPr>
          <w:rFonts w:ascii="ITC Avant Garde" w:hAnsi="ITC Avant Garde" w:cs="Arial"/>
        </w:rPr>
        <w:t xml:space="preserve"> </w:t>
      </w:r>
      <w:r w:rsidRPr="00BA1D95">
        <w:rPr>
          <w:rFonts w:ascii="ITC Avant Garde" w:hAnsi="ITC Avant Garde" w:cs="Arial"/>
        </w:rPr>
        <w:t>registrará la potencia de recepción en el PCT la cual deberá estar en el rango de -15 a -27 dBm. Este parámetro está basado en el estándar G.984.2 de la UIT-T y considera una prueba funcional entre la OLT y el PCT en la ONT.</w:t>
      </w:r>
    </w:p>
    <w:p w:rsidR="00A47F9A" w:rsidRDefault="00A47F9A" w:rsidP="004B11EB">
      <w:pPr>
        <w:spacing w:after="200" w:line="276" w:lineRule="auto"/>
        <w:jc w:val="both"/>
        <w:rPr>
          <w:rFonts w:ascii="ITC Avant Garde" w:hAnsi="ITC Avant Garde" w:cs="Arial"/>
        </w:rPr>
      </w:pPr>
      <w:r w:rsidRPr="00BA1D95">
        <w:rPr>
          <w:rFonts w:ascii="ITC Avant Garde" w:hAnsi="ITC Avant Garde" w:cs="Arial"/>
        </w:rPr>
        <w:t xml:space="preserve">Una vez asegurados los parámetros correctos en automático se reportarán los resultados de las pruebas para el servicio de datos en el </w:t>
      </w:r>
      <w:r w:rsidR="006B5A23">
        <w:rPr>
          <w:rFonts w:ascii="ITC Avant Garde" w:hAnsi="ITC Avant Garde" w:cs="Arial"/>
        </w:rPr>
        <w:t>SEG</w:t>
      </w:r>
      <w:r w:rsidRPr="00BA1D95">
        <w:rPr>
          <w:rFonts w:ascii="ITC Avant Garde" w:hAnsi="ITC Avant Garde" w:cs="Arial"/>
        </w:rPr>
        <w:t>, para que el CS pueda consultarlos.</w:t>
      </w:r>
    </w:p>
    <w:p w:rsidR="00A47F9A" w:rsidRPr="00BA1D95" w:rsidRDefault="00290D8F" w:rsidP="004B11EB">
      <w:pPr>
        <w:spacing w:after="200" w:line="276" w:lineRule="auto"/>
        <w:jc w:val="center"/>
        <w:rPr>
          <w:rFonts w:ascii="ITC Avant Garde" w:hAnsi="ITC Avant Garde" w:cs="Arial"/>
        </w:rPr>
      </w:pPr>
      <w:r w:rsidRPr="00BA1D95">
        <w:rPr>
          <w:rFonts w:ascii="ITC Avant Garde" w:hAnsi="ITC Avant Garde" w:cs="Arial"/>
          <w:noProof/>
          <w:lang w:eastAsia="es-MX"/>
        </w:rPr>
        <w:drawing>
          <wp:inline distT="0" distB="0" distL="0" distR="0">
            <wp:extent cx="3695700" cy="809625"/>
            <wp:effectExtent l="0" t="0" r="0" b="0"/>
            <wp:docPr id="279" name="Imagen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4"/>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33829" b="11406"/>
                    <a:stretch>
                      <a:fillRect/>
                    </a:stretch>
                  </pic:blipFill>
                  <pic:spPr bwMode="auto">
                    <a:xfrm>
                      <a:off x="0" y="0"/>
                      <a:ext cx="3695700" cy="809625"/>
                    </a:xfrm>
                    <a:prstGeom prst="rect">
                      <a:avLst/>
                    </a:prstGeom>
                    <a:noFill/>
                    <a:ln>
                      <a:noFill/>
                    </a:ln>
                  </pic:spPr>
                </pic:pic>
              </a:graphicData>
            </a:graphic>
          </wp:inline>
        </w:drawing>
      </w:r>
    </w:p>
    <w:p w:rsidR="00A47F9A" w:rsidRDefault="00A47F9A" w:rsidP="004B11EB">
      <w:pPr>
        <w:spacing w:after="200" w:line="276" w:lineRule="auto"/>
        <w:jc w:val="center"/>
        <w:rPr>
          <w:rFonts w:ascii="ITC Avant Garde" w:hAnsi="ITC Avant Garde" w:cs="Arial"/>
          <w:sz w:val="18"/>
          <w:szCs w:val="18"/>
        </w:rPr>
      </w:pPr>
      <w:bookmarkStart w:id="597" w:name="_Toc436840894"/>
      <w:bookmarkStart w:id="598" w:name="_Toc436846331"/>
      <w:bookmarkStart w:id="599" w:name="_Toc436848281"/>
      <w:bookmarkStart w:id="600" w:name="_Toc436856529"/>
      <w:bookmarkStart w:id="601" w:name="_Toc436862675"/>
      <w:bookmarkStart w:id="602" w:name="_Toc436866325"/>
      <w:bookmarkStart w:id="603" w:name="_Toc436870904"/>
      <w:bookmarkStart w:id="604" w:name="_Toc436875896"/>
      <w:r w:rsidRPr="00BA1D95">
        <w:rPr>
          <w:rFonts w:ascii="ITC Avant Garde" w:hAnsi="ITC Avant Garde" w:cs="Arial"/>
          <w:sz w:val="18"/>
          <w:szCs w:val="18"/>
        </w:rPr>
        <w:t>Ejemplo de parámetros para el servicio de datos en fibra</w:t>
      </w:r>
    </w:p>
    <w:p w:rsidR="00E938FD" w:rsidRDefault="00B40253" w:rsidP="00A74460">
      <w:pPr>
        <w:pStyle w:val="1TitPrin"/>
      </w:pPr>
      <w:bookmarkStart w:id="605" w:name="_Toc44413227"/>
      <w:bookmarkStart w:id="606" w:name="_Toc44413706"/>
      <w:bookmarkStart w:id="607" w:name="_Toc525904575"/>
      <w:bookmarkStart w:id="608" w:name="_Toc525913971"/>
      <w:bookmarkStart w:id="609" w:name="_Toc525919210"/>
      <w:bookmarkStart w:id="610" w:name="_Toc525919334"/>
      <w:bookmarkStart w:id="611" w:name="_Toc2957144"/>
      <w:bookmarkStart w:id="612" w:name="_Toc26273079"/>
      <w:bookmarkStart w:id="613" w:name="_Toc26284476"/>
      <w:bookmarkStart w:id="614" w:name="_Toc54106580"/>
      <w:bookmarkStart w:id="615" w:name="_Toc525904576"/>
      <w:bookmarkStart w:id="616" w:name="_Toc525913972"/>
      <w:bookmarkStart w:id="617" w:name="_Toc525919211"/>
      <w:bookmarkStart w:id="618" w:name="_Toc525919335"/>
      <w:bookmarkStart w:id="619" w:name="_Toc436840895"/>
      <w:bookmarkStart w:id="620" w:name="_Toc436846332"/>
      <w:bookmarkStart w:id="621" w:name="_Toc436848282"/>
      <w:bookmarkStart w:id="622" w:name="_Toc436856530"/>
      <w:bookmarkStart w:id="623" w:name="_Toc436862676"/>
      <w:bookmarkStart w:id="624" w:name="_Toc436866326"/>
      <w:bookmarkStart w:id="625" w:name="_Toc436870905"/>
      <w:bookmarkStart w:id="626" w:name="_Toc436875897"/>
      <w:bookmarkStart w:id="627" w:name="_Toc467248709"/>
      <w:bookmarkEnd w:id="597"/>
      <w:bookmarkEnd w:id="598"/>
      <w:bookmarkEnd w:id="599"/>
      <w:bookmarkEnd w:id="600"/>
      <w:bookmarkEnd w:id="601"/>
      <w:bookmarkEnd w:id="602"/>
      <w:bookmarkEnd w:id="603"/>
      <w:bookmarkEnd w:id="604"/>
      <w:bookmarkEnd w:id="605"/>
      <w:bookmarkEnd w:id="606"/>
      <w:r w:rsidRPr="00BA1D95">
        <w:lastRenderedPageBreak/>
        <w:t>Servicio de Reventa Mayorista de Línea Telefónica (SRMLT)</w:t>
      </w:r>
      <w:bookmarkEnd w:id="607"/>
      <w:bookmarkEnd w:id="608"/>
      <w:bookmarkEnd w:id="609"/>
      <w:bookmarkEnd w:id="610"/>
      <w:bookmarkEnd w:id="611"/>
      <w:bookmarkEnd w:id="612"/>
      <w:bookmarkEnd w:id="613"/>
      <w:bookmarkEnd w:id="614"/>
    </w:p>
    <w:p w:rsidR="00A47F9A" w:rsidRPr="00BA1D95" w:rsidRDefault="00A47F9A" w:rsidP="00A74460">
      <w:pPr>
        <w:pStyle w:val="1TitPrin"/>
        <w:numPr>
          <w:ilvl w:val="1"/>
          <w:numId w:val="182"/>
        </w:numPr>
        <w:outlineLvl w:val="1"/>
      </w:pPr>
      <w:bookmarkStart w:id="628" w:name="_Toc2957145"/>
      <w:bookmarkStart w:id="629" w:name="_Toc26273080"/>
      <w:bookmarkStart w:id="630" w:name="_Toc26284477"/>
      <w:bookmarkStart w:id="631" w:name="_Toc54106581"/>
      <w:r w:rsidRPr="00BA1D95">
        <w:t>Descripción del Servicio de Reventa Mayorista de Línea Telefónica</w:t>
      </w:r>
      <w:bookmarkEnd w:id="615"/>
      <w:bookmarkEnd w:id="616"/>
      <w:bookmarkEnd w:id="617"/>
      <w:bookmarkEnd w:id="618"/>
      <w:bookmarkEnd w:id="628"/>
      <w:bookmarkEnd w:id="629"/>
      <w:bookmarkEnd w:id="630"/>
      <w:bookmarkEnd w:id="631"/>
    </w:p>
    <w:p w:rsidR="00A47F9A" w:rsidRPr="00BA1D95" w:rsidRDefault="00A47F9A" w:rsidP="004B11EB">
      <w:pPr>
        <w:pStyle w:val="IFTnormal"/>
        <w:rPr>
          <w:rFonts w:cs="Arial"/>
        </w:rPr>
      </w:pPr>
      <w:r w:rsidRPr="00BA1D95">
        <w:rPr>
          <w:rFonts w:cs="Arial"/>
        </w:rPr>
        <w:t>Servicio mayorista que hace uso de la red telefónica de</w:t>
      </w:r>
      <w:r w:rsidR="008E66D4">
        <w:rPr>
          <w:rFonts w:cs="Arial"/>
        </w:rPr>
        <w:t>l AEP</w:t>
      </w:r>
      <w:r w:rsidRPr="00BA1D95">
        <w:rPr>
          <w:rFonts w:cs="Arial"/>
        </w:rPr>
        <w:t xml:space="preserve"> para la entrega de todas las llamadas telefónicas originadas por los usuarios finales del CS, en desagregación para el nuevo servicio SRMLT hasta el punto de entrega con la red del CS, cuando sea procedente.</w:t>
      </w:r>
    </w:p>
    <w:p w:rsidR="00A47F9A" w:rsidRPr="00BA1D95" w:rsidRDefault="00A47F9A" w:rsidP="00916D63">
      <w:pPr>
        <w:pStyle w:val="1TitPrin"/>
        <w:numPr>
          <w:ilvl w:val="1"/>
          <w:numId w:val="182"/>
        </w:numPr>
        <w:outlineLvl w:val="1"/>
      </w:pPr>
      <w:bookmarkStart w:id="632" w:name="_Toc525904577"/>
      <w:bookmarkStart w:id="633" w:name="_Toc525913973"/>
      <w:bookmarkStart w:id="634" w:name="_Toc525919212"/>
      <w:bookmarkStart w:id="635" w:name="_Toc525919336"/>
      <w:bookmarkStart w:id="636" w:name="_Toc2957146"/>
      <w:bookmarkStart w:id="637" w:name="_Toc26273081"/>
      <w:bookmarkStart w:id="638" w:name="_Toc26284478"/>
      <w:bookmarkStart w:id="639" w:name="_Toc54106582"/>
      <w:r w:rsidRPr="00BA1D95">
        <w:t>Premisas e Implicaciones del Servicio.</w:t>
      </w:r>
      <w:bookmarkEnd w:id="632"/>
      <w:bookmarkEnd w:id="633"/>
      <w:bookmarkEnd w:id="634"/>
      <w:bookmarkEnd w:id="635"/>
      <w:bookmarkEnd w:id="636"/>
      <w:bookmarkEnd w:id="637"/>
      <w:bookmarkEnd w:id="638"/>
      <w:bookmarkEnd w:id="639"/>
    </w:p>
    <w:p w:rsidR="00916D63" w:rsidRPr="00916D63" w:rsidRDefault="00A47F9A" w:rsidP="009F7BCF">
      <w:pPr>
        <w:pStyle w:val="CondicionesFinales"/>
        <w:numPr>
          <w:ilvl w:val="0"/>
          <w:numId w:val="75"/>
        </w:numPr>
        <w:ind w:left="1134" w:right="142" w:hanging="425"/>
        <w:rPr>
          <w:rFonts w:ascii="Calibri" w:eastAsia="Calibri" w:hAnsi="Calibri" w:cs="Times New Roman"/>
          <w:bCs w:val="0"/>
          <w:color w:val="auto"/>
          <w:lang w:val="es-MX" w:eastAsia="en-US"/>
        </w:rPr>
      </w:pPr>
      <w:r w:rsidRPr="00BA1D95">
        <w:t>Adoptar las disposiciones relativas al tratamiento de la numeración a 10 dígitos y realizar las modificaciones que permitan implementar el SRMLT.</w:t>
      </w:r>
    </w:p>
    <w:p w:rsidR="00A47F9A" w:rsidRPr="00BA1D95" w:rsidRDefault="00E83F21" w:rsidP="00D37C98">
      <w:pPr>
        <w:pStyle w:val="CondicionesFinales"/>
        <w:numPr>
          <w:ilvl w:val="0"/>
          <w:numId w:val="75"/>
        </w:numPr>
        <w:ind w:left="1134" w:right="142" w:hanging="425"/>
      </w:pPr>
      <w:r>
        <w:t>Telmex / Telnor</w:t>
      </w:r>
      <w:r w:rsidR="00041BA6">
        <w:t xml:space="preserve"> </w:t>
      </w:r>
      <w:r w:rsidR="00A47F9A" w:rsidRPr="00BA1D95">
        <w:t xml:space="preserve">prestará el SRMLT bajo demanda, sin que sea necesaria la revisión de disponibilidad de los recursos de red en todos los casos en que el usuario final cuente con servicio telefónico o de datos activo provisto por </w:t>
      </w:r>
      <w:r w:rsidR="00350AED">
        <w:t xml:space="preserve">el AEP </w:t>
      </w:r>
      <w:r w:rsidR="00A47F9A" w:rsidRPr="00BA1D95">
        <w:t>o exista acometida en el domicilio del usuario final que permita la prestación de los servicios.</w:t>
      </w:r>
    </w:p>
    <w:p w:rsidR="00A47F9A" w:rsidRPr="00BA1D95" w:rsidRDefault="00A47F9A" w:rsidP="00D37C98">
      <w:pPr>
        <w:pStyle w:val="CondicionesFinales"/>
        <w:numPr>
          <w:ilvl w:val="0"/>
          <w:numId w:val="75"/>
        </w:numPr>
        <w:ind w:left="1134" w:right="142" w:hanging="425"/>
      </w:pPr>
      <w:r w:rsidRPr="00BA1D95">
        <w:t>No están considerados en esta solución los Clientes PABX de líneas y/o de troncales.</w:t>
      </w:r>
    </w:p>
    <w:p w:rsidR="00A47F9A" w:rsidRPr="00BA1D95" w:rsidRDefault="00A47F9A" w:rsidP="00D37C98">
      <w:pPr>
        <w:pStyle w:val="CondicionesFinales"/>
        <w:numPr>
          <w:ilvl w:val="0"/>
          <w:numId w:val="75"/>
        </w:numPr>
        <w:ind w:left="1134" w:right="142" w:hanging="425"/>
      </w:pPr>
      <w:r w:rsidRPr="00BA1D95">
        <w:t xml:space="preserve">La entrega del tráfico para este servicio debe ser por cualquier punto de Interconexión establecido de común acuerdo entre las partes. </w:t>
      </w:r>
    </w:p>
    <w:p w:rsidR="00A47F9A" w:rsidRPr="00BA1D95" w:rsidRDefault="00A47F9A" w:rsidP="00D37C98">
      <w:pPr>
        <w:pStyle w:val="CondicionesFinales"/>
        <w:numPr>
          <w:ilvl w:val="0"/>
          <w:numId w:val="75"/>
        </w:numPr>
        <w:ind w:left="1134" w:right="142" w:hanging="425"/>
      </w:pPr>
      <w:r w:rsidRPr="00BA1D95">
        <w:t>Los planes y paquetes comerciales de</w:t>
      </w:r>
      <w:r w:rsidR="00350AED">
        <w:t>l AEP</w:t>
      </w:r>
      <w:r w:rsidRPr="00BA1D95">
        <w:t xml:space="preserve"> sobre línea telefónica no podrán ser activados para este servicio.</w:t>
      </w:r>
    </w:p>
    <w:p w:rsidR="00A47F9A" w:rsidRPr="00BA1D95" w:rsidRDefault="00A47F9A" w:rsidP="004B11EB">
      <w:pPr>
        <w:pStyle w:val="CondicionesFinales"/>
        <w:ind w:left="709"/>
      </w:pPr>
      <w:r w:rsidRPr="00BA1D95">
        <w:rPr>
          <w:b/>
        </w:rPr>
        <w:t xml:space="preserve">Es responsabilidad de </w:t>
      </w:r>
      <w:r w:rsidR="00E83F21">
        <w:rPr>
          <w:b/>
        </w:rPr>
        <w:t>Telmex / Telnor</w:t>
      </w:r>
      <w:r w:rsidRPr="00BA1D95">
        <w:rPr>
          <w:b/>
        </w:rPr>
        <w:t>:</w:t>
      </w:r>
    </w:p>
    <w:p w:rsidR="00A47F9A" w:rsidRPr="00BA1D95" w:rsidRDefault="00A47F9A" w:rsidP="00D37C98">
      <w:pPr>
        <w:pStyle w:val="IFTnormal"/>
        <w:numPr>
          <w:ilvl w:val="0"/>
          <w:numId w:val="77"/>
        </w:numPr>
        <w:ind w:left="1134" w:hanging="425"/>
        <w:rPr>
          <w:rFonts w:cs="Arial"/>
          <w:b/>
        </w:rPr>
      </w:pPr>
      <w:r w:rsidRPr="00BA1D95">
        <w:rPr>
          <w:rFonts w:cs="Arial"/>
        </w:rPr>
        <w:t>Realizar el enrutamiento de la llamada a la red del CS, con base en la marcación correspondiente al Usuario final.</w:t>
      </w:r>
    </w:p>
    <w:p w:rsidR="00A47F9A" w:rsidRPr="00BA1D95" w:rsidRDefault="00A47F9A" w:rsidP="00D37C98">
      <w:pPr>
        <w:pStyle w:val="IFTnormal"/>
        <w:numPr>
          <w:ilvl w:val="0"/>
          <w:numId w:val="77"/>
        </w:numPr>
        <w:ind w:left="1134" w:hanging="425"/>
        <w:rPr>
          <w:rFonts w:cs="Arial"/>
          <w:b/>
        </w:rPr>
      </w:pPr>
      <w:r w:rsidRPr="00BA1D95">
        <w:rPr>
          <w:rFonts w:cs="Arial"/>
        </w:rPr>
        <w:t>Llevar el control de la llamada (señalización, establecimiento y liberación) y proporcionar los servicios digitales indicados en este documento.</w:t>
      </w:r>
    </w:p>
    <w:p w:rsidR="00A47F9A" w:rsidRPr="00BA1D95" w:rsidRDefault="00A47F9A" w:rsidP="00D37C98">
      <w:pPr>
        <w:pStyle w:val="IFTnormal"/>
        <w:numPr>
          <w:ilvl w:val="0"/>
          <w:numId w:val="77"/>
        </w:numPr>
        <w:ind w:left="1134" w:hanging="425"/>
        <w:rPr>
          <w:rFonts w:cs="Arial"/>
          <w:b/>
        </w:rPr>
      </w:pPr>
      <w:r w:rsidRPr="00BA1D95">
        <w:rPr>
          <w:rFonts w:cs="Arial"/>
        </w:rPr>
        <w:t>Garantizar la calidad de las llamadas procesadas dentro de su red y hasta el punto de interconexión con el CS en el caso de la entrega del tráfico.</w:t>
      </w:r>
    </w:p>
    <w:p w:rsidR="00A47F9A" w:rsidRPr="00BA1D95" w:rsidRDefault="00A47F9A" w:rsidP="00D37C98">
      <w:pPr>
        <w:pStyle w:val="IFTnormal"/>
        <w:numPr>
          <w:ilvl w:val="0"/>
          <w:numId w:val="77"/>
        </w:numPr>
        <w:ind w:left="1134" w:hanging="425"/>
        <w:rPr>
          <w:rFonts w:cs="Arial"/>
        </w:rPr>
      </w:pPr>
      <w:r w:rsidRPr="00BA1D95">
        <w:rPr>
          <w:rFonts w:cs="Arial"/>
        </w:rPr>
        <w:t xml:space="preserve">No se proporcionan servicios de valor agregado tales como VPN ni se realizan traducciones numéricas de códigos o servicios especiales como por ejemplo 800, 900, Servicios Especiales (030, 911, etc.)  </w:t>
      </w:r>
    </w:p>
    <w:p w:rsidR="00A47F9A" w:rsidRPr="00BA1D95" w:rsidRDefault="00A47F9A" w:rsidP="004B11EB">
      <w:pPr>
        <w:pStyle w:val="CondicionesFinales"/>
        <w:ind w:left="0" w:right="0"/>
        <w:rPr>
          <w:strike/>
        </w:rPr>
      </w:pPr>
      <w:r w:rsidRPr="00BA1D95">
        <w:t xml:space="preserve">Tanto </w:t>
      </w:r>
      <w:r w:rsidR="00E83F21">
        <w:t>Telmex / Telnor</w:t>
      </w:r>
      <w:r w:rsidR="00041BA6">
        <w:t xml:space="preserve"> </w:t>
      </w:r>
      <w:r w:rsidRPr="00BA1D95">
        <w:t xml:space="preserve">como el CS deben generar sus propios CDR. Con el CDR que genere el CS debe de cobrar a su cliente y conciliar el tráfico entregado por </w:t>
      </w:r>
      <w:r w:rsidR="00E83F21">
        <w:t>Telmex / Telnor</w:t>
      </w:r>
      <w:r w:rsidRPr="00BA1D95">
        <w:t xml:space="preserve">. Los registros generados por </w:t>
      </w:r>
      <w:r w:rsidR="00E83F21">
        <w:t>Telmex / Telnor</w:t>
      </w:r>
      <w:r w:rsidR="00041BA6">
        <w:t xml:space="preserve"> </w:t>
      </w:r>
      <w:r w:rsidRPr="00BA1D95">
        <w:t>son para realizar la conciliación del tráfico entregado.</w:t>
      </w:r>
      <w:r w:rsidRPr="00BA1D95">
        <w:rPr>
          <w:strike/>
        </w:rPr>
        <w:t xml:space="preserve">  </w:t>
      </w:r>
    </w:p>
    <w:p w:rsidR="00A47F9A" w:rsidRPr="00BA1D95" w:rsidRDefault="00A47F9A" w:rsidP="004B11EB">
      <w:pPr>
        <w:pStyle w:val="CondicionesFinales"/>
        <w:ind w:left="0" w:right="0"/>
      </w:pPr>
      <w:r w:rsidRPr="00BA1D95">
        <w:lastRenderedPageBreak/>
        <w:t xml:space="preserve">El proceso de Conciliación de CDR se realizará mediante el intercambio de información y archivos entre el CS y </w:t>
      </w:r>
      <w:r w:rsidR="00E83F21">
        <w:t>Telmex / Telnor</w:t>
      </w:r>
      <w:r w:rsidRPr="00BA1D95">
        <w:t>, en los formatos d</w:t>
      </w:r>
      <w:r w:rsidRPr="008E30E8">
        <w:rPr>
          <w:rStyle w:val="IFTnormalCar"/>
        </w:rPr>
        <w:t xml:space="preserve">efinidos en la </w:t>
      </w:r>
      <w:r w:rsidR="008E30E8" w:rsidRPr="008E30E8">
        <w:rPr>
          <w:rStyle w:val="IFTnormalCar"/>
        </w:rPr>
        <w:t>presente oferta.</w:t>
      </w:r>
      <w:r w:rsidR="008E30E8" w:rsidRPr="008E30E8" w:rsidDel="008E30E8">
        <w:rPr>
          <w:rStyle w:val="IFTnormalCar"/>
          <w:highlight w:val="yellow"/>
        </w:rPr>
        <w:t xml:space="preserve"> </w:t>
      </w:r>
    </w:p>
    <w:p w:rsidR="00A47F9A" w:rsidRPr="00BA1D95" w:rsidRDefault="00A47F9A" w:rsidP="004B11EB">
      <w:pPr>
        <w:pStyle w:val="CondicionesFinales"/>
        <w:ind w:left="709"/>
        <w:rPr>
          <w:b/>
        </w:rPr>
      </w:pPr>
      <w:r w:rsidRPr="00BA1D95">
        <w:rPr>
          <w:b/>
        </w:rPr>
        <w:t>Es responsabilidad del CS:</w:t>
      </w:r>
    </w:p>
    <w:p w:rsidR="00A47F9A" w:rsidRPr="00BA1D95" w:rsidRDefault="00A47F9A" w:rsidP="00D37C98">
      <w:pPr>
        <w:pStyle w:val="IFTnormal"/>
        <w:numPr>
          <w:ilvl w:val="0"/>
          <w:numId w:val="78"/>
        </w:numPr>
        <w:ind w:left="1134" w:hanging="425"/>
        <w:rPr>
          <w:rFonts w:cs="Arial"/>
        </w:rPr>
      </w:pPr>
      <w:r w:rsidRPr="00BA1D95">
        <w:rPr>
          <w:rFonts w:cs="Arial"/>
        </w:rPr>
        <w:t xml:space="preserve">Realizar el análisis numérico del enrutamiento de la llamada de dígitos. </w:t>
      </w:r>
    </w:p>
    <w:p w:rsidR="00A47F9A" w:rsidRPr="00BA1D95" w:rsidRDefault="00A47F9A" w:rsidP="00D37C98">
      <w:pPr>
        <w:pStyle w:val="IFTnormal"/>
        <w:numPr>
          <w:ilvl w:val="0"/>
          <w:numId w:val="78"/>
        </w:numPr>
        <w:ind w:left="1134" w:hanging="425"/>
        <w:rPr>
          <w:rFonts w:cs="Arial"/>
        </w:rPr>
      </w:pPr>
      <w:r w:rsidRPr="00BA1D95">
        <w:rPr>
          <w:rFonts w:cs="Arial"/>
        </w:rPr>
        <w:t>Completar la llamada al destino ya sea local, de servicios especiales, 911, LD Internacional, Servicios de Valor agregado, etc. Para el caso del servicio 911, el CS tiene la obligación de atender en tiempo y forma lo dispuesto en materia de Seguridad y Justicia.</w:t>
      </w:r>
    </w:p>
    <w:p w:rsidR="00A47F9A" w:rsidRPr="00BA1D95" w:rsidRDefault="00A47F9A" w:rsidP="00D37C98">
      <w:pPr>
        <w:pStyle w:val="IFTnormal"/>
        <w:numPr>
          <w:ilvl w:val="0"/>
          <w:numId w:val="78"/>
        </w:numPr>
        <w:ind w:left="1134" w:hanging="425"/>
        <w:rPr>
          <w:rFonts w:cs="Arial"/>
        </w:rPr>
      </w:pPr>
      <w:r w:rsidRPr="00BA1D95">
        <w:rPr>
          <w:rFonts w:cs="Arial"/>
        </w:rPr>
        <w:t>Realizar la facturación al Cliente que adoptó el Servicio.</w:t>
      </w:r>
    </w:p>
    <w:p w:rsidR="00A47F9A" w:rsidRPr="00BA1D95" w:rsidRDefault="00A47F9A" w:rsidP="00D37C98">
      <w:pPr>
        <w:pStyle w:val="IFTnormal"/>
        <w:numPr>
          <w:ilvl w:val="0"/>
          <w:numId w:val="78"/>
        </w:numPr>
        <w:ind w:left="1134" w:hanging="425"/>
        <w:rPr>
          <w:rFonts w:cs="Arial"/>
        </w:rPr>
      </w:pPr>
      <w:r w:rsidRPr="00BA1D95">
        <w:rPr>
          <w:rFonts w:cs="Arial"/>
        </w:rPr>
        <w:t>El CS es el responsable de tramitar las llamadas de LDI y LDM.</w:t>
      </w:r>
    </w:p>
    <w:p w:rsidR="00A47F9A" w:rsidRPr="00BA1D95" w:rsidRDefault="00A47F9A" w:rsidP="00D37C98">
      <w:pPr>
        <w:pStyle w:val="IFTnormal"/>
        <w:numPr>
          <w:ilvl w:val="0"/>
          <w:numId w:val="78"/>
        </w:numPr>
        <w:ind w:left="1134" w:hanging="425"/>
        <w:rPr>
          <w:rFonts w:cs="Arial"/>
        </w:rPr>
      </w:pPr>
      <w:r w:rsidRPr="00BA1D95">
        <w:rPr>
          <w:rFonts w:cs="Arial"/>
        </w:rPr>
        <w:t>La relación con el cliente final.</w:t>
      </w:r>
    </w:p>
    <w:p w:rsidR="00A47F9A" w:rsidRPr="00BA1D95" w:rsidRDefault="00A47F9A" w:rsidP="00A74460">
      <w:pPr>
        <w:pStyle w:val="1TitPrin"/>
        <w:numPr>
          <w:ilvl w:val="1"/>
          <w:numId w:val="182"/>
        </w:numPr>
        <w:outlineLvl w:val="1"/>
      </w:pPr>
      <w:bookmarkStart w:id="640" w:name="_Toc525904578"/>
      <w:bookmarkStart w:id="641" w:name="_Toc525913974"/>
      <w:bookmarkStart w:id="642" w:name="_Toc525919213"/>
      <w:bookmarkStart w:id="643" w:name="_Toc525919337"/>
      <w:bookmarkStart w:id="644" w:name="_Toc2957147"/>
      <w:bookmarkStart w:id="645" w:name="_Toc26273082"/>
      <w:bookmarkStart w:id="646" w:name="_Toc26284479"/>
      <w:bookmarkStart w:id="647" w:name="_Toc54106583"/>
      <w:r w:rsidRPr="00856F6C">
        <w:t>Arquitectura</w:t>
      </w:r>
      <w:bookmarkEnd w:id="640"/>
      <w:bookmarkEnd w:id="641"/>
      <w:bookmarkEnd w:id="642"/>
      <w:bookmarkEnd w:id="643"/>
      <w:bookmarkEnd w:id="644"/>
      <w:bookmarkEnd w:id="645"/>
      <w:bookmarkEnd w:id="646"/>
      <w:bookmarkEnd w:id="647"/>
    </w:p>
    <w:p w:rsidR="00A47F9A" w:rsidRPr="00BA1D95" w:rsidRDefault="00A47F9A" w:rsidP="004B11EB">
      <w:pPr>
        <w:pStyle w:val="IFTnormal"/>
        <w:rPr>
          <w:rFonts w:cs="Arial"/>
        </w:rPr>
      </w:pPr>
      <w:r w:rsidRPr="00BA1D95">
        <w:rPr>
          <w:rFonts w:cs="Arial"/>
        </w:rPr>
        <w:t>A continuación, se muestran los diferentes esquemas de arquitectura y envío de las marcaciones al usuario final a los que se les aplique el servicio SRMLT.</w:t>
      </w:r>
      <w:r w:rsidRPr="00BA1D95">
        <w:rPr>
          <w:rFonts w:cs="Arial"/>
          <w:b/>
        </w:rPr>
        <w:t xml:space="preserve"> </w:t>
      </w:r>
    </w:p>
    <w:p w:rsidR="00A47F9A" w:rsidRDefault="00290D8F" w:rsidP="004B11EB">
      <w:pPr>
        <w:pStyle w:val="IFTnormal"/>
        <w:jc w:val="center"/>
        <w:rPr>
          <w:rFonts w:cs="Arial"/>
        </w:rPr>
      </w:pPr>
      <w:r w:rsidRPr="00BA1D95">
        <w:rPr>
          <w:rFonts w:cs="Arial"/>
          <w:noProof/>
          <w:lang w:eastAsia="es-MX"/>
        </w:rPr>
        <w:drawing>
          <wp:inline distT="0" distB="0" distL="0" distR="0">
            <wp:extent cx="4999870" cy="2340864"/>
            <wp:effectExtent l="19050" t="0" r="0" b="0"/>
            <wp:docPr id="276" name="Imagen 51" descr="Diagrama de entrega de llamada TELMEX - OPE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Diagrama de entrega de llamada TELMEX - OPERADOR"/>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00625" cy="2341218"/>
                    </a:xfrm>
                    <a:prstGeom prst="rect">
                      <a:avLst/>
                    </a:prstGeom>
                    <a:noFill/>
                  </pic:spPr>
                </pic:pic>
              </a:graphicData>
            </a:graphic>
          </wp:inline>
        </w:drawing>
      </w:r>
    </w:p>
    <w:p w:rsidR="00A47F9A" w:rsidRPr="00BA1D95" w:rsidRDefault="00A47F9A" w:rsidP="004B11EB">
      <w:pPr>
        <w:pStyle w:val="Citaift0"/>
        <w:ind w:left="142" w:right="0"/>
        <w:rPr>
          <w:i w:val="0"/>
          <w:iCs/>
          <w:sz w:val="22"/>
          <w:szCs w:val="22"/>
        </w:rPr>
      </w:pPr>
      <w:r w:rsidRPr="00BA1D95">
        <w:rPr>
          <w:i w:val="0"/>
          <w:iCs/>
          <w:sz w:val="22"/>
          <w:szCs w:val="22"/>
        </w:rPr>
        <w:t>A manera de ejemplo, en los siguientes esquemas se muestra el envío de dígitos para algunas marcaciones:</w:t>
      </w:r>
    </w:p>
    <w:p w:rsidR="00A47F9A" w:rsidRPr="00BA1D95" w:rsidRDefault="00290D8F" w:rsidP="004B11EB">
      <w:pPr>
        <w:jc w:val="center"/>
        <w:rPr>
          <w:rFonts w:ascii="ITC Avant Garde" w:hAnsi="ITC Avant Garde" w:cs="Arial"/>
          <w:b/>
          <w:bCs/>
        </w:rPr>
      </w:pPr>
      <w:r w:rsidRPr="00BA1D95">
        <w:rPr>
          <w:rFonts w:ascii="ITC Avant Garde" w:hAnsi="ITC Avant Garde" w:cs="Arial"/>
          <w:b/>
          <w:noProof/>
          <w:lang w:eastAsia="es-MX"/>
        </w:rPr>
        <w:lastRenderedPageBreak/>
        <w:drawing>
          <wp:inline distT="0" distB="0" distL="0" distR="0">
            <wp:extent cx="5203846" cy="2311603"/>
            <wp:effectExtent l="19050" t="0" r="0" b="0"/>
            <wp:docPr id="275" name="Imagen 52" descr="Diagrama de entrega de llamada TELMEX - AX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2" descr="Diagrama de entrega de llamada TELMEX - AXTEL"/>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07968" cy="2313434"/>
                    </a:xfrm>
                    <a:prstGeom prst="rect">
                      <a:avLst/>
                    </a:prstGeom>
                    <a:noFill/>
                  </pic:spPr>
                </pic:pic>
              </a:graphicData>
            </a:graphic>
          </wp:inline>
        </w:drawing>
      </w:r>
    </w:p>
    <w:p w:rsidR="00A47F9A" w:rsidRPr="00BA1D95" w:rsidRDefault="00221ECD" w:rsidP="004B11EB">
      <w:pPr>
        <w:jc w:val="center"/>
        <w:rPr>
          <w:rFonts w:ascii="ITC Avant Garde" w:hAnsi="ITC Avant Garde" w:cs="Arial"/>
          <w:b/>
          <w:bCs/>
        </w:rPr>
      </w:pPr>
      <w:r>
        <w:rPr>
          <w:rFonts w:ascii="ITC Avant Garde" w:hAnsi="ITC Avant Garde" w:cs="Arial"/>
          <w:b/>
          <w:bCs/>
          <w:noProof/>
          <w:lang w:eastAsia="es-MX"/>
        </w:rPr>
        <w:drawing>
          <wp:inline distT="0" distB="0" distL="0" distR="0">
            <wp:extent cx="4667250" cy="2121535"/>
            <wp:effectExtent l="19050" t="0" r="0"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4667250" cy="2121535"/>
                    </a:xfrm>
                    <a:prstGeom prst="rect">
                      <a:avLst/>
                    </a:prstGeom>
                    <a:noFill/>
                    <a:ln w="9525">
                      <a:noFill/>
                      <a:miter lim="800000"/>
                      <a:headEnd/>
                      <a:tailEnd/>
                    </a:ln>
                  </pic:spPr>
                </pic:pic>
              </a:graphicData>
            </a:graphic>
          </wp:inline>
        </w:drawing>
      </w:r>
    </w:p>
    <w:p w:rsidR="00A47F9A" w:rsidRPr="00BA1D95" w:rsidRDefault="00221ECD" w:rsidP="004B11EB">
      <w:pPr>
        <w:jc w:val="center"/>
        <w:rPr>
          <w:rFonts w:ascii="ITC Avant Garde" w:hAnsi="ITC Avant Garde" w:cs="Arial"/>
          <w:b/>
          <w:bCs/>
        </w:rPr>
      </w:pPr>
      <w:r>
        <w:rPr>
          <w:rFonts w:ascii="ITC Avant Garde" w:hAnsi="ITC Avant Garde" w:cs="Arial"/>
          <w:b/>
          <w:bCs/>
          <w:noProof/>
          <w:lang w:eastAsia="es-MX"/>
        </w:rPr>
        <w:drawing>
          <wp:inline distT="0" distB="0" distL="0" distR="0">
            <wp:extent cx="4403725" cy="1960245"/>
            <wp:effectExtent l="19050" t="0" r="0" b="0"/>
            <wp:docPr id="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a:stretch>
                      <a:fillRect/>
                    </a:stretch>
                  </pic:blipFill>
                  <pic:spPr bwMode="auto">
                    <a:xfrm>
                      <a:off x="0" y="0"/>
                      <a:ext cx="4403725" cy="1960245"/>
                    </a:xfrm>
                    <a:prstGeom prst="rect">
                      <a:avLst/>
                    </a:prstGeom>
                    <a:noFill/>
                    <a:ln w="9525">
                      <a:noFill/>
                      <a:miter lim="800000"/>
                      <a:headEnd/>
                      <a:tailEnd/>
                    </a:ln>
                  </pic:spPr>
                </pic:pic>
              </a:graphicData>
            </a:graphic>
          </wp:inline>
        </w:drawing>
      </w:r>
    </w:p>
    <w:p w:rsidR="00A47F9A" w:rsidRPr="00BA1D95" w:rsidRDefault="00290D8F" w:rsidP="004B11EB">
      <w:pPr>
        <w:jc w:val="center"/>
        <w:rPr>
          <w:rFonts w:ascii="ITC Avant Garde" w:hAnsi="ITC Avant Garde" w:cs="Arial"/>
          <w:b/>
          <w:bCs/>
        </w:rPr>
      </w:pPr>
      <w:r w:rsidRPr="00BA1D95">
        <w:rPr>
          <w:rFonts w:ascii="ITC Avant Garde" w:hAnsi="ITC Avant Garde" w:cs="Arial"/>
          <w:b/>
          <w:noProof/>
          <w:lang w:eastAsia="es-MX"/>
        </w:rPr>
        <w:lastRenderedPageBreak/>
        <w:drawing>
          <wp:inline distT="0" distB="0" distL="0" distR="0">
            <wp:extent cx="4435907" cy="2920705"/>
            <wp:effectExtent l="19050" t="0" r="2743" b="0"/>
            <wp:docPr id="272" name="Imagen 55"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n 55" descr="Diagrama de entrega de llamada TELMEX - AXTEL - TELMEX"/>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36834" cy="2921315"/>
                    </a:xfrm>
                    <a:prstGeom prst="rect">
                      <a:avLst/>
                    </a:prstGeom>
                    <a:noFill/>
                  </pic:spPr>
                </pic:pic>
              </a:graphicData>
            </a:graphic>
          </wp:inline>
        </w:drawing>
      </w:r>
    </w:p>
    <w:p w:rsidR="00A47F9A" w:rsidRPr="00BA1D95" w:rsidRDefault="00290D8F" w:rsidP="004B11EB">
      <w:pPr>
        <w:jc w:val="center"/>
        <w:rPr>
          <w:rFonts w:ascii="ITC Avant Garde" w:hAnsi="ITC Avant Garde" w:cs="Arial"/>
          <w:b/>
          <w:bCs/>
        </w:rPr>
      </w:pPr>
      <w:r w:rsidRPr="00BA1D95">
        <w:rPr>
          <w:rFonts w:ascii="ITC Avant Garde" w:hAnsi="ITC Avant Garde" w:cs="Arial"/>
          <w:b/>
          <w:noProof/>
          <w:lang w:eastAsia="es-MX"/>
        </w:rPr>
        <w:drawing>
          <wp:inline distT="0" distB="0" distL="0" distR="0">
            <wp:extent cx="4479798" cy="2826300"/>
            <wp:effectExtent l="19050" t="0" r="0" b="0"/>
            <wp:docPr id="271" name="Imagen 56"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6" descr="Diagrama de entrega de llamada TELMEX - AXTEL - TELMEX"/>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83164" cy="2828424"/>
                    </a:xfrm>
                    <a:prstGeom prst="rect">
                      <a:avLst/>
                    </a:prstGeom>
                    <a:noFill/>
                  </pic:spPr>
                </pic:pic>
              </a:graphicData>
            </a:graphic>
          </wp:inline>
        </w:drawing>
      </w:r>
    </w:p>
    <w:p w:rsidR="0067789B" w:rsidRDefault="0067789B" w:rsidP="004B11EB">
      <w:pPr>
        <w:jc w:val="center"/>
        <w:rPr>
          <w:rFonts w:ascii="ITC Avant Garde" w:hAnsi="ITC Avant Garde" w:cs="Arial"/>
          <w:b/>
          <w:bCs/>
        </w:rPr>
      </w:pPr>
    </w:p>
    <w:p w:rsidR="0067789B" w:rsidRDefault="0067789B" w:rsidP="004B11EB">
      <w:pPr>
        <w:jc w:val="center"/>
        <w:rPr>
          <w:rFonts w:ascii="ITC Avant Garde" w:hAnsi="ITC Avant Garde" w:cs="Arial"/>
          <w:b/>
          <w:bCs/>
        </w:rPr>
      </w:pPr>
    </w:p>
    <w:p w:rsidR="00A47F9A" w:rsidRPr="00BA1D95" w:rsidRDefault="00290D8F" w:rsidP="004B11EB">
      <w:pPr>
        <w:jc w:val="center"/>
        <w:rPr>
          <w:rFonts w:ascii="ITC Avant Garde" w:hAnsi="ITC Avant Garde" w:cs="Arial"/>
          <w:b/>
          <w:bCs/>
        </w:rPr>
      </w:pPr>
      <w:r w:rsidRPr="00BA1D95">
        <w:rPr>
          <w:rFonts w:ascii="ITC Avant Garde" w:hAnsi="ITC Avant Garde" w:cs="Arial"/>
          <w:b/>
          <w:noProof/>
          <w:lang w:eastAsia="es-MX"/>
        </w:rPr>
        <w:lastRenderedPageBreak/>
        <w:drawing>
          <wp:inline distT="0" distB="0" distL="0" distR="0">
            <wp:extent cx="5157572" cy="3057754"/>
            <wp:effectExtent l="19050" t="0" r="4978" b="0"/>
            <wp:docPr id="269" name="Imagen 59" descr="Diagrama de llamada Terminada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9" descr="Diagrama de llamada Terminada AXTEL - TELMEX"/>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64479" cy="3061849"/>
                    </a:xfrm>
                    <a:prstGeom prst="rect">
                      <a:avLst/>
                    </a:prstGeom>
                    <a:noFill/>
                  </pic:spPr>
                </pic:pic>
              </a:graphicData>
            </a:graphic>
          </wp:inline>
        </w:drawing>
      </w:r>
    </w:p>
    <w:p w:rsidR="00A47F9A" w:rsidRPr="00BA1D95" w:rsidRDefault="00A47F9A" w:rsidP="00A74460">
      <w:pPr>
        <w:pStyle w:val="1TitPrin"/>
        <w:numPr>
          <w:ilvl w:val="1"/>
          <w:numId w:val="182"/>
        </w:numPr>
        <w:outlineLvl w:val="1"/>
      </w:pPr>
      <w:bookmarkStart w:id="648" w:name="_Toc525904579"/>
      <w:bookmarkStart w:id="649" w:name="_Toc525913975"/>
      <w:bookmarkStart w:id="650" w:name="_Toc525919214"/>
      <w:bookmarkStart w:id="651" w:name="_Toc525919338"/>
      <w:bookmarkStart w:id="652" w:name="_Toc2957148"/>
      <w:bookmarkStart w:id="653" w:name="_Toc26273083"/>
      <w:bookmarkStart w:id="654" w:name="_Toc26284480"/>
      <w:bookmarkStart w:id="655" w:name="_Toc54106584"/>
      <w:r w:rsidRPr="00BA1D95">
        <w:t>Características técnicas</w:t>
      </w:r>
      <w:bookmarkEnd w:id="648"/>
      <w:bookmarkEnd w:id="649"/>
      <w:bookmarkEnd w:id="650"/>
      <w:bookmarkEnd w:id="651"/>
      <w:bookmarkEnd w:id="652"/>
      <w:bookmarkEnd w:id="653"/>
      <w:bookmarkEnd w:id="654"/>
      <w:bookmarkEnd w:id="655"/>
    </w:p>
    <w:p w:rsidR="00A47F9A" w:rsidRPr="00BA1D95" w:rsidRDefault="00A47F9A" w:rsidP="004B11EB">
      <w:pPr>
        <w:pStyle w:val="IFTnormal"/>
        <w:rPr>
          <w:rFonts w:cs="Arial"/>
        </w:rPr>
      </w:pPr>
      <w:r w:rsidRPr="00BA1D95">
        <w:rPr>
          <w:rFonts w:cs="Arial"/>
        </w:rPr>
        <w:t>A fin de proporcionar el Servicio de Reventa Mayorista de Línea Telefónica a líneas residenciales (SRMLT), se requiere el cumplimiento de las siguientes premisas, que permitirán la tramitación del tráfico en esta configuración:</w:t>
      </w:r>
    </w:p>
    <w:p w:rsidR="00A47F9A" w:rsidRPr="00BA1D95" w:rsidRDefault="00A47F9A" w:rsidP="00366F2B">
      <w:pPr>
        <w:pStyle w:val="IFTnormal"/>
        <w:numPr>
          <w:ilvl w:val="0"/>
          <w:numId w:val="79"/>
        </w:numPr>
        <w:spacing w:before="240" w:after="240"/>
        <w:ind w:left="1134" w:hanging="425"/>
        <w:rPr>
          <w:rFonts w:cs="Arial"/>
        </w:rPr>
      </w:pPr>
      <w:r w:rsidRPr="00BA1D95">
        <w:rPr>
          <w:rFonts w:cs="Arial"/>
        </w:rPr>
        <w:t>Para lograr que la entrega de todo el tráfico originado en la red de</w:t>
      </w:r>
      <w:r w:rsidR="008B2879">
        <w:rPr>
          <w:rFonts w:cs="Arial"/>
        </w:rPr>
        <w:t xml:space="preserve">l AEP </w:t>
      </w:r>
      <w:r w:rsidRPr="00BA1D95">
        <w:rPr>
          <w:rFonts w:cs="Arial"/>
        </w:rPr>
        <w:t>hacia el concesionario solicitante (CS) se realice de manera eficiente (local, larga distancia internacional, resto del mundo, códigos de servicios especiales, etc.), se ha considerado llevar a cabo el etiquetado de este tráfico anteponiendo al Número Nacional 3 dígitos numéricos (011), además del etiquetado ya considerado y configurado hoy en el SW desarrollado en las centrales para el intercambio de tráfico de Interconexión entre concesionarios, como es la identificación de la red destino y origen (IDD e IDO).</w:t>
      </w:r>
    </w:p>
    <w:p w:rsidR="00A47F9A" w:rsidRPr="00BA1D95" w:rsidRDefault="00A47F9A" w:rsidP="00366F2B">
      <w:pPr>
        <w:pStyle w:val="IFTnormal"/>
        <w:numPr>
          <w:ilvl w:val="0"/>
          <w:numId w:val="79"/>
        </w:numPr>
        <w:spacing w:before="240" w:after="240"/>
        <w:ind w:left="1134" w:hanging="425"/>
        <w:rPr>
          <w:rFonts w:cs="Arial"/>
        </w:rPr>
      </w:pPr>
      <w:r w:rsidRPr="00BA1D95">
        <w:rPr>
          <w:rFonts w:cs="Arial"/>
        </w:rPr>
        <w:t>El etiquetado del tráfico que se enviaría a la red del CS para este servicio será:</w:t>
      </w:r>
    </w:p>
    <w:p w:rsidR="00A47F9A" w:rsidRPr="00BA1D95" w:rsidRDefault="00A47F9A" w:rsidP="00366F2B">
      <w:pPr>
        <w:pStyle w:val="CondicionesFinales"/>
        <w:numPr>
          <w:ilvl w:val="1"/>
          <w:numId w:val="76"/>
        </w:numPr>
        <w:spacing w:before="240" w:after="240"/>
        <w:ind w:left="1701" w:hanging="425"/>
      </w:pPr>
      <w:r w:rsidRPr="00BA1D95">
        <w:t>IDD + IDO + (011) + Marcación al Usuario final.</w:t>
      </w:r>
    </w:p>
    <w:p w:rsidR="00674B36" w:rsidRPr="00BA1D95" w:rsidRDefault="00A47F9A" w:rsidP="00366F2B">
      <w:pPr>
        <w:pStyle w:val="IFTnormal"/>
        <w:spacing w:before="240" w:after="240"/>
        <w:ind w:left="709" w:firstLine="425"/>
        <w:rPr>
          <w:rFonts w:cs="Arial"/>
          <w:sz w:val="20"/>
          <w:szCs w:val="20"/>
        </w:rPr>
      </w:pPr>
      <w:r w:rsidRPr="00BA1D95">
        <w:rPr>
          <w:rFonts w:cs="Arial"/>
          <w:sz w:val="20"/>
          <w:szCs w:val="20"/>
        </w:rPr>
        <w:t>Donde la Marcación al Usuario final = “NN, como Numero Nacional a 10 dígitos”</w:t>
      </w:r>
    </w:p>
    <w:p w:rsidR="00674B36" w:rsidRPr="00366F2B" w:rsidRDefault="00A47F9A" w:rsidP="00366F2B">
      <w:pPr>
        <w:pStyle w:val="IFTnormal"/>
        <w:numPr>
          <w:ilvl w:val="0"/>
          <w:numId w:val="80"/>
        </w:numPr>
        <w:spacing w:before="240" w:after="240"/>
        <w:ind w:left="1134" w:hanging="425"/>
        <w:rPr>
          <w:rFonts w:cs="Arial"/>
        </w:rPr>
      </w:pPr>
      <w:r w:rsidRPr="00BA1D95">
        <w:rPr>
          <w:rFonts w:cs="Arial"/>
        </w:rPr>
        <w:t xml:space="preserve">La factibilidad de implementación se realizará por CS y por central, es decir; si un CS ya tiene este servicio en una central y requiere de un nuevo SRMLT, ya no es necesario volver a realizar factibilidad de la central, pero si otro CS requiere del </w:t>
      </w:r>
      <w:r w:rsidRPr="00BA1D95">
        <w:rPr>
          <w:rFonts w:cs="Arial"/>
        </w:rPr>
        <w:lastRenderedPageBreak/>
        <w:t>servicio en esta misma central, es necesario realizar la factibilidad de implementación de la central para ese CS.</w:t>
      </w:r>
    </w:p>
    <w:p w:rsidR="00674B36" w:rsidRPr="00221ECD" w:rsidRDefault="00A47F9A" w:rsidP="00366F2B">
      <w:pPr>
        <w:pStyle w:val="IFTnormal"/>
        <w:numPr>
          <w:ilvl w:val="0"/>
          <w:numId w:val="81"/>
        </w:numPr>
        <w:spacing w:before="120" w:after="240"/>
        <w:ind w:left="1134" w:hanging="425"/>
        <w:rPr>
          <w:rFonts w:cs="Arial"/>
        </w:rPr>
      </w:pPr>
      <w:r w:rsidRPr="00BA1D95">
        <w:rPr>
          <w:rFonts w:cs="Arial"/>
        </w:rPr>
        <w:t xml:space="preserve">El tiempo para la configuración de los datos en la central será de </w:t>
      </w:r>
      <w:r w:rsidR="0095410A">
        <w:rPr>
          <w:rFonts w:cs="Arial"/>
        </w:rPr>
        <w:t>cinco</w:t>
      </w:r>
      <w:r w:rsidR="0095410A" w:rsidRPr="00BA1D95">
        <w:rPr>
          <w:rFonts w:cs="Arial"/>
        </w:rPr>
        <w:t xml:space="preserve"> </w:t>
      </w:r>
      <w:r w:rsidRPr="00BA1D95">
        <w:rPr>
          <w:rFonts w:cs="Arial"/>
        </w:rPr>
        <w:t>días hábiles.</w:t>
      </w:r>
    </w:p>
    <w:p w:rsidR="00674B36" w:rsidRPr="00221ECD" w:rsidRDefault="00A47F9A" w:rsidP="00366F2B">
      <w:pPr>
        <w:pStyle w:val="IFTnormal"/>
        <w:numPr>
          <w:ilvl w:val="0"/>
          <w:numId w:val="81"/>
        </w:numPr>
        <w:spacing w:before="120" w:after="240"/>
        <w:ind w:left="1134" w:hanging="425"/>
        <w:rPr>
          <w:rFonts w:cs="Arial"/>
        </w:rPr>
      </w:pPr>
      <w:r w:rsidRPr="00BA1D95">
        <w:rPr>
          <w:rFonts w:cs="Arial"/>
        </w:rPr>
        <w:t xml:space="preserve">Se debe de acordar entre </w:t>
      </w:r>
      <w:r w:rsidR="00E83F21">
        <w:rPr>
          <w:rFonts w:cs="Arial"/>
        </w:rPr>
        <w:t>Telmex / Telnor</w:t>
      </w:r>
      <w:r w:rsidR="00041BA6">
        <w:rPr>
          <w:rFonts w:cs="Arial"/>
        </w:rPr>
        <w:t xml:space="preserve"> </w:t>
      </w:r>
      <w:r w:rsidRPr="00BA1D95">
        <w:rPr>
          <w:rFonts w:cs="Arial"/>
        </w:rPr>
        <w:t>y el CS el calendario de inicio/termino de las pruebas.</w:t>
      </w:r>
    </w:p>
    <w:p w:rsidR="00674B36" w:rsidRPr="00221ECD" w:rsidRDefault="00A47F9A" w:rsidP="00366F2B">
      <w:pPr>
        <w:pStyle w:val="IFTnormal"/>
        <w:numPr>
          <w:ilvl w:val="0"/>
          <w:numId w:val="81"/>
        </w:numPr>
        <w:spacing w:before="120" w:after="240"/>
        <w:ind w:left="1134" w:hanging="425"/>
        <w:rPr>
          <w:rFonts w:cs="Arial"/>
        </w:rPr>
      </w:pPr>
      <w:r w:rsidRPr="00BA1D95">
        <w:rPr>
          <w:rFonts w:cs="Arial"/>
        </w:rPr>
        <w:t xml:space="preserve">La entrega del tráfico para este servicio debe ser por cualquier punto de Interconexión establecido de común acuerdo entre las partes. </w:t>
      </w:r>
    </w:p>
    <w:p w:rsidR="00A47F9A" w:rsidRPr="00BA1D95" w:rsidRDefault="00A47F9A" w:rsidP="00366F2B">
      <w:pPr>
        <w:pStyle w:val="IFTnormal"/>
        <w:numPr>
          <w:ilvl w:val="0"/>
          <w:numId w:val="81"/>
        </w:numPr>
        <w:spacing w:before="120" w:after="240"/>
        <w:ind w:left="1134" w:hanging="425"/>
        <w:rPr>
          <w:rFonts w:cs="Arial"/>
        </w:rPr>
      </w:pPr>
      <w:r w:rsidRPr="00BA1D95">
        <w:rPr>
          <w:rFonts w:cs="Arial"/>
        </w:rPr>
        <w:t>No se realiza validación de marcaciones incorrectas ni traducción de Servicios Especiales debido a que la llamada se le entrega al CS tal cual fue marcada por el cliente.</w:t>
      </w:r>
    </w:p>
    <w:p w:rsidR="00674B36" w:rsidRPr="00221ECD" w:rsidRDefault="00213514" w:rsidP="00366F2B">
      <w:pPr>
        <w:pStyle w:val="IFTnormal"/>
        <w:numPr>
          <w:ilvl w:val="0"/>
          <w:numId w:val="81"/>
        </w:numPr>
        <w:spacing w:before="120" w:after="240"/>
        <w:ind w:left="1134" w:hanging="425"/>
        <w:rPr>
          <w:rFonts w:cs="Arial"/>
        </w:rPr>
      </w:pPr>
      <w:r w:rsidRPr="00BA1D95">
        <w:rPr>
          <w:rFonts w:cs="Arial"/>
        </w:rPr>
        <w:t>Se tienen definidos 287 puntos de interconexión (TDM e IP) donde se puede entregar el servicio.</w:t>
      </w:r>
    </w:p>
    <w:p w:rsidR="00A47F9A" w:rsidRDefault="00A47F9A" w:rsidP="00366F2B">
      <w:pPr>
        <w:pStyle w:val="IFTnormal"/>
        <w:numPr>
          <w:ilvl w:val="0"/>
          <w:numId w:val="81"/>
        </w:numPr>
        <w:spacing w:before="120" w:after="240"/>
        <w:ind w:left="1134" w:hanging="425"/>
        <w:rPr>
          <w:rFonts w:cs="Arial"/>
        </w:rPr>
      </w:pPr>
      <w:r w:rsidRPr="00BA1D95">
        <w:rPr>
          <w:rFonts w:cs="Arial"/>
        </w:rPr>
        <w:t>Es importante señalar que el tráfico terminado (llamadas entrantes) en este tipo de usuarios, no sufrirá ninguna afectación y se mantendrá enrutado y señalizado (envío de dígitos), como hoy se hace para cualquier cliente de</w:t>
      </w:r>
      <w:r w:rsidR="00354CBF">
        <w:rPr>
          <w:rFonts w:cs="Arial"/>
        </w:rPr>
        <w:t>l AEP</w:t>
      </w:r>
      <w:r w:rsidRPr="00BA1D95">
        <w:rPr>
          <w:rFonts w:cs="Arial"/>
        </w:rPr>
        <w:t>.</w:t>
      </w:r>
    </w:p>
    <w:p w:rsidR="00A47F9A" w:rsidRPr="00BA1D95" w:rsidRDefault="00A47F9A" w:rsidP="00A74460">
      <w:pPr>
        <w:pStyle w:val="1TitPrin"/>
        <w:numPr>
          <w:ilvl w:val="1"/>
          <w:numId w:val="182"/>
        </w:numPr>
        <w:outlineLvl w:val="1"/>
      </w:pPr>
      <w:bookmarkStart w:id="656" w:name="_Toc525904580"/>
      <w:bookmarkStart w:id="657" w:name="_Toc525913976"/>
      <w:bookmarkStart w:id="658" w:name="_Toc525919215"/>
      <w:bookmarkStart w:id="659" w:name="_Toc525919339"/>
      <w:bookmarkStart w:id="660" w:name="_Toc2957149"/>
      <w:bookmarkStart w:id="661" w:name="_Toc26273084"/>
      <w:bookmarkStart w:id="662" w:name="_Toc26284481"/>
      <w:bookmarkStart w:id="663" w:name="_Toc54106585"/>
      <w:r w:rsidRPr="00BA1D95">
        <w:t>Señalización e identificación de códigos IDD e IDO</w:t>
      </w:r>
      <w:bookmarkEnd w:id="656"/>
      <w:bookmarkEnd w:id="657"/>
      <w:bookmarkEnd w:id="658"/>
      <w:bookmarkEnd w:id="659"/>
      <w:bookmarkEnd w:id="660"/>
      <w:bookmarkEnd w:id="661"/>
      <w:bookmarkEnd w:id="662"/>
      <w:bookmarkEnd w:id="663"/>
      <w:r w:rsidRPr="00BA1D95">
        <w:t xml:space="preserve"> </w:t>
      </w:r>
    </w:p>
    <w:p w:rsidR="00A47F9A" w:rsidRPr="00BA1D95" w:rsidRDefault="00A47F9A" w:rsidP="00366F2B">
      <w:pPr>
        <w:pStyle w:val="IFTnormal"/>
        <w:numPr>
          <w:ilvl w:val="0"/>
          <w:numId w:val="82"/>
        </w:numPr>
        <w:spacing w:before="240" w:after="240"/>
        <w:ind w:left="1134" w:hanging="425"/>
        <w:rPr>
          <w:rFonts w:cs="Arial"/>
        </w:rPr>
      </w:pPr>
      <w:r w:rsidRPr="00BA1D95">
        <w:rPr>
          <w:rFonts w:cs="Arial"/>
        </w:rPr>
        <w:t xml:space="preserve">El etiquetado del tráfico a intercambiar con los Concesionarios que deseen aplicar la solución debe ser IDD + IDO + (011) + Marcación al usuario final. </w:t>
      </w:r>
    </w:p>
    <w:p w:rsidR="00A47F9A" w:rsidRDefault="00A47F9A" w:rsidP="00366F2B">
      <w:pPr>
        <w:pStyle w:val="IFTnormal"/>
        <w:numPr>
          <w:ilvl w:val="0"/>
          <w:numId w:val="82"/>
        </w:numPr>
        <w:spacing w:before="240" w:after="240"/>
        <w:ind w:left="1134" w:hanging="425"/>
        <w:rPr>
          <w:rFonts w:cs="Arial"/>
        </w:rPr>
      </w:pPr>
      <w:r w:rsidRPr="00BA1D95">
        <w:rPr>
          <w:rFonts w:cs="Arial"/>
        </w:rPr>
        <w:t xml:space="preserve">En la siguiente tabla se muestran los </w:t>
      </w:r>
      <w:r w:rsidR="00383D59" w:rsidRPr="00BA1D95">
        <w:rPr>
          <w:rFonts w:cs="Arial"/>
        </w:rPr>
        <w:t xml:space="preserve">ejemplos de Casos </w:t>
      </w:r>
      <w:r w:rsidRPr="00BA1D95">
        <w:rPr>
          <w:rFonts w:cs="Arial"/>
        </w:rPr>
        <w:t xml:space="preserve">de Tráfico, Marcaciones y el envío de Dígitos que se deben de considerar entre </w:t>
      </w:r>
      <w:r w:rsidR="00E83F21">
        <w:rPr>
          <w:rFonts w:cs="Arial"/>
        </w:rPr>
        <w:t>Telmex / Telnor</w:t>
      </w:r>
      <w:r w:rsidR="00041BA6">
        <w:rPr>
          <w:rFonts w:cs="Arial"/>
        </w:rPr>
        <w:t xml:space="preserve"> </w:t>
      </w:r>
      <w:r w:rsidRPr="00BA1D95">
        <w:rPr>
          <w:rFonts w:cs="Arial"/>
        </w:rPr>
        <w:t>y el CS para este servicio.</w:t>
      </w:r>
    </w:p>
    <w:p w:rsidR="003223FC" w:rsidRDefault="003223FC" w:rsidP="003223FC">
      <w:pPr>
        <w:pStyle w:val="IFTnormal"/>
        <w:spacing w:before="240" w:after="240"/>
        <w:ind w:left="1134"/>
        <w:rPr>
          <w:rFonts w:cs="Arial"/>
        </w:rPr>
      </w:pPr>
    </w:p>
    <w:tbl>
      <w:tblPr>
        <w:tblW w:w="9497" w:type="dxa"/>
        <w:jc w:val="center"/>
        <w:tblCellMar>
          <w:left w:w="70" w:type="dxa"/>
          <w:right w:w="70" w:type="dxa"/>
        </w:tblCellMar>
        <w:tblLook w:val="04A0"/>
      </w:tblPr>
      <w:tblGrid>
        <w:gridCol w:w="3095"/>
        <w:gridCol w:w="3260"/>
        <w:gridCol w:w="3142"/>
      </w:tblGrid>
      <w:tr w:rsidR="000A505D" w:rsidRPr="00BA1D95" w:rsidTr="00545AC9">
        <w:trPr>
          <w:trHeight w:val="315"/>
          <w:tblHeader/>
          <w:jc w:val="center"/>
        </w:trPr>
        <w:tc>
          <w:tcPr>
            <w:tcW w:w="3095" w:type="dxa"/>
            <w:tcBorders>
              <w:top w:val="single" w:sz="8" w:space="0" w:color="auto"/>
              <w:left w:val="single" w:sz="8" w:space="0" w:color="auto"/>
              <w:bottom w:val="nil"/>
              <w:right w:val="single" w:sz="8" w:space="0" w:color="auto"/>
            </w:tcBorders>
            <w:shd w:val="clear" w:color="auto" w:fill="8496B0" w:themeFill="text2" w:themeFillTint="99"/>
            <w:vAlign w:val="center"/>
            <w:hideMark/>
          </w:tcPr>
          <w:p w:rsidR="000A505D" w:rsidRPr="00BA1D95" w:rsidRDefault="000A505D" w:rsidP="00545AC9">
            <w:pPr>
              <w:spacing w:after="100"/>
              <w:jc w:val="center"/>
              <w:rPr>
                <w:rFonts w:ascii="ITC Avant Garde" w:hAnsi="ITC Avant Garde" w:cs="Arial"/>
                <w:b/>
                <w:bCs/>
                <w:color w:val="000000"/>
                <w:sz w:val="20"/>
                <w:szCs w:val="20"/>
                <w:lang w:eastAsia="es-MX"/>
              </w:rPr>
            </w:pPr>
            <w:r w:rsidRPr="00BA1D95">
              <w:rPr>
                <w:rFonts w:ascii="ITC Avant Garde" w:hAnsi="ITC Avant Garde" w:cs="Arial"/>
                <w:b/>
                <w:bCs/>
                <w:color w:val="000000"/>
                <w:sz w:val="20"/>
                <w:szCs w:val="20"/>
                <w:lang w:eastAsia="es-MX"/>
              </w:rPr>
              <w:t>EJEMPLO DE CASO DE TRÁFICO</w:t>
            </w:r>
          </w:p>
        </w:tc>
        <w:tc>
          <w:tcPr>
            <w:tcW w:w="3260" w:type="dxa"/>
            <w:tcBorders>
              <w:top w:val="single" w:sz="8" w:space="0" w:color="auto"/>
              <w:left w:val="nil"/>
              <w:bottom w:val="nil"/>
              <w:right w:val="single" w:sz="8" w:space="0" w:color="auto"/>
            </w:tcBorders>
            <w:shd w:val="clear" w:color="auto" w:fill="8496B0" w:themeFill="text2" w:themeFillTint="99"/>
            <w:noWrap/>
            <w:vAlign w:val="center"/>
            <w:hideMark/>
          </w:tcPr>
          <w:p w:rsidR="000A505D" w:rsidRPr="00BA1D95" w:rsidRDefault="000A505D" w:rsidP="00545AC9">
            <w:pPr>
              <w:spacing w:after="100"/>
              <w:jc w:val="center"/>
              <w:rPr>
                <w:rFonts w:ascii="ITC Avant Garde" w:hAnsi="ITC Avant Garde" w:cs="Arial"/>
                <w:b/>
                <w:bCs/>
                <w:color w:val="000000"/>
                <w:sz w:val="20"/>
                <w:szCs w:val="20"/>
                <w:lang w:eastAsia="es-MX"/>
              </w:rPr>
            </w:pPr>
            <w:r w:rsidRPr="00BA1D95">
              <w:rPr>
                <w:rFonts w:ascii="ITC Avant Garde" w:hAnsi="ITC Avant Garde" w:cs="Arial"/>
                <w:b/>
                <w:bCs/>
                <w:color w:val="000000"/>
                <w:sz w:val="20"/>
                <w:szCs w:val="20"/>
                <w:lang w:eastAsia="es-MX"/>
              </w:rPr>
              <w:t>MARCACIÓN</w:t>
            </w:r>
          </w:p>
        </w:tc>
        <w:tc>
          <w:tcPr>
            <w:tcW w:w="3142" w:type="dxa"/>
            <w:tcBorders>
              <w:top w:val="single" w:sz="8" w:space="0" w:color="auto"/>
              <w:left w:val="nil"/>
              <w:bottom w:val="nil"/>
              <w:right w:val="single" w:sz="8" w:space="0" w:color="auto"/>
            </w:tcBorders>
            <w:shd w:val="clear" w:color="auto" w:fill="8496B0" w:themeFill="text2" w:themeFillTint="99"/>
            <w:noWrap/>
            <w:vAlign w:val="center"/>
            <w:hideMark/>
          </w:tcPr>
          <w:p w:rsidR="000A505D" w:rsidRPr="00BA1D95" w:rsidRDefault="000A505D" w:rsidP="00545AC9">
            <w:pPr>
              <w:spacing w:after="100"/>
              <w:jc w:val="center"/>
              <w:rPr>
                <w:rFonts w:ascii="ITC Avant Garde" w:hAnsi="ITC Avant Garde" w:cs="Arial"/>
                <w:b/>
                <w:bCs/>
                <w:color w:val="000000"/>
                <w:sz w:val="20"/>
                <w:szCs w:val="20"/>
                <w:lang w:eastAsia="es-MX"/>
              </w:rPr>
            </w:pPr>
            <w:r w:rsidRPr="00BA1D95">
              <w:rPr>
                <w:rFonts w:ascii="ITC Avant Garde" w:hAnsi="ITC Avant Garde" w:cs="Arial"/>
                <w:b/>
                <w:bCs/>
                <w:color w:val="000000"/>
                <w:sz w:val="20"/>
                <w:szCs w:val="20"/>
                <w:lang w:eastAsia="es-MX"/>
              </w:rPr>
              <w:t>ENVÍO DE DÍGITOS AL OPERADOR</w:t>
            </w:r>
          </w:p>
        </w:tc>
      </w:tr>
      <w:tr w:rsidR="000A505D" w:rsidRPr="00BA1D95" w:rsidTr="00545AC9">
        <w:trPr>
          <w:trHeight w:val="300"/>
          <w:jc w:val="center"/>
        </w:trPr>
        <w:tc>
          <w:tcPr>
            <w:tcW w:w="3095"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Local</w:t>
            </w:r>
          </w:p>
        </w:tc>
        <w:tc>
          <w:tcPr>
            <w:tcW w:w="3260" w:type="dxa"/>
            <w:tcBorders>
              <w:top w:val="single" w:sz="8" w:space="0" w:color="auto"/>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Nacional (10 dígitos)</w:t>
            </w:r>
          </w:p>
        </w:tc>
        <w:tc>
          <w:tcPr>
            <w:tcW w:w="3142" w:type="dxa"/>
            <w:tcBorders>
              <w:top w:val="single" w:sz="8" w:space="0" w:color="auto"/>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LD Nacional</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Local a un Operador Celular CPP</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Local a un Operador Celular MPP</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LD a un Operador Celular CPP</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lastRenderedPageBreak/>
              <w:t>Llamada LD a un Operador Celular MPP</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IDD+IDO+(011)+NN</w:t>
            </w:r>
          </w:p>
        </w:tc>
      </w:tr>
      <w:tr w:rsidR="000A505D" w:rsidRPr="00BA1D95" w:rsidTr="00545AC9">
        <w:trPr>
          <w:trHeight w:val="300"/>
          <w:jc w:val="center"/>
        </w:trPr>
        <w:tc>
          <w:tcPr>
            <w:tcW w:w="3095" w:type="dxa"/>
            <w:vMerge w:val="restart"/>
            <w:tcBorders>
              <w:top w:val="nil"/>
              <w:left w:val="single" w:sz="8" w:space="0" w:color="auto"/>
              <w:bottom w:val="single" w:sz="4" w:space="0" w:color="000000"/>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a Servicios NO Geográficos</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200+7dígitos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IDD+IDO+(011)+200+7dígitos</w:t>
            </w:r>
          </w:p>
        </w:tc>
      </w:tr>
      <w:tr w:rsidR="000A505D" w:rsidRPr="00BA1D95" w:rsidTr="00545AC9">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201+7dígitos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IDD+IDO+(011)+201+7dígitos</w:t>
            </w:r>
          </w:p>
        </w:tc>
      </w:tr>
      <w:tr w:rsidR="000A505D" w:rsidRPr="00BA1D95" w:rsidTr="00545AC9">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800+7dígitos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IDD+IDO+(011)+800+7dígitos</w:t>
            </w:r>
          </w:p>
        </w:tc>
      </w:tr>
      <w:tr w:rsidR="000A505D" w:rsidRPr="00BA1D95" w:rsidTr="00545AC9">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900+7dígitos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IDD+IDO+(011)+900+7dígitos</w:t>
            </w:r>
          </w:p>
        </w:tc>
      </w:tr>
      <w:tr w:rsidR="000A505D" w:rsidRPr="00BA1D95" w:rsidTr="00545AC9">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700+7dígitos</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IDD+IDO+(011)+700+7dígitos</w:t>
            </w:r>
          </w:p>
        </w:tc>
      </w:tr>
      <w:tr w:rsidR="000A505D" w:rsidRPr="00BA1D95" w:rsidTr="00545AC9">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a Servicios Especiales de Operadora</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020</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IDD+IDO+(011)+020</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051</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IDD+IDO+(011)+051</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055</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IDD+IDO+(011)+055</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090</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IDD+IDO+(011)+090</w:t>
            </w:r>
          </w:p>
        </w:tc>
      </w:tr>
      <w:tr w:rsidR="000A505D" w:rsidRPr="00BA1D95" w:rsidTr="00545AC9">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a Servicios Especiales Semiautomáticos por Operadora</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02+NN</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IDD+IDO+(011)+02NN</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09+NI/NM</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IDD+IDO+(011)+09+NI/NM</w:t>
            </w:r>
          </w:p>
        </w:tc>
      </w:tr>
      <w:tr w:rsidR="000A505D" w:rsidRPr="00BA1D95" w:rsidTr="00545AC9">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 xml:space="preserve">Llamada a Servicios Especiales </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030</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IDD+IDO+(011)+030</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031</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IDD+IDO+(011)+031</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040</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IDD+IDO+(011)+040</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050</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IDD+IDO+(011)+050</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07X</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IDD+IDO+(011)+07X</w:t>
            </w:r>
          </w:p>
        </w:tc>
      </w:tr>
      <w:tr w:rsidR="000A505D" w:rsidRPr="00BA1D95" w:rsidTr="00545AC9">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a Servicios de Emergencia</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06X</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IDD+IDO+(011)+06X</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08X</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IDD+IDO+(011)+08X</w:t>
            </w:r>
          </w:p>
        </w:tc>
      </w:tr>
      <w:tr w:rsidR="000A505D" w:rsidRPr="00BA1D95" w:rsidTr="00545AC9">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911</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IDD+IDO+(011)+911</w:t>
            </w:r>
          </w:p>
        </w:tc>
      </w:tr>
      <w:tr w:rsidR="000A505D" w:rsidRPr="00BA1D95" w:rsidTr="00545AC9">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Llamadas de LD Inter o Mundial</w:t>
            </w:r>
          </w:p>
        </w:tc>
        <w:tc>
          <w:tcPr>
            <w:tcW w:w="3260" w:type="dxa"/>
            <w:tcBorders>
              <w:top w:val="nil"/>
              <w:left w:val="nil"/>
              <w:bottom w:val="single" w:sz="4" w:space="0" w:color="auto"/>
              <w:right w:val="single" w:sz="4"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00+CP+NI/NM</w:t>
            </w:r>
          </w:p>
        </w:tc>
        <w:tc>
          <w:tcPr>
            <w:tcW w:w="3142" w:type="dxa"/>
            <w:tcBorders>
              <w:top w:val="nil"/>
              <w:left w:val="nil"/>
              <w:bottom w:val="single" w:sz="4" w:space="0" w:color="auto"/>
              <w:right w:val="single" w:sz="8" w:space="0" w:color="auto"/>
            </w:tcBorders>
            <w:shd w:val="clear" w:color="auto" w:fill="auto"/>
            <w:vAlign w:val="center"/>
            <w:hideMark/>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IDD+IDO+(011)+00+CP+NI/NM</w:t>
            </w:r>
          </w:p>
        </w:tc>
      </w:tr>
      <w:tr w:rsidR="000A505D" w:rsidRPr="00BA1D95" w:rsidTr="00545AC9">
        <w:trPr>
          <w:trHeight w:val="300"/>
          <w:jc w:val="center"/>
        </w:trPr>
        <w:tc>
          <w:tcPr>
            <w:tcW w:w="3095" w:type="dxa"/>
            <w:vMerge w:val="restart"/>
            <w:tcBorders>
              <w:top w:val="single" w:sz="4" w:space="0" w:color="auto"/>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Llamada a Servicios No Geográficos Internacional</w:t>
            </w:r>
          </w:p>
        </w:tc>
        <w:tc>
          <w:tcPr>
            <w:tcW w:w="3260" w:type="dxa"/>
            <w:tcBorders>
              <w:top w:val="single" w:sz="4" w:space="0" w:color="auto"/>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001+800+7dígitos</w:t>
            </w:r>
          </w:p>
        </w:tc>
        <w:tc>
          <w:tcPr>
            <w:tcW w:w="3142" w:type="dxa"/>
            <w:tcBorders>
              <w:top w:val="single" w:sz="4" w:space="0" w:color="auto"/>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IDD+IDO+(011)+001800+7dígitos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001+888+7dígitos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IDD+IDO+(011)+001888+7dígitos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001+877+7dígitos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IDD+IDO+(011)+001877+7dígitos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001+866+7dígitos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IDD+IDO+(011)+001866+7dígitos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001+855+7dígitos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IDD+IDO+(011)+001855+7dígitos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001+844+7dígitos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IDD+IDO+(011)+001844+7dígitos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001+880+7dígitos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IDD+IDO+(011)+001880+7dígitos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001+881+7dígitos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IDD+IDO+(011)+001881+7dígitos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001+882+7dígitos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IDD+IDO+(011)+001882+7dígitos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001+883+7dígitos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IDD+IDO+(011)+001883+7dígitos</w:t>
            </w:r>
          </w:p>
        </w:tc>
      </w:tr>
      <w:tr w:rsidR="000A505D" w:rsidRPr="00BA1D95" w:rsidTr="00545AC9">
        <w:trPr>
          <w:trHeight w:val="300"/>
          <w:jc w:val="center"/>
        </w:trPr>
        <w:tc>
          <w:tcPr>
            <w:tcW w:w="3095" w:type="dxa"/>
            <w:vMerge/>
            <w:tcBorders>
              <w:left w:val="single" w:sz="8"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001+884+7dígitos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N.B = IDD+IDO+(011)+001884+7dígitos</w:t>
            </w:r>
          </w:p>
        </w:tc>
      </w:tr>
      <w:tr w:rsidR="000A505D" w:rsidRPr="00BA1D95" w:rsidTr="00545AC9">
        <w:trPr>
          <w:trHeight w:val="300"/>
          <w:jc w:val="center"/>
        </w:trPr>
        <w:tc>
          <w:tcPr>
            <w:tcW w:w="3095" w:type="dxa"/>
            <w:vMerge/>
            <w:tcBorders>
              <w:left w:val="single" w:sz="8" w:space="0" w:color="auto"/>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p>
        </w:tc>
        <w:tc>
          <w:tcPr>
            <w:tcW w:w="3260" w:type="dxa"/>
            <w:tcBorders>
              <w:top w:val="nil"/>
              <w:left w:val="nil"/>
              <w:bottom w:val="single" w:sz="4" w:space="0" w:color="auto"/>
              <w:right w:val="single" w:sz="4" w:space="0" w:color="auto"/>
            </w:tcBorders>
            <w:shd w:val="clear" w:color="auto" w:fill="auto"/>
            <w:vAlign w:val="center"/>
          </w:tcPr>
          <w:p w:rsidR="000A505D" w:rsidRPr="00BA1D95" w:rsidRDefault="000A505D" w:rsidP="00545AC9">
            <w:pPr>
              <w:spacing w:after="100"/>
              <w:rPr>
                <w:rFonts w:ascii="ITC Avant Garde" w:hAnsi="ITC Avant Garde" w:cs="Arial"/>
                <w:color w:val="000000"/>
                <w:sz w:val="20"/>
                <w:szCs w:val="20"/>
                <w:lang w:eastAsia="es-MX"/>
              </w:rPr>
            </w:pPr>
            <w:r w:rsidRPr="00BA1D95">
              <w:rPr>
                <w:rFonts w:ascii="ITC Avant Garde" w:hAnsi="ITC Avant Garde" w:cs="Arial"/>
                <w:color w:val="000000"/>
                <w:sz w:val="20"/>
                <w:szCs w:val="20"/>
                <w:lang w:eastAsia="es-MX"/>
              </w:rPr>
              <w:t>001+885+7dígitos</w:t>
            </w:r>
          </w:p>
        </w:tc>
        <w:tc>
          <w:tcPr>
            <w:tcW w:w="3142" w:type="dxa"/>
            <w:tcBorders>
              <w:top w:val="nil"/>
              <w:left w:val="nil"/>
              <w:bottom w:val="single" w:sz="4" w:space="0" w:color="auto"/>
              <w:right w:val="single" w:sz="8" w:space="0" w:color="auto"/>
            </w:tcBorders>
            <w:shd w:val="clear" w:color="auto" w:fill="auto"/>
            <w:vAlign w:val="center"/>
          </w:tcPr>
          <w:p w:rsidR="000A505D" w:rsidRPr="00BA1D95" w:rsidRDefault="000A505D" w:rsidP="00545AC9">
            <w:pPr>
              <w:spacing w:after="100"/>
              <w:rPr>
                <w:rFonts w:ascii="ITC Avant Garde" w:hAnsi="ITC Avant Garde" w:cs="Arial"/>
                <w:sz w:val="20"/>
                <w:szCs w:val="20"/>
                <w:lang w:eastAsia="es-MX"/>
              </w:rPr>
            </w:pPr>
            <w:r w:rsidRPr="00BA1D95">
              <w:rPr>
                <w:rFonts w:ascii="ITC Avant Garde" w:hAnsi="ITC Avant Garde" w:cs="Arial"/>
                <w:color w:val="000000"/>
                <w:sz w:val="20"/>
                <w:szCs w:val="20"/>
                <w:lang w:eastAsia="es-MX"/>
              </w:rPr>
              <w:t>N.B = IDD+IDO+(011)+001885+7dígitos</w:t>
            </w:r>
          </w:p>
        </w:tc>
      </w:tr>
      <w:tr w:rsidR="000A505D" w:rsidRPr="00BA1D95" w:rsidTr="00545AC9">
        <w:trPr>
          <w:trHeight w:val="300"/>
          <w:jc w:val="center"/>
        </w:trPr>
        <w:tc>
          <w:tcPr>
            <w:tcW w:w="9497" w:type="dxa"/>
            <w:gridSpan w:val="3"/>
            <w:tcBorders>
              <w:top w:val="single" w:sz="4" w:space="0" w:color="auto"/>
            </w:tcBorders>
            <w:shd w:val="clear" w:color="auto" w:fill="auto"/>
            <w:vAlign w:val="center"/>
          </w:tcPr>
          <w:p w:rsidR="000A505D" w:rsidRDefault="000A505D" w:rsidP="00545AC9">
            <w:pPr>
              <w:rPr>
                <w:rStyle w:val="IFTnormalCar"/>
                <w:rFonts w:cs="Arial"/>
                <w:bCs w:val="0"/>
                <w:iCs/>
                <w:sz w:val="18"/>
                <w:szCs w:val="18"/>
              </w:rPr>
            </w:pPr>
          </w:p>
          <w:p w:rsidR="000A505D" w:rsidRPr="00FF4EC6" w:rsidRDefault="000A505D" w:rsidP="00FF4EC6">
            <w:pPr>
              <w:rPr>
                <w:rFonts w:ascii="ITC Avant Garde" w:hAnsi="ITC Avant Garde" w:cs="Arial"/>
                <w:bCs/>
                <w:sz w:val="20"/>
                <w:szCs w:val="20"/>
              </w:rPr>
            </w:pPr>
            <w:r w:rsidRPr="00BA1D95">
              <w:rPr>
                <w:rFonts w:ascii="ITC Avant Garde" w:hAnsi="ITC Avant Garde" w:cs="Arial"/>
                <w:bCs/>
                <w:sz w:val="20"/>
                <w:szCs w:val="20"/>
              </w:rPr>
              <w:t>*/ Para el caso de la llamada local el envío de dígitos al CS sería como: N.B. =IDD + IDO + (011) + NN (donde NN es número nacional a 10 dígitos)</w:t>
            </w:r>
          </w:p>
        </w:tc>
      </w:tr>
    </w:tbl>
    <w:p w:rsidR="00A47F9A" w:rsidRPr="00BA1D95" w:rsidRDefault="00A47F9A" w:rsidP="0067789B">
      <w:pPr>
        <w:pStyle w:val="IFTnormal"/>
        <w:spacing w:before="240"/>
        <w:ind w:right="-516"/>
        <w:rPr>
          <w:rFonts w:cs="Arial"/>
          <w:b/>
          <w:i/>
          <w:sz w:val="20"/>
          <w:szCs w:val="20"/>
          <w:u w:val="single"/>
        </w:rPr>
      </w:pPr>
      <w:r w:rsidRPr="00BA1D95">
        <w:rPr>
          <w:rFonts w:cs="Arial"/>
          <w:b/>
          <w:i/>
          <w:sz w:val="20"/>
          <w:szCs w:val="20"/>
          <w:u w:val="single"/>
        </w:rPr>
        <w:t>Notas:</w:t>
      </w:r>
    </w:p>
    <w:p w:rsidR="00A47F9A" w:rsidRPr="00BA1D95" w:rsidRDefault="00A47F9A" w:rsidP="0067789B">
      <w:pPr>
        <w:pStyle w:val="Citaift0"/>
        <w:numPr>
          <w:ilvl w:val="0"/>
          <w:numId w:val="74"/>
        </w:numPr>
        <w:spacing w:after="0"/>
        <w:ind w:right="-142" w:hanging="357"/>
        <w:rPr>
          <w:sz w:val="20"/>
          <w:szCs w:val="20"/>
        </w:rPr>
      </w:pPr>
      <w:r w:rsidRPr="00BA1D95">
        <w:rPr>
          <w:sz w:val="20"/>
          <w:szCs w:val="20"/>
        </w:rPr>
        <w:t>El operador deberá terminar las llamadas respetando el plan de señalización y numeración vigente.</w:t>
      </w:r>
    </w:p>
    <w:p w:rsidR="00A47F9A" w:rsidRPr="00BA1D95" w:rsidRDefault="00A47F9A" w:rsidP="0067789B">
      <w:pPr>
        <w:pStyle w:val="Citaift0"/>
        <w:numPr>
          <w:ilvl w:val="0"/>
          <w:numId w:val="74"/>
        </w:numPr>
        <w:spacing w:after="0"/>
        <w:ind w:right="-142" w:hanging="357"/>
        <w:rPr>
          <w:sz w:val="20"/>
          <w:szCs w:val="20"/>
        </w:rPr>
      </w:pPr>
      <w:r w:rsidRPr="00BA1D95">
        <w:rPr>
          <w:sz w:val="20"/>
          <w:szCs w:val="20"/>
        </w:rPr>
        <w:t xml:space="preserve">La marcación 911 se enviará al CS quien será responsable del trámite de la llamada. </w:t>
      </w:r>
    </w:p>
    <w:p w:rsidR="00A47F9A" w:rsidRDefault="00A47F9A" w:rsidP="0067789B">
      <w:pPr>
        <w:pStyle w:val="Citaift0"/>
        <w:numPr>
          <w:ilvl w:val="0"/>
          <w:numId w:val="74"/>
        </w:numPr>
        <w:spacing w:after="0"/>
        <w:ind w:right="-142" w:hanging="357"/>
        <w:rPr>
          <w:sz w:val="20"/>
          <w:szCs w:val="20"/>
        </w:rPr>
      </w:pPr>
      <w:r w:rsidRPr="00BA1D95">
        <w:rPr>
          <w:sz w:val="20"/>
          <w:szCs w:val="20"/>
        </w:rPr>
        <w:t>En lo que respecta a la presuscripción de LD Internacional y Mundial, esta quedará desactivada al momento de aplicar la Desagregación del cliente en esta modalidad.</w:t>
      </w:r>
    </w:p>
    <w:p w:rsidR="00E938FD" w:rsidRDefault="00E938FD">
      <w:pPr>
        <w:pStyle w:val="Citaift0"/>
        <w:spacing w:after="0"/>
        <w:ind w:left="1429" w:right="-142"/>
        <w:rPr>
          <w:sz w:val="20"/>
          <w:szCs w:val="20"/>
        </w:rPr>
      </w:pPr>
    </w:p>
    <w:p w:rsidR="00A47F9A" w:rsidRPr="00BA1D95" w:rsidRDefault="00822CBB" w:rsidP="00A74460">
      <w:pPr>
        <w:pStyle w:val="1TitPrin"/>
        <w:numPr>
          <w:ilvl w:val="1"/>
          <w:numId w:val="182"/>
        </w:numPr>
        <w:outlineLvl w:val="1"/>
      </w:pPr>
      <w:bookmarkStart w:id="664" w:name="_Toc525904581"/>
      <w:bookmarkStart w:id="665" w:name="_Toc525913977"/>
      <w:bookmarkStart w:id="666" w:name="_Toc525919216"/>
      <w:bookmarkStart w:id="667" w:name="_Toc525919340"/>
      <w:bookmarkStart w:id="668" w:name="_Toc2957150"/>
      <w:bookmarkStart w:id="669" w:name="_Toc26273085"/>
      <w:bookmarkStart w:id="670" w:name="_Toc26284482"/>
      <w:bookmarkStart w:id="671" w:name="_Toc54106586"/>
      <w:r w:rsidRPr="00041BA6">
        <w:t>Lista de servicios digitales aplicables</w:t>
      </w:r>
      <w:bookmarkEnd w:id="664"/>
      <w:bookmarkEnd w:id="665"/>
      <w:bookmarkEnd w:id="666"/>
      <w:bookmarkEnd w:id="667"/>
      <w:bookmarkEnd w:id="668"/>
      <w:bookmarkEnd w:id="669"/>
      <w:bookmarkEnd w:id="670"/>
      <w:bookmarkEnd w:id="671"/>
    </w:p>
    <w:p w:rsidR="00A47F9A" w:rsidRPr="00BA1D95" w:rsidRDefault="00A47F9A" w:rsidP="005F1B8C">
      <w:pPr>
        <w:pStyle w:val="Citaift0"/>
        <w:ind w:right="-142"/>
        <w:rPr>
          <w:i w:val="0"/>
          <w:sz w:val="22"/>
          <w:szCs w:val="22"/>
        </w:rPr>
      </w:pPr>
      <w:r w:rsidRPr="00BA1D95">
        <w:rPr>
          <w:i w:val="0"/>
          <w:sz w:val="22"/>
          <w:szCs w:val="22"/>
        </w:rPr>
        <w:t xml:space="preserve">Los servicios digitales serán: </w:t>
      </w:r>
    </w:p>
    <w:p w:rsidR="00A47F9A" w:rsidRPr="00BA1D95" w:rsidRDefault="00A47F9A" w:rsidP="0067789B">
      <w:pPr>
        <w:pStyle w:val="Citaift0"/>
        <w:numPr>
          <w:ilvl w:val="0"/>
          <w:numId w:val="109"/>
        </w:numPr>
        <w:spacing w:after="0"/>
        <w:ind w:left="1570" w:right="-142" w:hanging="357"/>
        <w:rPr>
          <w:i w:val="0"/>
          <w:sz w:val="22"/>
          <w:szCs w:val="22"/>
        </w:rPr>
      </w:pPr>
      <w:r w:rsidRPr="00BA1D95">
        <w:rPr>
          <w:i w:val="0"/>
          <w:sz w:val="22"/>
          <w:szCs w:val="22"/>
        </w:rPr>
        <w:t xml:space="preserve">Tres a la Vez, </w:t>
      </w:r>
    </w:p>
    <w:p w:rsidR="00A47F9A" w:rsidRPr="00BA1D95" w:rsidRDefault="00A47F9A" w:rsidP="0067789B">
      <w:pPr>
        <w:pStyle w:val="Citaift0"/>
        <w:numPr>
          <w:ilvl w:val="0"/>
          <w:numId w:val="109"/>
        </w:numPr>
        <w:spacing w:after="0"/>
        <w:ind w:left="1570" w:right="-142" w:hanging="357"/>
        <w:rPr>
          <w:i w:val="0"/>
          <w:sz w:val="22"/>
          <w:szCs w:val="22"/>
        </w:rPr>
      </w:pPr>
      <w:r w:rsidRPr="00BA1D95">
        <w:rPr>
          <w:i w:val="0"/>
          <w:sz w:val="22"/>
          <w:szCs w:val="22"/>
        </w:rPr>
        <w:t xml:space="preserve">Sígueme, </w:t>
      </w:r>
    </w:p>
    <w:p w:rsidR="00A47F9A" w:rsidRPr="00BA1D95" w:rsidRDefault="00A47F9A" w:rsidP="0067789B">
      <w:pPr>
        <w:pStyle w:val="Citaift0"/>
        <w:numPr>
          <w:ilvl w:val="0"/>
          <w:numId w:val="109"/>
        </w:numPr>
        <w:spacing w:after="0"/>
        <w:ind w:left="1570" w:right="-142" w:hanging="357"/>
        <w:rPr>
          <w:i w:val="0"/>
          <w:sz w:val="22"/>
          <w:szCs w:val="22"/>
        </w:rPr>
      </w:pPr>
      <w:proofErr w:type="spellStart"/>
      <w:r w:rsidRPr="00BA1D95">
        <w:rPr>
          <w:iCs/>
          <w:sz w:val="22"/>
          <w:szCs w:val="22"/>
        </w:rPr>
        <w:t>Caller</w:t>
      </w:r>
      <w:proofErr w:type="spellEnd"/>
      <w:r w:rsidRPr="00BA1D95">
        <w:rPr>
          <w:i w:val="0"/>
          <w:sz w:val="22"/>
          <w:szCs w:val="22"/>
        </w:rPr>
        <w:t xml:space="preserve"> ID,</w:t>
      </w:r>
    </w:p>
    <w:p w:rsidR="00A47F9A" w:rsidRDefault="00A47F9A" w:rsidP="0067789B">
      <w:pPr>
        <w:pStyle w:val="Citaift0"/>
        <w:numPr>
          <w:ilvl w:val="0"/>
          <w:numId w:val="109"/>
        </w:numPr>
        <w:spacing w:after="0"/>
        <w:ind w:left="1570" w:right="-142" w:hanging="357"/>
        <w:rPr>
          <w:i w:val="0"/>
          <w:sz w:val="22"/>
          <w:szCs w:val="22"/>
        </w:rPr>
      </w:pPr>
      <w:r w:rsidRPr="00BA1D95">
        <w:rPr>
          <w:i w:val="0"/>
          <w:sz w:val="22"/>
          <w:szCs w:val="22"/>
        </w:rPr>
        <w:t xml:space="preserve">Llamada en Espera.  </w:t>
      </w:r>
    </w:p>
    <w:p w:rsidR="00E938FD" w:rsidRDefault="00E938FD">
      <w:pPr>
        <w:pStyle w:val="Citaift0"/>
        <w:spacing w:after="0"/>
        <w:ind w:left="1570" w:right="-142"/>
        <w:rPr>
          <w:i w:val="0"/>
          <w:sz w:val="22"/>
          <w:szCs w:val="22"/>
        </w:rPr>
      </w:pPr>
    </w:p>
    <w:p w:rsidR="00A47F9A" w:rsidRDefault="00A47F9A" w:rsidP="00043139">
      <w:pPr>
        <w:pStyle w:val="Citaift0"/>
        <w:ind w:right="0"/>
        <w:rPr>
          <w:i w:val="0"/>
          <w:sz w:val="22"/>
          <w:szCs w:val="22"/>
        </w:rPr>
      </w:pPr>
      <w:r w:rsidRPr="00BA1D95">
        <w:rPr>
          <w:rFonts w:eastAsia="MS Mincho"/>
          <w:bCs/>
          <w:i w:val="0"/>
          <w:color w:val="auto"/>
          <w:sz w:val="22"/>
          <w:szCs w:val="22"/>
          <w:lang w:eastAsia="en-US"/>
        </w:rPr>
        <w:t>Po</w:t>
      </w:r>
      <w:r w:rsidRPr="00BA1D95">
        <w:rPr>
          <w:i w:val="0"/>
          <w:sz w:val="22"/>
          <w:szCs w:val="22"/>
        </w:rPr>
        <w:t>r la naturaleza de estos servicios, deberán seguir siendo proporcionados y administrados por la central que origina la llamada, en este caso por la central de</w:t>
      </w:r>
      <w:r w:rsidR="00CE5ABA">
        <w:rPr>
          <w:i w:val="0"/>
          <w:sz w:val="22"/>
          <w:szCs w:val="22"/>
        </w:rPr>
        <w:t>l AEP</w:t>
      </w:r>
      <w:r w:rsidRPr="00BA1D95">
        <w:rPr>
          <w:i w:val="0"/>
          <w:sz w:val="22"/>
          <w:szCs w:val="22"/>
        </w:rPr>
        <w:t xml:space="preserve">, de acuerdo con lo requerido por el CS en el </w:t>
      </w:r>
      <w:r w:rsidR="006B5A23">
        <w:rPr>
          <w:i w:val="0"/>
          <w:sz w:val="22"/>
          <w:szCs w:val="22"/>
        </w:rPr>
        <w:t>SEG</w:t>
      </w:r>
      <w:r w:rsidRPr="00BA1D95">
        <w:rPr>
          <w:i w:val="0"/>
          <w:sz w:val="22"/>
          <w:szCs w:val="22"/>
        </w:rPr>
        <w:t>. La activación/desactivación de facilidades no se entrega al CS.</w:t>
      </w:r>
    </w:p>
    <w:p w:rsidR="006077C0" w:rsidRPr="00BA1D95" w:rsidRDefault="006077C0" w:rsidP="00043139">
      <w:pPr>
        <w:pStyle w:val="Citaift0"/>
        <w:ind w:right="0"/>
        <w:rPr>
          <w:i w:val="0"/>
          <w:sz w:val="22"/>
          <w:szCs w:val="22"/>
        </w:rPr>
      </w:pPr>
    </w:p>
    <w:p w:rsidR="00A47F9A" w:rsidRPr="00BA1D95" w:rsidRDefault="00A47F9A" w:rsidP="00A74460">
      <w:pPr>
        <w:pStyle w:val="1TitPrin"/>
        <w:numPr>
          <w:ilvl w:val="1"/>
          <w:numId w:val="182"/>
        </w:numPr>
        <w:outlineLvl w:val="1"/>
      </w:pPr>
      <w:bookmarkStart w:id="672" w:name="_Toc525904582"/>
      <w:bookmarkStart w:id="673" w:name="_Toc525913978"/>
      <w:bookmarkStart w:id="674" w:name="_Toc525919217"/>
      <w:bookmarkStart w:id="675" w:name="_Toc525919341"/>
      <w:bookmarkStart w:id="676" w:name="_Toc2957151"/>
      <w:bookmarkStart w:id="677" w:name="_Toc26273086"/>
      <w:bookmarkStart w:id="678" w:name="_Toc26284483"/>
      <w:bookmarkStart w:id="679" w:name="_Toc54106587"/>
      <w:r w:rsidRPr="00BA1D95">
        <w:lastRenderedPageBreak/>
        <w:t>Interfaces de Usuario y de Red</w:t>
      </w:r>
      <w:bookmarkEnd w:id="672"/>
      <w:bookmarkEnd w:id="673"/>
      <w:bookmarkEnd w:id="674"/>
      <w:bookmarkEnd w:id="675"/>
      <w:bookmarkEnd w:id="676"/>
      <w:bookmarkEnd w:id="677"/>
      <w:bookmarkEnd w:id="678"/>
      <w:bookmarkEnd w:id="679"/>
    </w:p>
    <w:p w:rsidR="00A47F9A" w:rsidRPr="00BA1D95" w:rsidRDefault="00A47F9A" w:rsidP="0067789B">
      <w:pPr>
        <w:pStyle w:val="IFTnormal"/>
        <w:numPr>
          <w:ilvl w:val="0"/>
          <w:numId w:val="83"/>
        </w:numPr>
        <w:spacing w:after="120"/>
        <w:ind w:left="1134" w:right="-142" w:hanging="425"/>
        <w:rPr>
          <w:rFonts w:cs="Arial"/>
        </w:rPr>
      </w:pPr>
      <w:r w:rsidRPr="00BA1D95">
        <w:rPr>
          <w:rFonts w:cs="Arial"/>
        </w:rPr>
        <w:t>La interfaz de conexión del usuario final se mantiene sin cambio respecto al servicio</w:t>
      </w:r>
      <w:r w:rsidR="00233F40">
        <w:rPr>
          <w:rFonts w:cs="Arial"/>
        </w:rPr>
        <w:t xml:space="preserve"> </w:t>
      </w:r>
      <w:r w:rsidRPr="00BA1D95">
        <w:rPr>
          <w:rFonts w:cs="Arial"/>
        </w:rPr>
        <w:t xml:space="preserve">actualmente en operación, es decir, a través del aparato telefónico conectado a la línea. </w:t>
      </w:r>
    </w:p>
    <w:p w:rsidR="00A47F9A" w:rsidRPr="00BA1D95" w:rsidRDefault="00A47F9A" w:rsidP="0067789B">
      <w:pPr>
        <w:pStyle w:val="IFTnormal"/>
        <w:numPr>
          <w:ilvl w:val="0"/>
          <w:numId w:val="83"/>
        </w:numPr>
        <w:spacing w:after="120"/>
        <w:ind w:left="1134" w:right="-142" w:hanging="425"/>
        <w:rPr>
          <w:rFonts w:cs="Arial"/>
        </w:rPr>
      </w:pPr>
      <w:r w:rsidRPr="00BA1D95">
        <w:rPr>
          <w:rFonts w:cs="Arial"/>
        </w:rPr>
        <w:t>Interfaz de red: El tráfico generado por el usuario final se entregará al CS a través de las rutas ya definidas para el intercambio del tráfico, con las adiciones a la señalización indicada en la tabla anterior “Casos de Tráfico, Marcaciones y el envío de Dígitos”.</w:t>
      </w:r>
    </w:p>
    <w:p w:rsidR="00A47F9A" w:rsidRPr="00BA1D95" w:rsidRDefault="00A47F9A" w:rsidP="00A74460">
      <w:pPr>
        <w:pStyle w:val="1TitPrin"/>
        <w:numPr>
          <w:ilvl w:val="1"/>
          <w:numId w:val="182"/>
        </w:numPr>
        <w:outlineLvl w:val="1"/>
      </w:pPr>
      <w:bookmarkStart w:id="680" w:name="_Toc26273087"/>
      <w:bookmarkStart w:id="681" w:name="_Toc26284484"/>
      <w:bookmarkStart w:id="682" w:name="_Toc525904583"/>
      <w:bookmarkStart w:id="683" w:name="_Toc525913979"/>
      <w:bookmarkStart w:id="684" w:name="_Toc525919218"/>
      <w:bookmarkStart w:id="685" w:name="_Toc525919342"/>
      <w:bookmarkStart w:id="686" w:name="_Toc2957152"/>
      <w:bookmarkStart w:id="687" w:name="_Toc54106588"/>
      <w:r w:rsidRPr="00BA1D95">
        <w:t>Otros aspectos del servicio</w:t>
      </w:r>
      <w:bookmarkEnd w:id="680"/>
      <w:bookmarkEnd w:id="681"/>
      <w:bookmarkEnd w:id="682"/>
      <w:bookmarkEnd w:id="683"/>
      <w:bookmarkEnd w:id="684"/>
      <w:bookmarkEnd w:id="685"/>
      <w:bookmarkEnd w:id="686"/>
      <w:bookmarkEnd w:id="687"/>
    </w:p>
    <w:p w:rsidR="00A47F9A" w:rsidRPr="00BA1D95" w:rsidRDefault="00A47F9A" w:rsidP="0067789B">
      <w:pPr>
        <w:pStyle w:val="IFTnormal"/>
        <w:spacing w:after="120"/>
        <w:ind w:left="709" w:right="-142"/>
        <w:rPr>
          <w:rFonts w:cs="Arial"/>
        </w:rPr>
      </w:pPr>
      <w:r w:rsidRPr="00BA1D95">
        <w:rPr>
          <w:rFonts w:cs="Arial"/>
        </w:rPr>
        <w:t>La implementación del servicio estará en función de:</w:t>
      </w:r>
    </w:p>
    <w:p w:rsidR="00A47F9A" w:rsidRPr="00BA1D95" w:rsidRDefault="00A47F9A" w:rsidP="0067789B">
      <w:pPr>
        <w:pStyle w:val="IFTnormal"/>
        <w:numPr>
          <w:ilvl w:val="0"/>
          <w:numId w:val="84"/>
        </w:numPr>
        <w:spacing w:after="120"/>
        <w:ind w:left="1134" w:right="-142" w:hanging="425"/>
        <w:rPr>
          <w:rFonts w:cs="Arial"/>
        </w:rPr>
      </w:pPr>
      <w:r w:rsidRPr="00BA1D95">
        <w:rPr>
          <w:rFonts w:cs="Arial"/>
        </w:rPr>
        <w:t xml:space="preserve">La definición de puntos de interconexión de cada CS es donde tenga presencia. </w:t>
      </w:r>
    </w:p>
    <w:p w:rsidR="00A47F9A" w:rsidRPr="003223FC" w:rsidRDefault="00A47F9A" w:rsidP="0067789B">
      <w:pPr>
        <w:pStyle w:val="IFTnormal"/>
        <w:numPr>
          <w:ilvl w:val="0"/>
          <w:numId w:val="84"/>
        </w:numPr>
        <w:spacing w:after="120"/>
        <w:ind w:left="1134" w:right="-142" w:hanging="425"/>
        <w:rPr>
          <w:rFonts w:cs="Arial"/>
          <w:b/>
          <w:lang w:val="es-ES_tradnl"/>
        </w:rPr>
      </w:pPr>
      <w:r w:rsidRPr="00BA1D95">
        <w:rPr>
          <w:rFonts w:cs="Arial"/>
        </w:rPr>
        <w:t xml:space="preserve">Previamente a la implementación de este servicio, será necesaria la realización de pruebas de interconexión en la primera central, donde se apliquen los desarrollos establecidos. </w:t>
      </w:r>
    </w:p>
    <w:p w:rsidR="00A47F9A" w:rsidRPr="00BA1D95" w:rsidRDefault="00A47F9A" w:rsidP="00A74460">
      <w:pPr>
        <w:pStyle w:val="1TitPrin"/>
        <w:numPr>
          <w:ilvl w:val="1"/>
          <w:numId w:val="182"/>
        </w:numPr>
        <w:outlineLvl w:val="1"/>
      </w:pPr>
      <w:bookmarkStart w:id="688" w:name="_Toc525904584"/>
      <w:bookmarkStart w:id="689" w:name="_Toc525913980"/>
      <w:bookmarkStart w:id="690" w:name="_Toc525919219"/>
      <w:bookmarkStart w:id="691" w:name="_Toc525919343"/>
      <w:bookmarkStart w:id="692" w:name="_Toc2957153"/>
      <w:bookmarkStart w:id="693" w:name="_Toc26273088"/>
      <w:bookmarkStart w:id="694" w:name="_Toc26284485"/>
      <w:bookmarkStart w:id="695" w:name="_Toc54106589"/>
      <w:r w:rsidRPr="00BA1D95">
        <w:t>Procedimientos de contratación, modificación y baja del SRMLT</w:t>
      </w:r>
      <w:bookmarkEnd w:id="688"/>
      <w:bookmarkEnd w:id="689"/>
      <w:bookmarkEnd w:id="690"/>
      <w:bookmarkEnd w:id="691"/>
      <w:bookmarkEnd w:id="692"/>
      <w:bookmarkEnd w:id="693"/>
      <w:bookmarkEnd w:id="694"/>
      <w:bookmarkEnd w:id="695"/>
    </w:p>
    <w:p w:rsidR="00CD3EEE" w:rsidRPr="00BA1D95" w:rsidRDefault="00CD3EEE" w:rsidP="004B11EB">
      <w:pPr>
        <w:pStyle w:val="IFTnormal"/>
        <w:rPr>
          <w:rFonts w:cs="Arial"/>
          <w:b/>
        </w:rPr>
      </w:pPr>
      <w:r w:rsidRPr="00BA1D95">
        <w:rPr>
          <w:rFonts w:cs="Arial"/>
          <w:b/>
        </w:rPr>
        <w:t>Procedimiento de Activación en Central</w:t>
      </w:r>
    </w:p>
    <w:p w:rsidR="00CD3EEE" w:rsidRPr="00BA1D95" w:rsidRDefault="00CD3EEE" w:rsidP="004B11EB">
      <w:pPr>
        <w:pStyle w:val="IFTnormal"/>
        <w:rPr>
          <w:rFonts w:cs="Arial"/>
        </w:rPr>
      </w:pPr>
      <w:r w:rsidRPr="00BA1D95">
        <w:rPr>
          <w:rFonts w:cs="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p>
    <w:tbl>
      <w:tblPr>
        <w:tblW w:w="48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30"/>
        <w:gridCol w:w="5731"/>
      </w:tblGrid>
      <w:tr w:rsidR="00CD3EEE" w:rsidRPr="00BA1D95" w:rsidTr="00366F2B">
        <w:trPr>
          <w:trHeight w:val="143"/>
          <w:tblHeader/>
          <w:jc w:val="center"/>
        </w:trPr>
        <w:tc>
          <w:tcPr>
            <w:tcW w:w="1729"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Etapa</w:t>
            </w:r>
          </w:p>
        </w:tc>
        <w:tc>
          <w:tcPr>
            <w:tcW w:w="3271"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907A12">
        <w:trPr>
          <w:trHeight w:val="143"/>
          <w:jc w:val="center"/>
        </w:trPr>
        <w:tc>
          <w:tcPr>
            <w:tcW w:w="1729"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 xml:space="preserve">Envío de solicitud y Validación de solicitud </w:t>
            </w:r>
          </w:p>
          <w:p w:rsidR="00CD3EEE" w:rsidRPr="00BA1D95" w:rsidRDefault="00CD3EEE" w:rsidP="0023172A">
            <w:pPr>
              <w:pStyle w:val="IFTnormal"/>
              <w:jc w:val="left"/>
              <w:rPr>
                <w:rFonts w:cs="Arial"/>
                <w:b/>
                <w:sz w:val="20"/>
                <w:szCs w:val="20"/>
                <w:lang w:eastAsia="es-MX"/>
              </w:rPr>
            </w:pPr>
          </w:p>
        </w:tc>
        <w:tc>
          <w:tcPr>
            <w:tcW w:w="3271"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presentar sus solicitudes en el formato correspondiente a través del </w:t>
            </w:r>
            <w:r w:rsidR="006B5A23">
              <w:rPr>
                <w:rFonts w:cs="Arial"/>
                <w:sz w:val="20"/>
                <w:szCs w:val="20"/>
                <w:lang w:eastAsia="es-MX"/>
              </w:rPr>
              <w:t>SEG</w:t>
            </w:r>
            <w:r w:rsidRPr="00BA1D95">
              <w:rPr>
                <w:rFonts w:cs="Arial"/>
                <w:sz w:val="20"/>
                <w:szCs w:val="20"/>
                <w:lang w:eastAsia="es-MX"/>
              </w:rPr>
              <w:t xml:space="preserve">, realizando en línea y a través del </w:t>
            </w:r>
            <w:r w:rsidR="006B5A23">
              <w:rPr>
                <w:rFonts w:cs="Arial"/>
                <w:sz w:val="20"/>
                <w:szCs w:val="20"/>
                <w:lang w:eastAsia="es-MX"/>
              </w:rPr>
              <w:t>SEG</w:t>
            </w:r>
            <w:r w:rsidRPr="00BA1D95">
              <w:rPr>
                <w:rFonts w:cs="Arial"/>
                <w:sz w:val="20"/>
                <w:szCs w:val="20"/>
                <w:lang w:eastAsia="es-MX"/>
              </w:rPr>
              <w:t xml:space="preserve"> la validación necesaria para iniciar con la etapa de Factibilidad Técnica, así como seleccionado la siguiente información:</w:t>
            </w:r>
          </w:p>
          <w:p w:rsidR="00CD3EEE" w:rsidRPr="00BA1D95" w:rsidRDefault="00CD3EEE"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Central en donde requiere el servicio</w:t>
            </w:r>
          </w:p>
          <w:p w:rsidR="00CD3EEE" w:rsidRPr="00BA1D95" w:rsidRDefault="00CD3EEE" w:rsidP="00D37C98">
            <w:pPr>
              <w:pStyle w:val="IFTnormal"/>
              <w:numPr>
                <w:ilvl w:val="0"/>
                <w:numId w:val="50"/>
              </w:numPr>
              <w:spacing w:after="120" w:line="240" w:lineRule="auto"/>
              <w:rPr>
                <w:rFonts w:cs="Arial"/>
                <w:sz w:val="20"/>
                <w:szCs w:val="20"/>
                <w:lang w:eastAsia="es-MX"/>
              </w:rPr>
            </w:pPr>
            <w:r w:rsidRPr="00BA1D95">
              <w:rPr>
                <w:rFonts w:cs="Arial"/>
                <w:sz w:val="20"/>
                <w:szCs w:val="20"/>
                <w:lang w:eastAsia="es-MX"/>
              </w:rPr>
              <w:t>Código de identificación de Operador</w:t>
            </w:r>
          </w:p>
          <w:p w:rsidR="00CD3EEE" w:rsidRPr="00BA1D95" w:rsidRDefault="00CD3EEE" w:rsidP="0023172A">
            <w:pPr>
              <w:pStyle w:val="IFTnormal"/>
              <w:spacing w:before="240"/>
              <w:rPr>
                <w:rFonts w:cs="Arial"/>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en que tendrá lista la Factibilidad Técnica.</w:t>
            </w:r>
          </w:p>
          <w:p w:rsidR="00CD3EEE" w:rsidRPr="00BA1D95" w:rsidRDefault="00A37F6C" w:rsidP="00F0308A">
            <w:pPr>
              <w:pStyle w:val="IFTnormal"/>
              <w:spacing w:after="120" w:line="240" w:lineRule="auto"/>
              <w:rPr>
                <w:rFonts w:cs="Arial"/>
                <w:sz w:val="20"/>
                <w:szCs w:val="20"/>
                <w:lang w:eastAsia="es-MX"/>
              </w:rPr>
            </w:pPr>
            <w:r w:rsidRPr="00BA1D95">
              <w:rPr>
                <w:rFonts w:cs="Arial"/>
                <w:sz w:val="20"/>
                <w:szCs w:val="20"/>
                <w:lang w:eastAsia="es-MX"/>
              </w:rPr>
              <w:t xml:space="preserve">Para el caso de cliente nuevo sin domicilio registrado en la base de datos, el </w:t>
            </w:r>
            <w:r w:rsidR="006B5A23">
              <w:rPr>
                <w:rFonts w:cs="Arial"/>
                <w:sz w:val="20"/>
                <w:szCs w:val="20"/>
                <w:lang w:eastAsia="es-MX"/>
              </w:rPr>
              <w:t>SEG</w:t>
            </w:r>
            <w:r w:rsidRPr="00BA1D95">
              <w:rPr>
                <w:rFonts w:cs="Arial"/>
                <w:sz w:val="20"/>
                <w:szCs w:val="20"/>
                <w:lang w:eastAsia="es-MX"/>
              </w:rPr>
              <w:t xml:space="preserve"> permitirá concluir con el procedimiento de Alta como Usuario Nuevo, asimismo </w:t>
            </w:r>
            <w:r w:rsidR="005D3F2A" w:rsidRPr="00BA1D95">
              <w:rPr>
                <w:rFonts w:cs="Arial"/>
                <w:sz w:val="20"/>
                <w:szCs w:val="20"/>
                <w:lang w:eastAsia="es-MX"/>
              </w:rPr>
              <w:t xml:space="preserve">se </w:t>
            </w:r>
            <w:r w:rsidRPr="00BA1D95">
              <w:rPr>
                <w:rFonts w:cs="Arial"/>
                <w:sz w:val="20"/>
                <w:szCs w:val="20"/>
                <w:lang w:eastAsia="es-MX"/>
              </w:rPr>
              <w:t xml:space="preserve">registrará el domicilio en la base de </w:t>
            </w:r>
            <w:r w:rsidRPr="00BA1D95">
              <w:rPr>
                <w:rFonts w:cs="Arial"/>
                <w:sz w:val="20"/>
                <w:szCs w:val="20"/>
                <w:lang w:eastAsia="es-MX"/>
              </w:rPr>
              <w:lastRenderedPageBreak/>
              <w:t xml:space="preserve">datos en un plazo máximo de </w:t>
            </w:r>
            <w:r w:rsidR="0021639A">
              <w:rPr>
                <w:rFonts w:cs="Arial"/>
                <w:sz w:val="20"/>
                <w:szCs w:val="20"/>
                <w:lang w:eastAsia="es-MX"/>
              </w:rPr>
              <w:t>48</w:t>
            </w:r>
            <w:r w:rsidRPr="00BA1D95">
              <w:rPr>
                <w:rFonts w:cs="Arial"/>
                <w:sz w:val="20"/>
                <w:szCs w:val="20"/>
                <w:lang w:eastAsia="es-MX"/>
              </w:rPr>
              <w:t xml:space="preserve"> horas. </w:t>
            </w:r>
          </w:p>
        </w:tc>
      </w:tr>
      <w:tr w:rsidR="00CD3EEE" w:rsidRPr="00BA1D95" w:rsidTr="00907A12">
        <w:trPr>
          <w:trHeight w:val="5155"/>
          <w:jc w:val="center"/>
        </w:trPr>
        <w:tc>
          <w:tcPr>
            <w:tcW w:w="1729" w:type="pct"/>
            <w:shd w:val="clear" w:color="auto" w:fill="auto"/>
          </w:tcPr>
          <w:p w:rsidR="00CD3EEE" w:rsidRPr="00BA1D95" w:rsidRDefault="00CD3EEE" w:rsidP="0023172A">
            <w:pPr>
              <w:pStyle w:val="IFTnormal"/>
              <w:jc w:val="left"/>
              <w:rPr>
                <w:rFonts w:cs="Arial"/>
                <w:sz w:val="20"/>
                <w:szCs w:val="20"/>
                <w:lang w:eastAsia="es-MX"/>
              </w:rPr>
            </w:pPr>
            <w:r w:rsidRPr="00BA1D95">
              <w:rPr>
                <w:rFonts w:cs="Arial"/>
                <w:b/>
                <w:sz w:val="20"/>
                <w:szCs w:val="20"/>
                <w:lang w:eastAsia="es-MX"/>
              </w:rPr>
              <w:lastRenderedPageBreak/>
              <w:t>Factibilidad Técnica</w:t>
            </w:r>
          </w:p>
        </w:tc>
        <w:tc>
          <w:tcPr>
            <w:tcW w:w="3271"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Durante el análisis de Factibilidad Técnica,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 xml:space="preserve">determinará si existen los recursos técnicos y facilidades para habilitar en la Central la configuración del servicio </w:t>
            </w:r>
            <w:r w:rsidR="002933E9" w:rsidRPr="00BA1D95">
              <w:rPr>
                <w:rFonts w:cs="Arial"/>
                <w:sz w:val="20"/>
                <w:szCs w:val="20"/>
                <w:lang w:eastAsia="es-MX"/>
              </w:rPr>
              <w:t xml:space="preserve">en </w:t>
            </w:r>
            <w:r w:rsidR="002933E9">
              <w:rPr>
                <w:rFonts w:cs="Arial"/>
                <w:sz w:val="20"/>
                <w:szCs w:val="20"/>
                <w:lang w:eastAsia="es-MX"/>
              </w:rPr>
              <w:t>el plazo establecido para tal efecto</w:t>
            </w:r>
            <w:r w:rsidR="008D47FE">
              <w:rPr>
                <w:rFonts w:cs="Arial"/>
                <w:sz w:val="20"/>
                <w:szCs w:val="20"/>
                <w:lang w:eastAsia="es-MX"/>
              </w:rPr>
              <w:t xml:space="preserve"> en la sección de Plazos de este servicio</w:t>
            </w:r>
            <w:r w:rsidR="002933E9">
              <w:rPr>
                <w:rFonts w:cs="Arial"/>
                <w:sz w:val="20"/>
                <w:szCs w:val="20"/>
                <w:lang w:eastAsia="es-MX"/>
              </w:rPr>
              <w:t xml:space="preserve"> en la presente OREDA</w:t>
            </w:r>
            <w:r w:rsidR="002933E9" w:rsidRPr="00BA1D95">
              <w:rPr>
                <w:rFonts w:cs="Arial"/>
                <w:sz w:val="20"/>
                <w:szCs w:val="20"/>
                <w:lang w:eastAsia="es-MX"/>
              </w:rPr>
              <w:t>:</w:t>
            </w:r>
          </w:p>
          <w:p w:rsidR="00CD3EEE" w:rsidRPr="00BA1D95" w:rsidRDefault="00CD3EEE"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Si el servicio es factible</w:t>
            </w:r>
            <w:r w:rsidRPr="00BA1D95">
              <w:rPr>
                <w:rFonts w:cs="Arial"/>
                <w:sz w:val="20"/>
                <w:szCs w:val="20"/>
                <w:lang w:eastAsia="es-MX"/>
              </w:rPr>
              <w:t>, se continuará con el proceso de configuración de la solución.</w:t>
            </w:r>
          </w:p>
          <w:p w:rsidR="00CD3EEE" w:rsidRPr="00BA1D95" w:rsidRDefault="00CD3EEE" w:rsidP="00D37C98">
            <w:pPr>
              <w:pStyle w:val="IFTnormal"/>
              <w:numPr>
                <w:ilvl w:val="0"/>
                <w:numId w:val="51"/>
              </w:numPr>
              <w:ind w:left="318" w:hanging="318"/>
              <w:rPr>
                <w:rFonts w:cs="Arial"/>
                <w:sz w:val="20"/>
                <w:szCs w:val="20"/>
                <w:lang w:eastAsia="es-MX"/>
              </w:rPr>
            </w:pPr>
            <w:r w:rsidRPr="00BA1D95">
              <w:rPr>
                <w:rFonts w:cs="Arial"/>
                <w:b/>
                <w:sz w:val="20"/>
                <w:szCs w:val="20"/>
                <w:lang w:eastAsia="es-MX"/>
              </w:rPr>
              <w:t>Si no es factible proporcionar el servicio</w:t>
            </w:r>
            <w:r w:rsidRPr="00BA1D95">
              <w:rPr>
                <w:rFonts w:cs="Arial"/>
                <w:sz w:val="20"/>
                <w:szCs w:val="20"/>
                <w:lang w:eastAsia="es-MX"/>
              </w:rPr>
              <w:t>, se informará al CS la justificación de los motivos, así como las evidencias correspondientes.</w:t>
            </w:r>
          </w:p>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Después de revisada la factibilidad en </w:t>
            </w:r>
            <w:r w:rsidR="00E06DD7" w:rsidRPr="00BA1D95">
              <w:rPr>
                <w:rFonts w:cs="Arial"/>
                <w:sz w:val="20"/>
                <w:szCs w:val="20"/>
                <w:lang w:eastAsia="es-MX"/>
              </w:rPr>
              <w:t>Central</w:t>
            </w:r>
            <w:r w:rsidRPr="00BA1D95">
              <w:rPr>
                <w:rFonts w:cs="Arial"/>
                <w:sz w:val="20"/>
                <w:szCs w:val="20"/>
                <w:lang w:eastAsia="es-MX"/>
              </w:rPr>
              <w:t xml:space="preserve"> se procederá directamente a la etapa de configuración de la solución en central.</w:t>
            </w:r>
          </w:p>
          <w:p w:rsidR="00CD3EEE" w:rsidRPr="00BA1D95" w:rsidRDefault="00BC6E5C" w:rsidP="00041BA6">
            <w:pPr>
              <w:pStyle w:val="IFTnormal"/>
              <w:rPr>
                <w:rFonts w:cs="Arial"/>
                <w:sz w:val="20"/>
                <w:szCs w:val="20"/>
                <w:lang w:eastAsia="es-MX"/>
              </w:rPr>
            </w:pPr>
            <w:r w:rsidRPr="00BA1D95">
              <w:rPr>
                <w:rFonts w:cs="Arial"/>
                <w:sz w:val="20"/>
                <w:szCs w:val="20"/>
                <w:lang w:eastAsia="es-MX"/>
              </w:rPr>
              <w:t xml:space="preserve">En caso de no existir facilidades de acuerdo con lo previsto en el apartado 1.4, a través del </w:t>
            </w:r>
            <w:r w:rsidR="006B5A23">
              <w:rPr>
                <w:rFonts w:cs="Arial"/>
                <w:sz w:val="20"/>
                <w:szCs w:val="20"/>
                <w:lang w:eastAsia="es-MX"/>
              </w:rPr>
              <w:t>SEG</w:t>
            </w:r>
            <w:r w:rsidRPr="00BA1D95">
              <w:rPr>
                <w:rFonts w:cs="Arial"/>
                <w:sz w:val="20"/>
                <w:szCs w:val="20"/>
                <w:lang w:eastAsia="es-MX"/>
              </w:rPr>
              <w:t xml:space="preserve">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 xml:space="preserve">notificará al CS la justificación y las evidencias correspondientes. </w:t>
            </w:r>
            <w:r w:rsidR="00CD3EEE" w:rsidRPr="00BA1D95">
              <w:rPr>
                <w:rFonts w:cs="Arial"/>
                <w:sz w:val="20"/>
                <w:szCs w:val="20"/>
                <w:lang w:eastAsia="es-MX"/>
              </w:rPr>
              <w:t>Nota: Este paso se aplica sólo para la primera solicitud que se realice en una central por cada CS.</w:t>
            </w:r>
          </w:p>
        </w:tc>
      </w:tr>
      <w:tr w:rsidR="00CD3EEE" w:rsidRPr="00BA1D95" w:rsidTr="00907A12">
        <w:trPr>
          <w:trHeight w:val="1791"/>
          <w:jc w:val="center"/>
        </w:trPr>
        <w:tc>
          <w:tcPr>
            <w:tcW w:w="1729"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 xml:space="preserve">Configuración de la Solución SRMLT en Central </w:t>
            </w:r>
          </w:p>
        </w:tc>
        <w:tc>
          <w:tcPr>
            <w:tcW w:w="3271"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Una vez determinada la factibilidad Técnica en central se procederá con la configuración de los datos, la cual se llevará a cabo </w:t>
            </w:r>
            <w:r w:rsidR="002933E9" w:rsidRPr="00BA1D95">
              <w:rPr>
                <w:rFonts w:cs="Arial"/>
                <w:sz w:val="20"/>
                <w:szCs w:val="20"/>
                <w:lang w:eastAsia="es-MX"/>
              </w:rPr>
              <w:t xml:space="preserve">en </w:t>
            </w:r>
            <w:r w:rsidR="002933E9">
              <w:rPr>
                <w:rFonts w:cs="Arial"/>
                <w:sz w:val="20"/>
                <w:szCs w:val="20"/>
                <w:lang w:eastAsia="es-MX"/>
              </w:rPr>
              <w:t>el plazo establecido para tal efecto</w:t>
            </w:r>
            <w:r w:rsidR="008D47FE">
              <w:rPr>
                <w:rFonts w:cs="Arial"/>
                <w:sz w:val="20"/>
                <w:szCs w:val="20"/>
                <w:lang w:eastAsia="es-MX"/>
              </w:rPr>
              <w:t xml:space="preserve"> en la sección de Plazos de este servicio</w:t>
            </w:r>
            <w:r w:rsidR="002933E9">
              <w:rPr>
                <w:rFonts w:cs="Arial"/>
                <w:sz w:val="20"/>
                <w:szCs w:val="20"/>
                <w:lang w:eastAsia="es-MX"/>
              </w:rPr>
              <w:t xml:space="preserve"> en la presente OREDA</w:t>
            </w:r>
            <w:r w:rsidR="002933E9" w:rsidRPr="00BA1D95">
              <w:rPr>
                <w:rFonts w:cs="Arial"/>
                <w:sz w:val="20"/>
                <w:szCs w:val="20"/>
                <w:lang w:eastAsia="es-MX"/>
              </w:rPr>
              <w:t>.</w:t>
            </w:r>
          </w:p>
          <w:p w:rsidR="00CD3EEE" w:rsidRPr="00BA1D95" w:rsidRDefault="00CD3EEE" w:rsidP="004B11EB">
            <w:pPr>
              <w:pStyle w:val="IFTnormal"/>
              <w:rPr>
                <w:rFonts w:cs="Arial"/>
                <w:sz w:val="20"/>
                <w:szCs w:val="20"/>
                <w:lang w:eastAsia="es-MX"/>
              </w:rPr>
            </w:pPr>
            <w:r w:rsidRPr="00BA1D95">
              <w:rPr>
                <w:rFonts w:cs="Arial"/>
                <w:sz w:val="20"/>
                <w:szCs w:val="20"/>
                <w:lang w:eastAsia="es-MX"/>
              </w:rPr>
              <w:t>Nota: Este paso se aplica sólo para la primera solicitud que se realice en una central por cada CS.</w:t>
            </w:r>
          </w:p>
        </w:tc>
      </w:tr>
      <w:tr w:rsidR="00CD3EEE" w:rsidRPr="00BA1D95" w:rsidTr="00907A12">
        <w:trPr>
          <w:trHeight w:val="1129"/>
          <w:jc w:val="center"/>
        </w:trPr>
        <w:tc>
          <w:tcPr>
            <w:tcW w:w="1729"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 xml:space="preserve">Realización de Pruebas en Central </w:t>
            </w:r>
          </w:p>
        </w:tc>
        <w:tc>
          <w:tcPr>
            <w:tcW w:w="3271"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Previamente a la implementación del servicio, será necesaria la realización de pruebas en la primera central donde se aplique el SRMLT por lo que se debe de acordar el calendario de inicio/término de las pruebas entre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y el CS, de tal manera que se valide el intercambio de dígitos y la terminación de las llamadas.</w:t>
            </w:r>
          </w:p>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Estas pruebas se llevarán a cabo mediante la ejecución de bitácora entre el CS y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 xml:space="preserve">de las diferentes marcaciones que puede realizar el Cliente del SRMLT a la entrega de servicio. </w:t>
            </w:r>
          </w:p>
          <w:p w:rsidR="00CD3EEE" w:rsidRPr="00BA1D95" w:rsidRDefault="00CD3EEE" w:rsidP="004B11EB">
            <w:pPr>
              <w:pStyle w:val="IFTnormal"/>
              <w:rPr>
                <w:rFonts w:cs="Arial"/>
                <w:sz w:val="20"/>
                <w:szCs w:val="20"/>
                <w:lang w:val="es-ES_tradnl" w:eastAsia="es-MX"/>
              </w:rPr>
            </w:pPr>
            <w:r w:rsidRPr="00BA1D95">
              <w:rPr>
                <w:rFonts w:cs="Arial"/>
                <w:sz w:val="20"/>
                <w:szCs w:val="20"/>
                <w:lang w:eastAsia="es-MX"/>
              </w:rPr>
              <w:t>Nota: Este paso se aplica sólo para la primera solicitud que se realice en una central por cada CS.</w:t>
            </w:r>
          </w:p>
        </w:tc>
      </w:tr>
    </w:tbl>
    <w:p w:rsidR="00CD3EEE" w:rsidRPr="00BA1D95" w:rsidRDefault="00CD3EEE" w:rsidP="004B11EB">
      <w:pPr>
        <w:pStyle w:val="IFTnormal"/>
        <w:spacing w:before="240"/>
        <w:ind w:right="-284"/>
        <w:rPr>
          <w:rFonts w:cs="Arial"/>
          <w:b/>
        </w:rPr>
      </w:pPr>
      <w:r w:rsidRPr="00BA1D95">
        <w:rPr>
          <w:rFonts w:cs="Arial"/>
          <w:b/>
        </w:rPr>
        <w:lastRenderedPageBreak/>
        <w:t xml:space="preserve">Procedimiento de contratación y entrega </w:t>
      </w:r>
      <w:r w:rsidR="00EF769E" w:rsidRPr="00BA1D95">
        <w:rPr>
          <w:rFonts w:cs="Arial"/>
          <w:b/>
        </w:rPr>
        <w:t>S</w:t>
      </w:r>
      <w:r w:rsidRPr="00BA1D95">
        <w:rPr>
          <w:rFonts w:cs="Arial"/>
          <w:b/>
        </w:rPr>
        <w:t>R</w:t>
      </w:r>
      <w:r w:rsidR="00EF769E" w:rsidRPr="00BA1D95">
        <w:rPr>
          <w:rFonts w:cs="Arial"/>
          <w:b/>
        </w:rPr>
        <w:t>M</w:t>
      </w:r>
      <w:r w:rsidRPr="00BA1D95">
        <w:rPr>
          <w:rFonts w:cs="Arial"/>
          <w:b/>
        </w:rPr>
        <w:t xml:space="preserve">LT (Alta de línea) </w:t>
      </w:r>
    </w:p>
    <w:p w:rsidR="00CD3EEE" w:rsidRPr="00BA1D95" w:rsidRDefault="00CD3EEE" w:rsidP="004B11EB">
      <w:pPr>
        <w:pStyle w:val="IFTnormal"/>
        <w:ind w:right="20"/>
        <w:rPr>
          <w:rFonts w:cs="Arial"/>
        </w:rPr>
      </w:pPr>
      <w:r w:rsidRPr="00BA1D95">
        <w:rPr>
          <w:rFonts w:cs="Arial"/>
        </w:rPr>
        <w:t>Este procedimiento podrá aplicarse única y exclusivamente cuando el CS ya cuente con la activación del servicio en la central correspondiente.</w:t>
      </w:r>
    </w:p>
    <w:p w:rsidR="00CD3EEE" w:rsidRPr="00BA1D95" w:rsidRDefault="00CD3EEE" w:rsidP="004B11EB">
      <w:pPr>
        <w:pStyle w:val="IFTnormal"/>
        <w:ind w:right="20"/>
        <w:rPr>
          <w:rFonts w:cs="Arial"/>
        </w:rPr>
      </w:pPr>
      <w:r w:rsidRPr="00BA1D95">
        <w:rPr>
          <w:rFonts w:cs="Arial"/>
        </w:rPr>
        <w:t xml:space="preserve">El objetivo de este procedimiento es definir las actividades a desarrollar por parte de </w:t>
      </w:r>
      <w:r w:rsidR="00E83F21">
        <w:rPr>
          <w:rFonts w:cs="Arial"/>
        </w:rPr>
        <w:t>Telmex / Telnor</w:t>
      </w:r>
      <w:r w:rsidR="00041BA6">
        <w:rPr>
          <w:rFonts w:cs="Arial"/>
        </w:rPr>
        <w:t xml:space="preserve"> </w:t>
      </w:r>
      <w:r w:rsidRPr="00BA1D95">
        <w:rPr>
          <w:rFonts w:cs="Arial"/>
        </w:rPr>
        <w:t xml:space="preserve">y del CS, a fin de realizar la contratación y entrega del servicio de SRMLT. Las fases en que se divide este procedimiento son: </w:t>
      </w:r>
      <w:r w:rsidRPr="00BA1D95">
        <w:rPr>
          <w:rFonts w:cs="Arial"/>
          <w:b/>
        </w:rPr>
        <w:t>(i)</w:t>
      </w:r>
      <w:r w:rsidRPr="00BA1D95">
        <w:rPr>
          <w:rFonts w:cs="Arial"/>
        </w:rPr>
        <w:t xml:space="preserve"> Entrega y validación de la solicitud para que el CS manifieste su intención de contratar el servicio para un cliente, y la evaluación en </w:t>
      </w:r>
      <w:r w:rsidR="006B5A23">
        <w:rPr>
          <w:rFonts w:cs="Arial"/>
        </w:rPr>
        <w:t>SEG</w:t>
      </w:r>
      <w:r w:rsidRPr="00BA1D95">
        <w:rPr>
          <w:rFonts w:cs="Arial"/>
        </w:rPr>
        <w:t xml:space="preserve"> que confirma que la solicitud cuenta con todos los elementos para la contratación del servicio en la Central correspondiente; y </w:t>
      </w:r>
      <w:r w:rsidRPr="00BA1D95">
        <w:rPr>
          <w:rFonts w:cs="Arial"/>
          <w:b/>
        </w:rPr>
        <w:t>(ii)</w:t>
      </w:r>
      <w:r w:rsidRPr="00BA1D95">
        <w:rPr>
          <w:rFonts w:cs="Arial"/>
        </w:rPr>
        <w:t xml:space="preserve"> Habilitación y aprovisionamiento del servicio solicitado, que detonará los procesos de pruebas de entrega y facturación.</w:t>
      </w: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13"/>
        <w:gridCol w:w="6134"/>
      </w:tblGrid>
      <w:tr w:rsidR="00CD3EEE" w:rsidRPr="00BA1D95" w:rsidTr="00366F2B">
        <w:trPr>
          <w:trHeight w:val="479"/>
          <w:tblHeader/>
        </w:trPr>
        <w:tc>
          <w:tcPr>
            <w:tcW w:w="1572"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Etapa</w:t>
            </w:r>
          </w:p>
        </w:tc>
        <w:tc>
          <w:tcPr>
            <w:tcW w:w="3428"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5A2E5E">
        <w:trPr>
          <w:trHeight w:val="618"/>
        </w:trPr>
        <w:tc>
          <w:tcPr>
            <w:tcW w:w="1572"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Autorización del suscriptor/usuario final</w:t>
            </w:r>
          </w:p>
        </w:tc>
        <w:tc>
          <w:tcPr>
            <w:tcW w:w="3428" w:type="pct"/>
            <w:shd w:val="clear" w:color="auto" w:fill="auto"/>
          </w:tcPr>
          <w:p w:rsidR="00CD3EEE" w:rsidRPr="00BA1D95" w:rsidRDefault="00CD3EEE" w:rsidP="006338F9">
            <w:pPr>
              <w:pStyle w:val="IFTnormal"/>
              <w:spacing w:after="0"/>
              <w:rPr>
                <w:rFonts w:cs="Arial"/>
                <w:sz w:val="20"/>
                <w:szCs w:val="20"/>
                <w:lang w:eastAsia="es-MX"/>
              </w:rPr>
            </w:pPr>
            <w:r w:rsidRPr="00BA1D95">
              <w:rPr>
                <w:rFonts w:cs="Arial"/>
                <w:sz w:val="20"/>
                <w:szCs w:val="20"/>
                <w:lang w:eastAsia="es-MX"/>
              </w:rPr>
              <w:t>Presentación del formato de verificación de la voluntad del suscriptor/usuario final (Sólo usuarios existentes).</w:t>
            </w:r>
          </w:p>
        </w:tc>
      </w:tr>
      <w:tr w:rsidR="00CD3EEE" w:rsidRPr="00BA1D95" w:rsidTr="00674B36">
        <w:trPr>
          <w:trHeight w:val="4149"/>
        </w:trPr>
        <w:tc>
          <w:tcPr>
            <w:tcW w:w="1572"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Envío, Validación y Factibilidad de</w:t>
            </w:r>
            <w:r w:rsidR="003152CD" w:rsidRPr="00BA1D95">
              <w:rPr>
                <w:rFonts w:cs="Arial"/>
                <w:b/>
                <w:sz w:val="20"/>
                <w:szCs w:val="20"/>
                <w:lang w:eastAsia="es-MX"/>
              </w:rPr>
              <w:t xml:space="preserve"> la </w:t>
            </w:r>
            <w:r w:rsidRPr="00BA1D95">
              <w:rPr>
                <w:rFonts w:cs="Arial"/>
                <w:b/>
                <w:sz w:val="20"/>
                <w:szCs w:val="20"/>
                <w:lang w:eastAsia="es-MX"/>
              </w:rPr>
              <w:t>solicitud</w:t>
            </w:r>
          </w:p>
        </w:tc>
        <w:tc>
          <w:tcPr>
            <w:tcW w:w="3428"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presentar sus solicitudes en el formato correspondiente a través del </w:t>
            </w:r>
            <w:r w:rsidR="006B5A23">
              <w:rPr>
                <w:rFonts w:cs="Arial"/>
                <w:sz w:val="20"/>
                <w:szCs w:val="20"/>
                <w:lang w:eastAsia="es-MX"/>
              </w:rPr>
              <w:t>SEG</w:t>
            </w:r>
            <w:r w:rsidR="003152CD" w:rsidRPr="00BA1D95">
              <w:rPr>
                <w:rFonts w:cs="Arial"/>
                <w:sz w:val="20"/>
                <w:szCs w:val="20"/>
                <w:lang w:eastAsia="es-MX"/>
              </w:rPr>
              <w:t xml:space="preserve">, </w:t>
            </w:r>
            <w:r w:rsidRPr="00BA1D95">
              <w:rPr>
                <w:rFonts w:cs="Arial"/>
                <w:sz w:val="20"/>
                <w:szCs w:val="20"/>
                <w:lang w:eastAsia="es-MX"/>
              </w:rPr>
              <w:t xml:space="preserve">podrá capturarlas de forma individual o masiva, realizando en línea y a través del </w:t>
            </w:r>
            <w:r w:rsidR="006B5A23">
              <w:rPr>
                <w:rFonts w:cs="Arial"/>
                <w:sz w:val="20"/>
                <w:szCs w:val="20"/>
                <w:lang w:eastAsia="es-MX"/>
              </w:rPr>
              <w:t>SEG</w:t>
            </w:r>
            <w:r w:rsidRPr="00BA1D95">
              <w:rPr>
                <w:rFonts w:cs="Arial"/>
                <w:sz w:val="20"/>
                <w:szCs w:val="20"/>
                <w:lang w:eastAsia="es-MX"/>
              </w:rPr>
              <w:t xml:space="preserve"> la validación y el análisis de Factibilidad Técnica del domicilio requerido, determinando si existen los recursos técnicos y facilidades para habilitar los servicios solicitados </w:t>
            </w:r>
            <w:r w:rsidR="00E06DD7" w:rsidRPr="00BA1D95">
              <w:rPr>
                <w:rFonts w:cs="Arial"/>
                <w:sz w:val="20"/>
                <w:szCs w:val="20"/>
                <w:lang w:eastAsia="es-MX"/>
              </w:rPr>
              <w:t>de acuerdo con el</w:t>
            </w:r>
            <w:r w:rsidRPr="00BA1D95">
              <w:rPr>
                <w:rFonts w:cs="Arial"/>
                <w:sz w:val="20"/>
                <w:szCs w:val="20"/>
                <w:lang w:eastAsia="es-MX"/>
              </w:rPr>
              <w:t xml:space="preserve"> perfil requerido, así como seleccionado la siguiente información:</w:t>
            </w:r>
          </w:p>
          <w:p w:rsidR="00CD3EEE" w:rsidRPr="00BA1D95" w:rsidRDefault="00CD3EEE" w:rsidP="006338F9">
            <w:pPr>
              <w:pStyle w:val="IFTnormal"/>
              <w:numPr>
                <w:ilvl w:val="0"/>
                <w:numId w:val="70"/>
              </w:numPr>
              <w:spacing w:after="0"/>
              <w:rPr>
                <w:rFonts w:cs="Arial"/>
                <w:sz w:val="20"/>
                <w:szCs w:val="20"/>
                <w:lang w:eastAsia="es-MX"/>
              </w:rPr>
            </w:pPr>
            <w:r w:rsidRPr="00BA1D95">
              <w:rPr>
                <w:rFonts w:cs="Arial"/>
                <w:sz w:val="20"/>
                <w:szCs w:val="20"/>
                <w:lang w:eastAsia="es-MX"/>
              </w:rPr>
              <w:t>En caso de usuarios nuevos</w:t>
            </w:r>
            <w:r w:rsidR="00F53FAB" w:rsidRPr="00BA1D95">
              <w:rPr>
                <w:rFonts w:cs="Arial"/>
                <w:sz w:val="20"/>
                <w:szCs w:val="20"/>
                <w:lang w:eastAsia="es-MX"/>
              </w:rPr>
              <w:t xml:space="preserve"> deberá </w:t>
            </w:r>
            <w:r w:rsidRPr="00BA1D95">
              <w:rPr>
                <w:rFonts w:cs="Arial"/>
                <w:sz w:val="20"/>
                <w:szCs w:val="20"/>
                <w:lang w:eastAsia="es-MX"/>
              </w:rPr>
              <w:t>seleccionar</w:t>
            </w:r>
            <w:r w:rsidR="00F53FAB" w:rsidRPr="00BA1D95">
              <w:rPr>
                <w:rFonts w:cs="Arial"/>
                <w:sz w:val="20"/>
                <w:szCs w:val="20"/>
                <w:lang w:eastAsia="es-MX"/>
              </w:rPr>
              <w:t xml:space="preserve"> quien proporcionará el cableado interior en el domicilio del usuario final</w:t>
            </w:r>
            <w:r w:rsidRPr="00BA1D95">
              <w:rPr>
                <w:rFonts w:cs="Arial"/>
                <w:sz w:val="20"/>
                <w:szCs w:val="20"/>
                <w:lang w:eastAsia="es-MX"/>
              </w:rPr>
              <w:t>:</w:t>
            </w:r>
          </w:p>
          <w:p w:rsidR="00CD3EEE" w:rsidRPr="00BA1D95" w:rsidRDefault="00F53FAB" w:rsidP="005A2E5E">
            <w:pPr>
              <w:pStyle w:val="IFTnormal"/>
              <w:numPr>
                <w:ilvl w:val="0"/>
                <w:numId w:val="69"/>
              </w:numPr>
              <w:spacing w:after="0"/>
              <w:ind w:left="771" w:hanging="357"/>
              <w:rPr>
                <w:rFonts w:cs="Arial"/>
                <w:sz w:val="20"/>
                <w:szCs w:val="20"/>
                <w:lang w:eastAsia="es-MX"/>
              </w:rPr>
            </w:pPr>
            <w:r w:rsidRPr="00BA1D95">
              <w:rPr>
                <w:rFonts w:cs="Arial"/>
                <w:sz w:val="20"/>
                <w:szCs w:val="20"/>
                <w:lang w:eastAsia="es-MX"/>
              </w:rPr>
              <w:t>DM</w:t>
            </w:r>
          </w:p>
          <w:p w:rsidR="00F53FAB" w:rsidRPr="00BA1D95" w:rsidRDefault="00F53FAB" w:rsidP="005A2E5E">
            <w:pPr>
              <w:pStyle w:val="IFTnormal"/>
              <w:numPr>
                <w:ilvl w:val="0"/>
                <w:numId w:val="69"/>
              </w:numPr>
              <w:spacing w:after="0"/>
              <w:ind w:left="771" w:hanging="357"/>
              <w:rPr>
                <w:rFonts w:cs="Arial"/>
                <w:sz w:val="20"/>
                <w:szCs w:val="20"/>
                <w:lang w:eastAsia="es-MX"/>
              </w:rPr>
            </w:pPr>
            <w:r w:rsidRPr="00BA1D95">
              <w:rPr>
                <w:rFonts w:cs="Arial"/>
                <w:sz w:val="20"/>
                <w:szCs w:val="20"/>
                <w:lang w:eastAsia="es-MX"/>
              </w:rPr>
              <w:t>CS</w:t>
            </w:r>
          </w:p>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de habilitación del servicio.</w:t>
            </w:r>
          </w:p>
          <w:p w:rsidR="00BC6E5C" w:rsidRPr="00BA1D95" w:rsidRDefault="00BC6E5C" w:rsidP="00041BA6">
            <w:pPr>
              <w:pStyle w:val="IFTnormal"/>
              <w:rPr>
                <w:rFonts w:cs="Arial"/>
                <w:sz w:val="20"/>
                <w:szCs w:val="20"/>
                <w:lang w:eastAsia="es-MX"/>
              </w:rPr>
            </w:pPr>
            <w:r w:rsidRPr="00BA1D95">
              <w:rPr>
                <w:rFonts w:cs="Arial"/>
                <w:sz w:val="20"/>
                <w:szCs w:val="20"/>
                <w:lang w:eastAsia="es-MX"/>
              </w:rPr>
              <w:t xml:space="preserve">En caso de no existir facilidades de acuerdo con lo previsto en el apartado 1.4, a través del </w:t>
            </w:r>
            <w:r w:rsidR="006B5A23">
              <w:rPr>
                <w:rFonts w:cs="Arial"/>
                <w:sz w:val="20"/>
                <w:szCs w:val="20"/>
                <w:lang w:eastAsia="es-MX"/>
              </w:rPr>
              <w:t>SEG</w:t>
            </w:r>
            <w:r w:rsidRPr="00BA1D95">
              <w:rPr>
                <w:rFonts w:cs="Arial"/>
                <w:sz w:val="20"/>
                <w:szCs w:val="20"/>
                <w:lang w:eastAsia="es-MX"/>
              </w:rPr>
              <w:t xml:space="preserve">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notificará al CS la justificación y las evidencias correspondientes.</w:t>
            </w:r>
          </w:p>
        </w:tc>
      </w:tr>
      <w:tr w:rsidR="00CD3EEE" w:rsidRPr="00BA1D95" w:rsidTr="00674B36">
        <w:trPr>
          <w:trHeight w:val="142"/>
        </w:trPr>
        <w:tc>
          <w:tcPr>
            <w:tcW w:w="1572" w:type="pct"/>
            <w:shd w:val="clear" w:color="auto" w:fill="auto"/>
          </w:tcPr>
          <w:p w:rsidR="00CD3EEE" w:rsidRPr="00BA1D95" w:rsidRDefault="00CD3EEE" w:rsidP="004B11EB">
            <w:pPr>
              <w:pStyle w:val="IFTnormal"/>
              <w:rPr>
                <w:rFonts w:cs="Arial"/>
                <w:b/>
                <w:lang w:eastAsia="es-MX"/>
              </w:rPr>
            </w:pPr>
            <w:r w:rsidRPr="00BA1D95">
              <w:rPr>
                <w:rFonts w:cs="Arial"/>
                <w:b/>
                <w:lang w:eastAsia="es-MX"/>
              </w:rPr>
              <w:t>Habilitación y aprovisionamiento del Servicio</w:t>
            </w:r>
          </w:p>
        </w:tc>
        <w:tc>
          <w:tcPr>
            <w:tcW w:w="3428" w:type="pct"/>
            <w:shd w:val="clear" w:color="auto" w:fill="auto"/>
          </w:tcPr>
          <w:p w:rsidR="00CD3EEE" w:rsidRPr="00BA1D95" w:rsidRDefault="00E83F21" w:rsidP="004B11EB">
            <w:pPr>
              <w:pStyle w:val="IFTnormal"/>
              <w:rPr>
                <w:rFonts w:cs="Arial"/>
                <w:sz w:val="20"/>
                <w:szCs w:val="20"/>
                <w:lang w:eastAsia="es-MX"/>
              </w:rPr>
            </w:pPr>
            <w:r>
              <w:rPr>
                <w:rFonts w:cs="Arial"/>
                <w:sz w:val="20"/>
                <w:szCs w:val="20"/>
                <w:lang w:eastAsia="es-MX"/>
              </w:rPr>
              <w:t>Telmex / Telnor</w:t>
            </w:r>
            <w:r w:rsidR="00041BA6">
              <w:rPr>
                <w:rFonts w:cs="Arial"/>
                <w:sz w:val="20"/>
                <w:szCs w:val="20"/>
                <w:lang w:eastAsia="es-MX"/>
              </w:rPr>
              <w:t xml:space="preserve"> </w:t>
            </w:r>
            <w:r w:rsidR="00CD3EEE" w:rsidRPr="00BA1D95">
              <w:rPr>
                <w:rFonts w:cs="Arial"/>
                <w:sz w:val="20"/>
                <w:szCs w:val="20"/>
                <w:lang w:eastAsia="es-MX"/>
              </w:rPr>
              <w:t xml:space="preserve">llevará a cabo las actuaciones necesarias para habilitar el servicio el día confirmado por el CS: </w:t>
            </w:r>
          </w:p>
          <w:p w:rsidR="00CD3EEE" w:rsidRPr="00BA1D95" w:rsidRDefault="00CD3EEE" w:rsidP="004B11EB">
            <w:pPr>
              <w:pStyle w:val="IFTnormal"/>
              <w:rPr>
                <w:rFonts w:cs="Arial"/>
                <w:sz w:val="20"/>
                <w:szCs w:val="20"/>
                <w:lang w:eastAsia="es-MX"/>
              </w:rPr>
            </w:pPr>
            <w:r w:rsidRPr="00BA1D95">
              <w:rPr>
                <w:rFonts w:cs="Arial"/>
                <w:b/>
                <w:sz w:val="20"/>
                <w:szCs w:val="20"/>
                <w:lang w:eastAsia="es-MX"/>
              </w:rPr>
              <w:t>Usuarios Existentes</w:t>
            </w:r>
            <w:r w:rsidRPr="00BA1D95">
              <w:rPr>
                <w:rFonts w:cs="Arial"/>
                <w:sz w:val="20"/>
                <w:szCs w:val="20"/>
                <w:lang w:eastAsia="es-MX"/>
              </w:rPr>
              <w:t xml:space="preserve">: </w:t>
            </w:r>
            <w:r w:rsidR="002933E9" w:rsidRPr="00BA1D95">
              <w:rPr>
                <w:rFonts w:cs="Arial"/>
                <w:sz w:val="20"/>
                <w:szCs w:val="20"/>
                <w:lang w:eastAsia="es-MX"/>
              </w:rPr>
              <w:t xml:space="preserve">Habilitación remota </w:t>
            </w:r>
            <w:r w:rsidR="002933E9">
              <w:rPr>
                <w:rFonts w:cs="Arial"/>
                <w:sz w:val="20"/>
                <w:szCs w:val="20"/>
                <w:lang w:eastAsia="es-MX"/>
              </w:rPr>
              <w:t>en el plazo establecido para tal efecto</w:t>
            </w:r>
            <w:r w:rsidR="008D47FE">
              <w:rPr>
                <w:rFonts w:cs="Arial"/>
                <w:sz w:val="20"/>
                <w:szCs w:val="20"/>
                <w:lang w:eastAsia="es-MX"/>
              </w:rPr>
              <w:t xml:space="preserve"> en la sección de Plazos de este servicio</w:t>
            </w:r>
            <w:r w:rsidR="002933E9">
              <w:rPr>
                <w:rFonts w:cs="Arial"/>
                <w:sz w:val="20"/>
                <w:szCs w:val="20"/>
                <w:lang w:eastAsia="es-MX"/>
              </w:rPr>
              <w:t xml:space="preserve"> en la presente OREDA</w:t>
            </w:r>
            <w:r w:rsidR="002933E9" w:rsidRPr="00BA1D95">
              <w:rPr>
                <w:rFonts w:cs="Arial"/>
                <w:sz w:val="20"/>
                <w:szCs w:val="20"/>
                <w:lang w:eastAsia="es-MX"/>
              </w:rPr>
              <w:t>.</w:t>
            </w:r>
          </w:p>
          <w:p w:rsidR="00CD3EEE" w:rsidRPr="00BA1D95" w:rsidRDefault="00CD3EEE" w:rsidP="00D37C98">
            <w:pPr>
              <w:pStyle w:val="IFTnormal"/>
              <w:numPr>
                <w:ilvl w:val="0"/>
                <w:numId w:val="70"/>
              </w:numPr>
              <w:rPr>
                <w:rFonts w:cs="Arial"/>
                <w:sz w:val="20"/>
                <w:szCs w:val="20"/>
                <w:lang w:eastAsia="es-MX"/>
              </w:rPr>
            </w:pPr>
            <w:r w:rsidRPr="00BA1D95">
              <w:rPr>
                <w:rFonts w:cs="Arial"/>
                <w:sz w:val="20"/>
                <w:szCs w:val="20"/>
                <w:lang w:eastAsia="es-MX"/>
              </w:rPr>
              <w:t xml:space="preserve">Se realizará la configuración correspondiente y el cambio administrativo para pasar la facturación al CS. Cuando sea requerido por el CS, se activarán/desactivarán los servicios digitales o de </w:t>
            </w:r>
            <w:r w:rsidRPr="00BA1D95">
              <w:rPr>
                <w:rFonts w:cs="Arial"/>
                <w:sz w:val="20"/>
                <w:szCs w:val="20"/>
                <w:lang w:eastAsia="es-MX"/>
              </w:rPr>
              <w:lastRenderedPageBreak/>
              <w:t>marcaciones solicitados (entendiendo esto último como restricción de marcaciones).</w:t>
            </w:r>
          </w:p>
          <w:p w:rsidR="00CD3EEE" w:rsidRPr="00BA1D95" w:rsidRDefault="00CD3EEE" w:rsidP="004B11EB">
            <w:pPr>
              <w:pStyle w:val="IFTnormal"/>
              <w:rPr>
                <w:rFonts w:cs="Arial"/>
                <w:sz w:val="20"/>
                <w:szCs w:val="20"/>
                <w:lang w:eastAsia="es-MX"/>
              </w:rPr>
            </w:pPr>
            <w:r w:rsidRPr="00BA1D95">
              <w:rPr>
                <w:rFonts w:cs="Arial"/>
                <w:b/>
                <w:sz w:val="20"/>
                <w:szCs w:val="20"/>
                <w:lang w:eastAsia="es-MX"/>
              </w:rPr>
              <w:t>Usuarios Nuevos</w:t>
            </w:r>
            <w:r w:rsidRPr="00BA1D95">
              <w:rPr>
                <w:rFonts w:cs="Arial"/>
                <w:sz w:val="20"/>
                <w:szCs w:val="20"/>
                <w:lang w:eastAsia="es-MX"/>
              </w:rPr>
              <w:t xml:space="preserve">: Habilitación presencial. </w:t>
            </w:r>
            <w:r w:rsidR="00E83F21">
              <w:rPr>
                <w:rFonts w:cs="Arial"/>
                <w:sz w:val="20"/>
                <w:szCs w:val="20"/>
                <w:lang w:eastAsia="es-MX"/>
              </w:rPr>
              <w:t>Telmex / Telnor</w:t>
            </w:r>
            <w:r w:rsidR="00041BA6">
              <w:rPr>
                <w:rFonts w:cs="Arial"/>
                <w:sz w:val="20"/>
                <w:szCs w:val="20"/>
                <w:lang w:eastAsia="es-MX"/>
              </w:rPr>
              <w:t xml:space="preserve"> </w:t>
            </w:r>
            <w:r w:rsidRPr="00BA1D95">
              <w:rPr>
                <w:rFonts w:cs="Arial"/>
                <w:sz w:val="20"/>
                <w:szCs w:val="20"/>
                <w:lang w:eastAsia="es-MX"/>
              </w:rPr>
              <w:t xml:space="preserve">asistirá al domicilio del Usuario Final para instalar </w:t>
            </w:r>
            <w:r w:rsidR="002933E9" w:rsidRPr="00BA1D95">
              <w:rPr>
                <w:rFonts w:cs="Arial"/>
                <w:sz w:val="20"/>
                <w:szCs w:val="20"/>
                <w:lang w:eastAsia="es-MX"/>
              </w:rPr>
              <w:t xml:space="preserve">el servicio </w:t>
            </w:r>
            <w:r w:rsidR="002933E9">
              <w:rPr>
                <w:rFonts w:cs="Arial"/>
                <w:sz w:val="20"/>
                <w:szCs w:val="20"/>
                <w:lang w:eastAsia="es-MX"/>
              </w:rPr>
              <w:t>en el plazo establecido para tal efecto</w:t>
            </w:r>
            <w:r w:rsidR="008D47FE">
              <w:rPr>
                <w:rFonts w:cs="Arial"/>
                <w:sz w:val="20"/>
                <w:szCs w:val="20"/>
                <w:lang w:eastAsia="es-MX"/>
              </w:rPr>
              <w:t xml:space="preserve"> en la sección de Plazos de este servicio</w:t>
            </w:r>
            <w:r w:rsidR="002933E9">
              <w:rPr>
                <w:rFonts w:cs="Arial"/>
                <w:sz w:val="20"/>
                <w:szCs w:val="20"/>
                <w:lang w:eastAsia="es-MX"/>
              </w:rPr>
              <w:t xml:space="preserve"> en la presente OREDA.</w:t>
            </w:r>
          </w:p>
          <w:p w:rsidR="00CD3EEE" w:rsidRPr="00BA1D95" w:rsidRDefault="00CD3EEE" w:rsidP="00D37C98">
            <w:pPr>
              <w:pStyle w:val="IFTnormal"/>
              <w:numPr>
                <w:ilvl w:val="0"/>
                <w:numId w:val="71"/>
              </w:numPr>
              <w:rPr>
                <w:rFonts w:cs="Arial"/>
                <w:sz w:val="20"/>
                <w:szCs w:val="20"/>
                <w:lang w:eastAsia="es-MX"/>
              </w:rPr>
            </w:pPr>
            <w:r w:rsidRPr="00BA1D95">
              <w:rPr>
                <w:rFonts w:cs="Arial"/>
                <w:bCs w:val="0"/>
                <w:sz w:val="20"/>
                <w:szCs w:val="20"/>
                <w:lang w:eastAsia="es-MX"/>
              </w:rPr>
              <w:t>Acometida Existente: (</w:t>
            </w:r>
            <w:r w:rsidR="00C105D1">
              <w:rPr>
                <w:rFonts w:cs="Arial"/>
                <w:sz w:val="20"/>
                <w:szCs w:val="20"/>
                <w:lang w:eastAsia="es-MX"/>
              </w:rPr>
              <w:t>En el plazo establecido para tal efecto</w:t>
            </w:r>
            <w:r w:rsidR="008D47FE">
              <w:rPr>
                <w:rFonts w:cs="Arial"/>
                <w:sz w:val="20"/>
                <w:szCs w:val="20"/>
                <w:lang w:eastAsia="es-MX"/>
              </w:rPr>
              <w:t xml:space="preserve"> en la sección de Plazos de este servicio</w:t>
            </w:r>
            <w:r w:rsidR="00C105D1">
              <w:rPr>
                <w:rFonts w:cs="Arial"/>
                <w:sz w:val="20"/>
                <w:szCs w:val="20"/>
                <w:lang w:eastAsia="es-MX"/>
              </w:rPr>
              <w:t xml:space="preserve"> en la presente OREDA</w:t>
            </w:r>
            <w:r w:rsidR="00CD20C5" w:rsidRPr="00BA1D95">
              <w:rPr>
                <w:rFonts w:cs="Arial"/>
                <w:sz w:val="20"/>
                <w:szCs w:val="20"/>
                <w:lang w:eastAsia="es-MX"/>
              </w:rPr>
              <w:t>)</w:t>
            </w:r>
            <w:r w:rsidR="00E06DD7" w:rsidRPr="00BA1D95">
              <w:rPr>
                <w:rFonts w:cs="Arial"/>
                <w:sz w:val="20"/>
                <w:szCs w:val="20"/>
                <w:lang w:eastAsia="es-MX"/>
              </w:rPr>
              <w:t xml:space="preserve">. </w:t>
            </w:r>
            <w:r w:rsidRPr="00BA1D95">
              <w:rPr>
                <w:rFonts w:cs="Arial"/>
                <w:sz w:val="20"/>
                <w:szCs w:val="20"/>
                <w:lang w:eastAsia="es-MX"/>
              </w:rPr>
              <w:t>Instalación de cableado interior, sólo si fue solicitado por el CS.</w:t>
            </w:r>
          </w:p>
          <w:p w:rsidR="00CD3EEE" w:rsidRPr="00BA1D95" w:rsidRDefault="00CD3EEE" w:rsidP="00D37C98">
            <w:pPr>
              <w:pStyle w:val="IFTnormal"/>
              <w:numPr>
                <w:ilvl w:val="0"/>
                <w:numId w:val="70"/>
              </w:numPr>
              <w:rPr>
                <w:rFonts w:cs="Arial"/>
                <w:sz w:val="20"/>
                <w:szCs w:val="20"/>
                <w:lang w:eastAsia="es-MX"/>
              </w:rPr>
            </w:pPr>
            <w:r w:rsidRPr="00BA1D95">
              <w:rPr>
                <w:rFonts w:cs="Arial"/>
                <w:sz w:val="20"/>
                <w:szCs w:val="20"/>
                <w:lang w:eastAsia="es-MX"/>
              </w:rPr>
              <w:t xml:space="preserve">Sin Acometida: </w:t>
            </w:r>
            <w:r w:rsidR="002933E9" w:rsidRPr="00BA1D95">
              <w:rPr>
                <w:rFonts w:cs="Arial"/>
                <w:sz w:val="20"/>
                <w:szCs w:val="20"/>
                <w:lang w:eastAsia="es-MX"/>
              </w:rPr>
              <w:t>(</w:t>
            </w:r>
            <w:r w:rsidR="002933E9">
              <w:rPr>
                <w:rFonts w:cs="Arial"/>
                <w:sz w:val="20"/>
                <w:szCs w:val="20"/>
                <w:lang w:eastAsia="es-MX"/>
              </w:rPr>
              <w:t>En el plazo establecido para tal efecto</w:t>
            </w:r>
            <w:r w:rsidR="008D47FE">
              <w:rPr>
                <w:rFonts w:cs="Arial"/>
                <w:sz w:val="20"/>
                <w:szCs w:val="20"/>
                <w:lang w:eastAsia="es-MX"/>
              </w:rPr>
              <w:t xml:space="preserve"> en la sección de Plazos de este servicio</w:t>
            </w:r>
            <w:r w:rsidR="002933E9">
              <w:rPr>
                <w:rFonts w:cs="Arial"/>
                <w:sz w:val="20"/>
                <w:szCs w:val="20"/>
                <w:lang w:eastAsia="es-MX"/>
              </w:rPr>
              <w:t xml:space="preserve"> en la presente OREDA</w:t>
            </w:r>
            <w:r w:rsidR="002933E9" w:rsidRPr="00BA1D95">
              <w:rPr>
                <w:rFonts w:cs="Arial"/>
                <w:sz w:val="20"/>
                <w:szCs w:val="20"/>
                <w:lang w:eastAsia="es-MX"/>
              </w:rPr>
              <w:t>).</w:t>
            </w:r>
          </w:p>
          <w:p w:rsidR="00CD3EEE" w:rsidRPr="00BA1D95" w:rsidRDefault="00CD3EEE" w:rsidP="00D37C98">
            <w:pPr>
              <w:pStyle w:val="IFTnormal"/>
              <w:numPr>
                <w:ilvl w:val="0"/>
                <w:numId w:val="72"/>
              </w:numPr>
              <w:rPr>
                <w:rFonts w:cs="Arial"/>
                <w:sz w:val="20"/>
                <w:szCs w:val="20"/>
                <w:lang w:eastAsia="es-MX"/>
              </w:rPr>
            </w:pPr>
            <w:r w:rsidRPr="00BA1D95">
              <w:rPr>
                <w:rFonts w:cs="Arial"/>
                <w:sz w:val="20"/>
                <w:szCs w:val="20"/>
                <w:lang w:eastAsia="es-MX"/>
              </w:rPr>
              <w:t>Instalación de la acometida.</w:t>
            </w:r>
          </w:p>
          <w:p w:rsidR="00CD3EEE" w:rsidRPr="00BA1D95" w:rsidRDefault="00CD3EEE" w:rsidP="00D37C98">
            <w:pPr>
              <w:pStyle w:val="IFTnormal"/>
              <w:numPr>
                <w:ilvl w:val="0"/>
                <w:numId w:val="72"/>
              </w:numPr>
              <w:rPr>
                <w:rFonts w:cs="Arial"/>
                <w:sz w:val="20"/>
                <w:szCs w:val="20"/>
                <w:lang w:eastAsia="es-MX"/>
              </w:rPr>
            </w:pPr>
            <w:r w:rsidRPr="00BA1D95">
              <w:rPr>
                <w:rFonts w:cs="Arial"/>
                <w:sz w:val="20"/>
                <w:szCs w:val="20"/>
                <w:lang w:eastAsia="es-MX"/>
              </w:rPr>
              <w:t>Instalación de CIC adicional, sólo si fue solicitado por el CS.</w:t>
            </w:r>
          </w:p>
        </w:tc>
      </w:tr>
      <w:tr w:rsidR="00CD3EEE" w:rsidRPr="00BA1D95" w:rsidTr="00674B36">
        <w:trPr>
          <w:trHeight w:val="142"/>
        </w:trPr>
        <w:tc>
          <w:tcPr>
            <w:tcW w:w="1572"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lastRenderedPageBreak/>
              <w:t>Pruebas de Aceptación del Servicio</w:t>
            </w:r>
          </w:p>
        </w:tc>
        <w:tc>
          <w:tcPr>
            <w:tcW w:w="3428"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Una vez habilitado el servicio, se ejecutarán las pruebas correspondientes para validar que el servicio ha sido instalado y habilitado de conformidad con lo requerido por el CS.</w:t>
            </w:r>
          </w:p>
          <w:p w:rsidR="00CD3EEE" w:rsidRPr="00BA1D95" w:rsidRDefault="00CD3EEE" w:rsidP="00D37C98">
            <w:pPr>
              <w:pStyle w:val="IFTnormal"/>
              <w:numPr>
                <w:ilvl w:val="0"/>
                <w:numId w:val="73"/>
              </w:numPr>
              <w:rPr>
                <w:rFonts w:cs="Arial"/>
                <w:sz w:val="20"/>
                <w:szCs w:val="20"/>
                <w:lang w:eastAsia="es-MX"/>
              </w:rPr>
            </w:pPr>
            <w:r w:rsidRPr="00BA1D95">
              <w:rPr>
                <w:rFonts w:cs="Arial"/>
                <w:sz w:val="20"/>
                <w:szCs w:val="20"/>
                <w:lang w:eastAsia="es-MX"/>
              </w:rPr>
              <w:t xml:space="preserve">Los resultados de las pruebas realizadas se registrarán en el </w:t>
            </w:r>
            <w:r w:rsidR="006B5A23">
              <w:rPr>
                <w:rFonts w:cs="Arial"/>
                <w:sz w:val="20"/>
                <w:szCs w:val="20"/>
                <w:lang w:eastAsia="es-MX"/>
              </w:rPr>
              <w:t>SEG</w:t>
            </w:r>
            <w:r w:rsidRPr="00BA1D95">
              <w:rPr>
                <w:rFonts w:cs="Arial"/>
                <w:sz w:val="20"/>
                <w:szCs w:val="20"/>
                <w:lang w:eastAsia="es-MX"/>
              </w:rPr>
              <w:t xml:space="preserve"> para que el CS pueda consultarlas.</w:t>
            </w:r>
          </w:p>
        </w:tc>
      </w:tr>
      <w:tr w:rsidR="00CD3EEE" w:rsidRPr="00BA1D95" w:rsidTr="00674B36">
        <w:trPr>
          <w:trHeight w:val="142"/>
        </w:trPr>
        <w:tc>
          <w:tcPr>
            <w:tcW w:w="1572"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Facturación</w:t>
            </w:r>
          </w:p>
        </w:tc>
        <w:tc>
          <w:tcPr>
            <w:tcW w:w="3428"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CD3EEE" w:rsidRPr="00BA1D95" w:rsidRDefault="00CD3EEE" w:rsidP="00D37C98">
            <w:pPr>
              <w:pStyle w:val="IFTnormal"/>
              <w:numPr>
                <w:ilvl w:val="0"/>
                <w:numId w:val="73"/>
              </w:numPr>
              <w:rPr>
                <w:rFonts w:cs="Arial"/>
                <w:sz w:val="20"/>
                <w:szCs w:val="20"/>
                <w:lang w:eastAsia="es-MX"/>
              </w:rPr>
            </w:pPr>
            <w:r w:rsidRPr="00BA1D95">
              <w:rPr>
                <w:rFonts w:cs="Arial"/>
                <w:sz w:val="20"/>
                <w:szCs w:val="20"/>
                <w:lang w:eastAsia="es-MX"/>
              </w:rPr>
              <w:t>Se incluirán los gastos de instalación y la renta mensual correspondiente.</w:t>
            </w:r>
          </w:p>
          <w:p w:rsidR="00CD3EEE" w:rsidRPr="00BA1D95" w:rsidRDefault="00CD3EEE" w:rsidP="00D37C98">
            <w:pPr>
              <w:pStyle w:val="IFTnormal"/>
              <w:numPr>
                <w:ilvl w:val="0"/>
                <w:numId w:val="73"/>
              </w:numPr>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tc>
      </w:tr>
    </w:tbl>
    <w:p w:rsidR="006338F9" w:rsidRDefault="006338F9" w:rsidP="004B11EB">
      <w:pPr>
        <w:pStyle w:val="IFTnormal"/>
        <w:spacing w:before="240"/>
        <w:ind w:right="-284"/>
        <w:rPr>
          <w:rFonts w:cs="Arial"/>
          <w:b/>
        </w:rPr>
      </w:pPr>
    </w:p>
    <w:p w:rsidR="00CD3EEE" w:rsidRPr="00BA1D95" w:rsidRDefault="00CD3EEE" w:rsidP="004B11EB">
      <w:pPr>
        <w:pStyle w:val="IFTnormal"/>
        <w:spacing w:before="240"/>
        <w:ind w:right="-284"/>
        <w:rPr>
          <w:rFonts w:cs="Arial"/>
          <w:b/>
        </w:rPr>
      </w:pPr>
      <w:r w:rsidRPr="00BA1D95">
        <w:rPr>
          <w:rFonts w:cs="Arial"/>
          <w:b/>
        </w:rPr>
        <w:t>Procedimiento de modificación del SRMLT</w:t>
      </w:r>
    </w:p>
    <w:p w:rsidR="00CD3EEE" w:rsidRPr="00BA1D95" w:rsidRDefault="00CD3EEE" w:rsidP="004B11EB">
      <w:pPr>
        <w:pStyle w:val="IFTnormal"/>
        <w:ind w:right="20"/>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Pr="00BA1D95">
        <w:rPr>
          <w:rFonts w:cs="Arial"/>
        </w:rPr>
        <w:t xml:space="preserve"> </w:t>
      </w:r>
      <w:r w:rsidR="00EA1E7E">
        <w:rPr>
          <w:rFonts w:cs="Arial"/>
        </w:rPr>
        <w:t xml:space="preserve">y </w:t>
      </w:r>
      <w:r w:rsidRPr="00BA1D95">
        <w:rPr>
          <w:rFonts w:cs="Arial"/>
        </w:rPr>
        <w:t xml:space="preserve">del CS, a fin de realizar la modificación del servicio de SRMLT a petición del CS. Las fases en que se divide este procedimiento son: </w:t>
      </w:r>
      <w:r w:rsidRPr="00BA1D95">
        <w:rPr>
          <w:rFonts w:cs="Arial"/>
          <w:b/>
        </w:rPr>
        <w:t>(i)</w:t>
      </w:r>
      <w:r w:rsidRPr="00BA1D95">
        <w:rPr>
          <w:rFonts w:cs="Arial"/>
        </w:rPr>
        <w:t xml:space="preserve"> Entrega y validación de la solicitud para que el CS manifieste su intención de modificar las características de algún servicio contratado, y la evaluación a través del </w:t>
      </w:r>
      <w:r w:rsidR="006B5A23">
        <w:rPr>
          <w:rFonts w:cs="Arial"/>
        </w:rPr>
        <w:t>SEG</w:t>
      </w:r>
      <w:r w:rsidRPr="00BA1D95">
        <w:rPr>
          <w:rFonts w:cs="Arial"/>
        </w:rPr>
        <w:t xml:space="preserve"> para validar que la solicitud cuenta con todos los </w:t>
      </w:r>
      <w:r w:rsidRPr="00BA1D95">
        <w:rPr>
          <w:rFonts w:cs="Arial"/>
        </w:rPr>
        <w:lastRenderedPageBreak/>
        <w:t xml:space="preserve">elementos para procesar las modificaciones requeridas; y </w:t>
      </w:r>
      <w:r w:rsidRPr="00BA1D95">
        <w:rPr>
          <w:rFonts w:cs="Arial"/>
          <w:b/>
        </w:rPr>
        <w:t>(ii)</w:t>
      </w:r>
      <w:r w:rsidRPr="00BA1D95">
        <w:rPr>
          <w:rFonts w:cs="Arial"/>
        </w:rPr>
        <w:t xml:space="preserve"> Habilitación y aprovisionamiento de las modificaciones, que detonará los procesos de pruebas de entrega y facturación.</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0"/>
        <w:gridCol w:w="5946"/>
      </w:tblGrid>
      <w:tr w:rsidR="00CD3EEE" w:rsidRPr="00BA1D95" w:rsidTr="00366F2B">
        <w:trPr>
          <w:tblHeader/>
        </w:trPr>
        <w:tc>
          <w:tcPr>
            <w:tcW w:w="1717"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Etapa</w:t>
            </w:r>
          </w:p>
        </w:tc>
        <w:tc>
          <w:tcPr>
            <w:tcW w:w="3283" w:type="pct"/>
            <w:shd w:val="clear" w:color="auto" w:fill="BDD6EE" w:themeFill="accent5" w:themeFillTint="66"/>
          </w:tcPr>
          <w:p w:rsidR="00CD3EEE" w:rsidRPr="00BA1D95" w:rsidRDefault="00CD3EEE" w:rsidP="0023172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402F39">
        <w:tc>
          <w:tcPr>
            <w:tcW w:w="1717"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Envío y Validación de</w:t>
            </w:r>
            <w:r w:rsidR="003152CD" w:rsidRPr="00BA1D95">
              <w:rPr>
                <w:rFonts w:cs="Arial"/>
                <w:b/>
                <w:sz w:val="20"/>
                <w:szCs w:val="20"/>
                <w:lang w:eastAsia="es-MX"/>
              </w:rPr>
              <w:t xml:space="preserve"> la</w:t>
            </w:r>
            <w:r w:rsidRPr="00BA1D95">
              <w:rPr>
                <w:rFonts w:cs="Arial"/>
                <w:b/>
                <w:sz w:val="20"/>
                <w:szCs w:val="20"/>
                <w:lang w:eastAsia="es-MX"/>
              </w:rPr>
              <w:t xml:space="preserve"> solicitud</w:t>
            </w:r>
          </w:p>
        </w:tc>
        <w:tc>
          <w:tcPr>
            <w:tcW w:w="3283"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presentar sus solicitudes a través del </w:t>
            </w:r>
            <w:r w:rsidR="006B5A23">
              <w:rPr>
                <w:rFonts w:cs="Arial"/>
                <w:sz w:val="20"/>
                <w:szCs w:val="20"/>
                <w:lang w:eastAsia="es-MX"/>
              </w:rPr>
              <w:t>SEG</w:t>
            </w:r>
            <w:r w:rsidRPr="00BA1D95">
              <w:rPr>
                <w:rFonts w:cs="Arial"/>
                <w:sz w:val="20"/>
                <w:szCs w:val="20"/>
                <w:lang w:eastAsia="es-MX"/>
              </w:rPr>
              <w:t xml:space="preserve"> podrá capturarlas de forma individual o masiva realizando en la validación y el análisis de Factibilidad Técnica del domicilio requerido, determinando si existen los recursos técnicos y facilidades para habilitar los servicios solicitados </w:t>
            </w:r>
            <w:r w:rsidR="00E06DD7" w:rsidRPr="00BA1D95">
              <w:rPr>
                <w:rFonts w:cs="Arial"/>
                <w:sz w:val="20"/>
                <w:szCs w:val="20"/>
                <w:lang w:eastAsia="es-MX"/>
              </w:rPr>
              <w:t>de acuerdo con el</w:t>
            </w:r>
            <w:r w:rsidRPr="00BA1D95">
              <w:rPr>
                <w:rFonts w:cs="Arial"/>
                <w:sz w:val="20"/>
                <w:szCs w:val="20"/>
                <w:lang w:eastAsia="es-MX"/>
              </w:rPr>
              <w:t xml:space="preserve"> perfil requerido, especificando el NIS-Referencia del servicio a modificar:</w:t>
            </w:r>
          </w:p>
          <w:p w:rsidR="00CD3EEE" w:rsidRPr="00BA1D95" w:rsidRDefault="00CD3EEE" w:rsidP="00D37C98">
            <w:pPr>
              <w:pStyle w:val="IFTnormal"/>
              <w:numPr>
                <w:ilvl w:val="0"/>
                <w:numId w:val="51"/>
              </w:numPr>
              <w:spacing w:after="120" w:line="240" w:lineRule="auto"/>
              <w:ind w:left="318" w:hanging="284"/>
              <w:rPr>
                <w:rFonts w:cs="Arial"/>
                <w:sz w:val="20"/>
                <w:szCs w:val="20"/>
                <w:lang w:eastAsia="es-MX"/>
              </w:rPr>
            </w:pPr>
            <w:r w:rsidRPr="00BA1D95">
              <w:rPr>
                <w:rFonts w:cs="Arial"/>
                <w:sz w:val="20"/>
                <w:szCs w:val="20"/>
                <w:lang w:eastAsia="es-MX"/>
              </w:rPr>
              <w:t>Indicar si se habilitarán/deshabilitarán servicios digitales y/o marcaciones solicitados (entendiendo esto último como restricción de marcaciones).</w:t>
            </w:r>
          </w:p>
          <w:p w:rsidR="00CD3EEE" w:rsidRPr="00BA1D95" w:rsidRDefault="00CD3EEE" w:rsidP="00D37C98">
            <w:pPr>
              <w:pStyle w:val="IFTnormal"/>
              <w:numPr>
                <w:ilvl w:val="0"/>
                <w:numId w:val="51"/>
              </w:numPr>
              <w:spacing w:line="240" w:lineRule="auto"/>
              <w:ind w:left="318" w:hanging="318"/>
              <w:rPr>
                <w:rFonts w:cs="Arial"/>
                <w:sz w:val="20"/>
                <w:szCs w:val="20"/>
                <w:lang w:eastAsia="es-MX"/>
              </w:rPr>
            </w:pPr>
            <w:r w:rsidRPr="00BA1D95">
              <w:rPr>
                <w:rFonts w:cs="Arial"/>
                <w:sz w:val="20"/>
                <w:szCs w:val="20"/>
                <w:lang w:eastAsia="es-MX"/>
              </w:rPr>
              <w:t xml:space="preserve">Indicar fecha de activación de los nuevos servicios digitales y/o marcaciones </w:t>
            </w:r>
            <w:r w:rsidR="004C2AD9" w:rsidRPr="00BA1D95">
              <w:rPr>
                <w:rFonts w:cs="Arial"/>
                <w:sz w:val="20"/>
                <w:szCs w:val="20"/>
                <w:lang w:eastAsia="es-MX"/>
              </w:rPr>
              <w:t>solicitadas</w:t>
            </w:r>
            <w:r w:rsidRPr="00BA1D95">
              <w:rPr>
                <w:rFonts w:cs="Arial"/>
                <w:sz w:val="20"/>
                <w:szCs w:val="20"/>
                <w:lang w:eastAsia="es-MX"/>
              </w:rPr>
              <w:t xml:space="preserve"> (entendiendo esto último como restricción de marcaciones).</w:t>
            </w:r>
          </w:p>
          <w:p w:rsidR="00CD3EEE" w:rsidRPr="00BA1D95" w:rsidRDefault="00CD3EEE" w:rsidP="0023172A">
            <w:pPr>
              <w:pStyle w:val="IFTnormal"/>
              <w:spacing w:line="240" w:lineRule="auto"/>
              <w:rPr>
                <w:rFonts w:cs="Arial"/>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de habilitación del servicio.</w:t>
            </w:r>
          </w:p>
        </w:tc>
      </w:tr>
      <w:tr w:rsidR="00CD3EEE" w:rsidRPr="00BA1D95" w:rsidTr="00402F39">
        <w:tc>
          <w:tcPr>
            <w:tcW w:w="1717"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Habilitación y aprovisionamiento del Servicio</w:t>
            </w:r>
          </w:p>
        </w:tc>
        <w:tc>
          <w:tcPr>
            <w:tcW w:w="3283" w:type="pct"/>
            <w:shd w:val="clear" w:color="auto" w:fill="auto"/>
          </w:tcPr>
          <w:p w:rsidR="00CD3EEE" w:rsidRPr="00BA1D95" w:rsidRDefault="00E83F21" w:rsidP="004B11EB">
            <w:pPr>
              <w:pStyle w:val="IFTnormal"/>
              <w:rPr>
                <w:rFonts w:cs="Arial"/>
                <w:sz w:val="20"/>
                <w:szCs w:val="20"/>
                <w:lang w:eastAsia="es-MX"/>
              </w:rPr>
            </w:pPr>
            <w:r>
              <w:rPr>
                <w:rFonts w:cs="Arial"/>
                <w:sz w:val="20"/>
                <w:szCs w:val="20"/>
                <w:lang w:eastAsia="es-MX"/>
              </w:rPr>
              <w:t>Telmex / Telnor</w:t>
            </w:r>
            <w:r w:rsidR="00041BA6">
              <w:rPr>
                <w:rFonts w:cs="Arial"/>
                <w:sz w:val="20"/>
                <w:szCs w:val="20"/>
                <w:lang w:eastAsia="es-MX"/>
              </w:rPr>
              <w:t xml:space="preserve"> </w:t>
            </w:r>
            <w:r w:rsidR="00CD3EEE" w:rsidRPr="00BA1D95">
              <w:rPr>
                <w:rFonts w:cs="Arial"/>
                <w:sz w:val="20"/>
                <w:szCs w:val="20"/>
                <w:lang w:eastAsia="es-MX"/>
              </w:rPr>
              <w:t xml:space="preserve">llevará a cabo las actuaciones necesarias para modificar el servicio el día confirmado por el CS; </w:t>
            </w:r>
          </w:p>
          <w:p w:rsidR="00CD3EEE" w:rsidRPr="00BA1D95" w:rsidRDefault="00CD3EEE" w:rsidP="00D37C98">
            <w:pPr>
              <w:pStyle w:val="IFTnormal"/>
              <w:numPr>
                <w:ilvl w:val="0"/>
                <w:numId w:val="51"/>
              </w:numPr>
              <w:ind w:left="318" w:hanging="318"/>
              <w:rPr>
                <w:rFonts w:cs="Arial"/>
                <w:sz w:val="20"/>
                <w:szCs w:val="20"/>
                <w:lang w:eastAsia="es-MX"/>
              </w:rPr>
            </w:pPr>
            <w:r w:rsidRPr="00BA1D95">
              <w:rPr>
                <w:rFonts w:cs="Arial"/>
                <w:sz w:val="20"/>
                <w:szCs w:val="20"/>
                <w:lang w:eastAsia="es-MX"/>
              </w:rPr>
              <w:t>Se activarán/desactivarán los servicios digitales o de marcaciones solicitados (entendiendo esto último como restricción de marcaciones), en un plazo no mayor a 1 día hábil.</w:t>
            </w:r>
          </w:p>
        </w:tc>
      </w:tr>
      <w:tr w:rsidR="00CD3EEE" w:rsidRPr="00BA1D95" w:rsidTr="00402F39">
        <w:tc>
          <w:tcPr>
            <w:tcW w:w="1717" w:type="pct"/>
            <w:shd w:val="clear" w:color="auto" w:fill="auto"/>
          </w:tcPr>
          <w:p w:rsidR="00CD3EEE" w:rsidRPr="00BA1D95" w:rsidRDefault="00CD3EEE" w:rsidP="0023172A">
            <w:pPr>
              <w:pStyle w:val="IFTnormal"/>
              <w:jc w:val="left"/>
              <w:rPr>
                <w:rFonts w:cs="Arial"/>
                <w:b/>
                <w:sz w:val="20"/>
                <w:szCs w:val="20"/>
                <w:lang w:eastAsia="es-MX"/>
              </w:rPr>
            </w:pPr>
            <w:r w:rsidRPr="00BA1D95">
              <w:rPr>
                <w:rFonts w:cs="Arial"/>
                <w:b/>
                <w:sz w:val="20"/>
                <w:szCs w:val="20"/>
                <w:lang w:eastAsia="es-MX"/>
              </w:rPr>
              <w:t>Facturación</w:t>
            </w:r>
          </w:p>
        </w:tc>
        <w:tc>
          <w:tcPr>
            <w:tcW w:w="3283"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CD3EEE" w:rsidRPr="00BA1D95" w:rsidRDefault="00CD3EEE" w:rsidP="00D37C98">
            <w:pPr>
              <w:pStyle w:val="IFTnormal"/>
              <w:numPr>
                <w:ilvl w:val="0"/>
                <w:numId w:val="51"/>
              </w:numPr>
              <w:spacing w:line="240" w:lineRule="auto"/>
              <w:ind w:left="318" w:hanging="284"/>
              <w:rPr>
                <w:rFonts w:cs="Arial"/>
                <w:sz w:val="20"/>
                <w:szCs w:val="20"/>
                <w:lang w:eastAsia="es-MX"/>
              </w:rPr>
            </w:pPr>
            <w:r w:rsidRPr="00BA1D95">
              <w:rPr>
                <w:rFonts w:cs="Arial"/>
                <w:sz w:val="20"/>
                <w:szCs w:val="20"/>
                <w:lang w:eastAsia="es-MX"/>
              </w:rPr>
              <w:t>Se incluirán los gastos de instalación y la renta mensual correspondiente.</w:t>
            </w:r>
          </w:p>
          <w:p w:rsidR="00CD3EEE" w:rsidRPr="00BA1D95" w:rsidRDefault="00CD3EEE" w:rsidP="00D37C98">
            <w:pPr>
              <w:pStyle w:val="IFTnormal"/>
              <w:numPr>
                <w:ilvl w:val="0"/>
                <w:numId w:val="51"/>
              </w:numPr>
              <w:spacing w:line="240" w:lineRule="auto"/>
              <w:ind w:left="318" w:hanging="284"/>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tc>
      </w:tr>
    </w:tbl>
    <w:p w:rsidR="00CD3EEE" w:rsidRPr="00BA1D95" w:rsidRDefault="00CD3EEE" w:rsidP="004B11EB">
      <w:pPr>
        <w:pStyle w:val="IFTnormal"/>
        <w:spacing w:before="240"/>
        <w:ind w:right="-284"/>
        <w:rPr>
          <w:rFonts w:cs="Arial"/>
          <w:b/>
        </w:rPr>
      </w:pPr>
      <w:r w:rsidRPr="00BA1D95">
        <w:rPr>
          <w:rFonts w:cs="Arial"/>
          <w:b/>
        </w:rPr>
        <w:t>Procedimiento de Suspensión/Reactivación de SRMLT</w:t>
      </w:r>
    </w:p>
    <w:p w:rsidR="00CD3EEE" w:rsidRDefault="00CD3EEE" w:rsidP="004B11EB">
      <w:pPr>
        <w:pStyle w:val="IFTnormal"/>
        <w:ind w:right="20"/>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FE08A7">
        <w:rPr>
          <w:rFonts w:cs="Arial"/>
        </w:rPr>
        <w:t xml:space="preserve"> </w:t>
      </w:r>
      <w:r w:rsidRPr="00BA1D95">
        <w:rPr>
          <w:rFonts w:cs="Arial"/>
        </w:rPr>
        <w:t xml:space="preserve">y del CS, a fin de realizar la suspensión/reactivación del Servicio Mayorista de Reventa de Línea Telefónica en caso de que el CS lo requiera; las fases en que se divide este procedimiento son: </w:t>
      </w:r>
      <w:r w:rsidRPr="00BA1D95">
        <w:rPr>
          <w:rFonts w:cs="Arial"/>
          <w:b/>
        </w:rPr>
        <w:t>(i)</w:t>
      </w:r>
      <w:r w:rsidRPr="00BA1D95">
        <w:rPr>
          <w:rFonts w:cs="Arial"/>
        </w:rPr>
        <w:t xml:space="preserve"> Ingreso del CS al módulo de suspensión de servicios en el </w:t>
      </w:r>
      <w:r w:rsidR="006B5A23">
        <w:rPr>
          <w:rFonts w:cs="Arial"/>
        </w:rPr>
        <w:t>SEG</w:t>
      </w:r>
      <w:r w:rsidRPr="00BA1D95">
        <w:rPr>
          <w:rFonts w:cs="Arial"/>
        </w:rPr>
        <w:t xml:space="preserve"> para proporcionar la referencia del servicio y validación del número a suspender o reactivar y </w:t>
      </w:r>
      <w:r w:rsidRPr="00BA1D95">
        <w:rPr>
          <w:rFonts w:cs="Arial"/>
          <w:b/>
        </w:rPr>
        <w:t>(ii)</w:t>
      </w:r>
      <w:r w:rsidRPr="00BA1D95">
        <w:rPr>
          <w:rFonts w:cs="Arial"/>
        </w:rPr>
        <w:t xml:space="preserve"> Ejecución de la suspensión/reactivación por parte de </w:t>
      </w:r>
      <w:r w:rsidR="00E83F21">
        <w:rPr>
          <w:rFonts w:cs="Arial"/>
        </w:rPr>
        <w:t>Telmex / Telnor</w:t>
      </w:r>
      <w:r w:rsidRPr="00BA1D95">
        <w:rPr>
          <w:rFonts w:cs="Arial"/>
        </w:rPr>
        <w:t xml:space="preserve">, lo que detonará los procesos de facturación. </w:t>
      </w:r>
    </w:p>
    <w:p w:rsidR="003223FC" w:rsidRPr="00BA1D95" w:rsidRDefault="003223FC" w:rsidP="004B11EB">
      <w:pPr>
        <w:pStyle w:val="IFTnormal"/>
        <w:ind w:right="20"/>
        <w:rPr>
          <w:rFonts w:cs="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0"/>
        <w:gridCol w:w="5946"/>
      </w:tblGrid>
      <w:tr w:rsidR="00CD3EEE" w:rsidRPr="00BA1D95" w:rsidTr="00366F2B">
        <w:trPr>
          <w:tblHeader/>
        </w:trPr>
        <w:tc>
          <w:tcPr>
            <w:tcW w:w="1717"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Etapa</w:t>
            </w:r>
          </w:p>
        </w:tc>
        <w:tc>
          <w:tcPr>
            <w:tcW w:w="3283"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907A12">
        <w:trPr>
          <w:trHeight w:val="1537"/>
        </w:trPr>
        <w:tc>
          <w:tcPr>
            <w:tcW w:w="1717"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Envío y Validación de solicitud</w:t>
            </w:r>
          </w:p>
        </w:tc>
        <w:tc>
          <w:tcPr>
            <w:tcW w:w="3283"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presentar sus solicitudes a través del </w:t>
            </w:r>
            <w:r w:rsidR="006B5A23">
              <w:rPr>
                <w:rFonts w:cs="Arial"/>
                <w:sz w:val="20"/>
                <w:szCs w:val="20"/>
                <w:lang w:eastAsia="es-MX"/>
              </w:rPr>
              <w:t>SEG</w:t>
            </w:r>
            <w:r w:rsidRPr="00BA1D95">
              <w:rPr>
                <w:rFonts w:cs="Arial"/>
                <w:sz w:val="20"/>
                <w:szCs w:val="20"/>
                <w:lang w:eastAsia="es-MX"/>
              </w:rPr>
              <w:t>, validando en línea el NIS</w:t>
            </w:r>
            <w:r w:rsidR="004E6F57" w:rsidRPr="00BA1D95">
              <w:rPr>
                <w:rFonts w:cs="Arial"/>
                <w:sz w:val="20"/>
                <w:szCs w:val="20"/>
                <w:lang w:eastAsia="es-MX"/>
              </w:rPr>
              <w:t xml:space="preserve"> de </w:t>
            </w:r>
            <w:r w:rsidRPr="00BA1D95">
              <w:rPr>
                <w:rFonts w:cs="Arial"/>
                <w:sz w:val="20"/>
                <w:szCs w:val="20"/>
                <w:lang w:eastAsia="es-MX"/>
              </w:rPr>
              <w:t xml:space="preserve">Referencia del servicio a Suspender/Reactivar. </w:t>
            </w:r>
          </w:p>
          <w:p w:rsidR="00CD3EEE" w:rsidRPr="00BA1D95" w:rsidRDefault="00CD3EEE" w:rsidP="004B11EB">
            <w:pPr>
              <w:pStyle w:val="IFTnormal"/>
              <w:rPr>
                <w:rFonts w:cs="Arial"/>
                <w:sz w:val="20"/>
                <w:szCs w:val="20"/>
                <w:lang w:eastAsia="es-MX"/>
              </w:rPr>
            </w:pPr>
            <w:r w:rsidRPr="00BA1D95">
              <w:rPr>
                <w:rFonts w:cs="Arial"/>
                <w:sz w:val="20"/>
                <w:szCs w:val="20"/>
                <w:lang w:eastAsia="es-MX"/>
              </w:rPr>
              <w:t>Una vez validados los campos correspondientes se procederá directamente a la etapa de Suspensión/Reactivación (según aplique),</w:t>
            </w:r>
            <w:r w:rsidRPr="00BA1D95">
              <w:rPr>
                <w:rFonts w:cs="Arial"/>
                <w:bCs w:val="0"/>
                <w:sz w:val="20"/>
                <w:szCs w:val="20"/>
                <w:lang w:eastAsia="es-MX"/>
              </w:rPr>
              <w:t xml:space="preserve"> así como la asignación de forma automática del NIS de seguimiento.</w:t>
            </w:r>
          </w:p>
        </w:tc>
      </w:tr>
      <w:tr w:rsidR="00CD3EEE" w:rsidRPr="00BA1D95" w:rsidTr="00402F39">
        <w:tc>
          <w:tcPr>
            <w:tcW w:w="1717"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Suspensión</w:t>
            </w:r>
          </w:p>
        </w:tc>
        <w:tc>
          <w:tcPr>
            <w:tcW w:w="3283"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Una vez que se haya validado la solicitud se suspenderá el servicio en un plazo no mayor a</w:t>
            </w:r>
            <w:r w:rsidRPr="00BA1D95">
              <w:rPr>
                <w:rFonts w:cs="Arial"/>
                <w:sz w:val="20"/>
                <w:szCs w:val="20"/>
                <w:lang w:val="es-ES" w:eastAsia="es-MX"/>
              </w:rPr>
              <w:t xml:space="preserve"> 1 día hábil</w:t>
            </w:r>
            <w:r w:rsidRPr="00BA1D95">
              <w:rPr>
                <w:rFonts w:cs="Arial"/>
                <w:sz w:val="20"/>
                <w:szCs w:val="20"/>
                <w:lang w:eastAsia="es-MX"/>
              </w:rPr>
              <w:t>.</w:t>
            </w:r>
          </w:p>
        </w:tc>
      </w:tr>
      <w:tr w:rsidR="00CD3EEE" w:rsidRPr="00BA1D95" w:rsidTr="00402F39">
        <w:tc>
          <w:tcPr>
            <w:tcW w:w="1717"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Reactivación</w:t>
            </w:r>
          </w:p>
        </w:tc>
        <w:tc>
          <w:tcPr>
            <w:tcW w:w="3283" w:type="pct"/>
            <w:shd w:val="clear" w:color="auto" w:fill="auto"/>
          </w:tcPr>
          <w:p w:rsidR="00CD3EEE" w:rsidRPr="00BA1D95" w:rsidRDefault="00CD3EEE" w:rsidP="00FE08A7">
            <w:pPr>
              <w:pStyle w:val="IFTnormal"/>
              <w:rPr>
                <w:rFonts w:cs="Arial"/>
                <w:sz w:val="20"/>
                <w:szCs w:val="20"/>
                <w:lang w:eastAsia="es-MX"/>
              </w:rPr>
            </w:pPr>
            <w:r w:rsidRPr="00BA1D95">
              <w:rPr>
                <w:rFonts w:cs="Arial"/>
                <w:sz w:val="20"/>
                <w:szCs w:val="20"/>
                <w:lang w:eastAsia="es-MX"/>
              </w:rPr>
              <w:t xml:space="preserve">En el caso de la reactivación se realizará en un plazo máximo de </w:t>
            </w:r>
            <w:r w:rsidR="009F56E2">
              <w:rPr>
                <w:rFonts w:cs="Arial"/>
                <w:sz w:val="20"/>
                <w:szCs w:val="20"/>
                <w:lang w:eastAsia="es-MX"/>
              </w:rPr>
              <w:t>dos</w:t>
            </w:r>
            <w:r w:rsidR="009F56E2" w:rsidRPr="00BA1D95">
              <w:rPr>
                <w:rFonts w:cs="Arial"/>
                <w:sz w:val="20"/>
                <w:szCs w:val="20"/>
                <w:lang w:eastAsia="es-MX"/>
              </w:rPr>
              <w:t xml:space="preserve"> </w:t>
            </w:r>
            <w:r w:rsidRPr="00BA1D95">
              <w:rPr>
                <w:rFonts w:cs="Arial"/>
                <w:sz w:val="20"/>
                <w:szCs w:val="20"/>
                <w:lang w:eastAsia="es-MX"/>
              </w:rPr>
              <w:t xml:space="preserve">horas a partir de la solicitud, atendiéndose la misma en el estricto orden en que fueron solicitadas, incluyendo las propias operaciones de </w:t>
            </w:r>
            <w:r w:rsidR="00E83F21">
              <w:rPr>
                <w:rFonts w:cs="Arial"/>
                <w:sz w:val="20"/>
                <w:szCs w:val="20"/>
                <w:lang w:eastAsia="es-MX"/>
              </w:rPr>
              <w:t>Telmex / Telnor</w:t>
            </w:r>
            <w:r w:rsidRPr="00BA1D95">
              <w:rPr>
                <w:rFonts w:cs="Arial"/>
                <w:sz w:val="20"/>
                <w:szCs w:val="20"/>
                <w:lang w:eastAsia="es-MX"/>
              </w:rPr>
              <w:t>.</w:t>
            </w:r>
          </w:p>
        </w:tc>
      </w:tr>
      <w:tr w:rsidR="00CD3EEE" w:rsidRPr="00BA1D95" w:rsidTr="00402F39">
        <w:tc>
          <w:tcPr>
            <w:tcW w:w="1717"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Facturación</w:t>
            </w:r>
          </w:p>
        </w:tc>
        <w:tc>
          <w:tcPr>
            <w:tcW w:w="3283"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Al corte del mes se realizará la facturación aplicable al servicio:</w:t>
            </w:r>
          </w:p>
          <w:p w:rsidR="00CD3EEE" w:rsidRPr="00BA1D95" w:rsidRDefault="00CD3EEE" w:rsidP="00D37C98">
            <w:pPr>
              <w:pStyle w:val="IFTnormal"/>
              <w:numPr>
                <w:ilvl w:val="0"/>
                <w:numId w:val="90"/>
              </w:numPr>
              <w:rPr>
                <w:rFonts w:cs="Arial"/>
                <w:sz w:val="20"/>
                <w:szCs w:val="20"/>
                <w:lang w:eastAsia="es-MX"/>
              </w:rPr>
            </w:pPr>
            <w:r w:rsidRPr="00BA1D95">
              <w:rPr>
                <w:rFonts w:cs="Arial"/>
                <w:sz w:val="20"/>
                <w:szCs w:val="20"/>
                <w:lang w:eastAsia="es-MX"/>
              </w:rPr>
              <w:t>El CS contará con la posibilidad de solicitar ajustes o aclaraciones respecto a los conceptos y servicios incluidos en su factura.</w:t>
            </w:r>
          </w:p>
          <w:p w:rsidR="00CD3EEE" w:rsidRPr="00BA1D95" w:rsidRDefault="00CD3EEE" w:rsidP="00D37C98">
            <w:pPr>
              <w:pStyle w:val="IFTnormal"/>
              <w:numPr>
                <w:ilvl w:val="0"/>
                <w:numId w:val="90"/>
              </w:numPr>
              <w:rPr>
                <w:rFonts w:cs="Arial"/>
                <w:sz w:val="20"/>
                <w:szCs w:val="20"/>
                <w:lang w:eastAsia="es-MX"/>
              </w:rPr>
            </w:pPr>
            <w:r w:rsidRPr="00BA1D95">
              <w:rPr>
                <w:rFonts w:cs="Arial"/>
                <w:sz w:val="20"/>
                <w:szCs w:val="20"/>
                <w:lang w:eastAsia="es-MX"/>
              </w:rPr>
              <w:t>El cobro será aplicado conforme a las</w:t>
            </w:r>
            <w:r w:rsidR="00F61597" w:rsidRPr="00BA1D95">
              <w:rPr>
                <w:rFonts w:cs="Arial"/>
                <w:sz w:val="20"/>
                <w:szCs w:val="20"/>
                <w:lang w:eastAsia="es-MX"/>
              </w:rPr>
              <w:t xml:space="preserve"> tarifas del Anexo de la presente Oferta.</w:t>
            </w:r>
          </w:p>
        </w:tc>
      </w:tr>
    </w:tbl>
    <w:p w:rsidR="00CD3EEE" w:rsidRPr="00BA1D95" w:rsidRDefault="00CD3EEE" w:rsidP="004B11EB">
      <w:pPr>
        <w:pStyle w:val="IFTnormal"/>
        <w:spacing w:before="240"/>
        <w:ind w:right="-284"/>
        <w:rPr>
          <w:rFonts w:cs="Arial"/>
          <w:b/>
        </w:rPr>
      </w:pPr>
      <w:r w:rsidRPr="00BA1D95">
        <w:rPr>
          <w:rFonts w:cs="Arial"/>
          <w:b/>
        </w:rPr>
        <w:t>Procedimiento de baja de SRMLT</w:t>
      </w:r>
    </w:p>
    <w:p w:rsidR="00CD3EEE" w:rsidRDefault="00CD3EEE" w:rsidP="004B11EB">
      <w:pPr>
        <w:pStyle w:val="IFTnormal"/>
        <w:ind w:right="20"/>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FE08A7">
        <w:rPr>
          <w:rFonts w:cs="Arial"/>
        </w:rPr>
        <w:t xml:space="preserve"> </w:t>
      </w:r>
      <w:r w:rsidRPr="00BA1D95">
        <w:rPr>
          <w:rFonts w:cs="Arial"/>
        </w:rPr>
        <w:t xml:space="preserve">y del CS, a fin de realizar la baja el servicio de </w:t>
      </w:r>
      <w:r w:rsidRPr="00BA1D95">
        <w:rPr>
          <w:rStyle w:val="IFTnormalCar"/>
          <w:rFonts w:cs="Arial"/>
        </w:rPr>
        <w:t xml:space="preserve">SRMLT; las fases en que se divide este procedimiento son: </w:t>
      </w:r>
      <w:r w:rsidRPr="00BA1D95">
        <w:rPr>
          <w:rStyle w:val="IFTnormalCar"/>
          <w:rFonts w:cs="Arial"/>
          <w:b/>
        </w:rPr>
        <w:t>(i)</w:t>
      </w:r>
      <w:r w:rsidRPr="00BA1D95">
        <w:rPr>
          <w:rStyle w:val="IFTnormalCar"/>
          <w:rFonts w:cs="Arial"/>
        </w:rPr>
        <w:t xml:space="preserve"> Envío</w:t>
      </w:r>
      <w:r w:rsidRPr="00BA1D95">
        <w:rPr>
          <w:rFonts w:cs="Arial"/>
        </w:rPr>
        <w:t xml:space="preserve"> y validación de la solicitud a través del </w:t>
      </w:r>
      <w:r w:rsidR="006B5A23">
        <w:rPr>
          <w:rFonts w:cs="Arial"/>
        </w:rPr>
        <w:t>SEG</w:t>
      </w:r>
      <w:r w:rsidRPr="00BA1D95">
        <w:rPr>
          <w:rFonts w:cs="Arial"/>
        </w:rPr>
        <w:t xml:space="preserve"> que confirme que cuenta con todos los elementos para que el CS manifieste su intención de dar de baja los servicios; y </w:t>
      </w:r>
      <w:r w:rsidRPr="00BA1D95">
        <w:rPr>
          <w:rFonts w:cs="Arial"/>
          <w:b/>
        </w:rPr>
        <w:t>(ii)</w:t>
      </w:r>
      <w:r w:rsidRPr="00BA1D95">
        <w:rPr>
          <w:rFonts w:cs="Arial"/>
        </w:rPr>
        <w:t xml:space="preserve"> Baja del servicio y de la facturación correspondiente.</w:t>
      </w:r>
    </w:p>
    <w:p w:rsidR="00907A12" w:rsidRDefault="00907A12" w:rsidP="004B11EB">
      <w:pPr>
        <w:pStyle w:val="IFTnormal"/>
        <w:ind w:right="20"/>
        <w:rPr>
          <w:rFonts w:cs="Arial"/>
        </w:rPr>
      </w:pP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37"/>
        <w:gridCol w:w="5908"/>
      </w:tblGrid>
      <w:tr w:rsidR="00CD3EEE" w:rsidRPr="00BA1D95" w:rsidTr="00366F2B">
        <w:trPr>
          <w:tblHeader/>
        </w:trPr>
        <w:tc>
          <w:tcPr>
            <w:tcW w:w="1734"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Etapa</w:t>
            </w:r>
          </w:p>
        </w:tc>
        <w:tc>
          <w:tcPr>
            <w:tcW w:w="3266"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402F39">
        <w:tc>
          <w:tcPr>
            <w:tcW w:w="1734"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Envío y Validación de solicitud</w:t>
            </w:r>
          </w:p>
        </w:tc>
        <w:tc>
          <w:tcPr>
            <w:tcW w:w="3266"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presentar sus solicitudes a través del </w:t>
            </w:r>
            <w:r w:rsidR="006B5A23">
              <w:rPr>
                <w:rFonts w:cs="Arial"/>
                <w:sz w:val="20"/>
                <w:szCs w:val="20"/>
                <w:lang w:eastAsia="es-MX"/>
              </w:rPr>
              <w:t>SEG</w:t>
            </w:r>
            <w:r w:rsidRPr="00BA1D95">
              <w:rPr>
                <w:rFonts w:cs="Arial"/>
                <w:sz w:val="20"/>
                <w:szCs w:val="20"/>
                <w:lang w:eastAsia="es-MX"/>
              </w:rPr>
              <w:t>, validando en línea el NIS</w:t>
            </w:r>
            <w:r w:rsidR="004E6F57" w:rsidRPr="00BA1D95">
              <w:rPr>
                <w:rFonts w:cs="Arial"/>
                <w:sz w:val="20"/>
                <w:szCs w:val="20"/>
                <w:lang w:eastAsia="es-MX"/>
              </w:rPr>
              <w:t xml:space="preserve"> de </w:t>
            </w:r>
            <w:r w:rsidRPr="00BA1D95">
              <w:rPr>
                <w:rFonts w:cs="Arial"/>
                <w:sz w:val="20"/>
                <w:szCs w:val="20"/>
                <w:lang w:eastAsia="es-MX"/>
              </w:rPr>
              <w:t>Referencia del servicio en operación. Una vez validados los campos correspondientes se procederá directamente a la etapa Ejecución de baja.</w:t>
            </w:r>
          </w:p>
          <w:p w:rsidR="00CD3EEE" w:rsidRPr="00BA1D95" w:rsidRDefault="00CD3EEE" w:rsidP="004B11EB">
            <w:pPr>
              <w:pStyle w:val="IFTnormal"/>
              <w:rPr>
                <w:rFonts w:cs="Arial"/>
                <w:sz w:val="20"/>
                <w:szCs w:val="20"/>
                <w:lang w:eastAsia="es-MX"/>
              </w:rPr>
            </w:pPr>
            <w:r w:rsidRPr="00BA1D95">
              <w:rPr>
                <w:rFonts w:cs="Arial"/>
                <w:bCs w:val="0"/>
                <w:sz w:val="20"/>
                <w:szCs w:val="20"/>
                <w:lang w:eastAsia="es-MX"/>
              </w:rPr>
              <w:t xml:space="preserve">Una vez validados los campos correspondientes en el </w:t>
            </w:r>
            <w:r w:rsidR="006B5A23">
              <w:rPr>
                <w:rFonts w:cs="Arial"/>
                <w:bCs w:val="0"/>
                <w:sz w:val="20"/>
                <w:szCs w:val="20"/>
                <w:lang w:eastAsia="es-MX"/>
              </w:rPr>
              <w:t>SEG</w:t>
            </w:r>
            <w:r w:rsidRPr="00BA1D95">
              <w:rPr>
                <w:rFonts w:cs="Arial"/>
                <w:bCs w:val="0"/>
                <w:sz w:val="20"/>
                <w:szCs w:val="20"/>
                <w:lang w:eastAsia="es-MX"/>
              </w:rPr>
              <w:t xml:space="preserve">, se asignará </w:t>
            </w:r>
            <w:r w:rsidRPr="00BA1D95">
              <w:rPr>
                <w:rFonts w:cs="Arial"/>
                <w:bCs w:val="0"/>
                <w:sz w:val="20"/>
                <w:szCs w:val="20"/>
                <w:lang w:eastAsia="es-MX"/>
              </w:rPr>
              <w:lastRenderedPageBreak/>
              <w:t>de forma automática del NIS de seguimiento.</w:t>
            </w:r>
          </w:p>
        </w:tc>
      </w:tr>
      <w:tr w:rsidR="00CD3EEE" w:rsidRPr="00BA1D95" w:rsidTr="00402F39">
        <w:tc>
          <w:tcPr>
            <w:tcW w:w="1734"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lastRenderedPageBreak/>
              <w:t>Ejecución de baja</w:t>
            </w:r>
          </w:p>
        </w:tc>
        <w:tc>
          <w:tcPr>
            <w:tcW w:w="3266"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Una vez asignado el NIS se dará de </w:t>
            </w:r>
            <w:r w:rsidR="002933E9" w:rsidRPr="00BA1D95">
              <w:rPr>
                <w:rFonts w:cs="Arial"/>
                <w:sz w:val="20"/>
                <w:szCs w:val="20"/>
                <w:lang w:eastAsia="es-MX"/>
              </w:rPr>
              <w:t xml:space="preserve">baja en </w:t>
            </w:r>
            <w:r w:rsidR="002933E9">
              <w:rPr>
                <w:rFonts w:cs="Arial"/>
                <w:sz w:val="20"/>
                <w:szCs w:val="20"/>
                <w:lang w:eastAsia="es-MX"/>
              </w:rPr>
              <w:t>el plazo establecido para tal efecto</w:t>
            </w:r>
            <w:r w:rsidR="00E90B62">
              <w:rPr>
                <w:rFonts w:cs="Arial"/>
                <w:sz w:val="20"/>
                <w:szCs w:val="20"/>
                <w:lang w:eastAsia="es-MX"/>
              </w:rPr>
              <w:t xml:space="preserve"> en la sección de Plazos de este servicio</w:t>
            </w:r>
            <w:r w:rsidR="002933E9">
              <w:rPr>
                <w:rFonts w:cs="Arial"/>
                <w:sz w:val="20"/>
                <w:szCs w:val="20"/>
                <w:lang w:eastAsia="es-MX"/>
              </w:rPr>
              <w:t xml:space="preserve"> en la presente OREDA</w:t>
            </w:r>
            <w:r w:rsidR="002933E9" w:rsidRPr="00BA1D95">
              <w:rPr>
                <w:rFonts w:cs="Arial"/>
                <w:sz w:val="20"/>
                <w:szCs w:val="20"/>
                <w:lang w:eastAsia="es-MX"/>
              </w:rPr>
              <w:t xml:space="preserve">. </w:t>
            </w:r>
          </w:p>
          <w:p w:rsidR="00CD3EEE" w:rsidRPr="00BA1D95" w:rsidRDefault="00CD3EEE" w:rsidP="004B11EB">
            <w:pPr>
              <w:pStyle w:val="IFTnormal"/>
              <w:rPr>
                <w:rFonts w:cs="Arial"/>
                <w:sz w:val="20"/>
                <w:szCs w:val="20"/>
                <w:lang w:eastAsia="es-MX"/>
              </w:rPr>
            </w:pPr>
            <w:r w:rsidRPr="00BA1D95">
              <w:rPr>
                <w:rFonts w:cs="Arial"/>
                <w:sz w:val="20"/>
                <w:szCs w:val="20"/>
                <w:lang w:eastAsia="es-MX"/>
              </w:rPr>
              <w:t>Telmex procederá a dar de baja</w:t>
            </w:r>
            <w:r w:rsidR="000D5B50" w:rsidRPr="00BA1D95">
              <w:rPr>
                <w:rFonts w:cs="Arial"/>
                <w:sz w:val="20"/>
                <w:szCs w:val="20"/>
                <w:lang w:eastAsia="es-MX"/>
              </w:rPr>
              <w:t xml:space="preserve"> la facturación asociada a partir de la solicitud.</w:t>
            </w:r>
          </w:p>
        </w:tc>
      </w:tr>
    </w:tbl>
    <w:p w:rsidR="00CD3EEE" w:rsidRPr="00BA1D95" w:rsidRDefault="00CD3EEE" w:rsidP="005A368A">
      <w:pPr>
        <w:pStyle w:val="IFTnormal"/>
        <w:spacing w:before="240"/>
        <w:ind w:right="142"/>
        <w:rPr>
          <w:rFonts w:cs="Arial"/>
          <w:b/>
        </w:rPr>
      </w:pPr>
      <w:r w:rsidRPr="00BA1D95">
        <w:rPr>
          <w:rFonts w:cs="Arial"/>
          <w:b/>
        </w:rPr>
        <w:t>Procedimiento de cancelación de solicitud</w:t>
      </w:r>
      <w:r w:rsidR="00EF769E" w:rsidRPr="00BA1D95">
        <w:rPr>
          <w:rFonts w:cs="Arial"/>
          <w:b/>
        </w:rPr>
        <w:t xml:space="preserve"> </w:t>
      </w:r>
      <w:r w:rsidR="00F63D60" w:rsidRPr="00BA1D95">
        <w:rPr>
          <w:rFonts w:cs="Arial"/>
          <w:b/>
        </w:rPr>
        <w:t xml:space="preserve">de habilitación </w:t>
      </w:r>
      <w:r w:rsidR="00EF769E" w:rsidRPr="00BA1D95">
        <w:rPr>
          <w:rFonts w:cs="Arial"/>
          <w:b/>
        </w:rPr>
        <w:t>en proceso de implementación S</w:t>
      </w:r>
      <w:r w:rsidRPr="00BA1D95">
        <w:rPr>
          <w:rFonts w:cs="Arial"/>
          <w:b/>
        </w:rPr>
        <w:t>R</w:t>
      </w:r>
      <w:r w:rsidR="00EF769E" w:rsidRPr="00BA1D95">
        <w:rPr>
          <w:rFonts w:cs="Arial"/>
          <w:b/>
        </w:rPr>
        <w:t>M</w:t>
      </w:r>
      <w:r w:rsidRPr="00BA1D95">
        <w:rPr>
          <w:rFonts w:cs="Arial"/>
          <w:b/>
        </w:rPr>
        <w:t>LT</w:t>
      </w:r>
    </w:p>
    <w:p w:rsidR="00CD3EEE" w:rsidRPr="00BA1D95" w:rsidRDefault="00CD3EEE" w:rsidP="004B11EB">
      <w:pPr>
        <w:pStyle w:val="IFTnormal"/>
        <w:ind w:right="20"/>
        <w:rPr>
          <w:rFonts w:cs="Arial"/>
        </w:rPr>
      </w:pPr>
      <w:r w:rsidRPr="00BA1D95">
        <w:rPr>
          <w:rFonts w:cs="Arial"/>
          <w:lang w:val="es-ES" w:eastAsia="es-MX"/>
        </w:rPr>
        <w:t xml:space="preserve">El objetivo y alcance de este procedimiento es aplicable a los casos en que el CS hubiera solicitado una habilitación y decide cancelarlo antes de que se hubiera concluido el movimiento solicitado; las fases en que se divide este procedimiento son: </w:t>
      </w:r>
      <w:r w:rsidRPr="00BA1D95">
        <w:rPr>
          <w:rFonts w:cs="Arial"/>
          <w:b/>
          <w:lang w:val="es-ES" w:eastAsia="es-MX"/>
        </w:rPr>
        <w:t>(i)</w:t>
      </w:r>
      <w:r w:rsidRPr="00BA1D95">
        <w:rPr>
          <w:rFonts w:cs="Arial"/>
          <w:lang w:val="es-ES" w:eastAsia="es-MX"/>
        </w:rPr>
        <w:t xml:space="preserve"> Solicitud para que el CS manifieste su intención de cancelar el servicio previamente solicitado, y la validación a través del </w:t>
      </w:r>
      <w:r w:rsidR="006B5A23">
        <w:rPr>
          <w:rFonts w:cs="Arial"/>
          <w:lang w:val="es-ES" w:eastAsia="es-MX"/>
        </w:rPr>
        <w:t>SEG</w:t>
      </w:r>
      <w:r w:rsidRPr="00BA1D95">
        <w:rPr>
          <w:rFonts w:cs="Arial"/>
          <w:lang w:val="es-ES" w:eastAsia="es-MX"/>
        </w:rPr>
        <w:t xml:space="preserve"> de que la solicitud cuenta con todos los elementos; </w:t>
      </w:r>
      <w:r w:rsidRPr="00BA1D95">
        <w:rPr>
          <w:rFonts w:cs="Arial"/>
        </w:rPr>
        <w:t xml:space="preserve">y </w:t>
      </w:r>
      <w:r w:rsidRPr="00BA1D95">
        <w:rPr>
          <w:rFonts w:cs="Arial"/>
          <w:b/>
        </w:rPr>
        <w:t>(ii)</w:t>
      </w:r>
      <w:r w:rsidRPr="00BA1D95">
        <w:rPr>
          <w:rFonts w:cs="Arial"/>
        </w:rPr>
        <w:t xml:space="preserve"> Cancelación del (los) servicio(s).</w:t>
      </w: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39"/>
        <w:gridCol w:w="5906"/>
      </w:tblGrid>
      <w:tr w:rsidR="00CD3EEE" w:rsidRPr="00BA1D95" w:rsidTr="00366F2B">
        <w:trPr>
          <w:tblHeader/>
        </w:trPr>
        <w:tc>
          <w:tcPr>
            <w:tcW w:w="1735"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Etapa</w:t>
            </w:r>
          </w:p>
        </w:tc>
        <w:tc>
          <w:tcPr>
            <w:tcW w:w="3265" w:type="pct"/>
            <w:shd w:val="clear" w:color="auto" w:fill="BDD6EE" w:themeFill="accent5" w:themeFillTint="66"/>
          </w:tcPr>
          <w:p w:rsidR="00CD3EEE" w:rsidRPr="00BA1D95" w:rsidRDefault="00CD3EEE" w:rsidP="005A368A">
            <w:pPr>
              <w:pStyle w:val="IFTnormal"/>
              <w:jc w:val="center"/>
              <w:rPr>
                <w:rFonts w:cs="Arial"/>
                <w:b/>
                <w:sz w:val="20"/>
                <w:szCs w:val="20"/>
                <w:lang w:eastAsia="es-MX"/>
              </w:rPr>
            </w:pPr>
            <w:r w:rsidRPr="00BA1D95">
              <w:rPr>
                <w:rFonts w:cs="Arial"/>
                <w:b/>
                <w:sz w:val="20"/>
                <w:szCs w:val="20"/>
                <w:lang w:eastAsia="es-MX"/>
              </w:rPr>
              <w:t>Descripción</w:t>
            </w:r>
          </w:p>
        </w:tc>
      </w:tr>
      <w:tr w:rsidR="00CD3EEE" w:rsidRPr="00BA1D95" w:rsidTr="00402F39">
        <w:tc>
          <w:tcPr>
            <w:tcW w:w="1735"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Envío de solicitud y Validación de solicitud</w:t>
            </w:r>
          </w:p>
        </w:tc>
        <w:tc>
          <w:tcPr>
            <w:tcW w:w="3265"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El CS deberá ingresar la solicitud a través del </w:t>
            </w:r>
            <w:r w:rsidR="006B5A23">
              <w:rPr>
                <w:rFonts w:cs="Arial"/>
                <w:sz w:val="20"/>
                <w:szCs w:val="20"/>
                <w:lang w:eastAsia="es-MX"/>
              </w:rPr>
              <w:t>SEG</w:t>
            </w:r>
            <w:r w:rsidRPr="00BA1D95">
              <w:rPr>
                <w:rFonts w:cs="Arial"/>
                <w:sz w:val="20"/>
                <w:szCs w:val="20"/>
                <w:lang w:eastAsia="es-MX"/>
              </w:rPr>
              <w:t xml:space="preserve"> validando el NIS</w:t>
            </w:r>
            <w:r w:rsidR="004E6F57" w:rsidRPr="00BA1D95">
              <w:rPr>
                <w:rFonts w:cs="Arial"/>
                <w:sz w:val="20"/>
                <w:szCs w:val="20"/>
                <w:lang w:eastAsia="es-MX"/>
              </w:rPr>
              <w:t xml:space="preserve"> de </w:t>
            </w:r>
            <w:r w:rsidRPr="00BA1D95">
              <w:rPr>
                <w:rFonts w:cs="Arial"/>
                <w:sz w:val="20"/>
                <w:szCs w:val="20"/>
                <w:lang w:eastAsia="es-MX"/>
              </w:rPr>
              <w:t>Referencia del servicio en que desea cancelar</w:t>
            </w:r>
            <w:r w:rsidR="00E32247" w:rsidRPr="00BA1D95">
              <w:rPr>
                <w:rFonts w:cs="Arial"/>
                <w:sz w:val="20"/>
                <w:szCs w:val="20"/>
                <w:lang w:eastAsia="es-MX"/>
              </w:rPr>
              <w:t>.</w:t>
            </w:r>
          </w:p>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 y la confirmación de la fecha de habilitación del servicio.</w:t>
            </w:r>
          </w:p>
        </w:tc>
      </w:tr>
      <w:tr w:rsidR="00CD3EEE" w:rsidRPr="00BA1D95" w:rsidTr="00402F39">
        <w:tc>
          <w:tcPr>
            <w:tcW w:w="1735" w:type="pct"/>
            <w:shd w:val="clear" w:color="auto" w:fill="auto"/>
          </w:tcPr>
          <w:p w:rsidR="00CD3EEE" w:rsidRPr="00BA1D95" w:rsidRDefault="00CD3EEE" w:rsidP="004B11EB">
            <w:pPr>
              <w:pStyle w:val="IFTnormal"/>
              <w:rPr>
                <w:rFonts w:cs="Arial"/>
                <w:b/>
                <w:sz w:val="20"/>
                <w:szCs w:val="20"/>
                <w:lang w:eastAsia="es-MX"/>
              </w:rPr>
            </w:pPr>
            <w:r w:rsidRPr="00BA1D95">
              <w:rPr>
                <w:rFonts w:cs="Arial"/>
                <w:b/>
                <w:sz w:val="20"/>
                <w:szCs w:val="20"/>
                <w:lang w:eastAsia="es-MX"/>
              </w:rPr>
              <w:t>Cancelación del (los) servicio (s)</w:t>
            </w:r>
          </w:p>
        </w:tc>
        <w:tc>
          <w:tcPr>
            <w:tcW w:w="3265" w:type="pct"/>
            <w:shd w:val="clear" w:color="auto" w:fill="auto"/>
          </w:tcPr>
          <w:p w:rsidR="00CD3EEE" w:rsidRPr="00BA1D95" w:rsidRDefault="00CD3EEE" w:rsidP="004B11EB">
            <w:pPr>
              <w:pStyle w:val="IFTnormal"/>
              <w:rPr>
                <w:rFonts w:cs="Arial"/>
                <w:sz w:val="20"/>
                <w:szCs w:val="20"/>
                <w:lang w:eastAsia="es-MX"/>
              </w:rPr>
            </w:pPr>
            <w:r w:rsidRPr="00BA1D95">
              <w:rPr>
                <w:rFonts w:cs="Arial"/>
                <w:sz w:val="20"/>
                <w:szCs w:val="20"/>
                <w:lang w:eastAsia="es-MX"/>
              </w:rPr>
              <w:t xml:space="preserve">Se cancela la solicitud, no se aplicará cobro alguno si la notificación de cancelación se hace con un mínimo de </w:t>
            </w:r>
            <w:r w:rsidR="0095410A">
              <w:rPr>
                <w:rFonts w:cs="Arial"/>
                <w:sz w:val="20"/>
                <w:szCs w:val="20"/>
                <w:lang w:eastAsia="es-MX"/>
              </w:rPr>
              <w:t>tres</w:t>
            </w:r>
            <w:r w:rsidR="0095410A" w:rsidRPr="00BA1D95">
              <w:rPr>
                <w:rFonts w:cs="Arial"/>
                <w:sz w:val="20"/>
                <w:szCs w:val="20"/>
                <w:lang w:eastAsia="es-MX"/>
              </w:rPr>
              <w:t xml:space="preserve"> </w:t>
            </w:r>
            <w:r w:rsidRPr="00BA1D95">
              <w:rPr>
                <w:rFonts w:cs="Arial"/>
                <w:sz w:val="20"/>
                <w:szCs w:val="20"/>
                <w:lang w:eastAsia="es-MX"/>
              </w:rPr>
              <w:t>días hábiles de anticipación a la fecha confirmada de la habilitación del servicio.</w:t>
            </w:r>
          </w:p>
        </w:tc>
      </w:tr>
    </w:tbl>
    <w:p w:rsidR="00CD3EEE" w:rsidRPr="00BA1D95" w:rsidRDefault="00CD3EEE" w:rsidP="004B11EB">
      <w:pPr>
        <w:pStyle w:val="IFTnormal"/>
        <w:spacing w:before="240"/>
        <w:rPr>
          <w:rFonts w:cs="Arial"/>
          <w:b/>
        </w:rPr>
      </w:pPr>
      <w:r w:rsidRPr="00BA1D95">
        <w:rPr>
          <w:rFonts w:cs="Arial"/>
          <w:b/>
        </w:rPr>
        <w:t xml:space="preserve">Procedimiento de Cambio </w:t>
      </w:r>
      <w:r w:rsidR="00EF769E" w:rsidRPr="00BA1D95">
        <w:rPr>
          <w:rFonts w:cs="Arial"/>
          <w:b/>
        </w:rPr>
        <w:t>de modalidad de Desagregación S</w:t>
      </w:r>
      <w:r w:rsidRPr="00BA1D95">
        <w:rPr>
          <w:rFonts w:cs="Arial"/>
          <w:b/>
        </w:rPr>
        <w:t>R</w:t>
      </w:r>
      <w:r w:rsidR="00EF769E" w:rsidRPr="00BA1D95">
        <w:rPr>
          <w:rFonts w:cs="Arial"/>
          <w:b/>
        </w:rPr>
        <w:t>M</w:t>
      </w:r>
      <w:r w:rsidRPr="00BA1D95">
        <w:rPr>
          <w:rFonts w:cs="Arial"/>
          <w:b/>
        </w:rPr>
        <w:t>LT</w:t>
      </w:r>
    </w:p>
    <w:p w:rsidR="00CD3EEE" w:rsidRDefault="00CD3EEE" w:rsidP="004B11EB">
      <w:pPr>
        <w:pStyle w:val="IFTnormal"/>
        <w:rPr>
          <w:rFonts w:cs="Arial"/>
        </w:rPr>
      </w:pPr>
      <w:r w:rsidRPr="00BA1D95">
        <w:rPr>
          <w:rFonts w:cs="Arial"/>
        </w:rPr>
        <w:t xml:space="preserve">En caso de que el CS requiera realizar una modificación para cambiar a un servicio distinto de desagregación, deberá presentar su solicitud vía </w:t>
      </w:r>
      <w:r w:rsidR="006B5A23">
        <w:rPr>
          <w:rFonts w:cs="Arial"/>
        </w:rPr>
        <w:t>SEG</w:t>
      </w:r>
      <w:r w:rsidRPr="00BA1D95">
        <w:rPr>
          <w:rFonts w:cs="Arial"/>
        </w:rPr>
        <w:t xml:space="preserve"> en el formato correspondiente al nuevo servicio. La factibilidad del cambio de modalidad dependerá de que se cumplan las condiciones para ofrecer el servicio de destino, el CS deberá seguir el procedimiento que se lleva actualmente en el </w:t>
      </w:r>
      <w:r w:rsidR="006B5A23">
        <w:rPr>
          <w:rFonts w:cs="Arial"/>
        </w:rPr>
        <w:t>SEG</w:t>
      </w:r>
      <w:r w:rsidRPr="00BA1D95">
        <w:rPr>
          <w:rFonts w:cs="Arial"/>
        </w:rPr>
        <w:t xml:space="preserve">, así como la habilitación del servicio de destino se llevará a cabo como está establecido en los procedimientos respectivos a los distintos servicios materia de esta Oferta dando seguimiento por medio del </w:t>
      </w:r>
      <w:r w:rsidR="006B5A23">
        <w:rPr>
          <w:rFonts w:cs="Arial"/>
        </w:rPr>
        <w:t>SEG</w:t>
      </w:r>
      <w:r w:rsidRPr="00BA1D95">
        <w:rPr>
          <w:rFonts w:cs="Arial"/>
        </w:rPr>
        <w:t>.</w:t>
      </w:r>
    </w:p>
    <w:p w:rsidR="006077C0" w:rsidRPr="00BA1D95" w:rsidRDefault="006077C0" w:rsidP="004B11EB">
      <w:pPr>
        <w:pStyle w:val="IFTnormal"/>
        <w:rPr>
          <w:rFonts w:cs="Arial"/>
        </w:rPr>
      </w:pPr>
    </w:p>
    <w:p w:rsidR="00CD3EEE" w:rsidRPr="00BA1D95" w:rsidRDefault="00CD3EEE" w:rsidP="004B11EB">
      <w:pPr>
        <w:pStyle w:val="IFTnormal"/>
        <w:rPr>
          <w:rFonts w:cs="Arial"/>
          <w:b/>
        </w:rPr>
      </w:pPr>
      <w:r w:rsidRPr="00BA1D95">
        <w:rPr>
          <w:rFonts w:cs="Arial"/>
          <w:b/>
        </w:rPr>
        <w:lastRenderedPageBreak/>
        <w:t>Procedi</w:t>
      </w:r>
      <w:r w:rsidR="00EF769E" w:rsidRPr="00BA1D95">
        <w:rPr>
          <w:rFonts w:cs="Arial"/>
          <w:b/>
        </w:rPr>
        <w:t>miento de Cambio de Domicilio S</w:t>
      </w:r>
      <w:r w:rsidRPr="00BA1D95">
        <w:rPr>
          <w:rFonts w:cs="Arial"/>
          <w:b/>
        </w:rPr>
        <w:t>R</w:t>
      </w:r>
      <w:r w:rsidR="00EF769E" w:rsidRPr="00BA1D95">
        <w:rPr>
          <w:rFonts w:cs="Arial"/>
          <w:b/>
        </w:rPr>
        <w:t>M</w:t>
      </w:r>
      <w:r w:rsidRPr="00BA1D95">
        <w:rPr>
          <w:rFonts w:cs="Arial"/>
          <w:b/>
        </w:rPr>
        <w:t>LT</w:t>
      </w:r>
    </w:p>
    <w:p w:rsidR="00CD3EEE" w:rsidRPr="00BA1D95" w:rsidRDefault="00CD3EEE" w:rsidP="004B11EB">
      <w:pPr>
        <w:pStyle w:val="IFTnormal"/>
        <w:rPr>
          <w:rFonts w:cs="Arial"/>
        </w:rPr>
      </w:pPr>
      <w:r w:rsidRPr="00BA1D95">
        <w:rPr>
          <w:rFonts w:cs="Arial"/>
        </w:rPr>
        <w:t xml:space="preserve">En caso de que el usuario final cambie de domicilio y el CS desee mantener el SRMLT, dicho cambio será atendido conforme a las políticas actuales de contratación de los servicios. En el movimiento de SRMLT, el usuario final mantiene su número telefónico (donde sea aplicable). El CS deberá enviar la solicitud a </w:t>
      </w:r>
      <w:r w:rsidR="00E83F21">
        <w:rPr>
          <w:rFonts w:cs="Arial"/>
        </w:rPr>
        <w:t>Telmex / Telnor</w:t>
      </w:r>
      <w:r w:rsidR="00FE08A7">
        <w:rPr>
          <w:rFonts w:cs="Arial"/>
        </w:rPr>
        <w:t xml:space="preserve"> </w:t>
      </w:r>
      <w:r w:rsidRPr="00BA1D95">
        <w:rPr>
          <w:rFonts w:cs="Arial"/>
        </w:rPr>
        <w:t xml:space="preserve">a través del </w:t>
      </w:r>
      <w:r w:rsidR="006B5A23">
        <w:rPr>
          <w:rFonts w:cs="Arial"/>
        </w:rPr>
        <w:t>SEG</w:t>
      </w:r>
      <w:r w:rsidRPr="00BA1D95">
        <w:rPr>
          <w:rFonts w:cs="Arial"/>
        </w:rPr>
        <w:t>, mediante el formato correspondiente. El servicio en el nuevo domicilio dependerá de la factibilidad técnica y de que la configuración inicial del SRMLT en la central que proveerá se haya realizado, en caso contrario se deberá realizar el procedimiento correspondiente.</w:t>
      </w:r>
    </w:p>
    <w:p w:rsidR="003F4781" w:rsidRPr="00BA1D95" w:rsidRDefault="00811606" w:rsidP="00A74460">
      <w:pPr>
        <w:pStyle w:val="1TitPrin"/>
        <w:numPr>
          <w:ilvl w:val="1"/>
          <w:numId w:val="182"/>
        </w:numPr>
        <w:outlineLvl w:val="1"/>
      </w:pPr>
      <w:bookmarkStart w:id="696" w:name="_Toc525904585"/>
      <w:bookmarkStart w:id="697" w:name="_Toc525913981"/>
      <w:bookmarkStart w:id="698" w:name="_Toc525919220"/>
      <w:bookmarkStart w:id="699" w:name="_Toc525919344"/>
      <w:bookmarkStart w:id="700" w:name="_Toc2957154"/>
      <w:bookmarkStart w:id="701" w:name="_Toc26273089"/>
      <w:bookmarkStart w:id="702" w:name="_Toc26284486"/>
      <w:bookmarkStart w:id="703" w:name="_Toc54106590"/>
      <w:r w:rsidRPr="00BA1D95">
        <w:t>Plazos de entrega de SRML</w:t>
      </w:r>
      <w:bookmarkEnd w:id="696"/>
      <w:bookmarkEnd w:id="697"/>
      <w:bookmarkEnd w:id="698"/>
      <w:bookmarkEnd w:id="699"/>
      <w:r w:rsidR="00CF2945" w:rsidRPr="00BA1D95">
        <w:t>T</w:t>
      </w:r>
      <w:bookmarkEnd w:id="700"/>
      <w:bookmarkEnd w:id="701"/>
      <w:bookmarkEnd w:id="702"/>
      <w:bookmarkEnd w:id="703"/>
    </w:p>
    <w:p w:rsidR="00CF2945" w:rsidRPr="00BA1D95" w:rsidRDefault="00CF2945" w:rsidP="00D37C98">
      <w:pPr>
        <w:pStyle w:val="Prrafodelista"/>
        <w:numPr>
          <w:ilvl w:val="0"/>
          <w:numId w:val="91"/>
        </w:numPr>
        <w:rPr>
          <w:rFonts w:ascii="ITC Avant Garde" w:eastAsia="Calibri" w:hAnsi="ITC Avant Garde" w:cs="Arial"/>
          <w:bCs/>
          <w:sz w:val="22"/>
          <w:szCs w:val="22"/>
          <w:lang w:val="es-MX" w:eastAsia="en-US"/>
        </w:rPr>
      </w:pPr>
      <w:r w:rsidRPr="00BA1D95">
        <w:rPr>
          <w:rFonts w:ascii="ITC Avant Garde" w:eastAsia="Calibri" w:hAnsi="ITC Avant Garde" w:cs="Arial"/>
          <w:bCs/>
          <w:sz w:val="22"/>
          <w:szCs w:val="22"/>
          <w:lang w:val="es-MX" w:eastAsia="en-US"/>
        </w:rPr>
        <w:t xml:space="preserve">Validación de la solicitud en </w:t>
      </w:r>
      <w:r w:rsidR="002933E9" w:rsidRPr="00BA1D95">
        <w:rPr>
          <w:rFonts w:ascii="ITC Avant Garde" w:eastAsia="Calibri" w:hAnsi="ITC Avant Garde" w:cs="Arial"/>
          <w:bCs/>
          <w:sz w:val="22"/>
          <w:szCs w:val="22"/>
          <w:lang w:val="es-MX" w:eastAsia="en-US"/>
        </w:rPr>
        <w:t xml:space="preserve">máximo un día </w:t>
      </w:r>
      <w:r w:rsidR="002933E9">
        <w:rPr>
          <w:rFonts w:ascii="ITC Avant Garde" w:eastAsia="Calibri" w:hAnsi="ITC Avant Garde" w:cs="Arial"/>
          <w:bCs/>
          <w:sz w:val="22"/>
          <w:szCs w:val="22"/>
          <w:lang w:val="es-MX" w:eastAsia="en-US"/>
        </w:rPr>
        <w:t>natural</w:t>
      </w:r>
      <w:r w:rsidR="002933E9" w:rsidRPr="00BA1D95">
        <w:rPr>
          <w:rFonts w:ascii="ITC Avant Garde" w:eastAsia="Calibri" w:hAnsi="ITC Avant Garde" w:cs="Arial"/>
          <w:bCs/>
          <w:sz w:val="22"/>
          <w:szCs w:val="22"/>
          <w:lang w:val="es-MX" w:eastAsia="en-US"/>
        </w:rPr>
        <w:t xml:space="preserve">. </w:t>
      </w:r>
      <w:r w:rsidRPr="00BA1D95">
        <w:rPr>
          <w:rFonts w:ascii="ITC Avant Garde" w:eastAsia="Calibri" w:hAnsi="ITC Avant Garde" w:cs="Arial"/>
          <w:bCs/>
          <w:sz w:val="22"/>
          <w:szCs w:val="22"/>
          <w:lang w:val="es-MX" w:eastAsia="en-US"/>
        </w:rPr>
        <w:t xml:space="preserve"> </w:t>
      </w:r>
    </w:p>
    <w:p w:rsidR="00CD3EEE" w:rsidRPr="00BA1D95" w:rsidRDefault="00CD3EEE" w:rsidP="00D37C98">
      <w:pPr>
        <w:pStyle w:val="IFTnormal"/>
        <w:numPr>
          <w:ilvl w:val="0"/>
          <w:numId w:val="91"/>
        </w:numPr>
        <w:spacing w:before="240"/>
        <w:rPr>
          <w:rFonts w:cs="Arial"/>
        </w:rPr>
      </w:pPr>
      <w:r w:rsidRPr="00BA1D95">
        <w:rPr>
          <w:rFonts w:cs="Arial"/>
        </w:rPr>
        <w:t xml:space="preserve">Factibilidad Técnica para Activación de servicio en Central: máximo </w:t>
      </w:r>
      <w:r w:rsidR="004471E1">
        <w:rPr>
          <w:rFonts w:cs="Arial"/>
        </w:rPr>
        <w:t>tres</w:t>
      </w:r>
      <w:r w:rsidR="00E2652B">
        <w:rPr>
          <w:rFonts w:cs="Arial"/>
        </w:rPr>
        <w:t xml:space="preserve"> </w:t>
      </w:r>
      <w:r w:rsidRPr="00BA1D95">
        <w:rPr>
          <w:rFonts w:cs="Arial"/>
        </w:rPr>
        <w:t>días hábiles que se contabilizarán a partir de la solicitud.</w:t>
      </w:r>
    </w:p>
    <w:p w:rsidR="00CD3EEE" w:rsidRPr="00BA1D95" w:rsidRDefault="00CD3EEE" w:rsidP="00D37C98">
      <w:pPr>
        <w:pStyle w:val="IFTnormal"/>
        <w:numPr>
          <w:ilvl w:val="0"/>
          <w:numId w:val="91"/>
        </w:numPr>
        <w:rPr>
          <w:rFonts w:cs="Arial"/>
        </w:rPr>
      </w:pPr>
      <w:r w:rsidRPr="00BA1D95">
        <w:rPr>
          <w:rFonts w:cs="Arial"/>
        </w:rPr>
        <w:t xml:space="preserve">Configuración de servicio en Central: máximo </w:t>
      </w:r>
      <w:r w:rsidR="0095410A">
        <w:rPr>
          <w:rFonts w:cs="Arial"/>
        </w:rPr>
        <w:t>cinco</w:t>
      </w:r>
      <w:r w:rsidR="0095410A" w:rsidRPr="00BA1D95">
        <w:rPr>
          <w:rFonts w:cs="Arial"/>
        </w:rPr>
        <w:t xml:space="preserve"> </w:t>
      </w:r>
      <w:r w:rsidRPr="00BA1D95">
        <w:rPr>
          <w:rFonts w:cs="Arial"/>
        </w:rPr>
        <w:t>días hábiles posterior a la Factibilidad Técnica.</w:t>
      </w:r>
    </w:p>
    <w:p w:rsidR="00CD3EEE" w:rsidRPr="00BA1D95" w:rsidRDefault="00CD3EEE" w:rsidP="00D37C98">
      <w:pPr>
        <w:pStyle w:val="IFTnormal"/>
        <w:numPr>
          <w:ilvl w:val="0"/>
          <w:numId w:val="91"/>
        </w:numPr>
        <w:rPr>
          <w:rFonts w:cs="Arial"/>
        </w:rPr>
      </w:pPr>
      <w:r w:rsidRPr="00BA1D95">
        <w:rPr>
          <w:rFonts w:cs="Arial"/>
        </w:rPr>
        <w:t xml:space="preserve">Entrega del servicio para usuarios existentes (habilitación): máximo </w:t>
      </w:r>
      <w:r w:rsidR="004471E1">
        <w:rPr>
          <w:rFonts w:cs="Arial"/>
        </w:rPr>
        <w:t>seis</w:t>
      </w:r>
      <w:r w:rsidR="004471E1" w:rsidRPr="00BA1D95">
        <w:rPr>
          <w:rFonts w:cs="Arial"/>
        </w:rPr>
        <w:t xml:space="preserve"> </w:t>
      </w:r>
      <w:r w:rsidRPr="00BA1D95">
        <w:rPr>
          <w:rFonts w:cs="Arial"/>
        </w:rPr>
        <w:t>días hábiles que se contabilizarán a partir de la solicitud para el servicio con el módem/ONT de Telmex que estuvieran en funcionamiento.</w:t>
      </w:r>
    </w:p>
    <w:p w:rsidR="00CD3EEE" w:rsidRPr="00BA1D95" w:rsidRDefault="00CD3EEE" w:rsidP="00D37C98">
      <w:pPr>
        <w:pStyle w:val="IFTnormal"/>
        <w:numPr>
          <w:ilvl w:val="0"/>
          <w:numId w:val="91"/>
        </w:numPr>
        <w:rPr>
          <w:rFonts w:cs="Arial"/>
        </w:rPr>
      </w:pPr>
      <w:r w:rsidRPr="00BA1D95">
        <w:rPr>
          <w:rFonts w:cs="Arial"/>
        </w:rPr>
        <w:t xml:space="preserve">Entrega del servicio para usuarios existentes (habilitación): máximo </w:t>
      </w:r>
      <w:r w:rsidR="004471E1">
        <w:rPr>
          <w:rFonts w:cs="Arial"/>
        </w:rPr>
        <w:t>ocho</w:t>
      </w:r>
      <w:r w:rsidR="004471E1" w:rsidRPr="00BA1D95">
        <w:rPr>
          <w:rFonts w:cs="Arial"/>
        </w:rPr>
        <w:t xml:space="preserve"> </w:t>
      </w:r>
      <w:r w:rsidRPr="00BA1D95">
        <w:rPr>
          <w:rFonts w:cs="Arial"/>
        </w:rPr>
        <w:t>días hábiles que se contabilizarán a partir de la solicitud para el servicio en que Telmex deba entregar algún equipo a solicitud del CS.</w:t>
      </w:r>
    </w:p>
    <w:p w:rsidR="00CD3EEE" w:rsidRPr="00BA1D95" w:rsidRDefault="00CD3EEE" w:rsidP="00D37C98">
      <w:pPr>
        <w:pStyle w:val="IFTnormal"/>
        <w:numPr>
          <w:ilvl w:val="0"/>
          <w:numId w:val="91"/>
        </w:numPr>
        <w:rPr>
          <w:rFonts w:cs="Arial"/>
        </w:rPr>
      </w:pPr>
      <w:r w:rsidRPr="00BA1D95">
        <w:rPr>
          <w:rFonts w:cs="Arial"/>
        </w:rPr>
        <w:t xml:space="preserve">Entrega del servicio para usuarios nuevos con acometida o recursos de red (habilitación): día confirmado por el CS en la solicitud (máximo </w:t>
      </w:r>
      <w:r w:rsidR="004471E1">
        <w:rPr>
          <w:rFonts w:cs="Arial"/>
        </w:rPr>
        <w:t>seis días hábiles</w:t>
      </w:r>
      <w:r w:rsidRPr="00BA1D95">
        <w:rPr>
          <w:rFonts w:cs="Arial"/>
        </w:rPr>
        <w:t xml:space="preserve"> a partir de la solicitud sin provisión de equipo y máximo </w:t>
      </w:r>
      <w:r w:rsidR="00F4060E">
        <w:rPr>
          <w:rFonts w:cs="Arial"/>
        </w:rPr>
        <w:t>ocho días hábiles</w:t>
      </w:r>
      <w:r w:rsidRPr="00BA1D95">
        <w:rPr>
          <w:rFonts w:cs="Arial"/>
        </w:rPr>
        <w:t xml:space="preserve"> a partir de la solicitud con provisión de equipo).</w:t>
      </w:r>
    </w:p>
    <w:p w:rsidR="00A47F9A" w:rsidRPr="00BA1D95" w:rsidRDefault="00CD3EEE" w:rsidP="00D37C98">
      <w:pPr>
        <w:pStyle w:val="IFTnormal"/>
        <w:numPr>
          <w:ilvl w:val="0"/>
          <w:numId w:val="91"/>
        </w:numPr>
        <w:rPr>
          <w:rFonts w:cs="Arial"/>
        </w:rPr>
      </w:pPr>
      <w:r w:rsidRPr="00BA1D95">
        <w:rPr>
          <w:rFonts w:cs="Arial"/>
        </w:rPr>
        <w:t xml:space="preserve">Entrega del servicio para usuarios nuevos sin acometida (habilitación): día confirmado por el CS en la solicitud (máximo </w:t>
      </w:r>
      <w:r w:rsidR="00F4060E">
        <w:rPr>
          <w:rFonts w:cs="Arial"/>
        </w:rPr>
        <w:t>seis días hábiles</w:t>
      </w:r>
      <w:r w:rsidRPr="00BA1D95">
        <w:rPr>
          <w:rFonts w:cs="Arial"/>
        </w:rPr>
        <w:t xml:space="preserve"> a partir de la solicitud sin provisión de equipo</w:t>
      </w:r>
      <w:r w:rsidR="00E60D31" w:rsidRPr="00BA1D95">
        <w:rPr>
          <w:rFonts w:cs="Arial"/>
        </w:rPr>
        <w:t xml:space="preserve"> </w:t>
      </w:r>
      <w:r w:rsidR="00E60D31" w:rsidRPr="00BA1D95">
        <w:rPr>
          <w:rFonts w:cs="Arial"/>
          <w:lang w:eastAsia="es-MX"/>
        </w:rPr>
        <w:t xml:space="preserve">y </w:t>
      </w:r>
      <w:r w:rsidR="00F4060E">
        <w:rPr>
          <w:rFonts w:cs="Arial"/>
          <w:lang w:eastAsia="es-MX"/>
        </w:rPr>
        <w:t>ocho</w:t>
      </w:r>
      <w:r w:rsidR="00F4060E" w:rsidRPr="00BA1D95">
        <w:rPr>
          <w:rFonts w:cs="Arial"/>
          <w:lang w:eastAsia="es-MX"/>
        </w:rPr>
        <w:t xml:space="preserve"> </w:t>
      </w:r>
      <w:r w:rsidR="00E60D31" w:rsidRPr="00BA1D95">
        <w:rPr>
          <w:rFonts w:cs="Arial"/>
          <w:lang w:eastAsia="es-MX"/>
        </w:rPr>
        <w:t>días hábiles con provisión de equipo</w:t>
      </w:r>
      <w:r w:rsidRPr="00BA1D95">
        <w:rPr>
          <w:rFonts w:cs="Arial"/>
        </w:rPr>
        <w:t>).</w:t>
      </w:r>
    </w:p>
    <w:p w:rsidR="00D36DDA" w:rsidRPr="00BA1D95" w:rsidRDefault="00D36DDA" w:rsidP="00D37C98">
      <w:pPr>
        <w:pStyle w:val="IFTnormal"/>
        <w:numPr>
          <w:ilvl w:val="0"/>
          <w:numId w:val="91"/>
        </w:numPr>
        <w:rPr>
          <w:rFonts w:cs="Arial"/>
        </w:rPr>
      </w:pPr>
      <w:r>
        <w:rPr>
          <w:rFonts w:cs="Arial"/>
        </w:rPr>
        <w:t xml:space="preserve">Baja del servicio: </w:t>
      </w:r>
      <w:r w:rsidR="002933E9">
        <w:rPr>
          <w:rFonts w:cs="Arial"/>
        </w:rPr>
        <w:t xml:space="preserve">en máximo </w:t>
      </w:r>
      <w:r w:rsidR="00DF224F">
        <w:rPr>
          <w:rFonts w:cs="Arial"/>
        </w:rPr>
        <w:t>un</w:t>
      </w:r>
      <w:r w:rsidR="002933E9">
        <w:rPr>
          <w:rFonts w:cs="Arial"/>
        </w:rPr>
        <w:t xml:space="preserve"> día hábil.</w:t>
      </w:r>
    </w:p>
    <w:p w:rsidR="00A47F9A" w:rsidRDefault="00A47F9A" w:rsidP="004B11EB">
      <w:pPr>
        <w:pStyle w:val="IFTnormal"/>
        <w:ind w:right="51"/>
        <w:rPr>
          <w:rFonts w:cs="Arial"/>
        </w:rPr>
      </w:pPr>
      <w:r w:rsidRPr="00BA1D95">
        <w:rPr>
          <w:rFonts w:cs="Arial"/>
        </w:rPr>
        <w:t>En esta sección se muestran los parámetros e indicadores de calidad referentes a la provisión, continuidad y atención de fallas del Servicio de Revent</w:t>
      </w:r>
      <w:r w:rsidR="00167D93" w:rsidRPr="00BA1D95">
        <w:rPr>
          <w:rFonts w:cs="Arial"/>
        </w:rPr>
        <w:t>a</w:t>
      </w:r>
      <w:r w:rsidR="000D36FB" w:rsidRPr="00BA1D95">
        <w:rPr>
          <w:rFonts w:cs="Arial"/>
        </w:rPr>
        <w:t xml:space="preserve"> Mayorista de Línea Telefónica</w:t>
      </w:r>
      <w:r w:rsidRPr="00BA1D95">
        <w:rPr>
          <w:rFonts w:cs="Arial"/>
        </w:rPr>
        <w:t>. Estos parámetros e indicadores, y se medirán con una periodicidad trimestral por cada uno de los CS.</w:t>
      </w:r>
    </w:p>
    <w:p w:rsidR="006077C0" w:rsidRPr="00BA1D95" w:rsidRDefault="006077C0" w:rsidP="004B11EB">
      <w:pPr>
        <w:pStyle w:val="IFTnormal"/>
        <w:ind w:right="51"/>
        <w:rPr>
          <w:rFonts w:cs="Arial"/>
        </w:rPr>
      </w:pPr>
    </w:p>
    <w:p w:rsidR="00A47F9A" w:rsidRPr="00BA1D95" w:rsidRDefault="00A47F9A" w:rsidP="003C1826">
      <w:pPr>
        <w:pStyle w:val="1TitPrin"/>
        <w:numPr>
          <w:ilvl w:val="1"/>
          <w:numId w:val="182"/>
        </w:numPr>
        <w:outlineLvl w:val="1"/>
      </w:pPr>
      <w:bookmarkStart w:id="704" w:name="_Toc525904586"/>
      <w:bookmarkStart w:id="705" w:name="_Toc525913982"/>
      <w:bookmarkStart w:id="706" w:name="_Toc525919221"/>
      <w:bookmarkStart w:id="707" w:name="_Toc525919345"/>
      <w:bookmarkStart w:id="708" w:name="_Toc2957155"/>
      <w:bookmarkStart w:id="709" w:name="_Toc26273090"/>
      <w:bookmarkStart w:id="710" w:name="_Toc26284487"/>
      <w:bookmarkStart w:id="711" w:name="_Toc54106591"/>
      <w:r w:rsidRPr="00BA1D95">
        <w:lastRenderedPageBreak/>
        <w:t>Parámetros e Indicadores para Provisión del Servicio</w:t>
      </w:r>
      <w:bookmarkEnd w:id="704"/>
      <w:bookmarkEnd w:id="705"/>
      <w:bookmarkEnd w:id="706"/>
      <w:bookmarkEnd w:id="707"/>
      <w:bookmarkEnd w:id="708"/>
      <w:bookmarkEnd w:id="709"/>
      <w:bookmarkEnd w:id="710"/>
      <w:bookmarkEnd w:id="711"/>
    </w:p>
    <w:p w:rsidR="00A47F9A" w:rsidRPr="00BA1D95" w:rsidRDefault="00A47F9A" w:rsidP="004B11EB">
      <w:pPr>
        <w:pStyle w:val="IFTnormal"/>
        <w:ind w:right="51"/>
        <w:rPr>
          <w:rFonts w:cs="Arial"/>
        </w:rPr>
      </w:pPr>
      <w:r w:rsidRPr="00BA1D95">
        <w:rPr>
          <w:rFonts w:cs="Arial"/>
        </w:rPr>
        <w:t>En lo referente a la provisión de los servicios (validación de la solicitud, verificación de factibilidad y habilitación), se tienen los siguientes indicadores</w:t>
      </w:r>
    </w:p>
    <w:p w:rsidR="00343FB8" w:rsidRPr="00BA1D95" w:rsidRDefault="00343FB8" w:rsidP="00D37C98">
      <w:pPr>
        <w:pStyle w:val="IFTnormal"/>
        <w:numPr>
          <w:ilvl w:val="0"/>
          <w:numId w:val="85"/>
        </w:numPr>
        <w:spacing w:before="240"/>
        <w:ind w:left="540" w:right="51" w:hanging="540"/>
        <w:rPr>
          <w:rFonts w:cs="Arial"/>
          <w:bCs w:val="0"/>
        </w:rPr>
      </w:pPr>
      <w:r w:rsidRPr="00BA1D95">
        <w:rPr>
          <w:rFonts w:cs="Arial"/>
        </w:rPr>
        <w:t>Va</w:t>
      </w:r>
      <w:r w:rsidRPr="00BA1D95">
        <w:rPr>
          <w:rFonts w:cs="Arial"/>
          <w:bCs w:val="0"/>
        </w:rPr>
        <w:t>lidación de la solicitud: 9</w:t>
      </w:r>
      <w:r w:rsidR="00D70889">
        <w:rPr>
          <w:rFonts w:cs="Arial"/>
          <w:bCs w:val="0"/>
        </w:rPr>
        <w:t>5</w:t>
      </w:r>
      <w:r w:rsidRPr="00BA1D95">
        <w:rPr>
          <w:rFonts w:cs="Arial"/>
          <w:bCs w:val="0"/>
        </w:rPr>
        <w:t xml:space="preserve">% de las solicitudes en </w:t>
      </w:r>
      <w:r w:rsidR="0013112E" w:rsidRPr="00BA1D95">
        <w:rPr>
          <w:rFonts w:cs="Arial"/>
          <w:bCs w:val="0"/>
        </w:rPr>
        <w:t xml:space="preserve">máximo un día </w:t>
      </w:r>
      <w:r w:rsidR="0013112E">
        <w:rPr>
          <w:rFonts w:cs="Arial"/>
          <w:bCs w:val="0"/>
        </w:rPr>
        <w:t>natural</w:t>
      </w:r>
      <w:r w:rsidR="0013112E" w:rsidRPr="00BA1D95">
        <w:rPr>
          <w:rFonts w:cs="Arial"/>
          <w:bCs w:val="0"/>
        </w:rPr>
        <w:t xml:space="preserve">. El </w:t>
      </w:r>
      <w:r w:rsidR="0013112E">
        <w:rPr>
          <w:rFonts w:cs="Arial"/>
          <w:bCs w:val="0"/>
        </w:rPr>
        <w:t>5</w:t>
      </w:r>
      <w:r w:rsidR="0013112E" w:rsidRPr="00BA1D95">
        <w:rPr>
          <w:rFonts w:cs="Arial"/>
          <w:bCs w:val="0"/>
        </w:rPr>
        <w:t xml:space="preserve">% restante en un máximo de </w:t>
      </w:r>
      <w:r w:rsidR="0013112E">
        <w:rPr>
          <w:rFonts w:cs="Arial"/>
          <w:bCs w:val="0"/>
        </w:rPr>
        <w:t>dos</w:t>
      </w:r>
      <w:r w:rsidR="0095410A" w:rsidRPr="00BA1D95">
        <w:rPr>
          <w:rFonts w:cs="Arial"/>
          <w:bCs w:val="0"/>
        </w:rPr>
        <w:t xml:space="preserve"> </w:t>
      </w:r>
      <w:r w:rsidRPr="00BA1D95">
        <w:rPr>
          <w:rFonts w:cs="Arial"/>
          <w:bCs w:val="0"/>
        </w:rPr>
        <w:t xml:space="preserve">días </w:t>
      </w:r>
      <w:r w:rsidR="00026F44">
        <w:rPr>
          <w:rFonts w:cs="Arial"/>
          <w:bCs w:val="0"/>
        </w:rPr>
        <w:t>naturales</w:t>
      </w:r>
      <w:r w:rsidRPr="00BA1D95">
        <w:rPr>
          <w:rFonts w:cs="Arial"/>
          <w:bCs w:val="0"/>
        </w:rPr>
        <w:t xml:space="preserve"> a partir de la solicitud.</w:t>
      </w:r>
    </w:p>
    <w:p w:rsidR="00A47F9A" w:rsidRPr="00BA1D95" w:rsidRDefault="00A47F9A" w:rsidP="00D37C98">
      <w:pPr>
        <w:pStyle w:val="IFTnormal"/>
        <w:numPr>
          <w:ilvl w:val="0"/>
          <w:numId w:val="85"/>
        </w:numPr>
        <w:spacing w:before="240"/>
        <w:ind w:left="540" w:right="51" w:hanging="540"/>
        <w:rPr>
          <w:rFonts w:cs="Arial"/>
        </w:rPr>
      </w:pPr>
      <w:r w:rsidRPr="00BA1D95">
        <w:rPr>
          <w:rFonts w:cs="Arial"/>
        </w:rPr>
        <w:t xml:space="preserve">Revisión de Factibilidad Técnica en Central: 90% de las solicitudes en máximo de </w:t>
      </w:r>
      <w:r w:rsidR="000F68A7">
        <w:rPr>
          <w:rFonts w:cs="Arial"/>
        </w:rPr>
        <w:t>tres</w:t>
      </w:r>
      <w:r w:rsidR="00E2652B">
        <w:rPr>
          <w:rFonts w:cs="Arial"/>
        </w:rPr>
        <w:t xml:space="preserve"> </w:t>
      </w:r>
      <w:r w:rsidRPr="00BA1D95">
        <w:rPr>
          <w:rFonts w:cs="Arial"/>
        </w:rPr>
        <w:t xml:space="preserve">días hábiles. El 10% restante en un máximo de </w:t>
      </w:r>
      <w:r w:rsidR="000F68A7">
        <w:rPr>
          <w:rFonts w:cs="Arial"/>
        </w:rPr>
        <w:t>seis</w:t>
      </w:r>
      <w:r w:rsidR="0095410A" w:rsidRPr="00BA1D95">
        <w:rPr>
          <w:rFonts w:cs="Arial"/>
        </w:rPr>
        <w:t xml:space="preserve"> </w:t>
      </w:r>
      <w:r w:rsidRPr="00BA1D95">
        <w:rPr>
          <w:rFonts w:cs="Arial"/>
        </w:rPr>
        <w:t>días hábiles a partir de la solicitud.</w:t>
      </w:r>
    </w:p>
    <w:p w:rsidR="00A47F9A" w:rsidRPr="00BA1D95" w:rsidRDefault="00A47F9A" w:rsidP="00D37C98">
      <w:pPr>
        <w:pStyle w:val="IFTnormal"/>
        <w:numPr>
          <w:ilvl w:val="0"/>
          <w:numId w:val="85"/>
        </w:numPr>
        <w:ind w:left="567" w:right="51" w:hanging="567"/>
        <w:rPr>
          <w:rFonts w:cs="Arial"/>
        </w:rPr>
      </w:pPr>
      <w:r w:rsidRPr="00BA1D95">
        <w:rPr>
          <w:rFonts w:cs="Arial"/>
        </w:rPr>
        <w:t xml:space="preserve">Configuración de la Solución SRMLT en Central: 90% de las solicitudes en máximo de </w:t>
      </w:r>
      <w:r w:rsidR="000F68A7">
        <w:rPr>
          <w:rFonts w:cs="Arial"/>
        </w:rPr>
        <w:t>cinco</w:t>
      </w:r>
      <w:r w:rsidR="0095410A" w:rsidRPr="00BA1D95">
        <w:rPr>
          <w:rFonts w:cs="Arial"/>
        </w:rPr>
        <w:t xml:space="preserve"> </w:t>
      </w:r>
      <w:r w:rsidRPr="00BA1D95">
        <w:rPr>
          <w:rFonts w:cs="Arial"/>
        </w:rPr>
        <w:t xml:space="preserve">días hábiles. El 10% restante en un máximo de </w:t>
      </w:r>
      <w:r w:rsidR="000F68A7">
        <w:rPr>
          <w:rFonts w:cs="Arial"/>
        </w:rPr>
        <w:t>siete</w:t>
      </w:r>
      <w:r w:rsidR="0095410A" w:rsidRPr="00BA1D95">
        <w:rPr>
          <w:rFonts w:cs="Arial"/>
        </w:rPr>
        <w:t xml:space="preserve"> </w:t>
      </w:r>
      <w:r w:rsidRPr="00BA1D95">
        <w:rPr>
          <w:rFonts w:cs="Arial"/>
        </w:rPr>
        <w:t>días hábiles a partir de la solicitud.</w:t>
      </w:r>
    </w:p>
    <w:p w:rsidR="00A47F9A" w:rsidRPr="00BA1D95" w:rsidRDefault="00A47F9A" w:rsidP="00D37C98">
      <w:pPr>
        <w:pStyle w:val="IFTnormal"/>
        <w:numPr>
          <w:ilvl w:val="0"/>
          <w:numId w:val="85"/>
        </w:numPr>
        <w:ind w:left="567" w:right="51" w:hanging="567"/>
        <w:rPr>
          <w:rFonts w:cs="Arial"/>
        </w:rPr>
      </w:pPr>
      <w:r w:rsidRPr="00BA1D95">
        <w:rPr>
          <w:rFonts w:cs="Arial"/>
        </w:rPr>
        <w:t xml:space="preserve">Habilitación para usuarios existentes en tiempo: 90% en un máximo de </w:t>
      </w:r>
      <w:r w:rsidR="000F68A7">
        <w:rPr>
          <w:rFonts w:cs="Arial"/>
        </w:rPr>
        <w:t>seis</w:t>
      </w:r>
      <w:r w:rsidR="0095410A" w:rsidRPr="00BA1D95">
        <w:rPr>
          <w:rFonts w:cs="Arial"/>
        </w:rPr>
        <w:t xml:space="preserve"> </w:t>
      </w:r>
      <w:r w:rsidRPr="00BA1D95">
        <w:rPr>
          <w:rFonts w:cs="Arial"/>
        </w:rPr>
        <w:t>días hábiles</w:t>
      </w:r>
      <w:r w:rsidR="000F68A7">
        <w:rPr>
          <w:rFonts w:cs="Arial"/>
        </w:rPr>
        <w:t xml:space="preserve"> sin entrega de equipo y ocho</w:t>
      </w:r>
      <w:r w:rsidR="00EB5C2C">
        <w:rPr>
          <w:rFonts w:cs="Arial"/>
        </w:rPr>
        <w:t xml:space="preserve"> días hábiles con provisión de equipo</w:t>
      </w:r>
      <w:r w:rsidRPr="00BA1D95">
        <w:rPr>
          <w:rFonts w:cs="Arial"/>
        </w:rPr>
        <w:t xml:space="preserve">. El 10% restante en un máximo de </w:t>
      </w:r>
      <w:r w:rsidR="000F68A7">
        <w:rPr>
          <w:rFonts w:cs="Arial"/>
        </w:rPr>
        <w:t>ocho</w:t>
      </w:r>
      <w:r w:rsidR="0095410A" w:rsidRPr="00BA1D95">
        <w:rPr>
          <w:rFonts w:cs="Arial"/>
        </w:rPr>
        <w:t xml:space="preserve"> </w:t>
      </w:r>
      <w:r w:rsidRPr="00BA1D95">
        <w:rPr>
          <w:rFonts w:cs="Arial"/>
        </w:rPr>
        <w:t xml:space="preserve">días hábiles </w:t>
      </w:r>
      <w:r w:rsidR="00016148">
        <w:rPr>
          <w:rFonts w:cs="Arial"/>
        </w:rPr>
        <w:t>sin provisión de equipo y diez</w:t>
      </w:r>
      <w:r w:rsidR="00EB5C2C">
        <w:rPr>
          <w:rFonts w:cs="Arial"/>
        </w:rPr>
        <w:t xml:space="preserve"> días hábiles con provisión de equipo</w:t>
      </w:r>
      <w:r w:rsidRPr="00BA1D95">
        <w:rPr>
          <w:rFonts w:cs="Arial"/>
        </w:rPr>
        <w:t xml:space="preserve"> a partir de la solicitud.</w:t>
      </w:r>
    </w:p>
    <w:p w:rsidR="00A47F9A" w:rsidRPr="00BA1D95" w:rsidRDefault="00A47F9A" w:rsidP="00D37C98">
      <w:pPr>
        <w:pStyle w:val="IFTnormal"/>
        <w:numPr>
          <w:ilvl w:val="0"/>
          <w:numId w:val="85"/>
        </w:numPr>
        <w:ind w:left="567" w:right="51" w:hanging="567"/>
        <w:rPr>
          <w:rFonts w:cs="Arial"/>
        </w:rPr>
      </w:pPr>
      <w:r w:rsidRPr="00BA1D95">
        <w:rPr>
          <w:rFonts w:cs="Arial"/>
        </w:rPr>
        <w:t xml:space="preserve">Habilitación para usuarios nuevos con y sin acometida o recursos de red: 90% en un máximo de </w:t>
      </w:r>
      <w:r w:rsidR="00016148">
        <w:rPr>
          <w:rFonts w:cs="Arial"/>
        </w:rPr>
        <w:t>seis</w:t>
      </w:r>
      <w:r w:rsidR="0095410A" w:rsidRPr="00BA1D95">
        <w:rPr>
          <w:rFonts w:cs="Arial"/>
        </w:rPr>
        <w:t xml:space="preserve"> </w:t>
      </w:r>
      <w:r w:rsidRPr="00BA1D95">
        <w:rPr>
          <w:rFonts w:cs="Arial"/>
        </w:rPr>
        <w:t>días hábiles</w:t>
      </w:r>
      <w:r w:rsidR="004F6C84" w:rsidRPr="00BA1D95">
        <w:rPr>
          <w:rFonts w:cs="Arial"/>
        </w:rPr>
        <w:t xml:space="preserve"> sin entrega de equipo y </w:t>
      </w:r>
      <w:r w:rsidR="00016148">
        <w:rPr>
          <w:rFonts w:cs="Arial"/>
          <w:lang w:eastAsia="es-MX"/>
        </w:rPr>
        <w:t>ocho</w:t>
      </w:r>
      <w:r w:rsidR="0095410A" w:rsidRPr="00BA1D95">
        <w:rPr>
          <w:rFonts w:cs="Arial"/>
          <w:lang w:eastAsia="es-MX"/>
        </w:rPr>
        <w:t xml:space="preserve"> </w:t>
      </w:r>
      <w:r w:rsidR="004F6C84" w:rsidRPr="00BA1D95">
        <w:rPr>
          <w:rFonts w:cs="Arial"/>
          <w:lang w:eastAsia="es-MX"/>
        </w:rPr>
        <w:t>días hábiles con provisión de equipo</w:t>
      </w:r>
      <w:r w:rsidRPr="00BA1D95">
        <w:rPr>
          <w:rFonts w:cs="Arial"/>
        </w:rPr>
        <w:t>. El 10% restante en un máximo de</w:t>
      </w:r>
      <w:r w:rsidR="004F6C84" w:rsidRPr="00BA1D95">
        <w:rPr>
          <w:rFonts w:cs="Arial"/>
        </w:rPr>
        <w:t xml:space="preserve"> </w:t>
      </w:r>
      <w:r w:rsidR="00016148">
        <w:rPr>
          <w:rFonts w:cs="Arial"/>
        </w:rPr>
        <w:t>ocho</w:t>
      </w:r>
      <w:r w:rsidR="0095410A">
        <w:rPr>
          <w:rFonts w:cs="Arial"/>
        </w:rPr>
        <w:t xml:space="preserve"> días hábiles</w:t>
      </w:r>
      <w:r w:rsidR="0095410A" w:rsidRPr="00BA1D95">
        <w:rPr>
          <w:rFonts w:cs="Arial"/>
        </w:rPr>
        <w:t xml:space="preserve"> </w:t>
      </w:r>
      <w:r w:rsidR="004F6C84" w:rsidRPr="00BA1D95">
        <w:rPr>
          <w:rFonts w:cs="Arial"/>
        </w:rPr>
        <w:t xml:space="preserve">sin provisión de equipo </w:t>
      </w:r>
      <w:r w:rsidR="004F6C84" w:rsidRPr="00BA1D95">
        <w:rPr>
          <w:rFonts w:cs="Arial"/>
          <w:lang w:eastAsia="es-MX"/>
        </w:rPr>
        <w:t xml:space="preserve">y </w:t>
      </w:r>
      <w:r w:rsidR="00016148">
        <w:rPr>
          <w:rFonts w:cs="Arial"/>
          <w:lang w:eastAsia="es-MX"/>
        </w:rPr>
        <w:t>diez</w:t>
      </w:r>
      <w:r w:rsidR="004F6C84" w:rsidRPr="00BA1D95">
        <w:rPr>
          <w:rFonts w:cs="Arial"/>
          <w:lang w:eastAsia="es-MX"/>
        </w:rPr>
        <w:t xml:space="preserve"> días hábiles con provisión de equipo</w:t>
      </w:r>
      <w:r w:rsidRPr="00BA1D95">
        <w:rPr>
          <w:rFonts w:cs="Arial"/>
        </w:rPr>
        <w:t xml:space="preserve"> a partir de la solicitud.</w:t>
      </w:r>
    </w:p>
    <w:p w:rsidR="00A47F9A" w:rsidRDefault="00A47F9A" w:rsidP="00D37C98">
      <w:pPr>
        <w:pStyle w:val="IFTnormal"/>
        <w:numPr>
          <w:ilvl w:val="0"/>
          <w:numId w:val="85"/>
        </w:numPr>
        <w:ind w:left="567" w:right="51" w:hanging="567"/>
        <w:rPr>
          <w:rFonts w:cs="Arial"/>
        </w:rPr>
      </w:pPr>
      <w:r w:rsidRPr="00BA1D95">
        <w:rPr>
          <w:rFonts w:cs="Arial"/>
        </w:rPr>
        <w:t xml:space="preserve">Porcentaje de servicios suspendidos y reactivados en tiempo (60%). El 40% restante de servicios suspendidos en 48 horas y de reactivaciones en </w:t>
      </w:r>
      <w:r w:rsidR="0095410A">
        <w:rPr>
          <w:rFonts w:cs="Arial"/>
        </w:rPr>
        <w:t>cuatro</w:t>
      </w:r>
      <w:r w:rsidR="0095410A" w:rsidRPr="00BA1D95">
        <w:rPr>
          <w:rFonts w:cs="Arial"/>
        </w:rPr>
        <w:t xml:space="preserve"> </w:t>
      </w:r>
      <w:r w:rsidRPr="00BA1D95">
        <w:rPr>
          <w:rFonts w:cs="Arial"/>
        </w:rPr>
        <w:t>horas a partir de las solicitudes realizadas.</w:t>
      </w:r>
    </w:p>
    <w:p w:rsidR="00A47F9A" w:rsidRPr="00BA1D95" w:rsidRDefault="00A47F9A" w:rsidP="004B11EB">
      <w:pPr>
        <w:pStyle w:val="IFTnormal"/>
        <w:ind w:right="51"/>
        <w:rPr>
          <w:rFonts w:cs="Arial"/>
          <w:b/>
        </w:rPr>
      </w:pPr>
      <w:r w:rsidRPr="00BA1D95">
        <w:rPr>
          <w:rFonts w:cs="Arial"/>
          <w:b/>
        </w:rPr>
        <w:t>Metodología</w:t>
      </w:r>
    </w:p>
    <w:p w:rsidR="00A47F9A" w:rsidRPr="00BA1D95" w:rsidRDefault="00A47F9A" w:rsidP="004B11EB">
      <w:pPr>
        <w:pStyle w:val="IFTnormal"/>
        <w:ind w:right="51"/>
        <w:rPr>
          <w:rFonts w:cs="Arial"/>
        </w:rPr>
      </w:pPr>
      <w:r w:rsidRPr="00BA1D95">
        <w:rPr>
          <w:rFonts w:cs="Arial"/>
        </w:rPr>
        <w:t>El horario de atención es 24 horas, sin embargo, para realizar las mediciones de estos indicadores, se considerarán las solicitudes ingresadas en un horario hábil de lunes a viernes de 9:00 a 17:00 horas, aquellos que se reciban después de ese horario, se contabilizarán para el día hábil siguiente.</w:t>
      </w:r>
    </w:p>
    <w:p w:rsidR="00A47F9A" w:rsidRPr="00BA1D95" w:rsidRDefault="00A47F9A" w:rsidP="004B11EB">
      <w:pPr>
        <w:pStyle w:val="IFTnormal"/>
        <w:ind w:right="51"/>
        <w:rPr>
          <w:rFonts w:cs="Arial"/>
          <w:b/>
        </w:rPr>
      </w:pPr>
      <w:r w:rsidRPr="00BA1D95">
        <w:rPr>
          <w:rFonts w:cs="Arial"/>
          <w:b/>
        </w:rPr>
        <w:t>Parámetros para Reparación de Fallas</w:t>
      </w:r>
    </w:p>
    <w:p w:rsidR="00A47F9A" w:rsidRPr="00BA1D95" w:rsidRDefault="00A47F9A" w:rsidP="004B11EB">
      <w:pPr>
        <w:pStyle w:val="IFTnormal"/>
        <w:ind w:right="51"/>
        <w:rPr>
          <w:rFonts w:cs="Arial"/>
        </w:rPr>
      </w:pPr>
      <w:r w:rsidRPr="00BA1D95">
        <w:rPr>
          <w:rFonts w:cs="Arial"/>
        </w:rPr>
        <w:t>En cuanto a los parámetros de calidad asociados a la reparación de fallas que afecten a los usuarios residenciales o comerciales, se tiene el siguiente alcance:</w:t>
      </w:r>
    </w:p>
    <w:p w:rsidR="00A47F9A" w:rsidRPr="00BA1D95" w:rsidRDefault="00A47F9A" w:rsidP="00D37C98">
      <w:pPr>
        <w:pStyle w:val="IFTnormal"/>
        <w:numPr>
          <w:ilvl w:val="0"/>
          <w:numId w:val="86"/>
        </w:numPr>
        <w:ind w:left="567" w:right="284" w:hanging="283"/>
        <w:rPr>
          <w:rFonts w:cs="Arial"/>
        </w:rPr>
      </w:pPr>
      <w:r w:rsidRPr="00BA1D95">
        <w:rPr>
          <w:rFonts w:cs="Arial"/>
        </w:rPr>
        <w:t xml:space="preserve">Total de reparaciones atendidas </w:t>
      </w:r>
      <w:r w:rsidR="00F64F82" w:rsidRPr="00BA1D95">
        <w:rPr>
          <w:rFonts w:cs="Arial"/>
        </w:rPr>
        <w:t xml:space="preserve">por concesionario </w:t>
      </w:r>
      <w:r w:rsidRPr="00BA1D95">
        <w:rPr>
          <w:rFonts w:cs="Arial"/>
        </w:rPr>
        <w:t xml:space="preserve">dentro del día hábil siguiente a la recepción de la queja, del total de reportes levantados. Al menos </w:t>
      </w:r>
      <w:r w:rsidR="00A86331" w:rsidRPr="00BA1D95">
        <w:rPr>
          <w:rFonts w:cs="Arial"/>
        </w:rPr>
        <w:t>84</w:t>
      </w:r>
      <w:r w:rsidRPr="00BA1D95">
        <w:rPr>
          <w:rFonts w:cs="Arial"/>
        </w:rPr>
        <w:t xml:space="preserve">% </w:t>
      </w:r>
    </w:p>
    <w:p w:rsidR="00A47F9A" w:rsidRPr="00BA1D95" w:rsidRDefault="00A47F9A" w:rsidP="00D37C98">
      <w:pPr>
        <w:pStyle w:val="IFTnormal"/>
        <w:numPr>
          <w:ilvl w:val="0"/>
          <w:numId w:val="86"/>
        </w:numPr>
        <w:ind w:left="567" w:right="284" w:hanging="283"/>
        <w:rPr>
          <w:rFonts w:cs="Arial"/>
        </w:rPr>
      </w:pPr>
      <w:r w:rsidRPr="00BA1D95">
        <w:rPr>
          <w:rFonts w:cs="Arial"/>
        </w:rPr>
        <w:lastRenderedPageBreak/>
        <w:t>Total de reparaciones atendidas</w:t>
      </w:r>
      <w:r w:rsidR="00F64F82" w:rsidRPr="00BA1D95">
        <w:rPr>
          <w:rFonts w:cs="Arial"/>
        </w:rPr>
        <w:t xml:space="preserve"> por concesionario</w:t>
      </w:r>
      <w:r w:rsidRPr="00BA1D95">
        <w:rPr>
          <w:rFonts w:cs="Arial"/>
        </w:rPr>
        <w:t xml:space="preserve"> dentro de los tres días hábiles siguientes a la recepción de la queja, del total de reportes levantados. Al menos </w:t>
      </w:r>
      <w:r w:rsidR="00A86331" w:rsidRPr="00BA1D95">
        <w:rPr>
          <w:rFonts w:cs="Arial"/>
        </w:rPr>
        <w:t>94</w:t>
      </w:r>
      <w:r w:rsidRPr="00BA1D95">
        <w:rPr>
          <w:rFonts w:cs="Arial"/>
        </w:rPr>
        <w:t xml:space="preserve">%. </w:t>
      </w:r>
    </w:p>
    <w:p w:rsidR="00A47F9A" w:rsidRPr="00BA1D95" w:rsidRDefault="00A47F9A" w:rsidP="004B11EB">
      <w:pPr>
        <w:pStyle w:val="IFTnormal"/>
        <w:ind w:right="51"/>
        <w:rPr>
          <w:rFonts w:cs="Arial"/>
        </w:rPr>
      </w:pPr>
      <w:r w:rsidRPr="00BA1D95">
        <w:rPr>
          <w:rFonts w:cs="Arial"/>
        </w:rPr>
        <w:t xml:space="preserve">Para los casos anteriores, la reparación de fallas para el </w:t>
      </w:r>
      <w:r w:rsidR="00A86331" w:rsidRPr="00BA1D95">
        <w:rPr>
          <w:rFonts w:cs="Arial"/>
        </w:rPr>
        <w:t>6</w:t>
      </w:r>
      <w:r w:rsidRPr="00BA1D95">
        <w:rPr>
          <w:rFonts w:cs="Arial"/>
        </w:rPr>
        <w:t xml:space="preserve">% de reportes restante no excederá de </w:t>
      </w:r>
      <w:r w:rsidR="0095410A">
        <w:rPr>
          <w:rFonts w:cs="Arial"/>
        </w:rPr>
        <w:t>diez</w:t>
      </w:r>
      <w:r w:rsidR="0095410A" w:rsidRPr="00BA1D95">
        <w:rPr>
          <w:rFonts w:cs="Arial"/>
        </w:rPr>
        <w:t xml:space="preserve"> </w:t>
      </w:r>
      <w:r w:rsidRPr="00BA1D95">
        <w:rPr>
          <w:rFonts w:cs="Arial"/>
        </w:rPr>
        <w:t>días hábiles siguientes a la recepción de la queja.</w:t>
      </w:r>
    </w:p>
    <w:p w:rsidR="00A47F9A" w:rsidRPr="00BA1D95" w:rsidRDefault="00A47F9A" w:rsidP="004B11EB">
      <w:pPr>
        <w:pStyle w:val="IFTnormal"/>
        <w:ind w:right="51"/>
        <w:rPr>
          <w:rFonts w:cs="Arial"/>
        </w:rPr>
      </w:pPr>
      <w:r w:rsidRPr="00BA1D95">
        <w:rPr>
          <w:rFonts w:cs="Arial"/>
        </w:rPr>
        <w:t>Para realizar las mediciones de estos indicadores, se considerarán los reportes</w:t>
      </w:r>
      <w:r w:rsidR="005C3DC0" w:rsidRPr="00BA1D95">
        <w:rPr>
          <w:rFonts w:cs="Arial"/>
        </w:rPr>
        <w:t xml:space="preserve"> de queja</w:t>
      </w:r>
      <w:r w:rsidRPr="00BA1D95">
        <w:rPr>
          <w:rFonts w:cs="Arial"/>
        </w:rPr>
        <w:t xml:space="preserve"> levantados</w:t>
      </w:r>
      <w:r w:rsidR="00F64F82" w:rsidRPr="00BA1D95">
        <w:rPr>
          <w:rFonts w:cs="Arial"/>
        </w:rPr>
        <w:t xml:space="preserve"> por concesionario</w:t>
      </w:r>
      <w:r w:rsidRPr="00BA1D95">
        <w:rPr>
          <w:rFonts w:cs="Arial"/>
        </w:rPr>
        <w:t xml:space="preserve"> en un horario de 9:00 a 17:00 horas, aquellos que se reciban después de ese horario, se contabilizarán para el día hábil siguiente. </w:t>
      </w:r>
    </w:p>
    <w:p w:rsidR="00A47F9A" w:rsidRDefault="00A47F9A" w:rsidP="004B11EB">
      <w:pPr>
        <w:pStyle w:val="IFTnormal"/>
        <w:ind w:right="51"/>
        <w:rPr>
          <w:rFonts w:cs="Arial"/>
        </w:rPr>
      </w:pPr>
      <w:r w:rsidRPr="00BA1D95">
        <w:rPr>
          <w:rFonts w:cs="Arial"/>
        </w:rPr>
        <w:t>El indicador “Tiempo de Resolución” se refiere al tiempo transcurrido desde la apertura por el CS de una reclamación hasta que la reclamación ha sido resuelta satisfactoriamente (incluye la aceptación por parte del mismo y el cierre de la incidencia).</w:t>
      </w:r>
    </w:p>
    <w:p w:rsidR="00A47F9A" w:rsidRPr="00BA1D95" w:rsidRDefault="00A47F9A" w:rsidP="004B11EB">
      <w:pPr>
        <w:pStyle w:val="IFTnormal"/>
        <w:ind w:right="51"/>
        <w:rPr>
          <w:rFonts w:cs="Arial"/>
          <w:b/>
        </w:rPr>
      </w:pPr>
      <w:r w:rsidRPr="00BA1D95">
        <w:rPr>
          <w:rFonts w:cs="Arial"/>
          <w:b/>
        </w:rPr>
        <w:t>Metodología</w:t>
      </w:r>
    </w:p>
    <w:p w:rsidR="00A47F9A" w:rsidRPr="00BA1D95" w:rsidRDefault="00A47F9A" w:rsidP="004B11EB">
      <w:pPr>
        <w:pStyle w:val="IFTnormal"/>
        <w:ind w:right="51"/>
        <w:rPr>
          <w:rFonts w:cs="Arial"/>
        </w:rPr>
      </w:pPr>
      <w:r w:rsidRPr="00BA1D95">
        <w:rPr>
          <w:rFonts w:cs="Arial"/>
        </w:rPr>
        <w:t>Los indicadores de reparación de fallas se calculan de la siguiente forma y se miden para reparaciones en uno, tres y diez días hábiles posteriores a la recepción de la queja</w:t>
      </w:r>
      <w:r w:rsidR="00F64F82" w:rsidRPr="00BA1D95">
        <w:rPr>
          <w:rFonts w:cs="Arial"/>
        </w:rPr>
        <w:t xml:space="preserve"> por concesionario</w:t>
      </w:r>
      <w:r w:rsidRPr="00BA1D95">
        <w:rPr>
          <w:rFonts w:cs="Arial"/>
        </w:rPr>
        <w:t>.</w:t>
      </w:r>
    </w:p>
    <w:p w:rsidR="00A47F9A" w:rsidRPr="003223FC" w:rsidRDefault="00A47F9A" w:rsidP="004B11EB">
      <w:pPr>
        <w:pStyle w:val="IFTnormal"/>
        <w:ind w:right="51"/>
        <w:rPr>
          <w:rFonts w:cs="Arial"/>
        </w:rPr>
      </w:pPr>
      <w:r w:rsidRPr="003223FC">
        <w:rPr>
          <w:rFonts w:cs="Arial"/>
          <w:b/>
        </w:rPr>
        <w:t>Reparación de fallas</w:t>
      </w:r>
      <w:r w:rsidRPr="003223FC">
        <w:rPr>
          <w:rFonts w:cs="Arial"/>
        </w:rPr>
        <w:t>: porcentaje de las fallas reportadas</w:t>
      </w:r>
      <w:r w:rsidR="00F64F82" w:rsidRPr="003223FC">
        <w:rPr>
          <w:rFonts w:cs="Arial"/>
        </w:rPr>
        <w:t xml:space="preserve"> por concesionario</w:t>
      </w:r>
      <w:r w:rsidRPr="003223FC">
        <w:rPr>
          <w:rFonts w:cs="Arial"/>
        </w:rPr>
        <w:t xml:space="preserve"> que son atendidas dentro del plazo a medir (uno, tres, diez días hábiles siguientes a la recepción de la queja), durante el trimestre.</w:t>
      </w:r>
    </w:p>
    <w:p w:rsidR="00143EDE" w:rsidRPr="003223FC" w:rsidRDefault="00143EDE" w:rsidP="004B11EB">
      <w:pPr>
        <w:pStyle w:val="IFTnormal"/>
        <w:ind w:right="51"/>
        <w:rPr>
          <w:rFonts w:cs="Arial"/>
        </w:rPr>
      </w:pPr>
    </w:p>
    <w:p w:rsidR="00A47F9A" w:rsidRPr="003223FC" w:rsidRDefault="00A47F9A" w:rsidP="004B11EB">
      <w:pPr>
        <w:pStyle w:val="IFTnormal"/>
        <w:ind w:right="51"/>
        <w:jc w:val="center"/>
        <w:rPr>
          <w:rFonts w:cs="Arial"/>
        </w:rPr>
      </w:pPr>
      <w:r w:rsidRPr="003223FC">
        <w:rPr>
          <w:rFonts w:cs="Arial"/>
        </w:rPr>
        <w:t xml:space="preserve">Reparación de Fallas = </w:t>
      </w:r>
      <m:oMath>
        <m:f>
          <m:fPr>
            <m:ctrlPr>
              <w:rPr>
                <w:rFonts w:ascii="Cambria Math" w:hAnsi="Cambria Math" w:cs="Arial"/>
                <w:bCs w:val="0"/>
                <w:i/>
              </w:rPr>
            </m:ctrlPr>
          </m:fPr>
          <m:num>
            <m:r>
              <w:rPr>
                <w:rFonts w:ascii="Cambria Math" w:hAnsi="Cambria Math" w:cs="Arial"/>
              </w:rPr>
              <m:t>Fallas</m:t>
            </m:r>
            <m:r>
              <m:rPr>
                <m:sty m:val="p"/>
              </m:rPr>
              <w:rPr>
                <w:rFonts w:ascii="Cambria Math" w:hAnsi="Cambria Math" w:cs="Arial"/>
              </w:rPr>
              <m:t xml:space="preserve"> </m:t>
            </m:r>
            <m:r>
              <w:rPr>
                <w:rFonts w:ascii="Cambria Math" w:hAnsi="Cambria Math" w:cs="Arial"/>
              </w:rPr>
              <m:t>efectivas</m:t>
            </m:r>
            <m:r>
              <m:rPr>
                <m:sty m:val="p"/>
              </m:rPr>
              <w:rPr>
                <w:rFonts w:ascii="Cambria Math" w:hAnsi="Cambria Math" w:cs="Arial"/>
              </w:rPr>
              <m:t xml:space="preserve"> </m:t>
            </m:r>
            <m:r>
              <w:rPr>
                <w:rFonts w:ascii="Cambria Math" w:hAnsi="Cambria Math" w:cs="Arial"/>
              </w:rPr>
              <m:t>reparadas</m:t>
            </m:r>
            <m:r>
              <m:rPr>
                <m:sty m:val="p"/>
              </m:rPr>
              <w:rPr>
                <w:rFonts w:ascii="Cambria Math" w:hAnsi="Cambria Math" w:cs="Arial"/>
              </w:rPr>
              <m:t xml:space="preserve"> </m:t>
            </m:r>
            <m:r>
              <w:rPr>
                <w:rFonts w:ascii="Cambria Math" w:hAnsi="Cambria Math" w:cs="Arial"/>
              </w:rPr>
              <m:t>en</m:t>
            </m:r>
            <m:r>
              <m:rPr>
                <m:sty m:val="p"/>
              </m:rPr>
              <w:rPr>
                <w:rFonts w:ascii="Cambria Math" w:hAnsi="Cambria Math" w:cs="Arial"/>
              </w:rPr>
              <m:t xml:space="preserve"> </m:t>
            </m:r>
            <m:r>
              <w:rPr>
                <w:rFonts w:ascii="Cambria Math" w:hAnsi="Cambria Math" w:cs="Arial"/>
              </w:rPr>
              <m:t>el</m:t>
            </m:r>
            <m:r>
              <m:rPr>
                <m:sty m:val="p"/>
              </m:rPr>
              <w:rPr>
                <w:rFonts w:ascii="Cambria Math" w:hAnsi="Cambria Math" w:cs="Arial"/>
              </w:rPr>
              <m:t xml:space="preserve"> </m:t>
            </m:r>
            <m:r>
              <w:rPr>
                <w:rFonts w:ascii="Cambria Math" w:hAnsi="Cambria Math" w:cs="Arial"/>
              </w:rPr>
              <m:t>plazo</m:t>
            </m:r>
            <m:r>
              <m:rPr>
                <m:sty m:val="p"/>
              </m:rPr>
              <w:rPr>
                <w:rFonts w:ascii="Cambria Math" w:hAnsi="Cambria Math" w:cs="Arial"/>
              </w:rPr>
              <m:t xml:space="preserve"> </m:t>
            </m:r>
            <m:r>
              <w:rPr>
                <w:rFonts w:ascii="Cambria Math" w:hAnsi="Cambria Math" w:cs="Arial"/>
              </w:rPr>
              <m:t>a</m:t>
            </m:r>
            <m:r>
              <m:rPr>
                <m:sty m:val="p"/>
              </m:rPr>
              <w:rPr>
                <w:rFonts w:ascii="Cambria Math" w:hAnsi="Cambria Math" w:cs="Arial"/>
              </w:rPr>
              <m:t xml:space="preserve"> </m:t>
            </m:r>
            <m:r>
              <w:rPr>
                <w:rFonts w:ascii="Cambria Math" w:hAnsi="Cambria Math" w:cs="Arial"/>
              </w:rPr>
              <m:t>medir</m:t>
            </m:r>
            <m:r>
              <m:rPr>
                <m:sty m:val="p"/>
              </m:rPr>
              <w:rPr>
                <w:rFonts w:ascii="Cambria Math" w:hAnsi="Cambria Math" w:cs="Arial"/>
              </w:rPr>
              <m:t xml:space="preserve"> </m:t>
            </m:r>
            <m:r>
              <w:rPr>
                <w:rFonts w:ascii="Cambria Math" w:hAnsi="Cambria Math" w:cs="Arial"/>
              </w:rPr>
              <m:t>en</m:t>
            </m:r>
            <m:r>
              <m:rPr>
                <m:sty m:val="p"/>
              </m:rPr>
              <w:rPr>
                <w:rFonts w:ascii="Cambria Math" w:hAnsi="Cambria Math" w:cs="Arial"/>
              </w:rPr>
              <m:t xml:space="preserve">  </m:t>
            </m:r>
            <m:r>
              <w:rPr>
                <w:rFonts w:ascii="Cambria Math" w:hAnsi="Cambria Math" w:cs="Arial"/>
              </w:rPr>
              <m:t>d</m:t>
            </m:r>
            <m:r>
              <m:rPr>
                <m:sty m:val="p"/>
              </m:rPr>
              <w:rPr>
                <w:rFonts w:ascii="Cambria Math" w:hAnsi="Cambria Math" w:cs="Arial"/>
              </w:rPr>
              <m:t>í</m:t>
            </m:r>
            <m:r>
              <w:rPr>
                <w:rFonts w:ascii="Cambria Math" w:hAnsi="Cambria Math" w:cs="Arial"/>
              </w:rPr>
              <m:t>as</m:t>
            </m:r>
            <m:r>
              <m:rPr>
                <m:sty m:val="p"/>
              </m:rPr>
              <w:rPr>
                <w:rFonts w:ascii="Cambria Math" w:hAnsi="Cambria Math" w:cs="Arial"/>
              </w:rPr>
              <m:t xml:space="preserve"> </m:t>
            </m:r>
            <m:r>
              <w:rPr>
                <w:rFonts w:ascii="Cambria Math" w:hAnsi="Cambria Math" w:cs="Arial"/>
              </w:rPr>
              <m:t>h</m:t>
            </m:r>
            <m:r>
              <m:rPr>
                <m:sty m:val="p"/>
              </m:rPr>
              <w:rPr>
                <w:rFonts w:ascii="Cambria Math" w:hAnsi="Cambria Math" w:cs="Arial"/>
              </w:rPr>
              <m:t>á</m:t>
            </m:r>
            <m:r>
              <w:rPr>
                <w:rFonts w:ascii="Cambria Math" w:hAnsi="Cambria Math" w:cs="Arial"/>
              </w:rPr>
              <m:t>biles</m:t>
            </m:r>
          </m:num>
          <m:den>
            <m:r>
              <w:rPr>
                <w:rFonts w:ascii="Cambria Math" w:hAnsi="Cambria Math" w:cs="Arial"/>
              </w:rPr>
              <m:t>Fallas</m:t>
            </m:r>
            <m:r>
              <m:rPr>
                <m:sty m:val="p"/>
              </m:rPr>
              <w:rPr>
                <w:rFonts w:ascii="Cambria Math" w:hAnsi="Cambria Math" w:cs="Arial"/>
              </w:rPr>
              <m:t xml:space="preserve"> </m:t>
            </m:r>
            <m:r>
              <w:rPr>
                <w:rFonts w:ascii="Cambria Math" w:hAnsi="Cambria Math" w:cs="Arial"/>
              </w:rPr>
              <m:t>Efectivas</m:t>
            </m:r>
          </m:den>
        </m:f>
        <m:r>
          <m:rPr>
            <m:sty m:val="p"/>
          </m:rPr>
          <w:rPr>
            <w:rFonts w:ascii="Cambria Math" w:hAnsi="Cambria Math" w:cs="Arial"/>
          </w:rPr>
          <m:t xml:space="preserve"> </m:t>
        </m:r>
        <m:r>
          <w:rPr>
            <w:rFonts w:ascii="Cambria Math" w:hAnsi="Cambria Math" w:cs="Arial"/>
          </w:rPr>
          <m:t>x</m:t>
        </m:r>
        <m:r>
          <m:rPr>
            <m:sty m:val="p"/>
          </m:rPr>
          <w:rPr>
            <w:rFonts w:ascii="Cambria Math" w:hAnsi="Cambria Math" w:cs="Arial"/>
          </w:rPr>
          <m:t xml:space="preserve"> 100</m:t>
        </m:r>
      </m:oMath>
    </w:p>
    <w:p w:rsidR="00A47F9A" w:rsidRPr="003223FC" w:rsidRDefault="00A47F9A" w:rsidP="00402F39">
      <w:pPr>
        <w:pStyle w:val="IFTnormal"/>
        <w:ind w:right="51"/>
        <w:rPr>
          <w:rFonts w:cs="Arial"/>
        </w:rPr>
      </w:pPr>
      <w:r w:rsidRPr="003223FC">
        <w:rPr>
          <w:rFonts w:cs="Arial"/>
          <w:b/>
          <w:bCs w:val="0"/>
        </w:rPr>
        <w:t>Donde</w:t>
      </w:r>
      <w:r w:rsidRPr="003223FC">
        <w:rPr>
          <w:rFonts w:cs="Arial"/>
        </w:rPr>
        <w:t xml:space="preserve">: </w:t>
      </w:r>
    </w:p>
    <w:p w:rsidR="00A47F9A" w:rsidRPr="003223FC" w:rsidRDefault="00A47F9A" w:rsidP="00402F39">
      <w:pPr>
        <w:pStyle w:val="IFTnormal"/>
        <w:ind w:right="51"/>
        <w:rPr>
          <w:rFonts w:cs="Arial"/>
          <w:i/>
        </w:rPr>
      </w:pPr>
      <w:r w:rsidRPr="003223FC">
        <w:rPr>
          <w:rFonts w:cs="Arial"/>
          <w:i/>
        </w:rPr>
        <w:t>Fallas efectivas reparadas</w:t>
      </w:r>
      <w:r w:rsidR="00F64F82" w:rsidRPr="003223FC">
        <w:rPr>
          <w:rFonts w:cs="Arial"/>
          <w:i/>
        </w:rPr>
        <w:t xml:space="preserve"> por concesionario</w:t>
      </w:r>
      <w:r w:rsidRPr="003223FC">
        <w:rPr>
          <w:rFonts w:cs="Arial"/>
          <w:i/>
        </w:rPr>
        <w:t xml:space="preserve"> en el plazo a medir (días hábiles) = </w:t>
      </w:r>
      <w:r w:rsidRPr="003223FC">
        <w:rPr>
          <w:rFonts w:cs="Arial"/>
        </w:rPr>
        <w:t>Es la cantidad de fallas reparadas dentro del plazo que interesa medir, en este caso serán uno, tres y diez días hábiles siguientes a la recepción de la. En esta variable se eliminan las quejas debidas a fallas provocadas por fenómenos no previsibles o de fuerza mayor, además de las fallas en la red bajo responsabilidad del cliente.</w:t>
      </w:r>
      <w:r w:rsidRPr="003223FC">
        <w:rPr>
          <w:rFonts w:cs="Arial"/>
          <w:i/>
        </w:rPr>
        <w:t xml:space="preserve"> </w:t>
      </w:r>
    </w:p>
    <w:p w:rsidR="00A47F9A" w:rsidRPr="003223FC" w:rsidRDefault="00A47F9A" w:rsidP="00402F39">
      <w:pPr>
        <w:pStyle w:val="IFTnormal"/>
        <w:ind w:right="51"/>
        <w:rPr>
          <w:rFonts w:cs="Arial"/>
        </w:rPr>
      </w:pPr>
      <w:r w:rsidRPr="003223FC">
        <w:rPr>
          <w:rFonts w:cs="Arial"/>
          <w:i/>
        </w:rPr>
        <w:t>Fallas Efectivas</w:t>
      </w:r>
      <w:r w:rsidRPr="003223FC">
        <w:rPr>
          <w:rFonts w:cs="Arial"/>
        </w:rPr>
        <w:t xml:space="preserve"> = Cantidad de reportes de fallas recibidos </w:t>
      </w:r>
      <w:r w:rsidR="00635149" w:rsidRPr="003223FC">
        <w:rPr>
          <w:rFonts w:cs="Arial"/>
        </w:rPr>
        <w:t xml:space="preserve">por concesionario, </w:t>
      </w:r>
      <w:r w:rsidRPr="003223FC">
        <w:rPr>
          <w:rFonts w:cs="Arial"/>
        </w:rPr>
        <w:t>excepto las quejas debidas a fallas provocadas por fenómenos no previsibles o de fuerza mayor, además de las fallas en la red bajo responsabilidad del cliente.</w:t>
      </w:r>
    </w:p>
    <w:p w:rsidR="00C00121" w:rsidRPr="003223FC" w:rsidRDefault="00C00121" w:rsidP="004B11EB">
      <w:pPr>
        <w:adjustRightInd w:val="0"/>
        <w:spacing w:after="200" w:line="276" w:lineRule="auto"/>
        <w:ind w:right="51"/>
        <w:jc w:val="both"/>
        <w:rPr>
          <w:rFonts w:ascii="ITC Avant Garde" w:eastAsia="Times New Roman" w:hAnsi="ITC Avant Garde" w:cs="Arial"/>
          <w:b/>
          <w:color w:val="000000"/>
          <w:lang w:val="es-ES_tradnl" w:eastAsia="es-ES"/>
        </w:rPr>
      </w:pPr>
      <w:r w:rsidRPr="003223FC">
        <w:rPr>
          <w:rFonts w:ascii="ITC Avant Garde" w:eastAsia="Times New Roman" w:hAnsi="ITC Avant Garde" w:cs="Arial"/>
          <w:b/>
          <w:color w:val="000000"/>
          <w:lang w:val="es-ES_tradnl" w:eastAsia="es-ES"/>
        </w:rPr>
        <w:t>Indicador para Disponibilidad</w:t>
      </w:r>
    </w:p>
    <w:p w:rsidR="00C00121" w:rsidRPr="003223FC" w:rsidRDefault="00C00121" w:rsidP="004B11EB">
      <w:pPr>
        <w:adjustRightInd w:val="0"/>
        <w:spacing w:after="200" w:line="276" w:lineRule="auto"/>
        <w:ind w:right="51"/>
        <w:jc w:val="both"/>
        <w:rPr>
          <w:rFonts w:ascii="ITC Avant Garde" w:eastAsia="Times New Roman" w:hAnsi="ITC Avant Garde" w:cs="Arial"/>
          <w:bCs/>
          <w:color w:val="000000"/>
          <w:lang w:val="es-ES_tradnl" w:eastAsia="es-ES"/>
        </w:rPr>
      </w:pPr>
      <w:r w:rsidRPr="003223FC">
        <w:rPr>
          <w:rFonts w:ascii="ITC Avant Garde" w:eastAsia="Times New Roman" w:hAnsi="ITC Avant Garde" w:cs="Arial"/>
          <w:bCs/>
          <w:color w:val="000000"/>
          <w:lang w:val="es-ES_tradnl" w:eastAsia="es-ES"/>
        </w:rPr>
        <w:t xml:space="preserve">El indicador de disponibilidad establece el porcentaje del tiempo durante el cual, el servicio se encuentra en operación normal respecto del tiempo total de medición. La meta de cumplimiento </w:t>
      </w:r>
      <w:r w:rsidRPr="003223FC">
        <w:rPr>
          <w:rFonts w:ascii="ITC Avant Garde" w:eastAsia="Times New Roman" w:hAnsi="ITC Avant Garde" w:cs="Arial"/>
          <w:bCs/>
          <w:color w:val="000000"/>
          <w:lang w:val="es-ES_tradnl" w:eastAsia="es-ES"/>
        </w:rPr>
        <w:lastRenderedPageBreak/>
        <w:t>de este indicador es del 98% al trimestre</w:t>
      </w:r>
      <w:r w:rsidR="009E3846" w:rsidRPr="003223FC">
        <w:rPr>
          <w:rFonts w:ascii="ITC Avant Garde" w:eastAsia="Times New Roman" w:hAnsi="ITC Avant Garde" w:cs="Arial"/>
          <w:color w:val="000000"/>
          <w:lang w:val="es-ES_tradnl" w:eastAsia="es-ES"/>
        </w:rPr>
        <w:t>, siempre que no se contrapongan a los parámetros de reparación de fallas</w:t>
      </w:r>
      <w:r w:rsidRPr="003223FC">
        <w:rPr>
          <w:rFonts w:ascii="ITC Avant Garde" w:eastAsia="Times New Roman" w:hAnsi="ITC Avant Garde" w:cs="Arial"/>
          <w:bCs/>
          <w:color w:val="000000"/>
          <w:lang w:val="es-ES_tradnl" w:eastAsia="es-ES"/>
        </w:rPr>
        <w:t>.</w:t>
      </w:r>
    </w:p>
    <w:p w:rsidR="00C00121" w:rsidRPr="003223FC" w:rsidRDefault="00C00121" w:rsidP="004B11EB">
      <w:pPr>
        <w:adjustRightInd w:val="0"/>
        <w:spacing w:after="200" w:line="276" w:lineRule="auto"/>
        <w:ind w:right="51"/>
        <w:jc w:val="both"/>
        <w:rPr>
          <w:rFonts w:ascii="ITC Avant Garde" w:eastAsia="Times New Roman" w:hAnsi="ITC Avant Garde" w:cs="Arial"/>
          <w:b/>
          <w:bCs/>
          <w:color w:val="000000"/>
          <w:lang w:val="es-ES_tradnl" w:eastAsia="es-ES"/>
        </w:rPr>
      </w:pPr>
      <w:r w:rsidRPr="003223FC">
        <w:rPr>
          <w:rFonts w:ascii="ITC Avant Garde" w:eastAsia="Times New Roman" w:hAnsi="ITC Avant Garde" w:cs="Arial"/>
          <w:b/>
          <w:bCs/>
          <w:color w:val="000000"/>
          <w:lang w:val="es-ES_tradnl" w:eastAsia="es-ES"/>
        </w:rPr>
        <w:t>Metodología</w:t>
      </w:r>
    </w:p>
    <w:p w:rsidR="00C00121" w:rsidRPr="003223FC" w:rsidRDefault="00C00121" w:rsidP="004B11EB">
      <w:pPr>
        <w:adjustRightInd w:val="0"/>
        <w:spacing w:after="200" w:line="276" w:lineRule="auto"/>
        <w:ind w:right="51"/>
        <w:jc w:val="both"/>
        <w:rPr>
          <w:rFonts w:ascii="ITC Avant Garde" w:eastAsia="Times New Roman" w:hAnsi="ITC Avant Garde" w:cs="Arial"/>
          <w:bCs/>
          <w:color w:val="000000"/>
          <w:lang w:val="es-ES_tradnl" w:eastAsia="es-ES"/>
        </w:rPr>
      </w:pPr>
      <w:r w:rsidRPr="003223FC">
        <w:rPr>
          <w:rFonts w:ascii="ITC Avant Garde" w:eastAsia="Times New Roman" w:hAnsi="ITC Avant Garde" w:cs="Arial"/>
          <w:bCs/>
          <w:color w:val="000000"/>
          <w:lang w:val="es-ES_tradnl" w:eastAsia="es-ES"/>
        </w:rPr>
        <w:t>El indicador se calcula por cada línea o servicio contratado por el CS</w:t>
      </w:r>
      <w:r w:rsidR="007067A4" w:rsidRPr="003223FC">
        <w:rPr>
          <w:rFonts w:ascii="ITC Avant Garde" w:eastAsia="Times New Roman" w:hAnsi="ITC Avant Garde" w:cs="Arial"/>
          <w:bCs/>
          <w:color w:val="000000"/>
          <w:lang w:val="es-ES_tradnl" w:eastAsia="es-ES"/>
        </w:rPr>
        <w:t>,</w:t>
      </w:r>
      <w:r w:rsidRPr="003223FC">
        <w:rPr>
          <w:rFonts w:ascii="ITC Avant Garde" w:eastAsia="Times New Roman" w:hAnsi="ITC Avant Garde" w:cs="Arial"/>
          <w:bCs/>
          <w:color w:val="000000"/>
          <w:lang w:val="es-ES_tradnl" w:eastAsia="es-ES"/>
        </w:rPr>
        <w:t xml:space="preserve"> considerando las Horas Totales menos el Tiempo Fuera de Servicio, de la referencia reportada, entre el período de medición:</w:t>
      </w:r>
    </w:p>
    <w:p w:rsidR="00C00121" w:rsidRPr="003223FC" w:rsidRDefault="00290D8F" w:rsidP="004B11EB">
      <w:pPr>
        <w:spacing w:before="360" w:after="360" w:line="276" w:lineRule="auto"/>
        <w:ind w:right="51"/>
        <w:jc w:val="both"/>
        <w:rPr>
          <w:rFonts w:ascii="ITC Avant Garde" w:eastAsia="MS Mincho" w:hAnsi="ITC Avant Garde" w:cs="Arial"/>
          <w:bCs/>
        </w:rPr>
      </w:pPr>
      <m:oMathPara>
        <m:oMathParaPr>
          <m:jc m:val="center"/>
        </m:oMathParaPr>
        <m:oMath>
          <m:r>
            <m:rPr>
              <m:nor/>
            </m:rPr>
            <w:rPr>
              <w:rFonts w:ascii="ITC Avant Garde" w:eastAsia="MS Mincho" w:hAnsi="ITC Avant Garde"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ITC Avant Garde" w:eastAsia="MS Mincho" w:hAnsi="ITC Avant Garde" w:cs="Arial"/>
                      <w:bCs/>
                    </w:rPr>
                    <m:t>Horas Totales</m:t>
                  </m:r>
                </m:e>
              </m:d>
              <m:r>
                <m:rPr>
                  <m:nor/>
                </m:rPr>
                <w:rPr>
                  <w:rFonts w:ascii="ITC Avant Garde" w:eastAsia="MS Mincho" w:hAnsi="ITC Avant Garde" w:cs="Arial"/>
                  <w:bCs/>
                </w:rPr>
                <m:t xml:space="preserve"> - </m:t>
              </m:r>
              <m:d>
                <m:dPr>
                  <m:ctrlPr>
                    <w:rPr>
                      <w:rFonts w:ascii="Cambria Math" w:eastAsia="MS Mincho" w:hAnsi="Cambria Math" w:cs="Arial"/>
                      <w:bCs/>
                    </w:rPr>
                  </m:ctrlPr>
                </m:dPr>
                <m:e>
                  <m:r>
                    <m:rPr>
                      <m:nor/>
                    </m:rPr>
                    <w:rPr>
                      <w:rFonts w:ascii="ITC Avant Garde" w:eastAsia="MS Mincho" w:hAnsi="ITC Avant Garde" w:cs="Arial"/>
                      <w:bCs/>
                    </w:rPr>
                    <m:t>Tiempo Fuera de Servicio</m:t>
                  </m:r>
                </m:e>
              </m:d>
            </m:num>
            <m:den>
              <m:d>
                <m:dPr>
                  <m:ctrlPr>
                    <w:rPr>
                      <w:rFonts w:ascii="Cambria Math" w:eastAsia="MS Mincho" w:hAnsi="Cambria Math" w:cs="Arial"/>
                      <w:bCs/>
                    </w:rPr>
                  </m:ctrlPr>
                </m:dPr>
                <m:e>
                  <m:r>
                    <m:rPr>
                      <m:nor/>
                    </m:rPr>
                    <w:rPr>
                      <w:rFonts w:ascii="ITC Avant Garde" w:eastAsia="MS Mincho" w:hAnsi="ITC Avant Garde" w:cs="Arial"/>
                      <w:bCs/>
                    </w:rPr>
                    <m:t>Horas Totales</m:t>
                  </m:r>
                </m:e>
              </m:d>
            </m:den>
          </m:f>
          <m:r>
            <m:rPr>
              <m:nor/>
            </m:rPr>
            <w:rPr>
              <w:rFonts w:ascii="ITC Avant Garde" w:eastAsia="MS Mincho" w:hAnsi="ITC Avant Garde" w:cs="Arial"/>
              <w:bCs/>
            </w:rPr>
            <m:t>×100</m:t>
          </m:r>
        </m:oMath>
      </m:oMathPara>
    </w:p>
    <w:p w:rsidR="00C00121" w:rsidRPr="003223FC" w:rsidRDefault="00C00121" w:rsidP="00402F39">
      <w:pPr>
        <w:spacing w:before="240" w:after="200" w:line="276" w:lineRule="auto"/>
        <w:ind w:right="51"/>
        <w:jc w:val="both"/>
        <w:rPr>
          <w:rFonts w:ascii="ITC Avant Garde" w:eastAsia="MS Mincho" w:hAnsi="ITC Avant Garde" w:cs="Arial"/>
          <w:bCs/>
        </w:rPr>
      </w:pPr>
      <w:r w:rsidRPr="003223FC">
        <w:rPr>
          <w:rFonts w:ascii="ITC Avant Garde" w:hAnsi="ITC Avant Garde" w:cs="Arial"/>
          <w:b/>
        </w:rPr>
        <w:t>Donde</w:t>
      </w:r>
      <w:r w:rsidRPr="003223FC">
        <w:rPr>
          <w:rFonts w:ascii="ITC Avant Garde" w:eastAsia="MS Mincho" w:hAnsi="ITC Avant Garde" w:cs="Arial"/>
          <w:bCs/>
        </w:rPr>
        <w:t>:</w:t>
      </w:r>
    </w:p>
    <w:p w:rsidR="00366F2B" w:rsidRPr="003223FC" w:rsidRDefault="00C00121" w:rsidP="00100489">
      <w:pPr>
        <w:pStyle w:val="IFTnormal"/>
        <w:ind w:right="51"/>
        <w:rPr>
          <w:rFonts w:cs="Arial"/>
        </w:rPr>
      </w:pPr>
      <w:r w:rsidRPr="003223FC">
        <w:rPr>
          <w:rFonts w:cs="Arial"/>
        </w:rPr>
        <w:t>La Horas Totales son equivalente al período de medición de la línea o servicio contratado y los Tiempos Fuera de Servicio que deben computarse son tanto las horas originadas por mantenimiento programado como el no programado.</w:t>
      </w:r>
    </w:p>
    <w:p w:rsidR="00E938FD" w:rsidRDefault="00A47F9A" w:rsidP="003C1826">
      <w:pPr>
        <w:pStyle w:val="1TitPrin"/>
      </w:pPr>
      <w:bookmarkStart w:id="712" w:name="_Toc44413240"/>
      <w:bookmarkStart w:id="713" w:name="_Toc44413719"/>
      <w:bookmarkStart w:id="714" w:name="_Toc44413241"/>
      <w:bookmarkStart w:id="715" w:name="_Toc44413720"/>
      <w:bookmarkStart w:id="716" w:name="_Toc44413242"/>
      <w:bookmarkStart w:id="717" w:name="_Toc44413721"/>
      <w:bookmarkStart w:id="718" w:name="_Toc44413243"/>
      <w:bookmarkStart w:id="719" w:name="_Toc44413722"/>
      <w:bookmarkStart w:id="720" w:name="_Toc44413244"/>
      <w:bookmarkStart w:id="721" w:name="_Toc44413723"/>
      <w:bookmarkStart w:id="722" w:name="_Toc44413245"/>
      <w:bookmarkStart w:id="723" w:name="_Toc44413724"/>
      <w:bookmarkStart w:id="724" w:name="_Toc44413246"/>
      <w:bookmarkStart w:id="725" w:name="_Toc44413725"/>
      <w:bookmarkStart w:id="726" w:name="_Toc44413247"/>
      <w:bookmarkStart w:id="727" w:name="_Toc44413726"/>
      <w:bookmarkStart w:id="728" w:name="_Toc44413248"/>
      <w:bookmarkStart w:id="729" w:name="_Toc44413727"/>
      <w:bookmarkStart w:id="730" w:name="_Toc44413249"/>
      <w:bookmarkStart w:id="731" w:name="_Toc44413728"/>
      <w:bookmarkStart w:id="732" w:name="_Toc44413250"/>
      <w:bookmarkStart w:id="733" w:name="_Toc44413729"/>
      <w:bookmarkStart w:id="734" w:name="_Toc44413251"/>
      <w:bookmarkStart w:id="735" w:name="_Toc44413730"/>
      <w:bookmarkStart w:id="736" w:name="_Toc44413252"/>
      <w:bookmarkStart w:id="737" w:name="_Toc44413731"/>
      <w:bookmarkStart w:id="738" w:name="_Toc44413253"/>
      <w:bookmarkStart w:id="739" w:name="_Toc44413732"/>
      <w:bookmarkStart w:id="740" w:name="_Toc44413254"/>
      <w:bookmarkStart w:id="741" w:name="_Toc44413733"/>
      <w:bookmarkStart w:id="742" w:name="_Toc44413255"/>
      <w:bookmarkStart w:id="743" w:name="_Toc44413734"/>
      <w:bookmarkStart w:id="744" w:name="_Toc44413256"/>
      <w:bookmarkStart w:id="745" w:name="_Toc44413735"/>
      <w:bookmarkStart w:id="746" w:name="_Toc44413257"/>
      <w:bookmarkStart w:id="747" w:name="_Toc44413736"/>
      <w:bookmarkStart w:id="748" w:name="_Toc44413258"/>
      <w:bookmarkStart w:id="749" w:name="_Toc44413737"/>
      <w:bookmarkStart w:id="750" w:name="_Toc44413259"/>
      <w:bookmarkStart w:id="751" w:name="_Toc44413738"/>
      <w:bookmarkStart w:id="752" w:name="_Toc44413260"/>
      <w:bookmarkStart w:id="753" w:name="_Toc44413739"/>
      <w:bookmarkStart w:id="754" w:name="_Toc44413261"/>
      <w:bookmarkStart w:id="755" w:name="_Toc44413740"/>
      <w:bookmarkStart w:id="756" w:name="_Toc44413262"/>
      <w:bookmarkStart w:id="757" w:name="_Toc44413741"/>
      <w:bookmarkStart w:id="758" w:name="_Toc44413263"/>
      <w:bookmarkStart w:id="759" w:name="_Toc44413742"/>
      <w:bookmarkStart w:id="760" w:name="_Toc44413264"/>
      <w:bookmarkStart w:id="761" w:name="_Toc44413743"/>
      <w:bookmarkStart w:id="762" w:name="_Toc44413265"/>
      <w:bookmarkStart w:id="763" w:name="_Toc44413744"/>
      <w:bookmarkStart w:id="764" w:name="_Toc44413266"/>
      <w:bookmarkStart w:id="765" w:name="_Toc44413745"/>
      <w:bookmarkStart w:id="766" w:name="_Toc44413267"/>
      <w:bookmarkStart w:id="767" w:name="_Toc44413746"/>
      <w:bookmarkStart w:id="768" w:name="_Toc44413268"/>
      <w:bookmarkStart w:id="769" w:name="_Toc44413747"/>
      <w:bookmarkStart w:id="770" w:name="_Toc44413269"/>
      <w:bookmarkStart w:id="771" w:name="_Toc44413748"/>
      <w:bookmarkStart w:id="772" w:name="_Toc44413270"/>
      <w:bookmarkStart w:id="773" w:name="_Toc44413749"/>
      <w:bookmarkStart w:id="774" w:name="_Toc44413271"/>
      <w:bookmarkStart w:id="775" w:name="_Toc44413750"/>
      <w:bookmarkStart w:id="776" w:name="_Toc44413272"/>
      <w:bookmarkStart w:id="777" w:name="_Toc44413751"/>
      <w:bookmarkStart w:id="778" w:name="_Toc44413273"/>
      <w:bookmarkStart w:id="779" w:name="_Toc44413752"/>
      <w:bookmarkStart w:id="780" w:name="_Toc44413274"/>
      <w:bookmarkStart w:id="781" w:name="_Toc44413753"/>
      <w:bookmarkStart w:id="782" w:name="_Toc44413303"/>
      <w:bookmarkStart w:id="783" w:name="_Toc44413782"/>
      <w:bookmarkStart w:id="784" w:name="_Toc44413304"/>
      <w:bookmarkStart w:id="785" w:name="_Toc44413783"/>
      <w:bookmarkStart w:id="786" w:name="_Toc44413305"/>
      <w:bookmarkStart w:id="787" w:name="_Toc44413784"/>
      <w:bookmarkStart w:id="788" w:name="_Toc44413306"/>
      <w:bookmarkStart w:id="789" w:name="_Toc44413785"/>
      <w:bookmarkStart w:id="790" w:name="_Toc44413307"/>
      <w:bookmarkStart w:id="791" w:name="_Toc44413786"/>
      <w:bookmarkStart w:id="792" w:name="_Toc44413308"/>
      <w:bookmarkStart w:id="793" w:name="_Toc44413787"/>
      <w:bookmarkStart w:id="794" w:name="_Toc44413309"/>
      <w:bookmarkStart w:id="795" w:name="_Toc44413788"/>
      <w:bookmarkStart w:id="796" w:name="_Toc44413310"/>
      <w:bookmarkStart w:id="797" w:name="_Toc44413789"/>
      <w:bookmarkStart w:id="798" w:name="_Toc44413311"/>
      <w:bookmarkStart w:id="799" w:name="_Toc44413790"/>
      <w:bookmarkStart w:id="800" w:name="_Toc44413312"/>
      <w:bookmarkStart w:id="801" w:name="_Toc44413791"/>
      <w:bookmarkStart w:id="802" w:name="_Toc44413313"/>
      <w:bookmarkStart w:id="803" w:name="_Toc44413792"/>
      <w:bookmarkStart w:id="804" w:name="_Toc44413314"/>
      <w:bookmarkStart w:id="805" w:name="_Toc44413793"/>
      <w:bookmarkStart w:id="806" w:name="_Toc44413315"/>
      <w:bookmarkStart w:id="807" w:name="_Toc44413794"/>
      <w:bookmarkStart w:id="808" w:name="_Toc44413316"/>
      <w:bookmarkStart w:id="809" w:name="_Toc44413795"/>
      <w:bookmarkStart w:id="810" w:name="_Toc44413317"/>
      <w:bookmarkStart w:id="811" w:name="_Toc44413796"/>
      <w:bookmarkStart w:id="812" w:name="_Toc44413318"/>
      <w:bookmarkStart w:id="813" w:name="_Toc44413797"/>
      <w:bookmarkStart w:id="814" w:name="_Toc44413319"/>
      <w:bookmarkStart w:id="815" w:name="_Toc44413798"/>
      <w:bookmarkStart w:id="816" w:name="_Toc44413320"/>
      <w:bookmarkStart w:id="817" w:name="_Toc44413799"/>
      <w:bookmarkStart w:id="818" w:name="_Toc44413321"/>
      <w:bookmarkStart w:id="819" w:name="_Toc44413800"/>
      <w:bookmarkStart w:id="820" w:name="_Toc44413322"/>
      <w:bookmarkStart w:id="821" w:name="_Toc44413801"/>
      <w:bookmarkStart w:id="822" w:name="_Toc44413323"/>
      <w:bookmarkStart w:id="823" w:name="_Toc44413802"/>
      <w:bookmarkStart w:id="824" w:name="_Toc44413324"/>
      <w:bookmarkStart w:id="825" w:name="_Toc44413803"/>
      <w:bookmarkStart w:id="826" w:name="_Toc44413325"/>
      <w:bookmarkStart w:id="827" w:name="_Toc44413804"/>
      <w:bookmarkStart w:id="828" w:name="_Toc44413326"/>
      <w:bookmarkStart w:id="829" w:name="_Toc44413805"/>
      <w:bookmarkStart w:id="830" w:name="_Toc44413327"/>
      <w:bookmarkStart w:id="831" w:name="_Toc44413806"/>
      <w:bookmarkStart w:id="832" w:name="_Toc44413328"/>
      <w:bookmarkStart w:id="833" w:name="_Toc44413807"/>
      <w:bookmarkStart w:id="834" w:name="_Toc44413329"/>
      <w:bookmarkStart w:id="835" w:name="_Toc44413808"/>
      <w:bookmarkStart w:id="836" w:name="_Toc44413330"/>
      <w:bookmarkStart w:id="837" w:name="_Toc44413809"/>
      <w:bookmarkStart w:id="838" w:name="_Toc44413331"/>
      <w:bookmarkStart w:id="839" w:name="_Toc44413810"/>
      <w:bookmarkStart w:id="840" w:name="_Toc44413332"/>
      <w:bookmarkStart w:id="841" w:name="_Toc44413811"/>
      <w:bookmarkStart w:id="842" w:name="_Toc44413333"/>
      <w:bookmarkStart w:id="843" w:name="_Toc44413812"/>
      <w:bookmarkStart w:id="844" w:name="_Toc44413334"/>
      <w:bookmarkStart w:id="845" w:name="_Toc44413813"/>
      <w:bookmarkStart w:id="846" w:name="_Toc44413335"/>
      <w:bookmarkStart w:id="847" w:name="_Toc44413814"/>
      <w:bookmarkStart w:id="848" w:name="_Toc44413336"/>
      <w:bookmarkStart w:id="849" w:name="_Toc44413815"/>
      <w:bookmarkStart w:id="850" w:name="_Toc44413361"/>
      <w:bookmarkStart w:id="851" w:name="_Toc44413840"/>
      <w:bookmarkStart w:id="852" w:name="_Toc44413362"/>
      <w:bookmarkStart w:id="853" w:name="_Toc44413841"/>
      <w:bookmarkStart w:id="854" w:name="_Toc44413363"/>
      <w:bookmarkStart w:id="855" w:name="_Toc44413842"/>
      <w:bookmarkStart w:id="856" w:name="_Toc44413364"/>
      <w:bookmarkStart w:id="857" w:name="_Toc44413843"/>
      <w:bookmarkStart w:id="858" w:name="_Toc44413365"/>
      <w:bookmarkStart w:id="859" w:name="_Toc44413844"/>
      <w:bookmarkStart w:id="860" w:name="_Toc44413366"/>
      <w:bookmarkStart w:id="861" w:name="_Toc44413845"/>
      <w:bookmarkStart w:id="862" w:name="_Toc44413367"/>
      <w:bookmarkStart w:id="863" w:name="_Toc44413846"/>
      <w:bookmarkStart w:id="864" w:name="_Toc44413368"/>
      <w:bookmarkStart w:id="865" w:name="_Toc44413847"/>
      <w:bookmarkStart w:id="866" w:name="_Toc44413369"/>
      <w:bookmarkStart w:id="867" w:name="_Toc44413848"/>
      <w:bookmarkStart w:id="868" w:name="_Toc44413370"/>
      <w:bookmarkStart w:id="869" w:name="_Toc44413849"/>
      <w:bookmarkStart w:id="870" w:name="_Toc44413371"/>
      <w:bookmarkStart w:id="871" w:name="_Toc44413850"/>
      <w:bookmarkStart w:id="872" w:name="_Toc44413372"/>
      <w:bookmarkStart w:id="873" w:name="_Toc44413851"/>
      <w:bookmarkStart w:id="874" w:name="_Toc44413373"/>
      <w:bookmarkStart w:id="875" w:name="_Toc44413852"/>
      <w:bookmarkStart w:id="876" w:name="_Toc44413374"/>
      <w:bookmarkStart w:id="877" w:name="_Toc44413853"/>
      <w:bookmarkStart w:id="878" w:name="_Toc44413375"/>
      <w:bookmarkStart w:id="879" w:name="_Toc44413854"/>
      <w:bookmarkStart w:id="880" w:name="_Toc44413376"/>
      <w:bookmarkStart w:id="881" w:name="_Toc44413855"/>
      <w:bookmarkStart w:id="882" w:name="_Toc44413377"/>
      <w:bookmarkStart w:id="883" w:name="_Toc44413856"/>
      <w:bookmarkStart w:id="884" w:name="_Toc44413378"/>
      <w:bookmarkStart w:id="885" w:name="_Toc44413857"/>
      <w:bookmarkStart w:id="886" w:name="_Toc44413379"/>
      <w:bookmarkStart w:id="887" w:name="_Toc44413858"/>
      <w:bookmarkStart w:id="888" w:name="_Toc44413380"/>
      <w:bookmarkStart w:id="889" w:name="_Toc44413859"/>
      <w:bookmarkStart w:id="890" w:name="_Toc44413381"/>
      <w:bookmarkStart w:id="891" w:name="_Toc44413860"/>
      <w:bookmarkStart w:id="892" w:name="_Toc44413382"/>
      <w:bookmarkStart w:id="893" w:name="_Toc44413861"/>
      <w:bookmarkStart w:id="894" w:name="_Toc44413383"/>
      <w:bookmarkStart w:id="895" w:name="_Toc44413862"/>
      <w:bookmarkStart w:id="896" w:name="_Toc44413384"/>
      <w:bookmarkStart w:id="897" w:name="_Toc44413863"/>
      <w:bookmarkStart w:id="898" w:name="_Toc44413385"/>
      <w:bookmarkStart w:id="899" w:name="_Toc44413864"/>
      <w:bookmarkStart w:id="900" w:name="_Toc44413386"/>
      <w:bookmarkStart w:id="901" w:name="_Toc44413865"/>
      <w:bookmarkStart w:id="902" w:name="_Toc44413387"/>
      <w:bookmarkStart w:id="903" w:name="_Toc44413866"/>
      <w:bookmarkStart w:id="904" w:name="_Toc44413388"/>
      <w:bookmarkStart w:id="905" w:name="_Toc44413867"/>
      <w:bookmarkStart w:id="906" w:name="_Toc44413389"/>
      <w:bookmarkStart w:id="907" w:name="_Toc44413868"/>
      <w:bookmarkStart w:id="908" w:name="_Toc44413390"/>
      <w:bookmarkStart w:id="909" w:name="_Toc44413869"/>
      <w:bookmarkStart w:id="910" w:name="_Toc44413391"/>
      <w:bookmarkStart w:id="911" w:name="_Toc44413870"/>
      <w:bookmarkStart w:id="912" w:name="_Toc44413392"/>
      <w:bookmarkStart w:id="913" w:name="_Toc44413871"/>
      <w:bookmarkStart w:id="914" w:name="_Toc44413393"/>
      <w:bookmarkStart w:id="915" w:name="_Toc44413872"/>
      <w:bookmarkStart w:id="916" w:name="_Toc44413394"/>
      <w:bookmarkStart w:id="917" w:name="_Toc44413873"/>
      <w:bookmarkStart w:id="918" w:name="_Toc44413395"/>
      <w:bookmarkStart w:id="919" w:name="_Toc44413874"/>
      <w:bookmarkStart w:id="920" w:name="_Toc44413396"/>
      <w:bookmarkStart w:id="921" w:name="_Toc44413875"/>
      <w:bookmarkStart w:id="922" w:name="_Toc44413397"/>
      <w:bookmarkStart w:id="923" w:name="_Toc44413876"/>
      <w:bookmarkStart w:id="924" w:name="_Toc44413446"/>
      <w:bookmarkStart w:id="925" w:name="_Toc44413925"/>
      <w:bookmarkStart w:id="926" w:name="_Toc44413447"/>
      <w:bookmarkStart w:id="927" w:name="_Toc44413926"/>
      <w:bookmarkStart w:id="928" w:name="_Toc44413448"/>
      <w:bookmarkStart w:id="929" w:name="_Toc44413927"/>
      <w:bookmarkStart w:id="930" w:name="_Toc44413449"/>
      <w:bookmarkStart w:id="931" w:name="_Toc44413928"/>
      <w:bookmarkStart w:id="932" w:name="_Toc44413480"/>
      <w:bookmarkStart w:id="933" w:name="_Toc44413959"/>
      <w:bookmarkStart w:id="934" w:name="_Toc44413481"/>
      <w:bookmarkStart w:id="935" w:name="_Toc44413960"/>
      <w:bookmarkStart w:id="936" w:name="_Toc44413482"/>
      <w:bookmarkStart w:id="937" w:name="_Toc44413961"/>
      <w:bookmarkStart w:id="938" w:name="_Toc44413483"/>
      <w:bookmarkStart w:id="939" w:name="_Toc44413962"/>
      <w:bookmarkStart w:id="940" w:name="_Toc44413484"/>
      <w:bookmarkStart w:id="941" w:name="_Toc44413963"/>
      <w:bookmarkStart w:id="942" w:name="_Toc44413485"/>
      <w:bookmarkStart w:id="943" w:name="_Toc44413964"/>
      <w:bookmarkStart w:id="944" w:name="_Toc44413486"/>
      <w:bookmarkStart w:id="945" w:name="_Toc44413965"/>
      <w:bookmarkStart w:id="946" w:name="_Toc44413487"/>
      <w:bookmarkStart w:id="947" w:name="_Toc44413966"/>
      <w:bookmarkStart w:id="948" w:name="_Toc44413488"/>
      <w:bookmarkStart w:id="949" w:name="_Toc44413967"/>
      <w:bookmarkStart w:id="950" w:name="_Toc44413489"/>
      <w:bookmarkStart w:id="951" w:name="_Toc44413968"/>
      <w:bookmarkStart w:id="952" w:name="_Toc44413490"/>
      <w:bookmarkStart w:id="953" w:name="_Toc44413969"/>
      <w:bookmarkStart w:id="954" w:name="_Toc44413513"/>
      <w:bookmarkStart w:id="955" w:name="_Toc44413992"/>
      <w:bookmarkStart w:id="956" w:name="_Toc44413514"/>
      <w:bookmarkStart w:id="957" w:name="_Toc44413993"/>
      <w:bookmarkStart w:id="958" w:name="_Toc44413515"/>
      <w:bookmarkStart w:id="959" w:name="_Toc44413994"/>
      <w:bookmarkStart w:id="960" w:name="_Toc44413516"/>
      <w:bookmarkStart w:id="961" w:name="_Toc44413995"/>
      <w:bookmarkStart w:id="962" w:name="_Toc44413517"/>
      <w:bookmarkStart w:id="963" w:name="_Toc44413996"/>
      <w:bookmarkStart w:id="964" w:name="_Toc44413528"/>
      <w:bookmarkStart w:id="965" w:name="_Toc44414007"/>
      <w:bookmarkStart w:id="966" w:name="_Toc44413529"/>
      <w:bookmarkStart w:id="967" w:name="_Toc44414008"/>
      <w:bookmarkStart w:id="968" w:name="_Toc44413530"/>
      <w:bookmarkStart w:id="969" w:name="_Toc44414009"/>
      <w:bookmarkStart w:id="970" w:name="_Toc44413541"/>
      <w:bookmarkStart w:id="971" w:name="_Toc44414020"/>
      <w:bookmarkStart w:id="972" w:name="_Toc44413542"/>
      <w:bookmarkStart w:id="973" w:name="_Toc44414021"/>
      <w:bookmarkStart w:id="974" w:name="_Toc44413543"/>
      <w:bookmarkStart w:id="975" w:name="_Toc44414022"/>
      <w:bookmarkStart w:id="976" w:name="_Toc44413544"/>
      <w:bookmarkStart w:id="977" w:name="_Toc44414023"/>
      <w:bookmarkStart w:id="978" w:name="_Toc44413545"/>
      <w:bookmarkStart w:id="979" w:name="_Toc44414024"/>
      <w:bookmarkStart w:id="980" w:name="_Toc44413546"/>
      <w:bookmarkStart w:id="981" w:name="_Toc44414025"/>
      <w:bookmarkStart w:id="982" w:name="_Toc44413547"/>
      <w:bookmarkStart w:id="983" w:name="_Toc44414026"/>
      <w:bookmarkStart w:id="984" w:name="_Toc44413548"/>
      <w:bookmarkStart w:id="985" w:name="_Toc44414027"/>
      <w:bookmarkStart w:id="986" w:name="_Toc44413549"/>
      <w:bookmarkStart w:id="987" w:name="_Toc44414028"/>
      <w:bookmarkStart w:id="988" w:name="_Toc44413550"/>
      <w:bookmarkStart w:id="989" w:name="_Toc44414029"/>
      <w:bookmarkStart w:id="990" w:name="_Toc44413551"/>
      <w:bookmarkStart w:id="991" w:name="_Toc44414030"/>
      <w:bookmarkStart w:id="992" w:name="_Toc44413552"/>
      <w:bookmarkStart w:id="993" w:name="_Toc44414031"/>
      <w:bookmarkStart w:id="994" w:name="_Toc44413553"/>
      <w:bookmarkStart w:id="995" w:name="_Toc44414032"/>
      <w:bookmarkStart w:id="996" w:name="_Toc44413554"/>
      <w:bookmarkStart w:id="997" w:name="_Toc44414033"/>
      <w:bookmarkStart w:id="998" w:name="_Toc44413555"/>
      <w:bookmarkStart w:id="999" w:name="_Toc44414034"/>
      <w:bookmarkStart w:id="1000" w:name="_Toc44413556"/>
      <w:bookmarkStart w:id="1001" w:name="_Toc44414035"/>
      <w:bookmarkStart w:id="1002" w:name="_Toc44413557"/>
      <w:bookmarkStart w:id="1003" w:name="_Toc44414036"/>
      <w:bookmarkStart w:id="1004" w:name="_Toc44413558"/>
      <w:bookmarkStart w:id="1005" w:name="_Toc44414037"/>
      <w:bookmarkStart w:id="1006" w:name="_Toc44413559"/>
      <w:bookmarkStart w:id="1007" w:name="_Toc44414038"/>
      <w:bookmarkStart w:id="1008" w:name="_Toc44413560"/>
      <w:bookmarkStart w:id="1009" w:name="_Toc44414039"/>
      <w:bookmarkStart w:id="1010" w:name="_Toc44413561"/>
      <w:bookmarkStart w:id="1011" w:name="_Toc44414040"/>
      <w:bookmarkStart w:id="1012" w:name="_Toc44413562"/>
      <w:bookmarkStart w:id="1013" w:name="_Toc44414041"/>
      <w:bookmarkStart w:id="1014" w:name="_Toc44413563"/>
      <w:bookmarkStart w:id="1015" w:name="_Toc44414042"/>
      <w:bookmarkStart w:id="1016" w:name="_Toc44413564"/>
      <w:bookmarkStart w:id="1017" w:name="_Toc44414043"/>
      <w:bookmarkStart w:id="1018" w:name="_Toc44413565"/>
      <w:bookmarkStart w:id="1019" w:name="_Toc44414044"/>
      <w:bookmarkStart w:id="1020" w:name="_Toc44413566"/>
      <w:bookmarkStart w:id="1021" w:name="_Toc44414045"/>
      <w:bookmarkStart w:id="1022" w:name="_Toc44413567"/>
      <w:bookmarkStart w:id="1023" w:name="_Toc44414046"/>
      <w:bookmarkStart w:id="1024" w:name="_Toc44413568"/>
      <w:bookmarkStart w:id="1025" w:name="_Toc44414047"/>
      <w:bookmarkStart w:id="1026" w:name="_Toc44413569"/>
      <w:bookmarkStart w:id="1027" w:name="_Toc44414048"/>
      <w:bookmarkStart w:id="1028" w:name="_Toc44413570"/>
      <w:bookmarkStart w:id="1029" w:name="_Toc44414049"/>
      <w:bookmarkStart w:id="1030" w:name="_Toc44413571"/>
      <w:bookmarkStart w:id="1031" w:name="_Toc44414050"/>
      <w:bookmarkStart w:id="1032" w:name="_Toc44413572"/>
      <w:bookmarkStart w:id="1033" w:name="_Toc44414051"/>
      <w:bookmarkStart w:id="1034" w:name="_Toc44413573"/>
      <w:bookmarkStart w:id="1035" w:name="_Toc44414052"/>
      <w:bookmarkStart w:id="1036" w:name="_Toc44413574"/>
      <w:bookmarkStart w:id="1037" w:name="_Toc44414053"/>
      <w:bookmarkStart w:id="1038" w:name="_Toc44413575"/>
      <w:bookmarkStart w:id="1039" w:name="_Toc44414054"/>
      <w:bookmarkStart w:id="1040" w:name="_Toc44413576"/>
      <w:bookmarkStart w:id="1041" w:name="_Toc44414055"/>
      <w:bookmarkStart w:id="1042" w:name="_Toc44413577"/>
      <w:bookmarkStart w:id="1043" w:name="_Toc44414056"/>
      <w:bookmarkStart w:id="1044" w:name="_Toc44413578"/>
      <w:bookmarkStart w:id="1045" w:name="_Toc44414057"/>
      <w:bookmarkStart w:id="1046" w:name="_Toc44413579"/>
      <w:bookmarkStart w:id="1047" w:name="_Toc44414058"/>
      <w:bookmarkStart w:id="1048" w:name="_Toc44413580"/>
      <w:bookmarkStart w:id="1049" w:name="_Toc44414059"/>
      <w:bookmarkStart w:id="1050" w:name="_Toc44413581"/>
      <w:bookmarkStart w:id="1051" w:name="_Toc44414060"/>
      <w:bookmarkStart w:id="1052" w:name="_Toc44413582"/>
      <w:bookmarkStart w:id="1053" w:name="_Toc44414061"/>
      <w:bookmarkStart w:id="1054" w:name="_Toc44413583"/>
      <w:bookmarkStart w:id="1055" w:name="_Toc44414062"/>
      <w:bookmarkStart w:id="1056" w:name="_Toc44413584"/>
      <w:bookmarkStart w:id="1057" w:name="_Toc44414063"/>
      <w:bookmarkStart w:id="1058" w:name="_Toc44413585"/>
      <w:bookmarkStart w:id="1059" w:name="_Toc44414064"/>
      <w:bookmarkStart w:id="1060" w:name="_Toc44413586"/>
      <w:bookmarkStart w:id="1061" w:name="_Toc44414065"/>
      <w:bookmarkStart w:id="1062" w:name="_Toc44413587"/>
      <w:bookmarkStart w:id="1063" w:name="_Toc44414066"/>
      <w:bookmarkStart w:id="1064" w:name="_Toc44413588"/>
      <w:bookmarkStart w:id="1065" w:name="_Toc44414067"/>
      <w:bookmarkStart w:id="1066" w:name="_Toc44413589"/>
      <w:bookmarkStart w:id="1067" w:name="_Toc44414068"/>
      <w:bookmarkStart w:id="1068" w:name="_Toc44413590"/>
      <w:bookmarkStart w:id="1069" w:name="_Toc44414069"/>
      <w:bookmarkStart w:id="1070" w:name="_Toc44413591"/>
      <w:bookmarkStart w:id="1071" w:name="_Toc44414070"/>
      <w:bookmarkStart w:id="1072" w:name="_Toc44413592"/>
      <w:bookmarkStart w:id="1073" w:name="_Toc44414071"/>
      <w:bookmarkStart w:id="1074" w:name="_Toc44413593"/>
      <w:bookmarkStart w:id="1075" w:name="_Toc44414072"/>
      <w:bookmarkStart w:id="1076" w:name="_Toc44413602"/>
      <w:bookmarkStart w:id="1077" w:name="_Toc44414081"/>
      <w:bookmarkStart w:id="1078" w:name="_Toc44413606"/>
      <w:bookmarkStart w:id="1079" w:name="_Toc44414085"/>
      <w:bookmarkStart w:id="1080" w:name="_Toc44413614"/>
      <w:bookmarkStart w:id="1081" w:name="_Toc44414093"/>
      <w:bookmarkStart w:id="1082" w:name="_Toc44413618"/>
      <w:bookmarkStart w:id="1083" w:name="_Toc44414097"/>
      <w:bookmarkStart w:id="1084" w:name="_Toc44413622"/>
      <w:bookmarkStart w:id="1085" w:name="_Toc44414101"/>
      <w:bookmarkStart w:id="1086" w:name="_Toc44413623"/>
      <w:bookmarkStart w:id="1087" w:name="_Toc44414102"/>
      <w:bookmarkStart w:id="1088" w:name="_Toc44413624"/>
      <w:bookmarkStart w:id="1089" w:name="_Toc44414103"/>
      <w:bookmarkStart w:id="1090" w:name="_Toc44413625"/>
      <w:bookmarkStart w:id="1091" w:name="_Toc44414104"/>
      <w:bookmarkStart w:id="1092" w:name="_Toc44413626"/>
      <w:bookmarkStart w:id="1093" w:name="_Toc44414105"/>
      <w:bookmarkStart w:id="1094" w:name="_Toc44413634"/>
      <w:bookmarkStart w:id="1095" w:name="_Toc44414113"/>
      <w:bookmarkStart w:id="1096" w:name="_Toc44413635"/>
      <w:bookmarkStart w:id="1097" w:name="_Toc44414114"/>
      <w:bookmarkStart w:id="1098" w:name="_Toc44413636"/>
      <w:bookmarkStart w:id="1099" w:name="_Toc44414115"/>
      <w:bookmarkStart w:id="1100" w:name="_Toc44413637"/>
      <w:bookmarkStart w:id="1101" w:name="_Toc44414116"/>
      <w:bookmarkStart w:id="1102" w:name="_Toc44413638"/>
      <w:bookmarkStart w:id="1103" w:name="_Toc44414117"/>
      <w:bookmarkStart w:id="1104" w:name="_Toc44413639"/>
      <w:bookmarkStart w:id="1105" w:name="_Toc44414118"/>
      <w:bookmarkStart w:id="1106" w:name="_Toc44413640"/>
      <w:bookmarkStart w:id="1107" w:name="_Toc44414119"/>
      <w:bookmarkStart w:id="1108" w:name="_Toc44413641"/>
      <w:bookmarkStart w:id="1109" w:name="_Toc44414120"/>
      <w:bookmarkStart w:id="1110" w:name="_Toc44413642"/>
      <w:bookmarkStart w:id="1111" w:name="_Toc44414121"/>
      <w:bookmarkStart w:id="1112" w:name="_Toc44413643"/>
      <w:bookmarkStart w:id="1113" w:name="_Toc44414122"/>
      <w:bookmarkStart w:id="1114" w:name="_Toc44413644"/>
      <w:bookmarkStart w:id="1115" w:name="_Toc44414123"/>
      <w:bookmarkStart w:id="1116" w:name="_Toc44413645"/>
      <w:bookmarkStart w:id="1117" w:name="_Toc44414124"/>
      <w:bookmarkStart w:id="1118" w:name="_Toc44413646"/>
      <w:bookmarkStart w:id="1119" w:name="_Toc44414125"/>
      <w:bookmarkStart w:id="1120" w:name="_Toc44413647"/>
      <w:bookmarkStart w:id="1121" w:name="_Toc44414126"/>
      <w:bookmarkStart w:id="1122" w:name="_Toc44413648"/>
      <w:bookmarkStart w:id="1123" w:name="_Toc44414127"/>
      <w:bookmarkStart w:id="1124" w:name="_Toc44413649"/>
      <w:bookmarkStart w:id="1125" w:name="_Toc44414128"/>
      <w:bookmarkStart w:id="1126" w:name="_Toc44413650"/>
      <w:bookmarkStart w:id="1127" w:name="_Toc44414129"/>
      <w:bookmarkStart w:id="1128" w:name="_Toc44413651"/>
      <w:bookmarkStart w:id="1129" w:name="_Toc44414130"/>
      <w:bookmarkStart w:id="1130" w:name="_Toc44413652"/>
      <w:bookmarkStart w:id="1131" w:name="_Toc44414131"/>
      <w:bookmarkStart w:id="1132" w:name="_Toc44413653"/>
      <w:bookmarkStart w:id="1133" w:name="_Toc44414132"/>
      <w:bookmarkStart w:id="1134" w:name="_Toc44413654"/>
      <w:bookmarkStart w:id="1135" w:name="_Toc44414133"/>
      <w:bookmarkStart w:id="1136" w:name="_Toc44413655"/>
      <w:bookmarkStart w:id="1137" w:name="_Toc44414134"/>
      <w:bookmarkStart w:id="1138" w:name="_Toc44413656"/>
      <w:bookmarkStart w:id="1139" w:name="_Toc44414135"/>
      <w:bookmarkStart w:id="1140" w:name="_Toc44413657"/>
      <w:bookmarkStart w:id="1141" w:name="_Toc44414136"/>
      <w:bookmarkStart w:id="1142" w:name="_Toc44413658"/>
      <w:bookmarkStart w:id="1143" w:name="_Toc44414137"/>
      <w:bookmarkStart w:id="1144" w:name="_Toc44413659"/>
      <w:bookmarkStart w:id="1145" w:name="_Toc44414138"/>
      <w:bookmarkStart w:id="1146" w:name="_Toc44413660"/>
      <w:bookmarkStart w:id="1147" w:name="_Toc44414139"/>
      <w:bookmarkStart w:id="1148" w:name="_Toc26273108"/>
      <w:bookmarkStart w:id="1149" w:name="_Toc26273209"/>
      <w:bookmarkStart w:id="1150" w:name="_Toc26273630"/>
      <w:bookmarkStart w:id="1151" w:name="_Toc26275676"/>
      <w:bookmarkStart w:id="1152" w:name="_Toc26279032"/>
      <w:bookmarkStart w:id="1153" w:name="_Toc26280508"/>
      <w:bookmarkStart w:id="1154" w:name="_Toc26281179"/>
      <w:bookmarkStart w:id="1155" w:name="_Toc26283759"/>
      <w:bookmarkStart w:id="1156" w:name="_Toc26284505"/>
      <w:bookmarkStart w:id="1157" w:name="_Toc26286260"/>
      <w:bookmarkStart w:id="1158" w:name="_Toc26273109"/>
      <w:bookmarkStart w:id="1159" w:name="_Toc26273210"/>
      <w:bookmarkStart w:id="1160" w:name="_Toc26273631"/>
      <w:bookmarkStart w:id="1161" w:name="_Toc26275677"/>
      <w:bookmarkStart w:id="1162" w:name="_Toc26279033"/>
      <w:bookmarkStart w:id="1163" w:name="_Toc26280509"/>
      <w:bookmarkStart w:id="1164" w:name="_Toc26281180"/>
      <w:bookmarkStart w:id="1165" w:name="_Toc26283760"/>
      <w:bookmarkStart w:id="1166" w:name="_Toc26284506"/>
      <w:bookmarkStart w:id="1167" w:name="_Toc26286261"/>
      <w:bookmarkStart w:id="1168" w:name="_Toc26273110"/>
      <w:bookmarkStart w:id="1169" w:name="_Toc26273211"/>
      <w:bookmarkStart w:id="1170" w:name="_Toc26273632"/>
      <w:bookmarkStart w:id="1171" w:name="_Toc26275678"/>
      <w:bookmarkStart w:id="1172" w:name="_Toc26279034"/>
      <w:bookmarkStart w:id="1173" w:name="_Toc26280510"/>
      <w:bookmarkStart w:id="1174" w:name="_Toc26281181"/>
      <w:bookmarkStart w:id="1175" w:name="_Toc26283761"/>
      <w:bookmarkStart w:id="1176" w:name="_Toc26284507"/>
      <w:bookmarkStart w:id="1177" w:name="_Toc26286262"/>
      <w:bookmarkStart w:id="1178" w:name="_Toc26273111"/>
      <w:bookmarkStart w:id="1179" w:name="_Toc26273212"/>
      <w:bookmarkStart w:id="1180" w:name="_Toc26273633"/>
      <w:bookmarkStart w:id="1181" w:name="_Toc26275679"/>
      <w:bookmarkStart w:id="1182" w:name="_Toc26279035"/>
      <w:bookmarkStart w:id="1183" w:name="_Toc26280511"/>
      <w:bookmarkStart w:id="1184" w:name="_Toc26281182"/>
      <w:bookmarkStart w:id="1185" w:name="_Toc26283762"/>
      <w:bookmarkStart w:id="1186" w:name="_Toc26284508"/>
      <w:bookmarkStart w:id="1187" w:name="_Toc26286263"/>
      <w:bookmarkStart w:id="1188" w:name="_Toc26273112"/>
      <w:bookmarkStart w:id="1189" w:name="_Toc26273213"/>
      <w:bookmarkStart w:id="1190" w:name="_Toc26273634"/>
      <w:bookmarkStart w:id="1191" w:name="_Toc26275680"/>
      <w:bookmarkStart w:id="1192" w:name="_Toc26279036"/>
      <w:bookmarkStart w:id="1193" w:name="_Toc26280512"/>
      <w:bookmarkStart w:id="1194" w:name="_Toc26281183"/>
      <w:bookmarkStart w:id="1195" w:name="_Toc26283763"/>
      <w:bookmarkStart w:id="1196" w:name="_Toc26284509"/>
      <w:bookmarkStart w:id="1197" w:name="_Toc26286264"/>
      <w:bookmarkStart w:id="1198" w:name="_Toc26273113"/>
      <w:bookmarkStart w:id="1199" w:name="_Toc26273214"/>
      <w:bookmarkStart w:id="1200" w:name="_Toc26273635"/>
      <w:bookmarkStart w:id="1201" w:name="_Toc26275681"/>
      <w:bookmarkStart w:id="1202" w:name="_Toc26279037"/>
      <w:bookmarkStart w:id="1203" w:name="_Toc26280513"/>
      <w:bookmarkStart w:id="1204" w:name="_Toc26281184"/>
      <w:bookmarkStart w:id="1205" w:name="_Toc26283764"/>
      <w:bookmarkStart w:id="1206" w:name="_Toc26284510"/>
      <w:bookmarkStart w:id="1207" w:name="_Toc26286265"/>
      <w:bookmarkStart w:id="1208" w:name="_Toc26273114"/>
      <w:bookmarkStart w:id="1209" w:name="_Toc26273215"/>
      <w:bookmarkStart w:id="1210" w:name="_Toc26273636"/>
      <w:bookmarkStart w:id="1211" w:name="_Toc26275682"/>
      <w:bookmarkStart w:id="1212" w:name="_Toc26279038"/>
      <w:bookmarkStart w:id="1213" w:name="_Toc26280514"/>
      <w:bookmarkStart w:id="1214" w:name="_Toc26281185"/>
      <w:bookmarkStart w:id="1215" w:name="_Toc26283765"/>
      <w:bookmarkStart w:id="1216" w:name="_Toc26284511"/>
      <w:bookmarkStart w:id="1217" w:name="_Toc26286266"/>
      <w:bookmarkStart w:id="1218" w:name="_Toc26273120"/>
      <w:bookmarkStart w:id="1219" w:name="_Toc26273221"/>
      <w:bookmarkStart w:id="1220" w:name="_Toc26273642"/>
      <w:bookmarkStart w:id="1221" w:name="_Toc26275688"/>
      <w:bookmarkStart w:id="1222" w:name="_Toc26279044"/>
      <w:bookmarkStart w:id="1223" w:name="_Toc26283771"/>
      <w:bookmarkStart w:id="1224" w:name="_Toc26284517"/>
      <w:bookmarkStart w:id="1225" w:name="_Toc26286272"/>
      <w:bookmarkStart w:id="1226" w:name="_Toc436840952"/>
      <w:bookmarkStart w:id="1227" w:name="_Toc436846389"/>
      <w:bookmarkStart w:id="1228" w:name="_Toc436848339"/>
      <w:bookmarkStart w:id="1229" w:name="_Toc436856587"/>
      <w:bookmarkStart w:id="1230" w:name="_Toc436862733"/>
      <w:bookmarkStart w:id="1231" w:name="_Toc436866383"/>
      <w:bookmarkStart w:id="1232" w:name="_Toc436870962"/>
      <w:bookmarkStart w:id="1233" w:name="_Toc436875954"/>
      <w:bookmarkStart w:id="1234" w:name="_Toc467248767"/>
      <w:bookmarkStart w:id="1235" w:name="_Toc525904653"/>
      <w:bookmarkStart w:id="1236" w:name="_Toc525914049"/>
      <w:bookmarkStart w:id="1237" w:name="_Toc525919288"/>
      <w:bookmarkStart w:id="1238" w:name="_Toc525919412"/>
      <w:bookmarkStart w:id="1239" w:name="_Toc2957222"/>
      <w:bookmarkStart w:id="1240" w:name="_Toc26273132"/>
      <w:bookmarkStart w:id="1241" w:name="_Toc26284529"/>
      <w:bookmarkStart w:id="1242" w:name="_Toc54106592"/>
      <w:bookmarkEnd w:id="80"/>
      <w:bookmarkEnd w:id="619"/>
      <w:bookmarkEnd w:id="620"/>
      <w:bookmarkEnd w:id="621"/>
      <w:bookmarkEnd w:id="622"/>
      <w:bookmarkEnd w:id="623"/>
      <w:bookmarkEnd w:id="624"/>
      <w:bookmarkEnd w:id="625"/>
      <w:bookmarkEnd w:id="626"/>
      <w:bookmarkEnd w:id="627"/>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r w:rsidRPr="003C1826" w:rsidDel="00875E33">
        <w:t>Trabajos</w:t>
      </w:r>
      <w:r w:rsidRPr="00BA1D95" w:rsidDel="00875E33">
        <w:t xml:space="preserve"> Especiales</w:t>
      </w:r>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p>
    <w:p w:rsidR="006B0A91" w:rsidRPr="00BA1D95" w:rsidRDefault="006B0A91" w:rsidP="00070274">
      <w:pPr>
        <w:autoSpaceDE w:val="0"/>
        <w:autoSpaceDN w:val="0"/>
        <w:adjustRightInd w:val="0"/>
        <w:spacing w:after="200" w:line="276" w:lineRule="auto"/>
        <w:jc w:val="both"/>
        <w:rPr>
          <w:rFonts w:ascii="ITC Avant Garde" w:hAnsi="ITC Avant Garde" w:cs="Arial"/>
        </w:rPr>
      </w:pPr>
      <w:r w:rsidRPr="00BA1D95">
        <w:rPr>
          <w:rFonts w:ascii="ITC Avant Garde" w:hAnsi="ITC Avant Garde" w:cs="Arial"/>
        </w:rPr>
        <w:t xml:space="preserve">En caso de que </w:t>
      </w:r>
      <w:r w:rsidR="00E83F21">
        <w:rPr>
          <w:rFonts w:ascii="ITC Avant Garde" w:hAnsi="ITC Avant Garde" w:cs="Arial"/>
        </w:rPr>
        <w:t>Telmex / Telnor</w:t>
      </w:r>
      <w:r w:rsidR="00664AC4">
        <w:rPr>
          <w:rFonts w:ascii="ITC Avant Garde" w:hAnsi="ITC Avant Garde" w:cs="Arial"/>
        </w:rPr>
        <w:t xml:space="preserve"> </w:t>
      </w:r>
      <w:r w:rsidRPr="00BA1D95">
        <w:rPr>
          <w:rFonts w:ascii="ITC Avant Garde" w:hAnsi="ITC Avant Garde" w:cs="Arial"/>
        </w:rPr>
        <w:t xml:space="preserve">no pueda proporcionar </w:t>
      </w:r>
      <w:r w:rsidR="00E10C43" w:rsidRPr="00BA1D95">
        <w:rPr>
          <w:rFonts w:ascii="ITC Avant Garde" w:hAnsi="ITC Avant Garde" w:cs="Arial"/>
        </w:rPr>
        <w:t xml:space="preserve">el servicio de </w:t>
      </w:r>
      <w:r w:rsidR="002E387C">
        <w:rPr>
          <w:rFonts w:ascii="ITC Avant Garde" w:hAnsi="ITC Avant Garde" w:cs="Arial"/>
        </w:rPr>
        <w:t xml:space="preserve">Desagregación </w:t>
      </w:r>
      <w:r w:rsidRPr="00BA1D95">
        <w:rPr>
          <w:rFonts w:ascii="ITC Avant Garde" w:hAnsi="ITC Avant Garde" w:cs="Arial"/>
        </w:rPr>
        <w:t xml:space="preserve">bajo las condiciones descritas en la sección </w:t>
      </w:r>
      <w:r w:rsidR="00DC0363">
        <w:rPr>
          <w:rFonts w:ascii="ITC Avant Garde" w:hAnsi="ITC Avant Garde" w:cs="Arial"/>
        </w:rPr>
        <w:t>“Disponibilidad de recursos”</w:t>
      </w:r>
      <w:r w:rsidRPr="00BA1D95">
        <w:rPr>
          <w:rFonts w:ascii="ITC Avant Garde" w:hAnsi="ITC Avant Garde" w:cs="Arial"/>
        </w:rPr>
        <w:t xml:space="preserve"> de esta OREDA, el CS podrá solicitar a través del </w:t>
      </w:r>
      <w:r w:rsidR="006B5A23">
        <w:rPr>
          <w:rFonts w:ascii="ITC Avant Garde" w:hAnsi="ITC Avant Garde" w:cs="Arial"/>
        </w:rPr>
        <w:t>SEG</w:t>
      </w:r>
      <w:r w:rsidRPr="00BA1D95">
        <w:rPr>
          <w:rFonts w:ascii="ITC Avant Garde" w:hAnsi="ITC Avant Garde" w:cs="Arial"/>
        </w:rPr>
        <w:t xml:space="preserve"> la ejecución de Trabajos Especiales, los cuales le permitirán acceder al</w:t>
      </w:r>
      <w:r w:rsidR="00E10C43" w:rsidRPr="00BA1D95">
        <w:rPr>
          <w:rFonts w:ascii="ITC Avant Garde" w:hAnsi="ITC Avant Garde" w:cs="Arial"/>
        </w:rPr>
        <w:t xml:space="preserve"> </w:t>
      </w:r>
      <w:r w:rsidRPr="00BA1D95">
        <w:rPr>
          <w:rFonts w:ascii="ITC Avant Garde" w:hAnsi="ITC Avant Garde" w:cs="Arial"/>
        </w:rPr>
        <w:t>servicio solicitado.</w:t>
      </w:r>
    </w:p>
    <w:p w:rsidR="00A47F9A" w:rsidRPr="00BA1D95" w:rsidRDefault="00A47F9A" w:rsidP="00070274">
      <w:pPr>
        <w:autoSpaceDE w:val="0"/>
        <w:autoSpaceDN w:val="0"/>
        <w:adjustRightInd w:val="0"/>
        <w:spacing w:after="200" w:line="276" w:lineRule="auto"/>
        <w:jc w:val="both"/>
        <w:rPr>
          <w:rFonts w:ascii="ITC Avant Garde" w:hAnsi="ITC Avant Garde" w:cs="Arial"/>
        </w:rPr>
      </w:pPr>
      <w:r w:rsidRPr="00BA1D95" w:rsidDel="00875E33">
        <w:rPr>
          <w:rFonts w:ascii="ITC Avant Garde" w:hAnsi="ITC Avant Garde" w:cs="Arial"/>
        </w:rPr>
        <w:t xml:space="preserve">Los tiempos incurridos en la realización de los Trabajos Especiales, incluyendo los plazos de presentación y aceptación entre las partes, no serán considerados como parte de los tiempos de habilitación de los servicios. Es </w:t>
      </w:r>
      <w:r w:rsidR="006A7865" w:rsidRPr="00BA1D95" w:rsidDel="00875E33">
        <w:rPr>
          <w:rFonts w:ascii="ITC Avant Garde" w:hAnsi="ITC Avant Garde" w:cs="Arial"/>
        </w:rPr>
        <w:t>decir,</w:t>
      </w:r>
      <w:r w:rsidRPr="00BA1D95" w:rsidDel="00875E33">
        <w:rPr>
          <w:rFonts w:ascii="ITC Avant Garde" w:hAnsi="ITC Avant Garde" w:cs="Arial"/>
        </w:rPr>
        <w:t xml:space="preserve"> la contabilización de días para la contratación y habilitación de estos </w:t>
      </w:r>
      <w:r w:rsidR="005F5ACB" w:rsidRPr="00BA1D95" w:rsidDel="00875E33">
        <w:rPr>
          <w:rFonts w:ascii="ITC Avant Garde" w:hAnsi="ITC Avant Garde" w:cs="Arial"/>
        </w:rPr>
        <w:t>servicios</w:t>
      </w:r>
      <w:r w:rsidRPr="00BA1D95" w:rsidDel="00875E33">
        <w:rPr>
          <w:rFonts w:ascii="ITC Avant Garde" w:hAnsi="ITC Avant Garde" w:cs="Arial"/>
        </w:rPr>
        <w:t xml:space="preserve"> se detendrá a partir de la notificación de no factibilidad, y será reanudada cuando el CS valide la entrega del Trabajo Especial.</w:t>
      </w:r>
    </w:p>
    <w:p w:rsidR="00951552" w:rsidRPr="00BA1D95" w:rsidDel="00875E33" w:rsidRDefault="00951552" w:rsidP="00070274">
      <w:pPr>
        <w:autoSpaceDE w:val="0"/>
        <w:autoSpaceDN w:val="0"/>
        <w:adjustRightInd w:val="0"/>
        <w:spacing w:after="200" w:line="276" w:lineRule="auto"/>
        <w:jc w:val="both"/>
        <w:rPr>
          <w:rFonts w:ascii="ITC Avant Garde" w:hAnsi="ITC Avant Garde" w:cs="Arial"/>
        </w:rPr>
      </w:pPr>
      <w:r w:rsidRPr="000F38A0">
        <w:rPr>
          <w:rFonts w:ascii="ITC Avant Garde" w:hAnsi="ITC Avant Garde" w:cs="Arial"/>
        </w:rPr>
        <w:t xml:space="preserve">Los servicios que pueden solicitar </w:t>
      </w:r>
      <w:r w:rsidR="004211FC">
        <w:rPr>
          <w:rFonts w:ascii="ITC Avant Garde" w:hAnsi="ITC Avant Garde" w:cs="Arial"/>
        </w:rPr>
        <w:t xml:space="preserve">o requerir </w:t>
      </w:r>
      <w:r w:rsidRPr="000F38A0">
        <w:rPr>
          <w:rFonts w:ascii="ITC Avant Garde" w:hAnsi="ITC Avant Garde" w:cs="Arial"/>
        </w:rPr>
        <w:t xml:space="preserve">la contratación de Trabajos Especiales son aquellos en cuyo procedimiento se establece que, en caso de no existir factibilidad técnica para proporcionar el servicio, a petición de los CS, podría iniciarse el </w:t>
      </w:r>
      <w:r w:rsidR="004211FC" w:rsidRPr="000F38A0">
        <w:rPr>
          <w:rFonts w:ascii="ITC Avant Garde" w:hAnsi="ITC Avant Garde" w:cs="Arial"/>
        </w:rPr>
        <w:t>T</w:t>
      </w:r>
      <w:r w:rsidRPr="000F38A0">
        <w:rPr>
          <w:rFonts w:ascii="ITC Avant Garde" w:hAnsi="ITC Avant Garde" w:cs="Arial"/>
        </w:rPr>
        <w:t xml:space="preserve">rabajo </w:t>
      </w:r>
      <w:r w:rsidR="004211FC" w:rsidRPr="000F38A0">
        <w:rPr>
          <w:rFonts w:ascii="ITC Avant Garde" w:hAnsi="ITC Avant Garde" w:cs="Arial"/>
        </w:rPr>
        <w:t>E</w:t>
      </w:r>
      <w:r w:rsidRPr="000F38A0">
        <w:rPr>
          <w:rFonts w:ascii="ITC Avant Garde" w:hAnsi="ITC Avant Garde" w:cs="Arial"/>
        </w:rPr>
        <w:t>special</w:t>
      </w:r>
      <w:r w:rsidR="004211FC">
        <w:rPr>
          <w:rFonts w:ascii="ITC Avant Garde" w:hAnsi="ITC Avant Garde" w:cs="Arial"/>
        </w:rPr>
        <w:t>,</w:t>
      </w:r>
      <w:r w:rsidR="004211FC" w:rsidRPr="004211FC">
        <w:rPr>
          <w:rFonts w:ascii="ITC Avant Garde" w:hAnsi="ITC Avant Garde" w:cs="Arial"/>
        </w:rPr>
        <w:t xml:space="preserve"> </w:t>
      </w:r>
      <w:r w:rsidR="004211FC">
        <w:rPr>
          <w:rFonts w:ascii="ITC Avant Garde" w:hAnsi="ITC Avant Garde" w:cs="Arial"/>
        </w:rPr>
        <w:t>o bien en aquellos casos en los que la EM hubiere objetado la solicitud del servicio en cualquier etapa del procedimiento de contratación y no haya sido posible encontrar una alternativa de solución</w:t>
      </w:r>
      <w:r w:rsidRPr="000F38A0">
        <w:rPr>
          <w:rFonts w:ascii="ITC Avant Garde" w:hAnsi="ITC Avant Garde" w:cs="Arial"/>
        </w:rPr>
        <w:t>.</w:t>
      </w:r>
    </w:p>
    <w:p w:rsidR="00907A12" w:rsidRDefault="006B0A91" w:rsidP="00070274">
      <w:pPr>
        <w:autoSpaceDE w:val="0"/>
        <w:autoSpaceDN w:val="0"/>
        <w:adjustRightInd w:val="0"/>
        <w:spacing w:after="200" w:line="276" w:lineRule="auto"/>
        <w:jc w:val="both"/>
        <w:rPr>
          <w:rFonts w:ascii="ITC Avant Garde" w:hAnsi="ITC Avant Garde" w:cs="Arial"/>
        </w:rPr>
      </w:pPr>
      <w:r w:rsidRPr="00BA1D95">
        <w:rPr>
          <w:rFonts w:ascii="ITC Avant Garde" w:hAnsi="ITC Avant Garde" w:cs="Arial"/>
        </w:rPr>
        <w:t xml:space="preserve">La cotización que se envíe al CS contemplará únicamente los costos incurridos para la ejecución del Trabajo Especial. </w:t>
      </w:r>
      <w:r w:rsidR="00E83F21">
        <w:rPr>
          <w:rFonts w:ascii="ITC Avant Garde" w:hAnsi="ITC Avant Garde" w:cs="Arial"/>
        </w:rPr>
        <w:t>Telmex / Telnor</w:t>
      </w:r>
      <w:r w:rsidR="00E10C43" w:rsidRPr="00BA1D95">
        <w:rPr>
          <w:rFonts w:ascii="ITC Avant Garde" w:hAnsi="ITC Avant Garde" w:cs="Arial"/>
        </w:rPr>
        <w:t xml:space="preserve"> </w:t>
      </w:r>
      <w:r w:rsidRPr="00BA1D95">
        <w:rPr>
          <w:rFonts w:ascii="ITC Avant Garde" w:hAnsi="ITC Avant Garde" w:cs="Arial"/>
        </w:rPr>
        <w:t>entregará una cotización al CS con el desglose detallado de los costos asociados de los materiales, mano de obra y actividades a realizar, incluyendo plazos</w:t>
      </w:r>
      <w:r w:rsidRPr="00BA1D95" w:rsidDel="00366037">
        <w:rPr>
          <w:rFonts w:ascii="ITC Avant Garde" w:hAnsi="ITC Avant Garde" w:cs="Arial"/>
        </w:rPr>
        <w:t>.</w:t>
      </w:r>
      <w:r w:rsidR="00907A12">
        <w:rPr>
          <w:rFonts w:ascii="ITC Avant Garde" w:hAnsi="ITC Avant Garde" w:cs="Arial"/>
        </w:rPr>
        <w:t xml:space="preserve"> </w:t>
      </w:r>
    </w:p>
    <w:p w:rsidR="0084505B" w:rsidRPr="00BA1D95" w:rsidRDefault="0084505B" w:rsidP="00070274">
      <w:pPr>
        <w:autoSpaceDE w:val="0"/>
        <w:autoSpaceDN w:val="0"/>
        <w:adjustRightInd w:val="0"/>
        <w:spacing w:after="200" w:line="276" w:lineRule="auto"/>
        <w:jc w:val="both"/>
        <w:rPr>
          <w:rFonts w:ascii="ITC Avant Garde" w:hAnsi="ITC Avant Garde" w:cs="Arial"/>
        </w:rPr>
      </w:pPr>
      <w:r w:rsidRPr="00BA1D95">
        <w:rPr>
          <w:rFonts w:ascii="ITC Avant Garde" w:hAnsi="ITC Avant Garde" w:cs="Arial"/>
        </w:rPr>
        <w:lastRenderedPageBreak/>
        <w:t xml:space="preserve">Toda actualización a la información de infraestructura y de recursos de red derivada de la realización de Trabajos Especiales, indicando al menos los sitios, rutas y capacidades liberadas o adicionadas deberá estar visible para los CS a través del </w:t>
      </w:r>
      <w:r w:rsidR="006B5A23">
        <w:rPr>
          <w:rFonts w:ascii="ITC Avant Garde" w:hAnsi="ITC Avant Garde" w:cs="Arial"/>
        </w:rPr>
        <w:t>SEG</w:t>
      </w:r>
      <w:r w:rsidRPr="00BA1D95">
        <w:rPr>
          <w:rFonts w:ascii="ITC Avant Garde" w:hAnsi="ITC Avant Garde" w:cs="Arial"/>
        </w:rPr>
        <w:t xml:space="preserve">. </w:t>
      </w:r>
    </w:p>
    <w:p w:rsidR="00E938FD" w:rsidRDefault="0084505B" w:rsidP="00545AC9">
      <w:pPr>
        <w:autoSpaceDE w:val="0"/>
        <w:autoSpaceDN w:val="0"/>
        <w:adjustRightInd w:val="0"/>
        <w:spacing w:after="200" w:line="276" w:lineRule="auto"/>
        <w:jc w:val="both"/>
      </w:pPr>
      <w:r w:rsidRPr="00BA1D95">
        <w:rPr>
          <w:rFonts w:ascii="ITC Avant Garde" w:hAnsi="ITC Avant Garde" w:cs="Arial"/>
        </w:rPr>
        <w:t>La información asociada al desglose detallado de cotizaciones, plazos y actividades derivada</w:t>
      </w:r>
      <w:r w:rsidR="00335CF3">
        <w:rPr>
          <w:rFonts w:ascii="ITC Avant Garde" w:hAnsi="ITC Avant Garde" w:cs="Arial"/>
        </w:rPr>
        <w:t>s</w:t>
      </w:r>
      <w:r w:rsidRPr="00BA1D95">
        <w:rPr>
          <w:rFonts w:ascii="ITC Avant Garde" w:hAnsi="ITC Avant Garde" w:cs="Arial"/>
        </w:rPr>
        <w:t xml:space="preserve"> de la realización de los Trabajos </w:t>
      </w:r>
      <w:r w:rsidR="005F5ACB" w:rsidRPr="00BA1D95">
        <w:rPr>
          <w:rFonts w:ascii="ITC Avant Garde" w:hAnsi="ITC Avant Garde" w:cs="Arial"/>
        </w:rPr>
        <w:t>Especiales</w:t>
      </w:r>
      <w:r w:rsidRPr="00BA1D95">
        <w:rPr>
          <w:rFonts w:ascii="ITC Avant Garde" w:hAnsi="ITC Avant Garde" w:cs="Arial"/>
        </w:rPr>
        <w:t xml:space="preserve"> deberá hacerse disponible a través del </w:t>
      </w:r>
      <w:r w:rsidR="006B5A23">
        <w:rPr>
          <w:rFonts w:ascii="ITC Avant Garde" w:hAnsi="ITC Avant Garde" w:cs="Arial"/>
        </w:rPr>
        <w:t>SEG</w:t>
      </w:r>
      <w:r w:rsidRPr="00BA1D95">
        <w:rPr>
          <w:rFonts w:ascii="ITC Avant Garde" w:hAnsi="ITC Avant Garde" w:cs="Arial"/>
        </w:rPr>
        <w:t xml:space="preserve"> únicamente para el Instituto.</w:t>
      </w:r>
      <w:bookmarkStart w:id="1243" w:name="_Toc26273133"/>
      <w:bookmarkStart w:id="1244" w:name="_Toc26273234"/>
      <w:bookmarkStart w:id="1245" w:name="_Toc26273655"/>
      <w:bookmarkStart w:id="1246" w:name="_Toc26275701"/>
      <w:bookmarkStart w:id="1247" w:name="_Toc26279057"/>
      <w:bookmarkStart w:id="1248" w:name="_Toc26280532"/>
      <w:bookmarkStart w:id="1249" w:name="_Toc26281203"/>
      <w:bookmarkStart w:id="1250" w:name="_Toc26283784"/>
      <w:bookmarkStart w:id="1251" w:name="_Toc26284530"/>
      <w:bookmarkStart w:id="1252" w:name="_Toc26286285"/>
      <w:bookmarkStart w:id="1253" w:name="_Toc26902225"/>
      <w:bookmarkStart w:id="1254" w:name="_Toc26903929"/>
      <w:bookmarkStart w:id="1255" w:name="_Toc26902226"/>
      <w:bookmarkStart w:id="1256" w:name="_Toc26903930"/>
      <w:bookmarkStart w:id="1257" w:name="_Toc26902227"/>
      <w:bookmarkStart w:id="1258" w:name="_Toc26903931"/>
      <w:bookmarkStart w:id="1259" w:name="_Toc26902228"/>
      <w:bookmarkStart w:id="1260" w:name="_Toc26903932"/>
      <w:bookmarkStart w:id="1261" w:name="_Toc26902229"/>
      <w:bookmarkStart w:id="1262" w:name="_Toc26903933"/>
      <w:bookmarkStart w:id="1263" w:name="_Toc26902230"/>
      <w:bookmarkStart w:id="1264" w:name="_Toc26903934"/>
      <w:bookmarkStart w:id="1265" w:name="_Toc26902231"/>
      <w:bookmarkStart w:id="1266" w:name="_Toc26903935"/>
      <w:bookmarkStart w:id="1267" w:name="_Toc436840953"/>
      <w:bookmarkStart w:id="1268" w:name="_Toc436846390"/>
      <w:bookmarkStart w:id="1269" w:name="_Toc436848340"/>
      <w:bookmarkStart w:id="1270" w:name="_Toc436856588"/>
      <w:bookmarkStart w:id="1271" w:name="_Toc436862734"/>
      <w:bookmarkStart w:id="1272" w:name="_Toc436866384"/>
      <w:bookmarkStart w:id="1273" w:name="_Toc436870963"/>
      <w:bookmarkStart w:id="1274" w:name="_Toc436875955"/>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p>
    <w:p w:rsidR="00E938FD" w:rsidRDefault="00094B5A" w:rsidP="003C1826">
      <w:pPr>
        <w:pStyle w:val="1TitPrin"/>
        <w:numPr>
          <w:ilvl w:val="1"/>
          <w:numId w:val="182"/>
        </w:numPr>
        <w:outlineLvl w:val="1"/>
      </w:pPr>
      <w:bookmarkStart w:id="1275" w:name="_Toc467248768"/>
      <w:bookmarkStart w:id="1276" w:name="_Toc525904654"/>
      <w:bookmarkStart w:id="1277" w:name="_Toc525914050"/>
      <w:bookmarkStart w:id="1278" w:name="_Toc525919289"/>
      <w:bookmarkStart w:id="1279" w:name="_Toc525919413"/>
      <w:bookmarkStart w:id="1280" w:name="_Toc2957223"/>
      <w:bookmarkStart w:id="1281" w:name="_Toc26273141"/>
      <w:bookmarkStart w:id="1282" w:name="_Toc26284540"/>
      <w:bookmarkStart w:id="1283" w:name="_Toc54106593"/>
      <w:r w:rsidRPr="00094B5A">
        <w:t>Procedimiento para solicitud, aceptación y entrega de Trabajos Especiales</w:t>
      </w:r>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p>
    <w:p w:rsidR="00366F2B" w:rsidRDefault="00D44CAC" w:rsidP="004B11EB">
      <w:pPr>
        <w:pStyle w:val="IFTnormal"/>
        <w:rPr>
          <w:rFonts w:cs="Arial"/>
        </w:rPr>
      </w:pPr>
      <w:r w:rsidRPr="00BA1D95">
        <w:rPr>
          <w:rFonts w:cs="Arial"/>
        </w:rPr>
        <w:t xml:space="preserve">El objetivo y alcance de este procedimiento es definir los pasos y actividades a desarrollar por parte de </w:t>
      </w:r>
      <w:r w:rsidR="00E83F21">
        <w:rPr>
          <w:rFonts w:cs="Arial"/>
        </w:rPr>
        <w:t>Telmex / Telnor</w:t>
      </w:r>
      <w:r w:rsidR="00E10C43" w:rsidRPr="00BA1D95">
        <w:rPr>
          <w:rFonts w:cs="Arial"/>
        </w:rPr>
        <w:t xml:space="preserve"> </w:t>
      </w:r>
      <w:r w:rsidRPr="00BA1D95">
        <w:rPr>
          <w:rFonts w:cs="Arial"/>
        </w:rPr>
        <w:t xml:space="preserve">y del CS, a fin de realizar la solicitud, aceptación y entrega de Trabajos Especiales una vez notificada la no </w:t>
      </w:r>
      <w:r w:rsidR="0030567E" w:rsidRPr="00BA1D95">
        <w:rPr>
          <w:rFonts w:cs="Arial"/>
        </w:rPr>
        <w:t>disponibilidad (</w:t>
      </w:r>
      <w:r w:rsidRPr="00BA1D95">
        <w:rPr>
          <w:rFonts w:cs="Arial"/>
        </w:rPr>
        <w:t xml:space="preserve">no factibilidad </w:t>
      </w:r>
      <w:r w:rsidR="00E61F32" w:rsidRPr="00BA1D95">
        <w:rPr>
          <w:rFonts w:cs="Arial"/>
        </w:rPr>
        <w:t>técnica</w:t>
      </w:r>
      <w:r w:rsidR="0030567E" w:rsidRPr="00BA1D95">
        <w:rPr>
          <w:rFonts w:cs="Arial"/>
        </w:rPr>
        <w:t>)</w:t>
      </w:r>
      <w:r w:rsidRPr="00BA1D95">
        <w:rPr>
          <w:rFonts w:cs="Arial"/>
        </w:rPr>
        <w:t xml:space="preserve"> de un servicio</w:t>
      </w:r>
      <w:r w:rsidR="0030567E" w:rsidRPr="00BA1D95">
        <w:rPr>
          <w:rFonts w:cs="Arial"/>
        </w:rPr>
        <w:t xml:space="preserve"> de</w:t>
      </w:r>
      <w:r w:rsidR="00674B36">
        <w:rPr>
          <w:rFonts w:cs="Arial"/>
        </w:rPr>
        <w:t xml:space="preserve"> </w:t>
      </w:r>
      <w:r w:rsidR="00332200">
        <w:rPr>
          <w:rFonts w:cs="Arial"/>
        </w:rPr>
        <w:t>Desagregación</w:t>
      </w:r>
      <w:r w:rsidRPr="00BA1D95">
        <w:rPr>
          <w:rFonts w:cs="Arial"/>
        </w:rPr>
        <w:t xml:space="preserve">. Las fases en que se divide este procedimiento son: </w:t>
      </w:r>
      <w:r w:rsidRPr="00BA1D95">
        <w:rPr>
          <w:rFonts w:cs="Arial"/>
          <w:b/>
        </w:rPr>
        <w:t>(i)</w:t>
      </w:r>
      <w:r w:rsidRPr="00BA1D95">
        <w:rPr>
          <w:rFonts w:cs="Arial"/>
        </w:rPr>
        <w:t xml:space="preserve"> Entrega y validación de la solicitud para que el CS manifieste su intención de solicitar el servicio, las características </w:t>
      </w:r>
      <w:r w:rsidR="00125F51">
        <w:rPr>
          <w:rFonts w:cs="Arial"/>
        </w:rPr>
        <w:t>d</w:t>
      </w:r>
      <w:r w:rsidRPr="00BA1D95">
        <w:rPr>
          <w:rFonts w:cs="Arial"/>
        </w:rPr>
        <w:t xml:space="preserve">el mismo, y la evaluación en el </w:t>
      </w:r>
      <w:r w:rsidR="006B5A23">
        <w:rPr>
          <w:rFonts w:cs="Arial"/>
        </w:rPr>
        <w:t>SEG</w:t>
      </w:r>
      <w:r w:rsidRPr="00BA1D95">
        <w:rPr>
          <w:rFonts w:cs="Arial"/>
        </w:rPr>
        <w:t xml:space="preserve"> para validar que la solicitud cuenta con todos los elementos para la solicitud del servicio; </w:t>
      </w:r>
      <w:r w:rsidRPr="00BA1D95">
        <w:rPr>
          <w:rFonts w:cs="Arial"/>
          <w:b/>
        </w:rPr>
        <w:t>(ii)</w:t>
      </w:r>
      <w:r w:rsidRPr="00BA1D95">
        <w:rPr>
          <w:rFonts w:cs="Arial"/>
        </w:rPr>
        <w:t xml:space="preserve"> Análisis de Factibilidad Técnica a fin de que </w:t>
      </w:r>
      <w:r w:rsidR="00E83F21">
        <w:rPr>
          <w:rFonts w:cs="Arial"/>
        </w:rPr>
        <w:t>Telmex / Telnor</w:t>
      </w:r>
      <w:r w:rsidR="00E10C43" w:rsidRPr="00BA1D95">
        <w:rPr>
          <w:rFonts w:cs="Arial"/>
        </w:rPr>
        <w:t xml:space="preserve"> </w:t>
      </w:r>
      <w:r w:rsidRPr="00BA1D95">
        <w:rPr>
          <w:rFonts w:cs="Arial"/>
        </w:rPr>
        <w:t xml:space="preserve"> pueda analizar y determinar que recursos son los necesarios para realizar el Trabajo Especial; y </w:t>
      </w:r>
      <w:r w:rsidRPr="00BA1D95">
        <w:rPr>
          <w:rFonts w:cs="Arial"/>
          <w:b/>
        </w:rPr>
        <w:t>(</w:t>
      </w:r>
      <w:proofErr w:type="spellStart"/>
      <w:r w:rsidRPr="00BA1D95">
        <w:rPr>
          <w:rFonts w:cs="Arial"/>
          <w:b/>
        </w:rPr>
        <w:t>iii</w:t>
      </w:r>
      <w:proofErr w:type="spellEnd"/>
      <w:r w:rsidRPr="00BA1D95">
        <w:rPr>
          <w:rFonts w:cs="Arial"/>
          <w:b/>
        </w:rPr>
        <w:t>)</w:t>
      </w:r>
      <w:r w:rsidRPr="00BA1D95">
        <w:rPr>
          <w:rFonts w:cs="Arial"/>
        </w:rPr>
        <w:t xml:space="preserve"> Habilitación y aprovisionamiento del servicio solicitado, que detonará los procesos de pruebas de entrega y facturación.</w:t>
      </w:r>
    </w:p>
    <w:p w:rsidR="003223FC" w:rsidRDefault="003223FC" w:rsidP="004B11EB">
      <w:pPr>
        <w:pStyle w:val="IFTnormal"/>
        <w:rPr>
          <w:rFonts w:cs="Arial"/>
        </w:rPr>
      </w:pPr>
    </w:p>
    <w:tbl>
      <w:tblPr>
        <w:tblW w:w="499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59"/>
        <w:gridCol w:w="6883"/>
      </w:tblGrid>
      <w:tr w:rsidR="00D44CAC" w:rsidRPr="00BA1D95" w:rsidTr="006338F9">
        <w:trPr>
          <w:tblHeader/>
        </w:trPr>
        <w:tc>
          <w:tcPr>
            <w:tcW w:w="1194" w:type="pct"/>
            <w:shd w:val="clear" w:color="auto" w:fill="BDD6EE" w:themeFill="accent5" w:themeFillTint="66"/>
          </w:tcPr>
          <w:p w:rsidR="00D44CAC" w:rsidRPr="00BA1D95" w:rsidRDefault="00D44CAC" w:rsidP="0023172A">
            <w:pPr>
              <w:pStyle w:val="IFTnormal"/>
              <w:jc w:val="center"/>
              <w:rPr>
                <w:rFonts w:cs="Arial"/>
                <w:b/>
                <w:sz w:val="20"/>
                <w:szCs w:val="20"/>
                <w:lang w:eastAsia="es-MX"/>
              </w:rPr>
            </w:pPr>
            <w:r w:rsidRPr="00BA1D95">
              <w:rPr>
                <w:rFonts w:cs="Arial"/>
                <w:b/>
                <w:sz w:val="20"/>
                <w:szCs w:val="20"/>
                <w:lang w:eastAsia="es-MX"/>
              </w:rPr>
              <w:t>Etapa</w:t>
            </w:r>
          </w:p>
        </w:tc>
        <w:tc>
          <w:tcPr>
            <w:tcW w:w="3806" w:type="pct"/>
            <w:shd w:val="clear" w:color="auto" w:fill="BDD6EE" w:themeFill="accent5" w:themeFillTint="66"/>
          </w:tcPr>
          <w:p w:rsidR="00D44CAC" w:rsidRPr="00BA1D95" w:rsidRDefault="00D44CAC" w:rsidP="0023172A">
            <w:pPr>
              <w:pStyle w:val="IFTnormal"/>
              <w:jc w:val="center"/>
              <w:rPr>
                <w:rFonts w:cs="Arial"/>
                <w:b/>
                <w:sz w:val="20"/>
                <w:szCs w:val="20"/>
                <w:lang w:eastAsia="es-MX"/>
              </w:rPr>
            </w:pPr>
            <w:r w:rsidRPr="00BA1D95">
              <w:rPr>
                <w:rFonts w:cs="Arial"/>
                <w:b/>
                <w:sz w:val="20"/>
                <w:szCs w:val="20"/>
                <w:lang w:eastAsia="es-MX"/>
              </w:rPr>
              <w:t>Descripción</w:t>
            </w:r>
          </w:p>
        </w:tc>
      </w:tr>
      <w:tr w:rsidR="00D44CAC" w:rsidRPr="00BA1D95" w:rsidTr="00943ECC">
        <w:tc>
          <w:tcPr>
            <w:tcW w:w="1194" w:type="pct"/>
            <w:shd w:val="clear" w:color="auto" w:fill="auto"/>
          </w:tcPr>
          <w:p w:rsidR="00D44CAC" w:rsidRPr="00BA1D95" w:rsidRDefault="00D44CAC" w:rsidP="0023172A">
            <w:pPr>
              <w:pStyle w:val="IFTnormal"/>
              <w:jc w:val="left"/>
              <w:rPr>
                <w:rFonts w:cs="Arial"/>
                <w:b/>
                <w:sz w:val="20"/>
                <w:szCs w:val="20"/>
                <w:lang w:eastAsia="es-MX"/>
              </w:rPr>
            </w:pPr>
            <w:r w:rsidRPr="00BA1D95">
              <w:rPr>
                <w:rFonts w:cs="Arial"/>
                <w:b/>
                <w:sz w:val="20"/>
                <w:szCs w:val="20"/>
                <w:lang w:eastAsia="es-MX"/>
              </w:rPr>
              <w:t xml:space="preserve">Envío y Validación de </w:t>
            </w:r>
            <w:r w:rsidR="00E10C43" w:rsidRPr="00BA1D95">
              <w:rPr>
                <w:rFonts w:cs="Arial"/>
                <w:b/>
                <w:sz w:val="20"/>
                <w:szCs w:val="20"/>
                <w:lang w:eastAsia="es-MX"/>
              </w:rPr>
              <w:t xml:space="preserve">la </w:t>
            </w:r>
            <w:r w:rsidRPr="00BA1D95">
              <w:rPr>
                <w:rFonts w:cs="Arial"/>
                <w:b/>
                <w:sz w:val="20"/>
                <w:szCs w:val="20"/>
                <w:lang w:eastAsia="es-MX"/>
              </w:rPr>
              <w:t>solicitud</w:t>
            </w:r>
          </w:p>
        </w:tc>
        <w:tc>
          <w:tcPr>
            <w:tcW w:w="3806" w:type="pct"/>
            <w:shd w:val="clear" w:color="auto" w:fill="auto"/>
          </w:tcPr>
          <w:p w:rsidR="001357D5" w:rsidRPr="00BA1D95" w:rsidRDefault="00E83F21" w:rsidP="004B11EB">
            <w:pPr>
              <w:pStyle w:val="IFTnormal"/>
              <w:rPr>
                <w:rFonts w:cs="Arial"/>
                <w:sz w:val="20"/>
                <w:szCs w:val="20"/>
                <w:lang w:eastAsia="es-MX"/>
              </w:rPr>
            </w:pPr>
            <w:r>
              <w:rPr>
                <w:rFonts w:cs="Arial"/>
                <w:sz w:val="20"/>
                <w:szCs w:val="20"/>
                <w:lang w:eastAsia="es-MX"/>
              </w:rPr>
              <w:t>Telmex / Telnor</w:t>
            </w:r>
            <w:r w:rsidR="00E10C43" w:rsidRPr="00BA1D95">
              <w:rPr>
                <w:rFonts w:cs="Arial"/>
                <w:sz w:val="20"/>
                <w:szCs w:val="20"/>
                <w:lang w:eastAsia="es-MX"/>
              </w:rPr>
              <w:t xml:space="preserve"> </w:t>
            </w:r>
            <w:r w:rsidR="001357D5" w:rsidRPr="00BA1D95">
              <w:rPr>
                <w:rFonts w:cs="Arial"/>
                <w:sz w:val="20"/>
                <w:szCs w:val="20"/>
                <w:lang w:eastAsia="es-MX"/>
              </w:rPr>
              <w:t xml:space="preserve">notifica vía </w:t>
            </w:r>
            <w:r w:rsidR="006B5A23">
              <w:rPr>
                <w:rFonts w:cs="Arial"/>
                <w:sz w:val="20"/>
                <w:szCs w:val="20"/>
                <w:lang w:eastAsia="es-MX"/>
              </w:rPr>
              <w:t>SEG</w:t>
            </w:r>
            <w:r w:rsidR="001357D5" w:rsidRPr="00BA1D95">
              <w:rPr>
                <w:rFonts w:cs="Arial"/>
                <w:sz w:val="20"/>
                <w:szCs w:val="20"/>
                <w:lang w:eastAsia="es-MX"/>
              </w:rPr>
              <w:t xml:space="preserve"> la no </w:t>
            </w:r>
            <w:r w:rsidR="0014397A" w:rsidRPr="00BA1D95">
              <w:rPr>
                <w:rFonts w:cs="Arial"/>
                <w:sz w:val="20"/>
                <w:szCs w:val="20"/>
                <w:lang w:eastAsia="es-MX"/>
              </w:rPr>
              <w:t>factibilidad</w:t>
            </w:r>
            <w:r w:rsidR="001357D5" w:rsidRPr="00BA1D95">
              <w:rPr>
                <w:rFonts w:cs="Arial"/>
                <w:sz w:val="20"/>
                <w:szCs w:val="20"/>
                <w:lang w:eastAsia="es-MX"/>
              </w:rPr>
              <w:t xml:space="preserve"> del servicio de desagregación solicitado con el detalle de su causa conforme a lo establecido en </w:t>
            </w:r>
            <w:r w:rsidR="009F0DBE">
              <w:rPr>
                <w:rFonts w:cs="Arial"/>
                <w:sz w:val="20"/>
                <w:szCs w:val="20"/>
                <w:lang w:eastAsia="es-MX"/>
              </w:rPr>
              <w:t>la sección</w:t>
            </w:r>
            <w:r w:rsidR="001357D5" w:rsidRPr="00BA1D95">
              <w:rPr>
                <w:rFonts w:cs="Arial"/>
                <w:sz w:val="20"/>
                <w:szCs w:val="20"/>
                <w:lang w:eastAsia="es-MX"/>
              </w:rPr>
              <w:t xml:space="preserve"> </w:t>
            </w:r>
            <w:r w:rsidR="009F0DBE">
              <w:rPr>
                <w:rFonts w:cs="Arial"/>
                <w:sz w:val="20"/>
                <w:szCs w:val="20"/>
                <w:lang w:eastAsia="es-MX"/>
              </w:rPr>
              <w:t>“</w:t>
            </w:r>
            <w:r w:rsidR="001357D5" w:rsidRPr="00BA1D95">
              <w:rPr>
                <w:rFonts w:cs="Arial"/>
                <w:sz w:val="20"/>
                <w:szCs w:val="20"/>
                <w:lang w:eastAsia="es-MX"/>
              </w:rPr>
              <w:t>Disponibilidad de recursos</w:t>
            </w:r>
            <w:r w:rsidR="009F0DBE">
              <w:rPr>
                <w:rFonts w:cs="Arial"/>
                <w:sz w:val="20"/>
                <w:szCs w:val="20"/>
                <w:lang w:eastAsia="es-MX"/>
              </w:rPr>
              <w:t>”</w:t>
            </w:r>
            <w:r w:rsidR="001357D5" w:rsidRPr="00BA1D95">
              <w:rPr>
                <w:rFonts w:cs="Arial"/>
                <w:sz w:val="20"/>
                <w:szCs w:val="20"/>
                <w:lang w:eastAsia="es-MX"/>
              </w:rPr>
              <w:t xml:space="preserve"> y con la información del tipo de Trabajo Especial requerido.</w:t>
            </w:r>
          </w:p>
          <w:p w:rsidR="0014397A" w:rsidRPr="00BA1D95" w:rsidRDefault="0014397A" w:rsidP="004B11EB">
            <w:pPr>
              <w:pStyle w:val="IFTnormal"/>
              <w:rPr>
                <w:rFonts w:cs="Arial"/>
                <w:sz w:val="20"/>
                <w:szCs w:val="20"/>
                <w:lang w:eastAsia="es-MX"/>
              </w:rPr>
            </w:pPr>
            <w:r w:rsidRPr="00BA1D95">
              <w:rPr>
                <w:rFonts w:cs="Arial"/>
                <w:sz w:val="20"/>
                <w:szCs w:val="20"/>
                <w:lang w:eastAsia="es-MX"/>
              </w:rPr>
              <w:t xml:space="preserve">Una vez notificada la no factibilidad de un servicio, el CS podrá solicitar la realización de un Trabajo Especial, para lo cual tendrá un plazo de </w:t>
            </w:r>
            <w:r w:rsidR="00125F51">
              <w:rPr>
                <w:rFonts w:cs="Arial"/>
                <w:sz w:val="20"/>
                <w:szCs w:val="20"/>
                <w:lang w:eastAsia="es-MX"/>
              </w:rPr>
              <w:t>diez</w:t>
            </w:r>
            <w:r w:rsidR="00125F51" w:rsidRPr="00BA1D95">
              <w:rPr>
                <w:rFonts w:cs="Arial"/>
                <w:sz w:val="20"/>
                <w:szCs w:val="20"/>
                <w:lang w:eastAsia="es-MX"/>
              </w:rPr>
              <w:t xml:space="preserve"> </w:t>
            </w:r>
            <w:r w:rsidRPr="00BA1D95">
              <w:rPr>
                <w:rFonts w:cs="Arial"/>
                <w:sz w:val="20"/>
                <w:szCs w:val="20"/>
                <w:lang w:eastAsia="es-MX"/>
              </w:rPr>
              <w:t>días hábiles, de lo contrario se cancelará la solicitud del servicio de desagregación que corresponda.</w:t>
            </w:r>
          </w:p>
          <w:p w:rsidR="00D44CAC" w:rsidRPr="00BA1D95" w:rsidRDefault="001357D5" w:rsidP="004B11EB">
            <w:pPr>
              <w:pStyle w:val="IFTnormal"/>
              <w:rPr>
                <w:rFonts w:cs="Arial"/>
                <w:sz w:val="20"/>
                <w:szCs w:val="20"/>
                <w:lang w:eastAsia="es-MX"/>
              </w:rPr>
            </w:pPr>
            <w:r w:rsidRPr="00BA1D95">
              <w:rPr>
                <w:rFonts w:cs="Arial"/>
                <w:sz w:val="20"/>
                <w:szCs w:val="20"/>
                <w:lang w:eastAsia="es-MX"/>
              </w:rPr>
              <w:t>De proceder e</w:t>
            </w:r>
            <w:r w:rsidR="00D44CAC" w:rsidRPr="00BA1D95">
              <w:rPr>
                <w:rFonts w:cs="Arial"/>
                <w:sz w:val="20"/>
                <w:szCs w:val="20"/>
                <w:lang w:eastAsia="es-MX"/>
              </w:rPr>
              <w:t xml:space="preserve">l CS deberá presentar sus solicitudes a través del </w:t>
            </w:r>
            <w:r w:rsidR="006B5A23">
              <w:rPr>
                <w:rFonts w:cs="Arial"/>
                <w:sz w:val="20"/>
                <w:szCs w:val="20"/>
                <w:lang w:eastAsia="es-MX"/>
              </w:rPr>
              <w:t>SEG</w:t>
            </w:r>
            <w:r w:rsidR="00D44CAC" w:rsidRPr="00BA1D95">
              <w:rPr>
                <w:rFonts w:cs="Arial"/>
                <w:sz w:val="20"/>
                <w:szCs w:val="20"/>
                <w:lang w:eastAsia="es-MX"/>
              </w:rPr>
              <w:t>, validando que cuenta con los elementos para la solicitud, indicando:</w:t>
            </w:r>
          </w:p>
          <w:p w:rsidR="00D44CAC" w:rsidRPr="00BA1D95" w:rsidRDefault="00D44CAC" w:rsidP="00D37C98">
            <w:pPr>
              <w:pStyle w:val="IFTnormal"/>
              <w:numPr>
                <w:ilvl w:val="0"/>
                <w:numId w:val="97"/>
              </w:numPr>
              <w:rPr>
                <w:rFonts w:cs="Arial"/>
                <w:sz w:val="20"/>
                <w:szCs w:val="20"/>
                <w:lang w:eastAsia="es-MX"/>
              </w:rPr>
            </w:pPr>
            <w:r w:rsidRPr="00BA1D95">
              <w:rPr>
                <w:rFonts w:cs="Arial"/>
                <w:sz w:val="20"/>
                <w:szCs w:val="20"/>
                <w:lang w:eastAsia="es-MX"/>
              </w:rPr>
              <w:t>NIS</w:t>
            </w:r>
            <w:r w:rsidR="00182926" w:rsidRPr="00BA1D95">
              <w:rPr>
                <w:rFonts w:cs="Arial"/>
                <w:sz w:val="20"/>
                <w:szCs w:val="20"/>
                <w:lang w:eastAsia="es-MX"/>
              </w:rPr>
              <w:t xml:space="preserve"> de </w:t>
            </w:r>
            <w:r w:rsidRPr="00BA1D95">
              <w:rPr>
                <w:rFonts w:cs="Arial"/>
                <w:sz w:val="20"/>
                <w:szCs w:val="20"/>
                <w:lang w:eastAsia="es-MX"/>
              </w:rPr>
              <w:t>Referencia del servicio que no fue factible</w:t>
            </w:r>
          </w:p>
          <w:p w:rsidR="00D44CAC" w:rsidRPr="00BA1D95" w:rsidRDefault="00D44CAC" w:rsidP="004B11EB">
            <w:pPr>
              <w:pStyle w:val="IFTnormal"/>
              <w:rPr>
                <w:rFonts w:cs="Arial"/>
                <w:sz w:val="20"/>
                <w:szCs w:val="20"/>
                <w:lang w:eastAsia="es-MX"/>
              </w:rPr>
            </w:pPr>
            <w:r w:rsidRPr="00BA1D95">
              <w:rPr>
                <w:rFonts w:cs="Arial"/>
                <w:sz w:val="20"/>
                <w:szCs w:val="20"/>
                <w:lang w:eastAsia="es-MX"/>
              </w:rPr>
              <w:t xml:space="preserve">Una vez enviada la solicitud el </w:t>
            </w:r>
            <w:r w:rsidR="006B5A23">
              <w:rPr>
                <w:rFonts w:cs="Arial"/>
                <w:sz w:val="20"/>
                <w:szCs w:val="20"/>
                <w:lang w:eastAsia="es-MX"/>
              </w:rPr>
              <w:t>SEG</w:t>
            </w:r>
            <w:r w:rsidRPr="00BA1D95">
              <w:rPr>
                <w:rFonts w:cs="Arial"/>
                <w:sz w:val="20"/>
                <w:szCs w:val="20"/>
                <w:lang w:eastAsia="es-MX"/>
              </w:rPr>
              <w:t xml:space="preserve"> asignará de forma automática el NIS</w:t>
            </w:r>
            <w:r w:rsidR="00E61F32" w:rsidRPr="00BA1D95">
              <w:rPr>
                <w:rFonts w:cs="Arial"/>
                <w:sz w:val="20"/>
                <w:szCs w:val="20"/>
                <w:lang w:eastAsia="es-MX"/>
              </w:rPr>
              <w:t xml:space="preserve"> del </w:t>
            </w:r>
            <w:r w:rsidR="00044FDD" w:rsidRPr="00BA1D95">
              <w:rPr>
                <w:rFonts w:cs="Arial"/>
                <w:sz w:val="20"/>
                <w:szCs w:val="20"/>
                <w:lang w:eastAsia="es-MX"/>
              </w:rPr>
              <w:t>Trabajo E</w:t>
            </w:r>
            <w:r w:rsidR="00E61F32" w:rsidRPr="00BA1D95">
              <w:rPr>
                <w:rFonts w:cs="Arial"/>
                <w:sz w:val="20"/>
                <w:szCs w:val="20"/>
                <w:lang w:eastAsia="es-MX"/>
              </w:rPr>
              <w:t>special.</w:t>
            </w:r>
          </w:p>
        </w:tc>
      </w:tr>
      <w:tr w:rsidR="00D44CAC" w:rsidRPr="00BA1D95" w:rsidTr="00943ECC">
        <w:tc>
          <w:tcPr>
            <w:tcW w:w="1194" w:type="pct"/>
            <w:shd w:val="clear" w:color="auto" w:fill="auto"/>
          </w:tcPr>
          <w:p w:rsidR="00D44CAC" w:rsidRPr="00BA1D95" w:rsidRDefault="00D44CAC" w:rsidP="0023172A">
            <w:pPr>
              <w:pStyle w:val="IFTnormal"/>
              <w:jc w:val="left"/>
              <w:rPr>
                <w:rFonts w:cs="Arial"/>
                <w:b/>
                <w:sz w:val="20"/>
                <w:szCs w:val="20"/>
                <w:lang w:eastAsia="es-MX"/>
              </w:rPr>
            </w:pPr>
            <w:r w:rsidRPr="00BA1D95">
              <w:rPr>
                <w:rFonts w:cs="Arial"/>
                <w:b/>
                <w:sz w:val="20"/>
                <w:szCs w:val="20"/>
                <w:lang w:eastAsia="es-MX"/>
              </w:rPr>
              <w:t>Factibilidad Técnica</w:t>
            </w:r>
          </w:p>
        </w:tc>
        <w:tc>
          <w:tcPr>
            <w:tcW w:w="3806" w:type="pct"/>
            <w:shd w:val="clear" w:color="auto" w:fill="auto"/>
          </w:tcPr>
          <w:p w:rsidR="00D44CAC" w:rsidRPr="00BA1D95" w:rsidRDefault="0013112E" w:rsidP="004B11EB">
            <w:pPr>
              <w:pStyle w:val="IFTnormal"/>
              <w:rPr>
                <w:rFonts w:cs="Arial"/>
                <w:sz w:val="20"/>
                <w:szCs w:val="20"/>
                <w:lang w:eastAsia="es-MX"/>
              </w:rPr>
            </w:pPr>
            <w:r w:rsidRPr="00BA1D95">
              <w:rPr>
                <w:rFonts w:cs="Arial"/>
                <w:sz w:val="20"/>
                <w:szCs w:val="20"/>
                <w:lang w:eastAsia="es-MX"/>
              </w:rPr>
              <w:t xml:space="preserve">En </w:t>
            </w:r>
            <w:r>
              <w:rPr>
                <w:rFonts w:cs="Arial"/>
                <w:sz w:val="20"/>
                <w:szCs w:val="20"/>
                <w:lang w:eastAsia="es-MX"/>
              </w:rPr>
              <w:t>el plazo establecido</w:t>
            </w:r>
            <w:r w:rsidR="00E90B62">
              <w:rPr>
                <w:rFonts w:cs="Arial"/>
                <w:sz w:val="20"/>
                <w:szCs w:val="20"/>
                <w:lang w:eastAsia="es-MX"/>
              </w:rPr>
              <w:t xml:space="preserve"> en la sección de Plazos de este servicio</w:t>
            </w:r>
            <w:r>
              <w:rPr>
                <w:rFonts w:cs="Arial"/>
                <w:sz w:val="20"/>
                <w:szCs w:val="20"/>
                <w:lang w:eastAsia="es-MX"/>
              </w:rPr>
              <w:t xml:space="preserve"> en la presente Oferta,</w:t>
            </w:r>
            <w:r w:rsidRPr="00BA1D95">
              <w:rPr>
                <w:rFonts w:cs="Arial"/>
                <w:sz w:val="20"/>
                <w:szCs w:val="20"/>
                <w:lang w:eastAsia="es-MX"/>
              </w:rPr>
              <w:t xml:space="preserve"> </w:t>
            </w:r>
            <w:r w:rsidR="00E83F21">
              <w:rPr>
                <w:rFonts w:cs="Arial"/>
                <w:sz w:val="20"/>
                <w:szCs w:val="20"/>
                <w:lang w:eastAsia="es-MX"/>
              </w:rPr>
              <w:t>Telmex / Telnor</w:t>
            </w:r>
            <w:r w:rsidR="00E10C43" w:rsidRPr="00BA1D95">
              <w:rPr>
                <w:rFonts w:cs="Arial"/>
                <w:sz w:val="20"/>
                <w:szCs w:val="20"/>
                <w:lang w:eastAsia="es-MX"/>
              </w:rPr>
              <w:t xml:space="preserve"> </w:t>
            </w:r>
            <w:r w:rsidR="00D44CAC" w:rsidRPr="00BA1D95">
              <w:rPr>
                <w:rFonts w:cs="Arial"/>
                <w:sz w:val="20"/>
                <w:szCs w:val="20"/>
                <w:lang w:eastAsia="es-MX"/>
              </w:rPr>
              <w:t>presentará la propuesta de Trabajo Especial</w:t>
            </w:r>
            <w:r w:rsidR="00BE1D8E" w:rsidRPr="00BA1D95">
              <w:rPr>
                <w:rFonts w:cs="Arial"/>
                <w:sz w:val="20"/>
                <w:szCs w:val="20"/>
                <w:lang w:eastAsia="es-MX"/>
              </w:rPr>
              <w:t xml:space="preserve"> </w:t>
            </w:r>
            <w:r w:rsidR="00BE1D8E" w:rsidRPr="00BA1D95">
              <w:rPr>
                <w:rFonts w:cs="Arial"/>
                <w:sz w:val="20"/>
                <w:szCs w:val="20"/>
                <w:lang w:eastAsia="es-MX"/>
              </w:rPr>
              <w:lastRenderedPageBreak/>
              <w:t xml:space="preserve">(Anteproyecto) </w:t>
            </w:r>
            <w:r w:rsidR="006F660F">
              <w:rPr>
                <w:rFonts w:cs="Arial"/>
                <w:sz w:val="20"/>
                <w:szCs w:val="20"/>
                <w:lang w:eastAsia="es-MX"/>
              </w:rPr>
              <w:t xml:space="preserve">ya sea </w:t>
            </w:r>
            <w:r w:rsidR="00BE1D8E" w:rsidRPr="00BA1D95">
              <w:rPr>
                <w:rFonts w:cs="Arial"/>
                <w:sz w:val="20"/>
                <w:szCs w:val="20"/>
                <w:lang w:eastAsia="es-MX"/>
              </w:rPr>
              <w:t xml:space="preserve">para los casos donde no se requiera obra civil o cotización de un proveedor, </w:t>
            </w:r>
            <w:r w:rsidR="006F660F">
              <w:rPr>
                <w:rFonts w:cs="Arial"/>
                <w:sz w:val="20"/>
                <w:szCs w:val="20"/>
                <w:lang w:eastAsia="es-MX"/>
              </w:rPr>
              <w:t>o para los que si se requieran</w:t>
            </w:r>
            <w:r w:rsidR="00BE1D8E" w:rsidRPr="00BA1D95">
              <w:rPr>
                <w:rFonts w:cs="Arial"/>
                <w:sz w:val="20"/>
                <w:szCs w:val="20"/>
                <w:lang w:eastAsia="es-MX"/>
              </w:rPr>
              <w:t>.</w:t>
            </w:r>
            <w:r w:rsidR="00D44CAC" w:rsidRPr="00BA1D95">
              <w:rPr>
                <w:rFonts w:cs="Arial"/>
                <w:sz w:val="20"/>
                <w:szCs w:val="20"/>
                <w:lang w:eastAsia="es-MX"/>
              </w:rPr>
              <w:t xml:space="preserve"> </w:t>
            </w:r>
            <w:r w:rsidR="00BE1D8E" w:rsidRPr="00BA1D95">
              <w:rPr>
                <w:rFonts w:cs="Arial"/>
                <w:sz w:val="20"/>
                <w:szCs w:val="20"/>
                <w:lang w:eastAsia="es-MX"/>
              </w:rPr>
              <w:t>L</w:t>
            </w:r>
            <w:r w:rsidR="00D44CAC" w:rsidRPr="00BA1D95">
              <w:rPr>
                <w:rFonts w:cs="Arial"/>
                <w:sz w:val="20"/>
                <w:szCs w:val="20"/>
                <w:lang w:eastAsia="es-MX"/>
              </w:rPr>
              <w:t>a solución técnica necesaria</w:t>
            </w:r>
            <w:r w:rsidR="00A12B18" w:rsidRPr="00BA1D95">
              <w:rPr>
                <w:rFonts w:cs="Arial"/>
                <w:sz w:val="20"/>
                <w:szCs w:val="20"/>
                <w:lang w:eastAsia="es-MX"/>
              </w:rPr>
              <w:t xml:space="preserve"> deberá incluir al menos los siguientes elementos:</w:t>
            </w:r>
          </w:p>
          <w:p w:rsidR="00D44CAC" w:rsidRPr="00BA1D95" w:rsidRDefault="00D44CAC" w:rsidP="00D37C98">
            <w:pPr>
              <w:pStyle w:val="IFTnormal"/>
              <w:numPr>
                <w:ilvl w:val="0"/>
                <w:numId w:val="95"/>
              </w:numPr>
              <w:rPr>
                <w:rFonts w:cs="Arial"/>
                <w:sz w:val="20"/>
                <w:szCs w:val="20"/>
                <w:lang w:eastAsia="es-MX"/>
              </w:rPr>
            </w:pPr>
            <w:r w:rsidRPr="00BA1D95">
              <w:rPr>
                <w:rFonts w:cs="Arial"/>
                <w:sz w:val="20"/>
                <w:szCs w:val="20"/>
                <w:lang w:eastAsia="es-MX"/>
              </w:rPr>
              <w:t>Anteproyecto de Trabajo Especial, deberá incluir, en caso de que aplique, planos isométricos, de corte de sección, de topografía, de instalaciones, de planta, cimentación, acabados y detalles, etc. así como reporte fotográfico.</w:t>
            </w:r>
          </w:p>
          <w:p w:rsidR="00D44CAC" w:rsidRPr="00BA1D95" w:rsidRDefault="00D44CAC" w:rsidP="00D37C98">
            <w:pPr>
              <w:pStyle w:val="IFTnormal"/>
              <w:numPr>
                <w:ilvl w:val="0"/>
                <w:numId w:val="95"/>
              </w:numPr>
              <w:rPr>
                <w:rFonts w:cs="Arial"/>
                <w:sz w:val="20"/>
                <w:szCs w:val="20"/>
                <w:lang w:eastAsia="es-MX"/>
              </w:rPr>
            </w:pPr>
            <w:r w:rsidRPr="00BA1D95">
              <w:rPr>
                <w:rFonts w:cs="Arial"/>
                <w:sz w:val="20"/>
                <w:szCs w:val="20"/>
                <w:lang w:eastAsia="es-MX"/>
              </w:rPr>
              <w:t>Cotización detallada de los insumos, con el desglose de conceptos, unidad de medida, cantidad por unidad de medida, precio unitario y precio total.</w:t>
            </w:r>
          </w:p>
          <w:p w:rsidR="00D44CAC" w:rsidRPr="00BA1D95" w:rsidRDefault="00D44CAC" w:rsidP="00D37C98">
            <w:pPr>
              <w:pStyle w:val="IFTnormal"/>
              <w:numPr>
                <w:ilvl w:val="0"/>
                <w:numId w:val="95"/>
              </w:numPr>
              <w:rPr>
                <w:rFonts w:cs="Arial"/>
                <w:sz w:val="20"/>
                <w:szCs w:val="20"/>
                <w:lang w:eastAsia="es-MX"/>
              </w:rPr>
            </w:pPr>
            <w:r w:rsidRPr="00BA1D95">
              <w:rPr>
                <w:rFonts w:cs="Arial"/>
                <w:sz w:val="20"/>
                <w:szCs w:val="20"/>
                <w:lang w:eastAsia="es-MX"/>
              </w:rPr>
              <w:t>Plan de trabajo considerando el tiempo de implementación del Trabajo Especial.</w:t>
            </w:r>
          </w:p>
          <w:p w:rsidR="00D44CAC" w:rsidRPr="00BA1D95" w:rsidRDefault="00D44CAC" w:rsidP="00D37C98">
            <w:pPr>
              <w:pStyle w:val="IFTnormal"/>
              <w:numPr>
                <w:ilvl w:val="0"/>
                <w:numId w:val="95"/>
              </w:numPr>
              <w:rPr>
                <w:rFonts w:cs="Arial"/>
                <w:sz w:val="20"/>
                <w:szCs w:val="20"/>
                <w:lang w:eastAsia="es-MX"/>
              </w:rPr>
            </w:pPr>
            <w:r w:rsidRPr="00BA1D95">
              <w:rPr>
                <w:rFonts w:cs="Arial"/>
                <w:sz w:val="20"/>
                <w:szCs w:val="20"/>
                <w:lang w:eastAsia="es-MX"/>
              </w:rPr>
              <w:t xml:space="preserve">Términos adicionales bajo los cuales </w:t>
            </w:r>
            <w:r w:rsidR="00E83F21">
              <w:rPr>
                <w:rFonts w:cs="Arial"/>
                <w:sz w:val="20"/>
                <w:szCs w:val="20"/>
                <w:lang w:eastAsia="es-MX"/>
              </w:rPr>
              <w:t>Telmex / Telnor</w:t>
            </w:r>
            <w:r w:rsidR="00E10C43" w:rsidRPr="00BA1D95">
              <w:rPr>
                <w:rFonts w:cs="Arial"/>
                <w:sz w:val="20"/>
                <w:szCs w:val="20"/>
                <w:lang w:eastAsia="es-MX"/>
              </w:rPr>
              <w:t xml:space="preserve"> </w:t>
            </w:r>
            <w:r w:rsidRPr="00BA1D95">
              <w:rPr>
                <w:rFonts w:cs="Arial"/>
                <w:sz w:val="20"/>
                <w:szCs w:val="20"/>
                <w:lang w:eastAsia="es-MX"/>
              </w:rPr>
              <w:t>ofrecerá el servicio.</w:t>
            </w:r>
          </w:p>
          <w:p w:rsidR="00D44CAC" w:rsidRPr="00BA1D95" w:rsidRDefault="00D44CAC"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 xml:space="preserve">Los Trabajos Especiales y los términos adicionales que involucre </w:t>
            </w:r>
            <w:r w:rsidR="00E10C43" w:rsidRPr="00BA1D95">
              <w:rPr>
                <w:rFonts w:ascii="ITC Avant Garde" w:eastAsia="Times New Roman" w:hAnsi="ITC Avant Garde" w:cs="Arial"/>
                <w:sz w:val="20"/>
                <w:szCs w:val="20"/>
                <w:lang w:eastAsia="es-MX"/>
              </w:rPr>
              <w:t xml:space="preserve">a </w:t>
            </w:r>
            <w:r w:rsidR="00E83F21">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Pr="00BA1D95">
              <w:rPr>
                <w:rFonts w:ascii="ITC Avant Garde" w:eastAsia="Times New Roman" w:hAnsi="ITC Avant Garde" w:cs="Arial"/>
                <w:sz w:val="20"/>
                <w:szCs w:val="20"/>
                <w:lang w:eastAsia="es-MX"/>
              </w:rPr>
              <w:t xml:space="preserve">quedarán supeditados y determinada su viabilidad </w:t>
            </w:r>
            <w:r w:rsidR="005F5ACB" w:rsidRPr="00BA1D95">
              <w:rPr>
                <w:rFonts w:ascii="ITC Avant Garde" w:eastAsia="Times New Roman" w:hAnsi="ITC Avant Garde" w:cs="Arial"/>
                <w:sz w:val="20"/>
                <w:szCs w:val="20"/>
                <w:lang w:eastAsia="es-MX"/>
              </w:rPr>
              <w:t>de acuerdo con</w:t>
            </w:r>
            <w:r w:rsidRPr="00BA1D95">
              <w:rPr>
                <w:rFonts w:ascii="ITC Avant Garde" w:eastAsia="Times New Roman" w:hAnsi="ITC Avant Garde" w:cs="Arial"/>
                <w:sz w:val="20"/>
                <w:szCs w:val="20"/>
                <w:lang w:eastAsia="es-MX"/>
              </w:rPr>
              <w:t xml:space="preserve"> las consideraciones siguientes:</w:t>
            </w:r>
          </w:p>
          <w:p w:rsidR="00D44CAC" w:rsidRPr="00BA1D95" w:rsidRDefault="00E83F21" w:rsidP="00FF4EC6">
            <w:pPr>
              <w:pStyle w:val="Prrafodelista"/>
              <w:numPr>
                <w:ilvl w:val="0"/>
                <w:numId w:val="206"/>
              </w:numPr>
              <w:autoSpaceDE w:val="0"/>
              <w:autoSpaceDN w:val="0"/>
              <w:adjustRightInd w:val="0"/>
              <w:spacing w:after="200" w:line="276" w:lineRule="auto"/>
              <w:jc w:val="both"/>
              <w:rPr>
                <w:rFonts w:ascii="ITC Avant Garde" w:hAnsi="ITC Avant Garde" w:cs="Arial"/>
                <w:sz w:val="20"/>
                <w:szCs w:val="20"/>
              </w:rPr>
            </w:pPr>
            <w:r>
              <w:rPr>
                <w:rFonts w:ascii="ITC Avant Garde" w:hAnsi="ITC Avant Garde" w:cs="Arial"/>
                <w:sz w:val="20"/>
                <w:szCs w:val="20"/>
              </w:rPr>
              <w:t>Telmex / Telnor</w:t>
            </w:r>
            <w:r w:rsidR="00E10C43" w:rsidRPr="00BA1D95">
              <w:rPr>
                <w:rFonts w:ascii="ITC Avant Garde" w:hAnsi="ITC Avant Garde" w:cs="Arial"/>
                <w:sz w:val="20"/>
                <w:szCs w:val="20"/>
              </w:rPr>
              <w:t xml:space="preserve"> </w:t>
            </w:r>
            <w:r w:rsidR="00D44CAC" w:rsidRPr="00BA1D95">
              <w:rPr>
                <w:rFonts w:ascii="ITC Avant Garde" w:hAnsi="ITC Avant Garde" w:cs="Arial"/>
                <w:sz w:val="20"/>
                <w:szCs w:val="20"/>
              </w:rPr>
              <w:t>no podrá emitir propuestas de Trabajos Especiales que contengan trabajos relacionados al mant</w:t>
            </w:r>
            <w:r w:rsidR="0047366F" w:rsidRPr="00BA1D95">
              <w:rPr>
                <w:rFonts w:ascii="ITC Avant Garde" w:hAnsi="ITC Avant Garde" w:cs="Arial"/>
                <w:sz w:val="20"/>
                <w:szCs w:val="20"/>
              </w:rPr>
              <w:t xml:space="preserve">enimiento (conforme </w:t>
            </w:r>
            <w:r w:rsidR="00D51CF0">
              <w:rPr>
                <w:rFonts w:ascii="ITC Avant Garde" w:hAnsi="ITC Avant Garde" w:cs="Arial"/>
                <w:sz w:val="20"/>
                <w:szCs w:val="20"/>
              </w:rPr>
              <w:t>a la sección “Disponibilidad de recursos</w:t>
            </w:r>
            <w:r w:rsidR="00B96954">
              <w:rPr>
                <w:rFonts w:ascii="ITC Avant Garde" w:hAnsi="ITC Avant Garde" w:cs="Arial"/>
                <w:sz w:val="20"/>
                <w:szCs w:val="20"/>
              </w:rPr>
              <w:t>”</w:t>
            </w:r>
            <w:r w:rsidR="00D44CAC" w:rsidRPr="00BA1D95">
              <w:rPr>
                <w:rFonts w:ascii="ITC Avant Garde" w:hAnsi="ITC Avant Garde" w:cs="Arial"/>
                <w:sz w:val="20"/>
                <w:szCs w:val="20"/>
              </w:rPr>
              <w:t>) de su infraestructura o recursos de red.</w:t>
            </w:r>
          </w:p>
          <w:p w:rsidR="00D44CAC" w:rsidRPr="00BA1D95" w:rsidRDefault="00D44CAC" w:rsidP="00664AC4">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 xml:space="preserve">El CS contará con </w:t>
            </w:r>
            <w:r w:rsidR="00F557A3">
              <w:rPr>
                <w:rFonts w:ascii="ITC Avant Garde" w:eastAsia="Times New Roman" w:hAnsi="ITC Avant Garde" w:cs="Arial"/>
                <w:sz w:val="20"/>
                <w:szCs w:val="20"/>
                <w:lang w:eastAsia="es-MX"/>
              </w:rPr>
              <w:t>diez</w:t>
            </w:r>
            <w:r w:rsidRPr="00BA1D95">
              <w:rPr>
                <w:rFonts w:ascii="ITC Avant Garde" w:eastAsia="Times New Roman" w:hAnsi="ITC Avant Garde" w:cs="Arial"/>
                <w:sz w:val="20"/>
                <w:szCs w:val="20"/>
                <w:lang w:eastAsia="es-MX"/>
              </w:rPr>
              <w:t xml:space="preserve"> días hábiles para aceptar o rechazar el servicio. En caso de no recibir respuesta, </w:t>
            </w:r>
            <w:r w:rsidR="00E83F21">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Pr="00BA1D95">
              <w:rPr>
                <w:rFonts w:ascii="ITC Avant Garde" w:eastAsia="Times New Roman" w:hAnsi="ITC Avant Garde" w:cs="Arial"/>
                <w:sz w:val="20"/>
                <w:szCs w:val="20"/>
                <w:lang w:eastAsia="es-MX"/>
              </w:rPr>
              <w:t>podrá considerar que el CS rechaza el servicio y concluye el procedimiento y se procede con la etapa de Facturación.</w:t>
            </w:r>
            <w:r w:rsidR="00D12A8A" w:rsidRPr="00BA1D95">
              <w:rPr>
                <w:rFonts w:ascii="ITC Avant Garde" w:eastAsia="Times New Roman" w:hAnsi="ITC Avant Garde" w:cs="Arial"/>
                <w:sz w:val="20"/>
                <w:szCs w:val="20"/>
                <w:lang w:eastAsia="es-MX"/>
              </w:rPr>
              <w:t xml:space="preserve"> En caso de requerir cambios subsecuentes a las propuestas de trabajos especiales por parte de los CS, aplicaran los mismos plazos de presentación por parte de </w:t>
            </w:r>
            <w:r w:rsidR="00E83F21">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00D12A8A" w:rsidRPr="00BA1D95">
              <w:rPr>
                <w:rFonts w:ascii="ITC Avant Garde" w:eastAsia="Times New Roman" w:hAnsi="ITC Avant Garde" w:cs="Arial"/>
                <w:sz w:val="20"/>
                <w:szCs w:val="20"/>
                <w:lang w:eastAsia="es-MX"/>
              </w:rPr>
              <w:t>y de aceptación o rechazo de los CS.</w:t>
            </w:r>
          </w:p>
        </w:tc>
      </w:tr>
      <w:tr w:rsidR="00D44CAC" w:rsidRPr="00BA1D95" w:rsidTr="00943ECC">
        <w:tc>
          <w:tcPr>
            <w:tcW w:w="1194" w:type="pct"/>
            <w:shd w:val="clear" w:color="auto" w:fill="auto"/>
          </w:tcPr>
          <w:p w:rsidR="00D44CAC" w:rsidRPr="00BA1D95" w:rsidRDefault="00D44CAC" w:rsidP="0023172A">
            <w:pPr>
              <w:pStyle w:val="IFTnormal"/>
              <w:jc w:val="left"/>
              <w:rPr>
                <w:rFonts w:cs="Arial"/>
                <w:b/>
                <w:sz w:val="20"/>
                <w:szCs w:val="20"/>
                <w:lang w:eastAsia="es-MX"/>
              </w:rPr>
            </w:pPr>
            <w:r w:rsidRPr="00BA1D95">
              <w:rPr>
                <w:rFonts w:cs="Arial"/>
                <w:b/>
                <w:sz w:val="20"/>
                <w:szCs w:val="20"/>
                <w:lang w:eastAsia="es-MX"/>
              </w:rPr>
              <w:lastRenderedPageBreak/>
              <w:t>Habilitación y aprovisionamiento del Servicio</w:t>
            </w:r>
          </w:p>
        </w:tc>
        <w:tc>
          <w:tcPr>
            <w:tcW w:w="3806" w:type="pct"/>
            <w:shd w:val="clear" w:color="auto" w:fill="auto"/>
          </w:tcPr>
          <w:p w:rsidR="00DE7CC9" w:rsidRPr="00BA1D95" w:rsidRDefault="00D44CAC"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Una vez aceptada la propuesta</w:t>
            </w:r>
            <w:r w:rsidR="00DE7CC9" w:rsidRPr="00BA1D95">
              <w:rPr>
                <w:rFonts w:ascii="ITC Avant Garde" w:eastAsia="Times New Roman" w:hAnsi="ITC Avant Garde" w:cs="Arial"/>
                <w:sz w:val="20"/>
                <w:szCs w:val="20"/>
                <w:lang w:eastAsia="es-MX"/>
              </w:rPr>
              <w:t xml:space="preserve"> por parte del CS, </w:t>
            </w:r>
            <w:r w:rsidR="00E83F21">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00DE7CC9" w:rsidRPr="00BA1D95">
              <w:rPr>
                <w:rFonts w:ascii="ITC Avant Garde" w:eastAsia="Times New Roman" w:hAnsi="ITC Avant Garde" w:cs="Arial"/>
                <w:sz w:val="20"/>
                <w:szCs w:val="20"/>
                <w:lang w:eastAsia="es-MX"/>
              </w:rPr>
              <w:t xml:space="preserve">realizará la facturación </w:t>
            </w:r>
            <w:r w:rsidR="005F5ACB" w:rsidRPr="00BA1D95">
              <w:rPr>
                <w:rFonts w:ascii="ITC Avant Garde" w:eastAsia="Times New Roman" w:hAnsi="ITC Avant Garde" w:cs="Arial"/>
                <w:sz w:val="20"/>
                <w:szCs w:val="20"/>
                <w:lang w:eastAsia="es-MX"/>
              </w:rPr>
              <w:t>de acuerdo con</w:t>
            </w:r>
            <w:r w:rsidR="00DE7CC9" w:rsidRPr="00BA1D95">
              <w:rPr>
                <w:rFonts w:ascii="ITC Avant Garde" w:eastAsia="Times New Roman" w:hAnsi="ITC Avant Garde" w:cs="Arial"/>
                <w:sz w:val="20"/>
                <w:szCs w:val="20"/>
                <w:lang w:eastAsia="es-MX"/>
              </w:rPr>
              <w:t xml:space="preserve"> la propuesta y/o cotización presentada y aprobada durante la Factibilidad Técnica. </w:t>
            </w:r>
          </w:p>
          <w:p w:rsidR="00D44CAC" w:rsidRPr="00BA1D95" w:rsidRDefault="00DE7CC9"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E</w:t>
            </w:r>
            <w:r w:rsidR="00044FDD" w:rsidRPr="00BA1D95">
              <w:rPr>
                <w:rFonts w:ascii="ITC Avant Garde" w:eastAsia="Times New Roman" w:hAnsi="ITC Avant Garde" w:cs="Arial"/>
                <w:sz w:val="20"/>
                <w:szCs w:val="20"/>
                <w:lang w:eastAsia="es-MX"/>
              </w:rPr>
              <w:t>l CS realiza el pago correspondiente al Trabajo Especial solicitado y</w:t>
            </w:r>
            <w:r w:rsidR="00D44CAC" w:rsidRPr="00BA1D95">
              <w:rPr>
                <w:rFonts w:ascii="ITC Avant Garde" w:eastAsia="Times New Roman" w:hAnsi="ITC Avant Garde" w:cs="Arial"/>
                <w:sz w:val="20"/>
                <w:szCs w:val="20"/>
                <w:lang w:eastAsia="es-MX"/>
              </w:rPr>
              <w:t xml:space="preserve"> </w:t>
            </w:r>
            <w:r w:rsidR="00E83F21">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00D44CAC" w:rsidRPr="00BA1D95">
              <w:rPr>
                <w:rFonts w:ascii="ITC Avant Garde" w:eastAsia="Times New Roman" w:hAnsi="ITC Avant Garde" w:cs="Arial"/>
                <w:sz w:val="20"/>
                <w:szCs w:val="20"/>
                <w:lang w:eastAsia="es-MX"/>
              </w:rPr>
              <w:t xml:space="preserve">notificará en un plazo máximo de </w:t>
            </w:r>
            <w:r w:rsidR="00D23A56">
              <w:rPr>
                <w:rFonts w:ascii="ITC Avant Garde" w:eastAsia="Times New Roman" w:hAnsi="ITC Avant Garde" w:cs="Arial"/>
                <w:sz w:val="20"/>
                <w:szCs w:val="20"/>
                <w:lang w:eastAsia="es-MX"/>
              </w:rPr>
              <w:t>seis</w:t>
            </w:r>
            <w:r w:rsidR="00D23A56" w:rsidRPr="00BA1D95">
              <w:rPr>
                <w:rFonts w:ascii="ITC Avant Garde" w:eastAsia="Times New Roman" w:hAnsi="ITC Avant Garde" w:cs="Arial"/>
                <w:sz w:val="20"/>
                <w:szCs w:val="20"/>
                <w:lang w:eastAsia="es-MX"/>
              </w:rPr>
              <w:t xml:space="preserve"> </w:t>
            </w:r>
            <w:r w:rsidR="00D44CAC" w:rsidRPr="00BA1D95">
              <w:rPr>
                <w:rFonts w:ascii="ITC Avant Garde" w:eastAsia="Times New Roman" w:hAnsi="ITC Avant Garde" w:cs="Arial"/>
                <w:sz w:val="20"/>
                <w:szCs w:val="20"/>
                <w:lang w:eastAsia="es-MX"/>
              </w:rPr>
              <w:t>días hábiles al CS la fecha de inicio de trabajos.</w:t>
            </w:r>
          </w:p>
          <w:p w:rsidR="00D44CAC" w:rsidRPr="00BA1D95" w:rsidRDefault="00E83F21"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00D44CAC" w:rsidRPr="00BA1D95">
              <w:rPr>
                <w:rFonts w:ascii="ITC Avant Garde" w:eastAsia="Times New Roman" w:hAnsi="ITC Avant Garde" w:cs="Arial"/>
                <w:sz w:val="20"/>
                <w:szCs w:val="20"/>
                <w:lang w:eastAsia="es-MX"/>
              </w:rPr>
              <w:t xml:space="preserve">deberá mantener al CS informado sobre los avances de los trabajos de forma semanal y si es que se cumple el tiempo de implementación </w:t>
            </w:r>
            <w:r w:rsidR="00D44CAC" w:rsidRPr="00BA1D95">
              <w:rPr>
                <w:rFonts w:ascii="ITC Avant Garde" w:eastAsia="Times New Roman" w:hAnsi="ITC Avant Garde" w:cs="Arial"/>
                <w:sz w:val="20"/>
                <w:szCs w:val="20"/>
                <w:lang w:eastAsia="es-MX"/>
              </w:rPr>
              <w:lastRenderedPageBreak/>
              <w:t>presentado durante la Factibilidad Técnic</w:t>
            </w:r>
            <w:r w:rsidR="0047366F" w:rsidRPr="00BA1D95">
              <w:rPr>
                <w:rFonts w:ascii="ITC Avant Garde" w:eastAsia="Times New Roman" w:hAnsi="ITC Avant Garde" w:cs="Arial"/>
                <w:sz w:val="20"/>
                <w:szCs w:val="20"/>
                <w:lang w:eastAsia="es-MX"/>
              </w:rPr>
              <w:t>a.</w:t>
            </w:r>
          </w:p>
          <w:p w:rsidR="00D44CAC" w:rsidRPr="00BA1D95" w:rsidRDefault="00E83F21" w:rsidP="00664AC4">
            <w:pPr>
              <w:autoSpaceDE w:val="0"/>
              <w:autoSpaceDN w:val="0"/>
              <w:adjustRightInd w:val="0"/>
              <w:spacing w:after="200" w:line="276" w:lineRule="auto"/>
              <w:jc w:val="both"/>
              <w:rPr>
                <w:rFonts w:ascii="ITC Avant Garde" w:hAnsi="ITC Avant Garde" w:cs="Arial"/>
                <w:sz w:val="20"/>
                <w:szCs w:val="20"/>
              </w:rPr>
            </w:pPr>
            <w:r>
              <w:rPr>
                <w:rFonts w:ascii="ITC Avant Garde" w:eastAsia="Times New Roman" w:hAnsi="ITC Avant Garde" w:cs="Arial"/>
                <w:sz w:val="20"/>
                <w:szCs w:val="20"/>
                <w:lang w:eastAsia="es-MX"/>
              </w:rPr>
              <w:t>Telmex / Telnor</w:t>
            </w:r>
            <w:r w:rsidR="00E10C43" w:rsidRPr="00BA1D95">
              <w:rPr>
                <w:rFonts w:ascii="ITC Avant Garde" w:eastAsia="Times New Roman" w:hAnsi="ITC Avant Garde" w:cs="Arial"/>
                <w:sz w:val="20"/>
                <w:szCs w:val="20"/>
                <w:lang w:eastAsia="es-MX"/>
              </w:rPr>
              <w:t xml:space="preserve"> </w:t>
            </w:r>
            <w:r w:rsidR="00D44CAC" w:rsidRPr="00BA1D95">
              <w:rPr>
                <w:rFonts w:ascii="ITC Avant Garde" w:eastAsia="Times New Roman" w:hAnsi="ITC Avant Garde" w:cs="Arial"/>
                <w:sz w:val="20"/>
                <w:szCs w:val="20"/>
                <w:lang w:eastAsia="es-MX"/>
              </w:rPr>
              <w:t>notificará al CS cuando el Trabajo Especial esté finalizado.</w:t>
            </w:r>
          </w:p>
        </w:tc>
      </w:tr>
      <w:tr w:rsidR="00D44CAC" w:rsidRPr="00BA1D95" w:rsidTr="00943ECC">
        <w:tc>
          <w:tcPr>
            <w:tcW w:w="1194" w:type="pct"/>
            <w:shd w:val="clear" w:color="auto" w:fill="auto"/>
          </w:tcPr>
          <w:p w:rsidR="00D44CAC" w:rsidRPr="00BA1D95" w:rsidRDefault="00D44CAC" w:rsidP="0023172A">
            <w:pPr>
              <w:pStyle w:val="IFTnormal"/>
              <w:jc w:val="left"/>
              <w:rPr>
                <w:rFonts w:cs="Arial"/>
                <w:b/>
                <w:sz w:val="20"/>
                <w:szCs w:val="20"/>
                <w:lang w:eastAsia="es-MX"/>
              </w:rPr>
            </w:pPr>
            <w:r w:rsidRPr="00BA1D95">
              <w:rPr>
                <w:rFonts w:cs="Arial"/>
                <w:b/>
                <w:sz w:val="20"/>
                <w:szCs w:val="20"/>
                <w:lang w:eastAsia="es-MX"/>
              </w:rPr>
              <w:lastRenderedPageBreak/>
              <w:t>Pruebas de Aceptación del Servicio</w:t>
            </w:r>
          </w:p>
        </w:tc>
        <w:tc>
          <w:tcPr>
            <w:tcW w:w="3806" w:type="pct"/>
            <w:shd w:val="clear" w:color="auto" w:fill="auto"/>
          </w:tcPr>
          <w:p w:rsidR="00D44CAC" w:rsidRPr="00BA1D95" w:rsidRDefault="00D44CAC"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 xml:space="preserve">El CS deberá realizar las pruebas del servicio correspondientes en conjunto en un máximo de </w:t>
            </w:r>
            <w:r w:rsidR="00D23A56">
              <w:rPr>
                <w:rFonts w:ascii="ITC Avant Garde" w:eastAsia="Times New Roman" w:hAnsi="ITC Avant Garde" w:cs="Arial"/>
                <w:sz w:val="20"/>
                <w:szCs w:val="20"/>
                <w:lang w:eastAsia="es-MX"/>
              </w:rPr>
              <w:t>cinco</w:t>
            </w:r>
            <w:r w:rsidR="00D23A56" w:rsidRPr="00BA1D95">
              <w:rPr>
                <w:rFonts w:ascii="ITC Avant Garde" w:eastAsia="Times New Roman" w:hAnsi="ITC Avant Garde" w:cs="Arial"/>
                <w:sz w:val="20"/>
                <w:szCs w:val="20"/>
                <w:lang w:eastAsia="es-MX"/>
              </w:rPr>
              <w:t xml:space="preserve"> </w:t>
            </w:r>
            <w:r w:rsidRPr="00BA1D95">
              <w:rPr>
                <w:rFonts w:ascii="ITC Avant Garde" w:eastAsia="Times New Roman" w:hAnsi="ITC Avant Garde" w:cs="Arial"/>
                <w:sz w:val="20"/>
                <w:szCs w:val="20"/>
                <w:lang w:eastAsia="es-MX"/>
              </w:rPr>
              <w:t>días hábiles posteriores. En caso de que no se realice la prueba, se entenderá que el CS ha aceptado de conformidad el servicio.</w:t>
            </w:r>
          </w:p>
          <w:p w:rsidR="00D44CAC" w:rsidRPr="00BA1D95" w:rsidRDefault="00D44CAC" w:rsidP="0023172A">
            <w:pPr>
              <w:autoSpaceDE w:val="0"/>
              <w:autoSpaceDN w:val="0"/>
              <w:adjustRightInd w:val="0"/>
              <w:spacing w:after="200" w:line="276" w:lineRule="auto"/>
              <w:jc w:val="both"/>
              <w:rPr>
                <w:rFonts w:ascii="ITC Avant Garde" w:eastAsia="Times New Roman" w:hAnsi="ITC Avant Garde" w:cs="Arial"/>
                <w:sz w:val="20"/>
                <w:szCs w:val="20"/>
                <w:lang w:eastAsia="es-MX"/>
              </w:rPr>
            </w:pPr>
            <w:r w:rsidRPr="00BA1D95">
              <w:rPr>
                <w:rFonts w:ascii="ITC Avant Garde" w:eastAsia="Times New Roman" w:hAnsi="ITC Avant Garde" w:cs="Arial"/>
                <w:sz w:val="20"/>
                <w:szCs w:val="20"/>
                <w:lang w:eastAsia="es-MX"/>
              </w:rPr>
              <w:t xml:space="preserve">Una vez que el CS haya aceptado el </w:t>
            </w:r>
            <w:r w:rsidR="00DE7CC9" w:rsidRPr="00BA1D95">
              <w:rPr>
                <w:rFonts w:ascii="ITC Avant Garde" w:eastAsia="Times New Roman" w:hAnsi="ITC Avant Garde" w:cs="Arial"/>
                <w:sz w:val="20"/>
                <w:szCs w:val="20"/>
                <w:lang w:eastAsia="es-MX"/>
              </w:rPr>
              <w:t>Trabajo Especial</w:t>
            </w:r>
            <w:r w:rsidRPr="00BA1D95">
              <w:rPr>
                <w:rFonts w:ascii="ITC Avant Garde" w:eastAsia="Times New Roman" w:hAnsi="ITC Avant Garde" w:cs="Arial"/>
                <w:sz w:val="20"/>
                <w:szCs w:val="20"/>
                <w:lang w:eastAsia="es-MX"/>
              </w:rPr>
              <w:t>, se le hará entregará del Acta de Recepción del Servicio.</w:t>
            </w:r>
          </w:p>
        </w:tc>
      </w:tr>
      <w:tr w:rsidR="00D44CAC" w:rsidRPr="00BA1D95" w:rsidTr="00943ECC">
        <w:tc>
          <w:tcPr>
            <w:tcW w:w="1194" w:type="pct"/>
            <w:shd w:val="clear" w:color="auto" w:fill="auto"/>
          </w:tcPr>
          <w:p w:rsidR="00D44CAC" w:rsidRPr="00BA1D95" w:rsidRDefault="00D44CAC" w:rsidP="0023172A">
            <w:pPr>
              <w:pStyle w:val="IFTnormal"/>
              <w:jc w:val="left"/>
              <w:rPr>
                <w:rFonts w:cs="Arial"/>
                <w:b/>
                <w:sz w:val="20"/>
                <w:szCs w:val="20"/>
                <w:lang w:eastAsia="es-MX"/>
              </w:rPr>
            </w:pPr>
            <w:r w:rsidRPr="00BA1D95">
              <w:rPr>
                <w:rFonts w:cs="Arial"/>
                <w:b/>
                <w:sz w:val="20"/>
                <w:szCs w:val="20"/>
                <w:lang w:eastAsia="es-MX"/>
              </w:rPr>
              <w:t>Facturación</w:t>
            </w:r>
          </w:p>
        </w:tc>
        <w:tc>
          <w:tcPr>
            <w:tcW w:w="3806" w:type="pct"/>
            <w:shd w:val="clear" w:color="auto" w:fill="auto"/>
          </w:tcPr>
          <w:p w:rsidR="00D44CAC" w:rsidRPr="00BA1D95" w:rsidRDefault="00DE7CC9" w:rsidP="004B11EB">
            <w:pPr>
              <w:pStyle w:val="IFTnormal"/>
              <w:rPr>
                <w:rFonts w:cs="Arial"/>
                <w:sz w:val="20"/>
                <w:szCs w:val="20"/>
                <w:lang w:eastAsia="es-MX"/>
              </w:rPr>
            </w:pPr>
            <w:r w:rsidRPr="00BA1D95">
              <w:rPr>
                <w:rFonts w:cs="Arial"/>
                <w:sz w:val="20"/>
                <w:szCs w:val="20"/>
                <w:lang w:eastAsia="es-MX"/>
              </w:rPr>
              <w:t xml:space="preserve">Una vez que se haya aceptado el Trabajo Especial </w:t>
            </w:r>
            <w:r w:rsidR="006D705D" w:rsidRPr="00BA1D95">
              <w:rPr>
                <w:rFonts w:cs="Arial"/>
                <w:sz w:val="20"/>
                <w:szCs w:val="20"/>
                <w:lang w:eastAsia="es-MX"/>
              </w:rPr>
              <w:t>se comenzará a facturar la renta correspondiente.</w:t>
            </w:r>
          </w:p>
          <w:p w:rsidR="00D44CAC" w:rsidRDefault="00D44CAC" w:rsidP="005F5ACB">
            <w:pPr>
              <w:pStyle w:val="IFTnormal"/>
              <w:rPr>
                <w:rFonts w:cs="Arial"/>
                <w:sz w:val="20"/>
                <w:szCs w:val="20"/>
                <w:lang w:eastAsia="es-MX"/>
              </w:rPr>
            </w:pPr>
            <w:r w:rsidRPr="00BA1D95">
              <w:rPr>
                <w:rFonts w:cs="Arial"/>
                <w:sz w:val="20"/>
                <w:szCs w:val="20"/>
                <w:lang w:eastAsia="es-MX"/>
              </w:rPr>
              <w:t>El CS contará con la posibilidad de solicitar aclaraciones respecto a los conceptos no reconocidos.</w:t>
            </w:r>
          </w:p>
          <w:p w:rsidR="00D44CAC" w:rsidRPr="00BA1D95" w:rsidRDefault="00E83F21" w:rsidP="005F5ACB">
            <w:pPr>
              <w:pStyle w:val="IFTnormal"/>
              <w:rPr>
                <w:rFonts w:cs="Arial"/>
                <w:sz w:val="20"/>
                <w:szCs w:val="20"/>
                <w:lang w:eastAsia="es-MX"/>
              </w:rPr>
            </w:pPr>
            <w:r>
              <w:rPr>
                <w:rFonts w:cs="Arial"/>
                <w:sz w:val="20"/>
                <w:lang w:eastAsia="es-MX"/>
              </w:rPr>
              <w:t>Telmex / Telnor</w:t>
            </w:r>
            <w:r w:rsidR="00125F51" w:rsidRPr="000570F5">
              <w:rPr>
                <w:rFonts w:cs="Arial"/>
                <w:sz w:val="20"/>
                <w:lang w:eastAsia="es-MX"/>
              </w:rPr>
              <w:t xml:space="preserve"> será responsable de retirar la infraestructura instalada donde proceda para el servicio que se da de baja por parte del CS.</w:t>
            </w:r>
          </w:p>
        </w:tc>
      </w:tr>
    </w:tbl>
    <w:p w:rsidR="00A47F9A" w:rsidRPr="00BA1D95" w:rsidRDefault="00A47F9A" w:rsidP="004B11EB">
      <w:pPr>
        <w:pStyle w:val="Prrafodelista"/>
        <w:autoSpaceDE w:val="0"/>
        <w:autoSpaceDN w:val="0"/>
        <w:adjustRightInd w:val="0"/>
        <w:spacing w:after="200" w:line="276" w:lineRule="auto"/>
        <w:ind w:left="720"/>
        <w:jc w:val="both"/>
        <w:rPr>
          <w:rFonts w:ascii="ITC Avant Garde" w:hAnsi="ITC Avant Garde" w:cs="Arial"/>
          <w:sz w:val="22"/>
          <w:szCs w:val="22"/>
        </w:rPr>
      </w:pPr>
    </w:p>
    <w:p w:rsidR="00E938FD" w:rsidRDefault="00094B5A" w:rsidP="003C1826">
      <w:pPr>
        <w:pStyle w:val="1TitPrin"/>
        <w:numPr>
          <w:ilvl w:val="1"/>
          <w:numId w:val="182"/>
        </w:numPr>
        <w:outlineLvl w:val="1"/>
      </w:pPr>
      <w:bookmarkStart w:id="1284" w:name="_Toc525904655"/>
      <w:bookmarkStart w:id="1285" w:name="_Toc525914051"/>
      <w:bookmarkStart w:id="1286" w:name="_Toc525919290"/>
      <w:bookmarkStart w:id="1287" w:name="_Toc525919414"/>
      <w:bookmarkStart w:id="1288" w:name="_Toc2957224"/>
      <w:bookmarkStart w:id="1289" w:name="_Toc26273142"/>
      <w:bookmarkStart w:id="1290" w:name="_Toc26284541"/>
      <w:bookmarkStart w:id="1291" w:name="_Toc54106594"/>
      <w:bookmarkStart w:id="1292" w:name="_Toc436840954"/>
      <w:bookmarkStart w:id="1293" w:name="_Toc436846391"/>
      <w:bookmarkStart w:id="1294" w:name="_Toc436848341"/>
      <w:bookmarkStart w:id="1295" w:name="_Toc436856589"/>
      <w:bookmarkStart w:id="1296" w:name="_Toc436862735"/>
      <w:bookmarkStart w:id="1297" w:name="_Toc436866385"/>
      <w:bookmarkStart w:id="1298" w:name="_Toc436870964"/>
      <w:bookmarkStart w:id="1299" w:name="_Toc436875956"/>
      <w:r w:rsidRPr="00094B5A">
        <w:t>Plazos de Trabajos Especiales</w:t>
      </w:r>
      <w:bookmarkEnd w:id="1284"/>
      <w:bookmarkEnd w:id="1285"/>
      <w:bookmarkEnd w:id="1286"/>
      <w:bookmarkEnd w:id="1287"/>
      <w:bookmarkEnd w:id="1288"/>
      <w:bookmarkEnd w:id="1289"/>
      <w:bookmarkEnd w:id="1290"/>
      <w:bookmarkEnd w:id="1291"/>
    </w:p>
    <w:p w:rsidR="00D44CAC" w:rsidRPr="00BA1D95" w:rsidRDefault="00D44CAC" w:rsidP="00DF4AC4">
      <w:pPr>
        <w:pStyle w:val="IFTnormal"/>
        <w:numPr>
          <w:ilvl w:val="0"/>
          <w:numId w:val="98"/>
        </w:numPr>
        <w:rPr>
          <w:rFonts w:cs="Arial"/>
        </w:rPr>
      </w:pPr>
      <w:r w:rsidRPr="00BA1D95">
        <w:rPr>
          <w:rFonts w:cs="Arial"/>
        </w:rPr>
        <w:t>Entrega de prop</w:t>
      </w:r>
      <w:r w:rsidR="00815590" w:rsidRPr="00BA1D95">
        <w:rPr>
          <w:rFonts w:cs="Arial"/>
        </w:rPr>
        <w:t>uesta de Trabajos Especiales</w:t>
      </w:r>
      <w:r w:rsidR="004E6FE3" w:rsidRPr="00BA1D95">
        <w:rPr>
          <w:rFonts w:cs="Arial"/>
        </w:rPr>
        <w:t xml:space="preserve"> para aquellos casos en que no se requiera obra civil o cotización de proveedor externo: </w:t>
      </w:r>
      <w:r w:rsidR="00114853">
        <w:rPr>
          <w:rFonts w:cs="Arial"/>
        </w:rPr>
        <w:t>cinco</w:t>
      </w:r>
      <w:r w:rsidR="004E6FE3" w:rsidRPr="00BA1D95">
        <w:rPr>
          <w:rFonts w:cs="Arial"/>
        </w:rPr>
        <w:t xml:space="preserve"> días hábiles.</w:t>
      </w:r>
    </w:p>
    <w:p w:rsidR="004E6FE3" w:rsidRPr="00BA1D95" w:rsidRDefault="0051435A" w:rsidP="00DF4AC4">
      <w:pPr>
        <w:pStyle w:val="IFTnormal"/>
        <w:numPr>
          <w:ilvl w:val="0"/>
          <w:numId w:val="98"/>
        </w:numPr>
        <w:rPr>
          <w:rFonts w:cs="Arial"/>
        </w:rPr>
      </w:pPr>
      <w:r w:rsidRPr="00BA1D95">
        <w:rPr>
          <w:rFonts w:cs="Arial"/>
        </w:rPr>
        <w:t xml:space="preserve">Entrega de propuesta </w:t>
      </w:r>
      <w:r w:rsidR="00D44CAC" w:rsidRPr="00BA1D95">
        <w:rPr>
          <w:rFonts w:cs="Arial"/>
        </w:rPr>
        <w:t>de Trabajos Especiales</w:t>
      </w:r>
      <w:r w:rsidR="004E6FE3" w:rsidRPr="00BA1D95">
        <w:rPr>
          <w:rFonts w:cs="Arial"/>
        </w:rPr>
        <w:t xml:space="preserve"> para aquellos casos en que se requiera obra civil o cotización de proveedor externo: </w:t>
      </w:r>
      <w:r w:rsidR="00114853">
        <w:rPr>
          <w:rFonts w:cs="Arial"/>
        </w:rPr>
        <w:t>diez</w:t>
      </w:r>
      <w:r w:rsidR="00114853" w:rsidRPr="00BA1D95">
        <w:rPr>
          <w:rFonts w:cs="Arial"/>
        </w:rPr>
        <w:t xml:space="preserve"> </w:t>
      </w:r>
      <w:r w:rsidR="004E6FE3" w:rsidRPr="00BA1D95">
        <w:rPr>
          <w:rFonts w:cs="Arial"/>
        </w:rPr>
        <w:t>días hábiles.</w:t>
      </w:r>
    </w:p>
    <w:p w:rsidR="00D44CAC" w:rsidRPr="00BA1D95" w:rsidRDefault="004E6FE3" w:rsidP="00DF4AC4">
      <w:pPr>
        <w:pStyle w:val="IFTnormal"/>
        <w:numPr>
          <w:ilvl w:val="0"/>
          <w:numId w:val="98"/>
        </w:numPr>
        <w:rPr>
          <w:rFonts w:cs="Arial"/>
        </w:rPr>
      </w:pPr>
      <w:r w:rsidRPr="00BA1D95">
        <w:rPr>
          <w:rFonts w:cs="Arial"/>
        </w:rPr>
        <w:t xml:space="preserve">Notificación de inicio de Trabajos Especiales: </w:t>
      </w:r>
      <w:r w:rsidR="00114853">
        <w:rPr>
          <w:rFonts w:cs="Arial"/>
        </w:rPr>
        <w:t>seis</w:t>
      </w:r>
      <w:r w:rsidR="00114853" w:rsidRPr="00BA1D95">
        <w:rPr>
          <w:rFonts w:cs="Arial"/>
        </w:rPr>
        <w:t xml:space="preserve"> </w:t>
      </w:r>
      <w:r w:rsidRPr="00BA1D95">
        <w:rPr>
          <w:rFonts w:cs="Arial"/>
        </w:rPr>
        <w:t>días hábiles.</w:t>
      </w:r>
    </w:p>
    <w:p w:rsidR="001C6C61" w:rsidRPr="00A7610F" w:rsidRDefault="001C6C61" w:rsidP="00FF4EC6">
      <w:pPr>
        <w:pStyle w:val="Prrafodelista"/>
        <w:numPr>
          <w:ilvl w:val="0"/>
          <w:numId w:val="98"/>
        </w:numPr>
        <w:rPr>
          <w:rFonts w:cs="Arial"/>
        </w:rPr>
      </w:pPr>
      <w:r w:rsidRPr="001C6C61">
        <w:rPr>
          <w:rFonts w:ascii="ITC Avant Garde" w:eastAsia="Calibri" w:hAnsi="ITC Avant Garde" w:cs="Arial"/>
          <w:bCs/>
          <w:sz w:val="22"/>
          <w:szCs w:val="22"/>
          <w:lang w:val="es-MX" w:eastAsia="en-US"/>
        </w:rPr>
        <w:t xml:space="preserve">Entrega del Trabajo Especial: el plazo se establecerá en función del Trabajo Especial a realizar. </w:t>
      </w:r>
    </w:p>
    <w:p w:rsidR="00E938FD" w:rsidRDefault="00094B5A" w:rsidP="00BE2842">
      <w:pPr>
        <w:pStyle w:val="1TitPrin"/>
        <w:numPr>
          <w:ilvl w:val="1"/>
          <w:numId w:val="182"/>
        </w:numPr>
        <w:outlineLvl w:val="1"/>
      </w:pPr>
      <w:bookmarkStart w:id="1300" w:name="_Toc467248769"/>
      <w:bookmarkStart w:id="1301" w:name="_Toc525904656"/>
      <w:bookmarkStart w:id="1302" w:name="_Toc525914052"/>
      <w:bookmarkStart w:id="1303" w:name="_Toc525919291"/>
      <w:bookmarkStart w:id="1304" w:name="_Toc525919415"/>
      <w:bookmarkStart w:id="1305" w:name="_Toc2957225"/>
      <w:bookmarkStart w:id="1306" w:name="_Toc26273143"/>
      <w:bookmarkStart w:id="1307" w:name="_Toc26284542"/>
      <w:bookmarkStart w:id="1308" w:name="_Toc54106595"/>
      <w:r w:rsidRPr="00094B5A">
        <w:t>Parámetros e Indicadores de Calidad de Trabajos Especiales</w:t>
      </w:r>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rsidR="00A47F9A" w:rsidRPr="00BA1D95" w:rsidRDefault="00A47F9A" w:rsidP="00943ECC">
      <w:pPr>
        <w:spacing w:after="200" w:line="276" w:lineRule="auto"/>
        <w:jc w:val="both"/>
        <w:rPr>
          <w:rFonts w:ascii="ITC Avant Garde" w:hAnsi="ITC Avant Garde" w:cs="Arial"/>
        </w:rPr>
      </w:pPr>
      <w:r w:rsidRPr="00BA1D95">
        <w:rPr>
          <w:rFonts w:ascii="ITC Avant Garde" w:hAnsi="ITC Avant Garde" w:cs="Arial"/>
        </w:rPr>
        <w:t>En esta sección se muestran los parámetros e indicadores de calidad del Servicio de</w:t>
      </w:r>
      <w:r w:rsidR="00815590" w:rsidRPr="00BA1D95">
        <w:rPr>
          <w:rFonts w:ascii="ITC Avant Garde" w:hAnsi="ITC Avant Garde" w:cs="Arial"/>
        </w:rPr>
        <w:t xml:space="preserve"> Trabajos Especiales </w:t>
      </w:r>
      <w:r w:rsidRPr="00BA1D95">
        <w:rPr>
          <w:rFonts w:ascii="ITC Avant Garde" w:hAnsi="ITC Avant Garde" w:cs="Arial"/>
        </w:rPr>
        <w:t>y se medirán con una periodicidad trimestral por cada uno de los CS.</w:t>
      </w:r>
    </w:p>
    <w:p w:rsidR="00A47F9A" w:rsidRDefault="00A47F9A" w:rsidP="00943ECC">
      <w:pPr>
        <w:autoSpaceDE w:val="0"/>
        <w:autoSpaceDN w:val="0"/>
        <w:adjustRightInd w:val="0"/>
        <w:spacing w:after="200" w:line="276" w:lineRule="auto"/>
        <w:jc w:val="both"/>
        <w:rPr>
          <w:rFonts w:ascii="ITC Avant Garde" w:hAnsi="ITC Avant Garde" w:cs="Arial"/>
        </w:rPr>
      </w:pPr>
      <w:r w:rsidRPr="00BA1D95">
        <w:rPr>
          <w:rFonts w:ascii="ITC Avant Garde" w:hAnsi="ITC Avant Garde" w:cs="Arial"/>
        </w:rPr>
        <w:t xml:space="preserve">Debido a la naturaleza de los Trabajos Especiales, los plazos de entrega serán notificados al CS como una fecha compromiso. </w:t>
      </w:r>
    </w:p>
    <w:p w:rsidR="006077C0" w:rsidRDefault="006077C0" w:rsidP="00943ECC">
      <w:pPr>
        <w:autoSpaceDE w:val="0"/>
        <w:autoSpaceDN w:val="0"/>
        <w:adjustRightInd w:val="0"/>
        <w:spacing w:after="200" w:line="276" w:lineRule="auto"/>
        <w:jc w:val="both"/>
        <w:rPr>
          <w:rFonts w:ascii="ITC Avant Garde" w:hAnsi="ITC Avant Garde" w:cs="Arial"/>
        </w:rPr>
      </w:pPr>
    </w:p>
    <w:p w:rsidR="006077C0" w:rsidRPr="00BA1D95" w:rsidRDefault="006077C0" w:rsidP="00943ECC">
      <w:pPr>
        <w:autoSpaceDE w:val="0"/>
        <w:autoSpaceDN w:val="0"/>
        <w:adjustRightInd w:val="0"/>
        <w:spacing w:after="200" w:line="276" w:lineRule="auto"/>
        <w:jc w:val="both"/>
        <w:rPr>
          <w:rFonts w:ascii="ITC Avant Garde" w:hAnsi="ITC Avant Garde" w:cs="Arial"/>
        </w:rPr>
      </w:pPr>
    </w:p>
    <w:p w:rsidR="00A47F9A" w:rsidRPr="00BA1D95" w:rsidRDefault="00A47F9A" w:rsidP="00943ECC">
      <w:pPr>
        <w:spacing w:after="200" w:line="276" w:lineRule="auto"/>
        <w:jc w:val="both"/>
        <w:rPr>
          <w:rFonts w:ascii="ITC Avant Garde" w:hAnsi="ITC Avant Garde" w:cs="Arial"/>
          <w:b/>
        </w:rPr>
      </w:pPr>
      <w:r w:rsidRPr="00BA1D95">
        <w:rPr>
          <w:rFonts w:ascii="ITC Avant Garde" w:hAnsi="ITC Avant Garde" w:cs="Arial"/>
          <w:b/>
        </w:rPr>
        <w:lastRenderedPageBreak/>
        <w:t>Parámetros e Indicadores para Provisión del Servicio</w:t>
      </w:r>
    </w:p>
    <w:p w:rsidR="00A47F9A" w:rsidRPr="00BA1D95" w:rsidRDefault="00A47F9A" w:rsidP="008F5D32">
      <w:pPr>
        <w:pStyle w:val="Prrafodelista"/>
        <w:numPr>
          <w:ilvl w:val="0"/>
          <w:numId w:val="27"/>
        </w:numPr>
        <w:spacing w:after="200" w:line="276" w:lineRule="auto"/>
        <w:ind w:left="993"/>
        <w:jc w:val="both"/>
        <w:rPr>
          <w:rFonts w:ascii="ITC Avant Garde" w:hAnsi="ITC Avant Garde" w:cs="Arial"/>
          <w:sz w:val="22"/>
          <w:szCs w:val="22"/>
          <w:lang w:val="es-MX"/>
        </w:rPr>
      </w:pPr>
      <w:r w:rsidRPr="00BA1D95">
        <w:rPr>
          <w:rFonts w:ascii="ITC Avant Garde" w:hAnsi="ITC Avant Garde" w:cs="Arial"/>
          <w:sz w:val="22"/>
          <w:szCs w:val="22"/>
          <w:lang w:val="es-MX"/>
        </w:rPr>
        <w:t xml:space="preserve">Entrega de </w:t>
      </w:r>
      <w:r w:rsidRPr="00BA1D95">
        <w:rPr>
          <w:rFonts w:ascii="ITC Avant Garde" w:hAnsi="ITC Avant Garde" w:cs="Arial"/>
          <w:sz w:val="22"/>
          <w:szCs w:val="22"/>
        </w:rPr>
        <w:t xml:space="preserve">los términos bajo los cuales se ofrecerá el servicio </w:t>
      </w:r>
      <w:r w:rsidRPr="00BA1D95">
        <w:rPr>
          <w:rFonts w:ascii="ITC Avant Garde" w:hAnsi="ITC Avant Garde" w:cs="Arial"/>
          <w:sz w:val="22"/>
          <w:szCs w:val="22"/>
          <w:lang w:val="es-MX"/>
        </w:rPr>
        <w:t xml:space="preserve">en tiempo: </w:t>
      </w:r>
      <w:r w:rsidR="00114853">
        <w:rPr>
          <w:rFonts w:ascii="ITC Avant Garde" w:hAnsi="ITC Avant Garde" w:cs="Arial"/>
          <w:sz w:val="22"/>
          <w:szCs w:val="22"/>
        </w:rPr>
        <w:t>100</w:t>
      </w:r>
      <w:r w:rsidR="00815590" w:rsidRPr="00BA1D95">
        <w:rPr>
          <w:rFonts w:ascii="ITC Avant Garde" w:hAnsi="ITC Avant Garde" w:cs="Arial"/>
          <w:sz w:val="22"/>
          <w:szCs w:val="22"/>
        </w:rPr>
        <w:t>%</w:t>
      </w:r>
      <w:r w:rsidRPr="00BA1D95">
        <w:rPr>
          <w:rStyle w:val="Refdenotaalpie"/>
          <w:rFonts w:ascii="ITC Avant Garde" w:hAnsi="ITC Avant Garde" w:cs="Arial"/>
          <w:sz w:val="22"/>
          <w:szCs w:val="22"/>
          <w:lang w:val="es-MX"/>
        </w:rPr>
        <w:footnoteReference w:id="20"/>
      </w:r>
      <w:r w:rsidR="00815590" w:rsidRPr="00BA1D95">
        <w:rPr>
          <w:rFonts w:ascii="ITC Avant Garde" w:hAnsi="ITC Avant Garde" w:cs="Arial"/>
          <w:sz w:val="22"/>
          <w:szCs w:val="22"/>
          <w:lang w:val="es-MX"/>
        </w:rPr>
        <w:t xml:space="preserve"> </w:t>
      </w:r>
    </w:p>
    <w:p w:rsidR="00A47F9A" w:rsidRPr="00BA1D95" w:rsidRDefault="00A47F9A" w:rsidP="00943ECC">
      <w:pPr>
        <w:spacing w:after="200" w:line="276" w:lineRule="auto"/>
        <w:jc w:val="both"/>
        <w:rPr>
          <w:rFonts w:ascii="ITC Avant Garde" w:hAnsi="ITC Avant Garde" w:cs="Arial"/>
          <w:b/>
        </w:rPr>
      </w:pPr>
      <w:r w:rsidRPr="00BA1D95">
        <w:rPr>
          <w:rFonts w:ascii="ITC Avant Garde" w:hAnsi="ITC Avant Garde" w:cs="Arial"/>
          <w:b/>
        </w:rPr>
        <w:t>Metodología</w:t>
      </w:r>
    </w:p>
    <w:p w:rsidR="00E25843" w:rsidRDefault="00A47F9A" w:rsidP="00943ECC">
      <w:pPr>
        <w:spacing w:after="200" w:line="276" w:lineRule="auto"/>
        <w:jc w:val="both"/>
        <w:rPr>
          <w:rFonts w:ascii="ITC Avant Garde" w:hAnsi="ITC Avant Garde" w:cs="Arial"/>
        </w:rPr>
      </w:pPr>
      <w:r w:rsidRPr="00BA1D95">
        <w:rPr>
          <w:rFonts w:ascii="ITC Avant Garde" w:hAnsi="ITC Avant Garde"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1309" w:name="_Toc525904657"/>
      <w:bookmarkStart w:id="1310" w:name="_Toc525914053"/>
      <w:bookmarkStart w:id="1311" w:name="_Toc525919292"/>
      <w:bookmarkStart w:id="1312" w:name="_Toc525919416"/>
      <w:bookmarkEnd w:id="1309"/>
      <w:bookmarkEnd w:id="1310"/>
      <w:bookmarkEnd w:id="1311"/>
      <w:bookmarkEnd w:id="1312"/>
    </w:p>
    <w:p w:rsidR="00E938FD" w:rsidRDefault="00A47F9A" w:rsidP="00BE2842">
      <w:pPr>
        <w:pStyle w:val="1TitPrin"/>
      </w:pPr>
      <w:bookmarkStart w:id="1313" w:name="_Toc44412647"/>
      <w:bookmarkStart w:id="1314" w:name="_Toc44413665"/>
      <w:bookmarkStart w:id="1315" w:name="_Toc44414144"/>
      <w:bookmarkStart w:id="1316" w:name="_Toc467248770"/>
      <w:bookmarkStart w:id="1317" w:name="_Toc525904658"/>
      <w:bookmarkStart w:id="1318" w:name="_Toc525914054"/>
      <w:bookmarkStart w:id="1319" w:name="_Toc525919293"/>
      <w:bookmarkStart w:id="1320" w:name="_Toc525919417"/>
      <w:bookmarkStart w:id="1321" w:name="_Toc2957226"/>
      <w:bookmarkStart w:id="1322" w:name="_Toc26273144"/>
      <w:bookmarkStart w:id="1323" w:name="_Toc26284543"/>
      <w:bookmarkStart w:id="1324" w:name="_Toc54106596"/>
      <w:bookmarkEnd w:id="1313"/>
      <w:bookmarkEnd w:id="1314"/>
      <w:bookmarkEnd w:id="1315"/>
      <w:r w:rsidRPr="00BA1D95">
        <w:t>Servicio Opcional de Cableado Interior de usuario final</w:t>
      </w:r>
      <w:bookmarkEnd w:id="1316"/>
      <w:bookmarkEnd w:id="1317"/>
      <w:bookmarkEnd w:id="1318"/>
      <w:bookmarkEnd w:id="1319"/>
      <w:bookmarkEnd w:id="1320"/>
      <w:bookmarkEnd w:id="1321"/>
      <w:r w:rsidR="00EA02A6" w:rsidRPr="00BA1D95">
        <w:rPr>
          <w:rStyle w:val="Refdenotaalpie"/>
        </w:rPr>
        <w:footnoteReference w:id="21"/>
      </w:r>
      <w:bookmarkEnd w:id="1322"/>
      <w:bookmarkEnd w:id="1323"/>
      <w:bookmarkEnd w:id="1324"/>
    </w:p>
    <w:p w:rsidR="00A47F9A" w:rsidRPr="00BA1D95" w:rsidRDefault="00A47F9A" w:rsidP="00943ECC">
      <w:pPr>
        <w:pStyle w:val="IFTnormal"/>
        <w:rPr>
          <w:rFonts w:cs="Arial"/>
        </w:rPr>
      </w:pPr>
      <w:r w:rsidRPr="00BA1D95">
        <w:rPr>
          <w:rFonts w:cs="Arial"/>
        </w:rPr>
        <w:t xml:space="preserve">El CS podrá instalar el cableado interior tomando en consideración la recomendación establecida en el Anexo </w:t>
      </w:r>
      <w:r w:rsidR="00963189" w:rsidRPr="00BA1D95">
        <w:rPr>
          <w:rFonts w:cs="Arial"/>
        </w:rPr>
        <w:t>E</w:t>
      </w:r>
      <w:r w:rsidRPr="00BA1D95">
        <w:rPr>
          <w:rStyle w:val="Refdenotaalpie"/>
          <w:rFonts w:cs="Arial"/>
        </w:rPr>
        <w:footnoteReference w:id="22"/>
      </w:r>
      <w:r w:rsidRPr="00BA1D95">
        <w:rPr>
          <w:rFonts w:cs="Arial"/>
        </w:rPr>
        <w:t xml:space="preserve">: Normativa Técnica para los servicios de desagregación, o bien podrá solicitar que </w:t>
      </w:r>
      <w:r w:rsidR="00E83F21">
        <w:rPr>
          <w:rFonts w:cs="Arial"/>
        </w:rPr>
        <w:t>Telmex / Telnor</w:t>
      </w:r>
      <w:r w:rsidR="00EA02A6" w:rsidRPr="00BA1D95">
        <w:rPr>
          <w:rFonts w:cs="Arial"/>
        </w:rPr>
        <w:t xml:space="preserve"> </w:t>
      </w:r>
      <w:r w:rsidRPr="00BA1D95">
        <w:rPr>
          <w:rFonts w:cs="Arial"/>
        </w:rPr>
        <w:t>instale el Cableado Interior en el domicilio del usuario</w:t>
      </w:r>
      <w:r w:rsidRPr="00BA1D95">
        <w:rPr>
          <w:rStyle w:val="Refdenotaalpie"/>
          <w:rFonts w:cs="Arial"/>
        </w:rPr>
        <w:footnoteReference w:id="23"/>
      </w:r>
      <w:r w:rsidRPr="00BA1D95">
        <w:rPr>
          <w:rFonts w:cs="Arial"/>
        </w:rPr>
        <w:t xml:space="preserve">, lo cual estará sujeto a la capacidad de atención. En caso de que el cableado interior sea solicitado por los CS a la habilitación del servicio de Desagregación, será instalado el cableado en el mismo evento, o bien será habilitado posteriormente para el caso de extensiones adicionales, </w:t>
      </w:r>
    </w:p>
    <w:p w:rsidR="00A47F9A" w:rsidRPr="00BA1D95" w:rsidRDefault="00A47F9A" w:rsidP="00943ECC">
      <w:pPr>
        <w:pStyle w:val="IFTnormal"/>
        <w:rPr>
          <w:rFonts w:cs="Arial"/>
        </w:rPr>
      </w:pPr>
      <w:r w:rsidRPr="00BA1D95">
        <w:rPr>
          <w:rFonts w:cs="Arial"/>
        </w:rPr>
        <w:t xml:space="preserve">El alcance de este servicio </w:t>
      </w:r>
      <w:r w:rsidR="00EA02A6" w:rsidRPr="00BA1D95">
        <w:rPr>
          <w:rFonts w:cs="Arial"/>
        </w:rPr>
        <w:t xml:space="preserve">está definido en el Anexo </w:t>
      </w:r>
      <w:r w:rsidR="00963189" w:rsidRPr="00BA1D95">
        <w:rPr>
          <w:rFonts w:cs="Arial"/>
        </w:rPr>
        <w:t>E1</w:t>
      </w:r>
      <w:r w:rsidR="00EA02A6" w:rsidRPr="00BA1D95">
        <w:rPr>
          <w:rFonts w:cs="Arial"/>
        </w:rPr>
        <w:t xml:space="preserve"> </w:t>
      </w:r>
      <w:r w:rsidRPr="00BA1D95">
        <w:rPr>
          <w:rFonts w:cs="Arial"/>
        </w:rPr>
        <w:t>el cual comprende la instalación de cableado entre el PCT hasta la roseta para la conexión de uno o dos dispositivos terminales, no considera el retiro de un cableado existente.</w:t>
      </w:r>
    </w:p>
    <w:p w:rsidR="005F5ACB" w:rsidRPr="00BA1D95" w:rsidRDefault="00A47F9A" w:rsidP="00943ECC">
      <w:pPr>
        <w:pStyle w:val="IFTnormal"/>
        <w:rPr>
          <w:rFonts w:cs="Arial"/>
        </w:rPr>
      </w:pPr>
      <w:r w:rsidRPr="00BA1D95">
        <w:rPr>
          <w:rFonts w:cs="Arial"/>
        </w:rPr>
        <w:t>Durante la instalación del cableado interior</w:t>
      </w:r>
      <w:r w:rsidR="00EA02A6" w:rsidRPr="00BA1D95">
        <w:rPr>
          <w:rFonts w:cs="Arial"/>
        </w:rPr>
        <w:t xml:space="preserve"> se</w:t>
      </w:r>
      <w:r w:rsidR="005F5ACB" w:rsidRPr="00BA1D95">
        <w:rPr>
          <w:rFonts w:cs="Arial"/>
        </w:rPr>
        <w:t xml:space="preserve"> </w:t>
      </w:r>
      <w:r w:rsidRPr="00BA1D95">
        <w:rPr>
          <w:rFonts w:cs="Arial"/>
        </w:rPr>
        <w:t>realizará el siguiente procedimiento:</w:t>
      </w:r>
    </w:p>
    <w:p w:rsidR="00E938FD" w:rsidRDefault="00A47F9A">
      <w:pPr>
        <w:pStyle w:val="IFTnormal"/>
        <w:numPr>
          <w:ilvl w:val="0"/>
          <w:numId w:val="27"/>
        </w:numPr>
        <w:spacing w:after="0"/>
        <w:ind w:left="714" w:right="142" w:hanging="357"/>
        <w:rPr>
          <w:rFonts w:cs="Arial"/>
        </w:rPr>
      </w:pPr>
      <w:r w:rsidRPr="00BA1D95">
        <w:rPr>
          <w:rFonts w:cs="Arial"/>
        </w:rPr>
        <w:t>Se valida en la solicitud el número de extensiones requeridas por el CS.</w:t>
      </w:r>
    </w:p>
    <w:p w:rsidR="00E938FD" w:rsidRDefault="00A47F9A">
      <w:pPr>
        <w:pStyle w:val="IFTnormal"/>
        <w:numPr>
          <w:ilvl w:val="0"/>
          <w:numId w:val="27"/>
        </w:numPr>
        <w:spacing w:after="0"/>
        <w:ind w:left="714" w:right="142" w:hanging="357"/>
        <w:rPr>
          <w:rFonts w:cs="Arial"/>
        </w:rPr>
      </w:pPr>
      <w:r w:rsidRPr="00BA1D95">
        <w:rPr>
          <w:rFonts w:cs="Arial"/>
        </w:rPr>
        <w:t>Posteriormente se planea la trayectoria de la instalación en conjunto con el usuario final iniciando desde el PCT.</w:t>
      </w:r>
    </w:p>
    <w:p w:rsidR="00E938FD" w:rsidRDefault="00A47F9A">
      <w:pPr>
        <w:pStyle w:val="IFTnormal"/>
        <w:numPr>
          <w:ilvl w:val="0"/>
          <w:numId w:val="27"/>
        </w:numPr>
        <w:spacing w:after="0"/>
        <w:ind w:left="714" w:right="142" w:hanging="357"/>
        <w:rPr>
          <w:rFonts w:cs="Arial"/>
        </w:rPr>
      </w:pPr>
      <w:r w:rsidRPr="00BA1D95">
        <w:rPr>
          <w:rFonts w:cs="Arial"/>
        </w:rPr>
        <w:t>Se conecta con cordón marfil interior/exterior en el PCT a las rosetas donde se conecta el equipo terminal del usuario final conforme se indica en la normativa técnica correspondiente del Anexo E de la presente OREDA.</w:t>
      </w:r>
    </w:p>
    <w:p w:rsidR="00E938FD" w:rsidRDefault="00A47F9A">
      <w:pPr>
        <w:pStyle w:val="IFTnormal"/>
        <w:numPr>
          <w:ilvl w:val="0"/>
          <w:numId w:val="27"/>
        </w:numPr>
        <w:spacing w:after="0"/>
        <w:ind w:left="714" w:right="142" w:hanging="357"/>
        <w:rPr>
          <w:rFonts w:cs="Arial"/>
        </w:rPr>
      </w:pPr>
      <w:r w:rsidRPr="00BA1D95">
        <w:rPr>
          <w:rFonts w:cs="Arial"/>
        </w:rPr>
        <w:t xml:space="preserve">Se realiza prueba de continuidad del cableado y se liquida el servicio. </w:t>
      </w:r>
    </w:p>
    <w:p w:rsidR="006338F9" w:rsidRDefault="006338F9" w:rsidP="004934EF">
      <w:pPr>
        <w:pStyle w:val="IFTnormal"/>
        <w:spacing w:before="240"/>
        <w:rPr>
          <w:rFonts w:cs="Arial"/>
          <w:b/>
        </w:rPr>
      </w:pPr>
    </w:p>
    <w:p w:rsidR="00A47F9A" w:rsidRPr="00BA1D95" w:rsidRDefault="00A47F9A" w:rsidP="004934EF">
      <w:pPr>
        <w:pStyle w:val="IFTnormal"/>
        <w:spacing w:before="240"/>
        <w:rPr>
          <w:rFonts w:cs="Arial"/>
          <w:b/>
        </w:rPr>
      </w:pPr>
      <w:r w:rsidRPr="00BA1D95">
        <w:rPr>
          <w:rFonts w:cs="Arial"/>
          <w:b/>
        </w:rPr>
        <w:t>Garantía del servicio</w:t>
      </w:r>
    </w:p>
    <w:p w:rsidR="00A47F9A" w:rsidRPr="00BA1D95" w:rsidRDefault="00A47F9A" w:rsidP="00943ECC">
      <w:pPr>
        <w:pStyle w:val="IFTnormal"/>
        <w:rPr>
          <w:rFonts w:cs="Arial"/>
        </w:rPr>
      </w:pPr>
      <w:r w:rsidRPr="00BA1D95">
        <w:rPr>
          <w:rFonts w:cs="Arial"/>
        </w:rPr>
        <w:lastRenderedPageBreak/>
        <w:t xml:space="preserve">Las fallas originadas en el cableado interior serán atendidas por </w:t>
      </w:r>
      <w:r w:rsidR="00E83F21">
        <w:rPr>
          <w:rFonts w:cs="Arial"/>
        </w:rPr>
        <w:t>Telmex / Telnor</w:t>
      </w:r>
      <w:r w:rsidRPr="00BA1D95">
        <w:rPr>
          <w:rFonts w:cs="Arial"/>
        </w:rPr>
        <w:t>, siempre que ocurran durante los 60 días naturales posteriores a la instalación del cableado y queden excluidos los siguientes escenarios que no son atribuibles al servicio brindado:</w:t>
      </w:r>
    </w:p>
    <w:p w:rsidR="00E938FD" w:rsidRDefault="00A47F9A">
      <w:pPr>
        <w:pStyle w:val="IFTnormal"/>
        <w:numPr>
          <w:ilvl w:val="0"/>
          <w:numId w:val="27"/>
        </w:numPr>
        <w:spacing w:after="0"/>
        <w:ind w:left="714" w:right="142" w:hanging="357"/>
        <w:rPr>
          <w:rFonts w:cs="Arial"/>
        </w:rPr>
      </w:pPr>
      <w:r w:rsidRPr="00BA1D95">
        <w:rPr>
          <w:rFonts w:cs="Arial"/>
        </w:rPr>
        <w:t>Corte intencional del cable</w:t>
      </w:r>
    </w:p>
    <w:p w:rsidR="00E938FD" w:rsidRDefault="00A47F9A">
      <w:pPr>
        <w:pStyle w:val="IFTnormal"/>
        <w:numPr>
          <w:ilvl w:val="0"/>
          <w:numId w:val="27"/>
        </w:numPr>
        <w:spacing w:after="0"/>
        <w:ind w:left="714" w:right="142" w:hanging="357"/>
        <w:rPr>
          <w:rFonts w:cs="Arial"/>
        </w:rPr>
      </w:pPr>
      <w:r w:rsidRPr="00BA1D95">
        <w:rPr>
          <w:rFonts w:cs="Arial"/>
        </w:rPr>
        <w:t>Causas fortuitas o de fuerza mayor</w:t>
      </w:r>
    </w:p>
    <w:p w:rsidR="00E938FD" w:rsidRDefault="00A47F9A">
      <w:pPr>
        <w:pStyle w:val="IFTnormal"/>
        <w:numPr>
          <w:ilvl w:val="0"/>
          <w:numId w:val="27"/>
        </w:numPr>
        <w:spacing w:after="0"/>
        <w:ind w:left="714" w:right="142" w:hanging="357"/>
        <w:rPr>
          <w:rFonts w:cs="Arial"/>
        </w:rPr>
      </w:pPr>
      <w:r w:rsidRPr="00BA1D95">
        <w:rPr>
          <w:rFonts w:cs="Arial"/>
        </w:rPr>
        <w:t>Deterioro por uso inadecuado del cableado</w:t>
      </w:r>
    </w:p>
    <w:p w:rsidR="00E938FD" w:rsidRDefault="00A47F9A">
      <w:pPr>
        <w:pStyle w:val="IFTnormal"/>
        <w:numPr>
          <w:ilvl w:val="0"/>
          <w:numId w:val="27"/>
        </w:numPr>
        <w:spacing w:after="0"/>
        <w:ind w:left="714" w:right="142" w:hanging="357"/>
        <w:rPr>
          <w:rFonts w:cs="Arial"/>
        </w:rPr>
      </w:pPr>
      <w:r w:rsidRPr="00BA1D95">
        <w:rPr>
          <w:rFonts w:cs="Arial"/>
        </w:rPr>
        <w:t>Daños por obras, remodelaciones o reparaciones al interior del inmueble</w:t>
      </w:r>
    </w:p>
    <w:p w:rsidR="00E938FD" w:rsidRDefault="00A47F9A">
      <w:pPr>
        <w:pStyle w:val="IFTnormal"/>
        <w:numPr>
          <w:ilvl w:val="0"/>
          <w:numId w:val="27"/>
        </w:numPr>
        <w:spacing w:after="0"/>
        <w:ind w:left="714" w:right="142" w:hanging="357"/>
        <w:rPr>
          <w:rFonts w:cs="Arial"/>
        </w:rPr>
      </w:pPr>
      <w:r w:rsidRPr="00BA1D95">
        <w:rPr>
          <w:rFonts w:cs="Arial"/>
        </w:rPr>
        <w:t>Desconexiones</w:t>
      </w:r>
    </w:p>
    <w:p w:rsidR="00E938FD" w:rsidRDefault="00A47F9A">
      <w:pPr>
        <w:pStyle w:val="IFTnormal"/>
        <w:numPr>
          <w:ilvl w:val="0"/>
          <w:numId w:val="27"/>
        </w:numPr>
        <w:spacing w:after="0"/>
        <w:ind w:left="714" w:right="142" w:hanging="357"/>
        <w:rPr>
          <w:rFonts w:cs="Arial"/>
        </w:rPr>
      </w:pPr>
      <w:r w:rsidRPr="00BA1D95">
        <w:rPr>
          <w:rFonts w:cs="Arial"/>
        </w:rPr>
        <w:t>Robo, vandalismo, siniestros, daños por roedores, etc</w:t>
      </w:r>
      <w:r w:rsidR="00E2652B">
        <w:rPr>
          <w:rFonts w:cs="Arial"/>
        </w:rPr>
        <w:t>.</w:t>
      </w:r>
    </w:p>
    <w:sectPr w:rsidR="00E938FD" w:rsidSect="003223FC">
      <w:headerReference w:type="even" r:id="rId29"/>
      <w:headerReference w:type="default" r:id="rId30"/>
      <w:footerReference w:type="default" r:id="rId31"/>
      <w:headerReference w:type="first" r:id="rId32"/>
      <w:pgSz w:w="12242" w:h="15842" w:code="1"/>
      <w:pgMar w:top="2155" w:right="1701" w:bottom="1134" w:left="1701" w:header="567" w:footer="567" w:gutter="0"/>
      <w:cols w:space="720"/>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7BF657E" w15:done="0"/>
  <w15:commentEx w15:paraId="16A3DD21" w15:done="0"/>
  <w15:commentEx w15:paraId="4520DC2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85A26E" w16cex:dateUtc="2021-06-29T18:45:00Z"/>
  <w16cex:commentExtensible w16cex:durableId="2485E700" w16cex:dateUtc="2021-06-29T23: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7BF657E" w16cid:durableId="2485A26E"/>
  <w16cid:commentId w16cid:paraId="16A3DD21" w16cid:durableId="2485A1C4"/>
  <w16cid:commentId w16cid:paraId="4520DC21" w16cid:durableId="2485E700"/>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7D13" w:rsidRDefault="002C7D13" w:rsidP="00A47F9A">
      <w:pPr>
        <w:spacing w:after="0" w:line="240" w:lineRule="auto"/>
      </w:pPr>
      <w:r>
        <w:separator/>
      </w:r>
    </w:p>
  </w:endnote>
  <w:endnote w:type="continuationSeparator" w:id="0">
    <w:p w:rsidR="002C7D13" w:rsidRDefault="002C7D13" w:rsidP="00A47F9A">
      <w:pPr>
        <w:spacing w:after="0" w:line="240" w:lineRule="auto"/>
      </w:pPr>
      <w:r>
        <w:continuationSeparator/>
      </w:r>
    </w:p>
  </w:endnote>
  <w:endnote w:type="continuationNotice" w:id="1">
    <w:p w:rsidR="002C7D13" w:rsidRDefault="002C7D13">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ITC Avant Garde">
    <w:altName w:val="Calibri"/>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Pr="005D3ED7" w:rsidRDefault="009E7B98" w:rsidP="001708AE">
    <w:pPr>
      <w:pStyle w:val="Piedepgina"/>
      <w:jc w:val="right"/>
      <w:rPr>
        <w:rFonts w:ascii="Arial" w:hAnsi="Arial" w:cs="Arial"/>
        <w:sz w:val="18"/>
        <w:szCs w:val="18"/>
      </w:rPr>
    </w:pPr>
    <w:r w:rsidRPr="005D3ED7">
      <w:rPr>
        <w:rFonts w:ascii="Arial" w:hAnsi="Arial" w:cs="Arial"/>
        <w:sz w:val="18"/>
        <w:szCs w:val="18"/>
      </w:rPr>
      <w:t xml:space="preserve">Página </w:t>
    </w:r>
    <w:r w:rsidRPr="005D3ED7">
      <w:rPr>
        <w:rFonts w:ascii="Arial" w:hAnsi="Arial" w:cs="Arial"/>
        <w:sz w:val="18"/>
        <w:szCs w:val="18"/>
      </w:rPr>
      <w:fldChar w:fldCharType="begin"/>
    </w:r>
    <w:r w:rsidRPr="005D3ED7">
      <w:rPr>
        <w:rFonts w:ascii="Arial" w:hAnsi="Arial" w:cs="Arial"/>
        <w:sz w:val="18"/>
        <w:szCs w:val="18"/>
      </w:rPr>
      <w:instrText>PAGE</w:instrText>
    </w:r>
    <w:r w:rsidRPr="005D3ED7">
      <w:rPr>
        <w:rFonts w:ascii="Arial" w:hAnsi="Arial" w:cs="Arial"/>
        <w:sz w:val="18"/>
        <w:szCs w:val="18"/>
      </w:rPr>
      <w:fldChar w:fldCharType="separate"/>
    </w:r>
    <w:r w:rsidR="006077C0">
      <w:rPr>
        <w:rFonts w:ascii="Arial" w:hAnsi="Arial" w:cs="Arial"/>
        <w:noProof/>
        <w:sz w:val="18"/>
        <w:szCs w:val="18"/>
      </w:rPr>
      <w:t>7</w:t>
    </w:r>
    <w:r w:rsidRPr="005D3ED7">
      <w:rPr>
        <w:rFonts w:ascii="Arial" w:hAnsi="Arial" w:cs="Arial"/>
        <w:sz w:val="18"/>
        <w:szCs w:val="18"/>
      </w:rPr>
      <w:fldChar w:fldCharType="end"/>
    </w:r>
    <w:r w:rsidRPr="005D3ED7">
      <w:rPr>
        <w:rFonts w:ascii="Arial" w:hAnsi="Arial" w:cs="Arial"/>
        <w:sz w:val="18"/>
        <w:szCs w:val="18"/>
      </w:rPr>
      <w:t xml:space="preserve"> de </w:t>
    </w:r>
    <w:r w:rsidRPr="005D3ED7">
      <w:rPr>
        <w:rFonts w:ascii="Arial" w:hAnsi="Arial" w:cs="Arial"/>
        <w:sz w:val="18"/>
        <w:szCs w:val="18"/>
      </w:rPr>
      <w:fldChar w:fldCharType="begin"/>
    </w:r>
    <w:r w:rsidRPr="005D3ED7">
      <w:rPr>
        <w:rFonts w:ascii="Arial" w:hAnsi="Arial" w:cs="Arial"/>
        <w:sz w:val="18"/>
        <w:szCs w:val="18"/>
      </w:rPr>
      <w:instrText>NUMPAGES</w:instrText>
    </w:r>
    <w:r w:rsidRPr="005D3ED7">
      <w:rPr>
        <w:rFonts w:ascii="Arial" w:hAnsi="Arial" w:cs="Arial"/>
        <w:sz w:val="18"/>
        <w:szCs w:val="18"/>
      </w:rPr>
      <w:fldChar w:fldCharType="separate"/>
    </w:r>
    <w:r w:rsidR="006077C0">
      <w:rPr>
        <w:rFonts w:ascii="Arial" w:hAnsi="Arial" w:cs="Arial"/>
        <w:noProof/>
        <w:sz w:val="18"/>
        <w:szCs w:val="18"/>
      </w:rPr>
      <w:t>85</w:t>
    </w:r>
    <w:r w:rsidRPr="005D3ED7">
      <w:rPr>
        <w:rFonts w:ascii="Arial" w:hAnsi="Arial" w:cs="Arial"/>
        <w:sz w:val="18"/>
        <w:szCs w:val="1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Pr="00884CBD" w:rsidRDefault="009E7B98">
    <w:pPr>
      <w:pStyle w:val="Piedepgina"/>
      <w:jc w:val="right"/>
      <w:rPr>
        <w:rFonts w:ascii="Arial" w:hAnsi="Arial" w:cs="Arial"/>
        <w:sz w:val="18"/>
        <w:szCs w:val="22"/>
      </w:rPr>
    </w:pPr>
    <w:r w:rsidRPr="00884CBD">
      <w:rPr>
        <w:rFonts w:ascii="Arial" w:hAnsi="Arial" w:cs="Arial"/>
        <w:sz w:val="18"/>
        <w:szCs w:val="22"/>
        <w:lang w:val="es-ES"/>
      </w:rPr>
      <w:t xml:space="preserve">Página </w:t>
    </w:r>
    <w:r w:rsidRPr="00884CBD">
      <w:rPr>
        <w:rFonts w:ascii="Arial" w:hAnsi="Arial" w:cs="Arial"/>
        <w:bCs/>
        <w:sz w:val="18"/>
        <w:szCs w:val="22"/>
      </w:rPr>
      <w:fldChar w:fldCharType="begin"/>
    </w:r>
    <w:r w:rsidRPr="00884CBD">
      <w:rPr>
        <w:rFonts w:ascii="Arial" w:hAnsi="Arial" w:cs="Arial"/>
        <w:bCs/>
        <w:sz w:val="18"/>
        <w:szCs w:val="22"/>
      </w:rPr>
      <w:instrText>PAGE</w:instrText>
    </w:r>
    <w:r w:rsidRPr="00884CBD">
      <w:rPr>
        <w:rFonts w:ascii="Arial" w:hAnsi="Arial" w:cs="Arial"/>
        <w:bCs/>
        <w:sz w:val="18"/>
        <w:szCs w:val="22"/>
      </w:rPr>
      <w:fldChar w:fldCharType="separate"/>
    </w:r>
    <w:r w:rsidR="006077C0">
      <w:rPr>
        <w:rFonts w:ascii="Arial" w:hAnsi="Arial" w:cs="Arial"/>
        <w:bCs/>
        <w:noProof/>
        <w:sz w:val="18"/>
        <w:szCs w:val="22"/>
      </w:rPr>
      <w:t>85</w:t>
    </w:r>
    <w:r w:rsidRPr="00884CBD">
      <w:rPr>
        <w:rFonts w:ascii="Arial" w:hAnsi="Arial" w:cs="Arial"/>
        <w:bCs/>
        <w:sz w:val="18"/>
        <w:szCs w:val="22"/>
      </w:rPr>
      <w:fldChar w:fldCharType="end"/>
    </w:r>
    <w:r w:rsidRPr="00884CBD">
      <w:rPr>
        <w:rFonts w:ascii="Arial" w:hAnsi="Arial" w:cs="Arial"/>
        <w:sz w:val="18"/>
        <w:szCs w:val="22"/>
        <w:lang w:val="es-ES"/>
      </w:rPr>
      <w:t xml:space="preserve"> de </w:t>
    </w:r>
    <w:r w:rsidRPr="00884CBD">
      <w:rPr>
        <w:rFonts w:ascii="Arial" w:hAnsi="Arial" w:cs="Arial"/>
        <w:bCs/>
        <w:sz w:val="18"/>
        <w:szCs w:val="22"/>
      </w:rPr>
      <w:fldChar w:fldCharType="begin"/>
    </w:r>
    <w:r w:rsidRPr="00884CBD">
      <w:rPr>
        <w:rFonts w:ascii="Arial" w:hAnsi="Arial" w:cs="Arial"/>
        <w:bCs/>
        <w:sz w:val="18"/>
        <w:szCs w:val="22"/>
      </w:rPr>
      <w:instrText>NUMPAGES</w:instrText>
    </w:r>
    <w:r w:rsidRPr="00884CBD">
      <w:rPr>
        <w:rFonts w:ascii="Arial" w:hAnsi="Arial" w:cs="Arial"/>
        <w:bCs/>
        <w:sz w:val="18"/>
        <w:szCs w:val="22"/>
      </w:rPr>
      <w:fldChar w:fldCharType="separate"/>
    </w:r>
    <w:r w:rsidR="006077C0">
      <w:rPr>
        <w:rFonts w:ascii="Arial" w:hAnsi="Arial" w:cs="Arial"/>
        <w:bCs/>
        <w:noProof/>
        <w:sz w:val="18"/>
        <w:szCs w:val="22"/>
      </w:rPr>
      <w:t>85</w:t>
    </w:r>
    <w:r w:rsidRPr="00884CBD">
      <w:rPr>
        <w:rFonts w:ascii="Arial" w:hAnsi="Arial" w:cs="Arial"/>
        <w:bCs/>
        <w:sz w:val="18"/>
        <w:szCs w:val="2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7D13" w:rsidRDefault="002C7D13" w:rsidP="00A47F9A">
      <w:pPr>
        <w:spacing w:after="0" w:line="240" w:lineRule="auto"/>
      </w:pPr>
      <w:r>
        <w:separator/>
      </w:r>
    </w:p>
  </w:footnote>
  <w:footnote w:type="continuationSeparator" w:id="0">
    <w:p w:rsidR="002C7D13" w:rsidRDefault="002C7D13" w:rsidP="00A47F9A">
      <w:pPr>
        <w:spacing w:after="0" w:line="240" w:lineRule="auto"/>
      </w:pPr>
      <w:r>
        <w:continuationSeparator/>
      </w:r>
    </w:p>
  </w:footnote>
  <w:footnote w:type="continuationNotice" w:id="1">
    <w:p w:rsidR="002C7D13" w:rsidRDefault="002C7D13">
      <w:pPr>
        <w:spacing w:after="0" w:line="240" w:lineRule="auto"/>
      </w:pPr>
    </w:p>
  </w:footnote>
  <w:footnote w:id="2">
    <w:p w:rsidR="009E7B98" w:rsidRPr="006C2A4C" w:rsidRDefault="009E7B98">
      <w:pPr>
        <w:pStyle w:val="Textonotapie"/>
      </w:pPr>
      <w:r w:rsidRPr="00094B5A">
        <w:rPr>
          <w:rStyle w:val="Refdenotaalpie"/>
          <w:sz w:val="18"/>
        </w:rPr>
        <w:footnoteRef/>
      </w:r>
      <w:r w:rsidRPr="00094B5A">
        <w:rPr>
          <w:sz w:val="18"/>
        </w:rPr>
        <w:t xml:space="preserve"> Como lo estipula el Título de Concesión de Telmex</w:t>
      </w:r>
    </w:p>
  </w:footnote>
  <w:footnote w:id="3">
    <w:p w:rsidR="009E7B98" w:rsidRPr="008D2A4C" w:rsidRDefault="009E7B98" w:rsidP="00A47F9A">
      <w:pPr>
        <w:pStyle w:val="Textonotapie"/>
        <w:jc w:val="both"/>
        <w:rPr>
          <w:rFonts w:cs="Arial"/>
          <w:sz w:val="18"/>
          <w:szCs w:val="18"/>
          <w:lang w:val="es-MX"/>
        </w:rPr>
      </w:pPr>
      <w:r w:rsidRPr="008F3C1F">
        <w:rPr>
          <w:rStyle w:val="Refdenotaalpie"/>
          <w:rFonts w:cs="Arial"/>
          <w:sz w:val="18"/>
          <w:szCs w:val="18"/>
        </w:rPr>
        <w:footnoteRef/>
      </w:r>
      <w:r w:rsidRPr="008F3C1F">
        <w:rPr>
          <w:rFonts w:cs="Arial"/>
          <w:sz w:val="18"/>
          <w:szCs w:val="18"/>
        </w:rPr>
        <w:t xml:space="preserve"> </w:t>
      </w:r>
      <w:r w:rsidRPr="008D2A4C">
        <w:rPr>
          <w:rFonts w:cs="Arial"/>
          <w:sz w:val="18"/>
          <w:szCs w:val="18"/>
          <w:lang w:val="es-MX"/>
        </w:rPr>
        <w:t>El nuevo proveedor del servicio (receptor) deberá resguardar el documento en el que el suscriptor da su consentimiento al usuario final de realizar la contratación o modificación de los servicios de telecomunicaciones.</w:t>
      </w:r>
    </w:p>
  </w:footnote>
  <w:footnote w:id="4">
    <w:p w:rsidR="009E7B98" w:rsidRPr="003018E4" w:rsidRDefault="009E7B98" w:rsidP="003223FC">
      <w:pPr>
        <w:pStyle w:val="Textonotapie"/>
        <w:jc w:val="both"/>
        <w:rPr>
          <w:sz w:val="20"/>
          <w:lang w:val="es-MX"/>
        </w:rPr>
      </w:pPr>
      <w:r w:rsidRPr="0095574A">
        <w:rPr>
          <w:rStyle w:val="Refdenotaalpie"/>
          <w:sz w:val="22"/>
        </w:rPr>
        <w:footnoteRef/>
      </w:r>
      <w:r w:rsidRPr="0095574A">
        <w:rPr>
          <w:sz w:val="22"/>
        </w:rPr>
        <w:t xml:space="preserve"> </w:t>
      </w:r>
      <w:r w:rsidRPr="003018E4">
        <w:rPr>
          <w:sz w:val="18"/>
          <w:lang w:val="es-MX"/>
        </w:rPr>
        <w:t>El CS podrá definir su propio formato siempre y cuando contenga los campos mínimos necesarios indicados en la “SOLICITUD DE VOLUNTAD DEL USUARIO FINAL/SUSCRIPTOR”, ya sea para servicio residencial o comercial.</w:t>
      </w:r>
    </w:p>
  </w:footnote>
  <w:footnote w:id="5">
    <w:p w:rsidR="009E7B98" w:rsidRPr="002C3544" w:rsidRDefault="009E7B98" w:rsidP="005107F8">
      <w:pPr>
        <w:pStyle w:val="Textonotapie"/>
        <w:jc w:val="both"/>
        <w:rPr>
          <w:sz w:val="16"/>
          <w:szCs w:val="16"/>
          <w:lang w:val="es-MX"/>
        </w:rPr>
      </w:pPr>
      <w:r w:rsidRPr="002C3544">
        <w:rPr>
          <w:rStyle w:val="Refdenotaalpie"/>
          <w:sz w:val="16"/>
          <w:szCs w:val="16"/>
        </w:rPr>
        <w:footnoteRef/>
      </w:r>
      <w:r w:rsidRPr="002C3544">
        <w:rPr>
          <w:sz w:val="16"/>
          <w:szCs w:val="16"/>
        </w:rPr>
        <w:t xml:space="preserve"> </w:t>
      </w:r>
      <w:r>
        <w:rPr>
          <w:rFonts w:ascii="ITC Avant Garde" w:hAnsi="ITC Avant Garde"/>
          <w:sz w:val="16"/>
          <w:szCs w:val="16"/>
        </w:rPr>
        <w:t>L</w:t>
      </w:r>
      <w:r w:rsidRPr="002C3544">
        <w:rPr>
          <w:rFonts w:ascii="ITC Avant Garde" w:hAnsi="ITC Avant Garde"/>
          <w:sz w:val="16"/>
          <w:szCs w:val="16"/>
        </w:rPr>
        <w:t>os servicios proporcionados por terceros pud</w:t>
      </w:r>
      <w:r>
        <w:rPr>
          <w:rFonts w:ascii="ITC Avant Garde" w:hAnsi="ITC Avant Garde"/>
          <w:sz w:val="16"/>
          <w:szCs w:val="16"/>
        </w:rPr>
        <w:t>i</w:t>
      </w:r>
      <w:r w:rsidRPr="002C3544">
        <w:rPr>
          <w:rFonts w:ascii="ITC Avant Garde" w:hAnsi="ITC Avant Garde"/>
          <w:sz w:val="16"/>
          <w:szCs w:val="16"/>
        </w:rPr>
        <w:t>e</w:t>
      </w:r>
      <w:r>
        <w:rPr>
          <w:rFonts w:ascii="ITC Avant Garde" w:hAnsi="ITC Avant Garde"/>
          <w:sz w:val="16"/>
          <w:szCs w:val="16"/>
        </w:rPr>
        <w:t>re</w:t>
      </w:r>
      <w:r w:rsidRPr="002C3544">
        <w:rPr>
          <w:rFonts w:ascii="ITC Avant Garde" w:hAnsi="ITC Avant Garde"/>
          <w:sz w:val="16"/>
          <w:szCs w:val="16"/>
        </w:rPr>
        <w:t xml:space="preserve">n </w:t>
      </w:r>
      <w:r>
        <w:rPr>
          <w:rFonts w:ascii="ITC Avant Garde" w:hAnsi="ITC Avant Garde"/>
          <w:sz w:val="16"/>
          <w:szCs w:val="16"/>
        </w:rPr>
        <w:t xml:space="preserve">continuar </w:t>
      </w:r>
      <w:r w:rsidRPr="002C3544">
        <w:rPr>
          <w:rFonts w:ascii="ITC Avant Garde" w:hAnsi="ITC Avant Garde"/>
          <w:sz w:val="16"/>
          <w:szCs w:val="16"/>
        </w:rPr>
        <w:t>genera</w:t>
      </w:r>
      <w:r>
        <w:rPr>
          <w:rFonts w:ascii="ITC Avant Garde" w:hAnsi="ITC Avant Garde"/>
          <w:sz w:val="16"/>
          <w:szCs w:val="16"/>
        </w:rPr>
        <w:t>ndo</w:t>
      </w:r>
      <w:r w:rsidRPr="002C3544">
        <w:rPr>
          <w:rFonts w:ascii="ITC Avant Garde" w:hAnsi="ITC Avant Garde"/>
          <w:sz w:val="16"/>
          <w:szCs w:val="16"/>
        </w:rPr>
        <w:t xml:space="preserve"> cargos </w:t>
      </w:r>
      <w:r>
        <w:rPr>
          <w:rFonts w:ascii="ITC Avant Garde" w:hAnsi="ITC Avant Garde"/>
          <w:sz w:val="16"/>
          <w:szCs w:val="16"/>
        </w:rPr>
        <w:t xml:space="preserve">al usuario final, los que, según sea el caso, </w:t>
      </w:r>
      <w:r w:rsidRPr="002C3544">
        <w:rPr>
          <w:rFonts w:ascii="ITC Avant Garde" w:hAnsi="ITC Avant Garde"/>
          <w:sz w:val="16"/>
          <w:szCs w:val="16"/>
        </w:rPr>
        <w:t>continuarán siendo facturados y cobrados por Telmex</w:t>
      </w:r>
      <w:r>
        <w:rPr>
          <w:rFonts w:ascii="ITC Avant Garde" w:hAnsi="ITC Avant Garde"/>
          <w:sz w:val="16"/>
          <w:szCs w:val="16"/>
        </w:rPr>
        <w:t>/</w:t>
      </w:r>
      <w:r w:rsidRPr="002C3544">
        <w:rPr>
          <w:rFonts w:ascii="ITC Avant Garde" w:hAnsi="ITC Avant Garde"/>
          <w:sz w:val="16"/>
          <w:szCs w:val="16"/>
        </w:rPr>
        <w:t>Telnor</w:t>
      </w:r>
      <w:r w:rsidRPr="002C3544">
        <w:rPr>
          <w:sz w:val="16"/>
          <w:szCs w:val="16"/>
          <w:lang w:val="es-MX"/>
        </w:rPr>
        <w:t>.</w:t>
      </w:r>
    </w:p>
  </w:footnote>
  <w:footnote w:id="6">
    <w:p w:rsidR="009E7B98" w:rsidRPr="00ED0CD3" w:rsidRDefault="009E7B98">
      <w:pPr>
        <w:pStyle w:val="Textonotapie"/>
        <w:rPr>
          <w:rFonts w:ascii="Arial" w:hAnsi="Arial" w:cs="Arial"/>
          <w:sz w:val="16"/>
          <w:szCs w:val="16"/>
          <w:lang w:val="es-MX"/>
        </w:rPr>
      </w:pPr>
      <w:r w:rsidRPr="00ED0CD3">
        <w:rPr>
          <w:rStyle w:val="Refdenotaalpie"/>
          <w:rFonts w:ascii="Arial" w:hAnsi="Arial" w:cs="Arial"/>
          <w:sz w:val="16"/>
          <w:szCs w:val="16"/>
        </w:rPr>
        <w:footnoteRef/>
      </w:r>
      <w:r w:rsidRPr="00ED0CD3">
        <w:rPr>
          <w:rFonts w:ascii="Arial" w:hAnsi="Arial" w:cs="Arial"/>
          <w:sz w:val="16"/>
          <w:szCs w:val="16"/>
        </w:rPr>
        <w:t xml:space="preserve"> </w:t>
      </w:r>
      <w:r w:rsidRPr="00ED0CD3">
        <w:rPr>
          <w:rFonts w:ascii="Arial" w:hAnsi="Arial" w:cs="Arial"/>
          <w:sz w:val="16"/>
          <w:szCs w:val="16"/>
          <w:lang w:val="es-MX"/>
        </w:rPr>
        <w:t>Derivado de la asignación de servicios de desagregación determinada en la Resolución de Separación Funcional.</w:t>
      </w:r>
    </w:p>
  </w:footnote>
  <w:footnote w:id="7">
    <w:p w:rsidR="006077C0" w:rsidRPr="00ED0CD3" w:rsidRDefault="006077C0" w:rsidP="006077C0">
      <w:pPr>
        <w:pStyle w:val="Textonotapie"/>
        <w:rPr>
          <w:rFonts w:ascii="Arial" w:hAnsi="Arial" w:cs="Arial"/>
          <w:sz w:val="16"/>
          <w:szCs w:val="16"/>
          <w:lang w:val="es-MX"/>
        </w:rPr>
      </w:pPr>
      <w:r w:rsidRPr="00ED0CD3">
        <w:rPr>
          <w:rStyle w:val="Refdenotaalpie"/>
          <w:rFonts w:ascii="Arial" w:hAnsi="Arial" w:cs="Arial"/>
          <w:sz w:val="16"/>
          <w:szCs w:val="16"/>
        </w:rPr>
        <w:footnoteRef/>
      </w:r>
      <w:r w:rsidRPr="00ED0CD3">
        <w:rPr>
          <w:rFonts w:ascii="Arial" w:hAnsi="Arial" w:cs="Arial"/>
          <w:sz w:val="16"/>
          <w:szCs w:val="16"/>
        </w:rPr>
        <w:t xml:space="preserve"> </w:t>
      </w:r>
      <w:r w:rsidRPr="00ED0CD3">
        <w:rPr>
          <w:rFonts w:ascii="Arial" w:hAnsi="Arial" w:cs="Arial"/>
          <w:sz w:val="16"/>
          <w:szCs w:val="16"/>
          <w:lang w:val="es-MX"/>
        </w:rPr>
        <w:t>Derivado de la asignación de servicios de desagregación determinada en la Resolución de Separación Funcional.</w:t>
      </w:r>
    </w:p>
  </w:footnote>
  <w:footnote w:id="8">
    <w:p w:rsidR="009E7B98" w:rsidRPr="008F3C1F" w:rsidRDefault="009E7B98" w:rsidP="00A47F9A">
      <w:pPr>
        <w:pStyle w:val="Textonotapie"/>
        <w:jc w:val="both"/>
        <w:rPr>
          <w:rFonts w:cs="Arial"/>
          <w:sz w:val="18"/>
          <w:szCs w:val="18"/>
        </w:rPr>
      </w:pPr>
      <w:r w:rsidRPr="008D2A4C">
        <w:rPr>
          <w:rStyle w:val="Refdenotaalpie"/>
          <w:rFonts w:cs="Arial"/>
          <w:sz w:val="18"/>
          <w:szCs w:val="18"/>
        </w:rPr>
        <w:footnoteRef/>
      </w:r>
      <w:r w:rsidRPr="008D2A4C">
        <w:rPr>
          <w:rFonts w:cs="Arial"/>
          <w:sz w:val="18"/>
          <w:szCs w:val="18"/>
        </w:rPr>
        <w:t xml:space="preserve"> </w:t>
      </w:r>
      <w:r w:rsidRPr="00550638">
        <w:rPr>
          <w:rFonts w:cs="Arial"/>
          <w:sz w:val="18"/>
          <w:szCs w:val="18"/>
          <w:lang w:val="es-MX"/>
        </w:rPr>
        <w:t>De acuerdo con el Plan Técnico Fundamental de Numeración, el CS que desee aportar sus propias locuciones, podrá hacerlo siempre que no suponga un cost</w:t>
      </w:r>
      <w:r>
        <w:rPr>
          <w:rFonts w:cs="Arial"/>
          <w:sz w:val="18"/>
          <w:szCs w:val="18"/>
          <w:lang w:val="es-MX"/>
        </w:rPr>
        <w:t>o</w:t>
      </w:r>
      <w:r w:rsidRPr="00550638">
        <w:rPr>
          <w:rFonts w:cs="Arial"/>
          <w:sz w:val="18"/>
          <w:szCs w:val="18"/>
          <w:lang w:val="es-MX"/>
        </w:rPr>
        <w:t xml:space="preserve"> adicional para Telmex y estos se hagan a su cargo bajo el procedimiento de trabajo especial.</w:t>
      </w:r>
    </w:p>
  </w:footnote>
  <w:footnote w:id="9">
    <w:p w:rsidR="009E7B98" w:rsidRPr="00550638" w:rsidRDefault="009E7B98" w:rsidP="00A47F9A">
      <w:pPr>
        <w:pStyle w:val="Textonotapie"/>
        <w:jc w:val="both"/>
        <w:rPr>
          <w:rFonts w:cs="Arial"/>
          <w:sz w:val="18"/>
          <w:szCs w:val="18"/>
          <w:lang w:val="es-MX"/>
        </w:rPr>
      </w:pPr>
      <w:r w:rsidRPr="008D2A4C">
        <w:rPr>
          <w:rStyle w:val="Refdenotaalpie"/>
          <w:rFonts w:cs="Arial"/>
          <w:sz w:val="18"/>
          <w:szCs w:val="18"/>
        </w:rPr>
        <w:footnoteRef/>
      </w:r>
      <w:r w:rsidRPr="008D2A4C">
        <w:rPr>
          <w:rFonts w:cs="Arial"/>
          <w:sz w:val="18"/>
          <w:szCs w:val="18"/>
        </w:rPr>
        <w:t xml:space="preserve"> </w:t>
      </w:r>
      <w:r w:rsidRPr="00550638">
        <w:rPr>
          <w:rFonts w:cs="Arial"/>
          <w:sz w:val="18"/>
          <w:szCs w:val="18"/>
          <w:lang w:val="es-MX"/>
        </w:rPr>
        <w:t>Es decir, sin que el cliente escuche referencia alguna a Telmex, sus servicios o cualquier otra que implique promoción de la marca o servicios que este ofrezca.</w:t>
      </w:r>
    </w:p>
  </w:footnote>
  <w:footnote w:id="10">
    <w:p w:rsidR="009E7B98" w:rsidRPr="00550638" w:rsidRDefault="009E7B98" w:rsidP="00A47F9A">
      <w:pPr>
        <w:spacing w:line="360" w:lineRule="auto"/>
        <w:contextualSpacing/>
        <w:jc w:val="both"/>
        <w:rPr>
          <w:rFonts w:cs="Arial"/>
          <w:sz w:val="18"/>
          <w:szCs w:val="18"/>
        </w:rPr>
      </w:pPr>
      <w:r w:rsidRPr="008D2A4C">
        <w:rPr>
          <w:rStyle w:val="Refdenotaalpie"/>
          <w:rFonts w:cs="Arial"/>
          <w:sz w:val="18"/>
          <w:szCs w:val="18"/>
        </w:rPr>
        <w:footnoteRef/>
      </w:r>
      <w:r w:rsidRPr="008D2A4C">
        <w:rPr>
          <w:rFonts w:cs="Arial"/>
          <w:sz w:val="18"/>
          <w:szCs w:val="18"/>
        </w:rPr>
        <w:t xml:space="preserve"> Requiere</w:t>
      </w:r>
      <w:r w:rsidRPr="00550638">
        <w:rPr>
          <w:rFonts w:cs="Arial"/>
          <w:sz w:val="18"/>
          <w:szCs w:val="18"/>
        </w:rPr>
        <w:t xml:space="preserve"> el uso de un aparato telefónico con </w:t>
      </w:r>
      <w:proofErr w:type="spellStart"/>
      <w:r w:rsidRPr="00550638">
        <w:rPr>
          <w:rFonts w:cs="Arial"/>
          <w:i/>
          <w:sz w:val="18"/>
          <w:szCs w:val="18"/>
        </w:rPr>
        <w:t>display</w:t>
      </w:r>
      <w:proofErr w:type="spellEnd"/>
      <w:r w:rsidRPr="00550638">
        <w:rPr>
          <w:rFonts w:cs="Arial"/>
          <w:sz w:val="18"/>
          <w:szCs w:val="18"/>
        </w:rPr>
        <w:t>.</w:t>
      </w:r>
    </w:p>
  </w:footnote>
  <w:footnote w:id="11">
    <w:p w:rsidR="009E7B98" w:rsidRPr="003223FC" w:rsidRDefault="009E7B98" w:rsidP="003223FC">
      <w:pPr>
        <w:pStyle w:val="Textonotapie"/>
        <w:jc w:val="both"/>
        <w:rPr>
          <w:rFonts w:ascii="ITC Avant Garde" w:hAnsi="ITC Avant Garde"/>
          <w:sz w:val="16"/>
          <w:szCs w:val="16"/>
        </w:rPr>
      </w:pPr>
      <w:r w:rsidRPr="003223FC">
        <w:rPr>
          <w:rStyle w:val="Refdenotaalpie"/>
          <w:rFonts w:ascii="ITC Avant Garde" w:hAnsi="ITC Avant Garde"/>
          <w:sz w:val="16"/>
          <w:szCs w:val="16"/>
        </w:rPr>
        <w:footnoteRef/>
      </w:r>
      <w:r w:rsidRPr="003223FC">
        <w:rPr>
          <w:rFonts w:ascii="ITC Avant Garde" w:hAnsi="ITC Avant Garde"/>
          <w:sz w:val="16"/>
          <w:szCs w:val="16"/>
        </w:rPr>
        <w:t xml:space="preserve"> </w:t>
      </w:r>
      <w:r w:rsidRPr="003223FC">
        <w:rPr>
          <w:rFonts w:ascii="ITC Avant Garde" w:hAnsi="ITC Avant Garde" w:cs="Arial"/>
          <w:sz w:val="16"/>
          <w:szCs w:val="16"/>
        </w:rPr>
        <w:t>Las dos primeras visitas de la mensajería se realizarán al domicilio señalado en la solicitud; de no haber sido exitosa la entrega, la tercera visita se realizará a un domicilio alternativo definido por el CS dentro de la misma ciudad, en caso de no haber sido recibido el módem por no contar con un domicilio alterno de entrega, se cancelará la orden de servicio por no contarse con todos los elementos necesarios para la instalación/habilitación del servicio.</w:t>
      </w:r>
    </w:p>
  </w:footnote>
  <w:footnote w:id="12">
    <w:p w:rsidR="009E7B98" w:rsidRPr="003223FC" w:rsidRDefault="009E7B98" w:rsidP="003223FC">
      <w:pPr>
        <w:pStyle w:val="Textonotapie"/>
        <w:jc w:val="both"/>
        <w:rPr>
          <w:rFonts w:ascii="ITC Avant Garde" w:hAnsi="ITC Avant Garde"/>
          <w:sz w:val="16"/>
          <w:szCs w:val="16"/>
        </w:rPr>
      </w:pPr>
      <w:r w:rsidRPr="003223FC">
        <w:rPr>
          <w:rStyle w:val="Refdenotaalpie"/>
          <w:rFonts w:ascii="ITC Avant Garde" w:hAnsi="ITC Avant Garde"/>
          <w:sz w:val="16"/>
          <w:szCs w:val="16"/>
        </w:rPr>
        <w:footnoteRef/>
      </w:r>
      <w:r w:rsidRPr="003223FC">
        <w:rPr>
          <w:rFonts w:ascii="ITC Avant Garde" w:hAnsi="ITC Avant Garde"/>
          <w:sz w:val="16"/>
          <w:szCs w:val="16"/>
        </w:rPr>
        <w:t xml:space="preserve"> </w:t>
      </w:r>
      <w:r w:rsidRPr="003223FC">
        <w:rPr>
          <w:rFonts w:ascii="ITC Avant Garde" w:hAnsi="ITC Avant Garde" w:cs="Arial"/>
          <w:sz w:val="16"/>
          <w:szCs w:val="16"/>
        </w:rPr>
        <w:t>Así como aplican las condiciones comerciales de la empresa de mensajería de que se trate.</w:t>
      </w:r>
    </w:p>
  </w:footnote>
  <w:footnote w:id="13">
    <w:p w:rsidR="009E7B98" w:rsidRPr="001B7A63" w:rsidRDefault="009E7B98" w:rsidP="003223FC">
      <w:pPr>
        <w:pStyle w:val="Textonotapie"/>
        <w:jc w:val="both"/>
      </w:pPr>
      <w:r w:rsidRPr="003223FC">
        <w:rPr>
          <w:rStyle w:val="Refdenotaalpie"/>
          <w:rFonts w:ascii="ITC Avant Garde" w:hAnsi="ITC Avant Garde"/>
          <w:sz w:val="16"/>
          <w:szCs w:val="16"/>
        </w:rPr>
        <w:footnoteRef/>
      </w:r>
      <w:r w:rsidRPr="003223FC">
        <w:rPr>
          <w:rFonts w:ascii="ITC Avant Garde" w:hAnsi="ITC Avant Garde"/>
          <w:sz w:val="16"/>
          <w:szCs w:val="16"/>
        </w:rPr>
        <w:t xml:space="preserve"> </w:t>
      </w:r>
      <w:r w:rsidRPr="003223FC">
        <w:rPr>
          <w:rFonts w:ascii="ITC Avant Garde" w:hAnsi="ITC Avant Garde" w:cs="Arial"/>
          <w:sz w:val="16"/>
          <w:szCs w:val="16"/>
        </w:rPr>
        <w:t>Si el módem será recogido en Tienda Telmex, será necesario que el usuario al momento de recoger el módem proporcione el folio de la orden de servicio.</w:t>
      </w:r>
    </w:p>
  </w:footnote>
  <w:footnote w:id="14">
    <w:p w:rsidR="009E7B98" w:rsidRDefault="009E7B98" w:rsidP="00513D14">
      <w:pPr>
        <w:pStyle w:val="Textonotapie"/>
        <w:jc w:val="both"/>
        <w:rPr>
          <w:rFonts w:ascii="ITC Avant Garde" w:hAnsi="ITC Avant Garde" w:cs="Arial"/>
          <w:sz w:val="18"/>
          <w:szCs w:val="18"/>
          <w:lang w:val="es-MX"/>
        </w:rPr>
      </w:pPr>
      <w:r w:rsidRPr="00FF4EC6">
        <w:rPr>
          <w:sz w:val="18"/>
          <w:vertAlign w:val="superscript"/>
        </w:rPr>
        <w:footnoteRef/>
      </w:r>
      <w:r w:rsidRPr="00755948">
        <w:rPr>
          <w:rFonts w:cs="Arial"/>
          <w:sz w:val="18"/>
          <w:szCs w:val="18"/>
        </w:rPr>
        <w:t xml:space="preserve"> </w:t>
      </w:r>
      <w:r w:rsidRPr="009F7BCF">
        <w:rPr>
          <w:rFonts w:ascii="ITC Avant Garde" w:hAnsi="ITC Avant Garde" w:cs="Arial"/>
          <w:sz w:val="16"/>
          <w:szCs w:val="18"/>
        </w:rPr>
        <w:t>En el caso de que un grupo de CS desee adquirir el lote mínimo deberán designar un responsable encargado de concertar con el AEP la adquisición del lote mínimo, así como los puntos de distribución donde recogerá o recibirá los Módem y las ONT.</w:t>
      </w:r>
      <w:r>
        <w:rPr>
          <w:rFonts w:ascii="ITC Avant Garde" w:hAnsi="ITC Avant Garde" w:cs="Arial"/>
          <w:sz w:val="16"/>
          <w:szCs w:val="18"/>
          <w:lang w:val="es-MX"/>
        </w:rPr>
        <w:t xml:space="preserve"> </w:t>
      </w:r>
    </w:p>
  </w:footnote>
  <w:footnote w:id="15">
    <w:p w:rsidR="009E7B98" w:rsidRDefault="009E7B98" w:rsidP="00441C42">
      <w:pPr>
        <w:pStyle w:val="Textonotapie"/>
        <w:jc w:val="both"/>
        <w:rPr>
          <w:rFonts w:ascii="ITC Avant Garde" w:hAnsi="ITC Avant Garde" w:cs="Calibri"/>
          <w:sz w:val="16"/>
          <w:szCs w:val="18"/>
          <w:lang w:val="es-MX"/>
        </w:rPr>
      </w:pPr>
      <w:r>
        <w:rPr>
          <w:rStyle w:val="Refdenotaalpie"/>
          <w:rFonts w:ascii="ITC Avant Garde" w:hAnsi="ITC Avant Garde" w:cs="Calibri"/>
          <w:sz w:val="16"/>
          <w:szCs w:val="18"/>
        </w:rPr>
        <w:footnoteRef/>
      </w:r>
      <w:r>
        <w:rPr>
          <w:rFonts w:ascii="ITC Avant Garde" w:hAnsi="ITC Avant Garde" w:cs="Calibri"/>
          <w:sz w:val="16"/>
          <w:szCs w:val="18"/>
        </w:rPr>
        <w:t xml:space="preserve"> Así como aplican las condiciones comerciales de la empresa de mensajería de que se trate.</w:t>
      </w:r>
    </w:p>
  </w:footnote>
  <w:footnote w:id="16">
    <w:p w:rsidR="009E7B98" w:rsidRDefault="009E7B98" w:rsidP="00441C42">
      <w:pPr>
        <w:pStyle w:val="Textonotapie"/>
        <w:jc w:val="both"/>
        <w:rPr>
          <w:rFonts w:ascii="ITC Avant Garde" w:hAnsi="ITC Avant Garde"/>
          <w:sz w:val="16"/>
          <w:szCs w:val="18"/>
          <w:lang w:val="es-MX"/>
        </w:rPr>
      </w:pPr>
      <w:r>
        <w:rPr>
          <w:rStyle w:val="Refdenotaalpie"/>
          <w:rFonts w:ascii="ITC Avant Garde" w:hAnsi="ITC Avant Garde"/>
          <w:sz w:val="16"/>
          <w:szCs w:val="18"/>
        </w:rPr>
        <w:footnoteRef/>
      </w:r>
      <w:r>
        <w:rPr>
          <w:rFonts w:ascii="ITC Avant Garde" w:hAnsi="ITC Avant Garde"/>
          <w:sz w:val="16"/>
          <w:szCs w:val="18"/>
        </w:rPr>
        <w:t xml:space="preserve"> </w:t>
      </w:r>
      <w:r>
        <w:rPr>
          <w:rFonts w:ascii="ITC Avant Garde" w:hAnsi="ITC Avant Garde" w:cs="Arial"/>
          <w:sz w:val="16"/>
          <w:szCs w:val="18"/>
        </w:rPr>
        <w:t>Si el módem será recogido en Tienda del AEP, será necesario que el usuario al momento de recoger el módem proporcione el folio de la orden de servicio, el módem debe recogerse a más tardar siete días hábiles posteriores a la aceptación de la solicitud del servicio, ya que de lo contrario se entenderá que el servicio no es de interés del CS y la solicitud se cancelará por no contar con todos los elementos necesarios para la instalación/habilitación del servicio.</w:t>
      </w:r>
    </w:p>
    <w:p w:rsidR="009E7B98" w:rsidRDefault="009E7B98" w:rsidP="00441C42">
      <w:pPr>
        <w:pStyle w:val="Textonotapie"/>
        <w:rPr>
          <w:rFonts w:asciiTheme="minorHAnsi" w:hAnsiTheme="minorHAnsi"/>
          <w:lang w:val="es-MX"/>
        </w:rPr>
      </w:pPr>
    </w:p>
  </w:footnote>
  <w:footnote w:id="17">
    <w:p w:rsidR="009E7B98" w:rsidRPr="003223FC" w:rsidRDefault="009E7B98" w:rsidP="00FE33BF">
      <w:pPr>
        <w:pStyle w:val="Textonotapie"/>
        <w:jc w:val="both"/>
        <w:rPr>
          <w:rFonts w:ascii="ITC Avant Garde" w:hAnsi="ITC Avant Garde"/>
          <w:sz w:val="18"/>
          <w:szCs w:val="18"/>
          <w:lang w:val="es-MX"/>
        </w:rPr>
      </w:pPr>
      <w:r w:rsidRPr="003223FC">
        <w:rPr>
          <w:rStyle w:val="Refdenotaalpie"/>
          <w:rFonts w:ascii="ITC Avant Garde" w:hAnsi="ITC Avant Garde" w:cs="Calibri"/>
          <w:sz w:val="16"/>
          <w:szCs w:val="18"/>
        </w:rPr>
        <w:footnoteRef/>
      </w:r>
      <w:r w:rsidRPr="003223FC">
        <w:rPr>
          <w:rFonts w:ascii="ITC Avant Garde" w:hAnsi="ITC Avant Garde" w:cs="Arial"/>
          <w:sz w:val="16"/>
          <w:szCs w:val="18"/>
        </w:rPr>
        <w:t xml:space="preserve"> </w:t>
      </w:r>
      <w:r w:rsidRPr="003223FC">
        <w:rPr>
          <w:rFonts w:ascii="ITC Avant Garde" w:eastAsia="Calibri" w:hAnsi="ITC Avant Garde" w:cs="Calibri"/>
          <w:sz w:val="16"/>
          <w:szCs w:val="18"/>
          <w:lang w:val="es-ES" w:eastAsia="en-US"/>
        </w:rPr>
        <w:t>El CS deberá proporcionar un número de contacto (en el SEG) para responder dudas sobre la ubicación de los domicilios</w:t>
      </w:r>
      <w:r w:rsidRPr="003223FC">
        <w:rPr>
          <w:rFonts w:ascii="ITC Avant Garde" w:hAnsi="ITC Avant Garde" w:cs="Arial"/>
          <w:sz w:val="16"/>
          <w:szCs w:val="18"/>
          <w:lang w:val="es-MX"/>
        </w:rPr>
        <w:t>.</w:t>
      </w:r>
    </w:p>
  </w:footnote>
  <w:footnote w:id="18">
    <w:p w:rsidR="009E7B98" w:rsidRPr="003223FC" w:rsidRDefault="009E7B98" w:rsidP="003223FC">
      <w:pPr>
        <w:pStyle w:val="Textonotapie"/>
        <w:jc w:val="both"/>
        <w:rPr>
          <w:rFonts w:ascii="ITC Avant Garde" w:hAnsi="ITC Avant Garde"/>
          <w:sz w:val="16"/>
          <w:szCs w:val="18"/>
          <w:lang w:val="es-ES"/>
        </w:rPr>
      </w:pPr>
      <w:r w:rsidRPr="003223FC">
        <w:rPr>
          <w:rStyle w:val="Refdenotaalpie"/>
          <w:rFonts w:ascii="ITC Avant Garde" w:hAnsi="ITC Avant Garde"/>
          <w:sz w:val="16"/>
          <w:szCs w:val="18"/>
        </w:rPr>
        <w:footnoteRef/>
      </w:r>
      <w:r w:rsidRPr="003223FC">
        <w:rPr>
          <w:rFonts w:ascii="ITC Avant Garde" w:hAnsi="ITC Avant Garde"/>
          <w:sz w:val="16"/>
          <w:szCs w:val="18"/>
        </w:rPr>
        <w:t xml:space="preserve"> </w:t>
      </w:r>
      <w:r w:rsidRPr="003223FC">
        <w:rPr>
          <w:rFonts w:ascii="ITC Avant Garde" w:hAnsi="ITC Avant Garde"/>
          <w:sz w:val="16"/>
          <w:szCs w:val="18"/>
          <w:lang w:val="es-ES"/>
        </w:rPr>
        <w:t>Si después de 36 horas el CS no ha solicitado una nueva fecha de reagendación se cancelará la solicitud del CS en el SEG, en el entendido de que no lo desea (sin fecha de reagendación CS).</w:t>
      </w:r>
    </w:p>
  </w:footnote>
  <w:footnote w:id="19">
    <w:p w:rsidR="009E7B98" w:rsidRPr="003223FC" w:rsidRDefault="009E7B98" w:rsidP="00A47F9A">
      <w:pPr>
        <w:pStyle w:val="Textonotapie"/>
        <w:jc w:val="both"/>
        <w:rPr>
          <w:rFonts w:ascii="ITC Avant Garde" w:hAnsi="ITC Avant Garde"/>
          <w:sz w:val="16"/>
          <w:szCs w:val="18"/>
        </w:rPr>
      </w:pPr>
      <w:r w:rsidRPr="003223FC">
        <w:rPr>
          <w:rStyle w:val="Refdenotaalpie"/>
          <w:rFonts w:ascii="ITC Avant Garde" w:hAnsi="ITC Avant Garde"/>
          <w:sz w:val="16"/>
          <w:szCs w:val="18"/>
        </w:rPr>
        <w:footnoteRef/>
      </w:r>
      <w:r w:rsidRPr="003223FC">
        <w:rPr>
          <w:rFonts w:ascii="ITC Avant Garde" w:hAnsi="ITC Avant Garde" w:cs="Arial"/>
          <w:sz w:val="16"/>
          <w:szCs w:val="18"/>
          <w:lang w:val="es-ES"/>
        </w:rPr>
        <w:t xml:space="preserve"> Las mediciones de pruebas de entrega remotas solo son factibles cuando existen cabezas de prueba en la central. </w:t>
      </w:r>
    </w:p>
  </w:footnote>
  <w:footnote w:id="20">
    <w:p w:rsidR="009E7B98" w:rsidRPr="003223FC" w:rsidRDefault="009E7B98" w:rsidP="004B11EB">
      <w:pPr>
        <w:pStyle w:val="Piepgina"/>
      </w:pPr>
      <w:r w:rsidRPr="003223FC">
        <w:rPr>
          <w:rStyle w:val="Refdenotaalpie"/>
          <w:sz w:val="16"/>
        </w:rPr>
        <w:footnoteRef/>
      </w:r>
      <w:r w:rsidRPr="003223FC">
        <w:rPr>
          <w:sz w:val="16"/>
        </w:rPr>
        <w:t xml:space="preserve"> Los tiempos de retraso atribuibles al CS no contabilizarán para los plazos de entrega.</w:t>
      </w:r>
    </w:p>
  </w:footnote>
  <w:footnote w:id="21">
    <w:p w:rsidR="009E7B98" w:rsidRPr="003223FC" w:rsidRDefault="009E7B98" w:rsidP="003223FC">
      <w:pPr>
        <w:pStyle w:val="Textonotapie"/>
        <w:jc w:val="both"/>
        <w:rPr>
          <w:rFonts w:ascii="ITC Avant Garde" w:hAnsi="ITC Avant Garde" w:cs="Arial"/>
          <w:sz w:val="14"/>
          <w:szCs w:val="18"/>
        </w:rPr>
      </w:pPr>
      <w:r w:rsidRPr="003223FC">
        <w:rPr>
          <w:rStyle w:val="Refdenotaalpie"/>
          <w:rFonts w:ascii="ITC Avant Garde" w:hAnsi="ITC Avant Garde" w:cs="Arial"/>
          <w:sz w:val="14"/>
          <w:szCs w:val="18"/>
        </w:rPr>
        <w:footnoteRef/>
      </w:r>
      <w:r w:rsidRPr="003223FC">
        <w:rPr>
          <w:rStyle w:val="Refdenotaalpie"/>
          <w:rFonts w:ascii="ITC Avant Garde" w:hAnsi="ITC Avant Garde" w:cs="Arial"/>
          <w:sz w:val="14"/>
          <w:szCs w:val="18"/>
        </w:rPr>
        <w:t xml:space="preserve"> </w:t>
      </w:r>
      <w:r w:rsidRPr="003223FC">
        <w:rPr>
          <w:rFonts w:ascii="ITC Avant Garde" w:hAnsi="ITC Avant Garde" w:cs="Arial"/>
          <w:sz w:val="14"/>
          <w:szCs w:val="18"/>
        </w:rPr>
        <w:t>Aplican las condiciones comerciales de Telmex / Telnor.</w:t>
      </w:r>
    </w:p>
  </w:footnote>
  <w:footnote w:id="22">
    <w:p w:rsidR="009E7B98" w:rsidRPr="003223FC" w:rsidRDefault="009E7B98" w:rsidP="003223FC">
      <w:pPr>
        <w:pStyle w:val="Piepgina"/>
        <w:rPr>
          <w:sz w:val="14"/>
        </w:rPr>
      </w:pPr>
      <w:r w:rsidRPr="003223FC">
        <w:rPr>
          <w:rStyle w:val="Refdenotaalpie"/>
          <w:sz w:val="14"/>
        </w:rPr>
        <w:footnoteRef/>
      </w:r>
      <w:r w:rsidRPr="003223FC">
        <w:rPr>
          <w:sz w:val="14"/>
        </w:rPr>
        <w:t xml:space="preserve"> Apegarse a las recomendaciones de la norma técnica de Telmex / Telnor proporcionará la menor degradación del servicio.</w:t>
      </w:r>
    </w:p>
  </w:footnote>
  <w:footnote w:id="23">
    <w:p w:rsidR="009E7B98" w:rsidRPr="00402F39" w:rsidRDefault="009E7B98" w:rsidP="003223FC">
      <w:pPr>
        <w:pStyle w:val="Piepgina"/>
        <w:rPr>
          <w:rFonts w:ascii="Calibri" w:hAnsi="Calibri"/>
        </w:rPr>
      </w:pPr>
      <w:r w:rsidRPr="003223FC">
        <w:rPr>
          <w:rStyle w:val="Refdenotaalpie"/>
          <w:sz w:val="14"/>
        </w:rPr>
        <w:footnoteRef/>
      </w:r>
      <w:r w:rsidRPr="003223FC">
        <w:rPr>
          <w:sz w:val="14"/>
        </w:rPr>
        <w:t xml:space="preserve"> 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Default="009E7B98">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Default="009E7B98" w:rsidP="001708AE">
    <w:pPr>
      <w:pStyle w:val="Encabezado"/>
      <w:rPr>
        <w:rFonts w:ascii="ITC Avant Garde" w:hAnsi="ITC Avant Garde"/>
        <w:b/>
        <w:sz w:val="22"/>
        <w:szCs w:val="22"/>
        <w:lang w:val="es-MX"/>
      </w:rPr>
    </w:pPr>
  </w:p>
  <w:p w:rsidR="009E7B98" w:rsidRDefault="009E7B98" w:rsidP="001708AE">
    <w:pPr>
      <w:pStyle w:val="Encabezado"/>
      <w:rPr>
        <w:rFonts w:ascii="ITC Avant Garde" w:hAnsi="ITC Avant Garde"/>
        <w:b/>
        <w:sz w:val="22"/>
        <w:szCs w:val="22"/>
        <w:lang w:val="es-MX"/>
      </w:rPr>
    </w:pPr>
  </w:p>
  <w:p w:rsidR="009E7B98" w:rsidRDefault="009E7B98" w:rsidP="001708AE">
    <w:pPr>
      <w:pStyle w:val="Encabezado"/>
      <w:rPr>
        <w:rFonts w:ascii="ITC Avant Garde" w:hAnsi="ITC Avant Garde"/>
        <w:b/>
        <w:sz w:val="22"/>
        <w:szCs w:val="22"/>
        <w:lang w:val="es-MX"/>
      </w:rPr>
    </w:pPr>
  </w:p>
  <w:p w:rsidR="009E7B98" w:rsidRPr="00787BAC" w:rsidRDefault="009E7B98" w:rsidP="001708AE">
    <w:pPr>
      <w:pStyle w:val="Encabezado"/>
      <w:rPr>
        <w:rFonts w:ascii="ITC Avant Garde" w:hAnsi="ITC Avant Garde"/>
        <w:b/>
        <w:sz w:val="22"/>
        <w:szCs w:val="22"/>
        <w:lang w:val="es-MX"/>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Default="009E7B98">
    <w:pPr>
      <w:pStyle w:val="Encabezado"/>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Default="009E7B98">
    <w:pPr>
      <w:pStyle w:val="Encabezado"/>
    </w:pPr>
    <w:r>
      <w:rPr>
        <w:noProof/>
        <w:lang w:val="es-MX" w:eastAsia="es-MX"/>
      </w:rPr>
      <w:drawing>
        <wp:anchor distT="0" distB="0" distL="114300" distR="114300" simplePos="0" relativeHeight="251658240" behindDoc="1" locked="0" layoutInCell="0" allowOverlap="1">
          <wp:simplePos x="0" y="0"/>
          <wp:positionH relativeFrom="margin">
            <wp:align>center</wp:align>
          </wp:positionH>
          <wp:positionV relativeFrom="margin">
            <wp:align>center</wp:align>
          </wp:positionV>
          <wp:extent cx="7772400" cy="10058400"/>
          <wp:effectExtent l="0" t="0" r="0" b="0"/>
          <wp:wrapNone/>
          <wp:docPr id="4" name="Imagen 459" descr="hoja membretada s di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9" descr="hoja membretada s dir-0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anchor>
      </w:drawing>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Pr="003223FC" w:rsidRDefault="009E7B98" w:rsidP="00402F39">
    <w:pPr>
      <w:pStyle w:val="Encabezado"/>
      <w:rPr>
        <w:rFonts w:ascii="Arial" w:hAnsi="Arial" w:cs="Arial"/>
        <w:sz w:val="18"/>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B98" w:rsidRDefault="009E7B98">
    <w:pPr>
      <w:pStyle w:val="Encabezado"/>
    </w:pPr>
    <w:r>
      <w:rPr>
        <w:noProof/>
        <w:lang w:val="es-MX" w:eastAsia="es-MX"/>
      </w:rPr>
      <w:drawing>
        <wp:anchor distT="0" distB="0" distL="114300" distR="114300" simplePos="0" relativeHeight="251658241" behindDoc="1" locked="0" layoutInCell="0" allowOverlap="1">
          <wp:simplePos x="0" y="0"/>
          <wp:positionH relativeFrom="margin">
            <wp:align>center</wp:align>
          </wp:positionH>
          <wp:positionV relativeFrom="margin">
            <wp:align>center</wp:align>
          </wp:positionV>
          <wp:extent cx="7772400" cy="10058400"/>
          <wp:effectExtent l="0" t="0" r="0" b="0"/>
          <wp:wrapNone/>
          <wp:docPr id="5" name="Imagen 460" descr="hoja membretada s di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0" descr="hoja membretada s dir-0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F6F6B"/>
    <w:multiLevelType w:val="hybridMultilevel"/>
    <w:tmpl w:val="436AAA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37D0836"/>
    <w:multiLevelType w:val="hybridMultilevel"/>
    <w:tmpl w:val="7682E7F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77D6520"/>
    <w:multiLevelType w:val="hybridMultilevel"/>
    <w:tmpl w:val="55D42DE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nsid w:val="081258F1"/>
    <w:multiLevelType w:val="hybridMultilevel"/>
    <w:tmpl w:val="A4480EB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
    <w:nsid w:val="08AE1B7F"/>
    <w:multiLevelType w:val="hybridMultilevel"/>
    <w:tmpl w:val="79DAFE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7">
    <w:nsid w:val="0B9C7F43"/>
    <w:multiLevelType w:val="hybridMultilevel"/>
    <w:tmpl w:val="EE6A16C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
    <w:nsid w:val="0CCC1932"/>
    <w:multiLevelType w:val="hybridMultilevel"/>
    <w:tmpl w:val="83AE41AC"/>
    <w:lvl w:ilvl="0" w:tplc="080A000F">
      <w:start w:val="1"/>
      <w:numFmt w:val="decimal"/>
      <w:lvlText w:val="%1."/>
      <w:lvlJc w:val="left"/>
      <w:pPr>
        <w:ind w:left="766" w:hanging="360"/>
      </w:pPr>
    </w:lvl>
    <w:lvl w:ilvl="1" w:tplc="080A0019" w:tentative="1">
      <w:start w:val="1"/>
      <w:numFmt w:val="lowerLetter"/>
      <w:lvlText w:val="%2."/>
      <w:lvlJc w:val="left"/>
      <w:pPr>
        <w:ind w:left="1486" w:hanging="360"/>
      </w:pPr>
    </w:lvl>
    <w:lvl w:ilvl="2" w:tplc="080A001B" w:tentative="1">
      <w:start w:val="1"/>
      <w:numFmt w:val="lowerRoman"/>
      <w:lvlText w:val="%3."/>
      <w:lvlJc w:val="right"/>
      <w:pPr>
        <w:ind w:left="2206" w:hanging="180"/>
      </w:pPr>
    </w:lvl>
    <w:lvl w:ilvl="3" w:tplc="080A000F" w:tentative="1">
      <w:start w:val="1"/>
      <w:numFmt w:val="decimal"/>
      <w:lvlText w:val="%4."/>
      <w:lvlJc w:val="left"/>
      <w:pPr>
        <w:ind w:left="2926" w:hanging="360"/>
      </w:pPr>
    </w:lvl>
    <w:lvl w:ilvl="4" w:tplc="080A0019" w:tentative="1">
      <w:start w:val="1"/>
      <w:numFmt w:val="lowerLetter"/>
      <w:lvlText w:val="%5."/>
      <w:lvlJc w:val="left"/>
      <w:pPr>
        <w:ind w:left="3646" w:hanging="360"/>
      </w:pPr>
    </w:lvl>
    <w:lvl w:ilvl="5" w:tplc="080A001B" w:tentative="1">
      <w:start w:val="1"/>
      <w:numFmt w:val="lowerRoman"/>
      <w:lvlText w:val="%6."/>
      <w:lvlJc w:val="right"/>
      <w:pPr>
        <w:ind w:left="4366" w:hanging="180"/>
      </w:pPr>
    </w:lvl>
    <w:lvl w:ilvl="6" w:tplc="080A000F" w:tentative="1">
      <w:start w:val="1"/>
      <w:numFmt w:val="decimal"/>
      <w:lvlText w:val="%7."/>
      <w:lvlJc w:val="left"/>
      <w:pPr>
        <w:ind w:left="5086" w:hanging="360"/>
      </w:pPr>
    </w:lvl>
    <w:lvl w:ilvl="7" w:tplc="080A0019" w:tentative="1">
      <w:start w:val="1"/>
      <w:numFmt w:val="lowerLetter"/>
      <w:lvlText w:val="%8."/>
      <w:lvlJc w:val="left"/>
      <w:pPr>
        <w:ind w:left="5806" w:hanging="360"/>
      </w:pPr>
    </w:lvl>
    <w:lvl w:ilvl="8" w:tplc="080A001B" w:tentative="1">
      <w:start w:val="1"/>
      <w:numFmt w:val="lowerRoman"/>
      <w:lvlText w:val="%9."/>
      <w:lvlJc w:val="right"/>
      <w:pPr>
        <w:ind w:left="6526" w:hanging="180"/>
      </w:pPr>
    </w:lvl>
  </w:abstractNum>
  <w:abstractNum w:abstractNumId="1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0EC72A8A"/>
    <w:multiLevelType w:val="hybridMultilevel"/>
    <w:tmpl w:val="6E5E6850"/>
    <w:lvl w:ilvl="0" w:tplc="080A0001">
      <w:start w:val="1"/>
      <w:numFmt w:val="bullet"/>
      <w:lvlText w:val=""/>
      <w:lvlJc w:val="left"/>
      <w:pPr>
        <w:ind w:left="153" w:hanging="360"/>
      </w:pPr>
      <w:rPr>
        <w:rFonts w:ascii="Symbol" w:hAnsi="Symbol"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13">
    <w:nsid w:val="0EC9686F"/>
    <w:multiLevelType w:val="hybridMultilevel"/>
    <w:tmpl w:val="4A145CD4"/>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4">
    <w:nsid w:val="0F043791"/>
    <w:multiLevelType w:val="hybridMultilevel"/>
    <w:tmpl w:val="D5968FF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0FA27EE3"/>
    <w:multiLevelType w:val="hybridMultilevel"/>
    <w:tmpl w:val="C7F0FED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105549AF"/>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10A375F8"/>
    <w:multiLevelType w:val="hybridMultilevel"/>
    <w:tmpl w:val="E1AE5F9E"/>
    <w:lvl w:ilvl="0" w:tplc="96328850">
      <w:numFmt w:val="bullet"/>
      <w:pStyle w:val="Listaconvietas2"/>
      <w:lvlText w:val="-"/>
      <w:lvlJc w:val="left"/>
      <w:pPr>
        <w:ind w:left="720" w:hanging="360"/>
      </w:pPr>
      <w:rPr>
        <w:rFonts w:ascii="Calibri" w:eastAsia="Times New Roman"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10C45413"/>
    <w:multiLevelType w:val="hybridMultilevel"/>
    <w:tmpl w:val="6CDCA5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12487CCA"/>
    <w:multiLevelType w:val="multilevel"/>
    <w:tmpl w:val="6EE4B2DC"/>
    <w:lvl w:ilvl="0">
      <w:start w:val="9"/>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nsid w:val="12DA678B"/>
    <w:multiLevelType w:val="hybridMultilevel"/>
    <w:tmpl w:val="F9E091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4">
    <w:nsid w:val="14FC3EDB"/>
    <w:multiLevelType w:val="hybridMultilevel"/>
    <w:tmpl w:val="4B6488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15673D3C"/>
    <w:multiLevelType w:val="hybridMultilevel"/>
    <w:tmpl w:val="DC428FB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6">
    <w:nsid w:val="16501DFA"/>
    <w:multiLevelType w:val="hybridMultilevel"/>
    <w:tmpl w:val="2D80EC28"/>
    <w:lvl w:ilvl="0" w:tplc="080A0017">
      <w:start w:val="1"/>
      <w:numFmt w:val="lowerLetter"/>
      <w:lvlText w:val="%1)"/>
      <w:lvlJc w:val="left"/>
      <w:pPr>
        <w:ind w:left="-2820" w:hanging="360"/>
      </w:pPr>
      <w:rPr>
        <w:rFonts w:hint="default"/>
      </w:rPr>
    </w:lvl>
    <w:lvl w:ilvl="1" w:tplc="080A0019" w:tentative="1">
      <w:start w:val="1"/>
      <w:numFmt w:val="lowerLetter"/>
      <w:lvlText w:val="%2."/>
      <w:lvlJc w:val="left"/>
      <w:pPr>
        <w:ind w:left="-2100" w:hanging="360"/>
      </w:pPr>
    </w:lvl>
    <w:lvl w:ilvl="2" w:tplc="080A001B" w:tentative="1">
      <w:start w:val="1"/>
      <w:numFmt w:val="lowerRoman"/>
      <w:lvlText w:val="%3."/>
      <w:lvlJc w:val="right"/>
      <w:pPr>
        <w:ind w:left="-1380" w:hanging="180"/>
      </w:pPr>
    </w:lvl>
    <w:lvl w:ilvl="3" w:tplc="080A000F" w:tentative="1">
      <w:start w:val="1"/>
      <w:numFmt w:val="decimal"/>
      <w:lvlText w:val="%4."/>
      <w:lvlJc w:val="left"/>
      <w:pPr>
        <w:ind w:left="-660" w:hanging="360"/>
      </w:pPr>
    </w:lvl>
    <w:lvl w:ilvl="4" w:tplc="080A0019" w:tentative="1">
      <w:start w:val="1"/>
      <w:numFmt w:val="lowerLetter"/>
      <w:lvlText w:val="%5."/>
      <w:lvlJc w:val="left"/>
      <w:pPr>
        <w:ind w:left="60" w:hanging="360"/>
      </w:pPr>
    </w:lvl>
    <w:lvl w:ilvl="5" w:tplc="080A001B" w:tentative="1">
      <w:start w:val="1"/>
      <w:numFmt w:val="lowerRoman"/>
      <w:lvlText w:val="%6."/>
      <w:lvlJc w:val="right"/>
      <w:pPr>
        <w:ind w:left="780" w:hanging="180"/>
      </w:pPr>
    </w:lvl>
    <w:lvl w:ilvl="6" w:tplc="080A000F" w:tentative="1">
      <w:start w:val="1"/>
      <w:numFmt w:val="decimal"/>
      <w:lvlText w:val="%7."/>
      <w:lvlJc w:val="left"/>
      <w:pPr>
        <w:ind w:left="1500" w:hanging="360"/>
      </w:pPr>
    </w:lvl>
    <w:lvl w:ilvl="7" w:tplc="080A0019" w:tentative="1">
      <w:start w:val="1"/>
      <w:numFmt w:val="lowerLetter"/>
      <w:lvlText w:val="%8."/>
      <w:lvlJc w:val="left"/>
      <w:pPr>
        <w:ind w:left="2220" w:hanging="360"/>
      </w:pPr>
    </w:lvl>
    <w:lvl w:ilvl="8" w:tplc="080A001B" w:tentative="1">
      <w:start w:val="1"/>
      <w:numFmt w:val="lowerRoman"/>
      <w:lvlText w:val="%9."/>
      <w:lvlJc w:val="right"/>
      <w:pPr>
        <w:ind w:left="2940" w:hanging="180"/>
      </w:pPr>
    </w:lvl>
  </w:abstractNum>
  <w:abstractNum w:abstractNumId="27">
    <w:nsid w:val="17BD55E9"/>
    <w:multiLevelType w:val="hybridMultilevel"/>
    <w:tmpl w:val="3604939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8">
    <w:nsid w:val="18F10539"/>
    <w:multiLevelType w:val="hybridMultilevel"/>
    <w:tmpl w:val="0622AE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193365B8"/>
    <w:multiLevelType w:val="hybridMultilevel"/>
    <w:tmpl w:val="1110F4CC"/>
    <w:lvl w:ilvl="0" w:tplc="0C4C4500">
      <w:start w:val="1"/>
      <w:numFmt w:val="bullet"/>
      <w:lvlText w:val=""/>
      <w:lvlJc w:val="left"/>
      <w:pPr>
        <w:ind w:left="720" w:hanging="360"/>
      </w:pPr>
      <w:rPr>
        <w:rFonts w:ascii="Symbol" w:hAnsi="Symbol" w:hint="default"/>
      </w:rPr>
    </w:lvl>
    <w:lvl w:ilvl="1" w:tplc="7862B772">
      <w:start w:val="1"/>
      <w:numFmt w:val="bullet"/>
      <w:lvlText w:val="o"/>
      <w:lvlJc w:val="left"/>
      <w:pPr>
        <w:ind w:left="1440" w:hanging="360"/>
      </w:pPr>
      <w:rPr>
        <w:rFonts w:ascii="Courier New" w:hAnsi="Courier New" w:cs="Courier New" w:hint="default"/>
      </w:rPr>
    </w:lvl>
    <w:lvl w:ilvl="2" w:tplc="254AF964" w:tentative="1">
      <w:start w:val="1"/>
      <w:numFmt w:val="bullet"/>
      <w:lvlText w:val=""/>
      <w:lvlJc w:val="left"/>
      <w:pPr>
        <w:ind w:left="2160" w:hanging="360"/>
      </w:pPr>
      <w:rPr>
        <w:rFonts w:ascii="Wingdings" w:hAnsi="Wingdings" w:hint="default"/>
      </w:rPr>
    </w:lvl>
    <w:lvl w:ilvl="3" w:tplc="18C224A4" w:tentative="1">
      <w:start w:val="1"/>
      <w:numFmt w:val="bullet"/>
      <w:lvlText w:val=""/>
      <w:lvlJc w:val="left"/>
      <w:pPr>
        <w:ind w:left="2880" w:hanging="360"/>
      </w:pPr>
      <w:rPr>
        <w:rFonts w:ascii="Symbol" w:hAnsi="Symbol" w:hint="default"/>
      </w:rPr>
    </w:lvl>
    <w:lvl w:ilvl="4" w:tplc="051AEEF8" w:tentative="1">
      <w:start w:val="1"/>
      <w:numFmt w:val="bullet"/>
      <w:lvlText w:val="o"/>
      <w:lvlJc w:val="left"/>
      <w:pPr>
        <w:ind w:left="3600" w:hanging="360"/>
      </w:pPr>
      <w:rPr>
        <w:rFonts w:ascii="Courier New" w:hAnsi="Courier New" w:cs="Courier New" w:hint="default"/>
      </w:rPr>
    </w:lvl>
    <w:lvl w:ilvl="5" w:tplc="3AC4D0E0" w:tentative="1">
      <w:start w:val="1"/>
      <w:numFmt w:val="bullet"/>
      <w:lvlText w:val=""/>
      <w:lvlJc w:val="left"/>
      <w:pPr>
        <w:ind w:left="4320" w:hanging="360"/>
      </w:pPr>
      <w:rPr>
        <w:rFonts w:ascii="Wingdings" w:hAnsi="Wingdings" w:hint="default"/>
      </w:rPr>
    </w:lvl>
    <w:lvl w:ilvl="6" w:tplc="9CE81BC0" w:tentative="1">
      <w:start w:val="1"/>
      <w:numFmt w:val="bullet"/>
      <w:lvlText w:val=""/>
      <w:lvlJc w:val="left"/>
      <w:pPr>
        <w:ind w:left="5040" w:hanging="360"/>
      </w:pPr>
      <w:rPr>
        <w:rFonts w:ascii="Symbol" w:hAnsi="Symbol" w:hint="default"/>
      </w:rPr>
    </w:lvl>
    <w:lvl w:ilvl="7" w:tplc="D8720AD0" w:tentative="1">
      <w:start w:val="1"/>
      <w:numFmt w:val="bullet"/>
      <w:lvlText w:val="o"/>
      <w:lvlJc w:val="left"/>
      <w:pPr>
        <w:ind w:left="5760" w:hanging="360"/>
      </w:pPr>
      <w:rPr>
        <w:rFonts w:ascii="Courier New" w:hAnsi="Courier New" w:cs="Courier New" w:hint="default"/>
      </w:rPr>
    </w:lvl>
    <w:lvl w:ilvl="8" w:tplc="35B027F0" w:tentative="1">
      <w:start w:val="1"/>
      <w:numFmt w:val="bullet"/>
      <w:lvlText w:val=""/>
      <w:lvlJc w:val="left"/>
      <w:pPr>
        <w:ind w:left="6480" w:hanging="360"/>
      </w:pPr>
      <w:rPr>
        <w:rFonts w:ascii="Wingdings" w:hAnsi="Wingdings" w:hint="default"/>
      </w:rPr>
    </w:lvl>
  </w:abstractNum>
  <w:abstractNum w:abstractNumId="30">
    <w:nsid w:val="1ADA5A17"/>
    <w:multiLevelType w:val="hybridMultilevel"/>
    <w:tmpl w:val="F830E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1B9A1DE6"/>
    <w:multiLevelType w:val="multilevel"/>
    <w:tmpl w:val="EAE61F3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2">
    <w:nsid w:val="1BCF0ABE"/>
    <w:multiLevelType w:val="hybridMultilevel"/>
    <w:tmpl w:val="93BE5C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4">
    <w:nsid w:val="1CE419D1"/>
    <w:multiLevelType w:val="hybridMultilevel"/>
    <w:tmpl w:val="F544C378"/>
    <w:lvl w:ilvl="0" w:tplc="080A0001">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3905"/>
        </w:tabs>
        <w:ind w:left="3905"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35">
    <w:nsid w:val="1DC94CE5"/>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1F000960"/>
    <w:multiLevelType w:val="hybridMultilevel"/>
    <w:tmpl w:val="BA5AA50E"/>
    <w:lvl w:ilvl="0" w:tplc="0C0A001B">
      <w:start w:val="1"/>
      <w:numFmt w:val="decimal"/>
      <w:lvlText w:val="%1)"/>
      <w:lvlJc w:val="left"/>
      <w:pPr>
        <w:ind w:left="720" w:hanging="360"/>
      </w:pPr>
      <w:rPr>
        <w:rFonts w:ascii="Calibri" w:eastAsia="Times New Roman" w:hAnsi="Calibri" w:cs="Arial"/>
      </w:rPr>
    </w:lvl>
    <w:lvl w:ilvl="1" w:tplc="080A0019">
      <w:start w:val="1"/>
      <w:numFmt w:val="bullet"/>
      <w:lvlText w:val="o"/>
      <w:lvlJc w:val="left"/>
      <w:pPr>
        <w:ind w:left="1211"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decimal"/>
      <w:lvlText w:val="%4)"/>
      <w:lvlJc w:val="left"/>
      <w:pPr>
        <w:ind w:left="2880" w:hanging="360"/>
      </w:pPr>
      <w:rPr>
        <w:rFonts w:hint="default"/>
      </w:rPr>
    </w:lvl>
    <w:lvl w:ilvl="4" w:tplc="080A0019">
      <w:numFmt w:val="bullet"/>
      <w:lvlText w:val="•"/>
      <w:lvlJc w:val="left"/>
      <w:pPr>
        <w:ind w:left="3600" w:hanging="360"/>
      </w:pPr>
      <w:rPr>
        <w:rFonts w:ascii="ITC Avant Garde" w:eastAsia="Calibri" w:hAnsi="ITC Avant Garde" w:cs="Calibri"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7">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nsid w:val="20464D52"/>
    <w:multiLevelType w:val="hybridMultilevel"/>
    <w:tmpl w:val="3E04686E"/>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39">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218054A2"/>
    <w:multiLevelType w:val="hybridMultilevel"/>
    <w:tmpl w:val="31784A78"/>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42">
    <w:nsid w:val="234B362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23B34365"/>
    <w:multiLevelType w:val="multilevel"/>
    <w:tmpl w:val="9EEC2D84"/>
    <w:lvl w:ilvl="0">
      <w:start w:val="7"/>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4">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45">
    <w:nsid w:val="246D121B"/>
    <w:multiLevelType w:val="hybridMultilevel"/>
    <w:tmpl w:val="82823D84"/>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6">
    <w:nsid w:val="253B7B55"/>
    <w:multiLevelType w:val="hybridMultilevel"/>
    <w:tmpl w:val="1C7ABD88"/>
    <w:lvl w:ilvl="0" w:tplc="080A000F">
      <w:start w:val="1"/>
      <w:numFmt w:val="decimal"/>
      <w:lvlText w:val="%1."/>
      <w:lvlJc w:val="left"/>
      <w:pPr>
        <w:ind w:left="720" w:hanging="360"/>
      </w:pPr>
    </w:lvl>
    <w:lvl w:ilvl="1" w:tplc="7B86335E">
      <w:start w:val="1"/>
      <w:numFmt w:val="lowerLetter"/>
      <w:lvlText w:val="%2)"/>
      <w:lvlJc w:val="left"/>
      <w:pPr>
        <w:ind w:left="1830" w:hanging="75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nsid w:val="264303A9"/>
    <w:multiLevelType w:val="hybridMultilevel"/>
    <w:tmpl w:val="54468F94"/>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8">
    <w:nsid w:val="26B06CCB"/>
    <w:multiLevelType w:val="hybridMultilevel"/>
    <w:tmpl w:val="2C68DC5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9">
    <w:nsid w:val="271B7B15"/>
    <w:multiLevelType w:val="hybridMultilevel"/>
    <w:tmpl w:val="33546A46"/>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0">
    <w:nsid w:val="291D7197"/>
    <w:multiLevelType w:val="multilevel"/>
    <w:tmpl w:val="ECCCCE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nsid w:val="2A595DAA"/>
    <w:multiLevelType w:val="hybridMultilevel"/>
    <w:tmpl w:val="1FF68A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nsid w:val="2B2C66C4"/>
    <w:multiLevelType w:val="hybridMultilevel"/>
    <w:tmpl w:val="72EC3A94"/>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nsid w:val="2B580342"/>
    <w:multiLevelType w:val="hybridMultilevel"/>
    <w:tmpl w:val="77CA0D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nsid w:val="2B62799F"/>
    <w:multiLevelType w:val="hybridMultilevel"/>
    <w:tmpl w:val="0DF2803A"/>
    <w:lvl w:ilvl="0" w:tplc="0C0A0001">
      <w:start w:val="1"/>
      <w:numFmt w:val="decimal"/>
      <w:lvlText w:val="%1)"/>
      <w:lvlJc w:val="left"/>
      <w:pPr>
        <w:ind w:left="720" w:hanging="360"/>
      </w:pPr>
      <w:rPr>
        <w:sz w:val="22"/>
      </w:rPr>
    </w:lvl>
    <w:lvl w:ilvl="1" w:tplc="0C0A0003">
      <w:start w:val="1"/>
      <w:numFmt w:val="lowerLetter"/>
      <w:lvlText w:val="%2."/>
      <w:lvlJc w:val="left"/>
      <w:pPr>
        <w:ind w:left="1440" w:hanging="360"/>
      </w:pPr>
    </w:lvl>
    <w:lvl w:ilvl="2" w:tplc="0C0A0005">
      <w:start w:val="1"/>
      <w:numFmt w:val="lowerRoman"/>
      <w:lvlText w:val="%3."/>
      <w:lvlJc w:val="right"/>
      <w:pPr>
        <w:ind w:left="2160" w:hanging="180"/>
      </w:pPr>
    </w:lvl>
    <w:lvl w:ilvl="3" w:tplc="0C0A0001">
      <w:start w:val="1"/>
      <w:numFmt w:val="decimal"/>
      <w:lvlText w:val="%4."/>
      <w:lvlJc w:val="left"/>
      <w:pPr>
        <w:ind w:left="2880" w:hanging="360"/>
      </w:pPr>
    </w:lvl>
    <w:lvl w:ilvl="4" w:tplc="0C0A0003">
      <w:start w:val="1"/>
      <w:numFmt w:val="lowerLetter"/>
      <w:lvlText w:val="%5."/>
      <w:lvlJc w:val="left"/>
      <w:pPr>
        <w:ind w:left="3600" w:hanging="360"/>
      </w:pPr>
    </w:lvl>
    <w:lvl w:ilvl="5" w:tplc="0C0A0005">
      <w:start w:val="1"/>
      <w:numFmt w:val="lowerRoman"/>
      <w:lvlText w:val="%6."/>
      <w:lvlJc w:val="right"/>
      <w:pPr>
        <w:ind w:left="4320" w:hanging="180"/>
      </w:pPr>
    </w:lvl>
    <w:lvl w:ilvl="6" w:tplc="0C0A0001">
      <w:start w:val="1"/>
      <w:numFmt w:val="decimal"/>
      <w:lvlText w:val="%7."/>
      <w:lvlJc w:val="left"/>
      <w:pPr>
        <w:ind w:left="5040" w:hanging="360"/>
      </w:pPr>
    </w:lvl>
    <w:lvl w:ilvl="7" w:tplc="0C0A0003">
      <w:start w:val="1"/>
      <w:numFmt w:val="lowerLetter"/>
      <w:lvlText w:val="%8."/>
      <w:lvlJc w:val="left"/>
      <w:pPr>
        <w:ind w:left="5760" w:hanging="360"/>
      </w:pPr>
    </w:lvl>
    <w:lvl w:ilvl="8" w:tplc="0C0A0005">
      <w:start w:val="1"/>
      <w:numFmt w:val="lowerRoman"/>
      <w:lvlText w:val="%9."/>
      <w:lvlJc w:val="right"/>
      <w:pPr>
        <w:ind w:left="6480" w:hanging="180"/>
      </w:pPr>
    </w:lvl>
  </w:abstractNum>
  <w:abstractNum w:abstractNumId="55">
    <w:nsid w:val="2BD303FC"/>
    <w:multiLevelType w:val="hybridMultilevel"/>
    <w:tmpl w:val="2B640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7">
    <w:nsid w:val="2E535C53"/>
    <w:multiLevelType w:val="hybridMultilevel"/>
    <w:tmpl w:val="69AC8B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nsid w:val="2E7F7F2B"/>
    <w:multiLevelType w:val="hybridMultilevel"/>
    <w:tmpl w:val="205A9D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nsid w:val="2EE82A5A"/>
    <w:multiLevelType w:val="hybridMultilevel"/>
    <w:tmpl w:val="141A8E3E"/>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0">
    <w:nsid w:val="2EFF2484"/>
    <w:multiLevelType w:val="hybridMultilevel"/>
    <w:tmpl w:val="7F2067CC"/>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start w:val="1"/>
      <w:numFmt w:val="bullet"/>
      <w:lvlText w:val=""/>
      <w:lvlJc w:val="left"/>
      <w:pPr>
        <w:ind w:left="2880" w:hanging="360"/>
      </w:pPr>
      <w:rPr>
        <w:rFonts w:ascii="Wingdings" w:hAnsi="Wingdings" w:hint="default"/>
      </w:rPr>
    </w:lvl>
    <w:lvl w:ilvl="3" w:tplc="080A000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1">
    <w:nsid w:val="2FAB756C"/>
    <w:multiLevelType w:val="hybridMultilevel"/>
    <w:tmpl w:val="E29C054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3">
    <w:nsid w:val="308B7E2A"/>
    <w:multiLevelType w:val="hybridMultilevel"/>
    <w:tmpl w:val="DA86E3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nsid w:val="333F3F4C"/>
    <w:multiLevelType w:val="hybridMultilevel"/>
    <w:tmpl w:val="08F2A2B8"/>
    <w:lvl w:ilvl="0" w:tplc="0C0A0011">
      <w:start w:val="1"/>
      <w:numFmt w:val="decimal"/>
      <w:lvlText w:val="%1)"/>
      <w:lvlJc w:val="left"/>
      <w:pPr>
        <w:ind w:left="720" w:hanging="360"/>
      </w:pPr>
      <w:rPr>
        <w:rFonts w:ascii="ITC Avant Garde" w:eastAsia="Times New Roman" w:hAnsi="ITC Avant Garde" w:cs="Arial" w:hint="default"/>
      </w:rPr>
    </w:lvl>
    <w:lvl w:ilvl="1" w:tplc="0C0A0019">
      <w:start w:val="1"/>
      <w:numFmt w:val="lowerLetter"/>
      <w:lvlText w:val="%2."/>
      <w:lvlJc w:val="left"/>
      <w:pPr>
        <w:ind w:left="1070" w:hanging="360"/>
      </w:pPr>
      <w:rPr>
        <w:rFonts w:hint="default"/>
      </w:rPr>
    </w:lvl>
    <w:lvl w:ilvl="2" w:tplc="0C0A001B">
      <w:start w:val="1"/>
      <w:numFmt w:val="bullet"/>
      <w:lvlText w:val=""/>
      <w:lvlJc w:val="left"/>
      <w:pPr>
        <w:ind w:left="2160" w:hanging="360"/>
      </w:pPr>
      <w:rPr>
        <w:rFonts w:ascii="Wingdings" w:hAnsi="Wingdings" w:hint="default"/>
      </w:rPr>
    </w:lvl>
    <w:lvl w:ilvl="3" w:tplc="0C0A000F">
      <w:start w:val="1"/>
      <w:numFmt w:val="decimal"/>
      <w:lvlText w:val="%4)"/>
      <w:lvlJc w:val="left"/>
      <w:pPr>
        <w:ind w:left="2880" w:hanging="360"/>
      </w:pPr>
      <w:rPr>
        <w:rFonts w:hint="default"/>
      </w:rPr>
    </w:lvl>
    <w:lvl w:ilvl="4" w:tplc="59BE3012"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65">
    <w:nsid w:val="33B56632"/>
    <w:multiLevelType w:val="hybridMultilevel"/>
    <w:tmpl w:val="AD6EFC78"/>
    <w:lvl w:ilvl="0" w:tplc="0C0A0001">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6">
    <w:nsid w:val="33D3686E"/>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8">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9">
    <w:nsid w:val="35A70F62"/>
    <w:multiLevelType w:val="hybridMultilevel"/>
    <w:tmpl w:val="C2608E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nsid w:val="3640064C"/>
    <w:multiLevelType w:val="hybridMultilevel"/>
    <w:tmpl w:val="7084DF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nsid w:val="37BF4C21"/>
    <w:multiLevelType w:val="hybridMultilevel"/>
    <w:tmpl w:val="A5E84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nsid w:val="387521E4"/>
    <w:multiLevelType w:val="hybridMultilevel"/>
    <w:tmpl w:val="55CC0CE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4">
    <w:nsid w:val="38792D71"/>
    <w:multiLevelType w:val="hybridMultilevel"/>
    <w:tmpl w:val="2D2C6FA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76">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77">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nsid w:val="3C00025C"/>
    <w:multiLevelType w:val="hybridMultilevel"/>
    <w:tmpl w:val="6A20E57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nsid w:val="3C5F5B7F"/>
    <w:multiLevelType w:val="multilevel"/>
    <w:tmpl w:val="2BA23E10"/>
    <w:lvl w:ilvl="0">
      <w:start w:val="6"/>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0">
    <w:nsid w:val="3C845917"/>
    <w:multiLevelType w:val="hybridMultilevel"/>
    <w:tmpl w:val="B6CC62F2"/>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nsid w:val="3CC04868"/>
    <w:multiLevelType w:val="multilevel"/>
    <w:tmpl w:val="1A94ED14"/>
    <w:lvl w:ilvl="0">
      <w:start w:val="1"/>
      <w:numFmt w:val="upperRoman"/>
      <w:lvlText w:val="%1."/>
      <w:lvlJc w:val="right"/>
      <w:pPr>
        <w:ind w:left="720" w:hanging="360"/>
      </w:pPr>
    </w:lvl>
    <w:lvl w:ilvl="1">
      <w:start w:val="2"/>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82">
    <w:nsid w:val="3CD50A3A"/>
    <w:multiLevelType w:val="hybridMultilevel"/>
    <w:tmpl w:val="02C23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3">
    <w:nsid w:val="3E0C11BE"/>
    <w:multiLevelType w:val="hybridMultilevel"/>
    <w:tmpl w:val="AA5CF9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4">
    <w:nsid w:val="3E3A074F"/>
    <w:multiLevelType w:val="hybridMultilevel"/>
    <w:tmpl w:val="9196BFE4"/>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5">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nsid w:val="3FA60C9B"/>
    <w:multiLevelType w:val="hybridMultilevel"/>
    <w:tmpl w:val="831074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7">
    <w:nsid w:val="402C194C"/>
    <w:multiLevelType w:val="hybridMultilevel"/>
    <w:tmpl w:val="407EA8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nsid w:val="416032E1"/>
    <w:multiLevelType w:val="hybridMultilevel"/>
    <w:tmpl w:val="41E43B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9">
    <w:nsid w:val="42127166"/>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91">
    <w:nsid w:val="441C3393"/>
    <w:multiLevelType w:val="hybridMultilevel"/>
    <w:tmpl w:val="8A4878BE"/>
    <w:lvl w:ilvl="0" w:tplc="080A0001">
      <w:start w:val="1"/>
      <w:numFmt w:val="bullet"/>
      <w:lvlText w:val=""/>
      <w:lvlJc w:val="left"/>
      <w:pPr>
        <w:ind w:left="774" w:hanging="360"/>
      </w:pPr>
      <w:rPr>
        <w:rFonts w:ascii="Symbol" w:hAnsi="Symbol" w:hint="default"/>
      </w:rPr>
    </w:lvl>
    <w:lvl w:ilvl="1" w:tplc="080A0003" w:tentative="1">
      <w:start w:val="1"/>
      <w:numFmt w:val="bullet"/>
      <w:lvlText w:val="o"/>
      <w:lvlJc w:val="left"/>
      <w:pPr>
        <w:ind w:left="1494" w:hanging="360"/>
      </w:pPr>
      <w:rPr>
        <w:rFonts w:ascii="Courier New" w:hAnsi="Courier New" w:cs="Courier New" w:hint="default"/>
      </w:rPr>
    </w:lvl>
    <w:lvl w:ilvl="2" w:tplc="080A0005" w:tentative="1">
      <w:start w:val="1"/>
      <w:numFmt w:val="bullet"/>
      <w:lvlText w:val=""/>
      <w:lvlJc w:val="left"/>
      <w:pPr>
        <w:ind w:left="2214" w:hanging="360"/>
      </w:pPr>
      <w:rPr>
        <w:rFonts w:ascii="Wingdings" w:hAnsi="Wingdings" w:hint="default"/>
      </w:rPr>
    </w:lvl>
    <w:lvl w:ilvl="3" w:tplc="080A0001" w:tentative="1">
      <w:start w:val="1"/>
      <w:numFmt w:val="bullet"/>
      <w:lvlText w:val=""/>
      <w:lvlJc w:val="left"/>
      <w:pPr>
        <w:ind w:left="2934" w:hanging="360"/>
      </w:pPr>
      <w:rPr>
        <w:rFonts w:ascii="Symbol" w:hAnsi="Symbol" w:hint="default"/>
      </w:rPr>
    </w:lvl>
    <w:lvl w:ilvl="4" w:tplc="080A0003" w:tentative="1">
      <w:start w:val="1"/>
      <w:numFmt w:val="bullet"/>
      <w:lvlText w:val="o"/>
      <w:lvlJc w:val="left"/>
      <w:pPr>
        <w:ind w:left="3654" w:hanging="360"/>
      </w:pPr>
      <w:rPr>
        <w:rFonts w:ascii="Courier New" w:hAnsi="Courier New" w:cs="Courier New" w:hint="default"/>
      </w:rPr>
    </w:lvl>
    <w:lvl w:ilvl="5" w:tplc="080A0005" w:tentative="1">
      <w:start w:val="1"/>
      <w:numFmt w:val="bullet"/>
      <w:lvlText w:val=""/>
      <w:lvlJc w:val="left"/>
      <w:pPr>
        <w:ind w:left="4374" w:hanging="360"/>
      </w:pPr>
      <w:rPr>
        <w:rFonts w:ascii="Wingdings" w:hAnsi="Wingdings" w:hint="default"/>
      </w:rPr>
    </w:lvl>
    <w:lvl w:ilvl="6" w:tplc="080A0001" w:tentative="1">
      <w:start w:val="1"/>
      <w:numFmt w:val="bullet"/>
      <w:lvlText w:val=""/>
      <w:lvlJc w:val="left"/>
      <w:pPr>
        <w:ind w:left="5094" w:hanging="360"/>
      </w:pPr>
      <w:rPr>
        <w:rFonts w:ascii="Symbol" w:hAnsi="Symbol" w:hint="default"/>
      </w:rPr>
    </w:lvl>
    <w:lvl w:ilvl="7" w:tplc="080A0003" w:tentative="1">
      <w:start w:val="1"/>
      <w:numFmt w:val="bullet"/>
      <w:lvlText w:val="o"/>
      <w:lvlJc w:val="left"/>
      <w:pPr>
        <w:ind w:left="5814" w:hanging="360"/>
      </w:pPr>
      <w:rPr>
        <w:rFonts w:ascii="Courier New" w:hAnsi="Courier New" w:cs="Courier New" w:hint="default"/>
      </w:rPr>
    </w:lvl>
    <w:lvl w:ilvl="8" w:tplc="080A0005" w:tentative="1">
      <w:start w:val="1"/>
      <w:numFmt w:val="bullet"/>
      <w:lvlText w:val=""/>
      <w:lvlJc w:val="left"/>
      <w:pPr>
        <w:ind w:left="6534" w:hanging="360"/>
      </w:pPr>
      <w:rPr>
        <w:rFonts w:ascii="Wingdings" w:hAnsi="Wingdings" w:hint="default"/>
      </w:rPr>
    </w:lvl>
  </w:abstractNum>
  <w:abstractNum w:abstractNumId="92">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93">
    <w:nsid w:val="4507595A"/>
    <w:multiLevelType w:val="hybridMultilevel"/>
    <w:tmpl w:val="2424C158"/>
    <w:lvl w:ilvl="0" w:tplc="080A0001">
      <w:start w:val="1"/>
      <w:numFmt w:val="bullet"/>
      <w:lvlText w:val=""/>
      <w:lvlJc w:val="left"/>
      <w:pPr>
        <w:ind w:left="1428" w:hanging="360"/>
      </w:pPr>
      <w:rPr>
        <w:rFonts w:ascii="Symbol" w:hAnsi="Symbol" w:hint="default"/>
      </w:rPr>
    </w:lvl>
    <w:lvl w:ilvl="1" w:tplc="080A0003">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94">
    <w:nsid w:val="45A50B40"/>
    <w:multiLevelType w:val="hybridMultilevel"/>
    <w:tmpl w:val="6E0AE07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95">
    <w:nsid w:val="460A32D9"/>
    <w:multiLevelType w:val="multilevel"/>
    <w:tmpl w:val="75FA796C"/>
    <w:lvl w:ilvl="0">
      <w:start w:val="1"/>
      <w:numFmt w:val="decimal"/>
      <w:lvlText w:val="%1."/>
      <w:lvlJc w:val="left"/>
      <w:pPr>
        <w:ind w:left="720" w:hanging="360"/>
      </w:pPr>
      <w:rPr>
        <w:rFonts w:hint="default"/>
      </w:rPr>
    </w:lvl>
    <w:lvl w:ilvl="1">
      <w:start w:val="10"/>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6">
    <w:nsid w:val="462F4350"/>
    <w:multiLevelType w:val="hybridMultilevel"/>
    <w:tmpl w:val="36FCB1F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7">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8">
    <w:nsid w:val="46D4736F"/>
    <w:multiLevelType w:val="hybridMultilevel"/>
    <w:tmpl w:val="CDA4905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9">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00">
    <w:nsid w:val="47F37B51"/>
    <w:multiLevelType w:val="hybridMultilevel"/>
    <w:tmpl w:val="28B06D7E"/>
    <w:lvl w:ilvl="0" w:tplc="E7DA4434">
      <w:start w:val="1"/>
      <w:numFmt w:val="bullet"/>
      <w:lvlText w:val="­"/>
      <w:lvlJc w:val="left"/>
      <w:pPr>
        <w:ind w:left="1068" w:hanging="360"/>
      </w:pPr>
      <w:rPr>
        <w:rFonts w:ascii="Calibri" w:hAnsi="Calibri"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1">
    <w:nsid w:val="48786332"/>
    <w:multiLevelType w:val="hybridMultilevel"/>
    <w:tmpl w:val="153C0C3E"/>
    <w:lvl w:ilvl="0" w:tplc="080A0017">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102">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3">
    <w:nsid w:val="4A485E2F"/>
    <w:multiLevelType w:val="hybridMultilevel"/>
    <w:tmpl w:val="EE76C3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nsid w:val="4A4E4F19"/>
    <w:multiLevelType w:val="hybridMultilevel"/>
    <w:tmpl w:val="F244CDD4"/>
    <w:lvl w:ilvl="0" w:tplc="080A0001">
      <w:start w:val="1"/>
      <w:numFmt w:val="decimal"/>
      <w:pStyle w:val="Titulo3-0"/>
      <w:lvlText w:val="6.2.%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5">
    <w:nsid w:val="4C7616C3"/>
    <w:multiLevelType w:val="hybridMultilevel"/>
    <w:tmpl w:val="093A5C88"/>
    <w:lvl w:ilvl="0" w:tplc="080A0011">
      <w:start w:val="1"/>
      <w:numFmt w:val="bullet"/>
      <w:lvlText w:val="o"/>
      <w:lvlJc w:val="left"/>
      <w:pPr>
        <w:ind w:left="1440" w:hanging="360"/>
      </w:pPr>
      <w:rPr>
        <w:rFonts w:ascii="Courier New" w:hAnsi="Courier New" w:cs="Courier New" w:hint="default"/>
      </w:rPr>
    </w:lvl>
    <w:lvl w:ilvl="1" w:tplc="080A0019" w:tentative="1">
      <w:start w:val="1"/>
      <w:numFmt w:val="bullet"/>
      <w:lvlText w:val="o"/>
      <w:lvlJc w:val="left"/>
      <w:pPr>
        <w:ind w:left="2160" w:hanging="360"/>
      </w:pPr>
      <w:rPr>
        <w:rFonts w:ascii="Courier New" w:hAnsi="Courier New" w:cs="Courier New" w:hint="default"/>
      </w:rPr>
    </w:lvl>
    <w:lvl w:ilvl="2" w:tplc="080A001B" w:tentative="1">
      <w:start w:val="1"/>
      <w:numFmt w:val="bullet"/>
      <w:lvlText w:val=""/>
      <w:lvlJc w:val="left"/>
      <w:pPr>
        <w:ind w:left="2880" w:hanging="360"/>
      </w:pPr>
      <w:rPr>
        <w:rFonts w:ascii="Wingdings" w:hAnsi="Wingdings" w:hint="default"/>
      </w:rPr>
    </w:lvl>
    <w:lvl w:ilvl="3" w:tplc="080A000F" w:tentative="1">
      <w:start w:val="1"/>
      <w:numFmt w:val="bullet"/>
      <w:lvlText w:val=""/>
      <w:lvlJc w:val="left"/>
      <w:pPr>
        <w:ind w:left="3600" w:hanging="360"/>
      </w:pPr>
      <w:rPr>
        <w:rFonts w:ascii="Symbol" w:hAnsi="Symbol"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06">
    <w:nsid w:val="4CB15F87"/>
    <w:multiLevelType w:val="hybridMultilevel"/>
    <w:tmpl w:val="0C789548"/>
    <w:lvl w:ilvl="0" w:tplc="080A0003">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nsid w:val="4DC708FA"/>
    <w:multiLevelType w:val="hybridMultilevel"/>
    <w:tmpl w:val="BBE4A11C"/>
    <w:lvl w:ilvl="0" w:tplc="080A0001">
      <w:start w:val="1"/>
      <w:numFmt w:val="decimal"/>
      <w:lvlText w:val="%1."/>
      <w:lvlJc w:val="left"/>
      <w:pPr>
        <w:tabs>
          <w:tab w:val="num" w:pos="360"/>
        </w:tabs>
        <w:ind w:left="360"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08">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9">
    <w:nsid w:val="4EDF0CD2"/>
    <w:multiLevelType w:val="multilevel"/>
    <w:tmpl w:val="3180580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0">
    <w:nsid w:val="4EE72CC0"/>
    <w:multiLevelType w:val="multilevel"/>
    <w:tmpl w:val="020492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1">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12">
    <w:nsid w:val="4F640168"/>
    <w:multiLevelType w:val="hybridMultilevel"/>
    <w:tmpl w:val="512446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nsid w:val="4FCE6095"/>
    <w:multiLevelType w:val="hybridMultilevel"/>
    <w:tmpl w:val="10CA6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4">
    <w:nsid w:val="4FDA1684"/>
    <w:multiLevelType w:val="hybridMultilevel"/>
    <w:tmpl w:val="34C4B0A4"/>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15">
    <w:nsid w:val="50AF22DD"/>
    <w:multiLevelType w:val="hybridMultilevel"/>
    <w:tmpl w:val="5E5EA8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nsid w:val="51C41EB2"/>
    <w:multiLevelType w:val="hybridMultilevel"/>
    <w:tmpl w:val="8F4CD15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18">
    <w:nsid w:val="54E64F23"/>
    <w:multiLevelType w:val="hybridMultilevel"/>
    <w:tmpl w:val="78FCFECE"/>
    <w:lvl w:ilvl="0" w:tplc="080A0001">
      <w:start w:val="1"/>
      <w:numFmt w:val="bullet"/>
      <w:lvlText w:val=""/>
      <w:lvlJc w:val="left"/>
      <w:pPr>
        <w:ind w:left="720" w:hanging="360"/>
      </w:pPr>
      <w:rPr>
        <w:rFonts w:ascii="Symbol" w:hAnsi="Symbol"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19">
    <w:nsid w:val="55A320CD"/>
    <w:multiLevelType w:val="hybridMultilevel"/>
    <w:tmpl w:val="FB92D046"/>
    <w:lvl w:ilvl="0" w:tplc="080A000F">
      <w:start w:val="1"/>
      <w:numFmt w:val="decimal"/>
      <w:lvlText w:val="%1."/>
      <w:lvlJc w:val="left"/>
      <w:pPr>
        <w:ind w:left="1069" w:hanging="360"/>
      </w:p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120">
    <w:nsid w:val="55A97474"/>
    <w:multiLevelType w:val="hybridMultilevel"/>
    <w:tmpl w:val="032631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1">
    <w:nsid w:val="56275D85"/>
    <w:multiLevelType w:val="hybridMultilevel"/>
    <w:tmpl w:val="017C6C1A"/>
    <w:lvl w:ilvl="0" w:tplc="080A0003">
      <w:start w:val="1"/>
      <w:numFmt w:val="bullet"/>
      <w:lvlText w:val="o"/>
      <w:lvlJc w:val="left"/>
      <w:pPr>
        <w:ind w:left="720" w:hanging="360"/>
      </w:pPr>
      <w:rPr>
        <w:rFonts w:ascii="Courier New" w:hAnsi="Courier New" w:cs="Courier New"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22">
    <w:nsid w:val="567870C3"/>
    <w:multiLevelType w:val="hybridMultilevel"/>
    <w:tmpl w:val="0FEE7812"/>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3">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24">
    <w:nsid w:val="59892E30"/>
    <w:multiLevelType w:val="hybridMultilevel"/>
    <w:tmpl w:val="546C39B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5">
    <w:nsid w:val="5A082E4E"/>
    <w:multiLevelType w:val="hybridMultilevel"/>
    <w:tmpl w:val="2774F4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nsid w:val="5ADA38AB"/>
    <w:multiLevelType w:val="hybridMultilevel"/>
    <w:tmpl w:val="66AC65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7">
    <w:nsid w:val="5B132463"/>
    <w:multiLevelType w:val="multilevel"/>
    <w:tmpl w:val="8AFEA68E"/>
    <w:lvl w:ilvl="0">
      <w:start w:val="4"/>
      <w:numFmt w:val="decimal"/>
      <w:lvlText w:val="%1."/>
      <w:lvlJc w:val="left"/>
      <w:pPr>
        <w:ind w:left="720"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8">
    <w:nsid w:val="5BD71752"/>
    <w:multiLevelType w:val="hybridMultilevel"/>
    <w:tmpl w:val="C1845B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9">
    <w:nsid w:val="5CFC03D3"/>
    <w:multiLevelType w:val="multilevel"/>
    <w:tmpl w:val="EC02C36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31">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2">
    <w:nsid w:val="604915BB"/>
    <w:multiLevelType w:val="hybridMultilevel"/>
    <w:tmpl w:val="C20273B6"/>
    <w:lvl w:ilvl="0" w:tplc="080A0001">
      <w:start w:val="1"/>
      <w:numFmt w:val="bullet"/>
      <w:lvlText w:val=""/>
      <w:lvlJc w:val="left"/>
      <w:pPr>
        <w:ind w:left="1069" w:hanging="360"/>
      </w:pPr>
      <w:rPr>
        <w:rFonts w:ascii="Symbol" w:hAnsi="Symbol" w:hint="default"/>
      </w:rPr>
    </w:lvl>
    <w:lvl w:ilvl="1" w:tplc="080A0001">
      <w:start w:val="1"/>
      <w:numFmt w:val="bullet"/>
      <w:lvlText w:val=""/>
      <w:lvlJc w:val="left"/>
      <w:pPr>
        <w:ind w:left="1789" w:hanging="360"/>
      </w:pPr>
      <w:rPr>
        <w:rFonts w:ascii="Symbol" w:hAnsi="Symbol"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33">
    <w:nsid w:val="60F44EA2"/>
    <w:multiLevelType w:val="hybridMultilevel"/>
    <w:tmpl w:val="CB18F1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4">
    <w:nsid w:val="61EB3917"/>
    <w:multiLevelType w:val="hybridMultilevel"/>
    <w:tmpl w:val="F96EBC2E"/>
    <w:lvl w:ilvl="0" w:tplc="080A0011">
      <w:start w:val="1"/>
      <w:numFmt w:val="decimal"/>
      <w:lvlText w:val="%1)"/>
      <w:lvlJc w:val="left"/>
      <w:pPr>
        <w:ind w:left="720" w:hanging="360"/>
      </w:pPr>
    </w:lvl>
    <w:lvl w:ilvl="1" w:tplc="E4FC337C">
      <w:start w:val="2"/>
      <w:numFmt w:val="bullet"/>
      <w:lvlText w:val="•"/>
      <w:lvlJc w:val="left"/>
      <w:pPr>
        <w:ind w:left="1770" w:hanging="690"/>
      </w:pPr>
      <w:rPr>
        <w:rFonts w:ascii="ITC Avant Garde" w:eastAsia="Times New Roman" w:hAnsi="ITC Avant Garde"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5">
    <w:nsid w:val="62720B3B"/>
    <w:multiLevelType w:val="hybridMultilevel"/>
    <w:tmpl w:val="2E886D02"/>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6">
    <w:nsid w:val="63516026"/>
    <w:multiLevelType w:val="hybridMultilevel"/>
    <w:tmpl w:val="A3208A50"/>
    <w:lvl w:ilvl="0" w:tplc="080A000F">
      <w:start w:val="1"/>
      <w:numFmt w:val="decimal"/>
      <w:lvlText w:val="%1."/>
      <w:lvlJc w:val="left"/>
      <w:pPr>
        <w:ind w:left="1074" w:hanging="360"/>
      </w:pPr>
    </w:lvl>
    <w:lvl w:ilvl="1" w:tplc="080A0019" w:tentative="1">
      <w:start w:val="1"/>
      <w:numFmt w:val="lowerLetter"/>
      <w:lvlText w:val="%2."/>
      <w:lvlJc w:val="left"/>
      <w:pPr>
        <w:ind w:left="1794" w:hanging="360"/>
      </w:pPr>
    </w:lvl>
    <w:lvl w:ilvl="2" w:tplc="080A001B" w:tentative="1">
      <w:start w:val="1"/>
      <w:numFmt w:val="lowerRoman"/>
      <w:lvlText w:val="%3."/>
      <w:lvlJc w:val="right"/>
      <w:pPr>
        <w:ind w:left="2514" w:hanging="180"/>
      </w:pPr>
    </w:lvl>
    <w:lvl w:ilvl="3" w:tplc="080A000F" w:tentative="1">
      <w:start w:val="1"/>
      <w:numFmt w:val="decimal"/>
      <w:lvlText w:val="%4."/>
      <w:lvlJc w:val="left"/>
      <w:pPr>
        <w:ind w:left="3234" w:hanging="360"/>
      </w:pPr>
    </w:lvl>
    <w:lvl w:ilvl="4" w:tplc="080A0019" w:tentative="1">
      <w:start w:val="1"/>
      <w:numFmt w:val="lowerLetter"/>
      <w:lvlText w:val="%5."/>
      <w:lvlJc w:val="left"/>
      <w:pPr>
        <w:ind w:left="3954" w:hanging="360"/>
      </w:pPr>
    </w:lvl>
    <w:lvl w:ilvl="5" w:tplc="080A001B" w:tentative="1">
      <w:start w:val="1"/>
      <w:numFmt w:val="lowerRoman"/>
      <w:lvlText w:val="%6."/>
      <w:lvlJc w:val="right"/>
      <w:pPr>
        <w:ind w:left="4674" w:hanging="180"/>
      </w:pPr>
    </w:lvl>
    <w:lvl w:ilvl="6" w:tplc="080A000F" w:tentative="1">
      <w:start w:val="1"/>
      <w:numFmt w:val="decimal"/>
      <w:lvlText w:val="%7."/>
      <w:lvlJc w:val="left"/>
      <w:pPr>
        <w:ind w:left="5394" w:hanging="360"/>
      </w:pPr>
    </w:lvl>
    <w:lvl w:ilvl="7" w:tplc="080A0019" w:tentative="1">
      <w:start w:val="1"/>
      <w:numFmt w:val="lowerLetter"/>
      <w:lvlText w:val="%8."/>
      <w:lvlJc w:val="left"/>
      <w:pPr>
        <w:ind w:left="6114" w:hanging="360"/>
      </w:pPr>
    </w:lvl>
    <w:lvl w:ilvl="8" w:tplc="080A001B" w:tentative="1">
      <w:start w:val="1"/>
      <w:numFmt w:val="lowerRoman"/>
      <w:lvlText w:val="%9."/>
      <w:lvlJc w:val="right"/>
      <w:pPr>
        <w:ind w:left="6834" w:hanging="180"/>
      </w:pPr>
    </w:lvl>
  </w:abstractNum>
  <w:abstractNum w:abstractNumId="137">
    <w:nsid w:val="64723201"/>
    <w:multiLevelType w:val="hybridMultilevel"/>
    <w:tmpl w:val="F9943336"/>
    <w:lvl w:ilvl="0" w:tplc="BFF0D60A">
      <w:numFmt w:val="bullet"/>
      <w:lvlText w:val="-"/>
      <w:lvlJc w:val="left"/>
      <w:pPr>
        <w:ind w:left="1068" w:hanging="360"/>
      </w:pPr>
      <w:rPr>
        <w:rFonts w:ascii="Comic Sans MS" w:eastAsia="Times New Roman" w:hAnsi="Comic Sans M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38">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39">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nsid w:val="66FE6B1B"/>
    <w:multiLevelType w:val="hybridMultilevel"/>
    <w:tmpl w:val="71A418B6"/>
    <w:lvl w:ilvl="0" w:tplc="08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41">
    <w:nsid w:val="670E5CBF"/>
    <w:multiLevelType w:val="hybridMultilevel"/>
    <w:tmpl w:val="AB464166"/>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2">
    <w:nsid w:val="671565A5"/>
    <w:multiLevelType w:val="hybridMultilevel"/>
    <w:tmpl w:val="6C9657A0"/>
    <w:lvl w:ilvl="0" w:tplc="1820CFB0">
      <w:start w:val="2"/>
      <w:numFmt w:val="bullet"/>
      <w:lvlText w:val="-"/>
      <w:lvlJc w:val="left"/>
      <w:pPr>
        <w:ind w:left="1429" w:hanging="360"/>
      </w:pPr>
      <w:rPr>
        <w:rFonts w:ascii="ITC Avant Garde" w:eastAsia="Calibri" w:hAnsi="ITC Avant Garde" w:cs="Calibri"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43">
    <w:nsid w:val="67A27BF2"/>
    <w:multiLevelType w:val="hybridMultilevel"/>
    <w:tmpl w:val="9E7095EA"/>
    <w:lvl w:ilvl="0" w:tplc="3230A2F6">
      <w:numFmt w:val="bullet"/>
      <w:lvlText w:val="•"/>
      <w:lvlJc w:val="left"/>
      <w:pPr>
        <w:ind w:left="1065" w:hanging="705"/>
      </w:pPr>
      <w:rPr>
        <w:rFonts w:ascii="ITC Avant Garde" w:eastAsia="Times New Roman" w:hAnsi="ITC Avant Garde"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5">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6">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47">
    <w:nsid w:val="693A277B"/>
    <w:multiLevelType w:val="hybridMultilevel"/>
    <w:tmpl w:val="C25A72CC"/>
    <w:lvl w:ilvl="0" w:tplc="4AE0FD4E">
      <w:start w:val="1"/>
      <w:numFmt w:val="bullet"/>
      <w:lvlText w:val="o"/>
      <w:lvlJc w:val="left"/>
      <w:pPr>
        <w:ind w:left="1440" w:hanging="360"/>
      </w:pPr>
      <w:rPr>
        <w:rFonts w:ascii="Courier New" w:hAnsi="Courier New" w:cs="Courier New" w:hint="default"/>
      </w:rPr>
    </w:lvl>
    <w:lvl w:ilvl="1" w:tplc="66B83922" w:tentative="1">
      <w:start w:val="1"/>
      <w:numFmt w:val="bullet"/>
      <w:lvlText w:val="o"/>
      <w:lvlJc w:val="left"/>
      <w:pPr>
        <w:ind w:left="2160" w:hanging="360"/>
      </w:pPr>
      <w:rPr>
        <w:rFonts w:ascii="Courier New" w:hAnsi="Courier New" w:cs="Courier New" w:hint="default"/>
      </w:rPr>
    </w:lvl>
    <w:lvl w:ilvl="2" w:tplc="452611E8" w:tentative="1">
      <w:start w:val="1"/>
      <w:numFmt w:val="bullet"/>
      <w:lvlText w:val=""/>
      <w:lvlJc w:val="left"/>
      <w:pPr>
        <w:ind w:left="2880" w:hanging="360"/>
      </w:pPr>
      <w:rPr>
        <w:rFonts w:ascii="Wingdings" w:hAnsi="Wingdings" w:hint="default"/>
      </w:rPr>
    </w:lvl>
    <w:lvl w:ilvl="3" w:tplc="3CECBB60" w:tentative="1">
      <w:start w:val="1"/>
      <w:numFmt w:val="bullet"/>
      <w:lvlText w:val=""/>
      <w:lvlJc w:val="left"/>
      <w:pPr>
        <w:ind w:left="3600" w:hanging="360"/>
      </w:pPr>
      <w:rPr>
        <w:rFonts w:ascii="Symbol" w:hAnsi="Symbol" w:hint="default"/>
      </w:rPr>
    </w:lvl>
    <w:lvl w:ilvl="4" w:tplc="C9E87D64" w:tentative="1">
      <w:start w:val="1"/>
      <w:numFmt w:val="bullet"/>
      <w:lvlText w:val="o"/>
      <w:lvlJc w:val="left"/>
      <w:pPr>
        <w:ind w:left="4320" w:hanging="360"/>
      </w:pPr>
      <w:rPr>
        <w:rFonts w:ascii="Courier New" w:hAnsi="Courier New" w:cs="Courier New" w:hint="default"/>
      </w:rPr>
    </w:lvl>
    <w:lvl w:ilvl="5" w:tplc="D354E8BE" w:tentative="1">
      <w:start w:val="1"/>
      <w:numFmt w:val="bullet"/>
      <w:lvlText w:val=""/>
      <w:lvlJc w:val="left"/>
      <w:pPr>
        <w:ind w:left="5040" w:hanging="360"/>
      </w:pPr>
      <w:rPr>
        <w:rFonts w:ascii="Wingdings" w:hAnsi="Wingdings" w:hint="default"/>
      </w:rPr>
    </w:lvl>
    <w:lvl w:ilvl="6" w:tplc="858CBE58" w:tentative="1">
      <w:start w:val="1"/>
      <w:numFmt w:val="bullet"/>
      <w:lvlText w:val=""/>
      <w:lvlJc w:val="left"/>
      <w:pPr>
        <w:ind w:left="5760" w:hanging="360"/>
      </w:pPr>
      <w:rPr>
        <w:rFonts w:ascii="Symbol" w:hAnsi="Symbol" w:hint="default"/>
      </w:rPr>
    </w:lvl>
    <w:lvl w:ilvl="7" w:tplc="DE040214" w:tentative="1">
      <w:start w:val="1"/>
      <w:numFmt w:val="bullet"/>
      <w:lvlText w:val="o"/>
      <w:lvlJc w:val="left"/>
      <w:pPr>
        <w:ind w:left="6480" w:hanging="360"/>
      </w:pPr>
      <w:rPr>
        <w:rFonts w:ascii="Courier New" w:hAnsi="Courier New" w:cs="Courier New" w:hint="default"/>
      </w:rPr>
    </w:lvl>
    <w:lvl w:ilvl="8" w:tplc="10BE8972" w:tentative="1">
      <w:start w:val="1"/>
      <w:numFmt w:val="bullet"/>
      <w:lvlText w:val=""/>
      <w:lvlJc w:val="left"/>
      <w:pPr>
        <w:ind w:left="7200" w:hanging="360"/>
      </w:pPr>
      <w:rPr>
        <w:rFonts w:ascii="Wingdings" w:hAnsi="Wingdings" w:hint="default"/>
      </w:rPr>
    </w:lvl>
  </w:abstractNum>
  <w:abstractNum w:abstractNumId="148">
    <w:nsid w:val="69ED014B"/>
    <w:multiLevelType w:val="hybridMultilevel"/>
    <w:tmpl w:val="0B7E2AE6"/>
    <w:lvl w:ilvl="0" w:tplc="7CC865F6">
      <w:start w:val="1"/>
      <w:numFmt w:val="decimal"/>
      <w:lvlText w:val="%1)"/>
      <w:lvlJc w:val="left"/>
      <w:pPr>
        <w:ind w:left="-207" w:hanging="360"/>
      </w:pPr>
      <w:rPr>
        <w:rFonts w:hint="default"/>
      </w:rPr>
    </w:lvl>
    <w:lvl w:ilvl="1" w:tplc="080A0019" w:tentative="1">
      <w:start w:val="1"/>
      <w:numFmt w:val="lowerLetter"/>
      <w:lvlText w:val="%2."/>
      <w:lvlJc w:val="left"/>
      <w:pPr>
        <w:ind w:left="513" w:hanging="360"/>
      </w:pPr>
    </w:lvl>
    <w:lvl w:ilvl="2" w:tplc="080A001B" w:tentative="1">
      <w:start w:val="1"/>
      <w:numFmt w:val="lowerRoman"/>
      <w:lvlText w:val="%3."/>
      <w:lvlJc w:val="right"/>
      <w:pPr>
        <w:ind w:left="1233" w:hanging="180"/>
      </w:pPr>
    </w:lvl>
    <w:lvl w:ilvl="3" w:tplc="080A000F" w:tentative="1">
      <w:start w:val="1"/>
      <w:numFmt w:val="decimal"/>
      <w:lvlText w:val="%4."/>
      <w:lvlJc w:val="left"/>
      <w:pPr>
        <w:ind w:left="1953" w:hanging="360"/>
      </w:pPr>
    </w:lvl>
    <w:lvl w:ilvl="4" w:tplc="080A0019" w:tentative="1">
      <w:start w:val="1"/>
      <w:numFmt w:val="lowerLetter"/>
      <w:lvlText w:val="%5."/>
      <w:lvlJc w:val="left"/>
      <w:pPr>
        <w:ind w:left="2673" w:hanging="360"/>
      </w:pPr>
    </w:lvl>
    <w:lvl w:ilvl="5" w:tplc="080A001B" w:tentative="1">
      <w:start w:val="1"/>
      <w:numFmt w:val="lowerRoman"/>
      <w:lvlText w:val="%6."/>
      <w:lvlJc w:val="right"/>
      <w:pPr>
        <w:ind w:left="3393" w:hanging="180"/>
      </w:pPr>
    </w:lvl>
    <w:lvl w:ilvl="6" w:tplc="080A000F" w:tentative="1">
      <w:start w:val="1"/>
      <w:numFmt w:val="decimal"/>
      <w:lvlText w:val="%7."/>
      <w:lvlJc w:val="left"/>
      <w:pPr>
        <w:ind w:left="4113" w:hanging="360"/>
      </w:pPr>
    </w:lvl>
    <w:lvl w:ilvl="7" w:tplc="080A0019" w:tentative="1">
      <w:start w:val="1"/>
      <w:numFmt w:val="lowerLetter"/>
      <w:lvlText w:val="%8."/>
      <w:lvlJc w:val="left"/>
      <w:pPr>
        <w:ind w:left="4833" w:hanging="360"/>
      </w:pPr>
    </w:lvl>
    <w:lvl w:ilvl="8" w:tplc="080A001B" w:tentative="1">
      <w:start w:val="1"/>
      <w:numFmt w:val="lowerRoman"/>
      <w:lvlText w:val="%9."/>
      <w:lvlJc w:val="right"/>
      <w:pPr>
        <w:ind w:left="5553" w:hanging="180"/>
      </w:pPr>
    </w:lvl>
  </w:abstractNum>
  <w:abstractNum w:abstractNumId="149">
    <w:nsid w:val="6A4058EA"/>
    <w:multiLevelType w:val="hybridMultilevel"/>
    <w:tmpl w:val="91E47D18"/>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150">
    <w:nsid w:val="6BE87207"/>
    <w:multiLevelType w:val="hybridMultilevel"/>
    <w:tmpl w:val="A20E7114"/>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1">
    <w:nsid w:val="6BF85C83"/>
    <w:multiLevelType w:val="hybridMultilevel"/>
    <w:tmpl w:val="CE483B10"/>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2">
    <w:nsid w:val="6C350132"/>
    <w:multiLevelType w:val="hybridMultilevel"/>
    <w:tmpl w:val="D20256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3">
    <w:nsid w:val="6C3B56EC"/>
    <w:multiLevelType w:val="hybridMultilevel"/>
    <w:tmpl w:val="BB928142"/>
    <w:lvl w:ilvl="0" w:tplc="080A000F">
      <w:start w:val="1"/>
      <w:numFmt w:val="decimal"/>
      <w:lvlText w:val="%1."/>
      <w:lvlJc w:val="left"/>
      <w:pPr>
        <w:ind w:left="1429" w:hanging="360"/>
      </w:p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abstractNum w:abstractNumId="154">
    <w:nsid w:val="70170099"/>
    <w:multiLevelType w:val="multilevel"/>
    <w:tmpl w:val="C3D65C8A"/>
    <w:lvl w:ilvl="0">
      <w:start w:val="1"/>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5">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56">
    <w:nsid w:val="71B56E0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57">
    <w:nsid w:val="71C84DA2"/>
    <w:multiLevelType w:val="hybridMultilevel"/>
    <w:tmpl w:val="1576C6D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8">
    <w:nsid w:val="7238179C"/>
    <w:multiLevelType w:val="hybridMultilevel"/>
    <w:tmpl w:val="660C60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9">
    <w:nsid w:val="723F2BBC"/>
    <w:multiLevelType w:val="multilevel"/>
    <w:tmpl w:val="2BA23E10"/>
    <w:lvl w:ilvl="0">
      <w:start w:val="5"/>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0">
    <w:nsid w:val="72416B96"/>
    <w:multiLevelType w:val="hybridMultilevel"/>
    <w:tmpl w:val="A1D60032"/>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61">
    <w:nsid w:val="73055F5F"/>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nsid w:val="74F81D90"/>
    <w:multiLevelType w:val="hybridMultilevel"/>
    <w:tmpl w:val="29B42130"/>
    <w:lvl w:ilvl="0" w:tplc="CE2E71C2">
      <w:start w:val="1"/>
      <w:numFmt w:val="bullet"/>
      <w:lvlText w:val="­"/>
      <w:lvlJc w:val="left"/>
      <w:pPr>
        <w:ind w:left="1142" w:hanging="360"/>
      </w:pPr>
      <w:rPr>
        <w:rFonts w:ascii="Courier New" w:hAnsi="Courier New" w:hint="default"/>
      </w:rPr>
    </w:lvl>
    <w:lvl w:ilvl="1" w:tplc="080A0003">
      <w:start w:val="1"/>
      <w:numFmt w:val="bullet"/>
      <w:lvlText w:val="o"/>
      <w:lvlJc w:val="left"/>
      <w:pPr>
        <w:ind w:left="1862" w:hanging="360"/>
      </w:pPr>
      <w:rPr>
        <w:rFonts w:ascii="Courier New" w:hAnsi="Courier New" w:cs="Courier New" w:hint="default"/>
      </w:rPr>
    </w:lvl>
    <w:lvl w:ilvl="2" w:tplc="CE2E71C2">
      <w:start w:val="1"/>
      <w:numFmt w:val="bullet"/>
      <w:lvlText w:val="­"/>
      <w:lvlJc w:val="left"/>
      <w:pPr>
        <w:ind w:left="2582" w:hanging="360"/>
      </w:pPr>
      <w:rPr>
        <w:rFonts w:ascii="Courier New" w:hAnsi="Courier New" w:hint="default"/>
      </w:rPr>
    </w:lvl>
    <w:lvl w:ilvl="3" w:tplc="080A0001" w:tentative="1">
      <w:start w:val="1"/>
      <w:numFmt w:val="bullet"/>
      <w:lvlText w:val=""/>
      <w:lvlJc w:val="left"/>
      <w:pPr>
        <w:ind w:left="3302" w:hanging="360"/>
      </w:pPr>
      <w:rPr>
        <w:rFonts w:ascii="Symbol" w:hAnsi="Symbol" w:hint="default"/>
      </w:rPr>
    </w:lvl>
    <w:lvl w:ilvl="4" w:tplc="080A0003" w:tentative="1">
      <w:start w:val="1"/>
      <w:numFmt w:val="bullet"/>
      <w:lvlText w:val="o"/>
      <w:lvlJc w:val="left"/>
      <w:pPr>
        <w:ind w:left="4022" w:hanging="360"/>
      </w:pPr>
      <w:rPr>
        <w:rFonts w:ascii="Courier New" w:hAnsi="Courier New" w:cs="Courier New" w:hint="default"/>
      </w:rPr>
    </w:lvl>
    <w:lvl w:ilvl="5" w:tplc="080A0005" w:tentative="1">
      <w:start w:val="1"/>
      <w:numFmt w:val="bullet"/>
      <w:lvlText w:val=""/>
      <w:lvlJc w:val="left"/>
      <w:pPr>
        <w:ind w:left="4742" w:hanging="360"/>
      </w:pPr>
      <w:rPr>
        <w:rFonts w:ascii="Wingdings" w:hAnsi="Wingdings" w:hint="default"/>
      </w:rPr>
    </w:lvl>
    <w:lvl w:ilvl="6" w:tplc="080A0001" w:tentative="1">
      <w:start w:val="1"/>
      <w:numFmt w:val="bullet"/>
      <w:lvlText w:val=""/>
      <w:lvlJc w:val="left"/>
      <w:pPr>
        <w:ind w:left="5462" w:hanging="360"/>
      </w:pPr>
      <w:rPr>
        <w:rFonts w:ascii="Symbol" w:hAnsi="Symbol" w:hint="default"/>
      </w:rPr>
    </w:lvl>
    <w:lvl w:ilvl="7" w:tplc="080A0003" w:tentative="1">
      <w:start w:val="1"/>
      <w:numFmt w:val="bullet"/>
      <w:lvlText w:val="o"/>
      <w:lvlJc w:val="left"/>
      <w:pPr>
        <w:ind w:left="6182" w:hanging="360"/>
      </w:pPr>
      <w:rPr>
        <w:rFonts w:ascii="Courier New" w:hAnsi="Courier New" w:cs="Courier New" w:hint="default"/>
      </w:rPr>
    </w:lvl>
    <w:lvl w:ilvl="8" w:tplc="080A0005" w:tentative="1">
      <w:start w:val="1"/>
      <w:numFmt w:val="bullet"/>
      <w:lvlText w:val=""/>
      <w:lvlJc w:val="left"/>
      <w:pPr>
        <w:ind w:left="6902" w:hanging="360"/>
      </w:pPr>
      <w:rPr>
        <w:rFonts w:ascii="Wingdings" w:hAnsi="Wingdings" w:hint="default"/>
      </w:rPr>
    </w:lvl>
  </w:abstractNum>
  <w:abstractNum w:abstractNumId="163">
    <w:nsid w:val="758C3A75"/>
    <w:multiLevelType w:val="hybridMultilevel"/>
    <w:tmpl w:val="C2388EE4"/>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164">
    <w:nsid w:val="75CC72E6"/>
    <w:multiLevelType w:val="multilevel"/>
    <w:tmpl w:val="2806E0B0"/>
    <w:lvl w:ilvl="0">
      <w:start w:val="1"/>
      <w:numFmt w:val="decimal"/>
      <w:pStyle w:val="1TitPrin"/>
      <w:lvlText w:val="%1."/>
      <w:lvlJc w:val="left"/>
      <w:pPr>
        <w:ind w:left="720"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65">
    <w:nsid w:val="7637614C"/>
    <w:multiLevelType w:val="hybridMultilevel"/>
    <w:tmpl w:val="BA025F28"/>
    <w:lvl w:ilvl="0" w:tplc="DC4287D8">
      <w:start w:val="2"/>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6">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7">
    <w:nsid w:val="76F0333F"/>
    <w:multiLevelType w:val="hybridMultilevel"/>
    <w:tmpl w:val="F97CAC2E"/>
    <w:lvl w:ilvl="0" w:tplc="3230A2F6">
      <w:numFmt w:val="bullet"/>
      <w:lvlText w:val="•"/>
      <w:lvlJc w:val="left"/>
      <w:pPr>
        <w:ind w:left="1065" w:hanging="705"/>
      </w:pPr>
      <w:rPr>
        <w:rFonts w:ascii="ITC Avant Garde" w:eastAsia="Times New Roman" w:hAnsi="ITC Avant Garde" w:cs="Times New Roman" w:hint="default"/>
      </w:rPr>
    </w:lvl>
    <w:lvl w:ilvl="1" w:tplc="2A405B5C" w:tentative="1">
      <w:start w:val="1"/>
      <w:numFmt w:val="bullet"/>
      <w:lvlText w:val="o"/>
      <w:lvlJc w:val="left"/>
      <w:pPr>
        <w:ind w:left="1440" w:hanging="360"/>
      </w:pPr>
      <w:rPr>
        <w:rFonts w:ascii="Courier New" w:hAnsi="Courier New" w:cs="Courier New" w:hint="default"/>
      </w:rPr>
    </w:lvl>
    <w:lvl w:ilvl="2" w:tplc="5DE0E656" w:tentative="1">
      <w:start w:val="1"/>
      <w:numFmt w:val="bullet"/>
      <w:lvlText w:val=""/>
      <w:lvlJc w:val="left"/>
      <w:pPr>
        <w:ind w:left="2160" w:hanging="360"/>
      </w:pPr>
      <w:rPr>
        <w:rFonts w:ascii="Wingdings" w:hAnsi="Wingdings" w:hint="default"/>
      </w:rPr>
    </w:lvl>
    <w:lvl w:ilvl="3" w:tplc="36F2606C" w:tentative="1">
      <w:start w:val="1"/>
      <w:numFmt w:val="bullet"/>
      <w:lvlText w:val=""/>
      <w:lvlJc w:val="left"/>
      <w:pPr>
        <w:ind w:left="2880" w:hanging="360"/>
      </w:pPr>
      <w:rPr>
        <w:rFonts w:ascii="Symbol" w:hAnsi="Symbol" w:hint="default"/>
      </w:rPr>
    </w:lvl>
    <w:lvl w:ilvl="4" w:tplc="AC10538C" w:tentative="1">
      <w:start w:val="1"/>
      <w:numFmt w:val="bullet"/>
      <w:lvlText w:val="o"/>
      <w:lvlJc w:val="left"/>
      <w:pPr>
        <w:ind w:left="3600" w:hanging="360"/>
      </w:pPr>
      <w:rPr>
        <w:rFonts w:ascii="Courier New" w:hAnsi="Courier New" w:cs="Courier New" w:hint="default"/>
      </w:rPr>
    </w:lvl>
    <w:lvl w:ilvl="5" w:tplc="941804F6" w:tentative="1">
      <w:start w:val="1"/>
      <w:numFmt w:val="bullet"/>
      <w:lvlText w:val=""/>
      <w:lvlJc w:val="left"/>
      <w:pPr>
        <w:ind w:left="4320" w:hanging="360"/>
      </w:pPr>
      <w:rPr>
        <w:rFonts w:ascii="Wingdings" w:hAnsi="Wingdings" w:hint="default"/>
      </w:rPr>
    </w:lvl>
    <w:lvl w:ilvl="6" w:tplc="A8C662A0" w:tentative="1">
      <w:start w:val="1"/>
      <w:numFmt w:val="bullet"/>
      <w:lvlText w:val=""/>
      <w:lvlJc w:val="left"/>
      <w:pPr>
        <w:ind w:left="5040" w:hanging="360"/>
      </w:pPr>
      <w:rPr>
        <w:rFonts w:ascii="Symbol" w:hAnsi="Symbol" w:hint="default"/>
      </w:rPr>
    </w:lvl>
    <w:lvl w:ilvl="7" w:tplc="1F26574C" w:tentative="1">
      <w:start w:val="1"/>
      <w:numFmt w:val="bullet"/>
      <w:lvlText w:val="o"/>
      <w:lvlJc w:val="left"/>
      <w:pPr>
        <w:ind w:left="5760" w:hanging="360"/>
      </w:pPr>
      <w:rPr>
        <w:rFonts w:ascii="Courier New" w:hAnsi="Courier New" w:cs="Courier New" w:hint="default"/>
      </w:rPr>
    </w:lvl>
    <w:lvl w:ilvl="8" w:tplc="5E88F290" w:tentative="1">
      <w:start w:val="1"/>
      <w:numFmt w:val="bullet"/>
      <w:lvlText w:val=""/>
      <w:lvlJc w:val="left"/>
      <w:pPr>
        <w:ind w:left="6480" w:hanging="360"/>
      </w:pPr>
      <w:rPr>
        <w:rFonts w:ascii="Wingdings" w:hAnsi="Wingdings" w:hint="default"/>
      </w:rPr>
    </w:lvl>
  </w:abstractNum>
  <w:abstractNum w:abstractNumId="168">
    <w:nsid w:val="77331F57"/>
    <w:multiLevelType w:val="hybridMultilevel"/>
    <w:tmpl w:val="EA6613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9">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70">
    <w:nsid w:val="77DD1AF6"/>
    <w:multiLevelType w:val="hybridMultilevel"/>
    <w:tmpl w:val="2594EF9E"/>
    <w:lvl w:ilvl="0" w:tplc="341453A4">
      <w:start w:val="1"/>
      <w:numFmt w:val="lowerLetter"/>
      <w:lvlText w:val="%1)"/>
      <w:lvlJc w:val="left"/>
      <w:pPr>
        <w:ind w:left="1778" w:hanging="360"/>
      </w:pPr>
      <w:rPr>
        <w:rFonts w:eastAsia="Times New Roman" w:hint="default"/>
      </w:rPr>
    </w:lvl>
    <w:lvl w:ilvl="1" w:tplc="080A0019" w:tentative="1">
      <w:start w:val="1"/>
      <w:numFmt w:val="lowerLetter"/>
      <w:lvlText w:val="%2."/>
      <w:lvlJc w:val="left"/>
      <w:pPr>
        <w:ind w:left="2498" w:hanging="360"/>
      </w:pPr>
    </w:lvl>
    <w:lvl w:ilvl="2" w:tplc="080A001B" w:tentative="1">
      <w:start w:val="1"/>
      <w:numFmt w:val="lowerRoman"/>
      <w:lvlText w:val="%3."/>
      <w:lvlJc w:val="right"/>
      <w:pPr>
        <w:ind w:left="3218" w:hanging="180"/>
      </w:pPr>
    </w:lvl>
    <w:lvl w:ilvl="3" w:tplc="080A000F" w:tentative="1">
      <w:start w:val="1"/>
      <w:numFmt w:val="decimal"/>
      <w:lvlText w:val="%4."/>
      <w:lvlJc w:val="left"/>
      <w:pPr>
        <w:ind w:left="3938" w:hanging="360"/>
      </w:pPr>
    </w:lvl>
    <w:lvl w:ilvl="4" w:tplc="080A0019" w:tentative="1">
      <w:start w:val="1"/>
      <w:numFmt w:val="lowerLetter"/>
      <w:lvlText w:val="%5."/>
      <w:lvlJc w:val="left"/>
      <w:pPr>
        <w:ind w:left="4658" w:hanging="360"/>
      </w:pPr>
    </w:lvl>
    <w:lvl w:ilvl="5" w:tplc="080A001B" w:tentative="1">
      <w:start w:val="1"/>
      <w:numFmt w:val="lowerRoman"/>
      <w:lvlText w:val="%6."/>
      <w:lvlJc w:val="right"/>
      <w:pPr>
        <w:ind w:left="5378" w:hanging="180"/>
      </w:pPr>
    </w:lvl>
    <w:lvl w:ilvl="6" w:tplc="080A000F" w:tentative="1">
      <w:start w:val="1"/>
      <w:numFmt w:val="decimal"/>
      <w:lvlText w:val="%7."/>
      <w:lvlJc w:val="left"/>
      <w:pPr>
        <w:ind w:left="6098" w:hanging="360"/>
      </w:pPr>
    </w:lvl>
    <w:lvl w:ilvl="7" w:tplc="080A0019" w:tentative="1">
      <w:start w:val="1"/>
      <w:numFmt w:val="lowerLetter"/>
      <w:lvlText w:val="%8."/>
      <w:lvlJc w:val="left"/>
      <w:pPr>
        <w:ind w:left="6818" w:hanging="360"/>
      </w:pPr>
    </w:lvl>
    <w:lvl w:ilvl="8" w:tplc="080A001B" w:tentative="1">
      <w:start w:val="1"/>
      <w:numFmt w:val="lowerRoman"/>
      <w:lvlText w:val="%9."/>
      <w:lvlJc w:val="right"/>
      <w:pPr>
        <w:ind w:left="7538" w:hanging="180"/>
      </w:pPr>
    </w:lvl>
  </w:abstractNum>
  <w:abstractNum w:abstractNumId="171">
    <w:nsid w:val="7961599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2">
    <w:nsid w:val="79E21D65"/>
    <w:multiLevelType w:val="hybridMultilevel"/>
    <w:tmpl w:val="AE94F47C"/>
    <w:lvl w:ilvl="0" w:tplc="080A0017">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73">
    <w:nsid w:val="7A7E14D4"/>
    <w:multiLevelType w:val="hybridMultilevel"/>
    <w:tmpl w:val="89E0D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4">
    <w:nsid w:val="7C7D228E"/>
    <w:multiLevelType w:val="hybridMultilevel"/>
    <w:tmpl w:val="D9508A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5">
    <w:nsid w:val="7C8E3691"/>
    <w:multiLevelType w:val="hybridMultilevel"/>
    <w:tmpl w:val="0AE2E356"/>
    <w:lvl w:ilvl="0" w:tplc="080A0011">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76">
    <w:nsid w:val="7ECC1F42"/>
    <w:multiLevelType w:val="multilevel"/>
    <w:tmpl w:val="DC16BA92"/>
    <w:lvl w:ilvl="0">
      <w:start w:val="8"/>
      <w:numFmt w:val="decimal"/>
      <w:lvlText w:val="%1"/>
      <w:lvlJc w:val="left"/>
      <w:pPr>
        <w:ind w:left="360" w:hanging="360"/>
      </w:pPr>
      <w:rPr>
        <w:rFonts w:hint="default"/>
      </w:rPr>
    </w:lvl>
    <w:lvl w:ilvl="1">
      <w:start w:val="3"/>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77">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78">
    <w:nsid w:val="7EE1554A"/>
    <w:multiLevelType w:val="hybridMultilevel"/>
    <w:tmpl w:val="8470377E"/>
    <w:lvl w:ilvl="0" w:tplc="1DF0D18C">
      <w:start w:val="1"/>
      <w:numFmt w:val="decimal"/>
      <w:lvlText w:val="%1."/>
      <w:lvlJc w:val="left"/>
      <w:pPr>
        <w:ind w:left="720" w:hanging="360"/>
      </w:pPr>
      <w:rPr>
        <w:rFonts w:hint="default"/>
      </w:rPr>
    </w:lvl>
    <w:lvl w:ilvl="1" w:tplc="88BC3110">
      <w:start w:val="1"/>
      <w:numFmt w:val="decimal"/>
      <w:lvlText w:val="%2."/>
      <w:lvlJc w:val="left"/>
      <w:pPr>
        <w:tabs>
          <w:tab w:val="num" w:pos="1440"/>
        </w:tabs>
        <w:ind w:left="1440" w:hanging="360"/>
      </w:pPr>
    </w:lvl>
    <w:lvl w:ilvl="2" w:tplc="85B6F64C">
      <w:start w:val="1"/>
      <w:numFmt w:val="decimal"/>
      <w:lvlText w:val="%3."/>
      <w:lvlJc w:val="left"/>
      <w:pPr>
        <w:tabs>
          <w:tab w:val="num" w:pos="2160"/>
        </w:tabs>
        <w:ind w:left="2160" w:hanging="360"/>
      </w:pPr>
    </w:lvl>
    <w:lvl w:ilvl="3" w:tplc="77D23BAC">
      <w:start w:val="1"/>
      <w:numFmt w:val="decimal"/>
      <w:lvlText w:val="%4."/>
      <w:lvlJc w:val="left"/>
      <w:pPr>
        <w:tabs>
          <w:tab w:val="num" w:pos="2880"/>
        </w:tabs>
        <w:ind w:left="2880" w:hanging="360"/>
      </w:pPr>
    </w:lvl>
    <w:lvl w:ilvl="4" w:tplc="9CC0209C">
      <w:start w:val="1"/>
      <w:numFmt w:val="decimal"/>
      <w:lvlText w:val="%5."/>
      <w:lvlJc w:val="left"/>
      <w:pPr>
        <w:tabs>
          <w:tab w:val="num" w:pos="3600"/>
        </w:tabs>
        <w:ind w:left="3600" w:hanging="360"/>
      </w:pPr>
    </w:lvl>
    <w:lvl w:ilvl="5" w:tplc="89D65C38">
      <w:start w:val="1"/>
      <w:numFmt w:val="decimal"/>
      <w:lvlText w:val="%6."/>
      <w:lvlJc w:val="left"/>
      <w:pPr>
        <w:tabs>
          <w:tab w:val="num" w:pos="4320"/>
        </w:tabs>
        <w:ind w:left="4320" w:hanging="360"/>
      </w:pPr>
    </w:lvl>
    <w:lvl w:ilvl="6" w:tplc="39D89D82">
      <w:start w:val="1"/>
      <w:numFmt w:val="decimal"/>
      <w:lvlText w:val="%7."/>
      <w:lvlJc w:val="left"/>
      <w:pPr>
        <w:tabs>
          <w:tab w:val="num" w:pos="5040"/>
        </w:tabs>
        <w:ind w:left="5040" w:hanging="360"/>
      </w:pPr>
    </w:lvl>
    <w:lvl w:ilvl="7" w:tplc="F5E29608">
      <w:start w:val="1"/>
      <w:numFmt w:val="decimal"/>
      <w:lvlText w:val="%8."/>
      <w:lvlJc w:val="left"/>
      <w:pPr>
        <w:tabs>
          <w:tab w:val="num" w:pos="5760"/>
        </w:tabs>
        <w:ind w:left="5760" w:hanging="360"/>
      </w:pPr>
    </w:lvl>
    <w:lvl w:ilvl="8" w:tplc="600620F4">
      <w:start w:val="1"/>
      <w:numFmt w:val="decimal"/>
      <w:lvlText w:val="%9."/>
      <w:lvlJc w:val="left"/>
      <w:pPr>
        <w:tabs>
          <w:tab w:val="num" w:pos="6480"/>
        </w:tabs>
        <w:ind w:left="6480" w:hanging="360"/>
      </w:pPr>
    </w:lvl>
  </w:abstractNum>
  <w:abstractNum w:abstractNumId="179">
    <w:nsid w:val="7F220767"/>
    <w:multiLevelType w:val="hybridMultilevel"/>
    <w:tmpl w:val="64824CE2"/>
    <w:lvl w:ilvl="0" w:tplc="3230A2F6">
      <w:numFmt w:val="bullet"/>
      <w:lvlText w:val="•"/>
      <w:lvlJc w:val="left"/>
      <w:pPr>
        <w:ind w:left="1065" w:hanging="705"/>
      </w:pPr>
      <w:rPr>
        <w:rFonts w:ascii="ITC Avant Garde" w:eastAsia="Times New Roman" w:hAnsi="ITC Avant Garde"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5"/>
  </w:num>
  <w:num w:numId="2">
    <w:abstractNumId w:val="90"/>
  </w:num>
  <w:num w:numId="3">
    <w:abstractNumId w:val="138"/>
  </w:num>
  <w:num w:numId="4">
    <w:abstractNumId w:val="6"/>
  </w:num>
  <w:num w:numId="5">
    <w:abstractNumId w:val="169"/>
  </w:num>
  <w:num w:numId="6">
    <w:abstractNumId w:val="155"/>
  </w:num>
  <w:num w:numId="7">
    <w:abstractNumId w:val="111"/>
  </w:num>
  <w:num w:numId="8">
    <w:abstractNumId w:val="117"/>
  </w:num>
  <w:num w:numId="9">
    <w:abstractNumId w:val="101"/>
  </w:num>
  <w:num w:numId="10">
    <w:abstractNumId w:val="102"/>
  </w:num>
  <w:num w:numId="11">
    <w:abstractNumId w:val="10"/>
  </w:num>
  <w:num w:numId="12">
    <w:abstractNumId w:val="76"/>
  </w:num>
  <w:num w:numId="13">
    <w:abstractNumId w:val="8"/>
  </w:num>
  <w:num w:numId="14">
    <w:abstractNumId w:val="104"/>
  </w:num>
  <w:num w:numId="15">
    <w:abstractNumId w:val="23"/>
  </w:num>
  <w:num w:numId="16">
    <w:abstractNumId w:val="146"/>
  </w:num>
  <w:num w:numId="17">
    <w:abstractNumId w:val="99"/>
  </w:num>
  <w:num w:numId="18">
    <w:abstractNumId w:val="39"/>
  </w:num>
  <w:num w:numId="19">
    <w:abstractNumId w:val="166"/>
  </w:num>
  <w:num w:numId="20">
    <w:abstractNumId w:val="15"/>
  </w:num>
  <w:num w:numId="21">
    <w:abstractNumId w:val="56"/>
  </w:num>
  <w:num w:numId="22">
    <w:abstractNumId w:val="68"/>
  </w:num>
  <w:num w:numId="23">
    <w:abstractNumId w:val="97"/>
  </w:num>
  <w:num w:numId="24">
    <w:abstractNumId w:val="34"/>
  </w:num>
  <w:num w:numId="25">
    <w:abstractNumId w:val="41"/>
  </w:num>
  <w:num w:numId="26">
    <w:abstractNumId w:val="131"/>
  </w:num>
  <w:num w:numId="27">
    <w:abstractNumId w:val="17"/>
  </w:num>
  <w:num w:numId="28">
    <w:abstractNumId w:val="107"/>
  </w:num>
  <w:num w:numId="29">
    <w:abstractNumId w:val="122"/>
  </w:num>
  <w:num w:numId="30">
    <w:abstractNumId w:val="62"/>
  </w:num>
  <w:num w:numId="31">
    <w:abstractNumId w:val="177"/>
  </w:num>
  <w:num w:numId="32">
    <w:abstractNumId w:val="16"/>
  </w:num>
  <w:num w:numId="33">
    <w:abstractNumId w:val="130"/>
  </w:num>
  <w:num w:numId="34">
    <w:abstractNumId w:val="172"/>
  </w:num>
  <w:num w:numId="35">
    <w:abstractNumId w:val="85"/>
  </w:num>
  <w:num w:numId="36">
    <w:abstractNumId w:val="67"/>
  </w:num>
  <w:num w:numId="37">
    <w:abstractNumId w:val="71"/>
  </w:num>
  <w:num w:numId="38">
    <w:abstractNumId w:val="44"/>
  </w:num>
  <w:num w:numId="39">
    <w:abstractNumId w:val="118"/>
  </w:num>
  <w:num w:numId="40">
    <w:abstractNumId w:val="26"/>
  </w:num>
  <w:num w:numId="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1"/>
  </w:num>
  <w:num w:numId="43">
    <w:abstractNumId w:val="167"/>
  </w:num>
  <w:num w:numId="44">
    <w:abstractNumId w:val="3"/>
  </w:num>
  <w:num w:numId="45">
    <w:abstractNumId w:val="4"/>
  </w:num>
  <w:num w:numId="46">
    <w:abstractNumId w:val="147"/>
  </w:num>
  <w:num w:numId="47">
    <w:abstractNumId w:val="105"/>
  </w:num>
  <w:num w:numId="48">
    <w:abstractNumId w:val="145"/>
  </w:num>
  <w:num w:numId="49">
    <w:abstractNumId w:val="123"/>
  </w:num>
  <w:num w:numId="50">
    <w:abstractNumId w:val="80"/>
  </w:num>
  <w:num w:numId="51">
    <w:abstractNumId w:val="120"/>
  </w:num>
  <w:num w:numId="52">
    <w:abstractNumId w:val="77"/>
  </w:num>
  <w:num w:numId="53">
    <w:abstractNumId w:val="2"/>
  </w:num>
  <w:num w:numId="54">
    <w:abstractNumId w:val="139"/>
  </w:num>
  <w:num w:numId="55">
    <w:abstractNumId w:val="100"/>
  </w:num>
  <w:num w:numId="56">
    <w:abstractNumId w:val="141"/>
  </w:num>
  <w:num w:numId="57">
    <w:abstractNumId w:val="157"/>
  </w:num>
  <w:num w:numId="58">
    <w:abstractNumId w:val="137"/>
  </w:num>
  <w:num w:numId="59">
    <w:abstractNumId w:val="49"/>
  </w:num>
  <w:num w:numId="60">
    <w:abstractNumId w:val="28"/>
  </w:num>
  <w:num w:numId="61">
    <w:abstractNumId w:val="69"/>
  </w:num>
  <w:num w:numId="62">
    <w:abstractNumId w:val="48"/>
  </w:num>
  <w:num w:numId="63">
    <w:abstractNumId w:val="150"/>
  </w:num>
  <w:num w:numId="64">
    <w:abstractNumId w:val="82"/>
  </w:num>
  <w:num w:numId="65">
    <w:abstractNumId w:val="134"/>
  </w:num>
  <w:num w:numId="66">
    <w:abstractNumId w:val="135"/>
  </w:num>
  <w:num w:numId="67">
    <w:abstractNumId w:val="113"/>
  </w:num>
  <w:num w:numId="68">
    <w:abstractNumId w:val="144"/>
  </w:num>
  <w:num w:numId="69">
    <w:abstractNumId w:val="91"/>
  </w:num>
  <w:num w:numId="70">
    <w:abstractNumId w:val="73"/>
  </w:num>
  <w:num w:numId="71">
    <w:abstractNumId w:val="124"/>
  </w:num>
  <w:num w:numId="72">
    <w:abstractNumId w:val="128"/>
  </w:num>
  <w:num w:numId="73">
    <w:abstractNumId w:val="70"/>
  </w:num>
  <w:num w:numId="74">
    <w:abstractNumId w:val="153"/>
  </w:num>
  <w:num w:numId="75">
    <w:abstractNumId w:val="98"/>
  </w:num>
  <w:num w:numId="76">
    <w:abstractNumId w:val="47"/>
  </w:num>
  <w:num w:numId="77">
    <w:abstractNumId w:val="53"/>
  </w:num>
  <w:num w:numId="78">
    <w:abstractNumId w:val="30"/>
  </w:num>
  <w:num w:numId="79">
    <w:abstractNumId w:val="27"/>
  </w:num>
  <w:num w:numId="80">
    <w:abstractNumId w:val="132"/>
  </w:num>
  <w:num w:numId="81">
    <w:abstractNumId w:val="72"/>
  </w:num>
  <w:num w:numId="82">
    <w:abstractNumId w:val="103"/>
  </w:num>
  <w:num w:numId="83">
    <w:abstractNumId w:val="133"/>
  </w:num>
  <w:num w:numId="84">
    <w:abstractNumId w:val="125"/>
  </w:num>
  <w:num w:numId="85">
    <w:abstractNumId w:val="96"/>
  </w:num>
  <w:num w:numId="86">
    <w:abstractNumId w:val="142"/>
  </w:num>
  <w:num w:numId="87">
    <w:abstractNumId w:val="127"/>
  </w:num>
  <w:num w:numId="88">
    <w:abstractNumId w:val="19"/>
  </w:num>
  <w:num w:numId="89">
    <w:abstractNumId w:val="158"/>
  </w:num>
  <w:num w:numId="90">
    <w:abstractNumId w:val="5"/>
  </w:num>
  <w:num w:numId="91">
    <w:abstractNumId w:val="152"/>
  </w:num>
  <w:num w:numId="92">
    <w:abstractNumId w:val="40"/>
  </w:num>
  <w:num w:numId="93">
    <w:abstractNumId w:val="116"/>
  </w:num>
  <w:num w:numId="94">
    <w:abstractNumId w:val="151"/>
  </w:num>
  <w:num w:numId="95">
    <w:abstractNumId w:val="173"/>
  </w:num>
  <w:num w:numId="96">
    <w:abstractNumId w:val="126"/>
  </w:num>
  <w:num w:numId="97">
    <w:abstractNumId w:val="20"/>
  </w:num>
  <w:num w:numId="98">
    <w:abstractNumId w:val="63"/>
  </w:num>
  <w:num w:numId="99">
    <w:abstractNumId w:val="92"/>
  </w:num>
  <w:num w:numId="100">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2"/>
  </w:num>
  <w:num w:numId="102">
    <w:abstractNumId w:val="55"/>
  </w:num>
  <w:num w:numId="103">
    <w:abstractNumId w:val="7"/>
  </w:num>
  <w:num w:numId="104">
    <w:abstractNumId w:val="83"/>
  </w:num>
  <w:num w:numId="105">
    <w:abstractNumId w:val="45"/>
  </w:num>
  <w:num w:numId="106">
    <w:abstractNumId w:val="81"/>
  </w:num>
  <w:num w:numId="107">
    <w:abstractNumId w:val="31"/>
  </w:num>
  <w:num w:numId="108">
    <w:abstractNumId w:val="51"/>
  </w:num>
  <w:num w:numId="109">
    <w:abstractNumId w:val="25"/>
  </w:num>
  <w:num w:numId="110">
    <w:abstractNumId w:val="94"/>
  </w:num>
  <w:num w:numId="111">
    <w:abstractNumId w:val="12"/>
  </w:num>
  <w:num w:numId="112">
    <w:abstractNumId w:val="95"/>
  </w:num>
  <w:num w:numId="113">
    <w:abstractNumId w:val="159"/>
  </w:num>
  <w:num w:numId="114">
    <w:abstractNumId w:val="79"/>
  </w:num>
  <w:num w:numId="115">
    <w:abstractNumId w:val="154"/>
  </w:num>
  <w:num w:numId="116">
    <w:abstractNumId w:val="57"/>
  </w:num>
  <w:num w:numId="117">
    <w:abstractNumId w:val="88"/>
  </w:num>
  <w:num w:numId="118">
    <w:abstractNumId w:val="32"/>
  </w:num>
  <w:num w:numId="119">
    <w:abstractNumId w:val="115"/>
  </w:num>
  <w:num w:numId="120">
    <w:abstractNumId w:val="143"/>
  </w:num>
  <w:num w:numId="121">
    <w:abstractNumId w:val="179"/>
  </w:num>
  <w:num w:numId="122">
    <w:abstractNumId w:val="58"/>
  </w:num>
  <w:num w:numId="123">
    <w:abstractNumId w:val="162"/>
  </w:num>
  <w:num w:numId="124">
    <w:abstractNumId w:val="38"/>
  </w:num>
  <w:num w:numId="125">
    <w:abstractNumId w:val="109"/>
  </w:num>
  <w:num w:numId="126">
    <w:abstractNumId w:val="110"/>
  </w:num>
  <w:num w:numId="127">
    <w:abstractNumId w:val="154"/>
  </w:num>
  <w:num w:numId="128">
    <w:abstractNumId w:val="160"/>
  </w:num>
  <w:num w:numId="129">
    <w:abstractNumId w:val="127"/>
  </w:num>
  <w:num w:numId="1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5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68"/>
  </w:num>
  <w:num w:numId="133">
    <w:abstractNumId w:val="64"/>
  </w:num>
  <w:num w:numId="134">
    <w:abstractNumId w:val="148"/>
  </w:num>
  <w:num w:numId="135">
    <w:abstractNumId w:val="165"/>
  </w:num>
  <w:num w:numId="136">
    <w:abstractNumId w:val="149"/>
  </w:num>
  <w:num w:numId="137">
    <w:abstractNumId w:val="74"/>
  </w:num>
  <w:num w:numId="138">
    <w:abstractNumId w:val="61"/>
  </w:num>
  <w:num w:numId="139">
    <w:abstractNumId w:val="37"/>
  </w:num>
  <w:num w:numId="140">
    <w:abstractNumId w:val="33"/>
  </w:num>
  <w:num w:numId="141">
    <w:abstractNumId w:val="1"/>
  </w:num>
  <w:num w:numId="142">
    <w:abstractNumId w:val="129"/>
  </w:num>
  <w:num w:numId="143">
    <w:abstractNumId w:val="156"/>
  </w:num>
  <w:num w:numId="144">
    <w:abstractNumId w:val="29"/>
  </w:num>
  <w:num w:numId="145">
    <w:abstractNumId w:val="140"/>
  </w:num>
  <w:num w:numId="146">
    <w:abstractNumId w:val="175"/>
  </w:num>
  <w:num w:numId="147">
    <w:abstractNumId w:val="106"/>
  </w:num>
  <w:num w:numId="148">
    <w:abstractNumId w:val="24"/>
  </w:num>
  <w:num w:numId="149">
    <w:abstractNumId w:val="84"/>
  </w:num>
  <w:num w:numId="150">
    <w:abstractNumId w:val="174"/>
  </w:num>
  <w:num w:numId="151">
    <w:abstractNumId w:val="163"/>
  </w:num>
  <w:num w:numId="152">
    <w:abstractNumId w:val="78"/>
  </w:num>
  <w:num w:numId="153">
    <w:abstractNumId w:val="114"/>
  </w:num>
  <w:num w:numId="154">
    <w:abstractNumId w:val="22"/>
  </w:num>
  <w:num w:numId="155">
    <w:abstractNumId w:val="112"/>
  </w:num>
  <w:num w:numId="15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121"/>
  </w:num>
  <w:num w:numId="158">
    <w:abstractNumId w:val="59"/>
  </w:num>
  <w:num w:numId="159">
    <w:abstractNumId w:val="178"/>
  </w:num>
  <w:num w:numId="160">
    <w:abstractNumId w:val="87"/>
  </w:num>
  <w:num w:numId="161">
    <w:abstractNumId w:val="13"/>
  </w:num>
  <w:num w:numId="162">
    <w:abstractNumId w:val="50"/>
  </w:num>
  <w:num w:numId="16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64"/>
  </w:num>
  <w:num w:numId="183">
    <w:abstractNumId w:val="43"/>
  </w:num>
  <w:num w:numId="184">
    <w:abstractNumId w:val="65"/>
  </w:num>
  <w:num w:numId="185">
    <w:abstractNumId w:val="60"/>
  </w:num>
  <w:num w:numId="186">
    <w:abstractNumId w:val="18"/>
  </w:num>
  <w:num w:numId="187">
    <w:abstractNumId w:val="176"/>
  </w:num>
  <w:num w:numId="188">
    <w:abstractNumId w:val="21"/>
  </w:num>
  <w:num w:numId="189">
    <w:abstractNumId w:val="93"/>
  </w:num>
  <w:num w:numId="190">
    <w:abstractNumId w:val="9"/>
  </w:num>
  <w:num w:numId="191">
    <w:abstractNumId w:val="36"/>
  </w:num>
  <w:num w:numId="192">
    <w:abstractNumId w:val="89"/>
  </w:num>
  <w:num w:numId="193">
    <w:abstractNumId w:val="66"/>
  </w:num>
  <w:num w:numId="194">
    <w:abstractNumId w:val="42"/>
  </w:num>
  <w:num w:numId="195">
    <w:abstractNumId w:val="35"/>
  </w:num>
  <w:num w:numId="196">
    <w:abstractNumId w:val="161"/>
  </w:num>
  <w:num w:numId="197">
    <w:abstractNumId w:val="119"/>
  </w:num>
  <w:num w:numId="198">
    <w:abstractNumId w:val="164"/>
  </w:num>
  <w:num w:numId="199">
    <w:abstractNumId w:val="164"/>
  </w:num>
  <w:num w:numId="200">
    <w:abstractNumId w:val="164"/>
  </w:num>
  <w:num w:numId="201">
    <w:abstractNumId w:val="164"/>
  </w:num>
  <w:num w:numId="202">
    <w:abstractNumId w:val="164"/>
  </w:num>
  <w:num w:numId="203">
    <w:abstractNumId w:val="136"/>
  </w:num>
  <w:num w:numId="204">
    <w:abstractNumId w:val="171"/>
  </w:num>
  <w:num w:numId="205">
    <w:abstractNumId w:val="14"/>
  </w:num>
  <w:num w:numId="206">
    <w:abstractNumId w:val="86"/>
  </w:num>
  <w:num w:numId="207">
    <w:abstractNumId w:val="0"/>
  </w:num>
  <w:num w:numId="208">
    <w:abstractNumId w:val="164"/>
  </w:num>
  <w:num w:numId="209">
    <w:abstractNumId w:val="46"/>
  </w:num>
  <w:num w:numId="210">
    <w:abstractNumId w:val="170"/>
  </w:num>
  <w:numIdMacAtCleanup w:val="20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io Berganza Echebarrena">
    <w15:presenceInfo w15:providerId="AD" w15:userId="S::mario.berganza@americamovil.com::45c788f8-903d-4c71-aa6f-45feb9a3d685"/>
  </w15:person>
  <w15:person w15:author="TELCEL">
    <w15:presenceInfo w15:providerId="None" w15:userId="TELCEL"/>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9"/>
  <w:hyphenationZone w:val="425"/>
  <w:characterSpacingControl w:val="doNotCompress"/>
  <w:hdrShapeDefaults>
    <o:shapedefaults v:ext="edit" spidmax="8194"/>
  </w:hdrShapeDefaults>
  <w:footnotePr>
    <w:footnote w:id="-1"/>
    <w:footnote w:id="0"/>
    <w:footnote w:id="1"/>
  </w:footnotePr>
  <w:endnotePr>
    <w:endnote w:id="-1"/>
    <w:endnote w:id="0"/>
    <w:endnote w:id="1"/>
  </w:endnotePr>
  <w:compat/>
  <w:rsids>
    <w:rsidRoot w:val="00A47F9A"/>
    <w:rsid w:val="0000054E"/>
    <w:rsid w:val="00000D18"/>
    <w:rsid w:val="0000103E"/>
    <w:rsid w:val="000011E3"/>
    <w:rsid w:val="000015EC"/>
    <w:rsid w:val="00001C11"/>
    <w:rsid w:val="00001CBD"/>
    <w:rsid w:val="000027BA"/>
    <w:rsid w:val="00002EF7"/>
    <w:rsid w:val="00003A6F"/>
    <w:rsid w:val="00004365"/>
    <w:rsid w:val="00004CB2"/>
    <w:rsid w:val="00005C34"/>
    <w:rsid w:val="0000679E"/>
    <w:rsid w:val="000067B6"/>
    <w:rsid w:val="00006C0F"/>
    <w:rsid w:val="00007425"/>
    <w:rsid w:val="00007628"/>
    <w:rsid w:val="00007E13"/>
    <w:rsid w:val="0001018E"/>
    <w:rsid w:val="000101E6"/>
    <w:rsid w:val="00010508"/>
    <w:rsid w:val="00011108"/>
    <w:rsid w:val="00013222"/>
    <w:rsid w:val="00013415"/>
    <w:rsid w:val="00013939"/>
    <w:rsid w:val="000159FC"/>
    <w:rsid w:val="00016148"/>
    <w:rsid w:val="000167A8"/>
    <w:rsid w:val="000172B8"/>
    <w:rsid w:val="0002026E"/>
    <w:rsid w:val="0002061C"/>
    <w:rsid w:val="00021099"/>
    <w:rsid w:val="00022E88"/>
    <w:rsid w:val="00023B96"/>
    <w:rsid w:val="000245B2"/>
    <w:rsid w:val="00024D0F"/>
    <w:rsid w:val="00024E4A"/>
    <w:rsid w:val="00025B6B"/>
    <w:rsid w:val="00026F44"/>
    <w:rsid w:val="00030FC0"/>
    <w:rsid w:val="00031E39"/>
    <w:rsid w:val="000320FC"/>
    <w:rsid w:val="00032125"/>
    <w:rsid w:val="00032389"/>
    <w:rsid w:val="00033414"/>
    <w:rsid w:val="00033B15"/>
    <w:rsid w:val="00035644"/>
    <w:rsid w:val="00035BEE"/>
    <w:rsid w:val="000368B4"/>
    <w:rsid w:val="000406EC"/>
    <w:rsid w:val="00040D7C"/>
    <w:rsid w:val="00041BA6"/>
    <w:rsid w:val="00042626"/>
    <w:rsid w:val="00043139"/>
    <w:rsid w:val="000449C4"/>
    <w:rsid w:val="00044FDD"/>
    <w:rsid w:val="00045864"/>
    <w:rsid w:val="00045E5D"/>
    <w:rsid w:val="00046634"/>
    <w:rsid w:val="000473DF"/>
    <w:rsid w:val="0005035A"/>
    <w:rsid w:val="00051503"/>
    <w:rsid w:val="00054884"/>
    <w:rsid w:val="00055E44"/>
    <w:rsid w:val="00056489"/>
    <w:rsid w:val="000570F5"/>
    <w:rsid w:val="00057361"/>
    <w:rsid w:val="00057387"/>
    <w:rsid w:val="000574B6"/>
    <w:rsid w:val="00060943"/>
    <w:rsid w:val="00060C94"/>
    <w:rsid w:val="000619BD"/>
    <w:rsid w:val="000626B6"/>
    <w:rsid w:val="00062E85"/>
    <w:rsid w:val="0006455F"/>
    <w:rsid w:val="0006480C"/>
    <w:rsid w:val="0006497A"/>
    <w:rsid w:val="00064D76"/>
    <w:rsid w:val="00065BA2"/>
    <w:rsid w:val="000673E9"/>
    <w:rsid w:val="00067F35"/>
    <w:rsid w:val="00070274"/>
    <w:rsid w:val="00073CC8"/>
    <w:rsid w:val="00073ED6"/>
    <w:rsid w:val="00073FEB"/>
    <w:rsid w:val="00074ABA"/>
    <w:rsid w:val="00074D77"/>
    <w:rsid w:val="0007510A"/>
    <w:rsid w:val="0007544E"/>
    <w:rsid w:val="00075877"/>
    <w:rsid w:val="00075ED1"/>
    <w:rsid w:val="00076271"/>
    <w:rsid w:val="000765C3"/>
    <w:rsid w:val="00076B04"/>
    <w:rsid w:val="00076D5B"/>
    <w:rsid w:val="0007713C"/>
    <w:rsid w:val="000773F0"/>
    <w:rsid w:val="00077687"/>
    <w:rsid w:val="00080A20"/>
    <w:rsid w:val="00083579"/>
    <w:rsid w:val="00083B1F"/>
    <w:rsid w:val="000840D4"/>
    <w:rsid w:val="00084D8E"/>
    <w:rsid w:val="00085265"/>
    <w:rsid w:val="00085938"/>
    <w:rsid w:val="000865A8"/>
    <w:rsid w:val="00090121"/>
    <w:rsid w:val="0009034B"/>
    <w:rsid w:val="00090E44"/>
    <w:rsid w:val="00090FBC"/>
    <w:rsid w:val="0009208E"/>
    <w:rsid w:val="00093C7C"/>
    <w:rsid w:val="000945F6"/>
    <w:rsid w:val="00094965"/>
    <w:rsid w:val="000949C3"/>
    <w:rsid w:val="00094B5A"/>
    <w:rsid w:val="00094CD9"/>
    <w:rsid w:val="000958F5"/>
    <w:rsid w:val="00095ACC"/>
    <w:rsid w:val="00095F35"/>
    <w:rsid w:val="00096961"/>
    <w:rsid w:val="00096C28"/>
    <w:rsid w:val="000A127E"/>
    <w:rsid w:val="000A1E1E"/>
    <w:rsid w:val="000A2BA8"/>
    <w:rsid w:val="000A2C75"/>
    <w:rsid w:val="000A3017"/>
    <w:rsid w:val="000A37F2"/>
    <w:rsid w:val="000A39DA"/>
    <w:rsid w:val="000A3FE1"/>
    <w:rsid w:val="000A48A1"/>
    <w:rsid w:val="000A505D"/>
    <w:rsid w:val="000A6ED5"/>
    <w:rsid w:val="000A7434"/>
    <w:rsid w:val="000A7FAE"/>
    <w:rsid w:val="000B0147"/>
    <w:rsid w:val="000B0839"/>
    <w:rsid w:val="000B092D"/>
    <w:rsid w:val="000B1047"/>
    <w:rsid w:val="000B137C"/>
    <w:rsid w:val="000B1CB7"/>
    <w:rsid w:val="000B3067"/>
    <w:rsid w:val="000B35A3"/>
    <w:rsid w:val="000B36C2"/>
    <w:rsid w:val="000B56E1"/>
    <w:rsid w:val="000B5FA8"/>
    <w:rsid w:val="000B658F"/>
    <w:rsid w:val="000C05DC"/>
    <w:rsid w:val="000C1B20"/>
    <w:rsid w:val="000C23D2"/>
    <w:rsid w:val="000C36D9"/>
    <w:rsid w:val="000C36F7"/>
    <w:rsid w:val="000C431D"/>
    <w:rsid w:val="000C43EA"/>
    <w:rsid w:val="000C4423"/>
    <w:rsid w:val="000C45D9"/>
    <w:rsid w:val="000C5BF6"/>
    <w:rsid w:val="000C5FD1"/>
    <w:rsid w:val="000C602D"/>
    <w:rsid w:val="000C7A9A"/>
    <w:rsid w:val="000D136E"/>
    <w:rsid w:val="000D1DD7"/>
    <w:rsid w:val="000D3428"/>
    <w:rsid w:val="000D3441"/>
    <w:rsid w:val="000D36FB"/>
    <w:rsid w:val="000D3EE9"/>
    <w:rsid w:val="000D5665"/>
    <w:rsid w:val="000D56B0"/>
    <w:rsid w:val="000D596E"/>
    <w:rsid w:val="000D5B50"/>
    <w:rsid w:val="000D66F4"/>
    <w:rsid w:val="000D6CAB"/>
    <w:rsid w:val="000D6D27"/>
    <w:rsid w:val="000D7482"/>
    <w:rsid w:val="000E0E46"/>
    <w:rsid w:val="000E180B"/>
    <w:rsid w:val="000E1B3A"/>
    <w:rsid w:val="000E2CA3"/>
    <w:rsid w:val="000E3A6B"/>
    <w:rsid w:val="000E4A70"/>
    <w:rsid w:val="000E635F"/>
    <w:rsid w:val="000E7B83"/>
    <w:rsid w:val="000F02B8"/>
    <w:rsid w:val="000F2344"/>
    <w:rsid w:val="000F3760"/>
    <w:rsid w:val="000F38A0"/>
    <w:rsid w:val="000F3A01"/>
    <w:rsid w:val="000F3E98"/>
    <w:rsid w:val="000F3F5F"/>
    <w:rsid w:val="000F5406"/>
    <w:rsid w:val="000F5DD8"/>
    <w:rsid w:val="000F67D6"/>
    <w:rsid w:val="000F68A7"/>
    <w:rsid w:val="000F6C89"/>
    <w:rsid w:val="000F6D7C"/>
    <w:rsid w:val="00100457"/>
    <w:rsid w:val="00100489"/>
    <w:rsid w:val="0010085B"/>
    <w:rsid w:val="00100B6D"/>
    <w:rsid w:val="00100D6A"/>
    <w:rsid w:val="001024BF"/>
    <w:rsid w:val="00103326"/>
    <w:rsid w:val="00103B0D"/>
    <w:rsid w:val="00103BD7"/>
    <w:rsid w:val="001059E9"/>
    <w:rsid w:val="001062A7"/>
    <w:rsid w:val="0010730E"/>
    <w:rsid w:val="00110008"/>
    <w:rsid w:val="00110DCF"/>
    <w:rsid w:val="001110DE"/>
    <w:rsid w:val="0011112E"/>
    <w:rsid w:val="0011176E"/>
    <w:rsid w:val="00111846"/>
    <w:rsid w:val="001119DF"/>
    <w:rsid w:val="00111A90"/>
    <w:rsid w:val="001136ED"/>
    <w:rsid w:val="00113ACB"/>
    <w:rsid w:val="00113C5D"/>
    <w:rsid w:val="00114853"/>
    <w:rsid w:val="00115294"/>
    <w:rsid w:val="001163BA"/>
    <w:rsid w:val="001163F1"/>
    <w:rsid w:val="00116501"/>
    <w:rsid w:val="0011678D"/>
    <w:rsid w:val="00117CAE"/>
    <w:rsid w:val="00120823"/>
    <w:rsid w:val="001220FE"/>
    <w:rsid w:val="00122144"/>
    <w:rsid w:val="0012262C"/>
    <w:rsid w:val="0012323B"/>
    <w:rsid w:val="00124112"/>
    <w:rsid w:val="001251B3"/>
    <w:rsid w:val="00125DA6"/>
    <w:rsid w:val="00125F51"/>
    <w:rsid w:val="00126E07"/>
    <w:rsid w:val="00127AC4"/>
    <w:rsid w:val="00127E45"/>
    <w:rsid w:val="0013112E"/>
    <w:rsid w:val="00132830"/>
    <w:rsid w:val="00132892"/>
    <w:rsid w:val="001328EF"/>
    <w:rsid w:val="0013497C"/>
    <w:rsid w:val="001356EE"/>
    <w:rsid w:val="001357CA"/>
    <w:rsid w:val="001357D5"/>
    <w:rsid w:val="00135A44"/>
    <w:rsid w:val="001400E9"/>
    <w:rsid w:val="001407DC"/>
    <w:rsid w:val="00140CD1"/>
    <w:rsid w:val="001410A6"/>
    <w:rsid w:val="001421AC"/>
    <w:rsid w:val="001424A4"/>
    <w:rsid w:val="00142F2F"/>
    <w:rsid w:val="00143360"/>
    <w:rsid w:val="0014397A"/>
    <w:rsid w:val="00143EDE"/>
    <w:rsid w:val="00143F30"/>
    <w:rsid w:val="0014504E"/>
    <w:rsid w:val="00145252"/>
    <w:rsid w:val="001454FC"/>
    <w:rsid w:val="001457F6"/>
    <w:rsid w:val="001465D7"/>
    <w:rsid w:val="00147D7E"/>
    <w:rsid w:val="001509BA"/>
    <w:rsid w:val="001512BA"/>
    <w:rsid w:val="00151623"/>
    <w:rsid w:val="0015400F"/>
    <w:rsid w:val="001551E8"/>
    <w:rsid w:val="0015740D"/>
    <w:rsid w:val="00157A35"/>
    <w:rsid w:val="001605E1"/>
    <w:rsid w:val="00160928"/>
    <w:rsid w:val="00160AA8"/>
    <w:rsid w:val="00160CAB"/>
    <w:rsid w:val="0016122C"/>
    <w:rsid w:val="0016137B"/>
    <w:rsid w:val="001614F6"/>
    <w:rsid w:val="001636CA"/>
    <w:rsid w:val="00163DF1"/>
    <w:rsid w:val="00163E3E"/>
    <w:rsid w:val="0016423F"/>
    <w:rsid w:val="001659AF"/>
    <w:rsid w:val="00165A3C"/>
    <w:rsid w:val="00167D93"/>
    <w:rsid w:val="001708AE"/>
    <w:rsid w:val="00170A44"/>
    <w:rsid w:val="00172400"/>
    <w:rsid w:val="001731F3"/>
    <w:rsid w:val="00173673"/>
    <w:rsid w:val="00174B68"/>
    <w:rsid w:val="00174E81"/>
    <w:rsid w:val="00175976"/>
    <w:rsid w:val="00175B40"/>
    <w:rsid w:val="00175E5E"/>
    <w:rsid w:val="0017685A"/>
    <w:rsid w:val="0017770B"/>
    <w:rsid w:val="0018166F"/>
    <w:rsid w:val="00181B00"/>
    <w:rsid w:val="00182926"/>
    <w:rsid w:val="00182ED1"/>
    <w:rsid w:val="00185B38"/>
    <w:rsid w:val="001866FF"/>
    <w:rsid w:val="001868DB"/>
    <w:rsid w:val="00186B27"/>
    <w:rsid w:val="00191042"/>
    <w:rsid w:val="00191C60"/>
    <w:rsid w:val="00194218"/>
    <w:rsid w:val="00195156"/>
    <w:rsid w:val="0019640F"/>
    <w:rsid w:val="00197A4C"/>
    <w:rsid w:val="001A0078"/>
    <w:rsid w:val="001A034D"/>
    <w:rsid w:val="001A1BB8"/>
    <w:rsid w:val="001A3FF0"/>
    <w:rsid w:val="001A4302"/>
    <w:rsid w:val="001A4F15"/>
    <w:rsid w:val="001A503D"/>
    <w:rsid w:val="001A5087"/>
    <w:rsid w:val="001A5E60"/>
    <w:rsid w:val="001A7405"/>
    <w:rsid w:val="001A77B1"/>
    <w:rsid w:val="001B20E7"/>
    <w:rsid w:val="001B2901"/>
    <w:rsid w:val="001B304E"/>
    <w:rsid w:val="001B3EFA"/>
    <w:rsid w:val="001B4169"/>
    <w:rsid w:val="001B483A"/>
    <w:rsid w:val="001B4A04"/>
    <w:rsid w:val="001B5B70"/>
    <w:rsid w:val="001B7A63"/>
    <w:rsid w:val="001B7D1E"/>
    <w:rsid w:val="001C0734"/>
    <w:rsid w:val="001C10EB"/>
    <w:rsid w:val="001C1F14"/>
    <w:rsid w:val="001C3552"/>
    <w:rsid w:val="001C38F1"/>
    <w:rsid w:val="001C3969"/>
    <w:rsid w:val="001C582E"/>
    <w:rsid w:val="001C6C61"/>
    <w:rsid w:val="001C6F26"/>
    <w:rsid w:val="001C76E4"/>
    <w:rsid w:val="001D064D"/>
    <w:rsid w:val="001D155B"/>
    <w:rsid w:val="001D1BFD"/>
    <w:rsid w:val="001D1F48"/>
    <w:rsid w:val="001D2869"/>
    <w:rsid w:val="001D2AA6"/>
    <w:rsid w:val="001D3F73"/>
    <w:rsid w:val="001D4638"/>
    <w:rsid w:val="001D4C65"/>
    <w:rsid w:val="001D581F"/>
    <w:rsid w:val="001D64E0"/>
    <w:rsid w:val="001D65B2"/>
    <w:rsid w:val="001D6E5D"/>
    <w:rsid w:val="001D74F6"/>
    <w:rsid w:val="001D7702"/>
    <w:rsid w:val="001E0877"/>
    <w:rsid w:val="001E0BAC"/>
    <w:rsid w:val="001E1066"/>
    <w:rsid w:val="001E12A6"/>
    <w:rsid w:val="001E148E"/>
    <w:rsid w:val="001E2D09"/>
    <w:rsid w:val="001E3B9F"/>
    <w:rsid w:val="001E511C"/>
    <w:rsid w:val="001E5822"/>
    <w:rsid w:val="001E7AEF"/>
    <w:rsid w:val="001F07CF"/>
    <w:rsid w:val="001F1053"/>
    <w:rsid w:val="001F16D5"/>
    <w:rsid w:val="001F16EF"/>
    <w:rsid w:val="001F17B6"/>
    <w:rsid w:val="001F37AF"/>
    <w:rsid w:val="001F3893"/>
    <w:rsid w:val="001F3C1E"/>
    <w:rsid w:val="001F3CF2"/>
    <w:rsid w:val="001F41D4"/>
    <w:rsid w:val="001F5107"/>
    <w:rsid w:val="001F63B3"/>
    <w:rsid w:val="001F6612"/>
    <w:rsid w:val="001F6D80"/>
    <w:rsid w:val="001F6EC3"/>
    <w:rsid w:val="002008DC"/>
    <w:rsid w:val="00201690"/>
    <w:rsid w:val="002018DC"/>
    <w:rsid w:val="00201DDC"/>
    <w:rsid w:val="002025AB"/>
    <w:rsid w:val="00202EF2"/>
    <w:rsid w:val="0020335A"/>
    <w:rsid w:val="00204787"/>
    <w:rsid w:val="00204E64"/>
    <w:rsid w:val="002051CB"/>
    <w:rsid w:val="002066D7"/>
    <w:rsid w:val="00207D48"/>
    <w:rsid w:val="00210B77"/>
    <w:rsid w:val="00210C69"/>
    <w:rsid w:val="00213514"/>
    <w:rsid w:val="002137E1"/>
    <w:rsid w:val="00213D98"/>
    <w:rsid w:val="00214B98"/>
    <w:rsid w:val="00214C9D"/>
    <w:rsid w:val="00215979"/>
    <w:rsid w:val="00215FF3"/>
    <w:rsid w:val="0021639A"/>
    <w:rsid w:val="002170E3"/>
    <w:rsid w:val="00220328"/>
    <w:rsid w:val="002209FA"/>
    <w:rsid w:val="0022199D"/>
    <w:rsid w:val="00221ECD"/>
    <w:rsid w:val="00222728"/>
    <w:rsid w:val="00222857"/>
    <w:rsid w:val="00223488"/>
    <w:rsid w:val="00224799"/>
    <w:rsid w:val="002269FC"/>
    <w:rsid w:val="00226F84"/>
    <w:rsid w:val="002270C3"/>
    <w:rsid w:val="00227275"/>
    <w:rsid w:val="00230619"/>
    <w:rsid w:val="0023172A"/>
    <w:rsid w:val="00231DB0"/>
    <w:rsid w:val="00233598"/>
    <w:rsid w:val="00233710"/>
    <w:rsid w:val="00233F40"/>
    <w:rsid w:val="00234E06"/>
    <w:rsid w:val="00236BB1"/>
    <w:rsid w:val="00240D1B"/>
    <w:rsid w:val="00240F1E"/>
    <w:rsid w:val="00241614"/>
    <w:rsid w:val="00241A75"/>
    <w:rsid w:val="00241BBC"/>
    <w:rsid w:val="00241C38"/>
    <w:rsid w:val="00242EE0"/>
    <w:rsid w:val="00243C95"/>
    <w:rsid w:val="0024423B"/>
    <w:rsid w:val="0024431C"/>
    <w:rsid w:val="00245270"/>
    <w:rsid w:val="00245CE7"/>
    <w:rsid w:val="00245FEF"/>
    <w:rsid w:val="00247288"/>
    <w:rsid w:val="00247842"/>
    <w:rsid w:val="00247BE1"/>
    <w:rsid w:val="00250C04"/>
    <w:rsid w:val="002516A7"/>
    <w:rsid w:val="00251BB1"/>
    <w:rsid w:val="002526C6"/>
    <w:rsid w:val="00253FDA"/>
    <w:rsid w:val="00254365"/>
    <w:rsid w:val="0025453D"/>
    <w:rsid w:val="0025514B"/>
    <w:rsid w:val="002560B3"/>
    <w:rsid w:val="00256218"/>
    <w:rsid w:val="0025695E"/>
    <w:rsid w:val="002578E5"/>
    <w:rsid w:val="00257EB3"/>
    <w:rsid w:val="0026187A"/>
    <w:rsid w:val="002619C1"/>
    <w:rsid w:val="00262D8E"/>
    <w:rsid w:val="00263617"/>
    <w:rsid w:val="00264576"/>
    <w:rsid w:val="002663C6"/>
    <w:rsid w:val="00266A62"/>
    <w:rsid w:val="002673B6"/>
    <w:rsid w:val="002705DC"/>
    <w:rsid w:val="002710F5"/>
    <w:rsid w:val="00271B68"/>
    <w:rsid w:val="002727E4"/>
    <w:rsid w:val="002729CD"/>
    <w:rsid w:val="002735C2"/>
    <w:rsid w:val="002736B8"/>
    <w:rsid w:val="00273A2F"/>
    <w:rsid w:val="00273A64"/>
    <w:rsid w:val="00274297"/>
    <w:rsid w:val="00274335"/>
    <w:rsid w:val="002747E8"/>
    <w:rsid w:val="00275F1A"/>
    <w:rsid w:val="002773B5"/>
    <w:rsid w:val="00277B60"/>
    <w:rsid w:val="002818AE"/>
    <w:rsid w:val="0028232A"/>
    <w:rsid w:val="002825A5"/>
    <w:rsid w:val="00282A6F"/>
    <w:rsid w:val="00283040"/>
    <w:rsid w:val="002834CD"/>
    <w:rsid w:val="00283E4A"/>
    <w:rsid w:val="00285299"/>
    <w:rsid w:val="002865D6"/>
    <w:rsid w:val="002876DA"/>
    <w:rsid w:val="00290725"/>
    <w:rsid w:val="00290CED"/>
    <w:rsid w:val="00290D7E"/>
    <w:rsid w:val="00290D8F"/>
    <w:rsid w:val="002910EB"/>
    <w:rsid w:val="00291516"/>
    <w:rsid w:val="0029155A"/>
    <w:rsid w:val="00291750"/>
    <w:rsid w:val="00291C59"/>
    <w:rsid w:val="002933E9"/>
    <w:rsid w:val="00294CB0"/>
    <w:rsid w:val="00294DC7"/>
    <w:rsid w:val="0029569E"/>
    <w:rsid w:val="00295EA6"/>
    <w:rsid w:val="00296811"/>
    <w:rsid w:val="002A0A05"/>
    <w:rsid w:val="002A0D20"/>
    <w:rsid w:val="002A0F12"/>
    <w:rsid w:val="002A248A"/>
    <w:rsid w:val="002A2491"/>
    <w:rsid w:val="002A2649"/>
    <w:rsid w:val="002A2AA5"/>
    <w:rsid w:val="002A2E04"/>
    <w:rsid w:val="002A3079"/>
    <w:rsid w:val="002A36E7"/>
    <w:rsid w:val="002A3B0A"/>
    <w:rsid w:val="002A3B18"/>
    <w:rsid w:val="002A4655"/>
    <w:rsid w:val="002A4BBE"/>
    <w:rsid w:val="002A50EA"/>
    <w:rsid w:val="002A583C"/>
    <w:rsid w:val="002A5AE3"/>
    <w:rsid w:val="002A5F52"/>
    <w:rsid w:val="002A636A"/>
    <w:rsid w:val="002A6919"/>
    <w:rsid w:val="002A6C39"/>
    <w:rsid w:val="002A6E68"/>
    <w:rsid w:val="002A7039"/>
    <w:rsid w:val="002A76D1"/>
    <w:rsid w:val="002A7776"/>
    <w:rsid w:val="002B0026"/>
    <w:rsid w:val="002B1182"/>
    <w:rsid w:val="002B2D02"/>
    <w:rsid w:val="002B33D2"/>
    <w:rsid w:val="002B3A55"/>
    <w:rsid w:val="002B4247"/>
    <w:rsid w:val="002B4991"/>
    <w:rsid w:val="002B49A2"/>
    <w:rsid w:val="002B4AAF"/>
    <w:rsid w:val="002B521C"/>
    <w:rsid w:val="002B6273"/>
    <w:rsid w:val="002B667A"/>
    <w:rsid w:val="002C00D1"/>
    <w:rsid w:val="002C0207"/>
    <w:rsid w:val="002C182E"/>
    <w:rsid w:val="002C2156"/>
    <w:rsid w:val="002C3544"/>
    <w:rsid w:val="002C3970"/>
    <w:rsid w:val="002C4261"/>
    <w:rsid w:val="002C46EF"/>
    <w:rsid w:val="002C4797"/>
    <w:rsid w:val="002C47AC"/>
    <w:rsid w:val="002C5A64"/>
    <w:rsid w:val="002C660F"/>
    <w:rsid w:val="002C6858"/>
    <w:rsid w:val="002C7D13"/>
    <w:rsid w:val="002D030E"/>
    <w:rsid w:val="002D10C8"/>
    <w:rsid w:val="002D1233"/>
    <w:rsid w:val="002D198D"/>
    <w:rsid w:val="002D2C87"/>
    <w:rsid w:val="002D2CD9"/>
    <w:rsid w:val="002D6008"/>
    <w:rsid w:val="002D682F"/>
    <w:rsid w:val="002D727A"/>
    <w:rsid w:val="002E1226"/>
    <w:rsid w:val="002E141E"/>
    <w:rsid w:val="002E1CDB"/>
    <w:rsid w:val="002E3317"/>
    <w:rsid w:val="002E3398"/>
    <w:rsid w:val="002E387C"/>
    <w:rsid w:val="002E4C67"/>
    <w:rsid w:val="002E5074"/>
    <w:rsid w:val="002E5C4B"/>
    <w:rsid w:val="002E680B"/>
    <w:rsid w:val="002E71C9"/>
    <w:rsid w:val="002F07A1"/>
    <w:rsid w:val="002F1A23"/>
    <w:rsid w:val="002F23C3"/>
    <w:rsid w:val="002F257E"/>
    <w:rsid w:val="002F3025"/>
    <w:rsid w:val="002F45AF"/>
    <w:rsid w:val="002F658F"/>
    <w:rsid w:val="002F682F"/>
    <w:rsid w:val="002F7449"/>
    <w:rsid w:val="00300C4D"/>
    <w:rsid w:val="00301504"/>
    <w:rsid w:val="003018E4"/>
    <w:rsid w:val="00303276"/>
    <w:rsid w:val="00304D73"/>
    <w:rsid w:val="0030567E"/>
    <w:rsid w:val="00305FA4"/>
    <w:rsid w:val="00307E4C"/>
    <w:rsid w:val="003102D0"/>
    <w:rsid w:val="00310B81"/>
    <w:rsid w:val="00311248"/>
    <w:rsid w:val="003117EF"/>
    <w:rsid w:val="00311F0D"/>
    <w:rsid w:val="003124BC"/>
    <w:rsid w:val="0031266A"/>
    <w:rsid w:val="00313883"/>
    <w:rsid w:val="00314A3B"/>
    <w:rsid w:val="003152CD"/>
    <w:rsid w:val="00315403"/>
    <w:rsid w:val="00316324"/>
    <w:rsid w:val="00316F03"/>
    <w:rsid w:val="003175AD"/>
    <w:rsid w:val="003178AD"/>
    <w:rsid w:val="0032036A"/>
    <w:rsid w:val="00320588"/>
    <w:rsid w:val="003208D6"/>
    <w:rsid w:val="00321703"/>
    <w:rsid w:val="003223FC"/>
    <w:rsid w:val="00323633"/>
    <w:rsid w:val="00323834"/>
    <w:rsid w:val="003257C1"/>
    <w:rsid w:val="00325DA2"/>
    <w:rsid w:val="00326E1F"/>
    <w:rsid w:val="0032772E"/>
    <w:rsid w:val="00330821"/>
    <w:rsid w:val="00330B78"/>
    <w:rsid w:val="00332200"/>
    <w:rsid w:val="00332D52"/>
    <w:rsid w:val="00332DA6"/>
    <w:rsid w:val="0033315F"/>
    <w:rsid w:val="00334298"/>
    <w:rsid w:val="003342A8"/>
    <w:rsid w:val="00334545"/>
    <w:rsid w:val="00334C3B"/>
    <w:rsid w:val="00335CF3"/>
    <w:rsid w:val="00336111"/>
    <w:rsid w:val="0033722D"/>
    <w:rsid w:val="00340419"/>
    <w:rsid w:val="0034041B"/>
    <w:rsid w:val="00342E63"/>
    <w:rsid w:val="00343DBE"/>
    <w:rsid w:val="00343FB8"/>
    <w:rsid w:val="00344631"/>
    <w:rsid w:val="00344D9F"/>
    <w:rsid w:val="00344F5A"/>
    <w:rsid w:val="003457D7"/>
    <w:rsid w:val="003465B7"/>
    <w:rsid w:val="00346BB1"/>
    <w:rsid w:val="00350690"/>
    <w:rsid w:val="00350AED"/>
    <w:rsid w:val="00351605"/>
    <w:rsid w:val="00351CD4"/>
    <w:rsid w:val="0035288D"/>
    <w:rsid w:val="00353417"/>
    <w:rsid w:val="00353620"/>
    <w:rsid w:val="00353703"/>
    <w:rsid w:val="00353E1C"/>
    <w:rsid w:val="00354CBF"/>
    <w:rsid w:val="003574F9"/>
    <w:rsid w:val="00357D24"/>
    <w:rsid w:val="003604F3"/>
    <w:rsid w:val="00360FE0"/>
    <w:rsid w:val="003610CE"/>
    <w:rsid w:val="0036138A"/>
    <w:rsid w:val="003614B2"/>
    <w:rsid w:val="00362185"/>
    <w:rsid w:val="003627B1"/>
    <w:rsid w:val="0036489A"/>
    <w:rsid w:val="00364FC4"/>
    <w:rsid w:val="00366037"/>
    <w:rsid w:val="003660B8"/>
    <w:rsid w:val="003665CC"/>
    <w:rsid w:val="00366F2B"/>
    <w:rsid w:val="00367DC5"/>
    <w:rsid w:val="00367F96"/>
    <w:rsid w:val="0037046E"/>
    <w:rsid w:val="0037157C"/>
    <w:rsid w:val="00371DFF"/>
    <w:rsid w:val="00375B94"/>
    <w:rsid w:val="00376052"/>
    <w:rsid w:val="00377351"/>
    <w:rsid w:val="00377D7A"/>
    <w:rsid w:val="00380625"/>
    <w:rsid w:val="00380893"/>
    <w:rsid w:val="003818AD"/>
    <w:rsid w:val="00381F58"/>
    <w:rsid w:val="0038255E"/>
    <w:rsid w:val="00382E43"/>
    <w:rsid w:val="00383113"/>
    <w:rsid w:val="00383C3D"/>
    <w:rsid w:val="00383CE3"/>
    <w:rsid w:val="00383D59"/>
    <w:rsid w:val="00383DD9"/>
    <w:rsid w:val="003858E4"/>
    <w:rsid w:val="003859B9"/>
    <w:rsid w:val="00386095"/>
    <w:rsid w:val="00390008"/>
    <w:rsid w:val="0039160E"/>
    <w:rsid w:val="00391C97"/>
    <w:rsid w:val="00393323"/>
    <w:rsid w:val="00393E9E"/>
    <w:rsid w:val="00394286"/>
    <w:rsid w:val="003952E8"/>
    <w:rsid w:val="00396C59"/>
    <w:rsid w:val="00396D71"/>
    <w:rsid w:val="0039751F"/>
    <w:rsid w:val="00397C42"/>
    <w:rsid w:val="003A0203"/>
    <w:rsid w:val="003A23C0"/>
    <w:rsid w:val="003A2BFC"/>
    <w:rsid w:val="003A3692"/>
    <w:rsid w:val="003A452E"/>
    <w:rsid w:val="003A55B1"/>
    <w:rsid w:val="003A55FE"/>
    <w:rsid w:val="003A5753"/>
    <w:rsid w:val="003A5B00"/>
    <w:rsid w:val="003A5C47"/>
    <w:rsid w:val="003A6761"/>
    <w:rsid w:val="003B0886"/>
    <w:rsid w:val="003B12D8"/>
    <w:rsid w:val="003B2A2E"/>
    <w:rsid w:val="003B2AAE"/>
    <w:rsid w:val="003B4567"/>
    <w:rsid w:val="003B7B26"/>
    <w:rsid w:val="003C0734"/>
    <w:rsid w:val="003C129A"/>
    <w:rsid w:val="003C1826"/>
    <w:rsid w:val="003C260B"/>
    <w:rsid w:val="003C273E"/>
    <w:rsid w:val="003C2743"/>
    <w:rsid w:val="003C339F"/>
    <w:rsid w:val="003C3BD0"/>
    <w:rsid w:val="003C4B56"/>
    <w:rsid w:val="003C5845"/>
    <w:rsid w:val="003C5B08"/>
    <w:rsid w:val="003C5D32"/>
    <w:rsid w:val="003C6879"/>
    <w:rsid w:val="003C6F83"/>
    <w:rsid w:val="003C7CC0"/>
    <w:rsid w:val="003D0790"/>
    <w:rsid w:val="003D090B"/>
    <w:rsid w:val="003D11BA"/>
    <w:rsid w:val="003D1B1F"/>
    <w:rsid w:val="003D2219"/>
    <w:rsid w:val="003D2759"/>
    <w:rsid w:val="003D2CC1"/>
    <w:rsid w:val="003D32B5"/>
    <w:rsid w:val="003D3633"/>
    <w:rsid w:val="003D3D1B"/>
    <w:rsid w:val="003D4B73"/>
    <w:rsid w:val="003D4CC6"/>
    <w:rsid w:val="003D4F10"/>
    <w:rsid w:val="003D5F94"/>
    <w:rsid w:val="003D6027"/>
    <w:rsid w:val="003D6500"/>
    <w:rsid w:val="003D7AE6"/>
    <w:rsid w:val="003D7CB8"/>
    <w:rsid w:val="003E10CA"/>
    <w:rsid w:val="003E3527"/>
    <w:rsid w:val="003E4706"/>
    <w:rsid w:val="003E6382"/>
    <w:rsid w:val="003E66B6"/>
    <w:rsid w:val="003E6B12"/>
    <w:rsid w:val="003E727B"/>
    <w:rsid w:val="003E7370"/>
    <w:rsid w:val="003F00B8"/>
    <w:rsid w:val="003F0BB7"/>
    <w:rsid w:val="003F12E6"/>
    <w:rsid w:val="003F137F"/>
    <w:rsid w:val="003F1985"/>
    <w:rsid w:val="003F26DB"/>
    <w:rsid w:val="003F2EF6"/>
    <w:rsid w:val="003F4781"/>
    <w:rsid w:val="003F4A45"/>
    <w:rsid w:val="003F60EE"/>
    <w:rsid w:val="003F6155"/>
    <w:rsid w:val="003F656F"/>
    <w:rsid w:val="003F6796"/>
    <w:rsid w:val="003F716B"/>
    <w:rsid w:val="003F77CF"/>
    <w:rsid w:val="00400883"/>
    <w:rsid w:val="00401CEB"/>
    <w:rsid w:val="004021F4"/>
    <w:rsid w:val="00402F39"/>
    <w:rsid w:val="00402F7C"/>
    <w:rsid w:val="00403958"/>
    <w:rsid w:val="00404397"/>
    <w:rsid w:val="00405369"/>
    <w:rsid w:val="004104B7"/>
    <w:rsid w:val="004121E2"/>
    <w:rsid w:val="004122C7"/>
    <w:rsid w:val="0041343C"/>
    <w:rsid w:val="004148A7"/>
    <w:rsid w:val="0041496B"/>
    <w:rsid w:val="004161B2"/>
    <w:rsid w:val="0041680A"/>
    <w:rsid w:val="00416E1F"/>
    <w:rsid w:val="004170D7"/>
    <w:rsid w:val="004172EE"/>
    <w:rsid w:val="004174D6"/>
    <w:rsid w:val="0042118A"/>
    <w:rsid w:val="004211FC"/>
    <w:rsid w:val="0042262A"/>
    <w:rsid w:val="00422E63"/>
    <w:rsid w:val="0042603C"/>
    <w:rsid w:val="00427028"/>
    <w:rsid w:val="004274B3"/>
    <w:rsid w:val="0042764C"/>
    <w:rsid w:val="004276CF"/>
    <w:rsid w:val="00427ED9"/>
    <w:rsid w:val="004301FF"/>
    <w:rsid w:val="0043128E"/>
    <w:rsid w:val="00431ED9"/>
    <w:rsid w:val="00433ED1"/>
    <w:rsid w:val="004343F8"/>
    <w:rsid w:val="0043591C"/>
    <w:rsid w:val="00435FA7"/>
    <w:rsid w:val="00436B73"/>
    <w:rsid w:val="004373BB"/>
    <w:rsid w:val="00437AF0"/>
    <w:rsid w:val="00440C8B"/>
    <w:rsid w:val="00440DBC"/>
    <w:rsid w:val="004412AF"/>
    <w:rsid w:val="00441C42"/>
    <w:rsid w:val="00442DEB"/>
    <w:rsid w:val="004440E6"/>
    <w:rsid w:val="00444E70"/>
    <w:rsid w:val="004452B3"/>
    <w:rsid w:val="004468A9"/>
    <w:rsid w:val="004471E1"/>
    <w:rsid w:val="0045044C"/>
    <w:rsid w:val="004504B6"/>
    <w:rsid w:val="00450AF2"/>
    <w:rsid w:val="004515AD"/>
    <w:rsid w:val="004526DF"/>
    <w:rsid w:val="00452E83"/>
    <w:rsid w:val="004530FC"/>
    <w:rsid w:val="00453A71"/>
    <w:rsid w:val="004540D4"/>
    <w:rsid w:val="00454A66"/>
    <w:rsid w:val="00456589"/>
    <w:rsid w:val="004604F2"/>
    <w:rsid w:val="004609CB"/>
    <w:rsid w:val="00460DD4"/>
    <w:rsid w:val="004618EF"/>
    <w:rsid w:val="00461B25"/>
    <w:rsid w:val="00461F56"/>
    <w:rsid w:val="004623F4"/>
    <w:rsid w:val="00462CE4"/>
    <w:rsid w:val="00463156"/>
    <w:rsid w:val="004633BB"/>
    <w:rsid w:val="00463C42"/>
    <w:rsid w:val="00463D17"/>
    <w:rsid w:val="004640A7"/>
    <w:rsid w:val="00464684"/>
    <w:rsid w:val="00464D87"/>
    <w:rsid w:val="0046513F"/>
    <w:rsid w:val="00467479"/>
    <w:rsid w:val="004677AB"/>
    <w:rsid w:val="00467A81"/>
    <w:rsid w:val="00471667"/>
    <w:rsid w:val="0047366F"/>
    <w:rsid w:val="00473C0F"/>
    <w:rsid w:val="0047429B"/>
    <w:rsid w:val="00476D9F"/>
    <w:rsid w:val="00477E6D"/>
    <w:rsid w:val="004804EC"/>
    <w:rsid w:val="004805CD"/>
    <w:rsid w:val="00480664"/>
    <w:rsid w:val="00482178"/>
    <w:rsid w:val="00482180"/>
    <w:rsid w:val="00482ABC"/>
    <w:rsid w:val="00482BDC"/>
    <w:rsid w:val="00482D03"/>
    <w:rsid w:val="00482FBD"/>
    <w:rsid w:val="004831A4"/>
    <w:rsid w:val="00483F72"/>
    <w:rsid w:val="0048659A"/>
    <w:rsid w:val="00491ED6"/>
    <w:rsid w:val="004934EF"/>
    <w:rsid w:val="00496417"/>
    <w:rsid w:val="004966E9"/>
    <w:rsid w:val="0049693B"/>
    <w:rsid w:val="00496F58"/>
    <w:rsid w:val="0049790B"/>
    <w:rsid w:val="00497919"/>
    <w:rsid w:val="004A0297"/>
    <w:rsid w:val="004A2407"/>
    <w:rsid w:val="004A366B"/>
    <w:rsid w:val="004A374D"/>
    <w:rsid w:val="004A389F"/>
    <w:rsid w:val="004A4226"/>
    <w:rsid w:val="004A4CAB"/>
    <w:rsid w:val="004A5B1A"/>
    <w:rsid w:val="004A65AF"/>
    <w:rsid w:val="004A6CC4"/>
    <w:rsid w:val="004A7811"/>
    <w:rsid w:val="004B11EB"/>
    <w:rsid w:val="004B304B"/>
    <w:rsid w:val="004B3B26"/>
    <w:rsid w:val="004B3F1C"/>
    <w:rsid w:val="004B492E"/>
    <w:rsid w:val="004B5561"/>
    <w:rsid w:val="004B5D60"/>
    <w:rsid w:val="004B68B6"/>
    <w:rsid w:val="004B6E5C"/>
    <w:rsid w:val="004B7685"/>
    <w:rsid w:val="004C0BDF"/>
    <w:rsid w:val="004C16CD"/>
    <w:rsid w:val="004C1AEB"/>
    <w:rsid w:val="004C2AD9"/>
    <w:rsid w:val="004C5735"/>
    <w:rsid w:val="004C6026"/>
    <w:rsid w:val="004D02F2"/>
    <w:rsid w:val="004D04B4"/>
    <w:rsid w:val="004D066D"/>
    <w:rsid w:val="004D08FE"/>
    <w:rsid w:val="004D1026"/>
    <w:rsid w:val="004D16AE"/>
    <w:rsid w:val="004D2652"/>
    <w:rsid w:val="004D3086"/>
    <w:rsid w:val="004D319D"/>
    <w:rsid w:val="004D339B"/>
    <w:rsid w:val="004D3F56"/>
    <w:rsid w:val="004D4488"/>
    <w:rsid w:val="004D5B9E"/>
    <w:rsid w:val="004D6327"/>
    <w:rsid w:val="004D6F69"/>
    <w:rsid w:val="004D7519"/>
    <w:rsid w:val="004D7809"/>
    <w:rsid w:val="004E1F9A"/>
    <w:rsid w:val="004E2F11"/>
    <w:rsid w:val="004E3811"/>
    <w:rsid w:val="004E5119"/>
    <w:rsid w:val="004E581B"/>
    <w:rsid w:val="004E651E"/>
    <w:rsid w:val="004E6E74"/>
    <w:rsid w:val="004E6F57"/>
    <w:rsid w:val="004E6FE3"/>
    <w:rsid w:val="004E757E"/>
    <w:rsid w:val="004E779A"/>
    <w:rsid w:val="004E7A61"/>
    <w:rsid w:val="004F0519"/>
    <w:rsid w:val="004F09A5"/>
    <w:rsid w:val="004F0E82"/>
    <w:rsid w:val="004F0ECA"/>
    <w:rsid w:val="004F1D53"/>
    <w:rsid w:val="004F1FDE"/>
    <w:rsid w:val="004F226B"/>
    <w:rsid w:val="004F2337"/>
    <w:rsid w:val="004F2382"/>
    <w:rsid w:val="004F300E"/>
    <w:rsid w:val="004F34F0"/>
    <w:rsid w:val="004F36D2"/>
    <w:rsid w:val="004F3FA9"/>
    <w:rsid w:val="004F6008"/>
    <w:rsid w:val="004F6C84"/>
    <w:rsid w:val="004F7CF8"/>
    <w:rsid w:val="0050067B"/>
    <w:rsid w:val="00500770"/>
    <w:rsid w:val="0050087C"/>
    <w:rsid w:val="00501437"/>
    <w:rsid w:val="00501B62"/>
    <w:rsid w:val="00501CA8"/>
    <w:rsid w:val="005027D9"/>
    <w:rsid w:val="0050293B"/>
    <w:rsid w:val="00502DDE"/>
    <w:rsid w:val="005037E2"/>
    <w:rsid w:val="00503CBF"/>
    <w:rsid w:val="0050431A"/>
    <w:rsid w:val="0050466F"/>
    <w:rsid w:val="00504C97"/>
    <w:rsid w:val="00505ED8"/>
    <w:rsid w:val="0050654B"/>
    <w:rsid w:val="00506C26"/>
    <w:rsid w:val="005074D4"/>
    <w:rsid w:val="00507622"/>
    <w:rsid w:val="005107F8"/>
    <w:rsid w:val="005112BE"/>
    <w:rsid w:val="00513D14"/>
    <w:rsid w:val="0051435A"/>
    <w:rsid w:val="00515947"/>
    <w:rsid w:val="005159CD"/>
    <w:rsid w:val="00515F02"/>
    <w:rsid w:val="005163C4"/>
    <w:rsid w:val="0051760B"/>
    <w:rsid w:val="005178CD"/>
    <w:rsid w:val="005202AC"/>
    <w:rsid w:val="00520A63"/>
    <w:rsid w:val="005218A4"/>
    <w:rsid w:val="00521FB0"/>
    <w:rsid w:val="005221E8"/>
    <w:rsid w:val="0052302D"/>
    <w:rsid w:val="0052334C"/>
    <w:rsid w:val="00523F29"/>
    <w:rsid w:val="00524310"/>
    <w:rsid w:val="00524715"/>
    <w:rsid w:val="00525152"/>
    <w:rsid w:val="00526188"/>
    <w:rsid w:val="00526815"/>
    <w:rsid w:val="0052715D"/>
    <w:rsid w:val="00527746"/>
    <w:rsid w:val="00530316"/>
    <w:rsid w:val="0053039B"/>
    <w:rsid w:val="00531BE0"/>
    <w:rsid w:val="0053271A"/>
    <w:rsid w:val="00532771"/>
    <w:rsid w:val="00532A5C"/>
    <w:rsid w:val="00533164"/>
    <w:rsid w:val="005346E6"/>
    <w:rsid w:val="00534DDE"/>
    <w:rsid w:val="00535636"/>
    <w:rsid w:val="005360F7"/>
    <w:rsid w:val="00537012"/>
    <w:rsid w:val="00537275"/>
    <w:rsid w:val="0053763A"/>
    <w:rsid w:val="005406E1"/>
    <w:rsid w:val="00540C0B"/>
    <w:rsid w:val="0054138B"/>
    <w:rsid w:val="00541A46"/>
    <w:rsid w:val="00542888"/>
    <w:rsid w:val="0054321B"/>
    <w:rsid w:val="00545AC9"/>
    <w:rsid w:val="00545F2C"/>
    <w:rsid w:val="005467A8"/>
    <w:rsid w:val="005477B0"/>
    <w:rsid w:val="00550074"/>
    <w:rsid w:val="0055105E"/>
    <w:rsid w:val="00552018"/>
    <w:rsid w:val="0055283C"/>
    <w:rsid w:val="005547F7"/>
    <w:rsid w:val="0055537D"/>
    <w:rsid w:val="00556F47"/>
    <w:rsid w:val="00557595"/>
    <w:rsid w:val="00557E33"/>
    <w:rsid w:val="00557E8E"/>
    <w:rsid w:val="0056088C"/>
    <w:rsid w:val="005613CE"/>
    <w:rsid w:val="00562136"/>
    <w:rsid w:val="005623ED"/>
    <w:rsid w:val="00562B3F"/>
    <w:rsid w:val="0056338A"/>
    <w:rsid w:val="00564237"/>
    <w:rsid w:val="00566EA0"/>
    <w:rsid w:val="00566F95"/>
    <w:rsid w:val="005672D0"/>
    <w:rsid w:val="005679C0"/>
    <w:rsid w:val="00570204"/>
    <w:rsid w:val="0057091C"/>
    <w:rsid w:val="00570FE8"/>
    <w:rsid w:val="00571F1F"/>
    <w:rsid w:val="00572056"/>
    <w:rsid w:val="005733F4"/>
    <w:rsid w:val="00573BF5"/>
    <w:rsid w:val="00577342"/>
    <w:rsid w:val="00577401"/>
    <w:rsid w:val="00580525"/>
    <w:rsid w:val="00587BCD"/>
    <w:rsid w:val="0059001B"/>
    <w:rsid w:val="0059056E"/>
    <w:rsid w:val="00590F5A"/>
    <w:rsid w:val="00592CB6"/>
    <w:rsid w:val="00593559"/>
    <w:rsid w:val="005938AA"/>
    <w:rsid w:val="005941F7"/>
    <w:rsid w:val="0059526B"/>
    <w:rsid w:val="005956BC"/>
    <w:rsid w:val="005959ED"/>
    <w:rsid w:val="00595B18"/>
    <w:rsid w:val="0059639D"/>
    <w:rsid w:val="00596781"/>
    <w:rsid w:val="005974CE"/>
    <w:rsid w:val="00597D20"/>
    <w:rsid w:val="005A01C3"/>
    <w:rsid w:val="005A0783"/>
    <w:rsid w:val="005A0E00"/>
    <w:rsid w:val="005A0EC3"/>
    <w:rsid w:val="005A1701"/>
    <w:rsid w:val="005A20E9"/>
    <w:rsid w:val="005A2CB0"/>
    <w:rsid w:val="005A2E5E"/>
    <w:rsid w:val="005A368A"/>
    <w:rsid w:val="005A3F3A"/>
    <w:rsid w:val="005A40F2"/>
    <w:rsid w:val="005A4358"/>
    <w:rsid w:val="005A4FF3"/>
    <w:rsid w:val="005A547A"/>
    <w:rsid w:val="005A5862"/>
    <w:rsid w:val="005A60D1"/>
    <w:rsid w:val="005A629F"/>
    <w:rsid w:val="005A6D36"/>
    <w:rsid w:val="005A7109"/>
    <w:rsid w:val="005A78BA"/>
    <w:rsid w:val="005B09EB"/>
    <w:rsid w:val="005B0F08"/>
    <w:rsid w:val="005B1C64"/>
    <w:rsid w:val="005B25A6"/>
    <w:rsid w:val="005B29EE"/>
    <w:rsid w:val="005B2B75"/>
    <w:rsid w:val="005B2D93"/>
    <w:rsid w:val="005B5FC0"/>
    <w:rsid w:val="005B7550"/>
    <w:rsid w:val="005B7994"/>
    <w:rsid w:val="005C00E4"/>
    <w:rsid w:val="005C1A35"/>
    <w:rsid w:val="005C1F5C"/>
    <w:rsid w:val="005C2BBB"/>
    <w:rsid w:val="005C3ABE"/>
    <w:rsid w:val="005C3DC0"/>
    <w:rsid w:val="005C5448"/>
    <w:rsid w:val="005C564D"/>
    <w:rsid w:val="005C5659"/>
    <w:rsid w:val="005C63C4"/>
    <w:rsid w:val="005C6563"/>
    <w:rsid w:val="005C6E78"/>
    <w:rsid w:val="005C72BC"/>
    <w:rsid w:val="005D0025"/>
    <w:rsid w:val="005D0B5F"/>
    <w:rsid w:val="005D1F76"/>
    <w:rsid w:val="005D2099"/>
    <w:rsid w:val="005D2E37"/>
    <w:rsid w:val="005D3254"/>
    <w:rsid w:val="005D3DE3"/>
    <w:rsid w:val="005D3E8C"/>
    <w:rsid w:val="005D3ED7"/>
    <w:rsid w:val="005D3F2A"/>
    <w:rsid w:val="005D5CF8"/>
    <w:rsid w:val="005D605F"/>
    <w:rsid w:val="005D662F"/>
    <w:rsid w:val="005D7BAD"/>
    <w:rsid w:val="005E056B"/>
    <w:rsid w:val="005E0DF5"/>
    <w:rsid w:val="005E1105"/>
    <w:rsid w:val="005E134E"/>
    <w:rsid w:val="005E1698"/>
    <w:rsid w:val="005E1B2F"/>
    <w:rsid w:val="005E22C3"/>
    <w:rsid w:val="005E29DD"/>
    <w:rsid w:val="005E3E8D"/>
    <w:rsid w:val="005E5184"/>
    <w:rsid w:val="005E55B6"/>
    <w:rsid w:val="005F1877"/>
    <w:rsid w:val="005F1B8C"/>
    <w:rsid w:val="005F3283"/>
    <w:rsid w:val="005F3579"/>
    <w:rsid w:val="005F3AF4"/>
    <w:rsid w:val="005F3B74"/>
    <w:rsid w:val="005F429A"/>
    <w:rsid w:val="005F490C"/>
    <w:rsid w:val="005F52B6"/>
    <w:rsid w:val="005F5ACB"/>
    <w:rsid w:val="005F5D07"/>
    <w:rsid w:val="005F601B"/>
    <w:rsid w:val="005F62C6"/>
    <w:rsid w:val="005F671D"/>
    <w:rsid w:val="005F6823"/>
    <w:rsid w:val="005F6987"/>
    <w:rsid w:val="005F6EC3"/>
    <w:rsid w:val="005F7C91"/>
    <w:rsid w:val="005F7DE0"/>
    <w:rsid w:val="006007FB"/>
    <w:rsid w:val="00600BF5"/>
    <w:rsid w:val="00601A9D"/>
    <w:rsid w:val="006035D5"/>
    <w:rsid w:val="00603DA9"/>
    <w:rsid w:val="006057D2"/>
    <w:rsid w:val="00606084"/>
    <w:rsid w:val="006061DF"/>
    <w:rsid w:val="00606BE0"/>
    <w:rsid w:val="0060723C"/>
    <w:rsid w:val="00607305"/>
    <w:rsid w:val="00607464"/>
    <w:rsid w:val="006077C0"/>
    <w:rsid w:val="00607C16"/>
    <w:rsid w:val="00610FB6"/>
    <w:rsid w:val="0061106D"/>
    <w:rsid w:val="006113F4"/>
    <w:rsid w:val="006119B1"/>
    <w:rsid w:val="00611EB5"/>
    <w:rsid w:val="00612D32"/>
    <w:rsid w:val="00613057"/>
    <w:rsid w:val="00613123"/>
    <w:rsid w:val="00613867"/>
    <w:rsid w:val="00613E01"/>
    <w:rsid w:val="0061443F"/>
    <w:rsid w:val="00614962"/>
    <w:rsid w:val="00615557"/>
    <w:rsid w:val="006166AD"/>
    <w:rsid w:val="00617751"/>
    <w:rsid w:val="00617B97"/>
    <w:rsid w:val="00620249"/>
    <w:rsid w:val="00620DA8"/>
    <w:rsid w:val="00621BED"/>
    <w:rsid w:val="00623840"/>
    <w:rsid w:val="006242B3"/>
    <w:rsid w:val="006247B1"/>
    <w:rsid w:val="00625C74"/>
    <w:rsid w:val="00625EDC"/>
    <w:rsid w:val="006261BB"/>
    <w:rsid w:val="00627690"/>
    <w:rsid w:val="00630513"/>
    <w:rsid w:val="00630C80"/>
    <w:rsid w:val="006338F9"/>
    <w:rsid w:val="00635149"/>
    <w:rsid w:val="006369E8"/>
    <w:rsid w:val="0064014A"/>
    <w:rsid w:val="006404F6"/>
    <w:rsid w:val="00641922"/>
    <w:rsid w:val="00641948"/>
    <w:rsid w:val="0064380B"/>
    <w:rsid w:val="0064391E"/>
    <w:rsid w:val="00643F9E"/>
    <w:rsid w:val="0064418F"/>
    <w:rsid w:val="00645011"/>
    <w:rsid w:val="00645940"/>
    <w:rsid w:val="0064607D"/>
    <w:rsid w:val="00646444"/>
    <w:rsid w:val="006467B7"/>
    <w:rsid w:val="00646A50"/>
    <w:rsid w:val="00647005"/>
    <w:rsid w:val="00647E13"/>
    <w:rsid w:val="00651812"/>
    <w:rsid w:val="00652B33"/>
    <w:rsid w:val="00653C83"/>
    <w:rsid w:val="006541D5"/>
    <w:rsid w:val="006548EE"/>
    <w:rsid w:val="00654FAE"/>
    <w:rsid w:val="006565B2"/>
    <w:rsid w:val="006572A9"/>
    <w:rsid w:val="00657C84"/>
    <w:rsid w:val="006605BE"/>
    <w:rsid w:val="006608F8"/>
    <w:rsid w:val="00660D9E"/>
    <w:rsid w:val="00661B3A"/>
    <w:rsid w:val="00661E16"/>
    <w:rsid w:val="006620B2"/>
    <w:rsid w:val="00662AAF"/>
    <w:rsid w:val="00662BD6"/>
    <w:rsid w:val="00663660"/>
    <w:rsid w:val="00663CCE"/>
    <w:rsid w:val="00664AC4"/>
    <w:rsid w:val="00665136"/>
    <w:rsid w:val="006652B4"/>
    <w:rsid w:val="00670D37"/>
    <w:rsid w:val="0067128D"/>
    <w:rsid w:val="00671A5B"/>
    <w:rsid w:val="00674762"/>
    <w:rsid w:val="00674896"/>
    <w:rsid w:val="006748A0"/>
    <w:rsid w:val="00674B36"/>
    <w:rsid w:val="00674FD7"/>
    <w:rsid w:val="00675982"/>
    <w:rsid w:val="006762A4"/>
    <w:rsid w:val="00676B87"/>
    <w:rsid w:val="00677469"/>
    <w:rsid w:val="0067789B"/>
    <w:rsid w:val="00677DF5"/>
    <w:rsid w:val="00677E17"/>
    <w:rsid w:val="006802D3"/>
    <w:rsid w:val="00681551"/>
    <w:rsid w:val="00681E30"/>
    <w:rsid w:val="0068293A"/>
    <w:rsid w:val="00683511"/>
    <w:rsid w:val="00683B32"/>
    <w:rsid w:val="00685C1A"/>
    <w:rsid w:val="006863F5"/>
    <w:rsid w:val="00686682"/>
    <w:rsid w:val="00686A35"/>
    <w:rsid w:val="0068758B"/>
    <w:rsid w:val="006913EE"/>
    <w:rsid w:val="0069142B"/>
    <w:rsid w:val="00692EB7"/>
    <w:rsid w:val="006932B0"/>
    <w:rsid w:val="0069421F"/>
    <w:rsid w:val="006942D5"/>
    <w:rsid w:val="00695172"/>
    <w:rsid w:val="006957E5"/>
    <w:rsid w:val="00695F82"/>
    <w:rsid w:val="0069669E"/>
    <w:rsid w:val="00696F14"/>
    <w:rsid w:val="006974B6"/>
    <w:rsid w:val="00697E1B"/>
    <w:rsid w:val="006A0A59"/>
    <w:rsid w:val="006A0A71"/>
    <w:rsid w:val="006A10E3"/>
    <w:rsid w:val="006A1241"/>
    <w:rsid w:val="006A15AE"/>
    <w:rsid w:val="006A162D"/>
    <w:rsid w:val="006A2950"/>
    <w:rsid w:val="006A31C5"/>
    <w:rsid w:val="006A3682"/>
    <w:rsid w:val="006A50A4"/>
    <w:rsid w:val="006A5E2D"/>
    <w:rsid w:val="006A66AC"/>
    <w:rsid w:val="006A7865"/>
    <w:rsid w:val="006B07E0"/>
    <w:rsid w:val="006B0A91"/>
    <w:rsid w:val="006B11BA"/>
    <w:rsid w:val="006B16BA"/>
    <w:rsid w:val="006B1971"/>
    <w:rsid w:val="006B1DB3"/>
    <w:rsid w:val="006B220A"/>
    <w:rsid w:val="006B411C"/>
    <w:rsid w:val="006B464D"/>
    <w:rsid w:val="006B49C8"/>
    <w:rsid w:val="006B4D98"/>
    <w:rsid w:val="006B5433"/>
    <w:rsid w:val="006B5A23"/>
    <w:rsid w:val="006B64B4"/>
    <w:rsid w:val="006C164B"/>
    <w:rsid w:val="006C2026"/>
    <w:rsid w:val="006C2A4C"/>
    <w:rsid w:val="006C3B45"/>
    <w:rsid w:val="006C3B83"/>
    <w:rsid w:val="006C3DB1"/>
    <w:rsid w:val="006C417F"/>
    <w:rsid w:val="006C6C13"/>
    <w:rsid w:val="006C7B9A"/>
    <w:rsid w:val="006D1E60"/>
    <w:rsid w:val="006D23DE"/>
    <w:rsid w:val="006D49D3"/>
    <w:rsid w:val="006D505D"/>
    <w:rsid w:val="006D5136"/>
    <w:rsid w:val="006D5A24"/>
    <w:rsid w:val="006D703E"/>
    <w:rsid w:val="006D705D"/>
    <w:rsid w:val="006E0551"/>
    <w:rsid w:val="006E094B"/>
    <w:rsid w:val="006E0A84"/>
    <w:rsid w:val="006E2892"/>
    <w:rsid w:val="006E2EC2"/>
    <w:rsid w:val="006E3D29"/>
    <w:rsid w:val="006E4136"/>
    <w:rsid w:val="006F45EA"/>
    <w:rsid w:val="006F48C7"/>
    <w:rsid w:val="006F55B7"/>
    <w:rsid w:val="006F5A07"/>
    <w:rsid w:val="006F5A51"/>
    <w:rsid w:val="006F660F"/>
    <w:rsid w:val="006F6C00"/>
    <w:rsid w:val="006F783C"/>
    <w:rsid w:val="007007AD"/>
    <w:rsid w:val="00701D6C"/>
    <w:rsid w:val="00702221"/>
    <w:rsid w:val="0070241B"/>
    <w:rsid w:val="00702965"/>
    <w:rsid w:val="00703692"/>
    <w:rsid w:val="0070447B"/>
    <w:rsid w:val="0070496A"/>
    <w:rsid w:val="00704BA3"/>
    <w:rsid w:val="00705439"/>
    <w:rsid w:val="00705C7A"/>
    <w:rsid w:val="0070645B"/>
    <w:rsid w:val="007067A4"/>
    <w:rsid w:val="007100E6"/>
    <w:rsid w:val="00710313"/>
    <w:rsid w:val="00710374"/>
    <w:rsid w:val="00710B2B"/>
    <w:rsid w:val="0071179E"/>
    <w:rsid w:val="00712768"/>
    <w:rsid w:val="00713069"/>
    <w:rsid w:val="007142C6"/>
    <w:rsid w:val="0071491D"/>
    <w:rsid w:val="00714C9B"/>
    <w:rsid w:val="00715D35"/>
    <w:rsid w:val="00716090"/>
    <w:rsid w:val="00716AC7"/>
    <w:rsid w:val="007176C0"/>
    <w:rsid w:val="00717DCA"/>
    <w:rsid w:val="007205D9"/>
    <w:rsid w:val="007215A4"/>
    <w:rsid w:val="00722F69"/>
    <w:rsid w:val="00723165"/>
    <w:rsid w:val="0072418C"/>
    <w:rsid w:val="00724782"/>
    <w:rsid w:val="007249BE"/>
    <w:rsid w:val="00724BEB"/>
    <w:rsid w:val="00724BF6"/>
    <w:rsid w:val="00724F5B"/>
    <w:rsid w:val="00726E26"/>
    <w:rsid w:val="007314EC"/>
    <w:rsid w:val="00731DD1"/>
    <w:rsid w:val="00731EEC"/>
    <w:rsid w:val="00732186"/>
    <w:rsid w:val="007329C2"/>
    <w:rsid w:val="007337D5"/>
    <w:rsid w:val="007346FD"/>
    <w:rsid w:val="0074116E"/>
    <w:rsid w:val="00742388"/>
    <w:rsid w:val="00742CD5"/>
    <w:rsid w:val="00742F75"/>
    <w:rsid w:val="00743FAA"/>
    <w:rsid w:val="007440DB"/>
    <w:rsid w:val="00745F48"/>
    <w:rsid w:val="00747393"/>
    <w:rsid w:val="00750619"/>
    <w:rsid w:val="007511A5"/>
    <w:rsid w:val="00752A24"/>
    <w:rsid w:val="0075407D"/>
    <w:rsid w:val="007544B2"/>
    <w:rsid w:val="00754554"/>
    <w:rsid w:val="00755948"/>
    <w:rsid w:val="0075594E"/>
    <w:rsid w:val="007603E2"/>
    <w:rsid w:val="007604AF"/>
    <w:rsid w:val="0076133E"/>
    <w:rsid w:val="00761815"/>
    <w:rsid w:val="0076263B"/>
    <w:rsid w:val="0076283C"/>
    <w:rsid w:val="00763AA0"/>
    <w:rsid w:val="00764159"/>
    <w:rsid w:val="00765295"/>
    <w:rsid w:val="00765384"/>
    <w:rsid w:val="00765911"/>
    <w:rsid w:val="00765CEF"/>
    <w:rsid w:val="00767DE1"/>
    <w:rsid w:val="007709A3"/>
    <w:rsid w:val="00771038"/>
    <w:rsid w:val="007718E5"/>
    <w:rsid w:val="00772137"/>
    <w:rsid w:val="007722D0"/>
    <w:rsid w:val="00772527"/>
    <w:rsid w:val="00772976"/>
    <w:rsid w:val="007731DC"/>
    <w:rsid w:val="007736CC"/>
    <w:rsid w:val="00773EBE"/>
    <w:rsid w:val="00774632"/>
    <w:rsid w:val="00774E6C"/>
    <w:rsid w:val="00775491"/>
    <w:rsid w:val="00776179"/>
    <w:rsid w:val="00776D4B"/>
    <w:rsid w:val="007777E5"/>
    <w:rsid w:val="007806C1"/>
    <w:rsid w:val="00781DC6"/>
    <w:rsid w:val="00782138"/>
    <w:rsid w:val="007824C0"/>
    <w:rsid w:val="00782AE3"/>
    <w:rsid w:val="00782B0A"/>
    <w:rsid w:val="0078462E"/>
    <w:rsid w:val="0078515B"/>
    <w:rsid w:val="00785467"/>
    <w:rsid w:val="00785654"/>
    <w:rsid w:val="00785DD0"/>
    <w:rsid w:val="00785EC8"/>
    <w:rsid w:val="0078601F"/>
    <w:rsid w:val="007866C0"/>
    <w:rsid w:val="00790CBC"/>
    <w:rsid w:val="00790EAF"/>
    <w:rsid w:val="00790F52"/>
    <w:rsid w:val="0079151F"/>
    <w:rsid w:val="007923BF"/>
    <w:rsid w:val="0079280B"/>
    <w:rsid w:val="00792ADE"/>
    <w:rsid w:val="00792B98"/>
    <w:rsid w:val="007933C7"/>
    <w:rsid w:val="0079373E"/>
    <w:rsid w:val="00794999"/>
    <w:rsid w:val="00796728"/>
    <w:rsid w:val="00796C3E"/>
    <w:rsid w:val="007A1C91"/>
    <w:rsid w:val="007A3DB5"/>
    <w:rsid w:val="007A49E0"/>
    <w:rsid w:val="007A5897"/>
    <w:rsid w:val="007A5CB1"/>
    <w:rsid w:val="007A6013"/>
    <w:rsid w:val="007A6DA0"/>
    <w:rsid w:val="007A7E02"/>
    <w:rsid w:val="007B034F"/>
    <w:rsid w:val="007B05E7"/>
    <w:rsid w:val="007B1210"/>
    <w:rsid w:val="007B134E"/>
    <w:rsid w:val="007B16DD"/>
    <w:rsid w:val="007B23E6"/>
    <w:rsid w:val="007B2880"/>
    <w:rsid w:val="007B2E0C"/>
    <w:rsid w:val="007B3AF2"/>
    <w:rsid w:val="007B4AA4"/>
    <w:rsid w:val="007B6B81"/>
    <w:rsid w:val="007B709B"/>
    <w:rsid w:val="007B7934"/>
    <w:rsid w:val="007C056F"/>
    <w:rsid w:val="007C0A30"/>
    <w:rsid w:val="007C0A93"/>
    <w:rsid w:val="007C14A3"/>
    <w:rsid w:val="007C1939"/>
    <w:rsid w:val="007C1AF7"/>
    <w:rsid w:val="007C3333"/>
    <w:rsid w:val="007C40AF"/>
    <w:rsid w:val="007C40EF"/>
    <w:rsid w:val="007C4330"/>
    <w:rsid w:val="007C4C9B"/>
    <w:rsid w:val="007C540E"/>
    <w:rsid w:val="007C556A"/>
    <w:rsid w:val="007C5FE4"/>
    <w:rsid w:val="007C610C"/>
    <w:rsid w:val="007C648C"/>
    <w:rsid w:val="007C64C4"/>
    <w:rsid w:val="007C7961"/>
    <w:rsid w:val="007C7B18"/>
    <w:rsid w:val="007C7F57"/>
    <w:rsid w:val="007D0782"/>
    <w:rsid w:val="007D0925"/>
    <w:rsid w:val="007D1464"/>
    <w:rsid w:val="007D1E13"/>
    <w:rsid w:val="007D27ED"/>
    <w:rsid w:val="007D3156"/>
    <w:rsid w:val="007D3764"/>
    <w:rsid w:val="007D4CA0"/>
    <w:rsid w:val="007D5097"/>
    <w:rsid w:val="007D57E5"/>
    <w:rsid w:val="007D64F0"/>
    <w:rsid w:val="007D663C"/>
    <w:rsid w:val="007D71C0"/>
    <w:rsid w:val="007E0985"/>
    <w:rsid w:val="007E1DE6"/>
    <w:rsid w:val="007E2234"/>
    <w:rsid w:val="007E2634"/>
    <w:rsid w:val="007E3C1F"/>
    <w:rsid w:val="007E6404"/>
    <w:rsid w:val="007E713A"/>
    <w:rsid w:val="007E72D8"/>
    <w:rsid w:val="007E7D8D"/>
    <w:rsid w:val="007F04E1"/>
    <w:rsid w:val="007F251E"/>
    <w:rsid w:val="007F3B1A"/>
    <w:rsid w:val="007F41A5"/>
    <w:rsid w:val="007F4B1A"/>
    <w:rsid w:val="007F4D36"/>
    <w:rsid w:val="007F5353"/>
    <w:rsid w:val="007F753A"/>
    <w:rsid w:val="00800614"/>
    <w:rsid w:val="00801763"/>
    <w:rsid w:val="00801A97"/>
    <w:rsid w:val="00802A86"/>
    <w:rsid w:val="00804430"/>
    <w:rsid w:val="00804E6A"/>
    <w:rsid w:val="0080626D"/>
    <w:rsid w:val="008062A1"/>
    <w:rsid w:val="00807488"/>
    <w:rsid w:val="008074C6"/>
    <w:rsid w:val="00810E19"/>
    <w:rsid w:val="00811201"/>
    <w:rsid w:val="00811606"/>
    <w:rsid w:val="008122D8"/>
    <w:rsid w:val="00813104"/>
    <w:rsid w:val="00813DD2"/>
    <w:rsid w:val="00814048"/>
    <w:rsid w:val="008142C9"/>
    <w:rsid w:val="008151BF"/>
    <w:rsid w:val="008153ED"/>
    <w:rsid w:val="00815590"/>
    <w:rsid w:val="00815A2A"/>
    <w:rsid w:val="008163F9"/>
    <w:rsid w:val="0081669C"/>
    <w:rsid w:val="00817767"/>
    <w:rsid w:val="0081780B"/>
    <w:rsid w:val="00817C10"/>
    <w:rsid w:val="00822CBB"/>
    <w:rsid w:val="00824FB5"/>
    <w:rsid w:val="00825B1C"/>
    <w:rsid w:val="00826D8B"/>
    <w:rsid w:val="008303F1"/>
    <w:rsid w:val="0083143C"/>
    <w:rsid w:val="00831B40"/>
    <w:rsid w:val="00833D85"/>
    <w:rsid w:val="008360AB"/>
    <w:rsid w:val="00836B18"/>
    <w:rsid w:val="00837167"/>
    <w:rsid w:val="0084002B"/>
    <w:rsid w:val="00841451"/>
    <w:rsid w:val="008414CE"/>
    <w:rsid w:val="008449EF"/>
    <w:rsid w:val="00844C7C"/>
    <w:rsid w:val="0084505B"/>
    <w:rsid w:val="00845240"/>
    <w:rsid w:val="00847526"/>
    <w:rsid w:val="00847765"/>
    <w:rsid w:val="008478F6"/>
    <w:rsid w:val="00847A33"/>
    <w:rsid w:val="00851E00"/>
    <w:rsid w:val="008525A8"/>
    <w:rsid w:val="0085271B"/>
    <w:rsid w:val="00852DCD"/>
    <w:rsid w:val="00853364"/>
    <w:rsid w:val="0085490B"/>
    <w:rsid w:val="00854E0A"/>
    <w:rsid w:val="008552E4"/>
    <w:rsid w:val="00856D70"/>
    <w:rsid w:val="00856DBA"/>
    <w:rsid w:val="00856F6C"/>
    <w:rsid w:val="00857887"/>
    <w:rsid w:val="008601F6"/>
    <w:rsid w:val="00860565"/>
    <w:rsid w:val="00860900"/>
    <w:rsid w:val="00860F5A"/>
    <w:rsid w:val="008615AC"/>
    <w:rsid w:val="00861A14"/>
    <w:rsid w:val="00861B6E"/>
    <w:rsid w:val="0086406F"/>
    <w:rsid w:val="00864EA9"/>
    <w:rsid w:val="0086698C"/>
    <w:rsid w:val="00867EFB"/>
    <w:rsid w:val="00870760"/>
    <w:rsid w:val="00870FAB"/>
    <w:rsid w:val="008714C1"/>
    <w:rsid w:val="00872255"/>
    <w:rsid w:val="008728B6"/>
    <w:rsid w:val="00872AED"/>
    <w:rsid w:val="0087347B"/>
    <w:rsid w:val="008742C9"/>
    <w:rsid w:val="0087575A"/>
    <w:rsid w:val="008779BD"/>
    <w:rsid w:val="008817B6"/>
    <w:rsid w:val="00881D02"/>
    <w:rsid w:val="00881EB3"/>
    <w:rsid w:val="0088261E"/>
    <w:rsid w:val="00883739"/>
    <w:rsid w:val="008837EF"/>
    <w:rsid w:val="00884CBD"/>
    <w:rsid w:val="008853F1"/>
    <w:rsid w:val="008873F9"/>
    <w:rsid w:val="00887574"/>
    <w:rsid w:val="0088763D"/>
    <w:rsid w:val="008876EC"/>
    <w:rsid w:val="0089058B"/>
    <w:rsid w:val="00890A6F"/>
    <w:rsid w:val="00892012"/>
    <w:rsid w:val="008923E7"/>
    <w:rsid w:val="008939A5"/>
    <w:rsid w:val="00894B9B"/>
    <w:rsid w:val="00894D4C"/>
    <w:rsid w:val="00896F9B"/>
    <w:rsid w:val="008975B0"/>
    <w:rsid w:val="008A0930"/>
    <w:rsid w:val="008A1E41"/>
    <w:rsid w:val="008A27B5"/>
    <w:rsid w:val="008A3012"/>
    <w:rsid w:val="008A42A1"/>
    <w:rsid w:val="008A43A6"/>
    <w:rsid w:val="008A543F"/>
    <w:rsid w:val="008A5692"/>
    <w:rsid w:val="008A598E"/>
    <w:rsid w:val="008A5FE9"/>
    <w:rsid w:val="008A6233"/>
    <w:rsid w:val="008A63DC"/>
    <w:rsid w:val="008B1B86"/>
    <w:rsid w:val="008B2879"/>
    <w:rsid w:val="008B2ACD"/>
    <w:rsid w:val="008B2CDA"/>
    <w:rsid w:val="008B2F91"/>
    <w:rsid w:val="008B3788"/>
    <w:rsid w:val="008B3ADA"/>
    <w:rsid w:val="008B78BA"/>
    <w:rsid w:val="008B7D3E"/>
    <w:rsid w:val="008C06FA"/>
    <w:rsid w:val="008C0871"/>
    <w:rsid w:val="008C111B"/>
    <w:rsid w:val="008C2EC3"/>
    <w:rsid w:val="008C3E4B"/>
    <w:rsid w:val="008C47DF"/>
    <w:rsid w:val="008C4C1D"/>
    <w:rsid w:val="008C4FBC"/>
    <w:rsid w:val="008C50A1"/>
    <w:rsid w:val="008C5388"/>
    <w:rsid w:val="008C5B24"/>
    <w:rsid w:val="008C6E25"/>
    <w:rsid w:val="008D0B51"/>
    <w:rsid w:val="008D127E"/>
    <w:rsid w:val="008D13BF"/>
    <w:rsid w:val="008D1EE6"/>
    <w:rsid w:val="008D25B2"/>
    <w:rsid w:val="008D2F05"/>
    <w:rsid w:val="008D31E6"/>
    <w:rsid w:val="008D3BB6"/>
    <w:rsid w:val="008D47FE"/>
    <w:rsid w:val="008D66C4"/>
    <w:rsid w:val="008D6BCC"/>
    <w:rsid w:val="008D6DD4"/>
    <w:rsid w:val="008D7B12"/>
    <w:rsid w:val="008D7C6A"/>
    <w:rsid w:val="008E008B"/>
    <w:rsid w:val="008E025F"/>
    <w:rsid w:val="008E0F92"/>
    <w:rsid w:val="008E177D"/>
    <w:rsid w:val="008E2B84"/>
    <w:rsid w:val="008E2CA1"/>
    <w:rsid w:val="008E30E8"/>
    <w:rsid w:val="008E5566"/>
    <w:rsid w:val="008E66D4"/>
    <w:rsid w:val="008E7097"/>
    <w:rsid w:val="008E7FB9"/>
    <w:rsid w:val="008F09FD"/>
    <w:rsid w:val="008F0BAA"/>
    <w:rsid w:val="008F15CD"/>
    <w:rsid w:val="008F1706"/>
    <w:rsid w:val="008F3950"/>
    <w:rsid w:val="008F414E"/>
    <w:rsid w:val="008F5AD5"/>
    <w:rsid w:val="008F5D32"/>
    <w:rsid w:val="00900E7A"/>
    <w:rsid w:val="00901F87"/>
    <w:rsid w:val="00903013"/>
    <w:rsid w:val="00903237"/>
    <w:rsid w:val="00904BD6"/>
    <w:rsid w:val="00905721"/>
    <w:rsid w:val="009057B4"/>
    <w:rsid w:val="00905D9B"/>
    <w:rsid w:val="009071A2"/>
    <w:rsid w:val="00907275"/>
    <w:rsid w:val="009077A8"/>
    <w:rsid w:val="00907A12"/>
    <w:rsid w:val="00911F86"/>
    <w:rsid w:val="009130F9"/>
    <w:rsid w:val="009145D6"/>
    <w:rsid w:val="00915748"/>
    <w:rsid w:val="00916C35"/>
    <w:rsid w:val="00916D63"/>
    <w:rsid w:val="00917478"/>
    <w:rsid w:val="00917521"/>
    <w:rsid w:val="00920604"/>
    <w:rsid w:val="009207AE"/>
    <w:rsid w:val="00920C91"/>
    <w:rsid w:val="00920CFD"/>
    <w:rsid w:val="00921BA9"/>
    <w:rsid w:val="00922305"/>
    <w:rsid w:val="00922C15"/>
    <w:rsid w:val="00923334"/>
    <w:rsid w:val="00923C1D"/>
    <w:rsid w:val="00923F1F"/>
    <w:rsid w:val="00924ABB"/>
    <w:rsid w:val="0092605A"/>
    <w:rsid w:val="009267EC"/>
    <w:rsid w:val="009270DC"/>
    <w:rsid w:val="009273AA"/>
    <w:rsid w:val="00927EFA"/>
    <w:rsid w:val="00930431"/>
    <w:rsid w:val="00931BBD"/>
    <w:rsid w:val="00931DA5"/>
    <w:rsid w:val="0093316A"/>
    <w:rsid w:val="009337AB"/>
    <w:rsid w:val="00933E46"/>
    <w:rsid w:val="00934014"/>
    <w:rsid w:val="009340D5"/>
    <w:rsid w:val="00934630"/>
    <w:rsid w:val="00934CAD"/>
    <w:rsid w:val="009359CA"/>
    <w:rsid w:val="00935AC8"/>
    <w:rsid w:val="00940EF3"/>
    <w:rsid w:val="00941FD7"/>
    <w:rsid w:val="0094291F"/>
    <w:rsid w:val="00943B50"/>
    <w:rsid w:val="00943ECC"/>
    <w:rsid w:val="00945426"/>
    <w:rsid w:val="00945DC2"/>
    <w:rsid w:val="009462FF"/>
    <w:rsid w:val="00950013"/>
    <w:rsid w:val="00950516"/>
    <w:rsid w:val="00951552"/>
    <w:rsid w:val="0095182A"/>
    <w:rsid w:val="009519F1"/>
    <w:rsid w:val="00951FD7"/>
    <w:rsid w:val="00952F22"/>
    <w:rsid w:val="00953691"/>
    <w:rsid w:val="00953BA7"/>
    <w:rsid w:val="0095410A"/>
    <w:rsid w:val="0095469C"/>
    <w:rsid w:val="009570E2"/>
    <w:rsid w:val="00957890"/>
    <w:rsid w:val="00957CD0"/>
    <w:rsid w:val="00960B0A"/>
    <w:rsid w:val="00962010"/>
    <w:rsid w:val="009626B5"/>
    <w:rsid w:val="00962A69"/>
    <w:rsid w:val="00963189"/>
    <w:rsid w:val="00963E0F"/>
    <w:rsid w:val="009662BC"/>
    <w:rsid w:val="009672F0"/>
    <w:rsid w:val="009707C3"/>
    <w:rsid w:val="00973671"/>
    <w:rsid w:val="00973874"/>
    <w:rsid w:val="00973EF9"/>
    <w:rsid w:val="00974AED"/>
    <w:rsid w:val="00974F81"/>
    <w:rsid w:val="00975AAE"/>
    <w:rsid w:val="009761D6"/>
    <w:rsid w:val="00976722"/>
    <w:rsid w:val="00980613"/>
    <w:rsid w:val="00980679"/>
    <w:rsid w:val="009807F6"/>
    <w:rsid w:val="00980BD2"/>
    <w:rsid w:val="00980F54"/>
    <w:rsid w:val="00981299"/>
    <w:rsid w:val="00982F4B"/>
    <w:rsid w:val="009838B1"/>
    <w:rsid w:val="0098492A"/>
    <w:rsid w:val="0098501F"/>
    <w:rsid w:val="00985609"/>
    <w:rsid w:val="0098570C"/>
    <w:rsid w:val="00985E85"/>
    <w:rsid w:val="0098623F"/>
    <w:rsid w:val="009870C2"/>
    <w:rsid w:val="009871F9"/>
    <w:rsid w:val="00990170"/>
    <w:rsid w:val="009907ED"/>
    <w:rsid w:val="0099149A"/>
    <w:rsid w:val="009919F4"/>
    <w:rsid w:val="00992005"/>
    <w:rsid w:val="00992BDA"/>
    <w:rsid w:val="00992C18"/>
    <w:rsid w:val="0099373F"/>
    <w:rsid w:val="00993E67"/>
    <w:rsid w:val="00993F57"/>
    <w:rsid w:val="00994AB4"/>
    <w:rsid w:val="00996830"/>
    <w:rsid w:val="0099709D"/>
    <w:rsid w:val="009A0532"/>
    <w:rsid w:val="009A0723"/>
    <w:rsid w:val="009A0857"/>
    <w:rsid w:val="009A0A65"/>
    <w:rsid w:val="009A0F06"/>
    <w:rsid w:val="009A1158"/>
    <w:rsid w:val="009A3FCC"/>
    <w:rsid w:val="009A4598"/>
    <w:rsid w:val="009A52BC"/>
    <w:rsid w:val="009A52E5"/>
    <w:rsid w:val="009A61D0"/>
    <w:rsid w:val="009A626C"/>
    <w:rsid w:val="009A63B1"/>
    <w:rsid w:val="009A657A"/>
    <w:rsid w:val="009A71CB"/>
    <w:rsid w:val="009A7DCD"/>
    <w:rsid w:val="009B072E"/>
    <w:rsid w:val="009B093A"/>
    <w:rsid w:val="009B38B3"/>
    <w:rsid w:val="009B5614"/>
    <w:rsid w:val="009B5808"/>
    <w:rsid w:val="009B63A7"/>
    <w:rsid w:val="009B792C"/>
    <w:rsid w:val="009C1A21"/>
    <w:rsid w:val="009C2103"/>
    <w:rsid w:val="009C34B3"/>
    <w:rsid w:val="009C41C0"/>
    <w:rsid w:val="009C59A8"/>
    <w:rsid w:val="009C5E3B"/>
    <w:rsid w:val="009D01A8"/>
    <w:rsid w:val="009D074B"/>
    <w:rsid w:val="009D098A"/>
    <w:rsid w:val="009D0E08"/>
    <w:rsid w:val="009D17E5"/>
    <w:rsid w:val="009D2E64"/>
    <w:rsid w:val="009D447C"/>
    <w:rsid w:val="009D4EE3"/>
    <w:rsid w:val="009D5EE3"/>
    <w:rsid w:val="009D627E"/>
    <w:rsid w:val="009E0829"/>
    <w:rsid w:val="009E0A4B"/>
    <w:rsid w:val="009E0E11"/>
    <w:rsid w:val="009E1042"/>
    <w:rsid w:val="009E1526"/>
    <w:rsid w:val="009E1C93"/>
    <w:rsid w:val="009E2010"/>
    <w:rsid w:val="009E20C0"/>
    <w:rsid w:val="009E3846"/>
    <w:rsid w:val="009E3D97"/>
    <w:rsid w:val="009E452B"/>
    <w:rsid w:val="009E475F"/>
    <w:rsid w:val="009E54A8"/>
    <w:rsid w:val="009E669F"/>
    <w:rsid w:val="009E6F14"/>
    <w:rsid w:val="009E7B98"/>
    <w:rsid w:val="009F0783"/>
    <w:rsid w:val="009F09E3"/>
    <w:rsid w:val="009F0DBE"/>
    <w:rsid w:val="009F1242"/>
    <w:rsid w:val="009F13FD"/>
    <w:rsid w:val="009F1925"/>
    <w:rsid w:val="009F1C94"/>
    <w:rsid w:val="009F1D7C"/>
    <w:rsid w:val="009F2C02"/>
    <w:rsid w:val="009F452A"/>
    <w:rsid w:val="009F4E57"/>
    <w:rsid w:val="009F56E2"/>
    <w:rsid w:val="009F711D"/>
    <w:rsid w:val="009F758B"/>
    <w:rsid w:val="009F7BCF"/>
    <w:rsid w:val="00A00AD9"/>
    <w:rsid w:val="00A01040"/>
    <w:rsid w:val="00A01C0C"/>
    <w:rsid w:val="00A02A68"/>
    <w:rsid w:val="00A06239"/>
    <w:rsid w:val="00A06A3D"/>
    <w:rsid w:val="00A073B3"/>
    <w:rsid w:val="00A10ACF"/>
    <w:rsid w:val="00A11CF3"/>
    <w:rsid w:val="00A11DAD"/>
    <w:rsid w:val="00A127DD"/>
    <w:rsid w:val="00A12B18"/>
    <w:rsid w:val="00A133EB"/>
    <w:rsid w:val="00A14073"/>
    <w:rsid w:val="00A159FA"/>
    <w:rsid w:val="00A16221"/>
    <w:rsid w:val="00A164BF"/>
    <w:rsid w:val="00A1741C"/>
    <w:rsid w:val="00A17481"/>
    <w:rsid w:val="00A2080B"/>
    <w:rsid w:val="00A21092"/>
    <w:rsid w:val="00A2170A"/>
    <w:rsid w:val="00A2183D"/>
    <w:rsid w:val="00A21E6F"/>
    <w:rsid w:val="00A22A33"/>
    <w:rsid w:val="00A235A9"/>
    <w:rsid w:val="00A23E5A"/>
    <w:rsid w:val="00A25330"/>
    <w:rsid w:val="00A257DC"/>
    <w:rsid w:val="00A26197"/>
    <w:rsid w:val="00A30DAF"/>
    <w:rsid w:val="00A3173E"/>
    <w:rsid w:val="00A31A8F"/>
    <w:rsid w:val="00A32580"/>
    <w:rsid w:val="00A32AFB"/>
    <w:rsid w:val="00A32D6B"/>
    <w:rsid w:val="00A32E37"/>
    <w:rsid w:val="00A34304"/>
    <w:rsid w:val="00A350C4"/>
    <w:rsid w:val="00A3560B"/>
    <w:rsid w:val="00A36605"/>
    <w:rsid w:val="00A37B5C"/>
    <w:rsid w:val="00A37F6C"/>
    <w:rsid w:val="00A408CA"/>
    <w:rsid w:val="00A40C8A"/>
    <w:rsid w:val="00A42EEA"/>
    <w:rsid w:val="00A44108"/>
    <w:rsid w:val="00A44184"/>
    <w:rsid w:val="00A4523C"/>
    <w:rsid w:val="00A45DE1"/>
    <w:rsid w:val="00A46188"/>
    <w:rsid w:val="00A4791B"/>
    <w:rsid w:val="00A47978"/>
    <w:rsid w:val="00A47F9A"/>
    <w:rsid w:val="00A50040"/>
    <w:rsid w:val="00A5015C"/>
    <w:rsid w:val="00A508DC"/>
    <w:rsid w:val="00A50D66"/>
    <w:rsid w:val="00A5214F"/>
    <w:rsid w:val="00A5262B"/>
    <w:rsid w:val="00A55172"/>
    <w:rsid w:val="00A57E90"/>
    <w:rsid w:val="00A60233"/>
    <w:rsid w:val="00A6058E"/>
    <w:rsid w:val="00A60F62"/>
    <w:rsid w:val="00A6257C"/>
    <w:rsid w:val="00A6493F"/>
    <w:rsid w:val="00A6528E"/>
    <w:rsid w:val="00A65E28"/>
    <w:rsid w:val="00A65E61"/>
    <w:rsid w:val="00A65FA6"/>
    <w:rsid w:val="00A66863"/>
    <w:rsid w:val="00A66917"/>
    <w:rsid w:val="00A678B2"/>
    <w:rsid w:val="00A67CFC"/>
    <w:rsid w:val="00A67E84"/>
    <w:rsid w:val="00A67ED7"/>
    <w:rsid w:val="00A705A3"/>
    <w:rsid w:val="00A7061D"/>
    <w:rsid w:val="00A709DC"/>
    <w:rsid w:val="00A71AA0"/>
    <w:rsid w:val="00A72C8B"/>
    <w:rsid w:val="00A741C4"/>
    <w:rsid w:val="00A74460"/>
    <w:rsid w:val="00A7562C"/>
    <w:rsid w:val="00A7610F"/>
    <w:rsid w:val="00A76260"/>
    <w:rsid w:val="00A77560"/>
    <w:rsid w:val="00A806BB"/>
    <w:rsid w:val="00A8172E"/>
    <w:rsid w:val="00A81D31"/>
    <w:rsid w:val="00A82AF5"/>
    <w:rsid w:val="00A82FA3"/>
    <w:rsid w:val="00A83C91"/>
    <w:rsid w:val="00A84638"/>
    <w:rsid w:val="00A85269"/>
    <w:rsid w:val="00A85934"/>
    <w:rsid w:val="00A85B6F"/>
    <w:rsid w:val="00A86331"/>
    <w:rsid w:val="00A8641A"/>
    <w:rsid w:val="00A86EDD"/>
    <w:rsid w:val="00A87B77"/>
    <w:rsid w:val="00A922F0"/>
    <w:rsid w:val="00A926D9"/>
    <w:rsid w:val="00A9310F"/>
    <w:rsid w:val="00A9350A"/>
    <w:rsid w:val="00A93CFA"/>
    <w:rsid w:val="00A9417C"/>
    <w:rsid w:val="00A9419E"/>
    <w:rsid w:val="00A95536"/>
    <w:rsid w:val="00AA002A"/>
    <w:rsid w:val="00AA0A9F"/>
    <w:rsid w:val="00AA12EC"/>
    <w:rsid w:val="00AA1D37"/>
    <w:rsid w:val="00AA2755"/>
    <w:rsid w:val="00AA2815"/>
    <w:rsid w:val="00AA3214"/>
    <w:rsid w:val="00AA3540"/>
    <w:rsid w:val="00AA508A"/>
    <w:rsid w:val="00AA530B"/>
    <w:rsid w:val="00AA589B"/>
    <w:rsid w:val="00AA6C91"/>
    <w:rsid w:val="00AA6E79"/>
    <w:rsid w:val="00AB118B"/>
    <w:rsid w:val="00AB2363"/>
    <w:rsid w:val="00AB34D8"/>
    <w:rsid w:val="00AB3719"/>
    <w:rsid w:val="00AC0638"/>
    <w:rsid w:val="00AC0B45"/>
    <w:rsid w:val="00AC1171"/>
    <w:rsid w:val="00AC2061"/>
    <w:rsid w:val="00AC3246"/>
    <w:rsid w:val="00AC3786"/>
    <w:rsid w:val="00AC39DA"/>
    <w:rsid w:val="00AC3CE2"/>
    <w:rsid w:val="00AC6360"/>
    <w:rsid w:val="00AD01EA"/>
    <w:rsid w:val="00AD01FF"/>
    <w:rsid w:val="00AD1607"/>
    <w:rsid w:val="00AD1AA4"/>
    <w:rsid w:val="00AD1D2C"/>
    <w:rsid w:val="00AD297B"/>
    <w:rsid w:val="00AD38F1"/>
    <w:rsid w:val="00AD43B6"/>
    <w:rsid w:val="00AD5BFB"/>
    <w:rsid w:val="00AD668C"/>
    <w:rsid w:val="00AD7206"/>
    <w:rsid w:val="00AD7ACA"/>
    <w:rsid w:val="00AE0007"/>
    <w:rsid w:val="00AE0C20"/>
    <w:rsid w:val="00AE16E5"/>
    <w:rsid w:val="00AE172D"/>
    <w:rsid w:val="00AE1BB9"/>
    <w:rsid w:val="00AE2CEC"/>
    <w:rsid w:val="00AE3D43"/>
    <w:rsid w:val="00AE3E7B"/>
    <w:rsid w:val="00AE411A"/>
    <w:rsid w:val="00AE67F9"/>
    <w:rsid w:val="00AE6C3E"/>
    <w:rsid w:val="00AE6F3B"/>
    <w:rsid w:val="00AE7B37"/>
    <w:rsid w:val="00AF0A3C"/>
    <w:rsid w:val="00AF0BAA"/>
    <w:rsid w:val="00AF112A"/>
    <w:rsid w:val="00AF15A0"/>
    <w:rsid w:val="00AF171E"/>
    <w:rsid w:val="00AF1A6D"/>
    <w:rsid w:val="00AF34D6"/>
    <w:rsid w:val="00AF3744"/>
    <w:rsid w:val="00AF3934"/>
    <w:rsid w:val="00AF3E66"/>
    <w:rsid w:val="00AF4545"/>
    <w:rsid w:val="00AF4BD8"/>
    <w:rsid w:val="00AF521A"/>
    <w:rsid w:val="00AF5E22"/>
    <w:rsid w:val="00AF6750"/>
    <w:rsid w:val="00AF786E"/>
    <w:rsid w:val="00AF7D59"/>
    <w:rsid w:val="00B01045"/>
    <w:rsid w:val="00B019C0"/>
    <w:rsid w:val="00B02EA8"/>
    <w:rsid w:val="00B03374"/>
    <w:rsid w:val="00B035E9"/>
    <w:rsid w:val="00B03EDC"/>
    <w:rsid w:val="00B04264"/>
    <w:rsid w:val="00B042B0"/>
    <w:rsid w:val="00B053E0"/>
    <w:rsid w:val="00B058BF"/>
    <w:rsid w:val="00B059AC"/>
    <w:rsid w:val="00B06B76"/>
    <w:rsid w:val="00B071F4"/>
    <w:rsid w:val="00B07F3C"/>
    <w:rsid w:val="00B10D1C"/>
    <w:rsid w:val="00B11CEF"/>
    <w:rsid w:val="00B12BA7"/>
    <w:rsid w:val="00B143F9"/>
    <w:rsid w:val="00B14FFC"/>
    <w:rsid w:val="00B154D5"/>
    <w:rsid w:val="00B15D9A"/>
    <w:rsid w:val="00B165DD"/>
    <w:rsid w:val="00B168FA"/>
    <w:rsid w:val="00B16D2C"/>
    <w:rsid w:val="00B20636"/>
    <w:rsid w:val="00B21746"/>
    <w:rsid w:val="00B21978"/>
    <w:rsid w:val="00B224F4"/>
    <w:rsid w:val="00B22AC2"/>
    <w:rsid w:val="00B22D6C"/>
    <w:rsid w:val="00B23D0C"/>
    <w:rsid w:val="00B2568F"/>
    <w:rsid w:val="00B25B82"/>
    <w:rsid w:val="00B25BFA"/>
    <w:rsid w:val="00B25F55"/>
    <w:rsid w:val="00B26532"/>
    <w:rsid w:val="00B26E54"/>
    <w:rsid w:val="00B2717C"/>
    <w:rsid w:val="00B275CA"/>
    <w:rsid w:val="00B27F7C"/>
    <w:rsid w:val="00B30B47"/>
    <w:rsid w:val="00B338E1"/>
    <w:rsid w:val="00B346B3"/>
    <w:rsid w:val="00B37155"/>
    <w:rsid w:val="00B371E4"/>
    <w:rsid w:val="00B40253"/>
    <w:rsid w:val="00B40858"/>
    <w:rsid w:val="00B41825"/>
    <w:rsid w:val="00B419AC"/>
    <w:rsid w:val="00B4234E"/>
    <w:rsid w:val="00B42929"/>
    <w:rsid w:val="00B42AA5"/>
    <w:rsid w:val="00B44117"/>
    <w:rsid w:val="00B444BD"/>
    <w:rsid w:val="00B447FB"/>
    <w:rsid w:val="00B44F42"/>
    <w:rsid w:val="00B45635"/>
    <w:rsid w:val="00B46CD9"/>
    <w:rsid w:val="00B4736B"/>
    <w:rsid w:val="00B474F6"/>
    <w:rsid w:val="00B504DF"/>
    <w:rsid w:val="00B5190F"/>
    <w:rsid w:val="00B52793"/>
    <w:rsid w:val="00B52D55"/>
    <w:rsid w:val="00B52EE4"/>
    <w:rsid w:val="00B53858"/>
    <w:rsid w:val="00B55835"/>
    <w:rsid w:val="00B55C6B"/>
    <w:rsid w:val="00B55DB4"/>
    <w:rsid w:val="00B56640"/>
    <w:rsid w:val="00B56AA3"/>
    <w:rsid w:val="00B578FE"/>
    <w:rsid w:val="00B57D71"/>
    <w:rsid w:val="00B62D0D"/>
    <w:rsid w:val="00B634F6"/>
    <w:rsid w:val="00B638AF"/>
    <w:rsid w:val="00B643E7"/>
    <w:rsid w:val="00B66CB3"/>
    <w:rsid w:val="00B66F80"/>
    <w:rsid w:val="00B67A67"/>
    <w:rsid w:val="00B67F1F"/>
    <w:rsid w:val="00B71D14"/>
    <w:rsid w:val="00B72E6B"/>
    <w:rsid w:val="00B73B07"/>
    <w:rsid w:val="00B74B36"/>
    <w:rsid w:val="00B74DB2"/>
    <w:rsid w:val="00B74FCE"/>
    <w:rsid w:val="00B75A45"/>
    <w:rsid w:val="00B75AF0"/>
    <w:rsid w:val="00B76808"/>
    <w:rsid w:val="00B76A03"/>
    <w:rsid w:val="00B773EA"/>
    <w:rsid w:val="00B779AE"/>
    <w:rsid w:val="00B81E84"/>
    <w:rsid w:val="00B82554"/>
    <w:rsid w:val="00B83AA1"/>
    <w:rsid w:val="00B83D7D"/>
    <w:rsid w:val="00B84AB8"/>
    <w:rsid w:val="00B858B8"/>
    <w:rsid w:val="00B85A86"/>
    <w:rsid w:val="00B86593"/>
    <w:rsid w:val="00B86ED7"/>
    <w:rsid w:val="00B87555"/>
    <w:rsid w:val="00B87F5B"/>
    <w:rsid w:val="00B9152B"/>
    <w:rsid w:val="00B91BA2"/>
    <w:rsid w:val="00B91E53"/>
    <w:rsid w:val="00B92A84"/>
    <w:rsid w:val="00B93286"/>
    <w:rsid w:val="00B940EA"/>
    <w:rsid w:val="00B94A13"/>
    <w:rsid w:val="00B950B4"/>
    <w:rsid w:val="00B952C9"/>
    <w:rsid w:val="00B96954"/>
    <w:rsid w:val="00B9799D"/>
    <w:rsid w:val="00BA057A"/>
    <w:rsid w:val="00BA1D95"/>
    <w:rsid w:val="00BA2602"/>
    <w:rsid w:val="00BA2AF5"/>
    <w:rsid w:val="00BA5705"/>
    <w:rsid w:val="00BA5737"/>
    <w:rsid w:val="00BA5854"/>
    <w:rsid w:val="00BA6119"/>
    <w:rsid w:val="00BA671A"/>
    <w:rsid w:val="00BB08ED"/>
    <w:rsid w:val="00BB12F2"/>
    <w:rsid w:val="00BB1C9A"/>
    <w:rsid w:val="00BB206F"/>
    <w:rsid w:val="00BB339C"/>
    <w:rsid w:val="00BB40C5"/>
    <w:rsid w:val="00BB4278"/>
    <w:rsid w:val="00BB53F6"/>
    <w:rsid w:val="00BB5755"/>
    <w:rsid w:val="00BB5A8A"/>
    <w:rsid w:val="00BB70DC"/>
    <w:rsid w:val="00BC0106"/>
    <w:rsid w:val="00BC081B"/>
    <w:rsid w:val="00BC0B9A"/>
    <w:rsid w:val="00BC0FEE"/>
    <w:rsid w:val="00BC1187"/>
    <w:rsid w:val="00BC1CD7"/>
    <w:rsid w:val="00BC27A1"/>
    <w:rsid w:val="00BC2A26"/>
    <w:rsid w:val="00BC2FF0"/>
    <w:rsid w:val="00BC365E"/>
    <w:rsid w:val="00BC4034"/>
    <w:rsid w:val="00BC459F"/>
    <w:rsid w:val="00BC4ABD"/>
    <w:rsid w:val="00BC4AD7"/>
    <w:rsid w:val="00BC670B"/>
    <w:rsid w:val="00BC6CDC"/>
    <w:rsid w:val="00BC6E5C"/>
    <w:rsid w:val="00BC70F3"/>
    <w:rsid w:val="00BC77E4"/>
    <w:rsid w:val="00BD061D"/>
    <w:rsid w:val="00BD0704"/>
    <w:rsid w:val="00BD07C6"/>
    <w:rsid w:val="00BD2401"/>
    <w:rsid w:val="00BD2EB2"/>
    <w:rsid w:val="00BD3526"/>
    <w:rsid w:val="00BD3532"/>
    <w:rsid w:val="00BD4BEC"/>
    <w:rsid w:val="00BD4D83"/>
    <w:rsid w:val="00BD50DB"/>
    <w:rsid w:val="00BD584A"/>
    <w:rsid w:val="00BD6915"/>
    <w:rsid w:val="00BD73B2"/>
    <w:rsid w:val="00BD74D7"/>
    <w:rsid w:val="00BD7ABC"/>
    <w:rsid w:val="00BE048C"/>
    <w:rsid w:val="00BE0C1B"/>
    <w:rsid w:val="00BE1800"/>
    <w:rsid w:val="00BE1D8E"/>
    <w:rsid w:val="00BE2755"/>
    <w:rsid w:val="00BE2842"/>
    <w:rsid w:val="00BE2866"/>
    <w:rsid w:val="00BE36C9"/>
    <w:rsid w:val="00BE46B8"/>
    <w:rsid w:val="00BE4A83"/>
    <w:rsid w:val="00BE4EF3"/>
    <w:rsid w:val="00BF0AB8"/>
    <w:rsid w:val="00BF0E27"/>
    <w:rsid w:val="00BF1031"/>
    <w:rsid w:val="00BF153A"/>
    <w:rsid w:val="00BF1558"/>
    <w:rsid w:val="00BF1E7E"/>
    <w:rsid w:val="00BF27F8"/>
    <w:rsid w:val="00BF2C24"/>
    <w:rsid w:val="00BF2E85"/>
    <w:rsid w:val="00BF32DB"/>
    <w:rsid w:val="00BF43F2"/>
    <w:rsid w:val="00BF457E"/>
    <w:rsid w:val="00BF4856"/>
    <w:rsid w:val="00BF7CA5"/>
    <w:rsid w:val="00BF7FB8"/>
    <w:rsid w:val="00C00121"/>
    <w:rsid w:val="00C00C9D"/>
    <w:rsid w:val="00C0124F"/>
    <w:rsid w:val="00C01656"/>
    <w:rsid w:val="00C0293F"/>
    <w:rsid w:val="00C03DEB"/>
    <w:rsid w:val="00C0420E"/>
    <w:rsid w:val="00C04615"/>
    <w:rsid w:val="00C04AD6"/>
    <w:rsid w:val="00C056A2"/>
    <w:rsid w:val="00C05B1F"/>
    <w:rsid w:val="00C105D1"/>
    <w:rsid w:val="00C10616"/>
    <w:rsid w:val="00C10799"/>
    <w:rsid w:val="00C10E01"/>
    <w:rsid w:val="00C1114C"/>
    <w:rsid w:val="00C13B2C"/>
    <w:rsid w:val="00C13FD5"/>
    <w:rsid w:val="00C15024"/>
    <w:rsid w:val="00C16124"/>
    <w:rsid w:val="00C1675B"/>
    <w:rsid w:val="00C17D06"/>
    <w:rsid w:val="00C17E27"/>
    <w:rsid w:val="00C204B6"/>
    <w:rsid w:val="00C205D5"/>
    <w:rsid w:val="00C2076B"/>
    <w:rsid w:val="00C20B65"/>
    <w:rsid w:val="00C215A3"/>
    <w:rsid w:val="00C21780"/>
    <w:rsid w:val="00C217E8"/>
    <w:rsid w:val="00C22A84"/>
    <w:rsid w:val="00C22AD6"/>
    <w:rsid w:val="00C2363D"/>
    <w:rsid w:val="00C238E2"/>
    <w:rsid w:val="00C25673"/>
    <w:rsid w:val="00C25DC1"/>
    <w:rsid w:val="00C26678"/>
    <w:rsid w:val="00C26B66"/>
    <w:rsid w:val="00C27402"/>
    <w:rsid w:val="00C27FE1"/>
    <w:rsid w:val="00C3096F"/>
    <w:rsid w:val="00C309A2"/>
    <w:rsid w:val="00C31431"/>
    <w:rsid w:val="00C31BB8"/>
    <w:rsid w:val="00C32554"/>
    <w:rsid w:val="00C3256D"/>
    <w:rsid w:val="00C34E94"/>
    <w:rsid w:val="00C35C43"/>
    <w:rsid w:val="00C35EC9"/>
    <w:rsid w:val="00C36A2D"/>
    <w:rsid w:val="00C36C08"/>
    <w:rsid w:val="00C37D58"/>
    <w:rsid w:val="00C40612"/>
    <w:rsid w:val="00C422C1"/>
    <w:rsid w:val="00C423F3"/>
    <w:rsid w:val="00C469C5"/>
    <w:rsid w:val="00C473E5"/>
    <w:rsid w:val="00C47637"/>
    <w:rsid w:val="00C50252"/>
    <w:rsid w:val="00C518CB"/>
    <w:rsid w:val="00C5223C"/>
    <w:rsid w:val="00C52448"/>
    <w:rsid w:val="00C52D6E"/>
    <w:rsid w:val="00C53770"/>
    <w:rsid w:val="00C54C11"/>
    <w:rsid w:val="00C5503F"/>
    <w:rsid w:val="00C556C6"/>
    <w:rsid w:val="00C5588B"/>
    <w:rsid w:val="00C5710F"/>
    <w:rsid w:val="00C57C9D"/>
    <w:rsid w:val="00C60AC9"/>
    <w:rsid w:val="00C61534"/>
    <w:rsid w:val="00C638C3"/>
    <w:rsid w:val="00C63B3E"/>
    <w:rsid w:val="00C64ABF"/>
    <w:rsid w:val="00C66D76"/>
    <w:rsid w:val="00C70A2A"/>
    <w:rsid w:val="00C71AD5"/>
    <w:rsid w:val="00C7248E"/>
    <w:rsid w:val="00C73FEB"/>
    <w:rsid w:val="00C744BB"/>
    <w:rsid w:val="00C74C67"/>
    <w:rsid w:val="00C750F6"/>
    <w:rsid w:val="00C75F12"/>
    <w:rsid w:val="00C77104"/>
    <w:rsid w:val="00C806F2"/>
    <w:rsid w:val="00C81A50"/>
    <w:rsid w:val="00C83E3F"/>
    <w:rsid w:val="00C84239"/>
    <w:rsid w:val="00C84A58"/>
    <w:rsid w:val="00C84D08"/>
    <w:rsid w:val="00C864E6"/>
    <w:rsid w:val="00C901F9"/>
    <w:rsid w:val="00C91F80"/>
    <w:rsid w:val="00C92FA7"/>
    <w:rsid w:val="00C93408"/>
    <w:rsid w:val="00C9411A"/>
    <w:rsid w:val="00C947AE"/>
    <w:rsid w:val="00C94F91"/>
    <w:rsid w:val="00C94FAC"/>
    <w:rsid w:val="00C95C2C"/>
    <w:rsid w:val="00CA0375"/>
    <w:rsid w:val="00CA0EF6"/>
    <w:rsid w:val="00CA1ED0"/>
    <w:rsid w:val="00CA2E3F"/>
    <w:rsid w:val="00CA498A"/>
    <w:rsid w:val="00CA5893"/>
    <w:rsid w:val="00CA5D92"/>
    <w:rsid w:val="00CA6C9A"/>
    <w:rsid w:val="00CA72DA"/>
    <w:rsid w:val="00CA7686"/>
    <w:rsid w:val="00CB1C0D"/>
    <w:rsid w:val="00CB2F6D"/>
    <w:rsid w:val="00CB3E43"/>
    <w:rsid w:val="00CB503E"/>
    <w:rsid w:val="00CB6478"/>
    <w:rsid w:val="00CB71F2"/>
    <w:rsid w:val="00CC03B6"/>
    <w:rsid w:val="00CC03F9"/>
    <w:rsid w:val="00CC4A2B"/>
    <w:rsid w:val="00CC57DC"/>
    <w:rsid w:val="00CC61F1"/>
    <w:rsid w:val="00CC62E0"/>
    <w:rsid w:val="00CC6D85"/>
    <w:rsid w:val="00CC754E"/>
    <w:rsid w:val="00CD08C1"/>
    <w:rsid w:val="00CD15CD"/>
    <w:rsid w:val="00CD20C5"/>
    <w:rsid w:val="00CD2659"/>
    <w:rsid w:val="00CD33A4"/>
    <w:rsid w:val="00CD3EEE"/>
    <w:rsid w:val="00CD463E"/>
    <w:rsid w:val="00CD4D86"/>
    <w:rsid w:val="00CD549B"/>
    <w:rsid w:val="00CD5EE0"/>
    <w:rsid w:val="00CD7679"/>
    <w:rsid w:val="00CE0A68"/>
    <w:rsid w:val="00CE3335"/>
    <w:rsid w:val="00CE46D0"/>
    <w:rsid w:val="00CE4853"/>
    <w:rsid w:val="00CE578B"/>
    <w:rsid w:val="00CE5ABA"/>
    <w:rsid w:val="00CE72AE"/>
    <w:rsid w:val="00CE7335"/>
    <w:rsid w:val="00CE75EE"/>
    <w:rsid w:val="00CF027A"/>
    <w:rsid w:val="00CF1205"/>
    <w:rsid w:val="00CF1257"/>
    <w:rsid w:val="00CF14C1"/>
    <w:rsid w:val="00CF2945"/>
    <w:rsid w:val="00CF3DEF"/>
    <w:rsid w:val="00CF418E"/>
    <w:rsid w:val="00CF4481"/>
    <w:rsid w:val="00CF4BC0"/>
    <w:rsid w:val="00CF5768"/>
    <w:rsid w:val="00CF6294"/>
    <w:rsid w:val="00CF638B"/>
    <w:rsid w:val="00CF73CC"/>
    <w:rsid w:val="00D008D7"/>
    <w:rsid w:val="00D00D6E"/>
    <w:rsid w:val="00D02113"/>
    <w:rsid w:val="00D022F8"/>
    <w:rsid w:val="00D045C1"/>
    <w:rsid w:val="00D051F3"/>
    <w:rsid w:val="00D05B23"/>
    <w:rsid w:val="00D060CB"/>
    <w:rsid w:val="00D06351"/>
    <w:rsid w:val="00D0636E"/>
    <w:rsid w:val="00D07EAC"/>
    <w:rsid w:val="00D10A4E"/>
    <w:rsid w:val="00D12A8A"/>
    <w:rsid w:val="00D12DB8"/>
    <w:rsid w:val="00D12FEF"/>
    <w:rsid w:val="00D15A43"/>
    <w:rsid w:val="00D1668A"/>
    <w:rsid w:val="00D16690"/>
    <w:rsid w:val="00D16DAA"/>
    <w:rsid w:val="00D17F71"/>
    <w:rsid w:val="00D17FDC"/>
    <w:rsid w:val="00D20388"/>
    <w:rsid w:val="00D21028"/>
    <w:rsid w:val="00D21364"/>
    <w:rsid w:val="00D21437"/>
    <w:rsid w:val="00D22267"/>
    <w:rsid w:val="00D236BF"/>
    <w:rsid w:val="00D23A56"/>
    <w:rsid w:val="00D23B04"/>
    <w:rsid w:val="00D23BF7"/>
    <w:rsid w:val="00D24160"/>
    <w:rsid w:val="00D245C5"/>
    <w:rsid w:val="00D25439"/>
    <w:rsid w:val="00D255F2"/>
    <w:rsid w:val="00D25A15"/>
    <w:rsid w:val="00D27D6A"/>
    <w:rsid w:val="00D27D83"/>
    <w:rsid w:val="00D3143B"/>
    <w:rsid w:val="00D331A1"/>
    <w:rsid w:val="00D33C23"/>
    <w:rsid w:val="00D349EA"/>
    <w:rsid w:val="00D34AD2"/>
    <w:rsid w:val="00D34D62"/>
    <w:rsid w:val="00D34E5D"/>
    <w:rsid w:val="00D35058"/>
    <w:rsid w:val="00D354F5"/>
    <w:rsid w:val="00D355C7"/>
    <w:rsid w:val="00D35CA7"/>
    <w:rsid w:val="00D36908"/>
    <w:rsid w:val="00D36DDA"/>
    <w:rsid w:val="00D37621"/>
    <w:rsid w:val="00D37C98"/>
    <w:rsid w:val="00D40028"/>
    <w:rsid w:val="00D40C0D"/>
    <w:rsid w:val="00D40C39"/>
    <w:rsid w:val="00D40EA9"/>
    <w:rsid w:val="00D411C1"/>
    <w:rsid w:val="00D4304A"/>
    <w:rsid w:val="00D443F7"/>
    <w:rsid w:val="00D44CAC"/>
    <w:rsid w:val="00D4506F"/>
    <w:rsid w:val="00D47B04"/>
    <w:rsid w:val="00D50C2F"/>
    <w:rsid w:val="00D515D9"/>
    <w:rsid w:val="00D51A27"/>
    <w:rsid w:val="00D51CF0"/>
    <w:rsid w:val="00D51F68"/>
    <w:rsid w:val="00D521EF"/>
    <w:rsid w:val="00D52E41"/>
    <w:rsid w:val="00D53B41"/>
    <w:rsid w:val="00D53CC1"/>
    <w:rsid w:val="00D53FB6"/>
    <w:rsid w:val="00D54D83"/>
    <w:rsid w:val="00D562BA"/>
    <w:rsid w:val="00D5705F"/>
    <w:rsid w:val="00D57D71"/>
    <w:rsid w:val="00D6197B"/>
    <w:rsid w:val="00D64389"/>
    <w:rsid w:val="00D66B7C"/>
    <w:rsid w:val="00D70889"/>
    <w:rsid w:val="00D7301C"/>
    <w:rsid w:val="00D73BF2"/>
    <w:rsid w:val="00D74243"/>
    <w:rsid w:val="00D74435"/>
    <w:rsid w:val="00D74F0D"/>
    <w:rsid w:val="00D75CAE"/>
    <w:rsid w:val="00D761EB"/>
    <w:rsid w:val="00D8002E"/>
    <w:rsid w:val="00D81EE5"/>
    <w:rsid w:val="00D824E6"/>
    <w:rsid w:val="00D82714"/>
    <w:rsid w:val="00D8271B"/>
    <w:rsid w:val="00D828EA"/>
    <w:rsid w:val="00D82C79"/>
    <w:rsid w:val="00D82F8B"/>
    <w:rsid w:val="00D83472"/>
    <w:rsid w:val="00D84071"/>
    <w:rsid w:val="00D84171"/>
    <w:rsid w:val="00D8568E"/>
    <w:rsid w:val="00D85D07"/>
    <w:rsid w:val="00D85E93"/>
    <w:rsid w:val="00D86494"/>
    <w:rsid w:val="00D87766"/>
    <w:rsid w:val="00D879A1"/>
    <w:rsid w:val="00D902A2"/>
    <w:rsid w:val="00D9125C"/>
    <w:rsid w:val="00D9288D"/>
    <w:rsid w:val="00D92E8E"/>
    <w:rsid w:val="00D931DF"/>
    <w:rsid w:val="00D93E34"/>
    <w:rsid w:val="00D94381"/>
    <w:rsid w:val="00D946DB"/>
    <w:rsid w:val="00D950AF"/>
    <w:rsid w:val="00D955B8"/>
    <w:rsid w:val="00D95BEF"/>
    <w:rsid w:val="00D961B6"/>
    <w:rsid w:val="00D96A52"/>
    <w:rsid w:val="00D97646"/>
    <w:rsid w:val="00D97900"/>
    <w:rsid w:val="00DA0813"/>
    <w:rsid w:val="00DA3F67"/>
    <w:rsid w:val="00DA52AD"/>
    <w:rsid w:val="00DA5DD9"/>
    <w:rsid w:val="00DA6294"/>
    <w:rsid w:val="00DA682E"/>
    <w:rsid w:val="00DA6A16"/>
    <w:rsid w:val="00DA6C2A"/>
    <w:rsid w:val="00DA784D"/>
    <w:rsid w:val="00DB09AE"/>
    <w:rsid w:val="00DB0EDF"/>
    <w:rsid w:val="00DB1809"/>
    <w:rsid w:val="00DB1DB6"/>
    <w:rsid w:val="00DB30A4"/>
    <w:rsid w:val="00DB3FFE"/>
    <w:rsid w:val="00DB4313"/>
    <w:rsid w:val="00DB4450"/>
    <w:rsid w:val="00DB6A01"/>
    <w:rsid w:val="00DB7040"/>
    <w:rsid w:val="00DC0363"/>
    <w:rsid w:val="00DC07C3"/>
    <w:rsid w:val="00DC0AD8"/>
    <w:rsid w:val="00DC140D"/>
    <w:rsid w:val="00DC1930"/>
    <w:rsid w:val="00DC1F76"/>
    <w:rsid w:val="00DC27CD"/>
    <w:rsid w:val="00DC5732"/>
    <w:rsid w:val="00DC768C"/>
    <w:rsid w:val="00DC7A02"/>
    <w:rsid w:val="00DC7E28"/>
    <w:rsid w:val="00DC7E4F"/>
    <w:rsid w:val="00DD05C8"/>
    <w:rsid w:val="00DD1A2B"/>
    <w:rsid w:val="00DD1CCB"/>
    <w:rsid w:val="00DD25EF"/>
    <w:rsid w:val="00DD2E47"/>
    <w:rsid w:val="00DD36C4"/>
    <w:rsid w:val="00DD51B9"/>
    <w:rsid w:val="00DD665D"/>
    <w:rsid w:val="00DD6763"/>
    <w:rsid w:val="00DD7CAB"/>
    <w:rsid w:val="00DD7E5A"/>
    <w:rsid w:val="00DD7FDE"/>
    <w:rsid w:val="00DE09C7"/>
    <w:rsid w:val="00DE16F2"/>
    <w:rsid w:val="00DE1DFF"/>
    <w:rsid w:val="00DE24E2"/>
    <w:rsid w:val="00DE3433"/>
    <w:rsid w:val="00DE3C10"/>
    <w:rsid w:val="00DE4FED"/>
    <w:rsid w:val="00DE5197"/>
    <w:rsid w:val="00DE51E5"/>
    <w:rsid w:val="00DE560C"/>
    <w:rsid w:val="00DE650D"/>
    <w:rsid w:val="00DE69E9"/>
    <w:rsid w:val="00DE70CD"/>
    <w:rsid w:val="00DE7C81"/>
    <w:rsid w:val="00DE7CC9"/>
    <w:rsid w:val="00DF0031"/>
    <w:rsid w:val="00DF06D1"/>
    <w:rsid w:val="00DF0C01"/>
    <w:rsid w:val="00DF0D7C"/>
    <w:rsid w:val="00DF1A46"/>
    <w:rsid w:val="00DF1AB8"/>
    <w:rsid w:val="00DF1FA1"/>
    <w:rsid w:val="00DF224F"/>
    <w:rsid w:val="00DF28C9"/>
    <w:rsid w:val="00DF3C4E"/>
    <w:rsid w:val="00DF4AC4"/>
    <w:rsid w:val="00DF4E0D"/>
    <w:rsid w:val="00DF5B46"/>
    <w:rsid w:val="00DF5F15"/>
    <w:rsid w:val="00DF6523"/>
    <w:rsid w:val="00DF70D1"/>
    <w:rsid w:val="00DF7882"/>
    <w:rsid w:val="00DF7E83"/>
    <w:rsid w:val="00DF7EB5"/>
    <w:rsid w:val="00E00254"/>
    <w:rsid w:val="00E00D64"/>
    <w:rsid w:val="00E02AA8"/>
    <w:rsid w:val="00E02F59"/>
    <w:rsid w:val="00E02FE4"/>
    <w:rsid w:val="00E031C8"/>
    <w:rsid w:val="00E03C61"/>
    <w:rsid w:val="00E06D8C"/>
    <w:rsid w:val="00E06DD7"/>
    <w:rsid w:val="00E10C43"/>
    <w:rsid w:val="00E11958"/>
    <w:rsid w:val="00E11A9A"/>
    <w:rsid w:val="00E16044"/>
    <w:rsid w:val="00E169B9"/>
    <w:rsid w:val="00E16F56"/>
    <w:rsid w:val="00E172EF"/>
    <w:rsid w:val="00E20ED5"/>
    <w:rsid w:val="00E210EB"/>
    <w:rsid w:val="00E216CE"/>
    <w:rsid w:val="00E21B6A"/>
    <w:rsid w:val="00E222A7"/>
    <w:rsid w:val="00E2282B"/>
    <w:rsid w:val="00E232C4"/>
    <w:rsid w:val="00E2452F"/>
    <w:rsid w:val="00E24A56"/>
    <w:rsid w:val="00E24B8C"/>
    <w:rsid w:val="00E24C2D"/>
    <w:rsid w:val="00E25843"/>
    <w:rsid w:val="00E2652B"/>
    <w:rsid w:val="00E309E7"/>
    <w:rsid w:val="00E319F1"/>
    <w:rsid w:val="00E32247"/>
    <w:rsid w:val="00E333E0"/>
    <w:rsid w:val="00E351B1"/>
    <w:rsid w:val="00E359FD"/>
    <w:rsid w:val="00E36727"/>
    <w:rsid w:val="00E36789"/>
    <w:rsid w:val="00E3688D"/>
    <w:rsid w:val="00E36B5B"/>
    <w:rsid w:val="00E376CF"/>
    <w:rsid w:val="00E37CE8"/>
    <w:rsid w:val="00E40A41"/>
    <w:rsid w:val="00E42244"/>
    <w:rsid w:val="00E4308A"/>
    <w:rsid w:val="00E45799"/>
    <w:rsid w:val="00E45BCC"/>
    <w:rsid w:val="00E463A1"/>
    <w:rsid w:val="00E463FA"/>
    <w:rsid w:val="00E467DC"/>
    <w:rsid w:val="00E46E3E"/>
    <w:rsid w:val="00E47A2A"/>
    <w:rsid w:val="00E51B62"/>
    <w:rsid w:val="00E51BDD"/>
    <w:rsid w:val="00E51C9F"/>
    <w:rsid w:val="00E5206C"/>
    <w:rsid w:val="00E52492"/>
    <w:rsid w:val="00E537F3"/>
    <w:rsid w:val="00E54C08"/>
    <w:rsid w:val="00E5518D"/>
    <w:rsid w:val="00E560AC"/>
    <w:rsid w:val="00E564DF"/>
    <w:rsid w:val="00E56FB5"/>
    <w:rsid w:val="00E57075"/>
    <w:rsid w:val="00E5730E"/>
    <w:rsid w:val="00E57BBA"/>
    <w:rsid w:val="00E60D31"/>
    <w:rsid w:val="00E61518"/>
    <w:rsid w:val="00E61F32"/>
    <w:rsid w:val="00E62483"/>
    <w:rsid w:val="00E65670"/>
    <w:rsid w:val="00E66036"/>
    <w:rsid w:val="00E66405"/>
    <w:rsid w:val="00E67822"/>
    <w:rsid w:val="00E67A2B"/>
    <w:rsid w:val="00E700E7"/>
    <w:rsid w:val="00E704F1"/>
    <w:rsid w:val="00E71491"/>
    <w:rsid w:val="00E72B60"/>
    <w:rsid w:val="00E748D0"/>
    <w:rsid w:val="00E74CBE"/>
    <w:rsid w:val="00E74F65"/>
    <w:rsid w:val="00E76B35"/>
    <w:rsid w:val="00E77130"/>
    <w:rsid w:val="00E773ED"/>
    <w:rsid w:val="00E8026E"/>
    <w:rsid w:val="00E802D0"/>
    <w:rsid w:val="00E816A6"/>
    <w:rsid w:val="00E81C02"/>
    <w:rsid w:val="00E81FA7"/>
    <w:rsid w:val="00E82DB0"/>
    <w:rsid w:val="00E83B31"/>
    <w:rsid w:val="00E83F21"/>
    <w:rsid w:val="00E8471C"/>
    <w:rsid w:val="00E85573"/>
    <w:rsid w:val="00E85758"/>
    <w:rsid w:val="00E85C8E"/>
    <w:rsid w:val="00E863FE"/>
    <w:rsid w:val="00E90200"/>
    <w:rsid w:val="00E90B62"/>
    <w:rsid w:val="00E921B1"/>
    <w:rsid w:val="00E938FD"/>
    <w:rsid w:val="00E93A57"/>
    <w:rsid w:val="00E94F99"/>
    <w:rsid w:val="00E966E6"/>
    <w:rsid w:val="00E96744"/>
    <w:rsid w:val="00E972FB"/>
    <w:rsid w:val="00E9784B"/>
    <w:rsid w:val="00EA0049"/>
    <w:rsid w:val="00EA02A6"/>
    <w:rsid w:val="00EA1E7E"/>
    <w:rsid w:val="00EA20C6"/>
    <w:rsid w:val="00EA4267"/>
    <w:rsid w:val="00EA4735"/>
    <w:rsid w:val="00EA5AF4"/>
    <w:rsid w:val="00EA7DB1"/>
    <w:rsid w:val="00EB05BC"/>
    <w:rsid w:val="00EB06AC"/>
    <w:rsid w:val="00EB0DC1"/>
    <w:rsid w:val="00EB19CA"/>
    <w:rsid w:val="00EB26C4"/>
    <w:rsid w:val="00EB2987"/>
    <w:rsid w:val="00EB2F66"/>
    <w:rsid w:val="00EB3F51"/>
    <w:rsid w:val="00EB412B"/>
    <w:rsid w:val="00EB44AF"/>
    <w:rsid w:val="00EB556D"/>
    <w:rsid w:val="00EB5C2C"/>
    <w:rsid w:val="00EB6166"/>
    <w:rsid w:val="00EC1084"/>
    <w:rsid w:val="00EC15DE"/>
    <w:rsid w:val="00EC1C49"/>
    <w:rsid w:val="00EC2432"/>
    <w:rsid w:val="00EC2CC7"/>
    <w:rsid w:val="00EC2F9D"/>
    <w:rsid w:val="00EC3973"/>
    <w:rsid w:val="00EC3D1A"/>
    <w:rsid w:val="00EC4329"/>
    <w:rsid w:val="00EC621F"/>
    <w:rsid w:val="00EC6F60"/>
    <w:rsid w:val="00EC76E1"/>
    <w:rsid w:val="00ED0CD3"/>
    <w:rsid w:val="00ED0F2A"/>
    <w:rsid w:val="00ED1246"/>
    <w:rsid w:val="00ED29C0"/>
    <w:rsid w:val="00ED30BA"/>
    <w:rsid w:val="00ED4B07"/>
    <w:rsid w:val="00ED5683"/>
    <w:rsid w:val="00ED5AE2"/>
    <w:rsid w:val="00ED6EDF"/>
    <w:rsid w:val="00ED7284"/>
    <w:rsid w:val="00EE0DE3"/>
    <w:rsid w:val="00EE0E5E"/>
    <w:rsid w:val="00EE0E7B"/>
    <w:rsid w:val="00EE1F5A"/>
    <w:rsid w:val="00EE295F"/>
    <w:rsid w:val="00EE3BC9"/>
    <w:rsid w:val="00EE433A"/>
    <w:rsid w:val="00EE56F6"/>
    <w:rsid w:val="00EE61A0"/>
    <w:rsid w:val="00EE6C18"/>
    <w:rsid w:val="00EE6F3B"/>
    <w:rsid w:val="00EE7D97"/>
    <w:rsid w:val="00EF04B6"/>
    <w:rsid w:val="00EF1DD1"/>
    <w:rsid w:val="00EF2754"/>
    <w:rsid w:val="00EF3322"/>
    <w:rsid w:val="00EF35C4"/>
    <w:rsid w:val="00EF3AB9"/>
    <w:rsid w:val="00EF3E0F"/>
    <w:rsid w:val="00EF4A64"/>
    <w:rsid w:val="00EF4B22"/>
    <w:rsid w:val="00EF5D0B"/>
    <w:rsid w:val="00EF6894"/>
    <w:rsid w:val="00EF68E2"/>
    <w:rsid w:val="00EF6F76"/>
    <w:rsid w:val="00EF769E"/>
    <w:rsid w:val="00EF76A8"/>
    <w:rsid w:val="00EF7CA5"/>
    <w:rsid w:val="00F00662"/>
    <w:rsid w:val="00F02104"/>
    <w:rsid w:val="00F02585"/>
    <w:rsid w:val="00F02E6A"/>
    <w:rsid w:val="00F02E74"/>
    <w:rsid w:val="00F0308A"/>
    <w:rsid w:val="00F03989"/>
    <w:rsid w:val="00F050D0"/>
    <w:rsid w:val="00F05845"/>
    <w:rsid w:val="00F0640B"/>
    <w:rsid w:val="00F10116"/>
    <w:rsid w:val="00F103E8"/>
    <w:rsid w:val="00F1091B"/>
    <w:rsid w:val="00F11218"/>
    <w:rsid w:val="00F121F5"/>
    <w:rsid w:val="00F12731"/>
    <w:rsid w:val="00F12AFE"/>
    <w:rsid w:val="00F136BC"/>
    <w:rsid w:val="00F137FD"/>
    <w:rsid w:val="00F1417D"/>
    <w:rsid w:val="00F1428F"/>
    <w:rsid w:val="00F152DF"/>
    <w:rsid w:val="00F15CBA"/>
    <w:rsid w:val="00F15D79"/>
    <w:rsid w:val="00F204F8"/>
    <w:rsid w:val="00F212E0"/>
    <w:rsid w:val="00F21470"/>
    <w:rsid w:val="00F21EDB"/>
    <w:rsid w:val="00F22555"/>
    <w:rsid w:val="00F22939"/>
    <w:rsid w:val="00F22A07"/>
    <w:rsid w:val="00F23CE3"/>
    <w:rsid w:val="00F23CEF"/>
    <w:rsid w:val="00F23D50"/>
    <w:rsid w:val="00F24456"/>
    <w:rsid w:val="00F25713"/>
    <w:rsid w:val="00F259C0"/>
    <w:rsid w:val="00F260F9"/>
    <w:rsid w:val="00F26C61"/>
    <w:rsid w:val="00F26CA4"/>
    <w:rsid w:val="00F26D99"/>
    <w:rsid w:val="00F3034A"/>
    <w:rsid w:val="00F30FF1"/>
    <w:rsid w:val="00F311C0"/>
    <w:rsid w:val="00F32255"/>
    <w:rsid w:val="00F3228F"/>
    <w:rsid w:val="00F33198"/>
    <w:rsid w:val="00F33C9B"/>
    <w:rsid w:val="00F34096"/>
    <w:rsid w:val="00F3565A"/>
    <w:rsid w:val="00F35F85"/>
    <w:rsid w:val="00F362FE"/>
    <w:rsid w:val="00F40231"/>
    <w:rsid w:val="00F4060E"/>
    <w:rsid w:val="00F40D81"/>
    <w:rsid w:val="00F40FFD"/>
    <w:rsid w:val="00F4272B"/>
    <w:rsid w:val="00F435FC"/>
    <w:rsid w:val="00F44CEF"/>
    <w:rsid w:val="00F45B59"/>
    <w:rsid w:val="00F45BFF"/>
    <w:rsid w:val="00F45D66"/>
    <w:rsid w:val="00F46D88"/>
    <w:rsid w:val="00F5092F"/>
    <w:rsid w:val="00F52C5B"/>
    <w:rsid w:val="00F53FAB"/>
    <w:rsid w:val="00F5412C"/>
    <w:rsid w:val="00F5484B"/>
    <w:rsid w:val="00F557A3"/>
    <w:rsid w:val="00F55FC0"/>
    <w:rsid w:val="00F56043"/>
    <w:rsid w:val="00F610CF"/>
    <w:rsid w:val="00F61597"/>
    <w:rsid w:val="00F61AC2"/>
    <w:rsid w:val="00F6255B"/>
    <w:rsid w:val="00F63D30"/>
    <w:rsid w:val="00F63D60"/>
    <w:rsid w:val="00F64852"/>
    <w:rsid w:val="00F64F82"/>
    <w:rsid w:val="00F6513E"/>
    <w:rsid w:val="00F664EA"/>
    <w:rsid w:val="00F7058C"/>
    <w:rsid w:val="00F72412"/>
    <w:rsid w:val="00F72A94"/>
    <w:rsid w:val="00F72F9F"/>
    <w:rsid w:val="00F738CA"/>
    <w:rsid w:val="00F75120"/>
    <w:rsid w:val="00F75D73"/>
    <w:rsid w:val="00F7692C"/>
    <w:rsid w:val="00F80B3C"/>
    <w:rsid w:val="00F82DE6"/>
    <w:rsid w:val="00F844ED"/>
    <w:rsid w:val="00F84B4D"/>
    <w:rsid w:val="00F85ACA"/>
    <w:rsid w:val="00F85D66"/>
    <w:rsid w:val="00F8617B"/>
    <w:rsid w:val="00F86768"/>
    <w:rsid w:val="00F8683E"/>
    <w:rsid w:val="00F870F6"/>
    <w:rsid w:val="00F87ACA"/>
    <w:rsid w:val="00F87BE4"/>
    <w:rsid w:val="00F90904"/>
    <w:rsid w:val="00F909EC"/>
    <w:rsid w:val="00F9171D"/>
    <w:rsid w:val="00F93ECE"/>
    <w:rsid w:val="00F9420A"/>
    <w:rsid w:val="00F9587C"/>
    <w:rsid w:val="00F95FA6"/>
    <w:rsid w:val="00FA04C4"/>
    <w:rsid w:val="00FA23BB"/>
    <w:rsid w:val="00FA26E4"/>
    <w:rsid w:val="00FA295D"/>
    <w:rsid w:val="00FA38FF"/>
    <w:rsid w:val="00FA62A2"/>
    <w:rsid w:val="00FA65C0"/>
    <w:rsid w:val="00FA66A1"/>
    <w:rsid w:val="00FA6ED1"/>
    <w:rsid w:val="00FA6F82"/>
    <w:rsid w:val="00FB0295"/>
    <w:rsid w:val="00FB1741"/>
    <w:rsid w:val="00FB1895"/>
    <w:rsid w:val="00FB2F13"/>
    <w:rsid w:val="00FB306F"/>
    <w:rsid w:val="00FB33FE"/>
    <w:rsid w:val="00FB4488"/>
    <w:rsid w:val="00FB499A"/>
    <w:rsid w:val="00FB5CF9"/>
    <w:rsid w:val="00FB702E"/>
    <w:rsid w:val="00FB7C6E"/>
    <w:rsid w:val="00FC04C6"/>
    <w:rsid w:val="00FC0880"/>
    <w:rsid w:val="00FC1909"/>
    <w:rsid w:val="00FC2711"/>
    <w:rsid w:val="00FC3AF7"/>
    <w:rsid w:val="00FC41E3"/>
    <w:rsid w:val="00FC5706"/>
    <w:rsid w:val="00FC5B73"/>
    <w:rsid w:val="00FC666E"/>
    <w:rsid w:val="00FC68A7"/>
    <w:rsid w:val="00FC725C"/>
    <w:rsid w:val="00FD05FA"/>
    <w:rsid w:val="00FD07F6"/>
    <w:rsid w:val="00FD10F5"/>
    <w:rsid w:val="00FD1B43"/>
    <w:rsid w:val="00FD251E"/>
    <w:rsid w:val="00FD5614"/>
    <w:rsid w:val="00FD5F18"/>
    <w:rsid w:val="00FD7039"/>
    <w:rsid w:val="00FE0540"/>
    <w:rsid w:val="00FE08A7"/>
    <w:rsid w:val="00FE18F7"/>
    <w:rsid w:val="00FE1A84"/>
    <w:rsid w:val="00FE28D8"/>
    <w:rsid w:val="00FE29AD"/>
    <w:rsid w:val="00FE2F02"/>
    <w:rsid w:val="00FE2F4F"/>
    <w:rsid w:val="00FE33BF"/>
    <w:rsid w:val="00FE35B4"/>
    <w:rsid w:val="00FE394B"/>
    <w:rsid w:val="00FE3AF2"/>
    <w:rsid w:val="00FE3EC5"/>
    <w:rsid w:val="00FE4125"/>
    <w:rsid w:val="00FE45CA"/>
    <w:rsid w:val="00FE4E76"/>
    <w:rsid w:val="00FE55AC"/>
    <w:rsid w:val="00FE5A9B"/>
    <w:rsid w:val="00FE5AA5"/>
    <w:rsid w:val="00FE69B6"/>
    <w:rsid w:val="00FE7533"/>
    <w:rsid w:val="00FE75CC"/>
    <w:rsid w:val="00FF08BA"/>
    <w:rsid w:val="00FF0920"/>
    <w:rsid w:val="00FF0B0C"/>
    <w:rsid w:val="00FF0C3A"/>
    <w:rsid w:val="00FF2305"/>
    <w:rsid w:val="00FF30B5"/>
    <w:rsid w:val="00FF3378"/>
    <w:rsid w:val="00FF4EC6"/>
    <w:rsid w:val="00FF5545"/>
    <w:rsid w:val="00FF5A33"/>
    <w:rsid w:val="00FF5BCF"/>
    <w:rsid w:val="00FF685E"/>
    <w:rsid w:val="00FF7B48"/>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qFormat="1"/>
    <w:lsdException w:name="List Bullet" w:qFormat="1"/>
    <w:lsdException w:name="Title" w:semiHidden="0" w:unhideWhenUsed="0" w:qFormat="1"/>
    <w:lsdException w:name="Default Paragraph Font" w:uiPriority="1"/>
    <w:lsdException w:name="Subtitle" w:semiHidden="0" w:unhideWhenUsed="0" w:qFormat="1"/>
    <w:lsdException w:name="Strong" w:semiHidden="0" w:unhideWhenUsed="0" w:qFormat="1"/>
    <w:lsdException w:name="Emphasis" w:semiHidden="0" w:uiPriority="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BC1187"/>
    <w:pPr>
      <w:spacing w:after="160" w:line="259" w:lineRule="auto"/>
    </w:pPr>
    <w:rPr>
      <w:sz w:val="22"/>
      <w:szCs w:val="22"/>
      <w:lang w:eastAsia="en-U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uiPriority w:val="99"/>
    <w:qFormat/>
    <w:rsid w:val="00290D8F"/>
    <w:pPr>
      <w:keepNext/>
      <w:tabs>
        <w:tab w:val="left" w:pos="284"/>
      </w:tabs>
      <w:spacing w:before="120" w:after="240" w:line="240" w:lineRule="auto"/>
      <w:jc w:val="center"/>
      <w:outlineLvl w:val="0"/>
    </w:pPr>
    <w:rPr>
      <w:rFonts w:ascii="ITC Avant Garde" w:eastAsia="Times New Roman" w:hAnsi="ITC Avant Garde"/>
      <w:b/>
      <w:lang w:eastAsia="es-ES"/>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uiPriority w:val="9"/>
    <w:qFormat/>
    <w:rsid w:val="00A47F9A"/>
    <w:pPr>
      <w:keepNext/>
      <w:spacing w:after="200" w:line="276" w:lineRule="auto"/>
      <w:ind w:left="720" w:hanging="360"/>
      <w:jc w:val="both"/>
      <w:outlineLvl w:val="1"/>
    </w:pPr>
    <w:rPr>
      <w:rFonts w:ascii="ITC Avant Garde" w:eastAsia="Times New Roman" w:hAnsi="ITC Avant Garde" w:cs="Arial"/>
      <w:b/>
      <w:bC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uiPriority w:val="9"/>
    <w:qFormat/>
    <w:rsid w:val="00A47F9A"/>
    <w:pPr>
      <w:keepNext/>
      <w:spacing w:before="240" w:after="60" w:line="240" w:lineRule="auto"/>
      <w:outlineLvl w:val="2"/>
    </w:pPr>
    <w:rPr>
      <w:rFonts w:eastAsia="Times New Roman"/>
      <w:b/>
      <w:i/>
      <w:sz w:val="24"/>
      <w:szCs w:val="24"/>
      <w:lang w:eastAsia="es-ES"/>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uiPriority w:val="9"/>
    <w:qFormat/>
    <w:rsid w:val="00A47F9A"/>
    <w:pPr>
      <w:keepNext/>
      <w:spacing w:before="240" w:after="60" w:line="240" w:lineRule="auto"/>
      <w:jc w:val="both"/>
      <w:outlineLvl w:val="3"/>
    </w:pPr>
    <w:rPr>
      <w:rFonts w:eastAsia="Times New Roman"/>
      <w:sz w:val="24"/>
      <w:szCs w:val="24"/>
      <w:lang w:val="es-ES_tradnl" w:eastAsia="es-ES"/>
    </w:r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uiPriority w:val="9"/>
    <w:qFormat/>
    <w:rsid w:val="00A47F9A"/>
    <w:pPr>
      <w:spacing w:before="240" w:after="60" w:line="240" w:lineRule="auto"/>
      <w:jc w:val="both"/>
      <w:outlineLvl w:val="4"/>
    </w:pPr>
    <w:rPr>
      <w:rFonts w:eastAsia="Times New Roman"/>
      <w:szCs w:val="24"/>
      <w:lang w:val="es-ES_tradnl" w:eastAsia="es-ES"/>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uiPriority w:val="9"/>
    <w:qFormat/>
    <w:rsid w:val="00A47F9A"/>
    <w:pPr>
      <w:spacing w:before="240" w:after="60" w:line="240" w:lineRule="auto"/>
      <w:jc w:val="both"/>
      <w:outlineLvl w:val="5"/>
    </w:pPr>
    <w:rPr>
      <w:rFonts w:eastAsia="Times New Roman"/>
      <w:i/>
      <w:szCs w:val="24"/>
      <w:lang w:val="es-ES_tradnl" w:eastAsia="es-ES"/>
    </w:rPr>
  </w:style>
  <w:style w:type="paragraph" w:styleId="Ttulo7">
    <w:name w:val="heading 7"/>
    <w:aliases w:val="ITT t7,PA Appendix Major,letter list,7,req3,Header 7,Objective,ExhibitTitle,st,h7,Appendix3,lettered list"/>
    <w:basedOn w:val="Normal"/>
    <w:next w:val="Normal"/>
    <w:link w:val="Ttulo7Car"/>
    <w:uiPriority w:val="9"/>
    <w:qFormat/>
    <w:rsid w:val="00A47F9A"/>
    <w:pPr>
      <w:spacing w:before="240" w:after="60" w:line="240" w:lineRule="auto"/>
      <w:jc w:val="both"/>
      <w:outlineLvl w:val="6"/>
    </w:pPr>
    <w:rPr>
      <w:rFonts w:eastAsia="Times New Roman"/>
      <w:sz w:val="24"/>
      <w:szCs w:val="24"/>
      <w:lang w:val="es-ES_tradnl"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uiPriority w:val="9"/>
    <w:qFormat/>
    <w:rsid w:val="00A47F9A"/>
    <w:pPr>
      <w:spacing w:before="240" w:after="60" w:line="240" w:lineRule="auto"/>
      <w:jc w:val="both"/>
      <w:outlineLvl w:val="7"/>
    </w:pPr>
    <w:rPr>
      <w:rFonts w:eastAsia="Times New Roman"/>
      <w:i/>
      <w:sz w:val="24"/>
      <w:szCs w:val="24"/>
      <w:lang w:val="es-ES_tradnl" w:eastAsia="es-ES"/>
    </w:rPr>
  </w:style>
  <w:style w:type="paragraph" w:styleId="Ttulo9">
    <w:name w:val="heading 9"/>
    <w:aliases w:val="ITT t9,progress,App Heading,Titre 10,9,rb,req bullet,req1,Cond'l Reqt.,TableTitle,tt,h9,Appendix2,Appendix21,table title"/>
    <w:basedOn w:val="Normal"/>
    <w:next w:val="Normal"/>
    <w:link w:val="Ttulo9Car"/>
    <w:uiPriority w:val="9"/>
    <w:qFormat/>
    <w:rsid w:val="00A47F9A"/>
    <w:pPr>
      <w:spacing w:before="240" w:after="60" w:line="240" w:lineRule="auto"/>
      <w:jc w:val="both"/>
      <w:outlineLvl w:val="8"/>
    </w:pPr>
    <w:rPr>
      <w:rFonts w:eastAsia="Times New Roman"/>
      <w:b/>
      <w:i/>
      <w:sz w:val="18"/>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link w:val="Ttulo1"/>
    <w:uiPriority w:val="99"/>
    <w:rsid w:val="006E4136"/>
    <w:rPr>
      <w:rFonts w:ascii="ITC Avant Garde" w:eastAsia="Times New Roman" w:hAnsi="ITC Avant Garde"/>
      <w:b/>
      <w:sz w:val="22"/>
      <w:szCs w:val="22"/>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link w:val="Ttulo2"/>
    <w:uiPriority w:val="9"/>
    <w:rsid w:val="00A47F9A"/>
    <w:rPr>
      <w:rFonts w:ascii="ITC Avant Garde" w:eastAsia="Times New Roman" w:hAnsi="ITC Avant Garde" w:cs="Arial"/>
      <w:b/>
      <w:bC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link w:val="Ttulo3"/>
    <w:uiPriority w:val="9"/>
    <w:rsid w:val="00A47F9A"/>
    <w:rPr>
      <w:rFonts w:eastAsia="Times New Roman" w:cs="Times New Roman"/>
      <w:b/>
      <w:i/>
      <w:sz w:val="24"/>
      <w:szCs w:val="24"/>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link w:val="Ttulo4"/>
    <w:uiPriority w:val="9"/>
    <w:rsid w:val="00A47F9A"/>
    <w:rPr>
      <w:rFonts w:eastAsia="Times New Roman" w:cs="Times New Roman"/>
      <w:sz w:val="24"/>
      <w:szCs w:val="24"/>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link w:val="Ttulo5"/>
    <w:uiPriority w:val="9"/>
    <w:rsid w:val="00A47F9A"/>
    <w:rPr>
      <w:rFonts w:eastAsia="Times New Roman" w:cs="Times New Roman"/>
      <w:szCs w:val="24"/>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link w:val="Ttulo6"/>
    <w:uiPriority w:val="9"/>
    <w:rsid w:val="00A47F9A"/>
    <w:rPr>
      <w:rFonts w:eastAsia="Times New Roman" w:cs="Times New Roman"/>
      <w:i/>
      <w:szCs w:val="24"/>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link w:val="Ttulo7"/>
    <w:uiPriority w:val="9"/>
    <w:rsid w:val="00A47F9A"/>
    <w:rPr>
      <w:rFonts w:eastAsia="Times New Roman" w:cs="Times New Roman"/>
      <w:sz w:val="24"/>
      <w:szCs w:val="24"/>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link w:val="Ttulo8"/>
    <w:uiPriority w:val="9"/>
    <w:rsid w:val="00A47F9A"/>
    <w:rPr>
      <w:rFonts w:eastAsia="Times New Roman" w:cs="Times New Roman"/>
      <w:i/>
      <w:sz w:val="24"/>
      <w:szCs w:val="24"/>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link w:val="Ttulo9"/>
    <w:uiPriority w:val="9"/>
    <w:rsid w:val="00A47F9A"/>
    <w:rPr>
      <w:rFonts w:eastAsia="Times New Roman" w:cs="Times New Roman"/>
      <w:b/>
      <w:i/>
      <w:sz w:val="18"/>
      <w:szCs w:val="24"/>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A47F9A"/>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A47F9A"/>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A47F9A"/>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A47F9A"/>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A47F9A"/>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uiPriority w:val="99"/>
    <w:semiHidden/>
    <w:locked/>
    <w:rsid w:val="00A47F9A"/>
    <w:rPr>
      <w:rFonts w:ascii="Calibri" w:hAnsi="Calibri" w:cs="Times New Roman"/>
      <w:b/>
      <w:bCs/>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A47F9A"/>
    <w:pPr>
      <w:tabs>
        <w:tab w:val="center" w:pos="4252"/>
        <w:tab w:val="right" w:pos="8504"/>
      </w:tabs>
      <w:spacing w:after="0" w:line="240" w:lineRule="auto"/>
    </w:pPr>
    <w:rPr>
      <w:rFonts w:eastAsia="Times New Roman"/>
      <w:sz w:val="24"/>
      <w:szCs w:val="24"/>
      <w:lang w:val="es-ES_tradnl" w:eastAsia="es-ES"/>
    </w:rPr>
  </w:style>
  <w:style w:type="character" w:customStyle="1" w:styleId="EncabezadoCar">
    <w:name w:val="Encabezado Car"/>
    <w:aliases w:val="Header/Footer Car,header odd Car,header odd1 Car,header odd2 Car,header odd3 Car,header odd4 Car,header odd5 Car,header odd6 Car,encabezado Car"/>
    <w:link w:val="Encabezado"/>
    <w:uiPriority w:val="99"/>
    <w:rsid w:val="00A47F9A"/>
    <w:rPr>
      <w:rFonts w:eastAsia="Times New Roman" w:cs="Times New Roman"/>
      <w:sz w:val="24"/>
      <w:szCs w:val="24"/>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90D8F"/>
    <w:pPr>
      <w:numPr>
        <w:numId w:val="3"/>
      </w:numPr>
      <w:spacing w:before="120" w:after="120" w:line="240" w:lineRule="auto"/>
      <w:jc w:val="both"/>
    </w:pPr>
    <w:rPr>
      <w:rFonts w:eastAsia="Times New Roman"/>
      <w:b/>
      <w:bCs/>
      <w:sz w:val="20"/>
      <w:szCs w:val="24"/>
      <w:lang w:val="es-ES_tradnl" w:eastAsia="es-ES"/>
    </w:rPr>
  </w:style>
  <w:style w:type="paragraph" w:styleId="Piedepgina">
    <w:name w:val="footer"/>
    <w:basedOn w:val="Normal"/>
    <w:link w:val="PiedepginaCar"/>
    <w:uiPriority w:val="99"/>
    <w:rsid w:val="00A47F9A"/>
    <w:pPr>
      <w:tabs>
        <w:tab w:val="center" w:pos="4252"/>
        <w:tab w:val="right" w:pos="8504"/>
      </w:tabs>
      <w:spacing w:after="0" w:line="240" w:lineRule="auto"/>
    </w:pPr>
    <w:rPr>
      <w:rFonts w:eastAsia="Times New Roman"/>
      <w:sz w:val="24"/>
      <w:szCs w:val="24"/>
      <w:lang w:val="es-ES_tradnl" w:eastAsia="es-ES"/>
    </w:rPr>
  </w:style>
  <w:style w:type="character" w:customStyle="1" w:styleId="PiedepginaCar">
    <w:name w:val="Pie de página Car"/>
    <w:link w:val="Piedepgina"/>
    <w:uiPriority w:val="99"/>
    <w:rsid w:val="00A47F9A"/>
    <w:rPr>
      <w:rFonts w:eastAsia="Times New Roman" w:cs="Times New Roman"/>
      <w:sz w:val="24"/>
      <w:szCs w:val="24"/>
      <w:lang w:val="es-ES_tradnl" w:eastAsia="es-ES"/>
    </w:rPr>
  </w:style>
  <w:style w:type="paragraph" w:customStyle="1" w:styleId="claveesp">
    <w:name w:val="clave esp"/>
    <w:basedOn w:val="Normal"/>
    <w:uiPriority w:val="99"/>
    <w:rsid w:val="00A47F9A"/>
    <w:pPr>
      <w:tabs>
        <w:tab w:val="center" w:pos="4252"/>
        <w:tab w:val="right" w:pos="8504"/>
        <w:tab w:val="left" w:pos="9498"/>
      </w:tabs>
      <w:spacing w:after="0" w:line="240" w:lineRule="auto"/>
      <w:ind w:right="67"/>
      <w:jc w:val="right"/>
    </w:pPr>
    <w:rPr>
      <w:rFonts w:ascii="Courier New" w:eastAsia="Times New Roman" w:hAnsi="Courier New"/>
      <w:sz w:val="24"/>
      <w:szCs w:val="24"/>
      <w:lang w:val="es-ES_tradnl" w:eastAsia="es-ES"/>
    </w:rPr>
  </w:style>
  <w:style w:type="paragraph" w:customStyle="1" w:styleId="pieizq">
    <w:name w:val="pie izq"/>
    <w:basedOn w:val="Normal"/>
    <w:uiPriority w:val="99"/>
    <w:rsid w:val="00A47F9A"/>
    <w:pPr>
      <w:tabs>
        <w:tab w:val="center" w:pos="4252"/>
        <w:tab w:val="right" w:pos="8504"/>
        <w:tab w:val="left" w:pos="9498"/>
      </w:tabs>
      <w:spacing w:after="0" w:line="240" w:lineRule="auto"/>
      <w:ind w:left="4252" w:right="-115" w:hanging="4252"/>
    </w:pPr>
    <w:rPr>
      <w:rFonts w:eastAsia="Times New Roman"/>
      <w:b/>
      <w:sz w:val="28"/>
      <w:szCs w:val="24"/>
      <w:lang w:val="es-ES_tradnl" w:eastAsia="es-ES"/>
    </w:rPr>
  </w:style>
  <w:style w:type="paragraph" w:customStyle="1" w:styleId="pienum">
    <w:name w:val="pie num."/>
    <w:basedOn w:val="Normal"/>
    <w:uiPriority w:val="99"/>
    <w:rsid w:val="00A47F9A"/>
    <w:pPr>
      <w:tabs>
        <w:tab w:val="center" w:pos="4252"/>
        <w:tab w:val="right" w:pos="8504"/>
        <w:tab w:val="left" w:pos="9498"/>
      </w:tabs>
      <w:spacing w:after="0" w:line="240" w:lineRule="auto"/>
      <w:ind w:left="4252" w:right="-115" w:hanging="4252"/>
      <w:jc w:val="right"/>
    </w:pPr>
    <w:rPr>
      <w:rFonts w:ascii="Courier New" w:eastAsia="Times New Roman" w:hAnsi="Courier New"/>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1"/>
    <w:uiPriority w:val="99"/>
    <w:rsid w:val="00A47F9A"/>
    <w:pPr>
      <w:spacing w:after="0" w:line="240" w:lineRule="auto"/>
      <w:jc w:val="center"/>
    </w:pPr>
    <w:rPr>
      <w:rFonts w:eastAsia="Times New Roman"/>
      <w:b/>
      <w:bCs/>
      <w:sz w:val="40"/>
      <w:szCs w:val="24"/>
      <w:lang w:eastAsia="es-ES"/>
    </w:rPr>
  </w:style>
  <w:style w:type="character" w:customStyle="1" w:styleId="TextoindependienteCar">
    <w:name w:val="Texto independiente Car"/>
    <w:basedOn w:val="Fuentedeprrafopredeter"/>
    <w:uiPriority w:val="99"/>
    <w:semiHidden/>
    <w:rsid w:val="00A47F9A"/>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A47F9A"/>
    <w:rPr>
      <w:rFonts w:cs="Times New Roman"/>
      <w:sz w:val="24"/>
      <w:szCs w:val="24"/>
      <w:lang w:val="es-MX"/>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link w:val="Textoindependiente"/>
    <w:uiPriority w:val="99"/>
    <w:locked/>
    <w:rsid w:val="00A47F9A"/>
    <w:rPr>
      <w:rFonts w:eastAsia="Times New Roman" w:cs="Times New Roman"/>
      <w:b/>
      <w:bCs/>
      <w:sz w:val="40"/>
      <w:szCs w:val="24"/>
      <w:lang w:eastAsia="es-ES"/>
    </w:rPr>
  </w:style>
  <w:style w:type="paragraph" w:styleId="Textocomentario">
    <w:name w:val="annotation text"/>
    <w:basedOn w:val="Normal"/>
    <w:link w:val="TextocomentarioCar"/>
    <w:uiPriority w:val="99"/>
    <w:rsid w:val="00A47F9A"/>
    <w:pPr>
      <w:tabs>
        <w:tab w:val="left" w:pos="794"/>
        <w:tab w:val="left" w:pos="1191"/>
        <w:tab w:val="left" w:pos="1588"/>
        <w:tab w:val="left" w:pos="1985"/>
      </w:tabs>
      <w:spacing w:before="136" w:after="0" w:line="240" w:lineRule="auto"/>
      <w:jc w:val="both"/>
    </w:pPr>
    <w:rPr>
      <w:rFonts w:eastAsia="Times New Roman"/>
      <w:sz w:val="24"/>
      <w:szCs w:val="24"/>
      <w:lang w:val="es-ES_tradnl" w:eastAsia="es-ES"/>
    </w:rPr>
  </w:style>
  <w:style w:type="character" w:customStyle="1" w:styleId="TextocomentarioCar">
    <w:name w:val="Texto comentario Car"/>
    <w:link w:val="Textocomentario"/>
    <w:uiPriority w:val="99"/>
    <w:qFormat/>
    <w:rsid w:val="00A47F9A"/>
    <w:rPr>
      <w:rFonts w:eastAsia="Times New Roman" w:cs="Times New Roman"/>
      <w:sz w:val="24"/>
      <w:szCs w:val="24"/>
      <w:lang w:val="es-ES_tradnl" w:eastAsia="es-ES"/>
    </w:rPr>
  </w:style>
  <w:style w:type="paragraph" w:customStyle="1" w:styleId="ITUparnumrot">
    <w:name w:val="ITU par. numéroté"/>
    <w:basedOn w:val="Normal"/>
    <w:uiPriority w:val="99"/>
    <w:rsid w:val="00A47F9A"/>
    <w:pPr>
      <w:keepLines/>
      <w:tabs>
        <w:tab w:val="left" w:pos="624"/>
        <w:tab w:val="left" w:pos="964"/>
      </w:tabs>
      <w:spacing w:before="120" w:after="0" w:line="240" w:lineRule="auto"/>
      <w:jc w:val="both"/>
    </w:pPr>
    <w:rPr>
      <w:rFonts w:ascii="Times New Roman" w:eastAsia="Times New Roman" w:hAnsi="Times New Roman"/>
      <w:sz w:val="24"/>
      <w:szCs w:val="24"/>
      <w:lang w:val="es-ES_tradnl"/>
    </w:rPr>
  </w:style>
  <w:style w:type="character" w:customStyle="1" w:styleId="Typewriter">
    <w:name w:val="Typewriter"/>
    <w:uiPriority w:val="99"/>
    <w:rsid w:val="00A47F9A"/>
    <w:rPr>
      <w:rFonts w:ascii="Courier New" w:hAnsi="Courier New"/>
      <w:sz w:val="20"/>
    </w:rPr>
  </w:style>
  <w:style w:type="paragraph" w:customStyle="1" w:styleId="Normalaftertitle">
    <w:name w:val="Normal after title"/>
    <w:basedOn w:val="Normal"/>
    <w:uiPriority w:val="99"/>
    <w:rsid w:val="00A47F9A"/>
    <w:pPr>
      <w:tabs>
        <w:tab w:val="left" w:pos="794"/>
        <w:tab w:val="left" w:pos="1191"/>
        <w:tab w:val="left" w:pos="1588"/>
        <w:tab w:val="left" w:pos="1985"/>
      </w:tabs>
      <w:spacing w:before="480" w:after="0" w:line="240" w:lineRule="auto"/>
      <w:jc w:val="both"/>
    </w:pPr>
    <w:rPr>
      <w:rFonts w:eastAsia="Times New Roman"/>
      <w:sz w:val="24"/>
      <w:szCs w:val="24"/>
      <w:lang w:eastAsia="es-ES"/>
    </w:rPr>
  </w:style>
  <w:style w:type="paragraph" w:styleId="TDC1">
    <w:name w:val="toc 1"/>
    <w:basedOn w:val="Normal"/>
    <w:next w:val="Normal"/>
    <w:autoRedefine/>
    <w:uiPriority w:val="39"/>
    <w:rsid w:val="000C36D9"/>
    <w:pPr>
      <w:tabs>
        <w:tab w:val="left" w:pos="567"/>
        <w:tab w:val="right" w:leader="dot" w:pos="8789"/>
      </w:tabs>
      <w:spacing w:before="120" w:after="120" w:line="240" w:lineRule="auto"/>
    </w:pPr>
    <w:rPr>
      <w:rFonts w:ascii="Arial" w:eastAsia="Times New Roman" w:hAnsi="Arial" w:cs="Arial"/>
      <w:bCs/>
      <w:caps/>
      <w:noProof/>
      <w:sz w:val="20"/>
      <w:szCs w:val="20"/>
      <w:lang w:val="es-ES_tradnl" w:eastAsia="es-ES"/>
    </w:rPr>
  </w:style>
  <w:style w:type="paragraph" w:styleId="TDC2">
    <w:name w:val="toc 2"/>
    <w:basedOn w:val="Normal"/>
    <w:next w:val="Normal"/>
    <w:autoRedefine/>
    <w:uiPriority w:val="39"/>
    <w:rsid w:val="00290D8F"/>
    <w:pPr>
      <w:tabs>
        <w:tab w:val="left" w:pos="800"/>
        <w:tab w:val="right" w:leader="dot" w:pos="8789"/>
      </w:tabs>
      <w:spacing w:after="0" w:line="240" w:lineRule="auto"/>
      <w:ind w:left="200"/>
    </w:pPr>
    <w:rPr>
      <w:rFonts w:eastAsia="Times New Roman" w:cs="Arial"/>
      <w:b/>
      <w:smallCaps/>
      <w:noProof/>
      <w:szCs w:val="24"/>
      <w:lang w:val="es-ES_tradnl" w:eastAsia="es-ES"/>
    </w:rPr>
  </w:style>
  <w:style w:type="paragraph" w:styleId="TDC3">
    <w:name w:val="toc 3"/>
    <w:basedOn w:val="Normal"/>
    <w:next w:val="Normal"/>
    <w:autoRedefine/>
    <w:uiPriority w:val="39"/>
    <w:rsid w:val="00A47F9A"/>
    <w:pPr>
      <w:tabs>
        <w:tab w:val="left" w:pos="1200"/>
        <w:tab w:val="right" w:leader="dot" w:pos="8789"/>
      </w:tabs>
      <w:spacing w:after="0" w:line="240" w:lineRule="auto"/>
      <w:ind w:left="400"/>
    </w:pPr>
    <w:rPr>
      <w:rFonts w:eastAsia="Times New Roman" w:cs="Arial"/>
      <w:b/>
      <w:i/>
      <w:iCs/>
      <w:noProof/>
      <w:lang w:val="es-ES_tradnl" w:eastAsia="es-ES"/>
    </w:rPr>
  </w:style>
  <w:style w:type="paragraph" w:styleId="TDC4">
    <w:name w:val="toc 4"/>
    <w:basedOn w:val="Normal"/>
    <w:next w:val="Normal"/>
    <w:autoRedefine/>
    <w:uiPriority w:val="39"/>
    <w:rsid w:val="00A47F9A"/>
    <w:pPr>
      <w:tabs>
        <w:tab w:val="left" w:pos="1400"/>
        <w:tab w:val="right" w:leader="dot" w:pos="9771"/>
      </w:tabs>
      <w:spacing w:after="0" w:line="240" w:lineRule="auto"/>
      <w:ind w:left="600"/>
    </w:pPr>
    <w:rPr>
      <w:rFonts w:eastAsia="Times New Roman" w:cs="Arial"/>
      <w:i/>
      <w:noProof/>
      <w:sz w:val="24"/>
      <w:szCs w:val="24"/>
      <w:lang w:val="es-ES_tradnl" w:eastAsia="es-ES"/>
    </w:rPr>
  </w:style>
  <w:style w:type="paragraph" w:styleId="TDC5">
    <w:name w:val="toc 5"/>
    <w:basedOn w:val="Normal"/>
    <w:next w:val="Normal"/>
    <w:autoRedefine/>
    <w:uiPriority w:val="39"/>
    <w:rsid w:val="00A47F9A"/>
    <w:pPr>
      <w:spacing w:after="0" w:line="240" w:lineRule="auto"/>
      <w:ind w:left="800"/>
    </w:pPr>
    <w:rPr>
      <w:rFonts w:ascii="Times New Roman" w:eastAsia="Times New Roman" w:hAnsi="Times New Roman"/>
      <w:sz w:val="18"/>
      <w:szCs w:val="18"/>
      <w:lang w:val="es-ES_tradnl" w:eastAsia="es-ES"/>
    </w:rPr>
  </w:style>
  <w:style w:type="paragraph" w:styleId="TDC6">
    <w:name w:val="toc 6"/>
    <w:basedOn w:val="Normal"/>
    <w:next w:val="Normal"/>
    <w:autoRedefine/>
    <w:uiPriority w:val="39"/>
    <w:rsid w:val="00A47F9A"/>
    <w:pPr>
      <w:spacing w:after="0" w:line="240" w:lineRule="auto"/>
      <w:ind w:left="1000"/>
    </w:pPr>
    <w:rPr>
      <w:rFonts w:ascii="Times New Roman" w:eastAsia="Times New Roman" w:hAnsi="Times New Roman"/>
      <w:sz w:val="18"/>
      <w:szCs w:val="18"/>
      <w:lang w:val="es-ES_tradnl" w:eastAsia="es-ES"/>
    </w:rPr>
  </w:style>
  <w:style w:type="paragraph" w:styleId="TDC7">
    <w:name w:val="toc 7"/>
    <w:basedOn w:val="Normal"/>
    <w:next w:val="Normal"/>
    <w:autoRedefine/>
    <w:uiPriority w:val="39"/>
    <w:rsid w:val="00A47F9A"/>
    <w:pPr>
      <w:spacing w:after="0" w:line="240" w:lineRule="auto"/>
      <w:ind w:left="1200"/>
    </w:pPr>
    <w:rPr>
      <w:rFonts w:ascii="Times New Roman" w:eastAsia="Times New Roman" w:hAnsi="Times New Roman"/>
      <w:sz w:val="18"/>
      <w:szCs w:val="18"/>
      <w:lang w:val="es-ES_tradnl" w:eastAsia="es-ES"/>
    </w:rPr>
  </w:style>
  <w:style w:type="paragraph" w:styleId="TDC8">
    <w:name w:val="toc 8"/>
    <w:basedOn w:val="Normal"/>
    <w:next w:val="Normal"/>
    <w:autoRedefine/>
    <w:uiPriority w:val="39"/>
    <w:rsid w:val="00A47F9A"/>
    <w:pPr>
      <w:spacing w:after="0" w:line="240" w:lineRule="auto"/>
      <w:ind w:left="1400"/>
    </w:pPr>
    <w:rPr>
      <w:rFonts w:ascii="Times New Roman" w:eastAsia="Times New Roman" w:hAnsi="Times New Roman"/>
      <w:sz w:val="18"/>
      <w:szCs w:val="18"/>
      <w:lang w:val="es-ES_tradnl" w:eastAsia="es-ES"/>
    </w:rPr>
  </w:style>
  <w:style w:type="paragraph" w:styleId="TDC9">
    <w:name w:val="toc 9"/>
    <w:basedOn w:val="Normal"/>
    <w:next w:val="Normal"/>
    <w:autoRedefine/>
    <w:uiPriority w:val="39"/>
    <w:rsid w:val="00A47F9A"/>
    <w:pPr>
      <w:spacing w:after="0" w:line="240" w:lineRule="auto"/>
      <w:ind w:left="1600"/>
    </w:pPr>
    <w:rPr>
      <w:rFonts w:ascii="Times New Roman" w:eastAsia="Times New Roman" w:hAnsi="Times New Roman"/>
      <w:sz w:val="18"/>
      <w:szCs w:val="18"/>
      <w:lang w:val="es-ES_tradnl" w:eastAsia="es-ES"/>
    </w:rPr>
  </w:style>
  <w:style w:type="character" w:styleId="Hipervnculo">
    <w:name w:val="Hyperlink"/>
    <w:uiPriority w:val="99"/>
    <w:rsid w:val="00A47F9A"/>
    <w:rPr>
      <w:rFonts w:cs="Times New Roman"/>
      <w:color w:val="0000FF"/>
      <w:u w:val="single"/>
    </w:rPr>
  </w:style>
  <w:style w:type="paragraph" w:styleId="HTMLconformatoprevio">
    <w:name w:val="HTML Preformatted"/>
    <w:basedOn w:val="Normal"/>
    <w:link w:val="HTMLconformatoprevioCar"/>
    <w:uiPriority w:val="99"/>
    <w:rsid w:val="00A47F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link w:val="HTMLconformatoprevio"/>
    <w:uiPriority w:val="99"/>
    <w:rsid w:val="00A47F9A"/>
    <w:rPr>
      <w:rFonts w:ascii="Arial Unicode MS" w:eastAsia="Times New Roman" w:hAnsi="Arial Unicode MS" w:cs="Courier New"/>
      <w:sz w:val="24"/>
      <w:szCs w:val="24"/>
      <w:lang w:val="es-ES" w:eastAsia="es-ES"/>
    </w:rPr>
  </w:style>
  <w:style w:type="paragraph" w:styleId="Sangradetextonormal">
    <w:name w:val="Body Text Indent"/>
    <w:basedOn w:val="Normal"/>
    <w:link w:val="SangradetextonormalCar"/>
    <w:uiPriority w:val="99"/>
    <w:rsid w:val="00A47F9A"/>
    <w:pPr>
      <w:spacing w:after="0" w:line="240" w:lineRule="auto"/>
      <w:ind w:left="360"/>
    </w:pPr>
    <w:rPr>
      <w:rFonts w:eastAsia="Times New Roman" w:cs="Arial"/>
      <w:sz w:val="24"/>
      <w:szCs w:val="24"/>
      <w:lang w:val="es-ES_tradnl" w:eastAsia="es-ES"/>
    </w:rPr>
  </w:style>
  <w:style w:type="character" w:customStyle="1" w:styleId="SangradetextonormalCar">
    <w:name w:val="Sangría de texto normal Car"/>
    <w:link w:val="Sangradetextonormal"/>
    <w:uiPriority w:val="99"/>
    <w:rsid w:val="00A47F9A"/>
    <w:rPr>
      <w:rFonts w:eastAsia="Times New Roman" w:cs="Arial"/>
      <w:sz w:val="24"/>
      <w:szCs w:val="24"/>
      <w:lang w:val="es-ES_tradnl" w:eastAsia="es-ES"/>
    </w:rPr>
  </w:style>
  <w:style w:type="paragraph" w:styleId="Sangra2detindependiente">
    <w:name w:val="Body Text Indent 2"/>
    <w:basedOn w:val="Normal"/>
    <w:link w:val="Sangra2detindependienteCar"/>
    <w:uiPriority w:val="99"/>
    <w:rsid w:val="00A47F9A"/>
    <w:pPr>
      <w:spacing w:after="0" w:line="240" w:lineRule="auto"/>
      <w:ind w:left="360"/>
      <w:jc w:val="both"/>
    </w:pPr>
    <w:rPr>
      <w:rFonts w:eastAsia="Times New Roman"/>
      <w:sz w:val="24"/>
      <w:szCs w:val="24"/>
      <w:lang w:val="es-ES_tradnl" w:eastAsia="es-ES"/>
    </w:rPr>
  </w:style>
  <w:style w:type="character" w:customStyle="1" w:styleId="Sangra2detindependienteCar">
    <w:name w:val="Sangría 2 de t. independiente Car"/>
    <w:link w:val="Sangra2detindependiente"/>
    <w:uiPriority w:val="99"/>
    <w:rsid w:val="00A47F9A"/>
    <w:rPr>
      <w:rFonts w:eastAsia="Times New Roman" w:cs="Times New Roman"/>
      <w:sz w:val="24"/>
      <w:szCs w:val="24"/>
      <w:lang w:val="es-ES_tradnl" w:eastAsia="es-ES"/>
    </w:rPr>
  </w:style>
  <w:style w:type="paragraph" w:styleId="Textodebloque">
    <w:name w:val="Block Text"/>
    <w:basedOn w:val="Normal"/>
    <w:uiPriority w:val="99"/>
    <w:rsid w:val="00A47F9A"/>
    <w:pPr>
      <w:spacing w:after="0" w:line="240" w:lineRule="auto"/>
      <w:ind w:left="567" w:right="-1"/>
      <w:jc w:val="both"/>
    </w:pPr>
    <w:rPr>
      <w:rFonts w:eastAsia="Times New Roman" w:cs="Arial"/>
      <w:sz w:val="24"/>
      <w:szCs w:val="24"/>
      <w:lang w:val="es-ES_tradnl" w:eastAsia="es-ES"/>
    </w:rPr>
  </w:style>
  <w:style w:type="character" w:styleId="Nmerodepgina">
    <w:name w:val="page number"/>
    <w:uiPriority w:val="99"/>
    <w:rsid w:val="00A47F9A"/>
    <w:rPr>
      <w:rFonts w:cs="Times New Roman"/>
    </w:rPr>
  </w:style>
  <w:style w:type="paragraph" w:customStyle="1" w:styleId="enumlev1">
    <w:name w:val="enumlev1"/>
    <w:basedOn w:val="Normal"/>
    <w:uiPriority w:val="99"/>
    <w:rsid w:val="00A47F9A"/>
    <w:pPr>
      <w:tabs>
        <w:tab w:val="left" w:pos="794"/>
        <w:tab w:val="left" w:pos="1191"/>
        <w:tab w:val="left" w:pos="1588"/>
        <w:tab w:val="left" w:pos="1985"/>
      </w:tabs>
      <w:spacing w:before="80" w:after="0" w:line="240" w:lineRule="auto"/>
      <w:ind w:left="794" w:hanging="794"/>
    </w:pPr>
    <w:rPr>
      <w:rFonts w:ascii="Times New Roman" w:eastAsia="Times New Roman" w:hAnsi="Times New Roman"/>
      <w:sz w:val="24"/>
      <w:szCs w:val="24"/>
      <w:lang w:val="es-ES_tradnl" w:eastAsia="es-ES"/>
    </w:rPr>
  </w:style>
  <w:style w:type="paragraph" w:customStyle="1" w:styleId="TableText">
    <w:name w:val="Table_Text"/>
    <w:basedOn w:val="Normal"/>
    <w:uiPriority w:val="99"/>
    <w:rsid w:val="00A47F9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eastAsia="Times New Roman"/>
      <w:sz w:val="24"/>
      <w:szCs w:val="24"/>
      <w:lang w:val="es-ES_tradnl" w:eastAsia="es-ES"/>
    </w:rPr>
  </w:style>
  <w:style w:type="paragraph" w:customStyle="1" w:styleId="TableHead">
    <w:name w:val="Table_Head"/>
    <w:basedOn w:val="TableText"/>
    <w:uiPriority w:val="99"/>
    <w:rsid w:val="00A47F9A"/>
    <w:pPr>
      <w:spacing w:before="113" w:after="113"/>
      <w:jc w:val="center"/>
    </w:pPr>
  </w:style>
  <w:style w:type="character" w:styleId="Hipervnculovisitado">
    <w:name w:val="FollowedHyperlink"/>
    <w:uiPriority w:val="99"/>
    <w:rsid w:val="00A47F9A"/>
    <w:rPr>
      <w:rFonts w:cs="Times New Roman"/>
      <w:color w:val="800080"/>
      <w:u w:val="single"/>
    </w:rPr>
  </w:style>
  <w:style w:type="paragraph" w:customStyle="1" w:styleId="Rec">
    <w:name w:val="Rec_#"/>
    <w:basedOn w:val="Normal"/>
    <w:next w:val="Normal"/>
    <w:uiPriority w:val="99"/>
    <w:rsid w:val="00A47F9A"/>
    <w:pPr>
      <w:keepNext/>
      <w:keepLines/>
      <w:tabs>
        <w:tab w:val="center" w:pos="4849"/>
        <w:tab w:val="right" w:pos="9696"/>
      </w:tabs>
      <w:overflowPunct w:val="0"/>
      <w:autoSpaceDE w:val="0"/>
      <w:autoSpaceDN w:val="0"/>
      <w:adjustRightInd w:val="0"/>
      <w:spacing w:before="720" w:after="0" w:line="240" w:lineRule="auto"/>
      <w:jc w:val="center"/>
      <w:textAlignment w:val="baseline"/>
    </w:pPr>
    <w:rPr>
      <w:rFonts w:ascii="Times New Roman" w:eastAsia="Times New Roman" w:hAnsi="Times New Roman"/>
      <w:sz w:val="24"/>
      <w:szCs w:val="24"/>
      <w:lang w:val="en-GB" w:eastAsia="es-ES"/>
    </w:rPr>
  </w:style>
  <w:style w:type="paragraph" w:styleId="Textoindependiente2">
    <w:name w:val="Body Text 2"/>
    <w:basedOn w:val="Normal"/>
    <w:link w:val="Textoindependiente2Car"/>
    <w:uiPriority w:val="99"/>
    <w:rsid w:val="00A47F9A"/>
    <w:pPr>
      <w:spacing w:after="0" w:line="240" w:lineRule="auto"/>
      <w:jc w:val="both"/>
    </w:pPr>
    <w:rPr>
      <w:rFonts w:eastAsia="Times New Roman"/>
      <w:color w:val="FF0000"/>
      <w:sz w:val="24"/>
      <w:szCs w:val="24"/>
      <w:lang w:eastAsia="es-ES"/>
    </w:rPr>
  </w:style>
  <w:style w:type="character" w:customStyle="1" w:styleId="Textoindependiente2Car">
    <w:name w:val="Texto independiente 2 Car"/>
    <w:link w:val="Textoindependiente2"/>
    <w:uiPriority w:val="99"/>
    <w:rsid w:val="00A47F9A"/>
    <w:rPr>
      <w:rFonts w:eastAsia="Times New Roman" w:cs="Times New Roman"/>
      <w:color w:val="FF0000"/>
      <w:sz w:val="24"/>
      <w:szCs w:val="24"/>
      <w:lang w:eastAsia="es-ES"/>
    </w:rPr>
  </w:style>
  <w:style w:type="paragraph" w:styleId="Textosinformato">
    <w:name w:val="Plain Text"/>
    <w:basedOn w:val="Normal"/>
    <w:link w:val="TextosinformatoCar"/>
    <w:uiPriority w:val="99"/>
    <w:rsid w:val="00A47F9A"/>
    <w:pPr>
      <w:spacing w:after="0" w:line="240" w:lineRule="auto"/>
    </w:pPr>
    <w:rPr>
      <w:rFonts w:ascii="Courier New" w:eastAsia="Times New Roman" w:hAnsi="Courier New"/>
      <w:sz w:val="24"/>
      <w:szCs w:val="24"/>
      <w:lang w:eastAsia="es-ES"/>
    </w:rPr>
  </w:style>
  <w:style w:type="character" w:customStyle="1" w:styleId="TextosinformatoCar">
    <w:name w:val="Texto sin formato Car"/>
    <w:link w:val="Textosinformato"/>
    <w:uiPriority w:val="99"/>
    <w:rsid w:val="00A47F9A"/>
    <w:rPr>
      <w:rFonts w:ascii="Courier New" w:eastAsia="Times New Roman" w:hAnsi="Courier New" w:cs="Times New Roman"/>
      <w:sz w:val="24"/>
      <w:szCs w:val="24"/>
      <w:lang w:eastAsia="es-ES"/>
    </w:rPr>
  </w:style>
  <w:style w:type="paragraph" w:styleId="Textoindependiente3">
    <w:name w:val="Body Text 3"/>
    <w:basedOn w:val="Normal"/>
    <w:link w:val="Textoindependiente3Car"/>
    <w:uiPriority w:val="99"/>
    <w:rsid w:val="00A47F9A"/>
    <w:pPr>
      <w:spacing w:after="0" w:line="240" w:lineRule="auto"/>
      <w:jc w:val="both"/>
    </w:pPr>
    <w:rPr>
      <w:rFonts w:eastAsia="Times New Roman"/>
      <w:color w:val="FF0000"/>
      <w:sz w:val="24"/>
      <w:szCs w:val="24"/>
      <w:lang w:val="es-ES_tradnl" w:eastAsia="es-ES"/>
    </w:rPr>
  </w:style>
  <w:style w:type="character" w:customStyle="1" w:styleId="Textoindependiente3Car">
    <w:name w:val="Texto independiente 3 Car"/>
    <w:link w:val="Textoindependiente3"/>
    <w:uiPriority w:val="99"/>
    <w:rsid w:val="00A47F9A"/>
    <w:rPr>
      <w:rFonts w:eastAsia="Times New Roman" w:cs="Times New Roman"/>
      <w:color w:val="FF0000"/>
      <w:sz w:val="24"/>
      <w:szCs w:val="24"/>
      <w:lang w:val="es-ES_tradnl" w:eastAsia="es-ES"/>
    </w:rPr>
  </w:style>
  <w:style w:type="paragraph" w:customStyle="1" w:styleId="RecTitle">
    <w:name w:val="Rec_Title"/>
    <w:basedOn w:val="Rec"/>
    <w:next w:val="Normal"/>
    <w:uiPriority w:val="99"/>
    <w:rsid w:val="00A47F9A"/>
    <w:pPr>
      <w:spacing w:before="180"/>
    </w:pPr>
    <w:rPr>
      <w:b/>
    </w:rPr>
  </w:style>
  <w:style w:type="paragraph" w:styleId="Sangra3detindependiente">
    <w:name w:val="Body Text Indent 3"/>
    <w:basedOn w:val="Normal"/>
    <w:link w:val="Sangra3detindependienteCar"/>
    <w:uiPriority w:val="99"/>
    <w:rsid w:val="00A47F9A"/>
    <w:pPr>
      <w:spacing w:after="0" w:line="240" w:lineRule="auto"/>
      <w:ind w:left="708"/>
      <w:jc w:val="both"/>
    </w:pPr>
    <w:rPr>
      <w:rFonts w:eastAsia="Times New Roman"/>
      <w:sz w:val="24"/>
      <w:szCs w:val="24"/>
      <w:lang w:val="es-ES_tradnl" w:eastAsia="es-ES"/>
    </w:rPr>
  </w:style>
  <w:style w:type="character" w:customStyle="1" w:styleId="Sangra3detindependienteCar">
    <w:name w:val="Sangría 3 de t. independiente Car"/>
    <w:link w:val="Sangra3detindependiente"/>
    <w:uiPriority w:val="99"/>
    <w:rsid w:val="00A47F9A"/>
    <w:rPr>
      <w:rFonts w:eastAsia="Times New Roman" w:cs="Times New Roman"/>
      <w:sz w:val="24"/>
      <w:szCs w:val="24"/>
      <w:lang w:val="es-ES_tradnl" w:eastAsia="es-ES"/>
    </w:rPr>
  </w:style>
  <w:style w:type="character" w:styleId="Refdecomentario">
    <w:name w:val="annotation reference"/>
    <w:uiPriority w:val="99"/>
    <w:rsid w:val="00A47F9A"/>
    <w:rPr>
      <w:rFonts w:cs="Times New Roman"/>
      <w:sz w:val="16"/>
    </w:rPr>
  </w:style>
  <w:style w:type="character" w:styleId="AcrnimoHTML">
    <w:name w:val="HTML Acronym"/>
    <w:uiPriority w:val="99"/>
    <w:rsid w:val="00A47F9A"/>
    <w:rPr>
      <w:rFonts w:cs="Times New Roman"/>
    </w:rPr>
  </w:style>
  <w:style w:type="paragraph" w:customStyle="1" w:styleId="NormalBulletLevel2">
    <w:name w:val="Normal Bullet Level 2"/>
    <w:basedOn w:val="Normal"/>
    <w:next w:val="Normal"/>
    <w:uiPriority w:val="99"/>
    <w:rsid w:val="00290D8F"/>
    <w:pPr>
      <w:numPr>
        <w:numId w:val="1"/>
      </w:numPr>
      <w:tabs>
        <w:tab w:val="clear" w:pos="9000"/>
      </w:tabs>
      <w:spacing w:before="60" w:after="60" w:line="240" w:lineRule="auto"/>
      <w:ind w:left="4680"/>
    </w:pPr>
    <w:rPr>
      <w:rFonts w:ascii="Garamond" w:eastAsia="Times New Roman" w:hAnsi="Garamond"/>
      <w:lang w:val="en-US"/>
    </w:rPr>
  </w:style>
  <w:style w:type="paragraph" w:customStyle="1" w:styleId="NormalBulletChar">
    <w:name w:val="Normal Bullet Char"/>
    <w:basedOn w:val="Normal"/>
    <w:uiPriority w:val="99"/>
    <w:rsid w:val="00290D8F"/>
    <w:pPr>
      <w:numPr>
        <w:numId w:val="2"/>
      </w:numPr>
      <w:spacing w:before="60" w:after="60" w:line="240" w:lineRule="auto"/>
    </w:pPr>
    <w:rPr>
      <w:rFonts w:ascii="Garamond" w:eastAsia="Times New Roman" w:hAnsi="Garamond"/>
      <w:lang w:val="en-US"/>
    </w:rPr>
  </w:style>
  <w:style w:type="paragraph" w:customStyle="1" w:styleId="AppendixHeading1">
    <w:name w:val="Appendix Heading 1"/>
    <w:basedOn w:val="Normal"/>
    <w:autoRedefine/>
    <w:uiPriority w:val="99"/>
    <w:rsid w:val="00A47F9A"/>
    <w:pPr>
      <w:keepNext/>
      <w:tabs>
        <w:tab w:val="left" w:pos="0"/>
        <w:tab w:val="num" w:pos="648"/>
      </w:tabs>
      <w:spacing w:before="240" w:after="60" w:line="240" w:lineRule="auto"/>
      <w:ind w:left="648" w:hanging="1296"/>
      <w:outlineLvl w:val="0"/>
    </w:pPr>
    <w:rPr>
      <w:rFonts w:eastAsia="Times New Roman"/>
      <w:b/>
      <w:sz w:val="28"/>
      <w:szCs w:val="24"/>
      <w:lang w:val="en-US"/>
    </w:rPr>
  </w:style>
  <w:style w:type="paragraph" w:customStyle="1" w:styleId="AppendixHeading2">
    <w:name w:val="Appendix Heading 2"/>
    <w:basedOn w:val="Ttulo2"/>
    <w:uiPriority w:val="99"/>
    <w:rsid w:val="00A47F9A"/>
    <w:pPr>
      <w:tabs>
        <w:tab w:val="num" w:pos="0"/>
      </w:tabs>
      <w:ind w:hanging="792"/>
      <w:jc w:val="left"/>
    </w:pPr>
    <w:rPr>
      <w:lang w:val="en-US"/>
    </w:rPr>
  </w:style>
  <w:style w:type="paragraph" w:customStyle="1" w:styleId="AppendixHeading3">
    <w:name w:val="Appendix Heading 3"/>
    <w:basedOn w:val="AppendixHeading2"/>
    <w:uiPriority w:val="99"/>
    <w:rsid w:val="00A47F9A"/>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A47F9A"/>
    <w:pPr>
      <w:keepNext/>
      <w:spacing w:before="40" w:after="40" w:line="240" w:lineRule="auto"/>
    </w:pPr>
    <w:rPr>
      <w:rFonts w:eastAsia="Times New Roman" w:cs="Arial"/>
      <w:b/>
      <w:bCs/>
      <w:sz w:val="18"/>
      <w:szCs w:val="24"/>
      <w:lang w:val="en-US"/>
    </w:rPr>
  </w:style>
  <w:style w:type="paragraph" w:styleId="Listaconvietas">
    <w:name w:val="List Bullet"/>
    <w:basedOn w:val="Normal"/>
    <w:autoRedefine/>
    <w:uiPriority w:val="99"/>
    <w:qFormat/>
    <w:rsid w:val="00A47F9A"/>
    <w:pPr>
      <w:tabs>
        <w:tab w:val="num" w:pos="360"/>
      </w:tabs>
      <w:spacing w:after="0" w:line="240" w:lineRule="auto"/>
      <w:ind w:left="360" w:hanging="360"/>
    </w:pPr>
    <w:rPr>
      <w:rFonts w:ascii="Times New Roman" w:eastAsia="Times New Roman" w:hAnsi="Times New Roman"/>
      <w:sz w:val="24"/>
      <w:szCs w:val="24"/>
      <w:lang w:val="es-ES_tradnl" w:eastAsia="es-ES"/>
    </w:rPr>
  </w:style>
  <w:style w:type="paragraph" w:styleId="Epgrafe">
    <w:name w:val="caption"/>
    <w:aliases w:val="TF,cap"/>
    <w:basedOn w:val="Normal"/>
    <w:next w:val="Normal"/>
    <w:uiPriority w:val="99"/>
    <w:qFormat/>
    <w:rsid w:val="00A47F9A"/>
    <w:pPr>
      <w:keepNext/>
      <w:spacing w:before="120" w:after="120" w:line="240" w:lineRule="auto"/>
    </w:pPr>
    <w:rPr>
      <w:rFonts w:eastAsia="Times New Roman"/>
      <w:b/>
      <w:bCs/>
      <w:sz w:val="24"/>
      <w:szCs w:val="24"/>
      <w:lang w:val="en-US"/>
    </w:rPr>
  </w:style>
  <w:style w:type="paragraph" w:styleId="Asuntodelcomentario">
    <w:name w:val="annotation subject"/>
    <w:basedOn w:val="Textocomentario"/>
    <w:next w:val="Textocomentario"/>
    <w:link w:val="AsuntodelcomentarioCar"/>
    <w:uiPriority w:val="99"/>
    <w:rsid w:val="00A47F9A"/>
    <w:pPr>
      <w:tabs>
        <w:tab w:val="clear" w:pos="794"/>
        <w:tab w:val="clear" w:pos="1191"/>
        <w:tab w:val="clear" w:pos="1588"/>
        <w:tab w:val="clear" w:pos="1985"/>
      </w:tabs>
      <w:spacing w:before="0"/>
      <w:jc w:val="left"/>
    </w:pPr>
    <w:rPr>
      <w:b/>
      <w:bCs/>
    </w:rPr>
  </w:style>
  <w:style w:type="character" w:customStyle="1" w:styleId="AsuntodelcomentarioCar">
    <w:name w:val="Asunto del comentario Car"/>
    <w:link w:val="Asuntodelcomentario"/>
    <w:uiPriority w:val="99"/>
    <w:rsid w:val="00A47F9A"/>
    <w:rPr>
      <w:rFonts w:eastAsia="Times New Roman" w:cs="Times New Roman"/>
      <w:b/>
      <w:bCs/>
      <w:sz w:val="24"/>
      <w:szCs w:val="24"/>
      <w:lang w:val="es-ES_tradnl" w:eastAsia="es-ES"/>
    </w:rPr>
  </w:style>
  <w:style w:type="paragraph" w:styleId="Textodeglobo">
    <w:name w:val="Balloon Text"/>
    <w:basedOn w:val="Normal"/>
    <w:link w:val="TextodegloboCar"/>
    <w:uiPriority w:val="99"/>
    <w:rsid w:val="00A47F9A"/>
    <w:pPr>
      <w:spacing w:after="0" w:line="240" w:lineRule="auto"/>
    </w:pPr>
    <w:rPr>
      <w:rFonts w:ascii="Tahoma" w:eastAsia="Times New Roman" w:hAnsi="Tahoma" w:cs="Tahoma"/>
      <w:sz w:val="16"/>
      <w:szCs w:val="16"/>
      <w:lang w:val="es-ES_tradnl" w:eastAsia="es-ES"/>
    </w:rPr>
  </w:style>
  <w:style w:type="character" w:customStyle="1" w:styleId="TextodegloboCar">
    <w:name w:val="Texto de globo Car"/>
    <w:link w:val="Textodeglobo"/>
    <w:uiPriority w:val="99"/>
    <w:rsid w:val="00A47F9A"/>
    <w:rPr>
      <w:rFonts w:ascii="Tahoma" w:eastAsia="Times New Roman" w:hAnsi="Tahoma" w:cs="Tahoma"/>
      <w:sz w:val="16"/>
      <w:szCs w:val="16"/>
      <w:lang w:val="es-ES_tradnl" w:eastAsia="es-ES"/>
    </w:rPr>
  </w:style>
  <w:style w:type="paragraph" w:customStyle="1" w:styleId="headingi">
    <w:name w:val="heading_i"/>
    <w:basedOn w:val="Ttulo3"/>
    <w:next w:val="Normal"/>
    <w:uiPriority w:val="99"/>
    <w:rsid w:val="00A47F9A"/>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A47F9A"/>
    <w:pPr>
      <w:keepNext/>
      <w:keepLines/>
      <w:overflowPunct w:val="0"/>
      <w:autoSpaceDE w:val="0"/>
      <w:autoSpaceDN w:val="0"/>
      <w:adjustRightInd w:val="0"/>
      <w:spacing w:before="60" w:after="180" w:line="240" w:lineRule="auto"/>
      <w:jc w:val="center"/>
      <w:textAlignment w:val="baseline"/>
    </w:pPr>
    <w:rPr>
      <w:rFonts w:eastAsia="Times New Roman"/>
      <w:b/>
      <w:sz w:val="24"/>
      <w:szCs w:val="24"/>
      <w:lang w:val="en-GB"/>
    </w:rPr>
  </w:style>
  <w:style w:type="table" w:styleId="Tablaconcuadrcula">
    <w:name w:val="Table Grid"/>
    <w:basedOn w:val="Tablanormal"/>
    <w:uiPriority w:val="39"/>
    <w:rsid w:val="00A47F9A"/>
    <w:rPr>
      <w:rFonts w:ascii="Arial" w:eastAsia="Times New Roman" w:hAnsi="Arial"/>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A47F9A"/>
    <w:rPr>
      <w:rFonts w:eastAsia="Times New Roman"/>
      <w:b/>
      <w:bCs/>
      <w:szCs w:val="24"/>
      <w:lang w:val="es-ES_tradnl" w:eastAsia="es-ES"/>
    </w:rPr>
  </w:style>
  <w:style w:type="paragraph" w:customStyle="1" w:styleId="aOpcional">
    <w:name w:val="aOpcional"/>
    <w:basedOn w:val="Normal"/>
    <w:uiPriority w:val="99"/>
    <w:rsid w:val="00290D8F"/>
    <w:pPr>
      <w:numPr>
        <w:numId w:val="4"/>
      </w:numPr>
      <w:tabs>
        <w:tab w:val="left" w:pos="794"/>
        <w:tab w:val="left" w:pos="1191"/>
        <w:tab w:val="left" w:pos="1588"/>
        <w:tab w:val="left" w:pos="1985"/>
      </w:tabs>
      <w:spacing w:before="136" w:after="0" w:line="240" w:lineRule="auto"/>
      <w:jc w:val="both"/>
    </w:pPr>
    <w:rPr>
      <w:rFonts w:eastAsia="Times New Roman"/>
      <w:sz w:val="24"/>
      <w:szCs w:val="24"/>
    </w:rPr>
  </w:style>
  <w:style w:type="character" w:customStyle="1" w:styleId="st1">
    <w:name w:val="st1"/>
    <w:uiPriority w:val="99"/>
    <w:rsid w:val="00A47F9A"/>
    <w:rPr>
      <w:rFonts w:cs="Times New Roman"/>
    </w:rPr>
  </w:style>
  <w:style w:type="paragraph" w:customStyle="1" w:styleId="ARequeridoR">
    <w:name w:val="A Requerido (R)"/>
    <w:basedOn w:val="Normal"/>
    <w:next w:val="Normal"/>
    <w:uiPriority w:val="99"/>
    <w:rsid w:val="00290D8F"/>
    <w:pPr>
      <w:keepLines/>
      <w:numPr>
        <w:numId w:val="5"/>
      </w:numPr>
      <w:tabs>
        <w:tab w:val="left" w:pos="794"/>
        <w:tab w:val="left" w:pos="1191"/>
        <w:tab w:val="left" w:pos="1588"/>
        <w:tab w:val="left" w:pos="1985"/>
      </w:tabs>
      <w:spacing w:before="136" w:after="0" w:line="240" w:lineRule="auto"/>
      <w:jc w:val="both"/>
    </w:pPr>
    <w:rPr>
      <w:rFonts w:eastAsia="Times New Roman"/>
      <w:sz w:val="24"/>
      <w:szCs w:val="24"/>
    </w:rPr>
  </w:style>
  <w:style w:type="paragraph" w:styleId="Ttulo">
    <w:name w:val="Title"/>
    <w:basedOn w:val="Normal"/>
    <w:link w:val="TtuloCar"/>
    <w:uiPriority w:val="99"/>
    <w:qFormat/>
    <w:rsid w:val="00A47F9A"/>
    <w:pPr>
      <w:spacing w:before="240" w:after="60" w:line="240" w:lineRule="auto"/>
      <w:jc w:val="center"/>
      <w:outlineLvl w:val="0"/>
    </w:pPr>
    <w:rPr>
      <w:rFonts w:eastAsia="Times New Roman"/>
      <w:b/>
      <w:kern w:val="28"/>
      <w:sz w:val="32"/>
      <w:szCs w:val="24"/>
      <w:lang w:val="es-ES_tradnl" w:eastAsia="es-ES"/>
    </w:rPr>
  </w:style>
  <w:style w:type="character" w:customStyle="1" w:styleId="TtuloCar">
    <w:name w:val="Título Car"/>
    <w:link w:val="Ttulo"/>
    <w:uiPriority w:val="99"/>
    <w:rsid w:val="00A47F9A"/>
    <w:rPr>
      <w:rFonts w:eastAsia="Times New Roman" w:cs="Times New Roman"/>
      <w:b/>
      <w:kern w:val="28"/>
      <w:sz w:val="32"/>
      <w:szCs w:val="24"/>
      <w:lang w:val="es-ES_tradnl" w:eastAsia="es-ES"/>
    </w:rPr>
  </w:style>
  <w:style w:type="paragraph" w:customStyle="1" w:styleId="Arial14Bold">
    <w:name w:val="Arial14Bold"/>
    <w:basedOn w:val="Normal"/>
    <w:uiPriority w:val="99"/>
    <w:rsid w:val="00A47F9A"/>
    <w:pPr>
      <w:spacing w:after="0" w:line="240" w:lineRule="auto"/>
      <w:jc w:val="both"/>
    </w:pPr>
    <w:rPr>
      <w:rFonts w:eastAsia="Times New Roman"/>
      <w:b/>
      <w:sz w:val="28"/>
      <w:szCs w:val="24"/>
      <w:lang w:val="es-ES_tradnl" w:eastAsia="es-ES"/>
    </w:rPr>
  </w:style>
  <w:style w:type="paragraph" w:customStyle="1" w:styleId="Note">
    <w:name w:val="Note"/>
    <w:basedOn w:val="Normal"/>
    <w:uiPriority w:val="99"/>
    <w:rsid w:val="00A47F9A"/>
    <w:pPr>
      <w:tabs>
        <w:tab w:val="left" w:pos="1191"/>
        <w:tab w:val="left" w:pos="1588"/>
        <w:tab w:val="left" w:pos="1985"/>
      </w:tabs>
      <w:spacing w:before="136" w:after="0" w:line="240" w:lineRule="auto"/>
      <w:ind w:firstLine="567"/>
      <w:jc w:val="both"/>
    </w:pPr>
    <w:rPr>
      <w:rFonts w:eastAsia="Times New Roman"/>
      <w:szCs w:val="24"/>
      <w:lang w:val="es-ES_tradnl" w:eastAsia="es-ES"/>
    </w:rPr>
  </w:style>
  <w:style w:type="paragraph" w:customStyle="1" w:styleId="TableTitle">
    <w:name w:val="Table_Title"/>
    <w:basedOn w:val="Normal"/>
    <w:next w:val="TableText"/>
    <w:uiPriority w:val="99"/>
    <w:rsid w:val="00A47F9A"/>
    <w:pPr>
      <w:keepNext/>
      <w:tabs>
        <w:tab w:val="left" w:pos="794"/>
        <w:tab w:val="left" w:pos="1191"/>
        <w:tab w:val="left" w:pos="1588"/>
        <w:tab w:val="left" w:pos="1985"/>
      </w:tabs>
      <w:spacing w:after="113" w:line="240" w:lineRule="auto"/>
      <w:jc w:val="center"/>
    </w:pPr>
    <w:rPr>
      <w:rFonts w:eastAsia="Times New Roman"/>
      <w:b/>
      <w:sz w:val="24"/>
      <w:szCs w:val="24"/>
      <w:lang w:val="es-ES_tradnl" w:eastAsia="es-ES"/>
    </w:rPr>
  </w:style>
  <w:style w:type="paragraph" w:customStyle="1" w:styleId="FigureNo">
    <w:name w:val="Figure_No"/>
    <w:basedOn w:val="Normal"/>
    <w:next w:val="Normal"/>
    <w:uiPriority w:val="99"/>
    <w:rsid w:val="00A47F9A"/>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sz w:val="24"/>
      <w:szCs w:val="24"/>
      <w:lang w:val="es-ES" w:eastAsia="es-ES"/>
    </w:rPr>
  </w:style>
  <w:style w:type="paragraph" w:customStyle="1" w:styleId="Figuretitle">
    <w:name w:val="Figure_title"/>
    <w:basedOn w:val="TableTitle"/>
    <w:next w:val="Normal"/>
    <w:uiPriority w:val="99"/>
    <w:rsid w:val="00A47F9A"/>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A47F9A"/>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A47F9A"/>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sz w:val="24"/>
      <w:szCs w:val="24"/>
      <w:lang w:val="en-US" w:eastAsia="es-ES"/>
    </w:rPr>
  </w:style>
  <w:style w:type="paragraph" w:customStyle="1" w:styleId="CouvRecTitle">
    <w:name w:val="Couv Rec Title"/>
    <w:basedOn w:val="Normal"/>
    <w:uiPriority w:val="99"/>
    <w:rsid w:val="00A47F9A"/>
    <w:pPr>
      <w:keepNext/>
      <w:keepLines/>
      <w:spacing w:before="240" w:after="0" w:line="240" w:lineRule="auto"/>
      <w:ind w:left="1418"/>
    </w:pPr>
    <w:rPr>
      <w:rFonts w:eastAsia="Times New Roman"/>
      <w:b/>
      <w:sz w:val="36"/>
      <w:szCs w:val="24"/>
      <w:lang w:val="en-US" w:eastAsia="es-ES"/>
    </w:rPr>
  </w:style>
  <w:style w:type="paragraph" w:styleId="Mapadeldocumento">
    <w:name w:val="Document Map"/>
    <w:basedOn w:val="Normal"/>
    <w:link w:val="MapadeldocumentoCar"/>
    <w:uiPriority w:val="99"/>
    <w:semiHidden/>
    <w:rsid w:val="00A47F9A"/>
    <w:pPr>
      <w:shd w:val="clear" w:color="auto" w:fill="000080"/>
      <w:spacing w:after="0" w:line="240" w:lineRule="auto"/>
    </w:pPr>
    <w:rPr>
      <w:rFonts w:ascii="Tahoma" w:eastAsia="Times New Roman" w:hAnsi="Tahoma"/>
      <w:sz w:val="24"/>
      <w:szCs w:val="24"/>
      <w:lang w:val="es-ES" w:eastAsia="es-ES"/>
    </w:rPr>
  </w:style>
  <w:style w:type="character" w:customStyle="1" w:styleId="MapadeldocumentoCar">
    <w:name w:val="Mapa del documento Car"/>
    <w:link w:val="Mapadeldocumento"/>
    <w:uiPriority w:val="99"/>
    <w:semiHidden/>
    <w:rsid w:val="00A47F9A"/>
    <w:rPr>
      <w:rFonts w:ascii="Tahoma" w:eastAsia="Times New Roman" w:hAnsi="Tahoma" w:cs="Times New Roman"/>
      <w:sz w:val="24"/>
      <w:szCs w:val="24"/>
      <w:shd w:val="clear" w:color="auto" w:fill="000080"/>
      <w:lang w:val="es-ES" w:eastAsia="es-ES"/>
    </w:rPr>
  </w:style>
  <w:style w:type="paragraph" w:styleId="NormalWeb">
    <w:name w:val="Normal (Web)"/>
    <w:basedOn w:val="Normal"/>
    <w:uiPriority w:val="99"/>
    <w:rsid w:val="00A47F9A"/>
    <w:pPr>
      <w:spacing w:before="100" w:beforeAutospacing="1" w:after="100" w:afterAutospacing="1" w:line="240" w:lineRule="auto"/>
    </w:pPr>
    <w:rPr>
      <w:rFonts w:ascii="Times New Roman" w:eastAsia="Times New Roman" w:hAnsi="Times New Roman"/>
      <w:color w:val="000000"/>
      <w:sz w:val="24"/>
      <w:szCs w:val="24"/>
      <w:lang w:val="es-ES" w:eastAsia="es-ES"/>
    </w:rPr>
  </w:style>
  <w:style w:type="character" w:styleId="Textoennegrita">
    <w:name w:val="Strong"/>
    <w:uiPriority w:val="99"/>
    <w:qFormat/>
    <w:rsid w:val="00A47F9A"/>
    <w:rPr>
      <w:rFonts w:cs="Times New Roman"/>
      <w:b/>
      <w:bCs/>
    </w:rPr>
  </w:style>
  <w:style w:type="character" w:customStyle="1" w:styleId="a1">
    <w:name w:val="a1"/>
    <w:uiPriority w:val="99"/>
    <w:rsid w:val="00A47F9A"/>
    <w:rPr>
      <w:rFonts w:cs="Times New Roman"/>
      <w:bdr w:val="none" w:sz="0" w:space="0" w:color="auto" w:frame="1"/>
    </w:rPr>
  </w:style>
  <w:style w:type="character" w:customStyle="1" w:styleId="l15">
    <w:name w:val="l15"/>
    <w:uiPriority w:val="99"/>
    <w:rsid w:val="00A47F9A"/>
    <w:rPr>
      <w:rFonts w:cs="Times New Roman"/>
      <w:bdr w:val="none" w:sz="0" w:space="0" w:color="auto" w:frame="1"/>
    </w:rPr>
  </w:style>
  <w:style w:type="character" w:customStyle="1" w:styleId="l82">
    <w:name w:val="l82"/>
    <w:uiPriority w:val="99"/>
    <w:rsid w:val="00A47F9A"/>
    <w:rPr>
      <w:rFonts w:cs="Times New Roman"/>
      <w:bdr w:val="none" w:sz="0" w:space="0" w:color="auto" w:frame="1"/>
    </w:rPr>
  </w:style>
  <w:style w:type="character" w:customStyle="1" w:styleId="l62">
    <w:name w:val="l62"/>
    <w:uiPriority w:val="99"/>
    <w:rsid w:val="00A47F9A"/>
    <w:rPr>
      <w:rFonts w:cs="Times New Roman"/>
      <w:bdr w:val="none" w:sz="0" w:space="0" w:color="auto" w:frame="1"/>
    </w:rPr>
  </w:style>
  <w:style w:type="character" w:customStyle="1" w:styleId="l122">
    <w:name w:val="l122"/>
    <w:uiPriority w:val="99"/>
    <w:rsid w:val="00A47F9A"/>
    <w:rPr>
      <w:rFonts w:cs="Times New Roman"/>
      <w:bdr w:val="none" w:sz="0" w:space="0" w:color="auto" w:frame="1"/>
    </w:rPr>
  </w:style>
  <w:style w:type="character" w:customStyle="1" w:styleId="l102">
    <w:name w:val="l102"/>
    <w:uiPriority w:val="99"/>
    <w:rsid w:val="00A47F9A"/>
    <w:rPr>
      <w:rFonts w:cs="Times New Roman"/>
      <w:bdr w:val="none" w:sz="0" w:space="0" w:color="auto" w:frame="1"/>
    </w:rPr>
  </w:style>
  <w:style w:type="character" w:customStyle="1" w:styleId="l72">
    <w:name w:val="l72"/>
    <w:uiPriority w:val="99"/>
    <w:rsid w:val="00A47F9A"/>
    <w:rPr>
      <w:rFonts w:cs="Times New Roman"/>
      <w:bdr w:val="none" w:sz="0" w:space="0" w:color="auto" w:frame="1"/>
    </w:rPr>
  </w:style>
  <w:style w:type="character" w:customStyle="1" w:styleId="l92">
    <w:name w:val="l92"/>
    <w:uiPriority w:val="99"/>
    <w:rsid w:val="00A47F9A"/>
    <w:rPr>
      <w:rFonts w:cs="Times New Roman"/>
      <w:bdr w:val="none" w:sz="0" w:space="0" w:color="auto" w:frame="1"/>
    </w:rPr>
  </w:style>
  <w:style w:type="character" w:customStyle="1" w:styleId="caps2">
    <w:name w:val="caps2"/>
    <w:uiPriority w:val="99"/>
    <w:rsid w:val="00A47F9A"/>
    <w:rPr>
      <w:rFonts w:cs="Times New Roman"/>
    </w:rPr>
  </w:style>
  <w:style w:type="paragraph" w:styleId="Prrafodelista">
    <w:name w:val="List Paragraph"/>
    <w:aliases w:val="prueba1,List Paragraph"/>
    <w:basedOn w:val="Normal"/>
    <w:link w:val="PrrafodelistaCar"/>
    <w:uiPriority w:val="34"/>
    <w:qFormat/>
    <w:rsid w:val="00A47F9A"/>
    <w:pPr>
      <w:spacing w:after="0" w:line="240" w:lineRule="auto"/>
      <w:ind w:left="708"/>
    </w:pPr>
    <w:rPr>
      <w:rFonts w:eastAsia="Times New Roman"/>
      <w:sz w:val="24"/>
      <w:szCs w:val="24"/>
      <w:lang w:val="es-ES_tradnl" w:eastAsia="es-ES"/>
    </w:rPr>
  </w:style>
  <w:style w:type="paragraph" w:customStyle="1" w:styleId="DIDCAP">
    <w:name w:val="DID CAP"/>
    <w:basedOn w:val="Normal"/>
    <w:link w:val="DIDCAPCar"/>
    <w:rsid w:val="00A47F9A"/>
    <w:pPr>
      <w:spacing w:after="0" w:line="240" w:lineRule="auto"/>
      <w:jc w:val="both"/>
    </w:pPr>
    <w:rPr>
      <w:rFonts w:eastAsia="Times New Roman"/>
      <w:b/>
      <w:sz w:val="32"/>
      <w:szCs w:val="24"/>
      <w:lang w:val="es-ES_tradnl" w:eastAsia="es-ES"/>
    </w:rPr>
  </w:style>
  <w:style w:type="character" w:customStyle="1" w:styleId="DIDCAPCar">
    <w:name w:val="DID CAP Car"/>
    <w:link w:val="DIDCAP"/>
    <w:locked/>
    <w:rsid w:val="00A47F9A"/>
    <w:rPr>
      <w:rFonts w:eastAsia="Times New Roman" w:cs="Times New Roman"/>
      <w:b/>
      <w:sz w:val="32"/>
      <w:szCs w:val="24"/>
      <w:lang w:val="es-ES_tradnl" w:eastAsia="es-ES"/>
    </w:rPr>
  </w:style>
  <w:style w:type="paragraph" w:customStyle="1" w:styleId="Texto1">
    <w:name w:val="Texto 1"/>
    <w:basedOn w:val="Normal"/>
    <w:uiPriority w:val="99"/>
    <w:rsid w:val="00A47F9A"/>
    <w:pPr>
      <w:spacing w:after="0" w:line="240" w:lineRule="auto"/>
      <w:ind w:left="352"/>
      <w:jc w:val="both"/>
    </w:pPr>
    <w:rPr>
      <w:rFonts w:eastAsia="Times New Roman"/>
      <w:sz w:val="24"/>
      <w:szCs w:val="24"/>
      <w:lang w:val="es-ES_tradnl"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A47F9A"/>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A47F9A"/>
    <w:rPr>
      <w:rFonts w:ascii="Arial" w:hAnsi="Arial" w:cs="Times New Roman"/>
      <w:b/>
      <w:sz w:val="20"/>
      <w:szCs w:val="20"/>
      <w:lang w:val="es-MX" w:eastAsia="es-ES"/>
    </w:rPr>
  </w:style>
  <w:style w:type="character" w:customStyle="1" w:styleId="ttCar">
    <w:name w:val="tt Car"/>
    <w:aliases w:val="h9 Car,Appendix2 Car,Appendix21 Car,table title Car Car"/>
    <w:uiPriority w:val="99"/>
    <w:locked/>
    <w:rsid w:val="00A47F9A"/>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A47F9A"/>
    <w:rPr>
      <w:rFonts w:ascii="Calibri" w:hAnsi="Calibri" w:cs="Times New Roman"/>
      <w:b/>
      <w:bCs/>
      <w:i/>
      <w:iCs/>
      <w:sz w:val="26"/>
      <w:szCs w:val="26"/>
      <w:lang w:val="es-MX"/>
    </w:rPr>
  </w:style>
  <w:style w:type="paragraph" w:customStyle="1" w:styleId="Cabeceraypie">
    <w:name w:val="Cabecera y pie"/>
    <w:uiPriority w:val="99"/>
    <w:rsid w:val="00290D8F"/>
    <w:pPr>
      <w:tabs>
        <w:tab w:val="right" w:pos="9632"/>
      </w:tabs>
    </w:pPr>
    <w:rPr>
      <w:rFonts w:ascii="Helvetica" w:eastAsia="Times New Roman" w:hAnsi="Helvetica"/>
      <w:color w:val="000000"/>
      <w:sz w:val="24"/>
      <w:szCs w:val="24"/>
      <w:lang w:val="es-ES_tradnl"/>
    </w:rPr>
  </w:style>
  <w:style w:type="paragraph" w:customStyle="1" w:styleId="Formatolibre">
    <w:name w:val="Formato libre"/>
    <w:rsid w:val="00290D8F"/>
    <w:rPr>
      <w:rFonts w:ascii="Helvetica" w:eastAsia="Times New Roman" w:hAnsi="Helvetica"/>
      <w:color w:val="000000"/>
      <w:sz w:val="24"/>
      <w:szCs w:val="24"/>
      <w:lang w:val="es-ES_tradnl"/>
    </w:rPr>
  </w:style>
  <w:style w:type="paragraph" w:customStyle="1" w:styleId="Encabezamiento2">
    <w:name w:val="Encabezamiento 2"/>
    <w:next w:val="Cuerpo"/>
    <w:uiPriority w:val="99"/>
    <w:rsid w:val="00290D8F"/>
    <w:pPr>
      <w:keepNext/>
      <w:outlineLvl w:val="1"/>
    </w:pPr>
    <w:rPr>
      <w:rFonts w:ascii="Helvetica" w:eastAsia="Times New Roman" w:hAnsi="Helvetica"/>
      <w:b/>
      <w:color w:val="000000"/>
      <w:sz w:val="24"/>
      <w:szCs w:val="24"/>
      <w:lang w:val="es-ES_tradnl"/>
    </w:rPr>
  </w:style>
  <w:style w:type="paragraph" w:customStyle="1" w:styleId="Cuerpo">
    <w:name w:val="Cuerpo"/>
    <w:uiPriority w:val="99"/>
    <w:rsid w:val="00290D8F"/>
    <w:rPr>
      <w:rFonts w:ascii="Helvetica" w:eastAsia="Times New Roman" w:hAnsi="Helvetica"/>
      <w:color w:val="000000"/>
      <w:sz w:val="24"/>
      <w:szCs w:val="24"/>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A47F9A"/>
    <w:rPr>
      <w:rFonts w:ascii="Arial" w:hAnsi="Arial"/>
      <w:b/>
      <w:sz w:val="28"/>
    </w:rPr>
  </w:style>
  <w:style w:type="paragraph" w:customStyle="1" w:styleId="Default">
    <w:name w:val="Default"/>
    <w:rsid w:val="00290D8F"/>
    <w:rPr>
      <w:rFonts w:ascii="Arial" w:eastAsia="Times New Roman" w:hAnsi="Arial"/>
      <w:color w:val="000000"/>
      <w:sz w:val="24"/>
      <w:szCs w:val="24"/>
      <w:lang w:val="es-ES" w:eastAsia="es-ES"/>
    </w:rPr>
  </w:style>
  <w:style w:type="paragraph" w:customStyle="1" w:styleId="Text">
    <w:name w:val="Text"/>
    <w:aliases w:val="t"/>
    <w:basedOn w:val="Normal"/>
    <w:uiPriority w:val="99"/>
    <w:rsid w:val="00A47F9A"/>
    <w:pPr>
      <w:widowControl w:val="0"/>
      <w:spacing w:before="60" w:after="60" w:line="360" w:lineRule="auto"/>
      <w:jc w:val="both"/>
    </w:pPr>
    <w:rPr>
      <w:rFonts w:eastAsia="Times New Roman"/>
      <w:szCs w:val="24"/>
      <w:lang w:val="en-US" w:eastAsia="de-DE"/>
    </w:rPr>
  </w:style>
  <w:style w:type="paragraph" w:styleId="Firmadecorreoelectrnico">
    <w:name w:val="E-mail Signature"/>
    <w:basedOn w:val="Normal"/>
    <w:link w:val="FirmadecorreoelectrnicoCar"/>
    <w:uiPriority w:val="99"/>
    <w:rsid w:val="00A47F9A"/>
    <w:pPr>
      <w:spacing w:after="0" w:line="240" w:lineRule="auto"/>
      <w:jc w:val="both"/>
    </w:pPr>
    <w:rPr>
      <w:rFonts w:eastAsia="Times New Roman"/>
      <w:sz w:val="24"/>
      <w:szCs w:val="24"/>
      <w:lang w:eastAsia="es-ES"/>
    </w:rPr>
  </w:style>
  <w:style w:type="character" w:customStyle="1" w:styleId="FirmadecorreoelectrnicoCar">
    <w:name w:val="Firma de correo electrónico Car"/>
    <w:link w:val="Firmadecorreoelectrnico"/>
    <w:uiPriority w:val="99"/>
    <w:rsid w:val="00A47F9A"/>
    <w:rPr>
      <w:rFonts w:eastAsia="Times New Roman" w:cs="Times New Roman"/>
      <w:sz w:val="24"/>
      <w:szCs w:val="24"/>
      <w:lang w:eastAsia="es-ES"/>
    </w:rPr>
  </w:style>
  <w:style w:type="character" w:customStyle="1" w:styleId="EstiloCorreo115">
    <w:name w:val="EstiloCorreo115"/>
    <w:uiPriority w:val="99"/>
    <w:rsid w:val="00A47F9A"/>
    <w:rPr>
      <w:rFonts w:ascii="Arial" w:hAnsi="Arial"/>
      <w:color w:val="000000"/>
      <w:sz w:val="20"/>
    </w:rPr>
  </w:style>
  <w:style w:type="paragraph" w:customStyle="1" w:styleId="Propos">
    <w:name w:val="Propos"/>
    <w:uiPriority w:val="99"/>
    <w:rsid w:val="00290D8F"/>
    <w:pPr>
      <w:spacing w:before="120"/>
      <w:jc w:val="both"/>
    </w:pPr>
    <w:rPr>
      <w:rFonts w:ascii="Arial" w:eastAsia="Times New Roman" w:hAnsi="Arial"/>
      <w:sz w:val="24"/>
      <w:szCs w:val="24"/>
      <w:lang w:val="fr-FR" w:eastAsia="es-ES"/>
    </w:rPr>
  </w:style>
  <w:style w:type="character" w:customStyle="1" w:styleId="WW-Refdecomentario">
    <w:name w:val="WW-Ref. de comentario"/>
    <w:uiPriority w:val="99"/>
    <w:rsid w:val="00A47F9A"/>
    <w:rPr>
      <w:sz w:val="16"/>
    </w:rPr>
  </w:style>
  <w:style w:type="paragraph" w:customStyle="1" w:styleId="ndice">
    <w:name w:val="Índice"/>
    <w:basedOn w:val="Normal"/>
    <w:uiPriority w:val="99"/>
    <w:rsid w:val="00A47F9A"/>
    <w:pPr>
      <w:suppressLineNumbers/>
      <w:suppressAutoHyphens/>
      <w:spacing w:after="0" w:line="240" w:lineRule="auto"/>
      <w:jc w:val="both"/>
    </w:pPr>
    <w:rPr>
      <w:rFonts w:eastAsia="Times New Roman" w:cs="Arial Unicode MS"/>
      <w:sz w:val="24"/>
      <w:szCs w:val="24"/>
      <w:lang w:eastAsia="ar-SA"/>
    </w:rPr>
  </w:style>
  <w:style w:type="paragraph" w:customStyle="1" w:styleId="font5">
    <w:name w:val="font5"/>
    <w:basedOn w:val="Normal"/>
    <w:uiPriority w:val="99"/>
    <w:rsid w:val="00A47F9A"/>
    <w:pPr>
      <w:spacing w:before="100" w:after="100" w:line="240" w:lineRule="auto"/>
    </w:pPr>
    <w:rPr>
      <w:rFonts w:ascii="Tahoma" w:eastAsia="Times New Roman" w:hAnsi="Tahoma"/>
      <w:sz w:val="18"/>
      <w:szCs w:val="24"/>
      <w:lang w:eastAsia="es-ES"/>
    </w:rPr>
  </w:style>
  <w:style w:type="character" w:customStyle="1" w:styleId="LuisMiguelSalinasUrbina">
    <w:name w:val="Luis Miguel Salinas Urbina"/>
    <w:uiPriority w:val="99"/>
    <w:rsid w:val="00A47F9A"/>
    <w:rPr>
      <w:rFonts w:ascii="Arial" w:hAnsi="Arial"/>
      <w:color w:val="000000"/>
      <w:sz w:val="20"/>
    </w:rPr>
  </w:style>
  <w:style w:type="paragraph" w:styleId="Continuarlista">
    <w:name w:val="List Continue"/>
    <w:basedOn w:val="Normal"/>
    <w:uiPriority w:val="99"/>
    <w:rsid w:val="00290D8F"/>
    <w:pPr>
      <w:numPr>
        <w:numId w:val="9"/>
      </w:numPr>
      <w:tabs>
        <w:tab w:val="clear" w:pos="1440"/>
        <w:tab w:val="num" w:pos="708"/>
      </w:tabs>
      <w:spacing w:after="120" w:line="240" w:lineRule="auto"/>
      <w:ind w:left="708" w:hanging="708"/>
      <w:jc w:val="both"/>
    </w:pPr>
    <w:rPr>
      <w:rFonts w:eastAsia="Times New Roman"/>
      <w:sz w:val="24"/>
      <w:szCs w:val="24"/>
      <w:lang w:eastAsia="es-ES"/>
    </w:rPr>
  </w:style>
  <w:style w:type="paragraph" w:customStyle="1" w:styleId="Titulo30">
    <w:name w:val="Titulo 3"/>
    <w:basedOn w:val="Ttulo3"/>
    <w:next w:val="Normal"/>
    <w:uiPriority w:val="99"/>
    <w:rsid w:val="00290D8F"/>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290D8F"/>
    <w:pPr>
      <w:keepNext w:val="0"/>
      <w:numPr>
        <w:numId w:val="10"/>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A47F9A"/>
    <w:pPr>
      <w:numPr>
        <w:numId w:val="0"/>
      </w:numPr>
      <w:ind w:left="360" w:hanging="360"/>
    </w:pPr>
    <w:rPr>
      <w:b/>
    </w:rPr>
  </w:style>
  <w:style w:type="paragraph" w:customStyle="1" w:styleId="EstiloTitulo3Negrita">
    <w:name w:val="Estilo Titulo 3 + Negrita"/>
    <w:basedOn w:val="Titulo30"/>
    <w:uiPriority w:val="99"/>
    <w:rsid w:val="00290D8F"/>
    <w:pPr>
      <w:numPr>
        <w:numId w:val="11"/>
      </w:numPr>
      <w:tabs>
        <w:tab w:val="num" w:pos="993"/>
      </w:tabs>
    </w:pPr>
    <w:rPr>
      <w:bCs/>
    </w:rPr>
  </w:style>
  <w:style w:type="paragraph" w:customStyle="1" w:styleId="Titulo3">
    <w:name w:val="Titulo 3 ++"/>
    <w:basedOn w:val="Titulo30"/>
    <w:next w:val="Normal"/>
    <w:uiPriority w:val="99"/>
    <w:rsid w:val="00290D8F"/>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90D8F"/>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290D8F"/>
    <w:pPr>
      <w:keepNext w:val="0"/>
      <w:numPr>
        <w:numId w:val="13"/>
      </w:numPr>
      <w:tabs>
        <w:tab w:val="num" w:pos="853"/>
      </w:tabs>
      <w:spacing w:after="0"/>
      <w:ind w:left="700" w:hanging="340"/>
      <w:jc w:val="left"/>
    </w:pPr>
    <w:rPr>
      <w:b w:val="0"/>
    </w:rPr>
  </w:style>
  <w:style w:type="paragraph" w:customStyle="1" w:styleId="Titulo3-0">
    <w:name w:val="Titulo 3 +-"/>
    <w:basedOn w:val="Titulo32"/>
    <w:next w:val="Normal"/>
    <w:uiPriority w:val="99"/>
    <w:rsid w:val="00290D8F"/>
    <w:pPr>
      <w:numPr>
        <w:numId w:val="14"/>
      </w:numPr>
      <w:tabs>
        <w:tab w:val="num" w:pos="993"/>
      </w:tabs>
      <w:ind w:left="851" w:hanging="567"/>
    </w:pPr>
    <w:rPr>
      <w:b w:val="0"/>
    </w:rPr>
  </w:style>
  <w:style w:type="paragraph" w:customStyle="1" w:styleId="Titulo3-">
    <w:name w:val="Titulo 3 +-+"/>
    <w:basedOn w:val="Titulo3-0"/>
    <w:next w:val="Normal"/>
    <w:uiPriority w:val="99"/>
    <w:rsid w:val="00290D8F"/>
    <w:pPr>
      <w:numPr>
        <w:numId w:val="15"/>
      </w:numPr>
      <w:tabs>
        <w:tab w:val="num" w:pos="450"/>
      </w:tabs>
    </w:pPr>
    <w:rPr>
      <w:b/>
    </w:rPr>
  </w:style>
  <w:style w:type="paragraph" w:customStyle="1" w:styleId="Titulo3--">
    <w:name w:val="Titulo 3 +--"/>
    <w:basedOn w:val="Titulo3-"/>
    <w:next w:val="Normal"/>
    <w:uiPriority w:val="99"/>
    <w:rsid w:val="00290D8F"/>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A47F9A"/>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A47F9A"/>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4"/>
      <w:szCs w:val="24"/>
      <w:lang w:val="es-ES_tradnl" w:eastAsia="es-ES"/>
    </w:rPr>
  </w:style>
  <w:style w:type="paragraph" w:customStyle="1" w:styleId="Normalaftertitle0">
    <w:name w:val="Normal_after_title"/>
    <w:basedOn w:val="Normal"/>
    <w:next w:val="Normal"/>
    <w:uiPriority w:val="99"/>
    <w:rsid w:val="00A47F9A"/>
    <w:pPr>
      <w:tabs>
        <w:tab w:val="left" w:pos="794"/>
        <w:tab w:val="left" w:pos="1191"/>
        <w:tab w:val="left" w:pos="1588"/>
        <w:tab w:val="left" w:pos="1985"/>
      </w:tabs>
      <w:overflowPunct w:val="0"/>
      <w:autoSpaceDE w:val="0"/>
      <w:autoSpaceDN w:val="0"/>
      <w:adjustRightInd w:val="0"/>
      <w:spacing w:before="360" w:after="0" w:line="240" w:lineRule="auto"/>
      <w:jc w:val="both"/>
      <w:textAlignment w:val="baseline"/>
    </w:pPr>
    <w:rPr>
      <w:rFonts w:ascii="Times New Roman" w:eastAsia="Times New Roman" w:hAnsi="Times New Roman"/>
      <w:sz w:val="24"/>
      <w:szCs w:val="24"/>
      <w:lang w:val="es-ES_tradnl" w:eastAsia="es-ES"/>
    </w:rPr>
  </w:style>
  <w:style w:type="paragraph" w:customStyle="1" w:styleId="Titulo4PEETT">
    <w:name w:val="Titulo 4 PEETT"/>
    <w:basedOn w:val="Normal"/>
    <w:autoRedefine/>
    <w:uiPriority w:val="99"/>
    <w:rsid w:val="00A47F9A"/>
    <w:pPr>
      <w:overflowPunct w:val="0"/>
      <w:autoSpaceDE w:val="0"/>
      <w:autoSpaceDN w:val="0"/>
      <w:adjustRightInd w:val="0"/>
      <w:spacing w:after="0" w:line="240" w:lineRule="auto"/>
      <w:jc w:val="both"/>
      <w:textAlignment w:val="baseline"/>
    </w:pPr>
    <w:rPr>
      <w:rFonts w:eastAsia="Times New Roman" w:cs="Arial"/>
      <w:sz w:val="24"/>
      <w:szCs w:val="24"/>
      <w:lang w:eastAsia="es-ES"/>
    </w:rPr>
  </w:style>
  <w:style w:type="paragraph" w:styleId="Subttulo">
    <w:name w:val="Subtitle"/>
    <w:basedOn w:val="Normal"/>
    <w:link w:val="SubttuloCar"/>
    <w:uiPriority w:val="99"/>
    <w:qFormat/>
    <w:rsid w:val="00A47F9A"/>
    <w:pPr>
      <w:spacing w:after="0" w:line="240" w:lineRule="auto"/>
      <w:jc w:val="both"/>
    </w:pPr>
    <w:rPr>
      <w:rFonts w:eastAsia="Times New Roman"/>
      <w:b/>
      <w:sz w:val="24"/>
      <w:szCs w:val="24"/>
      <w:lang w:eastAsia="es-ES"/>
    </w:rPr>
  </w:style>
  <w:style w:type="character" w:customStyle="1" w:styleId="SubttuloCar">
    <w:name w:val="Subtítulo Car"/>
    <w:link w:val="Subttulo"/>
    <w:uiPriority w:val="99"/>
    <w:rsid w:val="00A47F9A"/>
    <w:rPr>
      <w:rFonts w:eastAsia="Times New Roman" w:cs="Times New Roman"/>
      <w:b/>
      <w:sz w:val="24"/>
      <w:szCs w:val="24"/>
      <w:lang w:eastAsia="es-ES"/>
    </w:rPr>
  </w:style>
  <w:style w:type="paragraph" w:customStyle="1" w:styleId="Listabcdoubleline">
    <w:name w:val="List abc double line"/>
    <w:uiPriority w:val="99"/>
    <w:rsid w:val="00290D8F"/>
    <w:pPr>
      <w:spacing w:before="220"/>
      <w:ind w:left="2921" w:hanging="369"/>
    </w:pPr>
    <w:rPr>
      <w:rFonts w:ascii="Arial" w:eastAsia="Times New Roman" w:hAnsi="Arial"/>
      <w:sz w:val="22"/>
      <w:szCs w:val="24"/>
      <w:lang w:val="en-US" w:eastAsia="en-US"/>
    </w:rPr>
  </w:style>
  <w:style w:type="paragraph" w:customStyle="1" w:styleId="SP249902">
    <w:name w:val="SP249902"/>
    <w:basedOn w:val="Default"/>
    <w:next w:val="Default"/>
    <w:uiPriority w:val="99"/>
    <w:rsid w:val="00A47F9A"/>
    <w:pPr>
      <w:autoSpaceDE w:val="0"/>
      <w:autoSpaceDN w:val="0"/>
      <w:adjustRightInd w:val="0"/>
    </w:pPr>
    <w:rPr>
      <w:color w:val="auto"/>
      <w:sz w:val="20"/>
    </w:rPr>
  </w:style>
  <w:style w:type="paragraph" w:customStyle="1" w:styleId="SP249882">
    <w:name w:val="SP249882"/>
    <w:basedOn w:val="Default"/>
    <w:next w:val="Default"/>
    <w:uiPriority w:val="99"/>
    <w:rsid w:val="00A47F9A"/>
    <w:pPr>
      <w:autoSpaceDE w:val="0"/>
      <w:autoSpaceDN w:val="0"/>
      <w:adjustRightInd w:val="0"/>
      <w:spacing w:before="960"/>
    </w:pPr>
    <w:rPr>
      <w:color w:val="auto"/>
      <w:sz w:val="20"/>
    </w:rPr>
  </w:style>
  <w:style w:type="paragraph" w:customStyle="1" w:styleId="SP249961">
    <w:name w:val="SP249961"/>
    <w:basedOn w:val="Default"/>
    <w:next w:val="Default"/>
    <w:uiPriority w:val="99"/>
    <w:rsid w:val="00A47F9A"/>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A47F9A"/>
    <w:pPr>
      <w:autoSpaceDE w:val="0"/>
      <w:autoSpaceDN w:val="0"/>
      <w:adjustRightInd w:val="0"/>
      <w:spacing w:before="480"/>
    </w:pPr>
    <w:rPr>
      <w:color w:val="auto"/>
      <w:sz w:val="20"/>
    </w:rPr>
  </w:style>
  <w:style w:type="character" w:customStyle="1" w:styleId="SC176142">
    <w:name w:val="SC176142"/>
    <w:uiPriority w:val="99"/>
    <w:rsid w:val="00A47F9A"/>
    <w:rPr>
      <w:color w:val="000000"/>
      <w:sz w:val="28"/>
    </w:rPr>
  </w:style>
  <w:style w:type="paragraph" w:customStyle="1" w:styleId="SP249876">
    <w:name w:val="SP249876"/>
    <w:basedOn w:val="Default"/>
    <w:next w:val="Default"/>
    <w:uiPriority w:val="99"/>
    <w:rsid w:val="00A47F9A"/>
    <w:pPr>
      <w:autoSpaceDE w:val="0"/>
      <w:autoSpaceDN w:val="0"/>
      <w:adjustRightInd w:val="0"/>
      <w:spacing w:before="160"/>
    </w:pPr>
    <w:rPr>
      <w:color w:val="auto"/>
      <w:sz w:val="20"/>
    </w:rPr>
  </w:style>
  <w:style w:type="character" w:customStyle="1" w:styleId="SC176133">
    <w:name w:val="SC176133"/>
    <w:uiPriority w:val="99"/>
    <w:rsid w:val="00A47F9A"/>
    <w:rPr>
      <w:rFonts w:ascii="Times New Roman" w:hAnsi="Times New Roman"/>
      <w:color w:val="000000"/>
      <w:sz w:val="24"/>
    </w:rPr>
  </w:style>
  <w:style w:type="paragraph" w:customStyle="1" w:styleId="SP249877">
    <w:name w:val="SP249877"/>
    <w:basedOn w:val="Default"/>
    <w:next w:val="Default"/>
    <w:uiPriority w:val="99"/>
    <w:rsid w:val="00A47F9A"/>
    <w:pPr>
      <w:autoSpaceDE w:val="0"/>
      <w:autoSpaceDN w:val="0"/>
      <w:adjustRightInd w:val="0"/>
      <w:spacing w:before="160"/>
    </w:pPr>
    <w:rPr>
      <w:color w:val="auto"/>
      <w:sz w:val="20"/>
    </w:rPr>
  </w:style>
  <w:style w:type="paragraph" w:customStyle="1" w:styleId="Heading">
    <w:name w:val="Heading"/>
    <w:next w:val="Textoindependiente"/>
    <w:uiPriority w:val="99"/>
    <w:rsid w:val="00290D8F"/>
    <w:pPr>
      <w:spacing w:before="240"/>
      <w:ind w:left="2552"/>
    </w:pPr>
    <w:rPr>
      <w:rFonts w:ascii="Arial" w:eastAsia="Times New Roman" w:hAnsi="Arial"/>
      <w:b/>
      <w:sz w:val="22"/>
      <w:szCs w:val="24"/>
      <w:u w:val="single"/>
      <w:lang w:val="en-GB" w:eastAsia="en-US"/>
    </w:rPr>
  </w:style>
  <w:style w:type="paragraph" w:customStyle="1" w:styleId="Listabcsingleline">
    <w:name w:val="List abc single line"/>
    <w:uiPriority w:val="99"/>
    <w:rsid w:val="00290D8F"/>
    <w:pPr>
      <w:ind w:left="720" w:hanging="360"/>
    </w:pPr>
    <w:rPr>
      <w:rFonts w:ascii="Arial" w:eastAsia="Times New Roman" w:hAnsi="Arial"/>
      <w:sz w:val="22"/>
      <w:szCs w:val="24"/>
      <w:lang w:val="en-US" w:eastAsia="en-US"/>
    </w:rPr>
  </w:style>
  <w:style w:type="paragraph" w:customStyle="1" w:styleId="Listabcsinglelinewide">
    <w:name w:val="List abc single line (wide)"/>
    <w:uiPriority w:val="99"/>
    <w:rsid w:val="00290D8F"/>
    <w:pPr>
      <w:ind w:left="720" w:hanging="360"/>
    </w:pPr>
    <w:rPr>
      <w:rFonts w:ascii="Arial" w:eastAsia="Times New Roman" w:hAnsi="Arial"/>
      <w:sz w:val="22"/>
      <w:szCs w:val="24"/>
      <w:lang w:val="en-US" w:eastAsia="en-US" w:bidi="ar-DZ"/>
    </w:rPr>
  </w:style>
  <w:style w:type="paragraph" w:customStyle="1" w:styleId="Listnumbersinglelinewide">
    <w:name w:val="List number single line (wide)"/>
    <w:uiPriority w:val="99"/>
    <w:rsid w:val="00290D8F"/>
    <w:pPr>
      <w:ind w:left="720" w:hanging="360"/>
    </w:pPr>
    <w:rPr>
      <w:rFonts w:ascii="Arial" w:eastAsia="Times New Roman" w:hAnsi="Arial"/>
      <w:sz w:val="22"/>
      <w:szCs w:val="24"/>
      <w:lang w:val="en-US" w:eastAsia="en-US"/>
    </w:rPr>
  </w:style>
  <w:style w:type="paragraph" w:customStyle="1" w:styleId="Listabcdoublelinewide">
    <w:name w:val="List abc double line (wide)"/>
    <w:uiPriority w:val="99"/>
    <w:rsid w:val="00290D8F"/>
    <w:pPr>
      <w:spacing w:before="220"/>
      <w:ind w:left="720" w:hanging="360"/>
    </w:pPr>
    <w:rPr>
      <w:rFonts w:ascii="Arial" w:eastAsia="Times New Roman" w:hAnsi="Arial"/>
      <w:sz w:val="22"/>
      <w:szCs w:val="24"/>
      <w:lang w:val="en-US" w:eastAsia="en-US"/>
    </w:rPr>
  </w:style>
  <w:style w:type="paragraph" w:customStyle="1" w:styleId="ListBulletwide">
    <w:name w:val="List Bullet (wide)"/>
    <w:uiPriority w:val="99"/>
    <w:rsid w:val="00290D8F"/>
    <w:pPr>
      <w:ind w:left="360" w:hanging="360"/>
    </w:pPr>
    <w:rPr>
      <w:rFonts w:ascii="Arial" w:eastAsia="Times New Roman" w:hAnsi="Arial"/>
      <w:sz w:val="22"/>
      <w:szCs w:val="24"/>
      <w:lang w:val="en-US" w:eastAsia="en-US"/>
    </w:rPr>
  </w:style>
  <w:style w:type="paragraph" w:customStyle="1" w:styleId="TableStyle">
    <w:name w:val="TableStyle"/>
    <w:uiPriority w:val="99"/>
    <w:rsid w:val="00290D8F"/>
    <w:pPr>
      <w:ind w:left="85"/>
    </w:pPr>
    <w:rPr>
      <w:rFonts w:ascii="Arial" w:eastAsia="Times New Roman" w:hAnsi="Arial"/>
      <w:noProof/>
      <w:sz w:val="22"/>
      <w:szCs w:val="24"/>
      <w:lang w:val="en-US" w:eastAsia="en-US"/>
    </w:rPr>
  </w:style>
  <w:style w:type="paragraph" w:customStyle="1" w:styleId="Tender-Header">
    <w:name w:val="Tender - Header"/>
    <w:basedOn w:val="Textoindependiente"/>
    <w:uiPriority w:val="99"/>
    <w:rsid w:val="00A47F9A"/>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A47F9A"/>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A47F9A"/>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szCs w:val="24"/>
      <w:lang w:val="en-GB"/>
    </w:rPr>
  </w:style>
  <w:style w:type="paragraph" w:customStyle="1" w:styleId="1Bullet">
    <w:name w:val="1Bullet"/>
    <w:basedOn w:val="Normal"/>
    <w:uiPriority w:val="99"/>
    <w:rsid w:val="00A47F9A"/>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szCs w:val="24"/>
      <w:lang w:val="en-GB"/>
    </w:rPr>
  </w:style>
  <w:style w:type="paragraph" w:customStyle="1" w:styleId="-InBullet">
    <w:name w:val="-InBullet"/>
    <w:basedOn w:val="Text"/>
    <w:uiPriority w:val="99"/>
    <w:rsid w:val="00A47F9A"/>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A47F9A"/>
    <w:pPr>
      <w:spacing w:after="0" w:line="260" w:lineRule="exact"/>
      <w:ind w:left="720" w:hanging="360"/>
    </w:pPr>
    <w:rPr>
      <w:rFonts w:ascii="Courier New" w:eastAsia="Times New Roman" w:hAnsi="Courier New"/>
      <w:sz w:val="24"/>
      <w:szCs w:val="24"/>
      <w:lang w:val="sv-SE"/>
    </w:rPr>
  </w:style>
  <w:style w:type="paragraph" w:customStyle="1" w:styleId="Brdutanindrag">
    <w:name w:val="Bröd utan indrag"/>
    <w:basedOn w:val="Normal"/>
    <w:uiPriority w:val="99"/>
    <w:rsid w:val="00A47F9A"/>
    <w:pPr>
      <w:spacing w:after="0" w:line="260" w:lineRule="exact"/>
    </w:pPr>
    <w:rPr>
      <w:rFonts w:ascii="Courier New" w:eastAsia="Times New Roman" w:hAnsi="Courier New"/>
      <w:kern w:val="18"/>
      <w:sz w:val="24"/>
      <w:szCs w:val="24"/>
      <w:lang w:val="en-US"/>
    </w:rPr>
  </w:style>
  <w:style w:type="paragraph" w:customStyle="1" w:styleId="TableHeader">
    <w:name w:val="Table Header"/>
    <w:basedOn w:val="Normal"/>
    <w:autoRedefine/>
    <w:uiPriority w:val="99"/>
    <w:rsid w:val="00A47F9A"/>
    <w:pPr>
      <w:keepNext/>
      <w:spacing w:before="40" w:after="80" w:line="240" w:lineRule="auto"/>
      <w:jc w:val="both"/>
    </w:pPr>
    <w:rPr>
      <w:rFonts w:eastAsia="Times New Roman" w:cs="Arial"/>
      <w:bCs/>
      <w:sz w:val="24"/>
      <w:szCs w:val="30"/>
    </w:rPr>
  </w:style>
  <w:style w:type="paragraph" w:customStyle="1" w:styleId="Fig">
    <w:name w:val="Fig"/>
    <w:basedOn w:val="Normal"/>
    <w:next w:val="Normal"/>
    <w:uiPriority w:val="99"/>
    <w:rsid w:val="00A47F9A"/>
    <w:pPr>
      <w:tabs>
        <w:tab w:val="left" w:pos="794"/>
        <w:tab w:val="left" w:pos="1191"/>
        <w:tab w:val="left" w:pos="1588"/>
        <w:tab w:val="left" w:pos="1985"/>
      </w:tabs>
      <w:overflowPunct w:val="0"/>
      <w:autoSpaceDE w:val="0"/>
      <w:autoSpaceDN w:val="0"/>
      <w:adjustRightInd w:val="0"/>
      <w:spacing w:before="136" w:after="0" w:line="240" w:lineRule="auto"/>
      <w:jc w:val="center"/>
      <w:textAlignment w:val="baseline"/>
    </w:pPr>
    <w:rPr>
      <w:rFonts w:ascii="Times New Roman" w:eastAsia="Times New Roman" w:hAnsi="Times New Roman"/>
      <w:sz w:val="24"/>
      <w:szCs w:val="24"/>
      <w:lang w:val="en-US" w:eastAsia="es-ES"/>
    </w:rPr>
  </w:style>
  <w:style w:type="paragraph" w:customStyle="1" w:styleId="Figure">
    <w:name w:val="Figure"/>
    <w:basedOn w:val="Normal"/>
    <w:autoRedefine/>
    <w:uiPriority w:val="99"/>
    <w:rsid w:val="00290D8F"/>
    <w:pPr>
      <w:numPr>
        <w:numId w:val="16"/>
      </w:numPr>
      <w:tabs>
        <w:tab w:val="clear" w:pos="936"/>
      </w:tabs>
      <w:spacing w:before="40" w:after="200" w:line="288" w:lineRule="auto"/>
      <w:ind w:left="0" w:firstLine="0"/>
      <w:jc w:val="center"/>
    </w:pPr>
    <w:rPr>
      <w:rFonts w:eastAsia="Times New Roman" w:cs="Arial"/>
      <w:b/>
      <w:bCs/>
      <w:sz w:val="24"/>
      <w:szCs w:val="30"/>
    </w:rPr>
  </w:style>
  <w:style w:type="paragraph" w:customStyle="1" w:styleId="Bullets1">
    <w:name w:val="Bullets 1"/>
    <w:basedOn w:val="Normal"/>
    <w:uiPriority w:val="99"/>
    <w:rsid w:val="00A47F9A"/>
    <w:pPr>
      <w:tabs>
        <w:tab w:val="left" w:pos="1021"/>
      </w:tabs>
      <w:spacing w:after="20" w:line="240" w:lineRule="auto"/>
      <w:ind w:left="1080" w:hanging="360"/>
      <w:jc w:val="both"/>
    </w:pPr>
    <w:rPr>
      <w:rFonts w:eastAsia="Times New Roman"/>
      <w:sz w:val="24"/>
      <w:szCs w:val="24"/>
      <w:lang w:eastAsia="es-ES"/>
    </w:rPr>
  </w:style>
  <w:style w:type="paragraph" w:customStyle="1" w:styleId="Listavistosa-nfasis11">
    <w:name w:val="Lista vistosa - Énfasis 11"/>
    <w:basedOn w:val="Normal"/>
    <w:uiPriority w:val="99"/>
    <w:rsid w:val="00A47F9A"/>
    <w:pPr>
      <w:spacing w:after="0" w:line="240" w:lineRule="auto"/>
      <w:ind w:left="708"/>
      <w:jc w:val="both"/>
    </w:pPr>
    <w:rPr>
      <w:rFonts w:eastAsia="Times New Roman"/>
      <w:sz w:val="24"/>
      <w:szCs w:val="24"/>
      <w:lang w:eastAsia="es-ES"/>
    </w:rPr>
  </w:style>
  <w:style w:type="paragraph" w:customStyle="1" w:styleId="Texto2">
    <w:name w:val="Texto 2"/>
    <w:basedOn w:val="Normal"/>
    <w:uiPriority w:val="99"/>
    <w:rsid w:val="00A47F9A"/>
    <w:pPr>
      <w:spacing w:after="0" w:line="240" w:lineRule="auto"/>
      <w:ind w:left="454"/>
      <w:jc w:val="both"/>
    </w:pPr>
    <w:rPr>
      <w:rFonts w:eastAsia="Times New Roman"/>
      <w:sz w:val="24"/>
      <w:szCs w:val="24"/>
      <w:lang w:eastAsia="es-ES"/>
    </w:rPr>
  </w:style>
  <w:style w:type="paragraph" w:customStyle="1" w:styleId="FIGURAS">
    <w:name w:val="FIGURAS"/>
    <w:basedOn w:val="Normal"/>
    <w:link w:val="FIGURASCar"/>
    <w:uiPriority w:val="99"/>
    <w:rsid w:val="00290D8F"/>
    <w:pPr>
      <w:numPr>
        <w:numId w:val="17"/>
      </w:numPr>
      <w:spacing w:after="0" w:line="240" w:lineRule="auto"/>
      <w:ind w:left="0" w:firstLine="0"/>
      <w:jc w:val="center"/>
    </w:pPr>
    <w:rPr>
      <w:rFonts w:eastAsia="Times New Roman"/>
      <w:sz w:val="20"/>
      <w:szCs w:val="24"/>
      <w:lang w:val="es-ES" w:eastAsia="es-ES"/>
    </w:rPr>
  </w:style>
  <w:style w:type="character" w:customStyle="1" w:styleId="FIGURASCar">
    <w:name w:val="FIGURAS Car"/>
    <w:link w:val="FIGURAS"/>
    <w:uiPriority w:val="99"/>
    <w:locked/>
    <w:rsid w:val="00A47F9A"/>
    <w:rPr>
      <w:rFonts w:eastAsia="Times New Roman"/>
      <w:szCs w:val="24"/>
      <w:lang w:val="es-ES" w:eastAsia="es-ES"/>
    </w:rPr>
  </w:style>
  <w:style w:type="paragraph" w:customStyle="1" w:styleId="FIGURACarCarCar">
    <w:name w:val="FIGURA Car Car Car"/>
    <w:basedOn w:val="FIGURAS"/>
    <w:link w:val="FIGURACarCarCarCar"/>
    <w:uiPriority w:val="99"/>
    <w:rsid w:val="00A47F9A"/>
    <w:pPr>
      <w:numPr>
        <w:numId w:val="0"/>
      </w:numPr>
      <w:ind w:left="720" w:hanging="360"/>
    </w:pPr>
  </w:style>
  <w:style w:type="character" w:customStyle="1" w:styleId="FIGURACarCarCarCar">
    <w:name w:val="FIGURA Car Car Car Car"/>
    <w:link w:val="FIGURACarCarCar"/>
    <w:uiPriority w:val="99"/>
    <w:locked/>
    <w:rsid w:val="00A47F9A"/>
    <w:rPr>
      <w:rFonts w:eastAsia="Times New Roman" w:cs="Times New Roman"/>
      <w:sz w:val="20"/>
      <w:szCs w:val="24"/>
      <w:lang w:val="es-ES" w:eastAsia="es-ES"/>
    </w:rPr>
  </w:style>
  <w:style w:type="paragraph" w:customStyle="1" w:styleId="CAPITULOS">
    <w:name w:val="CAPITULOS"/>
    <w:basedOn w:val="Normal"/>
    <w:link w:val="CAPITULOSCar"/>
    <w:uiPriority w:val="99"/>
    <w:rsid w:val="00A47F9A"/>
    <w:pPr>
      <w:spacing w:after="0" w:line="240" w:lineRule="auto"/>
      <w:jc w:val="both"/>
    </w:pPr>
    <w:rPr>
      <w:rFonts w:eastAsia="Times New Roman"/>
      <w:b/>
      <w:sz w:val="32"/>
      <w:szCs w:val="24"/>
      <w:lang w:eastAsia="es-ES"/>
    </w:rPr>
  </w:style>
  <w:style w:type="character" w:customStyle="1" w:styleId="CAPITULOSCar">
    <w:name w:val="CAPITULOS Car"/>
    <w:link w:val="CAPITULOS"/>
    <w:uiPriority w:val="99"/>
    <w:locked/>
    <w:rsid w:val="00A47F9A"/>
    <w:rPr>
      <w:rFonts w:eastAsia="Times New Roman" w:cs="Times New Roman"/>
      <w:b/>
      <w:sz w:val="32"/>
      <w:szCs w:val="24"/>
      <w:lang w:eastAsia="es-ES"/>
    </w:rPr>
  </w:style>
  <w:style w:type="paragraph" w:styleId="ndice1">
    <w:name w:val="index 1"/>
    <w:basedOn w:val="Listaconnmeros"/>
    <w:next w:val="Normal"/>
    <w:autoRedefine/>
    <w:uiPriority w:val="99"/>
    <w:rsid w:val="00A47F9A"/>
    <w:pPr>
      <w:ind w:left="240" w:hanging="240"/>
      <w:contextualSpacing w:val="0"/>
      <w:jc w:val="left"/>
    </w:pPr>
    <w:rPr>
      <w:sz w:val="20"/>
    </w:rPr>
  </w:style>
  <w:style w:type="paragraph" w:styleId="Listaconnmeros">
    <w:name w:val="List Number"/>
    <w:basedOn w:val="Normal"/>
    <w:uiPriority w:val="99"/>
    <w:rsid w:val="00A47F9A"/>
    <w:pPr>
      <w:spacing w:after="0" w:line="240" w:lineRule="auto"/>
      <w:ind w:left="1080" w:hanging="360"/>
      <w:contextualSpacing/>
      <w:jc w:val="both"/>
    </w:pPr>
    <w:rPr>
      <w:rFonts w:eastAsia="Times New Roman"/>
      <w:sz w:val="24"/>
      <w:szCs w:val="24"/>
      <w:lang w:eastAsia="es-ES"/>
    </w:rPr>
  </w:style>
  <w:style w:type="paragraph" w:customStyle="1" w:styleId="Listavistosa-nfasis12">
    <w:name w:val="Lista vistosa - Énfasis 12"/>
    <w:basedOn w:val="Normal"/>
    <w:uiPriority w:val="99"/>
    <w:rsid w:val="00A47F9A"/>
    <w:pPr>
      <w:spacing w:after="0" w:line="240" w:lineRule="auto"/>
      <w:ind w:left="708"/>
      <w:jc w:val="both"/>
    </w:pPr>
    <w:rPr>
      <w:rFonts w:eastAsia="Times New Roman"/>
      <w:sz w:val="24"/>
      <w:szCs w:val="24"/>
      <w:lang w:eastAsia="es-ES"/>
    </w:rPr>
  </w:style>
  <w:style w:type="paragraph" w:styleId="ndice2">
    <w:name w:val="index 2"/>
    <w:basedOn w:val="Normal"/>
    <w:next w:val="Normal"/>
    <w:autoRedefine/>
    <w:uiPriority w:val="99"/>
    <w:rsid w:val="00A47F9A"/>
    <w:pPr>
      <w:spacing w:after="0" w:line="240" w:lineRule="auto"/>
      <w:ind w:left="480" w:hanging="240"/>
    </w:pPr>
    <w:rPr>
      <w:rFonts w:eastAsia="Times New Roman"/>
      <w:sz w:val="24"/>
      <w:szCs w:val="24"/>
      <w:lang w:eastAsia="es-ES"/>
    </w:rPr>
  </w:style>
  <w:style w:type="paragraph" w:customStyle="1" w:styleId="TITULOTELMEXSUBCAPITULOS">
    <w:name w:val="TITULO TELMEX SUBCAPITULOS"/>
    <w:basedOn w:val="Normal"/>
    <w:link w:val="TITULOTELMEXSUBCAPITULOSCar"/>
    <w:uiPriority w:val="99"/>
    <w:rsid w:val="00A47F9A"/>
    <w:pPr>
      <w:spacing w:after="0" w:line="240" w:lineRule="auto"/>
      <w:jc w:val="both"/>
    </w:pPr>
    <w:rPr>
      <w:rFonts w:eastAsia="Times New Roman"/>
      <w:b/>
      <w:sz w:val="32"/>
      <w:szCs w:val="24"/>
      <w:lang w:val="es-ES_tradnl" w:eastAsia="es-ES"/>
    </w:rPr>
  </w:style>
  <w:style w:type="character" w:customStyle="1" w:styleId="andradCar">
    <w:name w:val="andrad Car"/>
    <w:aliases w:val="compact Car,paragraph 2 Car,- TF Car"/>
    <w:uiPriority w:val="99"/>
    <w:rsid w:val="00A47F9A"/>
    <w:rPr>
      <w:rFonts w:ascii="Arial" w:hAnsi="Arial"/>
      <w:b/>
      <w:sz w:val="28"/>
    </w:rPr>
  </w:style>
  <w:style w:type="paragraph" w:customStyle="1" w:styleId="FIGURA">
    <w:name w:val="FIGURA"/>
    <w:basedOn w:val="FIGURAS"/>
    <w:link w:val="FIGURACar"/>
    <w:uiPriority w:val="99"/>
    <w:rsid w:val="00A47F9A"/>
    <w:pPr>
      <w:ind w:left="720" w:hanging="360"/>
    </w:pPr>
  </w:style>
  <w:style w:type="character" w:customStyle="1" w:styleId="FIGURACar">
    <w:name w:val="FIGURA Car"/>
    <w:link w:val="FIGURA"/>
    <w:uiPriority w:val="99"/>
    <w:locked/>
    <w:rsid w:val="00A47F9A"/>
    <w:rPr>
      <w:rFonts w:eastAsia="Times New Roman"/>
      <w:szCs w:val="24"/>
      <w:lang w:val="es-ES" w:eastAsia="es-ES"/>
    </w:rPr>
  </w:style>
  <w:style w:type="character" w:customStyle="1" w:styleId="FIGURACarCar">
    <w:name w:val="FIGURA Car Car"/>
    <w:uiPriority w:val="99"/>
    <w:rsid w:val="00A47F9A"/>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A47F9A"/>
    <w:rPr>
      <w:sz w:val="24"/>
    </w:rPr>
  </w:style>
  <w:style w:type="character" w:customStyle="1" w:styleId="SUBCAPCar">
    <w:name w:val="SUBCAP Car"/>
    <w:link w:val="SUBCAP"/>
    <w:uiPriority w:val="99"/>
    <w:locked/>
    <w:rsid w:val="00A47F9A"/>
    <w:rPr>
      <w:rFonts w:eastAsia="Times New Roman" w:cs="Times New Roman"/>
      <w:b/>
      <w:sz w:val="24"/>
      <w:szCs w:val="24"/>
      <w:lang w:eastAsia="es-ES"/>
    </w:rPr>
  </w:style>
  <w:style w:type="paragraph" w:customStyle="1" w:styleId="SUBSUBCAP">
    <w:name w:val="SUBSUBCAP"/>
    <w:basedOn w:val="SUBCAP"/>
    <w:link w:val="SUBSUBCAPCar"/>
    <w:autoRedefine/>
    <w:uiPriority w:val="99"/>
    <w:rsid w:val="00A47F9A"/>
    <w:pPr>
      <w:numPr>
        <w:ilvl w:val="2"/>
        <w:numId w:val="19"/>
      </w:numPr>
      <w:outlineLvl w:val="0"/>
    </w:pPr>
    <w:rPr>
      <w:sz w:val="20"/>
      <w:lang w:val="es-ES"/>
    </w:rPr>
  </w:style>
  <w:style w:type="character" w:customStyle="1" w:styleId="SUBSUBCAPCar">
    <w:name w:val="SUBSUBCAP Car"/>
    <w:link w:val="SUBSUBCAP"/>
    <w:uiPriority w:val="99"/>
    <w:locked/>
    <w:rsid w:val="00A47F9A"/>
    <w:rPr>
      <w:rFonts w:eastAsia="Times New Roman"/>
      <w:b/>
      <w:szCs w:val="24"/>
      <w:lang w:val="es-ES" w:eastAsia="es-ES"/>
    </w:rPr>
  </w:style>
  <w:style w:type="paragraph" w:customStyle="1" w:styleId="OPCIONES">
    <w:name w:val="OPCIONES"/>
    <w:basedOn w:val="Normal"/>
    <w:link w:val="OPCIONESCar"/>
    <w:uiPriority w:val="99"/>
    <w:rsid w:val="00A47F9A"/>
    <w:pPr>
      <w:spacing w:after="0" w:line="240" w:lineRule="auto"/>
      <w:ind w:left="720" w:hanging="360"/>
      <w:jc w:val="both"/>
    </w:pPr>
    <w:rPr>
      <w:rFonts w:eastAsia="Times New Roman"/>
      <w:sz w:val="24"/>
      <w:szCs w:val="24"/>
      <w:lang w:val="es-ES_tradnl" w:eastAsia="es-ES"/>
    </w:rPr>
  </w:style>
  <w:style w:type="character" w:customStyle="1" w:styleId="OPCIONESCar">
    <w:name w:val="OPCIONES Car"/>
    <w:link w:val="OPCIONES"/>
    <w:uiPriority w:val="99"/>
    <w:locked/>
    <w:rsid w:val="00A47F9A"/>
    <w:rPr>
      <w:rFonts w:eastAsia="Times New Roman" w:cs="Times New Roman"/>
      <w:sz w:val="24"/>
      <w:szCs w:val="24"/>
      <w:lang w:val="es-ES_tradnl" w:eastAsia="es-ES"/>
    </w:rPr>
  </w:style>
  <w:style w:type="paragraph" w:customStyle="1" w:styleId="SUBCAP4">
    <w:name w:val="SUBCAP4"/>
    <w:basedOn w:val="SUBSUBCAP"/>
    <w:link w:val="SUBCAP4Car"/>
    <w:autoRedefine/>
    <w:uiPriority w:val="99"/>
    <w:rsid w:val="00A47F9A"/>
    <w:pPr>
      <w:numPr>
        <w:ilvl w:val="3"/>
        <w:numId w:val="18"/>
      </w:numPr>
    </w:pPr>
  </w:style>
  <w:style w:type="character" w:customStyle="1" w:styleId="SUBCAP4Car">
    <w:name w:val="SUBCAP4 Car"/>
    <w:link w:val="SUBCAP4"/>
    <w:uiPriority w:val="99"/>
    <w:locked/>
    <w:rsid w:val="00A47F9A"/>
    <w:rPr>
      <w:rFonts w:eastAsia="Times New Roman"/>
      <w:b/>
      <w:szCs w:val="24"/>
      <w:lang w:val="es-ES" w:eastAsia="es-ES"/>
    </w:rPr>
  </w:style>
  <w:style w:type="paragraph" w:customStyle="1" w:styleId="OPCIONES2">
    <w:name w:val="OPCIONES2"/>
    <w:basedOn w:val="OPCIONES"/>
    <w:link w:val="OPCIONES2Car"/>
    <w:uiPriority w:val="99"/>
    <w:rsid w:val="00A47F9A"/>
  </w:style>
  <w:style w:type="character" w:customStyle="1" w:styleId="OPCIONES2Car">
    <w:name w:val="OPCIONES2 Car"/>
    <w:link w:val="OPCIONES2"/>
    <w:uiPriority w:val="99"/>
    <w:locked/>
    <w:rsid w:val="00A47F9A"/>
    <w:rPr>
      <w:rFonts w:eastAsia="Times New Roman" w:cs="Times New Roman"/>
      <w:sz w:val="24"/>
      <w:szCs w:val="24"/>
      <w:lang w:val="es-ES_tradnl" w:eastAsia="es-ES"/>
    </w:rPr>
  </w:style>
  <w:style w:type="paragraph" w:customStyle="1" w:styleId="TITULOTELMEXCar">
    <w:name w:val="TITULO TELMEX Car"/>
    <w:basedOn w:val="Normal"/>
    <w:link w:val="TITULOTELMEXCarCar"/>
    <w:uiPriority w:val="99"/>
    <w:rsid w:val="00A47F9A"/>
    <w:pPr>
      <w:spacing w:after="0" w:line="240" w:lineRule="auto"/>
      <w:jc w:val="both"/>
    </w:pPr>
    <w:rPr>
      <w:rFonts w:eastAsia="Times New Roman"/>
      <w:b/>
      <w:sz w:val="32"/>
      <w:szCs w:val="24"/>
      <w:lang w:eastAsia="es-ES"/>
    </w:rPr>
  </w:style>
  <w:style w:type="character" w:customStyle="1" w:styleId="TITULOTELMEXCarCar">
    <w:name w:val="TITULO TELMEX Car Car"/>
    <w:link w:val="TITULOTELMEXCar"/>
    <w:uiPriority w:val="99"/>
    <w:locked/>
    <w:rsid w:val="00A47F9A"/>
    <w:rPr>
      <w:rFonts w:eastAsia="Times New Roman" w:cs="Times New Roman"/>
      <w:b/>
      <w:sz w:val="32"/>
      <w:szCs w:val="24"/>
      <w:lang w:eastAsia="es-ES"/>
    </w:rPr>
  </w:style>
  <w:style w:type="character" w:customStyle="1" w:styleId="longtext">
    <w:name w:val="long_text"/>
    <w:uiPriority w:val="99"/>
    <w:rsid w:val="00A47F9A"/>
    <w:rPr>
      <w:rFonts w:cs="Times New Roman"/>
    </w:rPr>
  </w:style>
  <w:style w:type="paragraph" w:customStyle="1" w:styleId="TITULOTELMEX">
    <w:name w:val="TITULO TELMEX"/>
    <w:basedOn w:val="Normal"/>
    <w:uiPriority w:val="99"/>
    <w:rsid w:val="00A47F9A"/>
    <w:pPr>
      <w:spacing w:after="0" w:line="240" w:lineRule="auto"/>
      <w:ind w:left="426" w:hanging="426"/>
      <w:jc w:val="both"/>
    </w:pPr>
    <w:rPr>
      <w:rFonts w:eastAsia="Times New Roman"/>
      <w:b/>
      <w:sz w:val="32"/>
      <w:szCs w:val="24"/>
      <w:lang w:eastAsia="es-ES"/>
    </w:rPr>
  </w:style>
  <w:style w:type="character" w:customStyle="1" w:styleId="corchete-llamada1">
    <w:name w:val="corchete-llamada1"/>
    <w:uiPriority w:val="99"/>
    <w:rsid w:val="00A47F9A"/>
    <w:rPr>
      <w:vanish/>
    </w:rPr>
  </w:style>
  <w:style w:type="character" w:customStyle="1" w:styleId="mw-headline">
    <w:name w:val="mw-headline"/>
    <w:uiPriority w:val="99"/>
    <w:rsid w:val="00A47F9A"/>
    <w:rPr>
      <w:rFonts w:cs="Times New Roman"/>
    </w:rPr>
  </w:style>
  <w:style w:type="paragraph" w:styleId="ndice3">
    <w:name w:val="index 3"/>
    <w:basedOn w:val="Normal"/>
    <w:next w:val="Normal"/>
    <w:autoRedefine/>
    <w:uiPriority w:val="99"/>
    <w:semiHidden/>
    <w:rsid w:val="00A47F9A"/>
    <w:pPr>
      <w:spacing w:after="0" w:line="240" w:lineRule="auto"/>
      <w:ind w:left="720" w:hanging="240"/>
    </w:pPr>
    <w:rPr>
      <w:rFonts w:eastAsia="Times New Roman"/>
      <w:sz w:val="24"/>
      <w:szCs w:val="24"/>
      <w:lang w:eastAsia="es-ES"/>
    </w:rPr>
  </w:style>
  <w:style w:type="paragraph" w:styleId="ndice4">
    <w:name w:val="index 4"/>
    <w:basedOn w:val="Normal"/>
    <w:next w:val="Normal"/>
    <w:autoRedefine/>
    <w:uiPriority w:val="99"/>
    <w:semiHidden/>
    <w:rsid w:val="00A47F9A"/>
    <w:pPr>
      <w:spacing w:after="0" w:line="240" w:lineRule="auto"/>
      <w:ind w:left="960" w:hanging="240"/>
    </w:pPr>
    <w:rPr>
      <w:rFonts w:eastAsia="Times New Roman"/>
      <w:sz w:val="24"/>
      <w:szCs w:val="24"/>
      <w:lang w:eastAsia="es-ES"/>
    </w:rPr>
  </w:style>
  <w:style w:type="paragraph" w:styleId="ndice5">
    <w:name w:val="index 5"/>
    <w:basedOn w:val="Normal"/>
    <w:next w:val="Normal"/>
    <w:autoRedefine/>
    <w:uiPriority w:val="99"/>
    <w:semiHidden/>
    <w:rsid w:val="00A47F9A"/>
    <w:pPr>
      <w:spacing w:after="0" w:line="240" w:lineRule="auto"/>
      <w:ind w:left="1200" w:hanging="240"/>
    </w:pPr>
    <w:rPr>
      <w:rFonts w:eastAsia="Times New Roman"/>
      <w:sz w:val="24"/>
      <w:szCs w:val="24"/>
      <w:lang w:eastAsia="es-ES"/>
    </w:rPr>
  </w:style>
  <w:style w:type="paragraph" w:styleId="ndice6">
    <w:name w:val="index 6"/>
    <w:basedOn w:val="Normal"/>
    <w:next w:val="Normal"/>
    <w:autoRedefine/>
    <w:uiPriority w:val="99"/>
    <w:semiHidden/>
    <w:rsid w:val="00A47F9A"/>
    <w:pPr>
      <w:spacing w:after="0" w:line="240" w:lineRule="auto"/>
      <w:ind w:left="1440" w:hanging="240"/>
    </w:pPr>
    <w:rPr>
      <w:rFonts w:eastAsia="Times New Roman"/>
      <w:sz w:val="24"/>
      <w:szCs w:val="24"/>
      <w:lang w:eastAsia="es-ES"/>
    </w:rPr>
  </w:style>
  <w:style w:type="paragraph" w:styleId="ndice7">
    <w:name w:val="index 7"/>
    <w:basedOn w:val="Normal"/>
    <w:next w:val="Normal"/>
    <w:autoRedefine/>
    <w:uiPriority w:val="99"/>
    <w:semiHidden/>
    <w:rsid w:val="00A47F9A"/>
    <w:pPr>
      <w:spacing w:after="0" w:line="240" w:lineRule="auto"/>
      <w:ind w:left="1680" w:hanging="240"/>
    </w:pPr>
    <w:rPr>
      <w:rFonts w:eastAsia="Times New Roman"/>
      <w:sz w:val="24"/>
      <w:szCs w:val="24"/>
      <w:lang w:eastAsia="es-ES"/>
    </w:rPr>
  </w:style>
  <w:style w:type="paragraph" w:styleId="ndice8">
    <w:name w:val="index 8"/>
    <w:basedOn w:val="Normal"/>
    <w:next w:val="Normal"/>
    <w:autoRedefine/>
    <w:uiPriority w:val="99"/>
    <w:semiHidden/>
    <w:rsid w:val="00A47F9A"/>
    <w:pPr>
      <w:spacing w:after="0" w:line="240" w:lineRule="auto"/>
      <w:ind w:left="1920" w:hanging="240"/>
    </w:pPr>
    <w:rPr>
      <w:rFonts w:eastAsia="Times New Roman"/>
      <w:sz w:val="24"/>
      <w:szCs w:val="24"/>
      <w:lang w:eastAsia="es-ES"/>
    </w:rPr>
  </w:style>
  <w:style w:type="paragraph" w:styleId="ndice9">
    <w:name w:val="index 9"/>
    <w:basedOn w:val="Normal"/>
    <w:next w:val="Normal"/>
    <w:autoRedefine/>
    <w:uiPriority w:val="99"/>
    <w:semiHidden/>
    <w:rsid w:val="00A47F9A"/>
    <w:pPr>
      <w:spacing w:after="0" w:line="240" w:lineRule="auto"/>
      <w:ind w:left="2160" w:hanging="240"/>
    </w:pPr>
    <w:rPr>
      <w:rFonts w:eastAsia="Times New Roman"/>
      <w:sz w:val="24"/>
      <w:szCs w:val="24"/>
      <w:lang w:eastAsia="es-ES"/>
    </w:rPr>
  </w:style>
  <w:style w:type="paragraph" w:styleId="Ttulodendice">
    <w:name w:val="index heading"/>
    <w:basedOn w:val="Normal"/>
    <w:next w:val="ndice1"/>
    <w:uiPriority w:val="99"/>
    <w:semiHidden/>
    <w:rsid w:val="00A47F9A"/>
    <w:pPr>
      <w:spacing w:before="120" w:after="120" w:line="240" w:lineRule="auto"/>
    </w:pPr>
    <w:rPr>
      <w:rFonts w:eastAsia="Times New Roman"/>
      <w:b/>
      <w:bCs/>
      <w:i/>
      <w:iCs/>
      <w:sz w:val="24"/>
      <w:szCs w:val="24"/>
      <w:lang w:eastAsia="es-ES"/>
    </w:rPr>
  </w:style>
  <w:style w:type="paragraph" w:customStyle="1" w:styleId="Sinespaciado1">
    <w:name w:val="Sin espaciado1"/>
    <w:uiPriority w:val="99"/>
    <w:rsid w:val="00290D8F"/>
    <w:rPr>
      <w:rFonts w:ascii="Arial" w:eastAsia="Times New Roman" w:hAnsi="Arial"/>
      <w:sz w:val="22"/>
      <w:szCs w:val="22"/>
      <w:lang w:val="es-ES" w:eastAsia="en-US"/>
    </w:rPr>
  </w:style>
  <w:style w:type="paragraph" w:customStyle="1" w:styleId="DIDTEXTO">
    <w:name w:val="DID TEXTO"/>
    <w:basedOn w:val="TITULOTELMEXCar"/>
    <w:link w:val="DIDTEXTOCar"/>
    <w:uiPriority w:val="99"/>
    <w:rsid w:val="00A47F9A"/>
    <w:pPr>
      <w:outlineLvl w:val="0"/>
    </w:pPr>
    <w:rPr>
      <w:b w:val="0"/>
      <w:sz w:val="24"/>
    </w:rPr>
  </w:style>
  <w:style w:type="paragraph" w:customStyle="1" w:styleId="Prrafodelista1">
    <w:name w:val="Párrafo de lista1"/>
    <w:basedOn w:val="Normal"/>
    <w:uiPriority w:val="99"/>
    <w:qFormat/>
    <w:rsid w:val="00A47F9A"/>
    <w:pPr>
      <w:spacing w:after="0" w:line="240" w:lineRule="auto"/>
      <w:ind w:left="708"/>
      <w:jc w:val="both"/>
    </w:pPr>
    <w:rPr>
      <w:rFonts w:eastAsia="Times New Roman"/>
      <w:sz w:val="24"/>
      <w:szCs w:val="24"/>
      <w:lang w:eastAsia="es-ES"/>
    </w:rPr>
  </w:style>
  <w:style w:type="character" w:customStyle="1" w:styleId="DIDTEXTOCar">
    <w:name w:val="DID TEXTO Car"/>
    <w:link w:val="DIDTEXTO"/>
    <w:uiPriority w:val="99"/>
    <w:locked/>
    <w:rsid w:val="00A47F9A"/>
    <w:rPr>
      <w:rFonts w:eastAsia="Times New Roman" w:cs="Times New Roman"/>
      <w:sz w:val="24"/>
      <w:szCs w:val="24"/>
      <w:lang w:eastAsia="es-ES"/>
    </w:rPr>
  </w:style>
  <w:style w:type="paragraph" w:customStyle="1" w:styleId="DIDSUBCAP">
    <w:name w:val="DID SUBCAP"/>
    <w:basedOn w:val="CAPITULOS"/>
    <w:link w:val="DIDSUBCAPCar"/>
    <w:uiPriority w:val="99"/>
    <w:rsid w:val="00A47F9A"/>
    <w:pPr>
      <w:numPr>
        <w:ilvl w:val="1"/>
        <w:numId w:val="21"/>
      </w:numPr>
    </w:pPr>
    <w:rPr>
      <w:sz w:val="28"/>
      <w:lang w:val="es-ES"/>
    </w:rPr>
  </w:style>
  <w:style w:type="character" w:customStyle="1" w:styleId="DIDSUBCAPCar">
    <w:name w:val="DID SUBCAP Car"/>
    <w:link w:val="DIDSUBCAP"/>
    <w:uiPriority w:val="99"/>
    <w:locked/>
    <w:rsid w:val="00A47F9A"/>
    <w:rPr>
      <w:rFonts w:eastAsia="Times New Roman"/>
      <w:b/>
      <w:sz w:val="28"/>
      <w:szCs w:val="24"/>
      <w:lang w:val="es-ES" w:eastAsia="es-ES"/>
    </w:rPr>
  </w:style>
  <w:style w:type="character" w:customStyle="1" w:styleId="TITULOTELMEXSUBCAPITULOSCar">
    <w:name w:val="TITULO TELMEX SUBCAPITULOS Car"/>
    <w:link w:val="TITULOTELMEXSUBCAPITULOS"/>
    <w:uiPriority w:val="99"/>
    <w:locked/>
    <w:rsid w:val="00A47F9A"/>
    <w:rPr>
      <w:rFonts w:eastAsia="Times New Roman" w:cs="Times New Roman"/>
      <w:b/>
      <w:sz w:val="32"/>
      <w:szCs w:val="24"/>
      <w:lang w:val="es-ES_tradnl" w:eastAsia="es-ES"/>
    </w:rPr>
  </w:style>
  <w:style w:type="paragraph" w:customStyle="1" w:styleId="TtulodeTDC1">
    <w:name w:val="Título de TDC1"/>
    <w:basedOn w:val="Ttulo1"/>
    <w:next w:val="Normal"/>
    <w:uiPriority w:val="99"/>
    <w:semiHidden/>
    <w:rsid w:val="00A47F9A"/>
    <w:pPr>
      <w:keepLines/>
      <w:spacing w:before="480" w:after="0"/>
      <w:outlineLvl w:val="9"/>
    </w:pPr>
    <w:rPr>
      <w:rFonts w:ascii="Cambria" w:hAnsi="Cambria"/>
      <w:bCs/>
      <w:color w:val="365F91"/>
      <w:szCs w:val="28"/>
    </w:rPr>
  </w:style>
  <w:style w:type="paragraph" w:customStyle="1" w:styleId="CM2">
    <w:name w:val="CM2"/>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A47F9A"/>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A47F9A"/>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A47F9A"/>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A47F9A"/>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A47F9A"/>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A47F9A"/>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A47F9A"/>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A47F9A"/>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A47F9A"/>
    <w:pPr>
      <w:spacing w:after="200" w:line="276" w:lineRule="auto"/>
    </w:pPr>
    <w:rPr>
      <w:rFonts w:ascii="Arial" w:eastAsia="Times New Roman" w:hAnsi="Arial"/>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A47F9A"/>
    <w:pPr>
      <w:spacing w:before="0" w:after="0"/>
      <w:ind w:left="284"/>
      <w:jc w:val="left"/>
      <w:outlineLvl w:val="9"/>
    </w:pPr>
    <w:rPr>
      <w:kern w:val="0"/>
      <w:sz w:val="20"/>
      <w:lang w:val="es-MX"/>
    </w:rPr>
  </w:style>
  <w:style w:type="paragraph" w:customStyle="1" w:styleId="TtulodeTDC2">
    <w:name w:val="Título de TDC2"/>
    <w:basedOn w:val="Ttulo1"/>
    <w:next w:val="Normal"/>
    <w:uiPriority w:val="99"/>
    <w:qFormat/>
    <w:rsid w:val="00A47F9A"/>
    <w:pPr>
      <w:keepLines/>
      <w:spacing w:before="480" w:after="0"/>
      <w:outlineLvl w:val="9"/>
    </w:pPr>
    <w:rPr>
      <w:rFonts w:ascii="Cambria" w:hAnsi="Cambria"/>
      <w:bCs/>
      <w:color w:val="365F91"/>
      <w:szCs w:val="28"/>
      <w:lang w:eastAsia="en-US"/>
    </w:rPr>
  </w:style>
  <w:style w:type="paragraph" w:styleId="Revisin">
    <w:name w:val="Revision"/>
    <w:hidden/>
    <w:uiPriority w:val="99"/>
    <w:semiHidden/>
    <w:rsid w:val="00290D8F"/>
    <w:rPr>
      <w:rFonts w:ascii="Arial" w:eastAsia="Times New Roman" w:hAnsi="Arial"/>
      <w:sz w:val="24"/>
      <w:szCs w:val="24"/>
      <w:lang w:val="es-ES_tradnl" w:eastAsia="es-ES"/>
    </w:rPr>
  </w:style>
  <w:style w:type="numbering" w:customStyle="1" w:styleId="Estilo1">
    <w:name w:val="Estilo1"/>
    <w:rsid w:val="00A47F9A"/>
    <w:pPr>
      <w:numPr>
        <w:numId w:val="20"/>
      </w:numPr>
    </w:pPr>
  </w:style>
  <w:style w:type="numbering" w:customStyle="1" w:styleId="Estilo2">
    <w:name w:val="Estilo2"/>
    <w:rsid w:val="00A47F9A"/>
    <w:pPr>
      <w:numPr>
        <w:numId w:val="22"/>
      </w:numPr>
    </w:pPr>
  </w:style>
  <w:style w:type="numbering" w:customStyle="1" w:styleId="Estilo3">
    <w:name w:val="Estilo3"/>
    <w:rsid w:val="00A47F9A"/>
    <w:pPr>
      <w:numPr>
        <w:numId w:val="23"/>
      </w:numPr>
    </w:pPr>
  </w:style>
  <w:style w:type="character" w:styleId="nfasis">
    <w:name w:val="Emphasis"/>
    <w:aliases w:val="Título 4 (1.1.1)"/>
    <w:qFormat/>
    <w:rsid w:val="00A47F9A"/>
    <w:rPr>
      <w:i/>
      <w:iC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qFormat/>
    <w:rsid w:val="00A47F9A"/>
    <w:pPr>
      <w:spacing w:after="0" w:line="240" w:lineRule="auto"/>
    </w:pPr>
    <w:rPr>
      <w:rFonts w:eastAsia="Times New Roman"/>
      <w:sz w:val="24"/>
      <w:szCs w:val="24"/>
      <w:lang w:val="es-ES_tradnl" w:eastAsia="es-ES"/>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A47F9A"/>
    <w:rPr>
      <w:rFonts w:eastAsia="Times New Roman" w:cs="Times New Roman"/>
      <w:sz w:val="24"/>
      <w:szCs w:val="24"/>
      <w:lang w:val="es-ES_tradnl" w:eastAsia="es-ES"/>
    </w:rPr>
  </w:style>
  <w:style w:type="character" w:styleId="Refdenotaalpie">
    <w:name w:val="footnote reference"/>
    <w:aliases w:val="Ref,de nota al pie,(NECG) Footnote Reference,o,fr,Style 3,Appel note de bas de p,Style 12,Style 124,Ref. de nota al pie 2,Style 6,Footnote Reference Superscript"/>
    <w:uiPriority w:val="99"/>
    <w:unhideWhenUsed/>
    <w:rsid w:val="00A47F9A"/>
    <w:rPr>
      <w:vertAlign w:val="superscript"/>
    </w:rPr>
  </w:style>
  <w:style w:type="paragraph" w:styleId="Textonotaalfinal">
    <w:name w:val="endnote text"/>
    <w:basedOn w:val="Normal"/>
    <w:link w:val="TextonotaalfinalCar"/>
    <w:uiPriority w:val="99"/>
    <w:semiHidden/>
    <w:unhideWhenUsed/>
    <w:rsid w:val="00A47F9A"/>
    <w:pPr>
      <w:spacing w:after="0" w:line="240" w:lineRule="auto"/>
    </w:pPr>
    <w:rPr>
      <w:rFonts w:eastAsia="Times New Roman"/>
      <w:sz w:val="20"/>
      <w:szCs w:val="20"/>
      <w:lang w:val="es-ES_tradnl" w:eastAsia="es-ES"/>
    </w:rPr>
  </w:style>
  <w:style w:type="character" w:customStyle="1" w:styleId="TextonotaalfinalCar">
    <w:name w:val="Texto nota al final Car"/>
    <w:link w:val="Textonotaalfinal"/>
    <w:uiPriority w:val="99"/>
    <w:semiHidden/>
    <w:rsid w:val="00A47F9A"/>
    <w:rPr>
      <w:rFonts w:eastAsia="Times New Roman" w:cs="Times New Roman"/>
      <w:sz w:val="20"/>
      <w:szCs w:val="20"/>
      <w:lang w:val="es-ES_tradnl" w:eastAsia="es-ES"/>
    </w:rPr>
  </w:style>
  <w:style w:type="character" w:styleId="Refdenotaalfinal">
    <w:name w:val="endnote reference"/>
    <w:uiPriority w:val="99"/>
    <w:semiHidden/>
    <w:unhideWhenUsed/>
    <w:rsid w:val="00A47F9A"/>
    <w:rPr>
      <w:vertAlign w:val="superscript"/>
    </w:rPr>
  </w:style>
  <w:style w:type="paragraph" w:customStyle="1" w:styleId="Texto">
    <w:name w:val="Texto"/>
    <w:basedOn w:val="Normal"/>
    <w:link w:val="TextoCar"/>
    <w:uiPriority w:val="99"/>
    <w:rsid w:val="00A47F9A"/>
    <w:pPr>
      <w:spacing w:after="101" w:line="216" w:lineRule="exact"/>
      <w:ind w:firstLine="288"/>
      <w:jc w:val="both"/>
    </w:pPr>
    <w:rPr>
      <w:rFonts w:ascii="Arial" w:eastAsia="Times New Roman" w:hAnsi="Arial"/>
      <w:sz w:val="18"/>
      <w:szCs w:val="20"/>
      <w:lang w:val="es-ES" w:eastAsia="es-ES"/>
    </w:rPr>
  </w:style>
  <w:style w:type="character" w:customStyle="1" w:styleId="TextoCar">
    <w:name w:val="Texto Car"/>
    <w:link w:val="Texto"/>
    <w:uiPriority w:val="99"/>
    <w:locked/>
    <w:rsid w:val="00A47F9A"/>
    <w:rPr>
      <w:rFonts w:ascii="Arial" w:eastAsia="Times New Roman" w:hAnsi="Arial" w:cs="Times New Roman"/>
      <w:sz w:val="18"/>
      <w:szCs w:val="20"/>
      <w:lang w:val="es-ES" w:eastAsia="es-ES"/>
    </w:rPr>
  </w:style>
  <w:style w:type="table" w:styleId="Cuadrculamedia2-nfasis1">
    <w:name w:val="Medium Grid 2 Accent 1"/>
    <w:basedOn w:val="Tablanormal"/>
    <w:uiPriority w:val="68"/>
    <w:rsid w:val="00A47F9A"/>
    <w:rPr>
      <w:rFonts w:ascii="Calibri Light" w:eastAsia="Times New Roman" w:hAnsi="Calibri Light"/>
      <w:color w:val="000000"/>
    </w:rPr>
    <w:tblPr>
      <w:tblStyleRowBandSize w:val="1"/>
      <w:tblStyleColBandSize w:val="1"/>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paragraph" w:customStyle="1" w:styleId="Prrafodelista4">
    <w:name w:val="Párrafo de lista4"/>
    <w:basedOn w:val="Normal"/>
    <w:rsid w:val="00A47F9A"/>
    <w:pPr>
      <w:spacing w:after="0" w:line="360" w:lineRule="auto"/>
      <w:ind w:left="708"/>
    </w:pPr>
    <w:rPr>
      <w:rFonts w:ascii="Arial" w:eastAsia="Times New Roman" w:hAnsi="Arial"/>
      <w:sz w:val="20"/>
      <w:szCs w:val="20"/>
      <w:lang w:val="es-ES_tradnl" w:eastAsia="es-ES"/>
    </w:rPr>
  </w:style>
  <w:style w:type="paragraph" w:styleId="Sinespaciado">
    <w:name w:val="No Spacing"/>
    <w:uiPriority w:val="1"/>
    <w:qFormat/>
    <w:rsid w:val="00290D8F"/>
    <w:rPr>
      <w:rFonts w:eastAsia="Times New Roman"/>
      <w:sz w:val="24"/>
      <w:szCs w:val="24"/>
      <w:lang w:val="es-ES_tradnl" w:eastAsia="es-ES"/>
    </w:rPr>
  </w:style>
  <w:style w:type="paragraph" w:customStyle="1" w:styleId="Prrafodelista2">
    <w:name w:val="Párrafo de lista2"/>
    <w:basedOn w:val="Normal"/>
    <w:uiPriority w:val="34"/>
    <w:rsid w:val="00A47F9A"/>
    <w:pPr>
      <w:spacing w:after="0" w:line="240" w:lineRule="auto"/>
      <w:ind w:left="708"/>
    </w:pPr>
    <w:rPr>
      <w:sz w:val="24"/>
      <w:szCs w:val="24"/>
      <w:lang w:eastAsia="es-MX"/>
    </w:rPr>
  </w:style>
  <w:style w:type="paragraph" w:customStyle="1" w:styleId="Prrafodelista3">
    <w:name w:val="Párrafo de lista3"/>
    <w:basedOn w:val="Normal"/>
    <w:uiPriority w:val="34"/>
    <w:qFormat/>
    <w:rsid w:val="00A47F9A"/>
    <w:pPr>
      <w:spacing w:after="0" w:line="240" w:lineRule="auto"/>
      <w:ind w:left="708"/>
    </w:pPr>
    <w:rPr>
      <w:rFonts w:eastAsia="Times New Roman"/>
      <w:sz w:val="24"/>
      <w:szCs w:val="24"/>
      <w:lang w:val="es-ES_tradnl" w:eastAsia="es-ES"/>
    </w:rPr>
  </w:style>
  <w:style w:type="character" w:customStyle="1" w:styleId="Cuerpodeltexto">
    <w:name w:val="Cuerpo del texto"/>
    <w:uiPriority w:val="99"/>
    <w:rsid w:val="00A47F9A"/>
    <w:rPr>
      <w:rFonts w:ascii="Arial" w:eastAsia="Times New Roman" w:hAnsi="Arial" w:cs="Arial"/>
      <w:color w:val="000000"/>
      <w:spacing w:val="0"/>
      <w:w w:val="100"/>
      <w:position w:val="0"/>
      <w:sz w:val="23"/>
      <w:szCs w:val="23"/>
      <w:u w:val="none"/>
      <w:lang w:val="es-ES"/>
    </w:rPr>
  </w:style>
  <w:style w:type="paragraph" w:customStyle="1" w:styleId="IFTnormal">
    <w:name w:val="IFT normal"/>
    <w:basedOn w:val="Normal"/>
    <w:link w:val="IFTnormalCar"/>
    <w:qFormat/>
    <w:rsid w:val="00A47F9A"/>
    <w:pPr>
      <w:spacing w:after="200" w:line="276" w:lineRule="auto"/>
      <w:jc w:val="both"/>
    </w:pPr>
    <w:rPr>
      <w:rFonts w:ascii="ITC Avant Garde" w:hAnsi="ITC Avant Garde" w:cs="Calibri"/>
      <w:bCs/>
    </w:rPr>
  </w:style>
  <w:style w:type="character" w:customStyle="1" w:styleId="IFTnormalCar">
    <w:name w:val="IFT normal Car"/>
    <w:link w:val="IFTnormal"/>
    <w:qFormat/>
    <w:rsid w:val="00A47F9A"/>
    <w:rPr>
      <w:rFonts w:ascii="ITC Avant Garde" w:eastAsia="Calibri" w:hAnsi="ITC Avant Garde" w:cs="Calibri"/>
      <w:bCs/>
    </w:rPr>
  </w:style>
  <w:style w:type="character" w:customStyle="1" w:styleId="PrrafodelistaCar">
    <w:name w:val="Párrafo de lista Car"/>
    <w:aliases w:val="prueba1 Car,List Paragraph Car"/>
    <w:link w:val="Prrafodelista"/>
    <w:uiPriority w:val="34"/>
    <w:qFormat/>
    <w:rsid w:val="00A47F9A"/>
    <w:rPr>
      <w:rFonts w:eastAsia="Times New Roman" w:cs="Times New Roman"/>
      <w:sz w:val="24"/>
      <w:szCs w:val="24"/>
      <w:lang w:val="es-ES_tradnl" w:eastAsia="es-ES"/>
    </w:rPr>
  </w:style>
  <w:style w:type="table" w:customStyle="1" w:styleId="TableNormal">
    <w:name w:val="Table Normal"/>
    <w:uiPriority w:val="2"/>
    <w:semiHidden/>
    <w:unhideWhenUsed/>
    <w:qFormat/>
    <w:rsid w:val="00A47F9A"/>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47F9A"/>
    <w:pPr>
      <w:widowControl w:val="0"/>
      <w:spacing w:after="0" w:line="240" w:lineRule="auto"/>
    </w:pPr>
    <w:rPr>
      <w:lang w:val="en-US"/>
    </w:rPr>
  </w:style>
  <w:style w:type="paragraph" w:customStyle="1" w:styleId="3TitTer">
    <w:name w:val="3TitTer"/>
    <w:basedOn w:val="Normal"/>
    <w:link w:val="3TitTerCar"/>
    <w:autoRedefine/>
    <w:qFormat/>
    <w:rsid w:val="00231DB0"/>
    <w:pPr>
      <w:spacing w:after="200" w:line="276" w:lineRule="auto"/>
      <w:ind w:left="504" w:hanging="504"/>
      <w:outlineLvl w:val="1"/>
    </w:pPr>
    <w:rPr>
      <w:rFonts w:ascii="ITC Avant Garde" w:hAnsi="ITC Avant Garde"/>
      <w:b/>
    </w:rPr>
  </w:style>
  <w:style w:type="character" w:customStyle="1" w:styleId="3TitTerCar">
    <w:name w:val="3TitTer Car"/>
    <w:link w:val="3TitTer"/>
    <w:rsid w:val="00231DB0"/>
    <w:rPr>
      <w:rFonts w:ascii="ITC Avant Garde" w:hAnsi="ITC Avant Garde"/>
      <w:b/>
      <w:sz w:val="22"/>
      <w:szCs w:val="22"/>
      <w:lang w:eastAsia="en-US"/>
    </w:rPr>
  </w:style>
  <w:style w:type="paragraph" w:customStyle="1" w:styleId="CitaIFT">
    <w:name w:val="Cita IFT"/>
    <w:basedOn w:val="Normal"/>
    <w:link w:val="CitaIFTCar"/>
    <w:qFormat/>
    <w:rsid w:val="00A47F9A"/>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
    <w:name w:val="Cita IFT Car"/>
    <w:link w:val="CitaIFT"/>
    <w:qFormat/>
    <w:rsid w:val="00A47F9A"/>
    <w:rPr>
      <w:rFonts w:ascii="ITC Avant Garde" w:eastAsia="Times New Roman" w:hAnsi="ITC Avant Garde" w:cs="Arial"/>
      <w:bCs/>
      <w:i/>
      <w:color w:val="000000"/>
      <w:sz w:val="18"/>
      <w:szCs w:val="18"/>
      <w:lang w:val="es-ES_tradnl" w:eastAsia="es-ES"/>
    </w:rPr>
  </w:style>
  <w:style w:type="paragraph" w:customStyle="1" w:styleId="CondicionesFinales">
    <w:name w:val="CondicionesFinales"/>
    <w:basedOn w:val="CitaIFT"/>
    <w:qFormat/>
    <w:rsid w:val="00A47F9A"/>
    <w:rPr>
      <w:i w:val="0"/>
      <w:sz w:val="22"/>
      <w:szCs w:val="22"/>
    </w:rPr>
  </w:style>
  <w:style w:type="paragraph" w:customStyle="1" w:styleId="Citaift0">
    <w:name w:val="Cita ift"/>
    <w:basedOn w:val="Normal"/>
    <w:link w:val="CitaiftCar0"/>
    <w:qFormat/>
    <w:rsid w:val="00A47F9A"/>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0">
    <w:name w:val="Cita ift Car"/>
    <w:link w:val="Citaift0"/>
    <w:rsid w:val="00A47F9A"/>
    <w:rPr>
      <w:rFonts w:ascii="ITC Avant Garde" w:eastAsia="Times New Roman" w:hAnsi="ITC Avant Garde" w:cs="Arial"/>
      <w:i/>
      <w:color w:val="000000"/>
      <w:sz w:val="18"/>
      <w:szCs w:val="18"/>
      <w:lang w:eastAsia="es-ES"/>
    </w:rPr>
  </w:style>
  <w:style w:type="paragraph" w:customStyle="1" w:styleId="Notaalpiedepagina">
    <w:name w:val="Nota al pie de pagina"/>
    <w:basedOn w:val="Textonotapie"/>
    <w:link w:val="NotaalpiedepaginaCar"/>
    <w:qFormat/>
    <w:rsid w:val="00A47F9A"/>
    <w:rPr>
      <w:sz w:val="18"/>
      <w:szCs w:val="18"/>
    </w:rPr>
  </w:style>
  <w:style w:type="character" w:customStyle="1" w:styleId="NotaalpiedepaginaCar">
    <w:name w:val="Nota al pie de pagina Car"/>
    <w:link w:val="Notaalpiedepagina"/>
    <w:rsid w:val="00A47F9A"/>
    <w:rPr>
      <w:rFonts w:eastAsia="Times New Roman" w:cs="Times New Roman"/>
      <w:sz w:val="18"/>
      <w:szCs w:val="18"/>
      <w:lang w:val="es-ES_tradnl" w:eastAsia="es-ES"/>
    </w:rPr>
  </w:style>
  <w:style w:type="table" w:customStyle="1" w:styleId="Tabladecuadrcula4-nfasis11">
    <w:name w:val="Tabla de cuadrícula 4 - Énfasis 11"/>
    <w:basedOn w:val="Tablanormal"/>
    <w:uiPriority w:val="49"/>
    <w:rsid w:val="00A47F9A"/>
    <w:rPr>
      <w:rFonts w:ascii="Arial" w:eastAsia="Times New Roman" w:hAnsi="Arial"/>
      <w:sz w:val="24"/>
      <w:szCs w:val="24"/>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1TitPrin">
    <w:name w:val="1TitPrin"/>
    <w:basedOn w:val="Ttulo1"/>
    <w:link w:val="1TitPrinCar"/>
    <w:autoRedefine/>
    <w:qFormat/>
    <w:rsid w:val="003C1826"/>
    <w:pPr>
      <w:keepNext w:val="0"/>
      <w:numPr>
        <w:numId w:val="182"/>
      </w:numPr>
      <w:tabs>
        <w:tab w:val="clear" w:pos="284"/>
      </w:tabs>
      <w:spacing w:before="240"/>
      <w:jc w:val="both"/>
    </w:pPr>
    <w:rPr>
      <w:rFonts w:eastAsia="Calibri" w:cs="Arial"/>
      <w:color w:val="000000"/>
      <w:lang w:val="es-ES"/>
    </w:rPr>
  </w:style>
  <w:style w:type="character" w:customStyle="1" w:styleId="1TitPrinCar">
    <w:name w:val="1TitPrin Car"/>
    <w:link w:val="1TitPrin"/>
    <w:rsid w:val="003C1826"/>
    <w:rPr>
      <w:rFonts w:ascii="ITC Avant Garde" w:hAnsi="ITC Avant Garde" w:cs="Arial"/>
      <w:b/>
      <w:color w:val="000000"/>
      <w:sz w:val="22"/>
      <w:szCs w:val="22"/>
      <w:lang w:val="es-ES" w:eastAsia="es-ES"/>
    </w:rPr>
  </w:style>
  <w:style w:type="table" w:customStyle="1" w:styleId="Tablaconcuadrcula2">
    <w:name w:val="Tabla con cuadrícula2"/>
    <w:basedOn w:val="Tablanormal"/>
    <w:next w:val="Tablaconcuadrcula"/>
    <w:uiPriority w:val="39"/>
    <w:rsid w:val="00A47F9A"/>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uadrculadetablaclara1">
    <w:name w:val="Cuadrícula de tabla clara1"/>
    <w:basedOn w:val="Tablanormal"/>
    <w:uiPriority w:val="40"/>
    <w:rsid w:val="00A47F9A"/>
    <w:rPr>
      <w:rFonts w:eastAsia="MS Mincho"/>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Mencinsinresolver1">
    <w:name w:val="Mención sin resolver1"/>
    <w:uiPriority w:val="99"/>
    <w:semiHidden/>
    <w:unhideWhenUsed/>
    <w:rsid w:val="00A47F9A"/>
    <w:rPr>
      <w:color w:val="605E5C"/>
      <w:shd w:val="clear" w:color="auto" w:fill="E1DFDD"/>
    </w:rPr>
  </w:style>
  <w:style w:type="table" w:customStyle="1" w:styleId="Tablaconcuadrcula4-nfasis11">
    <w:name w:val="Tabla con cuadrícula 4 - Énfasis 11"/>
    <w:basedOn w:val="Tablanormal"/>
    <w:uiPriority w:val="49"/>
    <w:rsid w:val="003B0886"/>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4-nfasis12">
    <w:name w:val="Tabla de cuadrícula 4 - Énfasis 12"/>
    <w:basedOn w:val="Tablanormal"/>
    <w:next w:val="Tablaconcuadrcula4-nfasis11"/>
    <w:uiPriority w:val="49"/>
    <w:rsid w:val="003B0886"/>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Compact">
    <w:name w:val="List Bullet Compact"/>
    <w:basedOn w:val="Listaconvietas"/>
    <w:qFormat/>
    <w:rsid w:val="00FE33BF"/>
    <w:pPr>
      <w:spacing w:line="320" w:lineRule="atLeast"/>
      <w:jc w:val="both"/>
    </w:pPr>
    <w:rPr>
      <w:rFonts w:ascii="Arial" w:eastAsia="Calibri" w:hAnsi="Arial"/>
      <w:sz w:val="22"/>
      <w:szCs w:val="22"/>
      <w:lang w:eastAsia="en-US"/>
    </w:rPr>
  </w:style>
  <w:style w:type="paragraph" w:customStyle="1" w:styleId="ListBullet2Compact">
    <w:name w:val="List Bullet 2 Compact"/>
    <w:basedOn w:val="Listaconvietas2"/>
    <w:qFormat/>
    <w:rsid w:val="00FE33BF"/>
    <w:pPr>
      <w:keepLines/>
      <w:numPr>
        <w:numId w:val="0"/>
      </w:numPr>
      <w:spacing w:after="0" w:line="320" w:lineRule="atLeast"/>
      <w:ind w:left="360" w:hanging="360"/>
      <w:contextualSpacing w:val="0"/>
      <w:jc w:val="both"/>
    </w:pPr>
    <w:rPr>
      <w:rFonts w:ascii="Arial" w:hAnsi="Arial"/>
      <w:lang w:val="en-GB"/>
    </w:rPr>
  </w:style>
  <w:style w:type="paragraph" w:styleId="Listaconvietas2">
    <w:name w:val="List Bullet 2"/>
    <w:basedOn w:val="Normal"/>
    <w:uiPriority w:val="99"/>
    <w:semiHidden/>
    <w:unhideWhenUsed/>
    <w:rsid w:val="00290D8F"/>
    <w:pPr>
      <w:numPr>
        <w:numId w:val="88"/>
      </w:numPr>
      <w:contextualSpacing/>
    </w:pPr>
  </w:style>
  <w:style w:type="paragraph" w:customStyle="1" w:styleId="Piepgina">
    <w:name w:val="Pie página"/>
    <w:basedOn w:val="Textonotapie"/>
    <w:link w:val="PiepginaCar"/>
    <w:qFormat/>
    <w:rsid w:val="00FB306F"/>
    <w:pPr>
      <w:jc w:val="both"/>
    </w:pPr>
    <w:rPr>
      <w:rFonts w:ascii="ITC Avant Garde" w:hAnsi="ITC Avant Garde" w:cs="Arial"/>
      <w:sz w:val="18"/>
      <w:szCs w:val="18"/>
    </w:rPr>
  </w:style>
  <w:style w:type="character" w:customStyle="1" w:styleId="PiepginaCar">
    <w:name w:val="Pie página Car"/>
    <w:link w:val="Piepgina"/>
    <w:rsid w:val="00FB306F"/>
    <w:rPr>
      <w:rFonts w:ascii="ITC Avant Garde" w:eastAsia="Times New Roman" w:hAnsi="ITC Avant Garde" w:cs="Arial"/>
      <w:sz w:val="18"/>
      <w:szCs w:val="18"/>
      <w:lang w:val="es-ES_tradnl" w:eastAsia="es-ES"/>
    </w:rPr>
  </w:style>
  <w:style w:type="table" w:customStyle="1" w:styleId="Tabladelista3-nfasis11">
    <w:name w:val="Tabla de lista 3 - Énfasis 11"/>
    <w:basedOn w:val="Tablanormal"/>
    <w:uiPriority w:val="48"/>
    <w:rsid w:val="00100489"/>
    <w:tblPr>
      <w:tblStyleRowBandSize w:val="1"/>
      <w:tblStyleColBandSize w:val="1"/>
      <w:tblInd w:w="0" w:type="dxa"/>
      <w:tblBorders>
        <w:top w:val="single" w:sz="4" w:space="0" w:color="5B9BD5"/>
        <w:left w:val="single" w:sz="4" w:space="0" w:color="5B9BD5"/>
        <w:bottom w:val="single" w:sz="4" w:space="0" w:color="5B9BD5"/>
        <w:right w:val="single" w:sz="4" w:space="0" w:color="5B9BD5"/>
      </w:tblBorders>
      <w:tblCellMar>
        <w:top w:w="0" w:type="dxa"/>
        <w:left w:w="108" w:type="dxa"/>
        <w:bottom w:w="0" w:type="dxa"/>
        <w:right w:w="108" w:type="dxa"/>
      </w:tblCellMar>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785467"/>
    <w:rPr>
      <w:color w:val="605E5C"/>
      <w:shd w:val="clear" w:color="auto" w:fill="E1DFDD"/>
    </w:rPr>
  </w:style>
  <w:style w:type="table" w:customStyle="1" w:styleId="Tablaconcuadrculaclara1">
    <w:name w:val="Tabla con cuadrícula clara1"/>
    <w:basedOn w:val="Tablanormal"/>
    <w:uiPriority w:val="99"/>
    <w:rsid w:val="007337D5"/>
    <w:rPr>
      <w:rFonts w:eastAsia="Times New Roman"/>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Mencinsinresolver3">
    <w:name w:val="Mención sin resolver3"/>
    <w:uiPriority w:val="99"/>
    <w:semiHidden/>
    <w:unhideWhenUsed/>
    <w:rsid w:val="00357D24"/>
    <w:rPr>
      <w:color w:val="605E5C"/>
      <w:shd w:val="clear" w:color="auto" w:fill="E1DFDD"/>
    </w:rPr>
  </w:style>
  <w:style w:type="table" w:customStyle="1" w:styleId="Tabladecuadrcula4-nfasis13">
    <w:name w:val="Tabla de cuadrícula 4 - Énfasis 13"/>
    <w:basedOn w:val="Tablanormal"/>
    <w:uiPriority w:val="49"/>
    <w:rsid w:val="00290D8F"/>
    <w:rPr>
      <w:rFonts w:asciiTheme="minorHAnsi" w:eastAsiaTheme="minorHAnsi" w:hAnsiTheme="minorHAnsi" w:cstheme="minorBidi"/>
      <w:sz w:val="22"/>
      <w:szCs w:val="22"/>
      <w:lang w:eastAsia="en-US"/>
    </w:rPr>
    <w:tblPr>
      <w:tblStyleRowBandSize w:val="1"/>
      <w:tblStyleColBandSize w:val="1"/>
      <w:tblInd w:w="0" w:type="dxa"/>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Tabladelista3-nfasis12">
    <w:name w:val="Tabla de lista 3 - Énfasis 12"/>
    <w:basedOn w:val="Tablanormal"/>
    <w:uiPriority w:val="48"/>
    <w:rsid w:val="00290D8F"/>
    <w:rPr>
      <w:rFonts w:asciiTheme="minorHAnsi" w:eastAsiaTheme="minorHAnsi" w:hAnsiTheme="minorHAnsi" w:cstheme="minorBidi"/>
      <w:sz w:val="22"/>
      <w:szCs w:val="22"/>
      <w:lang w:eastAsia="en-US"/>
    </w:rPr>
    <w:tblPr>
      <w:tblStyleRowBandSize w:val="1"/>
      <w:tblStyleColBandSize w:val="1"/>
      <w:tblInd w:w="0" w:type="dxa"/>
      <w:tblBorders>
        <w:top w:val="single" w:sz="4" w:space="0" w:color="4472C4" w:themeColor="accent1"/>
        <w:left w:val="single" w:sz="4" w:space="0" w:color="4472C4" w:themeColor="accent1"/>
        <w:bottom w:val="single" w:sz="4" w:space="0" w:color="4472C4" w:themeColor="accent1"/>
        <w:right w:val="single" w:sz="4" w:space="0" w:color="4472C4" w:themeColor="accent1"/>
      </w:tblBorders>
      <w:tblCellMar>
        <w:top w:w="0" w:type="dxa"/>
        <w:left w:w="108" w:type="dxa"/>
        <w:bottom w:w="0" w:type="dxa"/>
        <w:right w:w="108" w:type="dxa"/>
      </w:tblCellMar>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Tablaconcuadrcula3">
    <w:name w:val="Tabla con cuadrícula3"/>
    <w:basedOn w:val="Tablanormal"/>
    <w:next w:val="Tablaconcuadrcula"/>
    <w:uiPriority w:val="39"/>
    <w:rsid w:val="00441C42"/>
    <w:rPr>
      <w:rFonts w:ascii="Arial" w:eastAsia="Times New Roman" w:hAnsi="Arial"/>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3891175">
      <w:bodyDiv w:val="1"/>
      <w:marLeft w:val="0"/>
      <w:marRight w:val="0"/>
      <w:marTop w:val="0"/>
      <w:marBottom w:val="0"/>
      <w:divBdr>
        <w:top w:val="none" w:sz="0" w:space="0" w:color="auto"/>
        <w:left w:val="none" w:sz="0" w:space="0" w:color="auto"/>
        <w:bottom w:val="none" w:sz="0" w:space="0" w:color="auto"/>
        <w:right w:val="none" w:sz="0" w:space="0" w:color="auto"/>
      </w:divBdr>
    </w:div>
    <w:div w:id="113712705">
      <w:bodyDiv w:val="1"/>
      <w:marLeft w:val="0"/>
      <w:marRight w:val="0"/>
      <w:marTop w:val="0"/>
      <w:marBottom w:val="0"/>
      <w:divBdr>
        <w:top w:val="none" w:sz="0" w:space="0" w:color="auto"/>
        <w:left w:val="none" w:sz="0" w:space="0" w:color="auto"/>
        <w:bottom w:val="none" w:sz="0" w:space="0" w:color="auto"/>
        <w:right w:val="none" w:sz="0" w:space="0" w:color="auto"/>
      </w:divBdr>
    </w:div>
    <w:div w:id="195896870">
      <w:bodyDiv w:val="1"/>
      <w:marLeft w:val="0"/>
      <w:marRight w:val="0"/>
      <w:marTop w:val="0"/>
      <w:marBottom w:val="0"/>
      <w:divBdr>
        <w:top w:val="none" w:sz="0" w:space="0" w:color="auto"/>
        <w:left w:val="none" w:sz="0" w:space="0" w:color="auto"/>
        <w:bottom w:val="none" w:sz="0" w:space="0" w:color="auto"/>
        <w:right w:val="none" w:sz="0" w:space="0" w:color="auto"/>
      </w:divBdr>
    </w:div>
    <w:div w:id="388001482">
      <w:bodyDiv w:val="1"/>
      <w:marLeft w:val="0"/>
      <w:marRight w:val="0"/>
      <w:marTop w:val="0"/>
      <w:marBottom w:val="0"/>
      <w:divBdr>
        <w:top w:val="none" w:sz="0" w:space="0" w:color="auto"/>
        <w:left w:val="none" w:sz="0" w:space="0" w:color="auto"/>
        <w:bottom w:val="none" w:sz="0" w:space="0" w:color="auto"/>
        <w:right w:val="none" w:sz="0" w:space="0" w:color="auto"/>
      </w:divBdr>
    </w:div>
    <w:div w:id="430787308">
      <w:bodyDiv w:val="1"/>
      <w:marLeft w:val="0"/>
      <w:marRight w:val="0"/>
      <w:marTop w:val="0"/>
      <w:marBottom w:val="0"/>
      <w:divBdr>
        <w:top w:val="none" w:sz="0" w:space="0" w:color="auto"/>
        <w:left w:val="none" w:sz="0" w:space="0" w:color="auto"/>
        <w:bottom w:val="none" w:sz="0" w:space="0" w:color="auto"/>
        <w:right w:val="none" w:sz="0" w:space="0" w:color="auto"/>
      </w:divBdr>
    </w:div>
    <w:div w:id="539318439">
      <w:bodyDiv w:val="1"/>
      <w:marLeft w:val="0"/>
      <w:marRight w:val="0"/>
      <w:marTop w:val="0"/>
      <w:marBottom w:val="0"/>
      <w:divBdr>
        <w:top w:val="none" w:sz="0" w:space="0" w:color="auto"/>
        <w:left w:val="none" w:sz="0" w:space="0" w:color="auto"/>
        <w:bottom w:val="none" w:sz="0" w:space="0" w:color="auto"/>
        <w:right w:val="none" w:sz="0" w:space="0" w:color="auto"/>
      </w:divBdr>
    </w:div>
    <w:div w:id="588581747">
      <w:bodyDiv w:val="1"/>
      <w:marLeft w:val="0"/>
      <w:marRight w:val="0"/>
      <w:marTop w:val="0"/>
      <w:marBottom w:val="0"/>
      <w:divBdr>
        <w:top w:val="none" w:sz="0" w:space="0" w:color="auto"/>
        <w:left w:val="none" w:sz="0" w:space="0" w:color="auto"/>
        <w:bottom w:val="none" w:sz="0" w:space="0" w:color="auto"/>
        <w:right w:val="none" w:sz="0" w:space="0" w:color="auto"/>
      </w:divBdr>
    </w:div>
    <w:div w:id="610818055">
      <w:bodyDiv w:val="1"/>
      <w:marLeft w:val="0"/>
      <w:marRight w:val="0"/>
      <w:marTop w:val="0"/>
      <w:marBottom w:val="0"/>
      <w:divBdr>
        <w:top w:val="none" w:sz="0" w:space="0" w:color="auto"/>
        <w:left w:val="none" w:sz="0" w:space="0" w:color="auto"/>
        <w:bottom w:val="none" w:sz="0" w:space="0" w:color="auto"/>
        <w:right w:val="none" w:sz="0" w:space="0" w:color="auto"/>
      </w:divBdr>
    </w:div>
    <w:div w:id="712391597">
      <w:bodyDiv w:val="1"/>
      <w:marLeft w:val="0"/>
      <w:marRight w:val="0"/>
      <w:marTop w:val="0"/>
      <w:marBottom w:val="0"/>
      <w:divBdr>
        <w:top w:val="none" w:sz="0" w:space="0" w:color="auto"/>
        <w:left w:val="none" w:sz="0" w:space="0" w:color="auto"/>
        <w:bottom w:val="none" w:sz="0" w:space="0" w:color="auto"/>
        <w:right w:val="none" w:sz="0" w:space="0" w:color="auto"/>
      </w:divBdr>
    </w:div>
    <w:div w:id="732313356">
      <w:bodyDiv w:val="1"/>
      <w:marLeft w:val="0"/>
      <w:marRight w:val="0"/>
      <w:marTop w:val="0"/>
      <w:marBottom w:val="0"/>
      <w:divBdr>
        <w:top w:val="none" w:sz="0" w:space="0" w:color="auto"/>
        <w:left w:val="none" w:sz="0" w:space="0" w:color="auto"/>
        <w:bottom w:val="none" w:sz="0" w:space="0" w:color="auto"/>
        <w:right w:val="none" w:sz="0" w:space="0" w:color="auto"/>
      </w:divBdr>
    </w:div>
    <w:div w:id="1024744451">
      <w:bodyDiv w:val="1"/>
      <w:marLeft w:val="0"/>
      <w:marRight w:val="0"/>
      <w:marTop w:val="0"/>
      <w:marBottom w:val="0"/>
      <w:divBdr>
        <w:top w:val="none" w:sz="0" w:space="0" w:color="auto"/>
        <w:left w:val="none" w:sz="0" w:space="0" w:color="auto"/>
        <w:bottom w:val="none" w:sz="0" w:space="0" w:color="auto"/>
        <w:right w:val="none" w:sz="0" w:space="0" w:color="auto"/>
      </w:divBdr>
    </w:div>
    <w:div w:id="1061251187">
      <w:bodyDiv w:val="1"/>
      <w:marLeft w:val="0"/>
      <w:marRight w:val="0"/>
      <w:marTop w:val="0"/>
      <w:marBottom w:val="0"/>
      <w:divBdr>
        <w:top w:val="none" w:sz="0" w:space="0" w:color="auto"/>
        <w:left w:val="none" w:sz="0" w:space="0" w:color="auto"/>
        <w:bottom w:val="none" w:sz="0" w:space="0" w:color="auto"/>
        <w:right w:val="none" w:sz="0" w:space="0" w:color="auto"/>
      </w:divBdr>
    </w:div>
    <w:div w:id="1072772195">
      <w:bodyDiv w:val="1"/>
      <w:marLeft w:val="0"/>
      <w:marRight w:val="0"/>
      <w:marTop w:val="0"/>
      <w:marBottom w:val="0"/>
      <w:divBdr>
        <w:top w:val="none" w:sz="0" w:space="0" w:color="auto"/>
        <w:left w:val="none" w:sz="0" w:space="0" w:color="auto"/>
        <w:bottom w:val="none" w:sz="0" w:space="0" w:color="auto"/>
        <w:right w:val="none" w:sz="0" w:space="0" w:color="auto"/>
      </w:divBdr>
    </w:div>
    <w:div w:id="1105079479">
      <w:bodyDiv w:val="1"/>
      <w:marLeft w:val="0"/>
      <w:marRight w:val="0"/>
      <w:marTop w:val="0"/>
      <w:marBottom w:val="0"/>
      <w:divBdr>
        <w:top w:val="none" w:sz="0" w:space="0" w:color="auto"/>
        <w:left w:val="none" w:sz="0" w:space="0" w:color="auto"/>
        <w:bottom w:val="none" w:sz="0" w:space="0" w:color="auto"/>
        <w:right w:val="none" w:sz="0" w:space="0" w:color="auto"/>
      </w:divBdr>
    </w:div>
    <w:div w:id="1106390393">
      <w:bodyDiv w:val="1"/>
      <w:marLeft w:val="0"/>
      <w:marRight w:val="0"/>
      <w:marTop w:val="0"/>
      <w:marBottom w:val="0"/>
      <w:divBdr>
        <w:top w:val="none" w:sz="0" w:space="0" w:color="auto"/>
        <w:left w:val="none" w:sz="0" w:space="0" w:color="auto"/>
        <w:bottom w:val="none" w:sz="0" w:space="0" w:color="auto"/>
        <w:right w:val="none" w:sz="0" w:space="0" w:color="auto"/>
      </w:divBdr>
    </w:div>
    <w:div w:id="1107651986">
      <w:bodyDiv w:val="1"/>
      <w:marLeft w:val="0"/>
      <w:marRight w:val="0"/>
      <w:marTop w:val="0"/>
      <w:marBottom w:val="0"/>
      <w:divBdr>
        <w:top w:val="none" w:sz="0" w:space="0" w:color="auto"/>
        <w:left w:val="none" w:sz="0" w:space="0" w:color="auto"/>
        <w:bottom w:val="none" w:sz="0" w:space="0" w:color="auto"/>
        <w:right w:val="none" w:sz="0" w:space="0" w:color="auto"/>
      </w:divBdr>
    </w:div>
    <w:div w:id="1119034341">
      <w:bodyDiv w:val="1"/>
      <w:marLeft w:val="0"/>
      <w:marRight w:val="0"/>
      <w:marTop w:val="0"/>
      <w:marBottom w:val="0"/>
      <w:divBdr>
        <w:top w:val="none" w:sz="0" w:space="0" w:color="auto"/>
        <w:left w:val="none" w:sz="0" w:space="0" w:color="auto"/>
        <w:bottom w:val="none" w:sz="0" w:space="0" w:color="auto"/>
        <w:right w:val="none" w:sz="0" w:space="0" w:color="auto"/>
      </w:divBdr>
    </w:div>
    <w:div w:id="1173030080">
      <w:bodyDiv w:val="1"/>
      <w:marLeft w:val="0"/>
      <w:marRight w:val="0"/>
      <w:marTop w:val="0"/>
      <w:marBottom w:val="0"/>
      <w:divBdr>
        <w:top w:val="none" w:sz="0" w:space="0" w:color="auto"/>
        <w:left w:val="none" w:sz="0" w:space="0" w:color="auto"/>
        <w:bottom w:val="none" w:sz="0" w:space="0" w:color="auto"/>
        <w:right w:val="none" w:sz="0" w:space="0" w:color="auto"/>
      </w:divBdr>
    </w:div>
    <w:div w:id="1180001052">
      <w:bodyDiv w:val="1"/>
      <w:marLeft w:val="0"/>
      <w:marRight w:val="0"/>
      <w:marTop w:val="0"/>
      <w:marBottom w:val="0"/>
      <w:divBdr>
        <w:top w:val="none" w:sz="0" w:space="0" w:color="auto"/>
        <w:left w:val="none" w:sz="0" w:space="0" w:color="auto"/>
        <w:bottom w:val="none" w:sz="0" w:space="0" w:color="auto"/>
        <w:right w:val="none" w:sz="0" w:space="0" w:color="auto"/>
      </w:divBdr>
    </w:div>
    <w:div w:id="1213083043">
      <w:bodyDiv w:val="1"/>
      <w:marLeft w:val="0"/>
      <w:marRight w:val="0"/>
      <w:marTop w:val="0"/>
      <w:marBottom w:val="0"/>
      <w:divBdr>
        <w:top w:val="none" w:sz="0" w:space="0" w:color="auto"/>
        <w:left w:val="none" w:sz="0" w:space="0" w:color="auto"/>
        <w:bottom w:val="none" w:sz="0" w:space="0" w:color="auto"/>
        <w:right w:val="none" w:sz="0" w:space="0" w:color="auto"/>
      </w:divBdr>
    </w:div>
    <w:div w:id="1252542059">
      <w:bodyDiv w:val="1"/>
      <w:marLeft w:val="0"/>
      <w:marRight w:val="0"/>
      <w:marTop w:val="0"/>
      <w:marBottom w:val="0"/>
      <w:divBdr>
        <w:top w:val="none" w:sz="0" w:space="0" w:color="auto"/>
        <w:left w:val="none" w:sz="0" w:space="0" w:color="auto"/>
        <w:bottom w:val="none" w:sz="0" w:space="0" w:color="auto"/>
        <w:right w:val="none" w:sz="0" w:space="0" w:color="auto"/>
      </w:divBdr>
    </w:div>
    <w:div w:id="1280066168">
      <w:bodyDiv w:val="1"/>
      <w:marLeft w:val="0"/>
      <w:marRight w:val="0"/>
      <w:marTop w:val="0"/>
      <w:marBottom w:val="0"/>
      <w:divBdr>
        <w:top w:val="none" w:sz="0" w:space="0" w:color="auto"/>
        <w:left w:val="none" w:sz="0" w:space="0" w:color="auto"/>
        <w:bottom w:val="none" w:sz="0" w:space="0" w:color="auto"/>
        <w:right w:val="none" w:sz="0" w:space="0" w:color="auto"/>
      </w:divBdr>
    </w:div>
    <w:div w:id="1301418898">
      <w:bodyDiv w:val="1"/>
      <w:marLeft w:val="0"/>
      <w:marRight w:val="0"/>
      <w:marTop w:val="0"/>
      <w:marBottom w:val="0"/>
      <w:divBdr>
        <w:top w:val="none" w:sz="0" w:space="0" w:color="auto"/>
        <w:left w:val="none" w:sz="0" w:space="0" w:color="auto"/>
        <w:bottom w:val="none" w:sz="0" w:space="0" w:color="auto"/>
        <w:right w:val="none" w:sz="0" w:space="0" w:color="auto"/>
      </w:divBdr>
    </w:div>
    <w:div w:id="1377466896">
      <w:bodyDiv w:val="1"/>
      <w:marLeft w:val="0"/>
      <w:marRight w:val="0"/>
      <w:marTop w:val="0"/>
      <w:marBottom w:val="0"/>
      <w:divBdr>
        <w:top w:val="none" w:sz="0" w:space="0" w:color="auto"/>
        <w:left w:val="none" w:sz="0" w:space="0" w:color="auto"/>
        <w:bottom w:val="none" w:sz="0" w:space="0" w:color="auto"/>
        <w:right w:val="none" w:sz="0" w:space="0" w:color="auto"/>
      </w:divBdr>
    </w:div>
    <w:div w:id="1626421712">
      <w:bodyDiv w:val="1"/>
      <w:marLeft w:val="0"/>
      <w:marRight w:val="0"/>
      <w:marTop w:val="0"/>
      <w:marBottom w:val="0"/>
      <w:divBdr>
        <w:top w:val="none" w:sz="0" w:space="0" w:color="auto"/>
        <w:left w:val="none" w:sz="0" w:space="0" w:color="auto"/>
        <w:bottom w:val="none" w:sz="0" w:space="0" w:color="auto"/>
        <w:right w:val="none" w:sz="0" w:space="0" w:color="auto"/>
      </w:divBdr>
    </w:div>
    <w:div w:id="1688480784">
      <w:bodyDiv w:val="1"/>
      <w:marLeft w:val="0"/>
      <w:marRight w:val="0"/>
      <w:marTop w:val="0"/>
      <w:marBottom w:val="0"/>
      <w:divBdr>
        <w:top w:val="none" w:sz="0" w:space="0" w:color="auto"/>
        <w:left w:val="none" w:sz="0" w:space="0" w:color="auto"/>
        <w:bottom w:val="none" w:sz="0" w:space="0" w:color="auto"/>
        <w:right w:val="none" w:sz="0" w:space="0" w:color="auto"/>
      </w:divBdr>
    </w:div>
    <w:div w:id="1848592515">
      <w:bodyDiv w:val="1"/>
      <w:marLeft w:val="0"/>
      <w:marRight w:val="0"/>
      <w:marTop w:val="0"/>
      <w:marBottom w:val="0"/>
      <w:divBdr>
        <w:top w:val="none" w:sz="0" w:space="0" w:color="auto"/>
        <w:left w:val="none" w:sz="0" w:space="0" w:color="auto"/>
        <w:bottom w:val="none" w:sz="0" w:space="0" w:color="auto"/>
        <w:right w:val="none" w:sz="0" w:space="0" w:color="auto"/>
      </w:divBdr>
    </w:div>
    <w:div w:id="1929729336">
      <w:bodyDiv w:val="1"/>
      <w:marLeft w:val="0"/>
      <w:marRight w:val="0"/>
      <w:marTop w:val="0"/>
      <w:marBottom w:val="0"/>
      <w:divBdr>
        <w:top w:val="none" w:sz="0" w:space="0" w:color="auto"/>
        <w:left w:val="none" w:sz="0" w:space="0" w:color="auto"/>
        <w:bottom w:val="none" w:sz="0" w:space="0" w:color="auto"/>
        <w:right w:val="none" w:sz="0" w:space="0" w:color="auto"/>
      </w:divBdr>
    </w:div>
    <w:div w:id="1940286078">
      <w:bodyDiv w:val="1"/>
      <w:marLeft w:val="0"/>
      <w:marRight w:val="0"/>
      <w:marTop w:val="0"/>
      <w:marBottom w:val="0"/>
      <w:divBdr>
        <w:top w:val="none" w:sz="0" w:space="0" w:color="auto"/>
        <w:left w:val="none" w:sz="0" w:space="0" w:color="auto"/>
        <w:bottom w:val="none" w:sz="0" w:space="0" w:color="auto"/>
        <w:right w:val="none" w:sz="0" w:space="0" w:color="auto"/>
      </w:divBdr>
    </w:div>
    <w:div w:id="1942492997">
      <w:bodyDiv w:val="1"/>
      <w:marLeft w:val="0"/>
      <w:marRight w:val="0"/>
      <w:marTop w:val="0"/>
      <w:marBottom w:val="0"/>
      <w:divBdr>
        <w:top w:val="none" w:sz="0" w:space="0" w:color="auto"/>
        <w:left w:val="none" w:sz="0" w:space="0" w:color="auto"/>
        <w:bottom w:val="none" w:sz="0" w:space="0" w:color="auto"/>
        <w:right w:val="none" w:sz="0" w:space="0" w:color="auto"/>
      </w:divBdr>
    </w:div>
    <w:div w:id="1965193821">
      <w:bodyDiv w:val="1"/>
      <w:marLeft w:val="0"/>
      <w:marRight w:val="0"/>
      <w:marTop w:val="0"/>
      <w:marBottom w:val="0"/>
      <w:divBdr>
        <w:top w:val="none" w:sz="0" w:space="0" w:color="auto"/>
        <w:left w:val="none" w:sz="0" w:space="0" w:color="auto"/>
        <w:bottom w:val="none" w:sz="0" w:space="0" w:color="auto"/>
        <w:right w:val="none" w:sz="0" w:space="0" w:color="auto"/>
      </w:divBdr>
    </w:div>
    <w:div w:id="2088839459">
      <w:bodyDiv w:val="1"/>
      <w:marLeft w:val="0"/>
      <w:marRight w:val="0"/>
      <w:marTop w:val="0"/>
      <w:marBottom w:val="0"/>
      <w:divBdr>
        <w:top w:val="none" w:sz="0" w:space="0" w:color="auto"/>
        <w:left w:val="none" w:sz="0" w:space="0" w:color="auto"/>
        <w:bottom w:val="none" w:sz="0" w:space="0" w:color="auto"/>
        <w:right w:val="none" w:sz="0" w:space="0" w:color="auto"/>
      </w:divBdr>
    </w:div>
    <w:div w:id="2092198123">
      <w:bodyDiv w:val="1"/>
      <w:marLeft w:val="0"/>
      <w:marRight w:val="0"/>
      <w:marTop w:val="0"/>
      <w:marBottom w:val="0"/>
      <w:divBdr>
        <w:top w:val="none" w:sz="0" w:space="0" w:color="auto"/>
        <w:left w:val="none" w:sz="0" w:space="0" w:color="auto"/>
        <w:bottom w:val="none" w:sz="0" w:space="0" w:color="auto"/>
        <w:right w:val="none" w:sz="0" w:space="0" w:color="auto"/>
      </w:divBdr>
    </w:div>
    <w:div w:id="2103333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2.emf"/><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fontTable" Target="fontTable.xml"/><Relationship Id="rId38"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yperlink" Target="mailto:OPERDES@telmex.com" TargetMode="External"/><Relationship Id="rId20" Type="http://schemas.openxmlformats.org/officeDocument/2006/relationships/image" Target="media/image4.emf"/><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header" Target="header6.xml"/><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hyperlink" Target="mailto:desagregacion@telmex.com" TargetMode="External"/><Relationship Id="rId23" Type="http://schemas.openxmlformats.org/officeDocument/2006/relationships/image" Target="media/image7.png"/><Relationship Id="rId28" Type="http://schemas.openxmlformats.org/officeDocument/2006/relationships/image" Target="media/image12.png"/><Relationship Id="rId36" Type="http://schemas.microsoft.com/office/2011/relationships/commentsExtended" Target="commentsExtended.xml"/><Relationship Id="rId10" Type="http://schemas.openxmlformats.org/officeDocument/2006/relationships/endnotes" Target="endnotes.xml"/><Relationship Id="rId19" Type="http://schemas.openxmlformats.org/officeDocument/2006/relationships/image" Target="media/image3.emf"/><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header" Target="header5.xml"/><Relationship Id="rId35" Type="http://schemas.microsoft.com/office/2016/09/relationships/commentsIds" Target="commentsIds.xml"/></Relationships>
</file>

<file path=word/_rels/header4.xml.rels><?xml version="1.0" encoding="UTF-8" standalone="yes"?>
<Relationships xmlns="http://schemas.openxmlformats.org/package/2006/relationships"><Relationship Id="rId1" Type="http://schemas.openxmlformats.org/officeDocument/2006/relationships/image" Target="media/image13.png"/></Relationships>
</file>

<file path=word/_rels/header6.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95EE23-A2F3-4928-AB02-E3641B34C1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1FC6D2-E329-4F15-A90D-D2ABB76EA135}">
  <ds:schemaRefs>
    <ds:schemaRef ds:uri="http://schemas.microsoft.com/sharepoint/v3/contenttype/forms"/>
  </ds:schemaRefs>
</ds:datastoreItem>
</file>

<file path=customXml/itemProps3.xml><?xml version="1.0" encoding="utf-8"?>
<ds:datastoreItem xmlns:ds="http://schemas.openxmlformats.org/officeDocument/2006/customXml" ds:itemID="{560C081C-84B7-43C4-8722-7F83E002C1B5}">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CD7C0690-D5F4-4EEB-8066-0C557CA14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85</Pages>
  <Words>25313</Words>
  <Characters>139226</Characters>
  <Application>Microsoft Office Word</Application>
  <DocSecurity>0</DocSecurity>
  <Lines>1160</Lines>
  <Paragraphs>328</Paragraphs>
  <ScaleCrop>false</ScaleCrop>
  <HeadingPairs>
    <vt:vector size="2" baseType="variant">
      <vt:variant>
        <vt:lpstr>Título</vt:lpstr>
      </vt:variant>
      <vt:variant>
        <vt:i4>1</vt:i4>
      </vt:variant>
    </vt:vector>
  </HeadingPairs>
  <TitlesOfParts>
    <vt:vector size="1" baseType="lpstr">
      <vt:lpstr/>
    </vt:vector>
  </TitlesOfParts>
  <Company>TELMEX</Company>
  <LinksUpToDate>false</LinksUpToDate>
  <CharactersWithSpaces>164211</CharactersWithSpaces>
  <SharedDoc>false</SharedDoc>
  <HLinks>
    <vt:vector size="822" baseType="variant">
      <vt:variant>
        <vt:i4>4849788</vt:i4>
      </vt:variant>
      <vt:variant>
        <vt:i4>816</vt:i4>
      </vt:variant>
      <vt:variant>
        <vt:i4>0</vt:i4>
      </vt:variant>
      <vt:variant>
        <vt:i4>5</vt:i4>
      </vt:variant>
      <vt:variant>
        <vt:lpwstr>mailto:seg@telmex.com</vt:lpwstr>
      </vt:variant>
      <vt:variant>
        <vt:lpwstr/>
      </vt:variant>
      <vt:variant>
        <vt:i4>3670062</vt:i4>
      </vt:variant>
      <vt:variant>
        <vt:i4>807</vt:i4>
      </vt:variant>
      <vt:variant>
        <vt:i4>0</vt:i4>
      </vt:variant>
      <vt:variant>
        <vt:i4>5</vt:i4>
      </vt:variant>
      <vt:variant>
        <vt:lpwstr>http://www.telmex.com/</vt:lpwstr>
      </vt:variant>
      <vt:variant>
        <vt:lpwstr/>
      </vt:variant>
      <vt:variant>
        <vt:i4>3670062</vt:i4>
      </vt:variant>
      <vt:variant>
        <vt:i4>804</vt:i4>
      </vt:variant>
      <vt:variant>
        <vt:i4>0</vt:i4>
      </vt:variant>
      <vt:variant>
        <vt:i4>5</vt:i4>
      </vt:variant>
      <vt:variant>
        <vt:lpwstr>http://www.telmex.com/</vt:lpwstr>
      </vt:variant>
      <vt:variant>
        <vt:lpwstr/>
      </vt:variant>
      <vt:variant>
        <vt:i4>4391038</vt:i4>
      </vt:variant>
      <vt:variant>
        <vt:i4>801</vt:i4>
      </vt:variant>
      <vt:variant>
        <vt:i4>0</vt:i4>
      </vt:variant>
      <vt:variant>
        <vt:i4>5</vt:i4>
      </vt:variant>
      <vt:variant>
        <vt:lpwstr>mailto:OPERDES@telmex.com</vt:lpwstr>
      </vt:variant>
      <vt:variant>
        <vt:lpwstr/>
      </vt:variant>
      <vt:variant>
        <vt:i4>1507376</vt:i4>
      </vt:variant>
      <vt:variant>
        <vt:i4>794</vt:i4>
      </vt:variant>
      <vt:variant>
        <vt:i4>0</vt:i4>
      </vt:variant>
      <vt:variant>
        <vt:i4>5</vt:i4>
      </vt:variant>
      <vt:variant>
        <vt:lpwstr/>
      </vt:variant>
      <vt:variant>
        <vt:lpwstr>_Toc12550740</vt:lpwstr>
      </vt:variant>
      <vt:variant>
        <vt:i4>1966135</vt:i4>
      </vt:variant>
      <vt:variant>
        <vt:i4>788</vt:i4>
      </vt:variant>
      <vt:variant>
        <vt:i4>0</vt:i4>
      </vt:variant>
      <vt:variant>
        <vt:i4>5</vt:i4>
      </vt:variant>
      <vt:variant>
        <vt:lpwstr/>
      </vt:variant>
      <vt:variant>
        <vt:lpwstr>_Toc12550739</vt:lpwstr>
      </vt:variant>
      <vt:variant>
        <vt:i4>2031671</vt:i4>
      </vt:variant>
      <vt:variant>
        <vt:i4>782</vt:i4>
      </vt:variant>
      <vt:variant>
        <vt:i4>0</vt:i4>
      </vt:variant>
      <vt:variant>
        <vt:i4>5</vt:i4>
      </vt:variant>
      <vt:variant>
        <vt:lpwstr/>
      </vt:variant>
      <vt:variant>
        <vt:lpwstr>_Toc12550738</vt:lpwstr>
      </vt:variant>
      <vt:variant>
        <vt:i4>1048631</vt:i4>
      </vt:variant>
      <vt:variant>
        <vt:i4>776</vt:i4>
      </vt:variant>
      <vt:variant>
        <vt:i4>0</vt:i4>
      </vt:variant>
      <vt:variant>
        <vt:i4>5</vt:i4>
      </vt:variant>
      <vt:variant>
        <vt:lpwstr/>
      </vt:variant>
      <vt:variant>
        <vt:lpwstr>_Toc12550737</vt:lpwstr>
      </vt:variant>
      <vt:variant>
        <vt:i4>1114167</vt:i4>
      </vt:variant>
      <vt:variant>
        <vt:i4>770</vt:i4>
      </vt:variant>
      <vt:variant>
        <vt:i4>0</vt:i4>
      </vt:variant>
      <vt:variant>
        <vt:i4>5</vt:i4>
      </vt:variant>
      <vt:variant>
        <vt:lpwstr/>
      </vt:variant>
      <vt:variant>
        <vt:lpwstr>_Toc12550736</vt:lpwstr>
      </vt:variant>
      <vt:variant>
        <vt:i4>1179703</vt:i4>
      </vt:variant>
      <vt:variant>
        <vt:i4>764</vt:i4>
      </vt:variant>
      <vt:variant>
        <vt:i4>0</vt:i4>
      </vt:variant>
      <vt:variant>
        <vt:i4>5</vt:i4>
      </vt:variant>
      <vt:variant>
        <vt:lpwstr/>
      </vt:variant>
      <vt:variant>
        <vt:lpwstr>_Toc12550735</vt:lpwstr>
      </vt:variant>
      <vt:variant>
        <vt:i4>1245239</vt:i4>
      </vt:variant>
      <vt:variant>
        <vt:i4>758</vt:i4>
      </vt:variant>
      <vt:variant>
        <vt:i4>0</vt:i4>
      </vt:variant>
      <vt:variant>
        <vt:i4>5</vt:i4>
      </vt:variant>
      <vt:variant>
        <vt:lpwstr/>
      </vt:variant>
      <vt:variant>
        <vt:lpwstr>_Toc12550734</vt:lpwstr>
      </vt:variant>
      <vt:variant>
        <vt:i4>1310775</vt:i4>
      </vt:variant>
      <vt:variant>
        <vt:i4>752</vt:i4>
      </vt:variant>
      <vt:variant>
        <vt:i4>0</vt:i4>
      </vt:variant>
      <vt:variant>
        <vt:i4>5</vt:i4>
      </vt:variant>
      <vt:variant>
        <vt:lpwstr/>
      </vt:variant>
      <vt:variant>
        <vt:lpwstr>_Toc12550733</vt:lpwstr>
      </vt:variant>
      <vt:variant>
        <vt:i4>1376311</vt:i4>
      </vt:variant>
      <vt:variant>
        <vt:i4>746</vt:i4>
      </vt:variant>
      <vt:variant>
        <vt:i4>0</vt:i4>
      </vt:variant>
      <vt:variant>
        <vt:i4>5</vt:i4>
      </vt:variant>
      <vt:variant>
        <vt:lpwstr/>
      </vt:variant>
      <vt:variant>
        <vt:lpwstr>_Toc12550732</vt:lpwstr>
      </vt:variant>
      <vt:variant>
        <vt:i4>1441847</vt:i4>
      </vt:variant>
      <vt:variant>
        <vt:i4>740</vt:i4>
      </vt:variant>
      <vt:variant>
        <vt:i4>0</vt:i4>
      </vt:variant>
      <vt:variant>
        <vt:i4>5</vt:i4>
      </vt:variant>
      <vt:variant>
        <vt:lpwstr/>
      </vt:variant>
      <vt:variant>
        <vt:lpwstr>_Toc12550731</vt:lpwstr>
      </vt:variant>
      <vt:variant>
        <vt:i4>1507383</vt:i4>
      </vt:variant>
      <vt:variant>
        <vt:i4>734</vt:i4>
      </vt:variant>
      <vt:variant>
        <vt:i4>0</vt:i4>
      </vt:variant>
      <vt:variant>
        <vt:i4>5</vt:i4>
      </vt:variant>
      <vt:variant>
        <vt:lpwstr/>
      </vt:variant>
      <vt:variant>
        <vt:lpwstr>_Toc12550730</vt:lpwstr>
      </vt:variant>
      <vt:variant>
        <vt:i4>1966134</vt:i4>
      </vt:variant>
      <vt:variant>
        <vt:i4>728</vt:i4>
      </vt:variant>
      <vt:variant>
        <vt:i4>0</vt:i4>
      </vt:variant>
      <vt:variant>
        <vt:i4>5</vt:i4>
      </vt:variant>
      <vt:variant>
        <vt:lpwstr/>
      </vt:variant>
      <vt:variant>
        <vt:lpwstr>_Toc12550729</vt:lpwstr>
      </vt:variant>
      <vt:variant>
        <vt:i4>2031670</vt:i4>
      </vt:variant>
      <vt:variant>
        <vt:i4>722</vt:i4>
      </vt:variant>
      <vt:variant>
        <vt:i4>0</vt:i4>
      </vt:variant>
      <vt:variant>
        <vt:i4>5</vt:i4>
      </vt:variant>
      <vt:variant>
        <vt:lpwstr/>
      </vt:variant>
      <vt:variant>
        <vt:lpwstr>_Toc12550728</vt:lpwstr>
      </vt:variant>
      <vt:variant>
        <vt:i4>1048630</vt:i4>
      </vt:variant>
      <vt:variant>
        <vt:i4>716</vt:i4>
      </vt:variant>
      <vt:variant>
        <vt:i4>0</vt:i4>
      </vt:variant>
      <vt:variant>
        <vt:i4>5</vt:i4>
      </vt:variant>
      <vt:variant>
        <vt:lpwstr/>
      </vt:variant>
      <vt:variant>
        <vt:lpwstr>_Toc12550727</vt:lpwstr>
      </vt:variant>
      <vt:variant>
        <vt:i4>1114166</vt:i4>
      </vt:variant>
      <vt:variant>
        <vt:i4>710</vt:i4>
      </vt:variant>
      <vt:variant>
        <vt:i4>0</vt:i4>
      </vt:variant>
      <vt:variant>
        <vt:i4>5</vt:i4>
      </vt:variant>
      <vt:variant>
        <vt:lpwstr/>
      </vt:variant>
      <vt:variant>
        <vt:lpwstr>_Toc12550726</vt:lpwstr>
      </vt:variant>
      <vt:variant>
        <vt:i4>1179702</vt:i4>
      </vt:variant>
      <vt:variant>
        <vt:i4>704</vt:i4>
      </vt:variant>
      <vt:variant>
        <vt:i4>0</vt:i4>
      </vt:variant>
      <vt:variant>
        <vt:i4>5</vt:i4>
      </vt:variant>
      <vt:variant>
        <vt:lpwstr/>
      </vt:variant>
      <vt:variant>
        <vt:lpwstr>_Toc12550725</vt:lpwstr>
      </vt:variant>
      <vt:variant>
        <vt:i4>1245238</vt:i4>
      </vt:variant>
      <vt:variant>
        <vt:i4>698</vt:i4>
      </vt:variant>
      <vt:variant>
        <vt:i4>0</vt:i4>
      </vt:variant>
      <vt:variant>
        <vt:i4>5</vt:i4>
      </vt:variant>
      <vt:variant>
        <vt:lpwstr/>
      </vt:variant>
      <vt:variant>
        <vt:lpwstr>_Toc12550724</vt:lpwstr>
      </vt:variant>
      <vt:variant>
        <vt:i4>1310774</vt:i4>
      </vt:variant>
      <vt:variant>
        <vt:i4>692</vt:i4>
      </vt:variant>
      <vt:variant>
        <vt:i4>0</vt:i4>
      </vt:variant>
      <vt:variant>
        <vt:i4>5</vt:i4>
      </vt:variant>
      <vt:variant>
        <vt:lpwstr/>
      </vt:variant>
      <vt:variant>
        <vt:lpwstr>_Toc12550723</vt:lpwstr>
      </vt:variant>
      <vt:variant>
        <vt:i4>1376310</vt:i4>
      </vt:variant>
      <vt:variant>
        <vt:i4>686</vt:i4>
      </vt:variant>
      <vt:variant>
        <vt:i4>0</vt:i4>
      </vt:variant>
      <vt:variant>
        <vt:i4>5</vt:i4>
      </vt:variant>
      <vt:variant>
        <vt:lpwstr/>
      </vt:variant>
      <vt:variant>
        <vt:lpwstr>_Toc12550722</vt:lpwstr>
      </vt:variant>
      <vt:variant>
        <vt:i4>1441846</vt:i4>
      </vt:variant>
      <vt:variant>
        <vt:i4>680</vt:i4>
      </vt:variant>
      <vt:variant>
        <vt:i4>0</vt:i4>
      </vt:variant>
      <vt:variant>
        <vt:i4>5</vt:i4>
      </vt:variant>
      <vt:variant>
        <vt:lpwstr/>
      </vt:variant>
      <vt:variant>
        <vt:lpwstr>_Toc12550721</vt:lpwstr>
      </vt:variant>
      <vt:variant>
        <vt:i4>1507382</vt:i4>
      </vt:variant>
      <vt:variant>
        <vt:i4>674</vt:i4>
      </vt:variant>
      <vt:variant>
        <vt:i4>0</vt:i4>
      </vt:variant>
      <vt:variant>
        <vt:i4>5</vt:i4>
      </vt:variant>
      <vt:variant>
        <vt:lpwstr/>
      </vt:variant>
      <vt:variant>
        <vt:lpwstr>_Toc12550720</vt:lpwstr>
      </vt:variant>
      <vt:variant>
        <vt:i4>1966133</vt:i4>
      </vt:variant>
      <vt:variant>
        <vt:i4>668</vt:i4>
      </vt:variant>
      <vt:variant>
        <vt:i4>0</vt:i4>
      </vt:variant>
      <vt:variant>
        <vt:i4>5</vt:i4>
      </vt:variant>
      <vt:variant>
        <vt:lpwstr/>
      </vt:variant>
      <vt:variant>
        <vt:lpwstr>_Toc12550719</vt:lpwstr>
      </vt:variant>
      <vt:variant>
        <vt:i4>2031669</vt:i4>
      </vt:variant>
      <vt:variant>
        <vt:i4>662</vt:i4>
      </vt:variant>
      <vt:variant>
        <vt:i4>0</vt:i4>
      </vt:variant>
      <vt:variant>
        <vt:i4>5</vt:i4>
      </vt:variant>
      <vt:variant>
        <vt:lpwstr/>
      </vt:variant>
      <vt:variant>
        <vt:lpwstr>_Toc12550718</vt:lpwstr>
      </vt:variant>
      <vt:variant>
        <vt:i4>1048629</vt:i4>
      </vt:variant>
      <vt:variant>
        <vt:i4>656</vt:i4>
      </vt:variant>
      <vt:variant>
        <vt:i4>0</vt:i4>
      </vt:variant>
      <vt:variant>
        <vt:i4>5</vt:i4>
      </vt:variant>
      <vt:variant>
        <vt:lpwstr/>
      </vt:variant>
      <vt:variant>
        <vt:lpwstr>_Toc12550717</vt:lpwstr>
      </vt:variant>
      <vt:variant>
        <vt:i4>1114165</vt:i4>
      </vt:variant>
      <vt:variant>
        <vt:i4>650</vt:i4>
      </vt:variant>
      <vt:variant>
        <vt:i4>0</vt:i4>
      </vt:variant>
      <vt:variant>
        <vt:i4>5</vt:i4>
      </vt:variant>
      <vt:variant>
        <vt:lpwstr/>
      </vt:variant>
      <vt:variant>
        <vt:lpwstr>_Toc12550716</vt:lpwstr>
      </vt:variant>
      <vt:variant>
        <vt:i4>1179701</vt:i4>
      </vt:variant>
      <vt:variant>
        <vt:i4>644</vt:i4>
      </vt:variant>
      <vt:variant>
        <vt:i4>0</vt:i4>
      </vt:variant>
      <vt:variant>
        <vt:i4>5</vt:i4>
      </vt:variant>
      <vt:variant>
        <vt:lpwstr/>
      </vt:variant>
      <vt:variant>
        <vt:lpwstr>_Toc12550715</vt:lpwstr>
      </vt:variant>
      <vt:variant>
        <vt:i4>1245237</vt:i4>
      </vt:variant>
      <vt:variant>
        <vt:i4>638</vt:i4>
      </vt:variant>
      <vt:variant>
        <vt:i4>0</vt:i4>
      </vt:variant>
      <vt:variant>
        <vt:i4>5</vt:i4>
      </vt:variant>
      <vt:variant>
        <vt:lpwstr/>
      </vt:variant>
      <vt:variant>
        <vt:lpwstr>_Toc12550714</vt:lpwstr>
      </vt:variant>
      <vt:variant>
        <vt:i4>1310773</vt:i4>
      </vt:variant>
      <vt:variant>
        <vt:i4>632</vt:i4>
      </vt:variant>
      <vt:variant>
        <vt:i4>0</vt:i4>
      </vt:variant>
      <vt:variant>
        <vt:i4>5</vt:i4>
      </vt:variant>
      <vt:variant>
        <vt:lpwstr/>
      </vt:variant>
      <vt:variant>
        <vt:lpwstr>_Toc12550713</vt:lpwstr>
      </vt:variant>
      <vt:variant>
        <vt:i4>1376309</vt:i4>
      </vt:variant>
      <vt:variant>
        <vt:i4>626</vt:i4>
      </vt:variant>
      <vt:variant>
        <vt:i4>0</vt:i4>
      </vt:variant>
      <vt:variant>
        <vt:i4>5</vt:i4>
      </vt:variant>
      <vt:variant>
        <vt:lpwstr/>
      </vt:variant>
      <vt:variant>
        <vt:lpwstr>_Toc12550712</vt:lpwstr>
      </vt:variant>
      <vt:variant>
        <vt:i4>1441845</vt:i4>
      </vt:variant>
      <vt:variant>
        <vt:i4>620</vt:i4>
      </vt:variant>
      <vt:variant>
        <vt:i4>0</vt:i4>
      </vt:variant>
      <vt:variant>
        <vt:i4>5</vt:i4>
      </vt:variant>
      <vt:variant>
        <vt:lpwstr/>
      </vt:variant>
      <vt:variant>
        <vt:lpwstr>_Toc12550711</vt:lpwstr>
      </vt:variant>
      <vt:variant>
        <vt:i4>1507381</vt:i4>
      </vt:variant>
      <vt:variant>
        <vt:i4>614</vt:i4>
      </vt:variant>
      <vt:variant>
        <vt:i4>0</vt:i4>
      </vt:variant>
      <vt:variant>
        <vt:i4>5</vt:i4>
      </vt:variant>
      <vt:variant>
        <vt:lpwstr/>
      </vt:variant>
      <vt:variant>
        <vt:lpwstr>_Toc12550710</vt:lpwstr>
      </vt:variant>
      <vt:variant>
        <vt:i4>1966132</vt:i4>
      </vt:variant>
      <vt:variant>
        <vt:i4>608</vt:i4>
      </vt:variant>
      <vt:variant>
        <vt:i4>0</vt:i4>
      </vt:variant>
      <vt:variant>
        <vt:i4>5</vt:i4>
      </vt:variant>
      <vt:variant>
        <vt:lpwstr/>
      </vt:variant>
      <vt:variant>
        <vt:lpwstr>_Toc12550709</vt:lpwstr>
      </vt:variant>
      <vt:variant>
        <vt:i4>2031668</vt:i4>
      </vt:variant>
      <vt:variant>
        <vt:i4>602</vt:i4>
      </vt:variant>
      <vt:variant>
        <vt:i4>0</vt:i4>
      </vt:variant>
      <vt:variant>
        <vt:i4>5</vt:i4>
      </vt:variant>
      <vt:variant>
        <vt:lpwstr/>
      </vt:variant>
      <vt:variant>
        <vt:lpwstr>_Toc12550708</vt:lpwstr>
      </vt:variant>
      <vt:variant>
        <vt:i4>1048628</vt:i4>
      </vt:variant>
      <vt:variant>
        <vt:i4>596</vt:i4>
      </vt:variant>
      <vt:variant>
        <vt:i4>0</vt:i4>
      </vt:variant>
      <vt:variant>
        <vt:i4>5</vt:i4>
      </vt:variant>
      <vt:variant>
        <vt:lpwstr/>
      </vt:variant>
      <vt:variant>
        <vt:lpwstr>_Toc12550707</vt:lpwstr>
      </vt:variant>
      <vt:variant>
        <vt:i4>1114164</vt:i4>
      </vt:variant>
      <vt:variant>
        <vt:i4>590</vt:i4>
      </vt:variant>
      <vt:variant>
        <vt:i4>0</vt:i4>
      </vt:variant>
      <vt:variant>
        <vt:i4>5</vt:i4>
      </vt:variant>
      <vt:variant>
        <vt:lpwstr/>
      </vt:variant>
      <vt:variant>
        <vt:lpwstr>_Toc12550706</vt:lpwstr>
      </vt:variant>
      <vt:variant>
        <vt:i4>1179700</vt:i4>
      </vt:variant>
      <vt:variant>
        <vt:i4>584</vt:i4>
      </vt:variant>
      <vt:variant>
        <vt:i4>0</vt:i4>
      </vt:variant>
      <vt:variant>
        <vt:i4>5</vt:i4>
      </vt:variant>
      <vt:variant>
        <vt:lpwstr/>
      </vt:variant>
      <vt:variant>
        <vt:lpwstr>_Toc12550705</vt:lpwstr>
      </vt:variant>
      <vt:variant>
        <vt:i4>1245236</vt:i4>
      </vt:variant>
      <vt:variant>
        <vt:i4>578</vt:i4>
      </vt:variant>
      <vt:variant>
        <vt:i4>0</vt:i4>
      </vt:variant>
      <vt:variant>
        <vt:i4>5</vt:i4>
      </vt:variant>
      <vt:variant>
        <vt:lpwstr/>
      </vt:variant>
      <vt:variant>
        <vt:lpwstr>_Toc12550704</vt:lpwstr>
      </vt:variant>
      <vt:variant>
        <vt:i4>1310772</vt:i4>
      </vt:variant>
      <vt:variant>
        <vt:i4>572</vt:i4>
      </vt:variant>
      <vt:variant>
        <vt:i4>0</vt:i4>
      </vt:variant>
      <vt:variant>
        <vt:i4>5</vt:i4>
      </vt:variant>
      <vt:variant>
        <vt:lpwstr/>
      </vt:variant>
      <vt:variant>
        <vt:lpwstr>_Toc12550703</vt:lpwstr>
      </vt:variant>
      <vt:variant>
        <vt:i4>1376308</vt:i4>
      </vt:variant>
      <vt:variant>
        <vt:i4>566</vt:i4>
      </vt:variant>
      <vt:variant>
        <vt:i4>0</vt:i4>
      </vt:variant>
      <vt:variant>
        <vt:i4>5</vt:i4>
      </vt:variant>
      <vt:variant>
        <vt:lpwstr/>
      </vt:variant>
      <vt:variant>
        <vt:lpwstr>_Toc12550702</vt:lpwstr>
      </vt:variant>
      <vt:variant>
        <vt:i4>1441844</vt:i4>
      </vt:variant>
      <vt:variant>
        <vt:i4>560</vt:i4>
      </vt:variant>
      <vt:variant>
        <vt:i4>0</vt:i4>
      </vt:variant>
      <vt:variant>
        <vt:i4>5</vt:i4>
      </vt:variant>
      <vt:variant>
        <vt:lpwstr/>
      </vt:variant>
      <vt:variant>
        <vt:lpwstr>_Toc12550701</vt:lpwstr>
      </vt:variant>
      <vt:variant>
        <vt:i4>1507380</vt:i4>
      </vt:variant>
      <vt:variant>
        <vt:i4>554</vt:i4>
      </vt:variant>
      <vt:variant>
        <vt:i4>0</vt:i4>
      </vt:variant>
      <vt:variant>
        <vt:i4>5</vt:i4>
      </vt:variant>
      <vt:variant>
        <vt:lpwstr/>
      </vt:variant>
      <vt:variant>
        <vt:lpwstr>_Toc12550700</vt:lpwstr>
      </vt:variant>
      <vt:variant>
        <vt:i4>2031677</vt:i4>
      </vt:variant>
      <vt:variant>
        <vt:i4>548</vt:i4>
      </vt:variant>
      <vt:variant>
        <vt:i4>0</vt:i4>
      </vt:variant>
      <vt:variant>
        <vt:i4>5</vt:i4>
      </vt:variant>
      <vt:variant>
        <vt:lpwstr/>
      </vt:variant>
      <vt:variant>
        <vt:lpwstr>_Toc12550699</vt:lpwstr>
      </vt:variant>
      <vt:variant>
        <vt:i4>1966141</vt:i4>
      </vt:variant>
      <vt:variant>
        <vt:i4>542</vt:i4>
      </vt:variant>
      <vt:variant>
        <vt:i4>0</vt:i4>
      </vt:variant>
      <vt:variant>
        <vt:i4>5</vt:i4>
      </vt:variant>
      <vt:variant>
        <vt:lpwstr/>
      </vt:variant>
      <vt:variant>
        <vt:lpwstr>_Toc12550698</vt:lpwstr>
      </vt:variant>
      <vt:variant>
        <vt:i4>1114173</vt:i4>
      </vt:variant>
      <vt:variant>
        <vt:i4>536</vt:i4>
      </vt:variant>
      <vt:variant>
        <vt:i4>0</vt:i4>
      </vt:variant>
      <vt:variant>
        <vt:i4>5</vt:i4>
      </vt:variant>
      <vt:variant>
        <vt:lpwstr/>
      </vt:variant>
      <vt:variant>
        <vt:lpwstr>_Toc12550697</vt:lpwstr>
      </vt:variant>
      <vt:variant>
        <vt:i4>1048637</vt:i4>
      </vt:variant>
      <vt:variant>
        <vt:i4>530</vt:i4>
      </vt:variant>
      <vt:variant>
        <vt:i4>0</vt:i4>
      </vt:variant>
      <vt:variant>
        <vt:i4>5</vt:i4>
      </vt:variant>
      <vt:variant>
        <vt:lpwstr/>
      </vt:variant>
      <vt:variant>
        <vt:lpwstr>_Toc12550696</vt:lpwstr>
      </vt:variant>
      <vt:variant>
        <vt:i4>1245245</vt:i4>
      </vt:variant>
      <vt:variant>
        <vt:i4>524</vt:i4>
      </vt:variant>
      <vt:variant>
        <vt:i4>0</vt:i4>
      </vt:variant>
      <vt:variant>
        <vt:i4>5</vt:i4>
      </vt:variant>
      <vt:variant>
        <vt:lpwstr/>
      </vt:variant>
      <vt:variant>
        <vt:lpwstr>_Toc12550695</vt:lpwstr>
      </vt:variant>
      <vt:variant>
        <vt:i4>1179709</vt:i4>
      </vt:variant>
      <vt:variant>
        <vt:i4>518</vt:i4>
      </vt:variant>
      <vt:variant>
        <vt:i4>0</vt:i4>
      </vt:variant>
      <vt:variant>
        <vt:i4>5</vt:i4>
      </vt:variant>
      <vt:variant>
        <vt:lpwstr/>
      </vt:variant>
      <vt:variant>
        <vt:lpwstr>_Toc12550694</vt:lpwstr>
      </vt:variant>
      <vt:variant>
        <vt:i4>1376317</vt:i4>
      </vt:variant>
      <vt:variant>
        <vt:i4>512</vt:i4>
      </vt:variant>
      <vt:variant>
        <vt:i4>0</vt:i4>
      </vt:variant>
      <vt:variant>
        <vt:i4>5</vt:i4>
      </vt:variant>
      <vt:variant>
        <vt:lpwstr/>
      </vt:variant>
      <vt:variant>
        <vt:lpwstr>_Toc12550693</vt:lpwstr>
      </vt:variant>
      <vt:variant>
        <vt:i4>1310781</vt:i4>
      </vt:variant>
      <vt:variant>
        <vt:i4>506</vt:i4>
      </vt:variant>
      <vt:variant>
        <vt:i4>0</vt:i4>
      </vt:variant>
      <vt:variant>
        <vt:i4>5</vt:i4>
      </vt:variant>
      <vt:variant>
        <vt:lpwstr/>
      </vt:variant>
      <vt:variant>
        <vt:lpwstr>_Toc12550692</vt:lpwstr>
      </vt:variant>
      <vt:variant>
        <vt:i4>1507389</vt:i4>
      </vt:variant>
      <vt:variant>
        <vt:i4>500</vt:i4>
      </vt:variant>
      <vt:variant>
        <vt:i4>0</vt:i4>
      </vt:variant>
      <vt:variant>
        <vt:i4>5</vt:i4>
      </vt:variant>
      <vt:variant>
        <vt:lpwstr/>
      </vt:variant>
      <vt:variant>
        <vt:lpwstr>_Toc12550691</vt:lpwstr>
      </vt:variant>
      <vt:variant>
        <vt:i4>1441853</vt:i4>
      </vt:variant>
      <vt:variant>
        <vt:i4>494</vt:i4>
      </vt:variant>
      <vt:variant>
        <vt:i4>0</vt:i4>
      </vt:variant>
      <vt:variant>
        <vt:i4>5</vt:i4>
      </vt:variant>
      <vt:variant>
        <vt:lpwstr/>
      </vt:variant>
      <vt:variant>
        <vt:lpwstr>_Toc12550690</vt:lpwstr>
      </vt:variant>
      <vt:variant>
        <vt:i4>2031676</vt:i4>
      </vt:variant>
      <vt:variant>
        <vt:i4>488</vt:i4>
      </vt:variant>
      <vt:variant>
        <vt:i4>0</vt:i4>
      </vt:variant>
      <vt:variant>
        <vt:i4>5</vt:i4>
      </vt:variant>
      <vt:variant>
        <vt:lpwstr/>
      </vt:variant>
      <vt:variant>
        <vt:lpwstr>_Toc12550689</vt:lpwstr>
      </vt:variant>
      <vt:variant>
        <vt:i4>1966140</vt:i4>
      </vt:variant>
      <vt:variant>
        <vt:i4>482</vt:i4>
      </vt:variant>
      <vt:variant>
        <vt:i4>0</vt:i4>
      </vt:variant>
      <vt:variant>
        <vt:i4>5</vt:i4>
      </vt:variant>
      <vt:variant>
        <vt:lpwstr/>
      </vt:variant>
      <vt:variant>
        <vt:lpwstr>_Toc12550688</vt:lpwstr>
      </vt:variant>
      <vt:variant>
        <vt:i4>1114172</vt:i4>
      </vt:variant>
      <vt:variant>
        <vt:i4>476</vt:i4>
      </vt:variant>
      <vt:variant>
        <vt:i4>0</vt:i4>
      </vt:variant>
      <vt:variant>
        <vt:i4>5</vt:i4>
      </vt:variant>
      <vt:variant>
        <vt:lpwstr/>
      </vt:variant>
      <vt:variant>
        <vt:lpwstr>_Toc12550687</vt:lpwstr>
      </vt:variant>
      <vt:variant>
        <vt:i4>1048636</vt:i4>
      </vt:variant>
      <vt:variant>
        <vt:i4>470</vt:i4>
      </vt:variant>
      <vt:variant>
        <vt:i4>0</vt:i4>
      </vt:variant>
      <vt:variant>
        <vt:i4>5</vt:i4>
      </vt:variant>
      <vt:variant>
        <vt:lpwstr/>
      </vt:variant>
      <vt:variant>
        <vt:lpwstr>_Toc12550686</vt:lpwstr>
      </vt:variant>
      <vt:variant>
        <vt:i4>1245244</vt:i4>
      </vt:variant>
      <vt:variant>
        <vt:i4>464</vt:i4>
      </vt:variant>
      <vt:variant>
        <vt:i4>0</vt:i4>
      </vt:variant>
      <vt:variant>
        <vt:i4>5</vt:i4>
      </vt:variant>
      <vt:variant>
        <vt:lpwstr/>
      </vt:variant>
      <vt:variant>
        <vt:lpwstr>_Toc12550685</vt:lpwstr>
      </vt:variant>
      <vt:variant>
        <vt:i4>1179708</vt:i4>
      </vt:variant>
      <vt:variant>
        <vt:i4>458</vt:i4>
      </vt:variant>
      <vt:variant>
        <vt:i4>0</vt:i4>
      </vt:variant>
      <vt:variant>
        <vt:i4>5</vt:i4>
      </vt:variant>
      <vt:variant>
        <vt:lpwstr/>
      </vt:variant>
      <vt:variant>
        <vt:lpwstr>_Toc12550684</vt:lpwstr>
      </vt:variant>
      <vt:variant>
        <vt:i4>1376316</vt:i4>
      </vt:variant>
      <vt:variant>
        <vt:i4>452</vt:i4>
      </vt:variant>
      <vt:variant>
        <vt:i4>0</vt:i4>
      </vt:variant>
      <vt:variant>
        <vt:i4>5</vt:i4>
      </vt:variant>
      <vt:variant>
        <vt:lpwstr/>
      </vt:variant>
      <vt:variant>
        <vt:lpwstr>_Toc12550683</vt:lpwstr>
      </vt:variant>
      <vt:variant>
        <vt:i4>1310780</vt:i4>
      </vt:variant>
      <vt:variant>
        <vt:i4>446</vt:i4>
      </vt:variant>
      <vt:variant>
        <vt:i4>0</vt:i4>
      </vt:variant>
      <vt:variant>
        <vt:i4>5</vt:i4>
      </vt:variant>
      <vt:variant>
        <vt:lpwstr/>
      </vt:variant>
      <vt:variant>
        <vt:lpwstr>_Toc12550682</vt:lpwstr>
      </vt:variant>
      <vt:variant>
        <vt:i4>1507388</vt:i4>
      </vt:variant>
      <vt:variant>
        <vt:i4>440</vt:i4>
      </vt:variant>
      <vt:variant>
        <vt:i4>0</vt:i4>
      </vt:variant>
      <vt:variant>
        <vt:i4>5</vt:i4>
      </vt:variant>
      <vt:variant>
        <vt:lpwstr/>
      </vt:variant>
      <vt:variant>
        <vt:lpwstr>_Toc12550681</vt:lpwstr>
      </vt:variant>
      <vt:variant>
        <vt:i4>1441852</vt:i4>
      </vt:variant>
      <vt:variant>
        <vt:i4>434</vt:i4>
      </vt:variant>
      <vt:variant>
        <vt:i4>0</vt:i4>
      </vt:variant>
      <vt:variant>
        <vt:i4>5</vt:i4>
      </vt:variant>
      <vt:variant>
        <vt:lpwstr/>
      </vt:variant>
      <vt:variant>
        <vt:lpwstr>_Toc12550680</vt:lpwstr>
      </vt:variant>
      <vt:variant>
        <vt:i4>2031667</vt:i4>
      </vt:variant>
      <vt:variant>
        <vt:i4>428</vt:i4>
      </vt:variant>
      <vt:variant>
        <vt:i4>0</vt:i4>
      </vt:variant>
      <vt:variant>
        <vt:i4>5</vt:i4>
      </vt:variant>
      <vt:variant>
        <vt:lpwstr/>
      </vt:variant>
      <vt:variant>
        <vt:lpwstr>_Toc12550679</vt:lpwstr>
      </vt:variant>
      <vt:variant>
        <vt:i4>1966131</vt:i4>
      </vt:variant>
      <vt:variant>
        <vt:i4>422</vt:i4>
      </vt:variant>
      <vt:variant>
        <vt:i4>0</vt:i4>
      </vt:variant>
      <vt:variant>
        <vt:i4>5</vt:i4>
      </vt:variant>
      <vt:variant>
        <vt:lpwstr/>
      </vt:variant>
      <vt:variant>
        <vt:lpwstr>_Toc12550678</vt:lpwstr>
      </vt:variant>
      <vt:variant>
        <vt:i4>1114163</vt:i4>
      </vt:variant>
      <vt:variant>
        <vt:i4>416</vt:i4>
      </vt:variant>
      <vt:variant>
        <vt:i4>0</vt:i4>
      </vt:variant>
      <vt:variant>
        <vt:i4>5</vt:i4>
      </vt:variant>
      <vt:variant>
        <vt:lpwstr/>
      </vt:variant>
      <vt:variant>
        <vt:lpwstr>_Toc12550677</vt:lpwstr>
      </vt:variant>
      <vt:variant>
        <vt:i4>1048627</vt:i4>
      </vt:variant>
      <vt:variant>
        <vt:i4>410</vt:i4>
      </vt:variant>
      <vt:variant>
        <vt:i4>0</vt:i4>
      </vt:variant>
      <vt:variant>
        <vt:i4>5</vt:i4>
      </vt:variant>
      <vt:variant>
        <vt:lpwstr/>
      </vt:variant>
      <vt:variant>
        <vt:lpwstr>_Toc12550676</vt:lpwstr>
      </vt:variant>
      <vt:variant>
        <vt:i4>1245235</vt:i4>
      </vt:variant>
      <vt:variant>
        <vt:i4>404</vt:i4>
      </vt:variant>
      <vt:variant>
        <vt:i4>0</vt:i4>
      </vt:variant>
      <vt:variant>
        <vt:i4>5</vt:i4>
      </vt:variant>
      <vt:variant>
        <vt:lpwstr/>
      </vt:variant>
      <vt:variant>
        <vt:lpwstr>_Toc12550675</vt:lpwstr>
      </vt:variant>
      <vt:variant>
        <vt:i4>1179699</vt:i4>
      </vt:variant>
      <vt:variant>
        <vt:i4>398</vt:i4>
      </vt:variant>
      <vt:variant>
        <vt:i4>0</vt:i4>
      </vt:variant>
      <vt:variant>
        <vt:i4>5</vt:i4>
      </vt:variant>
      <vt:variant>
        <vt:lpwstr/>
      </vt:variant>
      <vt:variant>
        <vt:lpwstr>_Toc12550674</vt:lpwstr>
      </vt:variant>
      <vt:variant>
        <vt:i4>1376307</vt:i4>
      </vt:variant>
      <vt:variant>
        <vt:i4>392</vt:i4>
      </vt:variant>
      <vt:variant>
        <vt:i4>0</vt:i4>
      </vt:variant>
      <vt:variant>
        <vt:i4>5</vt:i4>
      </vt:variant>
      <vt:variant>
        <vt:lpwstr/>
      </vt:variant>
      <vt:variant>
        <vt:lpwstr>_Toc12550673</vt:lpwstr>
      </vt:variant>
      <vt:variant>
        <vt:i4>1310771</vt:i4>
      </vt:variant>
      <vt:variant>
        <vt:i4>386</vt:i4>
      </vt:variant>
      <vt:variant>
        <vt:i4>0</vt:i4>
      </vt:variant>
      <vt:variant>
        <vt:i4>5</vt:i4>
      </vt:variant>
      <vt:variant>
        <vt:lpwstr/>
      </vt:variant>
      <vt:variant>
        <vt:lpwstr>_Toc12550672</vt:lpwstr>
      </vt:variant>
      <vt:variant>
        <vt:i4>1507379</vt:i4>
      </vt:variant>
      <vt:variant>
        <vt:i4>380</vt:i4>
      </vt:variant>
      <vt:variant>
        <vt:i4>0</vt:i4>
      </vt:variant>
      <vt:variant>
        <vt:i4>5</vt:i4>
      </vt:variant>
      <vt:variant>
        <vt:lpwstr/>
      </vt:variant>
      <vt:variant>
        <vt:lpwstr>_Toc12550671</vt:lpwstr>
      </vt:variant>
      <vt:variant>
        <vt:i4>1441843</vt:i4>
      </vt:variant>
      <vt:variant>
        <vt:i4>374</vt:i4>
      </vt:variant>
      <vt:variant>
        <vt:i4>0</vt:i4>
      </vt:variant>
      <vt:variant>
        <vt:i4>5</vt:i4>
      </vt:variant>
      <vt:variant>
        <vt:lpwstr/>
      </vt:variant>
      <vt:variant>
        <vt:lpwstr>_Toc12550670</vt:lpwstr>
      </vt:variant>
      <vt:variant>
        <vt:i4>2031666</vt:i4>
      </vt:variant>
      <vt:variant>
        <vt:i4>368</vt:i4>
      </vt:variant>
      <vt:variant>
        <vt:i4>0</vt:i4>
      </vt:variant>
      <vt:variant>
        <vt:i4>5</vt:i4>
      </vt:variant>
      <vt:variant>
        <vt:lpwstr/>
      </vt:variant>
      <vt:variant>
        <vt:lpwstr>_Toc12550669</vt:lpwstr>
      </vt:variant>
      <vt:variant>
        <vt:i4>1966130</vt:i4>
      </vt:variant>
      <vt:variant>
        <vt:i4>362</vt:i4>
      </vt:variant>
      <vt:variant>
        <vt:i4>0</vt:i4>
      </vt:variant>
      <vt:variant>
        <vt:i4>5</vt:i4>
      </vt:variant>
      <vt:variant>
        <vt:lpwstr/>
      </vt:variant>
      <vt:variant>
        <vt:lpwstr>_Toc12550668</vt:lpwstr>
      </vt:variant>
      <vt:variant>
        <vt:i4>1114162</vt:i4>
      </vt:variant>
      <vt:variant>
        <vt:i4>356</vt:i4>
      </vt:variant>
      <vt:variant>
        <vt:i4>0</vt:i4>
      </vt:variant>
      <vt:variant>
        <vt:i4>5</vt:i4>
      </vt:variant>
      <vt:variant>
        <vt:lpwstr/>
      </vt:variant>
      <vt:variant>
        <vt:lpwstr>_Toc12550667</vt:lpwstr>
      </vt:variant>
      <vt:variant>
        <vt:i4>1048626</vt:i4>
      </vt:variant>
      <vt:variant>
        <vt:i4>350</vt:i4>
      </vt:variant>
      <vt:variant>
        <vt:i4>0</vt:i4>
      </vt:variant>
      <vt:variant>
        <vt:i4>5</vt:i4>
      </vt:variant>
      <vt:variant>
        <vt:lpwstr/>
      </vt:variant>
      <vt:variant>
        <vt:lpwstr>_Toc12550666</vt:lpwstr>
      </vt:variant>
      <vt:variant>
        <vt:i4>1245234</vt:i4>
      </vt:variant>
      <vt:variant>
        <vt:i4>344</vt:i4>
      </vt:variant>
      <vt:variant>
        <vt:i4>0</vt:i4>
      </vt:variant>
      <vt:variant>
        <vt:i4>5</vt:i4>
      </vt:variant>
      <vt:variant>
        <vt:lpwstr/>
      </vt:variant>
      <vt:variant>
        <vt:lpwstr>_Toc12550665</vt:lpwstr>
      </vt:variant>
      <vt:variant>
        <vt:i4>1179698</vt:i4>
      </vt:variant>
      <vt:variant>
        <vt:i4>338</vt:i4>
      </vt:variant>
      <vt:variant>
        <vt:i4>0</vt:i4>
      </vt:variant>
      <vt:variant>
        <vt:i4>5</vt:i4>
      </vt:variant>
      <vt:variant>
        <vt:lpwstr/>
      </vt:variant>
      <vt:variant>
        <vt:lpwstr>_Toc12550664</vt:lpwstr>
      </vt:variant>
      <vt:variant>
        <vt:i4>1376306</vt:i4>
      </vt:variant>
      <vt:variant>
        <vt:i4>332</vt:i4>
      </vt:variant>
      <vt:variant>
        <vt:i4>0</vt:i4>
      </vt:variant>
      <vt:variant>
        <vt:i4>5</vt:i4>
      </vt:variant>
      <vt:variant>
        <vt:lpwstr/>
      </vt:variant>
      <vt:variant>
        <vt:lpwstr>_Toc12550663</vt:lpwstr>
      </vt:variant>
      <vt:variant>
        <vt:i4>1310770</vt:i4>
      </vt:variant>
      <vt:variant>
        <vt:i4>326</vt:i4>
      </vt:variant>
      <vt:variant>
        <vt:i4>0</vt:i4>
      </vt:variant>
      <vt:variant>
        <vt:i4>5</vt:i4>
      </vt:variant>
      <vt:variant>
        <vt:lpwstr/>
      </vt:variant>
      <vt:variant>
        <vt:lpwstr>_Toc12550662</vt:lpwstr>
      </vt:variant>
      <vt:variant>
        <vt:i4>1507378</vt:i4>
      </vt:variant>
      <vt:variant>
        <vt:i4>320</vt:i4>
      </vt:variant>
      <vt:variant>
        <vt:i4>0</vt:i4>
      </vt:variant>
      <vt:variant>
        <vt:i4>5</vt:i4>
      </vt:variant>
      <vt:variant>
        <vt:lpwstr/>
      </vt:variant>
      <vt:variant>
        <vt:lpwstr>_Toc12550661</vt:lpwstr>
      </vt:variant>
      <vt:variant>
        <vt:i4>1441842</vt:i4>
      </vt:variant>
      <vt:variant>
        <vt:i4>314</vt:i4>
      </vt:variant>
      <vt:variant>
        <vt:i4>0</vt:i4>
      </vt:variant>
      <vt:variant>
        <vt:i4>5</vt:i4>
      </vt:variant>
      <vt:variant>
        <vt:lpwstr/>
      </vt:variant>
      <vt:variant>
        <vt:lpwstr>_Toc12550660</vt:lpwstr>
      </vt:variant>
      <vt:variant>
        <vt:i4>2031665</vt:i4>
      </vt:variant>
      <vt:variant>
        <vt:i4>308</vt:i4>
      </vt:variant>
      <vt:variant>
        <vt:i4>0</vt:i4>
      </vt:variant>
      <vt:variant>
        <vt:i4>5</vt:i4>
      </vt:variant>
      <vt:variant>
        <vt:lpwstr/>
      </vt:variant>
      <vt:variant>
        <vt:lpwstr>_Toc12550659</vt:lpwstr>
      </vt:variant>
      <vt:variant>
        <vt:i4>1966129</vt:i4>
      </vt:variant>
      <vt:variant>
        <vt:i4>302</vt:i4>
      </vt:variant>
      <vt:variant>
        <vt:i4>0</vt:i4>
      </vt:variant>
      <vt:variant>
        <vt:i4>5</vt:i4>
      </vt:variant>
      <vt:variant>
        <vt:lpwstr/>
      </vt:variant>
      <vt:variant>
        <vt:lpwstr>_Toc12550658</vt:lpwstr>
      </vt:variant>
      <vt:variant>
        <vt:i4>1114161</vt:i4>
      </vt:variant>
      <vt:variant>
        <vt:i4>296</vt:i4>
      </vt:variant>
      <vt:variant>
        <vt:i4>0</vt:i4>
      </vt:variant>
      <vt:variant>
        <vt:i4>5</vt:i4>
      </vt:variant>
      <vt:variant>
        <vt:lpwstr/>
      </vt:variant>
      <vt:variant>
        <vt:lpwstr>_Toc12550657</vt:lpwstr>
      </vt:variant>
      <vt:variant>
        <vt:i4>1048625</vt:i4>
      </vt:variant>
      <vt:variant>
        <vt:i4>290</vt:i4>
      </vt:variant>
      <vt:variant>
        <vt:i4>0</vt:i4>
      </vt:variant>
      <vt:variant>
        <vt:i4>5</vt:i4>
      </vt:variant>
      <vt:variant>
        <vt:lpwstr/>
      </vt:variant>
      <vt:variant>
        <vt:lpwstr>_Toc12550656</vt:lpwstr>
      </vt:variant>
      <vt:variant>
        <vt:i4>1245233</vt:i4>
      </vt:variant>
      <vt:variant>
        <vt:i4>284</vt:i4>
      </vt:variant>
      <vt:variant>
        <vt:i4>0</vt:i4>
      </vt:variant>
      <vt:variant>
        <vt:i4>5</vt:i4>
      </vt:variant>
      <vt:variant>
        <vt:lpwstr/>
      </vt:variant>
      <vt:variant>
        <vt:lpwstr>_Toc12550655</vt:lpwstr>
      </vt:variant>
      <vt:variant>
        <vt:i4>1179697</vt:i4>
      </vt:variant>
      <vt:variant>
        <vt:i4>278</vt:i4>
      </vt:variant>
      <vt:variant>
        <vt:i4>0</vt:i4>
      </vt:variant>
      <vt:variant>
        <vt:i4>5</vt:i4>
      </vt:variant>
      <vt:variant>
        <vt:lpwstr/>
      </vt:variant>
      <vt:variant>
        <vt:lpwstr>_Toc12550654</vt:lpwstr>
      </vt:variant>
      <vt:variant>
        <vt:i4>1376305</vt:i4>
      </vt:variant>
      <vt:variant>
        <vt:i4>272</vt:i4>
      </vt:variant>
      <vt:variant>
        <vt:i4>0</vt:i4>
      </vt:variant>
      <vt:variant>
        <vt:i4>5</vt:i4>
      </vt:variant>
      <vt:variant>
        <vt:lpwstr/>
      </vt:variant>
      <vt:variant>
        <vt:lpwstr>_Toc12550653</vt:lpwstr>
      </vt:variant>
      <vt:variant>
        <vt:i4>1310769</vt:i4>
      </vt:variant>
      <vt:variant>
        <vt:i4>266</vt:i4>
      </vt:variant>
      <vt:variant>
        <vt:i4>0</vt:i4>
      </vt:variant>
      <vt:variant>
        <vt:i4>5</vt:i4>
      </vt:variant>
      <vt:variant>
        <vt:lpwstr/>
      </vt:variant>
      <vt:variant>
        <vt:lpwstr>_Toc12550652</vt:lpwstr>
      </vt:variant>
      <vt:variant>
        <vt:i4>1507377</vt:i4>
      </vt:variant>
      <vt:variant>
        <vt:i4>260</vt:i4>
      </vt:variant>
      <vt:variant>
        <vt:i4>0</vt:i4>
      </vt:variant>
      <vt:variant>
        <vt:i4>5</vt:i4>
      </vt:variant>
      <vt:variant>
        <vt:lpwstr/>
      </vt:variant>
      <vt:variant>
        <vt:lpwstr>_Toc12550651</vt:lpwstr>
      </vt:variant>
      <vt:variant>
        <vt:i4>1441841</vt:i4>
      </vt:variant>
      <vt:variant>
        <vt:i4>254</vt:i4>
      </vt:variant>
      <vt:variant>
        <vt:i4>0</vt:i4>
      </vt:variant>
      <vt:variant>
        <vt:i4>5</vt:i4>
      </vt:variant>
      <vt:variant>
        <vt:lpwstr/>
      </vt:variant>
      <vt:variant>
        <vt:lpwstr>_Toc12550650</vt:lpwstr>
      </vt:variant>
      <vt:variant>
        <vt:i4>2031664</vt:i4>
      </vt:variant>
      <vt:variant>
        <vt:i4>248</vt:i4>
      </vt:variant>
      <vt:variant>
        <vt:i4>0</vt:i4>
      </vt:variant>
      <vt:variant>
        <vt:i4>5</vt:i4>
      </vt:variant>
      <vt:variant>
        <vt:lpwstr/>
      </vt:variant>
      <vt:variant>
        <vt:lpwstr>_Toc12550649</vt:lpwstr>
      </vt:variant>
      <vt:variant>
        <vt:i4>1966128</vt:i4>
      </vt:variant>
      <vt:variant>
        <vt:i4>242</vt:i4>
      </vt:variant>
      <vt:variant>
        <vt:i4>0</vt:i4>
      </vt:variant>
      <vt:variant>
        <vt:i4>5</vt:i4>
      </vt:variant>
      <vt:variant>
        <vt:lpwstr/>
      </vt:variant>
      <vt:variant>
        <vt:lpwstr>_Toc12550648</vt:lpwstr>
      </vt:variant>
      <vt:variant>
        <vt:i4>1114160</vt:i4>
      </vt:variant>
      <vt:variant>
        <vt:i4>236</vt:i4>
      </vt:variant>
      <vt:variant>
        <vt:i4>0</vt:i4>
      </vt:variant>
      <vt:variant>
        <vt:i4>5</vt:i4>
      </vt:variant>
      <vt:variant>
        <vt:lpwstr/>
      </vt:variant>
      <vt:variant>
        <vt:lpwstr>_Toc12550647</vt:lpwstr>
      </vt:variant>
      <vt:variant>
        <vt:i4>1048624</vt:i4>
      </vt:variant>
      <vt:variant>
        <vt:i4>230</vt:i4>
      </vt:variant>
      <vt:variant>
        <vt:i4>0</vt:i4>
      </vt:variant>
      <vt:variant>
        <vt:i4>5</vt:i4>
      </vt:variant>
      <vt:variant>
        <vt:lpwstr/>
      </vt:variant>
      <vt:variant>
        <vt:lpwstr>_Toc12550646</vt:lpwstr>
      </vt:variant>
      <vt:variant>
        <vt:i4>1245232</vt:i4>
      </vt:variant>
      <vt:variant>
        <vt:i4>224</vt:i4>
      </vt:variant>
      <vt:variant>
        <vt:i4>0</vt:i4>
      </vt:variant>
      <vt:variant>
        <vt:i4>5</vt:i4>
      </vt:variant>
      <vt:variant>
        <vt:lpwstr/>
      </vt:variant>
      <vt:variant>
        <vt:lpwstr>_Toc12550645</vt:lpwstr>
      </vt:variant>
      <vt:variant>
        <vt:i4>1179696</vt:i4>
      </vt:variant>
      <vt:variant>
        <vt:i4>218</vt:i4>
      </vt:variant>
      <vt:variant>
        <vt:i4>0</vt:i4>
      </vt:variant>
      <vt:variant>
        <vt:i4>5</vt:i4>
      </vt:variant>
      <vt:variant>
        <vt:lpwstr/>
      </vt:variant>
      <vt:variant>
        <vt:lpwstr>_Toc12550644</vt:lpwstr>
      </vt:variant>
      <vt:variant>
        <vt:i4>1376304</vt:i4>
      </vt:variant>
      <vt:variant>
        <vt:i4>212</vt:i4>
      </vt:variant>
      <vt:variant>
        <vt:i4>0</vt:i4>
      </vt:variant>
      <vt:variant>
        <vt:i4>5</vt:i4>
      </vt:variant>
      <vt:variant>
        <vt:lpwstr/>
      </vt:variant>
      <vt:variant>
        <vt:lpwstr>_Toc12550643</vt:lpwstr>
      </vt:variant>
      <vt:variant>
        <vt:i4>1310768</vt:i4>
      </vt:variant>
      <vt:variant>
        <vt:i4>206</vt:i4>
      </vt:variant>
      <vt:variant>
        <vt:i4>0</vt:i4>
      </vt:variant>
      <vt:variant>
        <vt:i4>5</vt:i4>
      </vt:variant>
      <vt:variant>
        <vt:lpwstr/>
      </vt:variant>
      <vt:variant>
        <vt:lpwstr>_Toc12550642</vt:lpwstr>
      </vt:variant>
      <vt:variant>
        <vt:i4>1507376</vt:i4>
      </vt:variant>
      <vt:variant>
        <vt:i4>200</vt:i4>
      </vt:variant>
      <vt:variant>
        <vt:i4>0</vt:i4>
      </vt:variant>
      <vt:variant>
        <vt:i4>5</vt:i4>
      </vt:variant>
      <vt:variant>
        <vt:lpwstr/>
      </vt:variant>
      <vt:variant>
        <vt:lpwstr>_Toc12550641</vt:lpwstr>
      </vt:variant>
      <vt:variant>
        <vt:i4>1441840</vt:i4>
      </vt:variant>
      <vt:variant>
        <vt:i4>194</vt:i4>
      </vt:variant>
      <vt:variant>
        <vt:i4>0</vt:i4>
      </vt:variant>
      <vt:variant>
        <vt:i4>5</vt:i4>
      </vt:variant>
      <vt:variant>
        <vt:lpwstr/>
      </vt:variant>
      <vt:variant>
        <vt:lpwstr>_Toc12550640</vt:lpwstr>
      </vt:variant>
      <vt:variant>
        <vt:i4>2031671</vt:i4>
      </vt:variant>
      <vt:variant>
        <vt:i4>188</vt:i4>
      </vt:variant>
      <vt:variant>
        <vt:i4>0</vt:i4>
      </vt:variant>
      <vt:variant>
        <vt:i4>5</vt:i4>
      </vt:variant>
      <vt:variant>
        <vt:lpwstr/>
      </vt:variant>
      <vt:variant>
        <vt:lpwstr>_Toc12550639</vt:lpwstr>
      </vt:variant>
      <vt:variant>
        <vt:i4>1966135</vt:i4>
      </vt:variant>
      <vt:variant>
        <vt:i4>182</vt:i4>
      </vt:variant>
      <vt:variant>
        <vt:i4>0</vt:i4>
      </vt:variant>
      <vt:variant>
        <vt:i4>5</vt:i4>
      </vt:variant>
      <vt:variant>
        <vt:lpwstr/>
      </vt:variant>
      <vt:variant>
        <vt:lpwstr>_Toc12550638</vt:lpwstr>
      </vt:variant>
      <vt:variant>
        <vt:i4>1114167</vt:i4>
      </vt:variant>
      <vt:variant>
        <vt:i4>176</vt:i4>
      </vt:variant>
      <vt:variant>
        <vt:i4>0</vt:i4>
      </vt:variant>
      <vt:variant>
        <vt:i4>5</vt:i4>
      </vt:variant>
      <vt:variant>
        <vt:lpwstr/>
      </vt:variant>
      <vt:variant>
        <vt:lpwstr>_Toc12550637</vt:lpwstr>
      </vt:variant>
      <vt:variant>
        <vt:i4>1048631</vt:i4>
      </vt:variant>
      <vt:variant>
        <vt:i4>170</vt:i4>
      </vt:variant>
      <vt:variant>
        <vt:i4>0</vt:i4>
      </vt:variant>
      <vt:variant>
        <vt:i4>5</vt:i4>
      </vt:variant>
      <vt:variant>
        <vt:lpwstr/>
      </vt:variant>
      <vt:variant>
        <vt:lpwstr>_Toc12550636</vt:lpwstr>
      </vt:variant>
      <vt:variant>
        <vt:i4>1245239</vt:i4>
      </vt:variant>
      <vt:variant>
        <vt:i4>164</vt:i4>
      </vt:variant>
      <vt:variant>
        <vt:i4>0</vt:i4>
      </vt:variant>
      <vt:variant>
        <vt:i4>5</vt:i4>
      </vt:variant>
      <vt:variant>
        <vt:lpwstr/>
      </vt:variant>
      <vt:variant>
        <vt:lpwstr>_Toc12550635</vt:lpwstr>
      </vt:variant>
      <vt:variant>
        <vt:i4>1179703</vt:i4>
      </vt:variant>
      <vt:variant>
        <vt:i4>158</vt:i4>
      </vt:variant>
      <vt:variant>
        <vt:i4>0</vt:i4>
      </vt:variant>
      <vt:variant>
        <vt:i4>5</vt:i4>
      </vt:variant>
      <vt:variant>
        <vt:lpwstr/>
      </vt:variant>
      <vt:variant>
        <vt:lpwstr>_Toc12550634</vt:lpwstr>
      </vt:variant>
      <vt:variant>
        <vt:i4>1376311</vt:i4>
      </vt:variant>
      <vt:variant>
        <vt:i4>152</vt:i4>
      </vt:variant>
      <vt:variant>
        <vt:i4>0</vt:i4>
      </vt:variant>
      <vt:variant>
        <vt:i4>5</vt:i4>
      </vt:variant>
      <vt:variant>
        <vt:lpwstr/>
      </vt:variant>
      <vt:variant>
        <vt:lpwstr>_Toc12550633</vt:lpwstr>
      </vt:variant>
      <vt:variant>
        <vt:i4>1310775</vt:i4>
      </vt:variant>
      <vt:variant>
        <vt:i4>146</vt:i4>
      </vt:variant>
      <vt:variant>
        <vt:i4>0</vt:i4>
      </vt:variant>
      <vt:variant>
        <vt:i4>5</vt:i4>
      </vt:variant>
      <vt:variant>
        <vt:lpwstr/>
      </vt:variant>
      <vt:variant>
        <vt:lpwstr>_Toc12550632</vt:lpwstr>
      </vt:variant>
      <vt:variant>
        <vt:i4>1507383</vt:i4>
      </vt:variant>
      <vt:variant>
        <vt:i4>140</vt:i4>
      </vt:variant>
      <vt:variant>
        <vt:i4>0</vt:i4>
      </vt:variant>
      <vt:variant>
        <vt:i4>5</vt:i4>
      </vt:variant>
      <vt:variant>
        <vt:lpwstr/>
      </vt:variant>
      <vt:variant>
        <vt:lpwstr>_Toc12550631</vt:lpwstr>
      </vt:variant>
      <vt:variant>
        <vt:i4>1441847</vt:i4>
      </vt:variant>
      <vt:variant>
        <vt:i4>134</vt:i4>
      </vt:variant>
      <vt:variant>
        <vt:i4>0</vt:i4>
      </vt:variant>
      <vt:variant>
        <vt:i4>5</vt:i4>
      </vt:variant>
      <vt:variant>
        <vt:lpwstr/>
      </vt:variant>
      <vt:variant>
        <vt:lpwstr>_Toc12550630</vt:lpwstr>
      </vt:variant>
      <vt:variant>
        <vt:i4>2031670</vt:i4>
      </vt:variant>
      <vt:variant>
        <vt:i4>128</vt:i4>
      </vt:variant>
      <vt:variant>
        <vt:i4>0</vt:i4>
      </vt:variant>
      <vt:variant>
        <vt:i4>5</vt:i4>
      </vt:variant>
      <vt:variant>
        <vt:lpwstr/>
      </vt:variant>
      <vt:variant>
        <vt:lpwstr>_Toc12550629</vt:lpwstr>
      </vt:variant>
      <vt:variant>
        <vt:i4>1966134</vt:i4>
      </vt:variant>
      <vt:variant>
        <vt:i4>122</vt:i4>
      </vt:variant>
      <vt:variant>
        <vt:i4>0</vt:i4>
      </vt:variant>
      <vt:variant>
        <vt:i4>5</vt:i4>
      </vt:variant>
      <vt:variant>
        <vt:lpwstr/>
      </vt:variant>
      <vt:variant>
        <vt:lpwstr>_Toc12550628</vt:lpwstr>
      </vt:variant>
      <vt:variant>
        <vt:i4>1114166</vt:i4>
      </vt:variant>
      <vt:variant>
        <vt:i4>116</vt:i4>
      </vt:variant>
      <vt:variant>
        <vt:i4>0</vt:i4>
      </vt:variant>
      <vt:variant>
        <vt:i4>5</vt:i4>
      </vt:variant>
      <vt:variant>
        <vt:lpwstr/>
      </vt:variant>
      <vt:variant>
        <vt:lpwstr>_Toc12550627</vt:lpwstr>
      </vt:variant>
      <vt:variant>
        <vt:i4>1048630</vt:i4>
      </vt:variant>
      <vt:variant>
        <vt:i4>110</vt:i4>
      </vt:variant>
      <vt:variant>
        <vt:i4>0</vt:i4>
      </vt:variant>
      <vt:variant>
        <vt:i4>5</vt:i4>
      </vt:variant>
      <vt:variant>
        <vt:lpwstr/>
      </vt:variant>
      <vt:variant>
        <vt:lpwstr>_Toc12550626</vt:lpwstr>
      </vt:variant>
      <vt:variant>
        <vt:i4>1245238</vt:i4>
      </vt:variant>
      <vt:variant>
        <vt:i4>104</vt:i4>
      </vt:variant>
      <vt:variant>
        <vt:i4>0</vt:i4>
      </vt:variant>
      <vt:variant>
        <vt:i4>5</vt:i4>
      </vt:variant>
      <vt:variant>
        <vt:lpwstr/>
      </vt:variant>
      <vt:variant>
        <vt:lpwstr>_Toc12550625</vt:lpwstr>
      </vt:variant>
      <vt:variant>
        <vt:i4>1179702</vt:i4>
      </vt:variant>
      <vt:variant>
        <vt:i4>98</vt:i4>
      </vt:variant>
      <vt:variant>
        <vt:i4>0</vt:i4>
      </vt:variant>
      <vt:variant>
        <vt:i4>5</vt:i4>
      </vt:variant>
      <vt:variant>
        <vt:lpwstr/>
      </vt:variant>
      <vt:variant>
        <vt:lpwstr>_Toc12550624</vt:lpwstr>
      </vt:variant>
      <vt:variant>
        <vt:i4>1376310</vt:i4>
      </vt:variant>
      <vt:variant>
        <vt:i4>92</vt:i4>
      </vt:variant>
      <vt:variant>
        <vt:i4>0</vt:i4>
      </vt:variant>
      <vt:variant>
        <vt:i4>5</vt:i4>
      </vt:variant>
      <vt:variant>
        <vt:lpwstr/>
      </vt:variant>
      <vt:variant>
        <vt:lpwstr>_Toc12550623</vt:lpwstr>
      </vt:variant>
      <vt:variant>
        <vt:i4>1310774</vt:i4>
      </vt:variant>
      <vt:variant>
        <vt:i4>86</vt:i4>
      </vt:variant>
      <vt:variant>
        <vt:i4>0</vt:i4>
      </vt:variant>
      <vt:variant>
        <vt:i4>5</vt:i4>
      </vt:variant>
      <vt:variant>
        <vt:lpwstr/>
      </vt:variant>
      <vt:variant>
        <vt:lpwstr>_Toc12550622</vt:lpwstr>
      </vt:variant>
      <vt:variant>
        <vt:i4>1507382</vt:i4>
      </vt:variant>
      <vt:variant>
        <vt:i4>80</vt:i4>
      </vt:variant>
      <vt:variant>
        <vt:i4>0</vt:i4>
      </vt:variant>
      <vt:variant>
        <vt:i4>5</vt:i4>
      </vt:variant>
      <vt:variant>
        <vt:lpwstr/>
      </vt:variant>
      <vt:variant>
        <vt:lpwstr>_Toc12550621</vt:lpwstr>
      </vt:variant>
      <vt:variant>
        <vt:i4>1441846</vt:i4>
      </vt:variant>
      <vt:variant>
        <vt:i4>74</vt:i4>
      </vt:variant>
      <vt:variant>
        <vt:i4>0</vt:i4>
      </vt:variant>
      <vt:variant>
        <vt:i4>5</vt:i4>
      </vt:variant>
      <vt:variant>
        <vt:lpwstr/>
      </vt:variant>
      <vt:variant>
        <vt:lpwstr>_Toc12550620</vt:lpwstr>
      </vt:variant>
      <vt:variant>
        <vt:i4>2031669</vt:i4>
      </vt:variant>
      <vt:variant>
        <vt:i4>68</vt:i4>
      </vt:variant>
      <vt:variant>
        <vt:i4>0</vt:i4>
      </vt:variant>
      <vt:variant>
        <vt:i4>5</vt:i4>
      </vt:variant>
      <vt:variant>
        <vt:lpwstr/>
      </vt:variant>
      <vt:variant>
        <vt:lpwstr>_Toc12550619</vt:lpwstr>
      </vt:variant>
      <vt:variant>
        <vt:i4>1966133</vt:i4>
      </vt:variant>
      <vt:variant>
        <vt:i4>62</vt:i4>
      </vt:variant>
      <vt:variant>
        <vt:i4>0</vt:i4>
      </vt:variant>
      <vt:variant>
        <vt:i4>5</vt:i4>
      </vt:variant>
      <vt:variant>
        <vt:lpwstr/>
      </vt:variant>
      <vt:variant>
        <vt:lpwstr>_Toc12550618</vt:lpwstr>
      </vt:variant>
      <vt:variant>
        <vt:i4>1114165</vt:i4>
      </vt:variant>
      <vt:variant>
        <vt:i4>56</vt:i4>
      </vt:variant>
      <vt:variant>
        <vt:i4>0</vt:i4>
      </vt:variant>
      <vt:variant>
        <vt:i4>5</vt:i4>
      </vt:variant>
      <vt:variant>
        <vt:lpwstr/>
      </vt:variant>
      <vt:variant>
        <vt:lpwstr>_Toc12550617</vt:lpwstr>
      </vt:variant>
      <vt:variant>
        <vt:i4>1048629</vt:i4>
      </vt:variant>
      <vt:variant>
        <vt:i4>50</vt:i4>
      </vt:variant>
      <vt:variant>
        <vt:i4>0</vt:i4>
      </vt:variant>
      <vt:variant>
        <vt:i4>5</vt:i4>
      </vt:variant>
      <vt:variant>
        <vt:lpwstr/>
      </vt:variant>
      <vt:variant>
        <vt:lpwstr>_Toc12550616</vt:lpwstr>
      </vt:variant>
      <vt:variant>
        <vt:i4>1245237</vt:i4>
      </vt:variant>
      <vt:variant>
        <vt:i4>44</vt:i4>
      </vt:variant>
      <vt:variant>
        <vt:i4>0</vt:i4>
      </vt:variant>
      <vt:variant>
        <vt:i4>5</vt:i4>
      </vt:variant>
      <vt:variant>
        <vt:lpwstr/>
      </vt:variant>
      <vt:variant>
        <vt:lpwstr>_Toc12550615</vt:lpwstr>
      </vt:variant>
      <vt:variant>
        <vt:i4>1179701</vt:i4>
      </vt:variant>
      <vt:variant>
        <vt:i4>38</vt:i4>
      </vt:variant>
      <vt:variant>
        <vt:i4>0</vt:i4>
      </vt:variant>
      <vt:variant>
        <vt:i4>5</vt:i4>
      </vt:variant>
      <vt:variant>
        <vt:lpwstr/>
      </vt:variant>
      <vt:variant>
        <vt:lpwstr>_Toc12550614</vt:lpwstr>
      </vt:variant>
      <vt:variant>
        <vt:i4>1376309</vt:i4>
      </vt:variant>
      <vt:variant>
        <vt:i4>32</vt:i4>
      </vt:variant>
      <vt:variant>
        <vt:i4>0</vt:i4>
      </vt:variant>
      <vt:variant>
        <vt:i4>5</vt:i4>
      </vt:variant>
      <vt:variant>
        <vt:lpwstr/>
      </vt:variant>
      <vt:variant>
        <vt:lpwstr>_Toc12550613</vt:lpwstr>
      </vt:variant>
      <vt:variant>
        <vt:i4>1310773</vt:i4>
      </vt:variant>
      <vt:variant>
        <vt:i4>26</vt:i4>
      </vt:variant>
      <vt:variant>
        <vt:i4>0</vt:i4>
      </vt:variant>
      <vt:variant>
        <vt:i4>5</vt:i4>
      </vt:variant>
      <vt:variant>
        <vt:lpwstr/>
      </vt:variant>
      <vt:variant>
        <vt:lpwstr>_Toc12550612</vt:lpwstr>
      </vt:variant>
      <vt:variant>
        <vt:i4>1507381</vt:i4>
      </vt:variant>
      <vt:variant>
        <vt:i4>20</vt:i4>
      </vt:variant>
      <vt:variant>
        <vt:i4>0</vt:i4>
      </vt:variant>
      <vt:variant>
        <vt:i4>5</vt:i4>
      </vt:variant>
      <vt:variant>
        <vt:lpwstr/>
      </vt:variant>
      <vt:variant>
        <vt:lpwstr>_Toc12550611</vt:lpwstr>
      </vt:variant>
      <vt:variant>
        <vt:i4>1441845</vt:i4>
      </vt:variant>
      <vt:variant>
        <vt:i4>14</vt:i4>
      </vt:variant>
      <vt:variant>
        <vt:i4>0</vt:i4>
      </vt:variant>
      <vt:variant>
        <vt:i4>5</vt:i4>
      </vt:variant>
      <vt:variant>
        <vt:lpwstr/>
      </vt:variant>
      <vt:variant>
        <vt:lpwstr>_Toc12550610</vt:lpwstr>
      </vt:variant>
      <vt:variant>
        <vt:i4>2031668</vt:i4>
      </vt:variant>
      <vt:variant>
        <vt:i4>8</vt:i4>
      </vt:variant>
      <vt:variant>
        <vt:i4>0</vt:i4>
      </vt:variant>
      <vt:variant>
        <vt:i4>5</vt:i4>
      </vt:variant>
      <vt:variant>
        <vt:lpwstr/>
      </vt:variant>
      <vt:variant>
        <vt:lpwstr>_Toc12550609</vt:lpwstr>
      </vt:variant>
      <vt:variant>
        <vt:i4>1966132</vt:i4>
      </vt:variant>
      <vt:variant>
        <vt:i4>2</vt:i4>
      </vt:variant>
      <vt:variant>
        <vt:i4>0</vt:i4>
      </vt:variant>
      <vt:variant>
        <vt:i4>5</vt:i4>
      </vt:variant>
      <vt:variant>
        <vt:lpwstr/>
      </vt:variant>
      <vt:variant>
        <vt:lpwstr>_Toc12550608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DM</dc:creator>
  <cp:lastModifiedBy>jsavila</cp:lastModifiedBy>
  <cp:revision>3</cp:revision>
  <cp:lastPrinted>2020-12-12T01:31:00Z</cp:lastPrinted>
  <dcterms:created xsi:type="dcterms:W3CDTF">2021-06-30T18:45:00Z</dcterms:created>
  <dcterms:modified xsi:type="dcterms:W3CDTF">2021-06-30T18:51:00Z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