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64CB4" w14:textId="37D24D12" w:rsidR="006F2AB8" w:rsidRPr="00A90520" w:rsidRDefault="00FC0013" w:rsidP="00A90520">
      <w:pPr>
        <w:pStyle w:val="Ttulo"/>
        <w:jc w:val="both"/>
      </w:pPr>
      <w:bookmarkStart w:id="0" w:name="_GoBack"/>
      <w:bookmarkEnd w:id="0"/>
      <w:r w:rsidRPr="00A90520">
        <w:t xml:space="preserve">INFORME DE CONSIDERACIONES DEL INSTITUTO FEDERAL DE TELECOMUNICACIONES </w:t>
      </w:r>
      <w:bookmarkStart w:id="1" w:name="_Hlk111569263"/>
      <w:r w:rsidR="00414E1B" w:rsidRPr="00A90520">
        <w:t>DE</w:t>
      </w:r>
      <w:r w:rsidRPr="00A90520">
        <w:t xml:space="preserve"> LA </w:t>
      </w:r>
      <w:r w:rsidR="00414E1B" w:rsidRPr="00A90520">
        <w:t>“</w:t>
      </w:r>
      <w:r w:rsidRPr="00A90520">
        <w:t xml:space="preserve">CONSULTA PÚBLICA </w:t>
      </w:r>
      <w:r w:rsidR="000C2F6E" w:rsidRPr="00A90520">
        <w:t>DE INTEGRACIÓN RESPECTO DE</w:t>
      </w:r>
      <w:r w:rsidRPr="00A90520">
        <w:t xml:space="preserve"> </w:t>
      </w:r>
      <w:r w:rsidR="000C2F6E" w:rsidRPr="00A90520">
        <w:t xml:space="preserve">LAS ALTERNATIVAS DE </w:t>
      </w:r>
      <w:r w:rsidRPr="00A90520">
        <w:t>ACTUALIZACIÓN DE INDICADORES CLAVE DE DESEMPEÑO</w:t>
      </w:r>
      <w:r w:rsidR="00414E1B" w:rsidRPr="00A90520">
        <w:t>”</w:t>
      </w:r>
      <w:bookmarkEnd w:id="1"/>
      <w:r w:rsidRPr="00A90520">
        <w:t>.</w:t>
      </w:r>
    </w:p>
    <w:p w14:paraId="253CC969" w14:textId="7A543A22" w:rsidR="00414E1B" w:rsidRPr="00A625E8" w:rsidRDefault="00414E1B" w:rsidP="006424BF">
      <w:pPr>
        <w:pStyle w:val="NormalDGDTR"/>
      </w:pPr>
      <w:r w:rsidRPr="00414E1B">
        <w:t xml:space="preserve">En la Ciudad de México a </w:t>
      </w:r>
      <w:r w:rsidRPr="00007857">
        <w:t xml:space="preserve">los </w:t>
      </w:r>
      <w:r w:rsidR="00007857" w:rsidRPr="00007857">
        <w:t>17</w:t>
      </w:r>
      <w:r w:rsidRPr="00007857">
        <w:t xml:space="preserve"> días del mes de </w:t>
      </w:r>
      <w:r w:rsidR="00A36058" w:rsidRPr="00007857">
        <w:t xml:space="preserve">agosto </w:t>
      </w:r>
      <w:r w:rsidRPr="00007857">
        <w:t>de dos mil veintidós, la</w:t>
      </w:r>
      <w:r w:rsidRPr="00414E1B">
        <w:t xml:space="preserve"> Unidad de Política Regulatoria del Instituto Federal de Telecomunicaciones realiza el presente informe, de conformidad con el artículo 51 de la Ley Federal de Telecomunicaciones y Radiodifusión y el diverso noveno de los Lineamientos de Consulta Pública y Análisis de Impacto Regulatorio del Instituto Federal de Telecomunicaciones.</w:t>
      </w:r>
    </w:p>
    <w:p w14:paraId="19187B97" w14:textId="7BD894CB" w:rsidR="006F2AB8" w:rsidRPr="007F6EAB" w:rsidRDefault="00414E1B" w:rsidP="007F6EAB">
      <w:pPr>
        <w:pStyle w:val="NormalDGDTR"/>
      </w:pPr>
      <w:r w:rsidRPr="007F6EAB">
        <w:t>El Instituto Federal de Telecomunicaciones (en lo sucesivo, “</w:t>
      </w:r>
      <w:r w:rsidRPr="007F6EAB">
        <w:rPr>
          <w:b/>
          <w:bCs/>
        </w:rPr>
        <w:t>Instituto</w:t>
      </w:r>
      <w:r w:rsidRPr="007F6EAB">
        <w:t>”), llevó a cabo el proceso de consulta pública de integración respecto de las “alternativas de actualización de indicadores clave de desempeño” (en lo sucesivo</w:t>
      </w:r>
      <w:r w:rsidR="00A2604F" w:rsidRPr="007F6EAB">
        <w:t>,</w:t>
      </w:r>
      <w:r w:rsidRPr="007F6EAB">
        <w:t xml:space="preserve"> “</w:t>
      </w:r>
      <w:r w:rsidRPr="007F6EAB">
        <w:rPr>
          <w:b/>
          <w:bCs/>
        </w:rPr>
        <w:t>Alternativas de actualización de ICD</w:t>
      </w:r>
      <w:r w:rsidRPr="007F6EAB">
        <w:t>”). Lo anterior con fundamento en lo dispuesto en los artículos 28,</w:t>
      </w:r>
      <w:r w:rsidR="007413EC" w:rsidRPr="007F6EAB">
        <w:t xml:space="preserve"> párrafos</w:t>
      </w:r>
      <w:r w:rsidRPr="007F6EAB">
        <w:t xml:space="preserve"> décimo quinto</w:t>
      </w:r>
      <w:r w:rsidR="00EC241B" w:rsidRPr="007F6EAB">
        <w:t xml:space="preserve"> y</w:t>
      </w:r>
      <w:r w:rsidRPr="007F6EAB">
        <w:t xml:space="preserve"> décimo sexto de la Constitución Política de los Estados Unidos Mexicanos; 1o., 7o., 15 fracción </w:t>
      </w:r>
      <w:r w:rsidR="00EC241B" w:rsidRPr="007F6EAB">
        <w:t>XL</w:t>
      </w:r>
      <w:r w:rsidR="00FB08A6" w:rsidRPr="007F6EAB">
        <w:t xml:space="preserve"> y</w:t>
      </w:r>
      <w:r w:rsidRPr="007F6EAB">
        <w:t xml:space="preserve"> 51</w:t>
      </w:r>
      <w:r w:rsidR="00FB08A6" w:rsidRPr="007F6EAB">
        <w:t xml:space="preserve"> </w:t>
      </w:r>
      <w:r w:rsidRPr="007F6EAB">
        <w:t xml:space="preserve">de la Ley Federal de Telecomunicaciones y Radiodifusión; 1o., 4o., fracción I, 6o., fracción </w:t>
      </w:r>
      <w:r w:rsidR="00EC241B" w:rsidRPr="007F6EAB">
        <w:t>V</w:t>
      </w:r>
      <w:r w:rsidRPr="007F6EAB">
        <w:t>I</w:t>
      </w:r>
      <w:r w:rsidR="00FB08A6" w:rsidRPr="007F6EAB">
        <w:t xml:space="preserve"> </w:t>
      </w:r>
      <w:r w:rsidRPr="007F6EAB">
        <w:t>del Estatuto Orgánico del Instituto Federal de Telecomunicaciones</w:t>
      </w:r>
      <w:r w:rsidR="00EC241B" w:rsidRPr="007F6EAB">
        <w:t>, y lineamientos Primero, Tercero, fracción I, Séptimo, Noveno y Décimo de los Lineamientos de Consulta Pública y Análisis de Impacto Regulatorio del Instituto Federal de Telecomunicaciones</w:t>
      </w:r>
      <w:r w:rsidRPr="007F6EAB">
        <w:t>.</w:t>
      </w:r>
    </w:p>
    <w:p w14:paraId="6FDAB390" w14:textId="6200E54C" w:rsidR="00FC0013" w:rsidRPr="007972CC" w:rsidRDefault="00FC0013" w:rsidP="00DF424A">
      <w:pPr>
        <w:pStyle w:val="Ttulo1"/>
        <w:rPr>
          <w:rFonts w:ascii="ITC Avant Garde" w:hAnsi="ITC Avant Garde"/>
          <w:sz w:val="28"/>
          <w:szCs w:val="28"/>
        </w:rPr>
      </w:pPr>
      <w:r w:rsidRPr="007972CC">
        <w:rPr>
          <w:rFonts w:ascii="ITC Avant Garde" w:hAnsi="ITC Avant Garde"/>
          <w:sz w:val="28"/>
          <w:szCs w:val="28"/>
        </w:rPr>
        <w:t xml:space="preserve">Descripción de la </w:t>
      </w:r>
      <w:r w:rsidR="000A4005" w:rsidRPr="007972CC">
        <w:rPr>
          <w:rFonts w:ascii="ITC Avant Garde" w:hAnsi="ITC Avant Garde"/>
          <w:sz w:val="28"/>
          <w:szCs w:val="28"/>
        </w:rPr>
        <w:t>c</w:t>
      </w:r>
      <w:r w:rsidRPr="007972CC">
        <w:rPr>
          <w:rFonts w:ascii="ITC Avant Garde" w:hAnsi="ITC Avant Garde"/>
          <w:sz w:val="28"/>
          <w:szCs w:val="28"/>
        </w:rPr>
        <w:t xml:space="preserve">onsulta </w:t>
      </w:r>
      <w:r w:rsidR="000A4005" w:rsidRPr="007972CC">
        <w:rPr>
          <w:rFonts w:ascii="ITC Avant Garde" w:hAnsi="ITC Avant Garde"/>
          <w:sz w:val="28"/>
          <w:szCs w:val="28"/>
        </w:rPr>
        <w:t>p</w:t>
      </w:r>
      <w:r w:rsidRPr="007972CC">
        <w:rPr>
          <w:rFonts w:ascii="ITC Avant Garde" w:hAnsi="ITC Avant Garde"/>
          <w:sz w:val="28"/>
          <w:szCs w:val="28"/>
        </w:rPr>
        <w:t>ública</w:t>
      </w:r>
      <w:r w:rsidR="00A2604F" w:rsidRPr="007972CC">
        <w:rPr>
          <w:rFonts w:ascii="ITC Avant Garde" w:hAnsi="ITC Avant Garde"/>
          <w:sz w:val="28"/>
          <w:szCs w:val="28"/>
        </w:rPr>
        <w:t xml:space="preserve"> de integración</w:t>
      </w:r>
      <w:r w:rsidRPr="007972CC">
        <w:rPr>
          <w:rFonts w:ascii="ITC Avant Garde" w:hAnsi="ITC Avant Garde"/>
          <w:sz w:val="28"/>
          <w:szCs w:val="28"/>
        </w:rPr>
        <w:t>:</w:t>
      </w:r>
    </w:p>
    <w:p w14:paraId="50B7CE1F" w14:textId="6D80CEBC" w:rsidR="00FC0013" w:rsidRPr="00414E1B" w:rsidRDefault="00414E1B" w:rsidP="006424BF">
      <w:pPr>
        <w:pStyle w:val="NormalDGDTR"/>
      </w:pPr>
      <w:r>
        <w:t xml:space="preserve">Las Alternativas de actualización de ICD se sometieron a consulta pública </w:t>
      </w:r>
      <w:r w:rsidRPr="001809AE">
        <w:t>durante el periodo comprendido del 14 de octubre al 10 de noviembre de 2021</w:t>
      </w:r>
      <w:r w:rsidR="001809AE" w:rsidRPr="001809AE">
        <w:t>.</w:t>
      </w:r>
      <w:r w:rsidR="001809AE">
        <w:t xml:space="preserve"> El </w:t>
      </w:r>
      <w:r w:rsidR="00FC0013" w:rsidRPr="00414E1B">
        <w:t xml:space="preserve">Instituto recibió los comentarios, opiniones y aportaciones a través de la dirección de correo electrónico </w:t>
      </w:r>
      <w:hyperlink r:id="rId11" w:history="1">
        <w:r w:rsidR="00266CE0" w:rsidRPr="00266CE0">
          <w:rPr>
            <w:rStyle w:val="Hipervnculo"/>
          </w:rPr>
          <w:t>revision.icd2021@ift.org.mx</w:t>
        </w:r>
      </w:hyperlink>
      <w:r w:rsidR="00FC0013" w:rsidRPr="00414E1B">
        <w:t>.</w:t>
      </w:r>
    </w:p>
    <w:p w14:paraId="5A2B8491" w14:textId="2B3B164C" w:rsidR="00FC0013" w:rsidRPr="00864624" w:rsidRDefault="00FC0013" w:rsidP="00864624">
      <w:pPr>
        <w:pStyle w:val="Ttulo1"/>
        <w:rPr>
          <w:rFonts w:ascii="ITC Avant Garde" w:hAnsi="ITC Avant Garde"/>
          <w:sz w:val="28"/>
          <w:szCs w:val="28"/>
        </w:rPr>
      </w:pPr>
      <w:r w:rsidRPr="007972CC">
        <w:rPr>
          <w:rFonts w:ascii="ITC Avant Garde" w:hAnsi="ITC Avant Garde"/>
          <w:sz w:val="28"/>
          <w:szCs w:val="28"/>
        </w:rPr>
        <w:t xml:space="preserve">Objetivo de la </w:t>
      </w:r>
      <w:r w:rsidR="000A4005" w:rsidRPr="007972CC">
        <w:rPr>
          <w:rFonts w:ascii="ITC Avant Garde" w:hAnsi="ITC Avant Garde"/>
          <w:sz w:val="28"/>
          <w:szCs w:val="28"/>
        </w:rPr>
        <w:t>c</w:t>
      </w:r>
      <w:r w:rsidRPr="007972CC">
        <w:rPr>
          <w:rFonts w:ascii="ITC Avant Garde" w:hAnsi="ITC Avant Garde"/>
          <w:sz w:val="28"/>
          <w:szCs w:val="28"/>
        </w:rPr>
        <w:t xml:space="preserve">onsulta </w:t>
      </w:r>
      <w:r w:rsidR="000A4005" w:rsidRPr="007972CC">
        <w:rPr>
          <w:rFonts w:ascii="ITC Avant Garde" w:hAnsi="ITC Avant Garde"/>
          <w:sz w:val="28"/>
          <w:szCs w:val="28"/>
        </w:rPr>
        <w:t>p</w:t>
      </w:r>
      <w:r w:rsidRPr="007972CC">
        <w:rPr>
          <w:rFonts w:ascii="ITC Avant Garde" w:hAnsi="ITC Avant Garde"/>
          <w:sz w:val="28"/>
          <w:szCs w:val="28"/>
        </w:rPr>
        <w:t>ública</w:t>
      </w:r>
      <w:r w:rsidR="00A2604F" w:rsidRPr="007972CC">
        <w:rPr>
          <w:rFonts w:ascii="ITC Avant Garde" w:hAnsi="ITC Avant Garde"/>
          <w:sz w:val="28"/>
          <w:szCs w:val="28"/>
        </w:rPr>
        <w:t xml:space="preserve"> de integración</w:t>
      </w:r>
      <w:r w:rsidRPr="007972CC">
        <w:rPr>
          <w:rFonts w:ascii="ITC Avant Garde" w:hAnsi="ITC Avant Garde"/>
          <w:sz w:val="28"/>
          <w:szCs w:val="28"/>
        </w:rPr>
        <w:t>:</w:t>
      </w:r>
    </w:p>
    <w:p w14:paraId="6B6D5F67" w14:textId="35774D85" w:rsidR="00A2604F" w:rsidRDefault="00A2604F" w:rsidP="006424BF">
      <w:pPr>
        <w:pStyle w:val="NormalDGDTR"/>
      </w:pPr>
      <w:r>
        <w:t xml:space="preserve">Los objetivos principales de la consulta </w:t>
      </w:r>
      <w:r w:rsidR="000A4005">
        <w:t>p</w:t>
      </w:r>
      <w:r>
        <w:t>ública consisten en</w:t>
      </w:r>
      <w:r w:rsidRPr="001809AE">
        <w:t xml:space="preserve"> transparentar y recabar información, comentarios, opiniones, aportaciones u otros elementos de análisis que pudi</w:t>
      </w:r>
      <w:r>
        <w:t>eran</w:t>
      </w:r>
      <w:r w:rsidRPr="001809AE">
        <w:t xml:space="preserve"> ser útiles para fortalecer la revisión y actualización de los </w:t>
      </w:r>
      <w:r>
        <w:t>i</w:t>
      </w:r>
      <w:r w:rsidRPr="001809AE">
        <w:t xml:space="preserve">ndicadores </w:t>
      </w:r>
      <w:r>
        <w:t>c</w:t>
      </w:r>
      <w:r w:rsidRPr="001809AE">
        <w:t xml:space="preserve">lave de </w:t>
      </w:r>
      <w:r>
        <w:t>d</w:t>
      </w:r>
      <w:r w:rsidRPr="001809AE">
        <w:t>esempeño</w:t>
      </w:r>
      <w:r w:rsidR="00983E3D">
        <w:t xml:space="preserve"> (en lo sucesivo, “</w:t>
      </w:r>
      <w:r w:rsidR="00983E3D" w:rsidRPr="00E67284">
        <w:rPr>
          <w:b/>
          <w:bCs/>
        </w:rPr>
        <w:t>ICD</w:t>
      </w:r>
      <w:r w:rsidR="00983E3D">
        <w:t>”)</w:t>
      </w:r>
      <w:r w:rsidRPr="001809AE">
        <w:t xml:space="preserve"> y, en su caso, </w:t>
      </w:r>
      <w:r>
        <w:t xml:space="preserve">la obtención </w:t>
      </w:r>
      <w:r>
        <w:lastRenderedPageBreak/>
        <w:t>de</w:t>
      </w:r>
      <w:r w:rsidRPr="001809AE">
        <w:t xml:space="preserve"> propuestas justificadas de supresión, modificación o adición de los mencionados Indicadores</w:t>
      </w:r>
      <w:r>
        <w:t>.</w:t>
      </w:r>
    </w:p>
    <w:p w14:paraId="5F36E083" w14:textId="45BA27DA" w:rsidR="00FC0013" w:rsidRPr="007972CC" w:rsidRDefault="00FC0013" w:rsidP="00DF424A">
      <w:pPr>
        <w:pStyle w:val="Ttulo1"/>
        <w:rPr>
          <w:rFonts w:ascii="ITC Avant Garde" w:hAnsi="ITC Avant Garde"/>
          <w:sz w:val="28"/>
          <w:szCs w:val="28"/>
        </w:rPr>
      </w:pPr>
      <w:r w:rsidRPr="007972CC">
        <w:rPr>
          <w:rFonts w:ascii="ITC Avant Garde" w:hAnsi="ITC Avant Garde"/>
          <w:sz w:val="28"/>
          <w:szCs w:val="28"/>
        </w:rPr>
        <w:t xml:space="preserve">Unidad Administrativa responsable de la </w:t>
      </w:r>
      <w:r w:rsidR="000A4005" w:rsidRPr="007972CC">
        <w:rPr>
          <w:rFonts w:ascii="ITC Avant Garde" w:hAnsi="ITC Avant Garde"/>
          <w:sz w:val="28"/>
          <w:szCs w:val="28"/>
        </w:rPr>
        <w:t>c</w:t>
      </w:r>
      <w:r w:rsidRPr="007972CC">
        <w:rPr>
          <w:rFonts w:ascii="ITC Avant Garde" w:hAnsi="ITC Avant Garde"/>
          <w:sz w:val="28"/>
          <w:szCs w:val="28"/>
        </w:rPr>
        <w:t xml:space="preserve">onsulta </w:t>
      </w:r>
      <w:r w:rsidR="000A4005" w:rsidRPr="007972CC">
        <w:rPr>
          <w:rFonts w:ascii="ITC Avant Garde" w:hAnsi="ITC Avant Garde"/>
          <w:sz w:val="28"/>
          <w:szCs w:val="28"/>
        </w:rPr>
        <w:t>p</w:t>
      </w:r>
      <w:r w:rsidRPr="007972CC">
        <w:rPr>
          <w:rFonts w:ascii="ITC Avant Garde" w:hAnsi="ITC Avant Garde"/>
          <w:sz w:val="28"/>
          <w:szCs w:val="28"/>
        </w:rPr>
        <w:t>ública</w:t>
      </w:r>
      <w:r w:rsidR="00A2604F" w:rsidRPr="007972CC">
        <w:rPr>
          <w:rFonts w:ascii="ITC Avant Garde" w:hAnsi="ITC Avant Garde"/>
          <w:sz w:val="28"/>
          <w:szCs w:val="28"/>
        </w:rPr>
        <w:t xml:space="preserve"> de integración</w:t>
      </w:r>
      <w:r w:rsidRPr="007972CC">
        <w:rPr>
          <w:rFonts w:ascii="ITC Avant Garde" w:hAnsi="ITC Avant Garde"/>
          <w:sz w:val="28"/>
          <w:szCs w:val="28"/>
        </w:rPr>
        <w:t>:</w:t>
      </w:r>
    </w:p>
    <w:p w14:paraId="1D545E80" w14:textId="7379031F" w:rsidR="00FC0013" w:rsidRPr="00414E1B" w:rsidRDefault="00FC0013" w:rsidP="006424BF">
      <w:pPr>
        <w:pStyle w:val="NormalDGDTR"/>
      </w:pPr>
      <w:r w:rsidRPr="00414E1B">
        <w:t>Unidad de Política Regulatoria.</w:t>
      </w:r>
    </w:p>
    <w:p w14:paraId="239FF5B1" w14:textId="5E6AC5A8" w:rsidR="00FC0013" w:rsidRPr="007972CC" w:rsidRDefault="00A2604F" w:rsidP="00DF424A">
      <w:pPr>
        <w:pStyle w:val="Ttulo1"/>
        <w:rPr>
          <w:rFonts w:ascii="ITC Avant Garde" w:hAnsi="ITC Avant Garde"/>
          <w:sz w:val="28"/>
          <w:szCs w:val="28"/>
        </w:rPr>
      </w:pPr>
      <w:r w:rsidRPr="007972CC">
        <w:rPr>
          <w:rFonts w:ascii="ITC Avant Garde" w:hAnsi="ITC Avant Garde"/>
          <w:sz w:val="28"/>
          <w:szCs w:val="28"/>
        </w:rPr>
        <w:t>Descripción de los p</w:t>
      </w:r>
      <w:r w:rsidR="00FC0013" w:rsidRPr="007972CC">
        <w:rPr>
          <w:rFonts w:ascii="ITC Avant Garde" w:hAnsi="ITC Avant Garde"/>
          <w:sz w:val="28"/>
          <w:szCs w:val="28"/>
        </w:rPr>
        <w:t xml:space="preserve">articipantes de la </w:t>
      </w:r>
      <w:r w:rsidR="000A4005" w:rsidRPr="007972CC">
        <w:rPr>
          <w:rFonts w:ascii="ITC Avant Garde" w:hAnsi="ITC Avant Garde"/>
          <w:sz w:val="28"/>
          <w:szCs w:val="28"/>
        </w:rPr>
        <w:t>c</w:t>
      </w:r>
      <w:r w:rsidR="00FC0013" w:rsidRPr="007972CC">
        <w:rPr>
          <w:rFonts w:ascii="ITC Avant Garde" w:hAnsi="ITC Avant Garde"/>
          <w:sz w:val="28"/>
          <w:szCs w:val="28"/>
        </w:rPr>
        <w:t xml:space="preserve">onsulta </w:t>
      </w:r>
      <w:r w:rsidR="000A4005" w:rsidRPr="007972CC">
        <w:rPr>
          <w:rFonts w:ascii="ITC Avant Garde" w:hAnsi="ITC Avant Garde"/>
          <w:sz w:val="28"/>
          <w:szCs w:val="28"/>
        </w:rPr>
        <w:t>p</w:t>
      </w:r>
      <w:r w:rsidR="00FC0013" w:rsidRPr="007972CC">
        <w:rPr>
          <w:rFonts w:ascii="ITC Avant Garde" w:hAnsi="ITC Avant Garde"/>
          <w:sz w:val="28"/>
          <w:szCs w:val="28"/>
        </w:rPr>
        <w:t>ública</w:t>
      </w:r>
      <w:r w:rsidRPr="007972CC">
        <w:rPr>
          <w:rFonts w:ascii="ITC Avant Garde" w:hAnsi="ITC Avant Garde"/>
          <w:sz w:val="28"/>
          <w:szCs w:val="28"/>
        </w:rPr>
        <w:t xml:space="preserve"> de integración</w:t>
      </w:r>
      <w:r w:rsidR="00FC0013" w:rsidRPr="007972CC">
        <w:rPr>
          <w:rFonts w:ascii="ITC Avant Garde" w:hAnsi="ITC Avant Garde"/>
          <w:sz w:val="28"/>
          <w:szCs w:val="28"/>
        </w:rPr>
        <w:t>:</w:t>
      </w:r>
    </w:p>
    <w:p w14:paraId="2D934217" w14:textId="77777777" w:rsidR="00FC0013" w:rsidRDefault="00FC0013" w:rsidP="006424BF">
      <w:pPr>
        <w:pStyle w:val="NormalDGDTR"/>
      </w:pPr>
      <w:r w:rsidRPr="00414E1B">
        <w:t xml:space="preserve">Durante el período de la </w:t>
      </w:r>
      <w:r w:rsidR="000A4005">
        <w:t>c</w:t>
      </w:r>
      <w:r w:rsidRPr="00414E1B">
        <w:t xml:space="preserve">onsulta </w:t>
      </w:r>
      <w:r w:rsidR="000A4005">
        <w:t>p</w:t>
      </w:r>
      <w:r w:rsidRPr="00414E1B">
        <w:t>ública</w:t>
      </w:r>
      <w:r w:rsidR="000A4005">
        <w:t xml:space="preserve"> </w:t>
      </w:r>
      <w:r w:rsidRPr="00414E1B">
        <w:t>se recibieron siete participaciones</w:t>
      </w:r>
      <w:r w:rsidR="00A2604F">
        <w:t xml:space="preserve"> </w:t>
      </w:r>
      <w:r w:rsidR="00A2604F">
        <w:rPr>
          <w:bCs/>
          <w:color w:val="000000"/>
        </w:rPr>
        <w:t xml:space="preserve">que presentaron </w:t>
      </w:r>
      <w:r w:rsidR="00A2604F">
        <w:t>manifestaciones, opiniones, comentarios y propuestas concretas</w:t>
      </w:r>
      <w:r w:rsidRPr="00414E1B">
        <w:t xml:space="preserve"> de las personas físicas y morales siguientes:</w:t>
      </w:r>
    </w:p>
    <w:tbl>
      <w:tblPr>
        <w:tblW w:w="9550" w:type="dxa"/>
        <w:tblInd w:w="-289" w:type="dxa"/>
        <w:tblCellMar>
          <w:left w:w="70" w:type="dxa"/>
          <w:right w:w="70" w:type="dxa"/>
        </w:tblCellMar>
        <w:tblLook w:val="04A0" w:firstRow="1" w:lastRow="0" w:firstColumn="1" w:lastColumn="0" w:noHBand="0" w:noVBand="1"/>
      </w:tblPr>
      <w:tblGrid>
        <w:gridCol w:w="508"/>
        <w:gridCol w:w="4171"/>
        <w:gridCol w:w="1556"/>
        <w:gridCol w:w="2065"/>
        <w:gridCol w:w="1250"/>
      </w:tblGrid>
      <w:tr w:rsidR="00FC0013" w:rsidRPr="00414E1B" w14:paraId="448C61F5" w14:textId="77777777" w:rsidTr="007F6EAB">
        <w:trPr>
          <w:trHeight w:val="560"/>
          <w:tblHeader/>
        </w:trPr>
        <w:tc>
          <w:tcPr>
            <w:tcW w:w="508" w:type="dxa"/>
            <w:tcBorders>
              <w:top w:val="single" w:sz="4" w:space="0" w:color="70AD47"/>
              <w:left w:val="single" w:sz="4" w:space="0" w:color="70AD47"/>
              <w:bottom w:val="nil"/>
              <w:right w:val="nil"/>
            </w:tcBorders>
            <w:shd w:val="clear" w:color="000000" w:fill="70AD47"/>
            <w:vAlign w:val="center"/>
            <w:hideMark/>
          </w:tcPr>
          <w:p w14:paraId="24E958AD" w14:textId="4470C7B4" w:rsidR="00FC0013" w:rsidRPr="008F1635" w:rsidRDefault="00FC0013" w:rsidP="008F1635">
            <w:pPr>
              <w:rPr>
                <w:b/>
                <w:bCs/>
                <w:lang w:eastAsia="es-MX"/>
              </w:rPr>
            </w:pPr>
            <w:r w:rsidRPr="008F1635">
              <w:rPr>
                <w:b/>
                <w:bCs/>
                <w:lang w:eastAsia="es-MX"/>
              </w:rPr>
              <w:t>No.</w:t>
            </w:r>
          </w:p>
        </w:tc>
        <w:tc>
          <w:tcPr>
            <w:tcW w:w="4171" w:type="dxa"/>
            <w:tcBorders>
              <w:top w:val="single" w:sz="4" w:space="0" w:color="70AD47"/>
              <w:left w:val="nil"/>
              <w:bottom w:val="nil"/>
              <w:right w:val="single" w:sz="4" w:space="0" w:color="70AD47"/>
            </w:tcBorders>
            <w:shd w:val="clear" w:color="000000" w:fill="70AD47"/>
            <w:vAlign w:val="center"/>
            <w:hideMark/>
          </w:tcPr>
          <w:p w14:paraId="26FBAFC7" w14:textId="77777777" w:rsidR="00FC0013" w:rsidRPr="008F1635" w:rsidRDefault="00FC0013" w:rsidP="008F1635">
            <w:pPr>
              <w:rPr>
                <w:b/>
                <w:bCs/>
                <w:lang w:eastAsia="es-MX"/>
              </w:rPr>
            </w:pPr>
            <w:r w:rsidRPr="008F1635">
              <w:rPr>
                <w:b/>
                <w:bCs/>
                <w:lang w:eastAsia="es-MX"/>
              </w:rPr>
              <w:t>Nombre del participante</w:t>
            </w:r>
          </w:p>
        </w:tc>
        <w:tc>
          <w:tcPr>
            <w:tcW w:w="1556" w:type="dxa"/>
            <w:tcBorders>
              <w:top w:val="nil"/>
              <w:left w:val="nil"/>
              <w:bottom w:val="nil"/>
              <w:right w:val="nil"/>
            </w:tcBorders>
            <w:shd w:val="clear" w:color="000000" w:fill="70AD47"/>
            <w:vAlign w:val="center"/>
            <w:hideMark/>
          </w:tcPr>
          <w:p w14:paraId="20933159" w14:textId="77777777" w:rsidR="00FC0013" w:rsidRPr="008F1635" w:rsidRDefault="00FC0013" w:rsidP="008F1635">
            <w:pPr>
              <w:rPr>
                <w:b/>
                <w:bCs/>
                <w:lang w:eastAsia="es-MX"/>
              </w:rPr>
            </w:pPr>
            <w:r w:rsidRPr="008F1635">
              <w:rPr>
                <w:b/>
                <w:bCs/>
                <w:lang w:eastAsia="es-MX"/>
              </w:rPr>
              <w:t>Medio de recepción</w:t>
            </w:r>
          </w:p>
        </w:tc>
        <w:tc>
          <w:tcPr>
            <w:tcW w:w="2065" w:type="dxa"/>
            <w:tcBorders>
              <w:top w:val="nil"/>
              <w:left w:val="nil"/>
              <w:bottom w:val="nil"/>
              <w:right w:val="nil"/>
            </w:tcBorders>
            <w:shd w:val="clear" w:color="000000" w:fill="70AD47"/>
            <w:vAlign w:val="center"/>
            <w:hideMark/>
          </w:tcPr>
          <w:p w14:paraId="49D8E4D2" w14:textId="77777777" w:rsidR="00FC0013" w:rsidRPr="008F1635" w:rsidRDefault="00FC0013" w:rsidP="008F1635">
            <w:pPr>
              <w:rPr>
                <w:b/>
                <w:bCs/>
                <w:lang w:eastAsia="es-MX"/>
              </w:rPr>
            </w:pPr>
            <w:r w:rsidRPr="008F1635">
              <w:rPr>
                <w:b/>
                <w:bCs/>
                <w:lang w:eastAsia="es-MX"/>
              </w:rPr>
              <w:t>Fecha de recepción</w:t>
            </w:r>
          </w:p>
        </w:tc>
        <w:tc>
          <w:tcPr>
            <w:tcW w:w="1250" w:type="dxa"/>
            <w:tcBorders>
              <w:top w:val="nil"/>
              <w:left w:val="nil"/>
              <w:bottom w:val="nil"/>
              <w:right w:val="nil"/>
            </w:tcBorders>
            <w:shd w:val="clear" w:color="000000" w:fill="70AD47"/>
            <w:vAlign w:val="center"/>
            <w:hideMark/>
          </w:tcPr>
          <w:p w14:paraId="20CF1CB0" w14:textId="77777777" w:rsidR="00FC0013" w:rsidRPr="008F1635" w:rsidRDefault="00FC0013" w:rsidP="008F1635">
            <w:pPr>
              <w:rPr>
                <w:b/>
                <w:bCs/>
                <w:lang w:eastAsia="es-MX"/>
              </w:rPr>
            </w:pPr>
            <w:r w:rsidRPr="008F1635">
              <w:rPr>
                <w:b/>
                <w:bCs/>
                <w:lang w:eastAsia="es-MX"/>
              </w:rPr>
              <w:t>Hora de recepción</w:t>
            </w:r>
          </w:p>
        </w:tc>
      </w:tr>
      <w:tr w:rsidR="00FC0013" w:rsidRPr="00414E1B" w14:paraId="5F7B60CD" w14:textId="77777777" w:rsidTr="007F6EAB">
        <w:trPr>
          <w:trHeight w:val="290"/>
          <w:tblHeader/>
        </w:trPr>
        <w:tc>
          <w:tcPr>
            <w:tcW w:w="508" w:type="dxa"/>
            <w:tcBorders>
              <w:top w:val="single" w:sz="4" w:space="0" w:color="70AD47"/>
              <w:left w:val="single" w:sz="4" w:space="0" w:color="70AD47"/>
              <w:bottom w:val="single" w:sz="4" w:space="0" w:color="70AD47"/>
              <w:right w:val="single" w:sz="4" w:space="0" w:color="70AD47"/>
            </w:tcBorders>
            <w:shd w:val="clear" w:color="000000" w:fill="E2EFDA"/>
            <w:noWrap/>
            <w:vAlign w:val="center"/>
            <w:hideMark/>
          </w:tcPr>
          <w:p w14:paraId="5896BB8F" w14:textId="77777777" w:rsidR="00FC0013" w:rsidRPr="00414E1B" w:rsidRDefault="00FC0013" w:rsidP="008F1635">
            <w:pPr>
              <w:rPr>
                <w:b/>
                <w:bCs/>
                <w:color w:val="000000"/>
                <w:lang w:eastAsia="es-MX"/>
              </w:rPr>
            </w:pPr>
            <w:r w:rsidRPr="00414E1B">
              <w:rPr>
                <w:b/>
                <w:bCs/>
                <w:color w:val="000000"/>
                <w:lang w:eastAsia="es-MX"/>
              </w:rPr>
              <w:t>1</w:t>
            </w:r>
          </w:p>
        </w:tc>
        <w:tc>
          <w:tcPr>
            <w:tcW w:w="4171" w:type="dxa"/>
            <w:tcBorders>
              <w:top w:val="single" w:sz="4" w:space="0" w:color="70AD47"/>
              <w:left w:val="nil"/>
              <w:bottom w:val="single" w:sz="4" w:space="0" w:color="70AD47"/>
              <w:right w:val="single" w:sz="4" w:space="0" w:color="70AD47"/>
            </w:tcBorders>
            <w:shd w:val="clear" w:color="000000" w:fill="E2EFDA"/>
            <w:noWrap/>
            <w:vAlign w:val="center"/>
            <w:hideMark/>
          </w:tcPr>
          <w:p w14:paraId="29A648B3" w14:textId="6043F80F" w:rsidR="00FC0013" w:rsidRPr="00414E1B" w:rsidRDefault="00FC0013" w:rsidP="008F1635">
            <w:pPr>
              <w:rPr>
                <w:color w:val="000000"/>
                <w:lang w:eastAsia="es-MX"/>
              </w:rPr>
            </w:pPr>
            <w:r w:rsidRPr="00414E1B">
              <w:rPr>
                <w:color w:val="000000"/>
                <w:lang w:eastAsia="es-MX"/>
              </w:rPr>
              <w:t>Gregorio Ramírez Valdez</w:t>
            </w:r>
          </w:p>
        </w:tc>
        <w:tc>
          <w:tcPr>
            <w:tcW w:w="1556" w:type="dxa"/>
            <w:tcBorders>
              <w:top w:val="single" w:sz="4" w:space="0" w:color="70AD47"/>
              <w:left w:val="nil"/>
              <w:bottom w:val="single" w:sz="4" w:space="0" w:color="70AD47"/>
              <w:right w:val="single" w:sz="4" w:space="0" w:color="70AD47"/>
            </w:tcBorders>
            <w:shd w:val="clear" w:color="000000" w:fill="E2EFDA"/>
            <w:noWrap/>
            <w:vAlign w:val="center"/>
            <w:hideMark/>
          </w:tcPr>
          <w:p w14:paraId="6B3FB625" w14:textId="77777777" w:rsidR="00FC0013" w:rsidRPr="00414E1B" w:rsidRDefault="00FC0013" w:rsidP="008F1635">
            <w:pPr>
              <w:rPr>
                <w:color w:val="000000"/>
                <w:lang w:eastAsia="es-MX"/>
              </w:rPr>
            </w:pPr>
            <w:r w:rsidRPr="00414E1B">
              <w:rPr>
                <w:color w:val="000000"/>
                <w:lang w:eastAsia="es-MX"/>
              </w:rPr>
              <w:t>Correo electrónico</w:t>
            </w:r>
          </w:p>
        </w:tc>
        <w:tc>
          <w:tcPr>
            <w:tcW w:w="2065" w:type="dxa"/>
            <w:tcBorders>
              <w:top w:val="single" w:sz="4" w:space="0" w:color="70AD47"/>
              <w:left w:val="nil"/>
              <w:bottom w:val="single" w:sz="4" w:space="0" w:color="70AD47"/>
              <w:right w:val="single" w:sz="4" w:space="0" w:color="70AD47"/>
            </w:tcBorders>
            <w:shd w:val="clear" w:color="000000" w:fill="E2EFDA"/>
            <w:noWrap/>
            <w:vAlign w:val="center"/>
            <w:hideMark/>
          </w:tcPr>
          <w:p w14:paraId="063B8F59" w14:textId="1FB44476" w:rsidR="00FC0013" w:rsidRPr="00414E1B" w:rsidRDefault="00FC0013" w:rsidP="008F1635">
            <w:pPr>
              <w:rPr>
                <w:color w:val="000000"/>
                <w:lang w:eastAsia="es-MX"/>
              </w:rPr>
            </w:pPr>
            <w:r w:rsidRPr="00414E1B">
              <w:rPr>
                <w:color w:val="000000"/>
                <w:lang w:eastAsia="es-MX"/>
              </w:rPr>
              <w:t>08 noviembre de 2021</w:t>
            </w:r>
          </w:p>
        </w:tc>
        <w:tc>
          <w:tcPr>
            <w:tcW w:w="1250" w:type="dxa"/>
            <w:tcBorders>
              <w:top w:val="single" w:sz="4" w:space="0" w:color="70AD47"/>
              <w:left w:val="nil"/>
              <w:bottom w:val="single" w:sz="4" w:space="0" w:color="70AD47"/>
              <w:right w:val="single" w:sz="4" w:space="0" w:color="70AD47"/>
            </w:tcBorders>
            <w:shd w:val="clear" w:color="000000" w:fill="E2EFDA"/>
            <w:noWrap/>
            <w:vAlign w:val="center"/>
            <w:hideMark/>
          </w:tcPr>
          <w:p w14:paraId="35F6FE02" w14:textId="24254B8E" w:rsidR="00FC0013" w:rsidRPr="00414E1B" w:rsidRDefault="00FC0013" w:rsidP="008F1635">
            <w:pPr>
              <w:rPr>
                <w:color w:val="000000"/>
                <w:lang w:eastAsia="es-MX"/>
              </w:rPr>
            </w:pPr>
            <w:r w:rsidRPr="00414E1B">
              <w:rPr>
                <w:color w:val="000000"/>
                <w:lang w:eastAsia="es-MX"/>
              </w:rPr>
              <w:t>02</w:t>
            </w:r>
            <w:r w:rsidRPr="00414E1B" w:rsidDel="005137DC">
              <w:rPr>
                <w:color w:val="000000"/>
                <w:lang w:eastAsia="es-MX"/>
              </w:rPr>
              <w:t>:</w:t>
            </w:r>
            <w:r w:rsidR="005137DC">
              <w:rPr>
                <w:color w:val="000000"/>
                <w:lang w:eastAsia="es-MX"/>
              </w:rPr>
              <w:t>47</w:t>
            </w:r>
            <w:r w:rsidRPr="00414E1B">
              <w:rPr>
                <w:color w:val="000000"/>
                <w:lang w:eastAsia="es-MX"/>
              </w:rPr>
              <w:t xml:space="preserve"> p.m.</w:t>
            </w:r>
          </w:p>
        </w:tc>
      </w:tr>
      <w:tr w:rsidR="00FC0013" w:rsidRPr="00414E1B" w14:paraId="40EADF6C" w14:textId="77777777" w:rsidTr="007F6EAB">
        <w:trPr>
          <w:trHeight w:val="290"/>
          <w:tblHeader/>
        </w:trPr>
        <w:tc>
          <w:tcPr>
            <w:tcW w:w="508" w:type="dxa"/>
            <w:tcBorders>
              <w:top w:val="nil"/>
              <w:left w:val="single" w:sz="4" w:space="0" w:color="70AD47"/>
              <w:bottom w:val="single" w:sz="4" w:space="0" w:color="70AD47"/>
              <w:right w:val="single" w:sz="4" w:space="0" w:color="70AD47"/>
            </w:tcBorders>
            <w:shd w:val="clear" w:color="auto" w:fill="auto"/>
            <w:noWrap/>
            <w:vAlign w:val="center"/>
            <w:hideMark/>
          </w:tcPr>
          <w:p w14:paraId="1B3D7CA8" w14:textId="77777777" w:rsidR="00FC0013" w:rsidRPr="00414E1B" w:rsidRDefault="00FC0013" w:rsidP="008F1635">
            <w:pPr>
              <w:rPr>
                <w:b/>
                <w:bCs/>
                <w:color w:val="000000"/>
                <w:lang w:eastAsia="es-MX"/>
              </w:rPr>
            </w:pPr>
            <w:r w:rsidRPr="00414E1B">
              <w:rPr>
                <w:color w:val="000000"/>
                <w:lang w:eastAsia="es-MX"/>
              </w:rPr>
              <w:t>2</w:t>
            </w:r>
          </w:p>
        </w:tc>
        <w:tc>
          <w:tcPr>
            <w:tcW w:w="4171" w:type="dxa"/>
            <w:tcBorders>
              <w:top w:val="nil"/>
              <w:left w:val="nil"/>
              <w:bottom w:val="single" w:sz="4" w:space="0" w:color="70AD47"/>
              <w:right w:val="single" w:sz="4" w:space="0" w:color="70AD47"/>
            </w:tcBorders>
            <w:shd w:val="clear" w:color="auto" w:fill="auto"/>
            <w:noWrap/>
            <w:vAlign w:val="center"/>
            <w:hideMark/>
          </w:tcPr>
          <w:p w14:paraId="20E3E6E4" w14:textId="43B50980" w:rsidR="00FC0013" w:rsidRPr="00414E1B" w:rsidRDefault="00FC0013" w:rsidP="008F1635">
            <w:pPr>
              <w:rPr>
                <w:color w:val="000000"/>
                <w:lang w:eastAsia="es-MX"/>
              </w:rPr>
            </w:pPr>
            <w:r w:rsidRPr="00414E1B">
              <w:rPr>
                <w:color w:val="000000"/>
                <w:lang w:eastAsia="es-MX"/>
              </w:rPr>
              <w:t>AT&amp;T Comunicaciones Digitales, S de R.L. de C.V., Grupo AT&amp;T Celullar, S de R.L. de C.V., AT&amp;T Norte, S. de R.L. de C.V., AT&amp;T Comercialización Móvil, S. de R.L. de C.V. y AT&amp;T Desarrollo en Comunicaciones de México, S. de R.L. de C.V.</w:t>
            </w:r>
            <w:r w:rsidR="00A2604F">
              <w:rPr>
                <w:color w:val="000000"/>
                <w:lang w:eastAsia="es-MX"/>
              </w:rPr>
              <w:t xml:space="preserve"> (en lo sucesivo, “</w:t>
            </w:r>
            <w:r w:rsidR="00A2604F" w:rsidRPr="00E67284">
              <w:rPr>
                <w:b/>
                <w:bCs/>
                <w:color w:val="000000"/>
                <w:lang w:eastAsia="es-MX"/>
              </w:rPr>
              <w:t>AT&amp;T</w:t>
            </w:r>
            <w:r w:rsidR="007413EC">
              <w:rPr>
                <w:color w:val="000000"/>
                <w:lang w:eastAsia="es-MX"/>
              </w:rPr>
              <w:t>”</w:t>
            </w:r>
            <w:r w:rsidR="00A2604F">
              <w:rPr>
                <w:color w:val="000000"/>
                <w:lang w:eastAsia="es-MX"/>
              </w:rPr>
              <w:t>)</w:t>
            </w:r>
          </w:p>
        </w:tc>
        <w:tc>
          <w:tcPr>
            <w:tcW w:w="1556" w:type="dxa"/>
            <w:tcBorders>
              <w:top w:val="nil"/>
              <w:left w:val="nil"/>
              <w:bottom w:val="single" w:sz="4" w:space="0" w:color="70AD47"/>
              <w:right w:val="single" w:sz="4" w:space="0" w:color="70AD47"/>
            </w:tcBorders>
            <w:shd w:val="clear" w:color="auto" w:fill="auto"/>
            <w:noWrap/>
            <w:vAlign w:val="center"/>
            <w:hideMark/>
          </w:tcPr>
          <w:p w14:paraId="621D7299" w14:textId="77777777" w:rsidR="00FC0013" w:rsidRPr="00414E1B" w:rsidRDefault="00FC0013" w:rsidP="008F1635">
            <w:pPr>
              <w:rPr>
                <w:color w:val="000000"/>
                <w:lang w:eastAsia="es-MX"/>
              </w:rPr>
            </w:pPr>
            <w:r w:rsidRPr="00414E1B">
              <w:rPr>
                <w:color w:val="000000"/>
                <w:lang w:eastAsia="es-MX"/>
              </w:rPr>
              <w:t>Correo electrónico</w:t>
            </w:r>
          </w:p>
        </w:tc>
        <w:tc>
          <w:tcPr>
            <w:tcW w:w="2065" w:type="dxa"/>
            <w:tcBorders>
              <w:top w:val="nil"/>
              <w:left w:val="nil"/>
              <w:bottom w:val="single" w:sz="4" w:space="0" w:color="70AD47"/>
              <w:right w:val="single" w:sz="4" w:space="0" w:color="70AD47"/>
            </w:tcBorders>
            <w:shd w:val="clear" w:color="auto" w:fill="auto"/>
            <w:noWrap/>
            <w:vAlign w:val="center"/>
            <w:hideMark/>
          </w:tcPr>
          <w:p w14:paraId="3EB19A28" w14:textId="5927AEF0" w:rsidR="00FC0013" w:rsidRPr="00414E1B" w:rsidRDefault="000E01DA" w:rsidP="008F1635">
            <w:r w:rsidRPr="00414E1B">
              <w:rPr>
                <w:color w:val="000000"/>
                <w:lang w:eastAsia="es-MX"/>
              </w:rPr>
              <w:t>1</w:t>
            </w:r>
            <w:r w:rsidR="00FC0013" w:rsidRPr="00414E1B">
              <w:rPr>
                <w:color w:val="000000"/>
                <w:lang w:eastAsia="es-MX"/>
              </w:rPr>
              <w:t>0 noviembre de 2021</w:t>
            </w:r>
          </w:p>
        </w:tc>
        <w:tc>
          <w:tcPr>
            <w:tcW w:w="1250" w:type="dxa"/>
            <w:tcBorders>
              <w:top w:val="nil"/>
              <w:left w:val="nil"/>
              <w:bottom w:val="single" w:sz="4" w:space="0" w:color="70AD47"/>
              <w:right w:val="single" w:sz="4" w:space="0" w:color="70AD47"/>
            </w:tcBorders>
            <w:shd w:val="clear" w:color="auto" w:fill="auto"/>
            <w:noWrap/>
            <w:vAlign w:val="center"/>
            <w:hideMark/>
          </w:tcPr>
          <w:p w14:paraId="780708D6" w14:textId="77777777" w:rsidR="00FC0013" w:rsidRPr="00414E1B" w:rsidRDefault="00FC0013" w:rsidP="008F1635">
            <w:pPr>
              <w:rPr>
                <w:color w:val="000000"/>
                <w:lang w:eastAsia="es-MX"/>
              </w:rPr>
            </w:pPr>
            <w:r w:rsidRPr="00414E1B">
              <w:rPr>
                <w:color w:val="000000"/>
                <w:lang w:eastAsia="es-MX"/>
              </w:rPr>
              <w:t>03:52 p.m.</w:t>
            </w:r>
          </w:p>
        </w:tc>
      </w:tr>
      <w:tr w:rsidR="00FC0013" w:rsidRPr="00414E1B" w14:paraId="38006979" w14:textId="77777777" w:rsidTr="007F6EAB">
        <w:trPr>
          <w:trHeight w:val="290"/>
          <w:tblHeader/>
        </w:trPr>
        <w:tc>
          <w:tcPr>
            <w:tcW w:w="508" w:type="dxa"/>
            <w:tcBorders>
              <w:top w:val="nil"/>
              <w:left w:val="single" w:sz="4" w:space="0" w:color="70AD47"/>
              <w:bottom w:val="single" w:sz="4" w:space="0" w:color="70AD47"/>
              <w:right w:val="single" w:sz="4" w:space="0" w:color="70AD47"/>
            </w:tcBorders>
            <w:shd w:val="clear" w:color="000000" w:fill="E2EFDA"/>
            <w:noWrap/>
            <w:vAlign w:val="center"/>
            <w:hideMark/>
          </w:tcPr>
          <w:p w14:paraId="0D89F872" w14:textId="77777777" w:rsidR="00FC0013" w:rsidRPr="00414E1B" w:rsidRDefault="00FC0013" w:rsidP="008F1635">
            <w:pPr>
              <w:rPr>
                <w:b/>
                <w:bCs/>
                <w:color w:val="000000"/>
                <w:lang w:eastAsia="es-MX"/>
              </w:rPr>
            </w:pPr>
            <w:r w:rsidRPr="00414E1B">
              <w:rPr>
                <w:b/>
                <w:bCs/>
                <w:color w:val="000000"/>
                <w:lang w:eastAsia="es-MX"/>
              </w:rPr>
              <w:t>3</w:t>
            </w:r>
          </w:p>
        </w:tc>
        <w:tc>
          <w:tcPr>
            <w:tcW w:w="4171" w:type="dxa"/>
            <w:tcBorders>
              <w:top w:val="nil"/>
              <w:left w:val="nil"/>
              <w:bottom w:val="single" w:sz="4" w:space="0" w:color="70AD47"/>
              <w:right w:val="single" w:sz="4" w:space="0" w:color="70AD47"/>
            </w:tcBorders>
            <w:shd w:val="clear" w:color="000000" w:fill="E2EFDA"/>
            <w:noWrap/>
            <w:vAlign w:val="center"/>
            <w:hideMark/>
          </w:tcPr>
          <w:p w14:paraId="010CE876" w14:textId="29575033" w:rsidR="00FC0013" w:rsidRPr="00414E1B" w:rsidRDefault="00A2604F" w:rsidP="008F1635">
            <w:pPr>
              <w:rPr>
                <w:color w:val="000000"/>
                <w:lang w:eastAsia="es-MX"/>
              </w:rPr>
            </w:pPr>
            <w:r>
              <w:rPr>
                <w:rFonts w:cstheme="minorHAnsi"/>
                <w:bCs/>
                <w:color w:val="000000"/>
              </w:rPr>
              <w:t>Cámara Nacional de la Industria Electrónica, de Telecomunicaciones y Tecnologías de la Información</w:t>
            </w:r>
            <w:r w:rsidRPr="00414E1B">
              <w:rPr>
                <w:color w:val="000000"/>
                <w:lang w:eastAsia="es-MX"/>
              </w:rPr>
              <w:t xml:space="preserve"> </w:t>
            </w:r>
            <w:r>
              <w:rPr>
                <w:color w:val="000000"/>
                <w:lang w:eastAsia="es-MX"/>
              </w:rPr>
              <w:t>(en lo sucesivo, “</w:t>
            </w:r>
            <w:r w:rsidR="00FC0013" w:rsidRPr="00E67284">
              <w:rPr>
                <w:b/>
                <w:bCs/>
                <w:color w:val="000000"/>
                <w:lang w:eastAsia="es-MX"/>
              </w:rPr>
              <w:t>CANIETI</w:t>
            </w:r>
            <w:r>
              <w:rPr>
                <w:color w:val="000000"/>
                <w:lang w:eastAsia="es-MX"/>
              </w:rPr>
              <w:t>”)</w:t>
            </w:r>
          </w:p>
        </w:tc>
        <w:tc>
          <w:tcPr>
            <w:tcW w:w="1556" w:type="dxa"/>
            <w:tcBorders>
              <w:top w:val="nil"/>
              <w:left w:val="nil"/>
              <w:bottom w:val="single" w:sz="4" w:space="0" w:color="70AD47"/>
              <w:right w:val="single" w:sz="4" w:space="0" w:color="70AD47"/>
            </w:tcBorders>
            <w:shd w:val="clear" w:color="000000" w:fill="E2EFDA"/>
            <w:noWrap/>
            <w:vAlign w:val="center"/>
            <w:hideMark/>
          </w:tcPr>
          <w:p w14:paraId="673EAF70" w14:textId="77777777" w:rsidR="00FC0013" w:rsidRPr="00414E1B" w:rsidRDefault="00FC0013" w:rsidP="008F1635">
            <w:pPr>
              <w:rPr>
                <w:color w:val="000000"/>
                <w:lang w:eastAsia="es-MX"/>
              </w:rPr>
            </w:pPr>
            <w:r w:rsidRPr="00414E1B">
              <w:rPr>
                <w:color w:val="000000"/>
                <w:lang w:eastAsia="es-MX"/>
              </w:rPr>
              <w:t>Correo electrónico</w:t>
            </w:r>
          </w:p>
        </w:tc>
        <w:tc>
          <w:tcPr>
            <w:tcW w:w="2065" w:type="dxa"/>
            <w:tcBorders>
              <w:top w:val="nil"/>
              <w:left w:val="nil"/>
              <w:bottom w:val="single" w:sz="4" w:space="0" w:color="70AD47"/>
              <w:right w:val="single" w:sz="4" w:space="0" w:color="70AD47"/>
            </w:tcBorders>
            <w:shd w:val="clear" w:color="000000" w:fill="E2EFDA"/>
            <w:noWrap/>
            <w:vAlign w:val="center"/>
            <w:hideMark/>
          </w:tcPr>
          <w:p w14:paraId="6ADD3AD8" w14:textId="77777777" w:rsidR="00FC0013" w:rsidRPr="00414E1B" w:rsidRDefault="00FC0013" w:rsidP="008F1635">
            <w:r w:rsidRPr="00414E1B">
              <w:rPr>
                <w:color w:val="000000"/>
                <w:lang w:eastAsia="es-MX"/>
              </w:rPr>
              <w:t>10 noviembre de 2021</w:t>
            </w:r>
          </w:p>
        </w:tc>
        <w:tc>
          <w:tcPr>
            <w:tcW w:w="1250" w:type="dxa"/>
            <w:tcBorders>
              <w:top w:val="nil"/>
              <w:left w:val="nil"/>
              <w:bottom w:val="single" w:sz="4" w:space="0" w:color="70AD47"/>
              <w:right w:val="single" w:sz="4" w:space="0" w:color="70AD47"/>
            </w:tcBorders>
            <w:shd w:val="clear" w:color="000000" w:fill="E2EFDA"/>
            <w:noWrap/>
            <w:vAlign w:val="center"/>
            <w:hideMark/>
          </w:tcPr>
          <w:p w14:paraId="44276FFF" w14:textId="77777777" w:rsidR="00FC0013" w:rsidRPr="00414E1B" w:rsidRDefault="00FC0013" w:rsidP="008F1635">
            <w:r w:rsidRPr="00414E1B">
              <w:rPr>
                <w:color w:val="000000"/>
                <w:lang w:eastAsia="es-MX"/>
              </w:rPr>
              <w:t>04:43 p.m.</w:t>
            </w:r>
          </w:p>
        </w:tc>
      </w:tr>
      <w:tr w:rsidR="00FC0013" w:rsidRPr="00414E1B" w14:paraId="1004A7B2" w14:textId="77777777" w:rsidTr="007F6EAB">
        <w:trPr>
          <w:trHeight w:val="290"/>
          <w:tblHeader/>
        </w:trPr>
        <w:tc>
          <w:tcPr>
            <w:tcW w:w="508" w:type="dxa"/>
            <w:tcBorders>
              <w:top w:val="nil"/>
              <w:left w:val="single" w:sz="4" w:space="0" w:color="70AD47"/>
              <w:bottom w:val="single" w:sz="4" w:space="0" w:color="70AD47"/>
              <w:right w:val="single" w:sz="4" w:space="0" w:color="70AD47"/>
            </w:tcBorders>
            <w:shd w:val="clear" w:color="auto" w:fill="auto"/>
            <w:noWrap/>
            <w:vAlign w:val="center"/>
            <w:hideMark/>
          </w:tcPr>
          <w:p w14:paraId="02DB06A6" w14:textId="77777777" w:rsidR="00FC0013" w:rsidRPr="00414E1B" w:rsidRDefault="00FC0013" w:rsidP="008F1635">
            <w:pPr>
              <w:rPr>
                <w:b/>
                <w:bCs/>
                <w:color w:val="000000"/>
                <w:lang w:eastAsia="es-MX"/>
              </w:rPr>
            </w:pPr>
            <w:r w:rsidRPr="00414E1B">
              <w:rPr>
                <w:b/>
                <w:bCs/>
                <w:color w:val="000000"/>
                <w:lang w:eastAsia="es-MX"/>
              </w:rPr>
              <w:t>4</w:t>
            </w:r>
          </w:p>
        </w:tc>
        <w:tc>
          <w:tcPr>
            <w:tcW w:w="4171" w:type="dxa"/>
            <w:tcBorders>
              <w:top w:val="nil"/>
              <w:left w:val="nil"/>
              <w:bottom w:val="single" w:sz="4" w:space="0" w:color="70AD47"/>
              <w:right w:val="single" w:sz="4" w:space="0" w:color="70AD47"/>
            </w:tcBorders>
            <w:shd w:val="clear" w:color="auto" w:fill="auto"/>
            <w:noWrap/>
            <w:vAlign w:val="center"/>
            <w:hideMark/>
          </w:tcPr>
          <w:p w14:paraId="279AD0EB" w14:textId="45D04873" w:rsidR="00FC0013" w:rsidRPr="00414E1B" w:rsidRDefault="00FC0013" w:rsidP="008F1635">
            <w:pPr>
              <w:rPr>
                <w:color w:val="000000"/>
                <w:lang w:eastAsia="es-MX"/>
              </w:rPr>
            </w:pPr>
            <w:r w:rsidRPr="00414E1B">
              <w:rPr>
                <w:color w:val="000000"/>
                <w:lang w:eastAsia="es-MX"/>
              </w:rPr>
              <w:t>Pegaso PCS, S.A. de C.V (</w:t>
            </w:r>
            <w:r w:rsidR="00A2604F">
              <w:rPr>
                <w:color w:val="000000"/>
                <w:lang w:eastAsia="es-MX"/>
              </w:rPr>
              <w:t>en lo sucesivo, “</w:t>
            </w:r>
            <w:r w:rsidRPr="00E67284">
              <w:rPr>
                <w:b/>
                <w:bCs/>
                <w:color w:val="000000"/>
                <w:lang w:eastAsia="es-MX"/>
              </w:rPr>
              <w:t>Telefónica</w:t>
            </w:r>
            <w:r w:rsidR="00A2604F">
              <w:rPr>
                <w:color w:val="000000"/>
                <w:lang w:eastAsia="es-MX"/>
              </w:rPr>
              <w:t>”</w:t>
            </w:r>
            <w:r w:rsidRPr="00414E1B">
              <w:rPr>
                <w:color w:val="000000"/>
                <w:lang w:eastAsia="es-MX"/>
              </w:rPr>
              <w:t>)</w:t>
            </w:r>
          </w:p>
        </w:tc>
        <w:tc>
          <w:tcPr>
            <w:tcW w:w="1556" w:type="dxa"/>
            <w:tcBorders>
              <w:top w:val="nil"/>
              <w:left w:val="nil"/>
              <w:bottom w:val="single" w:sz="4" w:space="0" w:color="70AD47"/>
              <w:right w:val="single" w:sz="4" w:space="0" w:color="70AD47"/>
            </w:tcBorders>
            <w:shd w:val="clear" w:color="auto" w:fill="auto"/>
            <w:noWrap/>
            <w:vAlign w:val="center"/>
            <w:hideMark/>
          </w:tcPr>
          <w:p w14:paraId="794D8D34" w14:textId="77777777" w:rsidR="00FC0013" w:rsidRPr="00414E1B" w:rsidRDefault="00FC0013" w:rsidP="008F1635">
            <w:pPr>
              <w:rPr>
                <w:color w:val="000000"/>
                <w:lang w:eastAsia="es-MX"/>
              </w:rPr>
            </w:pPr>
            <w:r w:rsidRPr="00414E1B">
              <w:rPr>
                <w:color w:val="000000"/>
                <w:lang w:eastAsia="es-MX"/>
              </w:rPr>
              <w:t>Correo electrónico</w:t>
            </w:r>
          </w:p>
        </w:tc>
        <w:tc>
          <w:tcPr>
            <w:tcW w:w="2065" w:type="dxa"/>
            <w:tcBorders>
              <w:top w:val="nil"/>
              <w:left w:val="nil"/>
              <w:bottom w:val="single" w:sz="4" w:space="0" w:color="70AD47"/>
              <w:right w:val="single" w:sz="4" w:space="0" w:color="70AD47"/>
            </w:tcBorders>
            <w:shd w:val="clear" w:color="auto" w:fill="auto"/>
            <w:noWrap/>
            <w:vAlign w:val="center"/>
            <w:hideMark/>
          </w:tcPr>
          <w:p w14:paraId="2F2EFFD3" w14:textId="77777777" w:rsidR="00FC0013" w:rsidRPr="00414E1B" w:rsidRDefault="00FC0013" w:rsidP="008F1635">
            <w:r w:rsidRPr="00414E1B">
              <w:rPr>
                <w:color w:val="000000"/>
                <w:lang w:eastAsia="es-MX"/>
              </w:rPr>
              <w:t>10 noviembre de 2021</w:t>
            </w:r>
          </w:p>
        </w:tc>
        <w:tc>
          <w:tcPr>
            <w:tcW w:w="1250" w:type="dxa"/>
            <w:tcBorders>
              <w:top w:val="nil"/>
              <w:left w:val="nil"/>
              <w:bottom w:val="single" w:sz="4" w:space="0" w:color="70AD47"/>
              <w:right w:val="single" w:sz="4" w:space="0" w:color="70AD47"/>
            </w:tcBorders>
            <w:shd w:val="clear" w:color="auto" w:fill="auto"/>
            <w:noWrap/>
            <w:vAlign w:val="center"/>
            <w:hideMark/>
          </w:tcPr>
          <w:p w14:paraId="391905EA" w14:textId="77777777" w:rsidR="00FC0013" w:rsidRPr="00414E1B" w:rsidRDefault="00FC0013" w:rsidP="008F1635">
            <w:r w:rsidRPr="00414E1B">
              <w:rPr>
                <w:color w:val="000000"/>
                <w:lang w:eastAsia="es-MX"/>
              </w:rPr>
              <w:t>05:02 p.m.</w:t>
            </w:r>
          </w:p>
        </w:tc>
      </w:tr>
      <w:tr w:rsidR="00FC0013" w:rsidRPr="00414E1B" w14:paraId="321F30C8" w14:textId="77777777" w:rsidTr="007F6EAB">
        <w:trPr>
          <w:trHeight w:val="290"/>
          <w:tblHeader/>
        </w:trPr>
        <w:tc>
          <w:tcPr>
            <w:tcW w:w="508" w:type="dxa"/>
            <w:tcBorders>
              <w:top w:val="nil"/>
              <w:left w:val="single" w:sz="4" w:space="0" w:color="70AD47"/>
              <w:bottom w:val="single" w:sz="4" w:space="0" w:color="70AD47"/>
              <w:right w:val="single" w:sz="4" w:space="0" w:color="70AD47"/>
            </w:tcBorders>
            <w:shd w:val="clear" w:color="000000" w:fill="E2EFDA"/>
            <w:noWrap/>
            <w:vAlign w:val="center"/>
            <w:hideMark/>
          </w:tcPr>
          <w:p w14:paraId="1DA2084C" w14:textId="77777777" w:rsidR="00FC0013" w:rsidRPr="00414E1B" w:rsidRDefault="00FC0013" w:rsidP="008F1635">
            <w:pPr>
              <w:rPr>
                <w:b/>
                <w:bCs/>
                <w:color w:val="000000"/>
                <w:lang w:eastAsia="es-MX"/>
              </w:rPr>
            </w:pPr>
            <w:r w:rsidRPr="00414E1B">
              <w:rPr>
                <w:b/>
                <w:bCs/>
                <w:color w:val="000000"/>
                <w:lang w:eastAsia="es-MX"/>
              </w:rPr>
              <w:t>5</w:t>
            </w:r>
          </w:p>
        </w:tc>
        <w:tc>
          <w:tcPr>
            <w:tcW w:w="4171" w:type="dxa"/>
            <w:tcBorders>
              <w:top w:val="nil"/>
              <w:left w:val="nil"/>
              <w:bottom w:val="single" w:sz="4" w:space="0" w:color="70AD47"/>
              <w:right w:val="single" w:sz="4" w:space="0" w:color="70AD47"/>
            </w:tcBorders>
            <w:shd w:val="clear" w:color="000000" w:fill="E2EFDA"/>
            <w:noWrap/>
            <w:vAlign w:val="center"/>
            <w:hideMark/>
          </w:tcPr>
          <w:p w14:paraId="6C24FAA9" w14:textId="387E4A01" w:rsidR="00FC0013" w:rsidRPr="00414E1B" w:rsidRDefault="00FC0013" w:rsidP="008F1635">
            <w:pPr>
              <w:rPr>
                <w:color w:val="000000"/>
                <w:lang w:eastAsia="es-MX"/>
              </w:rPr>
            </w:pPr>
            <w:r w:rsidRPr="00414E1B">
              <w:rPr>
                <w:color w:val="000000"/>
                <w:lang w:eastAsia="es-MX"/>
              </w:rPr>
              <w:t> Axtel S.A.B DE C.V</w:t>
            </w:r>
            <w:r w:rsidR="000E01DA" w:rsidRPr="00414E1B">
              <w:rPr>
                <w:color w:val="000000"/>
                <w:lang w:eastAsia="es-MX"/>
              </w:rPr>
              <w:t>.</w:t>
            </w:r>
            <w:r w:rsidR="006D555E" w:rsidRPr="00414E1B">
              <w:rPr>
                <w:color w:val="000000"/>
                <w:lang w:eastAsia="es-MX"/>
              </w:rPr>
              <w:t xml:space="preserve"> </w:t>
            </w:r>
            <w:r w:rsidR="00A2604F">
              <w:rPr>
                <w:color w:val="000000"/>
                <w:lang w:eastAsia="es-MX"/>
              </w:rPr>
              <w:t>(en lo sucesivo, “</w:t>
            </w:r>
            <w:r w:rsidR="00A2604F" w:rsidRPr="00E67284">
              <w:rPr>
                <w:b/>
                <w:bCs/>
                <w:color w:val="000000"/>
                <w:lang w:eastAsia="es-MX"/>
              </w:rPr>
              <w:t>Axtel</w:t>
            </w:r>
            <w:r w:rsidR="00A2604F">
              <w:rPr>
                <w:color w:val="000000"/>
                <w:lang w:eastAsia="es-MX"/>
              </w:rPr>
              <w:t>”)</w:t>
            </w:r>
          </w:p>
        </w:tc>
        <w:tc>
          <w:tcPr>
            <w:tcW w:w="1556" w:type="dxa"/>
            <w:tcBorders>
              <w:top w:val="nil"/>
              <w:left w:val="nil"/>
              <w:bottom w:val="single" w:sz="4" w:space="0" w:color="70AD47"/>
              <w:right w:val="single" w:sz="4" w:space="0" w:color="70AD47"/>
            </w:tcBorders>
            <w:shd w:val="clear" w:color="000000" w:fill="E2EFDA"/>
            <w:noWrap/>
            <w:vAlign w:val="center"/>
            <w:hideMark/>
          </w:tcPr>
          <w:p w14:paraId="61B1284B" w14:textId="77777777" w:rsidR="00FC0013" w:rsidRPr="00414E1B" w:rsidRDefault="00FC0013" w:rsidP="008F1635">
            <w:pPr>
              <w:rPr>
                <w:color w:val="000000"/>
                <w:lang w:eastAsia="es-MX"/>
              </w:rPr>
            </w:pPr>
            <w:r w:rsidRPr="00414E1B">
              <w:rPr>
                <w:color w:val="000000"/>
                <w:lang w:eastAsia="es-MX"/>
              </w:rPr>
              <w:t>Correo electrónico</w:t>
            </w:r>
          </w:p>
        </w:tc>
        <w:tc>
          <w:tcPr>
            <w:tcW w:w="2065" w:type="dxa"/>
            <w:tcBorders>
              <w:top w:val="nil"/>
              <w:left w:val="nil"/>
              <w:bottom w:val="single" w:sz="4" w:space="0" w:color="70AD47"/>
              <w:right w:val="single" w:sz="4" w:space="0" w:color="70AD47"/>
            </w:tcBorders>
            <w:shd w:val="clear" w:color="000000" w:fill="E2EFDA"/>
            <w:noWrap/>
            <w:vAlign w:val="center"/>
            <w:hideMark/>
          </w:tcPr>
          <w:p w14:paraId="6463ABAC" w14:textId="77777777" w:rsidR="00FC0013" w:rsidRPr="00414E1B" w:rsidRDefault="00FC0013" w:rsidP="008F1635">
            <w:r w:rsidRPr="00414E1B">
              <w:rPr>
                <w:color w:val="000000"/>
                <w:lang w:eastAsia="es-MX"/>
              </w:rPr>
              <w:t>10 noviembre de 2021</w:t>
            </w:r>
          </w:p>
        </w:tc>
        <w:tc>
          <w:tcPr>
            <w:tcW w:w="1250" w:type="dxa"/>
            <w:tcBorders>
              <w:top w:val="nil"/>
              <w:left w:val="nil"/>
              <w:bottom w:val="single" w:sz="4" w:space="0" w:color="70AD47"/>
              <w:right w:val="single" w:sz="4" w:space="0" w:color="70AD47"/>
            </w:tcBorders>
            <w:shd w:val="clear" w:color="000000" w:fill="E2EFDA"/>
            <w:noWrap/>
            <w:vAlign w:val="center"/>
            <w:hideMark/>
          </w:tcPr>
          <w:p w14:paraId="5EBDCAF0" w14:textId="77777777" w:rsidR="00FC0013" w:rsidRPr="00414E1B" w:rsidRDefault="00FC0013" w:rsidP="008F1635">
            <w:r w:rsidRPr="00414E1B">
              <w:rPr>
                <w:color w:val="000000"/>
                <w:lang w:eastAsia="es-MX"/>
              </w:rPr>
              <w:t>05:07 p.m.</w:t>
            </w:r>
          </w:p>
        </w:tc>
      </w:tr>
      <w:tr w:rsidR="00FC0013" w:rsidRPr="00414E1B" w14:paraId="1B47F7CC" w14:textId="77777777" w:rsidTr="007F6EAB">
        <w:trPr>
          <w:trHeight w:val="290"/>
          <w:tblHeader/>
        </w:trPr>
        <w:tc>
          <w:tcPr>
            <w:tcW w:w="508" w:type="dxa"/>
            <w:tcBorders>
              <w:top w:val="nil"/>
              <w:left w:val="single" w:sz="4" w:space="0" w:color="70AD47"/>
              <w:bottom w:val="single" w:sz="4" w:space="0" w:color="70AD47"/>
              <w:right w:val="single" w:sz="4" w:space="0" w:color="70AD47"/>
            </w:tcBorders>
            <w:shd w:val="clear" w:color="auto" w:fill="auto"/>
            <w:noWrap/>
            <w:vAlign w:val="center"/>
            <w:hideMark/>
          </w:tcPr>
          <w:p w14:paraId="719F2918" w14:textId="77777777" w:rsidR="00FC0013" w:rsidRPr="00414E1B" w:rsidRDefault="00FC0013" w:rsidP="008F1635">
            <w:pPr>
              <w:rPr>
                <w:b/>
                <w:bCs/>
                <w:color w:val="000000"/>
                <w:lang w:eastAsia="es-MX"/>
              </w:rPr>
            </w:pPr>
            <w:r w:rsidRPr="00414E1B">
              <w:rPr>
                <w:b/>
                <w:bCs/>
                <w:color w:val="000000"/>
                <w:lang w:eastAsia="es-MX"/>
              </w:rPr>
              <w:t>6</w:t>
            </w:r>
          </w:p>
        </w:tc>
        <w:tc>
          <w:tcPr>
            <w:tcW w:w="4171" w:type="dxa"/>
            <w:tcBorders>
              <w:top w:val="nil"/>
              <w:left w:val="nil"/>
              <w:bottom w:val="single" w:sz="4" w:space="0" w:color="70AD47"/>
              <w:right w:val="single" w:sz="4" w:space="0" w:color="70AD47"/>
            </w:tcBorders>
            <w:shd w:val="clear" w:color="auto" w:fill="auto"/>
            <w:noWrap/>
            <w:vAlign w:val="center"/>
            <w:hideMark/>
          </w:tcPr>
          <w:p w14:paraId="01F85FA7" w14:textId="3383B0E3" w:rsidR="00FC0013" w:rsidRPr="00414E1B" w:rsidRDefault="00FC0013" w:rsidP="008F1635">
            <w:pPr>
              <w:rPr>
                <w:color w:val="000000"/>
                <w:lang w:eastAsia="es-MX"/>
              </w:rPr>
            </w:pPr>
            <w:r w:rsidRPr="00414E1B">
              <w:rPr>
                <w:color w:val="000000"/>
                <w:lang w:eastAsia="es-MX"/>
              </w:rPr>
              <w:t>MEGACABLE, S.A. DE C.V.</w:t>
            </w:r>
            <w:r w:rsidR="00A2604F">
              <w:rPr>
                <w:color w:val="000000"/>
                <w:lang w:eastAsia="es-MX"/>
              </w:rPr>
              <w:t xml:space="preserve"> (en lo sucesivo, “</w:t>
            </w:r>
            <w:r w:rsidR="00A2604F" w:rsidRPr="00E67284">
              <w:rPr>
                <w:b/>
                <w:bCs/>
                <w:color w:val="000000"/>
                <w:lang w:eastAsia="es-MX"/>
              </w:rPr>
              <w:t>Megacable</w:t>
            </w:r>
            <w:r w:rsidR="00A2604F">
              <w:rPr>
                <w:color w:val="000000"/>
                <w:lang w:eastAsia="es-MX"/>
              </w:rPr>
              <w:t>”)</w:t>
            </w:r>
          </w:p>
        </w:tc>
        <w:tc>
          <w:tcPr>
            <w:tcW w:w="1556" w:type="dxa"/>
            <w:tcBorders>
              <w:top w:val="nil"/>
              <w:left w:val="nil"/>
              <w:bottom w:val="single" w:sz="4" w:space="0" w:color="70AD47"/>
              <w:right w:val="single" w:sz="4" w:space="0" w:color="70AD47"/>
            </w:tcBorders>
            <w:shd w:val="clear" w:color="auto" w:fill="auto"/>
            <w:noWrap/>
            <w:vAlign w:val="center"/>
            <w:hideMark/>
          </w:tcPr>
          <w:p w14:paraId="307A4CBB" w14:textId="77777777" w:rsidR="00FC0013" w:rsidRPr="00414E1B" w:rsidRDefault="00FC0013" w:rsidP="008F1635">
            <w:pPr>
              <w:rPr>
                <w:color w:val="000000"/>
                <w:lang w:eastAsia="es-MX"/>
              </w:rPr>
            </w:pPr>
            <w:r w:rsidRPr="00414E1B">
              <w:rPr>
                <w:color w:val="000000"/>
                <w:lang w:eastAsia="es-MX"/>
              </w:rPr>
              <w:t>Correo electrónico</w:t>
            </w:r>
          </w:p>
        </w:tc>
        <w:tc>
          <w:tcPr>
            <w:tcW w:w="2065" w:type="dxa"/>
            <w:tcBorders>
              <w:top w:val="nil"/>
              <w:left w:val="nil"/>
              <w:bottom w:val="single" w:sz="4" w:space="0" w:color="70AD47"/>
              <w:right w:val="single" w:sz="4" w:space="0" w:color="70AD47"/>
            </w:tcBorders>
            <w:shd w:val="clear" w:color="auto" w:fill="auto"/>
            <w:noWrap/>
            <w:vAlign w:val="center"/>
            <w:hideMark/>
          </w:tcPr>
          <w:p w14:paraId="5EDE6B37" w14:textId="77777777" w:rsidR="00FC0013" w:rsidRPr="00414E1B" w:rsidRDefault="00FC0013" w:rsidP="008F1635">
            <w:r w:rsidRPr="00414E1B">
              <w:rPr>
                <w:color w:val="000000"/>
                <w:lang w:eastAsia="es-MX"/>
              </w:rPr>
              <w:t>10 noviembre de 2021</w:t>
            </w:r>
          </w:p>
        </w:tc>
        <w:tc>
          <w:tcPr>
            <w:tcW w:w="1250" w:type="dxa"/>
            <w:tcBorders>
              <w:top w:val="nil"/>
              <w:left w:val="nil"/>
              <w:bottom w:val="single" w:sz="4" w:space="0" w:color="70AD47"/>
              <w:right w:val="single" w:sz="4" w:space="0" w:color="70AD47"/>
            </w:tcBorders>
            <w:shd w:val="clear" w:color="auto" w:fill="auto"/>
            <w:noWrap/>
            <w:vAlign w:val="center"/>
            <w:hideMark/>
          </w:tcPr>
          <w:p w14:paraId="15C40030" w14:textId="77777777" w:rsidR="00FC0013" w:rsidRPr="00414E1B" w:rsidRDefault="00FC0013" w:rsidP="008F1635">
            <w:r w:rsidRPr="00414E1B">
              <w:rPr>
                <w:color w:val="000000"/>
                <w:lang w:eastAsia="es-MX"/>
              </w:rPr>
              <w:t>06:39 p.m.</w:t>
            </w:r>
          </w:p>
        </w:tc>
      </w:tr>
      <w:tr w:rsidR="00FC0013" w:rsidRPr="00414E1B" w14:paraId="5B4C2D44" w14:textId="77777777" w:rsidTr="007F6EAB">
        <w:trPr>
          <w:trHeight w:val="290"/>
          <w:tblHeader/>
        </w:trPr>
        <w:tc>
          <w:tcPr>
            <w:tcW w:w="508" w:type="dxa"/>
            <w:tcBorders>
              <w:top w:val="nil"/>
              <w:left w:val="single" w:sz="4" w:space="0" w:color="70AD47"/>
              <w:bottom w:val="single" w:sz="4" w:space="0" w:color="70AD47"/>
              <w:right w:val="single" w:sz="4" w:space="0" w:color="70AD47"/>
            </w:tcBorders>
            <w:shd w:val="clear" w:color="000000" w:fill="E2EFDA"/>
            <w:noWrap/>
            <w:vAlign w:val="center"/>
            <w:hideMark/>
          </w:tcPr>
          <w:p w14:paraId="32FA1617" w14:textId="77777777" w:rsidR="00FC0013" w:rsidRPr="00414E1B" w:rsidRDefault="00FC0013" w:rsidP="008F1635">
            <w:pPr>
              <w:rPr>
                <w:b/>
                <w:bCs/>
                <w:color w:val="000000"/>
                <w:lang w:eastAsia="es-MX"/>
              </w:rPr>
            </w:pPr>
            <w:r w:rsidRPr="00414E1B">
              <w:rPr>
                <w:b/>
                <w:bCs/>
                <w:color w:val="000000"/>
                <w:lang w:eastAsia="es-MX"/>
              </w:rPr>
              <w:t>7</w:t>
            </w:r>
          </w:p>
        </w:tc>
        <w:tc>
          <w:tcPr>
            <w:tcW w:w="4171" w:type="dxa"/>
            <w:tcBorders>
              <w:top w:val="nil"/>
              <w:left w:val="nil"/>
              <w:bottom w:val="single" w:sz="4" w:space="0" w:color="70AD47"/>
              <w:right w:val="single" w:sz="4" w:space="0" w:color="70AD47"/>
            </w:tcBorders>
            <w:shd w:val="clear" w:color="000000" w:fill="E2EFDA"/>
            <w:noWrap/>
            <w:vAlign w:val="center"/>
            <w:hideMark/>
          </w:tcPr>
          <w:p w14:paraId="3F2E470C" w14:textId="76CCAFA4" w:rsidR="00FC0013" w:rsidRPr="00414E1B" w:rsidRDefault="00FC0013" w:rsidP="008F1635">
            <w:pPr>
              <w:rPr>
                <w:color w:val="000000"/>
                <w:lang w:eastAsia="es-MX"/>
              </w:rPr>
            </w:pPr>
            <w:r w:rsidRPr="00414E1B">
              <w:rPr>
                <w:color w:val="000000"/>
                <w:lang w:eastAsia="es-MX"/>
              </w:rPr>
              <w:t> Cablevisión, S.A. de C.V., Operbes, S.A. de C.V., Cablemás Telecomunicaciones, S.A. de C.V., México Red de Telecomunicaciones, S. de R.L. de C.V., Televisión Internacional, S.A. de C.V., Cablevisión Red, S.A. de C.V., y TV Cable de Oriente, S.A. de C.V</w:t>
            </w:r>
            <w:r w:rsidR="00C30376" w:rsidRPr="00414E1B">
              <w:rPr>
                <w:color w:val="000000"/>
                <w:lang w:eastAsia="es-MX"/>
              </w:rPr>
              <w:t>.</w:t>
            </w:r>
            <w:r w:rsidR="00A2604F">
              <w:rPr>
                <w:color w:val="000000"/>
                <w:lang w:eastAsia="es-MX"/>
              </w:rPr>
              <w:t xml:space="preserve"> (en lo sucesivo, “</w:t>
            </w:r>
            <w:r w:rsidR="00A2604F" w:rsidRPr="00E67284">
              <w:rPr>
                <w:b/>
                <w:bCs/>
                <w:color w:val="000000"/>
                <w:lang w:eastAsia="es-MX"/>
              </w:rPr>
              <w:t>GTV</w:t>
            </w:r>
            <w:r w:rsidR="00CC09FA" w:rsidRPr="00E67284">
              <w:rPr>
                <w:b/>
                <w:bCs/>
                <w:color w:val="000000"/>
                <w:lang w:eastAsia="es-MX"/>
              </w:rPr>
              <w:t>SA</w:t>
            </w:r>
            <w:r w:rsidR="00A2604F">
              <w:rPr>
                <w:color w:val="000000"/>
                <w:lang w:eastAsia="es-MX"/>
              </w:rPr>
              <w:t>”)</w:t>
            </w:r>
          </w:p>
        </w:tc>
        <w:tc>
          <w:tcPr>
            <w:tcW w:w="1556" w:type="dxa"/>
            <w:tcBorders>
              <w:top w:val="nil"/>
              <w:left w:val="nil"/>
              <w:bottom w:val="single" w:sz="4" w:space="0" w:color="70AD47"/>
              <w:right w:val="single" w:sz="4" w:space="0" w:color="70AD47"/>
            </w:tcBorders>
            <w:shd w:val="clear" w:color="000000" w:fill="E2EFDA"/>
            <w:noWrap/>
            <w:vAlign w:val="center"/>
            <w:hideMark/>
          </w:tcPr>
          <w:p w14:paraId="6D687744" w14:textId="77777777" w:rsidR="00FC0013" w:rsidRPr="00414E1B" w:rsidRDefault="00FC0013" w:rsidP="008F1635">
            <w:pPr>
              <w:rPr>
                <w:color w:val="000000"/>
                <w:lang w:eastAsia="es-MX"/>
              </w:rPr>
            </w:pPr>
            <w:r w:rsidRPr="00414E1B">
              <w:rPr>
                <w:color w:val="000000"/>
                <w:lang w:eastAsia="es-MX"/>
              </w:rPr>
              <w:t>Correo electrónico</w:t>
            </w:r>
          </w:p>
        </w:tc>
        <w:tc>
          <w:tcPr>
            <w:tcW w:w="2065" w:type="dxa"/>
            <w:tcBorders>
              <w:top w:val="nil"/>
              <w:left w:val="nil"/>
              <w:bottom w:val="single" w:sz="4" w:space="0" w:color="70AD47"/>
              <w:right w:val="single" w:sz="4" w:space="0" w:color="70AD47"/>
            </w:tcBorders>
            <w:shd w:val="clear" w:color="000000" w:fill="E2EFDA"/>
            <w:noWrap/>
            <w:vAlign w:val="center"/>
            <w:hideMark/>
          </w:tcPr>
          <w:p w14:paraId="4DD889E4" w14:textId="77777777" w:rsidR="00FC0013" w:rsidRPr="00414E1B" w:rsidRDefault="00FC0013" w:rsidP="008F1635">
            <w:r w:rsidRPr="00414E1B">
              <w:rPr>
                <w:color w:val="000000"/>
                <w:lang w:eastAsia="es-MX"/>
              </w:rPr>
              <w:t>10 noviembre de 2021</w:t>
            </w:r>
          </w:p>
        </w:tc>
        <w:tc>
          <w:tcPr>
            <w:tcW w:w="1250" w:type="dxa"/>
            <w:tcBorders>
              <w:top w:val="nil"/>
              <w:left w:val="nil"/>
              <w:bottom w:val="single" w:sz="4" w:space="0" w:color="70AD47"/>
              <w:right w:val="single" w:sz="4" w:space="0" w:color="70AD47"/>
            </w:tcBorders>
            <w:shd w:val="clear" w:color="000000" w:fill="E2EFDA"/>
            <w:noWrap/>
            <w:vAlign w:val="center"/>
            <w:hideMark/>
          </w:tcPr>
          <w:p w14:paraId="22B02A1C" w14:textId="77777777" w:rsidR="00FC0013" w:rsidRPr="00414E1B" w:rsidRDefault="00FC0013" w:rsidP="008F1635">
            <w:r w:rsidRPr="00414E1B">
              <w:rPr>
                <w:color w:val="000000"/>
                <w:lang w:eastAsia="es-MX"/>
              </w:rPr>
              <w:t>08:45 p.m.</w:t>
            </w:r>
          </w:p>
        </w:tc>
      </w:tr>
    </w:tbl>
    <w:p w14:paraId="16538FE6" w14:textId="479B1711" w:rsidR="00FC0013" w:rsidRPr="007972CC" w:rsidRDefault="00FC0013" w:rsidP="00DF424A">
      <w:pPr>
        <w:pStyle w:val="Ttulo1"/>
        <w:rPr>
          <w:rFonts w:ascii="ITC Avant Garde" w:hAnsi="ITC Avant Garde" w:cs="Arial"/>
          <w:b w:val="0"/>
          <w:bCs/>
          <w:sz w:val="28"/>
          <w:szCs w:val="28"/>
        </w:rPr>
      </w:pPr>
      <w:r w:rsidRPr="007972CC">
        <w:rPr>
          <w:rFonts w:ascii="ITC Avant Garde" w:hAnsi="ITC Avant Garde"/>
          <w:sz w:val="28"/>
          <w:szCs w:val="28"/>
        </w:rPr>
        <w:lastRenderedPageBreak/>
        <w:t>Concentrado de comentarios</w:t>
      </w:r>
    </w:p>
    <w:p w14:paraId="7DAB7A4A" w14:textId="2DCB09E9" w:rsidR="00EC6C6E" w:rsidRDefault="00FC0013" w:rsidP="006424BF">
      <w:pPr>
        <w:pStyle w:val="NormalDGDTR"/>
        <w:rPr>
          <w:rStyle w:val="Hipervnculo"/>
        </w:rPr>
      </w:pPr>
      <w:r w:rsidRPr="00414E1B">
        <w:t xml:space="preserve">Los comentarios que se </w:t>
      </w:r>
      <w:r w:rsidR="002C3E2D" w:rsidRPr="00414E1B">
        <w:t xml:space="preserve">analizan </w:t>
      </w:r>
      <w:r w:rsidRPr="00414E1B">
        <w:t xml:space="preserve">a continuación son los extractos relevantes proporcionados por los participantes con relación a la consulta pública. </w:t>
      </w:r>
      <w:r w:rsidR="005137DC">
        <w:t xml:space="preserve">No obstante, se menciona que todas las opiniones y pronunciamientos recibidos se encuentran disponibles para su consulta en </w:t>
      </w:r>
      <w:r w:rsidRPr="00414E1B">
        <w:t xml:space="preserve">la siguiente </w:t>
      </w:r>
      <w:r w:rsidR="00CE0D87" w:rsidRPr="00414E1B">
        <w:t>dirección electrónica</w:t>
      </w:r>
      <w:r w:rsidRPr="00414E1B">
        <w:t xml:space="preserve">: </w:t>
      </w:r>
      <w:hyperlink r:id="rId12" w:history="1">
        <w:r w:rsidRPr="00414E1B">
          <w:rPr>
            <w:rStyle w:val="Hipervnculo"/>
          </w:rPr>
          <w:t>http://www.ift.org.mx/industria/consultas-publicas/revision-y-actualizacion-de-indicadores-clave-de-desempeno-0</w:t>
        </w:r>
      </w:hyperlink>
    </w:p>
    <w:p w14:paraId="581B4E9A" w14:textId="723E74D4" w:rsidR="00FC0013" w:rsidRDefault="00EC6C6E" w:rsidP="006424BF">
      <w:pPr>
        <w:pStyle w:val="NormalDGDTR"/>
      </w:pPr>
      <w:r w:rsidRPr="00E67284">
        <w:t xml:space="preserve">Es de destacar </w:t>
      </w:r>
      <w:r w:rsidR="004423B0" w:rsidRPr="00E67284">
        <w:t xml:space="preserve">que la participación por parte de </w:t>
      </w:r>
      <w:r w:rsidR="004423B0" w:rsidRPr="007413EC">
        <w:t>Gregorio Ramírez Valdez</w:t>
      </w:r>
      <w:r w:rsidR="004423B0" w:rsidRPr="00E67284">
        <w:t xml:space="preserve"> </w:t>
      </w:r>
      <w:r w:rsidR="004423B0" w:rsidRPr="007413EC">
        <w:t>no tiene relación con</w:t>
      </w:r>
      <w:r w:rsidR="004423B0" w:rsidRPr="00E67284">
        <w:t xml:space="preserve"> los ICD, sino con aspectos generales sobre el funcionamiento del Instituto, por lo que no son relevantes para las Alternativas de actualización de ICD.</w:t>
      </w:r>
    </w:p>
    <w:p w14:paraId="7BAA11A0" w14:textId="4AF08A02" w:rsidR="00FC0013" w:rsidRPr="007972CC" w:rsidRDefault="00FC0013" w:rsidP="00DF424A">
      <w:pPr>
        <w:pStyle w:val="Ttulo1"/>
        <w:rPr>
          <w:rFonts w:ascii="ITC Avant Garde" w:hAnsi="ITC Avant Garde"/>
          <w:sz w:val="28"/>
          <w:szCs w:val="28"/>
        </w:rPr>
      </w:pPr>
      <w:r w:rsidRPr="007972CC">
        <w:rPr>
          <w:rFonts w:ascii="ITC Avant Garde" w:hAnsi="ITC Avant Garde"/>
          <w:sz w:val="28"/>
          <w:szCs w:val="28"/>
        </w:rPr>
        <w:t>Metodología de análisis</w:t>
      </w:r>
    </w:p>
    <w:p w14:paraId="723BA64A" w14:textId="1D18A864" w:rsidR="00FC0013" w:rsidRPr="00414E1B" w:rsidRDefault="00A625E8" w:rsidP="006424BF">
      <w:pPr>
        <w:pStyle w:val="NormalDGDTR"/>
      </w:pPr>
      <w:r>
        <w:t>Con relación a las manifestaciones, opiniones, comentarios y propuestas recibidas durante la consulta pública de mérito, p</w:t>
      </w:r>
      <w:r w:rsidR="00FC0013" w:rsidRPr="00414E1B">
        <w:t xml:space="preserve">ara efectos de </w:t>
      </w:r>
      <w:r>
        <w:t>su</w:t>
      </w:r>
      <w:r w:rsidR="00FC0013" w:rsidRPr="00414E1B">
        <w:t xml:space="preserve"> </w:t>
      </w:r>
      <w:r w:rsidR="00B03459" w:rsidRPr="00414E1B">
        <w:t>atención</w:t>
      </w:r>
      <w:r w:rsidR="00B03459">
        <w:t>,</w:t>
      </w:r>
      <w:r w:rsidR="00B03459" w:rsidRPr="00414E1B">
        <w:t xml:space="preserve"> han</w:t>
      </w:r>
      <w:r w:rsidR="00FC0013" w:rsidRPr="00414E1B">
        <w:t xml:space="preserve"> </w:t>
      </w:r>
      <w:r>
        <w:t xml:space="preserve">sido </w:t>
      </w:r>
      <w:r w:rsidR="00FC0013" w:rsidRPr="00414E1B">
        <w:t>agrupad</w:t>
      </w:r>
      <w:r w:rsidR="00E65EA9">
        <w:t>as</w:t>
      </w:r>
      <w:r w:rsidR="00FC0013" w:rsidRPr="00414E1B">
        <w:t xml:space="preserve"> por temas para su mejor identificación, siendo </w:t>
      </w:r>
      <w:r w:rsidR="00E65EA9">
        <w:t xml:space="preserve">estos </w:t>
      </w:r>
      <w:r w:rsidR="00FC0013" w:rsidRPr="00414E1B">
        <w:t>los siguientes:</w:t>
      </w:r>
    </w:p>
    <w:tbl>
      <w:tblPr>
        <w:tblW w:w="7683" w:type="dxa"/>
        <w:jc w:val="center"/>
        <w:tblCellMar>
          <w:left w:w="70" w:type="dxa"/>
          <w:right w:w="70" w:type="dxa"/>
        </w:tblCellMar>
        <w:tblLook w:val="04A0" w:firstRow="1" w:lastRow="0" w:firstColumn="1" w:lastColumn="0" w:noHBand="0" w:noVBand="1"/>
      </w:tblPr>
      <w:tblGrid>
        <w:gridCol w:w="508"/>
        <w:gridCol w:w="3623"/>
        <w:gridCol w:w="3552"/>
      </w:tblGrid>
      <w:tr w:rsidR="00FC0013" w:rsidRPr="00414E1B" w14:paraId="5CE4AAAA" w14:textId="77777777" w:rsidTr="005A16FA">
        <w:trPr>
          <w:trHeight w:val="560"/>
          <w:tblHeader/>
          <w:jc w:val="center"/>
        </w:trPr>
        <w:tc>
          <w:tcPr>
            <w:tcW w:w="508" w:type="dxa"/>
            <w:tcBorders>
              <w:top w:val="single" w:sz="4" w:space="0" w:color="92D050"/>
              <w:left w:val="single" w:sz="4" w:space="0" w:color="92D050"/>
              <w:bottom w:val="single" w:sz="4" w:space="0" w:color="92D050"/>
              <w:right w:val="single" w:sz="4" w:space="0" w:color="92D050"/>
            </w:tcBorders>
            <w:shd w:val="clear" w:color="000000" w:fill="70AD47"/>
            <w:vAlign w:val="center"/>
            <w:hideMark/>
          </w:tcPr>
          <w:p w14:paraId="5A70A168" w14:textId="77777777" w:rsidR="00FC0013" w:rsidRPr="007B50DE" w:rsidRDefault="00FC0013" w:rsidP="007B50DE">
            <w:pPr>
              <w:jc w:val="center"/>
              <w:rPr>
                <w:b/>
                <w:bCs/>
                <w:lang w:eastAsia="es-MX"/>
              </w:rPr>
            </w:pPr>
            <w:r w:rsidRPr="007B50DE">
              <w:rPr>
                <w:b/>
                <w:bCs/>
                <w:lang w:eastAsia="es-MX"/>
              </w:rPr>
              <w:t>No.</w:t>
            </w:r>
          </w:p>
        </w:tc>
        <w:tc>
          <w:tcPr>
            <w:tcW w:w="3623" w:type="dxa"/>
            <w:tcBorders>
              <w:top w:val="single" w:sz="4" w:space="0" w:color="92D050"/>
              <w:left w:val="single" w:sz="4" w:space="0" w:color="92D050"/>
              <w:bottom w:val="single" w:sz="4" w:space="0" w:color="92D050"/>
              <w:right w:val="single" w:sz="4" w:space="0" w:color="92D050"/>
            </w:tcBorders>
            <w:shd w:val="clear" w:color="000000" w:fill="70AD47"/>
            <w:vAlign w:val="center"/>
            <w:hideMark/>
          </w:tcPr>
          <w:p w14:paraId="2DED06B2" w14:textId="1DAFA34D" w:rsidR="00FC0013" w:rsidRPr="007B50DE" w:rsidRDefault="00FC0013" w:rsidP="007B50DE">
            <w:pPr>
              <w:jc w:val="center"/>
              <w:rPr>
                <w:b/>
                <w:bCs/>
                <w:lang w:eastAsia="es-MX"/>
              </w:rPr>
            </w:pPr>
            <w:r w:rsidRPr="007B50DE">
              <w:rPr>
                <w:b/>
                <w:bCs/>
                <w:lang w:eastAsia="es-MX"/>
              </w:rPr>
              <w:t>Temas</w:t>
            </w:r>
          </w:p>
        </w:tc>
        <w:tc>
          <w:tcPr>
            <w:tcW w:w="3552" w:type="dxa"/>
            <w:tcBorders>
              <w:top w:val="single" w:sz="4" w:space="0" w:color="92D050"/>
              <w:left w:val="single" w:sz="4" w:space="0" w:color="92D050"/>
              <w:bottom w:val="single" w:sz="4" w:space="0" w:color="92D050"/>
              <w:right w:val="single" w:sz="4" w:space="0" w:color="92D050"/>
            </w:tcBorders>
            <w:shd w:val="clear" w:color="000000" w:fill="70AD47"/>
            <w:vAlign w:val="center"/>
            <w:hideMark/>
          </w:tcPr>
          <w:p w14:paraId="7926B46D" w14:textId="048DDA39" w:rsidR="00FC0013" w:rsidRPr="007B50DE" w:rsidRDefault="00FC0013" w:rsidP="007B50DE">
            <w:pPr>
              <w:jc w:val="center"/>
              <w:rPr>
                <w:b/>
                <w:bCs/>
                <w:lang w:eastAsia="es-MX"/>
              </w:rPr>
            </w:pPr>
            <w:r w:rsidRPr="007B50DE">
              <w:rPr>
                <w:b/>
                <w:bCs/>
                <w:lang w:eastAsia="es-MX"/>
              </w:rPr>
              <w:t xml:space="preserve">Número </w:t>
            </w:r>
            <w:r w:rsidR="006D204F" w:rsidRPr="007B50DE">
              <w:rPr>
                <w:b/>
                <w:bCs/>
                <w:lang w:eastAsia="es-MX"/>
              </w:rPr>
              <w:t>participantes</w:t>
            </w:r>
          </w:p>
        </w:tc>
      </w:tr>
      <w:tr w:rsidR="000A2A0A" w:rsidRPr="00414E1B" w14:paraId="5891BBB6" w14:textId="77777777" w:rsidTr="005A16FA">
        <w:trPr>
          <w:trHeight w:val="290"/>
          <w:tblHeader/>
          <w:jc w:val="center"/>
        </w:trPr>
        <w:tc>
          <w:tcPr>
            <w:tcW w:w="508" w:type="dxa"/>
            <w:tcBorders>
              <w:top w:val="single" w:sz="4" w:space="0" w:color="92D050"/>
              <w:left w:val="single" w:sz="4" w:space="0" w:color="70AD47"/>
              <w:bottom w:val="single" w:sz="4" w:space="0" w:color="92D050"/>
              <w:right w:val="single" w:sz="4" w:space="0" w:color="92D050"/>
            </w:tcBorders>
            <w:shd w:val="clear" w:color="auto" w:fill="auto"/>
            <w:noWrap/>
            <w:vAlign w:val="center"/>
          </w:tcPr>
          <w:p w14:paraId="26C2BDFA" w14:textId="69DB0849" w:rsidR="000A2A0A" w:rsidRPr="00414E1B" w:rsidRDefault="000A2A0A" w:rsidP="007B50DE">
            <w:pPr>
              <w:rPr>
                <w:b/>
                <w:bCs/>
                <w:color w:val="000000"/>
                <w:lang w:eastAsia="es-MX"/>
              </w:rPr>
            </w:pPr>
            <w:r>
              <w:rPr>
                <w:b/>
                <w:bCs/>
                <w:color w:val="000000"/>
                <w:lang w:eastAsia="es-MX"/>
              </w:rPr>
              <w:t>1</w:t>
            </w:r>
          </w:p>
        </w:tc>
        <w:tc>
          <w:tcPr>
            <w:tcW w:w="3623" w:type="dxa"/>
            <w:tcBorders>
              <w:top w:val="single" w:sz="4" w:space="0" w:color="92D050"/>
              <w:left w:val="single" w:sz="4" w:space="0" w:color="92D050"/>
              <w:bottom w:val="single" w:sz="4" w:space="0" w:color="92D050"/>
              <w:right w:val="single" w:sz="4" w:space="0" w:color="70AD47"/>
            </w:tcBorders>
            <w:shd w:val="clear" w:color="auto" w:fill="auto"/>
            <w:noWrap/>
            <w:vAlign w:val="center"/>
          </w:tcPr>
          <w:p w14:paraId="17FEE3A2" w14:textId="2DC4D295" w:rsidR="000A2A0A" w:rsidRPr="00414E1B" w:rsidRDefault="000A2A0A" w:rsidP="007B50DE">
            <w:pPr>
              <w:rPr>
                <w:color w:val="000000"/>
                <w:lang w:eastAsia="es-MX"/>
              </w:rPr>
            </w:pPr>
            <w:r>
              <w:rPr>
                <w:color w:val="000000"/>
                <w:lang w:eastAsia="es-MX"/>
              </w:rPr>
              <w:t>Planteamientos generales</w:t>
            </w:r>
          </w:p>
        </w:tc>
        <w:tc>
          <w:tcPr>
            <w:tcW w:w="3552" w:type="dxa"/>
            <w:tcBorders>
              <w:top w:val="single" w:sz="4" w:space="0" w:color="92D050"/>
              <w:left w:val="nil"/>
              <w:bottom w:val="single" w:sz="4" w:space="0" w:color="92D050"/>
              <w:right w:val="single" w:sz="4" w:space="0" w:color="70AD47"/>
            </w:tcBorders>
            <w:shd w:val="clear" w:color="auto" w:fill="auto"/>
            <w:noWrap/>
            <w:vAlign w:val="center"/>
          </w:tcPr>
          <w:p w14:paraId="286F8017" w14:textId="1E3D5BFA" w:rsidR="000A2A0A" w:rsidRDefault="000A2A0A" w:rsidP="007B50DE">
            <w:pPr>
              <w:jc w:val="center"/>
              <w:rPr>
                <w:color w:val="000000"/>
                <w:lang w:eastAsia="es-MX"/>
              </w:rPr>
            </w:pPr>
            <w:r>
              <w:rPr>
                <w:color w:val="000000"/>
                <w:lang w:eastAsia="es-MX"/>
              </w:rPr>
              <w:t>6</w:t>
            </w:r>
          </w:p>
        </w:tc>
      </w:tr>
      <w:tr w:rsidR="00FC0013" w:rsidRPr="00414E1B" w14:paraId="1E53D9BB" w14:textId="77777777" w:rsidTr="00BE4AFF">
        <w:trPr>
          <w:trHeight w:val="290"/>
          <w:tblHeader/>
          <w:jc w:val="center"/>
        </w:trPr>
        <w:tc>
          <w:tcPr>
            <w:tcW w:w="508" w:type="dxa"/>
            <w:tcBorders>
              <w:top w:val="single" w:sz="4" w:space="0" w:color="92D050"/>
              <w:left w:val="single" w:sz="4" w:space="0" w:color="70AD47"/>
              <w:bottom w:val="single" w:sz="4" w:space="0" w:color="70AD47"/>
              <w:right w:val="single" w:sz="4" w:space="0" w:color="70AD47"/>
            </w:tcBorders>
            <w:shd w:val="clear" w:color="000000" w:fill="E2EFDA"/>
            <w:noWrap/>
            <w:vAlign w:val="center"/>
            <w:hideMark/>
          </w:tcPr>
          <w:p w14:paraId="4B741958" w14:textId="0E3756E5" w:rsidR="00FC0013" w:rsidRPr="00414E1B" w:rsidRDefault="006D204F" w:rsidP="007B50DE">
            <w:pPr>
              <w:rPr>
                <w:b/>
                <w:bCs/>
                <w:color w:val="000000"/>
                <w:lang w:eastAsia="es-MX"/>
              </w:rPr>
            </w:pPr>
            <w:r>
              <w:rPr>
                <w:b/>
                <w:bCs/>
                <w:color w:val="000000"/>
                <w:lang w:eastAsia="es-MX"/>
              </w:rPr>
              <w:t>2</w:t>
            </w:r>
          </w:p>
        </w:tc>
        <w:tc>
          <w:tcPr>
            <w:tcW w:w="3623" w:type="dxa"/>
            <w:tcBorders>
              <w:top w:val="single" w:sz="4" w:space="0" w:color="92D050"/>
              <w:left w:val="nil"/>
              <w:bottom w:val="single" w:sz="4" w:space="0" w:color="70AD47"/>
              <w:right w:val="single" w:sz="4" w:space="0" w:color="70AD47"/>
            </w:tcBorders>
            <w:shd w:val="clear" w:color="000000" w:fill="E2EFDA"/>
            <w:noWrap/>
            <w:vAlign w:val="center"/>
          </w:tcPr>
          <w:p w14:paraId="3FFD19CA" w14:textId="3FDE6059" w:rsidR="00FC0013" w:rsidRPr="00414E1B" w:rsidRDefault="00FC0013" w:rsidP="007B50DE">
            <w:pPr>
              <w:rPr>
                <w:color w:val="000000"/>
                <w:lang w:eastAsia="es-MX"/>
              </w:rPr>
            </w:pPr>
            <w:r w:rsidRPr="00414E1B">
              <w:rPr>
                <w:color w:val="000000"/>
                <w:lang w:eastAsia="es-MX"/>
              </w:rPr>
              <w:t xml:space="preserve">Servicio móvil </w:t>
            </w:r>
          </w:p>
        </w:tc>
        <w:tc>
          <w:tcPr>
            <w:tcW w:w="3552" w:type="dxa"/>
            <w:tcBorders>
              <w:top w:val="single" w:sz="4" w:space="0" w:color="92D050"/>
              <w:left w:val="nil"/>
              <w:bottom w:val="single" w:sz="4" w:space="0" w:color="70AD47"/>
              <w:right w:val="single" w:sz="4" w:space="0" w:color="70AD47"/>
            </w:tcBorders>
            <w:shd w:val="clear" w:color="000000" w:fill="E2EFDA"/>
            <w:noWrap/>
            <w:vAlign w:val="center"/>
          </w:tcPr>
          <w:p w14:paraId="6BD32589" w14:textId="02895012" w:rsidR="00FC0013" w:rsidRPr="00414E1B" w:rsidRDefault="00B03459" w:rsidP="007B50DE">
            <w:pPr>
              <w:jc w:val="center"/>
              <w:rPr>
                <w:color w:val="000000"/>
                <w:lang w:eastAsia="es-MX"/>
              </w:rPr>
            </w:pPr>
            <w:r>
              <w:rPr>
                <w:color w:val="000000"/>
                <w:lang w:eastAsia="es-MX"/>
              </w:rPr>
              <w:t>5</w:t>
            </w:r>
          </w:p>
        </w:tc>
      </w:tr>
      <w:tr w:rsidR="00FC0013" w:rsidRPr="00414E1B" w14:paraId="5A489084" w14:textId="77777777" w:rsidTr="000A2A0A">
        <w:trPr>
          <w:trHeight w:val="290"/>
          <w:tblHeader/>
          <w:jc w:val="center"/>
        </w:trPr>
        <w:tc>
          <w:tcPr>
            <w:tcW w:w="508" w:type="dxa"/>
            <w:tcBorders>
              <w:top w:val="nil"/>
              <w:left w:val="single" w:sz="4" w:space="0" w:color="70AD47"/>
              <w:bottom w:val="single" w:sz="4" w:space="0" w:color="70AD47"/>
              <w:right w:val="single" w:sz="4" w:space="0" w:color="70AD47"/>
            </w:tcBorders>
            <w:shd w:val="clear" w:color="auto" w:fill="auto"/>
            <w:noWrap/>
            <w:vAlign w:val="center"/>
            <w:hideMark/>
          </w:tcPr>
          <w:p w14:paraId="11D49036" w14:textId="22CF16CA" w:rsidR="00FC0013" w:rsidRPr="00414E1B" w:rsidRDefault="006D204F" w:rsidP="007B50DE">
            <w:pPr>
              <w:rPr>
                <w:b/>
                <w:bCs/>
                <w:color w:val="000000"/>
                <w:lang w:eastAsia="es-MX"/>
              </w:rPr>
            </w:pPr>
            <w:r>
              <w:rPr>
                <w:b/>
                <w:bCs/>
                <w:color w:val="000000"/>
                <w:lang w:eastAsia="es-MX"/>
              </w:rPr>
              <w:t>3</w:t>
            </w:r>
          </w:p>
        </w:tc>
        <w:tc>
          <w:tcPr>
            <w:tcW w:w="3623" w:type="dxa"/>
            <w:tcBorders>
              <w:top w:val="nil"/>
              <w:left w:val="nil"/>
              <w:bottom w:val="single" w:sz="4" w:space="0" w:color="70AD47"/>
              <w:right w:val="single" w:sz="4" w:space="0" w:color="70AD47"/>
            </w:tcBorders>
            <w:shd w:val="clear" w:color="auto" w:fill="auto"/>
            <w:noWrap/>
            <w:vAlign w:val="center"/>
          </w:tcPr>
          <w:p w14:paraId="22AD20B7" w14:textId="612F6208" w:rsidR="00FC0013" w:rsidRPr="00414E1B" w:rsidRDefault="000A2A0A" w:rsidP="007B50DE">
            <w:pPr>
              <w:rPr>
                <w:color w:val="000000"/>
                <w:lang w:eastAsia="es-MX"/>
              </w:rPr>
            </w:pPr>
            <w:r>
              <w:rPr>
                <w:color w:val="000000"/>
                <w:lang w:eastAsia="es-MX"/>
              </w:rPr>
              <w:t>Compartición de infraestructura</w:t>
            </w:r>
            <w:r w:rsidR="00FC0013" w:rsidRPr="00414E1B">
              <w:rPr>
                <w:color w:val="000000"/>
                <w:lang w:eastAsia="es-MX"/>
              </w:rPr>
              <w:t xml:space="preserve"> </w:t>
            </w:r>
          </w:p>
        </w:tc>
        <w:tc>
          <w:tcPr>
            <w:tcW w:w="3552" w:type="dxa"/>
            <w:tcBorders>
              <w:top w:val="nil"/>
              <w:left w:val="nil"/>
              <w:bottom w:val="single" w:sz="4" w:space="0" w:color="70AD47"/>
              <w:right w:val="single" w:sz="4" w:space="0" w:color="70AD47"/>
            </w:tcBorders>
            <w:shd w:val="clear" w:color="auto" w:fill="auto"/>
            <w:noWrap/>
            <w:vAlign w:val="center"/>
          </w:tcPr>
          <w:p w14:paraId="66CCCFB0" w14:textId="09301FE6" w:rsidR="00FC0013" w:rsidRPr="00414E1B" w:rsidRDefault="000A2A0A" w:rsidP="007B50DE">
            <w:pPr>
              <w:jc w:val="center"/>
              <w:rPr>
                <w:color w:val="000000"/>
                <w:lang w:eastAsia="es-MX"/>
              </w:rPr>
            </w:pPr>
            <w:r>
              <w:rPr>
                <w:color w:val="000000"/>
                <w:lang w:eastAsia="es-MX"/>
              </w:rPr>
              <w:t>5</w:t>
            </w:r>
          </w:p>
        </w:tc>
      </w:tr>
      <w:tr w:rsidR="00FC0013" w:rsidRPr="00414E1B" w14:paraId="774A792C" w14:textId="77777777" w:rsidTr="005A16FA">
        <w:trPr>
          <w:trHeight w:val="290"/>
          <w:tblHeader/>
          <w:jc w:val="center"/>
        </w:trPr>
        <w:tc>
          <w:tcPr>
            <w:tcW w:w="508" w:type="dxa"/>
            <w:tcBorders>
              <w:top w:val="single" w:sz="4" w:space="0" w:color="92D050"/>
              <w:left w:val="single" w:sz="4" w:space="0" w:color="70AD47"/>
              <w:bottom w:val="single" w:sz="4" w:space="0" w:color="70AD47"/>
              <w:right w:val="single" w:sz="4" w:space="0" w:color="70AD47"/>
            </w:tcBorders>
            <w:shd w:val="clear" w:color="000000" w:fill="E2EFDA"/>
            <w:noWrap/>
            <w:vAlign w:val="center"/>
            <w:hideMark/>
          </w:tcPr>
          <w:p w14:paraId="2CDD0247" w14:textId="7D225F92" w:rsidR="00FC0013" w:rsidRPr="00414E1B" w:rsidRDefault="006D204F" w:rsidP="007B50DE">
            <w:pPr>
              <w:rPr>
                <w:b/>
                <w:bCs/>
                <w:color w:val="000000"/>
                <w:lang w:eastAsia="es-MX"/>
              </w:rPr>
            </w:pPr>
            <w:r>
              <w:rPr>
                <w:b/>
                <w:bCs/>
                <w:color w:val="000000"/>
                <w:lang w:eastAsia="es-MX"/>
              </w:rPr>
              <w:t>4</w:t>
            </w:r>
          </w:p>
        </w:tc>
        <w:tc>
          <w:tcPr>
            <w:tcW w:w="3623" w:type="dxa"/>
            <w:tcBorders>
              <w:top w:val="single" w:sz="4" w:space="0" w:color="92D050"/>
              <w:left w:val="nil"/>
              <w:bottom w:val="single" w:sz="4" w:space="0" w:color="70AD47"/>
              <w:right w:val="single" w:sz="4" w:space="0" w:color="70AD47"/>
            </w:tcBorders>
            <w:shd w:val="clear" w:color="000000" w:fill="E2EFDA"/>
            <w:noWrap/>
            <w:vAlign w:val="center"/>
          </w:tcPr>
          <w:p w14:paraId="35AD2DF8" w14:textId="3BA6217D" w:rsidR="00FC0013" w:rsidRPr="00414E1B" w:rsidRDefault="00FC0013" w:rsidP="007B50DE">
            <w:pPr>
              <w:rPr>
                <w:color w:val="000000"/>
                <w:lang w:eastAsia="es-MX"/>
              </w:rPr>
            </w:pPr>
            <w:r w:rsidRPr="00414E1B">
              <w:rPr>
                <w:color w:val="000000"/>
                <w:lang w:eastAsia="es-MX"/>
              </w:rPr>
              <w:t xml:space="preserve">Desagregación </w:t>
            </w:r>
          </w:p>
        </w:tc>
        <w:tc>
          <w:tcPr>
            <w:tcW w:w="3552" w:type="dxa"/>
            <w:tcBorders>
              <w:top w:val="single" w:sz="4" w:space="0" w:color="92D050"/>
              <w:left w:val="nil"/>
              <w:bottom w:val="single" w:sz="4" w:space="0" w:color="70AD47"/>
              <w:right w:val="single" w:sz="4" w:space="0" w:color="70AD47"/>
            </w:tcBorders>
            <w:shd w:val="clear" w:color="000000" w:fill="E2EFDA"/>
            <w:noWrap/>
            <w:vAlign w:val="center"/>
          </w:tcPr>
          <w:p w14:paraId="4FC94435" w14:textId="5604F10C" w:rsidR="00FC0013" w:rsidRPr="00414E1B" w:rsidRDefault="000A2A0A" w:rsidP="007B50DE">
            <w:pPr>
              <w:jc w:val="center"/>
              <w:rPr>
                <w:color w:val="000000"/>
                <w:lang w:eastAsia="es-MX"/>
              </w:rPr>
            </w:pPr>
            <w:r>
              <w:rPr>
                <w:color w:val="000000"/>
                <w:lang w:eastAsia="es-MX"/>
              </w:rPr>
              <w:t>5</w:t>
            </w:r>
          </w:p>
        </w:tc>
      </w:tr>
      <w:tr w:rsidR="00FC0013" w:rsidRPr="00414E1B" w14:paraId="0EEF8CE8" w14:textId="77777777" w:rsidTr="000A2A0A">
        <w:trPr>
          <w:trHeight w:val="290"/>
          <w:tblHeader/>
          <w:jc w:val="center"/>
        </w:trPr>
        <w:tc>
          <w:tcPr>
            <w:tcW w:w="508" w:type="dxa"/>
            <w:tcBorders>
              <w:top w:val="nil"/>
              <w:left w:val="single" w:sz="4" w:space="0" w:color="70AD47"/>
              <w:bottom w:val="single" w:sz="4" w:space="0" w:color="70AD47"/>
              <w:right w:val="single" w:sz="4" w:space="0" w:color="70AD47"/>
            </w:tcBorders>
            <w:shd w:val="clear" w:color="auto" w:fill="auto"/>
            <w:noWrap/>
            <w:vAlign w:val="center"/>
            <w:hideMark/>
          </w:tcPr>
          <w:p w14:paraId="7F17779B" w14:textId="272A5A8C" w:rsidR="00FC0013" w:rsidRPr="00414E1B" w:rsidRDefault="006D204F" w:rsidP="007B50DE">
            <w:pPr>
              <w:rPr>
                <w:b/>
                <w:bCs/>
                <w:color w:val="000000"/>
                <w:lang w:eastAsia="es-MX"/>
              </w:rPr>
            </w:pPr>
            <w:r>
              <w:rPr>
                <w:b/>
                <w:bCs/>
                <w:color w:val="000000"/>
                <w:lang w:eastAsia="es-MX"/>
              </w:rPr>
              <w:t>5</w:t>
            </w:r>
          </w:p>
        </w:tc>
        <w:tc>
          <w:tcPr>
            <w:tcW w:w="3623" w:type="dxa"/>
            <w:tcBorders>
              <w:top w:val="nil"/>
              <w:left w:val="nil"/>
              <w:bottom w:val="single" w:sz="4" w:space="0" w:color="70AD47"/>
              <w:right w:val="single" w:sz="4" w:space="0" w:color="70AD47"/>
            </w:tcBorders>
            <w:shd w:val="clear" w:color="auto" w:fill="auto"/>
            <w:noWrap/>
            <w:vAlign w:val="center"/>
          </w:tcPr>
          <w:p w14:paraId="4254616E" w14:textId="061F7C23" w:rsidR="00FC0013" w:rsidRPr="00414E1B" w:rsidRDefault="00FC0013" w:rsidP="007B50DE">
            <w:pPr>
              <w:rPr>
                <w:color w:val="000000"/>
                <w:lang w:eastAsia="es-MX"/>
              </w:rPr>
            </w:pPr>
            <w:r w:rsidRPr="00414E1B">
              <w:rPr>
                <w:color w:val="000000"/>
                <w:lang w:eastAsia="es-MX"/>
              </w:rPr>
              <w:t>Enlace</w:t>
            </w:r>
            <w:r w:rsidR="00884460">
              <w:rPr>
                <w:color w:val="000000"/>
                <w:lang w:eastAsia="es-MX"/>
              </w:rPr>
              <w:t>s</w:t>
            </w:r>
            <w:r w:rsidR="00B03459">
              <w:rPr>
                <w:color w:val="000000"/>
                <w:lang w:eastAsia="es-MX"/>
              </w:rPr>
              <w:t xml:space="preserve"> </w:t>
            </w:r>
            <w:r w:rsidR="000A2A0A">
              <w:rPr>
                <w:color w:val="000000"/>
                <w:lang w:eastAsia="es-MX"/>
              </w:rPr>
              <w:t>d</w:t>
            </w:r>
            <w:r w:rsidR="00B03459">
              <w:rPr>
                <w:color w:val="000000"/>
                <w:lang w:eastAsia="es-MX"/>
              </w:rPr>
              <w:t>edicados</w:t>
            </w:r>
          </w:p>
        </w:tc>
        <w:tc>
          <w:tcPr>
            <w:tcW w:w="3552" w:type="dxa"/>
            <w:tcBorders>
              <w:top w:val="nil"/>
              <w:left w:val="nil"/>
              <w:bottom w:val="single" w:sz="4" w:space="0" w:color="70AD47"/>
              <w:right w:val="single" w:sz="4" w:space="0" w:color="70AD47"/>
            </w:tcBorders>
            <w:shd w:val="clear" w:color="auto" w:fill="auto"/>
            <w:noWrap/>
            <w:vAlign w:val="center"/>
          </w:tcPr>
          <w:p w14:paraId="3A2A96FF" w14:textId="0C775F60" w:rsidR="00FC0013" w:rsidRPr="00414E1B" w:rsidRDefault="00BD2B9E" w:rsidP="007B50DE">
            <w:pPr>
              <w:jc w:val="center"/>
              <w:rPr>
                <w:color w:val="000000"/>
                <w:lang w:eastAsia="es-MX"/>
              </w:rPr>
            </w:pPr>
            <w:r w:rsidRPr="00414E1B">
              <w:rPr>
                <w:color w:val="000000"/>
                <w:lang w:eastAsia="es-MX"/>
              </w:rPr>
              <w:t>4</w:t>
            </w:r>
          </w:p>
        </w:tc>
      </w:tr>
      <w:tr w:rsidR="00FC0013" w:rsidRPr="00414E1B" w14:paraId="25490B8D" w14:textId="77777777" w:rsidTr="000A2A0A">
        <w:trPr>
          <w:trHeight w:val="290"/>
          <w:tblHeader/>
          <w:jc w:val="center"/>
        </w:trPr>
        <w:tc>
          <w:tcPr>
            <w:tcW w:w="508" w:type="dxa"/>
            <w:tcBorders>
              <w:top w:val="nil"/>
              <w:left w:val="single" w:sz="4" w:space="0" w:color="70AD47"/>
              <w:bottom w:val="single" w:sz="4" w:space="0" w:color="70AD47"/>
              <w:right w:val="single" w:sz="4" w:space="0" w:color="70AD47"/>
            </w:tcBorders>
            <w:shd w:val="clear" w:color="000000" w:fill="E2EFDA"/>
            <w:noWrap/>
            <w:vAlign w:val="center"/>
            <w:hideMark/>
          </w:tcPr>
          <w:p w14:paraId="16FD52B6" w14:textId="2191ACC5" w:rsidR="00FC0013" w:rsidRPr="00414E1B" w:rsidRDefault="006D204F" w:rsidP="007B50DE">
            <w:pPr>
              <w:rPr>
                <w:b/>
                <w:bCs/>
                <w:color w:val="000000"/>
                <w:lang w:eastAsia="es-MX"/>
              </w:rPr>
            </w:pPr>
            <w:r>
              <w:rPr>
                <w:b/>
                <w:bCs/>
                <w:color w:val="000000"/>
                <w:lang w:eastAsia="es-MX"/>
              </w:rPr>
              <w:t>6</w:t>
            </w:r>
          </w:p>
        </w:tc>
        <w:tc>
          <w:tcPr>
            <w:tcW w:w="3623" w:type="dxa"/>
            <w:tcBorders>
              <w:top w:val="nil"/>
              <w:left w:val="nil"/>
              <w:bottom w:val="single" w:sz="4" w:space="0" w:color="70AD47"/>
              <w:right w:val="single" w:sz="4" w:space="0" w:color="70AD47"/>
            </w:tcBorders>
            <w:shd w:val="clear" w:color="000000" w:fill="E2EFDA"/>
            <w:noWrap/>
            <w:vAlign w:val="center"/>
          </w:tcPr>
          <w:p w14:paraId="0F5ACCF6" w14:textId="6F5F917F" w:rsidR="00FC0013" w:rsidRPr="00414E1B" w:rsidRDefault="00FC0013" w:rsidP="007B50DE">
            <w:pPr>
              <w:rPr>
                <w:color w:val="000000"/>
                <w:lang w:eastAsia="es-MX"/>
              </w:rPr>
            </w:pPr>
            <w:r w:rsidRPr="00414E1B">
              <w:rPr>
                <w:color w:val="000000"/>
                <w:lang w:eastAsia="es-MX"/>
              </w:rPr>
              <w:t xml:space="preserve">Trabajos especiales </w:t>
            </w:r>
          </w:p>
        </w:tc>
        <w:tc>
          <w:tcPr>
            <w:tcW w:w="3552" w:type="dxa"/>
            <w:tcBorders>
              <w:top w:val="nil"/>
              <w:left w:val="nil"/>
              <w:bottom w:val="single" w:sz="4" w:space="0" w:color="70AD47"/>
              <w:right w:val="single" w:sz="4" w:space="0" w:color="70AD47"/>
            </w:tcBorders>
            <w:shd w:val="clear" w:color="000000" w:fill="E2EFDA"/>
            <w:noWrap/>
            <w:vAlign w:val="center"/>
          </w:tcPr>
          <w:p w14:paraId="2975BFBA" w14:textId="5F7F3913" w:rsidR="00FC0013" w:rsidRPr="00414E1B" w:rsidRDefault="000A2A0A" w:rsidP="007B50DE">
            <w:pPr>
              <w:jc w:val="center"/>
              <w:rPr>
                <w:color w:val="000000"/>
                <w:lang w:val="en-US" w:eastAsia="es-MX"/>
              </w:rPr>
            </w:pPr>
            <w:r>
              <w:rPr>
                <w:color w:val="000000"/>
                <w:lang w:val="en-US" w:eastAsia="es-MX"/>
              </w:rPr>
              <w:t>6</w:t>
            </w:r>
          </w:p>
        </w:tc>
      </w:tr>
    </w:tbl>
    <w:p w14:paraId="7D164561" w14:textId="39F2C158" w:rsidR="00FC0013" w:rsidRPr="00414E1B" w:rsidRDefault="00FC0013" w:rsidP="006F2AB8">
      <w:pPr>
        <w:spacing w:line="240" w:lineRule="auto"/>
        <w:jc w:val="both"/>
        <w:rPr>
          <w:rFonts w:cs="Arial"/>
        </w:rPr>
      </w:pPr>
    </w:p>
    <w:p w14:paraId="6C648F2F" w14:textId="4AC9DB7F" w:rsidR="005137DC" w:rsidRDefault="005137DC" w:rsidP="006424BF">
      <w:pPr>
        <w:pStyle w:val="NormalDGDTR"/>
      </w:pPr>
      <w:r>
        <w:t>Asimismo, se realizó un análisis desde la perspectiva jurídica</w:t>
      </w:r>
      <w:r w:rsidR="00B03459">
        <w:t xml:space="preserve"> y</w:t>
      </w:r>
      <w:r>
        <w:t xml:space="preserve"> técnica, con la finalidad de dar atención a todas las participaciones, considerando la problemática a resolver o prevenir, la razonabilidad y proporcionalidad de las alternativas de solución, así como </w:t>
      </w:r>
      <w:r w:rsidR="00B03459">
        <w:t xml:space="preserve">el </w:t>
      </w:r>
      <w:r>
        <w:t>análisis del contexto de la experiencia internacional e información con la que se cuenta, atendiendo a la realidad nacional.</w:t>
      </w:r>
    </w:p>
    <w:p w14:paraId="738FB011" w14:textId="7661CA31" w:rsidR="002468AF" w:rsidRPr="00864624" w:rsidRDefault="002165B8" w:rsidP="006424BF">
      <w:pPr>
        <w:pStyle w:val="NormalDGDTR"/>
      </w:pPr>
      <w:r w:rsidRPr="00414E1B">
        <w:t xml:space="preserve">Por </w:t>
      </w:r>
      <w:r w:rsidR="00E821DC" w:rsidRPr="00414E1B">
        <w:t>cuanto</w:t>
      </w:r>
      <w:r w:rsidRPr="00414E1B">
        <w:t xml:space="preserve"> a los comentarios expresados por los participantes, en cada sección se responde a los diversos planteamientos aportados relativos a la propuesta </w:t>
      </w:r>
      <w:r w:rsidR="00CC5420">
        <w:t xml:space="preserve">de Alternativas de actualización de </w:t>
      </w:r>
      <w:r w:rsidDel="00CC5420">
        <w:t>ICD</w:t>
      </w:r>
      <w:r w:rsidRPr="00414E1B">
        <w:t xml:space="preserve"> </w:t>
      </w:r>
      <w:r w:rsidR="00CC5420" w:rsidRPr="00414E1B">
        <w:t>formulados</w:t>
      </w:r>
      <w:r w:rsidR="00E821DC" w:rsidRPr="00414E1B">
        <w:t xml:space="preserve"> </w:t>
      </w:r>
      <w:r w:rsidRPr="00414E1B">
        <w:t>para los distintos servicios mayoristas</w:t>
      </w:r>
      <w:r w:rsidR="00C7071C" w:rsidRPr="00414E1B">
        <w:t xml:space="preserve"> regulados (en lo sucesivo, </w:t>
      </w:r>
      <w:r w:rsidR="00C7071C" w:rsidRPr="00414E1B">
        <w:rPr>
          <w:b/>
        </w:rPr>
        <w:t>“SMR”</w:t>
      </w:r>
      <w:r w:rsidR="00C7071C" w:rsidRPr="00414E1B">
        <w:t xml:space="preserve">) provistos por el agente económico </w:t>
      </w:r>
      <w:r w:rsidR="00C7071C" w:rsidRPr="00414E1B">
        <w:lastRenderedPageBreak/>
        <w:t xml:space="preserve">preponderante y demás sujetos obligados (en conjunto y en lo sucesivo, </w:t>
      </w:r>
      <w:r w:rsidR="00C7071C" w:rsidRPr="00414E1B">
        <w:rPr>
          <w:b/>
        </w:rPr>
        <w:t>“AEP</w:t>
      </w:r>
      <w:r w:rsidR="002C5B7C" w:rsidRPr="00414E1B">
        <w:rPr>
          <w:b/>
        </w:rPr>
        <w:t>T</w:t>
      </w:r>
      <w:r w:rsidR="00C7071C" w:rsidRPr="00414E1B">
        <w:rPr>
          <w:b/>
        </w:rPr>
        <w:t>”</w:t>
      </w:r>
      <w:r w:rsidR="00C7071C" w:rsidRPr="00414E1B">
        <w:t>)</w:t>
      </w:r>
      <w:r w:rsidRPr="00414E1B">
        <w:t xml:space="preserve">, los cuales fueron valorados considerando el alcance de la </w:t>
      </w:r>
      <w:r w:rsidR="000A4005">
        <w:t>c</w:t>
      </w:r>
      <w:r w:rsidRPr="00414E1B">
        <w:t xml:space="preserve">onsulta </w:t>
      </w:r>
      <w:r w:rsidR="000A4005">
        <w:t>p</w:t>
      </w:r>
      <w:r w:rsidRPr="00414E1B">
        <w:t>ública</w:t>
      </w:r>
      <w:r w:rsidR="00CE5314" w:rsidRPr="00414E1B">
        <w:t>.</w:t>
      </w:r>
    </w:p>
    <w:p w14:paraId="68CBF0A5" w14:textId="31938D1E" w:rsidR="00D51C1B" w:rsidRPr="00864624" w:rsidRDefault="002468AF" w:rsidP="00D51C1B">
      <w:pPr>
        <w:pStyle w:val="Ttulo2"/>
        <w:rPr>
          <w:b/>
          <w:bCs/>
        </w:rPr>
      </w:pPr>
      <w:r w:rsidRPr="007972CC">
        <w:rPr>
          <w:b/>
          <w:bCs/>
        </w:rPr>
        <w:t xml:space="preserve">Planteamientos </w:t>
      </w:r>
      <w:r w:rsidR="000A2A0A" w:rsidRPr="007972CC">
        <w:rPr>
          <w:b/>
          <w:bCs/>
        </w:rPr>
        <w:t>g</w:t>
      </w:r>
      <w:r w:rsidRPr="007972CC">
        <w:rPr>
          <w:b/>
          <w:bCs/>
        </w:rPr>
        <w:t>enerales</w:t>
      </w:r>
    </w:p>
    <w:p w14:paraId="67D0DE1F" w14:textId="558ACF78" w:rsidR="002468AF" w:rsidRPr="007972CC" w:rsidRDefault="002468AF" w:rsidP="00D4300C">
      <w:pPr>
        <w:pStyle w:val="Ttulo3"/>
      </w:pPr>
      <w:r w:rsidRPr="007972CC">
        <w:t>Entrega de información de los ICD</w:t>
      </w:r>
    </w:p>
    <w:p w14:paraId="6571825A" w14:textId="77777777" w:rsidR="002468AF" w:rsidRPr="00E46F66" w:rsidRDefault="002468AF" w:rsidP="00822B92">
      <w:pPr>
        <w:pStyle w:val="Prrafodelista"/>
        <w:numPr>
          <w:ilvl w:val="0"/>
          <w:numId w:val="8"/>
        </w:numPr>
        <w:ind w:left="426"/>
        <w:jc w:val="both"/>
        <w:rPr>
          <w:b/>
        </w:rPr>
      </w:pPr>
      <w:r w:rsidRPr="00B108A4">
        <w:t>Manifiesta</w:t>
      </w:r>
      <w:r w:rsidRPr="00E46F66">
        <w:t xml:space="preserve"> que, de presentarse poca frecuencia de ocurrencias para </w:t>
      </w:r>
      <w:r w:rsidRPr="00B108A4">
        <w:t>la realización de los reportes de manera trimestral, se considere la entre</w:t>
      </w:r>
      <w:r w:rsidRPr="00835215">
        <w:t>ga por parte del AEP</w:t>
      </w:r>
      <w:r w:rsidRPr="00C16E27">
        <w:t>T</w:t>
      </w:r>
      <w:r w:rsidRPr="00CD7BA5">
        <w:t xml:space="preserve"> de un acumulativo de solicitudes para tener una muestra representativa de manera trimestral o anual cuando aplique</w:t>
      </w:r>
      <w:r>
        <w:t xml:space="preserve"> </w:t>
      </w:r>
      <w:r w:rsidRPr="009869DA">
        <w:rPr>
          <w:rFonts w:cs="Arial"/>
          <w:b/>
          <w:bCs/>
          <w:iCs/>
          <w:color w:val="5B9BD5" w:themeColor="accent1"/>
        </w:rPr>
        <w:t>(</w:t>
      </w:r>
      <w:bookmarkStart w:id="2" w:name="_Hlk104316685"/>
      <w:r w:rsidRPr="009869DA">
        <w:rPr>
          <w:rFonts w:cs="Arial"/>
          <w:b/>
          <w:bCs/>
          <w:iCs/>
          <w:color w:val="5B9BD5" w:themeColor="accent1"/>
        </w:rPr>
        <w:t>Axtel</w:t>
      </w:r>
      <w:r>
        <w:rPr>
          <w:rFonts w:cs="Arial"/>
          <w:b/>
          <w:bCs/>
          <w:iCs/>
          <w:color w:val="5B9BD5" w:themeColor="accent1"/>
        </w:rPr>
        <w:t>)</w:t>
      </w:r>
      <w:r w:rsidRPr="00E46F66">
        <w:t xml:space="preserve">. </w:t>
      </w:r>
      <w:bookmarkEnd w:id="2"/>
    </w:p>
    <w:p w14:paraId="5121C051" w14:textId="77777777" w:rsidR="002468AF" w:rsidRPr="001223E6" w:rsidRDefault="002468AF" w:rsidP="00822B92">
      <w:pPr>
        <w:pStyle w:val="Prrafodelista"/>
        <w:numPr>
          <w:ilvl w:val="0"/>
          <w:numId w:val="8"/>
        </w:numPr>
        <w:ind w:left="426"/>
        <w:jc w:val="both"/>
        <w:rPr>
          <w:b/>
        </w:rPr>
      </w:pPr>
      <w:r>
        <w:t>S</w:t>
      </w:r>
      <w:r w:rsidRPr="00E46F66">
        <w:t>ugiere</w:t>
      </w:r>
      <w:r w:rsidRPr="00B108A4">
        <w:t xml:space="preserve"> diseñar </w:t>
      </w:r>
      <w:r>
        <w:t>ICD</w:t>
      </w:r>
      <w:r w:rsidRPr="00B108A4">
        <w:t xml:space="preserve"> que puedan tener una ocurrencia suficiente, o bien, considerar una prueba bi</w:t>
      </w:r>
      <w:r w:rsidRPr="00835215">
        <w:t>nomial para estadísti</w:t>
      </w:r>
      <w:r w:rsidRPr="00C16E27">
        <w:t>cos o índices con bajo nivel de ocurrencia, toda vez que, en los lineamientos actuales, el criterio utiliza</w:t>
      </w:r>
      <w:r w:rsidRPr="00CD7BA5">
        <w:t xml:space="preserve">do para optar por la prueba Z es el número de observaciones u ocurrencias necesarias para el cálculo del indicador establecidas </w:t>
      </w:r>
      <w:r w:rsidRPr="00E46F66">
        <w:t xml:space="preserve">en mínimo 30 </w:t>
      </w:r>
      <w:r w:rsidRPr="00E46F66">
        <w:rPr>
          <w:rFonts w:cs="Arial"/>
          <w:b/>
          <w:bCs/>
          <w:iCs/>
          <w:color w:val="5B9BD5" w:themeColor="accent1"/>
        </w:rPr>
        <w:t>(</w:t>
      </w:r>
      <w:bookmarkStart w:id="3" w:name="_Hlk104316689"/>
      <w:r w:rsidRPr="00E46F66">
        <w:rPr>
          <w:rFonts w:cs="Arial"/>
          <w:b/>
          <w:bCs/>
          <w:iCs/>
          <w:color w:val="5B9BD5" w:themeColor="accent1"/>
        </w:rPr>
        <w:t>CANIETI)</w:t>
      </w:r>
      <w:r w:rsidRPr="00E46F66">
        <w:t>.</w:t>
      </w:r>
      <w:bookmarkEnd w:id="3"/>
    </w:p>
    <w:p w14:paraId="05CAAF8C" w14:textId="77777777" w:rsidR="00201171" w:rsidRPr="00F93D36" w:rsidRDefault="00201171" w:rsidP="00201171">
      <w:pPr>
        <w:pStyle w:val="Prrafodelista"/>
        <w:numPr>
          <w:ilvl w:val="0"/>
          <w:numId w:val="8"/>
        </w:numPr>
        <w:tabs>
          <w:tab w:val="left" w:pos="567"/>
        </w:tabs>
        <w:ind w:left="426"/>
        <w:jc w:val="both"/>
      </w:pPr>
      <w:r w:rsidRPr="001223E6">
        <w:t>Plantean que el AEPT presente 4 conjuntos de resultados: los que cada CS experimenta y que sólo dicho CS recibirá, e</w:t>
      </w:r>
      <w:r w:rsidRPr="001223E6">
        <w:rPr>
          <w:rFonts w:cs="Arial"/>
        </w:rPr>
        <w:t xml:space="preserve">l agregado de la industria (todos los CS), que será público, los valores propios que el AEPT se da en auto-provisión, que será público y los valores minoristas para los clientes finales del AEPT </w:t>
      </w:r>
      <w:r w:rsidRPr="001223E6">
        <w:rPr>
          <w:rFonts w:cs="Arial"/>
          <w:b/>
          <w:bCs/>
          <w:iCs/>
          <w:color w:val="5B9BD5" w:themeColor="accent1"/>
        </w:rPr>
        <w:t xml:space="preserve">(CANIETI, </w:t>
      </w:r>
      <w:bookmarkStart w:id="4" w:name="_Hlk104316702"/>
      <w:r w:rsidRPr="001223E6">
        <w:rPr>
          <w:rFonts w:cs="Arial"/>
          <w:b/>
          <w:bCs/>
          <w:iCs/>
          <w:color w:val="5B9BD5" w:themeColor="accent1"/>
        </w:rPr>
        <w:t xml:space="preserve">GTVSA, Megacable </w:t>
      </w:r>
      <w:bookmarkEnd w:id="4"/>
      <w:r w:rsidRPr="001223E6">
        <w:rPr>
          <w:rFonts w:cs="Arial"/>
          <w:b/>
          <w:bCs/>
          <w:iCs/>
          <w:color w:val="5B9BD5" w:themeColor="accent1"/>
        </w:rPr>
        <w:t>y Telefónica)</w:t>
      </w:r>
      <w:r w:rsidRPr="001223E6">
        <w:rPr>
          <w:rFonts w:cs="Arial"/>
          <w:iCs/>
        </w:rPr>
        <w:t>.</w:t>
      </w:r>
      <w:r w:rsidRPr="00910F30">
        <w:rPr>
          <w:noProof/>
        </w:rPr>
        <w:t xml:space="preserve"> </w:t>
      </w:r>
    </w:p>
    <w:p w14:paraId="6E966F85" w14:textId="452659E9" w:rsidR="00201171" w:rsidRDefault="002468AF" w:rsidP="00822B92">
      <w:pPr>
        <w:pStyle w:val="Prrafodelista"/>
        <w:numPr>
          <w:ilvl w:val="0"/>
          <w:numId w:val="8"/>
        </w:numPr>
        <w:tabs>
          <w:tab w:val="left" w:pos="567"/>
        </w:tabs>
        <w:ind w:left="426"/>
        <w:jc w:val="both"/>
      </w:pPr>
      <w:r w:rsidRPr="008B2D4C">
        <w:t xml:space="preserve">Propone que la granularidad de la información sea semanal, para poder observar desviaciones o tendencias intra-periodo </w:t>
      </w:r>
      <w:r w:rsidRPr="00B108A4">
        <w:t>que puedan resultar en indicios de un potencial trato discriminatorio de carácter temporal</w:t>
      </w:r>
      <w:r w:rsidR="00201171">
        <w:t xml:space="preserve"> (</w:t>
      </w:r>
      <w:r w:rsidR="00201171" w:rsidRPr="001223E6">
        <w:rPr>
          <w:rFonts w:cs="Arial"/>
          <w:b/>
          <w:bCs/>
          <w:iCs/>
          <w:color w:val="5B9BD5" w:themeColor="accent1"/>
        </w:rPr>
        <w:t>CANIETI, GTVSA</w:t>
      </w:r>
      <w:r w:rsidR="00201171">
        <w:rPr>
          <w:rFonts w:cs="Arial"/>
          <w:b/>
          <w:bCs/>
          <w:iCs/>
          <w:color w:val="5B9BD5" w:themeColor="accent1"/>
        </w:rPr>
        <w:t xml:space="preserve"> y</w:t>
      </w:r>
      <w:r w:rsidR="00201171" w:rsidRPr="001223E6">
        <w:rPr>
          <w:rFonts w:cs="Arial"/>
          <w:b/>
          <w:bCs/>
          <w:iCs/>
          <w:color w:val="5B9BD5" w:themeColor="accent1"/>
        </w:rPr>
        <w:t xml:space="preserve"> Telefónica</w:t>
      </w:r>
      <w:r w:rsidR="00201171">
        <w:rPr>
          <w:rFonts w:cs="Arial"/>
          <w:b/>
          <w:bCs/>
          <w:iCs/>
          <w:color w:val="5B9BD5" w:themeColor="accent1"/>
        </w:rPr>
        <w:t>)</w:t>
      </w:r>
      <w:r>
        <w:t xml:space="preserve">. </w:t>
      </w:r>
    </w:p>
    <w:p w14:paraId="05FBB6C2" w14:textId="0084DFA6" w:rsidR="002468AF" w:rsidRPr="001223E6" w:rsidRDefault="00201171" w:rsidP="00822B92">
      <w:pPr>
        <w:pStyle w:val="Prrafodelista"/>
        <w:numPr>
          <w:ilvl w:val="0"/>
          <w:numId w:val="8"/>
        </w:numPr>
        <w:tabs>
          <w:tab w:val="left" w:pos="567"/>
        </w:tabs>
        <w:ind w:left="426"/>
        <w:jc w:val="both"/>
      </w:pPr>
      <w:r>
        <w:t>S</w:t>
      </w:r>
      <w:r w:rsidR="002468AF" w:rsidRPr="00E46F66">
        <w:t>olicita que la información tenga la periodicidad adecuada (no más de tres meses</w:t>
      </w:r>
      <w:r w:rsidR="002468AF">
        <w:t xml:space="preserve"> para la presentación de la información</w:t>
      </w:r>
      <w:r w:rsidR="002468AF" w:rsidRPr="00E46F66">
        <w:t xml:space="preserve">) </w:t>
      </w:r>
      <w:r w:rsidR="002468AF" w:rsidRPr="00E46F66">
        <w:rPr>
          <w:rFonts w:cs="Arial"/>
          <w:b/>
          <w:bCs/>
          <w:iCs/>
          <w:color w:val="5B9BD5" w:themeColor="accent1"/>
        </w:rPr>
        <w:t>(</w:t>
      </w:r>
      <w:bookmarkStart w:id="5" w:name="_Hlk104316694"/>
      <w:r w:rsidR="002468AF" w:rsidRPr="00E46F66">
        <w:rPr>
          <w:rFonts w:cs="Arial"/>
          <w:b/>
          <w:bCs/>
          <w:iCs/>
          <w:color w:val="5B9BD5" w:themeColor="accent1"/>
        </w:rPr>
        <w:t>T</w:t>
      </w:r>
      <w:r w:rsidR="002468AF" w:rsidRPr="00E46F66">
        <w:rPr>
          <w:rFonts w:cs="Arial"/>
          <w:b/>
          <w:color w:val="5B9BD5" w:themeColor="accent1"/>
        </w:rPr>
        <w:t>elefónica</w:t>
      </w:r>
      <w:r w:rsidR="002468AF" w:rsidRPr="00E46F66">
        <w:rPr>
          <w:rFonts w:cs="Arial"/>
          <w:b/>
          <w:bCs/>
          <w:iCs/>
          <w:color w:val="5B9BD5" w:themeColor="accent1"/>
        </w:rPr>
        <w:t>)</w:t>
      </w:r>
      <w:r w:rsidR="002468AF" w:rsidRPr="00E46F66">
        <w:rPr>
          <w:bCs/>
        </w:rPr>
        <w:t>.</w:t>
      </w:r>
      <w:bookmarkEnd w:id="5"/>
    </w:p>
    <w:p w14:paraId="6AD91D31" w14:textId="77777777" w:rsidR="002468AF" w:rsidRPr="007B50DE" w:rsidRDefault="002468AF" w:rsidP="007B50DE">
      <w:pPr>
        <w:pStyle w:val="Sinespaciado"/>
      </w:pPr>
      <w:r w:rsidRPr="007B50DE">
        <w:t>Consideraciones del Instituto</w:t>
      </w:r>
    </w:p>
    <w:p w14:paraId="43B47B03" w14:textId="4A94D549" w:rsidR="002468AF" w:rsidRDefault="00CE42E2" w:rsidP="006424BF">
      <w:pPr>
        <w:pStyle w:val="NormalDGDTR"/>
      </w:pPr>
      <w:r>
        <w:t>En relación con</w:t>
      </w:r>
      <w:r w:rsidR="002468AF">
        <w:t xml:space="preserve"> </w:t>
      </w:r>
      <w:r w:rsidR="002468AF" w:rsidRPr="00414E1B">
        <w:t>l</w:t>
      </w:r>
      <w:r w:rsidR="002468AF">
        <w:t>as propuestas manifestadas en torno al conjunto de resultados e información que el AEPT deberá entregar</w:t>
      </w:r>
      <w:r w:rsidR="00BF7868">
        <w:t>,</w:t>
      </w:r>
      <w:r w:rsidR="002468AF">
        <w:t xml:space="preserve"> referentes a la entrega de información con independencia del número de observaciones en el periodo, la entrega de granularidad en la información, la presentación de un acumulativo de solicitudes para obtener una muestra representativa, así como uso de cálculos que permitan realizar estadísticos con independencia del número de observaciones, se informa que el Instituto valoró y analizó todas las propuestas para definir la frecuencia con la que el AEPT deberá entregar el reporte de ICD</w:t>
      </w:r>
      <w:r w:rsidR="00065349">
        <w:t xml:space="preserve"> (elemento ponderado con la importancia de contar con suficientes observaciones)</w:t>
      </w:r>
      <w:r w:rsidR="002468AF">
        <w:t xml:space="preserve">, así como la información que </w:t>
      </w:r>
      <w:r w:rsidR="002468AF">
        <w:lastRenderedPageBreak/>
        <w:t>dicho reporte deberá contener</w:t>
      </w:r>
      <w:r w:rsidR="00065349">
        <w:t xml:space="preserve"> y la disponibilidad a terceros que en su caso pueda tener</w:t>
      </w:r>
      <w:r w:rsidR="002468AF">
        <w:t xml:space="preserve">. </w:t>
      </w:r>
    </w:p>
    <w:p w14:paraId="14D38B02" w14:textId="67DFBA4A" w:rsidR="002468AF" w:rsidRPr="008B2D4C" w:rsidRDefault="002468AF" w:rsidP="006424BF">
      <w:pPr>
        <w:pStyle w:val="NormalDGDTR"/>
      </w:pPr>
      <w:r>
        <w:t xml:space="preserve">Adicionalmente, se valoraron las propuestas para realizar la definición del procedimiento de evaluación, incluyendo, entre otros, los estadísticos e información de soporte necesaria en la entrega de los reportes de ICD. Lo anterior, en </w:t>
      </w:r>
      <w:r w:rsidRPr="009869DA">
        <w:t xml:space="preserve">términos de la utilidad para </w:t>
      </w:r>
      <w:r>
        <w:t xml:space="preserve">identificar tendencias entre la provisión de servicios externos y la provisión de servicios internos, para así </w:t>
      </w:r>
      <w:r w:rsidRPr="008B2D4C">
        <w:t xml:space="preserve">cumplir con el objetivo </w:t>
      </w:r>
      <w:r w:rsidR="00205761">
        <w:t xml:space="preserve">de la implementación de la equivalencia de insumos y </w:t>
      </w:r>
      <w:r w:rsidRPr="008B2D4C">
        <w:t>el principio de no discriminación por la que los ICD fueron mandatados.</w:t>
      </w:r>
    </w:p>
    <w:p w14:paraId="58318B73" w14:textId="5128A422" w:rsidR="002468AF" w:rsidRPr="002468AF" w:rsidRDefault="002468AF" w:rsidP="006A2FB8">
      <w:pPr>
        <w:pStyle w:val="Ttulo3"/>
      </w:pPr>
      <w:r w:rsidRPr="002468AF">
        <w:t>Comentarios específicos aportados en el Excel con las alternativas de ICD</w:t>
      </w:r>
    </w:p>
    <w:p w14:paraId="748439C2" w14:textId="7C0D7072" w:rsidR="002468AF" w:rsidRPr="007B50DE" w:rsidRDefault="002468AF" w:rsidP="007B50DE">
      <w:pPr>
        <w:pStyle w:val="NormalDGDTR"/>
        <w:rPr>
          <w:sz w:val="20"/>
        </w:rPr>
      </w:pPr>
      <w:r>
        <w:t xml:space="preserve">Se recibieron comentarios específicos al listado de propuestas de ICD </w:t>
      </w:r>
      <w:r w:rsidRPr="002F63F5">
        <w:t>en el Excel compartido en la consulta</w:t>
      </w:r>
      <w:r>
        <w:t xml:space="preserve"> pública </w:t>
      </w:r>
      <w:r w:rsidRPr="002F63F5">
        <w:t>“211010alternativasdeicdf”</w:t>
      </w:r>
      <w:r>
        <w:t xml:space="preserve">, en torno a redacción, sugerencias de modificación o adición </w:t>
      </w:r>
      <w:r w:rsidRPr="00E07C5A">
        <w:rPr>
          <w:b/>
          <w:color w:val="5B9BD5" w:themeColor="accent1"/>
          <w:lang w:val="es-MX"/>
        </w:rPr>
        <w:t>(Telefónica, CANIETI y GTVSA)</w:t>
      </w:r>
      <w:r w:rsidRPr="00E07C5A">
        <w:t xml:space="preserve">. </w:t>
      </w:r>
    </w:p>
    <w:p w14:paraId="0FA8AB36" w14:textId="77777777" w:rsidR="002468AF" w:rsidRPr="00414E1B" w:rsidRDefault="002468AF" w:rsidP="00777A04">
      <w:pPr>
        <w:pStyle w:val="Sinespaciado"/>
      </w:pPr>
      <w:r w:rsidRPr="00414E1B">
        <w:t>Consideraciones del Instituto</w:t>
      </w:r>
    </w:p>
    <w:p w14:paraId="54BCE11A" w14:textId="56FBAC41" w:rsidR="002468AF" w:rsidRPr="00E07C5A" w:rsidRDefault="002F35A3" w:rsidP="006424BF">
      <w:pPr>
        <w:pStyle w:val="NormalDGDTR"/>
        <w:rPr>
          <w:lang w:val="es-MX"/>
        </w:rPr>
      </w:pPr>
      <w:r w:rsidRPr="007B14E4">
        <w:t>En relación con</w:t>
      </w:r>
      <w:r w:rsidR="002468AF" w:rsidRPr="002052F3">
        <w:t xml:space="preserve"> las propuestas específicas en el listado se Alternativas de actualización de ICD, se informa que fueron valoradas </w:t>
      </w:r>
      <w:r w:rsidR="002468AF" w:rsidRPr="00E07C5A">
        <w:rPr>
          <w:lang w:val="es-MX"/>
        </w:rPr>
        <w:t>a efecto de determinar la viabilidad de modificaciones o inclusiones, tomando en consideración que sean servicios comparables</w:t>
      </w:r>
      <w:r w:rsidR="009505C3">
        <w:rPr>
          <w:lang w:val="es-MX"/>
        </w:rPr>
        <w:t>, que sean consistentes con las ofertas de referencia</w:t>
      </w:r>
      <w:r w:rsidR="002468AF" w:rsidRPr="00E07C5A">
        <w:rPr>
          <w:lang w:val="es-MX"/>
        </w:rPr>
        <w:t xml:space="preserve"> y que </w:t>
      </w:r>
      <w:r w:rsidR="009505C3">
        <w:rPr>
          <w:lang w:val="es-MX"/>
        </w:rPr>
        <w:t>estén</w:t>
      </w:r>
      <w:r w:rsidR="009505C3" w:rsidRPr="00E07C5A">
        <w:rPr>
          <w:lang w:val="es-MX"/>
        </w:rPr>
        <w:t xml:space="preserve"> </w:t>
      </w:r>
      <w:r w:rsidR="002468AF" w:rsidRPr="00E07C5A">
        <w:rPr>
          <w:lang w:val="es-MX"/>
        </w:rPr>
        <w:t>en línea con el objetivo</w:t>
      </w:r>
      <w:r w:rsidR="00205761">
        <w:rPr>
          <w:lang w:val="es-MX"/>
        </w:rPr>
        <w:t xml:space="preserve"> </w:t>
      </w:r>
      <w:r w:rsidR="00205761" w:rsidRPr="00205761">
        <w:rPr>
          <w:lang w:val="es-MX"/>
        </w:rPr>
        <w:t>de la implementación de la equivalencia de insumos</w:t>
      </w:r>
      <w:r w:rsidR="00205761">
        <w:rPr>
          <w:lang w:val="es-MX"/>
        </w:rPr>
        <w:t xml:space="preserve"> y </w:t>
      </w:r>
      <w:r w:rsidR="002468AF" w:rsidRPr="00E07C5A">
        <w:rPr>
          <w:lang w:val="es-MX"/>
        </w:rPr>
        <w:t>el principio de no discriminación por la que los ICD fueron mandatados</w:t>
      </w:r>
      <w:r w:rsidR="009505C3">
        <w:rPr>
          <w:lang w:val="es-MX"/>
        </w:rPr>
        <w:t>, realizándose los ajustes que resultaron procedentes</w:t>
      </w:r>
      <w:r w:rsidR="002468AF" w:rsidRPr="00E07C5A">
        <w:rPr>
          <w:lang w:val="es-MX"/>
        </w:rPr>
        <w:t>.</w:t>
      </w:r>
    </w:p>
    <w:p w14:paraId="45E26ED7" w14:textId="56EF5DB8" w:rsidR="002468AF" w:rsidRPr="002468AF" w:rsidRDefault="002468AF" w:rsidP="006A2FB8">
      <w:pPr>
        <w:pStyle w:val="Ttulo3"/>
      </w:pPr>
      <w:r w:rsidRPr="002468AF">
        <w:t>Resultado del análisis</w:t>
      </w:r>
    </w:p>
    <w:p w14:paraId="1AC2F5D0" w14:textId="77777777" w:rsidR="002468AF" w:rsidRPr="00414E1B" w:rsidRDefault="002468AF" w:rsidP="006424BF">
      <w:pPr>
        <w:pStyle w:val="NormalDGDTR"/>
        <w:rPr>
          <w:iCs/>
          <w:color w:val="5B9BD5" w:themeColor="accent1"/>
        </w:rPr>
      </w:pPr>
      <w:r w:rsidRPr="00414E1B">
        <w:t>Sugiere que se especifique un procedimiento claro y público de cómo el Instituto iniciará una investigación ante indicios de potenciales conductas discriminatorias a partir de la observación de los ICD</w:t>
      </w:r>
      <w:r>
        <w:t xml:space="preserve"> </w:t>
      </w:r>
      <w:r w:rsidRPr="00E94F22">
        <w:rPr>
          <w:b/>
          <w:bCs/>
          <w:iCs/>
          <w:color w:val="5B9BD5" w:themeColor="accent1"/>
        </w:rPr>
        <w:t>(Telefónica)</w:t>
      </w:r>
      <w:r>
        <w:rPr>
          <w:iCs/>
          <w:color w:val="5B9BD5" w:themeColor="accent1"/>
        </w:rPr>
        <w:t>.</w:t>
      </w:r>
    </w:p>
    <w:p w14:paraId="3ED15A57" w14:textId="77777777" w:rsidR="002468AF" w:rsidRPr="00414E1B" w:rsidRDefault="002468AF" w:rsidP="00777A04">
      <w:pPr>
        <w:pStyle w:val="Sinespaciado"/>
      </w:pPr>
      <w:r w:rsidRPr="00414E1B">
        <w:t>Consideraciones del Instituto</w:t>
      </w:r>
    </w:p>
    <w:p w14:paraId="54F491F8" w14:textId="4E4CC1FE" w:rsidR="002468AF" w:rsidRPr="00414E1B" w:rsidRDefault="002468AF" w:rsidP="006424BF">
      <w:pPr>
        <w:pStyle w:val="NormalDGDTR"/>
      </w:pPr>
      <w:r>
        <w:t xml:space="preserve">Respecto al requerimiento de especificar el procedimiento a seguir por parte del Instituto en caso de detectar indicios de potenciales conductas discriminatorias, se </w:t>
      </w:r>
      <w:r w:rsidR="00274534">
        <w:t xml:space="preserve">precisa </w:t>
      </w:r>
      <w:r>
        <w:t xml:space="preserve">que </w:t>
      </w:r>
      <w:r w:rsidR="00274534">
        <w:t>los</w:t>
      </w:r>
      <w:r>
        <w:t xml:space="preserve"> </w:t>
      </w:r>
      <w:r w:rsidR="00274534">
        <w:t>procedimientos</w:t>
      </w:r>
      <w:r w:rsidR="00274534" w:rsidRPr="00414E1B">
        <w:t xml:space="preserve"> </w:t>
      </w:r>
      <w:r w:rsidRPr="00414E1B">
        <w:t xml:space="preserve">de investigación ante posibles prácticas anticompetitivas </w:t>
      </w:r>
      <w:r w:rsidR="00274534">
        <w:t>se realizan conforme a las atribuciones de las áreas competentes, previstas en el Estatuto Orgánico del Instituto Federal de Telecomunicaciones</w:t>
      </w:r>
      <w:r w:rsidRPr="00414E1B">
        <w:t xml:space="preserve">, </w:t>
      </w:r>
      <w:r w:rsidR="00274534">
        <w:t xml:space="preserve">y los </w:t>
      </w:r>
      <w:r w:rsidR="00274534">
        <w:lastRenderedPageBreak/>
        <w:t xml:space="preserve">procesos que dichas áreas determinen, </w:t>
      </w:r>
      <w:r w:rsidRPr="00414E1B">
        <w:t xml:space="preserve">por lo que </w:t>
      </w:r>
      <w:r w:rsidR="00274534">
        <w:t>incluir un procedimiento que no se asocia con la definición misma de la regulación excede el alcance del proyecto</w:t>
      </w:r>
      <w:r w:rsidRPr="00414E1B">
        <w:t>.</w:t>
      </w:r>
    </w:p>
    <w:p w14:paraId="0349D715" w14:textId="34708C76" w:rsidR="002468AF" w:rsidRPr="00777A04" w:rsidRDefault="002468AF" w:rsidP="009C030E">
      <w:pPr>
        <w:pStyle w:val="Ttulo3"/>
      </w:pPr>
      <w:r w:rsidRPr="002468AF">
        <w:t>Sistema Electrónico de Gestión (SEG)</w:t>
      </w:r>
    </w:p>
    <w:p w14:paraId="4DCB89D1" w14:textId="71BAFDF8" w:rsidR="002468AF" w:rsidRPr="00777A04" w:rsidRDefault="002468AF" w:rsidP="00777A04">
      <w:pPr>
        <w:pStyle w:val="Prrafodelista"/>
        <w:numPr>
          <w:ilvl w:val="0"/>
          <w:numId w:val="9"/>
        </w:numPr>
        <w:ind w:left="426"/>
        <w:jc w:val="both"/>
        <w:rPr>
          <w:b/>
          <w:bCs/>
          <w:iCs/>
          <w:color w:val="5B9BD5" w:themeColor="accent1"/>
        </w:rPr>
      </w:pPr>
      <w:r w:rsidRPr="00E94F22">
        <w:t>Plantea que, para el servicio de desagregación del bucle local, la solicitud y provisión de los servicios son los rubros de mayor dolencia, debido a que la información presentada en el SEG es inconsistente y los tiempos de aprovisionamiento son largos.</w:t>
      </w:r>
      <w:r>
        <w:t xml:space="preserve"> Los ICD propuestos no garantizan la transparencia en la provisión de los SMR (</w:t>
      </w:r>
      <w:r w:rsidRPr="004846E7">
        <w:t>en un 33% de solicitudes que tienen, de acuerdo con el SEG, factibilidad favorable no se puede completar la instalación</w:t>
      </w:r>
      <w:r>
        <w:t xml:space="preserve"> derivado de que en la implementación el AEPT argumenta no contar con infraestructura)</w:t>
      </w:r>
      <w:r w:rsidRPr="00E94F22">
        <w:t xml:space="preserve"> </w:t>
      </w:r>
      <w:r w:rsidRPr="00E94F22">
        <w:rPr>
          <w:b/>
          <w:bCs/>
          <w:iCs/>
          <w:color w:val="5B9BD5" w:themeColor="accent1"/>
        </w:rPr>
        <w:t>(Axtel)</w:t>
      </w:r>
      <w:r w:rsidRPr="00E94F22">
        <w:rPr>
          <w:iCs/>
        </w:rPr>
        <w:t xml:space="preserve">. </w:t>
      </w:r>
    </w:p>
    <w:p w14:paraId="1823E589" w14:textId="3B58AE23" w:rsidR="002468AF" w:rsidRDefault="002468AF" w:rsidP="00777A04">
      <w:pPr>
        <w:pStyle w:val="Prrafodelista"/>
        <w:numPr>
          <w:ilvl w:val="0"/>
          <w:numId w:val="9"/>
        </w:numPr>
        <w:ind w:left="426"/>
        <w:jc w:val="both"/>
        <w:rPr>
          <w:rFonts w:cs="Arial"/>
        </w:rPr>
      </w:pPr>
      <w:r w:rsidRPr="00410CA6">
        <w:rPr>
          <w:rFonts w:cs="Arial"/>
        </w:rPr>
        <w:t>Con el objetivo de fomentar la transparencia en la consulta de información respecto a la cantidad de infraestructura disponible para cada servicio mayorista, se solicita implementar un indicador que permita comparar el número de registros que se tiene en la base de datos del SEG y el número de registro de la base de datos del sistema que utiliza el AEPT</w:t>
      </w:r>
      <w:r w:rsidRPr="00410CA6">
        <w:rPr>
          <w:rFonts w:cs="Arial"/>
          <w:iCs/>
          <w:color w:val="5B9BD5" w:themeColor="accent1"/>
        </w:rPr>
        <w:t xml:space="preserve"> </w:t>
      </w:r>
      <w:r w:rsidRPr="00410CA6">
        <w:rPr>
          <w:rFonts w:cs="Arial"/>
          <w:b/>
          <w:bCs/>
          <w:iCs/>
          <w:color w:val="5B9BD5" w:themeColor="accent1"/>
        </w:rPr>
        <w:t>(CANIETI)</w:t>
      </w:r>
      <w:r w:rsidRPr="00410CA6">
        <w:rPr>
          <w:rFonts w:cs="Arial"/>
        </w:rPr>
        <w:t>.</w:t>
      </w:r>
    </w:p>
    <w:p w14:paraId="3355C821" w14:textId="10867CB8" w:rsidR="002468AF" w:rsidRPr="00777A04" w:rsidRDefault="002468AF" w:rsidP="00777A04">
      <w:pPr>
        <w:pStyle w:val="Prrafodelista"/>
        <w:numPr>
          <w:ilvl w:val="0"/>
          <w:numId w:val="9"/>
        </w:numPr>
        <w:ind w:left="426"/>
        <w:jc w:val="both"/>
        <w:rPr>
          <w:rFonts w:cs="Arial"/>
        </w:rPr>
      </w:pPr>
      <w:r>
        <w:rPr>
          <w:rFonts w:cs="Arial"/>
        </w:rPr>
        <w:t>Los reportes obtenidos dentro del</w:t>
      </w:r>
      <w:r w:rsidRPr="00410CA6">
        <w:rPr>
          <w:rFonts w:cs="Arial"/>
        </w:rPr>
        <w:t xml:space="preserve"> </w:t>
      </w:r>
      <w:r>
        <w:rPr>
          <w:rFonts w:cs="Arial"/>
        </w:rPr>
        <w:t>SEG</w:t>
      </w:r>
      <w:r w:rsidRPr="00410CA6">
        <w:rPr>
          <w:rFonts w:cs="Arial"/>
        </w:rPr>
        <w:t xml:space="preserve"> no toman en cuenta las solicitudes rechazadas o sin facilidades</w:t>
      </w:r>
      <w:r>
        <w:rPr>
          <w:rFonts w:cs="Arial"/>
        </w:rPr>
        <w:t xml:space="preserve"> </w:t>
      </w:r>
      <w:r w:rsidRPr="00E94F22">
        <w:rPr>
          <w:b/>
          <w:bCs/>
          <w:iCs/>
          <w:color w:val="5B9BD5" w:themeColor="accent1"/>
        </w:rPr>
        <w:t>(</w:t>
      </w:r>
      <w:r>
        <w:rPr>
          <w:b/>
          <w:bCs/>
          <w:iCs/>
          <w:color w:val="5B9BD5" w:themeColor="accent1"/>
        </w:rPr>
        <w:t>GTSVA</w:t>
      </w:r>
      <w:r w:rsidRPr="00E94F22">
        <w:rPr>
          <w:b/>
          <w:bCs/>
          <w:iCs/>
          <w:color w:val="5B9BD5" w:themeColor="accent1"/>
        </w:rPr>
        <w:t>)</w:t>
      </w:r>
      <w:r w:rsidRPr="00E94F22">
        <w:rPr>
          <w:iCs/>
        </w:rPr>
        <w:t>.</w:t>
      </w:r>
    </w:p>
    <w:p w14:paraId="6F6B61D3" w14:textId="77777777" w:rsidR="002468AF" w:rsidRPr="00414E1B" w:rsidRDefault="002468AF" w:rsidP="00777A04">
      <w:pPr>
        <w:pStyle w:val="Sinespaciado"/>
      </w:pPr>
      <w:r w:rsidRPr="00414E1B">
        <w:t>Consideraciones del Instituto</w:t>
      </w:r>
    </w:p>
    <w:p w14:paraId="377BD812" w14:textId="76E0BC75" w:rsidR="002468AF" w:rsidRDefault="002F476C" w:rsidP="009C030E">
      <w:pPr>
        <w:pStyle w:val="NormalDGDTR"/>
        <w:rPr>
          <w:lang w:val="es-ES"/>
        </w:rPr>
      </w:pPr>
      <w:r w:rsidRPr="00095AD6">
        <w:t>Con respecto</w:t>
      </w:r>
      <w:r w:rsidR="002468AF">
        <w:t xml:space="preserve"> a </w:t>
      </w:r>
      <w:r w:rsidR="002468AF" w:rsidRPr="00450749">
        <w:t xml:space="preserve">la </w:t>
      </w:r>
      <w:r>
        <w:t>sugerencia</w:t>
      </w:r>
      <w:r w:rsidR="002468AF">
        <w:t xml:space="preserve"> de</w:t>
      </w:r>
      <w:r w:rsidR="002468AF" w:rsidRPr="00E94F22">
        <w:t xml:space="preserve"> considerar un indicador para comparar el número</w:t>
      </w:r>
      <w:r w:rsidR="002468AF">
        <w:t xml:space="preserve"> </w:t>
      </w:r>
      <w:r w:rsidR="002468AF" w:rsidRPr="00E94F22">
        <w:t xml:space="preserve">de registros contenidos en la base de datos del SEG y el número de registro de la base de datos del sistema que utiliza el AEPT, </w:t>
      </w:r>
      <w:r w:rsidR="002468AF" w:rsidRPr="00450749">
        <w:t xml:space="preserve">el comentario tocante a la inconsistencia de la información contenida en el SEG, </w:t>
      </w:r>
      <w:r w:rsidR="002468AF">
        <w:t xml:space="preserve">así como el comentario en torno a que los reportes obtenidos en el SEG no incluyen solicitudes rechazadas o sin facilidades, </w:t>
      </w:r>
      <w:r w:rsidR="002468AF" w:rsidRPr="004846E7">
        <w:t>se precisa que el objetivo de los ICD es el de comparar la provisión de servicios mayoristas internos y la provisión de servicios mayoristas externos</w:t>
      </w:r>
      <w:r w:rsidR="002468AF" w:rsidRPr="00450749">
        <w:t xml:space="preserve">, por lo que </w:t>
      </w:r>
      <w:r w:rsidR="002468AF">
        <w:t xml:space="preserve">el </w:t>
      </w:r>
      <w:r w:rsidR="002468AF" w:rsidRPr="00450749">
        <w:t>funcionamiento del sistema referido o la información contenida en él, sale del alcance de la actualización de ICD. No obstante, es de destacar que la información disponible en el SEG, así como su consistencia</w:t>
      </w:r>
      <w:r w:rsidR="0004653C">
        <w:t>, y el funcionamiento del sistema, son materias ya reguladas en las medidas asimétricas, particularmente con la emisión de la segunda resolución bienal en la que se mandataron obligaciones asociadas con lo manifestado por los participantes</w:t>
      </w:r>
      <w:r w:rsidR="002468AF" w:rsidRPr="00450749">
        <w:rPr>
          <w:lang w:val="es-ES"/>
        </w:rPr>
        <w:t>.</w:t>
      </w:r>
      <w:r w:rsidR="0004653C">
        <w:rPr>
          <w:lang w:val="es-ES"/>
        </w:rPr>
        <w:t xml:space="preserve"> </w:t>
      </w:r>
    </w:p>
    <w:p w14:paraId="62948D8F" w14:textId="1F68E6AB" w:rsidR="002468AF" w:rsidRPr="0018585F" w:rsidRDefault="002468AF" w:rsidP="006A2FB8">
      <w:pPr>
        <w:pStyle w:val="Ttulo3"/>
      </w:pPr>
      <w:r w:rsidRPr="0018585F">
        <w:t>Uso de percentiles</w:t>
      </w:r>
    </w:p>
    <w:p w14:paraId="4B808683" w14:textId="33649D73" w:rsidR="002468AF" w:rsidRPr="00953A34" w:rsidRDefault="00C1373D" w:rsidP="00213549">
      <w:r w:rsidRPr="000B32FC">
        <w:t>En torno</w:t>
      </w:r>
      <w:r w:rsidR="002468AF" w:rsidRPr="000B32FC">
        <w:t xml:space="preserve"> a los ICD referentes a la variable tiempo, proponen que además del tiempo promedio, es necesario incluir percentiles 85 y 95 de los tiempos,</w:t>
      </w:r>
      <w:r w:rsidR="00855993" w:rsidRPr="000B32FC">
        <w:t xml:space="preserve"> así como</w:t>
      </w:r>
      <w:r w:rsidR="002468AF" w:rsidRPr="000B32FC">
        <w:t xml:space="preserve"> incluir </w:t>
      </w:r>
      <w:r w:rsidR="002468AF" w:rsidRPr="000B32FC">
        <w:lastRenderedPageBreak/>
        <w:t xml:space="preserve">volúmenes de los servicios dada la experiencia internacional </w:t>
      </w:r>
      <w:bookmarkStart w:id="6" w:name="_Hlk104316728"/>
      <w:r w:rsidR="002468AF" w:rsidRPr="000B32FC">
        <w:rPr>
          <w:b/>
          <w:bCs/>
          <w:iCs/>
          <w:color w:val="5B9BD5" w:themeColor="accent1"/>
        </w:rPr>
        <w:t>(</w:t>
      </w:r>
      <w:bookmarkEnd w:id="6"/>
      <w:r w:rsidR="002468AF" w:rsidRPr="000B32FC">
        <w:rPr>
          <w:b/>
          <w:bCs/>
          <w:iCs/>
          <w:color w:val="5B9BD5" w:themeColor="accent1"/>
        </w:rPr>
        <w:t>CANIETI</w:t>
      </w:r>
      <w:r w:rsidR="00D2206A" w:rsidRPr="000B32FC">
        <w:rPr>
          <w:b/>
          <w:bCs/>
          <w:iCs/>
          <w:color w:val="5B9BD5" w:themeColor="accent1"/>
        </w:rPr>
        <w:t>, GTVSA</w:t>
      </w:r>
      <w:r w:rsidR="002468AF" w:rsidRPr="000B32FC">
        <w:rPr>
          <w:b/>
          <w:bCs/>
          <w:iCs/>
          <w:color w:val="5B9BD5" w:themeColor="accent1"/>
        </w:rPr>
        <w:t xml:space="preserve"> y Telefónica)</w:t>
      </w:r>
      <w:r w:rsidR="002468AF" w:rsidRPr="00953A34">
        <w:t xml:space="preserve">. </w:t>
      </w:r>
    </w:p>
    <w:p w14:paraId="18F4B1CB" w14:textId="77777777" w:rsidR="002468AF" w:rsidRPr="00414E1B" w:rsidRDefault="002468AF" w:rsidP="00777A04">
      <w:pPr>
        <w:pStyle w:val="Sinespaciado"/>
      </w:pPr>
      <w:r w:rsidRPr="00414E1B">
        <w:t>Consideraciones del Instituto</w:t>
      </w:r>
    </w:p>
    <w:p w14:paraId="2FB80646" w14:textId="313370FF" w:rsidR="002468AF" w:rsidRDefault="002468AF" w:rsidP="009C030E">
      <w:pPr>
        <w:pStyle w:val="NormalDGDTR"/>
      </w:pPr>
      <w:r w:rsidRPr="00953A34">
        <w:t>Referente a</w:t>
      </w:r>
      <w:r>
        <w:t xml:space="preserve"> </w:t>
      </w:r>
      <w:r w:rsidRPr="00953A34">
        <w:t>l</w:t>
      </w:r>
      <w:r>
        <w:t>a propuesta</w:t>
      </w:r>
      <w:r w:rsidRPr="00953A34">
        <w:t xml:space="preserve"> uso de </w:t>
      </w:r>
      <w:r>
        <w:t xml:space="preserve">percentiles como parte de la metodología, se señala que fue valorada </w:t>
      </w:r>
      <w:r w:rsidRPr="00C90123">
        <w:t>a efecto de determinar la viabilidad de su inclusión,</w:t>
      </w:r>
      <w:r>
        <w:t xml:space="preserve"> </w:t>
      </w:r>
      <w:r w:rsidRPr="00C90123">
        <w:t xml:space="preserve">en términos de la utilidad para cumplir con el objetivo </w:t>
      </w:r>
      <w:r w:rsidR="00205761" w:rsidRPr="00205761">
        <w:t>de la implementación de la equivalencia de insumos</w:t>
      </w:r>
      <w:r w:rsidR="00205761">
        <w:t xml:space="preserve"> y </w:t>
      </w:r>
      <w:r w:rsidR="00205761" w:rsidRPr="00E07C5A">
        <w:t xml:space="preserve">el principio de no discriminación </w:t>
      </w:r>
      <w:r w:rsidRPr="00C90123">
        <w:t>por la que los ICD fueron mandatados.</w:t>
      </w:r>
    </w:p>
    <w:p w14:paraId="1ABF33AD" w14:textId="3ADDD041" w:rsidR="002468AF" w:rsidRPr="0018585F" w:rsidRDefault="002468AF" w:rsidP="006A2FB8">
      <w:pPr>
        <w:pStyle w:val="Ttulo3"/>
      </w:pPr>
      <w:r w:rsidRPr="0018585F">
        <w:t>División por zonas geográficas</w:t>
      </w:r>
    </w:p>
    <w:p w14:paraId="6E36BC20" w14:textId="6A1935F8" w:rsidR="002468AF" w:rsidRPr="00777A04" w:rsidRDefault="00C1373D" w:rsidP="00777A04">
      <w:pPr>
        <w:pStyle w:val="NormalDGDTR"/>
        <w:rPr>
          <w:iCs/>
        </w:rPr>
      </w:pPr>
      <w:r>
        <w:t>Sugiere</w:t>
      </w:r>
      <w:r w:rsidR="002468AF" w:rsidRPr="00C86E49">
        <w:t xml:space="preserve">n que la información se desglose entre las dos zonas geográficas establecidas por el Instituto en la última revisión bienal de las medidas de preponderancia, a fin de evitar un comportamiento </w:t>
      </w:r>
      <w:r w:rsidR="00C072D3" w:rsidRPr="00C86E49">
        <w:t xml:space="preserve">distinto </w:t>
      </w:r>
      <w:r w:rsidR="002468AF" w:rsidRPr="00C86E49">
        <w:t>del AEPT dependiendo de la zona en cuestión, que no pueda ser fácilmente identificado (</w:t>
      </w:r>
      <w:r w:rsidR="000F6A8D">
        <w:t xml:space="preserve">por estar </w:t>
      </w:r>
      <w:r w:rsidR="002468AF" w:rsidRPr="00C86E49">
        <w:t xml:space="preserve">diluido) en un agregado general </w:t>
      </w:r>
      <w:r w:rsidR="002468AF" w:rsidRPr="00C86E49">
        <w:rPr>
          <w:b/>
          <w:iCs/>
          <w:color w:val="5B9BD5" w:themeColor="accent1"/>
        </w:rPr>
        <w:t>(GTVSA y Telefónica)</w:t>
      </w:r>
      <w:r w:rsidR="002468AF" w:rsidRPr="00C86E49">
        <w:rPr>
          <w:iCs/>
        </w:rPr>
        <w:t>.</w:t>
      </w:r>
    </w:p>
    <w:p w14:paraId="44DC186D" w14:textId="77777777" w:rsidR="002468AF" w:rsidRPr="00414E1B" w:rsidRDefault="002468AF" w:rsidP="00777A04">
      <w:pPr>
        <w:pStyle w:val="Sinespaciado"/>
      </w:pPr>
      <w:r w:rsidRPr="00414E1B">
        <w:t>Consideraciones del Instituto</w:t>
      </w:r>
    </w:p>
    <w:p w14:paraId="419CF553" w14:textId="40809124" w:rsidR="002468AF" w:rsidRDefault="002468AF" w:rsidP="009C030E">
      <w:pPr>
        <w:pStyle w:val="NormalDGDTR"/>
      </w:pPr>
      <w:r>
        <w:t xml:space="preserve">Respecto a la propuesta de desglosar entre zonas geográficas, se precisa que </w:t>
      </w:r>
      <w:r w:rsidRPr="00DF2F21">
        <w:t xml:space="preserve">el AEPT está obligado a </w:t>
      </w:r>
      <w:r w:rsidR="00582557">
        <w:t xml:space="preserve">implementar la equivalencia de insumos y </w:t>
      </w:r>
      <w:r w:rsidRPr="00DF2F21">
        <w:t>prestar el servicio en términos no discriminatorios</w:t>
      </w:r>
      <w:r>
        <w:t xml:space="preserve"> con independencia de la zona geográfica.</w:t>
      </w:r>
      <w:r w:rsidRPr="00E6719F">
        <w:t xml:space="preserve"> </w:t>
      </w:r>
      <w:r w:rsidRPr="000678BA">
        <w:t xml:space="preserve">La única diferencia entre </w:t>
      </w:r>
      <w:r>
        <w:t>la</w:t>
      </w:r>
      <w:r w:rsidRPr="000678BA">
        <w:t>s zonas es relativa a la regulación de precios aplicable</w:t>
      </w:r>
      <w:r>
        <w:t xml:space="preserve">, por lo que no se considera razonable la propuesta realizada. </w:t>
      </w:r>
      <w:r w:rsidRPr="004F279C">
        <w:t xml:space="preserve">Además, un mayor nivel de desagregación </w:t>
      </w:r>
      <w:r>
        <w:t xml:space="preserve">puede </w:t>
      </w:r>
      <w:r w:rsidRPr="004F279C">
        <w:t xml:space="preserve">exacerbar el problema asociado a la falta de observaciones suficientes para poder evaluar si existen diferencias </w:t>
      </w:r>
      <w:r>
        <w:t xml:space="preserve">estadísticamente </w:t>
      </w:r>
      <w:r w:rsidRPr="004F279C">
        <w:t>significativas entre la provisión</w:t>
      </w:r>
      <w:r w:rsidR="007F0588">
        <w:t xml:space="preserve"> de servicios</w:t>
      </w:r>
      <w:r w:rsidRPr="004F279C">
        <w:t xml:space="preserve"> intern</w:t>
      </w:r>
      <w:r w:rsidR="007F0588">
        <w:t>os</w:t>
      </w:r>
      <w:r w:rsidRPr="004F279C">
        <w:t xml:space="preserve"> y extern</w:t>
      </w:r>
      <w:r w:rsidR="007F0588">
        <w:t>os</w:t>
      </w:r>
      <w:r>
        <w:t>.</w:t>
      </w:r>
    </w:p>
    <w:p w14:paraId="626D19EE" w14:textId="6D0B497C" w:rsidR="002468AF" w:rsidRPr="0018585F" w:rsidRDefault="002468AF" w:rsidP="006A2FB8">
      <w:pPr>
        <w:pStyle w:val="Ttulo3"/>
      </w:pPr>
      <w:r w:rsidRPr="0018585F">
        <w:t>Histórico de los reportes</w:t>
      </w:r>
    </w:p>
    <w:p w14:paraId="2ADDE018" w14:textId="77777777" w:rsidR="002468AF" w:rsidRDefault="002468AF" w:rsidP="009C030E">
      <w:pPr>
        <w:pStyle w:val="NormalDGDTR"/>
        <w:rPr>
          <w:iCs/>
        </w:rPr>
      </w:pPr>
      <w:r>
        <w:t>P</w:t>
      </w:r>
      <w:r w:rsidRPr="00217C17">
        <w:t>ropone reforzar la obligación del AEP</w:t>
      </w:r>
      <w:r>
        <w:t>T</w:t>
      </w:r>
      <w:r w:rsidRPr="00217C17">
        <w:t xml:space="preserve"> de mantener un registro histórico de los reportes que publica en su página de Internet para que los CS puedan conocer de manera oportuna las condiciones en las que son prestados los servicios mayoristas</w:t>
      </w:r>
      <w:r>
        <w:t xml:space="preserve"> </w:t>
      </w:r>
      <w:r w:rsidRPr="00C86E49">
        <w:rPr>
          <w:b/>
          <w:iCs/>
          <w:color w:val="5B9BD5" w:themeColor="accent1"/>
        </w:rPr>
        <w:t>(</w:t>
      </w:r>
      <w:r>
        <w:rPr>
          <w:b/>
          <w:iCs/>
          <w:color w:val="5B9BD5" w:themeColor="accent1"/>
        </w:rPr>
        <w:t>Axtel</w:t>
      </w:r>
      <w:r w:rsidRPr="00C86E49">
        <w:rPr>
          <w:b/>
          <w:iCs/>
          <w:color w:val="5B9BD5" w:themeColor="accent1"/>
        </w:rPr>
        <w:t>)</w:t>
      </w:r>
      <w:r w:rsidRPr="00C86E49">
        <w:rPr>
          <w:iCs/>
        </w:rPr>
        <w:t>.</w:t>
      </w:r>
    </w:p>
    <w:p w14:paraId="733B7C0E" w14:textId="77777777" w:rsidR="002468AF" w:rsidRPr="00414E1B" w:rsidRDefault="002468AF" w:rsidP="00777A04">
      <w:pPr>
        <w:pStyle w:val="Sinespaciado"/>
      </w:pPr>
      <w:r w:rsidRPr="00414E1B">
        <w:t>Consideraciones del Instituto</w:t>
      </w:r>
    </w:p>
    <w:p w14:paraId="14DDE164" w14:textId="7E67807F" w:rsidR="002468AF" w:rsidRPr="00217C17" w:rsidRDefault="00D33681" w:rsidP="009C030E">
      <w:pPr>
        <w:pStyle w:val="NormalDGDTR"/>
      </w:pPr>
      <w:r w:rsidRPr="00095AD6">
        <w:t>En relación con</w:t>
      </w:r>
      <w:r w:rsidR="002468AF" w:rsidRPr="00217C17">
        <w:t xml:space="preserve"> la propuesta de reforzar la obligación de mantener un registro histórico, se señala que en la revisión bienal de 2020 se precisó que los reportes que presente el AEPT al Instituto deberán ser publicados en su página de Internet, manteniendo un registro histórico</w:t>
      </w:r>
      <w:r w:rsidR="002468AF">
        <w:t xml:space="preserve">, así como </w:t>
      </w:r>
      <w:r w:rsidR="002468AF" w:rsidRPr="00217C17">
        <w:t xml:space="preserve">notificar en el </w:t>
      </w:r>
      <w:r w:rsidR="002468AF">
        <w:t>SEG</w:t>
      </w:r>
      <w:r w:rsidR="002468AF" w:rsidRPr="00217C17">
        <w:t>, de manera simultánea, sobre su publicación, incluyendo la liga de consulta</w:t>
      </w:r>
      <w:r w:rsidR="002468AF">
        <w:t>, por lo que s</w:t>
      </w:r>
      <w:r w:rsidR="002468AF" w:rsidRPr="00474021">
        <w:t xml:space="preserve">e </w:t>
      </w:r>
      <w:r w:rsidR="002468AF" w:rsidRPr="00474021">
        <w:lastRenderedPageBreak/>
        <w:t>indica que se valoró la propuesta</w:t>
      </w:r>
      <w:r w:rsidR="002468AF">
        <w:t xml:space="preserve"> para la actualización de ICD que al efecto resulte.</w:t>
      </w:r>
    </w:p>
    <w:p w14:paraId="23D05C2D" w14:textId="1D891ADF" w:rsidR="002468AF" w:rsidRPr="0018585F" w:rsidRDefault="002468AF" w:rsidP="006A2FB8">
      <w:pPr>
        <w:pStyle w:val="Ttulo3"/>
      </w:pPr>
      <w:r w:rsidRPr="0018585F">
        <w:t>Modificaciones a las ofertas de referencia</w:t>
      </w:r>
    </w:p>
    <w:p w14:paraId="6EF9061C" w14:textId="77777777" w:rsidR="002468AF" w:rsidRDefault="002468AF" w:rsidP="009C030E">
      <w:pPr>
        <w:pStyle w:val="NormalDGDTR"/>
      </w:pPr>
      <w:r>
        <w:t>Sugiere c</w:t>
      </w:r>
      <w:r w:rsidRPr="00D91062">
        <w:t>onsiderar una modificación en las ofertas mayoristas para incorporar obligaciones que faciliten la realización de mediciones objetivas de los indicadores</w:t>
      </w:r>
      <w:r>
        <w:t xml:space="preserve"> </w:t>
      </w:r>
      <w:r w:rsidRPr="00C86E49">
        <w:rPr>
          <w:b/>
          <w:iCs/>
          <w:color w:val="5B9BD5" w:themeColor="accent1"/>
        </w:rPr>
        <w:t>(</w:t>
      </w:r>
      <w:r>
        <w:rPr>
          <w:b/>
          <w:iCs/>
          <w:color w:val="5B9BD5" w:themeColor="accent1"/>
        </w:rPr>
        <w:t>Axtel</w:t>
      </w:r>
      <w:r w:rsidRPr="00C86E49">
        <w:rPr>
          <w:b/>
          <w:iCs/>
          <w:color w:val="5B9BD5" w:themeColor="accent1"/>
        </w:rPr>
        <w:t>)</w:t>
      </w:r>
      <w:r w:rsidRPr="00D91062">
        <w:t>.</w:t>
      </w:r>
    </w:p>
    <w:p w14:paraId="6F8F7917" w14:textId="77777777" w:rsidR="002468AF" w:rsidRPr="00414E1B" w:rsidRDefault="002468AF" w:rsidP="00777A04">
      <w:pPr>
        <w:pStyle w:val="Sinespaciado"/>
      </w:pPr>
      <w:r w:rsidRPr="00414E1B">
        <w:t>Consideraciones del Instituto</w:t>
      </w:r>
    </w:p>
    <w:p w14:paraId="28EC2E30" w14:textId="0562FB01" w:rsidR="002468AF" w:rsidRPr="00414E1B" w:rsidRDefault="002468AF" w:rsidP="009C030E">
      <w:pPr>
        <w:pStyle w:val="NormalDGDTR"/>
      </w:pPr>
      <w:r w:rsidRPr="00414E1B">
        <w:t xml:space="preserve">Por </w:t>
      </w:r>
      <w:r w:rsidR="00205244" w:rsidRPr="00414E1B">
        <w:t>cuanto,</w:t>
      </w:r>
      <w:r w:rsidRPr="00414E1B">
        <w:t xml:space="preserve"> a la </w:t>
      </w:r>
      <w:r>
        <w:t>sugerencia de realizar modificaciones a las ofertas de referencia</w:t>
      </w:r>
      <w:r w:rsidRPr="00414E1B">
        <w:t xml:space="preserve">, </w:t>
      </w:r>
      <w:r>
        <w:t xml:space="preserve">se advierte </w:t>
      </w:r>
      <w:r w:rsidRPr="00414E1B">
        <w:t xml:space="preserve">que </w:t>
      </w:r>
      <w:r w:rsidR="000F6A8D">
        <w:t xml:space="preserve">ella </w:t>
      </w:r>
      <w:r w:rsidRPr="00414E1B">
        <w:t xml:space="preserve">sale del alcance de </w:t>
      </w:r>
      <w:r>
        <w:t>la actualización de ICD</w:t>
      </w:r>
      <w:r w:rsidRPr="00414E1B">
        <w:t xml:space="preserve">, toda vez que </w:t>
      </w:r>
      <w:r>
        <w:t>el objetivo de esta consulta pública es el de analizar las Alternativas de actualización de ICD, no así la modificación a las ofertas de referencia, para lo cual existe su debido proce</w:t>
      </w:r>
      <w:r w:rsidR="0033402A">
        <w:t>dimiento</w:t>
      </w:r>
      <w:r>
        <w:t>.</w:t>
      </w:r>
    </w:p>
    <w:p w14:paraId="5A354F7E" w14:textId="77777777" w:rsidR="007E6376" w:rsidRPr="007972CC" w:rsidRDefault="00FC0013" w:rsidP="007972CC">
      <w:pPr>
        <w:pStyle w:val="Ttulo2"/>
        <w:rPr>
          <w:b/>
          <w:bCs/>
        </w:rPr>
      </w:pPr>
      <w:r w:rsidRPr="007972CC">
        <w:rPr>
          <w:b/>
          <w:bCs/>
        </w:rPr>
        <w:t>Servicio móvil</w:t>
      </w:r>
    </w:p>
    <w:p w14:paraId="08946560" w14:textId="6A4C5ECE" w:rsidR="00BB4F04" w:rsidRPr="00BB4F04" w:rsidRDefault="00BB4F04" w:rsidP="00780B1B">
      <w:pPr>
        <w:pStyle w:val="Prrafodelista"/>
        <w:numPr>
          <w:ilvl w:val="0"/>
          <w:numId w:val="1"/>
        </w:numPr>
        <w:tabs>
          <w:tab w:val="left" w:pos="3334"/>
        </w:tabs>
        <w:spacing w:after="0"/>
        <w:ind w:left="284" w:hanging="284"/>
        <w:jc w:val="both"/>
        <w:rPr>
          <w:rFonts w:cs="Arial"/>
          <w:b/>
          <w:bCs/>
        </w:rPr>
      </w:pPr>
      <w:r w:rsidRPr="00BB4F04">
        <w:rPr>
          <w:rFonts w:cs="Arial"/>
          <w:b/>
          <w:bCs/>
        </w:rPr>
        <w:t xml:space="preserve">Inclusión de ICD para </w:t>
      </w:r>
      <w:r w:rsidR="007B7C4D">
        <w:rPr>
          <w:rFonts w:cs="Arial"/>
          <w:b/>
          <w:bCs/>
        </w:rPr>
        <w:t>SMR</w:t>
      </w:r>
      <w:r w:rsidRPr="00BB4F04">
        <w:rPr>
          <w:rFonts w:cs="Arial"/>
          <w:b/>
          <w:bCs/>
        </w:rPr>
        <w:t xml:space="preserve"> de Usuario Visitante (UV) y </w:t>
      </w:r>
      <w:r w:rsidR="00585305">
        <w:rPr>
          <w:rFonts w:cs="Arial"/>
          <w:b/>
          <w:bCs/>
        </w:rPr>
        <w:t>Comercialización o Reventa de Servicios</w:t>
      </w:r>
      <w:r w:rsidRPr="00BB4F04">
        <w:rPr>
          <w:rFonts w:cs="Arial"/>
          <w:b/>
          <w:bCs/>
        </w:rPr>
        <w:t xml:space="preserve"> (OMV)</w:t>
      </w:r>
      <w:r w:rsidR="007B3390">
        <w:rPr>
          <w:rFonts w:cs="Arial"/>
          <w:b/>
          <w:bCs/>
        </w:rPr>
        <w:tab/>
      </w:r>
    </w:p>
    <w:p w14:paraId="7D900081" w14:textId="3160200F" w:rsidR="00BB4F04" w:rsidRPr="00821408" w:rsidRDefault="001F7F25" w:rsidP="009C030E">
      <w:pPr>
        <w:pStyle w:val="NormalDGDTR"/>
        <w:rPr>
          <w:lang w:val="es-EC"/>
        </w:rPr>
      </w:pPr>
      <w:r>
        <w:t xml:space="preserve">El participante </w:t>
      </w:r>
      <w:r w:rsidR="007D3451">
        <w:t>señala</w:t>
      </w:r>
      <w:r w:rsidR="00BC29C8">
        <w:t xml:space="preserve"> que hacen</w:t>
      </w:r>
      <w:r w:rsidR="00BB4F04" w:rsidRPr="00BB4F04">
        <w:t xml:space="preserve"> falta ICD asociados al SMR de UV</w:t>
      </w:r>
      <w:r w:rsidR="003B35C0">
        <w:t xml:space="preserve"> e</w:t>
      </w:r>
      <w:r w:rsidR="00BB4F04" w:rsidRPr="00BB4F04">
        <w:t xml:space="preserve"> </w:t>
      </w:r>
      <w:r w:rsidR="00181E21">
        <w:t xml:space="preserve">indica </w:t>
      </w:r>
      <w:r w:rsidR="00BB4F04" w:rsidRPr="00BB4F04">
        <w:t>que alrededor del 45% de las solicitudes de división de LAC son rechazadas por el AEPT</w:t>
      </w:r>
      <w:r w:rsidR="00BC29C8">
        <w:t>, por lo que</w:t>
      </w:r>
      <w:r w:rsidR="00BB4F04" w:rsidRPr="00BB4F04">
        <w:t xml:space="preserve"> </w:t>
      </w:r>
      <w:r w:rsidR="00BC29C8">
        <w:t>sugiere</w:t>
      </w:r>
      <w:r w:rsidR="00BB4F04" w:rsidRPr="00BB4F04">
        <w:t xml:space="preserve"> la inclusión de algún indicador que evalúe las solicitudes que el AEPT califica como no procedentes con respecto al total de las solicitudes recibidas</w:t>
      </w:r>
      <w:r w:rsidR="00BB4F04">
        <w:t xml:space="preserve"> </w:t>
      </w:r>
      <w:r w:rsidR="00BB4F04" w:rsidRPr="00BB4F04">
        <w:rPr>
          <w:b/>
          <w:bCs/>
          <w:iCs/>
          <w:color w:val="5B9BD5" w:themeColor="accent1"/>
        </w:rPr>
        <w:t>(AT&amp;T)</w:t>
      </w:r>
      <w:r w:rsidR="00BB4F04" w:rsidRPr="00BB4F04">
        <w:rPr>
          <w:iCs/>
        </w:rPr>
        <w:t>.</w:t>
      </w:r>
    </w:p>
    <w:p w14:paraId="0033D6C7" w14:textId="35EED72E" w:rsidR="007451D6" w:rsidRPr="00046BF5" w:rsidRDefault="00C53870" w:rsidP="009C030E">
      <w:pPr>
        <w:pStyle w:val="NormalDGDTR"/>
      </w:pPr>
      <w:r w:rsidRPr="00884460">
        <w:t xml:space="preserve">Para el caso </w:t>
      </w:r>
      <w:r w:rsidR="00580526" w:rsidRPr="007451D6">
        <w:t xml:space="preserve">particular </w:t>
      </w:r>
      <w:r w:rsidRPr="007451D6">
        <w:t xml:space="preserve">del </w:t>
      </w:r>
      <w:r w:rsidR="001F7F25">
        <w:t>SMR</w:t>
      </w:r>
      <w:r w:rsidRPr="007451D6">
        <w:t xml:space="preserve"> de </w:t>
      </w:r>
      <w:r w:rsidR="007207A2" w:rsidRPr="007451D6">
        <w:t>UV</w:t>
      </w:r>
      <w:r w:rsidRPr="007451D6">
        <w:t xml:space="preserve">, </w:t>
      </w:r>
      <w:r w:rsidR="00183827" w:rsidRPr="007451D6">
        <w:t>los</w:t>
      </w:r>
      <w:r w:rsidRPr="007451D6">
        <w:t xml:space="preserve"> participantes proponen </w:t>
      </w:r>
      <w:r w:rsidR="001F7F25">
        <w:t xml:space="preserve">que </w:t>
      </w:r>
      <w:r w:rsidRPr="007451D6">
        <w:t>se incluya</w:t>
      </w:r>
      <w:r w:rsidR="009A5190" w:rsidRPr="007451D6">
        <w:t xml:space="preserve">n </w:t>
      </w:r>
      <w:r w:rsidR="001F7F25">
        <w:t>ICD</w:t>
      </w:r>
      <w:r w:rsidR="009A5190" w:rsidRPr="007451D6">
        <w:t xml:space="preserve"> para</w:t>
      </w:r>
      <w:r w:rsidR="007451D6" w:rsidRPr="007451D6">
        <w:t xml:space="preserve"> el </w:t>
      </w:r>
      <w:r w:rsidR="007451D6" w:rsidRPr="00175318">
        <w:t>t</w:t>
      </w:r>
      <w:r w:rsidR="009A5190" w:rsidRPr="00175318">
        <w:t>iempo promedio de provisión del proyecto de una nueva LAC, así como los percentiles 85 y 95 de dicho tiempo,</w:t>
      </w:r>
      <w:r w:rsidR="007451D6" w:rsidRPr="00175318">
        <w:t xml:space="preserve"> el </w:t>
      </w:r>
      <w:r w:rsidR="00CC09FA" w:rsidRPr="00175318">
        <w:t>g</w:t>
      </w:r>
      <w:r w:rsidR="009A5190" w:rsidRPr="00175318">
        <w:t>rado de cumplimiento respecto a la fecha de compromiso (en porcentaje) de la provisión</w:t>
      </w:r>
      <w:r w:rsidR="00CC09FA" w:rsidRPr="00175318">
        <w:t>,</w:t>
      </w:r>
      <w:r w:rsidR="009A5190" w:rsidRPr="00175318">
        <w:t xml:space="preserve"> y</w:t>
      </w:r>
      <w:r w:rsidR="007451D6" w:rsidRPr="00175318">
        <w:t xml:space="preserve"> el </w:t>
      </w:r>
      <w:r w:rsidR="00CC09FA" w:rsidRPr="00175318">
        <w:t>p</w:t>
      </w:r>
      <w:r w:rsidR="009A5190" w:rsidRPr="00175318">
        <w:t xml:space="preserve">orcentaje de solicitudes de adecuación del tamaño de la LAC </w:t>
      </w:r>
      <w:r w:rsidR="009A5190" w:rsidRPr="001F7F25">
        <w:t>rechazadas frente al total de solicitudes de cambio de tamaño de la LAC</w:t>
      </w:r>
      <w:r w:rsidR="001F7F25" w:rsidRPr="00046BF5">
        <w:t xml:space="preserve"> </w:t>
      </w:r>
      <w:r w:rsidR="007451D6" w:rsidRPr="00046BF5">
        <w:rPr>
          <w:b/>
          <w:color w:val="5B9BD5" w:themeColor="accent1"/>
        </w:rPr>
        <w:t>(CANIETI, GTVSA y Telefónica)</w:t>
      </w:r>
      <w:r w:rsidR="007451D6" w:rsidRPr="00046BF5">
        <w:t>.</w:t>
      </w:r>
    </w:p>
    <w:p w14:paraId="7079D075" w14:textId="669E2957" w:rsidR="00D97495" w:rsidRDefault="00D97495" w:rsidP="009C030E">
      <w:pPr>
        <w:pStyle w:val="NormalDGDTR"/>
      </w:pPr>
      <w:r w:rsidRPr="00064D1F">
        <w:rPr>
          <w:lang w:val="es-ES"/>
        </w:rPr>
        <w:t xml:space="preserve">En relación con el servicio de OMV, se solicita que se establezcan tiempos promedio de </w:t>
      </w:r>
      <w:r w:rsidRPr="00064D1F">
        <w:t>respuesta</w:t>
      </w:r>
      <w:r w:rsidRPr="00064D1F">
        <w:rPr>
          <w:lang w:val="es-ES"/>
        </w:rPr>
        <w:t xml:space="preserve"> para las solicitudes de servicios adicionales (como por ejemplo Roaming Internacional, elementos de red, señalización, etc.), esto con fundamento </w:t>
      </w:r>
      <w:r w:rsidR="00A1101A">
        <w:rPr>
          <w:lang w:val="es-ES"/>
        </w:rPr>
        <w:t>en</w:t>
      </w:r>
      <w:r w:rsidRPr="00064D1F">
        <w:rPr>
          <w:lang w:val="es-ES"/>
        </w:rPr>
        <w:t xml:space="preserve"> que existen algunas solicitudes que pueden tardar semanas sin obtener una respuesta por parte de Radiomóvil Dipsa, S.A. de C.V. </w:t>
      </w:r>
      <w:r>
        <w:rPr>
          <w:b/>
          <w:iCs/>
          <w:color w:val="5B9BD5" w:themeColor="accent1"/>
        </w:rPr>
        <w:t>(</w:t>
      </w:r>
      <w:r w:rsidRPr="009869DA">
        <w:rPr>
          <w:b/>
          <w:iCs/>
          <w:color w:val="5B9BD5" w:themeColor="accent1"/>
        </w:rPr>
        <w:t>GTVSA</w:t>
      </w:r>
      <w:r>
        <w:rPr>
          <w:b/>
          <w:iCs/>
          <w:color w:val="5B9BD5" w:themeColor="accent1"/>
        </w:rPr>
        <w:t>)</w:t>
      </w:r>
      <w:r w:rsidRPr="00175318">
        <w:t>.</w:t>
      </w:r>
    </w:p>
    <w:p w14:paraId="7B6E0030" w14:textId="4A05A21C" w:rsidR="0053288D" w:rsidRPr="00414E1B" w:rsidRDefault="00717F71" w:rsidP="009C030E">
      <w:pPr>
        <w:pStyle w:val="NormalDGDTR"/>
      </w:pPr>
      <w:r>
        <w:t xml:space="preserve">En cuanto </w:t>
      </w:r>
      <w:r w:rsidR="001F7F25">
        <w:t>al SMR</w:t>
      </w:r>
      <w:r w:rsidR="007451D6" w:rsidRPr="00414E1B">
        <w:t xml:space="preserve"> de </w:t>
      </w:r>
      <w:r w:rsidR="007451D6">
        <w:t>OMV</w:t>
      </w:r>
      <w:r w:rsidR="007F244F" w:rsidRPr="00414E1B">
        <w:t xml:space="preserve">, </w:t>
      </w:r>
      <w:r w:rsidR="004A28AD" w:rsidRPr="00414E1B">
        <w:t xml:space="preserve">los participantes </w:t>
      </w:r>
      <w:r w:rsidR="007F244F" w:rsidRPr="00414E1B">
        <w:t xml:space="preserve">proponen </w:t>
      </w:r>
      <w:r w:rsidR="007451D6">
        <w:t>que se incluyan</w:t>
      </w:r>
      <w:r w:rsidR="007451D6" w:rsidRPr="00414E1B">
        <w:t xml:space="preserve"> </w:t>
      </w:r>
      <w:r w:rsidR="007F244F" w:rsidRPr="00414E1B">
        <w:t>indicadores para</w:t>
      </w:r>
      <w:r w:rsidR="007451D6">
        <w:t xml:space="preserve"> el t</w:t>
      </w:r>
      <w:r w:rsidR="007F244F" w:rsidRPr="00175318">
        <w:t>iempo medio de resolución de incidencias</w:t>
      </w:r>
      <w:r w:rsidR="0053288D" w:rsidRPr="00175318">
        <w:t>,</w:t>
      </w:r>
      <w:r w:rsidR="007451D6">
        <w:t xml:space="preserve"> </w:t>
      </w:r>
      <w:r w:rsidR="007207A2" w:rsidRPr="00175318">
        <w:t>p</w:t>
      </w:r>
      <w:r w:rsidR="007F244F" w:rsidRPr="00175318">
        <w:t>orcentaje de averías reparadas dentro del tiempo compromiso</w:t>
      </w:r>
      <w:r w:rsidR="0053288D" w:rsidRPr="00175318">
        <w:t>,</w:t>
      </w:r>
      <w:r w:rsidR="007451D6">
        <w:t xml:space="preserve"> </w:t>
      </w:r>
      <w:r w:rsidR="007207A2">
        <w:t>t</w:t>
      </w:r>
      <w:r w:rsidR="0053288D" w:rsidRPr="00414E1B">
        <w:t xml:space="preserve">asa de transmisión promedio de </w:t>
      </w:r>
      <w:r w:rsidR="0053288D" w:rsidRPr="00414E1B">
        <w:lastRenderedPageBreak/>
        <w:t>descarga (Mbytes/seg</w:t>
      </w:r>
      <w:r w:rsidR="00A47F43" w:rsidRPr="00414E1B">
        <w:t xml:space="preserve">), </w:t>
      </w:r>
      <w:r w:rsidR="00A47F43">
        <w:t>proporción</w:t>
      </w:r>
      <w:r w:rsidR="0053288D" w:rsidRPr="00414E1B">
        <w:t xml:space="preserve"> de llamadas fallidas</w:t>
      </w:r>
      <w:r w:rsidR="007451D6">
        <w:t xml:space="preserve"> </w:t>
      </w:r>
      <w:r w:rsidR="0053288D" w:rsidRPr="00414E1B">
        <w:t xml:space="preserve">y </w:t>
      </w:r>
      <w:r w:rsidR="007207A2">
        <w:t>p</w:t>
      </w:r>
      <w:r w:rsidR="0053288D" w:rsidRPr="00414E1B">
        <w:t>roporción de llamadas interrumpidas</w:t>
      </w:r>
      <w:r w:rsidR="007451D6">
        <w:t xml:space="preserve"> </w:t>
      </w:r>
      <w:r w:rsidR="005F469D">
        <w:rPr>
          <w:b/>
          <w:bCs/>
          <w:iCs/>
          <w:color w:val="5B9BD5" w:themeColor="accent1"/>
        </w:rPr>
        <w:t>(G</w:t>
      </w:r>
      <w:r w:rsidR="007451D6" w:rsidRPr="009869DA">
        <w:rPr>
          <w:b/>
          <w:bCs/>
          <w:iCs/>
          <w:color w:val="5B9BD5" w:themeColor="accent1"/>
        </w:rPr>
        <w:t xml:space="preserve">TVSA, </w:t>
      </w:r>
      <w:r w:rsidR="001E7A62" w:rsidRPr="009869DA">
        <w:rPr>
          <w:b/>
          <w:bCs/>
          <w:iCs/>
          <w:color w:val="5B9BD5" w:themeColor="accent1"/>
        </w:rPr>
        <w:t>Megacable</w:t>
      </w:r>
      <w:r w:rsidR="001E7A62">
        <w:rPr>
          <w:b/>
          <w:bCs/>
          <w:iCs/>
          <w:color w:val="5B9BD5" w:themeColor="accent1"/>
        </w:rPr>
        <w:t>,</w:t>
      </w:r>
      <w:r w:rsidR="001E7A62" w:rsidRPr="009869DA">
        <w:rPr>
          <w:b/>
          <w:bCs/>
          <w:iCs/>
          <w:color w:val="5B9BD5" w:themeColor="accent1"/>
        </w:rPr>
        <w:t xml:space="preserve"> Telefónica</w:t>
      </w:r>
      <w:r w:rsidR="007451D6">
        <w:rPr>
          <w:b/>
          <w:bCs/>
          <w:iCs/>
          <w:color w:val="5B9BD5" w:themeColor="accent1"/>
        </w:rPr>
        <w:t>)</w:t>
      </w:r>
      <w:r w:rsidR="0053288D" w:rsidRPr="00414E1B">
        <w:t>.</w:t>
      </w:r>
    </w:p>
    <w:p w14:paraId="6BD86F0B" w14:textId="3E00523D" w:rsidR="001F7F25" w:rsidRDefault="001F7F25" w:rsidP="009C030E">
      <w:pPr>
        <w:pStyle w:val="NormalDGDTR"/>
      </w:pPr>
      <w:r w:rsidRPr="00BB4F04">
        <w:t>El participante refiere no haber identificado alguna propuesta de ICD para el SMR de UV y que, para el caso de OMV, solo se proponen indicadores relacionados con la dimensión de gestión de fallas, pero no con la provisión del servicio o con su calidad, por lo cual considera no se cubre la totalidad del ciclo del servicio</w:t>
      </w:r>
      <w:r>
        <w:t xml:space="preserve"> </w:t>
      </w:r>
      <w:r w:rsidRPr="00BB4F04">
        <w:rPr>
          <w:b/>
          <w:bCs/>
          <w:iCs/>
          <w:color w:val="5B9BD5" w:themeColor="accent1"/>
        </w:rPr>
        <w:t>(Telefónica)</w:t>
      </w:r>
      <w:r>
        <w:t>.</w:t>
      </w:r>
    </w:p>
    <w:p w14:paraId="4463E77D" w14:textId="54502418" w:rsidR="0082078C" w:rsidRPr="0082078C" w:rsidRDefault="0082078C" w:rsidP="00780B1B">
      <w:pPr>
        <w:pStyle w:val="Prrafodelista"/>
        <w:numPr>
          <w:ilvl w:val="0"/>
          <w:numId w:val="1"/>
        </w:numPr>
        <w:tabs>
          <w:tab w:val="left" w:pos="3334"/>
        </w:tabs>
        <w:spacing w:after="0"/>
        <w:ind w:left="284" w:hanging="284"/>
        <w:jc w:val="both"/>
        <w:rPr>
          <w:rFonts w:cs="Arial"/>
          <w:b/>
          <w:iCs/>
          <w:color w:val="5B9BD5" w:themeColor="accent1"/>
        </w:rPr>
      </w:pPr>
      <w:r w:rsidRPr="00BB4F04">
        <w:rPr>
          <w:rFonts w:cs="Arial"/>
          <w:b/>
          <w:bCs/>
        </w:rPr>
        <w:t xml:space="preserve">Inclusión de ICD para </w:t>
      </w:r>
      <w:r w:rsidR="007B7C4D">
        <w:rPr>
          <w:rFonts w:cs="Arial"/>
          <w:b/>
          <w:bCs/>
        </w:rPr>
        <w:t>SMR</w:t>
      </w:r>
      <w:r>
        <w:rPr>
          <w:rFonts w:cs="Arial"/>
          <w:b/>
          <w:bCs/>
        </w:rPr>
        <w:t xml:space="preserve"> de compartición de infraestructura móvil</w:t>
      </w:r>
    </w:p>
    <w:p w14:paraId="07CE58FD" w14:textId="6D7E3AE5" w:rsidR="0082078C" w:rsidRPr="002C6734" w:rsidRDefault="00262E4B" w:rsidP="009C030E">
      <w:pPr>
        <w:pStyle w:val="NormalDGDTR"/>
        <w:rPr>
          <w:b/>
          <w:iCs/>
          <w:color w:val="5B9BD5" w:themeColor="accent1"/>
        </w:rPr>
      </w:pPr>
      <w:r w:rsidRPr="00A44FE1">
        <w:t xml:space="preserve">Referente </w:t>
      </w:r>
      <w:r w:rsidRPr="00D53076">
        <w:t>a</w:t>
      </w:r>
      <w:r w:rsidR="002C6734">
        <w:t>l</w:t>
      </w:r>
      <w:r w:rsidRPr="00D53076">
        <w:t xml:space="preserve"> </w:t>
      </w:r>
      <w:r>
        <w:t>SMR</w:t>
      </w:r>
      <w:r w:rsidRPr="00A44FE1">
        <w:t xml:space="preserve"> de compartición de infraestructura</w:t>
      </w:r>
      <w:r>
        <w:t xml:space="preserve"> móvil</w:t>
      </w:r>
      <w:r w:rsidRPr="00A44FE1">
        <w:t xml:space="preserve">, </w:t>
      </w:r>
      <w:r w:rsidR="002C6734">
        <w:t>l</w:t>
      </w:r>
      <w:r w:rsidR="00AD73EF">
        <w:t>os</w:t>
      </w:r>
      <w:r w:rsidRPr="00A44FE1">
        <w:t xml:space="preserve"> participante</w:t>
      </w:r>
      <w:r w:rsidR="00AD73EF">
        <w:t>s</w:t>
      </w:r>
      <w:r w:rsidRPr="00A44FE1">
        <w:t xml:space="preserve"> considera</w:t>
      </w:r>
      <w:r w:rsidR="00AD73EF">
        <w:t>n</w:t>
      </w:r>
      <w:r>
        <w:t xml:space="preserve"> que es</w:t>
      </w:r>
      <w:r w:rsidRPr="00D53076">
        <w:t xml:space="preserve"> </w:t>
      </w:r>
      <w:r w:rsidRPr="00A44FE1">
        <w:t xml:space="preserve">necesario establecer </w:t>
      </w:r>
      <w:r>
        <w:t>ICD</w:t>
      </w:r>
      <w:r w:rsidRPr="00A44FE1">
        <w:t xml:space="preserve"> </w:t>
      </w:r>
      <w:r w:rsidR="002C6734">
        <w:t xml:space="preserve">referente al </w:t>
      </w:r>
      <w:r w:rsidR="0082078C" w:rsidRPr="002C6734">
        <w:t>porcentaje de solicitudes rechazadas por falta de capacidad vacante</w:t>
      </w:r>
      <w:r w:rsidR="00AD73EF">
        <w:t xml:space="preserve"> </w:t>
      </w:r>
      <w:r w:rsidR="00AD73EF" w:rsidRPr="002C6734">
        <w:rPr>
          <w:b/>
          <w:bCs/>
          <w:iCs/>
          <w:color w:val="5B9BD5" w:themeColor="accent1"/>
        </w:rPr>
        <w:t>(</w:t>
      </w:r>
      <w:r w:rsidR="00AD73EF">
        <w:rPr>
          <w:b/>
          <w:bCs/>
          <w:iCs/>
          <w:color w:val="5B9BD5" w:themeColor="accent1"/>
        </w:rPr>
        <w:t xml:space="preserve">CANIETI Y </w:t>
      </w:r>
      <w:r w:rsidR="00AD73EF" w:rsidRPr="002C6734">
        <w:rPr>
          <w:b/>
          <w:bCs/>
          <w:iCs/>
          <w:color w:val="5B9BD5" w:themeColor="accent1"/>
        </w:rPr>
        <w:t>Telefónica)</w:t>
      </w:r>
      <w:r w:rsidR="00474021">
        <w:t xml:space="preserve">. Adicionalmente, </w:t>
      </w:r>
      <w:r w:rsidR="00AD73EF">
        <w:t xml:space="preserve">se </w:t>
      </w:r>
      <w:r w:rsidR="00474021" w:rsidRPr="00474021">
        <w:t>propone que el AEPT presente en el nivel mayorista (auto-provisión) los valores correspondientes a sus proyectos internos de ampliaciones de capacidad de los sitios ya existentes o los proyectos de incorporación de nuevas tecnologías.</w:t>
      </w:r>
      <w:r w:rsidR="002C6734">
        <w:rPr>
          <w:b/>
          <w:bCs/>
          <w:iCs/>
          <w:color w:val="5B9BD5" w:themeColor="accent1"/>
        </w:rPr>
        <w:t xml:space="preserve"> </w:t>
      </w:r>
      <w:r w:rsidR="0082078C" w:rsidRPr="002C6734">
        <w:rPr>
          <w:b/>
          <w:bCs/>
          <w:iCs/>
          <w:color w:val="5B9BD5" w:themeColor="accent1"/>
        </w:rPr>
        <w:t>(Telefónica)</w:t>
      </w:r>
      <w:r w:rsidR="0082078C" w:rsidRPr="002C6734">
        <w:rPr>
          <w:iCs/>
        </w:rPr>
        <w:t>.</w:t>
      </w:r>
      <w:r w:rsidR="00AD73EF">
        <w:rPr>
          <w:iCs/>
        </w:rPr>
        <w:t xml:space="preserve"> </w:t>
      </w:r>
    </w:p>
    <w:p w14:paraId="70A284D8" w14:textId="77777777" w:rsidR="007451D6" w:rsidRPr="00D2237D" w:rsidRDefault="007451D6" w:rsidP="00780B1B">
      <w:pPr>
        <w:pStyle w:val="Prrafodelista"/>
        <w:numPr>
          <w:ilvl w:val="0"/>
          <w:numId w:val="1"/>
        </w:numPr>
        <w:tabs>
          <w:tab w:val="left" w:pos="3334"/>
        </w:tabs>
        <w:spacing w:after="0"/>
        <w:ind w:left="284" w:hanging="284"/>
        <w:jc w:val="both"/>
        <w:rPr>
          <w:rFonts w:cs="Arial"/>
          <w:b/>
          <w:bCs/>
        </w:rPr>
      </w:pPr>
      <w:r w:rsidRPr="00D2237D">
        <w:rPr>
          <w:rFonts w:cs="Arial"/>
          <w:b/>
          <w:bCs/>
        </w:rPr>
        <w:t>Parámetros de calidad</w:t>
      </w:r>
    </w:p>
    <w:p w14:paraId="7BB594B3" w14:textId="0482C53F" w:rsidR="004C09E3" w:rsidRDefault="00C04C55" w:rsidP="009C030E">
      <w:pPr>
        <w:pStyle w:val="NormalDGDTR"/>
      </w:pPr>
      <w:r>
        <w:t>Para los servicios de OMV y UV, los participantes p</w:t>
      </w:r>
      <w:r w:rsidR="007451D6" w:rsidRPr="00414E1B">
        <w:t>lantea</w:t>
      </w:r>
      <w:r>
        <w:t>n</w:t>
      </w:r>
      <w:r w:rsidR="007451D6">
        <w:t xml:space="preserve"> que</w:t>
      </w:r>
      <w:r w:rsidR="007451D6" w:rsidRPr="00414E1B">
        <w:t xml:space="preserve"> se incorpore</w:t>
      </w:r>
      <w:r w:rsidR="007451D6">
        <w:t>n</w:t>
      </w:r>
      <w:r w:rsidR="007451D6" w:rsidRPr="00414E1B">
        <w:t xml:space="preserve"> </w:t>
      </w:r>
      <w:r>
        <w:t xml:space="preserve">los </w:t>
      </w:r>
      <w:r w:rsidR="007451D6" w:rsidRPr="00414E1B" w:rsidDel="008B3411">
        <w:t>parámetros</w:t>
      </w:r>
      <w:r w:rsidR="007451D6" w:rsidRPr="00414E1B">
        <w:t xml:space="preserve"> de calidad </w:t>
      </w:r>
      <w:r>
        <w:t xml:space="preserve">determinados por el Instituto para todos los operadores móviles </w:t>
      </w:r>
      <w:r>
        <w:rPr>
          <w:b/>
          <w:iCs/>
          <w:color w:val="5B9BD5" w:themeColor="accent1"/>
        </w:rPr>
        <w:t>(</w:t>
      </w:r>
      <w:r w:rsidRPr="009869DA">
        <w:rPr>
          <w:b/>
          <w:iCs/>
          <w:color w:val="5B9BD5" w:themeColor="accent1"/>
        </w:rPr>
        <w:t>CANIETI, GTVSA y Telefónica</w:t>
      </w:r>
      <w:r>
        <w:rPr>
          <w:b/>
          <w:iCs/>
          <w:color w:val="5B9BD5" w:themeColor="accent1"/>
        </w:rPr>
        <w:t>)</w:t>
      </w:r>
      <w:r w:rsidRPr="00414E1B">
        <w:t>.</w:t>
      </w:r>
    </w:p>
    <w:p w14:paraId="25CF4F30" w14:textId="3A367B20" w:rsidR="007451D6" w:rsidRPr="00414E1B" w:rsidRDefault="00506205" w:rsidP="009C030E">
      <w:pPr>
        <w:pStyle w:val="NormalDGDTR"/>
      </w:pPr>
      <w:r>
        <w:t>P</w:t>
      </w:r>
      <w:r w:rsidR="007451D6" w:rsidRPr="00414E1B">
        <w:t>uesto que el AEP</w:t>
      </w:r>
      <w:r w:rsidR="007451D6">
        <w:t>T</w:t>
      </w:r>
      <w:r w:rsidR="007451D6" w:rsidRPr="00414E1B">
        <w:t xml:space="preserve"> no se auto provee el servicio de </w:t>
      </w:r>
      <w:r w:rsidR="007451D6">
        <w:t>UV</w:t>
      </w:r>
      <w:r w:rsidR="007451D6" w:rsidRPr="00414E1B">
        <w:t xml:space="preserve"> ni de </w:t>
      </w:r>
      <w:r w:rsidR="007451D6">
        <w:t>OMV</w:t>
      </w:r>
      <w:r w:rsidR="007451D6" w:rsidRPr="00414E1B">
        <w:t xml:space="preserve">, para realizar una adecuada comparación entre los valores de los SMR provistos a los </w:t>
      </w:r>
      <w:r w:rsidR="007451D6">
        <w:t>C</w:t>
      </w:r>
      <w:r w:rsidR="007451D6" w:rsidRPr="00414E1B">
        <w:t xml:space="preserve">oncesionarios </w:t>
      </w:r>
      <w:r w:rsidR="007451D6">
        <w:t>S</w:t>
      </w:r>
      <w:r w:rsidR="007451D6" w:rsidRPr="00414E1B">
        <w:t>olicitantes</w:t>
      </w:r>
      <w:r w:rsidR="007451D6">
        <w:t xml:space="preserve"> (CS)</w:t>
      </w:r>
      <w:r w:rsidR="007451D6" w:rsidRPr="00414E1B">
        <w:t xml:space="preserve"> y </w:t>
      </w:r>
      <w:r w:rsidR="007451D6">
        <w:t>a</w:t>
      </w:r>
      <w:r w:rsidR="007451D6" w:rsidRPr="00414E1B">
        <w:t>l AEP</w:t>
      </w:r>
      <w:r w:rsidR="007451D6">
        <w:t>T</w:t>
      </w:r>
      <w:r w:rsidR="007451D6" w:rsidRPr="00414E1B">
        <w:t xml:space="preserve">, </w:t>
      </w:r>
      <w:r>
        <w:t xml:space="preserve">el participante </w:t>
      </w:r>
      <w:r w:rsidR="007451D6" w:rsidRPr="00414E1B">
        <w:t>propone realizar la siguiente aproximación:</w:t>
      </w:r>
    </w:p>
    <w:p w14:paraId="183385D0" w14:textId="79FFA1D6" w:rsidR="007451D6" w:rsidRPr="00414E1B" w:rsidRDefault="007451D6" w:rsidP="00780B1B">
      <w:pPr>
        <w:pStyle w:val="Prrafodelista"/>
        <w:numPr>
          <w:ilvl w:val="0"/>
          <w:numId w:val="2"/>
        </w:numPr>
        <w:tabs>
          <w:tab w:val="left" w:pos="3334"/>
        </w:tabs>
        <w:spacing w:after="0"/>
        <w:ind w:left="993"/>
        <w:jc w:val="both"/>
        <w:rPr>
          <w:rFonts w:cs="Arial"/>
        </w:rPr>
      </w:pPr>
      <w:r w:rsidRPr="00414E1B">
        <w:rPr>
          <w:rFonts w:cs="Arial"/>
        </w:rPr>
        <w:t xml:space="preserve">Considerar el servicio de redes privadas para empresas para comparar </w:t>
      </w:r>
      <w:r w:rsidR="00943F9F">
        <w:rPr>
          <w:rFonts w:cs="Arial"/>
        </w:rPr>
        <w:t xml:space="preserve">con </w:t>
      </w:r>
      <w:r w:rsidRPr="00414E1B">
        <w:rPr>
          <w:rFonts w:cs="Arial"/>
        </w:rPr>
        <w:t>el servicio que se auto proporcionaría,</w:t>
      </w:r>
    </w:p>
    <w:p w14:paraId="0BA1465F" w14:textId="77777777" w:rsidR="007451D6" w:rsidRPr="00414E1B" w:rsidRDefault="007451D6" w:rsidP="00780B1B">
      <w:pPr>
        <w:pStyle w:val="Prrafodelista"/>
        <w:numPr>
          <w:ilvl w:val="0"/>
          <w:numId w:val="2"/>
        </w:numPr>
        <w:tabs>
          <w:tab w:val="left" w:pos="3334"/>
        </w:tabs>
        <w:spacing w:after="0"/>
        <w:ind w:left="993"/>
        <w:jc w:val="both"/>
        <w:rPr>
          <w:rFonts w:cs="Arial"/>
        </w:rPr>
      </w:pPr>
      <w:r>
        <w:rPr>
          <w:rFonts w:cs="Arial"/>
        </w:rPr>
        <w:t>p</w:t>
      </w:r>
      <w:r w:rsidRPr="00414E1B">
        <w:rPr>
          <w:rFonts w:cs="Arial"/>
        </w:rPr>
        <w:t xml:space="preserve">ara el caso de </w:t>
      </w:r>
      <w:r>
        <w:rPr>
          <w:rFonts w:cs="Arial"/>
        </w:rPr>
        <w:t>UV</w:t>
      </w:r>
      <w:r w:rsidRPr="00414E1B">
        <w:rPr>
          <w:rFonts w:cs="Arial"/>
        </w:rPr>
        <w:t>, el AEP</w:t>
      </w:r>
      <w:r>
        <w:rPr>
          <w:rFonts w:cs="Arial"/>
        </w:rPr>
        <w:t>T</w:t>
      </w:r>
      <w:r w:rsidRPr="00414E1B">
        <w:rPr>
          <w:rFonts w:cs="Arial"/>
        </w:rPr>
        <w:t xml:space="preserve"> ofrecerá los datos equivalentes minoristas de sus clientes finales que están en la zona de cobertura de </w:t>
      </w:r>
      <w:r>
        <w:rPr>
          <w:rFonts w:cs="Arial"/>
        </w:rPr>
        <w:t>UV,</w:t>
      </w:r>
      <w:r w:rsidRPr="00414E1B">
        <w:rPr>
          <w:rFonts w:cs="Arial"/>
        </w:rPr>
        <w:t xml:space="preserve"> y</w:t>
      </w:r>
    </w:p>
    <w:p w14:paraId="4E9BB3D4" w14:textId="1F128F2C" w:rsidR="001E7A62" w:rsidRDefault="001E7A62" w:rsidP="00780B1B">
      <w:pPr>
        <w:pStyle w:val="Prrafodelista"/>
        <w:tabs>
          <w:tab w:val="left" w:pos="3334"/>
        </w:tabs>
        <w:spacing w:after="0"/>
        <w:ind w:left="993"/>
        <w:jc w:val="both"/>
        <w:rPr>
          <w:rFonts w:cs="Arial"/>
        </w:rPr>
      </w:pPr>
      <w:r w:rsidRPr="00175E8E">
        <w:rPr>
          <w:rFonts w:cs="Arial"/>
          <w:b/>
          <w:color w:val="5B9BD5" w:themeColor="accent1"/>
        </w:rPr>
        <w:t>(Telefónica</w:t>
      </w:r>
      <w:r>
        <w:rPr>
          <w:rFonts w:cs="Arial"/>
          <w:b/>
          <w:bCs/>
          <w:iCs/>
          <w:color w:val="5B9BD5" w:themeColor="accent1"/>
        </w:rPr>
        <w:t>)</w:t>
      </w:r>
      <w:r w:rsidRPr="00175E8E">
        <w:rPr>
          <w:rFonts w:cs="Arial"/>
        </w:rPr>
        <w:t>.</w:t>
      </w:r>
    </w:p>
    <w:p w14:paraId="00BDE2E9" w14:textId="7EBB28F9" w:rsidR="007451D6" w:rsidRPr="00953A34" w:rsidRDefault="00953A34" w:rsidP="00780B1B">
      <w:pPr>
        <w:pStyle w:val="Prrafodelista"/>
        <w:numPr>
          <w:ilvl w:val="0"/>
          <w:numId w:val="1"/>
        </w:numPr>
        <w:tabs>
          <w:tab w:val="left" w:pos="3334"/>
        </w:tabs>
        <w:spacing w:after="0"/>
        <w:ind w:left="284" w:hanging="284"/>
        <w:jc w:val="both"/>
        <w:rPr>
          <w:rFonts w:cs="Arial"/>
          <w:i/>
          <w:color w:val="5B9BD5" w:themeColor="accent1"/>
        </w:rPr>
      </w:pPr>
      <w:r w:rsidRPr="00953A34">
        <w:rPr>
          <w:rFonts w:cs="Arial"/>
          <w:b/>
          <w:bCs/>
        </w:rPr>
        <w:t>Desglose por tecnología</w:t>
      </w:r>
      <w:r>
        <w:rPr>
          <w:rFonts w:cs="Arial"/>
          <w:b/>
          <w:bCs/>
        </w:rPr>
        <w:t xml:space="preserve"> y servicio</w:t>
      </w:r>
    </w:p>
    <w:p w14:paraId="1C7A67B1" w14:textId="7D90212F" w:rsidR="00953A34" w:rsidRPr="00953A34" w:rsidRDefault="00953A34" w:rsidP="009C030E">
      <w:pPr>
        <w:pStyle w:val="NormalDGDTR"/>
        <w:rPr>
          <w:iCs/>
        </w:rPr>
      </w:pPr>
      <w:r w:rsidRPr="00414E1B">
        <w:t xml:space="preserve">Respecto a los </w:t>
      </w:r>
      <w:r>
        <w:t xml:space="preserve">ICD </w:t>
      </w:r>
      <w:r w:rsidRPr="00414E1B">
        <w:t xml:space="preserve">propuestos en la consulta pública, consideran que, para el caso del servicio móvil, estos deberían desglosarse por tecnología (2G, 3G, 4G y 5G </w:t>
      </w:r>
      <w:r w:rsidRPr="00414E1B">
        <w:lastRenderedPageBreak/>
        <w:t xml:space="preserve">cuando esté disponible) y que, para el servicio de voz, se desglose a su vez entre voz tradicional y VoLTE </w:t>
      </w:r>
      <w:r w:rsidRPr="00953A34">
        <w:rPr>
          <w:b/>
          <w:bCs/>
          <w:iCs/>
          <w:color w:val="5B9BD5" w:themeColor="accent1"/>
        </w:rPr>
        <w:t>(</w:t>
      </w:r>
      <w:r w:rsidR="003714CA">
        <w:rPr>
          <w:b/>
          <w:bCs/>
          <w:iCs/>
          <w:color w:val="5B9BD5" w:themeColor="accent1"/>
        </w:rPr>
        <w:t xml:space="preserve">CANIETI, </w:t>
      </w:r>
      <w:r w:rsidRPr="00953A34">
        <w:rPr>
          <w:b/>
          <w:bCs/>
          <w:iCs/>
          <w:color w:val="5B9BD5" w:themeColor="accent1"/>
        </w:rPr>
        <w:t>GTVSA y Telefónica)</w:t>
      </w:r>
      <w:r w:rsidRPr="00953A34">
        <w:rPr>
          <w:iCs/>
        </w:rPr>
        <w:t>.</w:t>
      </w:r>
    </w:p>
    <w:p w14:paraId="02311E0D" w14:textId="685240FC" w:rsidR="007E6376" w:rsidRPr="00414E1B" w:rsidRDefault="007E6376" w:rsidP="00777A04">
      <w:pPr>
        <w:pStyle w:val="Sinespaciado"/>
      </w:pPr>
      <w:r w:rsidRPr="00414E1B">
        <w:t xml:space="preserve">Consideraciones del Instituto </w:t>
      </w:r>
    </w:p>
    <w:p w14:paraId="49F37DDF" w14:textId="7ABDB224" w:rsidR="00506205" w:rsidRPr="000B32FC" w:rsidRDefault="00561CE7" w:rsidP="0030761A">
      <w:pPr>
        <w:pStyle w:val="Prrafodelista"/>
        <w:numPr>
          <w:ilvl w:val="0"/>
          <w:numId w:val="4"/>
        </w:numPr>
        <w:tabs>
          <w:tab w:val="left" w:pos="3334"/>
        </w:tabs>
        <w:spacing w:after="0"/>
        <w:jc w:val="both"/>
        <w:rPr>
          <w:rFonts w:cs="Arial"/>
          <w:bCs/>
        </w:rPr>
      </w:pPr>
      <w:r w:rsidRPr="0030761A">
        <w:rPr>
          <w:rFonts w:cs="Arial"/>
          <w:bCs/>
        </w:rPr>
        <w:t xml:space="preserve">Por lo que hace a los comentarios vertidos referentes a que </w:t>
      </w:r>
      <w:r w:rsidR="00544A82" w:rsidRPr="0030761A">
        <w:rPr>
          <w:rFonts w:cs="Arial"/>
          <w:bCs/>
        </w:rPr>
        <w:t>se incluyan</w:t>
      </w:r>
      <w:r w:rsidRPr="0030761A">
        <w:rPr>
          <w:rFonts w:cs="Arial"/>
          <w:bCs/>
        </w:rPr>
        <w:t xml:space="preserve"> ICD de UV</w:t>
      </w:r>
      <w:r w:rsidR="00544A82" w:rsidRPr="0030761A">
        <w:rPr>
          <w:rFonts w:cs="Arial"/>
          <w:bCs/>
        </w:rPr>
        <w:t xml:space="preserve"> y OMV</w:t>
      </w:r>
      <w:r w:rsidRPr="0030761A">
        <w:rPr>
          <w:rFonts w:cs="Arial"/>
          <w:bCs/>
        </w:rPr>
        <w:t>, se</w:t>
      </w:r>
      <w:r w:rsidR="00A807CC" w:rsidRPr="0030761A">
        <w:rPr>
          <w:rFonts w:cs="Arial"/>
          <w:bCs/>
        </w:rPr>
        <w:t xml:space="preserve"> hace la precisión que </w:t>
      </w:r>
      <w:r w:rsidR="004C25F6" w:rsidRPr="0030761A">
        <w:rPr>
          <w:rFonts w:cs="Arial"/>
          <w:bCs/>
        </w:rPr>
        <w:t>el AEPT</w:t>
      </w:r>
      <w:r w:rsidR="00F867CD" w:rsidRPr="0030761A">
        <w:rPr>
          <w:rFonts w:cs="Arial"/>
          <w:bCs/>
        </w:rPr>
        <w:t xml:space="preserve"> debe implementar la Equivalencia de Insumos en la provisión de los </w:t>
      </w:r>
      <w:r w:rsidR="00D84B15" w:rsidRPr="0030761A">
        <w:rPr>
          <w:rFonts w:cs="Arial"/>
          <w:bCs/>
        </w:rPr>
        <w:t>SMR</w:t>
      </w:r>
      <w:r w:rsidR="00F867CD" w:rsidRPr="0030761A">
        <w:rPr>
          <w:rFonts w:cs="Arial"/>
          <w:bCs/>
        </w:rPr>
        <w:t xml:space="preserve"> y deberá reportar una serie de ICD, distinguiendo entre las operaciones internas y externas, es decir</w:t>
      </w:r>
      <w:r w:rsidR="005F6F63">
        <w:rPr>
          <w:rFonts w:cs="Arial"/>
          <w:bCs/>
        </w:rPr>
        <w:t>,</w:t>
      </w:r>
      <w:r w:rsidR="00F867CD" w:rsidRPr="0030761A">
        <w:rPr>
          <w:rFonts w:cs="Arial"/>
          <w:bCs/>
        </w:rPr>
        <w:t xml:space="preserve"> entre las que se provea así mismo y a terceros</w:t>
      </w:r>
      <w:r w:rsidR="00CA50E8" w:rsidRPr="0030761A">
        <w:rPr>
          <w:rFonts w:cs="Arial"/>
          <w:bCs/>
        </w:rPr>
        <w:t>,</w:t>
      </w:r>
      <w:r w:rsidR="00F867CD" w:rsidRPr="0030761A">
        <w:rPr>
          <w:rFonts w:cs="Arial"/>
          <w:bCs/>
        </w:rPr>
        <w:t xml:space="preserve"> o bien</w:t>
      </w:r>
      <w:r w:rsidR="00CA50E8" w:rsidRPr="0030761A">
        <w:rPr>
          <w:rFonts w:cs="Arial"/>
          <w:bCs/>
        </w:rPr>
        <w:t>, para los casos en los que se pueda comparar la provisión minorista de</w:t>
      </w:r>
      <w:r w:rsidR="004C25F6" w:rsidRPr="0030761A">
        <w:rPr>
          <w:rFonts w:cs="Arial"/>
          <w:bCs/>
        </w:rPr>
        <w:t xml:space="preserve">l AEPT </w:t>
      </w:r>
      <w:r w:rsidR="00CA50E8" w:rsidRPr="0030761A">
        <w:rPr>
          <w:rFonts w:cs="Arial"/>
          <w:bCs/>
        </w:rPr>
        <w:t>con la provisión de servicios externos, siempre que sea posible y cuando la provisión de servicios internos no esté disponible. Ahora bien, dependiendo de la naturaleza del servicio y los procesos establecidos en las ofertas de referencia, se</w:t>
      </w:r>
      <w:r w:rsidR="0030761A" w:rsidRPr="0030761A">
        <w:rPr>
          <w:rFonts w:cs="Arial"/>
          <w:bCs/>
        </w:rPr>
        <w:t xml:space="preserve"> </w:t>
      </w:r>
      <w:r w:rsidR="00CA50E8" w:rsidRPr="0030761A">
        <w:rPr>
          <w:rFonts w:cs="Arial"/>
          <w:bCs/>
        </w:rPr>
        <w:t>podría considerar si son replicables por la provisión interna</w:t>
      </w:r>
      <w:r w:rsidR="0030761A" w:rsidRPr="0030761A">
        <w:rPr>
          <w:rFonts w:cs="Arial"/>
          <w:bCs/>
        </w:rPr>
        <w:t xml:space="preserve"> y, en su caso, </w:t>
      </w:r>
      <w:r w:rsidR="00506205" w:rsidRPr="000B32FC">
        <w:t xml:space="preserve">determinar la viabilidad de su inclusión, </w:t>
      </w:r>
      <w:r w:rsidR="00506205" w:rsidRPr="000B32FC">
        <w:rPr>
          <w:rFonts w:cs="Arial"/>
          <w:bCs/>
        </w:rPr>
        <w:t>es decir, tomando en consideración que sean servicios comparables.</w:t>
      </w:r>
      <w:r w:rsidR="00E07EC3" w:rsidRPr="000B32FC">
        <w:rPr>
          <w:rFonts w:cs="Arial"/>
          <w:bCs/>
        </w:rPr>
        <w:t xml:space="preserve"> </w:t>
      </w:r>
    </w:p>
    <w:p w14:paraId="19107BF4" w14:textId="461827A7" w:rsidR="0040404B" w:rsidRDefault="0030761A" w:rsidP="0030761A">
      <w:pPr>
        <w:pStyle w:val="Prrafodelista"/>
        <w:tabs>
          <w:tab w:val="left" w:pos="3334"/>
        </w:tabs>
        <w:spacing w:after="0"/>
        <w:ind w:left="360"/>
        <w:jc w:val="both"/>
        <w:rPr>
          <w:rFonts w:cs="Arial"/>
          <w:bCs/>
        </w:rPr>
      </w:pPr>
      <w:r>
        <w:rPr>
          <w:rFonts w:cs="Arial"/>
          <w:bCs/>
        </w:rPr>
        <w:t xml:space="preserve">Para el caso particular de UV, </w:t>
      </w:r>
      <w:r w:rsidR="00BF647D">
        <w:rPr>
          <w:rFonts w:cs="Arial"/>
          <w:bCs/>
        </w:rPr>
        <w:t xml:space="preserve">es de precisar que </w:t>
      </w:r>
      <w:r>
        <w:rPr>
          <w:rFonts w:cs="Arial"/>
          <w:bCs/>
        </w:rPr>
        <w:t xml:space="preserve">este servicio </w:t>
      </w:r>
      <w:r w:rsidRPr="00CA50E8">
        <w:rPr>
          <w:rFonts w:cs="Arial"/>
          <w:bCs/>
        </w:rPr>
        <w:t>no existe para los usuarios de Telcel en su propia red</w:t>
      </w:r>
      <w:r w:rsidR="00BF647D">
        <w:rPr>
          <w:rFonts w:cs="Arial"/>
          <w:bCs/>
        </w:rPr>
        <w:t xml:space="preserve">, por lo que las solicitudes entorno a incluir ICD referente a </w:t>
      </w:r>
      <w:r w:rsidR="00C477D0">
        <w:rPr>
          <w:rFonts w:cs="Arial"/>
          <w:bCs/>
        </w:rPr>
        <w:t xml:space="preserve">evaluación de rechazos por división de LAC o de proyectos de </w:t>
      </w:r>
      <w:r w:rsidR="00BF647D">
        <w:rPr>
          <w:rFonts w:cs="Arial"/>
          <w:bCs/>
        </w:rPr>
        <w:t xml:space="preserve">nuevas LAC </w:t>
      </w:r>
      <w:r w:rsidR="00C477D0">
        <w:rPr>
          <w:rFonts w:cs="Arial"/>
          <w:bCs/>
        </w:rPr>
        <w:t>para este servicio no sería comparable</w:t>
      </w:r>
      <w:r>
        <w:rPr>
          <w:rFonts w:cs="Arial"/>
          <w:bCs/>
        </w:rPr>
        <w:t xml:space="preserve">. No obstante, se indica que existen otros instrumentos emitidos por el Instituto donde se </w:t>
      </w:r>
      <w:r w:rsidRPr="00CA50E8">
        <w:rPr>
          <w:rFonts w:cs="Arial"/>
          <w:bCs/>
        </w:rPr>
        <w:t>contempla que la obligación de mantener los parámetros mínimos de calidad recae en el concesionario que brinda el servicio de usuario visitante</w:t>
      </w:r>
      <w:r>
        <w:rPr>
          <w:rFonts w:cs="Arial"/>
          <w:bCs/>
        </w:rPr>
        <w:t xml:space="preserve">. </w:t>
      </w:r>
    </w:p>
    <w:p w14:paraId="7670A367" w14:textId="5A681413" w:rsidR="0030761A" w:rsidRDefault="0030761A" w:rsidP="0030761A">
      <w:pPr>
        <w:pStyle w:val="Prrafodelista"/>
        <w:tabs>
          <w:tab w:val="left" w:pos="3334"/>
        </w:tabs>
        <w:spacing w:after="0"/>
        <w:ind w:left="360"/>
        <w:jc w:val="both"/>
        <w:rPr>
          <w:rFonts w:cs="Arial"/>
          <w:bCs/>
        </w:rPr>
      </w:pPr>
      <w:r>
        <w:rPr>
          <w:rFonts w:cs="Arial"/>
          <w:bCs/>
        </w:rPr>
        <w:t>Respecto del servicio de OMV, su naturaleza es</w:t>
      </w:r>
      <w:r w:rsidRPr="00CD51A1">
        <w:rPr>
          <w:rFonts w:cs="Arial"/>
          <w:bCs/>
        </w:rPr>
        <w:t xml:space="preserve"> diferente al servicio provisto por </w:t>
      </w:r>
      <w:r>
        <w:rPr>
          <w:rFonts w:cs="Arial"/>
          <w:bCs/>
        </w:rPr>
        <w:t>el AEPT</w:t>
      </w:r>
      <w:r w:rsidRPr="00CD51A1">
        <w:rPr>
          <w:rFonts w:cs="Arial"/>
          <w:bCs/>
        </w:rPr>
        <w:t xml:space="preserve"> a nivel minorista. Esto se debe a que los OMV adquieren capacidad para servir a cientos / miles de clientes, lo que no es comparable con el servicio minorista prestado a un usuario móvil</w:t>
      </w:r>
      <w:r w:rsidR="002D3DD7">
        <w:rPr>
          <w:rFonts w:cs="Arial"/>
          <w:bCs/>
        </w:rPr>
        <w:t>, sin embargo, para la solución de incidencias, en la oferta de referencia se contempla que para los OMV Completos y/o habilitador de red, Telcel deberá replicar</w:t>
      </w:r>
      <w:r w:rsidR="002D3DD7" w:rsidRPr="002D3DD7">
        <w:rPr>
          <w:rFonts w:cs="Arial"/>
          <w:bCs/>
        </w:rPr>
        <w:t xml:space="preserve"> los procesos implementados en su red para la atención de </w:t>
      </w:r>
      <w:r w:rsidR="002D3DD7">
        <w:rPr>
          <w:rFonts w:cs="Arial"/>
          <w:bCs/>
        </w:rPr>
        <w:t>estos</w:t>
      </w:r>
      <w:r w:rsidR="002D3DD7" w:rsidRPr="002D3DD7">
        <w:rPr>
          <w:rFonts w:cs="Arial"/>
          <w:bCs/>
        </w:rPr>
        <w:t>,</w:t>
      </w:r>
      <w:r w:rsidR="002D3DD7">
        <w:rPr>
          <w:rFonts w:cs="Arial"/>
          <w:bCs/>
        </w:rPr>
        <w:t xml:space="preserve"> por lo que </w:t>
      </w:r>
      <w:r w:rsidR="0040404B">
        <w:rPr>
          <w:rFonts w:cs="Arial"/>
          <w:bCs/>
        </w:rPr>
        <w:t xml:space="preserve">en la propuesta de Alternativas de ICD se </w:t>
      </w:r>
      <w:r w:rsidR="004E08EC">
        <w:rPr>
          <w:rFonts w:cs="Arial"/>
          <w:bCs/>
        </w:rPr>
        <w:t>analizó la viabilidad de establecer</w:t>
      </w:r>
      <w:r w:rsidR="0040404B">
        <w:rPr>
          <w:rFonts w:cs="Arial"/>
          <w:bCs/>
        </w:rPr>
        <w:t xml:space="preserve"> indicadores en este sentido</w:t>
      </w:r>
      <w:r w:rsidRPr="00CD51A1">
        <w:rPr>
          <w:rFonts w:cs="Arial"/>
          <w:bCs/>
        </w:rPr>
        <w:t>.</w:t>
      </w:r>
    </w:p>
    <w:p w14:paraId="0EDFCCDB" w14:textId="3B48B24E" w:rsidR="00474021" w:rsidRPr="00474021" w:rsidRDefault="00BB0B29" w:rsidP="00822B92">
      <w:pPr>
        <w:pStyle w:val="Prrafodelista"/>
        <w:numPr>
          <w:ilvl w:val="0"/>
          <w:numId w:val="4"/>
        </w:numPr>
        <w:tabs>
          <w:tab w:val="left" w:pos="3334"/>
        </w:tabs>
        <w:spacing w:after="0"/>
        <w:jc w:val="both"/>
        <w:rPr>
          <w:rFonts w:cs="Arial"/>
          <w:bCs/>
        </w:rPr>
      </w:pPr>
      <w:r>
        <w:rPr>
          <w:rFonts w:cs="Arial"/>
          <w:bCs/>
        </w:rPr>
        <w:t>Referente</w:t>
      </w:r>
      <w:r w:rsidR="002C6734" w:rsidRPr="00474021">
        <w:rPr>
          <w:rFonts w:cs="Arial"/>
          <w:bCs/>
        </w:rPr>
        <w:t xml:space="preserve"> a la propuesta de</w:t>
      </w:r>
      <w:r w:rsidR="00474021" w:rsidRPr="00474021">
        <w:rPr>
          <w:rFonts w:cs="Arial"/>
          <w:bCs/>
        </w:rPr>
        <w:t xml:space="preserve"> la inclusión de</w:t>
      </w:r>
      <w:r w:rsidR="00047F5D" w:rsidRPr="00474021">
        <w:rPr>
          <w:rFonts w:cs="Arial"/>
          <w:bCs/>
        </w:rPr>
        <w:t>l</w:t>
      </w:r>
      <w:r w:rsidR="002C6734" w:rsidRPr="00474021">
        <w:rPr>
          <w:rFonts w:cs="Arial"/>
          <w:bCs/>
        </w:rPr>
        <w:t xml:space="preserve"> ICD m</w:t>
      </w:r>
      <w:r w:rsidR="002C6734" w:rsidRPr="00474021">
        <w:rPr>
          <w:rFonts w:cs="Arial"/>
        </w:rPr>
        <w:t xml:space="preserve">encionado, </w:t>
      </w:r>
      <w:r w:rsidR="00474021" w:rsidRPr="00474021">
        <w:rPr>
          <w:rFonts w:cs="Arial"/>
        </w:rPr>
        <w:t xml:space="preserve">así como el requerimiento de incluir los planes de proyectos internos de ampliaciones de capacidad de sitios existente, </w:t>
      </w:r>
      <w:r w:rsidR="00474021">
        <w:rPr>
          <w:rFonts w:cs="Arial"/>
        </w:rPr>
        <w:t>s</w:t>
      </w:r>
      <w:r w:rsidR="002C6734" w:rsidRPr="00474021">
        <w:rPr>
          <w:rFonts w:cs="Arial"/>
        </w:rPr>
        <w:t xml:space="preserve">e indica que se valoró la propuesta, </w:t>
      </w:r>
      <w:r w:rsidR="00474021" w:rsidRPr="00474021">
        <w:rPr>
          <w:rFonts w:cs="Arial"/>
        </w:rPr>
        <w:t xml:space="preserve">en términos de la utilidad para cumplir con el objetivo </w:t>
      </w:r>
      <w:r w:rsidR="00205761" w:rsidRPr="00205761">
        <w:rPr>
          <w:rFonts w:cs="Arial"/>
        </w:rPr>
        <w:t>de la implementación de la equivalencia de insumos</w:t>
      </w:r>
      <w:r w:rsidR="00205761">
        <w:rPr>
          <w:rFonts w:cs="Arial"/>
        </w:rPr>
        <w:t xml:space="preserve"> y </w:t>
      </w:r>
      <w:r w:rsidR="00205761" w:rsidRPr="00E07C5A">
        <w:rPr>
          <w:rFonts w:cs="Arial"/>
        </w:rPr>
        <w:t>el principio de no discriminación</w:t>
      </w:r>
      <w:r w:rsidR="00474021" w:rsidRPr="00474021">
        <w:rPr>
          <w:rFonts w:cs="Arial"/>
        </w:rPr>
        <w:t xml:space="preserve"> por la que los ICD fueron mandatados</w:t>
      </w:r>
      <w:r w:rsidR="00474021">
        <w:rPr>
          <w:rFonts w:cs="Arial"/>
        </w:rPr>
        <w:t>.</w:t>
      </w:r>
    </w:p>
    <w:p w14:paraId="0A633CBA" w14:textId="3DAF5C02" w:rsidR="00C04C55" w:rsidRDefault="00C04C55" w:rsidP="00822B92">
      <w:pPr>
        <w:pStyle w:val="Prrafodelista"/>
        <w:numPr>
          <w:ilvl w:val="0"/>
          <w:numId w:val="4"/>
        </w:numPr>
        <w:tabs>
          <w:tab w:val="left" w:pos="3334"/>
        </w:tabs>
        <w:spacing w:after="0"/>
        <w:jc w:val="both"/>
        <w:rPr>
          <w:rFonts w:cs="Arial"/>
          <w:bCs/>
        </w:rPr>
      </w:pPr>
      <w:r w:rsidRPr="00AC5FAD">
        <w:rPr>
          <w:rFonts w:cs="Arial"/>
          <w:bCs/>
        </w:rPr>
        <w:t>Respecto</w:t>
      </w:r>
      <w:r>
        <w:rPr>
          <w:rFonts w:cs="Arial"/>
          <w:bCs/>
        </w:rPr>
        <w:t xml:space="preserve"> </w:t>
      </w:r>
      <w:r w:rsidRPr="00AC5FAD">
        <w:rPr>
          <w:rFonts w:cs="Arial"/>
          <w:bCs/>
        </w:rPr>
        <w:t xml:space="preserve">a </w:t>
      </w:r>
      <w:r w:rsidRPr="00884460">
        <w:rPr>
          <w:rFonts w:cs="Arial"/>
          <w:bCs/>
        </w:rPr>
        <w:t xml:space="preserve">incorporar </w:t>
      </w:r>
      <w:r w:rsidR="003F3FF1">
        <w:rPr>
          <w:rFonts w:cs="Arial"/>
          <w:bCs/>
        </w:rPr>
        <w:t xml:space="preserve">indicadores de </w:t>
      </w:r>
      <w:r w:rsidRPr="00884460">
        <w:rPr>
          <w:rFonts w:cs="Arial"/>
          <w:bCs/>
        </w:rPr>
        <w:t>parámetros de calidad</w:t>
      </w:r>
      <w:r w:rsidR="003F3FF1">
        <w:rPr>
          <w:rFonts w:cs="Arial"/>
          <w:bCs/>
        </w:rPr>
        <w:t xml:space="preserve"> adicionales</w:t>
      </w:r>
      <w:r w:rsidRPr="00884460">
        <w:rPr>
          <w:rFonts w:cs="Arial"/>
          <w:bCs/>
        </w:rPr>
        <w:t xml:space="preserve">, </w:t>
      </w:r>
      <w:r w:rsidRPr="00867CAC">
        <w:rPr>
          <w:rFonts w:cs="Arial"/>
          <w:bCs/>
        </w:rPr>
        <w:t xml:space="preserve">se precisa que actualmente los indicadores de calidad ya son monitoreados en </w:t>
      </w:r>
      <w:r w:rsidRPr="00867CAC">
        <w:rPr>
          <w:rFonts w:cs="Arial"/>
          <w:bCs/>
        </w:rPr>
        <w:lastRenderedPageBreak/>
        <w:t>diversos instrumentos</w:t>
      </w:r>
      <w:r w:rsidRPr="00AC5FAD">
        <w:rPr>
          <w:rFonts w:cs="Arial"/>
          <w:bCs/>
        </w:rPr>
        <w:t>. A</w:t>
      </w:r>
      <w:r w:rsidRPr="00867CAC">
        <w:rPr>
          <w:rFonts w:cs="Arial"/>
          <w:bCs/>
        </w:rPr>
        <w:t xml:space="preserve">demás, es importante señalar que el objetivo principal de los ICD es </w:t>
      </w:r>
      <w:r w:rsidR="00D16172">
        <w:rPr>
          <w:rFonts w:cs="Arial"/>
          <w:bCs/>
        </w:rPr>
        <w:t>llevar a cabo el seguimiento</w:t>
      </w:r>
      <w:r w:rsidRPr="00867CAC">
        <w:rPr>
          <w:rFonts w:cs="Arial"/>
          <w:bCs/>
        </w:rPr>
        <w:t xml:space="preserve"> </w:t>
      </w:r>
      <w:r w:rsidR="00205761" w:rsidRPr="00205761">
        <w:rPr>
          <w:rFonts w:cs="Arial"/>
        </w:rPr>
        <w:t>de la implementación de la equivalencia de insumos</w:t>
      </w:r>
      <w:r w:rsidR="00205761">
        <w:rPr>
          <w:rFonts w:cs="Arial"/>
        </w:rPr>
        <w:t xml:space="preserve"> y </w:t>
      </w:r>
      <w:r w:rsidR="00205761" w:rsidRPr="00E07C5A">
        <w:rPr>
          <w:rFonts w:cs="Arial"/>
        </w:rPr>
        <w:t>el principio de no discriminación</w:t>
      </w:r>
      <w:r w:rsidRPr="00867CAC">
        <w:rPr>
          <w:rFonts w:cs="Arial"/>
          <w:bCs/>
        </w:rPr>
        <w:t xml:space="preserve"> en la provisió</w:t>
      </w:r>
      <w:r>
        <w:rPr>
          <w:rFonts w:cs="Arial"/>
          <w:bCs/>
        </w:rPr>
        <w:t>n</w:t>
      </w:r>
      <w:r w:rsidRPr="00AC5FAD">
        <w:rPr>
          <w:rFonts w:cs="Arial"/>
          <w:bCs/>
        </w:rPr>
        <w:t xml:space="preserve"> </w:t>
      </w:r>
      <w:r w:rsidRPr="00884460">
        <w:rPr>
          <w:rFonts w:cs="Arial"/>
          <w:bCs/>
        </w:rPr>
        <w:t>de los SMR</w:t>
      </w:r>
      <w:r w:rsidR="004E08EC">
        <w:rPr>
          <w:rFonts w:cs="Arial"/>
          <w:bCs/>
        </w:rPr>
        <w:t>;</w:t>
      </w:r>
      <w:r w:rsidRPr="00867CAC">
        <w:rPr>
          <w:rFonts w:cs="Arial"/>
          <w:bCs/>
        </w:rPr>
        <w:t xml:space="preserve"> </w:t>
      </w:r>
      <w:r w:rsidR="00483FAD">
        <w:rPr>
          <w:rFonts w:cs="Arial"/>
          <w:bCs/>
        </w:rPr>
        <w:t>además,</w:t>
      </w:r>
      <w:r w:rsidRPr="00B55B5F">
        <w:rPr>
          <w:rFonts w:cs="Arial"/>
          <w:bCs/>
        </w:rPr>
        <w:t xml:space="preserve"> </w:t>
      </w:r>
      <w:r w:rsidR="00483FAD">
        <w:rPr>
          <w:rFonts w:cs="Arial"/>
          <w:bCs/>
        </w:rPr>
        <w:t>s</w:t>
      </w:r>
      <w:r w:rsidR="00D16172">
        <w:rPr>
          <w:rFonts w:cs="Arial"/>
          <w:bCs/>
        </w:rPr>
        <w:t>e puntualiza que l</w:t>
      </w:r>
      <w:r w:rsidRPr="00AC5FAD">
        <w:rPr>
          <w:rFonts w:cs="Arial"/>
          <w:bCs/>
        </w:rPr>
        <w:t>os ICD</w:t>
      </w:r>
      <w:r w:rsidRPr="00884460">
        <w:rPr>
          <w:rFonts w:cs="Arial"/>
          <w:bCs/>
        </w:rPr>
        <w:t xml:space="preserve"> propuestos</w:t>
      </w:r>
      <w:r w:rsidRPr="00867CAC">
        <w:rPr>
          <w:rFonts w:cs="Arial"/>
          <w:bCs/>
        </w:rPr>
        <w:t xml:space="preserve"> fueron valorados considerando lo establecido en las ofertas de referencia vigentes</w:t>
      </w:r>
      <w:r>
        <w:rPr>
          <w:rFonts w:cs="Arial"/>
          <w:bCs/>
        </w:rPr>
        <w:t>, las etapas en el proceso de prestación de servicio, así como la evolución de los servicios</w:t>
      </w:r>
      <w:r w:rsidR="00D16172">
        <w:rPr>
          <w:rFonts w:cs="Arial"/>
          <w:bCs/>
        </w:rPr>
        <w:t xml:space="preserve">, por lo que definir ICD fuera de esto, </w:t>
      </w:r>
      <w:r w:rsidR="00D16172">
        <w:rPr>
          <w:rFonts w:cs="Arial"/>
        </w:rPr>
        <w:t>excede el alcance del proyecto</w:t>
      </w:r>
      <w:r>
        <w:rPr>
          <w:rFonts w:cs="Arial"/>
          <w:bCs/>
        </w:rPr>
        <w:t xml:space="preserve">. </w:t>
      </w:r>
    </w:p>
    <w:p w14:paraId="15A219F1" w14:textId="25FE77C1" w:rsidR="008832AD" w:rsidRDefault="008832AD" w:rsidP="00213549">
      <w:pPr>
        <w:pStyle w:val="Prrafodelista"/>
        <w:tabs>
          <w:tab w:val="left" w:pos="3334"/>
        </w:tabs>
        <w:spacing w:after="0"/>
        <w:ind w:left="360"/>
        <w:jc w:val="both"/>
        <w:rPr>
          <w:rFonts w:cs="Arial"/>
          <w:bCs/>
        </w:rPr>
      </w:pPr>
      <w:r>
        <w:rPr>
          <w:rFonts w:cs="Arial"/>
          <w:bCs/>
        </w:rPr>
        <w:t xml:space="preserve">Por lo que hace a la aproximación sugerida por el participante para el caso de UV y OMV que </w:t>
      </w:r>
      <w:r w:rsidRPr="00414E1B">
        <w:rPr>
          <w:rFonts w:cs="Arial"/>
        </w:rPr>
        <w:t>el AEP</w:t>
      </w:r>
      <w:r>
        <w:rPr>
          <w:rFonts w:cs="Arial"/>
        </w:rPr>
        <w:t>T</w:t>
      </w:r>
      <w:r w:rsidRPr="00414E1B">
        <w:rPr>
          <w:rFonts w:cs="Arial"/>
        </w:rPr>
        <w:t xml:space="preserve"> no se auto provee</w:t>
      </w:r>
      <w:r>
        <w:rPr>
          <w:rFonts w:cs="Arial"/>
        </w:rPr>
        <w:t xml:space="preserve">, tal como se mencionó en el inciso </w:t>
      </w:r>
      <w:r w:rsidR="00526FFF">
        <w:rPr>
          <w:rFonts w:cs="Arial"/>
        </w:rPr>
        <w:t>“</w:t>
      </w:r>
      <w:r>
        <w:rPr>
          <w:rFonts w:cs="Arial"/>
        </w:rPr>
        <w:t>a</w:t>
      </w:r>
      <w:r w:rsidR="00526FFF">
        <w:rPr>
          <w:rFonts w:cs="Arial"/>
        </w:rPr>
        <w:t>”</w:t>
      </w:r>
      <w:r>
        <w:rPr>
          <w:rFonts w:cs="Arial"/>
        </w:rPr>
        <w:t xml:space="preserve"> de las consideraciones del Instituto, </w:t>
      </w:r>
      <w:r w:rsidR="00B17F19">
        <w:rPr>
          <w:rFonts w:cs="Arial"/>
        </w:rPr>
        <w:t>l</w:t>
      </w:r>
      <w:r w:rsidR="00A0739D" w:rsidRPr="00A0739D">
        <w:rPr>
          <w:rFonts w:cs="Arial"/>
        </w:rPr>
        <w:t>a comparación con la provisión minorista del AEPT solo se contempla en aquellos casos en los que</w:t>
      </w:r>
      <w:r w:rsidR="00B17F19">
        <w:rPr>
          <w:rFonts w:cs="Arial"/>
        </w:rPr>
        <w:t xml:space="preserve"> sea posible y</w:t>
      </w:r>
      <w:r w:rsidR="00A0739D" w:rsidRPr="00A0739D">
        <w:rPr>
          <w:rFonts w:cs="Arial"/>
        </w:rPr>
        <w:t xml:space="preserve"> la comparación interna no es posible debido a la falta de auto</w:t>
      </w:r>
      <w:r w:rsidR="00B17F19">
        <w:rPr>
          <w:rFonts w:cs="Arial"/>
        </w:rPr>
        <w:t xml:space="preserve"> </w:t>
      </w:r>
      <w:r w:rsidR="00A0739D" w:rsidRPr="00A0739D">
        <w:rPr>
          <w:rFonts w:cs="Arial"/>
        </w:rPr>
        <w:t>provisión. Ello se debe a que el objetivo de la regulación de ICD es garantizar la no discriminación en la provisión mayorista de los SMR</w:t>
      </w:r>
      <w:r w:rsidR="00B17F19">
        <w:rPr>
          <w:rFonts w:cs="Arial"/>
        </w:rPr>
        <w:t>.</w:t>
      </w:r>
    </w:p>
    <w:p w14:paraId="2BA7438A" w14:textId="403F7424" w:rsidR="00BB0B29" w:rsidRPr="00E47ABD" w:rsidRDefault="00BB0B29" w:rsidP="00E47ABD">
      <w:pPr>
        <w:pStyle w:val="Prrafodelista"/>
        <w:numPr>
          <w:ilvl w:val="0"/>
          <w:numId w:val="4"/>
        </w:numPr>
        <w:tabs>
          <w:tab w:val="left" w:pos="3334"/>
        </w:tabs>
        <w:spacing w:after="0"/>
        <w:jc w:val="both"/>
        <w:rPr>
          <w:rFonts w:cs="Arial"/>
          <w:bCs/>
        </w:rPr>
      </w:pPr>
      <w:r w:rsidRPr="00E47ABD">
        <w:rPr>
          <w:rFonts w:cs="Arial"/>
          <w:bCs/>
        </w:rPr>
        <w:t xml:space="preserve">En torno a la propuesta de desagregar la entrega </w:t>
      </w:r>
      <w:r w:rsidR="00E25254" w:rsidRPr="00E47ABD">
        <w:rPr>
          <w:rFonts w:cs="Arial"/>
          <w:bCs/>
        </w:rPr>
        <w:t>de ICD</w:t>
      </w:r>
      <w:r w:rsidRPr="00E47ABD">
        <w:rPr>
          <w:rFonts w:cs="Arial"/>
          <w:bCs/>
        </w:rPr>
        <w:t xml:space="preserve"> por tecnología y servicios, </w:t>
      </w:r>
      <w:r w:rsidRPr="00E47ABD">
        <w:rPr>
          <w:rFonts w:cs="Arial"/>
        </w:rPr>
        <w:t xml:space="preserve">se indica que </w:t>
      </w:r>
      <w:r w:rsidR="00423DDB" w:rsidRPr="00E47ABD">
        <w:rPr>
          <w:rFonts w:cs="Arial"/>
        </w:rPr>
        <w:t>en el segmento móvil no se contempla la necesidad de una mayor desagregación. Si bien la tecnología ha evolucionado, el servicio provisto al cliente final se basa en una combinación de las tecnologías disponibles, dependiendo de la cobertura de la zona en la que se sitúe el usuario final. Esto es, el cliente final no contrata servicios móviles de tecnología 2G o 3G, sino que contrata servicios de voz, mensajes, datos o valor añadido. Adicionalmente, se considera</w:t>
      </w:r>
      <w:r w:rsidR="00423DDB" w:rsidRPr="00E47ABD">
        <w:rPr>
          <w:rFonts w:cs="Arial"/>
          <w:bCs/>
          <w:lang w:val="es-EC"/>
        </w:rPr>
        <w:t xml:space="preserve"> relevante </w:t>
      </w:r>
      <w:r w:rsidR="00E47ABD" w:rsidRPr="00E47ABD">
        <w:rPr>
          <w:rFonts w:cs="Arial"/>
          <w:bCs/>
          <w:lang w:val="es-EC"/>
        </w:rPr>
        <w:t>precisar</w:t>
      </w:r>
      <w:r w:rsidR="00423DDB" w:rsidRPr="00E47ABD">
        <w:rPr>
          <w:rFonts w:cs="Arial"/>
          <w:bCs/>
          <w:lang w:val="es-EC"/>
        </w:rPr>
        <w:t xml:space="preserve"> que el objetivo de los ICD es el de dar seguimiento </w:t>
      </w:r>
      <w:r w:rsidR="00B034A1">
        <w:rPr>
          <w:rFonts w:cs="Arial"/>
          <w:bCs/>
          <w:lang w:val="es-EC"/>
        </w:rPr>
        <w:t>a</w:t>
      </w:r>
      <w:r w:rsidR="00423DDB" w:rsidRPr="00E47ABD">
        <w:rPr>
          <w:rFonts w:cs="Arial"/>
          <w:bCs/>
          <w:lang w:val="es-EC"/>
        </w:rPr>
        <w:t xml:space="preserve"> </w:t>
      </w:r>
      <w:r w:rsidR="00423DDB" w:rsidRPr="00E47ABD">
        <w:rPr>
          <w:rFonts w:cs="Arial"/>
        </w:rPr>
        <w:t>la implementación de la equivalencia de insumos y el principio de no discriminación</w:t>
      </w:r>
      <w:r w:rsidR="00423DDB" w:rsidRPr="000B32FC">
        <w:rPr>
          <w:rFonts w:cs="Arial"/>
          <w:bCs/>
          <w:lang w:val="es-EC"/>
        </w:rPr>
        <w:t xml:space="preserve"> entre la provisión de SMR extern</w:t>
      </w:r>
      <w:r w:rsidR="00423DDB" w:rsidRPr="00E47ABD">
        <w:rPr>
          <w:rFonts w:cs="Arial"/>
          <w:bCs/>
          <w:lang w:val="es-EC"/>
        </w:rPr>
        <w:t>os</w:t>
      </w:r>
      <w:r w:rsidR="00423DDB" w:rsidRPr="000B32FC">
        <w:rPr>
          <w:rFonts w:cs="Arial"/>
          <w:bCs/>
          <w:lang w:val="es-EC"/>
        </w:rPr>
        <w:t xml:space="preserve"> e intern</w:t>
      </w:r>
      <w:r w:rsidR="00423DDB" w:rsidRPr="00E47ABD">
        <w:rPr>
          <w:rFonts w:cs="Arial"/>
          <w:bCs/>
          <w:lang w:val="es-EC"/>
        </w:rPr>
        <w:t>os</w:t>
      </w:r>
      <w:r w:rsidR="00423DDB" w:rsidRPr="000B32FC">
        <w:rPr>
          <w:rFonts w:cs="Arial"/>
          <w:bCs/>
          <w:lang w:val="es-EC"/>
        </w:rPr>
        <w:t xml:space="preserve"> y que los valores de cumplimiento de los parámetros de calidad, por tecnología, se encuentran mandatados en </w:t>
      </w:r>
      <w:r w:rsidR="00E040C0">
        <w:rPr>
          <w:rFonts w:cs="Arial"/>
          <w:bCs/>
          <w:lang w:val="es-EC"/>
        </w:rPr>
        <w:t>otros instrumentos</w:t>
      </w:r>
      <w:r w:rsidR="00423DDB" w:rsidRPr="000B32FC">
        <w:rPr>
          <w:rFonts w:cs="Arial"/>
          <w:bCs/>
          <w:lang w:val="es-EC"/>
        </w:rPr>
        <w:t xml:space="preserve"> </w:t>
      </w:r>
      <w:r w:rsidR="00E47ABD" w:rsidRPr="00E47ABD">
        <w:rPr>
          <w:rFonts w:cs="Arial"/>
          <w:bCs/>
          <w:lang w:val="es-EC"/>
        </w:rPr>
        <w:t>emitidos por el Instituto</w:t>
      </w:r>
      <w:r w:rsidR="00423DDB" w:rsidRPr="000B32FC">
        <w:rPr>
          <w:rFonts w:cs="Arial"/>
          <w:bCs/>
          <w:lang w:val="es-EC"/>
        </w:rPr>
        <w:t>.</w:t>
      </w:r>
      <w:r w:rsidRPr="00E47ABD">
        <w:rPr>
          <w:rFonts w:cs="Arial"/>
        </w:rPr>
        <w:t xml:space="preserve"> </w:t>
      </w:r>
    </w:p>
    <w:p w14:paraId="67DC99DC" w14:textId="43E787D2" w:rsidR="008B4003" w:rsidRPr="007972CC" w:rsidRDefault="00EC1F53" w:rsidP="007972CC">
      <w:pPr>
        <w:pStyle w:val="Ttulo2"/>
        <w:rPr>
          <w:b/>
          <w:bCs/>
        </w:rPr>
      </w:pPr>
      <w:r w:rsidRPr="007972CC">
        <w:rPr>
          <w:b/>
          <w:bCs/>
        </w:rPr>
        <w:t>Compartición de Infraestructura</w:t>
      </w:r>
    </w:p>
    <w:p w14:paraId="646705A5" w14:textId="4DA616FB" w:rsidR="003A1671" w:rsidRDefault="008B4003" w:rsidP="009C030E">
      <w:pPr>
        <w:pStyle w:val="NormalDGDTR"/>
      </w:pPr>
      <w:r w:rsidRPr="00A44FE1">
        <w:t xml:space="preserve">Referente </w:t>
      </w:r>
      <w:r w:rsidRPr="00D53076">
        <w:t>a</w:t>
      </w:r>
      <w:r w:rsidR="00724BA6">
        <w:t xml:space="preserve"> </w:t>
      </w:r>
      <w:r w:rsidRPr="00D53076">
        <w:t>l</w:t>
      </w:r>
      <w:r w:rsidR="00724BA6">
        <w:t>os</w:t>
      </w:r>
      <w:r w:rsidRPr="00D53076">
        <w:t xml:space="preserve"> </w:t>
      </w:r>
      <w:r w:rsidR="00A44FE1">
        <w:t>SMR</w:t>
      </w:r>
      <w:r w:rsidRPr="00A44FE1">
        <w:t xml:space="preserve"> de compartición de infraestructura, los participantes considera</w:t>
      </w:r>
      <w:r w:rsidR="00724BA6">
        <w:t>n que es</w:t>
      </w:r>
      <w:r w:rsidRPr="00D53076">
        <w:t xml:space="preserve"> </w:t>
      </w:r>
      <w:r w:rsidRPr="00A44FE1">
        <w:t xml:space="preserve">necesario establecer </w:t>
      </w:r>
      <w:r w:rsidR="00724BA6">
        <w:t>ICD</w:t>
      </w:r>
      <w:r w:rsidRPr="00A44FE1">
        <w:t xml:space="preserve"> que en su opinión </w:t>
      </w:r>
      <w:r w:rsidR="00284258" w:rsidRPr="00A44FE1">
        <w:t xml:space="preserve">dan </w:t>
      </w:r>
      <w:r w:rsidRPr="00A44FE1">
        <w:t>mayor certidumbre:</w:t>
      </w:r>
      <w:r w:rsidR="00A44FE1">
        <w:t xml:space="preserve"> </w:t>
      </w:r>
    </w:p>
    <w:p w14:paraId="0A04EF95" w14:textId="583DF955" w:rsidR="00C1381B" w:rsidRPr="003A1671" w:rsidRDefault="00C1381B" w:rsidP="00780B1B">
      <w:pPr>
        <w:pStyle w:val="Prrafodelista"/>
        <w:numPr>
          <w:ilvl w:val="0"/>
          <w:numId w:val="10"/>
        </w:numPr>
        <w:tabs>
          <w:tab w:val="left" w:pos="3334"/>
        </w:tabs>
        <w:spacing w:after="0"/>
        <w:ind w:left="709"/>
        <w:jc w:val="both"/>
        <w:rPr>
          <w:rFonts w:cs="Arial"/>
        </w:rPr>
      </w:pPr>
      <w:r>
        <w:rPr>
          <w:rFonts w:cs="Arial"/>
        </w:rPr>
        <w:t>p</w:t>
      </w:r>
      <w:r w:rsidRPr="003A1671">
        <w:rPr>
          <w:rFonts w:cs="Arial"/>
        </w:rPr>
        <w:t>orcentaje de solicitudes de servicio</w:t>
      </w:r>
      <w:r w:rsidRPr="00D53076">
        <w:t xml:space="preserve"> </w:t>
      </w:r>
      <w:r w:rsidRPr="003A1671">
        <w:rPr>
          <w:rFonts w:cs="Arial"/>
        </w:rPr>
        <w:t>aceptadas o rechazadas dentro del plazo establecido, para el mayor porcentaje de cumplimiento indicado en la OR, a todos los servicios, de manera indistinta y porcentaje</w:t>
      </w:r>
      <w:r w:rsidRPr="003A1671">
        <w:rPr>
          <w:rFonts w:cs="Arial"/>
          <w:lang w:val="es-ES"/>
        </w:rPr>
        <w:t xml:space="preserve"> de solicitudes </w:t>
      </w:r>
      <w:r w:rsidRPr="003A1671">
        <w:rPr>
          <w:rFonts w:cs="Arial"/>
          <w:lang w:val="es-ES"/>
        </w:rPr>
        <w:lastRenderedPageBreak/>
        <w:t xml:space="preserve">de servicio habilitadas en la fecha programada, a todos los servicios, de manera indistinta </w:t>
      </w:r>
      <w:r w:rsidRPr="003A1671">
        <w:rPr>
          <w:rFonts w:cs="Arial"/>
          <w:b/>
          <w:bCs/>
          <w:iCs/>
          <w:color w:val="5B9BD5" w:themeColor="accent1"/>
        </w:rPr>
        <w:t>(AT&amp;T)</w:t>
      </w:r>
      <w:r>
        <w:rPr>
          <w:rFonts w:cs="Arial"/>
          <w:lang w:val="es-ES"/>
        </w:rPr>
        <w:t>,</w:t>
      </w:r>
    </w:p>
    <w:p w14:paraId="52C140E0" w14:textId="0DBC0387" w:rsidR="003A1671" w:rsidRDefault="003A1671" w:rsidP="00780B1B">
      <w:pPr>
        <w:pStyle w:val="Prrafodelista"/>
        <w:numPr>
          <w:ilvl w:val="0"/>
          <w:numId w:val="10"/>
        </w:numPr>
        <w:tabs>
          <w:tab w:val="left" w:pos="3334"/>
        </w:tabs>
        <w:spacing w:after="0"/>
        <w:ind w:left="709"/>
        <w:jc w:val="both"/>
        <w:rPr>
          <w:rFonts w:cs="Arial"/>
        </w:rPr>
      </w:pPr>
      <w:r w:rsidRPr="003A1671">
        <w:rPr>
          <w:rFonts w:cs="Arial"/>
        </w:rPr>
        <w:t>t</w:t>
      </w:r>
      <w:r w:rsidR="00C6483F" w:rsidRPr="003A1671">
        <w:rPr>
          <w:rFonts w:cs="Arial"/>
        </w:rPr>
        <w:t>iempo promedio para la solicitud de permisos</w:t>
      </w:r>
      <w:r w:rsidR="00321F2D">
        <w:rPr>
          <w:rFonts w:cs="Arial"/>
        </w:rPr>
        <w:t xml:space="preserve"> (</w:t>
      </w:r>
      <w:r w:rsidR="00321F2D" w:rsidRPr="00321F2D">
        <w:rPr>
          <w:rFonts w:cs="Arial"/>
        </w:rPr>
        <w:t>municipales, estatales</w:t>
      </w:r>
      <w:r w:rsidR="00262E4B">
        <w:rPr>
          <w:rFonts w:cs="Arial"/>
        </w:rPr>
        <w:t xml:space="preserve"> y autoridad competente</w:t>
      </w:r>
      <w:r w:rsidR="00321F2D">
        <w:rPr>
          <w:rFonts w:cs="Arial"/>
        </w:rPr>
        <w:t xml:space="preserve">) </w:t>
      </w:r>
      <w:r w:rsidR="00321F2D" w:rsidRPr="003A1671">
        <w:rPr>
          <w:rFonts w:cs="Arial"/>
          <w:b/>
          <w:bCs/>
          <w:iCs/>
          <w:color w:val="5B9BD5" w:themeColor="accent1"/>
        </w:rPr>
        <w:t>(Axtel</w:t>
      </w:r>
      <w:r w:rsidR="00321F2D">
        <w:rPr>
          <w:rFonts w:cs="Arial"/>
          <w:b/>
          <w:bCs/>
          <w:iCs/>
          <w:color w:val="5B9BD5" w:themeColor="accent1"/>
        </w:rPr>
        <w:t>)</w:t>
      </w:r>
      <w:r w:rsidR="00C6483F" w:rsidRPr="003A1671">
        <w:rPr>
          <w:rFonts w:cs="Arial"/>
        </w:rPr>
        <w:t>,</w:t>
      </w:r>
      <w:r w:rsidR="00A44FE1" w:rsidRPr="003A1671">
        <w:rPr>
          <w:rFonts w:cs="Arial"/>
        </w:rPr>
        <w:t xml:space="preserve"> </w:t>
      </w:r>
    </w:p>
    <w:p w14:paraId="0DA0D38A" w14:textId="104D77F3" w:rsidR="003A1671" w:rsidRPr="003A1671" w:rsidRDefault="00C6483F" w:rsidP="00780B1B">
      <w:pPr>
        <w:pStyle w:val="Prrafodelista"/>
        <w:numPr>
          <w:ilvl w:val="0"/>
          <w:numId w:val="10"/>
        </w:numPr>
        <w:tabs>
          <w:tab w:val="left" w:pos="3334"/>
        </w:tabs>
        <w:spacing w:after="0"/>
        <w:ind w:left="709"/>
        <w:jc w:val="both"/>
        <w:rPr>
          <w:rFonts w:cs="Arial"/>
        </w:rPr>
      </w:pPr>
      <w:r w:rsidRPr="003A1671">
        <w:rPr>
          <w:rFonts w:cs="Arial"/>
        </w:rPr>
        <w:t xml:space="preserve">reparación de fallas </w:t>
      </w:r>
      <w:r w:rsidR="003A1671" w:rsidRPr="003A1671">
        <w:rPr>
          <w:rFonts w:cs="Arial"/>
          <w:b/>
          <w:bCs/>
          <w:iCs/>
          <w:color w:val="5B9BD5" w:themeColor="accent1"/>
        </w:rPr>
        <w:t>(Axtel, CANIETI, Megacable y Telefónica)</w:t>
      </w:r>
      <w:r w:rsidR="00C1381B" w:rsidRPr="00C1381B">
        <w:rPr>
          <w:rFonts w:cs="Arial"/>
          <w:iCs/>
        </w:rPr>
        <w:t>, y</w:t>
      </w:r>
    </w:p>
    <w:p w14:paraId="07A3BC36" w14:textId="3682FCD6" w:rsidR="003A1671" w:rsidRPr="003A1671" w:rsidRDefault="003A1671" w:rsidP="00780B1B">
      <w:pPr>
        <w:pStyle w:val="Prrafodelista"/>
        <w:numPr>
          <w:ilvl w:val="0"/>
          <w:numId w:val="10"/>
        </w:numPr>
        <w:tabs>
          <w:tab w:val="left" w:pos="3334"/>
        </w:tabs>
        <w:spacing w:after="0"/>
        <w:ind w:left="709"/>
        <w:jc w:val="both"/>
        <w:rPr>
          <w:rFonts w:cs="Arial"/>
        </w:rPr>
      </w:pPr>
      <w:r w:rsidRPr="00262E4B">
        <w:rPr>
          <w:rFonts w:cs="Arial"/>
          <w:iCs/>
        </w:rPr>
        <w:t>p</w:t>
      </w:r>
      <w:r w:rsidR="00C6483F" w:rsidRPr="003A1671">
        <w:rPr>
          <w:rFonts w:cs="Arial"/>
        </w:rPr>
        <w:t>orcentaje de solicitudes rechazadas por falta de capacidad vacante</w:t>
      </w:r>
      <w:r>
        <w:rPr>
          <w:rFonts w:cs="Arial"/>
        </w:rPr>
        <w:t xml:space="preserve"> </w:t>
      </w:r>
      <w:r w:rsidR="00D53076" w:rsidRPr="003A1671">
        <w:rPr>
          <w:rFonts w:cs="Arial"/>
          <w:b/>
          <w:bCs/>
          <w:iCs/>
          <w:color w:val="5B9BD5" w:themeColor="accent1"/>
        </w:rPr>
        <w:t>(</w:t>
      </w:r>
      <w:r w:rsidRPr="003A1671">
        <w:rPr>
          <w:rFonts w:cs="Arial"/>
          <w:b/>
          <w:bCs/>
          <w:iCs/>
          <w:color w:val="5B9BD5" w:themeColor="accent1"/>
        </w:rPr>
        <w:t>Meg</w:t>
      </w:r>
      <w:r w:rsidR="00D53076" w:rsidRPr="003A1671">
        <w:rPr>
          <w:rFonts w:cs="Arial"/>
          <w:b/>
          <w:bCs/>
          <w:iCs/>
          <w:color w:val="5B9BD5" w:themeColor="accent1"/>
        </w:rPr>
        <w:t>a</w:t>
      </w:r>
      <w:r w:rsidRPr="003A1671">
        <w:rPr>
          <w:rFonts w:cs="Arial"/>
          <w:b/>
          <w:bCs/>
          <w:iCs/>
          <w:color w:val="5B9BD5" w:themeColor="accent1"/>
        </w:rPr>
        <w:t>cable</w:t>
      </w:r>
      <w:r w:rsidR="00D53076" w:rsidRPr="003A1671">
        <w:rPr>
          <w:rFonts w:cs="Arial"/>
          <w:b/>
          <w:bCs/>
          <w:iCs/>
          <w:color w:val="5B9BD5" w:themeColor="accent1"/>
        </w:rPr>
        <w:t>)</w:t>
      </w:r>
      <w:r w:rsidR="00C1381B">
        <w:rPr>
          <w:rFonts w:cs="Arial"/>
          <w:iCs/>
        </w:rPr>
        <w:t>.</w:t>
      </w:r>
    </w:p>
    <w:p w14:paraId="4E24AF42" w14:textId="77777777" w:rsidR="00372C13" w:rsidRPr="00414E1B" w:rsidRDefault="00372C13" w:rsidP="00777A04">
      <w:pPr>
        <w:pStyle w:val="Sinespaciado"/>
      </w:pPr>
      <w:r w:rsidRPr="00414E1B">
        <w:t xml:space="preserve">Consideraciones del Instituto </w:t>
      </w:r>
    </w:p>
    <w:p w14:paraId="4DA42AB5" w14:textId="14B408D3" w:rsidR="00724BA6" w:rsidRDefault="00C1373D" w:rsidP="00F06722">
      <w:pPr>
        <w:pStyle w:val="NormalDGDTR"/>
      </w:pPr>
      <w:r>
        <w:t>En torno a</w:t>
      </w:r>
      <w:r w:rsidR="00AA792E" w:rsidRPr="00414E1B">
        <w:t xml:space="preserve"> la </w:t>
      </w:r>
      <w:r>
        <w:t xml:space="preserve">propuesta de </w:t>
      </w:r>
      <w:r w:rsidR="00AA792E" w:rsidRPr="00414E1B">
        <w:t xml:space="preserve">inclusión de los </w:t>
      </w:r>
      <w:r w:rsidR="00724BA6">
        <w:t>ICD</w:t>
      </w:r>
      <w:r w:rsidR="00724BA6" w:rsidRPr="00414E1B">
        <w:t xml:space="preserve"> </w:t>
      </w:r>
      <w:r w:rsidR="00AA792E" w:rsidRPr="00414E1B">
        <w:t xml:space="preserve">sugeridos, se </w:t>
      </w:r>
      <w:r w:rsidR="00724BA6">
        <w:t>precisa</w:t>
      </w:r>
      <w:r w:rsidR="00724BA6" w:rsidRPr="00414E1B">
        <w:t xml:space="preserve"> </w:t>
      </w:r>
      <w:r w:rsidR="00AA792E" w:rsidRPr="00414E1B">
        <w:t xml:space="preserve">que </w:t>
      </w:r>
      <w:r w:rsidR="00761714">
        <w:t>en la propuesta de Alternativas de actualización de ICD se contemplan ICD relativos a</w:t>
      </w:r>
      <w:r w:rsidR="00B1669D">
        <w:t xml:space="preserve"> </w:t>
      </w:r>
      <w:r w:rsidR="00761714">
        <w:t>l</w:t>
      </w:r>
      <w:r w:rsidR="00B1669D">
        <w:t>a</w:t>
      </w:r>
      <w:r w:rsidR="00761714">
        <w:t xml:space="preserve"> </w:t>
      </w:r>
      <w:r w:rsidR="00B1669D">
        <w:t>aceptación</w:t>
      </w:r>
      <w:r w:rsidR="00C94834">
        <w:t>,</w:t>
      </w:r>
      <w:r w:rsidR="00B1669D">
        <w:t xml:space="preserve"> </w:t>
      </w:r>
      <w:r w:rsidR="00761714" w:rsidRPr="00414E1B">
        <w:t>rechazo</w:t>
      </w:r>
      <w:r w:rsidR="00C94834">
        <w:t xml:space="preserve"> y habilitación</w:t>
      </w:r>
      <w:r w:rsidR="00761714" w:rsidRPr="00414E1B">
        <w:t xml:space="preserve"> de solicitudes </w:t>
      </w:r>
      <w:r w:rsidR="00761714">
        <w:t>para los servicios de compartición de infraestructura,</w:t>
      </w:r>
      <w:r w:rsidR="00B1669D">
        <w:t xml:space="preserve"> de desagregación y de enlaces</w:t>
      </w:r>
      <w:r w:rsidR="00761714">
        <w:t xml:space="preserve">. </w:t>
      </w:r>
      <w:r w:rsidR="00307183">
        <w:t xml:space="preserve">Adicionalmente, </w:t>
      </w:r>
      <w:r w:rsidR="00724BA6">
        <w:t>por la naturaleza de los servicios</w:t>
      </w:r>
      <w:r w:rsidR="00307183">
        <w:t xml:space="preserve"> de compartición de infraestructura</w:t>
      </w:r>
      <w:r w:rsidR="00B70408">
        <w:t xml:space="preserve">, </w:t>
      </w:r>
      <w:r w:rsidR="00760ED0">
        <w:t xml:space="preserve">las fallas </w:t>
      </w:r>
      <w:r w:rsidR="00295B50">
        <w:t>se consideran casuístic</w:t>
      </w:r>
      <w:r w:rsidR="00760ED0">
        <w:t>a</w:t>
      </w:r>
      <w:r w:rsidR="00295B50">
        <w:t xml:space="preserve">s, </w:t>
      </w:r>
      <w:r w:rsidR="00473D64">
        <w:t xml:space="preserve">por lo que </w:t>
      </w:r>
      <w:r w:rsidR="00B70408">
        <w:t>se advierte que</w:t>
      </w:r>
      <w:r w:rsidR="00307183">
        <w:t xml:space="preserve"> </w:t>
      </w:r>
      <w:r w:rsidR="004B73D9">
        <w:t xml:space="preserve">no </w:t>
      </w:r>
      <w:r w:rsidR="00295B50">
        <w:t>serían</w:t>
      </w:r>
      <w:r w:rsidR="00B70408">
        <w:t xml:space="preserve"> comparables </w:t>
      </w:r>
      <w:r w:rsidR="00295B50">
        <w:t>entre sí</w:t>
      </w:r>
      <w:r w:rsidR="00473D64">
        <w:t xml:space="preserve"> y ante ello</w:t>
      </w:r>
      <w:r w:rsidR="00295B50">
        <w:t xml:space="preserve"> </w:t>
      </w:r>
      <w:r w:rsidR="00AA792E" w:rsidRPr="00414E1B">
        <w:t xml:space="preserve">la propuesta </w:t>
      </w:r>
      <w:r w:rsidR="004B73D9">
        <w:t xml:space="preserve">de Alternativas de ICD </w:t>
      </w:r>
      <w:r w:rsidR="00760ED0">
        <w:t xml:space="preserve">no </w:t>
      </w:r>
      <w:r w:rsidR="00AA792E" w:rsidRPr="00414E1B">
        <w:t xml:space="preserve">considera indicadores relativos a </w:t>
      </w:r>
      <w:r w:rsidR="00724BA6">
        <w:t xml:space="preserve">gestión de </w:t>
      </w:r>
      <w:r w:rsidR="00AA792E" w:rsidRPr="00414E1B">
        <w:t>fallas</w:t>
      </w:r>
      <w:r w:rsidR="00760ED0">
        <w:t xml:space="preserve"> para este servicio</w:t>
      </w:r>
      <w:r w:rsidR="00724BA6">
        <w:t xml:space="preserve">. </w:t>
      </w:r>
    </w:p>
    <w:p w14:paraId="42BA656A" w14:textId="5F10FBFE" w:rsidR="00AA792E" w:rsidRPr="00414E1B" w:rsidRDefault="008861EA" w:rsidP="009C030E">
      <w:pPr>
        <w:pStyle w:val="NormalDGDTR"/>
      </w:pPr>
      <w:r>
        <w:t>Ahora bien, por lo que hace</w:t>
      </w:r>
      <w:r w:rsidR="00AA792E" w:rsidRPr="00414E1B">
        <w:t xml:space="preserve"> a la inclusión de un indicador referente al tiempo promedio para la solicitud de permisos, </w:t>
      </w:r>
      <w:r w:rsidR="003E6B0F">
        <w:t xml:space="preserve">se </w:t>
      </w:r>
      <w:r w:rsidR="00022649">
        <w:t>advierte</w:t>
      </w:r>
      <w:r w:rsidR="003E6B0F">
        <w:t xml:space="preserve"> </w:t>
      </w:r>
      <w:r w:rsidR="00AA792E" w:rsidRPr="00414E1B">
        <w:t xml:space="preserve">que sale del alcance de </w:t>
      </w:r>
      <w:r w:rsidR="00022649">
        <w:t>la actualización de ICD</w:t>
      </w:r>
      <w:r w:rsidR="00AA792E" w:rsidRPr="00414E1B">
        <w:t xml:space="preserve">, toda vez que el otorgar los permisos referidos en la manifestación </w:t>
      </w:r>
      <w:r w:rsidR="00FA2254">
        <w:t>d</w:t>
      </w:r>
      <w:r w:rsidR="00AA792E" w:rsidRPr="00414E1B">
        <w:t xml:space="preserve">el participante, </w:t>
      </w:r>
      <w:r w:rsidR="00FA2254">
        <w:t>es un</w:t>
      </w:r>
      <w:r w:rsidR="00EE14FA">
        <w:t>a</w:t>
      </w:r>
      <w:r w:rsidR="00FA2254">
        <w:t xml:space="preserve"> situación que </w:t>
      </w:r>
      <w:r w:rsidR="00022649">
        <w:t xml:space="preserve">no </w:t>
      </w:r>
      <w:r w:rsidR="00AA792E" w:rsidRPr="00414E1B">
        <w:t xml:space="preserve">depende de manera </w:t>
      </w:r>
      <w:r w:rsidR="00022649">
        <w:t>directa del AEPT.</w:t>
      </w:r>
    </w:p>
    <w:p w14:paraId="285A2236" w14:textId="41E8620C" w:rsidR="00E47139" w:rsidRPr="007972CC" w:rsidRDefault="00C92E91" w:rsidP="007972CC">
      <w:pPr>
        <w:pStyle w:val="Ttulo2"/>
        <w:rPr>
          <w:b/>
          <w:bCs/>
        </w:rPr>
      </w:pPr>
      <w:r w:rsidRPr="007972CC">
        <w:rPr>
          <w:b/>
          <w:bCs/>
        </w:rPr>
        <w:t>D</w:t>
      </w:r>
      <w:r w:rsidR="00E11D2F" w:rsidRPr="007972CC">
        <w:rPr>
          <w:b/>
          <w:bCs/>
        </w:rPr>
        <w:t>e</w:t>
      </w:r>
      <w:r w:rsidRPr="007972CC">
        <w:rPr>
          <w:b/>
          <w:bCs/>
        </w:rPr>
        <w:t>sagregación</w:t>
      </w:r>
    </w:p>
    <w:p w14:paraId="62E8209C" w14:textId="7C75601D" w:rsidR="00C4414A" w:rsidRPr="00E94D0D" w:rsidRDefault="00947095" w:rsidP="007601D3">
      <w:pPr>
        <w:pStyle w:val="Prrafodelista"/>
        <w:numPr>
          <w:ilvl w:val="0"/>
          <w:numId w:val="22"/>
        </w:numPr>
        <w:ind w:left="284"/>
        <w:jc w:val="both"/>
        <w:rPr>
          <w:rFonts w:cs="Arial"/>
          <w:iCs/>
          <w:color w:val="5B9BD5" w:themeColor="accent1"/>
        </w:rPr>
      </w:pPr>
      <w:r>
        <w:rPr>
          <w:rFonts w:cs="Arial"/>
        </w:rPr>
        <w:t>Advierten</w:t>
      </w:r>
      <w:r w:rsidR="00427535">
        <w:rPr>
          <w:rFonts w:cs="Arial"/>
        </w:rPr>
        <w:t xml:space="preserve"> </w:t>
      </w:r>
      <w:r w:rsidR="00E75B3C">
        <w:rPr>
          <w:rFonts w:cs="Arial"/>
        </w:rPr>
        <w:t>que,</w:t>
      </w:r>
      <w:r w:rsidR="00427535">
        <w:rPr>
          <w:rFonts w:cs="Arial"/>
        </w:rPr>
        <w:t xml:space="preserve"> p</w:t>
      </w:r>
      <w:r w:rsidR="005A3166" w:rsidRPr="00064D1F">
        <w:rPr>
          <w:rFonts w:cs="Arial"/>
        </w:rPr>
        <w:t xml:space="preserve">ara </w:t>
      </w:r>
      <w:r w:rsidR="00427535">
        <w:rPr>
          <w:rFonts w:cs="Arial"/>
        </w:rPr>
        <w:t xml:space="preserve">los </w:t>
      </w:r>
      <w:r w:rsidR="005A3166" w:rsidRPr="00E94D0D">
        <w:rPr>
          <w:rFonts w:cs="Arial"/>
        </w:rPr>
        <w:t>servicios</w:t>
      </w:r>
      <w:r w:rsidR="005A3166" w:rsidRPr="00E47139">
        <w:rPr>
          <w:rFonts w:cs="Arial"/>
        </w:rPr>
        <w:t xml:space="preserve"> de desagregación</w:t>
      </w:r>
      <w:r w:rsidR="00E47139" w:rsidRPr="00E94D0D">
        <w:rPr>
          <w:rFonts w:cs="Arial"/>
        </w:rPr>
        <w:t>,</w:t>
      </w:r>
      <w:r w:rsidR="005A3166" w:rsidRPr="00E47139">
        <w:rPr>
          <w:rFonts w:cs="Arial"/>
        </w:rPr>
        <w:t xml:space="preserve"> </w:t>
      </w:r>
      <w:r w:rsidR="00427535">
        <w:rPr>
          <w:rFonts w:cs="Arial"/>
        </w:rPr>
        <w:t xml:space="preserve">la propuesta de </w:t>
      </w:r>
      <w:r w:rsidR="005A3166" w:rsidRPr="00E47139">
        <w:rPr>
          <w:rFonts w:cs="Arial"/>
        </w:rPr>
        <w:t>inclusión de</w:t>
      </w:r>
      <w:r w:rsidR="00427535">
        <w:rPr>
          <w:rFonts w:cs="Arial"/>
        </w:rPr>
        <w:t xml:space="preserve">l ICD </w:t>
      </w:r>
      <w:r w:rsidR="005A3166" w:rsidRPr="00E47139">
        <w:rPr>
          <w:rFonts w:cs="Arial"/>
        </w:rPr>
        <w:t xml:space="preserve">“Porcentaje de fallas reportadas no atribuibles al AEPT”, no refiere directamente a la gestión de fallas provista por el AEPT, por lo </w:t>
      </w:r>
      <w:r w:rsidR="005A3166" w:rsidRPr="00E63769">
        <w:rPr>
          <w:rFonts w:cs="Arial"/>
        </w:rPr>
        <w:t xml:space="preserve">que </w:t>
      </w:r>
      <w:r w:rsidR="005A3166" w:rsidRPr="00E63769">
        <w:t>sugiere</w:t>
      </w:r>
      <w:r w:rsidR="00427535" w:rsidRPr="00E63769">
        <w:rPr>
          <w:rFonts w:cs="Arial"/>
        </w:rPr>
        <w:t>n</w:t>
      </w:r>
      <w:r w:rsidR="005A3166" w:rsidRPr="00E63769">
        <w:rPr>
          <w:rFonts w:cs="Arial"/>
        </w:rPr>
        <w:t xml:space="preserve"> que el </w:t>
      </w:r>
      <w:r w:rsidR="00427535" w:rsidRPr="00E63769">
        <w:rPr>
          <w:rFonts w:cs="Arial"/>
        </w:rPr>
        <w:t xml:space="preserve">ICD </w:t>
      </w:r>
      <w:r w:rsidR="005A3166" w:rsidRPr="00E63769">
        <w:rPr>
          <w:rFonts w:cs="Arial"/>
        </w:rPr>
        <w:t xml:space="preserve">sea modificado </w:t>
      </w:r>
      <w:r w:rsidR="00427535" w:rsidRPr="00E63769">
        <w:rPr>
          <w:rFonts w:cs="Arial"/>
        </w:rPr>
        <w:t>para quedar como</w:t>
      </w:r>
      <w:r w:rsidR="005A3166" w:rsidRPr="00E63769">
        <w:rPr>
          <w:rFonts w:cs="Arial"/>
        </w:rPr>
        <w:t xml:space="preserve"> “Porcentaje de fallas reportadas</w:t>
      </w:r>
      <w:r w:rsidR="005A3166" w:rsidRPr="00E47139">
        <w:rPr>
          <w:rFonts w:cs="Arial"/>
        </w:rPr>
        <w:t xml:space="preserve"> </w:t>
      </w:r>
      <w:r w:rsidR="005A3166" w:rsidRPr="00E47139">
        <w:rPr>
          <w:rFonts w:cs="Arial"/>
        </w:rPr>
        <w:lastRenderedPageBreak/>
        <w:t>atribuibles al AEPT” y que su inclusión se lleve a cabo en todos los servicios, de manera indistinta</w:t>
      </w:r>
      <w:r w:rsidR="00E47139" w:rsidRPr="00E94D0D">
        <w:rPr>
          <w:rFonts w:cs="Arial"/>
          <w:iCs/>
          <w:color w:val="5B9BD5" w:themeColor="accent1"/>
        </w:rPr>
        <w:t xml:space="preserve"> </w:t>
      </w:r>
      <w:r w:rsidR="00E47139" w:rsidRPr="00E94D0D">
        <w:rPr>
          <w:rFonts w:cs="Arial"/>
          <w:b/>
          <w:bCs/>
          <w:iCs/>
          <w:color w:val="5B9BD5" w:themeColor="accent1"/>
        </w:rPr>
        <w:t>(AT&amp;T y Axtel)</w:t>
      </w:r>
      <w:r w:rsidR="00E47139" w:rsidRPr="007D64D6">
        <w:rPr>
          <w:rFonts w:cs="Arial"/>
          <w:iCs/>
        </w:rPr>
        <w:t>.</w:t>
      </w:r>
    </w:p>
    <w:p w14:paraId="74FA982C" w14:textId="6447AD09" w:rsidR="000E0765" w:rsidRPr="00D737A9" w:rsidRDefault="000E0765" w:rsidP="007601D3">
      <w:pPr>
        <w:pStyle w:val="Prrafodelista"/>
        <w:numPr>
          <w:ilvl w:val="0"/>
          <w:numId w:val="22"/>
        </w:numPr>
        <w:ind w:left="284"/>
        <w:jc w:val="both"/>
        <w:rPr>
          <w:rFonts w:cs="Arial"/>
          <w:iCs/>
          <w:color w:val="5B9BD5" w:themeColor="accent1"/>
        </w:rPr>
      </w:pPr>
      <w:r w:rsidRPr="00B108A4">
        <w:t>Por cuanto al servicio de coubicación para desagregación del bucle, los participant</w:t>
      </w:r>
      <w:r w:rsidRPr="00835215">
        <w:t xml:space="preserve">es sugieren la inclusión de ICD con los volúmenes del servicio </w:t>
      </w:r>
      <w:r w:rsidR="008A46CD" w:rsidRPr="00D737A9">
        <w:rPr>
          <w:rFonts w:cs="Arial"/>
          <w:b/>
          <w:bCs/>
          <w:iCs/>
          <w:color w:val="5B9BD5" w:themeColor="accent1"/>
        </w:rPr>
        <w:t>(CANIETI, GTVSA y Telefónica)</w:t>
      </w:r>
      <w:r w:rsidR="008A46CD" w:rsidRPr="00D737A9">
        <w:rPr>
          <w:rFonts w:cs="Arial"/>
          <w:iCs/>
        </w:rPr>
        <w:t>.</w:t>
      </w:r>
    </w:p>
    <w:p w14:paraId="7B479679" w14:textId="224B8851" w:rsidR="003C3934" w:rsidRPr="00D737A9" w:rsidRDefault="003C3934" w:rsidP="007601D3">
      <w:pPr>
        <w:pStyle w:val="Prrafodelista"/>
        <w:numPr>
          <w:ilvl w:val="0"/>
          <w:numId w:val="22"/>
        </w:numPr>
        <w:ind w:left="284"/>
        <w:rPr>
          <w:rFonts w:cs="Arial"/>
          <w:iCs/>
          <w:color w:val="5B9BD5" w:themeColor="accent1"/>
        </w:rPr>
      </w:pPr>
      <w:r w:rsidRPr="00D737A9">
        <w:rPr>
          <w:rFonts w:cs="Arial"/>
          <w:iCs/>
        </w:rPr>
        <w:t>Propone desglosar entre la tecnología de cobre y la tecnología de fibra (FTTH) en los servicios SAIB y de reventa</w:t>
      </w:r>
      <w:r>
        <w:rPr>
          <w:rFonts w:cs="Arial"/>
          <w:iCs/>
        </w:rPr>
        <w:t>. Adicionalmente, propone añadir desglose entre las peticiones con acometida y las peticiones sin acometida</w:t>
      </w:r>
      <w:r w:rsidRPr="003C3934">
        <w:rPr>
          <w:rFonts w:cs="Arial"/>
          <w:b/>
          <w:bCs/>
          <w:iCs/>
          <w:color w:val="5B9BD5" w:themeColor="accent1"/>
        </w:rPr>
        <w:t xml:space="preserve"> </w:t>
      </w:r>
      <w:r w:rsidRPr="003C3934">
        <w:rPr>
          <w:rFonts w:cs="Arial"/>
          <w:b/>
          <w:color w:val="5B9BD5" w:themeColor="accent1"/>
        </w:rPr>
        <w:t>(</w:t>
      </w:r>
      <w:r w:rsidRPr="009869DA">
        <w:rPr>
          <w:rFonts w:cs="Arial"/>
          <w:b/>
          <w:bCs/>
          <w:iCs/>
          <w:color w:val="5B9BD5" w:themeColor="accent1"/>
        </w:rPr>
        <w:t>Telefónica)</w:t>
      </w:r>
      <w:r w:rsidRPr="009869DA">
        <w:rPr>
          <w:rFonts w:cs="Arial"/>
          <w:iCs/>
        </w:rPr>
        <w:t>.</w:t>
      </w:r>
    </w:p>
    <w:p w14:paraId="2865E656" w14:textId="72B0F4D7" w:rsidR="00D548B0" w:rsidRPr="00D737A9" w:rsidRDefault="00F84D0D" w:rsidP="007601D3">
      <w:pPr>
        <w:pStyle w:val="Prrafodelista"/>
        <w:numPr>
          <w:ilvl w:val="0"/>
          <w:numId w:val="22"/>
        </w:numPr>
        <w:ind w:left="284"/>
        <w:jc w:val="both"/>
        <w:rPr>
          <w:rFonts w:cs="Arial"/>
          <w:iCs/>
        </w:rPr>
      </w:pPr>
      <w:r w:rsidRPr="00F84D0D">
        <w:rPr>
          <w:rFonts w:cs="Arial"/>
        </w:rPr>
        <w:t>Menciona que en la práctica s</w:t>
      </w:r>
      <w:r w:rsidR="00D548B0" w:rsidRPr="00D737A9">
        <w:rPr>
          <w:rFonts w:cs="Arial"/>
          <w:iCs/>
        </w:rPr>
        <w:t xml:space="preserve">e observan menores tiempos en la provisión minorista del AEPT frente a la provisión mayorista basada en la </w:t>
      </w:r>
      <w:r w:rsidR="004E00B4">
        <w:rPr>
          <w:rFonts w:cs="Arial"/>
          <w:iCs/>
        </w:rPr>
        <w:t>o</w:t>
      </w:r>
      <w:r w:rsidR="00D548B0" w:rsidRPr="00D737A9">
        <w:rPr>
          <w:rFonts w:cs="Arial"/>
          <w:iCs/>
        </w:rPr>
        <w:t xml:space="preserve">ferta de </w:t>
      </w:r>
      <w:r w:rsidR="004E00B4">
        <w:rPr>
          <w:rFonts w:cs="Arial"/>
          <w:iCs/>
        </w:rPr>
        <w:t>r</w:t>
      </w:r>
      <w:r w:rsidR="00D548B0" w:rsidRPr="00D737A9">
        <w:rPr>
          <w:rFonts w:cs="Arial"/>
          <w:iCs/>
        </w:rPr>
        <w:t>eferenci</w:t>
      </w:r>
      <w:r w:rsidRPr="00F84D0D">
        <w:rPr>
          <w:rFonts w:cs="Arial"/>
        </w:rPr>
        <w:t>a. Adicionalmente, considera que se debe hacer una diferenciación en los tiempos de aprovisionamiento para Concesionarios que ya cuenten con una coubicación en central para otro SMR que pueda ser utilizado también para SAIB, ya que los tiempos establecidos para cuando ya se cuenta con una coubicación existente son igualmente altos que para cuando no hay existencia. Finalmente, considera que se deberían incluir ICD referentes a la compra de módems blancos, ya que obligaría al AEPT a obedecer sus estándares técnicos para su operación. Alternativamente, si se adquiere un módem de otra marca se tiene que pasar por un proceso de homologación (6 meses) el cual es un tiempo que repercute en los tiempos de lanzamiento de mercado</w:t>
      </w:r>
      <w:r>
        <w:rPr>
          <w:rFonts w:cs="Arial"/>
          <w:iCs/>
        </w:rPr>
        <w:t xml:space="preserve"> </w:t>
      </w:r>
      <w:r w:rsidR="00D548B0" w:rsidRPr="00F84D0D">
        <w:rPr>
          <w:rFonts w:cs="Arial"/>
          <w:b/>
          <w:color w:val="5B9BD5" w:themeColor="accent1"/>
        </w:rPr>
        <w:t>(Axtel)</w:t>
      </w:r>
      <w:r w:rsidR="00D548B0" w:rsidRPr="00F84D0D">
        <w:rPr>
          <w:rFonts w:cs="Arial"/>
        </w:rPr>
        <w:t>.</w:t>
      </w:r>
    </w:p>
    <w:p w14:paraId="55341E1B" w14:textId="77777777" w:rsidR="005A3166" w:rsidRPr="00414E1B" w:rsidRDefault="005A3166" w:rsidP="00777A04">
      <w:pPr>
        <w:pStyle w:val="Sinespaciado"/>
      </w:pPr>
      <w:r w:rsidRPr="00414E1B">
        <w:t>Consideraciones del Instituto</w:t>
      </w:r>
    </w:p>
    <w:p w14:paraId="6F1126E7" w14:textId="3321D8AD" w:rsidR="00403A76" w:rsidRDefault="00403A76" w:rsidP="007601D3">
      <w:pPr>
        <w:pStyle w:val="Prrafodelista"/>
        <w:numPr>
          <w:ilvl w:val="0"/>
          <w:numId w:val="6"/>
        </w:numPr>
        <w:tabs>
          <w:tab w:val="left" w:pos="3334"/>
        </w:tabs>
        <w:spacing w:after="0"/>
        <w:ind w:left="426"/>
        <w:jc w:val="both"/>
        <w:rPr>
          <w:rFonts w:cs="Arial"/>
        </w:rPr>
      </w:pPr>
      <w:r w:rsidRPr="009869DA">
        <w:rPr>
          <w:rFonts w:cs="Arial"/>
        </w:rPr>
        <w:t>Sobre la sugerencia de modificación del ICD mencionado, se indica que se</w:t>
      </w:r>
      <w:r>
        <w:rPr>
          <w:rFonts w:cs="Arial"/>
        </w:rPr>
        <w:t xml:space="preserve"> </w:t>
      </w:r>
      <w:r w:rsidRPr="009869DA">
        <w:rPr>
          <w:rFonts w:cs="Arial"/>
        </w:rPr>
        <w:t>valoró la propuesta</w:t>
      </w:r>
      <w:r w:rsidR="00617D4B">
        <w:rPr>
          <w:rFonts w:cs="Arial"/>
        </w:rPr>
        <w:t xml:space="preserve">, </w:t>
      </w:r>
      <w:r w:rsidR="00617D4B" w:rsidRPr="004F3500">
        <w:rPr>
          <w:rFonts w:cs="Arial"/>
        </w:rPr>
        <w:t xml:space="preserve">en términos de la utilidad para cumplir con el objetivo </w:t>
      </w:r>
      <w:r w:rsidR="00617D4B" w:rsidRPr="00205761">
        <w:rPr>
          <w:rFonts w:cs="Arial"/>
        </w:rPr>
        <w:t>de la implementación de la equivalencia de insumos</w:t>
      </w:r>
      <w:r w:rsidR="00617D4B">
        <w:rPr>
          <w:rFonts w:cs="Arial"/>
        </w:rPr>
        <w:t xml:space="preserve"> y </w:t>
      </w:r>
      <w:r w:rsidR="00617D4B" w:rsidRPr="00E07C5A">
        <w:rPr>
          <w:rFonts w:cs="Arial"/>
        </w:rPr>
        <w:t xml:space="preserve">el principio de no discriminación </w:t>
      </w:r>
      <w:r w:rsidR="00617D4B" w:rsidRPr="004F3500">
        <w:rPr>
          <w:rFonts w:cs="Arial"/>
        </w:rPr>
        <w:t>por la que los ICD fueron man</w:t>
      </w:r>
      <w:r w:rsidR="00617D4B">
        <w:rPr>
          <w:rFonts w:cs="Arial"/>
        </w:rPr>
        <w:t>d</w:t>
      </w:r>
      <w:r w:rsidR="00617D4B" w:rsidRPr="004F3500">
        <w:rPr>
          <w:rFonts w:cs="Arial"/>
        </w:rPr>
        <w:t>atados</w:t>
      </w:r>
      <w:r w:rsidR="0069350F">
        <w:rPr>
          <w:rFonts w:cs="Arial"/>
        </w:rPr>
        <w:t xml:space="preserve"> para, en su caso, realizar la modificación del ICD.</w:t>
      </w:r>
    </w:p>
    <w:p w14:paraId="5398E205" w14:textId="01EB4BCA" w:rsidR="00B73AF0" w:rsidRDefault="00B54BA7" w:rsidP="007601D3">
      <w:pPr>
        <w:pStyle w:val="Prrafodelista"/>
        <w:numPr>
          <w:ilvl w:val="0"/>
          <w:numId w:val="6"/>
        </w:numPr>
        <w:tabs>
          <w:tab w:val="left" w:pos="3334"/>
        </w:tabs>
        <w:spacing w:after="0"/>
        <w:ind w:left="426"/>
        <w:jc w:val="both"/>
        <w:rPr>
          <w:rFonts w:cs="Arial"/>
        </w:rPr>
      </w:pPr>
      <w:r>
        <w:rPr>
          <w:rFonts w:cs="Arial"/>
        </w:rPr>
        <w:t>En torno</w:t>
      </w:r>
      <w:r w:rsidR="00B73AF0">
        <w:rPr>
          <w:rFonts w:cs="Arial"/>
        </w:rPr>
        <w:t xml:space="preserve"> a</w:t>
      </w:r>
      <w:r w:rsidR="00B73AF0" w:rsidRPr="009869DA">
        <w:rPr>
          <w:rFonts w:cs="Arial"/>
        </w:rPr>
        <w:t xml:space="preserve"> la </w:t>
      </w:r>
      <w:r>
        <w:rPr>
          <w:rFonts w:cs="Arial"/>
        </w:rPr>
        <w:t>propuesta</w:t>
      </w:r>
      <w:r w:rsidR="00B73AF0" w:rsidRPr="009869DA">
        <w:rPr>
          <w:rFonts w:cs="Arial"/>
        </w:rPr>
        <w:t xml:space="preserve"> de </w:t>
      </w:r>
      <w:r w:rsidR="00B73AF0">
        <w:rPr>
          <w:rFonts w:cs="Arial"/>
        </w:rPr>
        <w:t>incorporación</w:t>
      </w:r>
      <w:r w:rsidR="00B73AF0" w:rsidRPr="009869DA">
        <w:rPr>
          <w:rFonts w:cs="Arial"/>
        </w:rPr>
        <w:t xml:space="preserve"> del ICD mencionado, se indica que se</w:t>
      </w:r>
      <w:r w:rsidR="00B73AF0">
        <w:rPr>
          <w:rFonts w:cs="Arial"/>
        </w:rPr>
        <w:t xml:space="preserve"> </w:t>
      </w:r>
      <w:r w:rsidR="00B73AF0" w:rsidRPr="009869DA">
        <w:rPr>
          <w:rFonts w:cs="Arial"/>
        </w:rPr>
        <w:t>valoró la propuesta</w:t>
      </w:r>
      <w:r w:rsidR="00B73AF0">
        <w:rPr>
          <w:rFonts w:cs="Arial"/>
        </w:rPr>
        <w:t xml:space="preserve">, </w:t>
      </w:r>
      <w:r w:rsidR="00617D4B" w:rsidRPr="004F3500">
        <w:rPr>
          <w:rFonts w:cs="Arial"/>
        </w:rPr>
        <w:t xml:space="preserve">en términos de la utilidad para cumplir con el objetivo </w:t>
      </w:r>
      <w:r w:rsidR="00617D4B" w:rsidRPr="00205761">
        <w:rPr>
          <w:rFonts w:cs="Arial"/>
        </w:rPr>
        <w:t>de la implementación de la equivalencia de insumos</w:t>
      </w:r>
      <w:r w:rsidR="00617D4B">
        <w:rPr>
          <w:rFonts w:cs="Arial"/>
        </w:rPr>
        <w:t xml:space="preserve"> y </w:t>
      </w:r>
      <w:r w:rsidR="00617D4B" w:rsidRPr="00E07C5A">
        <w:rPr>
          <w:rFonts w:cs="Arial"/>
        </w:rPr>
        <w:t xml:space="preserve">el principio de no discriminación </w:t>
      </w:r>
      <w:r w:rsidR="00617D4B" w:rsidRPr="004F3500">
        <w:rPr>
          <w:rFonts w:cs="Arial"/>
        </w:rPr>
        <w:t>por la que los ICD fueron man</w:t>
      </w:r>
      <w:r w:rsidR="00617D4B">
        <w:rPr>
          <w:rFonts w:cs="Arial"/>
        </w:rPr>
        <w:t>d</w:t>
      </w:r>
      <w:r w:rsidR="00617D4B" w:rsidRPr="004F3500">
        <w:rPr>
          <w:rFonts w:cs="Arial"/>
        </w:rPr>
        <w:t>atados</w:t>
      </w:r>
      <w:r w:rsidR="00EF022D">
        <w:rPr>
          <w:rFonts w:cs="Arial"/>
        </w:rPr>
        <w:t xml:space="preserve"> para</w:t>
      </w:r>
      <w:r w:rsidR="00B73AF0">
        <w:rPr>
          <w:rFonts w:cs="Arial"/>
        </w:rPr>
        <w:t>, en su caso, realizar la inclusión correspondiente.</w:t>
      </w:r>
    </w:p>
    <w:p w14:paraId="3023A7AC" w14:textId="68B121AF" w:rsidR="00617D4B" w:rsidRPr="00BA0F17" w:rsidRDefault="002F0B55" w:rsidP="00617D4B">
      <w:pPr>
        <w:pStyle w:val="Prrafodelista"/>
        <w:numPr>
          <w:ilvl w:val="0"/>
          <w:numId w:val="6"/>
        </w:numPr>
        <w:tabs>
          <w:tab w:val="left" w:pos="3334"/>
        </w:tabs>
        <w:spacing w:after="0"/>
        <w:ind w:left="426"/>
        <w:jc w:val="both"/>
        <w:rPr>
          <w:rFonts w:cs="Arial"/>
        </w:rPr>
      </w:pPr>
      <w:r w:rsidRPr="00E67284">
        <w:rPr>
          <w:rFonts w:cs="Arial"/>
        </w:rPr>
        <w:t>En cuanto</w:t>
      </w:r>
      <w:r w:rsidR="004F3500" w:rsidRPr="004F3500">
        <w:rPr>
          <w:rFonts w:cs="Arial"/>
        </w:rPr>
        <w:t xml:space="preserve"> a</w:t>
      </w:r>
      <w:r w:rsidR="00B54BA7">
        <w:rPr>
          <w:rFonts w:cs="Arial"/>
        </w:rPr>
        <w:t>l planteamiento</w:t>
      </w:r>
      <w:r w:rsidR="004F3500" w:rsidRPr="004F3500">
        <w:rPr>
          <w:rFonts w:cs="Arial"/>
        </w:rPr>
        <w:t xml:space="preserve"> de desglosar entre tecnología de cobre y de fibra (FTTH), se indica que </w:t>
      </w:r>
      <w:r w:rsidR="00AE650A">
        <w:rPr>
          <w:rFonts w:cs="Arial"/>
        </w:rPr>
        <w:t>s</w:t>
      </w:r>
      <w:r w:rsidR="004F3500" w:rsidRPr="004F3500">
        <w:rPr>
          <w:rFonts w:cs="Arial"/>
        </w:rPr>
        <w:t xml:space="preserve">e valoró la propuesta en términos de la utilidad para cumplir con el objetivo </w:t>
      </w:r>
      <w:r w:rsidR="00205761" w:rsidRPr="00205761">
        <w:rPr>
          <w:rFonts w:cs="Arial"/>
        </w:rPr>
        <w:t>de la implementación de la equivalencia de insumos</w:t>
      </w:r>
      <w:r w:rsidR="00205761">
        <w:rPr>
          <w:rFonts w:cs="Arial"/>
        </w:rPr>
        <w:t xml:space="preserve"> y </w:t>
      </w:r>
      <w:r w:rsidR="00205761" w:rsidRPr="00E07C5A">
        <w:rPr>
          <w:rFonts w:cs="Arial"/>
        </w:rPr>
        <w:t xml:space="preserve">el principio de no discriminación </w:t>
      </w:r>
      <w:r w:rsidR="004F3500" w:rsidRPr="004F3500">
        <w:rPr>
          <w:rFonts w:cs="Arial"/>
        </w:rPr>
        <w:t>por la que los ICD fueron man</w:t>
      </w:r>
      <w:r w:rsidR="004F3500">
        <w:rPr>
          <w:rFonts w:cs="Arial"/>
        </w:rPr>
        <w:t>d</w:t>
      </w:r>
      <w:r w:rsidR="004F3500" w:rsidRPr="004F3500">
        <w:rPr>
          <w:rFonts w:cs="Arial"/>
        </w:rPr>
        <w:t>atados</w:t>
      </w:r>
      <w:r w:rsidR="00617D4B">
        <w:rPr>
          <w:rFonts w:cs="Arial"/>
        </w:rPr>
        <w:t xml:space="preserve"> </w:t>
      </w:r>
      <w:r w:rsidR="00EF022D">
        <w:rPr>
          <w:rFonts w:cs="Arial"/>
        </w:rPr>
        <w:t>para</w:t>
      </w:r>
      <w:r w:rsidR="00617D4B">
        <w:rPr>
          <w:rFonts w:cs="Arial"/>
        </w:rPr>
        <w:t>, en su caso, realizar la desagregación correspondiente. Ahora bien</w:t>
      </w:r>
      <w:r w:rsidR="00EF022D">
        <w:rPr>
          <w:rFonts w:cs="Arial"/>
        </w:rPr>
        <w:t>,</w:t>
      </w:r>
      <w:r w:rsidR="00617D4B">
        <w:rPr>
          <w:rFonts w:cs="Arial"/>
        </w:rPr>
        <w:t xml:space="preserve"> por lo que hace a la sugerencia de desagregar </w:t>
      </w:r>
      <w:r w:rsidR="00617D4B">
        <w:rPr>
          <w:rFonts w:cs="Arial"/>
          <w:iCs/>
        </w:rPr>
        <w:t xml:space="preserve">las peticiones con acometida y las </w:t>
      </w:r>
      <w:r w:rsidR="00617D4B">
        <w:rPr>
          <w:rFonts w:cs="Arial"/>
          <w:iCs/>
        </w:rPr>
        <w:lastRenderedPageBreak/>
        <w:t>peticiones sin acometida, si bien e</w:t>
      </w:r>
      <w:r w:rsidR="00617D4B" w:rsidRPr="00BA0F17">
        <w:rPr>
          <w:rFonts w:cs="Arial"/>
        </w:rPr>
        <w:t>s cierto que las peticiones tienen distinta casuística al estar midiendo el porcentaje de cumplimiento con respecto a plazos establecidos en la</w:t>
      </w:r>
      <w:r w:rsidR="00617D4B">
        <w:rPr>
          <w:rFonts w:cs="Arial"/>
        </w:rPr>
        <w:t>s o</w:t>
      </w:r>
      <w:r w:rsidR="00617D4B" w:rsidRPr="00BA0F17">
        <w:rPr>
          <w:rFonts w:cs="Arial"/>
        </w:rPr>
        <w:t>ferta</w:t>
      </w:r>
      <w:r w:rsidR="00617D4B">
        <w:rPr>
          <w:rFonts w:cs="Arial"/>
        </w:rPr>
        <w:t>s</w:t>
      </w:r>
      <w:r w:rsidR="00617D4B" w:rsidRPr="00BA0F17">
        <w:rPr>
          <w:rFonts w:cs="Arial"/>
        </w:rPr>
        <w:t xml:space="preserve"> de </w:t>
      </w:r>
      <w:r w:rsidR="00617D4B">
        <w:rPr>
          <w:rFonts w:cs="Arial"/>
        </w:rPr>
        <w:t>r</w:t>
      </w:r>
      <w:r w:rsidR="00617D4B" w:rsidRPr="00BA0F17">
        <w:rPr>
          <w:rFonts w:cs="Arial"/>
        </w:rPr>
        <w:t>eferencia, ello no debería ser un problema ya que no se están comparando los tiempos promedio</w:t>
      </w:r>
      <w:r w:rsidR="00B76B37">
        <w:rPr>
          <w:rFonts w:cs="Arial"/>
        </w:rPr>
        <w:t>. No obstante, para efec</w:t>
      </w:r>
      <w:r w:rsidR="009102AA">
        <w:rPr>
          <w:rFonts w:cs="Arial"/>
        </w:rPr>
        <w:t>t</w:t>
      </w:r>
      <w:r w:rsidR="00B76B37">
        <w:rPr>
          <w:rFonts w:cs="Arial"/>
        </w:rPr>
        <w:t xml:space="preserve">o de definir </w:t>
      </w:r>
      <w:r w:rsidR="00617D4B" w:rsidRPr="00BA0F17">
        <w:rPr>
          <w:rFonts w:cs="Arial"/>
        </w:rPr>
        <w:t xml:space="preserve">una mayor desagregación </w:t>
      </w:r>
      <w:r w:rsidR="00B76B37">
        <w:rPr>
          <w:rFonts w:cs="Arial"/>
        </w:rPr>
        <w:t>debe ponderarse el efecto en cuanto a contar con observaciones suficientes para calcular los ICD</w:t>
      </w:r>
      <w:r w:rsidR="00617D4B">
        <w:rPr>
          <w:rFonts w:cs="Arial"/>
        </w:rPr>
        <w:t>.</w:t>
      </w:r>
    </w:p>
    <w:p w14:paraId="38DCD737" w14:textId="2740BD2C" w:rsidR="003C3934" w:rsidRDefault="00B54BA7" w:rsidP="007601D3">
      <w:pPr>
        <w:pStyle w:val="Prrafodelista"/>
        <w:numPr>
          <w:ilvl w:val="0"/>
          <w:numId w:val="6"/>
        </w:numPr>
        <w:tabs>
          <w:tab w:val="left" w:pos="3334"/>
        </w:tabs>
        <w:spacing w:after="0"/>
        <w:ind w:left="426"/>
        <w:jc w:val="both"/>
        <w:rPr>
          <w:rFonts w:cs="Arial"/>
        </w:rPr>
      </w:pPr>
      <w:r>
        <w:rPr>
          <w:rFonts w:cs="Arial"/>
        </w:rPr>
        <w:t>Respecto de</w:t>
      </w:r>
      <w:r w:rsidR="004F3500">
        <w:rPr>
          <w:rFonts w:cs="Arial"/>
        </w:rPr>
        <w:t xml:space="preserve"> </w:t>
      </w:r>
      <w:r w:rsidR="004F3500" w:rsidRPr="00D548B0">
        <w:rPr>
          <w:rFonts w:cs="Arial"/>
        </w:rPr>
        <w:t xml:space="preserve">la </w:t>
      </w:r>
      <w:r w:rsidR="006F6D51">
        <w:rPr>
          <w:rFonts w:cs="Arial"/>
        </w:rPr>
        <w:t>situación</w:t>
      </w:r>
      <w:r w:rsidR="004F3500" w:rsidRPr="00D548B0">
        <w:rPr>
          <w:rFonts w:cs="Arial"/>
        </w:rPr>
        <w:t xml:space="preserve"> apuntada</w:t>
      </w:r>
      <w:r w:rsidR="004F3500">
        <w:rPr>
          <w:rFonts w:cs="Arial"/>
        </w:rPr>
        <w:t xml:space="preserve"> referente a los tiempos para el aprovisionamiento, se destaca que en la propuesta de Alternativas de actualización de ICD existen ICD que permitir</w:t>
      </w:r>
      <w:r w:rsidR="00F34B15">
        <w:rPr>
          <w:rFonts w:cs="Arial"/>
        </w:rPr>
        <w:t>ía</w:t>
      </w:r>
      <w:r w:rsidR="004F3500">
        <w:rPr>
          <w:rFonts w:cs="Arial"/>
        </w:rPr>
        <w:t>n identificar la pro</w:t>
      </w:r>
      <w:r w:rsidR="00D548B0" w:rsidRPr="004D2829">
        <w:rPr>
          <w:rFonts w:cs="Arial"/>
        </w:rPr>
        <w:t xml:space="preserve">blemática apuntada. Si el AEPT, a pesar de cumplir con los términos de la </w:t>
      </w:r>
      <w:r w:rsidR="004E00B4">
        <w:rPr>
          <w:rFonts w:cs="Arial"/>
        </w:rPr>
        <w:t>o</w:t>
      </w:r>
      <w:r w:rsidR="00D548B0" w:rsidRPr="004D2829">
        <w:rPr>
          <w:rFonts w:cs="Arial"/>
        </w:rPr>
        <w:t xml:space="preserve">ferta de </w:t>
      </w:r>
      <w:r w:rsidR="004E00B4">
        <w:rPr>
          <w:rFonts w:cs="Arial"/>
        </w:rPr>
        <w:t>r</w:t>
      </w:r>
      <w:r w:rsidR="00D548B0" w:rsidRPr="004D2829">
        <w:rPr>
          <w:rFonts w:cs="Arial"/>
        </w:rPr>
        <w:t xml:space="preserve">eferencia, prioriza sus peticiones, atendiéndolas en un menor plazo, los tiempos para la habilitación interna serán inferiores a los tiempos para la provisión </w:t>
      </w:r>
      <w:r w:rsidR="007413EC">
        <w:rPr>
          <w:rFonts w:cs="Arial"/>
        </w:rPr>
        <w:t xml:space="preserve">de servicios </w:t>
      </w:r>
      <w:r w:rsidR="00D548B0" w:rsidRPr="004D2829">
        <w:rPr>
          <w:rFonts w:cs="Arial"/>
        </w:rPr>
        <w:t>extern</w:t>
      </w:r>
      <w:r w:rsidR="007413EC">
        <w:rPr>
          <w:rFonts w:cs="Arial"/>
        </w:rPr>
        <w:t>os</w:t>
      </w:r>
      <w:r w:rsidR="00F34B15">
        <w:rPr>
          <w:rFonts w:cs="Arial"/>
        </w:rPr>
        <w:t xml:space="preserve"> lo que podría redundar en una diferencia estadística significativa entre la provisión interna y externa</w:t>
      </w:r>
      <w:r w:rsidR="004F3500">
        <w:rPr>
          <w:rFonts w:cs="Arial"/>
        </w:rPr>
        <w:t>.</w:t>
      </w:r>
    </w:p>
    <w:p w14:paraId="1EDAAEFC" w14:textId="324DF1E1" w:rsidR="004F3500" w:rsidRPr="004D2829" w:rsidRDefault="004F3500" w:rsidP="007601D3">
      <w:pPr>
        <w:pStyle w:val="Prrafodelista"/>
        <w:tabs>
          <w:tab w:val="left" w:pos="3334"/>
        </w:tabs>
        <w:spacing w:after="0"/>
        <w:ind w:left="426"/>
        <w:jc w:val="both"/>
        <w:rPr>
          <w:rFonts w:cs="Arial"/>
        </w:rPr>
      </w:pPr>
      <w:r>
        <w:rPr>
          <w:rFonts w:cs="Arial"/>
        </w:rPr>
        <w:t xml:space="preserve">Ahora bien, </w:t>
      </w:r>
      <w:r w:rsidR="006F6D51">
        <w:rPr>
          <w:rFonts w:cs="Arial"/>
        </w:rPr>
        <w:t>referente</w:t>
      </w:r>
      <w:r>
        <w:rPr>
          <w:rFonts w:cs="Arial"/>
        </w:rPr>
        <w:t xml:space="preserve"> a la solicitud de hacer diferenciación entre aprovisionamiento para coubicación nueva y existente, se informa que </w:t>
      </w:r>
      <w:r w:rsidRPr="009869DA">
        <w:rPr>
          <w:rFonts w:cs="Arial"/>
        </w:rPr>
        <w:t xml:space="preserve">se valoró la propuesta en términos de la utilidad para cumplir con el objetivo </w:t>
      </w:r>
      <w:r w:rsidR="00205761" w:rsidRPr="00205761">
        <w:rPr>
          <w:rFonts w:cs="Arial"/>
        </w:rPr>
        <w:t>de la implementación de la equivalencia de insumos</w:t>
      </w:r>
      <w:r w:rsidR="00205761">
        <w:rPr>
          <w:rFonts w:cs="Arial"/>
        </w:rPr>
        <w:t xml:space="preserve"> y </w:t>
      </w:r>
      <w:r w:rsidR="00205761" w:rsidRPr="00E07C5A">
        <w:rPr>
          <w:rFonts w:cs="Arial"/>
        </w:rPr>
        <w:t xml:space="preserve">el principio de no discriminación </w:t>
      </w:r>
      <w:r w:rsidRPr="009869DA">
        <w:rPr>
          <w:rFonts w:cs="Arial"/>
        </w:rPr>
        <w:t>por la que los ICD fueron man</w:t>
      </w:r>
      <w:r>
        <w:rPr>
          <w:rFonts w:cs="Arial"/>
        </w:rPr>
        <w:t>d</w:t>
      </w:r>
      <w:r w:rsidRPr="009869DA">
        <w:rPr>
          <w:rFonts w:cs="Arial"/>
        </w:rPr>
        <w:t>atados.</w:t>
      </w:r>
    </w:p>
    <w:p w14:paraId="628E7396" w14:textId="3725752D" w:rsidR="00AE650A" w:rsidRDefault="00AE650A" w:rsidP="007601D3">
      <w:pPr>
        <w:pStyle w:val="Prrafodelista"/>
        <w:tabs>
          <w:tab w:val="left" w:pos="3334"/>
        </w:tabs>
        <w:spacing w:after="0"/>
        <w:ind w:left="426"/>
        <w:jc w:val="both"/>
        <w:rPr>
          <w:rFonts w:cs="Arial"/>
        </w:rPr>
      </w:pPr>
      <w:r>
        <w:rPr>
          <w:rFonts w:cs="Arial"/>
        </w:rPr>
        <w:t xml:space="preserve">Finalmente, por lo que hace a la problemática </w:t>
      </w:r>
      <w:r w:rsidR="00F84D0D" w:rsidRPr="00F84D0D">
        <w:rPr>
          <w:rFonts w:cs="Arial"/>
        </w:rPr>
        <w:t>apuntada asociada al proceso de homologación</w:t>
      </w:r>
      <w:r>
        <w:rPr>
          <w:rFonts w:cs="Arial"/>
        </w:rPr>
        <w:t xml:space="preserve">, </w:t>
      </w:r>
      <w:r w:rsidRPr="00AE650A">
        <w:rPr>
          <w:rFonts w:cs="Arial"/>
        </w:rPr>
        <w:t>se advierte que sale del alcance de la actualización de ICD</w:t>
      </w:r>
      <w:r>
        <w:rPr>
          <w:rFonts w:cs="Arial"/>
        </w:rPr>
        <w:t>. Sin embargo, es de precisar que con la Actualización de ICD se pretende d</w:t>
      </w:r>
      <w:r w:rsidR="00F84D0D" w:rsidRPr="00F84D0D">
        <w:rPr>
          <w:rFonts w:cs="Arial"/>
        </w:rPr>
        <w:t xml:space="preserve">etectar hasta qué punto los plazos de habilitación son superiores para la provisión </w:t>
      </w:r>
      <w:r>
        <w:rPr>
          <w:rFonts w:cs="Arial"/>
        </w:rPr>
        <w:t xml:space="preserve">de servicios </w:t>
      </w:r>
      <w:r w:rsidR="00F84D0D" w:rsidRPr="00F84D0D">
        <w:rPr>
          <w:rFonts w:cs="Arial"/>
        </w:rPr>
        <w:t>extern</w:t>
      </w:r>
      <w:r>
        <w:rPr>
          <w:rFonts w:cs="Arial"/>
        </w:rPr>
        <w:t>os</w:t>
      </w:r>
      <w:r w:rsidR="00F84D0D" w:rsidRPr="00F84D0D">
        <w:rPr>
          <w:rFonts w:cs="Arial"/>
        </w:rPr>
        <w:t xml:space="preserve"> frente a la provisión</w:t>
      </w:r>
      <w:r>
        <w:rPr>
          <w:rFonts w:cs="Arial"/>
        </w:rPr>
        <w:t xml:space="preserve"> de servicios </w:t>
      </w:r>
      <w:r w:rsidR="00F84D0D" w:rsidRPr="00F84D0D">
        <w:rPr>
          <w:rFonts w:cs="Arial"/>
        </w:rPr>
        <w:t>intern</w:t>
      </w:r>
      <w:r>
        <w:rPr>
          <w:rFonts w:cs="Arial"/>
        </w:rPr>
        <w:t>os</w:t>
      </w:r>
      <w:r w:rsidR="00F84D0D" w:rsidRPr="00F84D0D">
        <w:rPr>
          <w:rFonts w:cs="Arial"/>
        </w:rPr>
        <w:t>. En la medida en que la provisión del módem contribuya a retrasar la habilitación del servicio al CS</w:t>
      </w:r>
      <w:r w:rsidR="00BF34A7">
        <w:rPr>
          <w:rFonts w:cs="Arial"/>
        </w:rPr>
        <w:t xml:space="preserve"> y sea responsabilidad del AEPT, </w:t>
      </w:r>
      <w:r w:rsidR="00F84D0D" w:rsidRPr="00F84D0D">
        <w:rPr>
          <w:rFonts w:cs="Arial"/>
        </w:rPr>
        <w:t xml:space="preserve">ello se verá reflejado </w:t>
      </w:r>
      <w:r>
        <w:rPr>
          <w:rFonts w:cs="Arial"/>
        </w:rPr>
        <w:t>en los tiempos de provisión de servicios externos frente a la provisión de servicios internos.</w:t>
      </w:r>
    </w:p>
    <w:p w14:paraId="5619A068" w14:textId="0FA16D13" w:rsidR="00E11D2F" w:rsidRPr="007972CC" w:rsidRDefault="00E11D2F" w:rsidP="007972CC">
      <w:pPr>
        <w:pStyle w:val="Ttulo2"/>
        <w:rPr>
          <w:b/>
          <w:bCs/>
        </w:rPr>
      </w:pPr>
      <w:r w:rsidRPr="007972CC">
        <w:rPr>
          <w:b/>
          <w:bCs/>
        </w:rPr>
        <w:t>Enlaces</w:t>
      </w:r>
      <w:r w:rsidR="000B4E0B" w:rsidRPr="007972CC">
        <w:rPr>
          <w:b/>
          <w:bCs/>
        </w:rPr>
        <w:t xml:space="preserve"> </w:t>
      </w:r>
      <w:r w:rsidR="000A2A0A" w:rsidRPr="007972CC">
        <w:rPr>
          <w:b/>
          <w:bCs/>
        </w:rPr>
        <w:t>d</w:t>
      </w:r>
      <w:r w:rsidR="000B4E0B" w:rsidRPr="007972CC">
        <w:rPr>
          <w:b/>
          <w:bCs/>
        </w:rPr>
        <w:t>edicados</w:t>
      </w:r>
    </w:p>
    <w:p w14:paraId="64B72463" w14:textId="68AA1C23" w:rsidR="00303EAC" w:rsidRPr="00D16C78" w:rsidRDefault="0041317B" w:rsidP="007601D3">
      <w:pPr>
        <w:pStyle w:val="Prrafodelista"/>
        <w:numPr>
          <w:ilvl w:val="0"/>
          <w:numId w:val="5"/>
        </w:numPr>
        <w:tabs>
          <w:tab w:val="left" w:pos="3334"/>
        </w:tabs>
        <w:spacing w:after="0"/>
        <w:ind w:left="426"/>
        <w:jc w:val="both"/>
        <w:rPr>
          <w:rFonts w:cs="Arial"/>
        </w:rPr>
      </w:pPr>
      <w:r>
        <w:rPr>
          <w:rFonts w:cs="Arial"/>
        </w:rPr>
        <w:t xml:space="preserve">Mencionan </w:t>
      </w:r>
      <w:r w:rsidR="0018027D">
        <w:rPr>
          <w:rFonts w:cs="Arial"/>
        </w:rPr>
        <w:t>que,</w:t>
      </w:r>
      <w:r>
        <w:rPr>
          <w:rFonts w:cs="Arial"/>
        </w:rPr>
        <w:t xml:space="preserve"> p</w:t>
      </w:r>
      <w:r w:rsidRPr="009869DA">
        <w:rPr>
          <w:rFonts w:cs="Arial"/>
        </w:rPr>
        <w:t xml:space="preserve">ara </w:t>
      </w:r>
      <w:r>
        <w:rPr>
          <w:rFonts w:cs="Arial"/>
        </w:rPr>
        <w:t xml:space="preserve">los </w:t>
      </w:r>
      <w:r w:rsidRPr="009869DA">
        <w:rPr>
          <w:rFonts w:cs="Arial"/>
        </w:rPr>
        <w:t>servicios</w:t>
      </w:r>
      <w:r w:rsidRPr="00E47139">
        <w:rPr>
          <w:rFonts w:cs="Arial"/>
        </w:rPr>
        <w:t xml:space="preserve"> de </w:t>
      </w:r>
      <w:r w:rsidR="00654F88">
        <w:rPr>
          <w:rFonts w:cs="Arial"/>
        </w:rPr>
        <w:t>enlaces</w:t>
      </w:r>
      <w:r w:rsidR="002A62F7">
        <w:rPr>
          <w:rFonts w:cs="Arial"/>
        </w:rPr>
        <w:t xml:space="preserve"> </w:t>
      </w:r>
      <w:r w:rsidR="00FA698E">
        <w:rPr>
          <w:rFonts w:cs="Arial"/>
        </w:rPr>
        <w:t>dedicados</w:t>
      </w:r>
      <w:r w:rsidRPr="009869DA">
        <w:rPr>
          <w:rFonts w:cs="Arial"/>
        </w:rPr>
        <w:t>,</w:t>
      </w:r>
      <w:r w:rsidRPr="00E47139">
        <w:rPr>
          <w:rFonts w:cs="Arial"/>
        </w:rPr>
        <w:t xml:space="preserve"> </w:t>
      </w:r>
      <w:r>
        <w:rPr>
          <w:rFonts w:cs="Arial"/>
        </w:rPr>
        <w:t xml:space="preserve">la propuesta de </w:t>
      </w:r>
      <w:r w:rsidRPr="00E47139">
        <w:rPr>
          <w:rFonts w:cs="Arial"/>
        </w:rPr>
        <w:t>inclusión de</w:t>
      </w:r>
      <w:r>
        <w:rPr>
          <w:rFonts w:cs="Arial"/>
        </w:rPr>
        <w:t xml:space="preserve">l ICD </w:t>
      </w:r>
      <w:r w:rsidRPr="00E47139">
        <w:rPr>
          <w:rFonts w:cs="Arial"/>
        </w:rPr>
        <w:t xml:space="preserve">“Porcentaje de fallas reportadas no atribuibles al AEPT”, no refiere directamente a la gestión de fallas provista por el AEPT, por lo que </w:t>
      </w:r>
      <w:r w:rsidRPr="009869DA">
        <w:rPr>
          <w:rFonts w:cs="Arial"/>
        </w:rPr>
        <w:t>sugiere</w:t>
      </w:r>
      <w:r>
        <w:rPr>
          <w:rFonts w:cs="Arial"/>
        </w:rPr>
        <w:t>n</w:t>
      </w:r>
      <w:r w:rsidRPr="00E47139">
        <w:rPr>
          <w:rFonts w:cs="Arial"/>
        </w:rPr>
        <w:t xml:space="preserve"> que el </w:t>
      </w:r>
      <w:r>
        <w:rPr>
          <w:rFonts w:cs="Arial"/>
        </w:rPr>
        <w:t>ICD</w:t>
      </w:r>
      <w:r w:rsidRPr="009869DA">
        <w:rPr>
          <w:rFonts w:cs="Arial"/>
        </w:rPr>
        <w:t xml:space="preserve"> </w:t>
      </w:r>
      <w:r w:rsidRPr="00E47139">
        <w:rPr>
          <w:rFonts w:cs="Arial"/>
        </w:rPr>
        <w:t xml:space="preserve">sea modificado </w:t>
      </w:r>
      <w:r>
        <w:rPr>
          <w:rFonts w:cs="Arial"/>
        </w:rPr>
        <w:t>para quedar como</w:t>
      </w:r>
      <w:r w:rsidRPr="00E47139">
        <w:rPr>
          <w:rFonts w:cs="Arial"/>
        </w:rPr>
        <w:t xml:space="preserve"> “Porcentaje de fallas reportadas atribuibles al AEPT” y que su inclusión se lleve a cabo en todos los servicios, de manera indistinta</w:t>
      </w:r>
      <w:r w:rsidR="007D64D6">
        <w:rPr>
          <w:rFonts w:cs="Arial"/>
        </w:rPr>
        <w:t xml:space="preserve"> </w:t>
      </w:r>
      <w:r w:rsidR="007D64D6" w:rsidRPr="00E94D0D">
        <w:rPr>
          <w:rFonts w:cs="Arial"/>
          <w:b/>
          <w:bCs/>
          <w:iCs/>
          <w:color w:val="5B9BD5" w:themeColor="accent1"/>
        </w:rPr>
        <w:t>(AT&amp;T y Axtel)</w:t>
      </w:r>
      <w:r w:rsidR="007D64D6" w:rsidRPr="007D64D6">
        <w:rPr>
          <w:rFonts w:cs="Arial"/>
          <w:iCs/>
        </w:rPr>
        <w:t>.</w:t>
      </w:r>
    </w:p>
    <w:p w14:paraId="4B66A73F" w14:textId="47E43223" w:rsidR="00D16C78" w:rsidRPr="00E15556" w:rsidRDefault="00D64537" w:rsidP="007601D3">
      <w:pPr>
        <w:pStyle w:val="Prrafodelista"/>
        <w:numPr>
          <w:ilvl w:val="0"/>
          <w:numId w:val="5"/>
        </w:numPr>
        <w:tabs>
          <w:tab w:val="left" w:pos="3334"/>
        </w:tabs>
        <w:spacing w:after="0"/>
        <w:ind w:left="426"/>
        <w:jc w:val="both"/>
        <w:rPr>
          <w:rFonts w:cs="Arial"/>
        </w:rPr>
      </w:pPr>
      <w:r w:rsidRPr="00D64537">
        <w:rPr>
          <w:rFonts w:cs="Arial"/>
        </w:rPr>
        <w:t>Se considera que la factibilidad de la solicitud queda completamente a discreción del AEP</w:t>
      </w:r>
      <w:r w:rsidR="00143A74">
        <w:rPr>
          <w:rFonts w:cs="Arial"/>
        </w:rPr>
        <w:t>T</w:t>
      </w:r>
      <w:r w:rsidRPr="00D64537">
        <w:rPr>
          <w:rFonts w:cs="Arial"/>
        </w:rPr>
        <w:t xml:space="preserve">, sin que </w:t>
      </w:r>
      <w:r w:rsidR="00143A74">
        <w:rPr>
          <w:rFonts w:cs="Arial"/>
        </w:rPr>
        <w:t>realmente se pueda</w:t>
      </w:r>
      <w:r w:rsidRPr="00D64537">
        <w:rPr>
          <w:rFonts w:cs="Arial"/>
        </w:rPr>
        <w:t xml:space="preserve"> verificar s</w:t>
      </w:r>
      <w:r w:rsidR="00B27154">
        <w:rPr>
          <w:rFonts w:cs="Arial"/>
        </w:rPr>
        <w:t>i</w:t>
      </w:r>
      <w:r w:rsidRPr="00D64537">
        <w:rPr>
          <w:rFonts w:cs="Arial"/>
        </w:rPr>
        <w:t xml:space="preserve"> la determinación de </w:t>
      </w:r>
      <w:r w:rsidRPr="00D64537">
        <w:rPr>
          <w:rFonts w:cs="Arial"/>
        </w:rPr>
        <w:lastRenderedPageBreak/>
        <w:t>factibilidad es válida y si el AEP</w:t>
      </w:r>
      <w:r w:rsidR="00143A74">
        <w:rPr>
          <w:rFonts w:cs="Arial"/>
        </w:rPr>
        <w:t>T</w:t>
      </w:r>
      <w:r w:rsidRPr="00D64537">
        <w:rPr>
          <w:rFonts w:cs="Arial"/>
        </w:rPr>
        <w:t xml:space="preserve"> está ofreciendo el mismo trato en información de disponibilidad y capacidad a sus competidores y a sí mismo.</w:t>
      </w:r>
      <w:r>
        <w:rPr>
          <w:rFonts w:cs="Arial"/>
        </w:rPr>
        <w:t xml:space="preserve"> Adicionalmente, indica que </w:t>
      </w:r>
      <w:r w:rsidRPr="00D64537">
        <w:rPr>
          <w:rFonts w:cs="Arial"/>
        </w:rPr>
        <w:t>los tiempos de entrega a los CS son altos, incluso cumpliendo con los criterios de la</w:t>
      </w:r>
      <w:r w:rsidR="00143A74">
        <w:rPr>
          <w:rFonts w:cs="Arial"/>
        </w:rPr>
        <w:t xml:space="preserve">s </w:t>
      </w:r>
      <w:r w:rsidR="00E83D17">
        <w:rPr>
          <w:rFonts w:cs="Arial"/>
        </w:rPr>
        <w:t>o</w:t>
      </w:r>
      <w:r w:rsidR="00143A74">
        <w:rPr>
          <w:rFonts w:cs="Arial"/>
        </w:rPr>
        <w:t>fertas de referencia</w:t>
      </w:r>
      <w:r w:rsidRPr="00D64537">
        <w:rPr>
          <w:rFonts w:cs="Arial"/>
        </w:rPr>
        <w:t>, lo que conduce a que sea común que los clientes de los CS cancelen sus solicitudes</w:t>
      </w:r>
      <w:r>
        <w:rPr>
          <w:rFonts w:cs="Arial"/>
        </w:rPr>
        <w:t xml:space="preserve"> </w:t>
      </w:r>
      <w:r>
        <w:rPr>
          <w:rFonts w:cs="Arial"/>
          <w:b/>
          <w:bCs/>
          <w:iCs/>
          <w:color w:val="5B9BD5" w:themeColor="accent1"/>
        </w:rPr>
        <w:t>(A</w:t>
      </w:r>
      <w:r w:rsidRPr="009869DA">
        <w:rPr>
          <w:rFonts w:cs="Arial"/>
          <w:b/>
          <w:bCs/>
          <w:iCs/>
          <w:color w:val="5B9BD5" w:themeColor="accent1"/>
        </w:rPr>
        <w:t>xtel)</w:t>
      </w:r>
      <w:r w:rsidRPr="009869DA">
        <w:rPr>
          <w:rFonts w:cs="Arial"/>
          <w:iCs/>
        </w:rPr>
        <w:t>.</w:t>
      </w:r>
    </w:p>
    <w:p w14:paraId="413B37C3" w14:textId="03D65877" w:rsidR="007312FD" w:rsidRPr="00AD37F2" w:rsidRDefault="00AC5321" w:rsidP="007601D3">
      <w:pPr>
        <w:pStyle w:val="Prrafodelista"/>
        <w:numPr>
          <w:ilvl w:val="0"/>
          <w:numId w:val="5"/>
        </w:numPr>
        <w:tabs>
          <w:tab w:val="left" w:pos="3334"/>
        </w:tabs>
        <w:spacing w:after="0"/>
        <w:ind w:left="426"/>
        <w:jc w:val="both"/>
        <w:rPr>
          <w:rFonts w:cs="Arial"/>
        </w:rPr>
      </w:pPr>
      <w:r>
        <w:rPr>
          <w:rFonts w:cs="Arial"/>
        </w:rPr>
        <w:t>C</w:t>
      </w:r>
      <w:r w:rsidR="007312FD" w:rsidRPr="007312FD">
        <w:rPr>
          <w:rFonts w:cs="Arial"/>
        </w:rPr>
        <w:t>onsidera</w:t>
      </w:r>
      <w:r>
        <w:rPr>
          <w:rFonts w:cs="Arial"/>
        </w:rPr>
        <w:t>n</w:t>
      </w:r>
      <w:r w:rsidR="007312FD" w:rsidRPr="007312FD">
        <w:rPr>
          <w:rFonts w:cs="Arial"/>
        </w:rPr>
        <w:t xml:space="preserve"> necesario desglosar por tecnología (TDM y Ethernet)</w:t>
      </w:r>
      <w:r w:rsidR="007312FD">
        <w:rPr>
          <w:rFonts w:cs="Arial"/>
        </w:rPr>
        <w:t>,</w:t>
      </w:r>
      <w:r w:rsidR="007312FD" w:rsidRPr="007312FD">
        <w:rPr>
          <w:rFonts w:cs="Arial"/>
        </w:rPr>
        <w:t xml:space="preserve"> no sólo porque se trate de tecnologías distintas, sino por presentar procesos distintos, calidades distintas, ANS distintos, y no parece razonable no desglosar por este concepto y agregar los valores como si de una única tecnología se tratara</w:t>
      </w:r>
      <w:r w:rsidR="003E5E5F">
        <w:rPr>
          <w:rFonts w:cs="Arial"/>
        </w:rPr>
        <w:t xml:space="preserve">. </w:t>
      </w:r>
      <w:r w:rsidR="003E5E5F" w:rsidRPr="003E5E5F">
        <w:rPr>
          <w:rFonts w:cs="Arial"/>
        </w:rPr>
        <w:t>También se considera necesario desglosar por capacidades (velocidades) de los enlaces disponibles, si no para todas y cada una de las velocidades disponibles, sí al menos por rangos/grupos</w:t>
      </w:r>
      <w:r w:rsidR="003E5E5F">
        <w:rPr>
          <w:rFonts w:cs="Arial"/>
        </w:rPr>
        <w:t xml:space="preserve"> </w:t>
      </w:r>
      <w:r w:rsidR="007312FD" w:rsidRPr="002A62F7">
        <w:rPr>
          <w:rFonts w:cs="Arial"/>
          <w:b/>
          <w:bCs/>
          <w:iCs/>
          <w:color w:val="5B9BD5" w:themeColor="accent1"/>
        </w:rPr>
        <w:t>(</w:t>
      </w:r>
      <w:r w:rsidR="00245E30">
        <w:rPr>
          <w:rFonts w:cs="Arial"/>
          <w:b/>
          <w:bCs/>
          <w:iCs/>
          <w:color w:val="5B9BD5" w:themeColor="accent1"/>
        </w:rPr>
        <w:t xml:space="preserve">GTSVA y </w:t>
      </w:r>
      <w:r w:rsidR="007312FD" w:rsidRPr="002A62F7">
        <w:rPr>
          <w:rFonts w:cs="Arial"/>
          <w:b/>
          <w:bCs/>
          <w:iCs/>
          <w:color w:val="5B9BD5" w:themeColor="accent1"/>
        </w:rPr>
        <w:t>Telefónica)</w:t>
      </w:r>
      <w:r w:rsidR="007312FD" w:rsidRPr="002A62F7">
        <w:rPr>
          <w:rFonts w:cs="Arial"/>
          <w:iCs/>
        </w:rPr>
        <w:t>.</w:t>
      </w:r>
    </w:p>
    <w:p w14:paraId="6CB88EBE" w14:textId="4ED12A3B" w:rsidR="00AD37F2" w:rsidRPr="00414E1B" w:rsidRDefault="00AC5321" w:rsidP="007601D3">
      <w:pPr>
        <w:pStyle w:val="Prrafodelista"/>
        <w:numPr>
          <w:ilvl w:val="0"/>
          <w:numId w:val="5"/>
        </w:numPr>
        <w:tabs>
          <w:tab w:val="left" w:pos="3334"/>
        </w:tabs>
        <w:spacing w:after="0"/>
        <w:ind w:left="426"/>
        <w:jc w:val="both"/>
        <w:rPr>
          <w:rFonts w:cs="Arial"/>
        </w:rPr>
      </w:pPr>
      <w:r>
        <w:rPr>
          <w:rFonts w:cs="Arial"/>
        </w:rPr>
        <w:t>Indica</w:t>
      </w:r>
      <w:r w:rsidR="00AD37F2" w:rsidRPr="00414E1B">
        <w:rPr>
          <w:rFonts w:cs="Arial"/>
        </w:rPr>
        <w:t xml:space="preserve"> que es insuficiente ofrecer los tiempos de provisión únicamente para tecnología Nx64 y E1, y no para todo el conjunto de tipos de enlaces y tecnología</w:t>
      </w:r>
      <w:r w:rsidR="00AD37F2">
        <w:rPr>
          <w:rFonts w:cs="Arial"/>
        </w:rPr>
        <w:t xml:space="preserve"> </w:t>
      </w:r>
      <w:r w:rsidR="00AD37F2">
        <w:rPr>
          <w:rFonts w:cs="Arial"/>
          <w:b/>
          <w:bCs/>
          <w:iCs/>
          <w:color w:val="5B9BD5" w:themeColor="accent1"/>
        </w:rPr>
        <w:t>(T</w:t>
      </w:r>
      <w:r w:rsidR="00AD37F2" w:rsidRPr="002A62F7">
        <w:rPr>
          <w:rFonts w:cs="Arial"/>
          <w:b/>
          <w:bCs/>
          <w:iCs/>
          <w:color w:val="5B9BD5" w:themeColor="accent1"/>
        </w:rPr>
        <w:t>elefónica)</w:t>
      </w:r>
      <w:r w:rsidR="00AD37F2" w:rsidRPr="002A62F7">
        <w:rPr>
          <w:rFonts w:cs="Arial"/>
          <w:iCs/>
        </w:rPr>
        <w:t>.</w:t>
      </w:r>
    </w:p>
    <w:p w14:paraId="2F1326A3" w14:textId="77777777" w:rsidR="00303EAC" w:rsidRPr="00414E1B" w:rsidRDefault="00303EAC" w:rsidP="00777A04">
      <w:pPr>
        <w:pStyle w:val="Sinespaciado"/>
      </w:pPr>
      <w:r w:rsidRPr="00414E1B">
        <w:t>Consideraciones del Instituto</w:t>
      </w:r>
    </w:p>
    <w:p w14:paraId="073AE9B0" w14:textId="13D0BBD7" w:rsidR="0041317B" w:rsidRDefault="0041317B" w:rsidP="007601D3">
      <w:pPr>
        <w:pStyle w:val="Prrafodelista"/>
        <w:numPr>
          <w:ilvl w:val="0"/>
          <w:numId w:val="7"/>
        </w:numPr>
        <w:tabs>
          <w:tab w:val="left" w:pos="3334"/>
        </w:tabs>
        <w:spacing w:after="0"/>
        <w:ind w:left="426"/>
        <w:jc w:val="both"/>
        <w:rPr>
          <w:rFonts w:cs="Arial"/>
        </w:rPr>
      </w:pPr>
      <w:r w:rsidRPr="009869DA">
        <w:rPr>
          <w:rFonts w:cs="Arial"/>
        </w:rPr>
        <w:t>Sobre l</w:t>
      </w:r>
      <w:r w:rsidR="00E83D17">
        <w:rPr>
          <w:rFonts w:cs="Arial"/>
        </w:rPr>
        <w:t>a</w:t>
      </w:r>
      <w:r w:rsidRPr="009869DA">
        <w:rPr>
          <w:rFonts w:cs="Arial"/>
        </w:rPr>
        <w:t xml:space="preserve"> sugerencia de modificación</w:t>
      </w:r>
      <w:r w:rsidR="00E83D17">
        <w:rPr>
          <w:rFonts w:cs="Arial"/>
        </w:rPr>
        <w:t xml:space="preserve"> del </w:t>
      </w:r>
      <w:r w:rsidRPr="009869DA">
        <w:rPr>
          <w:rFonts w:cs="Arial"/>
        </w:rPr>
        <w:t>ICD mencionado, se indica que se</w:t>
      </w:r>
      <w:r>
        <w:rPr>
          <w:rFonts w:cs="Arial"/>
        </w:rPr>
        <w:t xml:space="preserve"> </w:t>
      </w:r>
      <w:r w:rsidRPr="009869DA">
        <w:rPr>
          <w:rFonts w:cs="Arial"/>
        </w:rPr>
        <w:t>valoró la propuesta</w:t>
      </w:r>
      <w:r w:rsidR="0069350F">
        <w:rPr>
          <w:rFonts w:cs="Arial"/>
        </w:rPr>
        <w:t>, para, en su caso, realizar la modificación del ICD.</w:t>
      </w:r>
    </w:p>
    <w:p w14:paraId="66D0A1DD" w14:textId="0A1269AD" w:rsidR="00E83D17" w:rsidRDefault="00D44068" w:rsidP="007601D3">
      <w:pPr>
        <w:pStyle w:val="Prrafodelista"/>
        <w:numPr>
          <w:ilvl w:val="0"/>
          <w:numId w:val="7"/>
        </w:numPr>
        <w:tabs>
          <w:tab w:val="left" w:pos="3334"/>
        </w:tabs>
        <w:spacing w:after="0"/>
        <w:ind w:left="426"/>
        <w:jc w:val="both"/>
        <w:rPr>
          <w:rFonts w:cs="Arial"/>
        </w:rPr>
      </w:pPr>
      <w:r w:rsidRPr="00E67284">
        <w:rPr>
          <w:rFonts w:cs="Arial"/>
        </w:rPr>
        <w:t>En relación con</w:t>
      </w:r>
      <w:r>
        <w:rPr>
          <w:rFonts w:cs="Arial"/>
        </w:rPr>
        <w:t xml:space="preserve"> e</w:t>
      </w:r>
      <w:r w:rsidR="00E83D17">
        <w:rPr>
          <w:rFonts w:cs="Arial"/>
        </w:rPr>
        <w:t xml:space="preserve">l comentario referente a que la factibilidad de la solicitud queda completamente a discreción del AEPT, se señala </w:t>
      </w:r>
      <w:r w:rsidR="00E83D17" w:rsidRPr="002A62F7">
        <w:rPr>
          <w:rFonts w:cs="Arial"/>
        </w:rPr>
        <w:t>que en la propuesta de Alternativas de actualización de ICD existen ICD que permitir</w:t>
      </w:r>
      <w:r w:rsidR="00B27154">
        <w:rPr>
          <w:rFonts w:cs="Arial"/>
        </w:rPr>
        <w:t>ía</w:t>
      </w:r>
      <w:r w:rsidR="00E83D17" w:rsidRPr="002A62F7">
        <w:rPr>
          <w:rFonts w:cs="Arial"/>
        </w:rPr>
        <w:t>n identificar la problemática apuntada</w:t>
      </w:r>
      <w:r w:rsidR="00E83D17">
        <w:rPr>
          <w:rFonts w:cs="Arial"/>
        </w:rPr>
        <w:t xml:space="preserve">, permitiendo </w:t>
      </w:r>
      <w:r w:rsidR="00E83D17" w:rsidRPr="00E83D17">
        <w:rPr>
          <w:rFonts w:cs="Arial"/>
        </w:rPr>
        <w:t>identificar hasta qué punto el AEPT está siendo discrecional a la hora de determinar la factibilidad de las solicitudes. Si este fuera el caso, cabría observar una diferencia significativa entre el porcentaje de solicitudes externas e internas rechazadas.</w:t>
      </w:r>
    </w:p>
    <w:p w14:paraId="5D25BC4D" w14:textId="0C41C44E" w:rsidR="0085213D" w:rsidRPr="0085213D" w:rsidRDefault="00E83D17" w:rsidP="00D4300C">
      <w:pPr>
        <w:pStyle w:val="Prrafodelista"/>
        <w:tabs>
          <w:tab w:val="left" w:pos="3334"/>
        </w:tabs>
        <w:spacing w:after="0"/>
        <w:ind w:left="426"/>
        <w:jc w:val="both"/>
        <w:rPr>
          <w:rFonts w:cs="Arial"/>
        </w:rPr>
      </w:pPr>
      <w:r>
        <w:rPr>
          <w:rFonts w:cs="Arial"/>
        </w:rPr>
        <w:t xml:space="preserve">Ahora bien, </w:t>
      </w:r>
      <w:r w:rsidR="00E215CE">
        <w:rPr>
          <w:rFonts w:cs="Arial"/>
        </w:rPr>
        <w:t xml:space="preserve">respecto </w:t>
      </w:r>
      <w:r w:rsidR="00B27154">
        <w:rPr>
          <w:rFonts w:cs="Arial"/>
        </w:rPr>
        <w:t xml:space="preserve">a </w:t>
      </w:r>
      <w:r>
        <w:rPr>
          <w:rFonts w:cs="Arial"/>
        </w:rPr>
        <w:t xml:space="preserve">que los tiempos de entrega son altos, se precisa </w:t>
      </w:r>
      <w:r w:rsidR="00F07AB8">
        <w:rPr>
          <w:rFonts w:cs="Arial"/>
        </w:rPr>
        <w:t xml:space="preserve">que la modificación a tiempos establecidos en las ofertas de referencia excede </w:t>
      </w:r>
      <w:r w:rsidR="00F07AB8" w:rsidRPr="00450749">
        <w:rPr>
          <w:rFonts w:cs="Arial"/>
        </w:rPr>
        <w:t>del alcance de la actualización de ICD</w:t>
      </w:r>
      <w:r w:rsidR="00F07AB8">
        <w:rPr>
          <w:rFonts w:cs="Arial"/>
        </w:rPr>
        <w:t xml:space="preserve">. No obstante, </w:t>
      </w:r>
      <w:r w:rsidR="00DF0973">
        <w:rPr>
          <w:rFonts w:cs="Arial"/>
        </w:rPr>
        <w:t xml:space="preserve">es de precisar </w:t>
      </w:r>
      <w:r>
        <w:rPr>
          <w:rFonts w:cs="Arial"/>
        </w:rPr>
        <w:t>que s</w:t>
      </w:r>
      <w:r w:rsidRPr="00E40C6D">
        <w:rPr>
          <w:rFonts w:cs="Arial"/>
        </w:rPr>
        <w:t>i el AEPT, a pesar de cumplir con los términos</w:t>
      </w:r>
      <w:r w:rsidR="00DF0973">
        <w:rPr>
          <w:rFonts w:cs="Arial"/>
        </w:rPr>
        <w:t xml:space="preserve"> establecidos en</w:t>
      </w:r>
      <w:r w:rsidRPr="00E40C6D">
        <w:rPr>
          <w:rFonts w:cs="Arial"/>
        </w:rPr>
        <w:t xml:space="preserve"> la </w:t>
      </w:r>
      <w:r w:rsidR="004E00B4">
        <w:rPr>
          <w:rFonts w:cs="Arial"/>
        </w:rPr>
        <w:t>o</w:t>
      </w:r>
      <w:r w:rsidRPr="00E40C6D">
        <w:rPr>
          <w:rFonts w:cs="Arial"/>
        </w:rPr>
        <w:t xml:space="preserve">ferta de </w:t>
      </w:r>
      <w:r w:rsidR="004E00B4">
        <w:rPr>
          <w:rFonts w:cs="Arial"/>
        </w:rPr>
        <w:t>r</w:t>
      </w:r>
      <w:r w:rsidRPr="00E40C6D">
        <w:rPr>
          <w:rFonts w:cs="Arial"/>
        </w:rPr>
        <w:t>eferencia, prioriza sus peticiones, atendiéndolas en un menor plazo, los tiempos para la habilitación interna serán inferiores a los tiempos para la provisión</w:t>
      </w:r>
      <w:r w:rsidR="007413EC">
        <w:rPr>
          <w:rFonts w:cs="Arial"/>
        </w:rPr>
        <w:t xml:space="preserve"> de servicios</w:t>
      </w:r>
      <w:r w:rsidRPr="00E40C6D">
        <w:rPr>
          <w:rFonts w:cs="Arial"/>
        </w:rPr>
        <w:t xml:space="preserve"> extern</w:t>
      </w:r>
      <w:r w:rsidR="007413EC">
        <w:rPr>
          <w:rFonts w:cs="Arial"/>
        </w:rPr>
        <w:t>os</w:t>
      </w:r>
      <w:r w:rsidR="00F07AB8">
        <w:rPr>
          <w:rFonts w:cs="Arial"/>
        </w:rPr>
        <w:t>, lo cual se podría apreciar con los ICD propuestos</w:t>
      </w:r>
      <w:r>
        <w:rPr>
          <w:rFonts w:cs="Arial"/>
        </w:rPr>
        <w:t xml:space="preserve">. </w:t>
      </w:r>
    </w:p>
    <w:p w14:paraId="76F7D198" w14:textId="0EFBE4FE" w:rsidR="00AD37F2" w:rsidRPr="00D4300C" w:rsidRDefault="0069350F" w:rsidP="00EC2F40">
      <w:pPr>
        <w:pStyle w:val="Prrafodelista"/>
        <w:numPr>
          <w:ilvl w:val="0"/>
          <w:numId w:val="7"/>
        </w:numPr>
        <w:tabs>
          <w:tab w:val="left" w:pos="3334"/>
        </w:tabs>
        <w:spacing w:after="0"/>
        <w:ind w:left="426"/>
        <w:jc w:val="both"/>
        <w:rPr>
          <w:rFonts w:cs="Arial"/>
        </w:rPr>
      </w:pPr>
      <w:r w:rsidRPr="00D4300C">
        <w:rPr>
          <w:rFonts w:cs="Arial"/>
        </w:rPr>
        <w:t>Sobre la sugerencia de desglosar ICD por tecnologías y velocidades, se indica que se valoró la propuesta, para, en su caso, realizar la modificación o adición de ICD</w:t>
      </w:r>
      <w:r w:rsidR="00AD37F2" w:rsidRPr="00D4300C">
        <w:rPr>
          <w:rFonts w:cs="Arial"/>
        </w:rPr>
        <w:t>.</w:t>
      </w:r>
    </w:p>
    <w:p w14:paraId="6FE6F4E5" w14:textId="576A6283" w:rsidR="006D4C4E" w:rsidRPr="005F1C60" w:rsidRDefault="00212FD8" w:rsidP="007601D3">
      <w:pPr>
        <w:pStyle w:val="Prrafodelista"/>
        <w:numPr>
          <w:ilvl w:val="0"/>
          <w:numId w:val="7"/>
        </w:numPr>
        <w:tabs>
          <w:tab w:val="left" w:pos="3334"/>
        </w:tabs>
        <w:spacing w:after="0"/>
        <w:ind w:left="426"/>
        <w:jc w:val="both"/>
        <w:rPr>
          <w:rFonts w:cs="Arial"/>
        </w:rPr>
      </w:pPr>
      <w:r>
        <w:rPr>
          <w:rFonts w:cs="Arial"/>
        </w:rPr>
        <w:t>Respecto del planteamiento</w:t>
      </w:r>
      <w:r w:rsidR="00AD37F2" w:rsidRPr="005F1C60">
        <w:rPr>
          <w:rFonts w:cs="Arial"/>
        </w:rPr>
        <w:t xml:space="preserve"> de modificación del ICD mencionado, se indica que se valoró la propuesta, para, en su caso, realizar l</w:t>
      </w:r>
      <w:r w:rsidR="006D4C4E" w:rsidRPr="005F1C60">
        <w:rPr>
          <w:rFonts w:cs="Arial"/>
        </w:rPr>
        <w:t xml:space="preserve">os ajustes necesarios. </w:t>
      </w:r>
      <w:r w:rsidR="006D4C4E" w:rsidRPr="005F1C60">
        <w:rPr>
          <w:rFonts w:cs="Arial"/>
        </w:rPr>
        <w:lastRenderedPageBreak/>
        <w:t>Adicionalmente, se destaca que en la propuesta de Alternativas de actualización de ICD existen ICD que permitir</w:t>
      </w:r>
      <w:r w:rsidR="00B27154">
        <w:rPr>
          <w:rFonts w:cs="Arial"/>
        </w:rPr>
        <w:t>ía</w:t>
      </w:r>
      <w:r w:rsidR="006D4C4E" w:rsidRPr="005F1C60">
        <w:rPr>
          <w:rFonts w:cs="Arial"/>
        </w:rPr>
        <w:t>n identificar la problemática apuntada.</w:t>
      </w:r>
    </w:p>
    <w:p w14:paraId="3C62D5BF" w14:textId="7FFF3B51" w:rsidR="00F34C66" w:rsidRPr="007972CC" w:rsidRDefault="00C6483F" w:rsidP="007972CC">
      <w:pPr>
        <w:pStyle w:val="Ttulo2"/>
        <w:rPr>
          <w:b/>
          <w:bCs/>
        </w:rPr>
      </w:pPr>
      <w:r w:rsidRPr="007972CC">
        <w:rPr>
          <w:b/>
          <w:bCs/>
        </w:rPr>
        <w:t>Trabajos especiales</w:t>
      </w:r>
    </w:p>
    <w:p w14:paraId="4C153384" w14:textId="1326CD79" w:rsidR="00CE5314" w:rsidRPr="00D4300C" w:rsidRDefault="00F34C66" w:rsidP="00D4300C">
      <w:pPr>
        <w:pStyle w:val="NormalDGDTR"/>
        <w:rPr>
          <w:b/>
          <w:bCs/>
          <w:iCs/>
        </w:rPr>
      </w:pPr>
      <w:r w:rsidRPr="00414E1B">
        <w:t xml:space="preserve">Los participantes </w:t>
      </w:r>
      <w:r w:rsidR="00B90484">
        <w:t xml:space="preserve">manifestaron que existe un problema asociado </w:t>
      </w:r>
      <w:r w:rsidR="00447FFB">
        <w:t>al</w:t>
      </w:r>
      <w:r w:rsidR="00B90484">
        <w:t xml:space="preserve"> elevado porcentaje de solicitudes que requieren trabajos especiales, por lo que consideran necesario incluir ICD que evalúen las solicitudes que el AEPT califica como que requieren </w:t>
      </w:r>
      <w:r w:rsidR="00E92E9A">
        <w:t>t</w:t>
      </w:r>
      <w:r w:rsidR="00B90484">
        <w:t xml:space="preserve">rabajo </w:t>
      </w:r>
      <w:r w:rsidR="00E92E9A">
        <w:t>e</w:t>
      </w:r>
      <w:r w:rsidR="00B90484">
        <w:t>special con respecto al total de solicitudes recibidas</w:t>
      </w:r>
      <w:r w:rsidR="00E46F66">
        <w:t xml:space="preserve"> </w:t>
      </w:r>
      <w:r w:rsidR="00380A1D" w:rsidRPr="00E46F66">
        <w:rPr>
          <w:b/>
          <w:bCs/>
          <w:iCs/>
          <w:color w:val="5B9BD5" w:themeColor="accent1"/>
        </w:rPr>
        <w:t xml:space="preserve">(Axtel, </w:t>
      </w:r>
      <w:r w:rsidR="00435FC8" w:rsidRPr="00E46F66">
        <w:rPr>
          <w:b/>
          <w:bCs/>
          <w:iCs/>
          <w:color w:val="5B9BD5" w:themeColor="accent1"/>
        </w:rPr>
        <w:t xml:space="preserve">AT&amp;T, </w:t>
      </w:r>
      <w:r w:rsidR="00380A1D" w:rsidRPr="00E46F66">
        <w:rPr>
          <w:b/>
          <w:bCs/>
          <w:iCs/>
          <w:color w:val="5B9BD5" w:themeColor="accent1"/>
        </w:rPr>
        <w:t>CANIETI</w:t>
      </w:r>
      <w:r w:rsidR="00435FC8" w:rsidRPr="00E46F66">
        <w:rPr>
          <w:b/>
          <w:bCs/>
          <w:iCs/>
          <w:color w:val="5B9BD5" w:themeColor="accent1"/>
        </w:rPr>
        <w:t xml:space="preserve">, </w:t>
      </w:r>
      <w:r w:rsidR="002A7BA1">
        <w:rPr>
          <w:b/>
          <w:bCs/>
          <w:iCs/>
          <w:color w:val="5B9BD5" w:themeColor="accent1"/>
        </w:rPr>
        <w:t xml:space="preserve">GTVSA, </w:t>
      </w:r>
      <w:r w:rsidR="00435FC8" w:rsidRPr="00E46F66">
        <w:rPr>
          <w:b/>
          <w:bCs/>
          <w:iCs/>
          <w:color w:val="5B9BD5" w:themeColor="accent1"/>
        </w:rPr>
        <w:t>Megacable y Telefónica)</w:t>
      </w:r>
      <w:r w:rsidR="00435FC8" w:rsidRPr="00E46F66">
        <w:rPr>
          <w:iCs/>
        </w:rPr>
        <w:t>.</w:t>
      </w:r>
    </w:p>
    <w:p w14:paraId="58FCA753" w14:textId="4102C941" w:rsidR="00372C13" w:rsidRPr="00D4300C" w:rsidRDefault="00372C13" w:rsidP="00D4300C">
      <w:pPr>
        <w:pStyle w:val="Sinespaciado"/>
      </w:pPr>
      <w:r w:rsidRPr="00414E1B">
        <w:t>Consideraciones del Instituto</w:t>
      </w:r>
    </w:p>
    <w:p w14:paraId="3AC86B55" w14:textId="24C3EB0F" w:rsidR="00BA5B27" w:rsidRPr="00D4300C" w:rsidRDefault="004B686A" w:rsidP="00D4300C">
      <w:pPr>
        <w:pStyle w:val="NormalDGDTR"/>
      </w:pPr>
      <w:r>
        <w:t>Referente a</w:t>
      </w:r>
      <w:r w:rsidR="00372C13" w:rsidRPr="00414E1B">
        <w:t xml:space="preserve"> la sugerencia de incluir </w:t>
      </w:r>
      <w:r w:rsidR="00E92E9A">
        <w:t>ICD r</w:t>
      </w:r>
      <w:r w:rsidR="00372C13" w:rsidRPr="00414E1B">
        <w:t xml:space="preserve">elacionados con la provisión de trabajos especiales, se informa que se </w:t>
      </w:r>
      <w:r w:rsidR="00E92E9A" w:rsidRPr="009869DA">
        <w:t>valor</w:t>
      </w:r>
      <w:r w:rsidR="00E92E9A">
        <w:t>aron</w:t>
      </w:r>
      <w:r w:rsidR="00E92E9A" w:rsidRPr="009869DA">
        <w:t xml:space="preserve"> la</w:t>
      </w:r>
      <w:r w:rsidR="00E92E9A">
        <w:t>s</w:t>
      </w:r>
      <w:r w:rsidR="00E92E9A" w:rsidRPr="009869DA">
        <w:t xml:space="preserve"> propuesta</w:t>
      </w:r>
      <w:r w:rsidR="005C080E">
        <w:t>s</w:t>
      </w:r>
      <w:r w:rsidR="00E92E9A">
        <w:t>, para, en su caso, realizar las inclusiones de los ICD</w:t>
      </w:r>
      <w:r w:rsidR="00372C13" w:rsidRPr="00414E1B">
        <w:t xml:space="preserve"> en los distintos SMR.</w:t>
      </w:r>
    </w:p>
    <w:sectPr w:rsidR="00BA5B27" w:rsidRPr="00D4300C" w:rsidSect="00043BF2">
      <w:footerReference w:type="default" r:id="rId13"/>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178F2" w14:textId="77777777" w:rsidR="00B172FD" w:rsidRDefault="00B172FD" w:rsidP="006F2AB8">
      <w:pPr>
        <w:spacing w:line="240" w:lineRule="auto"/>
      </w:pPr>
      <w:r>
        <w:separator/>
      </w:r>
    </w:p>
  </w:endnote>
  <w:endnote w:type="continuationSeparator" w:id="0">
    <w:p w14:paraId="096C575C" w14:textId="77777777" w:rsidR="00B172FD" w:rsidRDefault="00B172FD" w:rsidP="006F2AB8">
      <w:pPr>
        <w:spacing w:line="240" w:lineRule="auto"/>
      </w:pPr>
      <w:r>
        <w:continuationSeparator/>
      </w:r>
    </w:p>
  </w:endnote>
  <w:endnote w:type="continuationNotice" w:id="1">
    <w:p w14:paraId="2FCC09D8" w14:textId="77777777" w:rsidR="00B172FD" w:rsidRDefault="00B172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449072"/>
      <w:docPartObj>
        <w:docPartGallery w:val="Page Numbers (Bottom of Page)"/>
        <w:docPartUnique/>
      </w:docPartObj>
    </w:sdtPr>
    <w:sdtEndPr/>
    <w:sdtContent>
      <w:sdt>
        <w:sdtPr>
          <w:id w:val="-1769616900"/>
          <w:docPartObj>
            <w:docPartGallery w:val="Page Numbers (Top of Page)"/>
            <w:docPartUnique/>
          </w:docPartObj>
        </w:sdtPr>
        <w:sdtEndPr/>
        <w:sdtContent>
          <w:p w14:paraId="2466B9CA" w14:textId="424C84AD" w:rsidR="00BE473A" w:rsidRPr="00087497" w:rsidRDefault="00BE473A">
            <w:pPr>
              <w:pStyle w:val="Piedepgina"/>
              <w:jc w:val="right"/>
            </w:pPr>
            <w:r w:rsidRPr="00087497">
              <w:rPr>
                <w:lang w:val="es-ES"/>
              </w:rPr>
              <w:t xml:space="preserve">Página </w:t>
            </w:r>
            <w:r w:rsidRPr="00087497">
              <w:rPr>
                <w:b/>
                <w:bCs/>
                <w:sz w:val="24"/>
                <w:szCs w:val="24"/>
              </w:rPr>
              <w:fldChar w:fldCharType="begin"/>
            </w:r>
            <w:r w:rsidRPr="00087497">
              <w:rPr>
                <w:b/>
                <w:bCs/>
              </w:rPr>
              <w:instrText>PAGE</w:instrText>
            </w:r>
            <w:r w:rsidRPr="00087497">
              <w:rPr>
                <w:b/>
                <w:bCs/>
                <w:sz w:val="24"/>
                <w:szCs w:val="24"/>
              </w:rPr>
              <w:fldChar w:fldCharType="separate"/>
            </w:r>
            <w:r>
              <w:rPr>
                <w:b/>
                <w:bCs/>
                <w:noProof/>
              </w:rPr>
              <w:t>20</w:t>
            </w:r>
            <w:r w:rsidRPr="00087497">
              <w:rPr>
                <w:b/>
                <w:bCs/>
                <w:sz w:val="24"/>
                <w:szCs w:val="24"/>
              </w:rPr>
              <w:fldChar w:fldCharType="end"/>
            </w:r>
            <w:r w:rsidRPr="00087497">
              <w:rPr>
                <w:lang w:val="es-ES"/>
              </w:rPr>
              <w:t xml:space="preserve"> de </w:t>
            </w:r>
            <w:r w:rsidRPr="00087497">
              <w:rPr>
                <w:b/>
                <w:bCs/>
                <w:sz w:val="24"/>
                <w:szCs w:val="24"/>
              </w:rPr>
              <w:fldChar w:fldCharType="begin"/>
            </w:r>
            <w:r w:rsidRPr="00087497">
              <w:rPr>
                <w:b/>
                <w:bCs/>
              </w:rPr>
              <w:instrText>NUMPAGES</w:instrText>
            </w:r>
            <w:r w:rsidRPr="00087497">
              <w:rPr>
                <w:b/>
                <w:bCs/>
                <w:sz w:val="24"/>
                <w:szCs w:val="24"/>
              </w:rPr>
              <w:fldChar w:fldCharType="separate"/>
            </w:r>
            <w:r>
              <w:rPr>
                <w:b/>
                <w:bCs/>
                <w:noProof/>
              </w:rPr>
              <w:t>20</w:t>
            </w:r>
            <w:r w:rsidRPr="00087497">
              <w:rPr>
                <w:b/>
                <w:bCs/>
                <w:sz w:val="24"/>
                <w:szCs w:val="24"/>
              </w:rPr>
              <w:fldChar w:fldCharType="end"/>
            </w:r>
          </w:p>
        </w:sdtContent>
      </w:sdt>
    </w:sdtContent>
  </w:sdt>
  <w:p w14:paraId="13F23EA5" w14:textId="77777777" w:rsidR="00BE473A" w:rsidRDefault="00BE47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21218" w14:textId="77777777" w:rsidR="00B172FD" w:rsidRDefault="00B172FD" w:rsidP="006F2AB8">
      <w:pPr>
        <w:spacing w:line="240" w:lineRule="auto"/>
      </w:pPr>
      <w:r>
        <w:separator/>
      </w:r>
    </w:p>
  </w:footnote>
  <w:footnote w:type="continuationSeparator" w:id="0">
    <w:p w14:paraId="643D7CC3" w14:textId="77777777" w:rsidR="00B172FD" w:rsidRDefault="00B172FD" w:rsidP="006F2AB8">
      <w:pPr>
        <w:spacing w:line="240" w:lineRule="auto"/>
      </w:pPr>
      <w:r>
        <w:continuationSeparator/>
      </w:r>
    </w:p>
  </w:footnote>
  <w:footnote w:type="continuationNotice" w:id="1">
    <w:p w14:paraId="5993D557" w14:textId="77777777" w:rsidR="00B172FD" w:rsidRDefault="00B172F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04A8C"/>
    <w:multiLevelType w:val="hybridMultilevel"/>
    <w:tmpl w:val="2D380208"/>
    <w:lvl w:ilvl="0" w:tplc="960E2CBE">
      <w:start w:val="1"/>
      <w:numFmt w:val="lowerLetter"/>
      <w:lvlText w:val="%1."/>
      <w:lvlJc w:val="left"/>
      <w:pPr>
        <w:ind w:left="1080" w:hanging="360"/>
      </w:pPr>
      <w:rPr>
        <w:rFonts w:ascii="ITC Avant Garde" w:hAnsi="ITC Avant Garde"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9F5F05"/>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2204BC"/>
    <w:multiLevelType w:val="hybridMultilevel"/>
    <w:tmpl w:val="529A3838"/>
    <w:lvl w:ilvl="0" w:tplc="080A0019">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A95B17"/>
    <w:multiLevelType w:val="hybridMultilevel"/>
    <w:tmpl w:val="8F96E0C6"/>
    <w:lvl w:ilvl="0" w:tplc="94B8CECA">
      <w:start w:val="1"/>
      <w:numFmt w:val="decimal"/>
      <w:lvlText w:val="%1."/>
      <w:lvlJc w:val="left"/>
      <w:pPr>
        <w:ind w:left="360" w:hanging="360"/>
      </w:pPr>
      <w:rPr>
        <w:rFonts w:hint="default"/>
        <w:b/>
        <w:bCs/>
      </w:rPr>
    </w:lvl>
    <w:lvl w:ilvl="1" w:tplc="960E2CBE">
      <w:start w:val="1"/>
      <w:numFmt w:val="lowerLetter"/>
      <w:lvlText w:val="%2."/>
      <w:lvlJc w:val="left"/>
      <w:pPr>
        <w:ind w:left="1080" w:hanging="360"/>
      </w:pPr>
      <w:rPr>
        <w:rFonts w:ascii="ITC Avant Garde" w:hAnsi="ITC Avant Garde" w:hint="default"/>
        <w:color w:val="auto"/>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EAE33EF"/>
    <w:multiLevelType w:val="hybridMultilevel"/>
    <w:tmpl w:val="C37AA45E"/>
    <w:lvl w:ilvl="0" w:tplc="F4D8B690">
      <w:start w:val="1"/>
      <w:numFmt w:val="lowerRoman"/>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2B3D0C8B"/>
    <w:multiLevelType w:val="hybridMultilevel"/>
    <w:tmpl w:val="C828599C"/>
    <w:lvl w:ilvl="0" w:tplc="46D4A7D2">
      <w:start w:val="1"/>
      <w:numFmt w:val="lowerLetter"/>
      <w:lvlText w:val="%1."/>
      <w:lvlJc w:val="left"/>
      <w:pPr>
        <w:ind w:left="720" w:hanging="360"/>
      </w:pPr>
      <w:rPr>
        <w:rFonts w:hint="default"/>
        <w:b w:val="0"/>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051F33"/>
    <w:multiLevelType w:val="hybridMultilevel"/>
    <w:tmpl w:val="47DE971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355F475F"/>
    <w:multiLevelType w:val="hybridMultilevel"/>
    <w:tmpl w:val="CAB8AFFC"/>
    <w:lvl w:ilvl="0" w:tplc="CC880EF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043FDE"/>
    <w:multiLevelType w:val="hybridMultilevel"/>
    <w:tmpl w:val="BC06C0A0"/>
    <w:lvl w:ilvl="0" w:tplc="60BA4476">
      <w:start w:val="1"/>
      <w:numFmt w:val="lowerLetter"/>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3669CB"/>
    <w:multiLevelType w:val="hybridMultilevel"/>
    <w:tmpl w:val="7422D2C6"/>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625A6FF1"/>
    <w:multiLevelType w:val="hybridMultilevel"/>
    <w:tmpl w:val="C9E62AD0"/>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9DA1169"/>
    <w:multiLevelType w:val="multilevel"/>
    <w:tmpl w:val="21A4DA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49384F"/>
    <w:multiLevelType w:val="multilevel"/>
    <w:tmpl w:val="546648A4"/>
    <w:lvl w:ilvl="0">
      <w:start w:val="1"/>
      <w:numFmt w:val="decimal"/>
      <w:pStyle w:val="Ttulo1"/>
      <w:lvlText w:val="%1"/>
      <w:lvlJc w:val="left"/>
      <w:pPr>
        <w:ind w:left="432" w:hanging="432"/>
      </w:pPr>
      <w:rPr>
        <w:rFonts w:hint="default"/>
        <w:b/>
        <w:bCs w:val="0"/>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3" w15:restartNumberingAfterBreak="0">
    <w:nsid w:val="77DA26F6"/>
    <w:multiLevelType w:val="multilevel"/>
    <w:tmpl w:val="12FE161E"/>
    <w:lvl w:ilvl="0">
      <w:start w:val="1"/>
      <w:numFmt w:val="decimal"/>
      <w:pStyle w:val="ListdoRomano"/>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A22458E"/>
    <w:multiLevelType w:val="hybridMultilevel"/>
    <w:tmpl w:val="529A3838"/>
    <w:lvl w:ilvl="0" w:tplc="080A0019">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4D403C"/>
    <w:multiLevelType w:val="hybridMultilevel"/>
    <w:tmpl w:val="06D20CA8"/>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7F8A1F9B"/>
    <w:multiLevelType w:val="hybridMultilevel"/>
    <w:tmpl w:val="22E4E560"/>
    <w:lvl w:ilvl="0" w:tplc="2A9ACDC2">
      <w:start w:val="1"/>
      <w:numFmt w:val="lowerLetter"/>
      <w:lvlText w:val="%1."/>
      <w:lvlJc w:val="left"/>
      <w:pPr>
        <w:ind w:left="720" w:hanging="360"/>
      </w:pPr>
      <w:rPr>
        <w:rFonts w:hint="default"/>
        <w:b/>
        <w:bCs/>
        <w:i w:val="0"/>
        <w:iCs/>
        <w:color w:val="auto"/>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3"/>
  </w:num>
  <w:num w:numId="4">
    <w:abstractNumId w:val="9"/>
  </w:num>
  <w:num w:numId="5">
    <w:abstractNumId w:val="10"/>
  </w:num>
  <w:num w:numId="6">
    <w:abstractNumId w:val="2"/>
  </w:num>
  <w:num w:numId="7">
    <w:abstractNumId w:val="14"/>
  </w:num>
  <w:num w:numId="8">
    <w:abstractNumId w:val="8"/>
  </w:num>
  <w:num w:numId="9">
    <w:abstractNumId w:val="5"/>
  </w:num>
  <w:num w:numId="10">
    <w:abstractNumId w:val="6"/>
  </w:num>
  <w:num w:numId="11">
    <w:abstractNumId w:val="4"/>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1"/>
  </w:num>
  <w:num w:numId="20">
    <w:abstractNumId w:val="13"/>
  </w:num>
  <w:num w:numId="21">
    <w:abstractNumId w:val="12"/>
  </w:num>
  <w:num w:numId="22">
    <w:abstractNumId w:val="0"/>
  </w:num>
  <w:num w:numId="2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AB8"/>
    <w:rsid w:val="00001381"/>
    <w:rsid w:val="00006FAC"/>
    <w:rsid w:val="00007857"/>
    <w:rsid w:val="0001416F"/>
    <w:rsid w:val="00014373"/>
    <w:rsid w:val="00021265"/>
    <w:rsid w:val="00022649"/>
    <w:rsid w:val="0002378A"/>
    <w:rsid w:val="000266C0"/>
    <w:rsid w:val="00026881"/>
    <w:rsid w:val="000300F6"/>
    <w:rsid w:val="00032D09"/>
    <w:rsid w:val="00042765"/>
    <w:rsid w:val="0004278D"/>
    <w:rsid w:val="00043BF2"/>
    <w:rsid w:val="00045875"/>
    <w:rsid w:val="00045DD3"/>
    <w:rsid w:val="0004653C"/>
    <w:rsid w:val="00046BF5"/>
    <w:rsid w:val="000473E7"/>
    <w:rsid w:val="00047F5D"/>
    <w:rsid w:val="00050A8C"/>
    <w:rsid w:val="0005675C"/>
    <w:rsid w:val="000614BB"/>
    <w:rsid w:val="00062C98"/>
    <w:rsid w:val="00064D1F"/>
    <w:rsid w:val="00065349"/>
    <w:rsid w:val="00080B82"/>
    <w:rsid w:val="00081127"/>
    <w:rsid w:val="00082B70"/>
    <w:rsid w:val="00083005"/>
    <w:rsid w:val="0008310F"/>
    <w:rsid w:val="0008550C"/>
    <w:rsid w:val="0008575B"/>
    <w:rsid w:val="00087497"/>
    <w:rsid w:val="00090F8A"/>
    <w:rsid w:val="00095AD6"/>
    <w:rsid w:val="000976FF"/>
    <w:rsid w:val="000A129F"/>
    <w:rsid w:val="000A2A0A"/>
    <w:rsid w:val="000A3EBE"/>
    <w:rsid w:val="000A4005"/>
    <w:rsid w:val="000A580F"/>
    <w:rsid w:val="000B32FC"/>
    <w:rsid w:val="000B4E0B"/>
    <w:rsid w:val="000B58A7"/>
    <w:rsid w:val="000C27DE"/>
    <w:rsid w:val="000C2F6E"/>
    <w:rsid w:val="000D515B"/>
    <w:rsid w:val="000E01DA"/>
    <w:rsid w:val="000E0765"/>
    <w:rsid w:val="000E0771"/>
    <w:rsid w:val="000E552F"/>
    <w:rsid w:val="000E7438"/>
    <w:rsid w:val="000F0605"/>
    <w:rsid w:val="000F6A8D"/>
    <w:rsid w:val="001078B5"/>
    <w:rsid w:val="00114A66"/>
    <w:rsid w:val="001223E6"/>
    <w:rsid w:val="001236AB"/>
    <w:rsid w:val="00125209"/>
    <w:rsid w:val="0012543E"/>
    <w:rsid w:val="001271B4"/>
    <w:rsid w:val="001271F1"/>
    <w:rsid w:val="001300DE"/>
    <w:rsid w:val="0013098B"/>
    <w:rsid w:val="00131B3E"/>
    <w:rsid w:val="0013667E"/>
    <w:rsid w:val="00143A74"/>
    <w:rsid w:val="00146442"/>
    <w:rsid w:val="001522C1"/>
    <w:rsid w:val="00153F7C"/>
    <w:rsid w:val="00155FAB"/>
    <w:rsid w:val="001658AF"/>
    <w:rsid w:val="001666A2"/>
    <w:rsid w:val="00170A51"/>
    <w:rsid w:val="00175318"/>
    <w:rsid w:val="00175E8E"/>
    <w:rsid w:val="0018027D"/>
    <w:rsid w:val="001809AE"/>
    <w:rsid w:val="00181E21"/>
    <w:rsid w:val="00182140"/>
    <w:rsid w:val="00183827"/>
    <w:rsid w:val="00183E21"/>
    <w:rsid w:val="001850B6"/>
    <w:rsid w:val="0018585F"/>
    <w:rsid w:val="00191254"/>
    <w:rsid w:val="00195407"/>
    <w:rsid w:val="001A604B"/>
    <w:rsid w:val="001B6693"/>
    <w:rsid w:val="001C6155"/>
    <w:rsid w:val="001C7867"/>
    <w:rsid w:val="001D1F23"/>
    <w:rsid w:val="001D53B0"/>
    <w:rsid w:val="001E1444"/>
    <w:rsid w:val="001E4649"/>
    <w:rsid w:val="001E6325"/>
    <w:rsid w:val="001E769C"/>
    <w:rsid w:val="001E7A62"/>
    <w:rsid w:val="001E7D89"/>
    <w:rsid w:val="001F7F25"/>
    <w:rsid w:val="00201171"/>
    <w:rsid w:val="00203E25"/>
    <w:rsid w:val="00204358"/>
    <w:rsid w:val="00204F16"/>
    <w:rsid w:val="00205244"/>
    <w:rsid w:val="002052F3"/>
    <w:rsid w:val="00205761"/>
    <w:rsid w:val="00206734"/>
    <w:rsid w:val="00212FD8"/>
    <w:rsid w:val="00213549"/>
    <w:rsid w:val="00213CA8"/>
    <w:rsid w:val="002165B8"/>
    <w:rsid w:val="00217C17"/>
    <w:rsid w:val="0022358A"/>
    <w:rsid w:val="002258F7"/>
    <w:rsid w:val="002266DD"/>
    <w:rsid w:val="002279CE"/>
    <w:rsid w:val="002359F2"/>
    <w:rsid w:val="00237415"/>
    <w:rsid w:val="00241A6E"/>
    <w:rsid w:val="002426FA"/>
    <w:rsid w:val="00245643"/>
    <w:rsid w:val="00245E30"/>
    <w:rsid w:val="002467B3"/>
    <w:rsid w:val="002468AF"/>
    <w:rsid w:val="00247C64"/>
    <w:rsid w:val="00257A84"/>
    <w:rsid w:val="0026015D"/>
    <w:rsid w:val="00262E4B"/>
    <w:rsid w:val="00266CE0"/>
    <w:rsid w:val="00274534"/>
    <w:rsid w:val="00277E25"/>
    <w:rsid w:val="00281077"/>
    <w:rsid w:val="00282794"/>
    <w:rsid w:val="00284258"/>
    <w:rsid w:val="00284A09"/>
    <w:rsid w:val="00290374"/>
    <w:rsid w:val="002908FB"/>
    <w:rsid w:val="00290FFD"/>
    <w:rsid w:val="00292464"/>
    <w:rsid w:val="00292B41"/>
    <w:rsid w:val="0029306F"/>
    <w:rsid w:val="00295B50"/>
    <w:rsid w:val="002A3E29"/>
    <w:rsid w:val="002A4799"/>
    <w:rsid w:val="002A494E"/>
    <w:rsid w:val="002A62F7"/>
    <w:rsid w:val="002A72F0"/>
    <w:rsid w:val="002A7BA1"/>
    <w:rsid w:val="002A7C3B"/>
    <w:rsid w:val="002B240A"/>
    <w:rsid w:val="002C086D"/>
    <w:rsid w:val="002C2F1D"/>
    <w:rsid w:val="002C3E2D"/>
    <w:rsid w:val="002C5B7C"/>
    <w:rsid w:val="002C6734"/>
    <w:rsid w:val="002D10E6"/>
    <w:rsid w:val="002D3DD7"/>
    <w:rsid w:val="002D5260"/>
    <w:rsid w:val="002D6F3E"/>
    <w:rsid w:val="002D7748"/>
    <w:rsid w:val="002F0B55"/>
    <w:rsid w:val="002F35A3"/>
    <w:rsid w:val="002F4234"/>
    <w:rsid w:val="002F476C"/>
    <w:rsid w:val="002F4AD4"/>
    <w:rsid w:val="002F566E"/>
    <w:rsid w:val="00303EAC"/>
    <w:rsid w:val="003057F9"/>
    <w:rsid w:val="00305FAF"/>
    <w:rsid w:val="00307183"/>
    <w:rsid w:val="0030761A"/>
    <w:rsid w:val="00312E60"/>
    <w:rsid w:val="00313AC7"/>
    <w:rsid w:val="00316E05"/>
    <w:rsid w:val="00321F2D"/>
    <w:rsid w:val="003236EA"/>
    <w:rsid w:val="00323983"/>
    <w:rsid w:val="003244B4"/>
    <w:rsid w:val="00326F7E"/>
    <w:rsid w:val="003319A4"/>
    <w:rsid w:val="0033402A"/>
    <w:rsid w:val="00334FFC"/>
    <w:rsid w:val="003362D4"/>
    <w:rsid w:val="003369EC"/>
    <w:rsid w:val="00341422"/>
    <w:rsid w:val="0034770C"/>
    <w:rsid w:val="00350B7F"/>
    <w:rsid w:val="00353184"/>
    <w:rsid w:val="003614AE"/>
    <w:rsid w:val="003714CA"/>
    <w:rsid w:val="00372C13"/>
    <w:rsid w:val="0037483F"/>
    <w:rsid w:val="00377413"/>
    <w:rsid w:val="00380A1D"/>
    <w:rsid w:val="003830E2"/>
    <w:rsid w:val="0039191E"/>
    <w:rsid w:val="003A1671"/>
    <w:rsid w:val="003A4A8B"/>
    <w:rsid w:val="003A5DB4"/>
    <w:rsid w:val="003A6F4A"/>
    <w:rsid w:val="003B35C0"/>
    <w:rsid w:val="003B53CB"/>
    <w:rsid w:val="003C3934"/>
    <w:rsid w:val="003C4A37"/>
    <w:rsid w:val="003C742C"/>
    <w:rsid w:val="003D0080"/>
    <w:rsid w:val="003D53CE"/>
    <w:rsid w:val="003D5C32"/>
    <w:rsid w:val="003E521B"/>
    <w:rsid w:val="003E540A"/>
    <w:rsid w:val="003E5E5F"/>
    <w:rsid w:val="003E6B0F"/>
    <w:rsid w:val="003E7D92"/>
    <w:rsid w:val="003F01D1"/>
    <w:rsid w:val="003F3FF1"/>
    <w:rsid w:val="003F52F9"/>
    <w:rsid w:val="00403A76"/>
    <w:rsid w:val="0040404B"/>
    <w:rsid w:val="00410CA6"/>
    <w:rsid w:val="0041317B"/>
    <w:rsid w:val="00414E1B"/>
    <w:rsid w:val="00423DDB"/>
    <w:rsid w:val="00427535"/>
    <w:rsid w:val="004333C6"/>
    <w:rsid w:val="00435FC8"/>
    <w:rsid w:val="00437113"/>
    <w:rsid w:val="00440723"/>
    <w:rsid w:val="004423B0"/>
    <w:rsid w:val="00447FFB"/>
    <w:rsid w:val="00450551"/>
    <w:rsid w:val="00450749"/>
    <w:rsid w:val="00450FE6"/>
    <w:rsid w:val="00452A47"/>
    <w:rsid w:val="004553F8"/>
    <w:rsid w:val="004554C6"/>
    <w:rsid w:val="004704FA"/>
    <w:rsid w:val="00470C06"/>
    <w:rsid w:val="004716BC"/>
    <w:rsid w:val="00472549"/>
    <w:rsid w:val="00473D64"/>
    <w:rsid w:val="00474021"/>
    <w:rsid w:val="00483FAD"/>
    <w:rsid w:val="004846E7"/>
    <w:rsid w:val="00484E28"/>
    <w:rsid w:val="00491E37"/>
    <w:rsid w:val="004922AA"/>
    <w:rsid w:val="004A0EDD"/>
    <w:rsid w:val="004A28AD"/>
    <w:rsid w:val="004A3A05"/>
    <w:rsid w:val="004A78E4"/>
    <w:rsid w:val="004B1A41"/>
    <w:rsid w:val="004B21B3"/>
    <w:rsid w:val="004B686A"/>
    <w:rsid w:val="004B7035"/>
    <w:rsid w:val="004B73D9"/>
    <w:rsid w:val="004C09E3"/>
    <w:rsid w:val="004C13EB"/>
    <w:rsid w:val="004C25F6"/>
    <w:rsid w:val="004D2679"/>
    <w:rsid w:val="004D2829"/>
    <w:rsid w:val="004E00B4"/>
    <w:rsid w:val="004E0276"/>
    <w:rsid w:val="004E08EC"/>
    <w:rsid w:val="004E1DBB"/>
    <w:rsid w:val="004E5D48"/>
    <w:rsid w:val="004F279C"/>
    <w:rsid w:val="004F3500"/>
    <w:rsid w:val="00501311"/>
    <w:rsid w:val="00506205"/>
    <w:rsid w:val="00510AF9"/>
    <w:rsid w:val="005114FD"/>
    <w:rsid w:val="005137DC"/>
    <w:rsid w:val="00516594"/>
    <w:rsid w:val="00522A6B"/>
    <w:rsid w:val="0052406F"/>
    <w:rsid w:val="00526FFF"/>
    <w:rsid w:val="0052703E"/>
    <w:rsid w:val="0053288D"/>
    <w:rsid w:val="00533993"/>
    <w:rsid w:val="00535032"/>
    <w:rsid w:val="00544A82"/>
    <w:rsid w:val="0054635A"/>
    <w:rsid w:val="005505FF"/>
    <w:rsid w:val="005560F6"/>
    <w:rsid w:val="00557B55"/>
    <w:rsid w:val="00561CE7"/>
    <w:rsid w:val="00563AAF"/>
    <w:rsid w:val="0057013B"/>
    <w:rsid w:val="005726D9"/>
    <w:rsid w:val="00580526"/>
    <w:rsid w:val="00581CF2"/>
    <w:rsid w:val="00582557"/>
    <w:rsid w:val="005836AB"/>
    <w:rsid w:val="00585305"/>
    <w:rsid w:val="0058561B"/>
    <w:rsid w:val="00590589"/>
    <w:rsid w:val="0059209D"/>
    <w:rsid w:val="00593B73"/>
    <w:rsid w:val="00594D47"/>
    <w:rsid w:val="0059548F"/>
    <w:rsid w:val="005A16FA"/>
    <w:rsid w:val="005A3166"/>
    <w:rsid w:val="005B2A4D"/>
    <w:rsid w:val="005B6BA7"/>
    <w:rsid w:val="005C080E"/>
    <w:rsid w:val="005C6FD4"/>
    <w:rsid w:val="005D4C79"/>
    <w:rsid w:val="005D6DB2"/>
    <w:rsid w:val="005D7744"/>
    <w:rsid w:val="005E040C"/>
    <w:rsid w:val="005E08EC"/>
    <w:rsid w:val="005E207E"/>
    <w:rsid w:val="005E4DC0"/>
    <w:rsid w:val="005E7B9B"/>
    <w:rsid w:val="005E7F68"/>
    <w:rsid w:val="005F1B1C"/>
    <w:rsid w:val="005F1C60"/>
    <w:rsid w:val="005F469D"/>
    <w:rsid w:val="005F6F63"/>
    <w:rsid w:val="006018DF"/>
    <w:rsid w:val="0060657B"/>
    <w:rsid w:val="00612C06"/>
    <w:rsid w:val="00613811"/>
    <w:rsid w:val="00617D4B"/>
    <w:rsid w:val="006208EB"/>
    <w:rsid w:val="006228D6"/>
    <w:rsid w:val="00633CD5"/>
    <w:rsid w:val="00641388"/>
    <w:rsid w:val="006424BF"/>
    <w:rsid w:val="00642FF9"/>
    <w:rsid w:val="00647469"/>
    <w:rsid w:val="00654F88"/>
    <w:rsid w:val="006619DA"/>
    <w:rsid w:val="00664DC0"/>
    <w:rsid w:val="00672997"/>
    <w:rsid w:val="00675C85"/>
    <w:rsid w:val="006767B1"/>
    <w:rsid w:val="006807F4"/>
    <w:rsid w:val="00684EA6"/>
    <w:rsid w:val="0069350F"/>
    <w:rsid w:val="00695E47"/>
    <w:rsid w:val="006A0756"/>
    <w:rsid w:val="006A2FB8"/>
    <w:rsid w:val="006A4530"/>
    <w:rsid w:val="006B786E"/>
    <w:rsid w:val="006C11D1"/>
    <w:rsid w:val="006C1DFA"/>
    <w:rsid w:val="006C219F"/>
    <w:rsid w:val="006D078D"/>
    <w:rsid w:val="006D0F9A"/>
    <w:rsid w:val="006D204F"/>
    <w:rsid w:val="006D4C4E"/>
    <w:rsid w:val="006D555E"/>
    <w:rsid w:val="006D5668"/>
    <w:rsid w:val="006D6C24"/>
    <w:rsid w:val="006E213B"/>
    <w:rsid w:val="006E3041"/>
    <w:rsid w:val="006E345E"/>
    <w:rsid w:val="006E3989"/>
    <w:rsid w:val="006E40CB"/>
    <w:rsid w:val="006F00FA"/>
    <w:rsid w:val="006F2AB8"/>
    <w:rsid w:val="006F6CED"/>
    <w:rsid w:val="006F6D51"/>
    <w:rsid w:val="0070651B"/>
    <w:rsid w:val="007151C6"/>
    <w:rsid w:val="00717F71"/>
    <w:rsid w:val="007207A2"/>
    <w:rsid w:val="00723772"/>
    <w:rsid w:val="00724BA6"/>
    <w:rsid w:val="00726D0E"/>
    <w:rsid w:val="0073039C"/>
    <w:rsid w:val="00730AAC"/>
    <w:rsid w:val="007312FD"/>
    <w:rsid w:val="0073151A"/>
    <w:rsid w:val="0073415F"/>
    <w:rsid w:val="00740636"/>
    <w:rsid w:val="007412E6"/>
    <w:rsid w:val="007413EC"/>
    <w:rsid w:val="00744ED3"/>
    <w:rsid w:val="007451D6"/>
    <w:rsid w:val="0074619F"/>
    <w:rsid w:val="00747993"/>
    <w:rsid w:val="00754316"/>
    <w:rsid w:val="00757DC3"/>
    <w:rsid w:val="007601D3"/>
    <w:rsid w:val="00760ED0"/>
    <w:rsid w:val="00761714"/>
    <w:rsid w:val="0076574D"/>
    <w:rsid w:val="00772859"/>
    <w:rsid w:val="00773321"/>
    <w:rsid w:val="00777A04"/>
    <w:rsid w:val="00780B1B"/>
    <w:rsid w:val="00791BA8"/>
    <w:rsid w:val="007972CC"/>
    <w:rsid w:val="007A002A"/>
    <w:rsid w:val="007A7F04"/>
    <w:rsid w:val="007B0A7A"/>
    <w:rsid w:val="007B14E4"/>
    <w:rsid w:val="007B3390"/>
    <w:rsid w:val="007B50DE"/>
    <w:rsid w:val="007B7C4D"/>
    <w:rsid w:val="007C4C00"/>
    <w:rsid w:val="007D3451"/>
    <w:rsid w:val="007D4514"/>
    <w:rsid w:val="007D6278"/>
    <w:rsid w:val="007D64D6"/>
    <w:rsid w:val="007E6376"/>
    <w:rsid w:val="007F0588"/>
    <w:rsid w:val="007F244F"/>
    <w:rsid w:val="007F3F74"/>
    <w:rsid w:val="007F6225"/>
    <w:rsid w:val="007F6EAB"/>
    <w:rsid w:val="00801EBC"/>
    <w:rsid w:val="0081463D"/>
    <w:rsid w:val="00815B17"/>
    <w:rsid w:val="0082078C"/>
    <w:rsid w:val="00821408"/>
    <w:rsid w:val="00822B92"/>
    <w:rsid w:val="00832740"/>
    <w:rsid w:val="008343CA"/>
    <w:rsid w:val="00835215"/>
    <w:rsid w:val="00835E8C"/>
    <w:rsid w:val="008376D5"/>
    <w:rsid w:val="0084085C"/>
    <w:rsid w:val="00844FA3"/>
    <w:rsid w:val="0085213D"/>
    <w:rsid w:val="00853E64"/>
    <w:rsid w:val="00855993"/>
    <w:rsid w:val="0085713A"/>
    <w:rsid w:val="00864624"/>
    <w:rsid w:val="008647E3"/>
    <w:rsid w:val="008663BE"/>
    <w:rsid w:val="00867CAC"/>
    <w:rsid w:val="008748CA"/>
    <w:rsid w:val="00881036"/>
    <w:rsid w:val="008832AD"/>
    <w:rsid w:val="00884460"/>
    <w:rsid w:val="008861EA"/>
    <w:rsid w:val="008A2C5A"/>
    <w:rsid w:val="008A46CD"/>
    <w:rsid w:val="008A570A"/>
    <w:rsid w:val="008A77C6"/>
    <w:rsid w:val="008B1CDF"/>
    <w:rsid w:val="008B2D4C"/>
    <w:rsid w:val="008B3411"/>
    <w:rsid w:val="008B4003"/>
    <w:rsid w:val="008C2A95"/>
    <w:rsid w:val="008C7339"/>
    <w:rsid w:val="008D1733"/>
    <w:rsid w:val="008D441C"/>
    <w:rsid w:val="008D5DFE"/>
    <w:rsid w:val="008E1561"/>
    <w:rsid w:val="008E4B7C"/>
    <w:rsid w:val="008E62D1"/>
    <w:rsid w:val="008E7AFC"/>
    <w:rsid w:val="008F1635"/>
    <w:rsid w:val="008F20A6"/>
    <w:rsid w:val="008F2BA2"/>
    <w:rsid w:val="008F3094"/>
    <w:rsid w:val="008F4286"/>
    <w:rsid w:val="00901CAB"/>
    <w:rsid w:val="009102AA"/>
    <w:rsid w:val="00910F30"/>
    <w:rsid w:val="00916435"/>
    <w:rsid w:val="00917D22"/>
    <w:rsid w:val="009251B1"/>
    <w:rsid w:val="00925EFF"/>
    <w:rsid w:val="009277B4"/>
    <w:rsid w:val="00927C15"/>
    <w:rsid w:val="0093021E"/>
    <w:rsid w:val="0093425A"/>
    <w:rsid w:val="00943010"/>
    <w:rsid w:val="00943D75"/>
    <w:rsid w:val="00943F9F"/>
    <w:rsid w:val="00947095"/>
    <w:rsid w:val="009505C3"/>
    <w:rsid w:val="00953A34"/>
    <w:rsid w:val="0095665C"/>
    <w:rsid w:val="00956BFD"/>
    <w:rsid w:val="00973C58"/>
    <w:rsid w:val="009755F6"/>
    <w:rsid w:val="0098180E"/>
    <w:rsid w:val="00983E3D"/>
    <w:rsid w:val="0098462B"/>
    <w:rsid w:val="009848D3"/>
    <w:rsid w:val="0098753A"/>
    <w:rsid w:val="00987D2E"/>
    <w:rsid w:val="00991DA7"/>
    <w:rsid w:val="0099490C"/>
    <w:rsid w:val="009A1267"/>
    <w:rsid w:val="009A4F7B"/>
    <w:rsid w:val="009A5190"/>
    <w:rsid w:val="009A5B74"/>
    <w:rsid w:val="009A60DD"/>
    <w:rsid w:val="009C030E"/>
    <w:rsid w:val="009C102C"/>
    <w:rsid w:val="009C70B4"/>
    <w:rsid w:val="009D6305"/>
    <w:rsid w:val="009D730F"/>
    <w:rsid w:val="009D736C"/>
    <w:rsid w:val="009E0BF2"/>
    <w:rsid w:val="009E1A65"/>
    <w:rsid w:val="009E2285"/>
    <w:rsid w:val="009E3A48"/>
    <w:rsid w:val="009E56C4"/>
    <w:rsid w:val="009E6E5C"/>
    <w:rsid w:val="009F3A05"/>
    <w:rsid w:val="009F423E"/>
    <w:rsid w:val="009F4D8E"/>
    <w:rsid w:val="009F5B3A"/>
    <w:rsid w:val="009F7F96"/>
    <w:rsid w:val="00A00DE4"/>
    <w:rsid w:val="00A03508"/>
    <w:rsid w:val="00A0739D"/>
    <w:rsid w:val="00A074C5"/>
    <w:rsid w:val="00A1101A"/>
    <w:rsid w:val="00A11349"/>
    <w:rsid w:val="00A21833"/>
    <w:rsid w:val="00A2368C"/>
    <w:rsid w:val="00A2604F"/>
    <w:rsid w:val="00A30700"/>
    <w:rsid w:val="00A30B21"/>
    <w:rsid w:val="00A330A2"/>
    <w:rsid w:val="00A33611"/>
    <w:rsid w:val="00A33E1F"/>
    <w:rsid w:val="00A36058"/>
    <w:rsid w:val="00A40414"/>
    <w:rsid w:val="00A44FE1"/>
    <w:rsid w:val="00A47F43"/>
    <w:rsid w:val="00A5274A"/>
    <w:rsid w:val="00A60B28"/>
    <w:rsid w:val="00A625E8"/>
    <w:rsid w:val="00A66BBD"/>
    <w:rsid w:val="00A71DD2"/>
    <w:rsid w:val="00A807CC"/>
    <w:rsid w:val="00A8348F"/>
    <w:rsid w:val="00A90520"/>
    <w:rsid w:val="00A97913"/>
    <w:rsid w:val="00AA27AF"/>
    <w:rsid w:val="00AA5ADF"/>
    <w:rsid w:val="00AA792E"/>
    <w:rsid w:val="00AB6D56"/>
    <w:rsid w:val="00AC2D9C"/>
    <w:rsid w:val="00AC5321"/>
    <w:rsid w:val="00AC5FAD"/>
    <w:rsid w:val="00AD0DE7"/>
    <w:rsid w:val="00AD2B2D"/>
    <w:rsid w:val="00AD37F2"/>
    <w:rsid w:val="00AD3E28"/>
    <w:rsid w:val="00AD4F1D"/>
    <w:rsid w:val="00AD63F7"/>
    <w:rsid w:val="00AD6C2A"/>
    <w:rsid w:val="00AD73EF"/>
    <w:rsid w:val="00AE561A"/>
    <w:rsid w:val="00AE59BE"/>
    <w:rsid w:val="00AE650A"/>
    <w:rsid w:val="00AE6E36"/>
    <w:rsid w:val="00AF56EF"/>
    <w:rsid w:val="00B00597"/>
    <w:rsid w:val="00B03459"/>
    <w:rsid w:val="00B034A1"/>
    <w:rsid w:val="00B108A4"/>
    <w:rsid w:val="00B1165C"/>
    <w:rsid w:val="00B1669D"/>
    <w:rsid w:val="00B16FD4"/>
    <w:rsid w:val="00B172FD"/>
    <w:rsid w:val="00B17F19"/>
    <w:rsid w:val="00B230C7"/>
    <w:rsid w:val="00B27154"/>
    <w:rsid w:val="00B31503"/>
    <w:rsid w:val="00B43995"/>
    <w:rsid w:val="00B43D92"/>
    <w:rsid w:val="00B501D0"/>
    <w:rsid w:val="00B52749"/>
    <w:rsid w:val="00B54BA7"/>
    <w:rsid w:val="00B55338"/>
    <w:rsid w:val="00B663F0"/>
    <w:rsid w:val="00B70408"/>
    <w:rsid w:val="00B73AF0"/>
    <w:rsid w:val="00B76B37"/>
    <w:rsid w:val="00B82F3B"/>
    <w:rsid w:val="00B85038"/>
    <w:rsid w:val="00B90484"/>
    <w:rsid w:val="00B92536"/>
    <w:rsid w:val="00B94E5D"/>
    <w:rsid w:val="00B95334"/>
    <w:rsid w:val="00B97AA0"/>
    <w:rsid w:val="00B97FEB"/>
    <w:rsid w:val="00BA0F17"/>
    <w:rsid w:val="00BA12B9"/>
    <w:rsid w:val="00BA3CC1"/>
    <w:rsid w:val="00BA5B27"/>
    <w:rsid w:val="00BA69EB"/>
    <w:rsid w:val="00BB0B29"/>
    <w:rsid w:val="00BB2CDD"/>
    <w:rsid w:val="00BB40DF"/>
    <w:rsid w:val="00BB4F04"/>
    <w:rsid w:val="00BC0BD2"/>
    <w:rsid w:val="00BC0EA7"/>
    <w:rsid w:val="00BC0F9B"/>
    <w:rsid w:val="00BC29C8"/>
    <w:rsid w:val="00BC48E1"/>
    <w:rsid w:val="00BC7B4C"/>
    <w:rsid w:val="00BD1CB4"/>
    <w:rsid w:val="00BD2B9E"/>
    <w:rsid w:val="00BE473A"/>
    <w:rsid w:val="00BE4AFF"/>
    <w:rsid w:val="00BE5263"/>
    <w:rsid w:val="00BE5931"/>
    <w:rsid w:val="00BF20BA"/>
    <w:rsid w:val="00BF34A7"/>
    <w:rsid w:val="00BF647D"/>
    <w:rsid w:val="00BF7208"/>
    <w:rsid w:val="00BF7868"/>
    <w:rsid w:val="00C01334"/>
    <w:rsid w:val="00C0357E"/>
    <w:rsid w:val="00C04C55"/>
    <w:rsid w:val="00C072D3"/>
    <w:rsid w:val="00C1169B"/>
    <w:rsid w:val="00C1248E"/>
    <w:rsid w:val="00C1351E"/>
    <w:rsid w:val="00C1373D"/>
    <w:rsid w:val="00C1381B"/>
    <w:rsid w:val="00C166B7"/>
    <w:rsid w:val="00C16E27"/>
    <w:rsid w:val="00C202A5"/>
    <w:rsid w:val="00C2400E"/>
    <w:rsid w:val="00C30376"/>
    <w:rsid w:val="00C33209"/>
    <w:rsid w:val="00C352A6"/>
    <w:rsid w:val="00C36389"/>
    <w:rsid w:val="00C3733C"/>
    <w:rsid w:val="00C4021B"/>
    <w:rsid w:val="00C4414A"/>
    <w:rsid w:val="00C4590E"/>
    <w:rsid w:val="00C477D0"/>
    <w:rsid w:val="00C5172B"/>
    <w:rsid w:val="00C52F98"/>
    <w:rsid w:val="00C53870"/>
    <w:rsid w:val="00C53D96"/>
    <w:rsid w:val="00C60AB7"/>
    <w:rsid w:val="00C6483F"/>
    <w:rsid w:val="00C7071C"/>
    <w:rsid w:val="00C823A3"/>
    <w:rsid w:val="00C83735"/>
    <w:rsid w:val="00C86E49"/>
    <w:rsid w:val="00C90123"/>
    <w:rsid w:val="00C9245F"/>
    <w:rsid w:val="00C92E91"/>
    <w:rsid w:val="00C93C4A"/>
    <w:rsid w:val="00C94834"/>
    <w:rsid w:val="00C96D75"/>
    <w:rsid w:val="00C97946"/>
    <w:rsid w:val="00CA02BC"/>
    <w:rsid w:val="00CA50E8"/>
    <w:rsid w:val="00CA6D3F"/>
    <w:rsid w:val="00CC09FA"/>
    <w:rsid w:val="00CC3CF6"/>
    <w:rsid w:val="00CC5414"/>
    <w:rsid w:val="00CC5420"/>
    <w:rsid w:val="00CC64B6"/>
    <w:rsid w:val="00CD51A1"/>
    <w:rsid w:val="00CD7842"/>
    <w:rsid w:val="00CD7BA5"/>
    <w:rsid w:val="00CE0D87"/>
    <w:rsid w:val="00CE2D70"/>
    <w:rsid w:val="00CE42E2"/>
    <w:rsid w:val="00CE4762"/>
    <w:rsid w:val="00CE49AD"/>
    <w:rsid w:val="00CE4AD0"/>
    <w:rsid w:val="00CE5314"/>
    <w:rsid w:val="00CF56F6"/>
    <w:rsid w:val="00CF7066"/>
    <w:rsid w:val="00CF7220"/>
    <w:rsid w:val="00D03A18"/>
    <w:rsid w:val="00D16172"/>
    <w:rsid w:val="00D16C78"/>
    <w:rsid w:val="00D20F69"/>
    <w:rsid w:val="00D2206A"/>
    <w:rsid w:val="00D2237D"/>
    <w:rsid w:val="00D24E30"/>
    <w:rsid w:val="00D2539F"/>
    <w:rsid w:val="00D273DA"/>
    <w:rsid w:val="00D31F26"/>
    <w:rsid w:val="00D33681"/>
    <w:rsid w:val="00D35087"/>
    <w:rsid w:val="00D36187"/>
    <w:rsid w:val="00D428F1"/>
    <w:rsid w:val="00D4295A"/>
    <w:rsid w:val="00D4300C"/>
    <w:rsid w:val="00D44068"/>
    <w:rsid w:val="00D50B41"/>
    <w:rsid w:val="00D51C1B"/>
    <w:rsid w:val="00D52F84"/>
    <w:rsid w:val="00D53076"/>
    <w:rsid w:val="00D548B0"/>
    <w:rsid w:val="00D64537"/>
    <w:rsid w:val="00D7024D"/>
    <w:rsid w:val="00D71DB8"/>
    <w:rsid w:val="00D737A9"/>
    <w:rsid w:val="00D73C8E"/>
    <w:rsid w:val="00D75AFF"/>
    <w:rsid w:val="00D76872"/>
    <w:rsid w:val="00D84B15"/>
    <w:rsid w:val="00D85726"/>
    <w:rsid w:val="00D91062"/>
    <w:rsid w:val="00D91987"/>
    <w:rsid w:val="00D92D27"/>
    <w:rsid w:val="00D97495"/>
    <w:rsid w:val="00DA0124"/>
    <w:rsid w:val="00DA1883"/>
    <w:rsid w:val="00DC71F8"/>
    <w:rsid w:val="00DD0E5C"/>
    <w:rsid w:val="00DD21F4"/>
    <w:rsid w:val="00DD5DC0"/>
    <w:rsid w:val="00DD5ECC"/>
    <w:rsid w:val="00DE2226"/>
    <w:rsid w:val="00DE22E1"/>
    <w:rsid w:val="00DE2675"/>
    <w:rsid w:val="00DE7E02"/>
    <w:rsid w:val="00DF0973"/>
    <w:rsid w:val="00DF424A"/>
    <w:rsid w:val="00DF5DDC"/>
    <w:rsid w:val="00E00ADF"/>
    <w:rsid w:val="00E0215E"/>
    <w:rsid w:val="00E040C0"/>
    <w:rsid w:val="00E07C5A"/>
    <w:rsid w:val="00E07EC3"/>
    <w:rsid w:val="00E107B2"/>
    <w:rsid w:val="00E11D2F"/>
    <w:rsid w:val="00E152FC"/>
    <w:rsid w:val="00E15556"/>
    <w:rsid w:val="00E21483"/>
    <w:rsid w:val="00E215CE"/>
    <w:rsid w:val="00E23831"/>
    <w:rsid w:val="00E25254"/>
    <w:rsid w:val="00E26EDA"/>
    <w:rsid w:val="00E41F68"/>
    <w:rsid w:val="00E4661C"/>
    <w:rsid w:val="00E46F66"/>
    <w:rsid w:val="00E47139"/>
    <w:rsid w:val="00E47ABD"/>
    <w:rsid w:val="00E63769"/>
    <w:rsid w:val="00E65EA9"/>
    <w:rsid w:val="00E6719F"/>
    <w:rsid w:val="00E67284"/>
    <w:rsid w:val="00E75B3C"/>
    <w:rsid w:val="00E80222"/>
    <w:rsid w:val="00E821DC"/>
    <w:rsid w:val="00E83D17"/>
    <w:rsid w:val="00E910D0"/>
    <w:rsid w:val="00E92E9A"/>
    <w:rsid w:val="00E94D0D"/>
    <w:rsid w:val="00E94F22"/>
    <w:rsid w:val="00EA076C"/>
    <w:rsid w:val="00EA0B49"/>
    <w:rsid w:val="00EA45CA"/>
    <w:rsid w:val="00EA4D5A"/>
    <w:rsid w:val="00EA521E"/>
    <w:rsid w:val="00EA5A83"/>
    <w:rsid w:val="00EA64D7"/>
    <w:rsid w:val="00EB0547"/>
    <w:rsid w:val="00EB09E1"/>
    <w:rsid w:val="00EB561D"/>
    <w:rsid w:val="00EB68E0"/>
    <w:rsid w:val="00EC1F53"/>
    <w:rsid w:val="00EC241B"/>
    <w:rsid w:val="00EC6C6E"/>
    <w:rsid w:val="00ED3DF2"/>
    <w:rsid w:val="00ED55CD"/>
    <w:rsid w:val="00EE1359"/>
    <w:rsid w:val="00EE14FA"/>
    <w:rsid w:val="00EE1A9E"/>
    <w:rsid w:val="00EE2B0D"/>
    <w:rsid w:val="00EE2DD0"/>
    <w:rsid w:val="00EE4396"/>
    <w:rsid w:val="00EE5A86"/>
    <w:rsid w:val="00EE6BA6"/>
    <w:rsid w:val="00EF022D"/>
    <w:rsid w:val="00EF25E7"/>
    <w:rsid w:val="00EF3277"/>
    <w:rsid w:val="00EF358E"/>
    <w:rsid w:val="00EF41A2"/>
    <w:rsid w:val="00EF50A5"/>
    <w:rsid w:val="00EF7E5C"/>
    <w:rsid w:val="00F0131D"/>
    <w:rsid w:val="00F02152"/>
    <w:rsid w:val="00F021F4"/>
    <w:rsid w:val="00F06722"/>
    <w:rsid w:val="00F07AB8"/>
    <w:rsid w:val="00F15820"/>
    <w:rsid w:val="00F32DC8"/>
    <w:rsid w:val="00F34B15"/>
    <w:rsid w:val="00F34C66"/>
    <w:rsid w:val="00F3610E"/>
    <w:rsid w:val="00F518B2"/>
    <w:rsid w:val="00F56498"/>
    <w:rsid w:val="00F6547C"/>
    <w:rsid w:val="00F71D0C"/>
    <w:rsid w:val="00F73DBB"/>
    <w:rsid w:val="00F7659E"/>
    <w:rsid w:val="00F84D0D"/>
    <w:rsid w:val="00F867CD"/>
    <w:rsid w:val="00F90081"/>
    <w:rsid w:val="00F91AF4"/>
    <w:rsid w:val="00F93D36"/>
    <w:rsid w:val="00FA0202"/>
    <w:rsid w:val="00FA0BA0"/>
    <w:rsid w:val="00FA2254"/>
    <w:rsid w:val="00FA3DDC"/>
    <w:rsid w:val="00FA4425"/>
    <w:rsid w:val="00FA5B45"/>
    <w:rsid w:val="00FA698E"/>
    <w:rsid w:val="00FB08A6"/>
    <w:rsid w:val="00FB34A1"/>
    <w:rsid w:val="00FB4591"/>
    <w:rsid w:val="00FB7A13"/>
    <w:rsid w:val="00FC0013"/>
    <w:rsid w:val="00FC1747"/>
    <w:rsid w:val="00FC6795"/>
    <w:rsid w:val="00FC6879"/>
    <w:rsid w:val="00FD2234"/>
    <w:rsid w:val="00FD61B8"/>
    <w:rsid w:val="00FE5B87"/>
    <w:rsid w:val="00FF6FF9"/>
    <w:rsid w:val="00FF7E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6547"/>
  <w15:chartTrackingRefBased/>
  <w15:docId w15:val="{C8E0BDAD-77F7-4CC1-8423-33DC79AB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tabla"/>
    <w:qFormat/>
    <w:rsid w:val="008F1635"/>
    <w:pPr>
      <w:keepNext/>
      <w:spacing w:after="0" w:line="276" w:lineRule="auto"/>
    </w:pPr>
    <w:rPr>
      <w:rFonts w:ascii="ITC Avant Garde" w:hAnsi="ITC Avant Garde"/>
      <w:sz w:val="20"/>
    </w:rPr>
  </w:style>
  <w:style w:type="paragraph" w:styleId="Ttulo1">
    <w:name w:val="heading 1"/>
    <w:basedOn w:val="Normal"/>
    <w:next w:val="Normal"/>
    <w:link w:val="Ttulo1Car"/>
    <w:uiPriority w:val="9"/>
    <w:qFormat/>
    <w:rsid w:val="00DF424A"/>
    <w:pPr>
      <w:keepLines/>
      <w:numPr>
        <w:numId w:val="21"/>
      </w:numPr>
      <w:spacing w:before="240"/>
      <w:outlineLvl w:val="0"/>
    </w:pPr>
    <w:rPr>
      <w:rFonts w:ascii="Arial" w:eastAsiaTheme="majorEastAsia" w:hAnsi="Arial" w:cstheme="majorBidi"/>
      <w:b/>
      <w:szCs w:val="32"/>
      <w:lang w:val="es-EC"/>
    </w:rPr>
  </w:style>
  <w:style w:type="paragraph" w:styleId="Ttulo2">
    <w:name w:val="heading 2"/>
    <w:basedOn w:val="Normal"/>
    <w:next w:val="Normal"/>
    <w:link w:val="Ttulo2Car"/>
    <w:uiPriority w:val="9"/>
    <w:unhideWhenUsed/>
    <w:qFormat/>
    <w:rsid w:val="00D4300C"/>
    <w:pPr>
      <w:keepLines/>
      <w:numPr>
        <w:ilvl w:val="1"/>
        <w:numId w:val="21"/>
      </w:numPr>
      <w:spacing w:before="240" w:after="80"/>
      <w:ind w:left="578" w:hanging="578"/>
      <w:outlineLvl w:val="1"/>
    </w:pPr>
    <w:rPr>
      <w:rFonts w:eastAsiaTheme="majorEastAsia" w:cstheme="majorBidi"/>
      <w:sz w:val="26"/>
      <w:szCs w:val="26"/>
    </w:rPr>
  </w:style>
  <w:style w:type="paragraph" w:styleId="Ttulo3">
    <w:name w:val="heading 3"/>
    <w:basedOn w:val="ListdoRomano"/>
    <w:next w:val="Normal"/>
    <w:link w:val="Ttulo3Car"/>
    <w:uiPriority w:val="9"/>
    <w:unhideWhenUsed/>
    <w:qFormat/>
    <w:rsid w:val="00D51C1B"/>
    <w:pPr>
      <w:numPr>
        <w:ilvl w:val="2"/>
        <w:numId w:val="21"/>
      </w:numPr>
      <w:outlineLvl w:val="2"/>
    </w:pPr>
    <w:rPr>
      <w:rFonts w:cstheme="majorBidi"/>
      <w:sz w:val="24"/>
      <w:szCs w:val="24"/>
    </w:rPr>
  </w:style>
  <w:style w:type="paragraph" w:styleId="Ttulo4">
    <w:name w:val="heading 4"/>
    <w:basedOn w:val="Normal"/>
    <w:next w:val="Normal"/>
    <w:link w:val="Ttulo4Car"/>
    <w:uiPriority w:val="9"/>
    <w:unhideWhenUsed/>
    <w:qFormat/>
    <w:rsid w:val="00AE6E36"/>
    <w:pPr>
      <w:keepLines/>
      <w:numPr>
        <w:ilvl w:val="3"/>
        <w:numId w:val="21"/>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6A2FB8"/>
    <w:pPr>
      <w:keepLines/>
      <w:numPr>
        <w:ilvl w:val="4"/>
        <w:numId w:val="21"/>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6A2FB8"/>
    <w:pPr>
      <w:keepLines/>
      <w:numPr>
        <w:ilvl w:val="5"/>
        <w:numId w:val="21"/>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6A2FB8"/>
    <w:pPr>
      <w:keepLines/>
      <w:numPr>
        <w:ilvl w:val="6"/>
        <w:numId w:val="21"/>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A2FB8"/>
    <w:pPr>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A2FB8"/>
    <w:pPr>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424A"/>
    <w:rPr>
      <w:rFonts w:ascii="Arial" w:eastAsiaTheme="majorEastAsia" w:hAnsi="Arial" w:cstheme="majorBidi"/>
      <w:b/>
      <w:szCs w:val="32"/>
      <w:lang w:val="es-EC"/>
    </w:rPr>
  </w:style>
  <w:style w:type="paragraph" w:styleId="Prrafodelista">
    <w:name w:val="List Paragraph"/>
    <w:basedOn w:val="Normal"/>
    <w:link w:val="PrrafodelistaCar"/>
    <w:uiPriority w:val="34"/>
    <w:qFormat/>
    <w:rsid w:val="00FA5B45"/>
    <w:pPr>
      <w:spacing w:before="120" w:after="80"/>
      <w:ind w:left="720"/>
    </w:pPr>
    <w:rPr>
      <w:sz w:val="22"/>
    </w:rPr>
  </w:style>
  <w:style w:type="character" w:customStyle="1" w:styleId="PrrafodelistaCar">
    <w:name w:val="Párrafo de lista Car"/>
    <w:link w:val="Prrafodelista"/>
    <w:uiPriority w:val="34"/>
    <w:locked/>
    <w:rsid w:val="00FA5B45"/>
    <w:rPr>
      <w:rFonts w:ascii="ITC Avant Garde" w:hAnsi="ITC Avant Garde"/>
    </w:rPr>
  </w:style>
  <w:style w:type="paragraph" w:styleId="Piedepgina">
    <w:name w:val="footer"/>
    <w:basedOn w:val="Normal"/>
    <w:link w:val="PiedepginaCar"/>
    <w:uiPriority w:val="99"/>
    <w:unhideWhenUsed/>
    <w:rsid w:val="006F2AB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F2AB8"/>
  </w:style>
  <w:style w:type="paragraph" w:styleId="Textonotapie">
    <w:name w:val="footnote text"/>
    <w:aliases w:val="~FootnoteText,Pie depágina,Footnote Text Char1,Footnote Text Char Char1,Footnote Text Char4 Char Char,Footnote Text Char1 Char1 Char1 Char,Footnote Text Char Char1 Char1 Char Char,Footnote Text Char1 Char1 Char1 Char Char Char1,fn"/>
    <w:basedOn w:val="Normal"/>
    <w:link w:val="TextonotapieCar"/>
    <w:uiPriority w:val="19"/>
    <w:unhideWhenUsed/>
    <w:qFormat/>
    <w:rsid w:val="006F2AB8"/>
    <w:pPr>
      <w:spacing w:line="240" w:lineRule="auto"/>
    </w:pPr>
    <w:rPr>
      <w:szCs w:val="20"/>
      <w:lang w:val="es-EC"/>
    </w:rPr>
  </w:style>
  <w:style w:type="character" w:customStyle="1" w:styleId="TextonotapieCar">
    <w:name w:val="Texto nota pie Car"/>
    <w:aliases w:val="~FootnoteText Car,Pie depágina Car,Footnote Text Char1 Car,Footnote Text Char Char1 Car,Footnote Text Char4 Char Char Car,Footnote Text Char1 Char1 Char1 Char Car,Footnote Text Char Char1 Char1 Char Char Car,fn Car"/>
    <w:basedOn w:val="Fuentedeprrafopredeter"/>
    <w:link w:val="Textonotapie"/>
    <w:uiPriority w:val="19"/>
    <w:rsid w:val="006F2AB8"/>
    <w:rPr>
      <w:sz w:val="20"/>
      <w:szCs w:val="20"/>
      <w:lang w:val="es-EC"/>
    </w:rPr>
  </w:style>
  <w:style w:type="paragraph" w:styleId="Textocomentario">
    <w:name w:val="annotation text"/>
    <w:basedOn w:val="Normal"/>
    <w:link w:val="TextocomentarioCar"/>
    <w:uiPriority w:val="99"/>
    <w:unhideWhenUsed/>
    <w:rsid w:val="006F2AB8"/>
    <w:pPr>
      <w:spacing w:after="200" w:line="240" w:lineRule="auto"/>
    </w:pPr>
    <w:rPr>
      <w:szCs w:val="20"/>
      <w:lang w:val="es-EC"/>
    </w:rPr>
  </w:style>
  <w:style w:type="character" w:customStyle="1" w:styleId="TextocomentarioCar">
    <w:name w:val="Texto comentario Car"/>
    <w:basedOn w:val="Fuentedeprrafopredeter"/>
    <w:link w:val="Textocomentario"/>
    <w:uiPriority w:val="99"/>
    <w:qFormat/>
    <w:rsid w:val="006F2AB8"/>
    <w:rPr>
      <w:sz w:val="20"/>
      <w:szCs w:val="20"/>
      <w:lang w:val="es-EC"/>
    </w:rPr>
  </w:style>
  <w:style w:type="character" w:styleId="Refdenotaalpie">
    <w:name w:val="footnote reference"/>
    <w:aliases w:val="~FootnoteRef,Ref. de nota al pie 2,Footnotes refss,Texto de nota al pie,Ref,de nota al pie,Appel note de bas de page,fr,(NECG) Footnote Reference,o,Appel note de bas de p,Style 12,Style 124,Style 13,Style 3,Style 17,FR,callout,Italic"/>
    <w:basedOn w:val="Fuentedeprrafopredeter"/>
    <w:uiPriority w:val="19"/>
    <w:unhideWhenUsed/>
    <w:qFormat/>
    <w:rsid w:val="006F2AB8"/>
    <w:rPr>
      <w:vertAlign w:val="superscript"/>
    </w:rPr>
  </w:style>
  <w:style w:type="character" w:styleId="Refdecomentario">
    <w:name w:val="annotation reference"/>
    <w:basedOn w:val="Fuentedeprrafopredeter"/>
    <w:uiPriority w:val="99"/>
    <w:semiHidden/>
    <w:unhideWhenUsed/>
    <w:rsid w:val="006F2AB8"/>
    <w:rPr>
      <w:sz w:val="16"/>
      <w:szCs w:val="16"/>
    </w:rPr>
  </w:style>
  <w:style w:type="table" w:customStyle="1" w:styleId="Tabladelista6concolores11">
    <w:name w:val="Tabla de lista 6 con colores11"/>
    <w:basedOn w:val="Tablanormal"/>
    <w:uiPriority w:val="51"/>
    <w:rsid w:val="006F2AB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6F2AB8"/>
    <w:pPr>
      <w:spacing w:after="160"/>
    </w:pPr>
    <w:rPr>
      <w:b/>
      <w:bCs/>
      <w:lang w:val="es-MX"/>
    </w:rPr>
  </w:style>
  <w:style w:type="character" w:customStyle="1" w:styleId="AsuntodelcomentarioCar">
    <w:name w:val="Asunto del comentario Car"/>
    <w:basedOn w:val="TextocomentarioCar"/>
    <w:link w:val="Asuntodelcomentario"/>
    <w:uiPriority w:val="99"/>
    <w:semiHidden/>
    <w:rsid w:val="006F2AB8"/>
    <w:rPr>
      <w:b/>
      <w:bCs/>
      <w:sz w:val="20"/>
      <w:szCs w:val="20"/>
      <w:lang w:val="es-EC"/>
    </w:rPr>
  </w:style>
  <w:style w:type="paragraph" w:styleId="Textodeglobo">
    <w:name w:val="Balloon Text"/>
    <w:basedOn w:val="Normal"/>
    <w:link w:val="TextodegloboCar"/>
    <w:uiPriority w:val="99"/>
    <w:semiHidden/>
    <w:unhideWhenUsed/>
    <w:rsid w:val="006F2AB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2AB8"/>
    <w:rPr>
      <w:rFonts w:ascii="Segoe UI" w:hAnsi="Segoe UI" w:cs="Segoe UI"/>
      <w:sz w:val="18"/>
      <w:szCs w:val="18"/>
    </w:rPr>
  </w:style>
  <w:style w:type="paragraph" w:styleId="Encabezado">
    <w:name w:val="header"/>
    <w:basedOn w:val="Normal"/>
    <w:link w:val="EncabezadoCar"/>
    <w:uiPriority w:val="99"/>
    <w:unhideWhenUsed/>
    <w:rsid w:val="00EA45C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A45CA"/>
  </w:style>
  <w:style w:type="character" w:styleId="Hipervnculo">
    <w:name w:val="Hyperlink"/>
    <w:basedOn w:val="Fuentedeprrafopredeter"/>
    <w:uiPriority w:val="99"/>
    <w:unhideWhenUsed/>
    <w:rsid w:val="00FC0013"/>
    <w:rPr>
      <w:color w:val="0563C1" w:themeColor="hyperlink"/>
      <w:u w:val="single"/>
    </w:rPr>
  </w:style>
  <w:style w:type="character" w:styleId="Mencinsinresolver">
    <w:name w:val="Unresolved Mention"/>
    <w:basedOn w:val="Fuentedeprrafopredeter"/>
    <w:uiPriority w:val="99"/>
    <w:semiHidden/>
    <w:unhideWhenUsed/>
    <w:rsid w:val="00FC0013"/>
    <w:rPr>
      <w:color w:val="605E5C"/>
      <w:shd w:val="clear" w:color="auto" w:fill="E1DFDD"/>
    </w:rPr>
  </w:style>
  <w:style w:type="paragraph" w:customStyle="1" w:styleId="BodyTableText">
    <w:name w:val="Body Table Text"/>
    <w:basedOn w:val="Textoindependiente"/>
    <w:link w:val="BodyTableTextChar"/>
    <w:uiPriority w:val="1"/>
    <w:qFormat/>
    <w:rsid w:val="003614AE"/>
    <w:pPr>
      <w:spacing w:before="60" w:after="60" w:line="300" w:lineRule="auto"/>
    </w:pPr>
    <w:rPr>
      <w:rFonts w:ascii="Lucida Bright" w:hAnsi="Lucida Bright"/>
      <w:lang w:val="en-GB"/>
    </w:rPr>
  </w:style>
  <w:style w:type="character" w:customStyle="1" w:styleId="BodyTableTextChar">
    <w:name w:val="Body Table Text Char"/>
    <w:basedOn w:val="TextoindependienteCar"/>
    <w:link w:val="BodyTableText"/>
    <w:uiPriority w:val="1"/>
    <w:rsid w:val="003614AE"/>
    <w:rPr>
      <w:rFonts w:ascii="Lucida Bright" w:hAnsi="Lucida Bright"/>
      <w:sz w:val="20"/>
      <w:lang w:val="en-GB"/>
    </w:rPr>
  </w:style>
  <w:style w:type="table" w:customStyle="1" w:styleId="TextTableOption2">
    <w:name w:val="Text Table Option 2"/>
    <w:basedOn w:val="Tablanormal"/>
    <w:uiPriority w:val="99"/>
    <w:rsid w:val="003614AE"/>
    <w:pPr>
      <w:spacing w:before="60" w:after="0" w:line="240" w:lineRule="auto"/>
    </w:pPr>
    <w:rPr>
      <w:rFonts w:ascii="Lucida Bright" w:hAnsi="Lucida Bright"/>
      <w:color w:val="5B9BD5" w:themeColor="accent1"/>
      <w:sz w:val="20"/>
      <w:lang w:val="en-GB"/>
    </w:rPr>
    <w:tblPr>
      <w:tblStyleRowBandSize w:val="1"/>
      <w:tblBorders>
        <w:bottom w:val="single" w:sz="4" w:space="0" w:color="70AD47" w:themeColor="accent6"/>
      </w:tblBorders>
    </w:tblPr>
    <w:tblStylePr w:type="firstRow">
      <w:pPr>
        <w:wordWrap/>
        <w:spacing w:beforeLines="0" w:before="60" w:beforeAutospacing="0" w:afterLines="0" w:after="60" w:afterAutospacing="0"/>
      </w:pPr>
      <w:rPr>
        <w:rFonts w:ascii="Yu Gothic Light" w:hAnsi="Yu Gothic Light"/>
        <w:b w:val="0"/>
        <w:caps/>
        <w:smallCaps w:val="0"/>
        <w:color w:val="5B9BD5" w:themeColor="accent1"/>
        <w:sz w:val="22"/>
      </w:rPr>
      <w:tblPr/>
      <w:tcPr>
        <w:tcBorders>
          <w:top w:val="single" w:sz="4" w:space="0" w:color="70AD47" w:themeColor="accent6"/>
          <w:left w:val="nil"/>
          <w:bottom w:val="single" w:sz="4" w:space="0" w:color="70AD47" w:themeColor="accent6"/>
          <w:right w:val="nil"/>
          <w:insideH w:val="nil"/>
          <w:insideV w:val="nil"/>
        </w:tcBorders>
      </w:tcPr>
    </w:tblStylePr>
    <w:tblStylePr w:type="lastRow">
      <w:rPr>
        <w:rFonts w:ascii="Yu Mincho" w:hAnsi="Yu Mincho"/>
        <w:i/>
        <w:color w:val="5B9BD5" w:themeColor="accent1"/>
        <w:sz w:val="14"/>
      </w:rPr>
      <w:tblPr/>
      <w:tcPr>
        <w:tcBorders>
          <w:top w:val="single" w:sz="4" w:space="0" w:color="E83F35"/>
          <w:left w:val="nil"/>
          <w:bottom w:val="nil"/>
          <w:right w:val="nil"/>
          <w:insideH w:val="nil"/>
          <w:insideV w:val="nil"/>
        </w:tcBorders>
      </w:tcPr>
    </w:tblStylePr>
    <w:tblStylePr w:type="band1Horz">
      <w:rPr>
        <w:rFonts w:ascii="Yu Mincho" w:hAnsi="Yu Mincho"/>
        <w:color w:val="70AD47" w:themeColor="accent6"/>
        <w:sz w:val="17"/>
      </w:rPr>
      <w:tblPr/>
      <w:tcPr>
        <w:tcBorders>
          <w:top w:val="single" w:sz="4" w:space="0" w:color="E7E6E6" w:themeColor="background2"/>
        </w:tcBorders>
        <w:shd w:val="clear" w:color="auto" w:fill="F2F2F2"/>
      </w:tcPr>
    </w:tblStylePr>
    <w:tblStylePr w:type="band2Horz">
      <w:rPr>
        <w:rFonts w:ascii="Yu Mincho" w:hAnsi="Yu Mincho"/>
        <w:color w:val="70AD47" w:themeColor="accent6"/>
        <w:sz w:val="17"/>
      </w:rPr>
      <w:tblPr/>
      <w:tcPr>
        <w:tcBorders>
          <w:top w:val="single" w:sz="4" w:space="0" w:color="C1C1C1"/>
          <w:left w:val="nil"/>
          <w:bottom w:val="single" w:sz="4" w:space="0" w:color="C1C1C1"/>
          <w:right w:val="nil"/>
          <w:insideH w:val="nil"/>
          <w:insideV w:val="nil"/>
        </w:tcBorders>
        <w:shd w:val="clear" w:color="auto" w:fill="auto"/>
      </w:tcPr>
    </w:tblStylePr>
  </w:style>
  <w:style w:type="paragraph" w:styleId="Textoindependiente">
    <w:name w:val="Body Text"/>
    <w:basedOn w:val="Normal"/>
    <w:link w:val="TextoindependienteCar"/>
    <w:uiPriority w:val="99"/>
    <w:semiHidden/>
    <w:unhideWhenUsed/>
    <w:rsid w:val="003614AE"/>
    <w:pPr>
      <w:spacing w:after="120"/>
    </w:pPr>
  </w:style>
  <w:style w:type="character" w:customStyle="1" w:styleId="TextoindependienteCar">
    <w:name w:val="Texto independiente Car"/>
    <w:basedOn w:val="Fuentedeprrafopredeter"/>
    <w:link w:val="Textoindependiente"/>
    <w:uiPriority w:val="99"/>
    <w:semiHidden/>
    <w:rsid w:val="003614AE"/>
  </w:style>
  <w:style w:type="paragraph" w:styleId="Revisin">
    <w:name w:val="Revision"/>
    <w:hidden/>
    <w:uiPriority w:val="99"/>
    <w:semiHidden/>
    <w:rsid w:val="004D2679"/>
    <w:pPr>
      <w:spacing w:after="0" w:line="240" w:lineRule="auto"/>
    </w:pPr>
  </w:style>
  <w:style w:type="paragraph" w:customStyle="1" w:styleId="Default">
    <w:name w:val="Default"/>
    <w:rsid w:val="00D24E30"/>
    <w:pPr>
      <w:autoSpaceDE w:val="0"/>
      <w:autoSpaceDN w:val="0"/>
      <w:adjustRightInd w:val="0"/>
      <w:spacing w:after="0" w:line="240" w:lineRule="auto"/>
    </w:pPr>
    <w:rPr>
      <w:rFonts w:ascii="Calibri" w:hAnsi="Calibri" w:cs="Calibri"/>
      <w:color w:val="000000"/>
      <w:sz w:val="24"/>
      <w:szCs w:val="24"/>
    </w:rPr>
  </w:style>
  <w:style w:type="paragraph" w:customStyle="1" w:styleId="ListdoRomano">
    <w:name w:val="Listdo Romano"/>
    <w:basedOn w:val="Ttulo2"/>
    <w:next w:val="Normal"/>
    <w:link w:val="ListdoRomanoCar"/>
    <w:autoRedefine/>
    <w:qFormat/>
    <w:rsid w:val="006A2FB8"/>
    <w:pPr>
      <w:numPr>
        <w:ilvl w:val="0"/>
        <w:numId w:val="20"/>
      </w:numPr>
      <w:tabs>
        <w:tab w:val="left" w:pos="3334"/>
      </w:tabs>
      <w:jc w:val="both"/>
    </w:pPr>
    <w:rPr>
      <w:rFonts w:cs="Arial"/>
      <w:b/>
      <w:bCs/>
      <w:sz w:val="22"/>
    </w:rPr>
  </w:style>
  <w:style w:type="character" w:customStyle="1" w:styleId="ListdoRomanoCar">
    <w:name w:val="Listdo Romano Car"/>
    <w:basedOn w:val="PrrafodelistaCar"/>
    <w:link w:val="ListdoRomano"/>
    <w:rsid w:val="006A2FB8"/>
    <w:rPr>
      <w:rFonts w:ascii="ITC Avant Garde" w:eastAsiaTheme="majorEastAsia" w:hAnsi="ITC Avant Garde" w:cs="Arial"/>
      <w:b/>
      <w:bCs/>
      <w:szCs w:val="26"/>
    </w:rPr>
  </w:style>
  <w:style w:type="character" w:customStyle="1" w:styleId="Ttulo2Car">
    <w:name w:val="Título 2 Car"/>
    <w:basedOn w:val="Fuentedeprrafopredeter"/>
    <w:link w:val="Ttulo2"/>
    <w:uiPriority w:val="9"/>
    <w:rsid w:val="00D4300C"/>
    <w:rPr>
      <w:rFonts w:ascii="ITC Avant Garde" w:eastAsiaTheme="majorEastAsia" w:hAnsi="ITC Avant Garde" w:cstheme="majorBidi"/>
      <w:sz w:val="26"/>
      <w:szCs w:val="26"/>
    </w:rPr>
  </w:style>
  <w:style w:type="paragraph" w:customStyle="1" w:styleId="NormalDGDTR">
    <w:name w:val="Normal DGDTR"/>
    <w:basedOn w:val="Normal"/>
    <w:link w:val="NormalDGDTRCar"/>
    <w:qFormat/>
    <w:rsid w:val="007B50DE"/>
    <w:pPr>
      <w:spacing w:before="120" w:after="80"/>
      <w:jc w:val="both"/>
    </w:pPr>
    <w:rPr>
      <w:rFonts w:eastAsia="Calibri" w:cs="Arial"/>
      <w:sz w:val="22"/>
      <w:lang w:val="es-ES_tradnl" w:eastAsia="es-ES"/>
    </w:rPr>
  </w:style>
  <w:style w:type="character" w:customStyle="1" w:styleId="NormalDGDTRCar">
    <w:name w:val="Normal DGDTR Car"/>
    <w:basedOn w:val="Fuentedeprrafopredeter"/>
    <w:link w:val="NormalDGDTR"/>
    <w:qFormat/>
    <w:rsid w:val="007B50DE"/>
    <w:rPr>
      <w:rFonts w:ascii="ITC Avant Garde" w:eastAsia="Calibri" w:hAnsi="ITC Avant Garde" w:cs="Arial"/>
      <w:lang w:val="es-ES_tradnl" w:eastAsia="es-ES"/>
    </w:rPr>
  </w:style>
  <w:style w:type="table" w:styleId="Tablaconcuadrcula">
    <w:name w:val="Table Grid"/>
    <w:basedOn w:val="Tablanormal"/>
    <w:uiPriority w:val="39"/>
    <w:rsid w:val="00414E1B"/>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D51C1B"/>
    <w:rPr>
      <w:rFonts w:ascii="ITC Avant Garde" w:eastAsiaTheme="majorEastAsia" w:hAnsi="ITC Avant Garde" w:cstheme="majorBidi"/>
      <w:b/>
      <w:bCs/>
      <w:sz w:val="24"/>
      <w:szCs w:val="24"/>
    </w:rPr>
  </w:style>
  <w:style w:type="character" w:customStyle="1" w:styleId="Ttulo4Car">
    <w:name w:val="Título 4 Car"/>
    <w:basedOn w:val="Fuentedeprrafopredeter"/>
    <w:link w:val="Ttulo4"/>
    <w:uiPriority w:val="9"/>
    <w:rsid w:val="00AE6E36"/>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6A2FB8"/>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6A2FB8"/>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6A2FB8"/>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6A2FB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A2FB8"/>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0B32FC"/>
    <w:pPr>
      <w:spacing w:before="120" w:after="80"/>
      <w:contextualSpacing/>
    </w:pPr>
    <w:rPr>
      <w:rFonts w:eastAsiaTheme="majorEastAsia" w:cstheme="majorBidi"/>
      <w:b/>
      <w:spacing w:val="-10"/>
      <w:kern w:val="28"/>
      <w:sz w:val="28"/>
      <w:szCs w:val="56"/>
    </w:rPr>
  </w:style>
  <w:style w:type="character" w:customStyle="1" w:styleId="TtuloCar">
    <w:name w:val="Título Car"/>
    <w:basedOn w:val="Fuentedeprrafopredeter"/>
    <w:link w:val="Ttulo"/>
    <w:uiPriority w:val="10"/>
    <w:rsid w:val="000B32FC"/>
    <w:rPr>
      <w:rFonts w:ascii="ITC Avant Garde" w:eastAsiaTheme="majorEastAsia" w:hAnsi="ITC Avant Garde" w:cstheme="majorBidi"/>
      <w:b/>
      <w:spacing w:val="-10"/>
      <w:kern w:val="28"/>
      <w:sz w:val="28"/>
      <w:szCs w:val="56"/>
    </w:rPr>
  </w:style>
  <w:style w:type="paragraph" w:styleId="Sinespaciado">
    <w:name w:val="No Spacing"/>
    <w:basedOn w:val="Normal"/>
    <w:uiPriority w:val="1"/>
    <w:qFormat/>
    <w:rsid w:val="00777A04"/>
    <w:pPr>
      <w:tabs>
        <w:tab w:val="left" w:pos="3334"/>
      </w:tabs>
      <w:spacing w:before="240" w:after="80"/>
      <w:contextualSpacing/>
      <w:jc w:val="both"/>
    </w:pPr>
    <w:rPr>
      <w:rFonts w:cs="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0211">
      <w:bodyDiv w:val="1"/>
      <w:marLeft w:val="0"/>
      <w:marRight w:val="0"/>
      <w:marTop w:val="0"/>
      <w:marBottom w:val="0"/>
      <w:divBdr>
        <w:top w:val="none" w:sz="0" w:space="0" w:color="auto"/>
        <w:left w:val="none" w:sz="0" w:space="0" w:color="auto"/>
        <w:bottom w:val="none" w:sz="0" w:space="0" w:color="auto"/>
        <w:right w:val="none" w:sz="0" w:space="0" w:color="auto"/>
      </w:divBdr>
    </w:div>
    <w:div w:id="413747817">
      <w:bodyDiv w:val="1"/>
      <w:marLeft w:val="0"/>
      <w:marRight w:val="0"/>
      <w:marTop w:val="0"/>
      <w:marBottom w:val="0"/>
      <w:divBdr>
        <w:top w:val="none" w:sz="0" w:space="0" w:color="auto"/>
        <w:left w:val="none" w:sz="0" w:space="0" w:color="auto"/>
        <w:bottom w:val="none" w:sz="0" w:space="0" w:color="auto"/>
        <w:right w:val="none" w:sz="0" w:space="0" w:color="auto"/>
      </w:divBdr>
      <w:divsChild>
        <w:div w:id="1679193243">
          <w:marLeft w:val="274"/>
          <w:marRight w:val="0"/>
          <w:marTop w:val="0"/>
          <w:marBottom w:val="60"/>
          <w:divBdr>
            <w:top w:val="none" w:sz="0" w:space="0" w:color="auto"/>
            <w:left w:val="none" w:sz="0" w:space="0" w:color="auto"/>
            <w:bottom w:val="none" w:sz="0" w:space="0" w:color="auto"/>
            <w:right w:val="none" w:sz="0" w:space="0" w:color="auto"/>
          </w:divBdr>
        </w:div>
      </w:divsChild>
    </w:div>
    <w:div w:id="735711924">
      <w:bodyDiv w:val="1"/>
      <w:marLeft w:val="0"/>
      <w:marRight w:val="0"/>
      <w:marTop w:val="0"/>
      <w:marBottom w:val="0"/>
      <w:divBdr>
        <w:top w:val="none" w:sz="0" w:space="0" w:color="auto"/>
        <w:left w:val="none" w:sz="0" w:space="0" w:color="auto"/>
        <w:bottom w:val="none" w:sz="0" w:space="0" w:color="auto"/>
        <w:right w:val="none" w:sz="0" w:space="0" w:color="auto"/>
      </w:divBdr>
      <w:divsChild>
        <w:div w:id="140122608">
          <w:marLeft w:val="734"/>
          <w:marRight w:val="0"/>
          <w:marTop w:val="0"/>
          <w:marBottom w:val="0"/>
          <w:divBdr>
            <w:top w:val="none" w:sz="0" w:space="0" w:color="auto"/>
            <w:left w:val="none" w:sz="0" w:space="0" w:color="auto"/>
            <w:bottom w:val="none" w:sz="0" w:space="0" w:color="auto"/>
            <w:right w:val="none" w:sz="0" w:space="0" w:color="auto"/>
          </w:divBdr>
        </w:div>
        <w:div w:id="1536233236">
          <w:marLeft w:val="1555"/>
          <w:marRight w:val="0"/>
          <w:marTop w:val="0"/>
          <w:marBottom w:val="0"/>
          <w:divBdr>
            <w:top w:val="none" w:sz="0" w:space="0" w:color="auto"/>
            <w:left w:val="none" w:sz="0" w:space="0" w:color="auto"/>
            <w:bottom w:val="none" w:sz="0" w:space="0" w:color="auto"/>
            <w:right w:val="none" w:sz="0" w:space="0" w:color="auto"/>
          </w:divBdr>
        </w:div>
        <w:div w:id="631788476">
          <w:marLeft w:val="1555"/>
          <w:marRight w:val="0"/>
          <w:marTop w:val="0"/>
          <w:marBottom w:val="0"/>
          <w:divBdr>
            <w:top w:val="none" w:sz="0" w:space="0" w:color="auto"/>
            <w:left w:val="none" w:sz="0" w:space="0" w:color="auto"/>
            <w:bottom w:val="none" w:sz="0" w:space="0" w:color="auto"/>
            <w:right w:val="none" w:sz="0" w:space="0" w:color="auto"/>
          </w:divBdr>
        </w:div>
        <w:div w:id="813372937">
          <w:marLeft w:val="1555"/>
          <w:marRight w:val="0"/>
          <w:marTop w:val="0"/>
          <w:marBottom w:val="0"/>
          <w:divBdr>
            <w:top w:val="none" w:sz="0" w:space="0" w:color="auto"/>
            <w:left w:val="none" w:sz="0" w:space="0" w:color="auto"/>
            <w:bottom w:val="none" w:sz="0" w:space="0" w:color="auto"/>
            <w:right w:val="none" w:sz="0" w:space="0" w:color="auto"/>
          </w:divBdr>
        </w:div>
        <w:div w:id="186413238">
          <w:marLeft w:val="1555"/>
          <w:marRight w:val="0"/>
          <w:marTop w:val="0"/>
          <w:marBottom w:val="0"/>
          <w:divBdr>
            <w:top w:val="none" w:sz="0" w:space="0" w:color="auto"/>
            <w:left w:val="none" w:sz="0" w:space="0" w:color="auto"/>
            <w:bottom w:val="none" w:sz="0" w:space="0" w:color="auto"/>
            <w:right w:val="none" w:sz="0" w:space="0" w:color="auto"/>
          </w:divBdr>
        </w:div>
      </w:divsChild>
    </w:div>
    <w:div w:id="801315055">
      <w:bodyDiv w:val="1"/>
      <w:marLeft w:val="0"/>
      <w:marRight w:val="0"/>
      <w:marTop w:val="0"/>
      <w:marBottom w:val="0"/>
      <w:divBdr>
        <w:top w:val="none" w:sz="0" w:space="0" w:color="auto"/>
        <w:left w:val="none" w:sz="0" w:space="0" w:color="auto"/>
        <w:bottom w:val="none" w:sz="0" w:space="0" w:color="auto"/>
        <w:right w:val="none" w:sz="0" w:space="0" w:color="auto"/>
      </w:divBdr>
      <w:divsChild>
        <w:div w:id="525365790">
          <w:marLeft w:val="274"/>
          <w:marRight w:val="0"/>
          <w:marTop w:val="0"/>
          <w:marBottom w:val="60"/>
          <w:divBdr>
            <w:top w:val="none" w:sz="0" w:space="0" w:color="auto"/>
            <w:left w:val="none" w:sz="0" w:space="0" w:color="auto"/>
            <w:bottom w:val="none" w:sz="0" w:space="0" w:color="auto"/>
            <w:right w:val="none" w:sz="0" w:space="0" w:color="auto"/>
          </w:divBdr>
        </w:div>
        <w:div w:id="2110541033">
          <w:marLeft w:val="274"/>
          <w:marRight w:val="0"/>
          <w:marTop w:val="0"/>
          <w:marBottom w:val="60"/>
          <w:divBdr>
            <w:top w:val="none" w:sz="0" w:space="0" w:color="auto"/>
            <w:left w:val="none" w:sz="0" w:space="0" w:color="auto"/>
            <w:bottom w:val="none" w:sz="0" w:space="0" w:color="auto"/>
            <w:right w:val="none" w:sz="0" w:space="0" w:color="auto"/>
          </w:divBdr>
        </w:div>
      </w:divsChild>
    </w:div>
    <w:div w:id="861632597">
      <w:bodyDiv w:val="1"/>
      <w:marLeft w:val="0"/>
      <w:marRight w:val="0"/>
      <w:marTop w:val="0"/>
      <w:marBottom w:val="0"/>
      <w:divBdr>
        <w:top w:val="none" w:sz="0" w:space="0" w:color="auto"/>
        <w:left w:val="none" w:sz="0" w:space="0" w:color="auto"/>
        <w:bottom w:val="none" w:sz="0" w:space="0" w:color="auto"/>
        <w:right w:val="none" w:sz="0" w:space="0" w:color="auto"/>
      </w:divBdr>
      <w:divsChild>
        <w:div w:id="1982298615">
          <w:marLeft w:val="274"/>
          <w:marRight w:val="0"/>
          <w:marTop w:val="0"/>
          <w:marBottom w:val="60"/>
          <w:divBdr>
            <w:top w:val="none" w:sz="0" w:space="0" w:color="auto"/>
            <w:left w:val="none" w:sz="0" w:space="0" w:color="auto"/>
            <w:bottom w:val="none" w:sz="0" w:space="0" w:color="auto"/>
            <w:right w:val="none" w:sz="0" w:space="0" w:color="auto"/>
          </w:divBdr>
        </w:div>
      </w:divsChild>
    </w:div>
    <w:div w:id="1025256639">
      <w:bodyDiv w:val="1"/>
      <w:marLeft w:val="0"/>
      <w:marRight w:val="0"/>
      <w:marTop w:val="0"/>
      <w:marBottom w:val="0"/>
      <w:divBdr>
        <w:top w:val="none" w:sz="0" w:space="0" w:color="auto"/>
        <w:left w:val="none" w:sz="0" w:space="0" w:color="auto"/>
        <w:bottom w:val="none" w:sz="0" w:space="0" w:color="auto"/>
        <w:right w:val="none" w:sz="0" w:space="0" w:color="auto"/>
      </w:divBdr>
      <w:divsChild>
        <w:div w:id="417602060">
          <w:marLeft w:val="274"/>
          <w:marRight w:val="0"/>
          <w:marTop w:val="0"/>
          <w:marBottom w:val="60"/>
          <w:divBdr>
            <w:top w:val="none" w:sz="0" w:space="0" w:color="auto"/>
            <w:left w:val="none" w:sz="0" w:space="0" w:color="auto"/>
            <w:bottom w:val="none" w:sz="0" w:space="0" w:color="auto"/>
            <w:right w:val="none" w:sz="0" w:space="0" w:color="auto"/>
          </w:divBdr>
        </w:div>
      </w:divsChild>
    </w:div>
    <w:div w:id="1206286994">
      <w:bodyDiv w:val="1"/>
      <w:marLeft w:val="0"/>
      <w:marRight w:val="0"/>
      <w:marTop w:val="0"/>
      <w:marBottom w:val="0"/>
      <w:divBdr>
        <w:top w:val="none" w:sz="0" w:space="0" w:color="auto"/>
        <w:left w:val="none" w:sz="0" w:space="0" w:color="auto"/>
        <w:bottom w:val="none" w:sz="0" w:space="0" w:color="auto"/>
        <w:right w:val="none" w:sz="0" w:space="0" w:color="auto"/>
      </w:divBdr>
      <w:divsChild>
        <w:div w:id="387385842">
          <w:marLeft w:val="274"/>
          <w:marRight w:val="0"/>
          <w:marTop w:val="0"/>
          <w:marBottom w:val="60"/>
          <w:divBdr>
            <w:top w:val="none" w:sz="0" w:space="0" w:color="auto"/>
            <w:left w:val="none" w:sz="0" w:space="0" w:color="auto"/>
            <w:bottom w:val="none" w:sz="0" w:space="0" w:color="auto"/>
            <w:right w:val="none" w:sz="0" w:space="0" w:color="auto"/>
          </w:divBdr>
        </w:div>
        <w:div w:id="291787593">
          <w:marLeft w:val="274"/>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revision-y-actualizacion-de-indicadores-clave-de-desempeno-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vision.icd2021@ift.org.m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FD35B98907514428905968C64F00757" ma:contentTypeVersion="0" ma:contentTypeDescription="Crear nuevo documento." ma:contentTypeScope="" ma:versionID="07861ed5ae2f15549368845c2bdb5095">
  <xsd:schema xmlns:xsd="http://www.w3.org/2001/XMLSchema" xmlns:xs="http://www.w3.org/2001/XMLSchema" xmlns:p="http://schemas.microsoft.com/office/2006/metadata/properties" targetNamespace="http://schemas.microsoft.com/office/2006/metadata/properties" ma:root="true" ma:fieldsID="7d596c04390d23a0599344eec4ab65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B4A0F-B2B6-4827-B7DC-DDFC12A543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4441D2-E71B-474F-8F2B-29F0064E4178}">
  <ds:schemaRefs>
    <ds:schemaRef ds:uri="http://schemas.microsoft.com/sharepoint/v3/contenttype/forms"/>
  </ds:schemaRefs>
</ds:datastoreItem>
</file>

<file path=customXml/itemProps3.xml><?xml version="1.0" encoding="utf-8"?>
<ds:datastoreItem xmlns:ds="http://schemas.openxmlformats.org/officeDocument/2006/customXml" ds:itemID="{BBBD148C-6CDC-468B-859C-3D6554F36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D20E3E-5A73-4FA5-B1C1-4617DBE0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5328</Words>
  <Characters>29304</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34563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Alejandra Espinosa Palafox</dc:creator>
  <cp:keywords/>
  <dc:description/>
  <cp:lastModifiedBy>Josue Teoyotl Calderon</cp:lastModifiedBy>
  <cp:revision>2</cp:revision>
  <dcterms:created xsi:type="dcterms:W3CDTF">2022-08-17T14:00:00Z</dcterms:created>
  <dcterms:modified xsi:type="dcterms:W3CDTF">2022-08-17T14:00:00Z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0x0101005FD35B98907514428905968C64F00757</vt:lpwstr>
  </property>
</Properties>
</file>